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svg" ContentType="image/svg+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5.xml" ContentType="application/vnd.openxmlformats-officedocument.wordprocessingml.foot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F245ED" w14:textId="77777777" w:rsidR="00054437" w:rsidRPr="000549B1" w:rsidRDefault="00054437">
      <w:bookmarkStart w:id="0" w:name="_Hlk1037700"/>
      <w:bookmarkStart w:id="1" w:name="_Hlk211875929"/>
      <w:bookmarkEnd w:id="0"/>
    </w:p>
    <w:p w14:paraId="0971589D" w14:textId="77777777" w:rsidR="00054437" w:rsidRPr="000549B1" w:rsidRDefault="00054437"/>
    <w:p w14:paraId="12427353" w14:textId="77777777" w:rsidR="00054437" w:rsidRPr="000549B1" w:rsidRDefault="00054437">
      <w:pPr>
        <w:pStyle w:val="20"/>
      </w:pPr>
    </w:p>
    <w:p w14:paraId="5C612566" w14:textId="77777777" w:rsidR="00054437" w:rsidRPr="000549B1" w:rsidRDefault="00054437"/>
    <w:p w14:paraId="40A0BAF2" w14:textId="77777777" w:rsidR="00054437" w:rsidRPr="000549B1" w:rsidRDefault="00000000" w:rsidP="000549B1">
      <w:pPr>
        <w:spacing w:line="480" w:lineRule="auto"/>
        <w:jc w:val="center"/>
        <w:rPr>
          <w:rFonts w:eastAsia="黑体"/>
          <w:b/>
          <w:bCs/>
          <w:snapToGrid w:val="0"/>
          <w:spacing w:val="40"/>
          <w:kern w:val="0"/>
          <w:sz w:val="40"/>
          <w:szCs w:val="40"/>
        </w:rPr>
      </w:pPr>
      <w:r w:rsidRPr="000549B1">
        <w:rPr>
          <w:rFonts w:eastAsia="黑体" w:hint="eastAsia"/>
          <w:b/>
          <w:bCs/>
          <w:snapToGrid w:val="0"/>
          <w:spacing w:val="40"/>
          <w:kern w:val="0"/>
          <w:sz w:val="40"/>
          <w:szCs w:val="40"/>
        </w:rPr>
        <w:t>青海省海南州沙珠玉河流域综合规划</w:t>
      </w:r>
    </w:p>
    <w:p w14:paraId="2336A115" w14:textId="4A2A7A53" w:rsidR="00F95526" w:rsidRDefault="00000000" w:rsidP="00F95526">
      <w:pPr>
        <w:spacing w:beforeLines="50" w:before="156" w:line="480" w:lineRule="auto"/>
        <w:jc w:val="center"/>
        <w:rPr>
          <w:rFonts w:eastAsia="黑体"/>
          <w:b/>
          <w:bCs/>
          <w:snapToGrid w:val="0"/>
          <w:spacing w:val="40"/>
          <w:kern w:val="0"/>
          <w:sz w:val="72"/>
          <w:szCs w:val="72"/>
        </w:rPr>
      </w:pPr>
      <w:r w:rsidRPr="000549B1">
        <w:rPr>
          <w:rFonts w:eastAsia="黑体" w:hint="eastAsia"/>
          <w:b/>
          <w:bCs/>
          <w:snapToGrid w:val="0"/>
          <w:spacing w:val="40"/>
          <w:kern w:val="0"/>
          <w:sz w:val="72"/>
          <w:szCs w:val="72"/>
        </w:rPr>
        <w:t>环境影响报告书</w:t>
      </w:r>
    </w:p>
    <w:p w14:paraId="50C6DAE7" w14:textId="40C41B4F" w:rsidR="00F95526" w:rsidRPr="00F95526" w:rsidRDefault="00F95526" w:rsidP="00F95526">
      <w:pPr>
        <w:spacing w:beforeLines="50" w:before="156" w:line="480" w:lineRule="auto"/>
        <w:jc w:val="center"/>
        <w:rPr>
          <w:rFonts w:eastAsia="黑体"/>
          <w:b/>
          <w:bCs/>
          <w:snapToGrid w:val="0"/>
          <w:spacing w:val="40"/>
          <w:kern w:val="0"/>
          <w:sz w:val="52"/>
          <w:szCs w:val="52"/>
        </w:rPr>
      </w:pPr>
      <w:r w:rsidRPr="00F95526">
        <w:rPr>
          <w:rFonts w:eastAsia="黑体" w:hint="eastAsia"/>
          <w:b/>
          <w:bCs/>
          <w:snapToGrid w:val="0"/>
          <w:spacing w:val="40"/>
          <w:kern w:val="0"/>
          <w:sz w:val="52"/>
          <w:szCs w:val="52"/>
        </w:rPr>
        <w:t>（征求意见稿）</w:t>
      </w:r>
    </w:p>
    <w:p w14:paraId="1857BCAD" w14:textId="77777777" w:rsidR="00054437" w:rsidRPr="000549B1" w:rsidRDefault="00054437"/>
    <w:p w14:paraId="78EE0725" w14:textId="77777777" w:rsidR="00054437" w:rsidRPr="000549B1" w:rsidRDefault="00054437"/>
    <w:p w14:paraId="5E950F86" w14:textId="77777777" w:rsidR="00054437" w:rsidRPr="000549B1" w:rsidRDefault="00054437"/>
    <w:p w14:paraId="178175E7" w14:textId="77777777" w:rsidR="00054437" w:rsidRPr="000549B1" w:rsidRDefault="00054437"/>
    <w:p w14:paraId="5C94D9CF" w14:textId="77777777" w:rsidR="00054437" w:rsidRPr="00C35C11" w:rsidRDefault="00054437"/>
    <w:p w14:paraId="553643A5" w14:textId="77777777" w:rsidR="00054437" w:rsidRPr="000549B1" w:rsidRDefault="00054437"/>
    <w:p w14:paraId="0B8A8B39" w14:textId="77777777" w:rsidR="00054437" w:rsidRPr="000549B1" w:rsidRDefault="00054437"/>
    <w:p w14:paraId="70B8D32D" w14:textId="77777777" w:rsidR="00054437" w:rsidRPr="000549B1" w:rsidRDefault="00054437"/>
    <w:p w14:paraId="3FA07867" w14:textId="77777777" w:rsidR="00054437" w:rsidRPr="000549B1" w:rsidRDefault="00054437"/>
    <w:p w14:paraId="1D9E2915" w14:textId="77777777" w:rsidR="00054437" w:rsidRPr="000549B1" w:rsidRDefault="00054437"/>
    <w:p w14:paraId="66B560E4" w14:textId="77777777" w:rsidR="00054437" w:rsidRPr="000549B1" w:rsidRDefault="00054437"/>
    <w:p w14:paraId="17DF74A0" w14:textId="77777777" w:rsidR="00054437" w:rsidRPr="000549B1" w:rsidRDefault="00054437">
      <w:pPr>
        <w:pStyle w:val="20"/>
      </w:pPr>
    </w:p>
    <w:p w14:paraId="6B340463" w14:textId="77777777" w:rsidR="00054437" w:rsidRPr="000549B1" w:rsidRDefault="00054437"/>
    <w:p w14:paraId="120E0925" w14:textId="77777777" w:rsidR="00054437" w:rsidRPr="000549B1" w:rsidRDefault="00054437">
      <w:pPr>
        <w:pStyle w:val="20"/>
      </w:pPr>
    </w:p>
    <w:p w14:paraId="4ECA7443" w14:textId="77777777" w:rsidR="00054437" w:rsidRPr="000549B1" w:rsidRDefault="00054437"/>
    <w:p w14:paraId="26EF4E2F" w14:textId="77777777" w:rsidR="00054437" w:rsidRPr="000549B1" w:rsidRDefault="00054437"/>
    <w:p w14:paraId="54910221" w14:textId="77777777" w:rsidR="00054437" w:rsidRPr="000549B1" w:rsidRDefault="00054437"/>
    <w:p w14:paraId="6522295E" w14:textId="77777777" w:rsidR="00054437" w:rsidRPr="000549B1" w:rsidRDefault="00054437"/>
    <w:p w14:paraId="2B27F89A" w14:textId="77777777" w:rsidR="00054437" w:rsidRPr="000549B1" w:rsidRDefault="00054437"/>
    <w:p w14:paraId="3433F77E" w14:textId="77777777" w:rsidR="00054437" w:rsidRPr="000549B1" w:rsidRDefault="00054437"/>
    <w:p w14:paraId="4CB80C2D" w14:textId="77777777" w:rsidR="00054437" w:rsidRPr="000549B1" w:rsidRDefault="00054437"/>
    <w:p w14:paraId="1DCDFFC3" w14:textId="77777777" w:rsidR="00054437" w:rsidRPr="000549B1" w:rsidRDefault="00054437"/>
    <w:p w14:paraId="02D9A81F" w14:textId="19A5C940" w:rsidR="00054437" w:rsidRPr="000549B1" w:rsidRDefault="00000000">
      <w:pPr>
        <w:jc w:val="center"/>
        <w:rPr>
          <w:rFonts w:eastAsia="黑体"/>
          <w:b/>
          <w:bCs/>
          <w:sz w:val="36"/>
          <w:szCs w:val="36"/>
        </w:rPr>
      </w:pPr>
      <w:r w:rsidRPr="000549B1">
        <w:rPr>
          <w:rFonts w:eastAsia="黑体" w:hint="eastAsia"/>
          <w:b/>
          <w:bCs/>
          <w:sz w:val="36"/>
          <w:szCs w:val="36"/>
        </w:rPr>
        <w:t>规划编制单位：黄河勘测规划设计研究院有限公司</w:t>
      </w:r>
    </w:p>
    <w:p w14:paraId="729CF59B" w14:textId="082657AC" w:rsidR="00054437" w:rsidRPr="000549B1" w:rsidRDefault="00000000">
      <w:pPr>
        <w:spacing w:line="360" w:lineRule="auto"/>
        <w:contextualSpacing/>
        <w:jc w:val="center"/>
        <w:rPr>
          <w:rFonts w:eastAsia="黑体"/>
          <w:b/>
          <w:bCs/>
          <w:sz w:val="36"/>
          <w:szCs w:val="36"/>
        </w:rPr>
      </w:pPr>
      <w:bookmarkStart w:id="2" w:name="_Hlk531334327"/>
      <w:r w:rsidRPr="000549B1">
        <w:rPr>
          <w:rFonts w:eastAsia="黑体" w:hint="eastAsia"/>
          <w:b/>
          <w:bCs/>
          <w:sz w:val="36"/>
          <w:szCs w:val="36"/>
        </w:rPr>
        <w:t>评价单位：</w:t>
      </w:r>
      <w:bookmarkStart w:id="3" w:name="_Toc510456133"/>
      <w:bookmarkStart w:id="4" w:name="_Toc529456874"/>
      <w:bookmarkStart w:id="5" w:name="_Toc239"/>
      <w:bookmarkStart w:id="6" w:name="_Toc503956018"/>
      <w:bookmarkStart w:id="7" w:name="_Toc513652382"/>
      <w:bookmarkStart w:id="8" w:name="_Toc206209"/>
      <w:bookmarkStart w:id="9" w:name="_Toc531513655"/>
      <w:bookmarkStart w:id="10" w:name="_Toc527924516"/>
      <w:bookmarkStart w:id="11" w:name="_Toc536685791"/>
      <w:bookmarkStart w:id="12" w:name="_Toc503945030"/>
      <w:bookmarkStart w:id="13" w:name="_Toc536713281"/>
      <w:bookmarkStart w:id="14" w:name="_Toc5558173"/>
      <w:bookmarkStart w:id="15" w:name="_Toc534383220"/>
      <w:bookmarkStart w:id="16" w:name="_Toc995306"/>
      <w:bookmarkStart w:id="17" w:name="_Toc9144509"/>
      <w:bookmarkStart w:id="18" w:name="_Toc513641884"/>
      <w:bookmarkStart w:id="19" w:name="_Toc530048840"/>
      <w:bookmarkStart w:id="20" w:name="_Toc1076002"/>
      <w:bookmarkStart w:id="21" w:name="_Toc528852232"/>
      <w:bookmarkStart w:id="22" w:name="_Toc5556622"/>
      <w:bookmarkStart w:id="23" w:name="_Toc7342934"/>
      <w:bookmarkStart w:id="24" w:name="_Toc528846514"/>
      <w:bookmarkStart w:id="25" w:name="_Toc532541846"/>
      <w:bookmarkStart w:id="26" w:name="_Toc530993924"/>
      <w:bookmarkStart w:id="27" w:name="_Toc18808"/>
      <w:bookmarkStart w:id="28" w:name="_Toc9147659"/>
      <w:bookmarkStart w:id="29" w:name="_Toc510380669"/>
      <w:bookmarkStart w:id="30" w:name="_Toc511339887"/>
      <w:bookmarkStart w:id="31" w:name="_Toc513202732"/>
      <w:bookmarkStart w:id="32" w:name="_Toc1126663"/>
      <w:bookmarkStart w:id="33" w:name="_Toc527840375"/>
      <w:bookmarkStart w:id="34" w:name="_Toc513128419"/>
      <w:bookmarkStart w:id="35" w:name="_Toc526329722"/>
      <w:bookmarkEnd w:id="2"/>
      <w:r w:rsidRPr="000549B1">
        <w:rPr>
          <w:rFonts w:eastAsia="黑体" w:hint="eastAsia"/>
          <w:b/>
          <w:bCs/>
          <w:sz w:val="36"/>
          <w:szCs w:val="36"/>
        </w:rPr>
        <w:t>黄河水资源保护科学研究院</w:t>
      </w:r>
    </w:p>
    <w:p w14:paraId="0A871F31" w14:textId="77777777" w:rsidR="00054437" w:rsidRPr="000549B1" w:rsidRDefault="00054437">
      <w:pPr>
        <w:spacing w:line="240" w:lineRule="exact"/>
        <w:ind w:firstLineChars="200" w:firstLine="482"/>
        <w:contextualSpacing/>
        <w:rPr>
          <w:b/>
          <w:sz w:val="24"/>
          <w:szCs w:val="24"/>
        </w:rPr>
      </w:pPr>
    </w:p>
    <w:p w14:paraId="7CC45338" w14:textId="41FE1689" w:rsidR="00054437" w:rsidRPr="000549B1" w:rsidRDefault="00000000">
      <w:pPr>
        <w:spacing w:line="360" w:lineRule="auto"/>
        <w:contextualSpacing/>
        <w:jc w:val="center"/>
        <w:rPr>
          <w:rFonts w:eastAsia="黑体"/>
          <w:b/>
          <w:bCs/>
          <w:sz w:val="36"/>
          <w:szCs w:val="36"/>
        </w:rPr>
      </w:pPr>
      <w:r w:rsidRPr="000549B1">
        <w:rPr>
          <w:rFonts w:eastAsia="黑体"/>
          <w:b/>
          <w:bCs/>
          <w:sz w:val="36"/>
          <w:szCs w:val="36"/>
        </w:rPr>
        <w:t>二〇二五年</w:t>
      </w:r>
      <w:r w:rsidRPr="000549B1">
        <w:rPr>
          <w:rFonts w:eastAsia="黑体" w:hint="eastAsia"/>
          <w:b/>
          <w:bCs/>
          <w:sz w:val="36"/>
          <w:szCs w:val="36"/>
        </w:rPr>
        <w:t>十二</w:t>
      </w:r>
      <w:r w:rsidRPr="000549B1">
        <w:rPr>
          <w:rFonts w:eastAsia="黑体"/>
          <w:b/>
          <w:bCs/>
          <w:sz w:val="36"/>
          <w:szCs w:val="36"/>
        </w:rPr>
        <w:t>月</w:t>
      </w:r>
    </w:p>
    <w:p w14:paraId="64FDF787" w14:textId="77777777" w:rsidR="00054437" w:rsidRPr="000549B1" w:rsidRDefault="00054437">
      <w:pPr>
        <w:spacing w:line="360" w:lineRule="auto"/>
        <w:contextualSpacing/>
        <w:jc w:val="center"/>
        <w:rPr>
          <w:rFonts w:eastAsia="黑体"/>
          <w:b/>
          <w:bCs/>
          <w:sz w:val="36"/>
          <w:szCs w:val="36"/>
        </w:rPr>
      </w:pPr>
    </w:p>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p w14:paraId="3CA7B622" w14:textId="77777777" w:rsidR="00054437" w:rsidRPr="000549B1" w:rsidRDefault="00054437">
      <w:pPr>
        <w:sectPr w:rsidR="00054437" w:rsidRPr="000549B1">
          <w:headerReference w:type="default" r:id="rId9"/>
          <w:pgSz w:w="11906" w:h="16838"/>
          <w:pgMar w:top="1440" w:right="1800" w:bottom="1440" w:left="1800" w:header="851" w:footer="992" w:gutter="0"/>
          <w:cols w:space="425"/>
          <w:docGrid w:type="lines" w:linePitch="312"/>
        </w:sectPr>
      </w:pPr>
    </w:p>
    <w:sdt>
      <w:sdtPr>
        <w:rPr>
          <w:rFonts w:ascii="Times New Roman" w:hAnsi="Times New Roman"/>
          <w:b w:val="0"/>
          <w:bCs w:val="0"/>
          <w:color w:val="auto"/>
          <w:kern w:val="2"/>
          <w:sz w:val="21"/>
          <w:szCs w:val="22"/>
          <w:lang w:val="zh-CN"/>
        </w:rPr>
        <w:id w:val="614329712"/>
        <w:docPartObj>
          <w:docPartGallery w:val="Table of Contents"/>
          <w:docPartUnique/>
        </w:docPartObj>
      </w:sdtPr>
      <w:sdtContent>
        <w:p w14:paraId="3A2EE5C8" w14:textId="77777777" w:rsidR="00054437" w:rsidRPr="000549B1" w:rsidRDefault="00000000">
          <w:pPr>
            <w:pStyle w:val="TOC10"/>
            <w:numPr>
              <w:ilvl w:val="0"/>
              <w:numId w:val="0"/>
            </w:numPr>
            <w:jc w:val="center"/>
            <w:rPr>
              <w:rFonts w:ascii="Times New Roman" w:hAnsi="Times New Roman"/>
              <w:color w:val="auto"/>
              <w:sz w:val="36"/>
              <w:szCs w:val="36"/>
            </w:rPr>
          </w:pPr>
          <w:r w:rsidRPr="000549B1">
            <w:rPr>
              <w:rFonts w:ascii="Times New Roman" w:hAnsi="Times New Roman"/>
              <w:color w:val="auto"/>
              <w:sz w:val="36"/>
              <w:szCs w:val="36"/>
              <w:lang w:val="zh-CN"/>
            </w:rPr>
            <w:t>目录</w:t>
          </w:r>
        </w:p>
        <w:p w14:paraId="7727746A" w14:textId="71812267" w:rsidR="00E53836" w:rsidRPr="00E53836" w:rsidRDefault="00000000">
          <w:pPr>
            <w:pStyle w:val="TOC1"/>
            <w:tabs>
              <w:tab w:val="right" w:leader="dot" w:pos="8296"/>
            </w:tabs>
            <w:rPr>
              <w:rFonts w:ascii="Times New Roman" w:hAnsi="Times New Roman"/>
              <w:b w:val="0"/>
              <w:bCs w:val="0"/>
              <w:caps w:val="0"/>
              <w:noProof/>
              <w:sz w:val="24"/>
              <w:szCs w:val="24"/>
              <w14:ligatures w14:val="standardContextual"/>
            </w:rPr>
          </w:pPr>
          <w:r w:rsidRPr="00E53836">
            <w:rPr>
              <w:rFonts w:ascii="Times New Roman" w:hAnsi="Times New Roman"/>
              <w:bCs w:val="0"/>
              <w:caps w:val="0"/>
              <w:sz w:val="24"/>
              <w:szCs w:val="24"/>
            </w:rPr>
            <w:fldChar w:fldCharType="begin"/>
          </w:r>
          <w:r w:rsidRPr="00E53836">
            <w:rPr>
              <w:rFonts w:ascii="Times New Roman" w:hAnsi="Times New Roman"/>
              <w:bCs w:val="0"/>
              <w:caps w:val="0"/>
              <w:sz w:val="24"/>
              <w:szCs w:val="24"/>
            </w:rPr>
            <w:instrText xml:space="preserve"> TOC \h \z \t "</w:instrText>
          </w:r>
          <w:r w:rsidRPr="00E53836">
            <w:rPr>
              <w:rFonts w:ascii="Times New Roman" w:hAnsi="Times New Roman"/>
              <w:bCs w:val="0"/>
              <w:caps w:val="0"/>
              <w:sz w:val="24"/>
              <w:szCs w:val="24"/>
            </w:rPr>
            <w:instrText>标题</w:instrText>
          </w:r>
          <w:r w:rsidRPr="00E53836">
            <w:rPr>
              <w:rFonts w:ascii="Times New Roman" w:hAnsi="Times New Roman"/>
              <w:bCs w:val="0"/>
              <w:caps w:val="0"/>
              <w:sz w:val="24"/>
              <w:szCs w:val="24"/>
            </w:rPr>
            <w:instrText xml:space="preserve"> 1,1,</w:instrText>
          </w:r>
          <w:r w:rsidRPr="00E53836">
            <w:rPr>
              <w:rFonts w:ascii="Times New Roman" w:hAnsi="Times New Roman"/>
              <w:bCs w:val="0"/>
              <w:caps w:val="0"/>
              <w:sz w:val="24"/>
              <w:szCs w:val="24"/>
            </w:rPr>
            <w:instrText>标题</w:instrText>
          </w:r>
          <w:r w:rsidRPr="00E53836">
            <w:rPr>
              <w:rFonts w:ascii="Times New Roman" w:hAnsi="Times New Roman"/>
              <w:bCs w:val="0"/>
              <w:caps w:val="0"/>
              <w:sz w:val="24"/>
              <w:szCs w:val="24"/>
            </w:rPr>
            <w:instrText xml:space="preserve"> 2,2,</w:instrText>
          </w:r>
          <w:r w:rsidRPr="00E53836">
            <w:rPr>
              <w:rFonts w:ascii="Times New Roman" w:hAnsi="Times New Roman"/>
              <w:bCs w:val="0"/>
              <w:caps w:val="0"/>
              <w:sz w:val="24"/>
              <w:szCs w:val="24"/>
            </w:rPr>
            <w:instrText>标题</w:instrText>
          </w:r>
          <w:r w:rsidRPr="00E53836">
            <w:rPr>
              <w:rFonts w:ascii="Times New Roman" w:hAnsi="Times New Roman"/>
              <w:bCs w:val="0"/>
              <w:caps w:val="0"/>
              <w:sz w:val="24"/>
              <w:szCs w:val="24"/>
            </w:rPr>
            <w:instrText xml:space="preserve"> 3,3,0A 3</w:instrText>
          </w:r>
          <w:r w:rsidRPr="00E53836">
            <w:rPr>
              <w:rFonts w:ascii="Times New Roman" w:hAnsi="Times New Roman"/>
              <w:bCs w:val="0"/>
              <w:caps w:val="0"/>
              <w:sz w:val="24"/>
              <w:szCs w:val="24"/>
            </w:rPr>
            <w:instrText>级标题</w:instrText>
          </w:r>
          <w:r w:rsidRPr="00E53836">
            <w:rPr>
              <w:rFonts w:ascii="Times New Roman" w:hAnsi="Times New Roman"/>
              <w:bCs w:val="0"/>
              <w:caps w:val="0"/>
              <w:sz w:val="24"/>
              <w:szCs w:val="24"/>
            </w:rPr>
            <w:instrText xml:space="preserve">,3" </w:instrText>
          </w:r>
          <w:r w:rsidRPr="00E53836">
            <w:rPr>
              <w:rFonts w:ascii="Times New Roman" w:hAnsi="Times New Roman"/>
              <w:bCs w:val="0"/>
              <w:caps w:val="0"/>
              <w:sz w:val="24"/>
              <w:szCs w:val="24"/>
            </w:rPr>
            <w:fldChar w:fldCharType="separate"/>
          </w:r>
          <w:hyperlink w:anchor="_Toc216106979" w:history="1">
            <w:r w:rsidR="00E53836" w:rsidRPr="00E53836">
              <w:rPr>
                <w:rStyle w:val="aff3"/>
                <w:rFonts w:ascii="Times New Roman" w:hAnsi="Times New Roman"/>
                <w:noProof/>
                <w:sz w:val="24"/>
                <w:szCs w:val="24"/>
              </w:rPr>
              <w:t xml:space="preserve">1 </w:t>
            </w:r>
            <w:r w:rsidR="00E53836" w:rsidRPr="00E53836">
              <w:rPr>
                <w:rStyle w:val="aff3"/>
                <w:rFonts w:ascii="Times New Roman" w:hAnsi="Times New Roman"/>
                <w:noProof/>
                <w:sz w:val="24"/>
                <w:szCs w:val="24"/>
              </w:rPr>
              <w:t>总则</w:t>
            </w:r>
            <w:r w:rsidR="00E53836" w:rsidRPr="00E53836">
              <w:rPr>
                <w:rFonts w:ascii="Times New Roman" w:hAnsi="Times New Roman"/>
                <w:noProof/>
                <w:webHidden/>
                <w:sz w:val="24"/>
                <w:szCs w:val="24"/>
              </w:rPr>
              <w:tab/>
            </w:r>
            <w:r w:rsidR="00E53836" w:rsidRPr="00E53836">
              <w:rPr>
                <w:rFonts w:ascii="Times New Roman" w:hAnsi="Times New Roman"/>
                <w:noProof/>
                <w:webHidden/>
                <w:sz w:val="24"/>
                <w:szCs w:val="24"/>
              </w:rPr>
              <w:fldChar w:fldCharType="begin"/>
            </w:r>
            <w:r w:rsidR="00E53836" w:rsidRPr="00E53836">
              <w:rPr>
                <w:rFonts w:ascii="Times New Roman" w:hAnsi="Times New Roman"/>
                <w:noProof/>
                <w:webHidden/>
                <w:sz w:val="24"/>
                <w:szCs w:val="24"/>
              </w:rPr>
              <w:instrText xml:space="preserve"> PAGEREF _Toc216106979 \h </w:instrText>
            </w:r>
            <w:r w:rsidR="00E53836" w:rsidRPr="00E53836">
              <w:rPr>
                <w:rFonts w:ascii="Times New Roman" w:hAnsi="Times New Roman"/>
                <w:noProof/>
                <w:webHidden/>
                <w:sz w:val="24"/>
                <w:szCs w:val="24"/>
              </w:rPr>
            </w:r>
            <w:r w:rsidR="00E53836" w:rsidRPr="00E53836">
              <w:rPr>
                <w:rFonts w:ascii="Times New Roman" w:hAnsi="Times New Roman"/>
                <w:noProof/>
                <w:webHidden/>
                <w:sz w:val="24"/>
                <w:szCs w:val="24"/>
              </w:rPr>
              <w:fldChar w:fldCharType="separate"/>
            </w:r>
            <w:r w:rsidR="00F32CCA">
              <w:rPr>
                <w:rFonts w:ascii="Times New Roman" w:hAnsi="Times New Roman"/>
                <w:noProof/>
                <w:webHidden/>
                <w:sz w:val="24"/>
                <w:szCs w:val="24"/>
              </w:rPr>
              <w:t>1</w:t>
            </w:r>
            <w:r w:rsidR="00E53836" w:rsidRPr="00E53836">
              <w:rPr>
                <w:rFonts w:ascii="Times New Roman" w:hAnsi="Times New Roman"/>
                <w:noProof/>
                <w:webHidden/>
                <w:sz w:val="24"/>
                <w:szCs w:val="24"/>
              </w:rPr>
              <w:fldChar w:fldCharType="end"/>
            </w:r>
          </w:hyperlink>
        </w:p>
        <w:p w14:paraId="3FA9F57A" w14:textId="7BA92330" w:rsidR="00E53836" w:rsidRPr="00E53836" w:rsidRDefault="00E53836">
          <w:pPr>
            <w:pStyle w:val="TOC2"/>
            <w:tabs>
              <w:tab w:val="right" w:leader="dot" w:pos="8296"/>
            </w:tabs>
            <w:rPr>
              <w:rFonts w:ascii="Times New Roman" w:hAnsi="Times New Roman"/>
              <w:smallCaps w:val="0"/>
              <w:noProof/>
              <w:sz w:val="24"/>
              <w:szCs w:val="24"/>
              <w14:ligatures w14:val="standardContextual"/>
            </w:rPr>
          </w:pPr>
          <w:hyperlink w:anchor="_Toc216106980" w:history="1">
            <w:r w:rsidRPr="00E53836">
              <w:rPr>
                <w:rStyle w:val="aff3"/>
                <w:rFonts w:ascii="Times New Roman" w:hAnsi="Times New Roman"/>
                <w:noProof/>
                <w:sz w:val="24"/>
                <w:szCs w:val="24"/>
              </w:rPr>
              <w:t xml:space="preserve">1.1 </w:t>
            </w:r>
            <w:r w:rsidRPr="00E53836">
              <w:rPr>
                <w:rStyle w:val="aff3"/>
                <w:rFonts w:ascii="Times New Roman" w:hAnsi="Times New Roman"/>
                <w:noProof/>
                <w:sz w:val="24"/>
                <w:szCs w:val="24"/>
              </w:rPr>
              <w:t>评价任务由来</w:t>
            </w:r>
            <w:r w:rsidRPr="00E53836">
              <w:rPr>
                <w:rFonts w:ascii="Times New Roman" w:hAnsi="Times New Roman"/>
                <w:noProof/>
                <w:webHidden/>
                <w:sz w:val="24"/>
                <w:szCs w:val="24"/>
              </w:rPr>
              <w:tab/>
            </w:r>
            <w:r w:rsidRPr="00E53836">
              <w:rPr>
                <w:rFonts w:ascii="Times New Roman" w:hAnsi="Times New Roman"/>
                <w:noProof/>
                <w:webHidden/>
                <w:sz w:val="24"/>
                <w:szCs w:val="24"/>
              </w:rPr>
              <w:fldChar w:fldCharType="begin"/>
            </w:r>
            <w:r w:rsidRPr="00E53836">
              <w:rPr>
                <w:rFonts w:ascii="Times New Roman" w:hAnsi="Times New Roman"/>
                <w:noProof/>
                <w:webHidden/>
                <w:sz w:val="24"/>
                <w:szCs w:val="24"/>
              </w:rPr>
              <w:instrText xml:space="preserve"> PAGEREF _Toc216106980 \h </w:instrText>
            </w:r>
            <w:r w:rsidRPr="00E53836">
              <w:rPr>
                <w:rFonts w:ascii="Times New Roman" w:hAnsi="Times New Roman"/>
                <w:noProof/>
                <w:webHidden/>
                <w:sz w:val="24"/>
                <w:szCs w:val="24"/>
              </w:rPr>
            </w:r>
            <w:r w:rsidRPr="00E53836">
              <w:rPr>
                <w:rFonts w:ascii="Times New Roman" w:hAnsi="Times New Roman"/>
                <w:noProof/>
                <w:webHidden/>
                <w:sz w:val="24"/>
                <w:szCs w:val="24"/>
              </w:rPr>
              <w:fldChar w:fldCharType="separate"/>
            </w:r>
            <w:r w:rsidR="00F32CCA">
              <w:rPr>
                <w:rFonts w:ascii="Times New Roman" w:hAnsi="Times New Roman"/>
                <w:noProof/>
                <w:webHidden/>
                <w:sz w:val="24"/>
                <w:szCs w:val="24"/>
              </w:rPr>
              <w:t>1</w:t>
            </w:r>
            <w:r w:rsidRPr="00E53836">
              <w:rPr>
                <w:rFonts w:ascii="Times New Roman" w:hAnsi="Times New Roman"/>
                <w:noProof/>
                <w:webHidden/>
                <w:sz w:val="24"/>
                <w:szCs w:val="24"/>
              </w:rPr>
              <w:fldChar w:fldCharType="end"/>
            </w:r>
          </w:hyperlink>
        </w:p>
        <w:p w14:paraId="763B239B" w14:textId="0570013A" w:rsidR="00E53836" w:rsidRPr="00E53836" w:rsidRDefault="00E53836">
          <w:pPr>
            <w:pStyle w:val="TOC2"/>
            <w:tabs>
              <w:tab w:val="right" w:leader="dot" w:pos="8296"/>
            </w:tabs>
            <w:rPr>
              <w:rFonts w:ascii="Times New Roman" w:hAnsi="Times New Roman"/>
              <w:smallCaps w:val="0"/>
              <w:noProof/>
              <w:sz w:val="24"/>
              <w:szCs w:val="24"/>
              <w14:ligatures w14:val="standardContextual"/>
            </w:rPr>
          </w:pPr>
          <w:hyperlink w:anchor="_Toc216106981" w:history="1">
            <w:r w:rsidRPr="00E53836">
              <w:rPr>
                <w:rStyle w:val="aff3"/>
                <w:rFonts w:ascii="Times New Roman" w:hAnsi="Times New Roman"/>
                <w:noProof/>
                <w:sz w:val="24"/>
                <w:szCs w:val="24"/>
              </w:rPr>
              <w:t xml:space="preserve">1.2 </w:t>
            </w:r>
            <w:r w:rsidRPr="00E53836">
              <w:rPr>
                <w:rStyle w:val="aff3"/>
                <w:rFonts w:ascii="Times New Roman" w:hAnsi="Times New Roman"/>
                <w:noProof/>
                <w:sz w:val="24"/>
                <w:szCs w:val="24"/>
              </w:rPr>
              <w:t>评价目的与原则</w:t>
            </w:r>
            <w:r w:rsidRPr="00E53836">
              <w:rPr>
                <w:rFonts w:ascii="Times New Roman" w:hAnsi="Times New Roman"/>
                <w:noProof/>
                <w:webHidden/>
                <w:sz w:val="24"/>
                <w:szCs w:val="24"/>
              </w:rPr>
              <w:tab/>
            </w:r>
            <w:r w:rsidRPr="00E53836">
              <w:rPr>
                <w:rFonts w:ascii="Times New Roman" w:hAnsi="Times New Roman"/>
                <w:noProof/>
                <w:webHidden/>
                <w:sz w:val="24"/>
                <w:szCs w:val="24"/>
              </w:rPr>
              <w:fldChar w:fldCharType="begin"/>
            </w:r>
            <w:r w:rsidRPr="00E53836">
              <w:rPr>
                <w:rFonts w:ascii="Times New Roman" w:hAnsi="Times New Roman"/>
                <w:noProof/>
                <w:webHidden/>
                <w:sz w:val="24"/>
                <w:szCs w:val="24"/>
              </w:rPr>
              <w:instrText xml:space="preserve"> PAGEREF _Toc216106981 \h </w:instrText>
            </w:r>
            <w:r w:rsidRPr="00E53836">
              <w:rPr>
                <w:rFonts w:ascii="Times New Roman" w:hAnsi="Times New Roman"/>
                <w:noProof/>
                <w:webHidden/>
                <w:sz w:val="24"/>
                <w:szCs w:val="24"/>
              </w:rPr>
            </w:r>
            <w:r w:rsidRPr="00E53836">
              <w:rPr>
                <w:rFonts w:ascii="Times New Roman" w:hAnsi="Times New Roman"/>
                <w:noProof/>
                <w:webHidden/>
                <w:sz w:val="24"/>
                <w:szCs w:val="24"/>
              </w:rPr>
              <w:fldChar w:fldCharType="separate"/>
            </w:r>
            <w:r w:rsidR="00F32CCA">
              <w:rPr>
                <w:rFonts w:ascii="Times New Roman" w:hAnsi="Times New Roman"/>
                <w:noProof/>
                <w:webHidden/>
                <w:sz w:val="24"/>
                <w:szCs w:val="24"/>
              </w:rPr>
              <w:t>2</w:t>
            </w:r>
            <w:r w:rsidRPr="00E53836">
              <w:rPr>
                <w:rFonts w:ascii="Times New Roman" w:hAnsi="Times New Roman"/>
                <w:noProof/>
                <w:webHidden/>
                <w:sz w:val="24"/>
                <w:szCs w:val="24"/>
              </w:rPr>
              <w:fldChar w:fldCharType="end"/>
            </w:r>
          </w:hyperlink>
        </w:p>
        <w:p w14:paraId="55D1ECCA" w14:textId="536A09A9" w:rsidR="00E53836" w:rsidRPr="00E53836" w:rsidRDefault="00E53836">
          <w:pPr>
            <w:pStyle w:val="TOC3"/>
            <w:tabs>
              <w:tab w:val="right" w:leader="dot" w:pos="8296"/>
            </w:tabs>
            <w:rPr>
              <w:rFonts w:ascii="Times New Roman" w:hAnsi="Times New Roman"/>
              <w:i w:val="0"/>
              <w:iCs w:val="0"/>
              <w:noProof/>
              <w:sz w:val="24"/>
              <w:szCs w:val="24"/>
              <w14:ligatures w14:val="standardContextual"/>
            </w:rPr>
          </w:pPr>
          <w:hyperlink w:anchor="_Toc216106982" w:history="1">
            <w:r w:rsidRPr="00E53836">
              <w:rPr>
                <w:rStyle w:val="aff3"/>
                <w:rFonts w:ascii="Times New Roman" w:hAnsi="Times New Roman"/>
                <w:i w:val="0"/>
                <w:iCs w:val="0"/>
                <w:noProof/>
                <w:sz w:val="24"/>
                <w:szCs w:val="24"/>
              </w:rPr>
              <w:t xml:space="preserve">1.2.1 </w:t>
            </w:r>
            <w:r w:rsidRPr="00E53836">
              <w:rPr>
                <w:rStyle w:val="aff3"/>
                <w:rFonts w:ascii="Times New Roman" w:hAnsi="Times New Roman"/>
                <w:i w:val="0"/>
                <w:iCs w:val="0"/>
                <w:noProof/>
                <w:sz w:val="24"/>
                <w:szCs w:val="24"/>
              </w:rPr>
              <w:t>评价目的</w:t>
            </w:r>
            <w:r w:rsidRPr="00E53836">
              <w:rPr>
                <w:rFonts w:ascii="Times New Roman" w:hAnsi="Times New Roman"/>
                <w:i w:val="0"/>
                <w:iCs w:val="0"/>
                <w:noProof/>
                <w:webHidden/>
                <w:sz w:val="24"/>
                <w:szCs w:val="24"/>
              </w:rPr>
              <w:tab/>
            </w:r>
            <w:r w:rsidRPr="00E53836">
              <w:rPr>
                <w:rFonts w:ascii="Times New Roman" w:hAnsi="Times New Roman"/>
                <w:i w:val="0"/>
                <w:iCs w:val="0"/>
                <w:noProof/>
                <w:webHidden/>
                <w:sz w:val="24"/>
                <w:szCs w:val="24"/>
              </w:rPr>
              <w:fldChar w:fldCharType="begin"/>
            </w:r>
            <w:r w:rsidRPr="00E53836">
              <w:rPr>
                <w:rFonts w:ascii="Times New Roman" w:hAnsi="Times New Roman"/>
                <w:i w:val="0"/>
                <w:iCs w:val="0"/>
                <w:noProof/>
                <w:webHidden/>
                <w:sz w:val="24"/>
                <w:szCs w:val="24"/>
              </w:rPr>
              <w:instrText xml:space="preserve"> PAGEREF _Toc216106982 \h </w:instrText>
            </w:r>
            <w:r w:rsidRPr="00E53836">
              <w:rPr>
                <w:rFonts w:ascii="Times New Roman" w:hAnsi="Times New Roman"/>
                <w:i w:val="0"/>
                <w:iCs w:val="0"/>
                <w:noProof/>
                <w:webHidden/>
                <w:sz w:val="24"/>
                <w:szCs w:val="24"/>
              </w:rPr>
            </w:r>
            <w:r w:rsidRPr="00E53836">
              <w:rPr>
                <w:rFonts w:ascii="Times New Roman" w:hAnsi="Times New Roman"/>
                <w:i w:val="0"/>
                <w:iCs w:val="0"/>
                <w:noProof/>
                <w:webHidden/>
                <w:sz w:val="24"/>
                <w:szCs w:val="24"/>
              </w:rPr>
              <w:fldChar w:fldCharType="separate"/>
            </w:r>
            <w:r w:rsidR="00F32CCA">
              <w:rPr>
                <w:rFonts w:ascii="Times New Roman" w:hAnsi="Times New Roman"/>
                <w:i w:val="0"/>
                <w:iCs w:val="0"/>
                <w:noProof/>
                <w:webHidden/>
                <w:sz w:val="24"/>
                <w:szCs w:val="24"/>
              </w:rPr>
              <w:t>2</w:t>
            </w:r>
            <w:r w:rsidRPr="00E53836">
              <w:rPr>
                <w:rFonts w:ascii="Times New Roman" w:hAnsi="Times New Roman"/>
                <w:i w:val="0"/>
                <w:iCs w:val="0"/>
                <w:noProof/>
                <w:webHidden/>
                <w:sz w:val="24"/>
                <w:szCs w:val="24"/>
              </w:rPr>
              <w:fldChar w:fldCharType="end"/>
            </w:r>
          </w:hyperlink>
        </w:p>
        <w:p w14:paraId="7175E868" w14:textId="21151322" w:rsidR="00E53836" w:rsidRPr="00E53836" w:rsidRDefault="00E53836">
          <w:pPr>
            <w:pStyle w:val="TOC3"/>
            <w:tabs>
              <w:tab w:val="right" w:leader="dot" w:pos="8296"/>
            </w:tabs>
            <w:rPr>
              <w:rFonts w:ascii="Times New Roman" w:hAnsi="Times New Roman"/>
              <w:i w:val="0"/>
              <w:iCs w:val="0"/>
              <w:noProof/>
              <w:sz w:val="24"/>
              <w:szCs w:val="24"/>
              <w14:ligatures w14:val="standardContextual"/>
            </w:rPr>
          </w:pPr>
          <w:hyperlink w:anchor="_Toc216106983" w:history="1">
            <w:r w:rsidRPr="00E53836">
              <w:rPr>
                <w:rStyle w:val="aff3"/>
                <w:rFonts w:ascii="Times New Roman" w:hAnsi="Times New Roman"/>
                <w:i w:val="0"/>
                <w:iCs w:val="0"/>
                <w:noProof/>
                <w:sz w:val="24"/>
                <w:szCs w:val="24"/>
              </w:rPr>
              <w:t xml:space="preserve">1.2.2 </w:t>
            </w:r>
            <w:r w:rsidRPr="00E53836">
              <w:rPr>
                <w:rStyle w:val="aff3"/>
                <w:rFonts w:ascii="Times New Roman" w:hAnsi="Times New Roman"/>
                <w:i w:val="0"/>
                <w:iCs w:val="0"/>
                <w:noProof/>
                <w:sz w:val="24"/>
                <w:szCs w:val="24"/>
              </w:rPr>
              <w:t>评价原则</w:t>
            </w:r>
            <w:r w:rsidRPr="00E53836">
              <w:rPr>
                <w:rFonts w:ascii="Times New Roman" w:hAnsi="Times New Roman"/>
                <w:i w:val="0"/>
                <w:iCs w:val="0"/>
                <w:noProof/>
                <w:webHidden/>
                <w:sz w:val="24"/>
                <w:szCs w:val="24"/>
              </w:rPr>
              <w:tab/>
            </w:r>
            <w:r w:rsidRPr="00E53836">
              <w:rPr>
                <w:rFonts w:ascii="Times New Roman" w:hAnsi="Times New Roman"/>
                <w:i w:val="0"/>
                <w:iCs w:val="0"/>
                <w:noProof/>
                <w:webHidden/>
                <w:sz w:val="24"/>
                <w:szCs w:val="24"/>
              </w:rPr>
              <w:fldChar w:fldCharType="begin"/>
            </w:r>
            <w:r w:rsidRPr="00E53836">
              <w:rPr>
                <w:rFonts w:ascii="Times New Roman" w:hAnsi="Times New Roman"/>
                <w:i w:val="0"/>
                <w:iCs w:val="0"/>
                <w:noProof/>
                <w:webHidden/>
                <w:sz w:val="24"/>
                <w:szCs w:val="24"/>
              </w:rPr>
              <w:instrText xml:space="preserve"> PAGEREF _Toc216106983 \h </w:instrText>
            </w:r>
            <w:r w:rsidRPr="00E53836">
              <w:rPr>
                <w:rFonts w:ascii="Times New Roman" w:hAnsi="Times New Roman"/>
                <w:i w:val="0"/>
                <w:iCs w:val="0"/>
                <w:noProof/>
                <w:webHidden/>
                <w:sz w:val="24"/>
                <w:szCs w:val="24"/>
              </w:rPr>
            </w:r>
            <w:r w:rsidRPr="00E53836">
              <w:rPr>
                <w:rFonts w:ascii="Times New Roman" w:hAnsi="Times New Roman"/>
                <w:i w:val="0"/>
                <w:iCs w:val="0"/>
                <w:noProof/>
                <w:webHidden/>
                <w:sz w:val="24"/>
                <w:szCs w:val="24"/>
              </w:rPr>
              <w:fldChar w:fldCharType="separate"/>
            </w:r>
            <w:r w:rsidR="00F32CCA">
              <w:rPr>
                <w:rFonts w:ascii="Times New Roman" w:hAnsi="Times New Roman"/>
                <w:i w:val="0"/>
                <w:iCs w:val="0"/>
                <w:noProof/>
                <w:webHidden/>
                <w:sz w:val="24"/>
                <w:szCs w:val="24"/>
              </w:rPr>
              <w:t>3</w:t>
            </w:r>
            <w:r w:rsidRPr="00E53836">
              <w:rPr>
                <w:rFonts w:ascii="Times New Roman" w:hAnsi="Times New Roman"/>
                <w:i w:val="0"/>
                <w:iCs w:val="0"/>
                <w:noProof/>
                <w:webHidden/>
                <w:sz w:val="24"/>
                <w:szCs w:val="24"/>
              </w:rPr>
              <w:fldChar w:fldCharType="end"/>
            </w:r>
          </w:hyperlink>
        </w:p>
        <w:p w14:paraId="5361D49E" w14:textId="4E82B0B5" w:rsidR="00E53836" w:rsidRPr="00E53836" w:rsidRDefault="00E53836">
          <w:pPr>
            <w:pStyle w:val="TOC2"/>
            <w:tabs>
              <w:tab w:val="right" w:leader="dot" w:pos="8296"/>
            </w:tabs>
            <w:rPr>
              <w:rFonts w:ascii="Times New Roman" w:hAnsi="Times New Roman"/>
              <w:smallCaps w:val="0"/>
              <w:noProof/>
              <w:sz w:val="24"/>
              <w:szCs w:val="24"/>
              <w14:ligatures w14:val="standardContextual"/>
            </w:rPr>
          </w:pPr>
          <w:hyperlink w:anchor="_Toc216106984" w:history="1">
            <w:r w:rsidRPr="00E53836">
              <w:rPr>
                <w:rStyle w:val="aff3"/>
                <w:rFonts w:ascii="Times New Roman" w:hAnsi="Times New Roman"/>
                <w:noProof/>
                <w:sz w:val="24"/>
                <w:szCs w:val="24"/>
              </w:rPr>
              <w:t xml:space="preserve">1.3 </w:t>
            </w:r>
            <w:r w:rsidRPr="00E53836">
              <w:rPr>
                <w:rStyle w:val="aff3"/>
                <w:rFonts w:ascii="Times New Roman" w:hAnsi="Times New Roman"/>
                <w:noProof/>
                <w:sz w:val="24"/>
                <w:szCs w:val="24"/>
              </w:rPr>
              <w:t>评价依据</w:t>
            </w:r>
            <w:r w:rsidRPr="00E53836">
              <w:rPr>
                <w:rFonts w:ascii="Times New Roman" w:hAnsi="Times New Roman"/>
                <w:noProof/>
                <w:webHidden/>
                <w:sz w:val="24"/>
                <w:szCs w:val="24"/>
              </w:rPr>
              <w:tab/>
            </w:r>
            <w:r w:rsidRPr="00E53836">
              <w:rPr>
                <w:rFonts w:ascii="Times New Roman" w:hAnsi="Times New Roman"/>
                <w:noProof/>
                <w:webHidden/>
                <w:sz w:val="24"/>
                <w:szCs w:val="24"/>
              </w:rPr>
              <w:fldChar w:fldCharType="begin"/>
            </w:r>
            <w:r w:rsidRPr="00E53836">
              <w:rPr>
                <w:rFonts w:ascii="Times New Roman" w:hAnsi="Times New Roman"/>
                <w:noProof/>
                <w:webHidden/>
                <w:sz w:val="24"/>
                <w:szCs w:val="24"/>
              </w:rPr>
              <w:instrText xml:space="preserve"> PAGEREF _Toc216106984 \h </w:instrText>
            </w:r>
            <w:r w:rsidRPr="00E53836">
              <w:rPr>
                <w:rFonts w:ascii="Times New Roman" w:hAnsi="Times New Roman"/>
                <w:noProof/>
                <w:webHidden/>
                <w:sz w:val="24"/>
                <w:szCs w:val="24"/>
              </w:rPr>
            </w:r>
            <w:r w:rsidRPr="00E53836">
              <w:rPr>
                <w:rFonts w:ascii="Times New Roman" w:hAnsi="Times New Roman"/>
                <w:noProof/>
                <w:webHidden/>
                <w:sz w:val="24"/>
                <w:szCs w:val="24"/>
              </w:rPr>
              <w:fldChar w:fldCharType="separate"/>
            </w:r>
            <w:r w:rsidR="00F32CCA">
              <w:rPr>
                <w:rFonts w:ascii="Times New Roman" w:hAnsi="Times New Roman"/>
                <w:noProof/>
                <w:webHidden/>
                <w:sz w:val="24"/>
                <w:szCs w:val="24"/>
              </w:rPr>
              <w:t>4</w:t>
            </w:r>
            <w:r w:rsidRPr="00E53836">
              <w:rPr>
                <w:rFonts w:ascii="Times New Roman" w:hAnsi="Times New Roman"/>
                <w:noProof/>
                <w:webHidden/>
                <w:sz w:val="24"/>
                <w:szCs w:val="24"/>
              </w:rPr>
              <w:fldChar w:fldCharType="end"/>
            </w:r>
          </w:hyperlink>
        </w:p>
        <w:p w14:paraId="6B268E88" w14:textId="58F194F7" w:rsidR="00E53836" w:rsidRPr="00E53836" w:rsidRDefault="00E53836">
          <w:pPr>
            <w:pStyle w:val="TOC3"/>
            <w:tabs>
              <w:tab w:val="right" w:leader="dot" w:pos="8296"/>
            </w:tabs>
            <w:rPr>
              <w:rFonts w:ascii="Times New Roman" w:hAnsi="Times New Roman"/>
              <w:i w:val="0"/>
              <w:iCs w:val="0"/>
              <w:noProof/>
              <w:sz w:val="24"/>
              <w:szCs w:val="24"/>
              <w14:ligatures w14:val="standardContextual"/>
            </w:rPr>
          </w:pPr>
          <w:hyperlink w:anchor="_Toc216106985" w:history="1">
            <w:r w:rsidRPr="00E53836">
              <w:rPr>
                <w:rStyle w:val="aff3"/>
                <w:rFonts w:ascii="Times New Roman" w:hAnsi="Times New Roman"/>
                <w:i w:val="0"/>
                <w:iCs w:val="0"/>
                <w:noProof/>
                <w:sz w:val="24"/>
                <w:szCs w:val="24"/>
              </w:rPr>
              <w:t xml:space="preserve">1.3.1 </w:t>
            </w:r>
            <w:r w:rsidRPr="00E53836">
              <w:rPr>
                <w:rStyle w:val="aff3"/>
                <w:rFonts w:ascii="Times New Roman" w:hAnsi="Times New Roman"/>
                <w:i w:val="0"/>
                <w:iCs w:val="0"/>
                <w:noProof/>
                <w:sz w:val="24"/>
                <w:szCs w:val="24"/>
              </w:rPr>
              <w:t>中共中央、国务院相关政策</w:t>
            </w:r>
            <w:r w:rsidRPr="00E53836">
              <w:rPr>
                <w:rFonts w:ascii="Times New Roman" w:hAnsi="Times New Roman"/>
                <w:i w:val="0"/>
                <w:iCs w:val="0"/>
                <w:noProof/>
                <w:webHidden/>
                <w:sz w:val="24"/>
                <w:szCs w:val="24"/>
              </w:rPr>
              <w:tab/>
            </w:r>
            <w:r w:rsidRPr="00E53836">
              <w:rPr>
                <w:rFonts w:ascii="Times New Roman" w:hAnsi="Times New Roman"/>
                <w:i w:val="0"/>
                <w:iCs w:val="0"/>
                <w:noProof/>
                <w:webHidden/>
                <w:sz w:val="24"/>
                <w:szCs w:val="24"/>
              </w:rPr>
              <w:fldChar w:fldCharType="begin"/>
            </w:r>
            <w:r w:rsidRPr="00E53836">
              <w:rPr>
                <w:rFonts w:ascii="Times New Roman" w:hAnsi="Times New Roman"/>
                <w:i w:val="0"/>
                <w:iCs w:val="0"/>
                <w:noProof/>
                <w:webHidden/>
                <w:sz w:val="24"/>
                <w:szCs w:val="24"/>
              </w:rPr>
              <w:instrText xml:space="preserve"> PAGEREF _Toc216106985 \h </w:instrText>
            </w:r>
            <w:r w:rsidRPr="00E53836">
              <w:rPr>
                <w:rFonts w:ascii="Times New Roman" w:hAnsi="Times New Roman"/>
                <w:i w:val="0"/>
                <w:iCs w:val="0"/>
                <w:noProof/>
                <w:webHidden/>
                <w:sz w:val="24"/>
                <w:szCs w:val="24"/>
              </w:rPr>
            </w:r>
            <w:r w:rsidRPr="00E53836">
              <w:rPr>
                <w:rFonts w:ascii="Times New Roman" w:hAnsi="Times New Roman"/>
                <w:i w:val="0"/>
                <w:iCs w:val="0"/>
                <w:noProof/>
                <w:webHidden/>
                <w:sz w:val="24"/>
                <w:szCs w:val="24"/>
              </w:rPr>
              <w:fldChar w:fldCharType="separate"/>
            </w:r>
            <w:r w:rsidR="00F32CCA">
              <w:rPr>
                <w:rFonts w:ascii="Times New Roman" w:hAnsi="Times New Roman"/>
                <w:i w:val="0"/>
                <w:iCs w:val="0"/>
                <w:noProof/>
                <w:webHidden/>
                <w:sz w:val="24"/>
                <w:szCs w:val="24"/>
              </w:rPr>
              <w:t>4</w:t>
            </w:r>
            <w:r w:rsidRPr="00E53836">
              <w:rPr>
                <w:rFonts w:ascii="Times New Roman" w:hAnsi="Times New Roman"/>
                <w:i w:val="0"/>
                <w:iCs w:val="0"/>
                <w:noProof/>
                <w:webHidden/>
                <w:sz w:val="24"/>
                <w:szCs w:val="24"/>
              </w:rPr>
              <w:fldChar w:fldCharType="end"/>
            </w:r>
          </w:hyperlink>
        </w:p>
        <w:p w14:paraId="4136EF24" w14:textId="024F2990" w:rsidR="00E53836" w:rsidRPr="00E53836" w:rsidRDefault="00E53836">
          <w:pPr>
            <w:pStyle w:val="TOC3"/>
            <w:tabs>
              <w:tab w:val="right" w:leader="dot" w:pos="8296"/>
            </w:tabs>
            <w:rPr>
              <w:rFonts w:ascii="Times New Roman" w:hAnsi="Times New Roman"/>
              <w:i w:val="0"/>
              <w:iCs w:val="0"/>
              <w:noProof/>
              <w:sz w:val="24"/>
              <w:szCs w:val="24"/>
              <w14:ligatures w14:val="standardContextual"/>
            </w:rPr>
          </w:pPr>
          <w:hyperlink w:anchor="_Toc216106986" w:history="1">
            <w:r w:rsidRPr="00E53836">
              <w:rPr>
                <w:rStyle w:val="aff3"/>
                <w:rFonts w:ascii="Times New Roman" w:hAnsi="Times New Roman"/>
                <w:i w:val="0"/>
                <w:iCs w:val="0"/>
                <w:noProof/>
                <w:sz w:val="24"/>
                <w:szCs w:val="24"/>
              </w:rPr>
              <w:t xml:space="preserve">1.3.2 </w:t>
            </w:r>
            <w:r w:rsidRPr="00E53836">
              <w:rPr>
                <w:rStyle w:val="aff3"/>
                <w:rFonts w:ascii="Times New Roman" w:hAnsi="Times New Roman"/>
                <w:i w:val="0"/>
                <w:iCs w:val="0"/>
                <w:noProof/>
                <w:sz w:val="24"/>
                <w:szCs w:val="24"/>
              </w:rPr>
              <w:t>法律法规及规章</w:t>
            </w:r>
            <w:r w:rsidRPr="00E53836">
              <w:rPr>
                <w:rFonts w:ascii="Times New Roman" w:hAnsi="Times New Roman"/>
                <w:i w:val="0"/>
                <w:iCs w:val="0"/>
                <w:noProof/>
                <w:webHidden/>
                <w:sz w:val="24"/>
                <w:szCs w:val="24"/>
              </w:rPr>
              <w:tab/>
            </w:r>
            <w:r w:rsidRPr="00E53836">
              <w:rPr>
                <w:rFonts w:ascii="Times New Roman" w:hAnsi="Times New Roman"/>
                <w:i w:val="0"/>
                <w:iCs w:val="0"/>
                <w:noProof/>
                <w:webHidden/>
                <w:sz w:val="24"/>
                <w:szCs w:val="24"/>
              </w:rPr>
              <w:fldChar w:fldCharType="begin"/>
            </w:r>
            <w:r w:rsidRPr="00E53836">
              <w:rPr>
                <w:rFonts w:ascii="Times New Roman" w:hAnsi="Times New Roman"/>
                <w:i w:val="0"/>
                <w:iCs w:val="0"/>
                <w:noProof/>
                <w:webHidden/>
                <w:sz w:val="24"/>
                <w:szCs w:val="24"/>
              </w:rPr>
              <w:instrText xml:space="preserve"> PAGEREF _Toc216106986 \h </w:instrText>
            </w:r>
            <w:r w:rsidRPr="00E53836">
              <w:rPr>
                <w:rFonts w:ascii="Times New Roman" w:hAnsi="Times New Roman"/>
                <w:i w:val="0"/>
                <w:iCs w:val="0"/>
                <w:noProof/>
                <w:webHidden/>
                <w:sz w:val="24"/>
                <w:szCs w:val="24"/>
              </w:rPr>
            </w:r>
            <w:r w:rsidRPr="00E53836">
              <w:rPr>
                <w:rFonts w:ascii="Times New Roman" w:hAnsi="Times New Roman"/>
                <w:i w:val="0"/>
                <w:iCs w:val="0"/>
                <w:noProof/>
                <w:webHidden/>
                <w:sz w:val="24"/>
                <w:szCs w:val="24"/>
              </w:rPr>
              <w:fldChar w:fldCharType="separate"/>
            </w:r>
            <w:r w:rsidR="00F32CCA">
              <w:rPr>
                <w:rFonts w:ascii="Times New Roman" w:hAnsi="Times New Roman"/>
                <w:i w:val="0"/>
                <w:iCs w:val="0"/>
                <w:noProof/>
                <w:webHidden/>
                <w:sz w:val="24"/>
                <w:szCs w:val="24"/>
              </w:rPr>
              <w:t>5</w:t>
            </w:r>
            <w:r w:rsidRPr="00E53836">
              <w:rPr>
                <w:rFonts w:ascii="Times New Roman" w:hAnsi="Times New Roman"/>
                <w:i w:val="0"/>
                <w:iCs w:val="0"/>
                <w:noProof/>
                <w:webHidden/>
                <w:sz w:val="24"/>
                <w:szCs w:val="24"/>
              </w:rPr>
              <w:fldChar w:fldCharType="end"/>
            </w:r>
          </w:hyperlink>
        </w:p>
        <w:p w14:paraId="73811C1B" w14:textId="674CDF45" w:rsidR="00E53836" w:rsidRPr="00E53836" w:rsidRDefault="00E53836">
          <w:pPr>
            <w:pStyle w:val="TOC3"/>
            <w:tabs>
              <w:tab w:val="right" w:leader="dot" w:pos="8296"/>
            </w:tabs>
            <w:rPr>
              <w:rFonts w:ascii="Times New Roman" w:hAnsi="Times New Roman"/>
              <w:i w:val="0"/>
              <w:iCs w:val="0"/>
              <w:noProof/>
              <w:sz w:val="24"/>
              <w:szCs w:val="24"/>
              <w14:ligatures w14:val="standardContextual"/>
            </w:rPr>
          </w:pPr>
          <w:hyperlink w:anchor="_Toc216106987" w:history="1">
            <w:r w:rsidRPr="00E53836">
              <w:rPr>
                <w:rStyle w:val="aff3"/>
                <w:rFonts w:ascii="Times New Roman" w:hAnsi="Times New Roman"/>
                <w:i w:val="0"/>
                <w:iCs w:val="0"/>
                <w:noProof/>
                <w:sz w:val="24"/>
                <w:szCs w:val="24"/>
              </w:rPr>
              <w:t xml:space="preserve">1.3.3 </w:t>
            </w:r>
            <w:r w:rsidRPr="00E53836">
              <w:rPr>
                <w:rStyle w:val="aff3"/>
                <w:rFonts w:ascii="Times New Roman" w:hAnsi="Times New Roman"/>
                <w:i w:val="0"/>
                <w:iCs w:val="0"/>
                <w:noProof/>
                <w:sz w:val="24"/>
                <w:szCs w:val="24"/>
              </w:rPr>
              <w:t>技术规范与标准</w:t>
            </w:r>
            <w:r w:rsidRPr="00E53836">
              <w:rPr>
                <w:rFonts w:ascii="Times New Roman" w:hAnsi="Times New Roman"/>
                <w:i w:val="0"/>
                <w:iCs w:val="0"/>
                <w:noProof/>
                <w:webHidden/>
                <w:sz w:val="24"/>
                <w:szCs w:val="24"/>
              </w:rPr>
              <w:tab/>
            </w:r>
            <w:r w:rsidRPr="00E53836">
              <w:rPr>
                <w:rFonts w:ascii="Times New Roman" w:hAnsi="Times New Roman"/>
                <w:i w:val="0"/>
                <w:iCs w:val="0"/>
                <w:noProof/>
                <w:webHidden/>
                <w:sz w:val="24"/>
                <w:szCs w:val="24"/>
              </w:rPr>
              <w:fldChar w:fldCharType="begin"/>
            </w:r>
            <w:r w:rsidRPr="00E53836">
              <w:rPr>
                <w:rFonts w:ascii="Times New Roman" w:hAnsi="Times New Roman"/>
                <w:i w:val="0"/>
                <w:iCs w:val="0"/>
                <w:noProof/>
                <w:webHidden/>
                <w:sz w:val="24"/>
                <w:szCs w:val="24"/>
              </w:rPr>
              <w:instrText xml:space="preserve"> PAGEREF _Toc216106987 \h </w:instrText>
            </w:r>
            <w:r w:rsidRPr="00E53836">
              <w:rPr>
                <w:rFonts w:ascii="Times New Roman" w:hAnsi="Times New Roman"/>
                <w:i w:val="0"/>
                <w:iCs w:val="0"/>
                <w:noProof/>
                <w:webHidden/>
                <w:sz w:val="24"/>
                <w:szCs w:val="24"/>
              </w:rPr>
            </w:r>
            <w:r w:rsidRPr="00E53836">
              <w:rPr>
                <w:rFonts w:ascii="Times New Roman" w:hAnsi="Times New Roman"/>
                <w:i w:val="0"/>
                <w:iCs w:val="0"/>
                <w:noProof/>
                <w:webHidden/>
                <w:sz w:val="24"/>
                <w:szCs w:val="24"/>
              </w:rPr>
              <w:fldChar w:fldCharType="separate"/>
            </w:r>
            <w:r w:rsidR="00F32CCA">
              <w:rPr>
                <w:rFonts w:ascii="Times New Roman" w:hAnsi="Times New Roman"/>
                <w:i w:val="0"/>
                <w:iCs w:val="0"/>
                <w:noProof/>
                <w:webHidden/>
                <w:sz w:val="24"/>
                <w:szCs w:val="24"/>
              </w:rPr>
              <w:t>6</w:t>
            </w:r>
            <w:r w:rsidRPr="00E53836">
              <w:rPr>
                <w:rFonts w:ascii="Times New Roman" w:hAnsi="Times New Roman"/>
                <w:i w:val="0"/>
                <w:iCs w:val="0"/>
                <w:noProof/>
                <w:webHidden/>
                <w:sz w:val="24"/>
                <w:szCs w:val="24"/>
              </w:rPr>
              <w:fldChar w:fldCharType="end"/>
            </w:r>
          </w:hyperlink>
        </w:p>
        <w:p w14:paraId="3B202475" w14:textId="219A52DE" w:rsidR="00E53836" w:rsidRPr="00E53836" w:rsidRDefault="00E53836">
          <w:pPr>
            <w:pStyle w:val="TOC3"/>
            <w:tabs>
              <w:tab w:val="right" w:leader="dot" w:pos="8296"/>
            </w:tabs>
            <w:rPr>
              <w:rFonts w:ascii="Times New Roman" w:hAnsi="Times New Roman"/>
              <w:i w:val="0"/>
              <w:iCs w:val="0"/>
              <w:noProof/>
              <w:sz w:val="24"/>
              <w:szCs w:val="24"/>
              <w14:ligatures w14:val="standardContextual"/>
            </w:rPr>
          </w:pPr>
          <w:hyperlink w:anchor="_Toc216106988" w:history="1">
            <w:r w:rsidRPr="00E53836">
              <w:rPr>
                <w:rStyle w:val="aff3"/>
                <w:rFonts w:ascii="Times New Roman" w:hAnsi="Times New Roman"/>
                <w:i w:val="0"/>
                <w:iCs w:val="0"/>
                <w:noProof/>
                <w:sz w:val="24"/>
                <w:szCs w:val="24"/>
              </w:rPr>
              <w:t xml:space="preserve">1.3.4 </w:t>
            </w:r>
            <w:r w:rsidRPr="00E53836">
              <w:rPr>
                <w:rStyle w:val="aff3"/>
                <w:rFonts w:ascii="Times New Roman" w:hAnsi="Times New Roman"/>
                <w:i w:val="0"/>
                <w:iCs w:val="0"/>
                <w:noProof/>
                <w:sz w:val="24"/>
                <w:szCs w:val="24"/>
              </w:rPr>
              <w:t>相关规划、区划</w:t>
            </w:r>
            <w:r w:rsidRPr="00E53836">
              <w:rPr>
                <w:rFonts w:ascii="Times New Roman" w:hAnsi="Times New Roman"/>
                <w:i w:val="0"/>
                <w:iCs w:val="0"/>
                <w:noProof/>
                <w:webHidden/>
                <w:sz w:val="24"/>
                <w:szCs w:val="24"/>
              </w:rPr>
              <w:tab/>
            </w:r>
            <w:r w:rsidRPr="00E53836">
              <w:rPr>
                <w:rFonts w:ascii="Times New Roman" w:hAnsi="Times New Roman"/>
                <w:i w:val="0"/>
                <w:iCs w:val="0"/>
                <w:noProof/>
                <w:webHidden/>
                <w:sz w:val="24"/>
                <w:szCs w:val="24"/>
              </w:rPr>
              <w:fldChar w:fldCharType="begin"/>
            </w:r>
            <w:r w:rsidRPr="00E53836">
              <w:rPr>
                <w:rFonts w:ascii="Times New Roman" w:hAnsi="Times New Roman"/>
                <w:i w:val="0"/>
                <w:iCs w:val="0"/>
                <w:noProof/>
                <w:webHidden/>
                <w:sz w:val="24"/>
                <w:szCs w:val="24"/>
              </w:rPr>
              <w:instrText xml:space="preserve"> PAGEREF _Toc216106988 \h </w:instrText>
            </w:r>
            <w:r w:rsidRPr="00E53836">
              <w:rPr>
                <w:rFonts w:ascii="Times New Roman" w:hAnsi="Times New Roman"/>
                <w:i w:val="0"/>
                <w:iCs w:val="0"/>
                <w:noProof/>
                <w:webHidden/>
                <w:sz w:val="24"/>
                <w:szCs w:val="24"/>
              </w:rPr>
            </w:r>
            <w:r w:rsidRPr="00E53836">
              <w:rPr>
                <w:rFonts w:ascii="Times New Roman" w:hAnsi="Times New Roman"/>
                <w:i w:val="0"/>
                <w:iCs w:val="0"/>
                <w:noProof/>
                <w:webHidden/>
                <w:sz w:val="24"/>
                <w:szCs w:val="24"/>
              </w:rPr>
              <w:fldChar w:fldCharType="separate"/>
            </w:r>
            <w:r w:rsidR="00F32CCA">
              <w:rPr>
                <w:rFonts w:ascii="Times New Roman" w:hAnsi="Times New Roman"/>
                <w:i w:val="0"/>
                <w:iCs w:val="0"/>
                <w:noProof/>
                <w:webHidden/>
                <w:sz w:val="24"/>
                <w:szCs w:val="24"/>
              </w:rPr>
              <w:t>7</w:t>
            </w:r>
            <w:r w:rsidRPr="00E53836">
              <w:rPr>
                <w:rFonts w:ascii="Times New Roman" w:hAnsi="Times New Roman"/>
                <w:i w:val="0"/>
                <w:iCs w:val="0"/>
                <w:noProof/>
                <w:webHidden/>
                <w:sz w:val="24"/>
                <w:szCs w:val="24"/>
              </w:rPr>
              <w:fldChar w:fldCharType="end"/>
            </w:r>
          </w:hyperlink>
        </w:p>
        <w:p w14:paraId="5B235EAA" w14:textId="4FC9EEF2" w:rsidR="00E53836" w:rsidRPr="00E53836" w:rsidRDefault="00E53836">
          <w:pPr>
            <w:pStyle w:val="TOC2"/>
            <w:tabs>
              <w:tab w:val="right" w:leader="dot" w:pos="8296"/>
            </w:tabs>
            <w:rPr>
              <w:rFonts w:ascii="Times New Roman" w:hAnsi="Times New Roman"/>
              <w:smallCaps w:val="0"/>
              <w:noProof/>
              <w:sz w:val="24"/>
              <w:szCs w:val="24"/>
              <w14:ligatures w14:val="standardContextual"/>
            </w:rPr>
          </w:pPr>
          <w:hyperlink w:anchor="_Toc216106989" w:history="1">
            <w:r w:rsidRPr="00E53836">
              <w:rPr>
                <w:rStyle w:val="aff3"/>
                <w:rFonts w:ascii="Times New Roman" w:hAnsi="Times New Roman"/>
                <w:noProof/>
                <w:sz w:val="24"/>
                <w:szCs w:val="24"/>
                <w:lang w:bidi="en-US"/>
              </w:rPr>
              <w:t xml:space="preserve">1.4 </w:t>
            </w:r>
            <w:r w:rsidRPr="00E53836">
              <w:rPr>
                <w:rStyle w:val="aff3"/>
                <w:rFonts w:ascii="Times New Roman" w:hAnsi="Times New Roman"/>
                <w:noProof/>
                <w:sz w:val="24"/>
                <w:szCs w:val="24"/>
                <w:lang w:bidi="en-US"/>
              </w:rPr>
              <w:t>评价范围与评价时段</w:t>
            </w:r>
            <w:r w:rsidRPr="00E53836">
              <w:rPr>
                <w:rFonts w:ascii="Times New Roman" w:hAnsi="Times New Roman"/>
                <w:noProof/>
                <w:webHidden/>
                <w:sz w:val="24"/>
                <w:szCs w:val="24"/>
              </w:rPr>
              <w:tab/>
            </w:r>
            <w:r w:rsidRPr="00E53836">
              <w:rPr>
                <w:rFonts w:ascii="Times New Roman" w:hAnsi="Times New Roman"/>
                <w:noProof/>
                <w:webHidden/>
                <w:sz w:val="24"/>
                <w:szCs w:val="24"/>
              </w:rPr>
              <w:fldChar w:fldCharType="begin"/>
            </w:r>
            <w:r w:rsidRPr="00E53836">
              <w:rPr>
                <w:rFonts w:ascii="Times New Roman" w:hAnsi="Times New Roman"/>
                <w:noProof/>
                <w:webHidden/>
                <w:sz w:val="24"/>
                <w:szCs w:val="24"/>
              </w:rPr>
              <w:instrText xml:space="preserve"> PAGEREF _Toc216106989 \h </w:instrText>
            </w:r>
            <w:r w:rsidRPr="00E53836">
              <w:rPr>
                <w:rFonts w:ascii="Times New Roman" w:hAnsi="Times New Roman"/>
                <w:noProof/>
                <w:webHidden/>
                <w:sz w:val="24"/>
                <w:szCs w:val="24"/>
              </w:rPr>
            </w:r>
            <w:r w:rsidRPr="00E53836">
              <w:rPr>
                <w:rFonts w:ascii="Times New Roman" w:hAnsi="Times New Roman"/>
                <w:noProof/>
                <w:webHidden/>
                <w:sz w:val="24"/>
                <w:szCs w:val="24"/>
              </w:rPr>
              <w:fldChar w:fldCharType="separate"/>
            </w:r>
            <w:r w:rsidR="00F32CCA">
              <w:rPr>
                <w:rFonts w:ascii="Times New Roman" w:hAnsi="Times New Roman"/>
                <w:noProof/>
                <w:webHidden/>
                <w:sz w:val="24"/>
                <w:szCs w:val="24"/>
              </w:rPr>
              <w:t>8</w:t>
            </w:r>
            <w:r w:rsidRPr="00E53836">
              <w:rPr>
                <w:rFonts w:ascii="Times New Roman" w:hAnsi="Times New Roman"/>
                <w:noProof/>
                <w:webHidden/>
                <w:sz w:val="24"/>
                <w:szCs w:val="24"/>
              </w:rPr>
              <w:fldChar w:fldCharType="end"/>
            </w:r>
          </w:hyperlink>
        </w:p>
        <w:p w14:paraId="76F38881" w14:textId="1548C57E" w:rsidR="00E53836" w:rsidRPr="00E53836" w:rsidRDefault="00E53836">
          <w:pPr>
            <w:pStyle w:val="TOC3"/>
            <w:tabs>
              <w:tab w:val="right" w:leader="dot" w:pos="8296"/>
            </w:tabs>
            <w:rPr>
              <w:rFonts w:ascii="Times New Roman" w:hAnsi="Times New Roman"/>
              <w:i w:val="0"/>
              <w:iCs w:val="0"/>
              <w:noProof/>
              <w:sz w:val="24"/>
              <w:szCs w:val="24"/>
              <w14:ligatures w14:val="standardContextual"/>
            </w:rPr>
          </w:pPr>
          <w:hyperlink w:anchor="_Toc216106990" w:history="1">
            <w:r w:rsidRPr="00E53836">
              <w:rPr>
                <w:rStyle w:val="aff3"/>
                <w:rFonts w:ascii="Times New Roman" w:hAnsi="Times New Roman"/>
                <w:i w:val="0"/>
                <w:iCs w:val="0"/>
                <w:noProof/>
                <w:sz w:val="24"/>
                <w:szCs w:val="24"/>
              </w:rPr>
              <w:t xml:space="preserve">1.4.1 </w:t>
            </w:r>
            <w:r w:rsidRPr="00E53836">
              <w:rPr>
                <w:rStyle w:val="aff3"/>
                <w:rFonts w:ascii="Times New Roman" w:hAnsi="Times New Roman"/>
                <w:i w:val="0"/>
                <w:iCs w:val="0"/>
                <w:noProof/>
                <w:sz w:val="24"/>
                <w:szCs w:val="24"/>
              </w:rPr>
              <w:t>评价范围</w:t>
            </w:r>
            <w:r w:rsidRPr="00E53836">
              <w:rPr>
                <w:rFonts w:ascii="Times New Roman" w:hAnsi="Times New Roman"/>
                <w:i w:val="0"/>
                <w:iCs w:val="0"/>
                <w:noProof/>
                <w:webHidden/>
                <w:sz w:val="24"/>
                <w:szCs w:val="24"/>
              </w:rPr>
              <w:tab/>
            </w:r>
            <w:r w:rsidRPr="00E53836">
              <w:rPr>
                <w:rFonts w:ascii="Times New Roman" w:hAnsi="Times New Roman"/>
                <w:i w:val="0"/>
                <w:iCs w:val="0"/>
                <w:noProof/>
                <w:webHidden/>
                <w:sz w:val="24"/>
                <w:szCs w:val="24"/>
              </w:rPr>
              <w:fldChar w:fldCharType="begin"/>
            </w:r>
            <w:r w:rsidRPr="00E53836">
              <w:rPr>
                <w:rFonts w:ascii="Times New Roman" w:hAnsi="Times New Roman"/>
                <w:i w:val="0"/>
                <w:iCs w:val="0"/>
                <w:noProof/>
                <w:webHidden/>
                <w:sz w:val="24"/>
                <w:szCs w:val="24"/>
              </w:rPr>
              <w:instrText xml:space="preserve"> PAGEREF _Toc216106990 \h </w:instrText>
            </w:r>
            <w:r w:rsidRPr="00E53836">
              <w:rPr>
                <w:rFonts w:ascii="Times New Roman" w:hAnsi="Times New Roman"/>
                <w:i w:val="0"/>
                <w:iCs w:val="0"/>
                <w:noProof/>
                <w:webHidden/>
                <w:sz w:val="24"/>
                <w:szCs w:val="24"/>
              </w:rPr>
            </w:r>
            <w:r w:rsidRPr="00E53836">
              <w:rPr>
                <w:rFonts w:ascii="Times New Roman" w:hAnsi="Times New Roman"/>
                <w:i w:val="0"/>
                <w:iCs w:val="0"/>
                <w:noProof/>
                <w:webHidden/>
                <w:sz w:val="24"/>
                <w:szCs w:val="24"/>
              </w:rPr>
              <w:fldChar w:fldCharType="separate"/>
            </w:r>
            <w:r w:rsidR="00F32CCA">
              <w:rPr>
                <w:rFonts w:ascii="Times New Roman" w:hAnsi="Times New Roman"/>
                <w:i w:val="0"/>
                <w:iCs w:val="0"/>
                <w:noProof/>
                <w:webHidden/>
                <w:sz w:val="24"/>
                <w:szCs w:val="24"/>
              </w:rPr>
              <w:t>8</w:t>
            </w:r>
            <w:r w:rsidRPr="00E53836">
              <w:rPr>
                <w:rFonts w:ascii="Times New Roman" w:hAnsi="Times New Roman"/>
                <w:i w:val="0"/>
                <w:iCs w:val="0"/>
                <w:noProof/>
                <w:webHidden/>
                <w:sz w:val="24"/>
                <w:szCs w:val="24"/>
              </w:rPr>
              <w:fldChar w:fldCharType="end"/>
            </w:r>
          </w:hyperlink>
        </w:p>
        <w:p w14:paraId="77C8BA84" w14:textId="1035B771" w:rsidR="00E53836" w:rsidRPr="00E53836" w:rsidRDefault="00E53836">
          <w:pPr>
            <w:pStyle w:val="TOC3"/>
            <w:tabs>
              <w:tab w:val="right" w:leader="dot" w:pos="8296"/>
            </w:tabs>
            <w:rPr>
              <w:rFonts w:ascii="Times New Roman" w:hAnsi="Times New Roman"/>
              <w:i w:val="0"/>
              <w:iCs w:val="0"/>
              <w:noProof/>
              <w:sz w:val="24"/>
              <w:szCs w:val="24"/>
              <w14:ligatures w14:val="standardContextual"/>
            </w:rPr>
          </w:pPr>
          <w:hyperlink w:anchor="_Toc216106991" w:history="1">
            <w:r w:rsidRPr="00E53836">
              <w:rPr>
                <w:rStyle w:val="aff3"/>
                <w:rFonts w:ascii="Times New Roman" w:hAnsi="Times New Roman"/>
                <w:i w:val="0"/>
                <w:iCs w:val="0"/>
                <w:noProof/>
                <w:sz w:val="24"/>
                <w:szCs w:val="24"/>
              </w:rPr>
              <w:t xml:space="preserve">1.4.2 </w:t>
            </w:r>
            <w:r w:rsidRPr="00E53836">
              <w:rPr>
                <w:rStyle w:val="aff3"/>
                <w:rFonts w:ascii="Times New Roman" w:hAnsi="Times New Roman"/>
                <w:i w:val="0"/>
                <w:iCs w:val="0"/>
                <w:noProof/>
                <w:sz w:val="24"/>
                <w:szCs w:val="24"/>
              </w:rPr>
              <w:t>评价时段</w:t>
            </w:r>
            <w:r w:rsidRPr="00E53836">
              <w:rPr>
                <w:rFonts w:ascii="Times New Roman" w:hAnsi="Times New Roman"/>
                <w:i w:val="0"/>
                <w:iCs w:val="0"/>
                <w:noProof/>
                <w:webHidden/>
                <w:sz w:val="24"/>
                <w:szCs w:val="24"/>
              </w:rPr>
              <w:tab/>
            </w:r>
            <w:r w:rsidRPr="00E53836">
              <w:rPr>
                <w:rFonts w:ascii="Times New Roman" w:hAnsi="Times New Roman"/>
                <w:i w:val="0"/>
                <w:iCs w:val="0"/>
                <w:noProof/>
                <w:webHidden/>
                <w:sz w:val="24"/>
                <w:szCs w:val="24"/>
              </w:rPr>
              <w:fldChar w:fldCharType="begin"/>
            </w:r>
            <w:r w:rsidRPr="00E53836">
              <w:rPr>
                <w:rFonts w:ascii="Times New Roman" w:hAnsi="Times New Roman"/>
                <w:i w:val="0"/>
                <w:iCs w:val="0"/>
                <w:noProof/>
                <w:webHidden/>
                <w:sz w:val="24"/>
                <w:szCs w:val="24"/>
              </w:rPr>
              <w:instrText xml:space="preserve"> PAGEREF _Toc216106991 \h </w:instrText>
            </w:r>
            <w:r w:rsidRPr="00E53836">
              <w:rPr>
                <w:rFonts w:ascii="Times New Roman" w:hAnsi="Times New Roman"/>
                <w:i w:val="0"/>
                <w:iCs w:val="0"/>
                <w:noProof/>
                <w:webHidden/>
                <w:sz w:val="24"/>
                <w:szCs w:val="24"/>
              </w:rPr>
            </w:r>
            <w:r w:rsidRPr="00E53836">
              <w:rPr>
                <w:rFonts w:ascii="Times New Roman" w:hAnsi="Times New Roman"/>
                <w:i w:val="0"/>
                <w:iCs w:val="0"/>
                <w:noProof/>
                <w:webHidden/>
                <w:sz w:val="24"/>
                <w:szCs w:val="24"/>
              </w:rPr>
              <w:fldChar w:fldCharType="separate"/>
            </w:r>
            <w:r w:rsidR="00F32CCA">
              <w:rPr>
                <w:rFonts w:ascii="Times New Roman" w:hAnsi="Times New Roman"/>
                <w:i w:val="0"/>
                <w:iCs w:val="0"/>
                <w:noProof/>
                <w:webHidden/>
                <w:sz w:val="24"/>
                <w:szCs w:val="24"/>
              </w:rPr>
              <w:t>9</w:t>
            </w:r>
            <w:r w:rsidRPr="00E53836">
              <w:rPr>
                <w:rFonts w:ascii="Times New Roman" w:hAnsi="Times New Roman"/>
                <w:i w:val="0"/>
                <w:iCs w:val="0"/>
                <w:noProof/>
                <w:webHidden/>
                <w:sz w:val="24"/>
                <w:szCs w:val="24"/>
              </w:rPr>
              <w:fldChar w:fldCharType="end"/>
            </w:r>
          </w:hyperlink>
        </w:p>
        <w:p w14:paraId="6AA84B51" w14:textId="489FBA0A" w:rsidR="00E53836" w:rsidRPr="00E53836" w:rsidRDefault="00E53836">
          <w:pPr>
            <w:pStyle w:val="TOC2"/>
            <w:tabs>
              <w:tab w:val="right" w:leader="dot" w:pos="8296"/>
            </w:tabs>
            <w:rPr>
              <w:rFonts w:ascii="Times New Roman" w:hAnsi="Times New Roman"/>
              <w:smallCaps w:val="0"/>
              <w:noProof/>
              <w:sz w:val="24"/>
              <w:szCs w:val="24"/>
              <w14:ligatures w14:val="standardContextual"/>
            </w:rPr>
          </w:pPr>
          <w:hyperlink w:anchor="_Toc216106992" w:history="1">
            <w:r w:rsidRPr="00E53836">
              <w:rPr>
                <w:rStyle w:val="aff3"/>
                <w:rFonts w:ascii="Times New Roman" w:hAnsi="Times New Roman"/>
                <w:noProof/>
                <w:sz w:val="24"/>
                <w:szCs w:val="24"/>
              </w:rPr>
              <w:t xml:space="preserve">1.5 </w:t>
            </w:r>
            <w:r w:rsidRPr="00E53836">
              <w:rPr>
                <w:rStyle w:val="aff3"/>
                <w:rFonts w:ascii="Times New Roman" w:hAnsi="Times New Roman"/>
                <w:noProof/>
                <w:sz w:val="24"/>
                <w:szCs w:val="24"/>
              </w:rPr>
              <w:t>环境功能区划</w:t>
            </w:r>
            <w:r w:rsidRPr="00E53836">
              <w:rPr>
                <w:rFonts w:ascii="Times New Roman" w:hAnsi="Times New Roman"/>
                <w:noProof/>
                <w:webHidden/>
                <w:sz w:val="24"/>
                <w:szCs w:val="24"/>
              </w:rPr>
              <w:tab/>
            </w:r>
            <w:r w:rsidRPr="00E53836">
              <w:rPr>
                <w:rFonts w:ascii="Times New Roman" w:hAnsi="Times New Roman"/>
                <w:noProof/>
                <w:webHidden/>
                <w:sz w:val="24"/>
                <w:szCs w:val="24"/>
              </w:rPr>
              <w:fldChar w:fldCharType="begin"/>
            </w:r>
            <w:r w:rsidRPr="00E53836">
              <w:rPr>
                <w:rFonts w:ascii="Times New Roman" w:hAnsi="Times New Roman"/>
                <w:noProof/>
                <w:webHidden/>
                <w:sz w:val="24"/>
                <w:szCs w:val="24"/>
              </w:rPr>
              <w:instrText xml:space="preserve"> PAGEREF _Toc216106992 \h </w:instrText>
            </w:r>
            <w:r w:rsidRPr="00E53836">
              <w:rPr>
                <w:rFonts w:ascii="Times New Roman" w:hAnsi="Times New Roman"/>
                <w:noProof/>
                <w:webHidden/>
                <w:sz w:val="24"/>
                <w:szCs w:val="24"/>
              </w:rPr>
            </w:r>
            <w:r w:rsidRPr="00E53836">
              <w:rPr>
                <w:rFonts w:ascii="Times New Roman" w:hAnsi="Times New Roman"/>
                <w:noProof/>
                <w:webHidden/>
                <w:sz w:val="24"/>
                <w:szCs w:val="24"/>
              </w:rPr>
              <w:fldChar w:fldCharType="separate"/>
            </w:r>
            <w:r w:rsidR="00F32CCA">
              <w:rPr>
                <w:rFonts w:ascii="Times New Roman" w:hAnsi="Times New Roman"/>
                <w:noProof/>
                <w:webHidden/>
                <w:sz w:val="24"/>
                <w:szCs w:val="24"/>
              </w:rPr>
              <w:t>9</w:t>
            </w:r>
            <w:r w:rsidRPr="00E53836">
              <w:rPr>
                <w:rFonts w:ascii="Times New Roman" w:hAnsi="Times New Roman"/>
                <w:noProof/>
                <w:webHidden/>
                <w:sz w:val="24"/>
                <w:szCs w:val="24"/>
              </w:rPr>
              <w:fldChar w:fldCharType="end"/>
            </w:r>
          </w:hyperlink>
        </w:p>
        <w:p w14:paraId="555E5BE2" w14:textId="484652A1" w:rsidR="00E53836" w:rsidRPr="00E53836" w:rsidRDefault="00E53836">
          <w:pPr>
            <w:pStyle w:val="TOC3"/>
            <w:tabs>
              <w:tab w:val="right" w:leader="dot" w:pos="8296"/>
            </w:tabs>
            <w:rPr>
              <w:rFonts w:ascii="Times New Roman" w:hAnsi="Times New Roman"/>
              <w:i w:val="0"/>
              <w:iCs w:val="0"/>
              <w:noProof/>
              <w:sz w:val="24"/>
              <w:szCs w:val="24"/>
              <w14:ligatures w14:val="standardContextual"/>
            </w:rPr>
          </w:pPr>
          <w:hyperlink w:anchor="_Toc216106993" w:history="1">
            <w:r w:rsidRPr="00E53836">
              <w:rPr>
                <w:rStyle w:val="aff3"/>
                <w:rFonts w:ascii="Times New Roman" w:hAnsi="Times New Roman"/>
                <w:i w:val="0"/>
                <w:iCs w:val="0"/>
                <w:noProof/>
                <w:sz w:val="24"/>
                <w:szCs w:val="24"/>
              </w:rPr>
              <w:t xml:space="preserve">1.5.1 </w:t>
            </w:r>
            <w:r w:rsidRPr="00E53836">
              <w:rPr>
                <w:rStyle w:val="aff3"/>
                <w:rFonts w:ascii="Times New Roman" w:hAnsi="Times New Roman"/>
                <w:i w:val="0"/>
                <w:iCs w:val="0"/>
                <w:noProof/>
                <w:sz w:val="24"/>
                <w:szCs w:val="24"/>
              </w:rPr>
              <w:t>生态功能区划</w:t>
            </w:r>
            <w:r w:rsidRPr="00E53836">
              <w:rPr>
                <w:rFonts w:ascii="Times New Roman" w:hAnsi="Times New Roman"/>
                <w:i w:val="0"/>
                <w:iCs w:val="0"/>
                <w:noProof/>
                <w:webHidden/>
                <w:sz w:val="24"/>
                <w:szCs w:val="24"/>
              </w:rPr>
              <w:tab/>
            </w:r>
            <w:r w:rsidRPr="00E53836">
              <w:rPr>
                <w:rFonts w:ascii="Times New Roman" w:hAnsi="Times New Roman"/>
                <w:i w:val="0"/>
                <w:iCs w:val="0"/>
                <w:noProof/>
                <w:webHidden/>
                <w:sz w:val="24"/>
                <w:szCs w:val="24"/>
              </w:rPr>
              <w:fldChar w:fldCharType="begin"/>
            </w:r>
            <w:r w:rsidRPr="00E53836">
              <w:rPr>
                <w:rFonts w:ascii="Times New Roman" w:hAnsi="Times New Roman"/>
                <w:i w:val="0"/>
                <w:iCs w:val="0"/>
                <w:noProof/>
                <w:webHidden/>
                <w:sz w:val="24"/>
                <w:szCs w:val="24"/>
              </w:rPr>
              <w:instrText xml:space="preserve"> PAGEREF _Toc216106993 \h </w:instrText>
            </w:r>
            <w:r w:rsidRPr="00E53836">
              <w:rPr>
                <w:rFonts w:ascii="Times New Roman" w:hAnsi="Times New Roman"/>
                <w:i w:val="0"/>
                <w:iCs w:val="0"/>
                <w:noProof/>
                <w:webHidden/>
                <w:sz w:val="24"/>
                <w:szCs w:val="24"/>
              </w:rPr>
            </w:r>
            <w:r w:rsidRPr="00E53836">
              <w:rPr>
                <w:rFonts w:ascii="Times New Roman" w:hAnsi="Times New Roman"/>
                <w:i w:val="0"/>
                <w:iCs w:val="0"/>
                <w:noProof/>
                <w:webHidden/>
                <w:sz w:val="24"/>
                <w:szCs w:val="24"/>
              </w:rPr>
              <w:fldChar w:fldCharType="separate"/>
            </w:r>
            <w:r w:rsidR="00F32CCA">
              <w:rPr>
                <w:rFonts w:ascii="Times New Roman" w:hAnsi="Times New Roman"/>
                <w:i w:val="0"/>
                <w:iCs w:val="0"/>
                <w:noProof/>
                <w:webHidden/>
                <w:sz w:val="24"/>
                <w:szCs w:val="24"/>
              </w:rPr>
              <w:t>9</w:t>
            </w:r>
            <w:r w:rsidRPr="00E53836">
              <w:rPr>
                <w:rFonts w:ascii="Times New Roman" w:hAnsi="Times New Roman"/>
                <w:i w:val="0"/>
                <w:iCs w:val="0"/>
                <w:noProof/>
                <w:webHidden/>
                <w:sz w:val="24"/>
                <w:szCs w:val="24"/>
              </w:rPr>
              <w:fldChar w:fldCharType="end"/>
            </w:r>
          </w:hyperlink>
        </w:p>
        <w:p w14:paraId="1FF7D7CD" w14:textId="4C535CF7" w:rsidR="00E53836" w:rsidRPr="00E53836" w:rsidRDefault="00E53836">
          <w:pPr>
            <w:pStyle w:val="TOC3"/>
            <w:tabs>
              <w:tab w:val="right" w:leader="dot" w:pos="8296"/>
            </w:tabs>
            <w:rPr>
              <w:rFonts w:ascii="Times New Roman" w:hAnsi="Times New Roman"/>
              <w:i w:val="0"/>
              <w:iCs w:val="0"/>
              <w:noProof/>
              <w:sz w:val="24"/>
              <w:szCs w:val="24"/>
              <w14:ligatures w14:val="standardContextual"/>
            </w:rPr>
          </w:pPr>
          <w:hyperlink w:anchor="_Toc216106994" w:history="1">
            <w:r w:rsidRPr="00E53836">
              <w:rPr>
                <w:rStyle w:val="aff3"/>
                <w:rFonts w:ascii="Times New Roman" w:hAnsi="Times New Roman"/>
                <w:i w:val="0"/>
                <w:iCs w:val="0"/>
                <w:noProof/>
                <w:sz w:val="24"/>
                <w:szCs w:val="24"/>
              </w:rPr>
              <w:t xml:space="preserve">1.5.2 </w:t>
            </w:r>
            <w:r w:rsidRPr="00E53836">
              <w:rPr>
                <w:rStyle w:val="aff3"/>
                <w:rFonts w:ascii="Times New Roman" w:hAnsi="Times New Roman"/>
                <w:i w:val="0"/>
                <w:iCs w:val="0"/>
                <w:noProof/>
                <w:sz w:val="24"/>
                <w:szCs w:val="24"/>
              </w:rPr>
              <w:t>水功能区划</w:t>
            </w:r>
            <w:r w:rsidRPr="00E53836">
              <w:rPr>
                <w:rFonts w:ascii="Times New Roman" w:hAnsi="Times New Roman"/>
                <w:i w:val="0"/>
                <w:iCs w:val="0"/>
                <w:noProof/>
                <w:webHidden/>
                <w:sz w:val="24"/>
                <w:szCs w:val="24"/>
              </w:rPr>
              <w:tab/>
            </w:r>
            <w:r w:rsidRPr="00E53836">
              <w:rPr>
                <w:rFonts w:ascii="Times New Roman" w:hAnsi="Times New Roman"/>
                <w:i w:val="0"/>
                <w:iCs w:val="0"/>
                <w:noProof/>
                <w:webHidden/>
                <w:sz w:val="24"/>
                <w:szCs w:val="24"/>
              </w:rPr>
              <w:fldChar w:fldCharType="begin"/>
            </w:r>
            <w:r w:rsidRPr="00E53836">
              <w:rPr>
                <w:rFonts w:ascii="Times New Roman" w:hAnsi="Times New Roman"/>
                <w:i w:val="0"/>
                <w:iCs w:val="0"/>
                <w:noProof/>
                <w:webHidden/>
                <w:sz w:val="24"/>
                <w:szCs w:val="24"/>
              </w:rPr>
              <w:instrText xml:space="preserve"> PAGEREF _Toc216106994 \h </w:instrText>
            </w:r>
            <w:r w:rsidRPr="00E53836">
              <w:rPr>
                <w:rFonts w:ascii="Times New Roman" w:hAnsi="Times New Roman"/>
                <w:i w:val="0"/>
                <w:iCs w:val="0"/>
                <w:noProof/>
                <w:webHidden/>
                <w:sz w:val="24"/>
                <w:szCs w:val="24"/>
              </w:rPr>
            </w:r>
            <w:r w:rsidRPr="00E53836">
              <w:rPr>
                <w:rFonts w:ascii="Times New Roman" w:hAnsi="Times New Roman"/>
                <w:i w:val="0"/>
                <w:iCs w:val="0"/>
                <w:noProof/>
                <w:webHidden/>
                <w:sz w:val="24"/>
                <w:szCs w:val="24"/>
              </w:rPr>
              <w:fldChar w:fldCharType="separate"/>
            </w:r>
            <w:r w:rsidR="00F32CCA">
              <w:rPr>
                <w:rFonts w:ascii="Times New Roman" w:hAnsi="Times New Roman"/>
                <w:i w:val="0"/>
                <w:iCs w:val="0"/>
                <w:noProof/>
                <w:webHidden/>
                <w:sz w:val="24"/>
                <w:szCs w:val="24"/>
              </w:rPr>
              <w:t>12</w:t>
            </w:r>
            <w:r w:rsidRPr="00E53836">
              <w:rPr>
                <w:rFonts w:ascii="Times New Roman" w:hAnsi="Times New Roman"/>
                <w:i w:val="0"/>
                <w:iCs w:val="0"/>
                <w:noProof/>
                <w:webHidden/>
                <w:sz w:val="24"/>
                <w:szCs w:val="24"/>
              </w:rPr>
              <w:fldChar w:fldCharType="end"/>
            </w:r>
          </w:hyperlink>
        </w:p>
        <w:p w14:paraId="021EA021" w14:textId="7D50D005" w:rsidR="00E53836" w:rsidRPr="00E53836" w:rsidRDefault="00E53836">
          <w:pPr>
            <w:pStyle w:val="TOC2"/>
            <w:tabs>
              <w:tab w:val="right" w:leader="dot" w:pos="8296"/>
            </w:tabs>
            <w:rPr>
              <w:rFonts w:ascii="Times New Roman" w:hAnsi="Times New Roman"/>
              <w:smallCaps w:val="0"/>
              <w:noProof/>
              <w:sz w:val="24"/>
              <w:szCs w:val="24"/>
              <w14:ligatures w14:val="standardContextual"/>
            </w:rPr>
          </w:pPr>
          <w:hyperlink w:anchor="_Toc216106995" w:history="1">
            <w:r w:rsidRPr="00E53836">
              <w:rPr>
                <w:rStyle w:val="aff3"/>
                <w:rFonts w:ascii="Times New Roman" w:hAnsi="Times New Roman"/>
                <w:noProof/>
                <w:sz w:val="24"/>
                <w:szCs w:val="24"/>
              </w:rPr>
              <w:t xml:space="preserve">1.6 </w:t>
            </w:r>
            <w:r w:rsidRPr="00E53836">
              <w:rPr>
                <w:rStyle w:val="aff3"/>
                <w:rFonts w:ascii="Times New Roman" w:hAnsi="Times New Roman"/>
                <w:noProof/>
                <w:sz w:val="24"/>
                <w:szCs w:val="24"/>
              </w:rPr>
              <w:t>评价标准</w:t>
            </w:r>
            <w:r w:rsidRPr="00E53836">
              <w:rPr>
                <w:rFonts w:ascii="Times New Roman" w:hAnsi="Times New Roman"/>
                <w:noProof/>
                <w:webHidden/>
                <w:sz w:val="24"/>
                <w:szCs w:val="24"/>
              </w:rPr>
              <w:tab/>
            </w:r>
            <w:r w:rsidRPr="00E53836">
              <w:rPr>
                <w:rFonts w:ascii="Times New Roman" w:hAnsi="Times New Roman"/>
                <w:noProof/>
                <w:webHidden/>
                <w:sz w:val="24"/>
                <w:szCs w:val="24"/>
              </w:rPr>
              <w:fldChar w:fldCharType="begin"/>
            </w:r>
            <w:r w:rsidRPr="00E53836">
              <w:rPr>
                <w:rFonts w:ascii="Times New Roman" w:hAnsi="Times New Roman"/>
                <w:noProof/>
                <w:webHidden/>
                <w:sz w:val="24"/>
                <w:szCs w:val="24"/>
              </w:rPr>
              <w:instrText xml:space="preserve"> PAGEREF _Toc216106995 \h </w:instrText>
            </w:r>
            <w:r w:rsidRPr="00E53836">
              <w:rPr>
                <w:rFonts w:ascii="Times New Roman" w:hAnsi="Times New Roman"/>
                <w:noProof/>
                <w:webHidden/>
                <w:sz w:val="24"/>
                <w:szCs w:val="24"/>
              </w:rPr>
            </w:r>
            <w:r w:rsidRPr="00E53836">
              <w:rPr>
                <w:rFonts w:ascii="Times New Roman" w:hAnsi="Times New Roman"/>
                <w:noProof/>
                <w:webHidden/>
                <w:sz w:val="24"/>
                <w:szCs w:val="24"/>
              </w:rPr>
              <w:fldChar w:fldCharType="separate"/>
            </w:r>
            <w:r w:rsidR="00F32CCA">
              <w:rPr>
                <w:rFonts w:ascii="Times New Roman" w:hAnsi="Times New Roman"/>
                <w:noProof/>
                <w:webHidden/>
                <w:sz w:val="24"/>
                <w:szCs w:val="24"/>
              </w:rPr>
              <w:t>12</w:t>
            </w:r>
            <w:r w:rsidRPr="00E53836">
              <w:rPr>
                <w:rFonts w:ascii="Times New Roman" w:hAnsi="Times New Roman"/>
                <w:noProof/>
                <w:webHidden/>
                <w:sz w:val="24"/>
                <w:szCs w:val="24"/>
              </w:rPr>
              <w:fldChar w:fldCharType="end"/>
            </w:r>
          </w:hyperlink>
        </w:p>
        <w:p w14:paraId="6BF1BE7E" w14:textId="389DD568" w:rsidR="00E53836" w:rsidRPr="00E53836" w:rsidRDefault="00E53836">
          <w:pPr>
            <w:pStyle w:val="TOC2"/>
            <w:tabs>
              <w:tab w:val="right" w:leader="dot" w:pos="8296"/>
            </w:tabs>
            <w:rPr>
              <w:rFonts w:ascii="Times New Roman" w:hAnsi="Times New Roman"/>
              <w:smallCaps w:val="0"/>
              <w:noProof/>
              <w:sz w:val="24"/>
              <w:szCs w:val="24"/>
              <w14:ligatures w14:val="standardContextual"/>
            </w:rPr>
          </w:pPr>
          <w:hyperlink w:anchor="_Toc216106996" w:history="1">
            <w:r w:rsidRPr="00E53836">
              <w:rPr>
                <w:rStyle w:val="aff3"/>
                <w:rFonts w:ascii="Times New Roman" w:hAnsi="Times New Roman"/>
                <w:noProof/>
                <w:sz w:val="24"/>
                <w:szCs w:val="24"/>
              </w:rPr>
              <w:t xml:space="preserve">1.7 </w:t>
            </w:r>
            <w:r w:rsidRPr="00E53836">
              <w:rPr>
                <w:rStyle w:val="aff3"/>
                <w:rFonts w:ascii="Times New Roman" w:hAnsi="Times New Roman"/>
                <w:noProof/>
                <w:sz w:val="24"/>
                <w:szCs w:val="24"/>
              </w:rPr>
              <w:t>环境保护目标及环境敏感区</w:t>
            </w:r>
            <w:r w:rsidRPr="00E53836">
              <w:rPr>
                <w:rStyle w:val="aff3"/>
                <w:rFonts w:ascii="Times New Roman" w:hAnsi="Times New Roman"/>
                <w:noProof/>
                <w:sz w:val="24"/>
                <w:szCs w:val="24"/>
              </w:rPr>
              <w:t>-</w:t>
            </w:r>
            <w:r w:rsidRPr="00E53836">
              <w:rPr>
                <w:rFonts w:ascii="Times New Roman" w:hAnsi="Times New Roman"/>
                <w:noProof/>
                <w:webHidden/>
                <w:sz w:val="24"/>
                <w:szCs w:val="24"/>
              </w:rPr>
              <w:tab/>
            </w:r>
            <w:r w:rsidRPr="00E53836">
              <w:rPr>
                <w:rFonts w:ascii="Times New Roman" w:hAnsi="Times New Roman"/>
                <w:noProof/>
                <w:webHidden/>
                <w:sz w:val="24"/>
                <w:szCs w:val="24"/>
              </w:rPr>
              <w:fldChar w:fldCharType="begin"/>
            </w:r>
            <w:r w:rsidRPr="00E53836">
              <w:rPr>
                <w:rFonts w:ascii="Times New Roman" w:hAnsi="Times New Roman"/>
                <w:noProof/>
                <w:webHidden/>
                <w:sz w:val="24"/>
                <w:szCs w:val="24"/>
              </w:rPr>
              <w:instrText xml:space="preserve"> PAGEREF _Toc216106996 \h </w:instrText>
            </w:r>
            <w:r w:rsidRPr="00E53836">
              <w:rPr>
                <w:rFonts w:ascii="Times New Roman" w:hAnsi="Times New Roman"/>
                <w:noProof/>
                <w:webHidden/>
                <w:sz w:val="24"/>
                <w:szCs w:val="24"/>
              </w:rPr>
            </w:r>
            <w:r w:rsidRPr="00E53836">
              <w:rPr>
                <w:rFonts w:ascii="Times New Roman" w:hAnsi="Times New Roman"/>
                <w:noProof/>
                <w:webHidden/>
                <w:sz w:val="24"/>
                <w:szCs w:val="24"/>
              </w:rPr>
              <w:fldChar w:fldCharType="separate"/>
            </w:r>
            <w:r w:rsidR="00F32CCA">
              <w:rPr>
                <w:rFonts w:ascii="Times New Roman" w:hAnsi="Times New Roman"/>
                <w:noProof/>
                <w:webHidden/>
                <w:sz w:val="24"/>
                <w:szCs w:val="24"/>
              </w:rPr>
              <w:t>13</w:t>
            </w:r>
            <w:r w:rsidRPr="00E53836">
              <w:rPr>
                <w:rFonts w:ascii="Times New Roman" w:hAnsi="Times New Roman"/>
                <w:noProof/>
                <w:webHidden/>
                <w:sz w:val="24"/>
                <w:szCs w:val="24"/>
              </w:rPr>
              <w:fldChar w:fldCharType="end"/>
            </w:r>
          </w:hyperlink>
        </w:p>
        <w:p w14:paraId="3425E3EF" w14:textId="128A90A7" w:rsidR="00E53836" w:rsidRPr="00E53836" w:rsidRDefault="00E53836">
          <w:pPr>
            <w:pStyle w:val="TOC3"/>
            <w:tabs>
              <w:tab w:val="right" w:leader="dot" w:pos="8296"/>
            </w:tabs>
            <w:rPr>
              <w:rFonts w:ascii="Times New Roman" w:hAnsi="Times New Roman"/>
              <w:i w:val="0"/>
              <w:iCs w:val="0"/>
              <w:noProof/>
              <w:sz w:val="24"/>
              <w:szCs w:val="24"/>
              <w14:ligatures w14:val="standardContextual"/>
            </w:rPr>
          </w:pPr>
          <w:hyperlink w:anchor="_Toc216106997" w:history="1">
            <w:r w:rsidRPr="00E53836">
              <w:rPr>
                <w:rStyle w:val="aff3"/>
                <w:rFonts w:ascii="Times New Roman" w:hAnsi="Times New Roman"/>
                <w:i w:val="0"/>
                <w:iCs w:val="0"/>
                <w:noProof/>
                <w:sz w:val="24"/>
                <w:szCs w:val="24"/>
              </w:rPr>
              <w:t xml:space="preserve">1.7.1 </w:t>
            </w:r>
            <w:r w:rsidRPr="00E53836">
              <w:rPr>
                <w:rStyle w:val="aff3"/>
                <w:rFonts w:ascii="Times New Roman" w:hAnsi="Times New Roman"/>
                <w:i w:val="0"/>
                <w:iCs w:val="0"/>
                <w:noProof/>
                <w:sz w:val="24"/>
                <w:szCs w:val="24"/>
              </w:rPr>
              <w:t>环境保护目标</w:t>
            </w:r>
            <w:r w:rsidRPr="00E53836">
              <w:rPr>
                <w:rFonts w:ascii="Times New Roman" w:hAnsi="Times New Roman"/>
                <w:i w:val="0"/>
                <w:iCs w:val="0"/>
                <w:noProof/>
                <w:webHidden/>
                <w:sz w:val="24"/>
                <w:szCs w:val="24"/>
              </w:rPr>
              <w:tab/>
            </w:r>
            <w:r w:rsidRPr="00E53836">
              <w:rPr>
                <w:rFonts w:ascii="Times New Roman" w:hAnsi="Times New Roman"/>
                <w:i w:val="0"/>
                <w:iCs w:val="0"/>
                <w:noProof/>
                <w:webHidden/>
                <w:sz w:val="24"/>
                <w:szCs w:val="24"/>
              </w:rPr>
              <w:fldChar w:fldCharType="begin"/>
            </w:r>
            <w:r w:rsidRPr="00E53836">
              <w:rPr>
                <w:rFonts w:ascii="Times New Roman" w:hAnsi="Times New Roman"/>
                <w:i w:val="0"/>
                <w:iCs w:val="0"/>
                <w:noProof/>
                <w:webHidden/>
                <w:sz w:val="24"/>
                <w:szCs w:val="24"/>
              </w:rPr>
              <w:instrText xml:space="preserve"> PAGEREF _Toc216106997 \h </w:instrText>
            </w:r>
            <w:r w:rsidRPr="00E53836">
              <w:rPr>
                <w:rFonts w:ascii="Times New Roman" w:hAnsi="Times New Roman"/>
                <w:i w:val="0"/>
                <w:iCs w:val="0"/>
                <w:noProof/>
                <w:webHidden/>
                <w:sz w:val="24"/>
                <w:szCs w:val="24"/>
              </w:rPr>
            </w:r>
            <w:r w:rsidRPr="00E53836">
              <w:rPr>
                <w:rFonts w:ascii="Times New Roman" w:hAnsi="Times New Roman"/>
                <w:i w:val="0"/>
                <w:iCs w:val="0"/>
                <w:noProof/>
                <w:webHidden/>
                <w:sz w:val="24"/>
                <w:szCs w:val="24"/>
              </w:rPr>
              <w:fldChar w:fldCharType="separate"/>
            </w:r>
            <w:r w:rsidR="00F32CCA">
              <w:rPr>
                <w:rFonts w:ascii="Times New Roman" w:hAnsi="Times New Roman"/>
                <w:i w:val="0"/>
                <w:iCs w:val="0"/>
                <w:noProof/>
                <w:webHidden/>
                <w:sz w:val="24"/>
                <w:szCs w:val="24"/>
              </w:rPr>
              <w:t>13</w:t>
            </w:r>
            <w:r w:rsidRPr="00E53836">
              <w:rPr>
                <w:rFonts w:ascii="Times New Roman" w:hAnsi="Times New Roman"/>
                <w:i w:val="0"/>
                <w:iCs w:val="0"/>
                <w:noProof/>
                <w:webHidden/>
                <w:sz w:val="24"/>
                <w:szCs w:val="24"/>
              </w:rPr>
              <w:fldChar w:fldCharType="end"/>
            </w:r>
          </w:hyperlink>
        </w:p>
        <w:p w14:paraId="2CA6117B" w14:textId="5C921E35" w:rsidR="00E53836" w:rsidRPr="00E53836" w:rsidRDefault="00E53836">
          <w:pPr>
            <w:pStyle w:val="TOC3"/>
            <w:tabs>
              <w:tab w:val="right" w:leader="dot" w:pos="8296"/>
            </w:tabs>
            <w:rPr>
              <w:rFonts w:ascii="Times New Roman" w:hAnsi="Times New Roman"/>
              <w:i w:val="0"/>
              <w:iCs w:val="0"/>
              <w:noProof/>
              <w:sz w:val="24"/>
              <w:szCs w:val="24"/>
              <w14:ligatures w14:val="standardContextual"/>
            </w:rPr>
          </w:pPr>
          <w:hyperlink w:anchor="_Toc216106998" w:history="1">
            <w:r w:rsidRPr="00E53836">
              <w:rPr>
                <w:rStyle w:val="aff3"/>
                <w:rFonts w:ascii="Times New Roman" w:hAnsi="Times New Roman"/>
                <w:i w:val="0"/>
                <w:iCs w:val="0"/>
                <w:noProof/>
                <w:sz w:val="24"/>
                <w:szCs w:val="24"/>
              </w:rPr>
              <w:t xml:space="preserve">1.7.2 </w:t>
            </w:r>
            <w:r w:rsidRPr="00E53836">
              <w:rPr>
                <w:rStyle w:val="aff3"/>
                <w:rFonts w:ascii="Times New Roman" w:hAnsi="Times New Roman"/>
                <w:i w:val="0"/>
                <w:iCs w:val="0"/>
                <w:noProof/>
                <w:sz w:val="24"/>
                <w:szCs w:val="24"/>
              </w:rPr>
              <w:t>环境敏感区和保护对象</w:t>
            </w:r>
            <w:r w:rsidRPr="00E53836">
              <w:rPr>
                <w:rFonts w:ascii="Times New Roman" w:hAnsi="Times New Roman"/>
                <w:i w:val="0"/>
                <w:iCs w:val="0"/>
                <w:noProof/>
                <w:webHidden/>
                <w:sz w:val="24"/>
                <w:szCs w:val="24"/>
              </w:rPr>
              <w:tab/>
            </w:r>
            <w:r w:rsidRPr="00E53836">
              <w:rPr>
                <w:rFonts w:ascii="Times New Roman" w:hAnsi="Times New Roman"/>
                <w:i w:val="0"/>
                <w:iCs w:val="0"/>
                <w:noProof/>
                <w:webHidden/>
                <w:sz w:val="24"/>
                <w:szCs w:val="24"/>
              </w:rPr>
              <w:fldChar w:fldCharType="begin"/>
            </w:r>
            <w:r w:rsidRPr="00E53836">
              <w:rPr>
                <w:rFonts w:ascii="Times New Roman" w:hAnsi="Times New Roman"/>
                <w:i w:val="0"/>
                <w:iCs w:val="0"/>
                <w:noProof/>
                <w:webHidden/>
                <w:sz w:val="24"/>
                <w:szCs w:val="24"/>
              </w:rPr>
              <w:instrText xml:space="preserve"> PAGEREF _Toc216106998 \h </w:instrText>
            </w:r>
            <w:r w:rsidRPr="00E53836">
              <w:rPr>
                <w:rFonts w:ascii="Times New Roman" w:hAnsi="Times New Roman"/>
                <w:i w:val="0"/>
                <w:iCs w:val="0"/>
                <w:noProof/>
                <w:webHidden/>
                <w:sz w:val="24"/>
                <w:szCs w:val="24"/>
              </w:rPr>
            </w:r>
            <w:r w:rsidRPr="00E53836">
              <w:rPr>
                <w:rFonts w:ascii="Times New Roman" w:hAnsi="Times New Roman"/>
                <w:i w:val="0"/>
                <w:iCs w:val="0"/>
                <w:noProof/>
                <w:webHidden/>
                <w:sz w:val="24"/>
                <w:szCs w:val="24"/>
              </w:rPr>
              <w:fldChar w:fldCharType="separate"/>
            </w:r>
            <w:r w:rsidR="00F32CCA">
              <w:rPr>
                <w:rFonts w:ascii="Times New Roman" w:hAnsi="Times New Roman"/>
                <w:i w:val="0"/>
                <w:iCs w:val="0"/>
                <w:noProof/>
                <w:webHidden/>
                <w:sz w:val="24"/>
                <w:szCs w:val="24"/>
              </w:rPr>
              <w:t>14</w:t>
            </w:r>
            <w:r w:rsidRPr="00E53836">
              <w:rPr>
                <w:rFonts w:ascii="Times New Roman" w:hAnsi="Times New Roman"/>
                <w:i w:val="0"/>
                <w:iCs w:val="0"/>
                <w:noProof/>
                <w:webHidden/>
                <w:sz w:val="24"/>
                <w:szCs w:val="24"/>
              </w:rPr>
              <w:fldChar w:fldCharType="end"/>
            </w:r>
          </w:hyperlink>
        </w:p>
        <w:p w14:paraId="79F9645C" w14:textId="79FB87BD" w:rsidR="00E53836" w:rsidRPr="00E53836" w:rsidRDefault="00E53836">
          <w:pPr>
            <w:pStyle w:val="TOC2"/>
            <w:tabs>
              <w:tab w:val="right" w:leader="dot" w:pos="8296"/>
            </w:tabs>
            <w:rPr>
              <w:rFonts w:ascii="Times New Roman" w:hAnsi="Times New Roman"/>
              <w:smallCaps w:val="0"/>
              <w:noProof/>
              <w:sz w:val="24"/>
              <w:szCs w:val="24"/>
              <w14:ligatures w14:val="standardContextual"/>
            </w:rPr>
          </w:pPr>
          <w:hyperlink w:anchor="_Toc216106999" w:history="1">
            <w:r w:rsidRPr="00E53836">
              <w:rPr>
                <w:rStyle w:val="aff3"/>
                <w:rFonts w:ascii="Times New Roman" w:hAnsi="Times New Roman"/>
                <w:noProof/>
                <w:sz w:val="24"/>
                <w:szCs w:val="24"/>
              </w:rPr>
              <w:t xml:space="preserve">1.8 </w:t>
            </w:r>
            <w:r w:rsidRPr="00E53836">
              <w:rPr>
                <w:rStyle w:val="aff3"/>
                <w:rFonts w:ascii="Times New Roman" w:hAnsi="Times New Roman"/>
                <w:noProof/>
                <w:sz w:val="24"/>
                <w:szCs w:val="24"/>
              </w:rPr>
              <w:t>评价内容与评价重点</w:t>
            </w:r>
            <w:r w:rsidRPr="00E53836">
              <w:rPr>
                <w:rFonts w:ascii="Times New Roman" w:hAnsi="Times New Roman"/>
                <w:noProof/>
                <w:webHidden/>
                <w:sz w:val="24"/>
                <w:szCs w:val="24"/>
              </w:rPr>
              <w:tab/>
            </w:r>
            <w:r w:rsidRPr="00E53836">
              <w:rPr>
                <w:rFonts w:ascii="Times New Roman" w:hAnsi="Times New Roman"/>
                <w:noProof/>
                <w:webHidden/>
                <w:sz w:val="24"/>
                <w:szCs w:val="24"/>
              </w:rPr>
              <w:fldChar w:fldCharType="begin"/>
            </w:r>
            <w:r w:rsidRPr="00E53836">
              <w:rPr>
                <w:rFonts w:ascii="Times New Roman" w:hAnsi="Times New Roman"/>
                <w:noProof/>
                <w:webHidden/>
                <w:sz w:val="24"/>
                <w:szCs w:val="24"/>
              </w:rPr>
              <w:instrText xml:space="preserve"> PAGEREF _Toc216106999 \h </w:instrText>
            </w:r>
            <w:r w:rsidRPr="00E53836">
              <w:rPr>
                <w:rFonts w:ascii="Times New Roman" w:hAnsi="Times New Roman"/>
                <w:noProof/>
                <w:webHidden/>
                <w:sz w:val="24"/>
                <w:szCs w:val="24"/>
              </w:rPr>
            </w:r>
            <w:r w:rsidRPr="00E53836">
              <w:rPr>
                <w:rFonts w:ascii="Times New Roman" w:hAnsi="Times New Roman"/>
                <w:noProof/>
                <w:webHidden/>
                <w:sz w:val="24"/>
                <w:szCs w:val="24"/>
              </w:rPr>
              <w:fldChar w:fldCharType="separate"/>
            </w:r>
            <w:r w:rsidR="00F32CCA">
              <w:rPr>
                <w:rFonts w:ascii="Times New Roman" w:hAnsi="Times New Roman"/>
                <w:noProof/>
                <w:webHidden/>
                <w:sz w:val="24"/>
                <w:szCs w:val="24"/>
              </w:rPr>
              <w:t>15</w:t>
            </w:r>
            <w:r w:rsidRPr="00E53836">
              <w:rPr>
                <w:rFonts w:ascii="Times New Roman" w:hAnsi="Times New Roman"/>
                <w:noProof/>
                <w:webHidden/>
                <w:sz w:val="24"/>
                <w:szCs w:val="24"/>
              </w:rPr>
              <w:fldChar w:fldCharType="end"/>
            </w:r>
          </w:hyperlink>
        </w:p>
        <w:p w14:paraId="6F8C24F7" w14:textId="4D79398C" w:rsidR="00E53836" w:rsidRPr="00E53836" w:rsidRDefault="00E53836">
          <w:pPr>
            <w:pStyle w:val="TOC3"/>
            <w:tabs>
              <w:tab w:val="right" w:leader="dot" w:pos="8296"/>
            </w:tabs>
            <w:rPr>
              <w:rFonts w:ascii="Times New Roman" w:hAnsi="Times New Roman"/>
              <w:i w:val="0"/>
              <w:iCs w:val="0"/>
              <w:noProof/>
              <w:sz w:val="24"/>
              <w:szCs w:val="24"/>
              <w14:ligatures w14:val="standardContextual"/>
            </w:rPr>
          </w:pPr>
          <w:hyperlink w:anchor="_Toc216107000" w:history="1">
            <w:r w:rsidRPr="00E53836">
              <w:rPr>
                <w:rStyle w:val="aff3"/>
                <w:rFonts w:ascii="Times New Roman" w:hAnsi="Times New Roman"/>
                <w:i w:val="0"/>
                <w:iCs w:val="0"/>
                <w:noProof/>
                <w:sz w:val="24"/>
                <w:szCs w:val="24"/>
              </w:rPr>
              <w:t xml:space="preserve">1.8.1 </w:t>
            </w:r>
            <w:r w:rsidRPr="00E53836">
              <w:rPr>
                <w:rStyle w:val="aff3"/>
                <w:rFonts w:ascii="Times New Roman" w:hAnsi="Times New Roman"/>
                <w:i w:val="0"/>
                <w:iCs w:val="0"/>
                <w:noProof/>
                <w:sz w:val="24"/>
                <w:szCs w:val="24"/>
              </w:rPr>
              <w:t>评价思路</w:t>
            </w:r>
            <w:r w:rsidRPr="00E53836">
              <w:rPr>
                <w:rFonts w:ascii="Times New Roman" w:hAnsi="Times New Roman"/>
                <w:i w:val="0"/>
                <w:iCs w:val="0"/>
                <w:noProof/>
                <w:webHidden/>
                <w:sz w:val="24"/>
                <w:szCs w:val="24"/>
              </w:rPr>
              <w:tab/>
            </w:r>
            <w:r w:rsidRPr="00E53836">
              <w:rPr>
                <w:rFonts w:ascii="Times New Roman" w:hAnsi="Times New Roman"/>
                <w:i w:val="0"/>
                <w:iCs w:val="0"/>
                <w:noProof/>
                <w:webHidden/>
                <w:sz w:val="24"/>
                <w:szCs w:val="24"/>
              </w:rPr>
              <w:fldChar w:fldCharType="begin"/>
            </w:r>
            <w:r w:rsidRPr="00E53836">
              <w:rPr>
                <w:rFonts w:ascii="Times New Roman" w:hAnsi="Times New Roman"/>
                <w:i w:val="0"/>
                <w:iCs w:val="0"/>
                <w:noProof/>
                <w:webHidden/>
                <w:sz w:val="24"/>
                <w:szCs w:val="24"/>
              </w:rPr>
              <w:instrText xml:space="preserve"> PAGEREF _Toc216107000 \h </w:instrText>
            </w:r>
            <w:r w:rsidRPr="00E53836">
              <w:rPr>
                <w:rFonts w:ascii="Times New Roman" w:hAnsi="Times New Roman"/>
                <w:i w:val="0"/>
                <w:iCs w:val="0"/>
                <w:noProof/>
                <w:webHidden/>
                <w:sz w:val="24"/>
                <w:szCs w:val="24"/>
              </w:rPr>
            </w:r>
            <w:r w:rsidRPr="00E53836">
              <w:rPr>
                <w:rFonts w:ascii="Times New Roman" w:hAnsi="Times New Roman"/>
                <w:i w:val="0"/>
                <w:iCs w:val="0"/>
                <w:noProof/>
                <w:webHidden/>
                <w:sz w:val="24"/>
                <w:szCs w:val="24"/>
              </w:rPr>
              <w:fldChar w:fldCharType="separate"/>
            </w:r>
            <w:r w:rsidR="00F32CCA">
              <w:rPr>
                <w:rFonts w:ascii="Times New Roman" w:hAnsi="Times New Roman"/>
                <w:i w:val="0"/>
                <w:iCs w:val="0"/>
                <w:noProof/>
                <w:webHidden/>
                <w:sz w:val="24"/>
                <w:szCs w:val="24"/>
              </w:rPr>
              <w:t>15</w:t>
            </w:r>
            <w:r w:rsidRPr="00E53836">
              <w:rPr>
                <w:rFonts w:ascii="Times New Roman" w:hAnsi="Times New Roman"/>
                <w:i w:val="0"/>
                <w:iCs w:val="0"/>
                <w:noProof/>
                <w:webHidden/>
                <w:sz w:val="24"/>
                <w:szCs w:val="24"/>
              </w:rPr>
              <w:fldChar w:fldCharType="end"/>
            </w:r>
          </w:hyperlink>
        </w:p>
        <w:p w14:paraId="6E730832" w14:textId="599EE1FF" w:rsidR="00E53836" w:rsidRPr="00E53836" w:rsidRDefault="00E53836">
          <w:pPr>
            <w:pStyle w:val="TOC3"/>
            <w:tabs>
              <w:tab w:val="right" w:leader="dot" w:pos="8296"/>
            </w:tabs>
            <w:rPr>
              <w:rFonts w:ascii="Times New Roman" w:hAnsi="Times New Roman"/>
              <w:i w:val="0"/>
              <w:iCs w:val="0"/>
              <w:noProof/>
              <w:sz w:val="24"/>
              <w:szCs w:val="24"/>
              <w14:ligatures w14:val="standardContextual"/>
            </w:rPr>
          </w:pPr>
          <w:hyperlink w:anchor="_Toc216107001" w:history="1">
            <w:r w:rsidRPr="00E53836">
              <w:rPr>
                <w:rStyle w:val="aff3"/>
                <w:rFonts w:ascii="Times New Roman" w:hAnsi="Times New Roman"/>
                <w:i w:val="0"/>
                <w:iCs w:val="0"/>
                <w:noProof/>
                <w:sz w:val="24"/>
                <w:szCs w:val="24"/>
              </w:rPr>
              <w:t xml:space="preserve">1.8.2 </w:t>
            </w:r>
            <w:r w:rsidRPr="00E53836">
              <w:rPr>
                <w:rStyle w:val="aff3"/>
                <w:rFonts w:ascii="Times New Roman" w:hAnsi="Times New Roman"/>
                <w:i w:val="0"/>
                <w:iCs w:val="0"/>
                <w:noProof/>
                <w:sz w:val="24"/>
                <w:szCs w:val="24"/>
              </w:rPr>
              <w:t>评价内容</w:t>
            </w:r>
            <w:r w:rsidRPr="00E53836">
              <w:rPr>
                <w:rFonts w:ascii="Times New Roman" w:hAnsi="Times New Roman"/>
                <w:i w:val="0"/>
                <w:iCs w:val="0"/>
                <w:noProof/>
                <w:webHidden/>
                <w:sz w:val="24"/>
                <w:szCs w:val="24"/>
              </w:rPr>
              <w:tab/>
            </w:r>
            <w:r w:rsidRPr="00E53836">
              <w:rPr>
                <w:rFonts w:ascii="Times New Roman" w:hAnsi="Times New Roman"/>
                <w:i w:val="0"/>
                <w:iCs w:val="0"/>
                <w:noProof/>
                <w:webHidden/>
                <w:sz w:val="24"/>
                <w:szCs w:val="24"/>
              </w:rPr>
              <w:fldChar w:fldCharType="begin"/>
            </w:r>
            <w:r w:rsidRPr="00E53836">
              <w:rPr>
                <w:rFonts w:ascii="Times New Roman" w:hAnsi="Times New Roman"/>
                <w:i w:val="0"/>
                <w:iCs w:val="0"/>
                <w:noProof/>
                <w:webHidden/>
                <w:sz w:val="24"/>
                <w:szCs w:val="24"/>
              </w:rPr>
              <w:instrText xml:space="preserve"> PAGEREF _Toc216107001 \h </w:instrText>
            </w:r>
            <w:r w:rsidRPr="00E53836">
              <w:rPr>
                <w:rFonts w:ascii="Times New Roman" w:hAnsi="Times New Roman"/>
                <w:i w:val="0"/>
                <w:iCs w:val="0"/>
                <w:noProof/>
                <w:webHidden/>
                <w:sz w:val="24"/>
                <w:szCs w:val="24"/>
              </w:rPr>
            </w:r>
            <w:r w:rsidRPr="00E53836">
              <w:rPr>
                <w:rFonts w:ascii="Times New Roman" w:hAnsi="Times New Roman"/>
                <w:i w:val="0"/>
                <w:iCs w:val="0"/>
                <w:noProof/>
                <w:webHidden/>
                <w:sz w:val="24"/>
                <w:szCs w:val="24"/>
              </w:rPr>
              <w:fldChar w:fldCharType="separate"/>
            </w:r>
            <w:r w:rsidR="00F32CCA">
              <w:rPr>
                <w:rFonts w:ascii="Times New Roman" w:hAnsi="Times New Roman"/>
                <w:i w:val="0"/>
                <w:iCs w:val="0"/>
                <w:noProof/>
                <w:webHidden/>
                <w:sz w:val="24"/>
                <w:szCs w:val="24"/>
              </w:rPr>
              <w:t>15</w:t>
            </w:r>
            <w:r w:rsidRPr="00E53836">
              <w:rPr>
                <w:rFonts w:ascii="Times New Roman" w:hAnsi="Times New Roman"/>
                <w:i w:val="0"/>
                <w:iCs w:val="0"/>
                <w:noProof/>
                <w:webHidden/>
                <w:sz w:val="24"/>
                <w:szCs w:val="24"/>
              </w:rPr>
              <w:fldChar w:fldCharType="end"/>
            </w:r>
          </w:hyperlink>
        </w:p>
        <w:p w14:paraId="4E0E58BB" w14:textId="19F5F259" w:rsidR="00E53836" w:rsidRPr="00E53836" w:rsidRDefault="00E53836">
          <w:pPr>
            <w:pStyle w:val="TOC2"/>
            <w:tabs>
              <w:tab w:val="right" w:leader="dot" w:pos="8296"/>
            </w:tabs>
            <w:rPr>
              <w:rFonts w:ascii="Times New Roman" w:hAnsi="Times New Roman"/>
              <w:smallCaps w:val="0"/>
              <w:noProof/>
              <w:sz w:val="24"/>
              <w:szCs w:val="24"/>
              <w14:ligatures w14:val="standardContextual"/>
            </w:rPr>
          </w:pPr>
          <w:hyperlink w:anchor="_Toc216107002" w:history="1">
            <w:r w:rsidRPr="00E53836">
              <w:rPr>
                <w:rStyle w:val="aff3"/>
                <w:rFonts w:ascii="Times New Roman" w:hAnsi="Times New Roman"/>
                <w:noProof/>
                <w:sz w:val="24"/>
                <w:szCs w:val="24"/>
              </w:rPr>
              <w:t xml:space="preserve">1.9 </w:t>
            </w:r>
            <w:r w:rsidRPr="00E53836">
              <w:rPr>
                <w:rStyle w:val="aff3"/>
                <w:rFonts w:ascii="Times New Roman" w:hAnsi="Times New Roman"/>
                <w:noProof/>
                <w:sz w:val="24"/>
                <w:szCs w:val="24"/>
              </w:rPr>
              <w:t>评价流程</w:t>
            </w:r>
            <w:r w:rsidRPr="00E53836">
              <w:rPr>
                <w:rFonts w:ascii="Times New Roman" w:hAnsi="Times New Roman"/>
                <w:noProof/>
                <w:webHidden/>
                <w:sz w:val="24"/>
                <w:szCs w:val="24"/>
              </w:rPr>
              <w:tab/>
            </w:r>
            <w:r w:rsidRPr="00E53836">
              <w:rPr>
                <w:rFonts w:ascii="Times New Roman" w:hAnsi="Times New Roman"/>
                <w:noProof/>
                <w:webHidden/>
                <w:sz w:val="24"/>
                <w:szCs w:val="24"/>
              </w:rPr>
              <w:fldChar w:fldCharType="begin"/>
            </w:r>
            <w:r w:rsidRPr="00E53836">
              <w:rPr>
                <w:rFonts w:ascii="Times New Roman" w:hAnsi="Times New Roman"/>
                <w:noProof/>
                <w:webHidden/>
                <w:sz w:val="24"/>
                <w:szCs w:val="24"/>
              </w:rPr>
              <w:instrText xml:space="preserve"> PAGEREF _Toc216107002 \h </w:instrText>
            </w:r>
            <w:r w:rsidRPr="00E53836">
              <w:rPr>
                <w:rFonts w:ascii="Times New Roman" w:hAnsi="Times New Roman"/>
                <w:noProof/>
                <w:webHidden/>
                <w:sz w:val="24"/>
                <w:szCs w:val="24"/>
              </w:rPr>
            </w:r>
            <w:r w:rsidRPr="00E53836">
              <w:rPr>
                <w:rFonts w:ascii="Times New Roman" w:hAnsi="Times New Roman"/>
                <w:noProof/>
                <w:webHidden/>
                <w:sz w:val="24"/>
                <w:szCs w:val="24"/>
              </w:rPr>
              <w:fldChar w:fldCharType="separate"/>
            </w:r>
            <w:r w:rsidR="00F32CCA">
              <w:rPr>
                <w:rFonts w:ascii="Times New Roman" w:hAnsi="Times New Roman"/>
                <w:noProof/>
                <w:webHidden/>
                <w:sz w:val="24"/>
                <w:szCs w:val="24"/>
              </w:rPr>
              <w:t>17</w:t>
            </w:r>
            <w:r w:rsidRPr="00E53836">
              <w:rPr>
                <w:rFonts w:ascii="Times New Roman" w:hAnsi="Times New Roman"/>
                <w:noProof/>
                <w:webHidden/>
                <w:sz w:val="24"/>
                <w:szCs w:val="24"/>
              </w:rPr>
              <w:fldChar w:fldCharType="end"/>
            </w:r>
          </w:hyperlink>
        </w:p>
        <w:p w14:paraId="176ECD6F" w14:textId="57541FFF" w:rsidR="00E53836" w:rsidRPr="00E53836" w:rsidRDefault="00E53836">
          <w:pPr>
            <w:pStyle w:val="TOC1"/>
            <w:tabs>
              <w:tab w:val="right" w:leader="dot" w:pos="8296"/>
            </w:tabs>
            <w:rPr>
              <w:rFonts w:ascii="Times New Roman" w:hAnsi="Times New Roman"/>
              <w:b w:val="0"/>
              <w:bCs w:val="0"/>
              <w:caps w:val="0"/>
              <w:noProof/>
              <w:sz w:val="24"/>
              <w:szCs w:val="24"/>
              <w14:ligatures w14:val="standardContextual"/>
            </w:rPr>
          </w:pPr>
          <w:hyperlink w:anchor="_Toc216107003" w:history="1">
            <w:r w:rsidRPr="00E53836">
              <w:rPr>
                <w:rStyle w:val="aff3"/>
                <w:rFonts w:ascii="Times New Roman" w:hAnsi="Times New Roman"/>
                <w:noProof/>
                <w:sz w:val="24"/>
                <w:szCs w:val="24"/>
              </w:rPr>
              <w:t xml:space="preserve">2 </w:t>
            </w:r>
            <w:r w:rsidRPr="00E53836">
              <w:rPr>
                <w:rStyle w:val="aff3"/>
                <w:rFonts w:ascii="Times New Roman" w:hAnsi="Times New Roman"/>
                <w:noProof/>
                <w:sz w:val="24"/>
                <w:szCs w:val="24"/>
              </w:rPr>
              <w:t>规划分析</w:t>
            </w:r>
            <w:r w:rsidRPr="00E53836">
              <w:rPr>
                <w:rFonts w:ascii="Times New Roman" w:hAnsi="Times New Roman"/>
                <w:noProof/>
                <w:webHidden/>
                <w:sz w:val="24"/>
                <w:szCs w:val="24"/>
              </w:rPr>
              <w:tab/>
            </w:r>
            <w:r w:rsidRPr="00E53836">
              <w:rPr>
                <w:rFonts w:ascii="Times New Roman" w:hAnsi="Times New Roman"/>
                <w:noProof/>
                <w:webHidden/>
                <w:sz w:val="24"/>
                <w:szCs w:val="24"/>
              </w:rPr>
              <w:fldChar w:fldCharType="begin"/>
            </w:r>
            <w:r w:rsidRPr="00E53836">
              <w:rPr>
                <w:rFonts w:ascii="Times New Roman" w:hAnsi="Times New Roman"/>
                <w:noProof/>
                <w:webHidden/>
                <w:sz w:val="24"/>
                <w:szCs w:val="24"/>
              </w:rPr>
              <w:instrText xml:space="preserve"> PAGEREF _Toc216107003 \h </w:instrText>
            </w:r>
            <w:r w:rsidRPr="00E53836">
              <w:rPr>
                <w:rFonts w:ascii="Times New Roman" w:hAnsi="Times New Roman"/>
                <w:noProof/>
                <w:webHidden/>
                <w:sz w:val="24"/>
                <w:szCs w:val="24"/>
              </w:rPr>
            </w:r>
            <w:r w:rsidRPr="00E53836">
              <w:rPr>
                <w:rFonts w:ascii="Times New Roman" w:hAnsi="Times New Roman"/>
                <w:noProof/>
                <w:webHidden/>
                <w:sz w:val="24"/>
                <w:szCs w:val="24"/>
              </w:rPr>
              <w:fldChar w:fldCharType="separate"/>
            </w:r>
            <w:r w:rsidR="00F32CCA">
              <w:rPr>
                <w:rFonts w:ascii="Times New Roman" w:hAnsi="Times New Roman"/>
                <w:noProof/>
                <w:webHidden/>
                <w:sz w:val="24"/>
                <w:szCs w:val="24"/>
              </w:rPr>
              <w:t>19</w:t>
            </w:r>
            <w:r w:rsidRPr="00E53836">
              <w:rPr>
                <w:rFonts w:ascii="Times New Roman" w:hAnsi="Times New Roman"/>
                <w:noProof/>
                <w:webHidden/>
                <w:sz w:val="24"/>
                <w:szCs w:val="24"/>
              </w:rPr>
              <w:fldChar w:fldCharType="end"/>
            </w:r>
          </w:hyperlink>
        </w:p>
        <w:p w14:paraId="10CBEA74" w14:textId="5EFB157B" w:rsidR="00E53836" w:rsidRPr="00E53836" w:rsidRDefault="00E53836">
          <w:pPr>
            <w:pStyle w:val="TOC2"/>
            <w:tabs>
              <w:tab w:val="right" w:leader="dot" w:pos="8296"/>
            </w:tabs>
            <w:rPr>
              <w:rFonts w:ascii="Times New Roman" w:hAnsi="Times New Roman"/>
              <w:smallCaps w:val="0"/>
              <w:noProof/>
              <w:sz w:val="24"/>
              <w:szCs w:val="24"/>
              <w14:ligatures w14:val="standardContextual"/>
            </w:rPr>
          </w:pPr>
          <w:hyperlink w:anchor="_Toc216107004" w:history="1">
            <w:r w:rsidRPr="00E53836">
              <w:rPr>
                <w:rStyle w:val="aff3"/>
                <w:rFonts w:ascii="Times New Roman" w:hAnsi="Times New Roman"/>
                <w:noProof/>
                <w:sz w:val="24"/>
                <w:szCs w:val="24"/>
              </w:rPr>
              <w:t xml:space="preserve">2.1 </w:t>
            </w:r>
            <w:r w:rsidRPr="00E53836">
              <w:rPr>
                <w:rStyle w:val="aff3"/>
                <w:rFonts w:ascii="Times New Roman" w:hAnsi="Times New Roman"/>
                <w:noProof/>
                <w:sz w:val="24"/>
                <w:szCs w:val="24"/>
              </w:rPr>
              <w:t>规划概述</w:t>
            </w:r>
            <w:r w:rsidRPr="00E53836">
              <w:rPr>
                <w:rFonts w:ascii="Times New Roman" w:hAnsi="Times New Roman"/>
                <w:noProof/>
                <w:webHidden/>
                <w:sz w:val="24"/>
                <w:szCs w:val="24"/>
              </w:rPr>
              <w:tab/>
            </w:r>
            <w:r w:rsidRPr="00E53836">
              <w:rPr>
                <w:rFonts w:ascii="Times New Roman" w:hAnsi="Times New Roman"/>
                <w:noProof/>
                <w:webHidden/>
                <w:sz w:val="24"/>
                <w:szCs w:val="24"/>
              </w:rPr>
              <w:fldChar w:fldCharType="begin"/>
            </w:r>
            <w:r w:rsidRPr="00E53836">
              <w:rPr>
                <w:rFonts w:ascii="Times New Roman" w:hAnsi="Times New Roman"/>
                <w:noProof/>
                <w:webHidden/>
                <w:sz w:val="24"/>
                <w:szCs w:val="24"/>
              </w:rPr>
              <w:instrText xml:space="preserve"> PAGEREF _Toc216107004 \h </w:instrText>
            </w:r>
            <w:r w:rsidRPr="00E53836">
              <w:rPr>
                <w:rFonts w:ascii="Times New Roman" w:hAnsi="Times New Roman"/>
                <w:noProof/>
                <w:webHidden/>
                <w:sz w:val="24"/>
                <w:szCs w:val="24"/>
              </w:rPr>
            </w:r>
            <w:r w:rsidRPr="00E53836">
              <w:rPr>
                <w:rFonts w:ascii="Times New Roman" w:hAnsi="Times New Roman"/>
                <w:noProof/>
                <w:webHidden/>
                <w:sz w:val="24"/>
                <w:szCs w:val="24"/>
              </w:rPr>
              <w:fldChar w:fldCharType="separate"/>
            </w:r>
            <w:r w:rsidR="00F32CCA">
              <w:rPr>
                <w:rFonts w:ascii="Times New Roman" w:hAnsi="Times New Roman"/>
                <w:noProof/>
                <w:webHidden/>
                <w:sz w:val="24"/>
                <w:szCs w:val="24"/>
              </w:rPr>
              <w:t>19</w:t>
            </w:r>
            <w:r w:rsidRPr="00E53836">
              <w:rPr>
                <w:rFonts w:ascii="Times New Roman" w:hAnsi="Times New Roman"/>
                <w:noProof/>
                <w:webHidden/>
                <w:sz w:val="24"/>
                <w:szCs w:val="24"/>
              </w:rPr>
              <w:fldChar w:fldCharType="end"/>
            </w:r>
          </w:hyperlink>
        </w:p>
        <w:p w14:paraId="79EE106C" w14:textId="39480F08" w:rsidR="00E53836" w:rsidRPr="00E53836" w:rsidRDefault="00E53836">
          <w:pPr>
            <w:pStyle w:val="TOC3"/>
            <w:tabs>
              <w:tab w:val="right" w:leader="dot" w:pos="8296"/>
            </w:tabs>
            <w:rPr>
              <w:rFonts w:ascii="Times New Roman" w:hAnsi="Times New Roman"/>
              <w:i w:val="0"/>
              <w:iCs w:val="0"/>
              <w:noProof/>
              <w:sz w:val="24"/>
              <w:szCs w:val="24"/>
              <w14:ligatures w14:val="standardContextual"/>
            </w:rPr>
          </w:pPr>
          <w:hyperlink w:anchor="_Toc216107005" w:history="1">
            <w:r w:rsidRPr="00E53836">
              <w:rPr>
                <w:rStyle w:val="aff3"/>
                <w:rFonts w:ascii="Times New Roman" w:hAnsi="Times New Roman"/>
                <w:i w:val="0"/>
                <w:iCs w:val="0"/>
                <w:noProof/>
                <w:sz w:val="24"/>
                <w:szCs w:val="24"/>
              </w:rPr>
              <w:t xml:space="preserve">2.1.3 </w:t>
            </w:r>
            <w:r w:rsidRPr="00E53836">
              <w:rPr>
                <w:rStyle w:val="aff3"/>
                <w:rFonts w:ascii="Times New Roman" w:hAnsi="Times New Roman"/>
                <w:i w:val="0"/>
                <w:iCs w:val="0"/>
                <w:noProof/>
                <w:sz w:val="24"/>
                <w:szCs w:val="24"/>
              </w:rPr>
              <w:t>规划目标与主要控制指标</w:t>
            </w:r>
            <w:r w:rsidRPr="00E53836">
              <w:rPr>
                <w:rFonts w:ascii="Times New Roman" w:hAnsi="Times New Roman"/>
                <w:i w:val="0"/>
                <w:iCs w:val="0"/>
                <w:noProof/>
                <w:webHidden/>
                <w:sz w:val="24"/>
                <w:szCs w:val="24"/>
              </w:rPr>
              <w:tab/>
            </w:r>
            <w:r w:rsidRPr="00E53836">
              <w:rPr>
                <w:rFonts w:ascii="Times New Roman" w:hAnsi="Times New Roman"/>
                <w:i w:val="0"/>
                <w:iCs w:val="0"/>
                <w:noProof/>
                <w:webHidden/>
                <w:sz w:val="24"/>
                <w:szCs w:val="24"/>
              </w:rPr>
              <w:fldChar w:fldCharType="begin"/>
            </w:r>
            <w:r w:rsidRPr="00E53836">
              <w:rPr>
                <w:rFonts w:ascii="Times New Roman" w:hAnsi="Times New Roman"/>
                <w:i w:val="0"/>
                <w:iCs w:val="0"/>
                <w:noProof/>
                <w:webHidden/>
                <w:sz w:val="24"/>
                <w:szCs w:val="24"/>
              </w:rPr>
              <w:instrText xml:space="preserve"> PAGEREF _Toc216107005 \h </w:instrText>
            </w:r>
            <w:r w:rsidRPr="00E53836">
              <w:rPr>
                <w:rFonts w:ascii="Times New Roman" w:hAnsi="Times New Roman"/>
                <w:i w:val="0"/>
                <w:iCs w:val="0"/>
                <w:noProof/>
                <w:webHidden/>
                <w:sz w:val="24"/>
                <w:szCs w:val="24"/>
              </w:rPr>
            </w:r>
            <w:r w:rsidRPr="00E53836">
              <w:rPr>
                <w:rFonts w:ascii="Times New Roman" w:hAnsi="Times New Roman"/>
                <w:i w:val="0"/>
                <w:iCs w:val="0"/>
                <w:noProof/>
                <w:webHidden/>
                <w:sz w:val="24"/>
                <w:szCs w:val="24"/>
              </w:rPr>
              <w:fldChar w:fldCharType="separate"/>
            </w:r>
            <w:r w:rsidR="00F32CCA">
              <w:rPr>
                <w:rFonts w:ascii="Times New Roman" w:hAnsi="Times New Roman"/>
                <w:i w:val="0"/>
                <w:iCs w:val="0"/>
                <w:noProof/>
                <w:webHidden/>
                <w:sz w:val="24"/>
                <w:szCs w:val="24"/>
              </w:rPr>
              <w:t>20</w:t>
            </w:r>
            <w:r w:rsidRPr="00E53836">
              <w:rPr>
                <w:rFonts w:ascii="Times New Roman" w:hAnsi="Times New Roman"/>
                <w:i w:val="0"/>
                <w:iCs w:val="0"/>
                <w:noProof/>
                <w:webHidden/>
                <w:sz w:val="24"/>
                <w:szCs w:val="24"/>
              </w:rPr>
              <w:fldChar w:fldCharType="end"/>
            </w:r>
          </w:hyperlink>
        </w:p>
        <w:p w14:paraId="3CF8E67C" w14:textId="5F9C179F" w:rsidR="00E53836" w:rsidRPr="00E53836" w:rsidRDefault="00E53836">
          <w:pPr>
            <w:pStyle w:val="TOC2"/>
            <w:tabs>
              <w:tab w:val="right" w:leader="dot" w:pos="8296"/>
            </w:tabs>
            <w:rPr>
              <w:rFonts w:ascii="Times New Roman" w:hAnsi="Times New Roman"/>
              <w:smallCaps w:val="0"/>
              <w:noProof/>
              <w:sz w:val="24"/>
              <w:szCs w:val="24"/>
              <w14:ligatures w14:val="standardContextual"/>
            </w:rPr>
          </w:pPr>
          <w:hyperlink w:anchor="_Toc216107006" w:history="1">
            <w:r w:rsidRPr="00E53836">
              <w:rPr>
                <w:rStyle w:val="aff3"/>
                <w:rFonts w:ascii="Times New Roman" w:hAnsi="Times New Roman"/>
                <w:noProof/>
                <w:sz w:val="24"/>
                <w:szCs w:val="24"/>
              </w:rPr>
              <w:t xml:space="preserve">2.2 </w:t>
            </w:r>
            <w:r w:rsidRPr="00E53836">
              <w:rPr>
                <w:rStyle w:val="aff3"/>
                <w:rFonts w:ascii="Times New Roman" w:hAnsi="Times New Roman"/>
                <w:noProof/>
                <w:sz w:val="24"/>
                <w:szCs w:val="24"/>
              </w:rPr>
              <w:t>规划协调性分析</w:t>
            </w:r>
            <w:r w:rsidRPr="00E53836">
              <w:rPr>
                <w:rFonts w:ascii="Times New Roman" w:hAnsi="Times New Roman"/>
                <w:noProof/>
                <w:webHidden/>
                <w:sz w:val="24"/>
                <w:szCs w:val="24"/>
              </w:rPr>
              <w:tab/>
            </w:r>
            <w:r w:rsidRPr="00E53836">
              <w:rPr>
                <w:rFonts w:ascii="Times New Roman" w:hAnsi="Times New Roman"/>
                <w:noProof/>
                <w:webHidden/>
                <w:sz w:val="24"/>
                <w:szCs w:val="24"/>
              </w:rPr>
              <w:fldChar w:fldCharType="begin"/>
            </w:r>
            <w:r w:rsidRPr="00E53836">
              <w:rPr>
                <w:rFonts w:ascii="Times New Roman" w:hAnsi="Times New Roman"/>
                <w:noProof/>
                <w:webHidden/>
                <w:sz w:val="24"/>
                <w:szCs w:val="24"/>
              </w:rPr>
              <w:instrText xml:space="preserve"> PAGEREF _Toc216107006 \h </w:instrText>
            </w:r>
            <w:r w:rsidRPr="00E53836">
              <w:rPr>
                <w:rFonts w:ascii="Times New Roman" w:hAnsi="Times New Roman"/>
                <w:noProof/>
                <w:webHidden/>
                <w:sz w:val="24"/>
                <w:szCs w:val="24"/>
              </w:rPr>
            </w:r>
            <w:r w:rsidRPr="00E53836">
              <w:rPr>
                <w:rFonts w:ascii="Times New Roman" w:hAnsi="Times New Roman"/>
                <w:noProof/>
                <w:webHidden/>
                <w:sz w:val="24"/>
                <w:szCs w:val="24"/>
              </w:rPr>
              <w:fldChar w:fldCharType="separate"/>
            </w:r>
            <w:r w:rsidR="00F32CCA">
              <w:rPr>
                <w:rFonts w:ascii="Times New Roman" w:hAnsi="Times New Roman"/>
                <w:noProof/>
                <w:webHidden/>
                <w:sz w:val="24"/>
                <w:szCs w:val="24"/>
              </w:rPr>
              <w:t>52</w:t>
            </w:r>
            <w:r w:rsidRPr="00E53836">
              <w:rPr>
                <w:rFonts w:ascii="Times New Roman" w:hAnsi="Times New Roman"/>
                <w:noProof/>
                <w:webHidden/>
                <w:sz w:val="24"/>
                <w:szCs w:val="24"/>
              </w:rPr>
              <w:fldChar w:fldCharType="end"/>
            </w:r>
          </w:hyperlink>
        </w:p>
        <w:p w14:paraId="33AF0893" w14:textId="63B8CA91" w:rsidR="00E53836" w:rsidRPr="00E53836" w:rsidRDefault="00E53836">
          <w:pPr>
            <w:pStyle w:val="TOC1"/>
            <w:tabs>
              <w:tab w:val="right" w:leader="dot" w:pos="8296"/>
            </w:tabs>
            <w:rPr>
              <w:rFonts w:ascii="Times New Roman" w:hAnsi="Times New Roman"/>
              <w:b w:val="0"/>
              <w:bCs w:val="0"/>
              <w:caps w:val="0"/>
              <w:noProof/>
              <w:sz w:val="24"/>
              <w:szCs w:val="24"/>
              <w14:ligatures w14:val="standardContextual"/>
            </w:rPr>
          </w:pPr>
          <w:hyperlink w:anchor="_Toc216107007" w:history="1">
            <w:r w:rsidRPr="00E53836">
              <w:rPr>
                <w:rStyle w:val="aff3"/>
                <w:rFonts w:ascii="Times New Roman" w:hAnsi="Times New Roman"/>
                <w:noProof/>
                <w:sz w:val="24"/>
                <w:szCs w:val="24"/>
              </w:rPr>
              <w:t xml:space="preserve">3 </w:t>
            </w:r>
            <w:r w:rsidRPr="00E53836">
              <w:rPr>
                <w:rStyle w:val="aff3"/>
                <w:rFonts w:ascii="Times New Roman" w:hAnsi="Times New Roman"/>
                <w:noProof/>
                <w:sz w:val="24"/>
                <w:szCs w:val="24"/>
              </w:rPr>
              <w:t>现状调查与评价</w:t>
            </w:r>
            <w:r w:rsidRPr="00E53836">
              <w:rPr>
                <w:rFonts w:ascii="Times New Roman" w:hAnsi="Times New Roman"/>
                <w:noProof/>
                <w:webHidden/>
                <w:sz w:val="24"/>
                <w:szCs w:val="24"/>
              </w:rPr>
              <w:tab/>
            </w:r>
            <w:r w:rsidRPr="00E53836">
              <w:rPr>
                <w:rFonts w:ascii="Times New Roman" w:hAnsi="Times New Roman"/>
                <w:noProof/>
                <w:webHidden/>
                <w:sz w:val="24"/>
                <w:szCs w:val="24"/>
              </w:rPr>
              <w:fldChar w:fldCharType="begin"/>
            </w:r>
            <w:r w:rsidRPr="00E53836">
              <w:rPr>
                <w:rFonts w:ascii="Times New Roman" w:hAnsi="Times New Roman"/>
                <w:noProof/>
                <w:webHidden/>
                <w:sz w:val="24"/>
                <w:szCs w:val="24"/>
              </w:rPr>
              <w:instrText xml:space="preserve"> PAGEREF _Toc216107007 \h </w:instrText>
            </w:r>
            <w:r w:rsidRPr="00E53836">
              <w:rPr>
                <w:rFonts w:ascii="Times New Roman" w:hAnsi="Times New Roman"/>
                <w:noProof/>
                <w:webHidden/>
                <w:sz w:val="24"/>
                <w:szCs w:val="24"/>
              </w:rPr>
            </w:r>
            <w:r w:rsidRPr="00E53836">
              <w:rPr>
                <w:rFonts w:ascii="Times New Roman" w:hAnsi="Times New Roman"/>
                <w:noProof/>
                <w:webHidden/>
                <w:sz w:val="24"/>
                <w:szCs w:val="24"/>
              </w:rPr>
              <w:fldChar w:fldCharType="separate"/>
            </w:r>
            <w:r w:rsidR="00F32CCA">
              <w:rPr>
                <w:rFonts w:ascii="Times New Roman" w:hAnsi="Times New Roman"/>
                <w:noProof/>
                <w:webHidden/>
                <w:sz w:val="24"/>
                <w:szCs w:val="24"/>
              </w:rPr>
              <w:t>67</w:t>
            </w:r>
            <w:r w:rsidRPr="00E53836">
              <w:rPr>
                <w:rFonts w:ascii="Times New Roman" w:hAnsi="Times New Roman"/>
                <w:noProof/>
                <w:webHidden/>
                <w:sz w:val="24"/>
                <w:szCs w:val="24"/>
              </w:rPr>
              <w:fldChar w:fldCharType="end"/>
            </w:r>
          </w:hyperlink>
        </w:p>
        <w:p w14:paraId="5CE8CDF6" w14:textId="0CEBB490" w:rsidR="00E53836" w:rsidRPr="00E53836" w:rsidRDefault="00E53836">
          <w:pPr>
            <w:pStyle w:val="TOC2"/>
            <w:tabs>
              <w:tab w:val="right" w:leader="dot" w:pos="8296"/>
            </w:tabs>
            <w:rPr>
              <w:rFonts w:ascii="Times New Roman" w:hAnsi="Times New Roman"/>
              <w:smallCaps w:val="0"/>
              <w:noProof/>
              <w:sz w:val="24"/>
              <w:szCs w:val="24"/>
              <w14:ligatures w14:val="standardContextual"/>
            </w:rPr>
          </w:pPr>
          <w:hyperlink w:anchor="_Toc216107008" w:history="1">
            <w:r w:rsidRPr="00E53836">
              <w:rPr>
                <w:rStyle w:val="aff3"/>
                <w:rFonts w:ascii="Times New Roman" w:hAnsi="Times New Roman"/>
                <w:noProof/>
                <w:sz w:val="24"/>
                <w:szCs w:val="24"/>
              </w:rPr>
              <w:t xml:space="preserve">3.1 </w:t>
            </w:r>
            <w:r w:rsidRPr="00E53836">
              <w:rPr>
                <w:rStyle w:val="aff3"/>
                <w:rFonts w:ascii="Times New Roman" w:hAnsi="Times New Roman"/>
                <w:noProof/>
                <w:sz w:val="24"/>
                <w:szCs w:val="24"/>
              </w:rPr>
              <w:t>自然环境概况</w:t>
            </w:r>
            <w:r w:rsidRPr="00E53836">
              <w:rPr>
                <w:rFonts w:ascii="Times New Roman" w:hAnsi="Times New Roman"/>
                <w:noProof/>
                <w:webHidden/>
                <w:sz w:val="24"/>
                <w:szCs w:val="24"/>
              </w:rPr>
              <w:tab/>
            </w:r>
            <w:r w:rsidRPr="00E53836">
              <w:rPr>
                <w:rFonts w:ascii="Times New Roman" w:hAnsi="Times New Roman"/>
                <w:noProof/>
                <w:webHidden/>
                <w:sz w:val="24"/>
                <w:szCs w:val="24"/>
              </w:rPr>
              <w:fldChar w:fldCharType="begin"/>
            </w:r>
            <w:r w:rsidRPr="00E53836">
              <w:rPr>
                <w:rFonts w:ascii="Times New Roman" w:hAnsi="Times New Roman"/>
                <w:noProof/>
                <w:webHidden/>
                <w:sz w:val="24"/>
                <w:szCs w:val="24"/>
              </w:rPr>
              <w:instrText xml:space="preserve"> PAGEREF _Toc216107008 \h </w:instrText>
            </w:r>
            <w:r w:rsidRPr="00E53836">
              <w:rPr>
                <w:rFonts w:ascii="Times New Roman" w:hAnsi="Times New Roman"/>
                <w:noProof/>
                <w:webHidden/>
                <w:sz w:val="24"/>
                <w:szCs w:val="24"/>
              </w:rPr>
            </w:r>
            <w:r w:rsidRPr="00E53836">
              <w:rPr>
                <w:rFonts w:ascii="Times New Roman" w:hAnsi="Times New Roman"/>
                <w:noProof/>
                <w:webHidden/>
                <w:sz w:val="24"/>
                <w:szCs w:val="24"/>
              </w:rPr>
              <w:fldChar w:fldCharType="separate"/>
            </w:r>
            <w:r w:rsidR="00F32CCA">
              <w:rPr>
                <w:rFonts w:ascii="Times New Roman" w:hAnsi="Times New Roman"/>
                <w:noProof/>
                <w:webHidden/>
                <w:sz w:val="24"/>
                <w:szCs w:val="24"/>
              </w:rPr>
              <w:t>67</w:t>
            </w:r>
            <w:r w:rsidRPr="00E53836">
              <w:rPr>
                <w:rFonts w:ascii="Times New Roman" w:hAnsi="Times New Roman"/>
                <w:noProof/>
                <w:webHidden/>
                <w:sz w:val="24"/>
                <w:szCs w:val="24"/>
              </w:rPr>
              <w:fldChar w:fldCharType="end"/>
            </w:r>
          </w:hyperlink>
        </w:p>
        <w:p w14:paraId="6A32390C" w14:textId="0519D3A8" w:rsidR="00E53836" w:rsidRPr="00E53836" w:rsidRDefault="00E53836">
          <w:pPr>
            <w:pStyle w:val="TOC2"/>
            <w:tabs>
              <w:tab w:val="right" w:leader="dot" w:pos="8296"/>
            </w:tabs>
            <w:rPr>
              <w:rFonts w:ascii="Times New Roman" w:hAnsi="Times New Roman"/>
              <w:smallCaps w:val="0"/>
              <w:noProof/>
              <w:sz w:val="24"/>
              <w:szCs w:val="24"/>
              <w14:ligatures w14:val="standardContextual"/>
            </w:rPr>
          </w:pPr>
          <w:hyperlink w:anchor="_Toc216107009" w:history="1">
            <w:r w:rsidRPr="00E53836">
              <w:rPr>
                <w:rStyle w:val="aff3"/>
                <w:rFonts w:ascii="Times New Roman" w:hAnsi="Times New Roman"/>
                <w:noProof/>
                <w:sz w:val="24"/>
                <w:szCs w:val="24"/>
              </w:rPr>
              <w:t xml:space="preserve">3.2 </w:t>
            </w:r>
            <w:r w:rsidRPr="00E53836">
              <w:rPr>
                <w:rStyle w:val="aff3"/>
                <w:rFonts w:ascii="Times New Roman" w:hAnsi="Times New Roman"/>
                <w:noProof/>
                <w:sz w:val="24"/>
                <w:szCs w:val="24"/>
              </w:rPr>
              <w:t>水文水资源现状调查与评价</w:t>
            </w:r>
            <w:r w:rsidRPr="00E53836">
              <w:rPr>
                <w:rFonts w:ascii="Times New Roman" w:hAnsi="Times New Roman"/>
                <w:noProof/>
                <w:webHidden/>
                <w:sz w:val="24"/>
                <w:szCs w:val="24"/>
              </w:rPr>
              <w:tab/>
            </w:r>
            <w:r w:rsidRPr="00E53836">
              <w:rPr>
                <w:rFonts w:ascii="Times New Roman" w:hAnsi="Times New Roman"/>
                <w:noProof/>
                <w:webHidden/>
                <w:sz w:val="24"/>
                <w:szCs w:val="24"/>
              </w:rPr>
              <w:fldChar w:fldCharType="begin"/>
            </w:r>
            <w:r w:rsidRPr="00E53836">
              <w:rPr>
                <w:rFonts w:ascii="Times New Roman" w:hAnsi="Times New Roman"/>
                <w:noProof/>
                <w:webHidden/>
                <w:sz w:val="24"/>
                <w:szCs w:val="24"/>
              </w:rPr>
              <w:instrText xml:space="preserve"> PAGEREF _Toc216107009 \h </w:instrText>
            </w:r>
            <w:r w:rsidRPr="00E53836">
              <w:rPr>
                <w:rFonts w:ascii="Times New Roman" w:hAnsi="Times New Roman"/>
                <w:noProof/>
                <w:webHidden/>
                <w:sz w:val="24"/>
                <w:szCs w:val="24"/>
              </w:rPr>
            </w:r>
            <w:r w:rsidRPr="00E53836">
              <w:rPr>
                <w:rFonts w:ascii="Times New Roman" w:hAnsi="Times New Roman"/>
                <w:noProof/>
                <w:webHidden/>
                <w:sz w:val="24"/>
                <w:szCs w:val="24"/>
              </w:rPr>
              <w:fldChar w:fldCharType="separate"/>
            </w:r>
            <w:r w:rsidR="00F32CCA">
              <w:rPr>
                <w:rFonts w:ascii="Times New Roman" w:hAnsi="Times New Roman"/>
                <w:noProof/>
                <w:webHidden/>
                <w:sz w:val="24"/>
                <w:szCs w:val="24"/>
              </w:rPr>
              <w:t>70</w:t>
            </w:r>
            <w:r w:rsidRPr="00E53836">
              <w:rPr>
                <w:rFonts w:ascii="Times New Roman" w:hAnsi="Times New Roman"/>
                <w:noProof/>
                <w:webHidden/>
                <w:sz w:val="24"/>
                <w:szCs w:val="24"/>
              </w:rPr>
              <w:fldChar w:fldCharType="end"/>
            </w:r>
          </w:hyperlink>
        </w:p>
        <w:p w14:paraId="23C363AB" w14:textId="1891BC7C" w:rsidR="00E53836" w:rsidRPr="00E53836" w:rsidRDefault="00E53836">
          <w:pPr>
            <w:pStyle w:val="TOC3"/>
            <w:tabs>
              <w:tab w:val="right" w:leader="dot" w:pos="8296"/>
            </w:tabs>
            <w:rPr>
              <w:rFonts w:ascii="Times New Roman" w:hAnsi="Times New Roman"/>
              <w:i w:val="0"/>
              <w:iCs w:val="0"/>
              <w:noProof/>
              <w:sz w:val="24"/>
              <w:szCs w:val="24"/>
              <w14:ligatures w14:val="standardContextual"/>
            </w:rPr>
          </w:pPr>
          <w:hyperlink w:anchor="_Toc216107010" w:history="1">
            <w:r w:rsidRPr="00E53836">
              <w:rPr>
                <w:rStyle w:val="aff3"/>
                <w:rFonts w:ascii="Times New Roman" w:hAnsi="Times New Roman"/>
                <w:i w:val="0"/>
                <w:iCs w:val="0"/>
                <w:noProof/>
                <w:sz w:val="24"/>
                <w:szCs w:val="24"/>
              </w:rPr>
              <w:t xml:space="preserve">3.2.1 </w:t>
            </w:r>
            <w:r w:rsidRPr="00E53836">
              <w:rPr>
                <w:rStyle w:val="aff3"/>
                <w:rFonts w:ascii="Times New Roman" w:hAnsi="Times New Roman"/>
                <w:i w:val="0"/>
                <w:iCs w:val="0"/>
                <w:noProof/>
                <w:sz w:val="24"/>
                <w:szCs w:val="24"/>
              </w:rPr>
              <w:t>水资源量及其时空分布</w:t>
            </w:r>
            <w:r w:rsidRPr="00E53836">
              <w:rPr>
                <w:rFonts w:ascii="Times New Roman" w:hAnsi="Times New Roman"/>
                <w:i w:val="0"/>
                <w:iCs w:val="0"/>
                <w:noProof/>
                <w:webHidden/>
                <w:sz w:val="24"/>
                <w:szCs w:val="24"/>
              </w:rPr>
              <w:tab/>
            </w:r>
            <w:r w:rsidRPr="00E53836">
              <w:rPr>
                <w:rFonts w:ascii="Times New Roman" w:hAnsi="Times New Roman"/>
                <w:i w:val="0"/>
                <w:iCs w:val="0"/>
                <w:noProof/>
                <w:webHidden/>
                <w:sz w:val="24"/>
                <w:szCs w:val="24"/>
              </w:rPr>
              <w:fldChar w:fldCharType="begin"/>
            </w:r>
            <w:r w:rsidRPr="00E53836">
              <w:rPr>
                <w:rFonts w:ascii="Times New Roman" w:hAnsi="Times New Roman"/>
                <w:i w:val="0"/>
                <w:iCs w:val="0"/>
                <w:noProof/>
                <w:webHidden/>
                <w:sz w:val="24"/>
                <w:szCs w:val="24"/>
              </w:rPr>
              <w:instrText xml:space="preserve"> PAGEREF _Toc216107010 \h </w:instrText>
            </w:r>
            <w:r w:rsidRPr="00E53836">
              <w:rPr>
                <w:rFonts w:ascii="Times New Roman" w:hAnsi="Times New Roman"/>
                <w:i w:val="0"/>
                <w:iCs w:val="0"/>
                <w:noProof/>
                <w:webHidden/>
                <w:sz w:val="24"/>
                <w:szCs w:val="24"/>
              </w:rPr>
            </w:r>
            <w:r w:rsidRPr="00E53836">
              <w:rPr>
                <w:rFonts w:ascii="Times New Roman" w:hAnsi="Times New Roman"/>
                <w:i w:val="0"/>
                <w:iCs w:val="0"/>
                <w:noProof/>
                <w:webHidden/>
                <w:sz w:val="24"/>
                <w:szCs w:val="24"/>
              </w:rPr>
              <w:fldChar w:fldCharType="separate"/>
            </w:r>
            <w:r w:rsidR="00F32CCA">
              <w:rPr>
                <w:rFonts w:ascii="Times New Roman" w:hAnsi="Times New Roman"/>
                <w:i w:val="0"/>
                <w:iCs w:val="0"/>
                <w:noProof/>
                <w:webHidden/>
                <w:sz w:val="24"/>
                <w:szCs w:val="24"/>
              </w:rPr>
              <w:t>70</w:t>
            </w:r>
            <w:r w:rsidRPr="00E53836">
              <w:rPr>
                <w:rFonts w:ascii="Times New Roman" w:hAnsi="Times New Roman"/>
                <w:i w:val="0"/>
                <w:iCs w:val="0"/>
                <w:noProof/>
                <w:webHidden/>
                <w:sz w:val="24"/>
                <w:szCs w:val="24"/>
              </w:rPr>
              <w:fldChar w:fldCharType="end"/>
            </w:r>
          </w:hyperlink>
        </w:p>
        <w:p w14:paraId="19D35697" w14:textId="41A2DC20" w:rsidR="00E53836" w:rsidRPr="00E53836" w:rsidRDefault="00E53836">
          <w:pPr>
            <w:pStyle w:val="TOC2"/>
            <w:tabs>
              <w:tab w:val="right" w:leader="dot" w:pos="8296"/>
            </w:tabs>
            <w:rPr>
              <w:rFonts w:ascii="Times New Roman" w:hAnsi="Times New Roman"/>
              <w:smallCaps w:val="0"/>
              <w:noProof/>
              <w:sz w:val="24"/>
              <w:szCs w:val="24"/>
              <w14:ligatures w14:val="standardContextual"/>
            </w:rPr>
          </w:pPr>
          <w:hyperlink w:anchor="_Toc216107011" w:history="1">
            <w:r w:rsidRPr="00E53836">
              <w:rPr>
                <w:rStyle w:val="aff3"/>
                <w:rFonts w:ascii="Times New Roman" w:hAnsi="Times New Roman"/>
                <w:noProof/>
                <w:sz w:val="24"/>
                <w:szCs w:val="24"/>
              </w:rPr>
              <w:t xml:space="preserve">3.3 </w:t>
            </w:r>
            <w:r w:rsidRPr="00E53836">
              <w:rPr>
                <w:rStyle w:val="aff3"/>
                <w:rFonts w:ascii="Times New Roman" w:hAnsi="Times New Roman"/>
                <w:noProof/>
                <w:sz w:val="24"/>
                <w:szCs w:val="24"/>
              </w:rPr>
              <w:t>水环境现状调查与评价</w:t>
            </w:r>
            <w:r w:rsidRPr="00E53836">
              <w:rPr>
                <w:rFonts w:ascii="Times New Roman" w:hAnsi="Times New Roman"/>
                <w:noProof/>
                <w:webHidden/>
                <w:sz w:val="24"/>
                <w:szCs w:val="24"/>
              </w:rPr>
              <w:tab/>
            </w:r>
            <w:r w:rsidRPr="00E53836">
              <w:rPr>
                <w:rFonts w:ascii="Times New Roman" w:hAnsi="Times New Roman"/>
                <w:noProof/>
                <w:webHidden/>
                <w:sz w:val="24"/>
                <w:szCs w:val="24"/>
              </w:rPr>
              <w:fldChar w:fldCharType="begin"/>
            </w:r>
            <w:r w:rsidRPr="00E53836">
              <w:rPr>
                <w:rFonts w:ascii="Times New Roman" w:hAnsi="Times New Roman"/>
                <w:noProof/>
                <w:webHidden/>
                <w:sz w:val="24"/>
                <w:szCs w:val="24"/>
              </w:rPr>
              <w:instrText xml:space="preserve"> PAGEREF _Toc216107011 \h </w:instrText>
            </w:r>
            <w:r w:rsidRPr="00E53836">
              <w:rPr>
                <w:rFonts w:ascii="Times New Roman" w:hAnsi="Times New Roman"/>
                <w:noProof/>
                <w:webHidden/>
                <w:sz w:val="24"/>
                <w:szCs w:val="24"/>
              </w:rPr>
            </w:r>
            <w:r w:rsidRPr="00E53836">
              <w:rPr>
                <w:rFonts w:ascii="Times New Roman" w:hAnsi="Times New Roman"/>
                <w:noProof/>
                <w:webHidden/>
                <w:sz w:val="24"/>
                <w:szCs w:val="24"/>
              </w:rPr>
              <w:fldChar w:fldCharType="separate"/>
            </w:r>
            <w:r w:rsidR="00F32CCA">
              <w:rPr>
                <w:rFonts w:ascii="Times New Roman" w:hAnsi="Times New Roman"/>
                <w:noProof/>
                <w:webHidden/>
                <w:sz w:val="24"/>
                <w:szCs w:val="24"/>
              </w:rPr>
              <w:t>80</w:t>
            </w:r>
            <w:r w:rsidRPr="00E53836">
              <w:rPr>
                <w:rFonts w:ascii="Times New Roman" w:hAnsi="Times New Roman"/>
                <w:noProof/>
                <w:webHidden/>
                <w:sz w:val="24"/>
                <w:szCs w:val="24"/>
              </w:rPr>
              <w:fldChar w:fldCharType="end"/>
            </w:r>
          </w:hyperlink>
        </w:p>
        <w:p w14:paraId="5BAD8C8F" w14:textId="794D4885" w:rsidR="00E53836" w:rsidRPr="00E53836" w:rsidRDefault="00E53836">
          <w:pPr>
            <w:pStyle w:val="TOC3"/>
            <w:tabs>
              <w:tab w:val="right" w:leader="dot" w:pos="8296"/>
            </w:tabs>
            <w:rPr>
              <w:rFonts w:ascii="Times New Roman" w:hAnsi="Times New Roman"/>
              <w:i w:val="0"/>
              <w:iCs w:val="0"/>
              <w:noProof/>
              <w:sz w:val="24"/>
              <w:szCs w:val="24"/>
              <w14:ligatures w14:val="standardContextual"/>
            </w:rPr>
          </w:pPr>
          <w:hyperlink w:anchor="_Toc216107012" w:history="1">
            <w:r w:rsidRPr="00E53836">
              <w:rPr>
                <w:rStyle w:val="aff3"/>
                <w:rFonts w:ascii="Times New Roman" w:hAnsi="Times New Roman"/>
                <w:i w:val="0"/>
                <w:iCs w:val="0"/>
                <w:noProof/>
                <w:sz w:val="24"/>
                <w:szCs w:val="24"/>
              </w:rPr>
              <w:t xml:space="preserve">3.3.2 </w:t>
            </w:r>
            <w:r w:rsidRPr="00E53836">
              <w:rPr>
                <w:rStyle w:val="aff3"/>
                <w:rFonts w:ascii="Times New Roman" w:hAnsi="Times New Roman"/>
                <w:i w:val="0"/>
                <w:iCs w:val="0"/>
                <w:noProof/>
                <w:sz w:val="24"/>
                <w:szCs w:val="24"/>
              </w:rPr>
              <w:t>污染源现状</w:t>
            </w:r>
            <w:r w:rsidRPr="00E53836">
              <w:rPr>
                <w:rFonts w:ascii="Times New Roman" w:hAnsi="Times New Roman"/>
                <w:i w:val="0"/>
                <w:iCs w:val="0"/>
                <w:noProof/>
                <w:webHidden/>
                <w:sz w:val="24"/>
                <w:szCs w:val="24"/>
              </w:rPr>
              <w:tab/>
            </w:r>
            <w:r w:rsidRPr="00E53836">
              <w:rPr>
                <w:rFonts w:ascii="Times New Roman" w:hAnsi="Times New Roman"/>
                <w:i w:val="0"/>
                <w:iCs w:val="0"/>
                <w:noProof/>
                <w:webHidden/>
                <w:sz w:val="24"/>
                <w:szCs w:val="24"/>
              </w:rPr>
              <w:fldChar w:fldCharType="begin"/>
            </w:r>
            <w:r w:rsidRPr="00E53836">
              <w:rPr>
                <w:rFonts w:ascii="Times New Roman" w:hAnsi="Times New Roman"/>
                <w:i w:val="0"/>
                <w:iCs w:val="0"/>
                <w:noProof/>
                <w:webHidden/>
                <w:sz w:val="24"/>
                <w:szCs w:val="24"/>
              </w:rPr>
              <w:instrText xml:space="preserve"> PAGEREF _Toc216107012 \h </w:instrText>
            </w:r>
            <w:r w:rsidRPr="00E53836">
              <w:rPr>
                <w:rFonts w:ascii="Times New Roman" w:hAnsi="Times New Roman"/>
                <w:i w:val="0"/>
                <w:iCs w:val="0"/>
                <w:noProof/>
                <w:webHidden/>
                <w:sz w:val="24"/>
                <w:szCs w:val="24"/>
              </w:rPr>
            </w:r>
            <w:r w:rsidRPr="00E53836">
              <w:rPr>
                <w:rFonts w:ascii="Times New Roman" w:hAnsi="Times New Roman"/>
                <w:i w:val="0"/>
                <w:iCs w:val="0"/>
                <w:noProof/>
                <w:webHidden/>
                <w:sz w:val="24"/>
                <w:szCs w:val="24"/>
              </w:rPr>
              <w:fldChar w:fldCharType="separate"/>
            </w:r>
            <w:r w:rsidR="00F32CCA">
              <w:rPr>
                <w:rFonts w:ascii="Times New Roman" w:hAnsi="Times New Roman"/>
                <w:i w:val="0"/>
                <w:iCs w:val="0"/>
                <w:noProof/>
                <w:webHidden/>
                <w:sz w:val="24"/>
                <w:szCs w:val="24"/>
              </w:rPr>
              <w:t>81</w:t>
            </w:r>
            <w:r w:rsidRPr="00E53836">
              <w:rPr>
                <w:rFonts w:ascii="Times New Roman" w:hAnsi="Times New Roman"/>
                <w:i w:val="0"/>
                <w:iCs w:val="0"/>
                <w:noProof/>
                <w:webHidden/>
                <w:sz w:val="24"/>
                <w:szCs w:val="24"/>
              </w:rPr>
              <w:fldChar w:fldCharType="end"/>
            </w:r>
          </w:hyperlink>
        </w:p>
        <w:p w14:paraId="2BF64283" w14:textId="5A949CD7" w:rsidR="00E53836" w:rsidRPr="00E53836" w:rsidRDefault="00E53836">
          <w:pPr>
            <w:pStyle w:val="TOC3"/>
            <w:tabs>
              <w:tab w:val="right" w:leader="dot" w:pos="8296"/>
            </w:tabs>
            <w:rPr>
              <w:rFonts w:ascii="Times New Roman" w:hAnsi="Times New Roman"/>
              <w:i w:val="0"/>
              <w:iCs w:val="0"/>
              <w:noProof/>
              <w:sz w:val="24"/>
              <w:szCs w:val="24"/>
              <w14:ligatures w14:val="standardContextual"/>
            </w:rPr>
          </w:pPr>
          <w:hyperlink w:anchor="_Toc216107013" w:history="1">
            <w:r w:rsidRPr="00E53836">
              <w:rPr>
                <w:rStyle w:val="aff3"/>
                <w:rFonts w:ascii="Times New Roman" w:hAnsi="Times New Roman"/>
                <w:i w:val="0"/>
                <w:iCs w:val="0"/>
                <w:noProof/>
                <w:sz w:val="24"/>
                <w:szCs w:val="24"/>
              </w:rPr>
              <w:t xml:space="preserve">3.3.3 </w:t>
            </w:r>
            <w:r w:rsidRPr="00E53836">
              <w:rPr>
                <w:rStyle w:val="aff3"/>
                <w:rFonts w:ascii="Times New Roman" w:hAnsi="Times New Roman"/>
                <w:i w:val="0"/>
                <w:iCs w:val="0"/>
                <w:noProof/>
                <w:sz w:val="24"/>
                <w:szCs w:val="24"/>
              </w:rPr>
              <w:t>环保基础设施建设及运行情况</w:t>
            </w:r>
            <w:r w:rsidRPr="00E53836">
              <w:rPr>
                <w:rFonts w:ascii="Times New Roman" w:hAnsi="Times New Roman"/>
                <w:i w:val="0"/>
                <w:iCs w:val="0"/>
                <w:noProof/>
                <w:webHidden/>
                <w:sz w:val="24"/>
                <w:szCs w:val="24"/>
              </w:rPr>
              <w:tab/>
            </w:r>
            <w:r w:rsidRPr="00E53836">
              <w:rPr>
                <w:rFonts w:ascii="Times New Roman" w:hAnsi="Times New Roman"/>
                <w:i w:val="0"/>
                <w:iCs w:val="0"/>
                <w:noProof/>
                <w:webHidden/>
                <w:sz w:val="24"/>
                <w:szCs w:val="24"/>
              </w:rPr>
              <w:fldChar w:fldCharType="begin"/>
            </w:r>
            <w:r w:rsidRPr="00E53836">
              <w:rPr>
                <w:rFonts w:ascii="Times New Roman" w:hAnsi="Times New Roman"/>
                <w:i w:val="0"/>
                <w:iCs w:val="0"/>
                <w:noProof/>
                <w:webHidden/>
                <w:sz w:val="24"/>
                <w:szCs w:val="24"/>
              </w:rPr>
              <w:instrText xml:space="preserve"> PAGEREF _Toc216107013 \h </w:instrText>
            </w:r>
            <w:r w:rsidRPr="00E53836">
              <w:rPr>
                <w:rFonts w:ascii="Times New Roman" w:hAnsi="Times New Roman"/>
                <w:i w:val="0"/>
                <w:iCs w:val="0"/>
                <w:noProof/>
                <w:webHidden/>
                <w:sz w:val="24"/>
                <w:szCs w:val="24"/>
              </w:rPr>
            </w:r>
            <w:r w:rsidRPr="00E53836">
              <w:rPr>
                <w:rFonts w:ascii="Times New Roman" w:hAnsi="Times New Roman"/>
                <w:i w:val="0"/>
                <w:iCs w:val="0"/>
                <w:noProof/>
                <w:webHidden/>
                <w:sz w:val="24"/>
                <w:szCs w:val="24"/>
              </w:rPr>
              <w:fldChar w:fldCharType="separate"/>
            </w:r>
            <w:r w:rsidR="00F32CCA">
              <w:rPr>
                <w:rFonts w:ascii="Times New Roman" w:hAnsi="Times New Roman"/>
                <w:i w:val="0"/>
                <w:iCs w:val="0"/>
                <w:noProof/>
                <w:webHidden/>
                <w:sz w:val="24"/>
                <w:szCs w:val="24"/>
              </w:rPr>
              <w:t>102</w:t>
            </w:r>
            <w:r w:rsidRPr="00E53836">
              <w:rPr>
                <w:rFonts w:ascii="Times New Roman" w:hAnsi="Times New Roman"/>
                <w:i w:val="0"/>
                <w:iCs w:val="0"/>
                <w:noProof/>
                <w:webHidden/>
                <w:sz w:val="24"/>
                <w:szCs w:val="24"/>
              </w:rPr>
              <w:fldChar w:fldCharType="end"/>
            </w:r>
          </w:hyperlink>
        </w:p>
        <w:p w14:paraId="21625909" w14:textId="692C6DD4" w:rsidR="00E53836" w:rsidRPr="00E53836" w:rsidRDefault="00E53836">
          <w:pPr>
            <w:pStyle w:val="TOC3"/>
            <w:tabs>
              <w:tab w:val="right" w:leader="dot" w:pos="8296"/>
            </w:tabs>
            <w:rPr>
              <w:rFonts w:ascii="Times New Roman" w:hAnsi="Times New Roman"/>
              <w:i w:val="0"/>
              <w:iCs w:val="0"/>
              <w:noProof/>
              <w:sz w:val="24"/>
              <w:szCs w:val="24"/>
              <w14:ligatures w14:val="standardContextual"/>
            </w:rPr>
          </w:pPr>
          <w:hyperlink w:anchor="_Toc216107014" w:history="1">
            <w:r w:rsidRPr="00E53836">
              <w:rPr>
                <w:rStyle w:val="aff3"/>
                <w:rFonts w:ascii="Times New Roman" w:hAnsi="Times New Roman"/>
                <w:i w:val="0"/>
                <w:iCs w:val="0"/>
                <w:noProof/>
                <w:sz w:val="24"/>
                <w:szCs w:val="24"/>
              </w:rPr>
              <w:t xml:space="preserve">3.3.4 </w:t>
            </w:r>
            <w:r w:rsidRPr="00E53836">
              <w:rPr>
                <w:rStyle w:val="aff3"/>
                <w:rFonts w:ascii="Times New Roman" w:hAnsi="Times New Roman"/>
                <w:i w:val="0"/>
                <w:iCs w:val="0"/>
                <w:noProof/>
                <w:sz w:val="24"/>
                <w:szCs w:val="24"/>
              </w:rPr>
              <w:t>水环境承载能力现状</w:t>
            </w:r>
            <w:r w:rsidRPr="00E53836">
              <w:rPr>
                <w:rFonts w:ascii="Times New Roman" w:hAnsi="Times New Roman"/>
                <w:i w:val="0"/>
                <w:iCs w:val="0"/>
                <w:noProof/>
                <w:webHidden/>
                <w:sz w:val="24"/>
                <w:szCs w:val="24"/>
              </w:rPr>
              <w:tab/>
            </w:r>
            <w:r w:rsidRPr="00E53836">
              <w:rPr>
                <w:rFonts w:ascii="Times New Roman" w:hAnsi="Times New Roman"/>
                <w:i w:val="0"/>
                <w:iCs w:val="0"/>
                <w:noProof/>
                <w:webHidden/>
                <w:sz w:val="24"/>
                <w:szCs w:val="24"/>
              </w:rPr>
              <w:fldChar w:fldCharType="begin"/>
            </w:r>
            <w:r w:rsidRPr="00E53836">
              <w:rPr>
                <w:rFonts w:ascii="Times New Roman" w:hAnsi="Times New Roman"/>
                <w:i w:val="0"/>
                <w:iCs w:val="0"/>
                <w:noProof/>
                <w:webHidden/>
                <w:sz w:val="24"/>
                <w:szCs w:val="24"/>
              </w:rPr>
              <w:instrText xml:space="preserve"> PAGEREF _Toc216107014 \h </w:instrText>
            </w:r>
            <w:r w:rsidRPr="00E53836">
              <w:rPr>
                <w:rFonts w:ascii="Times New Roman" w:hAnsi="Times New Roman"/>
                <w:i w:val="0"/>
                <w:iCs w:val="0"/>
                <w:noProof/>
                <w:webHidden/>
                <w:sz w:val="24"/>
                <w:szCs w:val="24"/>
              </w:rPr>
            </w:r>
            <w:r w:rsidRPr="00E53836">
              <w:rPr>
                <w:rFonts w:ascii="Times New Roman" w:hAnsi="Times New Roman"/>
                <w:i w:val="0"/>
                <w:iCs w:val="0"/>
                <w:noProof/>
                <w:webHidden/>
                <w:sz w:val="24"/>
                <w:szCs w:val="24"/>
              </w:rPr>
              <w:fldChar w:fldCharType="separate"/>
            </w:r>
            <w:r w:rsidR="00F32CCA">
              <w:rPr>
                <w:rFonts w:ascii="Times New Roman" w:hAnsi="Times New Roman"/>
                <w:i w:val="0"/>
                <w:iCs w:val="0"/>
                <w:noProof/>
                <w:webHidden/>
                <w:sz w:val="24"/>
                <w:szCs w:val="24"/>
              </w:rPr>
              <w:t>103</w:t>
            </w:r>
            <w:r w:rsidRPr="00E53836">
              <w:rPr>
                <w:rFonts w:ascii="Times New Roman" w:hAnsi="Times New Roman"/>
                <w:i w:val="0"/>
                <w:iCs w:val="0"/>
                <w:noProof/>
                <w:webHidden/>
                <w:sz w:val="24"/>
                <w:szCs w:val="24"/>
              </w:rPr>
              <w:fldChar w:fldCharType="end"/>
            </w:r>
          </w:hyperlink>
        </w:p>
        <w:p w14:paraId="54FE5FA5" w14:textId="50031DC5" w:rsidR="00E53836" w:rsidRPr="00E53836" w:rsidRDefault="00E53836">
          <w:pPr>
            <w:pStyle w:val="TOC3"/>
            <w:tabs>
              <w:tab w:val="right" w:leader="dot" w:pos="8296"/>
            </w:tabs>
            <w:rPr>
              <w:rFonts w:ascii="Times New Roman" w:hAnsi="Times New Roman"/>
              <w:i w:val="0"/>
              <w:iCs w:val="0"/>
              <w:noProof/>
              <w:sz w:val="24"/>
              <w:szCs w:val="24"/>
              <w14:ligatures w14:val="standardContextual"/>
            </w:rPr>
          </w:pPr>
          <w:hyperlink w:anchor="_Toc216107015" w:history="1">
            <w:r w:rsidRPr="00E53836">
              <w:rPr>
                <w:rStyle w:val="aff3"/>
                <w:rFonts w:ascii="Times New Roman" w:hAnsi="Times New Roman"/>
                <w:i w:val="0"/>
                <w:iCs w:val="0"/>
                <w:noProof/>
                <w:sz w:val="24"/>
                <w:szCs w:val="24"/>
              </w:rPr>
              <w:t xml:space="preserve">3.3.5 </w:t>
            </w:r>
            <w:r w:rsidRPr="00E53836">
              <w:rPr>
                <w:rStyle w:val="aff3"/>
                <w:rFonts w:ascii="Times New Roman" w:hAnsi="Times New Roman"/>
                <w:i w:val="0"/>
                <w:iCs w:val="0"/>
                <w:noProof/>
                <w:sz w:val="24"/>
                <w:szCs w:val="24"/>
              </w:rPr>
              <w:t>地表水环境质量现状</w:t>
            </w:r>
            <w:r w:rsidRPr="00E53836">
              <w:rPr>
                <w:rFonts w:ascii="Times New Roman" w:hAnsi="Times New Roman"/>
                <w:i w:val="0"/>
                <w:iCs w:val="0"/>
                <w:noProof/>
                <w:webHidden/>
                <w:sz w:val="24"/>
                <w:szCs w:val="24"/>
              </w:rPr>
              <w:tab/>
            </w:r>
            <w:r w:rsidRPr="00E53836">
              <w:rPr>
                <w:rFonts w:ascii="Times New Roman" w:hAnsi="Times New Roman"/>
                <w:i w:val="0"/>
                <w:iCs w:val="0"/>
                <w:noProof/>
                <w:webHidden/>
                <w:sz w:val="24"/>
                <w:szCs w:val="24"/>
              </w:rPr>
              <w:fldChar w:fldCharType="begin"/>
            </w:r>
            <w:r w:rsidRPr="00E53836">
              <w:rPr>
                <w:rFonts w:ascii="Times New Roman" w:hAnsi="Times New Roman"/>
                <w:i w:val="0"/>
                <w:iCs w:val="0"/>
                <w:noProof/>
                <w:webHidden/>
                <w:sz w:val="24"/>
                <w:szCs w:val="24"/>
              </w:rPr>
              <w:instrText xml:space="preserve"> PAGEREF _Toc216107015 \h </w:instrText>
            </w:r>
            <w:r w:rsidRPr="00E53836">
              <w:rPr>
                <w:rFonts w:ascii="Times New Roman" w:hAnsi="Times New Roman"/>
                <w:i w:val="0"/>
                <w:iCs w:val="0"/>
                <w:noProof/>
                <w:webHidden/>
                <w:sz w:val="24"/>
                <w:szCs w:val="24"/>
              </w:rPr>
            </w:r>
            <w:r w:rsidRPr="00E53836">
              <w:rPr>
                <w:rFonts w:ascii="Times New Roman" w:hAnsi="Times New Roman"/>
                <w:i w:val="0"/>
                <w:iCs w:val="0"/>
                <w:noProof/>
                <w:webHidden/>
                <w:sz w:val="24"/>
                <w:szCs w:val="24"/>
              </w:rPr>
              <w:fldChar w:fldCharType="separate"/>
            </w:r>
            <w:r w:rsidR="00F32CCA">
              <w:rPr>
                <w:rFonts w:ascii="Times New Roman" w:hAnsi="Times New Roman"/>
                <w:i w:val="0"/>
                <w:iCs w:val="0"/>
                <w:noProof/>
                <w:webHidden/>
                <w:sz w:val="24"/>
                <w:szCs w:val="24"/>
              </w:rPr>
              <w:t>106</w:t>
            </w:r>
            <w:r w:rsidRPr="00E53836">
              <w:rPr>
                <w:rFonts w:ascii="Times New Roman" w:hAnsi="Times New Roman"/>
                <w:i w:val="0"/>
                <w:iCs w:val="0"/>
                <w:noProof/>
                <w:webHidden/>
                <w:sz w:val="24"/>
                <w:szCs w:val="24"/>
              </w:rPr>
              <w:fldChar w:fldCharType="end"/>
            </w:r>
          </w:hyperlink>
        </w:p>
        <w:p w14:paraId="3DA831AE" w14:textId="059B0DC7" w:rsidR="00E53836" w:rsidRPr="00E53836" w:rsidRDefault="00E53836">
          <w:pPr>
            <w:pStyle w:val="TOC2"/>
            <w:tabs>
              <w:tab w:val="right" w:leader="dot" w:pos="8296"/>
            </w:tabs>
            <w:rPr>
              <w:rFonts w:ascii="Times New Roman" w:hAnsi="Times New Roman"/>
              <w:smallCaps w:val="0"/>
              <w:noProof/>
              <w:sz w:val="24"/>
              <w:szCs w:val="24"/>
              <w14:ligatures w14:val="standardContextual"/>
            </w:rPr>
          </w:pPr>
          <w:hyperlink w:anchor="_Toc216107016" w:history="1">
            <w:r w:rsidRPr="00E53836">
              <w:rPr>
                <w:rStyle w:val="aff3"/>
                <w:rFonts w:ascii="Times New Roman" w:hAnsi="Times New Roman"/>
                <w:noProof/>
                <w:sz w:val="24"/>
                <w:szCs w:val="24"/>
              </w:rPr>
              <w:t xml:space="preserve">3.4 </w:t>
            </w:r>
            <w:r w:rsidRPr="00E53836">
              <w:rPr>
                <w:rStyle w:val="aff3"/>
                <w:rFonts w:ascii="Times New Roman" w:hAnsi="Times New Roman"/>
                <w:noProof/>
                <w:sz w:val="24"/>
                <w:szCs w:val="24"/>
              </w:rPr>
              <w:t>环境敏感区调查与评价</w:t>
            </w:r>
            <w:r w:rsidRPr="00E53836">
              <w:rPr>
                <w:rFonts w:ascii="Times New Roman" w:hAnsi="Times New Roman"/>
                <w:noProof/>
                <w:webHidden/>
                <w:sz w:val="24"/>
                <w:szCs w:val="24"/>
              </w:rPr>
              <w:tab/>
            </w:r>
            <w:r w:rsidRPr="00E53836">
              <w:rPr>
                <w:rFonts w:ascii="Times New Roman" w:hAnsi="Times New Roman"/>
                <w:noProof/>
                <w:webHidden/>
                <w:sz w:val="24"/>
                <w:szCs w:val="24"/>
              </w:rPr>
              <w:fldChar w:fldCharType="begin"/>
            </w:r>
            <w:r w:rsidRPr="00E53836">
              <w:rPr>
                <w:rFonts w:ascii="Times New Roman" w:hAnsi="Times New Roman"/>
                <w:noProof/>
                <w:webHidden/>
                <w:sz w:val="24"/>
                <w:szCs w:val="24"/>
              </w:rPr>
              <w:instrText xml:space="preserve"> PAGEREF _Toc216107016 \h </w:instrText>
            </w:r>
            <w:r w:rsidRPr="00E53836">
              <w:rPr>
                <w:rFonts w:ascii="Times New Roman" w:hAnsi="Times New Roman"/>
                <w:noProof/>
                <w:webHidden/>
                <w:sz w:val="24"/>
                <w:szCs w:val="24"/>
              </w:rPr>
            </w:r>
            <w:r w:rsidRPr="00E53836">
              <w:rPr>
                <w:rFonts w:ascii="Times New Roman" w:hAnsi="Times New Roman"/>
                <w:noProof/>
                <w:webHidden/>
                <w:sz w:val="24"/>
                <w:szCs w:val="24"/>
              </w:rPr>
              <w:fldChar w:fldCharType="separate"/>
            </w:r>
            <w:r w:rsidR="00F32CCA">
              <w:rPr>
                <w:rFonts w:ascii="Times New Roman" w:hAnsi="Times New Roman"/>
                <w:noProof/>
                <w:webHidden/>
                <w:sz w:val="24"/>
                <w:szCs w:val="24"/>
              </w:rPr>
              <w:t>113</w:t>
            </w:r>
            <w:r w:rsidRPr="00E53836">
              <w:rPr>
                <w:rFonts w:ascii="Times New Roman" w:hAnsi="Times New Roman"/>
                <w:noProof/>
                <w:webHidden/>
                <w:sz w:val="24"/>
                <w:szCs w:val="24"/>
              </w:rPr>
              <w:fldChar w:fldCharType="end"/>
            </w:r>
          </w:hyperlink>
        </w:p>
        <w:p w14:paraId="7886B9E6" w14:textId="59581844" w:rsidR="00E53836" w:rsidRPr="00E53836" w:rsidRDefault="00E53836">
          <w:pPr>
            <w:pStyle w:val="TOC2"/>
            <w:tabs>
              <w:tab w:val="right" w:leader="dot" w:pos="8296"/>
            </w:tabs>
            <w:rPr>
              <w:rFonts w:ascii="Times New Roman" w:hAnsi="Times New Roman"/>
              <w:smallCaps w:val="0"/>
              <w:noProof/>
              <w:sz w:val="24"/>
              <w:szCs w:val="24"/>
              <w14:ligatures w14:val="standardContextual"/>
            </w:rPr>
          </w:pPr>
          <w:hyperlink w:anchor="_Toc216107017" w:history="1">
            <w:r w:rsidRPr="00E53836">
              <w:rPr>
                <w:rStyle w:val="aff3"/>
                <w:rFonts w:ascii="Times New Roman" w:hAnsi="Times New Roman"/>
                <w:noProof/>
                <w:sz w:val="24"/>
                <w:szCs w:val="24"/>
              </w:rPr>
              <w:t xml:space="preserve">3.5 </w:t>
            </w:r>
            <w:r w:rsidRPr="00E53836">
              <w:rPr>
                <w:rStyle w:val="aff3"/>
                <w:rFonts w:ascii="Times New Roman" w:hAnsi="Times New Roman"/>
                <w:noProof/>
                <w:sz w:val="24"/>
                <w:szCs w:val="24"/>
              </w:rPr>
              <w:t>陆生生态现状调查与评价</w:t>
            </w:r>
            <w:r w:rsidRPr="00E53836">
              <w:rPr>
                <w:rFonts w:ascii="Times New Roman" w:hAnsi="Times New Roman"/>
                <w:noProof/>
                <w:webHidden/>
                <w:sz w:val="24"/>
                <w:szCs w:val="24"/>
              </w:rPr>
              <w:tab/>
            </w:r>
            <w:r w:rsidRPr="00E53836">
              <w:rPr>
                <w:rFonts w:ascii="Times New Roman" w:hAnsi="Times New Roman"/>
                <w:noProof/>
                <w:webHidden/>
                <w:sz w:val="24"/>
                <w:szCs w:val="24"/>
              </w:rPr>
              <w:fldChar w:fldCharType="begin"/>
            </w:r>
            <w:r w:rsidRPr="00E53836">
              <w:rPr>
                <w:rFonts w:ascii="Times New Roman" w:hAnsi="Times New Roman"/>
                <w:noProof/>
                <w:webHidden/>
                <w:sz w:val="24"/>
                <w:szCs w:val="24"/>
              </w:rPr>
              <w:instrText xml:space="preserve"> PAGEREF _Toc216107017 \h </w:instrText>
            </w:r>
            <w:r w:rsidRPr="00E53836">
              <w:rPr>
                <w:rFonts w:ascii="Times New Roman" w:hAnsi="Times New Roman"/>
                <w:noProof/>
                <w:webHidden/>
                <w:sz w:val="24"/>
                <w:szCs w:val="24"/>
              </w:rPr>
            </w:r>
            <w:r w:rsidRPr="00E53836">
              <w:rPr>
                <w:rFonts w:ascii="Times New Roman" w:hAnsi="Times New Roman"/>
                <w:noProof/>
                <w:webHidden/>
                <w:sz w:val="24"/>
                <w:szCs w:val="24"/>
              </w:rPr>
              <w:fldChar w:fldCharType="separate"/>
            </w:r>
            <w:r w:rsidR="00F32CCA">
              <w:rPr>
                <w:rFonts w:ascii="Times New Roman" w:hAnsi="Times New Roman"/>
                <w:noProof/>
                <w:webHidden/>
                <w:sz w:val="24"/>
                <w:szCs w:val="24"/>
              </w:rPr>
              <w:t>114</w:t>
            </w:r>
            <w:r w:rsidRPr="00E53836">
              <w:rPr>
                <w:rFonts w:ascii="Times New Roman" w:hAnsi="Times New Roman"/>
                <w:noProof/>
                <w:webHidden/>
                <w:sz w:val="24"/>
                <w:szCs w:val="24"/>
              </w:rPr>
              <w:fldChar w:fldCharType="end"/>
            </w:r>
          </w:hyperlink>
        </w:p>
        <w:p w14:paraId="639696A7" w14:textId="7865E311" w:rsidR="00E53836" w:rsidRPr="00E53836" w:rsidRDefault="00E53836">
          <w:pPr>
            <w:pStyle w:val="TOC3"/>
            <w:tabs>
              <w:tab w:val="right" w:leader="dot" w:pos="8296"/>
            </w:tabs>
            <w:rPr>
              <w:rFonts w:ascii="Times New Roman" w:hAnsi="Times New Roman"/>
              <w:i w:val="0"/>
              <w:iCs w:val="0"/>
              <w:noProof/>
              <w:sz w:val="24"/>
              <w:szCs w:val="24"/>
              <w14:ligatures w14:val="standardContextual"/>
            </w:rPr>
          </w:pPr>
          <w:hyperlink w:anchor="_Toc216107018" w:history="1">
            <w:r w:rsidRPr="00E53836">
              <w:rPr>
                <w:rStyle w:val="aff3"/>
                <w:rFonts w:ascii="Times New Roman" w:hAnsi="Times New Roman"/>
                <w:i w:val="0"/>
                <w:iCs w:val="0"/>
                <w:noProof/>
                <w:sz w:val="24"/>
                <w:szCs w:val="24"/>
              </w:rPr>
              <w:t xml:space="preserve">3.5.1 </w:t>
            </w:r>
            <w:r w:rsidRPr="00E53836">
              <w:rPr>
                <w:rStyle w:val="aff3"/>
                <w:rFonts w:ascii="Times New Roman" w:hAnsi="Times New Roman"/>
                <w:i w:val="0"/>
                <w:iCs w:val="0"/>
                <w:noProof/>
                <w:sz w:val="24"/>
                <w:szCs w:val="24"/>
              </w:rPr>
              <w:t>土地利用现状</w:t>
            </w:r>
            <w:r w:rsidRPr="00E53836">
              <w:rPr>
                <w:rFonts w:ascii="Times New Roman" w:hAnsi="Times New Roman"/>
                <w:i w:val="0"/>
                <w:iCs w:val="0"/>
                <w:noProof/>
                <w:webHidden/>
                <w:sz w:val="24"/>
                <w:szCs w:val="24"/>
              </w:rPr>
              <w:tab/>
            </w:r>
            <w:r w:rsidRPr="00E53836">
              <w:rPr>
                <w:rFonts w:ascii="Times New Roman" w:hAnsi="Times New Roman"/>
                <w:i w:val="0"/>
                <w:iCs w:val="0"/>
                <w:noProof/>
                <w:webHidden/>
                <w:sz w:val="24"/>
                <w:szCs w:val="24"/>
              </w:rPr>
              <w:fldChar w:fldCharType="begin"/>
            </w:r>
            <w:r w:rsidRPr="00E53836">
              <w:rPr>
                <w:rFonts w:ascii="Times New Roman" w:hAnsi="Times New Roman"/>
                <w:i w:val="0"/>
                <w:iCs w:val="0"/>
                <w:noProof/>
                <w:webHidden/>
                <w:sz w:val="24"/>
                <w:szCs w:val="24"/>
              </w:rPr>
              <w:instrText xml:space="preserve"> PAGEREF _Toc216107018 \h </w:instrText>
            </w:r>
            <w:r w:rsidRPr="00E53836">
              <w:rPr>
                <w:rFonts w:ascii="Times New Roman" w:hAnsi="Times New Roman"/>
                <w:i w:val="0"/>
                <w:iCs w:val="0"/>
                <w:noProof/>
                <w:webHidden/>
                <w:sz w:val="24"/>
                <w:szCs w:val="24"/>
              </w:rPr>
            </w:r>
            <w:r w:rsidRPr="00E53836">
              <w:rPr>
                <w:rFonts w:ascii="Times New Roman" w:hAnsi="Times New Roman"/>
                <w:i w:val="0"/>
                <w:iCs w:val="0"/>
                <w:noProof/>
                <w:webHidden/>
                <w:sz w:val="24"/>
                <w:szCs w:val="24"/>
              </w:rPr>
              <w:fldChar w:fldCharType="separate"/>
            </w:r>
            <w:r w:rsidR="00F32CCA">
              <w:rPr>
                <w:rFonts w:ascii="Times New Roman" w:hAnsi="Times New Roman"/>
                <w:i w:val="0"/>
                <w:iCs w:val="0"/>
                <w:noProof/>
                <w:webHidden/>
                <w:sz w:val="24"/>
                <w:szCs w:val="24"/>
              </w:rPr>
              <w:t>114</w:t>
            </w:r>
            <w:r w:rsidRPr="00E53836">
              <w:rPr>
                <w:rFonts w:ascii="Times New Roman" w:hAnsi="Times New Roman"/>
                <w:i w:val="0"/>
                <w:iCs w:val="0"/>
                <w:noProof/>
                <w:webHidden/>
                <w:sz w:val="24"/>
                <w:szCs w:val="24"/>
              </w:rPr>
              <w:fldChar w:fldCharType="end"/>
            </w:r>
          </w:hyperlink>
        </w:p>
        <w:p w14:paraId="231E664D" w14:textId="5B141E16" w:rsidR="00E53836" w:rsidRPr="00E53836" w:rsidRDefault="00E53836">
          <w:pPr>
            <w:pStyle w:val="TOC3"/>
            <w:tabs>
              <w:tab w:val="right" w:leader="dot" w:pos="8296"/>
            </w:tabs>
            <w:rPr>
              <w:rFonts w:ascii="Times New Roman" w:hAnsi="Times New Roman"/>
              <w:i w:val="0"/>
              <w:iCs w:val="0"/>
              <w:noProof/>
              <w:sz w:val="24"/>
              <w:szCs w:val="24"/>
              <w14:ligatures w14:val="standardContextual"/>
            </w:rPr>
          </w:pPr>
          <w:hyperlink w:anchor="_Toc216107019" w:history="1">
            <w:r w:rsidRPr="00E53836">
              <w:rPr>
                <w:rStyle w:val="aff3"/>
                <w:rFonts w:ascii="Times New Roman" w:hAnsi="Times New Roman"/>
                <w:i w:val="0"/>
                <w:iCs w:val="0"/>
                <w:noProof/>
                <w:sz w:val="24"/>
                <w:szCs w:val="24"/>
              </w:rPr>
              <w:t xml:space="preserve">3.5.2 </w:t>
            </w:r>
            <w:r w:rsidRPr="00E53836">
              <w:rPr>
                <w:rStyle w:val="aff3"/>
                <w:rFonts w:ascii="Times New Roman" w:hAnsi="Times New Roman"/>
                <w:i w:val="0"/>
                <w:iCs w:val="0"/>
                <w:noProof/>
                <w:sz w:val="24"/>
                <w:szCs w:val="24"/>
              </w:rPr>
              <w:t>植被现状</w:t>
            </w:r>
            <w:r w:rsidRPr="00E53836">
              <w:rPr>
                <w:rFonts w:ascii="Times New Roman" w:hAnsi="Times New Roman"/>
                <w:i w:val="0"/>
                <w:iCs w:val="0"/>
                <w:noProof/>
                <w:webHidden/>
                <w:sz w:val="24"/>
                <w:szCs w:val="24"/>
              </w:rPr>
              <w:tab/>
            </w:r>
            <w:r w:rsidRPr="00E53836">
              <w:rPr>
                <w:rFonts w:ascii="Times New Roman" w:hAnsi="Times New Roman"/>
                <w:i w:val="0"/>
                <w:iCs w:val="0"/>
                <w:noProof/>
                <w:webHidden/>
                <w:sz w:val="24"/>
                <w:szCs w:val="24"/>
              </w:rPr>
              <w:fldChar w:fldCharType="begin"/>
            </w:r>
            <w:r w:rsidRPr="00E53836">
              <w:rPr>
                <w:rFonts w:ascii="Times New Roman" w:hAnsi="Times New Roman"/>
                <w:i w:val="0"/>
                <w:iCs w:val="0"/>
                <w:noProof/>
                <w:webHidden/>
                <w:sz w:val="24"/>
                <w:szCs w:val="24"/>
              </w:rPr>
              <w:instrText xml:space="preserve"> PAGEREF _Toc216107019 \h </w:instrText>
            </w:r>
            <w:r w:rsidRPr="00E53836">
              <w:rPr>
                <w:rFonts w:ascii="Times New Roman" w:hAnsi="Times New Roman"/>
                <w:i w:val="0"/>
                <w:iCs w:val="0"/>
                <w:noProof/>
                <w:webHidden/>
                <w:sz w:val="24"/>
                <w:szCs w:val="24"/>
              </w:rPr>
            </w:r>
            <w:r w:rsidRPr="00E53836">
              <w:rPr>
                <w:rFonts w:ascii="Times New Roman" w:hAnsi="Times New Roman"/>
                <w:i w:val="0"/>
                <w:iCs w:val="0"/>
                <w:noProof/>
                <w:webHidden/>
                <w:sz w:val="24"/>
                <w:szCs w:val="24"/>
              </w:rPr>
              <w:fldChar w:fldCharType="separate"/>
            </w:r>
            <w:r w:rsidR="00F32CCA">
              <w:rPr>
                <w:rFonts w:ascii="Times New Roman" w:hAnsi="Times New Roman"/>
                <w:i w:val="0"/>
                <w:iCs w:val="0"/>
                <w:noProof/>
                <w:webHidden/>
                <w:sz w:val="24"/>
                <w:szCs w:val="24"/>
              </w:rPr>
              <w:t>117</w:t>
            </w:r>
            <w:r w:rsidRPr="00E53836">
              <w:rPr>
                <w:rFonts w:ascii="Times New Roman" w:hAnsi="Times New Roman"/>
                <w:i w:val="0"/>
                <w:iCs w:val="0"/>
                <w:noProof/>
                <w:webHidden/>
                <w:sz w:val="24"/>
                <w:szCs w:val="24"/>
              </w:rPr>
              <w:fldChar w:fldCharType="end"/>
            </w:r>
          </w:hyperlink>
        </w:p>
        <w:p w14:paraId="60476572" w14:textId="1673A54B" w:rsidR="00E53836" w:rsidRPr="00E53836" w:rsidRDefault="00E53836">
          <w:pPr>
            <w:pStyle w:val="TOC3"/>
            <w:tabs>
              <w:tab w:val="right" w:leader="dot" w:pos="8296"/>
            </w:tabs>
            <w:rPr>
              <w:rFonts w:ascii="Times New Roman" w:hAnsi="Times New Roman"/>
              <w:i w:val="0"/>
              <w:iCs w:val="0"/>
              <w:noProof/>
              <w:sz w:val="24"/>
              <w:szCs w:val="24"/>
              <w14:ligatures w14:val="standardContextual"/>
            </w:rPr>
          </w:pPr>
          <w:hyperlink w:anchor="_Toc216107020" w:history="1">
            <w:r w:rsidRPr="00E53836">
              <w:rPr>
                <w:rStyle w:val="aff3"/>
                <w:rFonts w:ascii="Times New Roman" w:hAnsi="Times New Roman"/>
                <w:i w:val="0"/>
                <w:iCs w:val="0"/>
                <w:noProof/>
                <w:sz w:val="24"/>
                <w:szCs w:val="24"/>
              </w:rPr>
              <w:t xml:space="preserve">3.5.3 </w:t>
            </w:r>
            <w:r w:rsidRPr="00E53836">
              <w:rPr>
                <w:rStyle w:val="aff3"/>
                <w:rFonts w:ascii="Times New Roman" w:hAnsi="Times New Roman"/>
                <w:i w:val="0"/>
                <w:iCs w:val="0"/>
                <w:noProof/>
                <w:sz w:val="24"/>
                <w:szCs w:val="24"/>
              </w:rPr>
              <w:t>陆生植物现状</w:t>
            </w:r>
            <w:r w:rsidRPr="00E53836">
              <w:rPr>
                <w:rFonts w:ascii="Times New Roman" w:hAnsi="Times New Roman"/>
                <w:i w:val="0"/>
                <w:iCs w:val="0"/>
                <w:noProof/>
                <w:webHidden/>
                <w:sz w:val="24"/>
                <w:szCs w:val="24"/>
              </w:rPr>
              <w:tab/>
            </w:r>
            <w:r w:rsidRPr="00E53836">
              <w:rPr>
                <w:rFonts w:ascii="Times New Roman" w:hAnsi="Times New Roman"/>
                <w:i w:val="0"/>
                <w:iCs w:val="0"/>
                <w:noProof/>
                <w:webHidden/>
                <w:sz w:val="24"/>
                <w:szCs w:val="24"/>
              </w:rPr>
              <w:fldChar w:fldCharType="begin"/>
            </w:r>
            <w:r w:rsidRPr="00E53836">
              <w:rPr>
                <w:rFonts w:ascii="Times New Roman" w:hAnsi="Times New Roman"/>
                <w:i w:val="0"/>
                <w:iCs w:val="0"/>
                <w:noProof/>
                <w:webHidden/>
                <w:sz w:val="24"/>
                <w:szCs w:val="24"/>
              </w:rPr>
              <w:instrText xml:space="preserve"> PAGEREF _Toc216107020 \h </w:instrText>
            </w:r>
            <w:r w:rsidRPr="00E53836">
              <w:rPr>
                <w:rFonts w:ascii="Times New Roman" w:hAnsi="Times New Roman"/>
                <w:i w:val="0"/>
                <w:iCs w:val="0"/>
                <w:noProof/>
                <w:webHidden/>
                <w:sz w:val="24"/>
                <w:szCs w:val="24"/>
              </w:rPr>
            </w:r>
            <w:r w:rsidRPr="00E53836">
              <w:rPr>
                <w:rFonts w:ascii="Times New Roman" w:hAnsi="Times New Roman"/>
                <w:i w:val="0"/>
                <w:iCs w:val="0"/>
                <w:noProof/>
                <w:webHidden/>
                <w:sz w:val="24"/>
                <w:szCs w:val="24"/>
              </w:rPr>
              <w:fldChar w:fldCharType="separate"/>
            </w:r>
            <w:r w:rsidR="00F32CCA">
              <w:rPr>
                <w:rFonts w:ascii="Times New Roman" w:hAnsi="Times New Roman"/>
                <w:i w:val="0"/>
                <w:iCs w:val="0"/>
                <w:noProof/>
                <w:webHidden/>
                <w:sz w:val="24"/>
                <w:szCs w:val="24"/>
              </w:rPr>
              <w:t>131</w:t>
            </w:r>
            <w:r w:rsidRPr="00E53836">
              <w:rPr>
                <w:rFonts w:ascii="Times New Roman" w:hAnsi="Times New Roman"/>
                <w:i w:val="0"/>
                <w:iCs w:val="0"/>
                <w:noProof/>
                <w:webHidden/>
                <w:sz w:val="24"/>
                <w:szCs w:val="24"/>
              </w:rPr>
              <w:fldChar w:fldCharType="end"/>
            </w:r>
          </w:hyperlink>
        </w:p>
        <w:p w14:paraId="2E0BBF93" w14:textId="1D910273" w:rsidR="00E53836" w:rsidRPr="00E53836" w:rsidRDefault="00E53836">
          <w:pPr>
            <w:pStyle w:val="TOC3"/>
            <w:tabs>
              <w:tab w:val="right" w:leader="dot" w:pos="8296"/>
            </w:tabs>
            <w:rPr>
              <w:rFonts w:ascii="Times New Roman" w:hAnsi="Times New Roman"/>
              <w:i w:val="0"/>
              <w:iCs w:val="0"/>
              <w:noProof/>
              <w:sz w:val="24"/>
              <w:szCs w:val="24"/>
              <w14:ligatures w14:val="standardContextual"/>
            </w:rPr>
          </w:pPr>
          <w:hyperlink w:anchor="_Toc216107021" w:history="1">
            <w:r w:rsidRPr="00E53836">
              <w:rPr>
                <w:rStyle w:val="aff3"/>
                <w:rFonts w:ascii="Times New Roman" w:hAnsi="Times New Roman"/>
                <w:i w:val="0"/>
                <w:iCs w:val="0"/>
                <w:noProof/>
                <w:sz w:val="24"/>
                <w:szCs w:val="24"/>
              </w:rPr>
              <w:t xml:space="preserve">3.5.4 </w:t>
            </w:r>
            <w:r w:rsidRPr="00E53836">
              <w:rPr>
                <w:rStyle w:val="aff3"/>
                <w:rFonts w:ascii="Times New Roman" w:hAnsi="Times New Roman"/>
                <w:i w:val="0"/>
                <w:iCs w:val="0"/>
                <w:noProof/>
                <w:sz w:val="24"/>
                <w:szCs w:val="24"/>
              </w:rPr>
              <w:t>陆生动物现状</w:t>
            </w:r>
            <w:r w:rsidRPr="00E53836">
              <w:rPr>
                <w:rFonts w:ascii="Times New Roman" w:hAnsi="Times New Roman"/>
                <w:i w:val="0"/>
                <w:iCs w:val="0"/>
                <w:noProof/>
                <w:webHidden/>
                <w:sz w:val="24"/>
                <w:szCs w:val="24"/>
              </w:rPr>
              <w:tab/>
            </w:r>
            <w:r w:rsidRPr="00E53836">
              <w:rPr>
                <w:rFonts w:ascii="Times New Roman" w:hAnsi="Times New Roman"/>
                <w:i w:val="0"/>
                <w:iCs w:val="0"/>
                <w:noProof/>
                <w:webHidden/>
                <w:sz w:val="24"/>
                <w:szCs w:val="24"/>
              </w:rPr>
              <w:fldChar w:fldCharType="begin"/>
            </w:r>
            <w:r w:rsidRPr="00E53836">
              <w:rPr>
                <w:rFonts w:ascii="Times New Roman" w:hAnsi="Times New Roman"/>
                <w:i w:val="0"/>
                <w:iCs w:val="0"/>
                <w:noProof/>
                <w:webHidden/>
                <w:sz w:val="24"/>
                <w:szCs w:val="24"/>
              </w:rPr>
              <w:instrText xml:space="preserve"> PAGEREF _Toc216107021 \h </w:instrText>
            </w:r>
            <w:r w:rsidRPr="00E53836">
              <w:rPr>
                <w:rFonts w:ascii="Times New Roman" w:hAnsi="Times New Roman"/>
                <w:i w:val="0"/>
                <w:iCs w:val="0"/>
                <w:noProof/>
                <w:webHidden/>
                <w:sz w:val="24"/>
                <w:szCs w:val="24"/>
              </w:rPr>
            </w:r>
            <w:r w:rsidRPr="00E53836">
              <w:rPr>
                <w:rFonts w:ascii="Times New Roman" w:hAnsi="Times New Roman"/>
                <w:i w:val="0"/>
                <w:iCs w:val="0"/>
                <w:noProof/>
                <w:webHidden/>
                <w:sz w:val="24"/>
                <w:szCs w:val="24"/>
              </w:rPr>
              <w:fldChar w:fldCharType="separate"/>
            </w:r>
            <w:r w:rsidR="00F32CCA">
              <w:rPr>
                <w:rFonts w:ascii="Times New Roman" w:hAnsi="Times New Roman"/>
                <w:i w:val="0"/>
                <w:iCs w:val="0"/>
                <w:noProof/>
                <w:webHidden/>
                <w:sz w:val="24"/>
                <w:szCs w:val="24"/>
              </w:rPr>
              <w:t>132</w:t>
            </w:r>
            <w:r w:rsidRPr="00E53836">
              <w:rPr>
                <w:rFonts w:ascii="Times New Roman" w:hAnsi="Times New Roman"/>
                <w:i w:val="0"/>
                <w:iCs w:val="0"/>
                <w:noProof/>
                <w:webHidden/>
                <w:sz w:val="24"/>
                <w:szCs w:val="24"/>
              </w:rPr>
              <w:fldChar w:fldCharType="end"/>
            </w:r>
          </w:hyperlink>
        </w:p>
        <w:p w14:paraId="13C1393B" w14:textId="2C8254BB" w:rsidR="00E53836" w:rsidRPr="00E53836" w:rsidRDefault="00E53836">
          <w:pPr>
            <w:pStyle w:val="TOC3"/>
            <w:tabs>
              <w:tab w:val="right" w:leader="dot" w:pos="8296"/>
            </w:tabs>
            <w:rPr>
              <w:rFonts w:ascii="Times New Roman" w:hAnsi="Times New Roman"/>
              <w:i w:val="0"/>
              <w:iCs w:val="0"/>
              <w:noProof/>
              <w:sz w:val="24"/>
              <w:szCs w:val="24"/>
              <w14:ligatures w14:val="standardContextual"/>
            </w:rPr>
          </w:pPr>
          <w:hyperlink w:anchor="_Toc216107022" w:history="1">
            <w:r w:rsidRPr="00E53836">
              <w:rPr>
                <w:rStyle w:val="aff3"/>
                <w:rFonts w:ascii="Times New Roman" w:hAnsi="Times New Roman"/>
                <w:i w:val="0"/>
                <w:iCs w:val="0"/>
                <w:noProof/>
                <w:sz w:val="24"/>
                <w:szCs w:val="24"/>
              </w:rPr>
              <w:t xml:space="preserve">3.5.5 </w:t>
            </w:r>
            <w:r w:rsidRPr="00E53836">
              <w:rPr>
                <w:rStyle w:val="aff3"/>
                <w:rFonts w:ascii="Times New Roman" w:hAnsi="Times New Roman"/>
                <w:i w:val="0"/>
                <w:iCs w:val="0"/>
                <w:noProof/>
                <w:sz w:val="24"/>
                <w:szCs w:val="24"/>
              </w:rPr>
              <w:t>生态系统现状</w:t>
            </w:r>
            <w:r w:rsidRPr="00E53836">
              <w:rPr>
                <w:rFonts w:ascii="Times New Roman" w:hAnsi="Times New Roman"/>
                <w:i w:val="0"/>
                <w:iCs w:val="0"/>
                <w:noProof/>
                <w:webHidden/>
                <w:sz w:val="24"/>
                <w:szCs w:val="24"/>
              </w:rPr>
              <w:tab/>
            </w:r>
            <w:r w:rsidRPr="00E53836">
              <w:rPr>
                <w:rFonts w:ascii="Times New Roman" w:hAnsi="Times New Roman"/>
                <w:i w:val="0"/>
                <w:iCs w:val="0"/>
                <w:noProof/>
                <w:webHidden/>
                <w:sz w:val="24"/>
                <w:szCs w:val="24"/>
              </w:rPr>
              <w:fldChar w:fldCharType="begin"/>
            </w:r>
            <w:r w:rsidRPr="00E53836">
              <w:rPr>
                <w:rFonts w:ascii="Times New Roman" w:hAnsi="Times New Roman"/>
                <w:i w:val="0"/>
                <w:iCs w:val="0"/>
                <w:noProof/>
                <w:webHidden/>
                <w:sz w:val="24"/>
                <w:szCs w:val="24"/>
              </w:rPr>
              <w:instrText xml:space="preserve"> PAGEREF _Toc216107022 \h </w:instrText>
            </w:r>
            <w:r w:rsidRPr="00E53836">
              <w:rPr>
                <w:rFonts w:ascii="Times New Roman" w:hAnsi="Times New Roman"/>
                <w:i w:val="0"/>
                <w:iCs w:val="0"/>
                <w:noProof/>
                <w:webHidden/>
                <w:sz w:val="24"/>
                <w:szCs w:val="24"/>
              </w:rPr>
            </w:r>
            <w:r w:rsidRPr="00E53836">
              <w:rPr>
                <w:rFonts w:ascii="Times New Roman" w:hAnsi="Times New Roman"/>
                <w:i w:val="0"/>
                <w:iCs w:val="0"/>
                <w:noProof/>
                <w:webHidden/>
                <w:sz w:val="24"/>
                <w:szCs w:val="24"/>
              </w:rPr>
              <w:fldChar w:fldCharType="separate"/>
            </w:r>
            <w:r w:rsidR="00F32CCA">
              <w:rPr>
                <w:rFonts w:ascii="Times New Roman" w:hAnsi="Times New Roman"/>
                <w:i w:val="0"/>
                <w:iCs w:val="0"/>
                <w:noProof/>
                <w:webHidden/>
                <w:sz w:val="24"/>
                <w:szCs w:val="24"/>
              </w:rPr>
              <w:t>139</w:t>
            </w:r>
            <w:r w:rsidRPr="00E53836">
              <w:rPr>
                <w:rFonts w:ascii="Times New Roman" w:hAnsi="Times New Roman"/>
                <w:i w:val="0"/>
                <w:iCs w:val="0"/>
                <w:noProof/>
                <w:webHidden/>
                <w:sz w:val="24"/>
                <w:szCs w:val="24"/>
              </w:rPr>
              <w:fldChar w:fldCharType="end"/>
            </w:r>
          </w:hyperlink>
        </w:p>
        <w:p w14:paraId="76BD4334" w14:textId="5F2DC358" w:rsidR="00E53836" w:rsidRPr="00E53836" w:rsidRDefault="00E53836">
          <w:pPr>
            <w:pStyle w:val="TOC3"/>
            <w:tabs>
              <w:tab w:val="right" w:leader="dot" w:pos="8296"/>
            </w:tabs>
            <w:rPr>
              <w:rFonts w:ascii="Times New Roman" w:hAnsi="Times New Roman"/>
              <w:i w:val="0"/>
              <w:iCs w:val="0"/>
              <w:noProof/>
              <w:sz w:val="24"/>
              <w:szCs w:val="24"/>
              <w14:ligatures w14:val="standardContextual"/>
            </w:rPr>
          </w:pPr>
          <w:hyperlink w:anchor="_Toc216107023" w:history="1">
            <w:r w:rsidRPr="00E53836">
              <w:rPr>
                <w:rStyle w:val="aff3"/>
                <w:rFonts w:ascii="Times New Roman" w:hAnsi="Times New Roman"/>
                <w:i w:val="0"/>
                <w:iCs w:val="0"/>
                <w:noProof/>
                <w:sz w:val="24"/>
                <w:szCs w:val="24"/>
              </w:rPr>
              <w:t xml:space="preserve">3.5.6 </w:t>
            </w:r>
            <w:r w:rsidRPr="00E53836">
              <w:rPr>
                <w:rStyle w:val="aff3"/>
                <w:rFonts w:ascii="Times New Roman" w:hAnsi="Times New Roman"/>
                <w:i w:val="0"/>
                <w:iCs w:val="0"/>
                <w:noProof/>
                <w:sz w:val="24"/>
                <w:szCs w:val="24"/>
              </w:rPr>
              <w:t>小结</w:t>
            </w:r>
            <w:r w:rsidRPr="00E53836">
              <w:rPr>
                <w:rFonts w:ascii="Times New Roman" w:hAnsi="Times New Roman"/>
                <w:i w:val="0"/>
                <w:iCs w:val="0"/>
                <w:noProof/>
                <w:webHidden/>
                <w:sz w:val="24"/>
                <w:szCs w:val="24"/>
              </w:rPr>
              <w:tab/>
            </w:r>
            <w:r w:rsidRPr="00E53836">
              <w:rPr>
                <w:rFonts w:ascii="Times New Roman" w:hAnsi="Times New Roman"/>
                <w:i w:val="0"/>
                <w:iCs w:val="0"/>
                <w:noProof/>
                <w:webHidden/>
                <w:sz w:val="24"/>
                <w:szCs w:val="24"/>
              </w:rPr>
              <w:fldChar w:fldCharType="begin"/>
            </w:r>
            <w:r w:rsidRPr="00E53836">
              <w:rPr>
                <w:rFonts w:ascii="Times New Roman" w:hAnsi="Times New Roman"/>
                <w:i w:val="0"/>
                <w:iCs w:val="0"/>
                <w:noProof/>
                <w:webHidden/>
                <w:sz w:val="24"/>
                <w:szCs w:val="24"/>
              </w:rPr>
              <w:instrText xml:space="preserve"> PAGEREF _Toc216107023 \h </w:instrText>
            </w:r>
            <w:r w:rsidRPr="00E53836">
              <w:rPr>
                <w:rFonts w:ascii="Times New Roman" w:hAnsi="Times New Roman"/>
                <w:i w:val="0"/>
                <w:iCs w:val="0"/>
                <w:noProof/>
                <w:webHidden/>
                <w:sz w:val="24"/>
                <w:szCs w:val="24"/>
              </w:rPr>
            </w:r>
            <w:r w:rsidRPr="00E53836">
              <w:rPr>
                <w:rFonts w:ascii="Times New Roman" w:hAnsi="Times New Roman"/>
                <w:i w:val="0"/>
                <w:iCs w:val="0"/>
                <w:noProof/>
                <w:webHidden/>
                <w:sz w:val="24"/>
                <w:szCs w:val="24"/>
              </w:rPr>
              <w:fldChar w:fldCharType="separate"/>
            </w:r>
            <w:r w:rsidR="00F32CCA">
              <w:rPr>
                <w:rFonts w:ascii="Times New Roman" w:hAnsi="Times New Roman"/>
                <w:i w:val="0"/>
                <w:iCs w:val="0"/>
                <w:noProof/>
                <w:webHidden/>
                <w:sz w:val="24"/>
                <w:szCs w:val="24"/>
              </w:rPr>
              <w:t>142</w:t>
            </w:r>
            <w:r w:rsidRPr="00E53836">
              <w:rPr>
                <w:rFonts w:ascii="Times New Roman" w:hAnsi="Times New Roman"/>
                <w:i w:val="0"/>
                <w:iCs w:val="0"/>
                <w:noProof/>
                <w:webHidden/>
                <w:sz w:val="24"/>
                <w:szCs w:val="24"/>
              </w:rPr>
              <w:fldChar w:fldCharType="end"/>
            </w:r>
          </w:hyperlink>
        </w:p>
        <w:p w14:paraId="55C819A0" w14:textId="5335275A" w:rsidR="00E53836" w:rsidRPr="00E53836" w:rsidRDefault="00E53836">
          <w:pPr>
            <w:pStyle w:val="TOC2"/>
            <w:tabs>
              <w:tab w:val="right" w:leader="dot" w:pos="8296"/>
            </w:tabs>
            <w:rPr>
              <w:rFonts w:ascii="Times New Roman" w:hAnsi="Times New Roman"/>
              <w:smallCaps w:val="0"/>
              <w:noProof/>
              <w:sz w:val="24"/>
              <w:szCs w:val="24"/>
              <w14:ligatures w14:val="standardContextual"/>
            </w:rPr>
          </w:pPr>
          <w:hyperlink w:anchor="_Toc216107024" w:history="1">
            <w:r w:rsidRPr="00E53836">
              <w:rPr>
                <w:rStyle w:val="aff3"/>
                <w:rFonts w:ascii="Times New Roman" w:hAnsi="Times New Roman"/>
                <w:noProof/>
                <w:sz w:val="24"/>
                <w:szCs w:val="24"/>
              </w:rPr>
              <w:t xml:space="preserve">3.6 </w:t>
            </w:r>
            <w:r w:rsidRPr="00E53836">
              <w:rPr>
                <w:rStyle w:val="aff3"/>
                <w:rFonts w:ascii="Times New Roman" w:hAnsi="Times New Roman"/>
                <w:noProof/>
                <w:sz w:val="24"/>
                <w:szCs w:val="24"/>
              </w:rPr>
              <w:t>水生生态现状调查与评价</w:t>
            </w:r>
            <w:r w:rsidRPr="00E53836">
              <w:rPr>
                <w:rFonts w:ascii="Times New Roman" w:hAnsi="Times New Roman"/>
                <w:noProof/>
                <w:webHidden/>
                <w:sz w:val="24"/>
                <w:szCs w:val="24"/>
              </w:rPr>
              <w:tab/>
            </w:r>
            <w:r w:rsidRPr="00E53836">
              <w:rPr>
                <w:rFonts w:ascii="Times New Roman" w:hAnsi="Times New Roman"/>
                <w:noProof/>
                <w:webHidden/>
                <w:sz w:val="24"/>
                <w:szCs w:val="24"/>
              </w:rPr>
              <w:fldChar w:fldCharType="begin"/>
            </w:r>
            <w:r w:rsidRPr="00E53836">
              <w:rPr>
                <w:rFonts w:ascii="Times New Roman" w:hAnsi="Times New Roman"/>
                <w:noProof/>
                <w:webHidden/>
                <w:sz w:val="24"/>
                <w:szCs w:val="24"/>
              </w:rPr>
              <w:instrText xml:space="preserve"> PAGEREF _Toc216107024 \h </w:instrText>
            </w:r>
            <w:r w:rsidRPr="00E53836">
              <w:rPr>
                <w:rFonts w:ascii="Times New Roman" w:hAnsi="Times New Roman"/>
                <w:noProof/>
                <w:webHidden/>
                <w:sz w:val="24"/>
                <w:szCs w:val="24"/>
              </w:rPr>
            </w:r>
            <w:r w:rsidRPr="00E53836">
              <w:rPr>
                <w:rFonts w:ascii="Times New Roman" w:hAnsi="Times New Roman"/>
                <w:noProof/>
                <w:webHidden/>
                <w:sz w:val="24"/>
                <w:szCs w:val="24"/>
              </w:rPr>
              <w:fldChar w:fldCharType="separate"/>
            </w:r>
            <w:r w:rsidR="00F32CCA">
              <w:rPr>
                <w:rFonts w:ascii="Times New Roman" w:hAnsi="Times New Roman"/>
                <w:noProof/>
                <w:webHidden/>
                <w:sz w:val="24"/>
                <w:szCs w:val="24"/>
              </w:rPr>
              <w:t>143</w:t>
            </w:r>
            <w:r w:rsidRPr="00E53836">
              <w:rPr>
                <w:rFonts w:ascii="Times New Roman" w:hAnsi="Times New Roman"/>
                <w:noProof/>
                <w:webHidden/>
                <w:sz w:val="24"/>
                <w:szCs w:val="24"/>
              </w:rPr>
              <w:fldChar w:fldCharType="end"/>
            </w:r>
          </w:hyperlink>
        </w:p>
        <w:p w14:paraId="788BF327" w14:textId="0892AFB8" w:rsidR="00E53836" w:rsidRPr="00E53836" w:rsidRDefault="00E53836">
          <w:pPr>
            <w:pStyle w:val="TOC3"/>
            <w:tabs>
              <w:tab w:val="right" w:leader="dot" w:pos="8296"/>
            </w:tabs>
            <w:rPr>
              <w:rFonts w:ascii="Times New Roman" w:hAnsi="Times New Roman"/>
              <w:i w:val="0"/>
              <w:iCs w:val="0"/>
              <w:noProof/>
              <w:sz w:val="24"/>
              <w:szCs w:val="24"/>
              <w14:ligatures w14:val="standardContextual"/>
            </w:rPr>
          </w:pPr>
          <w:hyperlink w:anchor="_Toc216107025" w:history="1">
            <w:r w:rsidRPr="00E53836">
              <w:rPr>
                <w:rStyle w:val="aff3"/>
                <w:rFonts w:ascii="Times New Roman" w:hAnsi="Times New Roman"/>
                <w:i w:val="0"/>
                <w:iCs w:val="0"/>
                <w:noProof/>
                <w:sz w:val="24"/>
                <w:szCs w:val="24"/>
              </w:rPr>
              <w:t xml:space="preserve">3.6.1 </w:t>
            </w:r>
            <w:r w:rsidRPr="00E53836">
              <w:rPr>
                <w:rStyle w:val="aff3"/>
                <w:rFonts w:ascii="Times New Roman" w:hAnsi="Times New Roman"/>
                <w:i w:val="0"/>
                <w:iCs w:val="0"/>
                <w:noProof/>
                <w:sz w:val="24"/>
                <w:szCs w:val="24"/>
              </w:rPr>
              <w:t>调查概况</w:t>
            </w:r>
            <w:r w:rsidRPr="00E53836">
              <w:rPr>
                <w:rFonts w:ascii="Times New Roman" w:hAnsi="Times New Roman"/>
                <w:i w:val="0"/>
                <w:iCs w:val="0"/>
                <w:noProof/>
                <w:webHidden/>
                <w:sz w:val="24"/>
                <w:szCs w:val="24"/>
              </w:rPr>
              <w:tab/>
            </w:r>
            <w:r w:rsidRPr="00E53836">
              <w:rPr>
                <w:rFonts w:ascii="Times New Roman" w:hAnsi="Times New Roman"/>
                <w:i w:val="0"/>
                <w:iCs w:val="0"/>
                <w:noProof/>
                <w:webHidden/>
                <w:sz w:val="24"/>
                <w:szCs w:val="24"/>
              </w:rPr>
              <w:fldChar w:fldCharType="begin"/>
            </w:r>
            <w:r w:rsidRPr="00E53836">
              <w:rPr>
                <w:rFonts w:ascii="Times New Roman" w:hAnsi="Times New Roman"/>
                <w:i w:val="0"/>
                <w:iCs w:val="0"/>
                <w:noProof/>
                <w:webHidden/>
                <w:sz w:val="24"/>
                <w:szCs w:val="24"/>
              </w:rPr>
              <w:instrText xml:space="preserve"> PAGEREF _Toc216107025 \h </w:instrText>
            </w:r>
            <w:r w:rsidRPr="00E53836">
              <w:rPr>
                <w:rFonts w:ascii="Times New Roman" w:hAnsi="Times New Roman"/>
                <w:i w:val="0"/>
                <w:iCs w:val="0"/>
                <w:noProof/>
                <w:webHidden/>
                <w:sz w:val="24"/>
                <w:szCs w:val="24"/>
              </w:rPr>
            </w:r>
            <w:r w:rsidRPr="00E53836">
              <w:rPr>
                <w:rFonts w:ascii="Times New Roman" w:hAnsi="Times New Roman"/>
                <w:i w:val="0"/>
                <w:iCs w:val="0"/>
                <w:noProof/>
                <w:webHidden/>
                <w:sz w:val="24"/>
                <w:szCs w:val="24"/>
              </w:rPr>
              <w:fldChar w:fldCharType="separate"/>
            </w:r>
            <w:r w:rsidR="00F32CCA">
              <w:rPr>
                <w:rFonts w:ascii="Times New Roman" w:hAnsi="Times New Roman"/>
                <w:i w:val="0"/>
                <w:iCs w:val="0"/>
                <w:noProof/>
                <w:webHidden/>
                <w:sz w:val="24"/>
                <w:szCs w:val="24"/>
              </w:rPr>
              <w:t>143</w:t>
            </w:r>
            <w:r w:rsidRPr="00E53836">
              <w:rPr>
                <w:rFonts w:ascii="Times New Roman" w:hAnsi="Times New Roman"/>
                <w:i w:val="0"/>
                <w:iCs w:val="0"/>
                <w:noProof/>
                <w:webHidden/>
                <w:sz w:val="24"/>
                <w:szCs w:val="24"/>
              </w:rPr>
              <w:fldChar w:fldCharType="end"/>
            </w:r>
          </w:hyperlink>
        </w:p>
        <w:p w14:paraId="2BFC0BD1" w14:textId="0CCD15D3" w:rsidR="00E53836" w:rsidRPr="00E53836" w:rsidRDefault="00E53836">
          <w:pPr>
            <w:pStyle w:val="TOC3"/>
            <w:tabs>
              <w:tab w:val="right" w:leader="dot" w:pos="8296"/>
            </w:tabs>
            <w:rPr>
              <w:rFonts w:ascii="Times New Roman" w:hAnsi="Times New Roman"/>
              <w:i w:val="0"/>
              <w:iCs w:val="0"/>
              <w:noProof/>
              <w:sz w:val="24"/>
              <w:szCs w:val="24"/>
              <w14:ligatures w14:val="standardContextual"/>
            </w:rPr>
          </w:pPr>
          <w:hyperlink w:anchor="_Toc216107026" w:history="1">
            <w:r w:rsidRPr="00E53836">
              <w:rPr>
                <w:rStyle w:val="aff3"/>
                <w:rFonts w:ascii="Times New Roman" w:hAnsi="Times New Roman"/>
                <w:i w:val="0"/>
                <w:iCs w:val="0"/>
                <w:noProof/>
                <w:sz w:val="24"/>
                <w:szCs w:val="24"/>
              </w:rPr>
              <w:t xml:space="preserve">3.6.3 </w:t>
            </w:r>
            <w:r w:rsidRPr="00E53836">
              <w:rPr>
                <w:rStyle w:val="aff3"/>
                <w:rFonts w:ascii="Times New Roman" w:hAnsi="Times New Roman"/>
                <w:i w:val="0"/>
                <w:iCs w:val="0"/>
                <w:noProof/>
                <w:sz w:val="24"/>
                <w:szCs w:val="24"/>
              </w:rPr>
              <w:t>浮游动物</w:t>
            </w:r>
            <w:r w:rsidRPr="00E53836">
              <w:rPr>
                <w:rFonts w:ascii="Times New Roman" w:hAnsi="Times New Roman"/>
                <w:i w:val="0"/>
                <w:iCs w:val="0"/>
                <w:noProof/>
                <w:webHidden/>
                <w:sz w:val="24"/>
                <w:szCs w:val="24"/>
              </w:rPr>
              <w:tab/>
            </w:r>
            <w:r w:rsidRPr="00E53836">
              <w:rPr>
                <w:rFonts w:ascii="Times New Roman" w:hAnsi="Times New Roman"/>
                <w:i w:val="0"/>
                <w:iCs w:val="0"/>
                <w:noProof/>
                <w:webHidden/>
                <w:sz w:val="24"/>
                <w:szCs w:val="24"/>
              </w:rPr>
              <w:fldChar w:fldCharType="begin"/>
            </w:r>
            <w:r w:rsidRPr="00E53836">
              <w:rPr>
                <w:rFonts w:ascii="Times New Roman" w:hAnsi="Times New Roman"/>
                <w:i w:val="0"/>
                <w:iCs w:val="0"/>
                <w:noProof/>
                <w:webHidden/>
                <w:sz w:val="24"/>
                <w:szCs w:val="24"/>
              </w:rPr>
              <w:instrText xml:space="preserve"> PAGEREF _Toc216107026 \h </w:instrText>
            </w:r>
            <w:r w:rsidRPr="00E53836">
              <w:rPr>
                <w:rFonts w:ascii="Times New Roman" w:hAnsi="Times New Roman"/>
                <w:i w:val="0"/>
                <w:iCs w:val="0"/>
                <w:noProof/>
                <w:webHidden/>
                <w:sz w:val="24"/>
                <w:szCs w:val="24"/>
              </w:rPr>
            </w:r>
            <w:r w:rsidRPr="00E53836">
              <w:rPr>
                <w:rFonts w:ascii="Times New Roman" w:hAnsi="Times New Roman"/>
                <w:i w:val="0"/>
                <w:iCs w:val="0"/>
                <w:noProof/>
                <w:webHidden/>
                <w:sz w:val="24"/>
                <w:szCs w:val="24"/>
              </w:rPr>
              <w:fldChar w:fldCharType="separate"/>
            </w:r>
            <w:r w:rsidR="00F32CCA">
              <w:rPr>
                <w:rFonts w:ascii="Times New Roman" w:hAnsi="Times New Roman"/>
                <w:i w:val="0"/>
                <w:iCs w:val="0"/>
                <w:noProof/>
                <w:webHidden/>
                <w:sz w:val="24"/>
                <w:szCs w:val="24"/>
              </w:rPr>
              <w:t>155</w:t>
            </w:r>
            <w:r w:rsidRPr="00E53836">
              <w:rPr>
                <w:rFonts w:ascii="Times New Roman" w:hAnsi="Times New Roman"/>
                <w:i w:val="0"/>
                <w:iCs w:val="0"/>
                <w:noProof/>
                <w:webHidden/>
                <w:sz w:val="24"/>
                <w:szCs w:val="24"/>
              </w:rPr>
              <w:fldChar w:fldCharType="end"/>
            </w:r>
          </w:hyperlink>
        </w:p>
        <w:p w14:paraId="7F5E1315" w14:textId="2E0F13F9" w:rsidR="00E53836" w:rsidRPr="00E53836" w:rsidRDefault="00E53836">
          <w:pPr>
            <w:pStyle w:val="TOC3"/>
            <w:tabs>
              <w:tab w:val="right" w:leader="dot" w:pos="8296"/>
            </w:tabs>
            <w:rPr>
              <w:rFonts w:ascii="Times New Roman" w:hAnsi="Times New Roman"/>
              <w:i w:val="0"/>
              <w:iCs w:val="0"/>
              <w:noProof/>
              <w:sz w:val="24"/>
              <w:szCs w:val="24"/>
              <w14:ligatures w14:val="standardContextual"/>
            </w:rPr>
          </w:pPr>
          <w:hyperlink w:anchor="_Toc216107027" w:history="1">
            <w:r w:rsidRPr="00E53836">
              <w:rPr>
                <w:rStyle w:val="aff3"/>
                <w:rFonts w:ascii="Times New Roman" w:hAnsi="Times New Roman"/>
                <w:i w:val="0"/>
                <w:iCs w:val="0"/>
                <w:noProof/>
                <w:sz w:val="24"/>
                <w:szCs w:val="24"/>
              </w:rPr>
              <w:t xml:space="preserve">3.6.4 </w:t>
            </w:r>
            <w:r w:rsidRPr="00E53836">
              <w:rPr>
                <w:rStyle w:val="aff3"/>
                <w:rFonts w:ascii="Times New Roman" w:hAnsi="Times New Roman"/>
                <w:i w:val="0"/>
                <w:iCs w:val="0"/>
                <w:noProof/>
                <w:sz w:val="24"/>
                <w:szCs w:val="24"/>
              </w:rPr>
              <w:t>底栖动物</w:t>
            </w:r>
            <w:r w:rsidRPr="00E53836">
              <w:rPr>
                <w:rFonts w:ascii="Times New Roman" w:hAnsi="Times New Roman"/>
                <w:i w:val="0"/>
                <w:iCs w:val="0"/>
                <w:noProof/>
                <w:webHidden/>
                <w:sz w:val="24"/>
                <w:szCs w:val="24"/>
              </w:rPr>
              <w:tab/>
            </w:r>
            <w:r w:rsidRPr="00E53836">
              <w:rPr>
                <w:rFonts w:ascii="Times New Roman" w:hAnsi="Times New Roman"/>
                <w:i w:val="0"/>
                <w:iCs w:val="0"/>
                <w:noProof/>
                <w:webHidden/>
                <w:sz w:val="24"/>
                <w:szCs w:val="24"/>
              </w:rPr>
              <w:fldChar w:fldCharType="begin"/>
            </w:r>
            <w:r w:rsidRPr="00E53836">
              <w:rPr>
                <w:rFonts w:ascii="Times New Roman" w:hAnsi="Times New Roman"/>
                <w:i w:val="0"/>
                <w:iCs w:val="0"/>
                <w:noProof/>
                <w:webHidden/>
                <w:sz w:val="24"/>
                <w:szCs w:val="24"/>
              </w:rPr>
              <w:instrText xml:space="preserve"> PAGEREF _Toc216107027 \h </w:instrText>
            </w:r>
            <w:r w:rsidRPr="00E53836">
              <w:rPr>
                <w:rFonts w:ascii="Times New Roman" w:hAnsi="Times New Roman"/>
                <w:i w:val="0"/>
                <w:iCs w:val="0"/>
                <w:noProof/>
                <w:webHidden/>
                <w:sz w:val="24"/>
                <w:szCs w:val="24"/>
              </w:rPr>
            </w:r>
            <w:r w:rsidRPr="00E53836">
              <w:rPr>
                <w:rFonts w:ascii="Times New Roman" w:hAnsi="Times New Roman"/>
                <w:i w:val="0"/>
                <w:iCs w:val="0"/>
                <w:noProof/>
                <w:webHidden/>
                <w:sz w:val="24"/>
                <w:szCs w:val="24"/>
              </w:rPr>
              <w:fldChar w:fldCharType="separate"/>
            </w:r>
            <w:r w:rsidR="00F32CCA">
              <w:rPr>
                <w:rFonts w:ascii="Times New Roman" w:hAnsi="Times New Roman"/>
                <w:i w:val="0"/>
                <w:iCs w:val="0"/>
                <w:noProof/>
                <w:webHidden/>
                <w:sz w:val="24"/>
                <w:szCs w:val="24"/>
              </w:rPr>
              <w:t>158</w:t>
            </w:r>
            <w:r w:rsidRPr="00E53836">
              <w:rPr>
                <w:rFonts w:ascii="Times New Roman" w:hAnsi="Times New Roman"/>
                <w:i w:val="0"/>
                <w:iCs w:val="0"/>
                <w:noProof/>
                <w:webHidden/>
                <w:sz w:val="24"/>
                <w:szCs w:val="24"/>
              </w:rPr>
              <w:fldChar w:fldCharType="end"/>
            </w:r>
          </w:hyperlink>
        </w:p>
        <w:p w14:paraId="570F1BBE" w14:textId="64D234A5" w:rsidR="00E53836" w:rsidRPr="00E53836" w:rsidRDefault="00E53836">
          <w:pPr>
            <w:pStyle w:val="TOC3"/>
            <w:tabs>
              <w:tab w:val="right" w:leader="dot" w:pos="8296"/>
            </w:tabs>
            <w:rPr>
              <w:rFonts w:ascii="Times New Roman" w:hAnsi="Times New Roman"/>
              <w:i w:val="0"/>
              <w:iCs w:val="0"/>
              <w:noProof/>
              <w:sz w:val="24"/>
              <w:szCs w:val="24"/>
              <w14:ligatures w14:val="standardContextual"/>
            </w:rPr>
          </w:pPr>
          <w:hyperlink w:anchor="_Toc216107028" w:history="1">
            <w:r w:rsidRPr="00E53836">
              <w:rPr>
                <w:rStyle w:val="aff3"/>
                <w:rFonts w:ascii="Times New Roman" w:hAnsi="Times New Roman"/>
                <w:i w:val="0"/>
                <w:iCs w:val="0"/>
                <w:noProof/>
                <w:sz w:val="24"/>
                <w:szCs w:val="24"/>
              </w:rPr>
              <w:t xml:space="preserve">3.6.5 </w:t>
            </w:r>
            <w:r w:rsidRPr="00E53836">
              <w:rPr>
                <w:rStyle w:val="aff3"/>
                <w:rFonts w:ascii="Times New Roman" w:hAnsi="Times New Roman"/>
                <w:i w:val="0"/>
                <w:iCs w:val="0"/>
                <w:noProof/>
                <w:sz w:val="24"/>
                <w:szCs w:val="24"/>
              </w:rPr>
              <w:t>鱼类</w:t>
            </w:r>
            <w:r w:rsidRPr="00E53836">
              <w:rPr>
                <w:rFonts w:ascii="Times New Roman" w:hAnsi="Times New Roman"/>
                <w:i w:val="0"/>
                <w:iCs w:val="0"/>
                <w:noProof/>
                <w:webHidden/>
                <w:sz w:val="24"/>
                <w:szCs w:val="24"/>
              </w:rPr>
              <w:tab/>
            </w:r>
            <w:r w:rsidRPr="00E53836">
              <w:rPr>
                <w:rFonts w:ascii="Times New Roman" w:hAnsi="Times New Roman"/>
                <w:i w:val="0"/>
                <w:iCs w:val="0"/>
                <w:noProof/>
                <w:webHidden/>
                <w:sz w:val="24"/>
                <w:szCs w:val="24"/>
              </w:rPr>
              <w:fldChar w:fldCharType="begin"/>
            </w:r>
            <w:r w:rsidRPr="00E53836">
              <w:rPr>
                <w:rFonts w:ascii="Times New Roman" w:hAnsi="Times New Roman"/>
                <w:i w:val="0"/>
                <w:iCs w:val="0"/>
                <w:noProof/>
                <w:webHidden/>
                <w:sz w:val="24"/>
                <w:szCs w:val="24"/>
              </w:rPr>
              <w:instrText xml:space="preserve"> PAGEREF _Toc216107028 \h </w:instrText>
            </w:r>
            <w:r w:rsidRPr="00E53836">
              <w:rPr>
                <w:rFonts w:ascii="Times New Roman" w:hAnsi="Times New Roman"/>
                <w:i w:val="0"/>
                <w:iCs w:val="0"/>
                <w:noProof/>
                <w:webHidden/>
                <w:sz w:val="24"/>
                <w:szCs w:val="24"/>
              </w:rPr>
            </w:r>
            <w:r w:rsidRPr="00E53836">
              <w:rPr>
                <w:rFonts w:ascii="Times New Roman" w:hAnsi="Times New Roman"/>
                <w:i w:val="0"/>
                <w:iCs w:val="0"/>
                <w:noProof/>
                <w:webHidden/>
                <w:sz w:val="24"/>
                <w:szCs w:val="24"/>
              </w:rPr>
              <w:fldChar w:fldCharType="separate"/>
            </w:r>
            <w:r w:rsidR="00F32CCA">
              <w:rPr>
                <w:rFonts w:ascii="Times New Roman" w:hAnsi="Times New Roman"/>
                <w:i w:val="0"/>
                <w:iCs w:val="0"/>
                <w:noProof/>
                <w:webHidden/>
                <w:sz w:val="24"/>
                <w:szCs w:val="24"/>
              </w:rPr>
              <w:t>161</w:t>
            </w:r>
            <w:r w:rsidRPr="00E53836">
              <w:rPr>
                <w:rFonts w:ascii="Times New Roman" w:hAnsi="Times New Roman"/>
                <w:i w:val="0"/>
                <w:iCs w:val="0"/>
                <w:noProof/>
                <w:webHidden/>
                <w:sz w:val="24"/>
                <w:szCs w:val="24"/>
              </w:rPr>
              <w:fldChar w:fldCharType="end"/>
            </w:r>
          </w:hyperlink>
        </w:p>
        <w:p w14:paraId="79A81F76" w14:textId="3276754B" w:rsidR="00E53836" w:rsidRPr="00E53836" w:rsidRDefault="00E53836">
          <w:pPr>
            <w:pStyle w:val="TOC3"/>
            <w:tabs>
              <w:tab w:val="right" w:leader="dot" w:pos="8296"/>
            </w:tabs>
            <w:rPr>
              <w:rFonts w:ascii="Times New Roman" w:hAnsi="Times New Roman"/>
              <w:i w:val="0"/>
              <w:iCs w:val="0"/>
              <w:noProof/>
              <w:sz w:val="24"/>
              <w:szCs w:val="24"/>
              <w14:ligatures w14:val="standardContextual"/>
            </w:rPr>
          </w:pPr>
          <w:hyperlink w:anchor="_Toc216107029" w:history="1">
            <w:r w:rsidRPr="00E53836">
              <w:rPr>
                <w:rStyle w:val="aff3"/>
                <w:rFonts w:ascii="Times New Roman" w:hAnsi="Times New Roman"/>
                <w:i w:val="0"/>
                <w:iCs w:val="0"/>
                <w:noProof/>
                <w:sz w:val="24"/>
                <w:szCs w:val="24"/>
              </w:rPr>
              <w:t xml:space="preserve">3.6.6 </w:t>
            </w:r>
            <w:r w:rsidRPr="00E53836">
              <w:rPr>
                <w:rStyle w:val="aff3"/>
                <w:rFonts w:ascii="Times New Roman" w:hAnsi="Times New Roman"/>
                <w:i w:val="0"/>
                <w:iCs w:val="0"/>
                <w:noProof/>
                <w:sz w:val="24"/>
                <w:szCs w:val="24"/>
              </w:rPr>
              <w:t>鱼类栖息地</w:t>
            </w:r>
            <w:r w:rsidRPr="00E53836">
              <w:rPr>
                <w:rFonts w:ascii="Times New Roman" w:hAnsi="Times New Roman"/>
                <w:i w:val="0"/>
                <w:iCs w:val="0"/>
                <w:noProof/>
                <w:webHidden/>
                <w:sz w:val="24"/>
                <w:szCs w:val="24"/>
              </w:rPr>
              <w:tab/>
            </w:r>
            <w:r w:rsidRPr="00E53836">
              <w:rPr>
                <w:rFonts w:ascii="Times New Roman" w:hAnsi="Times New Roman"/>
                <w:i w:val="0"/>
                <w:iCs w:val="0"/>
                <w:noProof/>
                <w:webHidden/>
                <w:sz w:val="24"/>
                <w:szCs w:val="24"/>
              </w:rPr>
              <w:fldChar w:fldCharType="begin"/>
            </w:r>
            <w:r w:rsidRPr="00E53836">
              <w:rPr>
                <w:rFonts w:ascii="Times New Roman" w:hAnsi="Times New Roman"/>
                <w:i w:val="0"/>
                <w:iCs w:val="0"/>
                <w:noProof/>
                <w:webHidden/>
                <w:sz w:val="24"/>
                <w:szCs w:val="24"/>
              </w:rPr>
              <w:instrText xml:space="preserve"> PAGEREF _Toc216107029 \h </w:instrText>
            </w:r>
            <w:r w:rsidRPr="00E53836">
              <w:rPr>
                <w:rFonts w:ascii="Times New Roman" w:hAnsi="Times New Roman"/>
                <w:i w:val="0"/>
                <w:iCs w:val="0"/>
                <w:noProof/>
                <w:webHidden/>
                <w:sz w:val="24"/>
                <w:szCs w:val="24"/>
              </w:rPr>
            </w:r>
            <w:r w:rsidRPr="00E53836">
              <w:rPr>
                <w:rFonts w:ascii="Times New Roman" w:hAnsi="Times New Roman"/>
                <w:i w:val="0"/>
                <w:iCs w:val="0"/>
                <w:noProof/>
                <w:webHidden/>
                <w:sz w:val="24"/>
                <w:szCs w:val="24"/>
              </w:rPr>
              <w:fldChar w:fldCharType="separate"/>
            </w:r>
            <w:r w:rsidR="00F32CCA">
              <w:rPr>
                <w:rFonts w:ascii="Times New Roman" w:hAnsi="Times New Roman"/>
                <w:i w:val="0"/>
                <w:iCs w:val="0"/>
                <w:noProof/>
                <w:webHidden/>
                <w:sz w:val="24"/>
                <w:szCs w:val="24"/>
              </w:rPr>
              <w:t>166</w:t>
            </w:r>
            <w:r w:rsidRPr="00E53836">
              <w:rPr>
                <w:rFonts w:ascii="Times New Roman" w:hAnsi="Times New Roman"/>
                <w:i w:val="0"/>
                <w:iCs w:val="0"/>
                <w:noProof/>
                <w:webHidden/>
                <w:sz w:val="24"/>
                <w:szCs w:val="24"/>
              </w:rPr>
              <w:fldChar w:fldCharType="end"/>
            </w:r>
          </w:hyperlink>
        </w:p>
        <w:p w14:paraId="41CBF118" w14:textId="62BA6B64" w:rsidR="00E53836" w:rsidRPr="00E53836" w:rsidRDefault="00E53836">
          <w:pPr>
            <w:pStyle w:val="TOC3"/>
            <w:tabs>
              <w:tab w:val="right" w:leader="dot" w:pos="8296"/>
            </w:tabs>
            <w:rPr>
              <w:rFonts w:ascii="Times New Roman" w:hAnsi="Times New Roman"/>
              <w:i w:val="0"/>
              <w:iCs w:val="0"/>
              <w:noProof/>
              <w:sz w:val="24"/>
              <w:szCs w:val="24"/>
              <w14:ligatures w14:val="standardContextual"/>
            </w:rPr>
          </w:pPr>
          <w:hyperlink w:anchor="_Toc216107030" w:history="1">
            <w:r w:rsidRPr="00E53836">
              <w:rPr>
                <w:rStyle w:val="aff3"/>
                <w:rFonts w:ascii="Times New Roman" w:hAnsi="Times New Roman"/>
                <w:i w:val="0"/>
                <w:iCs w:val="0"/>
                <w:noProof/>
                <w:sz w:val="24"/>
                <w:szCs w:val="24"/>
              </w:rPr>
              <w:t xml:space="preserve">3.6.7 </w:t>
            </w:r>
            <w:r w:rsidRPr="00E53836">
              <w:rPr>
                <w:rStyle w:val="aff3"/>
                <w:rFonts w:ascii="Times New Roman" w:hAnsi="Times New Roman"/>
                <w:i w:val="0"/>
                <w:iCs w:val="0"/>
                <w:noProof/>
                <w:sz w:val="24"/>
                <w:szCs w:val="24"/>
              </w:rPr>
              <w:t>小结</w:t>
            </w:r>
            <w:r w:rsidRPr="00E53836">
              <w:rPr>
                <w:rFonts w:ascii="Times New Roman" w:hAnsi="Times New Roman"/>
                <w:i w:val="0"/>
                <w:iCs w:val="0"/>
                <w:noProof/>
                <w:webHidden/>
                <w:sz w:val="24"/>
                <w:szCs w:val="24"/>
              </w:rPr>
              <w:tab/>
            </w:r>
            <w:r w:rsidRPr="00E53836">
              <w:rPr>
                <w:rFonts w:ascii="Times New Roman" w:hAnsi="Times New Roman"/>
                <w:i w:val="0"/>
                <w:iCs w:val="0"/>
                <w:noProof/>
                <w:webHidden/>
                <w:sz w:val="24"/>
                <w:szCs w:val="24"/>
              </w:rPr>
              <w:fldChar w:fldCharType="begin"/>
            </w:r>
            <w:r w:rsidRPr="00E53836">
              <w:rPr>
                <w:rFonts w:ascii="Times New Roman" w:hAnsi="Times New Roman"/>
                <w:i w:val="0"/>
                <w:iCs w:val="0"/>
                <w:noProof/>
                <w:webHidden/>
                <w:sz w:val="24"/>
                <w:szCs w:val="24"/>
              </w:rPr>
              <w:instrText xml:space="preserve"> PAGEREF _Toc216107030 \h </w:instrText>
            </w:r>
            <w:r w:rsidRPr="00E53836">
              <w:rPr>
                <w:rFonts w:ascii="Times New Roman" w:hAnsi="Times New Roman"/>
                <w:i w:val="0"/>
                <w:iCs w:val="0"/>
                <w:noProof/>
                <w:webHidden/>
                <w:sz w:val="24"/>
                <w:szCs w:val="24"/>
              </w:rPr>
            </w:r>
            <w:r w:rsidRPr="00E53836">
              <w:rPr>
                <w:rFonts w:ascii="Times New Roman" w:hAnsi="Times New Roman"/>
                <w:i w:val="0"/>
                <w:iCs w:val="0"/>
                <w:noProof/>
                <w:webHidden/>
                <w:sz w:val="24"/>
                <w:szCs w:val="24"/>
              </w:rPr>
              <w:fldChar w:fldCharType="separate"/>
            </w:r>
            <w:r w:rsidR="00F32CCA">
              <w:rPr>
                <w:rFonts w:ascii="Times New Roman" w:hAnsi="Times New Roman"/>
                <w:i w:val="0"/>
                <w:iCs w:val="0"/>
                <w:noProof/>
                <w:webHidden/>
                <w:sz w:val="24"/>
                <w:szCs w:val="24"/>
              </w:rPr>
              <w:t>167</w:t>
            </w:r>
            <w:r w:rsidRPr="00E53836">
              <w:rPr>
                <w:rFonts w:ascii="Times New Roman" w:hAnsi="Times New Roman"/>
                <w:i w:val="0"/>
                <w:iCs w:val="0"/>
                <w:noProof/>
                <w:webHidden/>
                <w:sz w:val="24"/>
                <w:szCs w:val="24"/>
              </w:rPr>
              <w:fldChar w:fldCharType="end"/>
            </w:r>
          </w:hyperlink>
        </w:p>
        <w:p w14:paraId="47ED100B" w14:textId="1084C1F8" w:rsidR="00E53836" w:rsidRPr="00E53836" w:rsidRDefault="00E53836">
          <w:pPr>
            <w:pStyle w:val="TOC2"/>
            <w:tabs>
              <w:tab w:val="right" w:leader="dot" w:pos="8296"/>
            </w:tabs>
            <w:rPr>
              <w:rFonts w:ascii="Times New Roman" w:hAnsi="Times New Roman"/>
              <w:smallCaps w:val="0"/>
              <w:noProof/>
              <w:sz w:val="24"/>
              <w:szCs w:val="24"/>
              <w14:ligatures w14:val="standardContextual"/>
            </w:rPr>
          </w:pPr>
          <w:hyperlink w:anchor="_Toc216107031" w:history="1">
            <w:r w:rsidRPr="00E53836">
              <w:rPr>
                <w:rStyle w:val="aff3"/>
                <w:rFonts w:ascii="Times New Roman" w:hAnsi="Times New Roman"/>
                <w:noProof/>
                <w:sz w:val="24"/>
                <w:szCs w:val="24"/>
              </w:rPr>
              <w:t xml:space="preserve">3.7 </w:t>
            </w:r>
            <w:r w:rsidRPr="00E53836">
              <w:rPr>
                <w:rStyle w:val="aff3"/>
                <w:rFonts w:ascii="Times New Roman" w:hAnsi="Times New Roman"/>
                <w:noProof/>
                <w:sz w:val="24"/>
                <w:szCs w:val="24"/>
              </w:rPr>
              <w:t>流域环境影响回顾性评价</w:t>
            </w:r>
            <w:r w:rsidRPr="00E53836">
              <w:rPr>
                <w:rFonts w:ascii="Times New Roman" w:hAnsi="Times New Roman"/>
                <w:noProof/>
                <w:webHidden/>
                <w:sz w:val="24"/>
                <w:szCs w:val="24"/>
              </w:rPr>
              <w:tab/>
            </w:r>
            <w:r w:rsidRPr="00E53836">
              <w:rPr>
                <w:rFonts w:ascii="Times New Roman" w:hAnsi="Times New Roman"/>
                <w:noProof/>
                <w:webHidden/>
                <w:sz w:val="24"/>
                <w:szCs w:val="24"/>
              </w:rPr>
              <w:fldChar w:fldCharType="begin"/>
            </w:r>
            <w:r w:rsidRPr="00E53836">
              <w:rPr>
                <w:rFonts w:ascii="Times New Roman" w:hAnsi="Times New Roman"/>
                <w:noProof/>
                <w:webHidden/>
                <w:sz w:val="24"/>
                <w:szCs w:val="24"/>
              </w:rPr>
              <w:instrText xml:space="preserve"> PAGEREF _Toc216107031 \h </w:instrText>
            </w:r>
            <w:r w:rsidRPr="00E53836">
              <w:rPr>
                <w:rFonts w:ascii="Times New Roman" w:hAnsi="Times New Roman"/>
                <w:noProof/>
                <w:webHidden/>
                <w:sz w:val="24"/>
                <w:szCs w:val="24"/>
              </w:rPr>
            </w:r>
            <w:r w:rsidRPr="00E53836">
              <w:rPr>
                <w:rFonts w:ascii="Times New Roman" w:hAnsi="Times New Roman"/>
                <w:noProof/>
                <w:webHidden/>
                <w:sz w:val="24"/>
                <w:szCs w:val="24"/>
              </w:rPr>
              <w:fldChar w:fldCharType="separate"/>
            </w:r>
            <w:r w:rsidR="00F32CCA">
              <w:rPr>
                <w:rFonts w:ascii="Times New Roman" w:hAnsi="Times New Roman"/>
                <w:noProof/>
                <w:webHidden/>
                <w:sz w:val="24"/>
                <w:szCs w:val="24"/>
              </w:rPr>
              <w:t>168</w:t>
            </w:r>
            <w:r w:rsidRPr="00E53836">
              <w:rPr>
                <w:rFonts w:ascii="Times New Roman" w:hAnsi="Times New Roman"/>
                <w:noProof/>
                <w:webHidden/>
                <w:sz w:val="24"/>
                <w:szCs w:val="24"/>
              </w:rPr>
              <w:fldChar w:fldCharType="end"/>
            </w:r>
          </w:hyperlink>
        </w:p>
        <w:p w14:paraId="6C8D462B" w14:textId="5D170117" w:rsidR="00E53836" w:rsidRPr="00E53836" w:rsidRDefault="00E53836">
          <w:pPr>
            <w:pStyle w:val="TOC2"/>
            <w:tabs>
              <w:tab w:val="right" w:leader="dot" w:pos="8296"/>
            </w:tabs>
            <w:rPr>
              <w:rFonts w:ascii="Times New Roman" w:hAnsi="Times New Roman"/>
              <w:smallCaps w:val="0"/>
              <w:noProof/>
              <w:sz w:val="24"/>
              <w:szCs w:val="24"/>
              <w14:ligatures w14:val="standardContextual"/>
            </w:rPr>
          </w:pPr>
          <w:hyperlink w:anchor="_Toc216107032" w:history="1">
            <w:r w:rsidRPr="00E53836">
              <w:rPr>
                <w:rStyle w:val="aff3"/>
                <w:rFonts w:ascii="Times New Roman" w:hAnsi="Times New Roman"/>
                <w:noProof/>
                <w:sz w:val="24"/>
                <w:szCs w:val="24"/>
              </w:rPr>
              <w:t xml:space="preserve">3.8 </w:t>
            </w:r>
            <w:r w:rsidRPr="00E53836">
              <w:rPr>
                <w:rStyle w:val="aff3"/>
                <w:rFonts w:ascii="Times New Roman" w:hAnsi="Times New Roman"/>
                <w:noProof/>
                <w:sz w:val="24"/>
                <w:szCs w:val="24"/>
              </w:rPr>
              <w:t>资源环境制约因素分析</w:t>
            </w:r>
            <w:r w:rsidRPr="00E53836">
              <w:rPr>
                <w:rFonts w:ascii="Times New Roman" w:hAnsi="Times New Roman"/>
                <w:noProof/>
                <w:webHidden/>
                <w:sz w:val="24"/>
                <w:szCs w:val="24"/>
              </w:rPr>
              <w:tab/>
            </w:r>
            <w:r w:rsidRPr="00E53836">
              <w:rPr>
                <w:rFonts w:ascii="Times New Roman" w:hAnsi="Times New Roman"/>
                <w:noProof/>
                <w:webHidden/>
                <w:sz w:val="24"/>
                <w:szCs w:val="24"/>
              </w:rPr>
              <w:fldChar w:fldCharType="begin"/>
            </w:r>
            <w:r w:rsidRPr="00E53836">
              <w:rPr>
                <w:rFonts w:ascii="Times New Roman" w:hAnsi="Times New Roman"/>
                <w:noProof/>
                <w:webHidden/>
                <w:sz w:val="24"/>
                <w:szCs w:val="24"/>
              </w:rPr>
              <w:instrText xml:space="preserve"> PAGEREF _Toc216107032 \h </w:instrText>
            </w:r>
            <w:r w:rsidRPr="00E53836">
              <w:rPr>
                <w:rFonts w:ascii="Times New Roman" w:hAnsi="Times New Roman"/>
                <w:noProof/>
                <w:webHidden/>
                <w:sz w:val="24"/>
                <w:szCs w:val="24"/>
              </w:rPr>
            </w:r>
            <w:r w:rsidRPr="00E53836">
              <w:rPr>
                <w:rFonts w:ascii="Times New Roman" w:hAnsi="Times New Roman"/>
                <w:noProof/>
                <w:webHidden/>
                <w:sz w:val="24"/>
                <w:szCs w:val="24"/>
              </w:rPr>
              <w:fldChar w:fldCharType="separate"/>
            </w:r>
            <w:r w:rsidR="00F32CCA">
              <w:rPr>
                <w:rFonts w:ascii="Times New Roman" w:hAnsi="Times New Roman"/>
                <w:noProof/>
                <w:webHidden/>
                <w:sz w:val="24"/>
                <w:szCs w:val="24"/>
              </w:rPr>
              <w:t>172</w:t>
            </w:r>
            <w:r w:rsidRPr="00E53836">
              <w:rPr>
                <w:rFonts w:ascii="Times New Roman" w:hAnsi="Times New Roman"/>
                <w:noProof/>
                <w:webHidden/>
                <w:sz w:val="24"/>
                <w:szCs w:val="24"/>
              </w:rPr>
              <w:fldChar w:fldCharType="end"/>
            </w:r>
          </w:hyperlink>
        </w:p>
        <w:p w14:paraId="02C9C71A" w14:textId="2CF7F621" w:rsidR="00E53836" w:rsidRPr="00E53836" w:rsidRDefault="00E53836">
          <w:pPr>
            <w:pStyle w:val="TOC1"/>
            <w:tabs>
              <w:tab w:val="right" w:leader="dot" w:pos="8296"/>
            </w:tabs>
            <w:rPr>
              <w:rFonts w:ascii="Times New Roman" w:hAnsi="Times New Roman"/>
              <w:b w:val="0"/>
              <w:bCs w:val="0"/>
              <w:caps w:val="0"/>
              <w:noProof/>
              <w:sz w:val="24"/>
              <w:szCs w:val="24"/>
              <w14:ligatures w14:val="standardContextual"/>
            </w:rPr>
          </w:pPr>
          <w:hyperlink w:anchor="_Toc216107033" w:history="1">
            <w:r w:rsidRPr="00E53836">
              <w:rPr>
                <w:rStyle w:val="aff3"/>
                <w:rFonts w:ascii="Times New Roman" w:hAnsi="Times New Roman"/>
                <w:noProof/>
                <w:sz w:val="24"/>
                <w:szCs w:val="24"/>
              </w:rPr>
              <w:t xml:space="preserve">4 </w:t>
            </w:r>
            <w:r w:rsidRPr="00E53836">
              <w:rPr>
                <w:rStyle w:val="aff3"/>
                <w:rFonts w:ascii="Times New Roman" w:hAnsi="Times New Roman"/>
                <w:noProof/>
                <w:sz w:val="24"/>
                <w:szCs w:val="24"/>
              </w:rPr>
              <w:t>环境影响识别与评价指标体系构建</w:t>
            </w:r>
            <w:r w:rsidRPr="00E53836">
              <w:rPr>
                <w:rFonts w:ascii="Times New Roman" w:hAnsi="Times New Roman"/>
                <w:noProof/>
                <w:webHidden/>
                <w:sz w:val="24"/>
                <w:szCs w:val="24"/>
              </w:rPr>
              <w:tab/>
            </w:r>
            <w:r w:rsidRPr="00E53836">
              <w:rPr>
                <w:rFonts w:ascii="Times New Roman" w:hAnsi="Times New Roman"/>
                <w:noProof/>
                <w:webHidden/>
                <w:sz w:val="24"/>
                <w:szCs w:val="24"/>
              </w:rPr>
              <w:fldChar w:fldCharType="begin"/>
            </w:r>
            <w:r w:rsidRPr="00E53836">
              <w:rPr>
                <w:rFonts w:ascii="Times New Roman" w:hAnsi="Times New Roman"/>
                <w:noProof/>
                <w:webHidden/>
                <w:sz w:val="24"/>
                <w:szCs w:val="24"/>
              </w:rPr>
              <w:instrText xml:space="preserve"> PAGEREF _Toc216107033 \h </w:instrText>
            </w:r>
            <w:r w:rsidRPr="00E53836">
              <w:rPr>
                <w:rFonts w:ascii="Times New Roman" w:hAnsi="Times New Roman"/>
                <w:noProof/>
                <w:webHidden/>
                <w:sz w:val="24"/>
                <w:szCs w:val="24"/>
              </w:rPr>
            </w:r>
            <w:r w:rsidRPr="00E53836">
              <w:rPr>
                <w:rFonts w:ascii="Times New Roman" w:hAnsi="Times New Roman"/>
                <w:noProof/>
                <w:webHidden/>
                <w:sz w:val="24"/>
                <w:szCs w:val="24"/>
              </w:rPr>
              <w:fldChar w:fldCharType="separate"/>
            </w:r>
            <w:r w:rsidR="00F32CCA">
              <w:rPr>
                <w:rFonts w:ascii="Times New Roman" w:hAnsi="Times New Roman"/>
                <w:noProof/>
                <w:webHidden/>
                <w:sz w:val="24"/>
                <w:szCs w:val="24"/>
              </w:rPr>
              <w:t>174</w:t>
            </w:r>
            <w:r w:rsidRPr="00E53836">
              <w:rPr>
                <w:rFonts w:ascii="Times New Roman" w:hAnsi="Times New Roman"/>
                <w:noProof/>
                <w:webHidden/>
                <w:sz w:val="24"/>
                <w:szCs w:val="24"/>
              </w:rPr>
              <w:fldChar w:fldCharType="end"/>
            </w:r>
          </w:hyperlink>
        </w:p>
        <w:p w14:paraId="11E7DE14" w14:textId="7E6F778C" w:rsidR="00E53836" w:rsidRPr="00E53836" w:rsidRDefault="00E53836">
          <w:pPr>
            <w:pStyle w:val="TOC2"/>
            <w:tabs>
              <w:tab w:val="right" w:leader="dot" w:pos="8296"/>
            </w:tabs>
            <w:rPr>
              <w:rFonts w:ascii="Times New Roman" w:hAnsi="Times New Roman"/>
              <w:smallCaps w:val="0"/>
              <w:noProof/>
              <w:sz w:val="24"/>
              <w:szCs w:val="24"/>
              <w14:ligatures w14:val="standardContextual"/>
            </w:rPr>
          </w:pPr>
          <w:hyperlink w:anchor="_Toc216107034" w:history="1">
            <w:r w:rsidRPr="00E53836">
              <w:rPr>
                <w:rStyle w:val="aff3"/>
                <w:rFonts w:ascii="Times New Roman" w:hAnsi="Times New Roman"/>
                <w:noProof/>
                <w:sz w:val="24"/>
                <w:szCs w:val="24"/>
              </w:rPr>
              <w:t xml:space="preserve">4.1 </w:t>
            </w:r>
            <w:r w:rsidRPr="00E53836">
              <w:rPr>
                <w:rStyle w:val="aff3"/>
                <w:rFonts w:ascii="Times New Roman" w:hAnsi="Times New Roman"/>
                <w:noProof/>
                <w:sz w:val="24"/>
                <w:szCs w:val="24"/>
              </w:rPr>
              <w:t>环境影响识别</w:t>
            </w:r>
            <w:r w:rsidRPr="00E53836">
              <w:rPr>
                <w:rFonts w:ascii="Times New Roman" w:hAnsi="Times New Roman"/>
                <w:noProof/>
                <w:webHidden/>
                <w:sz w:val="24"/>
                <w:szCs w:val="24"/>
              </w:rPr>
              <w:tab/>
            </w:r>
            <w:r w:rsidRPr="00E53836">
              <w:rPr>
                <w:rFonts w:ascii="Times New Roman" w:hAnsi="Times New Roman"/>
                <w:noProof/>
                <w:webHidden/>
                <w:sz w:val="24"/>
                <w:szCs w:val="24"/>
              </w:rPr>
              <w:fldChar w:fldCharType="begin"/>
            </w:r>
            <w:r w:rsidRPr="00E53836">
              <w:rPr>
                <w:rFonts w:ascii="Times New Roman" w:hAnsi="Times New Roman"/>
                <w:noProof/>
                <w:webHidden/>
                <w:sz w:val="24"/>
                <w:szCs w:val="24"/>
              </w:rPr>
              <w:instrText xml:space="preserve"> PAGEREF _Toc216107034 \h </w:instrText>
            </w:r>
            <w:r w:rsidRPr="00E53836">
              <w:rPr>
                <w:rFonts w:ascii="Times New Roman" w:hAnsi="Times New Roman"/>
                <w:noProof/>
                <w:webHidden/>
                <w:sz w:val="24"/>
                <w:szCs w:val="24"/>
              </w:rPr>
            </w:r>
            <w:r w:rsidRPr="00E53836">
              <w:rPr>
                <w:rFonts w:ascii="Times New Roman" w:hAnsi="Times New Roman"/>
                <w:noProof/>
                <w:webHidden/>
                <w:sz w:val="24"/>
                <w:szCs w:val="24"/>
              </w:rPr>
              <w:fldChar w:fldCharType="separate"/>
            </w:r>
            <w:r w:rsidR="00F32CCA">
              <w:rPr>
                <w:rFonts w:ascii="Times New Roman" w:hAnsi="Times New Roman"/>
                <w:noProof/>
                <w:webHidden/>
                <w:sz w:val="24"/>
                <w:szCs w:val="24"/>
              </w:rPr>
              <w:t>174</w:t>
            </w:r>
            <w:r w:rsidRPr="00E53836">
              <w:rPr>
                <w:rFonts w:ascii="Times New Roman" w:hAnsi="Times New Roman"/>
                <w:noProof/>
                <w:webHidden/>
                <w:sz w:val="24"/>
                <w:szCs w:val="24"/>
              </w:rPr>
              <w:fldChar w:fldCharType="end"/>
            </w:r>
          </w:hyperlink>
        </w:p>
        <w:p w14:paraId="073F7080" w14:textId="5873B34E" w:rsidR="00E53836" w:rsidRPr="00E53836" w:rsidRDefault="00E53836">
          <w:pPr>
            <w:pStyle w:val="TOC2"/>
            <w:tabs>
              <w:tab w:val="right" w:leader="dot" w:pos="8296"/>
            </w:tabs>
            <w:rPr>
              <w:rFonts w:ascii="Times New Roman" w:hAnsi="Times New Roman"/>
              <w:smallCaps w:val="0"/>
              <w:noProof/>
              <w:sz w:val="24"/>
              <w:szCs w:val="24"/>
              <w14:ligatures w14:val="standardContextual"/>
            </w:rPr>
          </w:pPr>
          <w:hyperlink w:anchor="_Toc216107035" w:history="1">
            <w:r w:rsidRPr="00E53836">
              <w:rPr>
                <w:rStyle w:val="aff3"/>
                <w:rFonts w:ascii="Times New Roman" w:hAnsi="Times New Roman"/>
                <w:noProof/>
                <w:sz w:val="24"/>
                <w:szCs w:val="24"/>
              </w:rPr>
              <w:t xml:space="preserve">4.2 </w:t>
            </w:r>
            <w:r w:rsidRPr="00E53836">
              <w:rPr>
                <w:rStyle w:val="aff3"/>
                <w:rFonts w:ascii="Times New Roman" w:hAnsi="Times New Roman"/>
                <w:noProof/>
                <w:sz w:val="24"/>
                <w:szCs w:val="24"/>
              </w:rPr>
              <w:t>生态环境保护定位</w:t>
            </w:r>
            <w:r w:rsidRPr="00E53836">
              <w:rPr>
                <w:rFonts w:ascii="Times New Roman" w:hAnsi="Times New Roman"/>
                <w:noProof/>
                <w:webHidden/>
                <w:sz w:val="24"/>
                <w:szCs w:val="24"/>
              </w:rPr>
              <w:tab/>
            </w:r>
            <w:r w:rsidRPr="00E53836">
              <w:rPr>
                <w:rFonts w:ascii="Times New Roman" w:hAnsi="Times New Roman"/>
                <w:noProof/>
                <w:webHidden/>
                <w:sz w:val="24"/>
                <w:szCs w:val="24"/>
              </w:rPr>
              <w:fldChar w:fldCharType="begin"/>
            </w:r>
            <w:r w:rsidRPr="00E53836">
              <w:rPr>
                <w:rFonts w:ascii="Times New Roman" w:hAnsi="Times New Roman"/>
                <w:noProof/>
                <w:webHidden/>
                <w:sz w:val="24"/>
                <w:szCs w:val="24"/>
              </w:rPr>
              <w:instrText xml:space="preserve"> PAGEREF _Toc216107035 \h </w:instrText>
            </w:r>
            <w:r w:rsidRPr="00E53836">
              <w:rPr>
                <w:rFonts w:ascii="Times New Roman" w:hAnsi="Times New Roman"/>
                <w:noProof/>
                <w:webHidden/>
                <w:sz w:val="24"/>
                <w:szCs w:val="24"/>
              </w:rPr>
            </w:r>
            <w:r w:rsidRPr="00E53836">
              <w:rPr>
                <w:rFonts w:ascii="Times New Roman" w:hAnsi="Times New Roman"/>
                <w:noProof/>
                <w:webHidden/>
                <w:sz w:val="24"/>
                <w:szCs w:val="24"/>
              </w:rPr>
              <w:fldChar w:fldCharType="separate"/>
            </w:r>
            <w:r w:rsidR="00F32CCA">
              <w:rPr>
                <w:rFonts w:ascii="Times New Roman" w:hAnsi="Times New Roman"/>
                <w:noProof/>
                <w:webHidden/>
                <w:sz w:val="24"/>
                <w:szCs w:val="24"/>
              </w:rPr>
              <w:t>181</w:t>
            </w:r>
            <w:r w:rsidRPr="00E53836">
              <w:rPr>
                <w:rFonts w:ascii="Times New Roman" w:hAnsi="Times New Roman"/>
                <w:noProof/>
                <w:webHidden/>
                <w:sz w:val="24"/>
                <w:szCs w:val="24"/>
              </w:rPr>
              <w:fldChar w:fldCharType="end"/>
            </w:r>
          </w:hyperlink>
        </w:p>
        <w:p w14:paraId="27CB90B4" w14:textId="01C3252C" w:rsidR="00E53836" w:rsidRPr="00E53836" w:rsidRDefault="00E53836">
          <w:pPr>
            <w:pStyle w:val="TOC3"/>
            <w:tabs>
              <w:tab w:val="right" w:leader="dot" w:pos="8296"/>
            </w:tabs>
            <w:rPr>
              <w:rFonts w:ascii="Times New Roman" w:hAnsi="Times New Roman"/>
              <w:i w:val="0"/>
              <w:iCs w:val="0"/>
              <w:noProof/>
              <w:sz w:val="24"/>
              <w:szCs w:val="24"/>
              <w14:ligatures w14:val="standardContextual"/>
            </w:rPr>
          </w:pPr>
          <w:hyperlink w:anchor="_Toc216107036" w:history="1">
            <w:r w:rsidRPr="00E53836">
              <w:rPr>
                <w:rStyle w:val="aff3"/>
                <w:rFonts w:ascii="Times New Roman" w:hAnsi="Times New Roman"/>
                <w:i w:val="0"/>
                <w:iCs w:val="0"/>
                <w:noProof/>
                <w:sz w:val="24"/>
                <w:szCs w:val="24"/>
              </w:rPr>
              <w:t xml:space="preserve">4.2.1 </w:t>
            </w:r>
            <w:r w:rsidRPr="00E53836">
              <w:rPr>
                <w:rStyle w:val="aff3"/>
                <w:rFonts w:ascii="Times New Roman" w:hAnsi="Times New Roman"/>
                <w:i w:val="0"/>
                <w:iCs w:val="0"/>
                <w:noProof/>
                <w:sz w:val="24"/>
                <w:szCs w:val="24"/>
              </w:rPr>
              <w:t>环境敏感保护目标识别</w:t>
            </w:r>
            <w:r w:rsidRPr="00E53836">
              <w:rPr>
                <w:rFonts w:ascii="Times New Roman" w:hAnsi="Times New Roman"/>
                <w:i w:val="0"/>
                <w:iCs w:val="0"/>
                <w:noProof/>
                <w:webHidden/>
                <w:sz w:val="24"/>
                <w:szCs w:val="24"/>
              </w:rPr>
              <w:tab/>
            </w:r>
            <w:r w:rsidRPr="00E53836">
              <w:rPr>
                <w:rFonts w:ascii="Times New Roman" w:hAnsi="Times New Roman"/>
                <w:i w:val="0"/>
                <w:iCs w:val="0"/>
                <w:noProof/>
                <w:webHidden/>
                <w:sz w:val="24"/>
                <w:szCs w:val="24"/>
              </w:rPr>
              <w:fldChar w:fldCharType="begin"/>
            </w:r>
            <w:r w:rsidRPr="00E53836">
              <w:rPr>
                <w:rFonts w:ascii="Times New Roman" w:hAnsi="Times New Roman"/>
                <w:i w:val="0"/>
                <w:iCs w:val="0"/>
                <w:noProof/>
                <w:webHidden/>
                <w:sz w:val="24"/>
                <w:szCs w:val="24"/>
              </w:rPr>
              <w:instrText xml:space="preserve"> PAGEREF _Toc216107036 \h </w:instrText>
            </w:r>
            <w:r w:rsidRPr="00E53836">
              <w:rPr>
                <w:rFonts w:ascii="Times New Roman" w:hAnsi="Times New Roman"/>
                <w:i w:val="0"/>
                <w:iCs w:val="0"/>
                <w:noProof/>
                <w:webHidden/>
                <w:sz w:val="24"/>
                <w:szCs w:val="24"/>
              </w:rPr>
            </w:r>
            <w:r w:rsidRPr="00E53836">
              <w:rPr>
                <w:rFonts w:ascii="Times New Roman" w:hAnsi="Times New Roman"/>
                <w:i w:val="0"/>
                <w:iCs w:val="0"/>
                <w:noProof/>
                <w:webHidden/>
                <w:sz w:val="24"/>
                <w:szCs w:val="24"/>
              </w:rPr>
              <w:fldChar w:fldCharType="separate"/>
            </w:r>
            <w:r w:rsidR="00F32CCA">
              <w:rPr>
                <w:rFonts w:ascii="Times New Roman" w:hAnsi="Times New Roman"/>
                <w:i w:val="0"/>
                <w:iCs w:val="0"/>
                <w:noProof/>
                <w:webHidden/>
                <w:sz w:val="24"/>
                <w:szCs w:val="24"/>
              </w:rPr>
              <w:t>181</w:t>
            </w:r>
            <w:r w:rsidRPr="00E53836">
              <w:rPr>
                <w:rFonts w:ascii="Times New Roman" w:hAnsi="Times New Roman"/>
                <w:i w:val="0"/>
                <w:iCs w:val="0"/>
                <w:noProof/>
                <w:webHidden/>
                <w:sz w:val="24"/>
                <w:szCs w:val="24"/>
              </w:rPr>
              <w:fldChar w:fldCharType="end"/>
            </w:r>
          </w:hyperlink>
        </w:p>
        <w:p w14:paraId="477B17B1" w14:textId="5C647CB5" w:rsidR="00E53836" w:rsidRPr="00E53836" w:rsidRDefault="00E53836">
          <w:pPr>
            <w:pStyle w:val="TOC3"/>
            <w:tabs>
              <w:tab w:val="right" w:leader="dot" w:pos="8296"/>
            </w:tabs>
            <w:rPr>
              <w:rFonts w:ascii="Times New Roman" w:hAnsi="Times New Roman"/>
              <w:i w:val="0"/>
              <w:iCs w:val="0"/>
              <w:noProof/>
              <w:sz w:val="24"/>
              <w:szCs w:val="24"/>
              <w14:ligatures w14:val="standardContextual"/>
            </w:rPr>
          </w:pPr>
          <w:hyperlink w:anchor="_Toc216107037" w:history="1">
            <w:r w:rsidRPr="00E53836">
              <w:rPr>
                <w:rStyle w:val="aff3"/>
                <w:rFonts w:ascii="Times New Roman" w:hAnsi="Times New Roman"/>
                <w:i w:val="0"/>
                <w:iCs w:val="0"/>
                <w:noProof/>
                <w:sz w:val="24"/>
                <w:szCs w:val="24"/>
              </w:rPr>
              <w:t xml:space="preserve">4.2.2 </w:t>
            </w:r>
            <w:r w:rsidRPr="00E53836">
              <w:rPr>
                <w:rStyle w:val="aff3"/>
                <w:rFonts w:ascii="Times New Roman" w:hAnsi="Times New Roman"/>
                <w:i w:val="0"/>
                <w:iCs w:val="0"/>
                <w:noProof/>
                <w:sz w:val="24"/>
                <w:szCs w:val="24"/>
              </w:rPr>
              <w:t>流域生态环境保护定位</w:t>
            </w:r>
            <w:r w:rsidRPr="00E53836">
              <w:rPr>
                <w:rFonts w:ascii="Times New Roman" w:hAnsi="Times New Roman"/>
                <w:i w:val="0"/>
                <w:iCs w:val="0"/>
                <w:noProof/>
                <w:webHidden/>
                <w:sz w:val="24"/>
                <w:szCs w:val="24"/>
              </w:rPr>
              <w:tab/>
            </w:r>
            <w:r w:rsidRPr="00E53836">
              <w:rPr>
                <w:rFonts w:ascii="Times New Roman" w:hAnsi="Times New Roman"/>
                <w:i w:val="0"/>
                <w:iCs w:val="0"/>
                <w:noProof/>
                <w:webHidden/>
                <w:sz w:val="24"/>
                <w:szCs w:val="24"/>
              </w:rPr>
              <w:fldChar w:fldCharType="begin"/>
            </w:r>
            <w:r w:rsidRPr="00E53836">
              <w:rPr>
                <w:rFonts w:ascii="Times New Roman" w:hAnsi="Times New Roman"/>
                <w:i w:val="0"/>
                <w:iCs w:val="0"/>
                <w:noProof/>
                <w:webHidden/>
                <w:sz w:val="24"/>
                <w:szCs w:val="24"/>
              </w:rPr>
              <w:instrText xml:space="preserve"> PAGEREF _Toc216107037 \h </w:instrText>
            </w:r>
            <w:r w:rsidRPr="00E53836">
              <w:rPr>
                <w:rFonts w:ascii="Times New Roman" w:hAnsi="Times New Roman"/>
                <w:i w:val="0"/>
                <w:iCs w:val="0"/>
                <w:noProof/>
                <w:webHidden/>
                <w:sz w:val="24"/>
                <w:szCs w:val="24"/>
              </w:rPr>
            </w:r>
            <w:r w:rsidRPr="00E53836">
              <w:rPr>
                <w:rFonts w:ascii="Times New Roman" w:hAnsi="Times New Roman"/>
                <w:i w:val="0"/>
                <w:iCs w:val="0"/>
                <w:noProof/>
                <w:webHidden/>
                <w:sz w:val="24"/>
                <w:szCs w:val="24"/>
              </w:rPr>
              <w:fldChar w:fldCharType="separate"/>
            </w:r>
            <w:r w:rsidR="00F32CCA">
              <w:rPr>
                <w:rFonts w:ascii="Times New Roman" w:hAnsi="Times New Roman"/>
                <w:i w:val="0"/>
                <w:iCs w:val="0"/>
                <w:noProof/>
                <w:webHidden/>
                <w:sz w:val="24"/>
                <w:szCs w:val="24"/>
              </w:rPr>
              <w:t>181</w:t>
            </w:r>
            <w:r w:rsidRPr="00E53836">
              <w:rPr>
                <w:rFonts w:ascii="Times New Roman" w:hAnsi="Times New Roman"/>
                <w:i w:val="0"/>
                <w:iCs w:val="0"/>
                <w:noProof/>
                <w:webHidden/>
                <w:sz w:val="24"/>
                <w:szCs w:val="24"/>
              </w:rPr>
              <w:fldChar w:fldCharType="end"/>
            </w:r>
          </w:hyperlink>
        </w:p>
        <w:p w14:paraId="5848B405" w14:textId="262768DC" w:rsidR="00E53836" w:rsidRPr="00E53836" w:rsidRDefault="00E53836">
          <w:pPr>
            <w:pStyle w:val="TOC2"/>
            <w:tabs>
              <w:tab w:val="right" w:leader="dot" w:pos="8296"/>
            </w:tabs>
            <w:rPr>
              <w:rFonts w:ascii="Times New Roman" w:hAnsi="Times New Roman"/>
              <w:smallCaps w:val="0"/>
              <w:noProof/>
              <w:sz w:val="24"/>
              <w:szCs w:val="24"/>
              <w14:ligatures w14:val="standardContextual"/>
            </w:rPr>
          </w:pPr>
          <w:hyperlink w:anchor="_Toc216107038" w:history="1">
            <w:r w:rsidRPr="00E53836">
              <w:rPr>
                <w:rStyle w:val="aff3"/>
                <w:rFonts w:ascii="Times New Roman" w:hAnsi="Times New Roman"/>
                <w:noProof/>
                <w:sz w:val="24"/>
                <w:szCs w:val="24"/>
              </w:rPr>
              <w:t xml:space="preserve">4.3 </w:t>
            </w:r>
            <w:r w:rsidRPr="00E53836">
              <w:rPr>
                <w:rStyle w:val="aff3"/>
                <w:rFonts w:ascii="Times New Roman" w:hAnsi="Times New Roman"/>
                <w:noProof/>
                <w:sz w:val="24"/>
                <w:szCs w:val="24"/>
              </w:rPr>
              <w:t>环境目标与评价指标体系构建</w:t>
            </w:r>
            <w:r w:rsidRPr="00E53836">
              <w:rPr>
                <w:rFonts w:ascii="Times New Roman" w:hAnsi="Times New Roman"/>
                <w:noProof/>
                <w:webHidden/>
                <w:sz w:val="24"/>
                <w:szCs w:val="24"/>
              </w:rPr>
              <w:tab/>
            </w:r>
            <w:r w:rsidRPr="00E53836">
              <w:rPr>
                <w:rFonts w:ascii="Times New Roman" w:hAnsi="Times New Roman"/>
                <w:noProof/>
                <w:webHidden/>
                <w:sz w:val="24"/>
                <w:szCs w:val="24"/>
              </w:rPr>
              <w:fldChar w:fldCharType="begin"/>
            </w:r>
            <w:r w:rsidRPr="00E53836">
              <w:rPr>
                <w:rFonts w:ascii="Times New Roman" w:hAnsi="Times New Roman"/>
                <w:noProof/>
                <w:webHidden/>
                <w:sz w:val="24"/>
                <w:szCs w:val="24"/>
              </w:rPr>
              <w:instrText xml:space="preserve"> PAGEREF _Toc216107038 \h </w:instrText>
            </w:r>
            <w:r w:rsidRPr="00E53836">
              <w:rPr>
                <w:rFonts w:ascii="Times New Roman" w:hAnsi="Times New Roman"/>
                <w:noProof/>
                <w:webHidden/>
                <w:sz w:val="24"/>
                <w:szCs w:val="24"/>
              </w:rPr>
            </w:r>
            <w:r w:rsidRPr="00E53836">
              <w:rPr>
                <w:rFonts w:ascii="Times New Roman" w:hAnsi="Times New Roman"/>
                <w:noProof/>
                <w:webHidden/>
                <w:sz w:val="24"/>
                <w:szCs w:val="24"/>
              </w:rPr>
              <w:fldChar w:fldCharType="separate"/>
            </w:r>
            <w:r w:rsidR="00F32CCA">
              <w:rPr>
                <w:rFonts w:ascii="Times New Roman" w:hAnsi="Times New Roman"/>
                <w:noProof/>
                <w:webHidden/>
                <w:sz w:val="24"/>
                <w:szCs w:val="24"/>
              </w:rPr>
              <w:t>182</w:t>
            </w:r>
            <w:r w:rsidRPr="00E53836">
              <w:rPr>
                <w:rFonts w:ascii="Times New Roman" w:hAnsi="Times New Roman"/>
                <w:noProof/>
                <w:webHidden/>
                <w:sz w:val="24"/>
                <w:szCs w:val="24"/>
              </w:rPr>
              <w:fldChar w:fldCharType="end"/>
            </w:r>
          </w:hyperlink>
        </w:p>
        <w:p w14:paraId="782F1208" w14:textId="678B9930" w:rsidR="00E53836" w:rsidRPr="00E53836" w:rsidRDefault="00E53836">
          <w:pPr>
            <w:pStyle w:val="TOC3"/>
            <w:tabs>
              <w:tab w:val="right" w:leader="dot" w:pos="8296"/>
            </w:tabs>
            <w:rPr>
              <w:rFonts w:ascii="Times New Roman" w:hAnsi="Times New Roman"/>
              <w:i w:val="0"/>
              <w:iCs w:val="0"/>
              <w:noProof/>
              <w:sz w:val="24"/>
              <w:szCs w:val="24"/>
              <w14:ligatures w14:val="standardContextual"/>
            </w:rPr>
          </w:pPr>
          <w:hyperlink w:anchor="_Toc216107039" w:history="1">
            <w:r w:rsidRPr="00E53836">
              <w:rPr>
                <w:rStyle w:val="aff3"/>
                <w:rFonts w:ascii="Times New Roman" w:hAnsi="Times New Roman"/>
                <w:i w:val="0"/>
                <w:iCs w:val="0"/>
                <w:noProof/>
                <w:sz w:val="24"/>
                <w:szCs w:val="24"/>
              </w:rPr>
              <w:t xml:space="preserve">4.3.1 </w:t>
            </w:r>
            <w:r w:rsidRPr="00E53836">
              <w:rPr>
                <w:rStyle w:val="aff3"/>
                <w:rFonts w:ascii="Times New Roman" w:hAnsi="Times New Roman"/>
                <w:i w:val="0"/>
                <w:iCs w:val="0"/>
                <w:noProof/>
                <w:sz w:val="24"/>
                <w:szCs w:val="24"/>
              </w:rPr>
              <w:t>环境目标</w:t>
            </w:r>
            <w:r w:rsidRPr="00E53836">
              <w:rPr>
                <w:rFonts w:ascii="Times New Roman" w:hAnsi="Times New Roman"/>
                <w:i w:val="0"/>
                <w:iCs w:val="0"/>
                <w:noProof/>
                <w:webHidden/>
                <w:sz w:val="24"/>
                <w:szCs w:val="24"/>
              </w:rPr>
              <w:tab/>
            </w:r>
            <w:r w:rsidRPr="00E53836">
              <w:rPr>
                <w:rFonts w:ascii="Times New Roman" w:hAnsi="Times New Roman"/>
                <w:i w:val="0"/>
                <w:iCs w:val="0"/>
                <w:noProof/>
                <w:webHidden/>
                <w:sz w:val="24"/>
                <w:szCs w:val="24"/>
              </w:rPr>
              <w:fldChar w:fldCharType="begin"/>
            </w:r>
            <w:r w:rsidRPr="00E53836">
              <w:rPr>
                <w:rFonts w:ascii="Times New Roman" w:hAnsi="Times New Roman"/>
                <w:i w:val="0"/>
                <w:iCs w:val="0"/>
                <w:noProof/>
                <w:webHidden/>
                <w:sz w:val="24"/>
                <w:szCs w:val="24"/>
              </w:rPr>
              <w:instrText xml:space="preserve"> PAGEREF _Toc216107039 \h </w:instrText>
            </w:r>
            <w:r w:rsidRPr="00E53836">
              <w:rPr>
                <w:rFonts w:ascii="Times New Roman" w:hAnsi="Times New Roman"/>
                <w:i w:val="0"/>
                <w:iCs w:val="0"/>
                <w:noProof/>
                <w:webHidden/>
                <w:sz w:val="24"/>
                <w:szCs w:val="24"/>
              </w:rPr>
            </w:r>
            <w:r w:rsidRPr="00E53836">
              <w:rPr>
                <w:rFonts w:ascii="Times New Roman" w:hAnsi="Times New Roman"/>
                <w:i w:val="0"/>
                <w:iCs w:val="0"/>
                <w:noProof/>
                <w:webHidden/>
                <w:sz w:val="24"/>
                <w:szCs w:val="24"/>
              </w:rPr>
              <w:fldChar w:fldCharType="separate"/>
            </w:r>
            <w:r w:rsidR="00F32CCA">
              <w:rPr>
                <w:rFonts w:ascii="Times New Roman" w:hAnsi="Times New Roman"/>
                <w:i w:val="0"/>
                <w:iCs w:val="0"/>
                <w:noProof/>
                <w:webHidden/>
                <w:sz w:val="24"/>
                <w:szCs w:val="24"/>
              </w:rPr>
              <w:t>182</w:t>
            </w:r>
            <w:r w:rsidRPr="00E53836">
              <w:rPr>
                <w:rFonts w:ascii="Times New Roman" w:hAnsi="Times New Roman"/>
                <w:i w:val="0"/>
                <w:iCs w:val="0"/>
                <w:noProof/>
                <w:webHidden/>
                <w:sz w:val="24"/>
                <w:szCs w:val="24"/>
              </w:rPr>
              <w:fldChar w:fldCharType="end"/>
            </w:r>
          </w:hyperlink>
        </w:p>
        <w:p w14:paraId="40D3C487" w14:textId="73BBD9F9" w:rsidR="00E53836" w:rsidRPr="00E53836" w:rsidRDefault="00E53836">
          <w:pPr>
            <w:pStyle w:val="TOC3"/>
            <w:tabs>
              <w:tab w:val="right" w:leader="dot" w:pos="8296"/>
            </w:tabs>
            <w:rPr>
              <w:rFonts w:ascii="Times New Roman" w:hAnsi="Times New Roman"/>
              <w:i w:val="0"/>
              <w:iCs w:val="0"/>
              <w:noProof/>
              <w:sz w:val="24"/>
              <w:szCs w:val="24"/>
              <w14:ligatures w14:val="standardContextual"/>
            </w:rPr>
          </w:pPr>
          <w:hyperlink w:anchor="_Toc216107040" w:history="1">
            <w:r w:rsidRPr="00E53836">
              <w:rPr>
                <w:rStyle w:val="aff3"/>
                <w:rFonts w:ascii="Times New Roman" w:hAnsi="Times New Roman"/>
                <w:i w:val="0"/>
                <w:iCs w:val="0"/>
                <w:noProof/>
                <w:sz w:val="24"/>
                <w:szCs w:val="24"/>
              </w:rPr>
              <w:t xml:space="preserve">4.3.2 </w:t>
            </w:r>
            <w:r w:rsidRPr="00E53836">
              <w:rPr>
                <w:rStyle w:val="aff3"/>
                <w:rFonts w:ascii="Times New Roman" w:hAnsi="Times New Roman"/>
                <w:i w:val="0"/>
                <w:iCs w:val="0"/>
                <w:noProof/>
                <w:sz w:val="24"/>
                <w:szCs w:val="24"/>
              </w:rPr>
              <w:t>评价指标体系</w:t>
            </w:r>
            <w:r w:rsidRPr="00E53836">
              <w:rPr>
                <w:rFonts w:ascii="Times New Roman" w:hAnsi="Times New Roman"/>
                <w:i w:val="0"/>
                <w:iCs w:val="0"/>
                <w:noProof/>
                <w:webHidden/>
                <w:sz w:val="24"/>
                <w:szCs w:val="24"/>
              </w:rPr>
              <w:tab/>
            </w:r>
            <w:r w:rsidRPr="00E53836">
              <w:rPr>
                <w:rFonts w:ascii="Times New Roman" w:hAnsi="Times New Roman"/>
                <w:i w:val="0"/>
                <w:iCs w:val="0"/>
                <w:noProof/>
                <w:webHidden/>
                <w:sz w:val="24"/>
                <w:szCs w:val="24"/>
              </w:rPr>
              <w:fldChar w:fldCharType="begin"/>
            </w:r>
            <w:r w:rsidRPr="00E53836">
              <w:rPr>
                <w:rFonts w:ascii="Times New Roman" w:hAnsi="Times New Roman"/>
                <w:i w:val="0"/>
                <w:iCs w:val="0"/>
                <w:noProof/>
                <w:webHidden/>
                <w:sz w:val="24"/>
                <w:szCs w:val="24"/>
              </w:rPr>
              <w:instrText xml:space="preserve"> PAGEREF _Toc216107040 \h </w:instrText>
            </w:r>
            <w:r w:rsidRPr="00E53836">
              <w:rPr>
                <w:rFonts w:ascii="Times New Roman" w:hAnsi="Times New Roman"/>
                <w:i w:val="0"/>
                <w:iCs w:val="0"/>
                <w:noProof/>
                <w:webHidden/>
                <w:sz w:val="24"/>
                <w:szCs w:val="24"/>
              </w:rPr>
            </w:r>
            <w:r w:rsidRPr="00E53836">
              <w:rPr>
                <w:rFonts w:ascii="Times New Roman" w:hAnsi="Times New Roman"/>
                <w:i w:val="0"/>
                <w:iCs w:val="0"/>
                <w:noProof/>
                <w:webHidden/>
                <w:sz w:val="24"/>
                <w:szCs w:val="24"/>
              </w:rPr>
              <w:fldChar w:fldCharType="separate"/>
            </w:r>
            <w:r w:rsidR="00F32CCA">
              <w:rPr>
                <w:rFonts w:ascii="Times New Roman" w:hAnsi="Times New Roman"/>
                <w:i w:val="0"/>
                <w:iCs w:val="0"/>
                <w:noProof/>
                <w:webHidden/>
                <w:sz w:val="24"/>
                <w:szCs w:val="24"/>
              </w:rPr>
              <w:t>183</w:t>
            </w:r>
            <w:r w:rsidRPr="00E53836">
              <w:rPr>
                <w:rFonts w:ascii="Times New Roman" w:hAnsi="Times New Roman"/>
                <w:i w:val="0"/>
                <w:iCs w:val="0"/>
                <w:noProof/>
                <w:webHidden/>
                <w:sz w:val="24"/>
                <w:szCs w:val="24"/>
              </w:rPr>
              <w:fldChar w:fldCharType="end"/>
            </w:r>
          </w:hyperlink>
        </w:p>
        <w:p w14:paraId="17274031" w14:textId="6692B213" w:rsidR="00E53836" w:rsidRPr="00E53836" w:rsidRDefault="00E53836">
          <w:pPr>
            <w:pStyle w:val="TOC1"/>
            <w:tabs>
              <w:tab w:val="right" w:leader="dot" w:pos="8296"/>
            </w:tabs>
            <w:rPr>
              <w:rFonts w:ascii="Times New Roman" w:hAnsi="Times New Roman"/>
              <w:b w:val="0"/>
              <w:bCs w:val="0"/>
              <w:caps w:val="0"/>
              <w:noProof/>
              <w:sz w:val="24"/>
              <w:szCs w:val="24"/>
              <w14:ligatures w14:val="standardContextual"/>
            </w:rPr>
          </w:pPr>
          <w:hyperlink w:anchor="_Toc216107041" w:history="1">
            <w:r w:rsidRPr="00E53836">
              <w:rPr>
                <w:rStyle w:val="aff3"/>
                <w:rFonts w:ascii="Times New Roman" w:hAnsi="Times New Roman"/>
                <w:noProof/>
                <w:sz w:val="24"/>
                <w:szCs w:val="24"/>
              </w:rPr>
              <w:t xml:space="preserve">5 </w:t>
            </w:r>
            <w:r w:rsidRPr="00E53836">
              <w:rPr>
                <w:rStyle w:val="aff3"/>
                <w:rFonts w:ascii="Times New Roman" w:hAnsi="Times New Roman"/>
                <w:noProof/>
                <w:sz w:val="24"/>
                <w:szCs w:val="24"/>
              </w:rPr>
              <w:t>环境影响预测与评价</w:t>
            </w:r>
            <w:r w:rsidRPr="00E53836">
              <w:rPr>
                <w:rFonts w:ascii="Times New Roman" w:hAnsi="Times New Roman"/>
                <w:noProof/>
                <w:webHidden/>
                <w:sz w:val="24"/>
                <w:szCs w:val="24"/>
              </w:rPr>
              <w:tab/>
            </w:r>
            <w:r w:rsidRPr="00E53836">
              <w:rPr>
                <w:rFonts w:ascii="Times New Roman" w:hAnsi="Times New Roman"/>
                <w:noProof/>
                <w:webHidden/>
                <w:sz w:val="24"/>
                <w:szCs w:val="24"/>
              </w:rPr>
              <w:fldChar w:fldCharType="begin"/>
            </w:r>
            <w:r w:rsidRPr="00E53836">
              <w:rPr>
                <w:rFonts w:ascii="Times New Roman" w:hAnsi="Times New Roman"/>
                <w:noProof/>
                <w:webHidden/>
                <w:sz w:val="24"/>
                <w:szCs w:val="24"/>
              </w:rPr>
              <w:instrText xml:space="preserve"> PAGEREF _Toc216107041 \h </w:instrText>
            </w:r>
            <w:r w:rsidRPr="00E53836">
              <w:rPr>
                <w:rFonts w:ascii="Times New Roman" w:hAnsi="Times New Roman"/>
                <w:noProof/>
                <w:webHidden/>
                <w:sz w:val="24"/>
                <w:szCs w:val="24"/>
              </w:rPr>
            </w:r>
            <w:r w:rsidRPr="00E53836">
              <w:rPr>
                <w:rFonts w:ascii="Times New Roman" w:hAnsi="Times New Roman"/>
                <w:noProof/>
                <w:webHidden/>
                <w:sz w:val="24"/>
                <w:szCs w:val="24"/>
              </w:rPr>
              <w:fldChar w:fldCharType="separate"/>
            </w:r>
            <w:r w:rsidR="00F32CCA">
              <w:rPr>
                <w:rFonts w:ascii="Times New Roman" w:hAnsi="Times New Roman"/>
                <w:noProof/>
                <w:webHidden/>
                <w:sz w:val="24"/>
                <w:szCs w:val="24"/>
              </w:rPr>
              <w:t>185</w:t>
            </w:r>
            <w:r w:rsidRPr="00E53836">
              <w:rPr>
                <w:rFonts w:ascii="Times New Roman" w:hAnsi="Times New Roman"/>
                <w:noProof/>
                <w:webHidden/>
                <w:sz w:val="24"/>
                <w:szCs w:val="24"/>
              </w:rPr>
              <w:fldChar w:fldCharType="end"/>
            </w:r>
          </w:hyperlink>
        </w:p>
        <w:p w14:paraId="57D666C6" w14:textId="6B05BDFE" w:rsidR="00E53836" w:rsidRPr="00E53836" w:rsidRDefault="00E53836">
          <w:pPr>
            <w:pStyle w:val="TOC2"/>
            <w:tabs>
              <w:tab w:val="right" w:leader="dot" w:pos="8296"/>
            </w:tabs>
            <w:rPr>
              <w:rFonts w:ascii="Times New Roman" w:hAnsi="Times New Roman"/>
              <w:smallCaps w:val="0"/>
              <w:noProof/>
              <w:sz w:val="24"/>
              <w:szCs w:val="24"/>
              <w14:ligatures w14:val="standardContextual"/>
            </w:rPr>
          </w:pPr>
          <w:hyperlink w:anchor="_Toc216107042" w:history="1">
            <w:r w:rsidRPr="00E53836">
              <w:rPr>
                <w:rStyle w:val="aff3"/>
                <w:rFonts w:ascii="Times New Roman" w:hAnsi="Times New Roman"/>
                <w:noProof/>
                <w:sz w:val="24"/>
                <w:szCs w:val="24"/>
              </w:rPr>
              <w:t xml:space="preserve">5.1 </w:t>
            </w:r>
            <w:r w:rsidRPr="00E53836">
              <w:rPr>
                <w:rStyle w:val="aff3"/>
                <w:rFonts w:ascii="Times New Roman" w:hAnsi="Times New Roman"/>
                <w:noProof/>
                <w:sz w:val="24"/>
                <w:szCs w:val="24"/>
              </w:rPr>
              <w:t>水文水资源影响预测与评价</w:t>
            </w:r>
            <w:r w:rsidRPr="00E53836">
              <w:rPr>
                <w:rFonts w:ascii="Times New Roman" w:hAnsi="Times New Roman"/>
                <w:noProof/>
                <w:webHidden/>
                <w:sz w:val="24"/>
                <w:szCs w:val="24"/>
              </w:rPr>
              <w:tab/>
            </w:r>
            <w:r w:rsidRPr="00E53836">
              <w:rPr>
                <w:rFonts w:ascii="Times New Roman" w:hAnsi="Times New Roman"/>
                <w:noProof/>
                <w:webHidden/>
                <w:sz w:val="24"/>
                <w:szCs w:val="24"/>
              </w:rPr>
              <w:fldChar w:fldCharType="begin"/>
            </w:r>
            <w:r w:rsidRPr="00E53836">
              <w:rPr>
                <w:rFonts w:ascii="Times New Roman" w:hAnsi="Times New Roman"/>
                <w:noProof/>
                <w:webHidden/>
                <w:sz w:val="24"/>
                <w:szCs w:val="24"/>
              </w:rPr>
              <w:instrText xml:space="preserve"> PAGEREF _Toc216107042 \h </w:instrText>
            </w:r>
            <w:r w:rsidRPr="00E53836">
              <w:rPr>
                <w:rFonts w:ascii="Times New Roman" w:hAnsi="Times New Roman"/>
                <w:noProof/>
                <w:webHidden/>
                <w:sz w:val="24"/>
                <w:szCs w:val="24"/>
              </w:rPr>
            </w:r>
            <w:r w:rsidRPr="00E53836">
              <w:rPr>
                <w:rFonts w:ascii="Times New Roman" w:hAnsi="Times New Roman"/>
                <w:noProof/>
                <w:webHidden/>
                <w:sz w:val="24"/>
                <w:szCs w:val="24"/>
              </w:rPr>
              <w:fldChar w:fldCharType="separate"/>
            </w:r>
            <w:r w:rsidR="00F32CCA">
              <w:rPr>
                <w:rFonts w:ascii="Times New Roman" w:hAnsi="Times New Roman"/>
                <w:noProof/>
                <w:webHidden/>
                <w:sz w:val="24"/>
                <w:szCs w:val="24"/>
              </w:rPr>
              <w:t>185</w:t>
            </w:r>
            <w:r w:rsidRPr="00E53836">
              <w:rPr>
                <w:rFonts w:ascii="Times New Roman" w:hAnsi="Times New Roman"/>
                <w:noProof/>
                <w:webHidden/>
                <w:sz w:val="24"/>
                <w:szCs w:val="24"/>
              </w:rPr>
              <w:fldChar w:fldCharType="end"/>
            </w:r>
          </w:hyperlink>
        </w:p>
        <w:p w14:paraId="5731A500" w14:textId="550B520A" w:rsidR="00E53836" w:rsidRPr="00E53836" w:rsidRDefault="00E53836">
          <w:pPr>
            <w:pStyle w:val="TOC3"/>
            <w:tabs>
              <w:tab w:val="right" w:leader="dot" w:pos="8296"/>
            </w:tabs>
            <w:rPr>
              <w:rFonts w:ascii="Times New Roman" w:hAnsi="Times New Roman"/>
              <w:i w:val="0"/>
              <w:iCs w:val="0"/>
              <w:noProof/>
              <w:sz w:val="24"/>
              <w:szCs w:val="24"/>
              <w14:ligatures w14:val="standardContextual"/>
            </w:rPr>
          </w:pPr>
          <w:hyperlink w:anchor="_Toc216107043" w:history="1">
            <w:r w:rsidRPr="00E53836">
              <w:rPr>
                <w:rStyle w:val="aff3"/>
                <w:rFonts w:ascii="Times New Roman" w:hAnsi="Times New Roman"/>
                <w:i w:val="0"/>
                <w:iCs w:val="0"/>
                <w:noProof/>
                <w:sz w:val="24"/>
                <w:szCs w:val="24"/>
              </w:rPr>
              <w:t xml:space="preserve">5.1.1 </w:t>
            </w:r>
            <w:r w:rsidRPr="00E53836">
              <w:rPr>
                <w:rStyle w:val="aff3"/>
                <w:rFonts w:ascii="Times New Roman" w:hAnsi="Times New Roman"/>
                <w:i w:val="0"/>
                <w:iCs w:val="0"/>
                <w:noProof/>
                <w:sz w:val="24"/>
                <w:szCs w:val="24"/>
              </w:rPr>
              <w:t>水资源</w:t>
            </w:r>
            <w:r w:rsidRPr="00E53836">
              <w:rPr>
                <w:rFonts w:ascii="Times New Roman" w:hAnsi="Times New Roman"/>
                <w:i w:val="0"/>
                <w:iCs w:val="0"/>
                <w:noProof/>
                <w:webHidden/>
                <w:sz w:val="24"/>
                <w:szCs w:val="24"/>
              </w:rPr>
              <w:tab/>
            </w:r>
            <w:r w:rsidRPr="00E53836">
              <w:rPr>
                <w:rFonts w:ascii="Times New Roman" w:hAnsi="Times New Roman"/>
                <w:i w:val="0"/>
                <w:iCs w:val="0"/>
                <w:noProof/>
                <w:webHidden/>
                <w:sz w:val="24"/>
                <w:szCs w:val="24"/>
              </w:rPr>
              <w:fldChar w:fldCharType="begin"/>
            </w:r>
            <w:r w:rsidRPr="00E53836">
              <w:rPr>
                <w:rFonts w:ascii="Times New Roman" w:hAnsi="Times New Roman"/>
                <w:i w:val="0"/>
                <w:iCs w:val="0"/>
                <w:noProof/>
                <w:webHidden/>
                <w:sz w:val="24"/>
                <w:szCs w:val="24"/>
              </w:rPr>
              <w:instrText xml:space="preserve"> PAGEREF _Toc216107043 \h </w:instrText>
            </w:r>
            <w:r w:rsidRPr="00E53836">
              <w:rPr>
                <w:rFonts w:ascii="Times New Roman" w:hAnsi="Times New Roman"/>
                <w:i w:val="0"/>
                <w:iCs w:val="0"/>
                <w:noProof/>
                <w:webHidden/>
                <w:sz w:val="24"/>
                <w:szCs w:val="24"/>
              </w:rPr>
            </w:r>
            <w:r w:rsidRPr="00E53836">
              <w:rPr>
                <w:rFonts w:ascii="Times New Roman" w:hAnsi="Times New Roman"/>
                <w:i w:val="0"/>
                <w:iCs w:val="0"/>
                <w:noProof/>
                <w:webHidden/>
                <w:sz w:val="24"/>
                <w:szCs w:val="24"/>
              </w:rPr>
              <w:fldChar w:fldCharType="separate"/>
            </w:r>
            <w:r w:rsidR="00F32CCA">
              <w:rPr>
                <w:rFonts w:ascii="Times New Roman" w:hAnsi="Times New Roman"/>
                <w:i w:val="0"/>
                <w:iCs w:val="0"/>
                <w:noProof/>
                <w:webHidden/>
                <w:sz w:val="24"/>
                <w:szCs w:val="24"/>
              </w:rPr>
              <w:t>185</w:t>
            </w:r>
            <w:r w:rsidRPr="00E53836">
              <w:rPr>
                <w:rFonts w:ascii="Times New Roman" w:hAnsi="Times New Roman"/>
                <w:i w:val="0"/>
                <w:iCs w:val="0"/>
                <w:noProof/>
                <w:webHidden/>
                <w:sz w:val="24"/>
                <w:szCs w:val="24"/>
              </w:rPr>
              <w:fldChar w:fldCharType="end"/>
            </w:r>
          </w:hyperlink>
        </w:p>
        <w:p w14:paraId="2693E07F" w14:textId="608B4408" w:rsidR="00E53836" w:rsidRPr="00E53836" w:rsidRDefault="00E53836">
          <w:pPr>
            <w:pStyle w:val="TOC3"/>
            <w:tabs>
              <w:tab w:val="right" w:leader="dot" w:pos="8296"/>
            </w:tabs>
            <w:rPr>
              <w:rFonts w:ascii="Times New Roman" w:hAnsi="Times New Roman"/>
              <w:i w:val="0"/>
              <w:iCs w:val="0"/>
              <w:noProof/>
              <w:sz w:val="24"/>
              <w:szCs w:val="24"/>
              <w14:ligatures w14:val="standardContextual"/>
            </w:rPr>
          </w:pPr>
          <w:hyperlink w:anchor="_Toc216107044" w:history="1">
            <w:r w:rsidRPr="00E53836">
              <w:rPr>
                <w:rStyle w:val="aff3"/>
                <w:rFonts w:ascii="Times New Roman" w:hAnsi="Times New Roman"/>
                <w:i w:val="0"/>
                <w:iCs w:val="0"/>
                <w:noProof/>
                <w:sz w:val="24"/>
                <w:szCs w:val="24"/>
              </w:rPr>
              <w:t xml:space="preserve">5.1.2 </w:t>
            </w:r>
            <w:r w:rsidRPr="00E53836">
              <w:rPr>
                <w:rStyle w:val="aff3"/>
                <w:rFonts w:ascii="Times New Roman" w:hAnsi="Times New Roman"/>
                <w:i w:val="0"/>
                <w:iCs w:val="0"/>
                <w:noProof/>
                <w:sz w:val="24"/>
                <w:szCs w:val="24"/>
              </w:rPr>
              <w:t>水文情势</w:t>
            </w:r>
            <w:r w:rsidRPr="00E53836">
              <w:rPr>
                <w:rFonts w:ascii="Times New Roman" w:hAnsi="Times New Roman"/>
                <w:i w:val="0"/>
                <w:iCs w:val="0"/>
                <w:noProof/>
                <w:webHidden/>
                <w:sz w:val="24"/>
                <w:szCs w:val="24"/>
              </w:rPr>
              <w:tab/>
            </w:r>
            <w:r w:rsidRPr="00E53836">
              <w:rPr>
                <w:rFonts w:ascii="Times New Roman" w:hAnsi="Times New Roman"/>
                <w:i w:val="0"/>
                <w:iCs w:val="0"/>
                <w:noProof/>
                <w:webHidden/>
                <w:sz w:val="24"/>
                <w:szCs w:val="24"/>
              </w:rPr>
              <w:fldChar w:fldCharType="begin"/>
            </w:r>
            <w:r w:rsidRPr="00E53836">
              <w:rPr>
                <w:rFonts w:ascii="Times New Roman" w:hAnsi="Times New Roman"/>
                <w:i w:val="0"/>
                <w:iCs w:val="0"/>
                <w:noProof/>
                <w:webHidden/>
                <w:sz w:val="24"/>
                <w:szCs w:val="24"/>
              </w:rPr>
              <w:instrText xml:space="preserve"> PAGEREF _Toc216107044 \h </w:instrText>
            </w:r>
            <w:r w:rsidRPr="00E53836">
              <w:rPr>
                <w:rFonts w:ascii="Times New Roman" w:hAnsi="Times New Roman"/>
                <w:i w:val="0"/>
                <w:iCs w:val="0"/>
                <w:noProof/>
                <w:webHidden/>
                <w:sz w:val="24"/>
                <w:szCs w:val="24"/>
              </w:rPr>
            </w:r>
            <w:r w:rsidRPr="00E53836">
              <w:rPr>
                <w:rFonts w:ascii="Times New Roman" w:hAnsi="Times New Roman"/>
                <w:i w:val="0"/>
                <w:iCs w:val="0"/>
                <w:noProof/>
                <w:webHidden/>
                <w:sz w:val="24"/>
                <w:szCs w:val="24"/>
              </w:rPr>
              <w:fldChar w:fldCharType="separate"/>
            </w:r>
            <w:r w:rsidR="00F32CCA">
              <w:rPr>
                <w:rFonts w:ascii="Times New Roman" w:hAnsi="Times New Roman"/>
                <w:i w:val="0"/>
                <w:iCs w:val="0"/>
                <w:noProof/>
                <w:webHidden/>
                <w:sz w:val="24"/>
                <w:szCs w:val="24"/>
              </w:rPr>
              <w:t>186</w:t>
            </w:r>
            <w:r w:rsidRPr="00E53836">
              <w:rPr>
                <w:rFonts w:ascii="Times New Roman" w:hAnsi="Times New Roman"/>
                <w:i w:val="0"/>
                <w:iCs w:val="0"/>
                <w:noProof/>
                <w:webHidden/>
                <w:sz w:val="24"/>
                <w:szCs w:val="24"/>
              </w:rPr>
              <w:fldChar w:fldCharType="end"/>
            </w:r>
          </w:hyperlink>
        </w:p>
        <w:p w14:paraId="12182668" w14:textId="62866F4D" w:rsidR="00E53836" w:rsidRPr="00E53836" w:rsidRDefault="00E53836">
          <w:pPr>
            <w:pStyle w:val="TOC2"/>
            <w:tabs>
              <w:tab w:val="right" w:leader="dot" w:pos="8296"/>
            </w:tabs>
            <w:rPr>
              <w:rFonts w:ascii="Times New Roman" w:hAnsi="Times New Roman"/>
              <w:smallCaps w:val="0"/>
              <w:noProof/>
              <w:sz w:val="24"/>
              <w:szCs w:val="24"/>
              <w14:ligatures w14:val="standardContextual"/>
            </w:rPr>
          </w:pPr>
          <w:hyperlink w:anchor="_Toc216107045" w:history="1">
            <w:r w:rsidRPr="00E53836">
              <w:rPr>
                <w:rStyle w:val="aff3"/>
                <w:rFonts w:ascii="Times New Roman" w:hAnsi="Times New Roman"/>
                <w:noProof/>
                <w:sz w:val="24"/>
                <w:szCs w:val="24"/>
              </w:rPr>
              <w:t xml:space="preserve">5.2 </w:t>
            </w:r>
            <w:r w:rsidRPr="00E53836">
              <w:rPr>
                <w:rStyle w:val="aff3"/>
                <w:rFonts w:ascii="Times New Roman" w:hAnsi="Times New Roman"/>
                <w:noProof/>
                <w:sz w:val="24"/>
                <w:szCs w:val="24"/>
              </w:rPr>
              <w:t>水环境影响预测与评价</w:t>
            </w:r>
            <w:r w:rsidRPr="00E53836">
              <w:rPr>
                <w:rFonts w:ascii="Times New Roman" w:hAnsi="Times New Roman"/>
                <w:noProof/>
                <w:webHidden/>
                <w:sz w:val="24"/>
                <w:szCs w:val="24"/>
              </w:rPr>
              <w:tab/>
            </w:r>
            <w:r w:rsidRPr="00E53836">
              <w:rPr>
                <w:rFonts w:ascii="Times New Roman" w:hAnsi="Times New Roman"/>
                <w:noProof/>
                <w:webHidden/>
                <w:sz w:val="24"/>
                <w:szCs w:val="24"/>
              </w:rPr>
              <w:fldChar w:fldCharType="begin"/>
            </w:r>
            <w:r w:rsidRPr="00E53836">
              <w:rPr>
                <w:rFonts w:ascii="Times New Roman" w:hAnsi="Times New Roman"/>
                <w:noProof/>
                <w:webHidden/>
                <w:sz w:val="24"/>
                <w:szCs w:val="24"/>
              </w:rPr>
              <w:instrText xml:space="preserve"> PAGEREF _Toc216107045 \h </w:instrText>
            </w:r>
            <w:r w:rsidRPr="00E53836">
              <w:rPr>
                <w:rFonts w:ascii="Times New Roman" w:hAnsi="Times New Roman"/>
                <w:noProof/>
                <w:webHidden/>
                <w:sz w:val="24"/>
                <w:szCs w:val="24"/>
              </w:rPr>
            </w:r>
            <w:r w:rsidRPr="00E53836">
              <w:rPr>
                <w:rFonts w:ascii="Times New Roman" w:hAnsi="Times New Roman"/>
                <w:noProof/>
                <w:webHidden/>
                <w:sz w:val="24"/>
                <w:szCs w:val="24"/>
              </w:rPr>
              <w:fldChar w:fldCharType="separate"/>
            </w:r>
            <w:r w:rsidR="00F32CCA">
              <w:rPr>
                <w:rFonts w:ascii="Times New Roman" w:hAnsi="Times New Roman"/>
                <w:noProof/>
                <w:webHidden/>
                <w:sz w:val="24"/>
                <w:szCs w:val="24"/>
              </w:rPr>
              <w:t>188</w:t>
            </w:r>
            <w:r w:rsidRPr="00E53836">
              <w:rPr>
                <w:rFonts w:ascii="Times New Roman" w:hAnsi="Times New Roman"/>
                <w:noProof/>
                <w:webHidden/>
                <w:sz w:val="24"/>
                <w:szCs w:val="24"/>
              </w:rPr>
              <w:fldChar w:fldCharType="end"/>
            </w:r>
          </w:hyperlink>
        </w:p>
        <w:p w14:paraId="43861516" w14:textId="03B1FC42" w:rsidR="00E53836" w:rsidRPr="00E53836" w:rsidRDefault="00E53836">
          <w:pPr>
            <w:pStyle w:val="TOC3"/>
            <w:tabs>
              <w:tab w:val="right" w:leader="dot" w:pos="8296"/>
            </w:tabs>
            <w:rPr>
              <w:rFonts w:ascii="Times New Roman" w:hAnsi="Times New Roman"/>
              <w:i w:val="0"/>
              <w:iCs w:val="0"/>
              <w:noProof/>
              <w:sz w:val="24"/>
              <w:szCs w:val="24"/>
              <w14:ligatures w14:val="standardContextual"/>
            </w:rPr>
          </w:pPr>
          <w:hyperlink w:anchor="_Toc216107046" w:history="1">
            <w:r w:rsidRPr="00E53836">
              <w:rPr>
                <w:rStyle w:val="aff3"/>
                <w:rFonts w:ascii="Times New Roman" w:hAnsi="Times New Roman"/>
                <w:i w:val="0"/>
                <w:iCs w:val="0"/>
                <w:noProof/>
                <w:sz w:val="24"/>
                <w:szCs w:val="24"/>
              </w:rPr>
              <w:t xml:space="preserve">5.2.1 </w:t>
            </w:r>
            <w:r w:rsidRPr="00E53836">
              <w:rPr>
                <w:rStyle w:val="aff3"/>
                <w:rFonts w:ascii="Times New Roman" w:hAnsi="Times New Roman"/>
                <w:i w:val="0"/>
                <w:iCs w:val="0"/>
                <w:noProof/>
                <w:sz w:val="24"/>
                <w:szCs w:val="24"/>
              </w:rPr>
              <w:t>水温影响分析</w:t>
            </w:r>
            <w:r w:rsidRPr="00E53836">
              <w:rPr>
                <w:rFonts w:ascii="Times New Roman" w:hAnsi="Times New Roman"/>
                <w:i w:val="0"/>
                <w:iCs w:val="0"/>
                <w:noProof/>
                <w:webHidden/>
                <w:sz w:val="24"/>
                <w:szCs w:val="24"/>
              </w:rPr>
              <w:tab/>
            </w:r>
            <w:r w:rsidRPr="00E53836">
              <w:rPr>
                <w:rFonts w:ascii="Times New Roman" w:hAnsi="Times New Roman"/>
                <w:i w:val="0"/>
                <w:iCs w:val="0"/>
                <w:noProof/>
                <w:webHidden/>
                <w:sz w:val="24"/>
                <w:szCs w:val="24"/>
              </w:rPr>
              <w:fldChar w:fldCharType="begin"/>
            </w:r>
            <w:r w:rsidRPr="00E53836">
              <w:rPr>
                <w:rFonts w:ascii="Times New Roman" w:hAnsi="Times New Roman"/>
                <w:i w:val="0"/>
                <w:iCs w:val="0"/>
                <w:noProof/>
                <w:webHidden/>
                <w:sz w:val="24"/>
                <w:szCs w:val="24"/>
              </w:rPr>
              <w:instrText xml:space="preserve"> PAGEREF _Toc216107046 \h </w:instrText>
            </w:r>
            <w:r w:rsidRPr="00E53836">
              <w:rPr>
                <w:rFonts w:ascii="Times New Roman" w:hAnsi="Times New Roman"/>
                <w:i w:val="0"/>
                <w:iCs w:val="0"/>
                <w:noProof/>
                <w:webHidden/>
                <w:sz w:val="24"/>
                <w:szCs w:val="24"/>
              </w:rPr>
            </w:r>
            <w:r w:rsidRPr="00E53836">
              <w:rPr>
                <w:rFonts w:ascii="Times New Roman" w:hAnsi="Times New Roman"/>
                <w:i w:val="0"/>
                <w:iCs w:val="0"/>
                <w:noProof/>
                <w:webHidden/>
                <w:sz w:val="24"/>
                <w:szCs w:val="24"/>
              </w:rPr>
              <w:fldChar w:fldCharType="separate"/>
            </w:r>
            <w:r w:rsidR="00F32CCA">
              <w:rPr>
                <w:rFonts w:ascii="Times New Roman" w:hAnsi="Times New Roman"/>
                <w:i w:val="0"/>
                <w:iCs w:val="0"/>
                <w:noProof/>
                <w:webHidden/>
                <w:sz w:val="24"/>
                <w:szCs w:val="24"/>
              </w:rPr>
              <w:t>188</w:t>
            </w:r>
            <w:r w:rsidRPr="00E53836">
              <w:rPr>
                <w:rFonts w:ascii="Times New Roman" w:hAnsi="Times New Roman"/>
                <w:i w:val="0"/>
                <w:iCs w:val="0"/>
                <w:noProof/>
                <w:webHidden/>
                <w:sz w:val="24"/>
                <w:szCs w:val="24"/>
              </w:rPr>
              <w:fldChar w:fldCharType="end"/>
            </w:r>
          </w:hyperlink>
        </w:p>
        <w:p w14:paraId="09E3B467" w14:textId="1CA7E06A" w:rsidR="00E53836" w:rsidRPr="00E53836" w:rsidRDefault="00E53836">
          <w:pPr>
            <w:pStyle w:val="TOC3"/>
            <w:tabs>
              <w:tab w:val="right" w:leader="dot" w:pos="8296"/>
            </w:tabs>
            <w:rPr>
              <w:rFonts w:ascii="Times New Roman" w:hAnsi="Times New Roman"/>
              <w:i w:val="0"/>
              <w:iCs w:val="0"/>
              <w:noProof/>
              <w:sz w:val="24"/>
              <w:szCs w:val="24"/>
              <w14:ligatures w14:val="standardContextual"/>
            </w:rPr>
          </w:pPr>
          <w:hyperlink w:anchor="_Toc216107047" w:history="1">
            <w:r w:rsidRPr="00E53836">
              <w:rPr>
                <w:rStyle w:val="aff3"/>
                <w:rFonts w:ascii="Times New Roman" w:hAnsi="Times New Roman"/>
                <w:i w:val="0"/>
                <w:iCs w:val="0"/>
                <w:noProof/>
                <w:sz w:val="24"/>
                <w:szCs w:val="24"/>
              </w:rPr>
              <w:t xml:space="preserve">5.2.2 </w:t>
            </w:r>
            <w:r w:rsidRPr="00E53836">
              <w:rPr>
                <w:rStyle w:val="aff3"/>
                <w:rFonts w:ascii="Times New Roman" w:hAnsi="Times New Roman"/>
                <w:i w:val="0"/>
                <w:iCs w:val="0"/>
                <w:noProof/>
                <w:sz w:val="24"/>
                <w:szCs w:val="24"/>
              </w:rPr>
              <w:t>规划年污染物排放量、入河量变化</w:t>
            </w:r>
            <w:r w:rsidRPr="00E53836">
              <w:rPr>
                <w:rFonts w:ascii="Times New Roman" w:hAnsi="Times New Roman"/>
                <w:i w:val="0"/>
                <w:iCs w:val="0"/>
                <w:noProof/>
                <w:webHidden/>
                <w:sz w:val="24"/>
                <w:szCs w:val="24"/>
              </w:rPr>
              <w:tab/>
            </w:r>
            <w:r w:rsidRPr="00E53836">
              <w:rPr>
                <w:rFonts w:ascii="Times New Roman" w:hAnsi="Times New Roman"/>
                <w:i w:val="0"/>
                <w:iCs w:val="0"/>
                <w:noProof/>
                <w:webHidden/>
                <w:sz w:val="24"/>
                <w:szCs w:val="24"/>
              </w:rPr>
              <w:fldChar w:fldCharType="begin"/>
            </w:r>
            <w:r w:rsidRPr="00E53836">
              <w:rPr>
                <w:rFonts w:ascii="Times New Roman" w:hAnsi="Times New Roman"/>
                <w:i w:val="0"/>
                <w:iCs w:val="0"/>
                <w:noProof/>
                <w:webHidden/>
                <w:sz w:val="24"/>
                <w:szCs w:val="24"/>
              </w:rPr>
              <w:instrText xml:space="preserve"> PAGEREF _Toc216107047 \h </w:instrText>
            </w:r>
            <w:r w:rsidRPr="00E53836">
              <w:rPr>
                <w:rFonts w:ascii="Times New Roman" w:hAnsi="Times New Roman"/>
                <w:i w:val="0"/>
                <w:iCs w:val="0"/>
                <w:noProof/>
                <w:webHidden/>
                <w:sz w:val="24"/>
                <w:szCs w:val="24"/>
              </w:rPr>
            </w:r>
            <w:r w:rsidRPr="00E53836">
              <w:rPr>
                <w:rFonts w:ascii="Times New Roman" w:hAnsi="Times New Roman"/>
                <w:i w:val="0"/>
                <w:iCs w:val="0"/>
                <w:noProof/>
                <w:webHidden/>
                <w:sz w:val="24"/>
                <w:szCs w:val="24"/>
              </w:rPr>
              <w:fldChar w:fldCharType="separate"/>
            </w:r>
            <w:r w:rsidR="00F32CCA">
              <w:rPr>
                <w:rFonts w:ascii="Times New Roman" w:hAnsi="Times New Roman"/>
                <w:i w:val="0"/>
                <w:iCs w:val="0"/>
                <w:noProof/>
                <w:webHidden/>
                <w:sz w:val="24"/>
                <w:szCs w:val="24"/>
              </w:rPr>
              <w:t>205</w:t>
            </w:r>
            <w:r w:rsidRPr="00E53836">
              <w:rPr>
                <w:rFonts w:ascii="Times New Roman" w:hAnsi="Times New Roman"/>
                <w:i w:val="0"/>
                <w:iCs w:val="0"/>
                <w:noProof/>
                <w:webHidden/>
                <w:sz w:val="24"/>
                <w:szCs w:val="24"/>
              </w:rPr>
              <w:fldChar w:fldCharType="end"/>
            </w:r>
          </w:hyperlink>
        </w:p>
        <w:p w14:paraId="7F8C8ADD" w14:textId="42773B01" w:rsidR="00E53836" w:rsidRPr="00E53836" w:rsidRDefault="00E53836">
          <w:pPr>
            <w:pStyle w:val="TOC3"/>
            <w:tabs>
              <w:tab w:val="right" w:leader="dot" w:pos="8296"/>
            </w:tabs>
            <w:rPr>
              <w:rFonts w:ascii="Times New Roman" w:hAnsi="Times New Roman"/>
              <w:i w:val="0"/>
              <w:iCs w:val="0"/>
              <w:noProof/>
              <w:sz w:val="24"/>
              <w:szCs w:val="24"/>
              <w14:ligatures w14:val="standardContextual"/>
            </w:rPr>
          </w:pPr>
          <w:hyperlink w:anchor="_Toc216107048" w:history="1">
            <w:r w:rsidRPr="00E53836">
              <w:rPr>
                <w:rStyle w:val="aff3"/>
                <w:rFonts w:ascii="Times New Roman" w:hAnsi="Times New Roman"/>
                <w:i w:val="0"/>
                <w:iCs w:val="0"/>
                <w:noProof/>
                <w:sz w:val="24"/>
                <w:szCs w:val="24"/>
              </w:rPr>
              <w:t xml:space="preserve">5.2.3 </w:t>
            </w:r>
            <w:r w:rsidRPr="00E53836">
              <w:rPr>
                <w:rStyle w:val="aff3"/>
                <w:rFonts w:ascii="Times New Roman" w:hAnsi="Times New Roman"/>
                <w:i w:val="0"/>
                <w:iCs w:val="0"/>
                <w:noProof/>
                <w:sz w:val="24"/>
                <w:szCs w:val="24"/>
              </w:rPr>
              <w:t>规划年水环境承载状况分析</w:t>
            </w:r>
            <w:r w:rsidRPr="00E53836">
              <w:rPr>
                <w:rFonts w:ascii="Times New Roman" w:hAnsi="Times New Roman"/>
                <w:i w:val="0"/>
                <w:iCs w:val="0"/>
                <w:noProof/>
                <w:webHidden/>
                <w:sz w:val="24"/>
                <w:szCs w:val="24"/>
              </w:rPr>
              <w:tab/>
            </w:r>
            <w:r w:rsidRPr="00E53836">
              <w:rPr>
                <w:rFonts w:ascii="Times New Roman" w:hAnsi="Times New Roman"/>
                <w:i w:val="0"/>
                <w:iCs w:val="0"/>
                <w:noProof/>
                <w:webHidden/>
                <w:sz w:val="24"/>
                <w:szCs w:val="24"/>
              </w:rPr>
              <w:fldChar w:fldCharType="begin"/>
            </w:r>
            <w:r w:rsidRPr="00E53836">
              <w:rPr>
                <w:rFonts w:ascii="Times New Roman" w:hAnsi="Times New Roman"/>
                <w:i w:val="0"/>
                <w:iCs w:val="0"/>
                <w:noProof/>
                <w:webHidden/>
                <w:sz w:val="24"/>
                <w:szCs w:val="24"/>
              </w:rPr>
              <w:instrText xml:space="preserve"> PAGEREF _Toc216107048 \h </w:instrText>
            </w:r>
            <w:r w:rsidRPr="00E53836">
              <w:rPr>
                <w:rFonts w:ascii="Times New Roman" w:hAnsi="Times New Roman"/>
                <w:i w:val="0"/>
                <w:iCs w:val="0"/>
                <w:noProof/>
                <w:webHidden/>
                <w:sz w:val="24"/>
                <w:szCs w:val="24"/>
              </w:rPr>
            </w:r>
            <w:r w:rsidRPr="00E53836">
              <w:rPr>
                <w:rFonts w:ascii="Times New Roman" w:hAnsi="Times New Roman"/>
                <w:i w:val="0"/>
                <w:iCs w:val="0"/>
                <w:noProof/>
                <w:webHidden/>
                <w:sz w:val="24"/>
                <w:szCs w:val="24"/>
              </w:rPr>
              <w:fldChar w:fldCharType="separate"/>
            </w:r>
            <w:r w:rsidR="00F32CCA">
              <w:rPr>
                <w:rFonts w:ascii="Times New Roman" w:hAnsi="Times New Roman"/>
                <w:i w:val="0"/>
                <w:iCs w:val="0"/>
                <w:noProof/>
                <w:webHidden/>
                <w:sz w:val="24"/>
                <w:szCs w:val="24"/>
              </w:rPr>
              <w:t>208</w:t>
            </w:r>
            <w:r w:rsidRPr="00E53836">
              <w:rPr>
                <w:rFonts w:ascii="Times New Roman" w:hAnsi="Times New Roman"/>
                <w:i w:val="0"/>
                <w:iCs w:val="0"/>
                <w:noProof/>
                <w:webHidden/>
                <w:sz w:val="24"/>
                <w:szCs w:val="24"/>
              </w:rPr>
              <w:fldChar w:fldCharType="end"/>
            </w:r>
          </w:hyperlink>
        </w:p>
        <w:p w14:paraId="4DB82A02" w14:textId="17C631E5" w:rsidR="00E53836" w:rsidRPr="00E53836" w:rsidRDefault="00E53836">
          <w:pPr>
            <w:pStyle w:val="TOC3"/>
            <w:tabs>
              <w:tab w:val="right" w:leader="dot" w:pos="8296"/>
            </w:tabs>
            <w:rPr>
              <w:rFonts w:ascii="Times New Roman" w:hAnsi="Times New Roman"/>
              <w:i w:val="0"/>
              <w:iCs w:val="0"/>
              <w:noProof/>
              <w:sz w:val="24"/>
              <w:szCs w:val="24"/>
              <w14:ligatures w14:val="standardContextual"/>
            </w:rPr>
          </w:pPr>
          <w:hyperlink w:anchor="_Toc216107049" w:history="1">
            <w:r w:rsidRPr="00E53836">
              <w:rPr>
                <w:rStyle w:val="aff3"/>
                <w:rFonts w:ascii="Times New Roman" w:hAnsi="Times New Roman"/>
                <w:i w:val="0"/>
                <w:iCs w:val="0"/>
                <w:noProof/>
                <w:sz w:val="24"/>
                <w:szCs w:val="24"/>
              </w:rPr>
              <w:t xml:space="preserve">5.2.4 </w:t>
            </w:r>
            <w:r w:rsidRPr="00E53836">
              <w:rPr>
                <w:rStyle w:val="aff3"/>
                <w:rFonts w:ascii="Times New Roman" w:hAnsi="Times New Roman"/>
                <w:i w:val="0"/>
                <w:iCs w:val="0"/>
                <w:noProof/>
                <w:sz w:val="24"/>
                <w:szCs w:val="24"/>
              </w:rPr>
              <w:t>水环境变化趋势分析</w:t>
            </w:r>
            <w:r w:rsidRPr="00E53836">
              <w:rPr>
                <w:rFonts w:ascii="Times New Roman" w:hAnsi="Times New Roman"/>
                <w:i w:val="0"/>
                <w:iCs w:val="0"/>
                <w:noProof/>
                <w:webHidden/>
                <w:sz w:val="24"/>
                <w:szCs w:val="24"/>
              </w:rPr>
              <w:tab/>
            </w:r>
            <w:r w:rsidRPr="00E53836">
              <w:rPr>
                <w:rFonts w:ascii="Times New Roman" w:hAnsi="Times New Roman"/>
                <w:i w:val="0"/>
                <w:iCs w:val="0"/>
                <w:noProof/>
                <w:webHidden/>
                <w:sz w:val="24"/>
                <w:szCs w:val="24"/>
              </w:rPr>
              <w:fldChar w:fldCharType="begin"/>
            </w:r>
            <w:r w:rsidRPr="00E53836">
              <w:rPr>
                <w:rFonts w:ascii="Times New Roman" w:hAnsi="Times New Roman"/>
                <w:i w:val="0"/>
                <w:iCs w:val="0"/>
                <w:noProof/>
                <w:webHidden/>
                <w:sz w:val="24"/>
                <w:szCs w:val="24"/>
              </w:rPr>
              <w:instrText xml:space="preserve"> PAGEREF _Toc216107049 \h </w:instrText>
            </w:r>
            <w:r w:rsidRPr="00E53836">
              <w:rPr>
                <w:rFonts w:ascii="Times New Roman" w:hAnsi="Times New Roman"/>
                <w:i w:val="0"/>
                <w:iCs w:val="0"/>
                <w:noProof/>
                <w:webHidden/>
                <w:sz w:val="24"/>
                <w:szCs w:val="24"/>
              </w:rPr>
            </w:r>
            <w:r w:rsidRPr="00E53836">
              <w:rPr>
                <w:rFonts w:ascii="Times New Roman" w:hAnsi="Times New Roman"/>
                <w:i w:val="0"/>
                <w:iCs w:val="0"/>
                <w:noProof/>
                <w:webHidden/>
                <w:sz w:val="24"/>
                <w:szCs w:val="24"/>
              </w:rPr>
              <w:fldChar w:fldCharType="separate"/>
            </w:r>
            <w:r w:rsidR="00F32CCA">
              <w:rPr>
                <w:rFonts w:ascii="Times New Roman" w:hAnsi="Times New Roman"/>
                <w:i w:val="0"/>
                <w:iCs w:val="0"/>
                <w:noProof/>
                <w:webHidden/>
                <w:sz w:val="24"/>
                <w:szCs w:val="24"/>
              </w:rPr>
              <w:t>208</w:t>
            </w:r>
            <w:r w:rsidRPr="00E53836">
              <w:rPr>
                <w:rFonts w:ascii="Times New Roman" w:hAnsi="Times New Roman"/>
                <w:i w:val="0"/>
                <w:iCs w:val="0"/>
                <w:noProof/>
                <w:webHidden/>
                <w:sz w:val="24"/>
                <w:szCs w:val="24"/>
              </w:rPr>
              <w:fldChar w:fldCharType="end"/>
            </w:r>
          </w:hyperlink>
        </w:p>
        <w:p w14:paraId="2D3073F5" w14:textId="012963F8" w:rsidR="00E53836" w:rsidRPr="00E53836" w:rsidRDefault="00E53836">
          <w:pPr>
            <w:pStyle w:val="TOC2"/>
            <w:tabs>
              <w:tab w:val="right" w:leader="dot" w:pos="8296"/>
            </w:tabs>
            <w:rPr>
              <w:rFonts w:ascii="Times New Roman" w:hAnsi="Times New Roman"/>
              <w:smallCaps w:val="0"/>
              <w:noProof/>
              <w:sz w:val="24"/>
              <w:szCs w:val="24"/>
              <w14:ligatures w14:val="standardContextual"/>
            </w:rPr>
          </w:pPr>
          <w:hyperlink w:anchor="_Toc216107050" w:history="1">
            <w:r w:rsidRPr="00E53836">
              <w:rPr>
                <w:rStyle w:val="aff3"/>
                <w:rFonts w:ascii="Times New Roman" w:hAnsi="Times New Roman"/>
                <w:noProof/>
                <w:sz w:val="24"/>
                <w:szCs w:val="24"/>
              </w:rPr>
              <w:t xml:space="preserve">5.3 </w:t>
            </w:r>
            <w:r w:rsidRPr="00E53836">
              <w:rPr>
                <w:rStyle w:val="aff3"/>
                <w:rFonts w:ascii="Times New Roman" w:hAnsi="Times New Roman"/>
                <w:noProof/>
                <w:sz w:val="24"/>
                <w:szCs w:val="24"/>
              </w:rPr>
              <w:t>陆生生态影响预测与评价</w:t>
            </w:r>
            <w:r w:rsidRPr="00E53836">
              <w:rPr>
                <w:rFonts w:ascii="Times New Roman" w:hAnsi="Times New Roman"/>
                <w:noProof/>
                <w:webHidden/>
                <w:sz w:val="24"/>
                <w:szCs w:val="24"/>
              </w:rPr>
              <w:tab/>
            </w:r>
            <w:r w:rsidRPr="00E53836">
              <w:rPr>
                <w:rFonts w:ascii="Times New Roman" w:hAnsi="Times New Roman"/>
                <w:noProof/>
                <w:webHidden/>
                <w:sz w:val="24"/>
                <w:szCs w:val="24"/>
              </w:rPr>
              <w:fldChar w:fldCharType="begin"/>
            </w:r>
            <w:r w:rsidRPr="00E53836">
              <w:rPr>
                <w:rFonts w:ascii="Times New Roman" w:hAnsi="Times New Roman"/>
                <w:noProof/>
                <w:webHidden/>
                <w:sz w:val="24"/>
                <w:szCs w:val="24"/>
              </w:rPr>
              <w:instrText xml:space="preserve"> PAGEREF _Toc216107050 \h </w:instrText>
            </w:r>
            <w:r w:rsidRPr="00E53836">
              <w:rPr>
                <w:rFonts w:ascii="Times New Roman" w:hAnsi="Times New Roman"/>
                <w:noProof/>
                <w:webHidden/>
                <w:sz w:val="24"/>
                <w:szCs w:val="24"/>
              </w:rPr>
            </w:r>
            <w:r w:rsidRPr="00E53836">
              <w:rPr>
                <w:rFonts w:ascii="Times New Roman" w:hAnsi="Times New Roman"/>
                <w:noProof/>
                <w:webHidden/>
                <w:sz w:val="24"/>
                <w:szCs w:val="24"/>
              </w:rPr>
              <w:fldChar w:fldCharType="separate"/>
            </w:r>
            <w:r w:rsidR="00F32CCA">
              <w:rPr>
                <w:rFonts w:ascii="Times New Roman" w:hAnsi="Times New Roman"/>
                <w:noProof/>
                <w:webHidden/>
                <w:sz w:val="24"/>
                <w:szCs w:val="24"/>
              </w:rPr>
              <w:t>213</w:t>
            </w:r>
            <w:r w:rsidRPr="00E53836">
              <w:rPr>
                <w:rFonts w:ascii="Times New Roman" w:hAnsi="Times New Roman"/>
                <w:noProof/>
                <w:webHidden/>
                <w:sz w:val="24"/>
                <w:szCs w:val="24"/>
              </w:rPr>
              <w:fldChar w:fldCharType="end"/>
            </w:r>
          </w:hyperlink>
        </w:p>
        <w:p w14:paraId="36DD40B1" w14:textId="394763D5" w:rsidR="00E53836" w:rsidRPr="00E53836" w:rsidRDefault="00E53836">
          <w:pPr>
            <w:pStyle w:val="TOC3"/>
            <w:tabs>
              <w:tab w:val="right" w:leader="dot" w:pos="8296"/>
            </w:tabs>
            <w:rPr>
              <w:rFonts w:ascii="Times New Roman" w:hAnsi="Times New Roman"/>
              <w:i w:val="0"/>
              <w:iCs w:val="0"/>
              <w:noProof/>
              <w:sz w:val="24"/>
              <w:szCs w:val="24"/>
              <w14:ligatures w14:val="standardContextual"/>
            </w:rPr>
          </w:pPr>
          <w:hyperlink w:anchor="_Toc216107051" w:history="1">
            <w:r w:rsidRPr="00E53836">
              <w:rPr>
                <w:rStyle w:val="aff3"/>
                <w:rFonts w:ascii="Times New Roman" w:hAnsi="Times New Roman"/>
                <w:i w:val="0"/>
                <w:iCs w:val="0"/>
                <w:noProof/>
                <w:sz w:val="24"/>
                <w:szCs w:val="24"/>
              </w:rPr>
              <w:t xml:space="preserve">5.3.2 </w:t>
            </w:r>
            <w:r w:rsidRPr="00E53836">
              <w:rPr>
                <w:rStyle w:val="aff3"/>
                <w:rFonts w:ascii="Times New Roman" w:hAnsi="Times New Roman"/>
                <w:i w:val="0"/>
                <w:iCs w:val="0"/>
                <w:noProof/>
                <w:sz w:val="24"/>
                <w:szCs w:val="24"/>
              </w:rPr>
              <w:t>对土地利用的影响</w:t>
            </w:r>
            <w:r w:rsidRPr="00E53836">
              <w:rPr>
                <w:rFonts w:ascii="Times New Roman" w:hAnsi="Times New Roman"/>
                <w:i w:val="0"/>
                <w:iCs w:val="0"/>
                <w:noProof/>
                <w:webHidden/>
                <w:sz w:val="24"/>
                <w:szCs w:val="24"/>
              </w:rPr>
              <w:tab/>
            </w:r>
            <w:r w:rsidRPr="00E53836">
              <w:rPr>
                <w:rFonts w:ascii="Times New Roman" w:hAnsi="Times New Roman"/>
                <w:i w:val="0"/>
                <w:iCs w:val="0"/>
                <w:noProof/>
                <w:webHidden/>
                <w:sz w:val="24"/>
                <w:szCs w:val="24"/>
              </w:rPr>
              <w:fldChar w:fldCharType="begin"/>
            </w:r>
            <w:r w:rsidRPr="00E53836">
              <w:rPr>
                <w:rFonts w:ascii="Times New Roman" w:hAnsi="Times New Roman"/>
                <w:i w:val="0"/>
                <w:iCs w:val="0"/>
                <w:noProof/>
                <w:webHidden/>
                <w:sz w:val="24"/>
                <w:szCs w:val="24"/>
              </w:rPr>
              <w:instrText xml:space="preserve"> PAGEREF _Toc216107051 \h </w:instrText>
            </w:r>
            <w:r w:rsidRPr="00E53836">
              <w:rPr>
                <w:rFonts w:ascii="Times New Roman" w:hAnsi="Times New Roman"/>
                <w:i w:val="0"/>
                <w:iCs w:val="0"/>
                <w:noProof/>
                <w:webHidden/>
                <w:sz w:val="24"/>
                <w:szCs w:val="24"/>
              </w:rPr>
            </w:r>
            <w:r w:rsidRPr="00E53836">
              <w:rPr>
                <w:rFonts w:ascii="Times New Roman" w:hAnsi="Times New Roman"/>
                <w:i w:val="0"/>
                <w:iCs w:val="0"/>
                <w:noProof/>
                <w:webHidden/>
                <w:sz w:val="24"/>
                <w:szCs w:val="24"/>
              </w:rPr>
              <w:fldChar w:fldCharType="separate"/>
            </w:r>
            <w:r w:rsidR="00F32CCA">
              <w:rPr>
                <w:rFonts w:ascii="Times New Roman" w:hAnsi="Times New Roman"/>
                <w:i w:val="0"/>
                <w:iCs w:val="0"/>
                <w:noProof/>
                <w:webHidden/>
                <w:sz w:val="24"/>
                <w:szCs w:val="24"/>
              </w:rPr>
              <w:t>217</w:t>
            </w:r>
            <w:r w:rsidRPr="00E53836">
              <w:rPr>
                <w:rFonts w:ascii="Times New Roman" w:hAnsi="Times New Roman"/>
                <w:i w:val="0"/>
                <w:iCs w:val="0"/>
                <w:noProof/>
                <w:webHidden/>
                <w:sz w:val="24"/>
                <w:szCs w:val="24"/>
              </w:rPr>
              <w:fldChar w:fldCharType="end"/>
            </w:r>
          </w:hyperlink>
        </w:p>
        <w:p w14:paraId="6107931A" w14:textId="27746C3E" w:rsidR="00E53836" w:rsidRPr="00E53836" w:rsidRDefault="00E53836">
          <w:pPr>
            <w:pStyle w:val="TOC3"/>
            <w:tabs>
              <w:tab w:val="right" w:leader="dot" w:pos="8296"/>
            </w:tabs>
            <w:rPr>
              <w:rFonts w:ascii="Times New Roman" w:hAnsi="Times New Roman"/>
              <w:i w:val="0"/>
              <w:iCs w:val="0"/>
              <w:noProof/>
              <w:sz w:val="24"/>
              <w:szCs w:val="24"/>
              <w14:ligatures w14:val="standardContextual"/>
            </w:rPr>
          </w:pPr>
          <w:hyperlink w:anchor="_Toc216107052" w:history="1">
            <w:r w:rsidRPr="00E53836">
              <w:rPr>
                <w:rStyle w:val="aff3"/>
                <w:rFonts w:ascii="Times New Roman" w:hAnsi="Times New Roman"/>
                <w:i w:val="0"/>
                <w:iCs w:val="0"/>
                <w:noProof/>
                <w:sz w:val="24"/>
                <w:szCs w:val="24"/>
              </w:rPr>
              <w:t xml:space="preserve">5.3.3 </w:t>
            </w:r>
            <w:r w:rsidRPr="00E53836">
              <w:rPr>
                <w:rStyle w:val="aff3"/>
                <w:rFonts w:ascii="Times New Roman" w:hAnsi="Times New Roman"/>
                <w:i w:val="0"/>
                <w:iCs w:val="0"/>
                <w:noProof/>
                <w:sz w:val="24"/>
                <w:szCs w:val="24"/>
              </w:rPr>
              <w:t>对陆生植被、植物的影响</w:t>
            </w:r>
            <w:r w:rsidRPr="00E53836">
              <w:rPr>
                <w:rFonts w:ascii="Times New Roman" w:hAnsi="Times New Roman"/>
                <w:i w:val="0"/>
                <w:iCs w:val="0"/>
                <w:noProof/>
                <w:webHidden/>
                <w:sz w:val="24"/>
                <w:szCs w:val="24"/>
              </w:rPr>
              <w:tab/>
            </w:r>
            <w:r w:rsidRPr="00E53836">
              <w:rPr>
                <w:rFonts w:ascii="Times New Roman" w:hAnsi="Times New Roman"/>
                <w:i w:val="0"/>
                <w:iCs w:val="0"/>
                <w:noProof/>
                <w:webHidden/>
                <w:sz w:val="24"/>
                <w:szCs w:val="24"/>
              </w:rPr>
              <w:fldChar w:fldCharType="begin"/>
            </w:r>
            <w:r w:rsidRPr="00E53836">
              <w:rPr>
                <w:rFonts w:ascii="Times New Roman" w:hAnsi="Times New Roman"/>
                <w:i w:val="0"/>
                <w:iCs w:val="0"/>
                <w:noProof/>
                <w:webHidden/>
                <w:sz w:val="24"/>
                <w:szCs w:val="24"/>
              </w:rPr>
              <w:instrText xml:space="preserve"> PAGEREF _Toc216107052 \h </w:instrText>
            </w:r>
            <w:r w:rsidRPr="00E53836">
              <w:rPr>
                <w:rFonts w:ascii="Times New Roman" w:hAnsi="Times New Roman"/>
                <w:i w:val="0"/>
                <w:iCs w:val="0"/>
                <w:noProof/>
                <w:webHidden/>
                <w:sz w:val="24"/>
                <w:szCs w:val="24"/>
              </w:rPr>
            </w:r>
            <w:r w:rsidRPr="00E53836">
              <w:rPr>
                <w:rFonts w:ascii="Times New Roman" w:hAnsi="Times New Roman"/>
                <w:i w:val="0"/>
                <w:iCs w:val="0"/>
                <w:noProof/>
                <w:webHidden/>
                <w:sz w:val="24"/>
                <w:szCs w:val="24"/>
              </w:rPr>
              <w:fldChar w:fldCharType="separate"/>
            </w:r>
            <w:r w:rsidR="00F32CCA">
              <w:rPr>
                <w:rFonts w:ascii="Times New Roman" w:hAnsi="Times New Roman"/>
                <w:i w:val="0"/>
                <w:iCs w:val="0"/>
                <w:noProof/>
                <w:webHidden/>
                <w:sz w:val="24"/>
                <w:szCs w:val="24"/>
              </w:rPr>
              <w:t>218</w:t>
            </w:r>
            <w:r w:rsidRPr="00E53836">
              <w:rPr>
                <w:rFonts w:ascii="Times New Roman" w:hAnsi="Times New Roman"/>
                <w:i w:val="0"/>
                <w:iCs w:val="0"/>
                <w:noProof/>
                <w:webHidden/>
                <w:sz w:val="24"/>
                <w:szCs w:val="24"/>
              </w:rPr>
              <w:fldChar w:fldCharType="end"/>
            </w:r>
          </w:hyperlink>
        </w:p>
        <w:p w14:paraId="7AA32D40" w14:textId="3CAB8395" w:rsidR="00E53836" w:rsidRPr="00E53836" w:rsidRDefault="00E53836">
          <w:pPr>
            <w:pStyle w:val="TOC3"/>
            <w:tabs>
              <w:tab w:val="right" w:leader="dot" w:pos="8296"/>
            </w:tabs>
            <w:rPr>
              <w:rFonts w:ascii="Times New Roman" w:hAnsi="Times New Roman"/>
              <w:i w:val="0"/>
              <w:iCs w:val="0"/>
              <w:noProof/>
              <w:sz w:val="24"/>
              <w:szCs w:val="24"/>
              <w14:ligatures w14:val="standardContextual"/>
            </w:rPr>
          </w:pPr>
          <w:hyperlink w:anchor="_Toc216107053" w:history="1">
            <w:r w:rsidRPr="00E53836">
              <w:rPr>
                <w:rStyle w:val="aff3"/>
                <w:rFonts w:ascii="Times New Roman" w:hAnsi="Times New Roman"/>
                <w:i w:val="0"/>
                <w:iCs w:val="0"/>
                <w:noProof/>
                <w:sz w:val="24"/>
                <w:szCs w:val="24"/>
              </w:rPr>
              <w:t xml:space="preserve">5.3.4 </w:t>
            </w:r>
            <w:r w:rsidRPr="00E53836">
              <w:rPr>
                <w:rStyle w:val="aff3"/>
                <w:rFonts w:ascii="Times New Roman" w:hAnsi="Times New Roman"/>
                <w:i w:val="0"/>
                <w:iCs w:val="0"/>
                <w:noProof/>
                <w:sz w:val="24"/>
                <w:szCs w:val="24"/>
              </w:rPr>
              <w:t>对陆生动物的影响</w:t>
            </w:r>
            <w:r w:rsidRPr="00E53836">
              <w:rPr>
                <w:rFonts w:ascii="Times New Roman" w:hAnsi="Times New Roman"/>
                <w:i w:val="0"/>
                <w:iCs w:val="0"/>
                <w:noProof/>
                <w:webHidden/>
                <w:sz w:val="24"/>
                <w:szCs w:val="24"/>
              </w:rPr>
              <w:tab/>
            </w:r>
            <w:r w:rsidRPr="00E53836">
              <w:rPr>
                <w:rFonts w:ascii="Times New Roman" w:hAnsi="Times New Roman"/>
                <w:i w:val="0"/>
                <w:iCs w:val="0"/>
                <w:noProof/>
                <w:webHidden/>
                <w:sz w:val="24"/>
                <w:szCs w:val="24"/>
              </w:rPr>
              <w:fldChar w:fldCharType="begin"/>
            </w:r>
            <w:r w:rsidRPr="00E53836">
              <w:rPr>
                <w:rFonts w:ascii="Times New Roman" w:hAnsi="Times New Roman"/>
                <w:i w:val="0"/>
                <w:iCs w:val="0"/>
                <w:noProof/>
                <w:webHidden/>
                <w:sz w:val="24"/>
                <w:szCs w:val="24"/>
              </w:rPr>
              <w:instrText xml:space="preserve"> PAGEREF _Toc216107053 \h </w:instrText>
            </w:r>
            <w:r w:rsidRPr="00E53836">
              <w:rPr>
                <w:rFonts w:ascii="Times New Roman" w:hAnsi="Times New Roman"/>
                <w:i w:val="0"/>
                <w:iCs w:val="0"/>
                <w:noProof/>
                <w:webHidden/>
                <w:sz w:val="24"/>
                <w:szCs w:val="24"/>
              </w:rPr>
            </w:r>
            <w:r w:rsidRPr="00E53836">
              <w:rPr>
                <w:rFonts w:ascii="Times New Roman" w:hAnsi="Times New Roman"/>
                <w:i w:val="0"/>
                <w:iCs w:val="0"/>
                <w:noProof/>
                <w:webHidden/>
                <w:sz w:val="24"/>
                <w:szCs w:val="24"/>
              </w:rPr>
              <w:fldChar w:fldCharType="separate"/>
            </w:r>
            <w:r w:rsidR="00F32CCA">
              <w:rPr>
                <w:rFonts w:ascii="Times New Roman" w:hAnsi="Times New Roman"/>
                <w:i w:val="0"/>
                <w:iCs w:val="0"/>
                <w:noProof/>
                <w:webHidden/>
                <w:sz w:val="24"/>
                <w:szCs w:val="24"/>
              </w:rPr>
              <w:t>221</w:t>
            </w:r>
            <w:r w:rsidRPr="00E53836">
              <w:rPr>
                <w:rFonts w:ascii="Times New Roman" w:hAnsi="Times New Roman"/>
                <w:i w:val="0"/>
                <w:iCs w:val="0"/>
                <w:noProof/>
                <w:webHidden/>
                <w:sz w:val="24"/>
                <w:szCs w:val="24"/>
              </w:rPr>
              <w:fldChar w:fldCharType="end"/>
            </w:r>
          </w:hyperlink>
        </w:p>
        <w:p w14:paraId="610BE42A" w14:textId="2EF9D06A" w:rsidR="00E53836" w:rsidRPr="00E53836" w:rsidRDefault="00E53836">
          <w:pPr>
            <w:pStyle w:val="TOC3"/>
            <w:tabs>
              <w:tab w:val="right" w:leader="dot" w:pos="8296"/>
            </w:tabs>
            <w:rPr>
              <w:rFonts w:ascii="Times New Roman" w:hAnsi="Times New Roman"/>
              <w:i w:val="0"/>
              <w:iCs w:val="0"/>
              <w:noProof/>
              <w:sz w:val="24"/>
              <w:szCs w:val="24"/>
              <w14:ligatures w14:val="standardContextual"/>
            </w:rPr>
          </w:pPr>
          <w:hyperlink w:anchor="_Toc216107054" w:history="1">
            <w:r w:rsidRPr="00E53836">
              <w:rPr>
                <w:rStyle w:val="aff3"/>
                <w:rFonts w:ascii="Times New Roman" w:hAnsi="Times New Roman"/>
                <w:i w:val="0"/>
                <w:iCs w:val="0"/>
                <w:noProof/>
                <w:sz w:val="24"/>
                <w:szCs w:val="24"/>
              </w:rPr>
              <w:t xml:space="preserve">5.3.5 </w:t>
            </w:r>
            <w:r w:rsidRPr="00E53836">
              <w:rPr>
                <w:rStyle w:val="aff3"/>
                <w:rFonts w:ascii="Times New Roman" w:hAnsi="Times New Roman"/>
                <w:i w:val="0"/>
                <w:iCs w:val="0"/>
                <w:noProof/>
                <w:sz w:val="24"/>
                <w:szCs w:val="24"/>
              </w:rPr>
              <w:t>对水土流失的影响</w:t>
            </w:r>
            <w:r w:rsidRPr="00E53836">
              <w:rPr>
                <w:rFonts w:ascii="Times New Roman" w:hAnsi="Times New Roman"/>
                <w:i w:val="0"/>
                <w:iCs w:val="0"/>
                <w:noProof/>
                <w:webHidden/>
                <w:sz w:val="24"/>
                <w:szCs w:val="24"/>
              </w:rPr>
              <w:tab/>
            </w:r>
            <w:r w:rsidRPr="00E53836">
              <w:rPr>
                <w:rFonts w:ascii="Times New Roman" w:hAnsi="Times New Roman"/>
                <w:i w:val="0"/>
                <w:iCs w:val="0"/>
                <w:noProof/>
                <w:webHidden/>
                <w:sz w:val="24"/>
                <w:szCs w:val="24"/>
              </w:rPr>
              <w:fldChar w:fldCharType="begin"/>
            </w:r>
            <w:r w:rsidRPr="00E53836">
              <w:rPr>
                <w:rFonts w:ascii="Times New Roman" w:hAnsi="Times New Roman"/>
                <w:i w:val="0"/>
                <w:iCs w:val="0"/>
                <w:noProof/>
                <w:webHidden/>
                <w:sz w:val="24"/>
                <w:szCs w:val="24"/>
              </w:rPr>
              <w:instrText xml:space="preserve"> PAGEREF _Toc216107054 \h </w:instrText>
            </w:r>
            <w:r w:rsidRPr="00E53836">
              <w:rPr>
                <w:rFonts w:ascii="Times New Roman" w:hAnsi="Times New Roman"/>
                <w:i w:val="0"/>
                <w:iCs w:val="0"/>
                <w:noProof/>
                <w:webHidden/>
                <w:sz w:val="24"/>
                <w:szCs w:val="24"/>
              </w:rPr>
            </w:r>
            <w:r w:rsidRPr="00E53836">
              <w:rPr>
                <w:rFonts w:ascii="Times New Roman" w:hAnsi="Times New Roman"/>
                <w:i w:val="0"/>
                <w:iCs w:val="0"/>
                <w:noProof/>
                <w:webHidden/>
                <w:sz w:val="24"/>
                <w:szCs w:val="24"/>
              </w:rPr>
              <w:fldChar w:fldCharType="separate"/>
            </w:r>
            <w:r w:rsidR="00F32CCA">
              <w:rPr>
                <w:rFonts w:ascii="Times New Roman" w:hAnsi="Times New Roman"/>
                <w:i w:val="0"/>
                <w:iCs w:val="0"/>
                <w:noProof/>
                <w:webHidden/>
                <w:sz w:val="24"/>
                <w:szCs w:val="24"/>
              </w:rPr>
              <w:t>226</w:t>
            </w:r>
            <w:r w:rsidRPr="00E53836">
              <w:rPr>
                <w:rFonts w:ascii="Times New Roman" w:hAnsi="Times New Roman"/>
                <w:i w:val="0"/>
                <w:iCs w:val="0"/>
                <w:noProof/>
                <w:webHidden/>
                <w:sz w:val="24"/>
                <w:szCs w:val="24"/>
              </w:rPr>
              <w:fldChar w:fldCharType="end"/>
            </w:r>
          </w:hyperlink>
        </w:p>
        <w:p w14:paraId="203CF919" w14:textId="366C436E" w:rsidR="00E53836" w:rsidRPr="00E53836" w:rsidRDefault="00E53836">
          <w:pPr>
            <w:pStyle w:val="TOC3"/>
            <w:tabs>
              <w:tab w:val="right" w:leader="dot" w:pos="8296"/>
            </w:tabs>
            <w:rPr>
              <w:rFonts w:ascii="Times New Roman" w:hAnsi="Times New Roman"/>
              <w:i w:val="0"/>
              <w:iCs w:val="0"/>
              <w:noProof/>
              <w:sz w:val="24"/>
              <w:szCs w:val="24"/>
              <w14:ligatures w14:val="standardContextual"/>
            </w:rPr>
          </w:pPr>
          <w:hyperlink w:anchor="_Toc216107055" w:history="1">
            <w:r w:rsidRPr="00E53836">
              <w:rPr>
                <w:rStyle w:val="aff3"/>
                <w:rFonts w:ascii="Times New Roman" w:hAnsi="Times New Roman"/>
                <w:i w:val="0"/>
                <w:iCs w:val="0"/>
                <w:noProof/>
                <w:sz w:val="24"/>
                <w:szCs w:val="24"/>
              </w:rPr>
              <w:t xml:space="preserve">5.3.6 </w:t>
            </w:r>
            <w:r w:rsidRPr="00E53836">
              <w:rPr>
                <w:rStyle w:val="aff3"/>
                <w:rFonts w:ascii="Times New Roman" w:hAnsi="Times New Roman"/>
                <w:i w:val="0"/>
                <w:iCs w:val="0"/>
                <w:noProof/>
                <w:sz w:val="24"/>
                <w:szCs w:val="24"/>
              </w:rPr>
              <w:t>小结</w:t>
            </w:r>
            <w:r w:rsidRPr="00E53836">
              <w:rPr>
                <w:rFonts w:ascii="Times New Roman" w:hAnsi="Times New Roman"/>
                <w:i w:val="0"/>
                <w:iCs w:val="0"/>
                <w:noProof/>
                <w:webHidden/>
                <w:sz w:val="24"/>
                <w:szCs w:val="24"/>
              </w:rPr>
              <w:tab/>
            </w:r>
            <w:r w:rsidRPr="00E53836">
              <w:rPr>
                <w:rFonts w:ascii="Times New Roman" w:hAnsi="Times New Roman"/>
                <w:i w:val="0"/>
                <w:iCs w:val="0"/>
                <w:noProof/>
                <w:webHidden/>
                <w:sz w:val="24"/>
                <w:szCs w:val="24"/>
              </w:rPr>
              <w:fldChar w:fldCharType="begin"/>
            </w:r>
            <w:r w:rsidRPr="00E53836">
              <w:rPr>
                <w:rFonts w:ascii="Times New Roman" w:hAnsi="Times New Roman"/>
                <w:i w:val="0"/>
                <w:iCs w:val="0"/>
                <w:noProof/>
                <w:webHidden/>
                <w:sz w:val="24"/>
                <w:szCs w:val="24"/>
              </w:rPr>
              <w:instrText xml:space="preserve"> PAGEREF _Toc216107055 \h </w:instrText>
            </w:r>
            <w:r w:rsidRPr="00E53836">
              <w:rPr>
                <w:rFonts w:ascii="Times New Roman" w:hAnsi="Times New Roman"/>
                <w:i w:val="0"/>
                <w:iCs w:val="0"/>
                <w:noProof/>
                <w:webHidden/>
                <w:sz w:val="24"/>
                <w:szCs w:val="24"/>
              </w:rPr>
            </w:r>
            <w:r w:rsidRPr="00E53836">
              <w:rPr>
                <w:rFonts w:ascii="Times New Roman" w:hAnsi="Times New Roman"/>
                <w:i w:val="0"/>
                <w:iCs w:val="0"/>
                <w:noProof/>
                <w:webHidden/>
                <w:sz w:val="24"/>
                <w:szCs w:val="24"/>
              </w:rPr>
              <w:fldChar w:fldCharType="separate"/>
            </w:r>
            <w:r w:rsidR="00F32CCA">
              <w:rPr>
                <w:rFonts w:ascii="Times New Roman" w:hAnsi="Times New Roman"/>
                <w:i w:val="0"/>
                <w:iCs w:val="0"/>
                <w:noProof/>
                <w:webHidden/>
                <w:sz w:val="24"/>
                <w:szCs w:val="24"/>
              </w:rPr>
              <w:t>226</w:t>
            </w:r>
            <w:r w:rsidRPr="00E53836">
              <w:rPr>
                <w:rFonts w:ascii="Times New Roman" w:hAnsi="Times New Roman"/>
                <w:i w:val="0"/>
                <w:iCs w:val="0"/>
                <w:noProof/>
                <w:webHidden/>
                <w:sz w:val="24"/>
                <w:szCs w:val="24"/>
              </w:rPr>
              <w:fldChar w:fldCharType="end"/>
            </w:r>
          </w:hyperlink>
        </w:p>
        <w:p w14:paraId="5E2D05C1" w14:textId="75702010" w:rsidR="00E53836" w:rsidRPr="00E53836" w:rsidRDefault="00E53836">
          <w:pPr>
            <w:pStyle w:val="TOC2"/>
            <w:tabs>
              <w:tab w:val="right" w:leader="dot" w:pos="8296"/>
            </w:tabs>
            <w:rPr>
              <w:rFonts w:ascii="Times New Roman" w:hAnsi="Times New Roman"/>
              <w:smallCaps w:val="0"/>
              <w:noProof/>
              <w:sz w:val="24"/>
              <w:szCs w:val="24"/>
              <w14:ligatures w14:val="standardContextual"/>
            </w:rPr>
          </w:pPr>
          <w:hyperlink w:anchor="_Toc216107056" w:history="1">
            <w:r w:rsidRPr="00E53836">
              <w:rPr>
                <w:rStyle w:val="aff3"/>
                <w:rFonts w:ascii="Times New Roman" w:hAnsi="Times New Roman"/>
                <w:noProof/>
                <w:sz w:val="24"/>
                <w:szCs w:val="24"/>
              </w:rPr>
              <w:t xml:space="preserve">5.4 </w:t>
            </w:r>
            <w:r w:rsidRPr="00E53836">
              <w:rPr>
                <w:rStyle w:val="aff3"/>
                <w:rFonts w:ascii="Times New Roman" w:hAnsi="Times New Roman"/>
                <w:noProof/>
                <w:sz w:val="24"/>
                <w:szCs w:val="24"/>
              </w:rPr>
              <w:t>水生生态影响预测与评价</w:t>
            </w:r>
            <w:r w:rsidRPr="00E53836">
              <w:rPr>
                <w:rFonts w:ascii="Times New Roman" w:hAnsi="Times New Roman"/>
                <w:noProof/>
                <w:webHidden/>
                <w:sz w:val="24"/>
                <w:szCs w:val="24"/>
              </w:rPr>
              <w:tab/>
            </w:r>
            <w:r w:rsidRPr="00E53836">
              <w:rPr>
                <w:rFonts w:ascii="Times New Roman" w:hAnsi="Times New Roman"/>
                <w:noProof/>
                <w:webHidden/>
                <w:sz w:val="24"/>
                <w:szCs w:val="24"/>
              </w:rPr>
              <w:fldChar w:fldCharType="begin"/>
            </w:r>
            <w:r w:rsidRPr="00E53836">
              <w:rPr>
                <w:rFonts w:ascii="Times New Roman" w:hAnsi="Times New Roman"/>
                <w:noProof/>
                <w:webHidden/>
                <w:sz w:val="24"/>
                <w:szCs w:val="24"/>
              </w:rPr>
              <w:instrText xml:space="preserve"> PAGEREF _Toc216107056 \h </w:instrText>
            </w:r>
            <w:r w:rsidRPr="00E53836">
              <w:rPr>
                <w:rFonts w:ascii="Times New Roman" w:hAnsi="Times New Roman"/>
                <w:noProof/>
                <w:webHidden/>
                <w:sz w:val="24"/>
                <w:szCs w:val="24"/>
              </w:rPr>
            </w:r>
            <w:r w:rsidRPr="00E53836">
              <w:rPr>
                <w:rFonts w:ascii="Times New Roman" w:hAnsi="Times New Roman"/>
                <w:noProof/>
                <w:webHidden/>
                <w:sz w:val="24"/>
                <w:szCs w:val="24"/>
              </w:rPr>
              <w:fldChar w:fldCharType="separate"/>
            </w:r>
            <w:r w:rsidR="00F32CCA">
              <w:rPr>
                <w:rFonts w:ascii="Times New Roman" w:hAnsi="Times New Roman"/>
                <w:noProof/>
                <w:webHidden/>
                <w:sz w:val="24"/>
                <w:szCs w:val="24"/>
              </w:rPr>
              <w:t>227</w:t>
            </w:r>
            <w:r w:rsidRPr="00E53836">
              <w:rPr>
                <w:rFonts w:ascii="Times New Roman" w:hAnsi="Times New Roman"/>
                <w:noProof/>
                <w:webHidden/>
                <w:sz w:val="24"/>
                <w:szCs w:val="24"/>
              </w:rPr>
              <w:fldChar w:fldCharType="end"/>
            </w:r>
          </w:hyperlink>
        </w:p>
        <w:p w14:paraId="00429682" w14:textId="151C5D15" w:rsidR="00E53836" w:rsidRPr="00E53836" w:rsidRDefault="00E53836">
          <w:pPr>
            <w:pStyle w:val="TOC3"/>
            <w:tabs>
              <w:tab w:val="right" w:leader="dot" w:pos="8296"/>
            </w:tabs>
            <w:rPr>
              <w:rFonts w:ascii="Times New Roman" w:hAnsi="Times New Roman"/>
              <w:i w:val="0"/>
              <w:iCs w:val="0"/>
              <w:noProof/>
              <w:sz w:val="24"/>
              <w:szCs w:val="24"/>
              <w14:ligatures w14:val="standardContextual"/>
            </w:rPr>
          </w:pPr>
          <w:hyperlink w:anchor="_Toc216107057" w:history="1">
            <w:r w:rsidRPr="00E53836">
              <w:rPr>
                <w:rStyle w:val="aff3"/>
                <w:rFonts w:ascii="Times New Roman" w:hAnsi="Times New Roman"/>
                <w:i w:val="0"/>
                <w:iCs w:val="0"/>
                <w:noProof/>
                <w:sz w:val="24"/>
                <w:szCs w:val="24"/>
              </w:rPr>
              <w:t xml:space="preserve">5.4.1 </w:t>
            </w:r>
            <w:r w:rsidRPr="00E53836">
              <w:rPr>
                <w:rStyle w:val="aff3"/>
                <w:rFonts w:ascii="Times New Roman" w:hAnsi="Times New Roman"/>
                <w:i w:val="0"/>
                <w:iCs w:val="0"/>
                <w:noProof/>
                <w:sz w:val="24"/>
                <w:szCs w:val="24"/>
              </w:rPr>
              <w:t>对生态环境需水量满足程度的影响</w:t>
            </w:r>
            <w:r w:rsidRPr="00E53836">
              <w:rPr>
                <w:rFonts w:ascii="Times New Roman" w:hAnsi="Times New Roman"/>
                <w:i w:val="0"/>
                <w:iCs w:val="0"/>
                <w:noProof/>
                <w:webHidden/>
                <w:sz w:val="24"/>
                <w:szCs w:val="24"/>
              </w:rPr>
              <w:tab/>
            </w:r>
            <w:r w:rsidRPr="00E53836">
              <w:rPr>
                <w:rFonts w:ascii="Times New Roman" w:hAnsi="Times New Roman"/>
                <w:i w:val="0"/>
                <w:iCs w:val="0"/>
                <w:noProof/>
                <w:webHidden/>
                <w:sz w:val="24"/>
                <w:szCs w:val="24"/>
              </w:rPr>
              <w:fldChar w:fldCharType="begin"/>
            </w:r>
            <w:r w:rsidRPr="00E53836">
              <w:rPr>
                <w:rFonts w:ascii="Times New Roman" w:hAnsi="Times New Roman"/>
                <w:i w:val="0"/>
                <w:iCs w:val="0"/>
                <w:noProof/>
                <w:webHidden/>
                <w:sz w:val="24"/>
                <w:szCs w:val="24"/>
              </w:rPr>
              <w:instrText xml:space="preserve"> PAGEREF _Toc216107057 \h </w:instrText>
            </w:r>
            <w:r w:rsidRPr="00E53836">
              <w:rPr>
                <w:rFonts w:ascii="Times New Roman" w:hAnsi="Times New Roman"/>
                <w:i w:val="0"/>
                <w:iCs w:val="0"/>
                <w:noProof/>
                <w:webHidden/>
                <w:sz w:val="24"/>
                <w:szCs w:val="24"/>
              </w:rPr>
            </w:r>
            <w:r w:rsidRPr="00E53836">
              <w:rPr>
                <w:rFonts w:ascii="Times New Roman" w:hAnsi="Times New Roman"/>
                <w:i w:val="0"/>
                <w:iCs w:val="0"/>
                <w:noProof/>
                <w:webHidden/>
                <w:sz w:val="24"/>
                <w:szCs w:val="24"/>
              </w:rPr>
              <w:fldChar w:fldCharType="separate"/>
            </w:r>
            <w:r w:rsidR="00F32CCA">
              <w:rPr>
                <w:rFonts w:ascii="Times New Roman" w:hAnsi="Times New Roman"/>
                <w:i w:val="0"/>
                <w:iCs w:val="0"/>
                <w:noProof/>
                <w:webHidden/>
                <w:sz w:val="24"/>
                <w:szCs w:val="24"/>
              </w:rPr>
              <w:t>227</w:t>
            </w:r>
            <w:r w:rsidRPr="00E53836">
              <w:rPr>
                <w:rFonts w:ascii="Times New Roman" w:hAnsi="Times New Roman"/>
                <w:i w:val="0"/>
                <w:iCs w:val="0"/>
                <w:noProof/>
                <w:webHidden/>
                <w:sz w:val="24"/>
                <w:szCs w:val="24"/>
              </w:rPr>
              <w:fldChar w:fldCharType="end"/>
            </w:r>
          </w:hyperlink>
        </w:p>
        <w:p w14:paraId="1594A117" w14:textId="33387D7D" w:rsidR="00E53836" w:rsidRPr="00E53836" w:rsidRDefault="00E53836">
          <w:pPr>
            <w:pStyle w:val="TOC3"/>
            <w:tabs>
              <w:tab w:val="right" w:leader="dot" w:pos="8296"/>
            </w:tabs>
            <w:rPr>
              <w:rFonts w:ascii="Times New Roman" w:hAnsi="Times New Roman"/>
              <w:i w:val="0"/>
              <w:iCs w:val="0"/>
              <w:noProof/>
              <w:sz w:val="24"/>
              <w:szCs w:val="24"/>
              <w14:ligatures w14:val="standardContextual"/>
            </w:rPr>
          </w:pPr>
          <w:hyperlink w:anchor="_Toc216107058" w:history="1">
            <w:r w:rsidRPr="00E53836">
              <w:rPr>
                <w:rStyle w:val="aff3"/>
                <w:rFonts w:ascii="Times New Roman" w:hAnsi="Times New Roman"/>
                <w:i w:val="0"/>
                <w:iCs w:val="0"/>
                <w:noProof/>
                <w:sz w:val="24"/>
                <w:szCs w:val="24"/>
              </w:rPr>
              <w:t xml:space="preserve">5.4.2 </w:t>
            </w:r>
            <w:r w:rsidRPr="00E53836">
              <w:rPr>
                <w:rStyle w:val="aff3"/>
                <w:rFonts w:ascii="Times New Roman" w:hAnsi="Times New Roman"/>
                <w:i w:val="0"/>
                <w:iCs w:val="0"/>
                <w:noProof/>
                <w:sz w:val="24"/>
                <w:szCs w:val="24"/>
              </w:rPr>
              <w:t>对河流连通性的影响</w:t>
            </w:r>
            <w:r w:rsidRPr="00E53836">
              <w:rPr>
                <w:rFonts w:ascii="Times New Roman" w:hAnsi="Times New Roman"/>
                <w:i w:val="0"/>
                <w:iCs w:val="0"/>
                <w:noProof/>
                <w:webHidden/>
                <w:sz w:val="24"/>
                <w:szCs w:val="24"/>
              </w:rPr>
              <w:tab/>
            </w:r>
            <w:r w:rsidRPr="00E53836">
              <w:rPr>
                <w:rFonts w:ascii="Times New Roman" w:hAnsi="Times New Roman"/>
                <w:i w:val="0"/>
                <w:iCs w:val="0"/>
                <w:noProof/>
                <w:webHidden/>
                <w:sz w:val="24"/>
                <w:szCs w:val="24"/>
              </w:rPr>
              <w:fldChar w:fldCharType="begin"/>
            </w:r>
            <w:r w:rsidRPr="00E53836">
              <w:rPr>
                <w:rFonts w:ascii="Times New Roman" w:hAnsi="Times New Roman"/>
                <w:i w:val="0"/>
                <w:iCs w:val="0"/>
                <w:noProof/>
                <w:webHidden/>
                <w:sz w:val="24"/>
                <w:szCs w:val="24"/>
              </w:rPr>
              <w:instrText xml:space="preserve"> PAGEREF _Toc216107058 \h </w:instrText>
            </w:r>
            <w:r w:rsidRPr="00E53836">
              <w:rPr>
                <w:rFonts w:ascii="Times New Roman" w:hAnsi="Times New Roman"/>
                <w:i w:val="0"/>
                <w:iCs w:val="0"/>
                <w:noProof/>
                <w:webHidden/>
                <w:sz w:val="24"/>
                <w:szCs w:val="24"/>
              </w:rPr>
            </w:r>
            <w:r w:rsidRPr="00E53836">
              <w:rPr>
                <w:rFonts w:ascii="Times New Roman" w:hAnsi="Times New Roman"/>
                <w:i w:val="0"/>
                <w:iCs w:val="0"/>
                <w:noProof/>
                <w:webHidden/>
                <w:sz w:val="24"/>
                <w:szCs w:val="24"/>
              </w:rPr>
              <w:fldChar w:fldCharType="separate"/>
            </w:r>
            <w:r w:rsidR="00F32CCA">
              <w:rPr>
                <w:rFonts w:ascii="Times New Roman" w:hAnsi="Times New Roman"/>
                <w:i w:val="0"/>
                <w:iCs w:val="0"/>
                <w:noProof/>
                <w:webHidden/>
                <w:sz w:val="24"/>
                <w:szCs w:val="24"/>
              </w:rPr>
              <w:t>227</w:t>
            </w:r>
            <w:r w:rsidRPr="00E53836">
              <w:rPr>
                <w:rFonts w:ascii="Times New Roman" w:hAnsi="Times New Roman"/>
                <w:i w:val="0"/>
                <w:iCs w:val="0"/>
                <w:noProof/>
                <w:webHidden/>
                <w:sz w:val="24"/>
                <w:szCs w:val="24"/>
              </w:rPr>
              <w:fldChar w:fldCharType="end"/>
            </w:r>
          </w:hyperlink>
        </w:p>
        <w:p w14:paraId="01F4BB1D" w14:textId="50DB56C1" w:rsidR="00E53836" w:rsidRPr="00E53836" w:rsidRDefault="00E53836">
          <w:pPr>
            <w:pStyle w:val="TOC3"/>
            <w:tabs>
              <w:tab w:val="right" w:leader="dot" w:pos="8296"/>
            </w:tabs>
            <w:rPr>
              <w:rFonts w:ascii="Times New Roman" w:hAnsi="Times New Roman"/>
              <w:i w:val="0"/>
              <w:iCs w:val="0"/>
              <w:noProof/>
              <w:sz w:val="24"/>
              <w:szCs w:val="24"/>
              <w14:ligatures w14:val="standardContextual"/>
            </w:rPr>
          </w:pPr>
          <w:hyperlink w:anchor="_Toc216107059" w:history="1">
            <w:r w:rsidRPr="00E53836">
              <w:rPr>
                <w:rStyle w:val="aff3"/>
                <w:rFonts w:ascii="Times New Roman" w:hAnsi="Times New Roman"/>
                <w:i w:val="0"/>
                <w:iCs w:val="0"/>
                <w:noProof/>
                <w:sz w:val="24"/>
                <w:szCs w:val="24"/>
              </w:rPr>
              <w:t xml:space="preserve">5.4.3 </w:t>
            </w:r>
            <w:r w:rsidRPr="00E53836">
              <w:rPr>
                <w:rStyle w:val="aff3"/>
                <w:rFonts w:ascii="Times New Roman" w:hAnsi="Times New Roman"/>
                <w:i w:val="0"/>
                <w:iCs w:val="0"/>
                <w:noProof/>
                <w:sz w:val="24"/>
                <w:szCs w:val="24"/>
              </w:rPr>
              <w:t>对水生生物及生境条件的影响</w:t>
            </w:r>
            <w:r w:rsidRPr="00E53836">
              <w:rPr>
                <w:rFonts w:ascii="Times New Roman" w:hAnsi="Times New Roman"/>
                <w:i w:val="0"/>
                <w:iCs w:val="0"/>
                <w:noProof/>
                <w:webHidden/>
                <w:sz w:val="24"/>
                <w:szCs w:val="24"/>
              </w:rPr>
              <w:tab/>
            </w:r>
            <w:r w:rsidRPr="00E53836">
              <w:rPr>
                <w:rFonts w:ascii="Times New Roman" w:hAnsi="Times New Roman"/>
                <w:i w:val="0"/>
                <w:iCs w:val="0"/>
                <w:noProof/>
                <w:webHidden/>
                <w:sz w:val="24"/>
                <w:szCs w:val="24"/>
              </w:rPr>
              <w:fldChar w:fldCharType="begin"/>
            </w:r>
            <w:r w:rsidRPr="00E53836">
              <w:rPr>
                <w:rFonts w:ascii="Times New Roman" w:hAnsi="Times New Roman"/>
                <w:i w:val="0"/>
                <w:iCs w:val="0"/>
                <w:noProof/>
                <w:webHidden/>
                <w:sz w:val="24"/>
                <w:szCs w:val="24"/>
              </w:rPr>
              <w:instrText xml:space="preserve"> PAGEREF _Toc216107059 \h </w:instrText>
            </w:r>
            <w:r w:rsidRPr="00E53836">
              <w:rPr>
                <w:rFonts w:ascii="Times New Roman" w:hAnsi="Times New Roman"/>
                <w:i w:val="0"/>
                <w:iCs w:val="0"/>
                <w:noProof/>
                <w:webHidden/>
                <w:sz w:val="24"/>
                <w:szCs w:val="24"/>
              </w:rPr>
            </w:r>
            <w:r w:rsidRPr="00E53836">
              <w:rPr>
                <w:rFonts w:ascii="Times New Roman" w:hAnsi="Times New Roman"/>
                <w:i w:val="0"/>
                <w:iCs w:val="0"/>
                <w:noProof/>
                <w:webHidden/>
                <w:sz w:val="24"/>
                <w:szCs w:val="24"/>
              </w:rPr>
              <w:fldChar w:fldCharType="separate"/>
            </w:r>
            <w:r w:rsidR="00F32CCA">
              <w:rPr>
                <w:rFonts w:ascii="Times New Roman" w:hAnsi="Times New Roman"/>
                <w:i w:val="0"/>
                <w:iCs w:val="0"/>
                <w:noProof/>
                <w:webHidden/>
                <w:sz w:val="24"/>
                <w:szCs w:val="24"/>
              </w:rPr>
              <w:t>228</w:t>
            </w:r>
            <w:r w:rsidRPr="00E53836">
              <w:rPr>
                <w:rFonts w:ascii="Times New Roman" w:hAnsi="Times New Roman"/>
                <w:i w:val="0"/>
                <w:iCs w:val="0"/>
                <w:noProof/>
                <w:webHidden/>
                <w:sz w:val="24"/>
                <w:szCs w:val="24"/>
              </w:rPr>
              <w:fldChar w:fldCharType="end"/>
            </w:r>
          </w:hyperlink>
        </w:p>
        <w:p w14:paraId="24BAFB85" w14:textId="41BDB466" w:rsidR="00E53836" w:rsidRPr="00E53836" w:rsidRDefault="00E53836">
          <w:pPr>
            <w:pStyle w:val="TOC3"/>
            <w:tabs>
              <w:tab w:val="right" w:leader="dot" w:pos="8296"/>
            </w:tabs>
            <w:rPr>
              <w:rFonts w:ascii="Times New Roman" w:hAnsi="Times New Roman"/>
              <w:i w:val="0"/>
              <w:iCs w:val="0"/>
              <w:noProof/>
              <w:sz w:val="24"/>
              <w:szCs w:val="24"/>
              <w14:ligatures w14:val="standardContextual"/>
            </w:rPr>
          </w:pPr>
          <w:hyperlink w:anchor="_Toc216107060" w:history="1">
            <w:r w:rsidRPr="00E53836">
              <w:rPr>
                <w:rStyle w:val="aff3"/>
                <w:rFonts w:ascii="Times New Roman" w:hAnsi="Times New Roman"/>
                <w:i w:val="0"/>
                <w:iCs w:val="0"/>
                <w:noProof/>
                <w:sz w:val="24"/>
                <w:szCs w:val="24"/>
              </w:rPr>
              <w:t xml:space="preserve">5.4.4 </w:t>
            </w:r>
            <w:r w:rsidRPr="00E53836">
              <w:rPr>
                <w:rStyle w:val="aff3"/>
                <w:rFonts w:ascii="Times New Roman" w:hAnsi="Times New Roman"/>
                <w:i w:val="0"/>
                <w:iCs w:val="0"/>
                <w:noProof/>
                <w:sz w:val="24"/>
                <w:szCs w:val="24"/>
              </w:rPr>
              <w:t>小结</w:t>
            </w:r>
            <w:r w:rsidRPr="00E53836">
              <w:rPr>
                <w:rFonts w:ascii="Times New Roman" w:hAnsi="Times New Roman"/>
                <w:i w:val="0"/>
                <w:iCs w:val="0"/>
                <w:noProof/>
                <w:webHidden/>
                <w:sz w:val="24"/>
                <w:szCs w:val="24"/>
              </w:rPr>
              <w:tab/>
            </w:r>
            <w:r w:rsidRPr="00E53836">
              <w:rPr>
                <w:rFonts w:ascii="Times New Roman" w:hAnsi="Times New Roman"/>
                <w:i w:val="0"/>
                <w:iCs w:val="0"/>
                <w:noProof/>
                <w:webHidden/>
                <w:sz w:val="24"/>
                <w:szCs w:val="24"/>
              </w:rPr>
              <w:fldChar w:fldCharType="begin"/>
            </w:r>
            <w:r w:rsidRPr="00E53836">
              <w:rPr>
                <w:rFonts w:ascii="Times New Roman" w:hAnsi="Times New Roman"/>
                <w:i w:val="0"/>
                <w:iCs w:val="0"/>
                <w:noProof/>
                <w:webHidden/>
                <w:sz w:val="24"/>
                <w:szCs w:val="24"/>
              </w:rPr>
              <w:instrText xml:space="preserve"> PAGEREF _Toc216107060 \h </w:instrText>
            </w:r>
            <w:r w:rsidRPr="00E53836">
              <w:rPr>
                <w:rFonts w:ascii="Times New Roman" w:hAnsi="Times New Roman"/>
                <w:i w:val="0"/>
                <w:iCs w:val="0"/>
                <w:noProof/>
                <w:webHidden/>
                <w:sz w:val="24"/>
                <w:szCs w:val="24"/>
              </w:rPr>
            </w:r>
            <w:r w:rsidRPr="00E53836">
              <w:rPr>
                <w:rFonts w:ascii="Times New Roman" w:hAnsi="Times New Roman"/>
                <w:i w:val="0"/>
                <w:iCs w:val="0"/>
                <w:noProof/>
                <w:webHidden/>
                <w:sz w:val="24"/>
                <w:szCs w:val="24"/>
              </w:rPr>
              <w:fldChar w:fldCharType="separate"/>
            </w:r>
            <w:r w:rsidR="00F32CCA">
              <w:rPr>
                <w:rFonts w:ascii="Times New Roman" w:hAnsi="Times New Roman"/>
                <w:i w:val="0"/>
                <w:iCs w:val="0"/>
                <w:noProof/>
                <w:webHidden/>
                <w:sz w:val="24"/>
                <w:szCs w:val="24"/>
              </w:rPr>
              <w:t>229</w:t>
            </w:r>
            <w:r w:rsidRPr="00E53836">
              <w:rPr>
                <w:rFonts w:ascii="Times New Roman" w:hAnsi="Times New Roman"/>
                <w:i w:val="0"/>
                <w:iCs w:val="0"/>
                <w:noProof/>
                <w:webHidden/>
                <w:sz w:val="24"/>
                <w:szCs w:val="24"/>
              </w:rPr>
              <w:fldChar w:fldCharType="end"/>
            </w:r>
          </w:hyperlink>
        </w:p>
        <w:p w14:paraId="344FDAE4" w14:textId="18BFD713" w:rsidR="00E53836" w:rsidRPr="00E53836" w:rsidRDefault="00E53836">
          <w:pPr>
            <w:pStyle w:val="TOC2"/>
            <w:tabs>
              <w:tab w:val="right" w:leader="dot" w:pos="8296"/>
            </w:tabs>
            <w:rPr>
              <w:rFonts w:ascii="Times New Roman" w:hAnsi="Times New Roman"/>
              <w:smallCaps w:val="0"/>
              <w:noProof/>
              <w:sz w:val="24"/>
              <w:szCs w:val="24"/>
              <w14:ligatures w14:val="standardContextual"/>
            </w:rPr>
          </w:pPr>
          <w:hyperlink w:anchor="_Toc216107061" w:history="1">
            <w:r w:rsidRPr="00E53836">
              <w:rPr>
                <w:rStyle w:val="aff3"/>
                <w:rFonts w:ascii="Times New Roman" w:hAnsi="Times New Roman"/>
                <w:noProof/>
                <w:sz w:val="24"/>
                <w:szCs w:val="24"/>
              </w:rPr>
              <w:t xml:space="preserve">5.5 </w:t>
            </w:r>
            <w:r w:rsidRPr="00E53836">
              <w:rPr>
                <w:rStyle w:val="aff3"/>
                <w:rFonts w:ascii="Times New Roman" w:hAnsi="Times New Roman"/>
                <w:noProof/>
                <w:sz w:val="24"/>
                <w:szCs w:val="24"/>
              </w:rPr>
              <w:t>生态风险评价</w:t>
            </w:r>
            <w:r w:rsidRPr="00E53836">
              <w:rPr>
                <w:rFonts w:ascii="Times New Roman" w:hAnsi="Times New Roman"/>
                <w:noProof/>
                <w:webHidden/>
                <w:sz w:val="24"/>
                <w:szCs w:val="24"/>
              </w:rPr>
              <w:tab/>
            </w:r>
            <w:r w:rsidRPr="00E53836">
              <w:rPr>
                <w:rFonts w:ascii="Times New Roman" w:hAnsi="Times New Roman"/>
                <w:noProof/>
                <w:webHidden/>
                <w:sz w:val="24"/>
                <w:szCs w:val="24"/>
              </w:rPr>
              <w:fldChar w:fldCharType="begin"/>
            </w:r>
            <w:r w:rsidRPr="00E53836">
              <w:rPr>
                <w:rFonts w:ascii="Times New Roman" w:hAnsi="Times New Roman"/>
                <w:noProof/>
                <w:webHidden/>
                <w:sz w:val="24"/>
                <w:szCs w:val="24"/>
              </w:rPr>
              <w:instrText xml:space="preserve"> PAGEREF _Toc216107061 \h </w:instrText>
            </w:r>
            <w:r w:rsidRPr="00E53836">
              <w:rPr>
                <w:rFonts w:ascii="Times New Roman" w:hAnsi="Times New Roman"/>
                <w:noProof/>
                <w:webHidden/>
                <w:sz w:val="24"/>
                <w:szCs w:val="24"/>
              </w:rPr>
            </w:r>
            <w:r w:rsidRPr="00E53836">
              <w:rPr>
                <w:rFonts w:ascii="Times New Roman" w:hAnsi="Times New Roman"/>
                <w:noProof/>
                <w:webHidden/>
                <w:sz w:val="24"/>
                <w:szCs w:val="24"/>
              </w:rPr>
              <w:fldChar w:fldCharType="separate"/>
            </w:r>
            <w:r w:rsidR="00F32CCA">
              <w:rPr>
                <w:rFonts w:ascii="Times New Roman" w:hAnsi="Times New Roman"/>
                <w:noProof/>
                <w:webHidden/>
                <w:sz w:val="24"/>
                <w:szCs w:val="24"/>
              </w:rPr>
              <w:t>229</w:t>
            </w:r>
            <w:r w:rsidRPr="00E53836">
              <w:rPr>
                <w:rFonts w:ascii="Times New Roman" w:hAnsi="Times New Roman"/>
                <w:noProof/>
                <w:webHidden/>
                <w:sz w:val="24"/>
                <w:szCs w:val="24"/>
              </w:rPr>
              <w:fldChar w:fldCharType="end"/>
            </w:r>
          </w:hyperlink>
        </w:p>
        <w:p w14:paraId="768D3AF9" w14:textId="38B8BC57" w:rsidR="00E53836" w:rsidRPr="00E53836" w:rsidRDefault="00E53836">
          <w:pPr>
            <w:pStyle w:val="TOC2"/>
            <w:tabs>
              <w:tab w:val="right" w:leader="dot" w:pos="8296"/>
            </w:tabs>
            <w:rPr>
              <w:rFonts w:ascii="Times New Roman" w:hAnsi="Times New Roman"/>
              <w:smallCaps w:val="0"/>
              <w:noProof/>
              <w:sz w:val="24"/>
              <w:szCs w:val="24"/>
              <w14:ligatures w14:val="standardContextual"/>
            </w:rPr>
          </w:pPr>
          <w:hyperlink w:anchor="_Toc216107062" w:history="1">
            <w:r w:rsidRPr="00E53836">
              <w:rPr>
                <w:rStyle w:val="aff3"/>
                <w:rFonts w:ascii="Times New Roman" w:hAnsi="Times New Roman"/>
                <w:noProof/>
                <w:sz w:val="24"/>
                <w:szCs w:val="24"/>
              </w:rPr>
              <w:t xml:space="preserve">5.6 </w:t>
            </w:r>
            <w:r w:rsidRPr="00E53836">
              <w:rPr>
                <w:rStyle w:val="aff3"/>
                <w:rFonts w:ascii="Times New Roman" w:hAnsi="Times New Roman"/>
                <w:noProof/>
                <w:sz w:val="24"/>
                <w:szCs w:val="24"/>
              </w:rPr>
              <w:t>资源环境承载状况评估</w:t>
            </w:r>
            <w:r w:rsidRPr="00E53836">
              <w:rPr>
                <w:rFonts w:ascii="Times New Roman" w:hAnsi="Times New Roman"/>
                <w:noProof/>
                <w:webHidden/>
                <w:sz w:val="24"/>
                <w:szCs w:val="24"/>
              </w:rPr>
              <w:tab/>
            </w:r>
            <w:r w:rsidRPr="00E53836">
              <w:rPr>
                <w:rFonts w:ascii="Times New Roman" w:hAnsi="Times New Roman"/>
                <w:noProof/>
                <w:webHidden/>
                <w:sz w:val="24"/>
                <w:szCs w:val="24"/>
              </w:rPr>
              <w:fldChar w:fldCharType="begin"/>
            </w:r>
            <w:r w:rsidRPr="00E53836">
              <w:rPr>
                <w:rFonts w:ascii="Times New Roman" w:hAnsi="Times New Roman"/>
                <w:noProof/>
                <w:webHidden/>
                <w:sz w:val="24"/>
                <w:szCs w:val="24"/>
              </w:rPr>
              <w:instrText xml:space="preserve"> PAGEREF _Toc216107062 \h </w:instrText>
            </w:r>
            <w:r w:rsidRPr="00E53836">
              <w:rPr>
                <w:rFonts w:ascii="Times New Roman" w:hAnsi="Times New Roman"/>
                <w:noProof/>
                <w:webHidden/>
                <w:sz w:val="24"/>
                <w:szCs w:val="24"/>
              </w:rPr>
            </w:r>
            <w:r w:rsidRPr="00E53836">
              <w:rPr>
                <w:rFonts w:ascii="Times New Roman" w:hAnsi="Times New Roman"/>
                <w:noProof/>
                <w:webHidden/>
                <w:sz w:val="24"/>
                <w:szCs w:val="24"/>
              </w:rPr>
              <w:fldChar w:fldCharType="separate"/>
            </w:r>
            <w:r w:rsidR="00F32CCA">
              <w:rPr>
                <w:rFonts w:ascii="Times New Roman" w:hAnsi="Times New Roman"/>
                <w:noProof/>
                <w:webHidden/>
                <w:sz w:val="24"/>
                <w:szCs w:val="24"/>
              </w:rPr>
              <w:t>234</w:t>
            </w:r>
            <w:r w:rsidRPr="00E53836">
              <w:rPr>
                <w:rFonts w:ascii="Times New Roman" w:hAnsi="Times New Roman"/>
                <w:noProof/>
                <w:webHidden/>
                <w:sz w:val="24"/>
                <w:szCs w:val="24"/>
              </w:rPr>
              <w:fldChar w:fldCharType="end"/>
            </w:r>
          </w:hyperlink>
        </w:p>
        <w:p w14:paraId="231C585C" w14:textId="7B48777F" w:rsidR="00E53836" w:rsidRPr="00E53836" w:rsidRDefault="00E53836">
          <w:pPr>
            <w:pStyle w:val="TOC3"/>
            <w:tabs>
              <w:tab w:val="right" w:leader="dot" w:pos="8296"/>
            </w:tabs>
            <w:rPr>
              <w:rFonts w:ascii="Times New Roman" w:hAnsi="Times New Roman"/>
              <w:i w:val="0"/>
              <w:iCs w:val="0"/>
              <w:noProof/>
              <w:sz w:val="24"/>
              <w:szCs w:val="24"/>
              <w14:ligatures w14:val="standardContextual"/>
            </w:rPr>
          </w:pPr>
          <w:hyperlink w:anchor="_Toc216107063" w:history="1">
            <w:r w:rsidRPr="00E53836">
              <w:rPr>
                <w:rStyle w:val="aff3"/>
                <w:rFonts w:ascii="Times New Roman" w:hAnsi="Times New Roman"/>
                <w:i w:val="0"/>
                <w:iCs w:val="0"/>
                <w:noProof/>
                <w:sz w:val="24"/>
                <w:szCs w:val="24"/>
              </w:rPr>
              <w:t xml:space="preserve">5.6.2 </w:t>
            </w:r>
            <w:r w:rsidRPr="00E53836">
              <w:rPr>
                <w:rStyle w:val="aff3"/>
                <w:rFonts w:ascii="Times New Roman" w:hAnsi="Times New Roman"/>
                <w:i w:val="0"/>
                <w:iCs w:val="0"/>
                <w:noProof/>
                <w:sz w:val="24"/>
                <w:szCs w:val="24"/>
              </w:rPr>
              <w:t>水环境承载力分析</w:t>
            </w:r>
            <w:r w:rsidRPr="00E53836">
              <w:rPr>
                <w:rFonts w:ascii="Times New Roman" w:hAnsi="Times New Roman"/>
                <w:i w:val="0"/>
                <w:iCs w:val="0"/>
                <w:noProof/>
                <w:webHidden/>
                <w:sz w:val="24"/>
                <w:szCs w:val="24"/>
              </w:rPr>
              <w:tab/>
            </w:r>
            <w:r w:rsidRPr="00E53836">
              <w:rPr>
                <w:rFonts w:ascii="Times New Roman" w:hAnsi="Times New Roman"/>
                <w:i w:val="0"/>
                <w:iCs w:val="0"/>
                <w:noProof/>
                <w:webHidden/>
                <w:sz w:val="24"/>
                <w:szCs w:val="24"/>
              </w:rPr>
              <w:fldChar w:fldCharType="begin"/>
            </w:r>
            <w:r w:rsidRPr="00E53836">
              <w:rPr>
                <w:rFonts w:ascii="Times New Roman" w:hAnsi="Times New Roman"/>
                <w:i w:val="0"/>
                <w:iCs w:val="0"/>
                <w:noProof/>
                <w:webHidden/>
                <w:sz w:val="24"/>
                <w:szCs w:val="24"/>
              </w:rPr>
              <w:instrText xml:space="preserve"> PAGEREF _Toc216107063 \h </w:instrText>
            </w:r>
            <w:r w:rsidRPr="00E53836">
              <w:rPr>
                <w:rFonts w:ascii="Times New Roman" w:hAnsi="Times New Roman"/>
                <w:i w:val="0"/>
                <w:iCs w:val="0"/>
                <w:noProof/>
                <w:webHidden/>
                <w:sz w:val="24"/>
                <w:szCs w:val="24"/>
              </w:rPr>
            </w:r>
            <w:r w:rsidRPr="00E53836">
              <w:rPr>
                <w:rFonts w:ascii="Times New Roman" w:hAnsi="Times New Roman"/>
                <w:i w:val="0"/>
                <w:iCs w:val="0"/>
                <w:noProof/>
                <w:webHidden/>
                <w:sz w:val="24"/>
                <w:szCs w:val="24"/>
              </w:rPr>
              <w:fldChar w:fldCharType="separate"/>
            </w:r>
            <w:r w:rsidR="00F32CCA">
              <w:rPr>
                <w:rFonts w:ascii="Times New Roman" w:hAnsi="Times New Roman"/>
                <w:i w:val="0"/>
                <w:iCs w:val="0"/>
                <w:noProof/>
                <w:webHidden/>
                <w:sz w:val="24"/>
                <w:szCs w:val="24"/>
              </w:rPr>
              <w:t>235</w:t>
            </w:r>
            <w:r w:rsidRPr="00E53836">
              <w:rPr>
                <w:rFonts w:ascii="Times New Roman" w:hAnsi="Times New Roman"/>
                <w:i w:val="0"/>
                <w:iCs w:val="0"/>
                <w:noProof/>
                <w:webHidden/>
                <w:sz w:val="24"/>
                <w:szCs w:val="24"/>
              </w:rPr>
              <w:fldChar w:fldCharType="end"/>
            </w:r>
          </w:hyperlink>
        </w:p>
        <w:p w14:paraId="117680E4" w14:textId="4AC17CF5" w:rsidR="00E53836" w:rsidRPr="00E53836" w:rsidRDefault="00E53836">
          <w:pPr>
            <w:pStyle w:val="TOC1"/>
            <w:tabs>
              <w:tab w:val="right" w:leader="dot" w:pos="8296"/>
            </w:tabs>
            <w:rPr>
              <w:rFonts w:ascii="Times New Roman" w:hAnsi="Times New Roman"/>
              <w:b w:val="0"/>
              <w:bCs w:val="0"/>
              <w:caps w:val="0"/>
              <w:noProof/>
              <w:sz w:val="24"/>
              <w:szCs w:val="24"/>
              <w14:ligatures w14:val="standardContextual"/>
            </w:rPr>
          </w:pPr>
          <w:hyperlink w:anchor="_Toc216107064" w:history="1">
            <w:r w:rsidRPr="00E53836">
              <w:rPr>
                <w:rStyle w:val="aff3"/>
                <w:rFonts w:ascii="Times New Roman" w:hAnsi="Times New Roman"/>
                <w:noProof/>
                <w:sz w:val="24"/>
                <w:szCs w:val="24"/>
              </w:rPr>
              <w:t xml:space="preserve">6 </w:t>
            </w:r>
            <w:r w:rsidRPr="00E53836">
              <w:rPr>
                <w:rStyle w:val="aff3"/>
                <w:rFonts w:ascii="Times New Roman" w:hAnsi="Times New Roman"/>
                <w:noProof/>
                <w:sz w:val="24"/>
                <w:szCs w:val="24"/>
              </w:rPr>
              <w:t>规划方案环境合理性论证和优化调整建议</w:t>
            </w:r>
            <w:r w:rsidRPr="00E53836">
              <w:rPr>
                <w:rFonts w:ascii="Times New Roman" w:hAnsi="Times New Roman"/>
                <w:noProof/>
                <w:webHidden/>
                <w:sz w:val="24"/>
                <w:szCs w:val="24"/>
              </w:rPr>
              <w:tab/>
            </w:r>
            <w:r w:rsidRPr="00E53836">
              <w:rPr>
                <w:rFonts w:ascii="Times New Roman" w:hAnsi="Times New Roman"/>
                <w:noProof/>
                <w:webHidden/>
                <w:sz w:val="24"/>
                <w:szCs w:val="24"/>
              </w:rPr>
              <w:fldChar w:fldCharType="begin"/>
            </w:r>
            <w:r w:rsidRPr="00E53836">
              <w:rPr>
                <w:rFonts w:ascii="Times New Roman" w:hAnsi="Times New Roman"/>
                <w:noProof/>
                <w:webHidden/>
                <w:sz w:val="24"/>
                <w:szCs w:val="24"/>
              </w:rPr>
              <w:instrText xml:space="preserve"> PAGEREF _Toc216107064 \h </w:instrText>
            </w:r>
            <w:r w:rsidRPr="00E53836">
              <w:rPr>
                <w:rFonts w:ascii="Times New Roman" w:hAnsi="Times New Roman"/>
                <w:noProof/>
                <w:webHidden/>
                <w:sz w:val="24"/>
                <w:szCs w:val="24"/>
              </w:rPr>
            </w:r>
            <w:r w:rsidRPr="00E53836">
              <w:rPr>
                <w:rFonts w:ascii="Times New Roman" w:hAnsi="Times New Roman"/>
                <w:noProof/>
                <w:webHidden/>
                <w:sz w:val="24"/>
                <w:szCs w:val="24"/>
              </w:rPr>
              <w:fldChar w:fldCharType="separate"/>
            </w:r>
            <w:r w:rsidR="00F32CCA">
              <w:rPr>
                <w:rFonts w:ascii="Times New Roman" w:hAnsi="Times New Roman"/>
                <w:noProof/>
                <w:webHidden/>
                <w:sz w:val="24"/>
                <w:szCs w:val="24"/>
              </w:rPr>
              <w:t>237</w:t>
            </w:r>
            <w:r w:rsidRPr="00E53836">
              <w:rPr>
                <w:rFonts w:ascii="Times New Roman" w:hAnsi="Times New Roman"/>
                <w:noProof/>
                <w:webHidden/>
                <w:sz w:val="24"/>
                <w:szCs w:val="24"/>
              </w:rPr>
              <w:fldChar w:fldCharType="end"/>
            </w:r>
          </w:hyperlink>
        </w:p>
        <w:p w14:paraId="0A3B588A" w14:textId="65E53D90" w:rsidR="00E53836" w:rsidRPr="00E53836" w:rsidRDefault="00E53836">
          <w:pPr>
            <w:pStyle w:val="TOC2"/>
            <w:tabs>
              <w:tab w:val="right" w:leader="dot" w:pos="8296"/>
            </w:tabs>
            <w:rPr>
              <w:rFonts w:ascii="Times New Roman" w:hAnsi="Times New Roman"/>
              <w:smallCaps w:val="0"/>
              <w:noProof/>
              <w:sz w:val="24"/>
              <w:szCs w:val="24"/>
              <w14:ligatures w14:val="standardContextual"/>
            </w:rPr>
          </w:pPr>
          <w:hyperlink w:anchor="_Toc216107065" w:history="1">
            <w:r w:rsidRPr="00E53836">
              <w:rPr>
                <w:rStyle w:val="aff3"/>
                <w:rFonts w:ascii="Times New Roman" w:hAnsi="Times New Roman"/>
                <w:noProof/>
                <w:sz w:val="24"/>
                <w:szCs w:val="24"/>
              </w:rPr>
              <w:t xml:space="preserve">6.1 </w:t>
            </w:r>
            <w:r w:rsidRPr="00E53836">
              <w:rPr>
                <w:rStyle w:val="aff3"/>
                <w:rFonts w:ascii="Times New Roman" w:hAnsi="Times New Roman"/>
                <w:noProof/>
                <w:sz w:val="24"/>
                <w:szCs w:val="24"/>
              </w:rPr>
              <w:t>规划方案环境合理性论证</w:t>
            </w:r>
            <w:r w:rsidRPr="00E53836">
              <w:rPr>
                <w:rFonts w:ascii="Times New Roman" w:hAnsi="Times New Roman"/>
                <w:noProof/>
                <w:webHidden/>
                <w:sz w:val="24"/>
                <w:szCs w:val="24"/>
              </w:rPr>
              <w:tab/>
            </w:r>
            <w:r w:rsidRPr="00E53836">
              <w:rPr>
                <w:rFonts w:ascii="Times New Roman" w:hAnsi="Times New Roman"/>
                <w:noProof/>
                <w:webHidden/>
                <w:sz w:val="24"/>
                <w:szCs w:val="24"/>
              </w:rPr>
              <w:fldChar w:fldCharType="begin"/>
            </w:r>
            <w:r w:rsidRPr="00E53836">
              <w:rPr>
                <w:rFonts w:ascii="Times New Roman" w:hAnsi="Times New Roman"/>
                <w:noProof/>
                <w:webHidden/>
                <w:sz w:val="24"/>
                <w:szCs w:val="24"/>
              </w:rPr>
              <w:instrText xml:space="preserve"> PAGEREF _Toc216107065 \h </w:instrText>
            </w:r>
            <w:r w:rsidRPr="00E53836">
              <w:rPr>
                <w:rFonts w:ascii="Times New Roman" w:hAnsi="Times New Roman"/>
                <w:noProof/>
                <w:webHidden/>
                <w:sz w:val="24"/>
                <w:szCs w:val="24"/>
              </w:rPr>
            </w:r>
            <w:r w:rsidRPr="00E53836">
              <w:rPr>
                <w:rFonts w:ascii="Times New Roman" w:hAnsi="Times New Roman"/>
                <w:noProof/>
                <w:webHidden/>
                <w:sz w:val="24"/>
                <w:szCs w:val="24"/>
              </w:rPr>
              <w:fldChar w:fldCharType="separate"/>
            </w:r>
            <w:r w:rsidR="00F32CCA">
              <w:rPr>
                <w:rFonts w:ascii="Times New Roman" w:hAnsi="Times New Roman"/>
                <w:noProof/>
                <w:webHidden/>
                <w:sz w:val="24"/>
                <w:szCs w:val="24"/>
              </w:rPr>
              <w:t>237</w:t>
            </w:r>
            <w:r w:rsidRPr="00E53836">
              <w:rPr>
                <w:rFonts w:ascii="Times New Roman" w:hAnsi="Times New Roman"/>
                <w:noProof/>
                <w:webHidden/>
                <w:sz w:val="24"/>
                <w:szCs w:val="24"/>
              </w:rPr>
              <w:fldChar w:fldCharType="end"/>
            </w:r>
          </w:hyperlink>
        </w:p>
        <w:p w14:paraId="21C051F8" w14:textId="55EB7975" w:rsidR="00E53836" w:rsidRPr="00E53836" w:rsidRDefault="00E53836">
          <w:pPr>
            <w:pStyle w:val="TOC2"/>
            <w:tabs>
              <w:tab w:val="right" w:leader="dot" w:pos="8296"/>
            </w:tabs>
            <w:rPr>
              <w:rFonts w:ascii="Times New Roman" w:hAnsi="Times New Roman"/>
              <w:smallCaps w:val="0"/>
              <w:noProof/>
              <w:sz w:val="24"/>
              <w:szCs w:val="24"/>
              <w14:ligatures w14:val="standardContextual"/>
            </w:rPr>
          </w:pPr>
          <w:hyperlink w:anchor="_Toc216107066" w:history="1">
            <w:r w:rsidRPr="00E53836">
              <w:rPr>
                <w:rStyle w:val="aff3"/>
                <w:rFonts w:ascii="Times New Roman" w:hAnsi="Times New Roman"/>
                <w:noProof/>
                <w:kern w:val="0"/>
                <w:sz w:val="24"/>
                <w:szCs w:val="24"/>
              </w:rPr>
              <w:t xml:space="preserve">6.2 </w:t>
            </w:r>
            <w:r w:rsidRPr="00E53836">
              <w:rPr>
                <w:rStyle w:val="aff3"/>
                <w:rFonts w:ascii="Times New Roman" w:hAnsi="Times New Roman"/>
                <w:noProof/>
                <w:kern w:val="0"/>
                <w:sz w:val="24"/>
                <w:szCs w:val="24"/>
              </w:rPr>
              <w:t>规划优化调整建议</w:t>
            </w:r>
            <w:r w:rsidRPr="00E53836">
              <w:rPr>
                <w:rFonts w:ascii="Times New Roman" w:hAnsi="Times New Roman"/>
                <w:noProof/>
                <w:webHidden/>
                <w:sz w:val="24"/>
                <w:szCs w:val="24"/>
              </w:rPr>
              <w:tab/>
            </w:r>
            <w:r w:rsidRPr="00E53836">
              <w:rPr>
                <w:rFonts w:ascii="Times New Roman" w:hAnsi="Times New Roman"/>
                <w:noProof/>
                <w:webHidden/>
                <w:sz w:val="24"/>
                <w:szCs w:val="24"/>
              </w:rPr>
              <w:fldChar w:fldCharType="begin"/>
            </w:r>
            <w:r w:rsidRPr="00E53836">
              <w:rPr>
                <w:rFonts w:ascii="Times New Roman" w:hAnsi="Times New Roman"/>
                <w:noProof/>
                <w:webHidden/>
                <w:sz w:val="24"/>
                <w:szCs w:val="24"/>
              </w:rPr>
              <w:instrText xml:space="preserve"> PAGEREF _Toc216107066 \h </w:instrText>
            </w:r>
            <w:r w:rsidRPr="00E53836">
              <w:rPr>
                <w:rFonts w:ascii="Times New Roman" w:hAnsi="Times New Roman"/>
                <w:noProof/>
                <w:webHidden/>
                <w:sz w:val="24"/>
                <w:szCs w:val="24"/>
              </w:rPr>
            </w:r>
            <w:r w:rsidRPr="00E53836">
              <w:rPr>
                <w:rFonts w:ascii="Times New Roman" w:hAnsi="Times New Roman"/>
                <w:noProof/>
                <w:webHidden/>
                <w:sz w:val="24"/>
                <w:szCs w:val="24"/>
              </w:rPr>
              <w:fldChar w:fldCharType="separate"/>
            </w:r>
            <w:r w:rsidR="00F32CCA">
              <w:rPr>
                <w:rFonts w:ascii="Times New Roman" w:hAnsi="Times New Roman"/>
                <w:noProof/>
                <w:webHidden/>
                <w:sz w:val="24"/>
                <w:szCs w:val="24"/>
              </w:rPr>
              <w:t>249</w:t>
            </w:r>
            <w:r w:rsidRPr="00E53836">
              <w:rPr>
                <w:rFonts w:ascii="Times New Roman" w:hAnsi="Times New Roman"/>
                <w:noProof/>
                <w:webHidden/>
                <w:sz w:val="24"/>
                <w:szCs w:val="24"/>
              </w:rPr>
              <w:fldChar w:fldCharType="end"/>
            </w:r>
          </w:hyperlink>
        </w:p>
        <w:p w14:paraId="6A155488" w14:textId="0FFA3935" w:rsidR="00E53836" w:rsidRPr="00E53836" w:rsidRDefault="00E53836">
          <w:pPr>
            <w:pStyle w:val="TOC1"/>
            <w:tabs>
              <w:tab w:val="right" w:leader="dot" w:pos="8296"/>
            </w:tabs>
            <w:rPr>
              <w:rFonts w:ascii="Times New Roman" w:hAnsi="Times New Roman"/>
              <w:b w:val="0"/>
              <w:bCs w:val="0"/>
              <w:caps w:val="0"/>
              <w:noProof/>
              <w:sz w:val="24"/>
              <w:szCs w:val="24"/>
              <w14:ligatures w14:val="standardContextual"/>
            </w:rPr>
          </w:pPr>
          <w:hyperlink w:anchor="_Toc216107067" w:history="1">
            <w:r w:rsidRPr="00E53836">
              <w:rPr>
                <w:rStyle w:val="aff3"/>
                <w:rFonts w:ascii="Times New Roman" w:hAnsi="Times New Roman"/>
                <w:noProof/>
                <w:sz w:val="24"/>
                <w:szCs w:val="24"/>
              </w:rPr>
              <w:t xml:space="preserve">7 </w:t>
            </w:r>
            <w:r w:rsidRPr="00E53836">
              <w:rPr>
                <w:rStyle w:val="aff3"/>
                <w:rFonts w:ascii="Times New Roman" w:hAnsi="Times New Roman"/>
                <w:noProof/>
                <w:sz w:val="24"/>
                <w:szCs w:val="24"/>
              </w:rPr>
              <w:t>环境影响减缓对策和措施</w:t>
            </w:r>
            <w:r w:rsidRPr="00E53836">
              <w:rPr>
                <w:rFonts w:ascii="Times New Roman" w:hAnsi="Times New Roman"/>
                <w:noProof/>
                <w:webHidden/>
                <w:sz w:val="24"/>
                <w:szCs w:val="24"/>
              </w:rPr>
              <w:tab/>
            </w:r>
            <w:r w:rsidRPr="00E53836">
              <w:rPr>
                <w:rFonts w:ascii="Times New Roman" w:hAnsi="Times New Roman"/>
                <w:noProof/>
                <w:webHidden/>
                <w:sz w:val="24"/>
                <w:szCs w:val="24"/>
              </w:rPr>
              <w:fldChar w:fldCharType="begin"/>
            </w:r>
            <w:r w:rsidRPr="00E53836">
              <w:rPr>
                <w:rFonts w:ascii="Times New Roman" w:hAnsi="Times New Roman"/>
                <w:noProof/>
                <w:webHidden/>
                <w:sz w:val="24"/>
                <w:szCs w:val="24"/>
              </w:rPr>
              <w:instrText xml:space="preserve"> PAGEREF _Toc216107067 \h </w:instrText>
            </w:r>
            <w:r w:rsidRPr="00E53836">
              <w:rPr>
                <w:rFonts w:ascii="Times New Roman" w:hAnsi="Times New Roman"/>
                <w:noProof/>
                <w:webHidden/>
                <w:sz w:val="24"/>
                <w:szCs w:val="24"/>
              </w:rPr>
            </w:r>
            <w:r w:rsidRPr="00E53836">
              <w:rPr>
                <w:rFonts w:ascii="Times New Roman" w:hAnsi="Times New Roman"/>
                <w:noProof/>
                <w:webHidden/>
                <w:sz w:val="24"/>
                <w:szCs w:val="24"/>
              </w:rPr>
              <w:fldChar w:fldCharType="separate"/>
            </w:r>
            <w:r w:rsidR="00F32CCA">
              <w:rPr>
                <w:rFonts w:ascii="Times New Roman" w:hAnsi="Times New Roman"/>
                <w:noProof/>
                <w:webHidden/>
                <w:sz w:val="24"/>
                <w:szCs w:val="24"/>
              </w:rPr>
              <w:t>252</w:t>
            </w:r>
            <w:r w:rsidRPr="00E53836">
              <w:rPr>
                <w:rFonts w:ascii="Times New Roman" w:hAnsi="Times New Roman"/>
                <w:noProof/>
                <w:webHidden/>
                <w:sz w:val="24"/>
                <w:szCs w:val="24"/>
              </w:rPr>
              <w:fldChar w:fldCharType="end"/>
            </w:r>
          </w:hyperlink>
        </w:p>
        <w:p w14:paraId="4F58E383" w14:textId="53BC87E0" w:rsidR="00E53836" w:rsidRPr="00E53836" w:rsidRDefault="00E53836">
          <w:pPr>
            <w:pStyle w:val="TOC2"/>
            <w:tabs>
              <w:tab w:val="right" w:leader="dot" w:pos="8296"/>
            </w:tabs>
            <w:rPr>
              <w:rFonts w:ascii="Times New Roman" w:hAnsi="Times New Roman"/>
              <w:smallCaps w:val="0"/>
              <w:noProof/>
              <w:sz w:val="24"/>
              <w:szCs w:val="24"/>
              <w14:ligatures w14:val="standardContextual"/>
            </w:rPr>
          </w:pPr>
          <w:hyperlink w:anchor="_Toc216107068" w:history="1">
            <w:r w:rsidRPr="00E53836">
              <w:rPr>
                <w:rStyle w:val="aff3"/>
                <w:rFonts w:ascii="Times New Roman" w:hAnsi="Times New Roman"/>
                <w:noProof/>
                <w:sz w:val="24"/>
                <w:szCs w:val="24"/>
              </w:rPr>
              <w:t xml:space="preserve">7.1 </w:t>
            </w:r>
            <w:r w:rsidRPr="00E53836">
              <w:rPr>
                <w:rStyle w:val="aff3"/>
                <w:rFonts w:ascii="Times New Roman" w:hAnsi="Times New Roman"/>
                <w:noProof/>
                <w:sz w:val="24"/>
                <w:szCs w:val="24"/>
              </w:rPr>
              <w:t>流域生态环境管控</w:t>
            </w:r>
            <w:r w:rsidRPr="00E53836">
              <w:rPr>
                <w:rFonts w:ascii="Times New Roman" w:hAnsi="Times New Roman"/>
                <w:noProof/>
                <w:webHidden/>
                <w:sz w:val="24"/>
                <w:szCs w:val="24"/>
              </w:rPr>
              <w:tab/>
            </w:r>
            <w:r w:rsidRPr="00E53836">
              <w:rPr>
                <w:rFonts w:ascii="Times New Roman" w:hAnsi="Times New Roman"/>
                <w:noProof/>
                <w:webHidden/>
                <w:sz w:val="24"/>
                <w:szCs w:val="24"/>
              </w:rPr>
              <w:fldChar w:fldCharType="begin"/>
            </w:r>
            <w:r w:rsidRPr="00E53836">
              <w:rPr>
                <w:rFonts w:ascii="Times New Roman" w:hAnsi="Times New Roman"/>
                <w:noProof/>
                <w:webHidden/>
                <w:sz w:val="24"/>
                <w:szCs w:val="24"/>
              </w:rPr>
              <w:instrText xml:space="preserve"> PAGEREF _Toc216107068 \h </w:instrText>
            </w:r>
            <w:r w:rsidRPr="00E53836">
              <w:rPr>
                <w:rFonts w:ascii="Times New Roman" w:hAnsi="Times New Roman"/>
                <w:noProof/>
                <w:webHidden/>
                <w:sz w:val="24"/>
                <w:szCs w:val="24"/>
              </w:rPr>
            </w:r>
            <w:r w:rsidRPr="00E53836">
              <w:rPr>
                <w:rFonts w:ascii="Times New Roman" w:hAnsi="Times New Roman"/>
                <w:noProof/>
                <w:webHidden/>
                <w:sz w:val="24"/>
                <w:szCs w:val="24"/>
              </w:rPr>
              <w:fldChar w:fldCharType="separate"/>
            </w:r>
            <w:r w:rsidR="00F32CCA">
              <w:rPr>
                <w:rFonts w:ascii="Times New Roman" w:hAnsi="Times New Roman"/>
                <w:noProof/>
                <w:webHidden/>
                <w:sz w:val="24"/>
                <w:szCs w:val="24"/>
              </w:rPr>
              <w:t>252</w:t>
            </w:r>
            <w:r w:rsidRPr="00E53836">
              <w:rPr>
                <w:rFonts w:ascii="Times New Roman" w:hAnsi="Times New Roman"/>
                <w:noProof/>
                <w:webHidden/>
                <w:sz w:val="24"/>
                <w:szCs w:val="24"/>
              </w:rPr>
              <w:fldChar w:fldCharType="end"/>
            </w:r>
          </w:hyperlink>
        </w:p>
        <w:p w14:paraId="201CE6F8" w14:textId="09480DD8" w:rsidR="00E53836" w:rsidRPr="00E53836" w:rsidRDefault="00E53836">
          <w:pPr>
            <w:pStyle w:val="TOC3"/>
            <w:tabs>
              <w:tab w:val="right" w:leader="dot" w:pos="8296"/>
            </w:tabs>
            <w:rPr>
              <w:rFonts w:ascii="Times New Roman" w:hAnsi="Times New Roman"/>
              <w:i w:val="0"/>
              <w:iCs w:val="0"/>
              <w:noProof/>
              <w:sz w:val="24"/>
              <w:szCs w:val="24"/>
              <w14:ligatures w14:val="standardContextual"/>
            </w:rPr>
          </w:pPr>
          <w:hyperlink w:anchor="_Toc216107069" w:history="1">
            <w:r w:rsidRPr="00E53836">
              <w:rPr>
                <w:rStyle w:val="aff3"/>
                <w:rFonts w:ascii="Times New Roman" w:hAnsi="Times New Roman"/>
                <w:i w:val="0"/>
                <w:iCs w:val="0"/>
                <w:noProof/>
                <w:sz w:val="24"/>
                <w:szCs w:val="24"/>
              </w:rPr>
              <w:t xml:space="preserve">7.1.1 </w:t>
            </w:r>
            <w:r w:rsidRPr="00E53836">
              <w:rPr>
                <w:rStyle w:val="aff3"/>
                <w:rFonts w:ascii="Times New Roman" w:hAnsi="Times New Roman"/>
                <w:i w:val="0"/>
                <w:iCs w:val="0"/>
                <w:noProof/>
                <w:sz w:val="24"/>
                <w:szCs w:val="24"/>
              </w:rPr>
              <w:t>流域生态环境管控总体要求</w:t>
            </w:r>
            <w:r w:rsidRPr="00E53836">
              <w:rPr>
                <w:rFonts w:ascii="Times New Roman" w:hAnsi="Times New Roman"/>
                <w:i w:val="0"/>
                <w:iCs w:val="0"/>
                <w:noProof/>
                <w:webHidden/>
                <w:sz w:val="24"/>
                <w:szCs w:val="24"/>
              </w:rPr>
              <w:tab/>
            </w:r>
            <w:r w:rsidRPr="00E53836">
              <w:rPr>
                <w:rFonts w:ascii="Times New Roman" w:hAnsi="Times New Roman"/>
                <w:i w:val="0"/>
                <w:iCs w:val="0"/>
                <w:noProof/>
                <w:webHidden/>
                <w:sz w:val="24"/>
                <w:szCs w:val="24"/>
              </w:rPr>
              <w:fldChar w:fldCharType="begin"/>
            </w:r>
            <w:r w:rsidRPr="00E53836">
              <w:rPr>
                <w:rFonts w:ascii="Times New Roman" w:hAnsi="Times New Roman"/>
                <w:i w:val="0"/>
                <w:iCs w:val="0"/>
                <w:noProof/>
                <w:webHidden/>
                <w:sz w:val="24"/>
                <w:szCs w:val="24"/>
              </w:rPr>
              <w:instrText xml:space="preserve"> PAGEREF _Toc216107069 \h </w:instrText>
            </w:r>
            <w:r w:rsidRPr="00E53836">
              <w:rPr>
                <w:rFonts w:ascii="Times New Roman" w:hAnsi="Times New Roman"/>
                <w:i w:val="0"/>
                <w:iCs w:val="0"/>
                <w:noProof/>
                <w:webHidden/>
                <w:sz w:val="24"/>
                <w:szCs w:val="24"/>
              </w:rPr>
            </w:r>
            <w:r w:rsidRPr="00E53836">
              <w:rPr>
                <w:rFonts w:ascii="Times New Roman" w:hAnsi="Times New Roman"/>
                <w:i w:val="0"/>
                <w:iCs w:val="0"/>
                <w:noProof/>
                <w:webHidden/>
                <w:sz w:val="24"/>
                <w:szCs w:val="24"/>
              </w:rPr>
              <w:fldChar w:fldCharType="separate"/>
            </w:r>
            <w:r w:rsidR="00F32CCA">
              <w:rPr>
                <w:rFonts w:ascii="Times New Roman" w:hAnsi="Times New Roman"/>
                <w:i w:val="0"/>
                <w:iCs w:val="0"/>
                <w:noProof/>
                <w:webHidden/>
                <w:sz w:val="24"/>
                <w:szCs w:val="24"/>
              </w:rPr>
              <w:t>252</w:t>
            </w:r>
            <w:r w:rsidRPr="00E53836">
              <w:rPr>
                <w:rFonts w:ascii="Times New Roman" w:hAnsi="Times New Roman"/>
                <w:i w:val="0"/>
                <w:iCs w:val="0"/>
                <w:noProof/>
                <w:webHidden/>
                <w:sz w:val="24"/>
                <w:szCs w:val="24"/>
              </w:rPr>
              <w:fldChar w:fldCharType="end"/>
            </w:r>
          </w:hyperlink>
        </w:p>
        <w:p w14:paraId="0FD56B6C" w14:textId="56BDAB8C" w:rsidR="00E53836" w:rsidRPr="00E53836" w:rsidRDefault="00E53836">
          <w:pPr>
            <w:pStyle w:val="TOC3"/>
            <w:tabs>
              <w:tab w:val="right" w:leader="dot" w:pos="8296"/>
            </w:tabs>
            <w:rPr>
              <w:rFonts w:ascii="Times New Roman" w:hAnsi="Times New Roman"/>
              <w:i w:val="0"/>
              <w:iCs w:val="0"/>
              <w:noProof/>
              <w:sz w:val="24"/>
              <w:szCs w:val="24"/>
              <w14:ligatures w14:val="standardContextual"/>
            </w:rPr>
          </w:pPr>
          <w:hyperlink w:anchor="_Toc216107070" w:history="1">
            <w:r w:rsidRPr="00E53836">
              <w:rPr>
                <w:rStyle w:val="aff3"/>
                <w:rFonts w:ascii="Times New Roman" w:hAnsi="Times New Roman"/>
                <w:i w:val="0"/>
                <w:iCs w:val="0"/>
                <w:noProof/>
                <w:sz w:val="24"/>
                <w:szCs w:val="24"/>
              </w:rPr>
              <w:t xml:space="preserve">7.1.2 </w:t>
            </w:r>
            <w:r w:rsidRPr="00E53836">
              <w:rPr>
                <w:rStyle w:val="aff3"/>
                <w:rFonts w:ascii="Times New Roman" w:hAnsi="Times New Roman"/>
                <w:i w:val="0"/>
                <w:iCs w:val="0"/>
                <w:noProof/>
                <w:sz w:val="24"/>
                <w:szCs w:val="24"/>
              </w:rPr>
              <w:t>流域</w:t>
            </w:r>
            <w:r w:rsidRPr="00E53836">
              <w:rPr>
                <w:rStyle w:val="aff3"/>
                <w:rFonts w:ascii="Times New Roman" w:hAnsi="Times New Roman"/>
                <w:i w:val="0"/>
                <w:iCs w:val="0"/>
                <w:noProof/>
                <w:sz w:val="24"/>
                <w:szCs w:val="24"/>
              </w:rPr>
              <w:t>“</w:t>
            </w:r>
            <w:r w:rsidRPr="00E53836">
              <w:rPr>
                <w:rStyle w:val="aff3"/>
                <w:rFonts w:ascii="Times New Roman" w:hAnsi="Times New Roman"/>
                <w:i w:val="0"/>
                <w:iCs w:val="0"/>
                <w:noProof/>
                <w:sz w:val="24"/>
                <w:szCs w:val="24"/>
              </w:rPr>
              <w:t>三线一单</w:t>
            </w:r>
            <w:r w:rsidRPr="00E53836">
              <w:rPr>
                <w:rStyle w:val="aff3"/>
                <w:rFonts w:ascii="Times New Roman" w:hAnsi="Times New Roman"/>
                <w:i w:val="0"/>
                <w:iCs w:val="0"/>
                <w:noProof/>
                <w:sz w:val="24"/>
                <w:szCs w:val="24"/>
              </w:rPr>
              <w:t>”</w:t>
            </w:r>
            <w:r w:rsidRPr="00E53836">
              <w:rPr>
                <w:rStyle w:val="aff3"/>
                <w:rFonts w:ascii="Times New Roman" w:hAnsi="Times New Roman"/>
                <w:i w:val="0"/>
                <w:iCs w:val="0"/>
                <w:noProof/>
                <w:sz w:val="24"/>
                <w:szCs w:val="24"/>
              </w:rPr>
              <w:t>管控要求</w:t>
            </w:r>
            <w:r w:rsidRPr="00E53836">
              <w:rPr>
                <w:rFonts w:ascii="Times New Roman" w:hAnsi="Times New Roman"/>
                <w:i w:val="0"/>
                <w:iCs w:val="0"/>
                <w:noProof/>
                <w:webHidden/>
                <w:sz w:val="24"/>
                <w:szCs w:val="24"/>
              </w:rPr>
              <w:tab/>
            </w:r>
            <w:r w:rsidRPr="00E53836">
              <w:rPr>
                <w:rFonts w:ascii="Times New Roman" w:hAnsi="Times New Roman"/>
                <w:i w:val="0"/>
                <w:iCs w:val="0"/>
                <w:noProof/>
                <w:webHidden/>
                <w:sz w:val="24"/>
                <w:szCs w:val="24"/>
              </w:rPr>
              <w:fldChar w:fldCharType="begin"/>
            </w:r>
            <w:r w:rsidRPr="00E53836">
              <w:rPr>
                <w:rFonts w:ascii="Times New Roman" w:hAnsi="Times New Roman"/>
                <w:i w:val="0"/>
                <w:iCs w:val="0"/>
                <w:noProof/>
                <w:webHidden/>
                <w:sz w:val="24"/>
                <w:szCs w:val="24"/>
              </w:rPr>
              <w:instrText xml:space="preserve"> PAGEREF _Toc216107070 \h </w:instrText>
            </w:r>
            <w:r w:rsidRPr="00E53836">
              <w:rPr>
                <w:rFonts w:ascii="Times New Roman" w:hAnsi="Times New Roman"/>
                <w:i w:val="0"/>
                <w:iCs w:val="0"/>
                <w:noProof/>
                <w:webHidden/>
                <w:sz w:val="24"/>
                <w:szCs w:val="24"/>
              </w:rPr>
            </w:r>
            <w:r w:rsidRPr="00E53836">
              <w:rPr>
                <w:rFonts w:ascii="Times New Roman" w:hAnsi="Times New Roman"/>
                <w:i w:val="0"/>
                <w:iCs w:val="0"/>
                <w:noProof/>
                <w:webHidden/>
                <w:sz w:val="24"/>
                <w:szCs w:val="24"/>
              </w:rPr>
              <w:fldChar w:fldCharType="separate"/>
            </w:r>
            <w:r w:rsidR="00F32CCA">
              <w:rPr>
                <w:rFonts w:ascii="Times New Roman" w:hAnsi="Times New Roman"/>
                <w:i w:val="0"/>
                <w:iCs w:val="0"/>
                <w:noProof/>
                <w:webHidden/>
                <w:sz w:val="24"/>
                <w:szCs w:val="24"/>
              </w:rPr>
              <w:t>253</w:t>
            </w:r>
            <w:r w:rsidRPr="00E53836">
              <w:rPr>
                <w:rFonts w:ascii="Times New Roman" w:hAnsi="Times New Roman"/>
                <w:i w:val="0"/>
                <w:iCs w:val="0"/>
                <w:noProof/>
                <w:webHidden/>
                <w:sz w:val="24"/>
                <w:szCs w:val="24"/>
              </w:rPr>
              <w:fldChar w:fldCharType="end"/>
            </w:r>
          </w:hyperlink>
        </w:p>
        <w:p w14:paraId="0986D1F9" w14:textId="3579A020" w:rsidR="00E53836" w:rsidRPr="00E53836" w:rsidRDefault="00E53836">
          <w:pPr>
            <w:pStyle w:val="TOC2"/>
            <w:tabs>
              <w:tab w:val="right" w:leader="dot" w:pos="8296"/>
            </w:tabs>
            <w:rPr>
              <w:rFonts w:ascii="Times New Roman" w:hAnsi="Times New Roman"/>
              <w:smallCaps w:val="0"/>
              <w:noProof/>
              <w:sz w:val="24"/>
              <w:szCs w:val="24"/>
              <w14:ligatures w14:val="standardContextual"/>
            </w:rPr>
          </w:pPr>
          <w:hyperlink w:anchor="_Toc216107071" w:history="1">
            <w:r w:rsidRPr="00E53836">
              <w:rPr>
                <w:rStyle w:val="aff3"/>
                <w:rFonts w:ascii="Times New Roman" w:hAnsi="Times New Roman"/>
                <w:noProof/>
                <w:sz w:val="24"/>
                <w:szCs w:val="24"/>
              </w:rPr>
              <w:t xml:space="preserve">7.2 </w:t>
            </w:r>
            <w:r w:rsidRPr="00E53836">
              <w:rPr>
                <w:rStyle w:val="aff3"/>
                <w:rFonts w:ascii="Times New Roman" w:hAnsi="Times New Roman"/>
                <w:noProof/>
                <w:sz w:val="24"/>
                <w:szCs w:val="24"/>
              </w:rPr>
              <w:t>水环境保护对策措施</w:t>
            </w:r>
            <w:r w:rsidRPr="00E53836">
              <w:rPr>
                <w:rFonts w:ascii="Times New Roman" w:hAnsi="Times New Roman"/>
                <w:noProof/>
                <w:webHidden/>
                <w:sz w:val="24"/>
                <w:szCs w:val="24"/>
              </w:rPr>
              <w:tab/>
            </w:r>
            <w:r w:rsidRPr="00E53836">
              <w:rPr>
                <w:rFonts w:ascii="Times New Roman" w:hAnsi="Times New Roman"/>
                <w:noProof/>
                <w:webHidden/>
                <w:sz w:val="24"/>
                <w:szCs w:val="24"/>
              </w:rPr>
              <w:fldChar w:fldCharType="begin"/>
            </w:r>
            <w:r w:rsidRPr="00E53836">
              <w:rPr>
                <w:rFonts w:ascii="Times New Roman" w:hAnsi="Times New Roman"/>
                <w:noProof/>
                <w:webHidden/>
                <w:sz w:val="24"/>
                <w:szCs w:val="24"/>
              </w:rPr>
              <w:instrText xml:space="preserve"> PAGEREF _Toc216107071 \h </w:instrText>
            </w:r>
            <w:r w:rsidRPr="00E53836">
              <w:rPr>
                <w:rFonts w:ascii="Times New Roman" w:hAnsi="Times New Roman"/>
                <w:noProof/>
                <w:webHidden/>
                <w:sz w:val="24"/>
                <w:szCs w:val="24"/>
              </w:rPr>
            </w:r>
            <w:r w:rsidRPr="00E53836">
              <w:rPr>
                <w:rFonts w:ascii="Times New Roman" w:hAnsi="Times New Roman"/>
                <w:noProof/>
                <w:webHidden/>
                <w:sz w:val="24"/>
                <w:szCs w:val="24"/>
              </w:rPr>
              <w:fldChar w:fldCharType="separate"/>
            </w:r>
            <w:r w:rsidR="00F32CCA">
              <w:rPr>
                <w:rFonts w:ascii="Times New Roman" w:hAnsi="Times New Roman"/>
                <w:noProof/>
                <w:webHidden/>
                <w:sz w:val="24"/>
                <w:szCs w:val="24"/>
              </w:rPr>
              <w:t>255</w:t>
            </w:r>
            <w:r w:rsidRPr="00E53836">
              <w:rPr>
                <w:rFonts w:ascii="Times New Roman" w:hAnsi="Times New Roman"/>
                <w:noProof/>
                <w:webHidden/>
                <w:sz w:val="24"/>
                <w:szCs w:val="24"/>
              </w:rPr>
              <w:fldChar w:fldCharType="end"/>
            </w:r>
          </w:hyperlink>
        </w:p>
        <w:p w14:paraId="1431F8BA" w14:textId="3778EE55" w:rsidR="00E53836" w:rsidRPr="00E53836" w:rsidRDefault="00E53836">
          <w:pPr>
            <w:pStyle w:val="TOC3"/>
            <w:tabs>
              <w:tab w:val="right" w:leader="dot" w:pos="8296"/>
            </w:tabs>
            <w:rPr>
              <w:rFonts w:ascii="Times New Roman" w:hAnsi="Times New Roman"/>
              <w:i w:val="0"/>
              <w:iCs w:val="0"/>
              <w:noProof/>
              <w:sz w:val="24"/>
              <w:szCs w:val="24"/>
              <w14:ligatures w14:val="standardContextual"/>
            </w:rPr>
          </w:pPr>
          <w:hyperlink w:anchor="_Toc216107072" w:history="1">
            <w:r w:rsidRPr="00E53836">
              <w:rPr>
                <w:rStyle w:val="aff3"/>
                <w:rFonts w:ascii="Times New Roman" w:hAnsi="Times New Roman"/>
                <w:i w:val="0"/>
                <w:iCs w:val="0"/>
                <w:noProof/>
                <w:sz w:val="24"/>
                <w:szCs w:val="24"/>
              </w:rPr>
              <w:t xml:space="preserve">7.2.1 </w:t>
            </w:r>
            <w:r w:rsidRPr="00E53836">
              <w:rPr>
                <w:rStyle w:val="aff3"/>
                <w:rFonts w:ascii="Times New Roman" w:hAnsi="Times New Roman"/>
                <w:i w:val="0"/>
                <w:iCs w:val="0"/>
                <w:noProof/>
                <w:sz w:val="24"/>
                <w:szCs w:val="24"/>
              </w:rPr>
              <w:t>水质影响减缓措施</w:t>
            </w:r>
            <w:r w:rsidRPr="00E53836">
              <w:rPr>
                <w:rFonts w:ascii="Times New Roman" w:hAnsi="Times New Roman"/>
                <w:i w:val="0"/>
                <w:iCs w:val="0"/>
                <w:noProof/>
                <w:webHidden/>
                <w:sz w:val="24"/>
                <w:szCs w:val="24"/>
              </w:rPr>
              <w:tab/>
            </w:r>
            <w:r w:rsidRPr="00E53836">
              <w:rPr>
                <w:rFonts w:ascii="Times New Roman" w:hAnsi="Times New Roman"/>
                <w:i w:val="0"/>
                <w:iCs w:val="0"/>
                <w:noProof/>
                <w:webHidden/>
                <w:sz w:val="24"/>
                <w:szCs w:val="24"/>
              </w:rPr>
              <w:fldChar w:fldCharType="begin"/>
            </w:r>
            <w:r w:rsidRPr="00E53836">
              <w:rPr>
                <w:rFonts w:ascii="Times New Roman" w:hAnsi="Times New Roman"/>
                <w:i w:val="0"/>
                <w:iCs w:val="0"/>
                <w:noProof/>
                <w:webHidden/>
                <w:sz w:val="24"/>
                <w:szCs w:val="24"/>
              </w:rPr>
              <w:instrText xml:space="preserve"> PAGEREF _Toc216107072 \h </w:instrText>
            </w:r>
            <w:r w:rsidRPr="00E53836">
              <w:rPr>
                <w:rFonts w:ascii="Times New Roman" w:hAnsi="Times New Roman"/>
                <w:i w:val="0"/>
                <w:iCs w:val="0"/>
                <w:noProof/>
                <w:webHidden/>
                <w:sz w:val="24"/>
                <w:szCs w:val="24"/>
              </w:rPr>
            </w:r>
            <w:r w:rsidRPr="00E53836">
              <w:rPr>
                <w:rFonts w:ascii="Times New Roman" w:hAnsi="Times New Roman"/>
                <w:i w:val="0"/>
                <w:iCs w:val="0"/>
                <w:noProof/>
                <w:webHidden/>
                <w:sz w:val="24"/>
                <w:szCs w:val="24"/>
              </w:rPr>
              <w:fldChar w:fldCharType="separate"/>
            </w:r>
            <w:r w:rsidR="00F32CCA">
              <w:rPr>
                <w:rFonts w:ascii="Times New Roman" w:hAnsi="Times New Roman"/>
                <w:i w:val="0"/>
                <w:iCs w:val="0"/>
                <w:noProof/>
                <w:webHidden/>
                <w:sz w:val="24"/>
                <w:szCs w:val="24"/>
              </w:rPr>
              <w:t>255</w:t>
            </w:r>
            <w:r w:rsidRPr="00E53836">
              <w:rPr>
                <w:rFonts w:ascii="Times New Roman" w:hAnsi="Times New Roman"/>
                <w:i w:val="0"/>
                <w:iCs w:val="0"/>
                <w:noProof/>
                <w:webHidden/>
                <w:sz w:val="24"/>
                <w:szCs w:val="24"/>
              </w:rPr>
              <w:fldChar w:fldCharType="end"/>
            </w:r>
          </w:hyperlink>
        </w:p>
        <w:p w14:paraId="5C1FC50B" w14:textId="279A3DEE" w:rsidR="00E53836" w:rsidRPr="00E53836" w:rsidRDefault="00E53836">
          <w:pPr>
            <w:pStyle w:val="TOC3"/>
            <w:tabs>
              <w:tab w:val="right" w:leader="dot" w:pos="8296"/>
            </w:tabs>
            <w:rPr>
              <w:rFonts w:ascii="Times New Roman" w:hAnsi="Times New Roman"/>
              <w:i w:val="0"/>
              <w:iCs w:val="0"/>
              <w:noProof/>
              <w:sz w:val="24"/>
              <w:szCs w:val="24"/>
              <w14:ligatures w14:val="standardContextual"/>
            </w:rPr>
          </w:pPr>
          <w:hyperlink w:anchor="_Toc216107073" w:history="1">
            <w:r w:rsidRPr="00E53836">
              <w:rPr>
                <w:rStyle w:val="aff3"/>
                <w:rFonts w:ascii="Times New Roman" w:hAnsi="Times New Roman"/>
                <w:i w:val="0"/>
                <w:iCs w:val="0"/>
                <w:noProof/>
                <w:sz w:val="24"/>
                <w:szCs w:val="24"/>
              </w:rPr>
              <w:t xml:space="preserve">7.2.2 </w:t>
            </w:r>
            <w:r w:rsidRPr="00E53836">
              <w:rPr>
                <w:rStyle w:val="aff3"/>
                <w:rFonts w:ascii="Times New Roman" w:hAnsi="Times New Roman"/>
                <w:i w:val="0"/>
                <w:iCs w:val="0"/>
                <w:noProof/>
                <w:sz w:val="24"/>
                <w:szCs w:val="24"/>
              </w:rPr>
              <w:t>饮用水水源地保护措施</w:t>
            </w:r>
            <w:r w:rsidRPr="00E53836">
              <w:rPr>
                <w:rFonts w:ascii="Times New Roman" w:hAnsi="Times New Roman"/>
                <w:i w:val="0"/>
                <w:iCs w:val="0"/>
                <w:noProof/>
                <w:webHidden/>
                <w:sz w:val="24"/>
                <w:szCs w:val="24"/>
              </w:rPr>
              <w:tab/>
            </w:r>
            <w:r w:rsidRPr="00E53836">
              <w:rPr>
                <w:rFonts w:ascii="Times New Roman" w:hAnsi="Times New Roman"/>
                <w:i w:val="0"/>
                <w:iCs w:val="0"/>
                <w:noProof/>
                <w:webHidden/>
                <w:sz w:val="24"/>
                <w:szCs w:val="24"/>
              </w:rPr>
              <w:fldChar w:fldCharType="begin"/>
            </w:r>
            <w:r w:rsidRPr="00E53836">
              <w:rPr>
                <w:rFonts w:ascii="Times New Roman" w:hAnsi="Times New Roman"/>
                <w:i w:val="0"/>
                <w:iCs w:val="0"/>
                <w:noProof/>
                <w:webHidden/>
                <w:sz w:val="24"/>
                <w:szCs w:val="24"/>
              </w:rPr>
              <w:instrText xml:space="preserve"> PAGEREF _Toc216107073 \h </w:instrText>
            </w:r>
            <w:r w:rsidRPr="00E53836">
              <w:rPr>
                <w:rFonts w:ascii="Times New Roman" w:hAnsi="Times New Roman"/>
                <w:i w:val="0"/>
                <w:iCs w:val="0"/>
                <w:noProof/>
                <w:webHidden/>
                <w:sz w:val="24"/>
                <w:szCs w:val="24"/>
              </w:rPr>
            </w:r>
            <w:r w:rsidRPr="00E53836">
              <w:rPr>
                <w:rFonts w:ascii="Times New Roman" w:hAnsi="Times New Roman"/>
                <w:i w:val="0"/>
                <w:iCs w:val="0"/>
                <w:noProof/>
                <w:webHidden/>
                <w:sz w:val="24"/>
                <w:szCs w:val="24"/>
              </w:rPr>
              <w:fldChar w:fldCharType="separate"/>
            </w:r>
            <w:r w:rsidR="00F32CCA">
              <w:rPr>
                <w:rFonts w:ascii="Times New Roman" w:hAnsi="Times New Roman"/>
                <w:i w:val="0"/>
                <w:iCs w:val="0"/>
                <w:noProof/>
                <w:webHidden/>
                <w:sz w:val="24"/>
                <w:szCs w:val="24"/>
              </w:rPr>
              <w:t>255</w:t>
            </w:r>
            <w:r w:rsidRPr="00E53836">
              <w:rPr>
                <w:rFonts w:ascii="Times New Roman" w:hAnsi="Times New Roman"/>
                <w:i w:val="0"/>
                <w:iCs w:val="0"/>
                <w:noProof/>
                <w:webHidden/>
                <w:sz w:val="24"/>
                <w:szCs w:val="24"/>
              </w:rPr>
              <w:fldChar w:fldCharType="end"/>
            </w:r>
          </w:hyperlink>
        </w:p>
        <w:p w14:paraId="49D73028" w14:textId="28877F40" w:rsidR="00E53836" w:rsidRPr="00E53836" w:rsidRDefault="00E53836">
          <w:pPr>
            <w:pStyle w:val="TOC3"/>
            <w:tabs>
              <w:tab w:val="right" w:leader="dot" w:pos="8296"/>
            </w:tabs>
            <w:rPr>
              <w:rFonts w:ascii="Times New Roman" w:hAnsi="Times New Roman"/>
              <w:i w:val="0"/>
              <w:iCs w:val="0"/>
              <w:noProof/>
              <w:sz w:val="24"/>
              <w:szCs w:val="24"/>
              <w14:ligatures w14:val="standardContextual"/>
            </w:rPr>
          </w:pPr>
          <w:hyperlink w:anchor="_Toc216107074" w:history="1">
            <w:r w:rsidRPr="00E53836">
              <w:rPr>
                <w:rStyle w:val="aff3"/>
                <w:rFonts w:ascii="Times New Roman" w:hAnsi="Times New Roman"/>
                <w:i w:val="0"/>
                <w:iCs w:val="0"/>
                <w:noProof/>
                <w:sz w:val="24"/>
                <w:szCs w:val="24"/>
              </w:rPr>
              <w:t xml:space="preserve">7.2.3 </w:t>
            </w:r>
            <w:r w:rsidRPr="00E53836">
              <w:rPr>
                <w:rStyle w:val="aff3"/>
                <w:rFonts w:ascii="Times New Roman" w:hAnsi="Times New Roman"/>
                <w:i w:val="0"/>
                <w:iCs w:val="0"/>
                <w:noProof/>
                <w:sz w:val="24"/>
                <w:szCs w:val="24"/>
              </w:rPr>
              <w:t>流域水污染防治措施</w:t>
            </w:r>
            <w:r w:rsidRPr="00E53836">
              <w:rPr>
                <w:rFonts w:ascii="Times New Roman" w:hAnsi="Times New Roman"/>
                <w:i w:val="0"/>
                <w:iCs w:val="0"/>
                <w:noProof/>
                <w:webHidden/>
                <w:sz w:val="24"/>
                <w:szCs w:val="24"/>
              </w:rPr>
              <w:tab/>
            </w:r>
            <w:r w:rsidRPr="00E53836">
              <w:rPr>
                <w:rFonts w:ascii="Times New Roman" w:hAnsi="Times New Roman"/>
                <w:i w:val="0"/>
                <w:iCs w:val="0"/>
                <w:noProof/>
                <w:webHidden/>
                <w:sz w:val="24"/>
                <w:szCs w:val="24"/>
              </w:rPr>
              <w:fldChar w:fldCharType="begin"/>
            </w:r>
            <w:r w:rsidRPr="00E53836">
              <w:rPr>
                <w:rFonts w:ascii="Times New Roman" w:hAnsi="Times New Roman"/>
                <w:i w:val="0"/>
                <w:iCs w:val="0"/>
                <w:noProof/>
                <w:webHidden/>
                <w:sz w:val="24"/>
                <w:szCs w:val="24"/>
              </w:rPr>
              <w:instrText xml:space="preserve"> PAGEREF _Toc216107074 \h </w:instrText>
            </w:r>
            <w:r w:rsidRPr="00E53836">
              <w:rPr>
                <w:rFonts w:ascii="Times New Roman" w:hAnsi="Times New Roman"/>
                <w:i w:val="0"/>
                <w:iCs w:val="0"/>
                <w:noProof/>
                <w:webHidden/>
                <w:sz w:val="24"/>
                <w:szCs w:val="24"/>
              </w:rPr>
            </w:r>
            <w:r w:rsidRPr="00E53836">
              <w:rPr>
                <w:rFonts w:ascii="Times New Roman" w:hAnsi="Times New Roman"/>
                <w:i w:val="0"/>
                <w:iCs w:val="0"/>
                <w:noProof/>
                <w:webHidden/>
                <w:sz w:val="24"/>
                <w:szCs w:val="24"/>
              </w:rPr>
              <w:fldChar w:fldCharType="separate"/>
            </w:r>
            <w:r w:rsidR="00F32CCA">
              <w:rPr>
                <w:rFonts w:ascii="Times New Roman" w:hAnsi="Times New Roman"/>
                <w:i w:val="0"/>
                <w:iCs w:val="0"/>
                <w:noProof/>
                <w:webHidden/>
                <w:sz w:val="24"/>
                <w:szCs w:val="24"/>
              </w:rPr>
              <w:t>258</w:t>
            </w:r>
            <w:r w:rsidRPr="00E53836">
              <w:rPr>
                <w:rFonts w:ascii="Times New Roman" w:hAnsi="Times New Roman"/>
                <w:i w:val="0"/>
                <w:iCs w:val="0"/>
                <w:noProof/>
                <w:webHidden/>
                <w:sz w:val="24"/>
                <w:szCs w:val="24"/>
              </w:rPr>
              <w:fldChar w:fldCharType="end"/>
            </w:r>
          </w:hyperlink>
        </w:p>
        <w:p w14:paraId="5F5F3D5B" w14:textId="61F8157A" w:rsidR="00E53836" w:rsidRPr="00E53836" w:rsidRDefault="00E53836">
          <w:pPr>
            <w:pStyle w:val="TOC2"/>
            <w:tabs>
              <w:tab w:val="right" w:leader="dot" w:pos="8296"/>
            </w:tabs>
            <w:rPr>
              <w:rFonts w:ascii="Times New Roman" w:hAnsi="Times New Roman"/>
              <w:smallCaps w:val="0"/>
              <w:noProof/>
              <w:sz w:val="24"/>
              <w:szCs w:val="24"/>
              <w14:ligatures w14:val="standardContextual"/>
            </w:rPr>
          </w:pPr>
          <w:hyperlink w:anchor="_Toc216107075" w:history="1">
            <w:r w:rsidRPr="00E53836">
              <w:rPr>
                <w:rStyle w:val="aff3"/>
                <w:rFonts w:ascii="Times New Roman" w:hAnsi="Times New Roman"/>
                <w:noProof/>
                <w:sz w:val="24"/>
                <w:szCs w:val="24"/>
              </w:rPr>
              <w:t xml:space="preserve">7.3 </w:t>
            </w:r>
            <w:r w:rsidRPr="00E53836">
              <w:rPr>
                <w:rStyle w:val="aff3"/>
                <w:rFonts w:ascii="Times New Roman" w:hAnsi="Times New Roman"/>
                <w:noProof/>
                <w:sz w:val="24"/>
                <w:szCs w:val="24"/>
              </w:rPr>
              <w:t>陆生生态保护对策措施</w:t>
            </w:r>
            <w:r w:rsidRPr="00E53836">
              <w:rPr>
                <w:rFonts w:ascii="Times New Roman" w:hAnsi="Times New Roman"/>
                <w:noProof/>
                <w:webHidden/>
                <w:sz w:val="24"/>
                <w:szCs w:val="24"/>
              </w:rPr>
              <w:tab/>
            </w:r>
            <w:r w:rsidRPr="00E53836">
              <w:rPr>
                <w:rFonts w:ascii="Times New Roman" w:hAnsi="Times New Roman"/>
                <w:noProof/>
                <w:webHidden/>
                <w:sz w:val="24"/>
                <w:szCs w:val="24"/>
              </w:rPr>
              <w:fldChar w:fldCharType="begin"/>
            </w:r>
            <w:r w:rsidRPr="00E53836">
              <w:rPr>
                <w:rFonts w:ascii="Times New Roman" w:hAnsi="Times New Roman"/>
                <w:noProof/>
                <w:webHidden/>
                <w:sz w:val="24"/>
                <w:szCs w:val="24"/>
              </w:rPr>
              <w:instrText xml:space="preserve"> PAGEREF _Toc216107075 \h </w:instrText>
            </w:r>
            <w:r w:rsidRPr="00E53836">
              <w:rPr>
                <w:rFonts w:ascii="Times New Roman" w:hAnsi="Times New Roman"/>
                <w:noProof/>
                <w:webHidden/>
                <w:sz w:val="24"/>
                <w:szCs w:val="24"/>
              </w:rPr>
            </w:r>
            <w:r w:rsidRPr="00E53836">
              <w:rPr>
                <w:rFonts w:ascii="Times New Roman" w:hAnsi="Times New Roman"/>
                <w:noProof/>
                <w:webHidden/>
                <w:sz w:val="24"/>
                <w:szCs w:val="24"/>
              </w:rPr>
              <w:fldChar w:fldCharType="separate"/>
            </w:r>
            <w:r w:rsidR="00F32CCA">
              <w:rPr>
                <w:rFonts w:ascii="Times New Roman" w:hAnsi="Times New Roman"/>
                <w:noProof/>
                <w:webHidden/>
                <w:sz w:val="24"/>
                <w:szCs w:val="24"/>
              </w:rPr>
              <w:t>260</w:t>
            </w:r>
            <w:r w:rsidRPr="00E53836">
              <w:rPr>
                <w:rFonts w:ascii="Times New Roman" w:hAnsi="Times New Roman"/>
                <w:noProof/>
                <w:webHidden/>
                <w:sz w:val="24"/>
                <w:szCs w:val="24"/>
              </w:rPr>
              <w:fldChar w:fldCharType="end"/>
            </w:r>
          </w:hyperlink>
        </w:p>
        <w:p w14:paraId="63C1A931" w14:textId="53A942B4" w:rsidR="00E53836" w:rsidRPr="00E53836" w:rsidRDefault="00E53836">
          <w:pPr>
            <w:pStyle w:val="TOC2"/>
            <w:tabs>
              <w:tab w:val="right" w:leader="dot" w:pos="8296"/>
            </w:tabs>
            <w:rPr>
              <w:rFonts w:ascii="Times New Roman" w:hAnsi="Times New Roman"/>
              <w:smallCaps w:val="0"/>
              <w:noProof/>
              <w:sz w:val="24"/>
              <w:szCs w:val="24"/>
              <w14:ligatures w14:val="standardContextual"/>
            </w:rPr>
          </w:pPr>
          <w:hyperlink w:anchor="_Toc216107076" w:history="1">
            <w:r w:rsidRPr="00E53836">
              <w:rPr>
                <w:rStyle w:val="aff3"/>
                <w:rFonts w:ascii="Times New Roman" w:hAnsi="Times New Roman"/>
                <w:noProof/>
                <w:sz w:val="24"/>
                <w:szCs w:val="24"/>
              </w:rPr>
              <w:t xml:space="preserve">7.4 </w:t>
            </w:r>
            <w:r w:rsidRPr="00E53836">
              <w:rPr>
                <w:rStyle w:val="aff3"/>
                <w:rFonts w:ascii="Times New Roman" w:hAnsi="Times New Roman"/>
                <w:noProof/>
                <w:sz w:val="24"/>
                <w:szCs w:val="24"/>
              </w:rPr>
              <w:t>水生生态保护对策措施</w:t>
            </w:r>
            <w:r w:rsidRPr="00E53836">
              <w:rPr>
                <w:rFonts w:ascii="Times New Roman" w:hAnsi="Times New Roman"/>
                <w:noProof/>
                <w:webHidden/>
                <w:sz w:val="24"/>
                <w:szCs w:val="24"/>
              </w:rPr>
              <w:tab/>
            </w:r>
            <w:r w:rsidRPr="00E53836">
              <w:rPr>
                <w:rFonts w:ascii="Times New Roman" w:hAnsi="Times New Roman"/>
                <w:noProof/>
                <w:webHidden/>
                <w:sz w:val="24"/>
                <w:szCs w:val="24"/>
              </w:rPr>
              <w:fldChar w:fldCharType="begin"/>
            </w:r>
            <w:r w:rsidRPr="00E53836">
              <w:rPr>
                <w:rFonts w:ascii="Times New Roman" w:hAnsi="Times New Roman"/>
                <w:noProof/>
                <w:webHidden/>
                <w:sz w:val="24"/>
                <w:szCs w:val="24"/>
              </w:rPr>
              <w:instrText xml:space="preserve"> PAGEREF _Toc216107076 \h </w:instrText>
            </w:r>
            <w:r w:rsidRPr="00E53836">
              <w:rPr>
                <w:rFonts w:ascii="Times New Roman" w:hAnsi="Times New Roman"/>
                <w:noProof/>
                <w:webHidden/>
                <w:sz w:val="24"/>
                <w:szCs w:val="24"/>
              </w:rPr>
            </w:r>
            <w:r w:rsidRPr="00E53836">
              <w:rPr>
                <w:rFonts w:ascii="Times New Roman" w:hAnsi="Times New Roman"/>
                <w:noProof/>
                <w:webHidden/>
                <w:sz w:val="24"/>
                <w:szCs w:val="24"/>
              </w:rPr>
              <w:fldChar w:fldCharType="separate"/>
            </w:r>
            <w:r w:rsidR="00F32CCA">
              <w:rPr>
                <w:rFonts w:ascii="Times New Roman" w:hAnsi="Times New Roman"/>
                <w:noProof/>
                <w:webHidden/>
                <w:sz w:val="24"/>
                <w:szCs w:val="24"/>
              </w:rPr>
              <w:t>261</w:t>
            </w:r>
            <w:r w:rsidRPr="00E53836">
              <w:rPr>
                <w:rFonts w:ascii="Times New Roman" w:hAnsi="Times New Roman"/>
                <w:noProof/>
                <w:webHidden/>
                <w:sz w:val="24"/>
                <w:szCs w:val="24"/>
              </w:rPr>
              <w:fldChar w:fldCharType="end"/>
            </w:r>
          </w:hyperlink>
        </w:p>
        <w:p w14:paraId="1784B48A" w14:textId="454A646F" w:rsidR="00E53836" w:rsidRPr="00E53836" w:rsidRDefault="00E53836">
          <w:pPr>
            <w:pStyle w:val="TOC3"/>
            <w:tabs>
              <w:tab w:val="right" w:leader="dot" w:pos="8296"/>
            </w:tabs>
            <w:rPr>
              <w:rFonts w:ascii="Times New Roman" w:hAnsi="Times New Roman"/>
              <w:i w:val="0"/>
              <w:iCs w:val="0"/>
              <w:noProof/>
              <w:sz w:val="24"/>
              <w:szCs w:val="24"/>
              <w14:ligatures w14:val="standardContextual"/>
            </w:rPr>
          </w:pPr>
          <w:hyperlink w:anchor="_Toc216107077" w:history="1">
            <w:r w:rsidRPr="00E53836">
              <w:rPr>
                <w:rStyle w:val="aff3"/>
                <w:rFonts w:ascii="Times New Roman" w:hAnsi="Times New Roman"/>
                <w:i w:val="0"/>
                <w:iCs w:val="0"/>
                <w:noProof/>
                <w:sz w:val="24"/>
                <w:szCs w:val="24"/>
              </w:rPr>
              <w:t xml:space="preserve">7.4.1 </w:t>
            </w:r>
            <w:r w:rsidRPr="00E53836">
              <w:rPr>
                <w:rStyle w:val="aff3"/>
                <w:rFonts w:ascii="Times New Roman" w:hAnsi="Times New Roman"/>
                <w:i w:val="0"/>
                <w:iCs w:val="0"/>
                <w:noProof/>
                <w:sz w:val="24"/>
                <w:szCs w:val="24"/>
              </w:rPr>
              <w:t>落实规划提出的控制性指标要求</w:t>
            </w:r>
            <w:r w:rsidRPr="00E53836">
              <w:rPr>
                <w:rFonts w:ascii="Times New Roman" w:hAnsi="Times New Roman"/>
                <w:i w:val="0"/>
                <w:iCs w:val="0"/>
                <w:noProof/>
                <w:webHidden/>
                <w:sz w:val="24"/>
                <w:szCs w:val="24"/>
              </w:rPr>
              <w:tab/>
            </w:r>
            <w:r w:rsidRPr="00E53836">
              <w:rPr>
                <w:rFonts w:ascii="Times New Roman" w:hAnsi="Times New Roman"/>
                <w:i w:val="0"/>
                <w:iCs w:val="0"/>
                <w:noProof/>
                <w:webHidden/>
                <w:sz w:val="24"/>
                <w:szCs w:val="24"/>
              </w:rPr>
              <w:fldChar w:fldCharType="begin"/>
            </w:r>
            <w:r w:rsidRPr="00E53836">
              <w:rPr>
                <w:rFonts w:ascii="Times New Roman" w:hAnsi="Times New Roman"/>
                <w:i w:val="0"/>
                <w:iCs w:val="0"/>
                <w:noProof/>
                <w:webHidden/>
                <w:sz w:val="24"/>
                <w:szCs w:val="24"/>
              </w:rPr>
              <w:instrText xml:space="preserve"> PAGEREF _Toc216107077 \h </w:instrText>
            </w:r>
            <w:r w:rsidRPr="00E53836">
              <w:rPr>
                <w:rFonts w:ascii="Times New Roman" w:hAnsi="Times New Roman"/>
                <w:i w:val="0"/>
                <w:iCs w:val="0"/>
                <w:noProof/>
                <w:webHidden/>
                <w:sz w:val="24"/>
                <w:szCs w:val="24"/>
              </w:rPr>
            </w:r>
            <w:r w:rsidRPr="00E53836">
              <w:rPr>
                <w:rFonts w:ascii="Times New Roman" w:hAnsi="Times New Roman"/>
                <w:i w:val="0"/>
                <w:iCs w:val="0"/>
                <w:noProof/>
                <w:webHidden/>
                <w:sz w:val="24"/>
                <w:szCs w:val="24"/>
              </w:rPr>
              <w:fldChar w:fldCharType="separate"/>
            </w:r>
            <w:r w:rsidR="00F32CCA">
              <w:rPr>
                <w:rFonts w:ascii="Times New Roman" w:hAnsi="Times New Roman"/>
                <w:i w:val="0"/>
                <w:iCs w:val="0"/>
                <w:noProof/>
                <w:webHidden/>
                <w:sz w:val="24"/>
                <w:szCs w:val="24"/>
              </w:rPr>
              <w:t>261</w:t>
            </w:r>
            <w:r w:rsidRPr="00E53836">
              <w:rPr>
                <w:rFonts w:ascii="Times New Roman" w:hAnsi="Times New Roman"/>
                <w:i w:val="0"/>
                <w:iCs w:val="0"/>
                <w:noProof/>
                <w:webHidden/>
                <w:sz w:val="24"/>
                <w:szCs w:val="24"/>
              </w:rPr>
              <w:fldChar w:fldCharType="end"/>
            </w:r>
          </w:hyperlink>
        </w:p>
        <w:p w14:paraId="590ECFA6" w14:textId="43FAB21A" w:rsidR="00E53836" w:rsidRPr="00E53836" w:rsidRDefault="00E53836">
          <w:pPr>
            <w:pStyle w:val="TOC3"/>
            <w:tabs>
              <w:tab w:val="right" w:leader="dot" w:pos="8296"/>
            </w:tabs>
            <w:rPr>
              <w:rFonts w:ascii="Times New Roman" w:hAnsi="Times New Roman"/>
              <w:i w:val="0"/>
              <w:iCs w:val="0"/>
              <w:noProof/>
              <w:sz w:val="24"/>
              <w:szCs w:val="24"/>
              <w14:ligatures w14:val="standardContextual"/>
            </w:rPr>
          </w:pPr>
          <w:hyperlink w:anchor="_Toc216107078" w:history="1">
            <w:r w:rsidRPr="00E53836">
              <w:rPr>
                <w:rStyle w:val="aff3"/>
                <w:rFonts w:ascii="Times New Roman" w:hAnsi="Times New Roman"/>
                <w:i w:val="0"/>
                <w:iCs w:val="0"/>
                <w:noProof/>
                <w:sz w:val="24"/>
                <w:szCs w:val="24"/>
              </w:rPr>
              <w:t xml:space="preserve">7.4.2 </w:t>
            </w:r>
            <w:r w:rsidRPr="00E53836">
              <w:rPr>
                <w:rStyle w:val="aff3"/>
                <w:rFonts w:ascii="Times New Roman" w:hAnsi="Times New Roman"/>
                <w:i w:val="0"/>
                <w:iCs w:val="0"/>
                <w:noProof/>
                <w:sz w:val="24"/>
                <w:szCs w:val="24"/>
              </w:rPr>
              <w:t>落实水生态保护规划提出的生态水量保障措施</w:t>
            </w:r>
            <w:r w:rsidRPr="00E53836">
              <w:rPr>
                <w:rFonts w:ascii="Times New Roman" w:hAnsi="Times New Roman"/>
                <w:i w:val="0"/>
                <w:iCs w:val="0"/>
                <w:noProof/>
                <w:webHidden/>
                <w:sz w:val="24"/>
                <w:szCs w:val="24"/>
              </w:rPr>
              <w:tab/>
            </w:r>
            <w:r w:rsidRPr="00E53836">
              <w:rPr>
                <w:rFonts w:ascii="Times New Roman" w:hAnsi="Times New Roman"/>
                <w:i w:val="0"/>
                <w:iCs w:val="0"/>
                <w:noProof/>
                <w:webHidden/>
                <w:sz w:val="24"/>
                <w:szCs w:val="24"/>
              </w:rPr>
              <w:fldChar w:fldCharType="begin"/>
            </w:r>
            <w:r w:rsidRPr="00E53836">
              <w:rPr>
                <w:rFonts w:ascii="Times New Roman" w:hAnsi="Times New Roman"/>
                <w:i w:val="0"/>
                <w:iCs w:val="0"/>
                <w:noProof/>
                <w:webHidden/>
                <w:sz w:val="24"/>
                <w:szCs w:val="24"/>
              </w:rPr>
              <w:instrText xml:space="preserve"> PAGEREF _Toc216107078 \h </w:instrText>
            </w:r>
            <w:r w:rsidRPr="00E53836">
              <w:rPr>
                <w:rFonts w:ascii="Times New Roman" w:hAnsi="Times New Roman"/>
                <w:i w:val="0"/>
                <w:iCs w:val="0"/>
                <w:noProof/>
                <w:webHidden/>
                <w:sz w:val="24"/>
                <w:szCs w:val="24"/>
              </w:rPr>
            </w:r>
            <w:r w:rsidRPr="00E53836">
              <w:rPr>
                <w:rFonts w:ascii="Times New Roman" w:hAnsi="Times New Roman"/>
                <w:i w:val="0"/>
                <w:iCs w:val="0"/>
                <w:noProof/>
                <w:webHidden/>
                <w:sz w:val="24"/>
                <w:szCs w:val="24"/>
              </w:rPr>
              <w:fldChar w:fldCharType="separate"/>
            </w:r>
            <w:r w:rsidR="00F32CCA">
              <w:rPr>
                <w:rFonts w:ascii="Times New Roman" w:hAnsi="Times New Roman"/>
                <w:i w:val="0"/>
                <w:iCs w:val="0"/>
                <w:noProof/>
                <w:webHidden/>
                <w:sz w:val="24"/>
                <w:szCs w:val="24"/>
              </w:rPr>
              <w:t>261</w:t>
            </w:r>
            <w:r w:rsidRPr="00E53836">
              <w:rPr>
                <w:rFonts w:ascii="Times New Roman" w:hAnsi="Times New Roman"/>
                <w:i w:val="0"/>
                <w:iCs w:val="0"/>
                <w:noProof/>
                <w:webHidden/>
                <w:sz w:val="24"/>
                <w:szCs w:val="24"/>
              </w:rPr>
              <w:fldChar w:fldCharType="end"/>
            </w:r>
          </w:hyperlink>
        </w:p>
        <w:p w14:paraId="2840F204" w14:textId="316A9450" w:rsidR="00E53836" w:rsidRPr="00E53836" w:rsidRDefault="00E53836">
          <w:pPr>
            <w:pStyle w:val="TOC3"/>
            <w:tabs>
              <w:tab w:val="right" w:leader="dot" w:pos="8296"/>
            </w:tabs>
            <w:rPr>
              <w:rFonts w:ascii="Times New Roman" w:hAnsi="Times New Roman"/>
              <w:i w:val="0"/>
              <w:iCs w:val="0"/>
              <w:noProof/>
              <w:sz w:val="24"/>
              <w:szCs w:val="24"/>
              <w14:ligatures w14:val="standardContextual"/>
            </w:rPr>
          </w:pPr>
          <w:hyperlink w:anchor="_Toc216107079" w:history="1">
            <w:r w:rsidRPr="00E53836">
              <w:rPr>
                <w:rStyle w:val="aff3"/>
                <w:rFonts w:ascii="Times New Roman" w:hAnsi="Times New Roman"/>
                <w:i w:val="0"/>
                <w:iCs w:val="0"/>
                <w:noProof/>
                <w:sz w:val="24"/>
                <w:szCs w:val="24"/>
              </w:rPr>
              <w:t xml:space="preserve">7.4.3 </w:t>
            </w:r>
            <w:r w:rsidRPr="00E53836">
              <w:rPr>
                <w:rStyle w:val="aff3"/>
                <w:rFonts w:ascii="Times New Roman" w:hAnsi="Times New Roman"/>
                <w:i w:val="0"/>
                <w:iCs w:val="0"/>
                <w:noProof/>
                <w:sz w:val="24"/>
                <w:szCs w:val="24"/>
              </w:rPr>
              <w:t>落实水生态保护规划提出的河流生态保护与修复措施</w:t>
            </w:r>
            <w:r w:rsidRPr="00E53836">
              <w:rPr>
                <w:rFonts w:ascii="Times New Roman" w:hAnsi="Times New Roman"/>
                <w:i w:val="0"/>
                <w:iCs w:val="0"/>
                <w:noProof/>
                <w:webHidden/>
                <w:sz w:val="24"/>
                <w:szCs w:val="24"/>
              </w:rPr>
              <w:tab/>
            </w:r>
            <w:r w:rsidRPr="00E53836">
              <w:rPr>
                <w:rFonts w:ascii="Times New Roman" w:hAnsi="Times New Roman"/>
                <w:i w:val="0"/>
                <w:iCs w:val="0"/>
                <w:noProof/>
                <w:webHidden/>
                <w:sz w:val="24"/>
                <w:szCs w:val="24"/>
              </w:rPr>
              <w:fldChar w:fldCharType="begin"/>
            </w:r>
            <w:r w:rsidRPr="00E53836">
              <w:rPr>
                <w:rFonts w:ascii="Times New Roman" w:hAnsi="Times New Roman"/>
                <w:i w:val="0"/>
                <w:iCs w:val="0"/>
                <w:noProof/>
                <w:webHidden/>
                <w:sz w:val="24"/>
                <w:szCs w:val="24"/>
              </w:rPr>
              <w:instrText xml:space="preserve"> PAGEREF _Toc216107079 \h </w:instrText>
            </w:r>
            <w:r w:rsidRPr="00E53836">
              <w:rPr>
                <w:rFonts w:ascii="Times New Roman" w:hAnsi="Times New Roman"/>
                <w:i w:val="0"/>
                <w:iCs w:val="0"/>
                <w:noProof/>
                <w:webHidden/>
                <w:sz w:val="24"/>
                <w:szCs w:val="24"/>
              </w:rPr>
            </w:r>
            <w:r w:rsidRPr="00E53836">
              <w:rPr>
                <w:rFonts w:ascii="Times New Roman" w:hAnsi="Times New Roman"/>
                <w:i w:val="0"/>
                <w:iCs w:val="0"/>
                <w:noProof/>
                <w:webHidden/>
                <w:sz w:val="24"/>
                <w:szCs w:val="24"/>
              </w:rPr>
              <w:fldChar w:fldCharType="separate"/>
            </w:r>
            <w:r w:rsidR="00F32CCA">
              <w:rPr>
                <w:rFonts w:ascii="Times New Roman" w:hAnsi="Times New Roman"/>
                <w:i w:val="0"/>
                <w:iCs w:val="0"/>
                <w:noProof/>
                <w:webHidden/>
                <w:sz w:val="24"/>
                <w:szCs w:val="24"/>
              </w:rPr>
              <w:t>263</w:t>
            </w:r>
            <w:r w:rsidRPr="00E53836">
              <w:rPr>
                <w:rFonts w:ascii="Times New Roman" w:hAnsi="Times New Roman"/>
                <w:i w:val="0"/>
                <w:iCs w:val="0"/>
                <w:noProof/>
                <w:webHidden/>
                <w:sz w:val="24"/>
                <w:szCs w:val="24"/>
              </w:rPr>
              <w:fldChar w:fldCharType="end"/>
            </w:r>
          </w:hyperlink>
        </w:p>
        <w:p w14:paraId="5E914DB5" w14:textId="06EC0FA2" w:rsidR="00E53836" w:rsidRPr="00E53836" w:rsidRDefault="00E53836">
          <w:pPr>
            <w:pStyle w:val="TOC1"/>
            <w:tabs>
              <w:tab w:val="right" w:leader="dot" w:pos="8296"/>
            </w:tabs>
            <w:rPr>
              <w:rFonts w:ascii="Times New Roman" w:hAnsi="Times New Roman"/>
              <w:b w:val="0"/>
              <w:bCs w:val="0"/>
              <w:caps w:val="0"/>
              <w:noProof/>
              <w:sz w:val="24"/>
              <w:szCs w:val="24"/>
              <w14:ligatures w14:val="standardContextual"/>
            </w:rPr>
          </w:pPr>
          <w:hyperlink w:anchor="_Toc216107080" w:history="1">
            <w:r w:rsidRPr="00E53836">
              <w:rPr>
                <w:rStyle w:val="aff3"/>
                <w:rFonts w:ascii="Times New Roman" w:hAnsi="Times New Roman"/>
                <w:noProof/>
                <w:sz w:val="24"/>
                <w:szCs w:val="24"/>
              </w:rPr>
              <w:t xml:space="preserve">8 </w:t>
            </w:r>
            <w:r w:rsidRPr="00E53836">
              <w:rPr>
                <w:rStyle w:val="aff3"/>
                <w:rFonts w:ascii="Times New Roman" w:hAnsi="Times New Roman"/>
                <w:noProof/>
                <w:sz w:val="24"/>
                <w:szCs w:val="24"/>
              </w:rPr>
              <w:t>环境影响跟踪评价计划与规划和建设项目环境影响评价要求</w:t>
            </w:r>
            <w:r w:rsidRPr="00E53836">
              <w:rPr>
                <w:rFonts w:ascii="Times New Roman" w:hAnsi="Times New Roman"/>
                <w:noProof/>
                <w:webHidden/>
                <w:sz w:val="24"/>
                <w:szCs w:val="24"/>
              </w:rPr>
              <w:tab/>
            </w:r>
            <w:r w:rsidRPr="00E53836">
              <w:rPr>
                <w:rFonts w:ascii="Times New Roman" w:hAnsi="Times New Roman"/>
                <w:noProof/>
                <w:webHidden/>
                <w:sz w:val="24"/>
                <w:szCs w:val="24"/>
              </w:rPr>
              <w:fldChar w:fldCharType="begin"/>
            </w:r>
            <w:r w:rsidRPr="00E53836">
              <w:rPr>
                <w:rFonts w:ascii="Times New Roman" w:hAnsi="Times New Roman"/>
                <w:noProof/>
                <w:webHidden/>
                <w:sz w:val="24"/>
                <w:szCs w:val="24"/>
              </w:rPr>
              <w:instrText xml:space="preserve"> PAGEREF _Toc216107080 \h </w:instrText>
            </w:r>
            <w:r w:rsidRPr="00E53836">
              <w:rPr>
                <w:rFonts w:ascii="Times New Roman" w:hAnsi="Times New Roman"/>
                <w:noProof/>
                <w:webHidden/>
                <w:sz w:val="24"/>
                <w:szCs w:val="24"/>
              </w:rPr>
            </w:r>
            <w:r w:rsidRPr="00E53836">
              <w:rPr>
                <w:rFonts w:ascii="Times New Roman" w:hAnsi="Times New Roman"/>
                <w:noProof/>
                <w:webHidden/>
                <w:sz w:val="24"/>
                <w:szCs w:val="24"/>
              </w:rPr>
              <w:fldChar w:fldCharType="separate"/>
            </w:r>
            <w:r w:rsidR="00F32CCA">
              <w:rPr>
                <w:rFonts w:ascii="Times New Roman" w:hAnsi="Times New Roman"/>
                <w:noProof/>
                <w:webHidden/>
                <w:sz w:val="24"/>
                <w:szCs w:val="24"/>
              </w:rPr>
              <w:t>265</w:t>
            </w:r>
            <w:r w:rsidRPr="00E53836">
              <w:rPr>
                <w:rFonts w:ascii="Times New Roman" w:hAnsi="Times New Roman"/>
                <w:noProof/>
                <w:webHidden/>
                <w:sz w:val="24"/>
                <w:szCs w:val="24"/>
              </w:rPr>
              <w:fldChar w:fldCharType="end"/>
            </w:r>
          </w:hyperlink>
        </w:p>
        <w:p w14:paraId="075EF2D2" w14:textId="5D6231ED" w:rsidR="00E53836" w:rsidRPr="00E53836" w:rsidRDefault="00E53836">
          <w:pPr>
            <w:pStyle w:val="TOC2"/>
            <w:tabs>
              <w:tab w:val="right" w:leader="dot" w:pos="8296"/>
            </w:tabs>
            <w:rPr>
              <w:rFonts w:ascii="Times New Roman" w:hAnsi="Times New Roman"/>
              <w:smallCaps w:val="0"/>
              <w:noProof/>
              <w:sz w:val="24"/>
              <w:szCs w:val="24"/>
              <w14:ligatures w14:val="standardContextual"/>
            </w:rPr>
          </w:pPr>
          <w:hyperlink w:anchor="_Toc216107081" w:history="1">
            <w:r w:rsidRPr="00E53836">
              <w:rPr>
                <w:rStyle w:val="aff3"/>
                <w:rFonts w:ascii="Times New Roman" w:hAnsi="Times New Roman"/>
                <w:noProof/>
                <w:sz w:val="24"/>
                <w:szCs w:val="24"/>
              </w:rPr>
              <w:t xml:space="preserve">8.1 </w:t>
            </w:r>
            <w:r w:rsidRPr="00E53836">
              <w:rPr>
                <w:rStyle w:val="aff3"/>
                <w:rFonts w:ascii="Times New Roman" w:hAnsi="Times New Roman"/>
                <w:noProof/>
                <w:sz w:val="24"/>
                <w:szCs w:val="24"/>
              </w:rPr>
              <w:t>环境影响跟踪评价计划</w:t>
            </w:r>
            <w:r w:rsidRPr="00E53836">
              <w:rPr>
                <w:rFonts w:ascii="Times New Roman" w:hAnsi="Times New Roman"/>
                <w:noProof/>
                <w:webHidden/>
                <w:sz w:val="24"/>
                <w:szCs w:val="24"/>
              </w:rPr>
              <w:tab/>
            </w:r>
            <w:r w:rsidRPr="00E53836">
              <w:rPr>
                <w:rFonts w:ascii="Times New Roman" w:hAnsi="Times New Roman"/>
                <w:noProof/>
                <w:webHidden/>
                <w:sz w:val="24"/>
                <w:szCs w:val="24"/>
              </w:rPr>
              <w:fldChar w:fldCharType="begin"/>
            </w:r>
            <w:r w:rsidRPr="00E53836">
              <w:rPr>
                <w:rFonts w:ascii="Times New Roman" w:hAnsi="Times New Roman"/>
                <w:noProof/>
                <w:webHidden/>
                <w:sz w:val="24"/>
                <w:szCs w:val="24"/>
              </w:rPr>
              <w:instrText xml:space="preserve"> PAGEREF _Toc216107081 \h </w:instrText>
            </w:r>
            <w:r w:rsidRPr="00E53836">
              <w:rPr>
                <w:rFonts w:ascii="Times New Roman" w:hAnsi="Times New Roman"/>
                <w:noProof/>
                <w:webHidden/>
                <w:sz w:val="24"/>
                <w:szCs w:val="24"/>
              </w:rPr>
            </w:r>
            <w:r w:rsidRPr="00E53836">
              <w:rPr>
                <w:rFonts w:ascii="Times New Roman" w:hAnsi="Times New Roman"/>
                <w:noProof/>
                <w:webHidden/>
                <w:sz w:val="24"/>
                <w:szCs w:val="24"/>
              </w:rPr>
              <w:fldChar w:fldCharType="separate"/>
            </w:r>
            <w:r w:rsidR="00F32CCA">
              <w:rPr>
                <w:rFonts w:ascii="Times New Roman" w:hAnsi="Times New Roman"/>
                <w:noProof/>
                <w:webHidden/>
                <w:sz w:val="24"/>
                <w:szCs w:val="24"/>
              </w:rPr>
              <w:t>265</w:t>
            </w:r>
            <w:r w:rsidRPr="00E53836">
              <w:rPr>
                <w:rFonts w:ascii="Times New Roman" w:hAnsi="Times New Roman"/>
                <w:noProof/>
                <w:webHidden/>
                <w:sz w:val="24"/>
                <w:szCs w:val="24"/>
              </w:rPr>
              <w:fldChar w:fldCharType="end"/>
            </w:r>
          </w:hyperlink>
        </w:p>
        <w:p w14:paraId="60962280" w14:textId="0AA1F62C" w:rsidR="00E53836" w:rsidRPr="00E53836" w:rsidRDefault="00E53836">
          <w:pPr>
            <w:pStyle w:val="TOC3"/>
            <w:tabs>
              <w:tab w:val="right" w:leader="dot" w:pos="8296"/>
            </w:tabs>
            <w:rPr>
              <w:rFonts w:ascii="Times New Roman" w:hAnsi="Times New Roman"/>
              <w:i w:val="0"/>
              <w:iCs w:val="0"/>
              <w:noProof/>
              <w:sz w:val="24"/>
              <w:szCs w:val="24"/>
              <w14:ligatures w14:val="standardContextual"/>
            </w:rPr>
          </w:pPr>
          <w:hyperlink w:anchor="_Toc216107082" w:history="1">
            <w:r w:rsidRPr="00E53836">
              <w:rPr>
                <w:rStyle w:val="aff3"/>
                <w:rFonts w:ascii="Times New Roman" w:hAnsi="Times New Roman"/>
                <w:i w:val="0"/>
                <w:iCs w:val="0"/>
                <w:noProof/>
                <w:sz w:val="24"/>
                <w:szCs w:val="24"/>
              </w:rPr>
              <w:t xml:space="preserve">8.1.1 </w:t>
            </w:r>
            <w:r w:rsidRPr="00E53836">
              <w:rPr>
                <w:rStyle w:val="aff3"/>
                <w:rFonts w:ascii="Times New Roman" w:hAnsi="Times New Roman"/>
                <w:i w:val="0"/>
                <w:iCs w:val="0"/>
                <w:noProof/>
                <w:sz w:val="24"/>
                <w:szCs w:val="24"/>
              </w:rPr>
              <w:t>跟踪评价目的</w:t>
            </w:r>
            <w:r w:rsidRPr="00E53836">
              <w:rPr>
                <w:rFonts w:ascii="Times New Roman" w:hAnsi="Times New Roman"/>
                <w:i w:val="0"/>
                <w:iCs w:val="0"/>
                <w:noProof/>
                <w:webHidden/>
                <w:sz w:val="24"/>
                <w:szCs w:val="24"/>
              </w:rPr>
              <w:tab/>
            </w:r>
            <w:r w:rsidRPr="00E53836">
              <w:rPr>
                <w:rFonts w:ascii="Times New Roman" w:hAnsi="Times New Roman"/>
                <w:i w:val="0"/>
                <w:iCs w:val="0"/>
                <w:noProof/>
                <w:webHidden/>
                <w:sz w:val="24"/>
                <w:szCs w:val="24"/>
              </w:rPr>
              <w:fldChar w:fldCharType="begin"/>
            </w:r>
            <w:r w:rsidRPr="00E53836">
              <w:rPr>
                <w:rFonts w:ascii="Times New Roman" w:hAnsi="Times New Roman"/>
                <w:i w:val="0"/>
                <w:iCs w:val="0"/>
                <w:noProof/>
                <w:webHidden/>
                <w:sz w:val="24"/>
                <w:szCs w:val="24"/>
              </w:rPr>
              <w:instrText xml:space="preserve"> PAGEREF _Toc216107082 \h </w:instrText>
            </w:r>
            <w:r w:rsidRPr="00E53836">
              <w:rPr>
                <w:rFonts w:ascii="Times New Roman" w:hAnsi="Times New Roman"/>
                <w:i w:val="0"/>
                <w:iCs w:val="0"/>
                <w:noProof/>
                <w:webHidden/>
                <w:sz w:val="24"/>
                <w:szCs w:val="24"/>
              </w:rPr>
            </w:r>
            <w:r w:rsidRPr="00E53836">
              <w:rPr>
                <w:rFonts w:ascii="Times New Roman" w:hAnsi="Times New Roman"/>
                <w:i w:val="0"/>
                <w:iCs w:val="0"/>
                <w:noProof/>
                <w:webHidden/>
                <w:sz w:val="24"/>
                <w:szCs w:val="24"/>
              </w:rPr>
              <w:fldChar w:fldCharType="separate"/>
            </w:r>
            <w:r w:rsidR="00F32CCA">
              <w:rPr>
                <w:rFonts w:ascii="Times New Roman" w:hAnsi="Times New Roman"/>
                <w:i w:val="0"/>
                <w:iCs w:val="0"/>
                <w:noProof/>
                <w:webHidden/>
                <w:sz w:val="24"/>
                <w:szCs w:val="24"/>
              </w:rPr>
              <w:t>265</w:t>
            </w:r>
            <w:r w:rsidRPr="00E53836">
              <w:rPr>
                <w:rFonts w:ascii="Times New Roman" w:hAnsi="Times New Roman"/>
                <w:i w:val="0"/>
                <w:iCs w:val="0"/>
                <w:noProof/>
                <w:webHidden/>
                <w:sz w:val="24"/>
                <w:szCs w:val="24"/>
              </w:rPr>
              <w:fldChar w:fldCharType="end"/>
            </w:r>
          </w:hyperlink>
        </w:p>
        <w:p w14:paraId="7AB67BE3" w14:textId="42E5B2BB" w:rsidR="00E53836" w:rsidRPr="00E53836" w:rsidRDefault="00E53836">
          <w:pPr>
            <w:pStyle w:val="TOC3"/>
            <w:tabs>
              <w:tab w:val="right" w:leader="dot" w:pos="8296"/>
            </w:tabs>
            <w:rPr>
              <w:rFonts w:ascii="Times New Roman" w:hAnsi="Times New Roman"/>
              <w:i w:val="0"/>
              <w:iCs w:val="0"/>
              <w:noProof/>
              <w:sz w:val="24"/>
              <w:szCs w:val="24"/>
              <w14:ligatures w14:val="standardContextual"/>
            </w:rPr>
          </w:pPr>
          <w:hyperlink w:anchor="_Toc216107083" w:history="1">
            <w:r w:rsidRPr="00E53836">
              <w:rPr>
                <w:rStyle w:val="aff3"/>
                <w:rFonts w:ascii="Times New Roman" w:hAnsi="Times New Roman"/>
                <w:i w:val="0"/>
                <w:iCs w:val="0"/>
                <w:noProof/>
                <w:sz w:val="24"/>
                <w:szCs w:val="24"/>
              </w:rPr>
              <w:t xml:space="preserve">8.1.2 </w:t>
            </w:r>
            <w:r w:rsidRPr="00E53836">
              <w:rPr>
                <w:rStyle w:val="aff3"/>
                <w:rFonts w:ascii="Times New Roman" w:hAnsi="Times New Roman"/>
                <w:i w:val="0"/>
                <w:iCs w:val="0"/>
                <w:noProof/>
                <w:sz w:val="24"/>
                <w:szCs w:val="24"/>
              </w:rPr>
              <w:t>监测与跟踪评价原则</w:t>
            </w:r>
            <w:r w:rsidRPr="00E53836">
              <w:rPr>
                <w:rFonts w:ascii="Times New Roman" w:hAnsi="Times New Roman"/>
                <w:i w:val="0"/>
                <w:iCs w:val="0"/>
                <w:noProof/>
                <w:webHidden/>
                <w:sz w:val="24"/>
                <w:szCs w:val="24"/>
              </w:rPr>
              <w:tab/>
            </w:r>
            <w:r w:rsidRPr="00E53836">
              <w:rPr>
                <w:rFonts w:ascii="Times New Roman" w:hAnsi="Times New Roman"/>
                <w:i w:val="0"/>
                <w:iCs w:val="0"/>
                <w:noProof/>
                <w:webHidden/>
                <w:sz w:val="24"/>
                <w:szCs w:val="24"/>
              </w:rPr>
              <w:fldChar w:fldCharType="begin"/>
            </w:r>
            <w:r w:rsidRPr="00E53836">
              <w:rPr>
                <w:rFonts w:ascii="Times New Roman" w:hAnsi="Times New Roman"/>
                <w:i w:val="0"/>
                <w:iCs w:val="0"/>
                <w:noProof/>
                <w:webHidden/>
                <w:sz w:val="24"/>
                <w:szCs w:val="24"/>
              </w:rPr>
              <w:instrText xml:space="preserve"> PAGEREF _Toc216107083 \h </w:instrText>
            </w:r>
            <w:r w:rsidRPr="00E53836">
              <w:rPr>
                <w:rFonts w:ascii="Times New Roman" w:hAnsi="Times New Roman"/>
                <w:i w:val="0"/>
                <w:iCs w:val="0"/>
                <w:noProof/>
                <w:webHidden/>
                <w:sz w:val="24"/>
                <w:szCs w:val="24"/>
              </w:rPr>
            </w:r>
            <w:r w:rsidRPr="00E53836">
              <w:rPr>
                <w:rFonts w:ascii="Times New Roman" w:hAnsi="Times New Roman"/>
                <w:i w:val="0"/>
                <w:iCs w:val="0"/>
                <w:noProof/>
                <w:webHidden/>
                <w:sz w:val="24"/>
                <w:szCs w:val="24"/>
              </w:rPr>
              <w:fldChar w:fldCharType="separate"/>
            </w:r>
            <w:r w:rsidR="00F32CCA">
              <w:rPr>
                <w:rFonts w:ascii="Times New Roman" w:hAnsi="Times New Roman"/>
                <w:i w:val="0"/>
                <w:iCs w:val="0"/>
                <w:noProof/>
                <w:webHidden/>
                <w:sz w:val="24"/>
                <w:szCs w:val="24"/>
              </w:rPr>
              <w:t>265</w:t>
            </w:r>
            <w:r w:rsidRPr="00E53836">
              <w:rPr>
                <w:rFonts w:ascii="Times New Roman" w:hAnsi="Times New Roman"/>
                <w:i w:val="0"/>
                <w:iCs w:val="0"/>
                <w:noProof/>
                <w:webHidden/>
                <w:sz w:val="24"/>
                <w:szCs w:val="24"/>
              </w:rPr>
              <w:fldChar w:fldCharType="end"/>
            </w:r>
          </w:hyperlink>
        </w:p>
        <w:p w14:paraId="45BBA92D" w14:textId="728FDD39" w:rsidR="00E53836" w:rsidRPr="00E53836" w:rsidRDefault="00E53836">
          <w:pPr>
            <w:pStyle w:val="TOC3"/>
            <w:tabs>
              <w:tab w:val="right" w:leader="dot" w:pos="8296"/>
            </w:tabs>
            <w:rPr>
              <w:rFonts w:ascii="Times New Roman" w:hAnsi="Times New Roman"/>
              <w:i w:val="0"/>
              <w:iCs w:val="0"/>
              <w:noProof/>
              <w:sz w:val="24"/>
              <w:szCs w:val="24"/>
              <w14:ligatures w14:val="standardContextual"/>
            </w:rPr>
          </w:pPr>
          <w:hyperlink w:anchor="_Toc216107084" w:history="1">
            <w:r w:rsidRPr="00E53836">
              <w:rPr>
                <w:rStyle w:val="aff3"/>
                <w:rFonts w:ascii="Times New Roman" w:hAnsi="Times New Roman"/>
                <w:i w:val="0"/>
                <w:iCs w:val="0"/>
                <w:noProof/>
                <w:sz w:val="24"/>
                <w:szCs w:val="24"/>
              </w:rPr>
              <w:t xml:space="preserve">8.1.6 </w:t>
            </w:r>
            <w:r w:rsidRPr="00E53836">
              <w:rPr>
                <w:rStyle w:val="aff3"/>
                <w:rFonts w:ascii="Times New Roman" w:hAnsi="Times New Roman"/>
                <w:i w:val="0"/>
                <w:iCs w:val="0"/>
                <w:noProof/>
                <w:sz w:val="24"/>
                <w:szCs w:val="24"/>
              </w:rPr>
              <w:t>实施安排</w:t>
            </w:r>
            <w:r w:rsidRPr="00E53836">
              <w:rPr>
                <w:rFonts w:ascii="Times New Roman" w:hAnsi="Times New Roman"/>
                <w:i w:val="0"/>
                <w:iCs w:val="0"/>
                <w:noProof/>
                <w:webHidden/>
                <w:sz w:val="24"/>
                <w:szCs w:val="24"/>
              </w:rPr>
              <w:tab/>
            </w:r>
            <w:r w:rsidRPr="00E53836">
              <w:rPr>
                <w:rFonts w:ascii="Times New Roman" w:hAnsi="Times New Roman"/>
                <w:i w:val="0"/>
                <w:iCs w:val="0"/>
                <w:noProof/>
                <w:webHidden/>
                <w:sz w:val="24"/>
                <w:szCs w:val="24"/>
              </w:rPr>
              <w:fldChar w:fldCharType="begin"/>
            </w:r>
            <w:r w:rsidRPr="00E53836">
              <w:rPr>
                <w:rFonts w:ascii="Times New Roman" w:hAnsi="Times New Roman"/>
                <w:i w:val="0"/>
                <w:iCs w:val="0"/>
                <w:noProof/>
                <w:webHidden/>
                <w:sz w:val="24"/>
                <w:szCs w:val="24"/>
              </w:rPr>
              <w:instrText xml:space="preserve"> PAGEREF _Toc216107084 \h </w:instrText>
            </w:r>
            <w:r w:rsidRPr="00E53836">
              <w:rPr>
                <w:rFonts w:ascii="Times New Roman" w:hAnsi="Times New Roman"/>
                <w:i w:val="0"/>
                <w:iCs w:val="0"/>
                <w:noProof/>
                <w:webHidden/>
                <w:sz w:val="24"/>
                <w:szCs w:val="24"/>
              </w:rPr>
            </w:r>
            <w:r w:rsidRPr="00E53836">
              <w:rPr>
                <w:rFonts w:ascii="Times New Roman" w:hAnsi="Times New Roman"/>
                <w:i w:val="0"/>
                <w:iCs w:val="0"/>
                <w:noProof/>
                <w:webHidden/>
                <w:sz w:val="24"/>
                <w:szCs w:val="24"/>
              </w:rPr>
              <w:fldChar w:fldCharType="separate"/>
            </w:r>
            <w:r w:rsidR="00F32CCA">
              <w:rPr>
                <w:rFonts w:ascii="Times New Roman" w:hAnsi="Times New Roman"/>
                <w:i w:val="0"/>
                <w:iCs w:val="0"/>
                <w:noProof/>
                <w:webHidden/>
                <w:sz w:val="24"/>
                <w:szCs w:val="24"/>
              </w:rPr>
              <w:t>268</w:t>
            </w:r>
            <w:r w:rsidRPr="00E53836">
              <w:rPr>
                <w:rFonts w:ascii="Times New Roman" w:hAnsi="Times New Roman"/>
                <w:i w:val="0"/>
                <w:iCs w:val="0"/>
                <w:noProof/>
                <w:webHidden/>
                <w:sz w:val="24"/>
                <w:szCs w:val="24"/>
              </w:rPr>
              <w:fldChar w:fldCharType="end"/>
            </w:r>
          </w:hyperlink>
        </w:p>
        <w:p w14:paraId="4B560AF9" w14:textId="2F3ADEC4" w:rsidR="00E53836" w:rsidRPr="00E53836" w:rsidRDefault="00E53836">
          <w:pPr>
            <w:pStyle w:val="TOC2"/>
            <w:tabs>
              <w:tab w:val="right" w:leader="dot" w:pos="8296"/>
            </w:tabs>
            <w:rPr>
              <w:rFonts w:ascii="Times New Roman" w:hAnsi="Times New Roman"/>
              <w:smallCaps w:val="0"/>
              <w:noProof/>
              <w:sz w:val="24"/>
              <w:szCs w:val="24"/>
              <w14:ligatures w14:val="standardContextual"/>
            </w:rPr>
          </w:pPr>
          <w:hyperlink w:anchor="_Toc216107085" w:history="1">
            <w:r w:rsidRPr="00E53836">
              <w:rPr>
                <w:rStyle w:val="aff3"/>
                <w:rFonts w:ascii="Times New Roman" w:hAnsi="Times New Roman"/>
                <w:noProof/>
                <w:sz w:val="24"/>
                <w:szCs w:val="24"/>
              </w:rPr>
              <w:t xml:space="preserve">8.2 </w:t>
            </w:r>
            <w:r w:rsidRPr="00E53836">
              <w:rPr>
                <w:rStyle w:val="aff3"/>
                <w:rFonts w:ascii="Times New Roman" w:hAnsi="Times New Roman"/>
                <w:noProof/>
                <w:sz w:val="24"/>
                <w:szCs w:val="24"/>
              </w:rPr>
              <w:t>规划具体建设项目的环境影响评价要求</w:t>
            </w:r>
            <w:r w:rsidRPr="00E53836">
              <w:rPr>
                <w:rFonts w:ascii="Times New Roman" w:hAnsi="Times New Roman"/>
                <w:noProof/>
                <w:webHidden/>
                <w:sz w:val="24"/>
                <w:szCs w:val="24"/>
              </w:rPr>
              <w:tab/>
            </w:r>
            <w:r w:rsidRPr="00E53836">
              <w:rPr>
                <w:rFonts w:ascii="Times New Roman" w:hAnsi="Times New Roman"/>
                <w:noProof/>
                <w:webHidden/>
                <w:sz w:val="24"/>
                <w:szCs w:val="24"/>
              </w:rPr>
              <w:fldChar w:fldCharType="begin"/>
            </w:r>
            <w:r w:rsidRPr="00E53836">
              <w:rPr>
                <w:rFonts w:ascii="Times New Roman" w:hAnsi="Times New Roman"/>
                <w:noProof/>
                <w:webHidden/>
                <w:sz w:val="24"/>
                <w:szCs w:val="24"/>
              </w:rPr>
              <w:instrText xml:space="preserve"> PAGEREF _Toc216107085 \h </w:instrText>
            </w:r>
            <w:r w:rsidRPr="00E53836">
              <w:rPr>
                <w:rFonts w:ascii="Times New Roman" w:hAnsi="Times New Roman"/>
                <w:noProof/>
                <w:webHidden/>
                <w:sz w:val="24"/>
                <w:szCs w:val="24"/>
              </w:rPr>
            </w:r>
            <w:r w:rsidRPr="00E53836">
              <w:rPr>
                <w:rFonts w:ascii="Times New Roman" w:hAnsi="Times New Roman"/>
                <w:noProof/>
                <w:webHidden/>
                <w:sz w:val="24"/>
                <w:szCs w:val="24"/>
              </w:rPr>
              <w:fldChar w:fldCharType="separate"/>
            </w:r>
            <w:r w:rsidR="00F32CCA">
              <w:rPr>
                <w:rFonts w:ascii="Times New Roman" w:hAnsi="Times New Roman"/>
                <w:noProof/>
                <w:webHidden/>
                <w:sz w:val="24"/>
                <w:szCs w:val="24"/>
              </w:rPr>
              <w:t>269</w:t>
            </w:r>
            <w:r w:rsidRPr="00E53836">
              <w:rPr>
                <w:rFonts w:ascii="Times New Roman" w:hAnsi="Times New Roman"/>
                <w:noProof/>
                <w:webHidden/>
                <w:sz w:val="24"/>
                <w:szCs w:val="24"/>
              </w:rPr>
              <w:fldChar w:fldCharType="end"/>
            </w:r>
          </w:hyperlink>
        </w:p>
        <w:p w14:paraId="3EEFD450" w14:textId="6639915F" w:rsidR="00E53836" w:rsidRPr="00E53836" w:rsidRDefault="00E53836">
          <w:pPr>
            <w:pStyle w:val="TOC1"/>
            <w:tabs>
              <w:tab w:val="right" w:leader="dot" w:pos="8296"/>
            </w:tabs>
            <w:rPr>
              <w:rFonts w:ascii="Times New Roman" w:hAnsi="Times New Roman"/>
              <w:b w:val="0"/>
              <w:bCs w:val="0"/>
              <w:caps w:val="0"/>
              <w:noProof/>
              <w:sz w:val="24"/>
              <w:szCs w:val="24"/>
              <w14:ligatures w14:val="standardContextual"/>
            </w:rPr>
          </w:pPr>
          <w:hyperlink w:anchor="_Toc216107086" w:history="1">
            <w:r w:rsidRPr="00E53836">
              <w:rPr>
                <w:rStyle w:val="aff3"/>
                <w:rFonts w:ascii="Times New Roman" w:hAnsi="Times New Roman"/>
                <w:noProof/>
                <w:sz w:val="24"/>
                <w:szCs w:val="24"/>
              </w:rPr>
              <w:t xml:space="preserve">9 </w:t>
            </w:r>
            <w:r w:rsidRPr="00E53836">
              <w:rPr>
                <w:rStyle w:val="aff3"/>
                <w:rFonts w:ascii="Times New Roman" w:hAnsi="Times New Roman"/>
                <w:noProof/>
                <w:sz w:val="24"/>
                <w:szCs w:val="24"/>
              </w:rPr>
              <w:t>评价结论</w:t>
            </w:r>
            <w:r w:rsidRPr="00E53836">
              <w:rPr>
                <w:rFonts w:ascii="Times New Roman" w:hAnsi="Times New Roman"/>
                <w:noProof/>
                <w:webHidden/>
                <w:sz w:val="24"/>
                <w:szCs w:val="24"/>
              </w:rPr>
              <w:tab/>
            </w:r>
            <w:r w:rsidRPr="00E53836">
              <w:rPr>
                <w:rFonts w:ascii="Times New Roman" w:hAnsi="Times New Roman"/>
                <w:noProof/>
                <w:webHidden/>
                <w:sz w:val="24"/>
                <w:szCs w:val="24"/>
              </w:rPr>
              <w:fldChar w:fldCharType="begin"/>
            </w:r>
            <w:r w:rsidRPr="00E53836">
              <w:rPr>
                <w:rFonts w:ascii="Times New Roman" w:hAnsi="Times New Roman"/>
                <w:noProof/>
                <w:webHidden/>
                <w:sz w:val="24"/>
                <w:szCs w:val="24"/>
              </w:rPr>
              <w:instrText xml:space="preserve"> PAGEREF _Toc216107086 \h </w:instrText>
            </w:r>
            <w:r w:rsidRPr="00E53836">
              <w:rPr>
                <w:rFonts w:ascii="Times New Roman" w:hAnsi="Times New Roman"/>
                <w:noProof/>
                <w:webHidden/>
                <w:sz w:val="24"/>
                <w:szCs w:val="24"/>
              </w:rPr>
            </w:r>
            <w:r w:rsidRPr="00E53836">
              <w:rPr>
                <w:rFonts w:ascii="Times New Roman" w:hAnsi="Times New Roman"/>
                <w:noProof/>
                <w:webHidden/>
                <w:sz w:val="24"/>
                <w:szCs w:val="24"/>
              </w:rPr>
              <w:fldChar w:fldCharType="separate"/>
            </w:r>
            <w:r w:rsidR="00F32CCA">
              <w:rPr>
                <w:rFonts w:ascii="Times New Roman" w:hAnsi="Times New Roman"/>
                <w:noProof/>
                <w:webHidden/>
                <w:sz w:val="24"/>
                <w:szCs w:val="24"/>
              </w:rPr>
              <w:t>271</w:t>
            </w:r>
            <w:r w:rsidRPr="00E53836">
              <w:rPr>
                <w:rFonts w:ascii="Times New Roman" w:hAnsi="Times New Roman"/>
                <w:noProof/>
                <w:webHidden/>
                <w:sz w:val="24"/>
                <w:szCs w:val="24"/>
              </w:rPr>
              <w:fldChar w:fldCharType="end"/>
            </w:r>
          </w:hyperlink>
        </w:p>
        <w:p w14:paraId="3431FDF4" w14:textId="11B0E372" w:rsidR="00054437" w:rsidRPr="000549B1" w:rsidRDefault="00000000">
          <w:r w:rsidRPr="00E53836">
            <w:rPr>
              <w:bCs/>
              <w:caps/>
              <w:sz w:val="24"/>
              <w:szCs w:val="24"/>
            </w:rPr>
            <w:fldChar w:fldCharType="end"/>
          </w:r>
        </w:p>
      </w:sdtContent>
    </w:sdt>
    <w:p w14:paraId="11AC2C47" w14:textId="77777777" w:rsidR="00054437" w:rsidRPr="000549B1" w:rsidRDefault="00054437"/>
    <w:p w14:paraId="152B6BEC" w14:textId="77777777" w:rsidR="00054437" w:rsidRPr="000549B1" w:rsidRDefault="00054437"/>
    <w:p w14:paraId="3DD80531" w14:textId="77777777" w:rsidR="00054437" w:rsidRPr="000549B1" w:rsidRDefault="00054437">
      <w:pPr>
        <w:sectPr w:rsidR="00054437" w:rsidRPr="000549B1">
          <w:footerReference w:type="default" r:id="rId10"/>
          <w:pgSz w:w="11906" w:h="16838"/>
          <w:pgMar w:top="1440" w:right="1800" w:bottom="1440" w:left="1800" w:header="851" w:footer="992" w:gutter="0"/>
          <w:pgNumType w:fmt="upperRoman" w:start="1"/>
          <w:cols w:space="425"/>
          <w:docGrid w:type="lines" w:linePitch="312"/>
        </w:sectPr>
      </w:pPr>
    </w:p>
    <w:p w14:paraId="234BF514" w14:textId="77777777" w:rsidR="00054437" w:rsidRPr="000549B1" w:rsidRDefault="00000000">
      <w:pPr>
        <w:pStyle w:val="1"/>
      </w:pPr>
      <w:bookmarkStart w:id="36" w:name="_Toc7788"/>
      <w:bookmarkStart w:id="37" w:name="_Toc208583867"/>
      <w:bookmarkStart w:id="38" w:name="_Toc529456875"/>
      <w:bookmarkStart w:id="39" w:name="_Toc9144510"/>
      <w:bookmarkStart w:id="40" w:name="_Toc216106979"/>
      <w:r w:rsidRPr="000549B1">
        <w:t>总则</w:t>
      </w:r>
      <w:bookmarkEnd w:id="36"/>
      <w:bookmarkEnd w:id="37"/>
      <w:bookmarkEnd w:id="38"/>
      <w:bookmarkEnd w:id="39"/>
      <w:bookmarkEnd w:id="40"/>
    </w:p>
    <w:p w14:paraId="3405D6A9" w14:textId="77777777" w:rsidR="00054437" w:rsidRPr="000549B1" w:rsidRDefault="00000000">
      <w:pPr>
        <w:pStyle w:val="2"/>
        <w:rPr>
          <w:rFonts w:ascii="Times New Roman" w:hAnsi="Times New Roman"/>
        </w:rPr>
      </w:pPr>
      <w:bookmarkStart w:id="41" w:name="_Toc9144511"/>
      <w:bookmarkStart w:id="42" w:name="_Toc21003"/>
      <w:bookmarkStart w:id="43" w:name="_Toc529456876"/>
      <w:bookmarkStart w:id="44" w:name="_Toc208583868"/>
      <w:bookmarkStart w:id="45" w:name="_Toc216106980"/>
      <w:r w:rsidRPr="000549B1">
        <w:rPr>
          <w:rFonts w:ascii="Times New Roman" w:hAnsi="Times New Roman"/>
        </w:rPr>
        <w:t>评价任务由来</w:t>
      </w:r>
      <w:bookmarkEnd w:id="41"/>
      <w:bookmarkEnd w:id="42"/>
      <w:bookmarkEnd w:id="43"/>
      <w:bookmarkEnd w:id="44"/>
      <w:bookmarkEnd w:id="45"/>
    </w:p>
    <w:p w14:paraId="00BEE183" w14:textId="42520557" w:rsidR="00054437" w:rsidRPr="000549B1" w:rsidRDefault="00000000">
      <w:pPr>
        <w:pStyle w:val="x"/>
      </w:pPr>
      <w:r w:rsidRPr="000549B1">
        <w:t>沙珠玉河位于青海省海南藏族自治州共和县境内，是一条内陆河，全长约</w:t>
      </w:r>
      <w:r w:rsidRPr="000549B1">
        <w:t>134</w:t>
      </w:r>
      <w:r w:rsidRPr="000549B1">
        <w:rPr>
          <w:rFonts w:hint="eastAsia"/>
        </w:rPr>
        <w:t>km</w:t>
      </w:r>
      <w:r w:rsidRPr="000549B1">
        <w:t>，流域面积约</w:t>
      </w:r>
      <w:r w:rsidRPr="000549B1">
        <w:t>4552</w:t>
      </w:r>
      <w:r w:rsidRPr="000549B1">
        <w:rPr>
          <w:rFonts w:hint="eastAsia"/>
        </w:rPr>
        <w:t>km</w:t>
      </w:r>
      <w:r w:rsidRPr="000549B1">
        <w:rPr>
          <w:vertAlign w:val="superscript"/>
        </w:rPr>
        <w:t>2</w:t>
      </w:r>
      <w:r w:rsidRPr="000549B1">
        <w:t>，年均径流量约</w:t>
      </w:r>
      <w:r w:rsidRPr="000549B1">
        <w:t>0.561</w:t>
      </w:r>
      <w:r w:rsidRPr="000549B1">
        <w:t>亿</w:t>
      </w:r>
      <w:r w:rsidRPr="000549B1">
        <w:rPr>
          <w:rFonts w:hint="eastAsia"/>
        </w:rPr>
        <w:t>m</w:t>
      </w:r>
      <w:r w:rsidRPr="000549B1">
        <w:rPr>
          <w:vertAlign w:val="superscript"/>
        </w:rPr>
        <w:t>3</w:t>
      </w:r>
      <w:r w:rsidRPr="000549B1">
        <w:t>。流域地处青藏高原东北部的共和盆地沙漠地带，地形以高寒荒漠和草原为主，气候干旱多风，生态环境脆弱。历史上沙珠玉河被视为当地农牧业生产的</w:t>
      </w:r>
      <w:r w:rsidRPr="000549B1">
        <w:rPr>
          <w:rFonts w:ascii="宋体" w:hAnsi="宋体"/>
        </w:rPr>
        <w:t>“</w:t>
      </w:r>
      <w:r w:rsidRPr="000549B1">
        <w:t>生命河</w:t>
      </w:r>
      <w:r w:rsidRPr="000549B1">
        <w:rPr>
          <w:rFonts w:ascii="宋体" w:hAnsi="宋体"/>
        </w:rPr>
        <w:t>”</w:t>
      </w:r>
      <w:r w:rsidRPr="000549B1">
        <w:t>，为沙珠玉乡及周边地区的农田灌溉和草场提供水源，并在防风固沙和维系生态方面发挥重要作用。然而，由于自然条件严酷，沙珠玉地区曾饱受风沙危害，生态环境极为脆弱，水土流失和荒漠化问题突出。沙珠玉河流域也是共和县重要的农牧业生产区域，水资源在当地农田灌溉、风沙防治以及生态安全保障中具有不可替代的作用。</w:t>
      </w:r>
    </w:p>
    <w:p w14:paraId="1C779F4A" w14:textId="77777777" w:rsidR="00054437" w:rsidRPr="000549B1" w:rsidRDefault="00000000">
      <w:pPr>
        <w:pStyle w:val="x"/>
      </w:pPr>
      <w:r w:rsidRPr="000549B1">
        <w:t>新中国成立以来，针对沙珠玉河流域特殊的自然条件，当地政府逐步开展了综合治理与开发。在</w:t>
      </w:r>
      <w:r w:rsidRPr="000549B1">
        <w:t>20</w:t>
      </w:r>
      <w:r w:rsidRPr="000549B1">
        <w:t>世纪</w:t>
      </w:r>
      <w:r w:rsidRPr="000549B1">
        <w:t>50</w:t>
      </w:r>
      <w:r w:rsidRPr="000549B1">
        <w:t>年代后期便设立了沙珠玉治沙试验站，之后经过数十年持续努力，兴建了注入式调节水库、灌溉渠系等水利工程和防护林带等生态工程，实施了大规模的水土保持和草地恢复工程。截至目前，全乡已建成农田防护林带</w:t>
      </w:r>
      <w:r w:rsidRPr="000549B1">
        <w:t>247</w:t>
      </w:r>
      <w:r w:rsidRPr="000549B1">
        <w:t>条、总长</w:t>
      </w:r>
      <w:r w:rsidRPr="000549B1">
        <w:t>130km</w:t>
      </w:r>
      <w:r w:rsidRPr="000549B1">
        <w:t>，营造防护林和灌木林数万亩，围护起</w:t>
      </w:r>
      <w:r w:rsidRPr="000549B1">
        <w:t>3</w:t>
      </w:r>
      <w:r w:rsidRPr="000549B1">
        <w:t>万多亩农田、村庄和滩地绿洲。这些措施有效遏制了流沙侵袭，改善了农牧业生产条件，实现了</w:t>
      </w:r>
      <w:r w:rsidRPr="000549B1">
        <w:rPr>
          <w:rFonts w:ascii="宋体" w:hAnsi="宋体"/>
        </w:rPr>
        <w:t>“</w:t>
      </w:r>
      <w:r w:rsidRPr="000549B1">
        <w:t>人进沙退</w:t>
      </w:r>
      <w:r w:rsidRPr="000549B1">
        <w:rPr>
          <w:rFonts w:ascii="宋体" w:hAnsi="宋体"/>
        </w:rPr>
        <w:t>”</w:t>
      </w:r>
      <w:r w:rsidRPr="000549B1">
        <w:t>的目标，使沙珠玉由昔日风沙肆虐的</w:t>
      </w:r>
      <w:r w:rsidRPr="000549B1">
        <w:rPr>
          <w:rFonts w:ascii="宋体" w:hAnsi="宋体"/>
        </w:rPr>
        <w:t>“</w:t>
      </w:r>
      <w:r w:rsidRPr="000549B1">
        <w:t>风库</w:t>
      </w:r>
      <w:r w:rsidRPr="000549B1">
        <w:rPr>
          <w:rFonts w:ascii="宋体" w:hAnsi="宋体"/>
        </w:rPr>
        <w:t>”</w:t>
      </w:r>
      <w:r w:rsidRPr="000549B1">
        <w:t>变成了高原绿色沙漠治理的示范样板。经过持续治理，沙珠玉地区的生态环境开始良性循环，曾一度干涸的沙珠玉河得以季节性恢复，区域水土流失和荒漠化趋势得到控制，林草植被覆盖度提高，极大减轻了风沙灾害对居民生产生活的影响。综合有效的治理举措不仅显著改善了生态环境，也有力促进了区域经济社会的可持续发展。</w:t>
      </w:r>
    </w:p>
    <w:p w14:paraId="1A707907" w14:textId="77777777" w:rsidR="00054437" w:rsidRPr="000549B1" w:rsidRDefault="00000000">
      <w:pPr>
        <w:pStyle w:val="x"/>
      </w:pPr>
      <w:r w:rsidRPr="000549B1">
        <w:t>近年来，国家对流域综合治理和生态环境保护提出了更高要求。尤其是</w:t>
      </w:r>
      <w:r w:rsidRPr="000549B1">
        <w:t>2023</w:t>
      </w:r>
      <w:r w:rsidRPr="000549B1">
        <w:t>年</w:t>
      </w:r>
      <w:r w:rsidRPr="000549B1">
        <w:t>12</w:t>
      </w:r>
      <w:r w:rsidRPr="000549B1">
        <w:t>月</w:t>
      </w:r>
      <w:r w:rsidRPr="000549B1">
        <w:t>29</w:t>
      </w:r>
      <w:r w:rsidRPr="000549B1">
        <w:t>日国务院批复的《青海省国土空间规划（</w:t>
      </w:r>
      <w:r w:rsidRPr="000549B1">
        <w:t>2021—2035</w:t>
      </w:r>
      <w:r w:rsidRPr="000549B1">
        <w:t>年）》（国函〔</w:t>
      </w:r>
      <w:r w:rsidRPr="000549B1">
        <w:t>2023</w:t>
      </w:r>
      <w:r w:rsidRPr="000549B1">
        <w:t>〕</w:t>
      </w:r>
      <w:r w:rsidRPr="000549B1">
        <w:t>159</w:t>
      </w:r>
      <w:r w:rsidRPr="000549B1">
        <w:t>号），进一步明确了青海省作为国家重要生态安全屏障的战略地位。该批复要求统筹推进山水林田湖草沙一体化保护与系统治理，严格划定并严守生态保护红线，着力加强黄河流域生态保护和高质量发展。这意味着包括沙珠玉河流域在内的高原荒漠河流生态治理将被纳入更严格的空间管控和生态红线约束中，防风固沙、水源涵养、水土保持和生物多样性保护等将成为规划的重要目标。</w:t>
      </w:r>
    </w:p>
    <w:p w14:paraId="72F66ADF" w14:textId="77777777" w:rsidR="00054437" w:rsidRPr="000549B1" w:rsidRDefault="00000000">
      <w:pPr>
        <w:pStyle w:val="x"/>
      </w:pPr>
      <w:r w:rsidRPr="000549B1">
        <w:t>青海省也相应制定了专项规划予以落实。</w:t>
      </w:r>
      <w:r w:rsidRPr="000549B1">
        <w:t>2021</w:t>
      </w:r>
      <w:r w:rsidRPr="000549B1">
        <w:t>年启动并印发的《青海省</w:t>
      </w:r>
      <w:r w:rsidRPr="000549B1">
        <w:rPr>
          <w:rFonts w:ascii="宋体" w:hAnsi="宋体"/>
        </w:rPr>
        <w:t>“</w:t>
      </w:r>
      <w:r w:rsidRPr="000549B1">
        <w:t>十四五</w:t>
      </w:r>
      <w:r w:rsidRPr="000549B1">
        <w:rPr>
          <w:rFonts w:ascii="宋体" w:hAnsi="宋体"/>
        </w:rPr>
        <w:t>”</w:t>
      </w:r>
      <w:r w:rsidRPr="000549B1">
        <w:t>水土保持规划》系统部署了全省水土保持与水土流失治理的目标和措施，强调加强重点流域综合治理，推进高原地区退化草地生态恢复和山地水土保持，力争到</w:t>
      </w:r>
      <w:r w:rsidRPr="000549B1">
        <w:rPr>
          <w:rFonts w:ascii="宋体" w:hAnsi="宋体"/>
        </w:rPr>
        <w:t>“</w:t>
      </w:r>
      <w:r w:rsidRPr="000549B1">
        <w:t>十四五</w:t>
      </w:r>
      <w:r w:rsidRPr="000549B1">
        <w:rPr>
          <w:rFonts w:ascii="宋体" w:hAnsi="宋体"/>
        </w:rPr>
        <w:t>”</w:t>
      </w:r>
      <w:r w:rsidRPr="000549B1">
        <w:t>末显著提升各流域生态系统的稳定性和服务功能。与此同时，青海省发展改革部门于</w:t>
      </w:r>
      <w:r w:rsidRPr="000549B1">
        <w:t>2023</w:t>
      </w:r>
      <w:r w:rsidRPr="000549B1">
        <w:t>年发布了《黄河青海流域生态保护和高质量发展规划》的相关内容，提出在流域开发中坚持生态优先、绿色发展，全面推进水资源的节约集约利用，统筹防洪安全、供水安全、粮食安全和生态安全。在该规划中，特别强调要在重点河流和流域实施生态综合治理和系统修复工程，以巩固提升源头地区的生态功能。这一系列政策要求与沙珠玉河流域治理和高质量发展的实际需求高度契合，为沙珠玉河流域后续的治理开发指明了方向。</w:t>
      </w:r>
    </w:p>
    <w:p w14:paraId="30C4EF93" w14:textId="5FA3A77B" w:rsidR="00054437" w:rsidRPr="000549B1" w:rsidRDefault="00000000">
      <w:pPr>
        <w:pStyle w:val="x"/>
      </w:pPr>
      <w:r w:rsidRPr="000549B1">
        <w:t>为贯彻落实上述政策和规划要求，确保沙珠玉河流域开发规划的生态安全，据《规划环境影响评价条例》（</w:t>
      </w:r>
      <w:r w:rsidRPr="000549B1">
        <w:t>2009</w:t>
      </w:r>
      <w:r w:rsidRPr="000549B1">
        <w:t>年</w:t>
      </w:r>
      <w:r w:rsidRPr="000549B1">
        <w:t>10</w:t>
      </w:r>
      <w:r w:rsidRPr="000549B1">
        <w:t>月</w:t>
      </w:r>
      <w:r w:rsidRPr="000549B1">
        <w:t>1</w:t>
      </w:r>
      <w:r w:rsidRPr="000549B1">
        <w:t>日起施行）以及国家关于规划编制工作的相关规定，</w:t>
      </w:r>
      <w:r w:rsidRPr="000549B1">
        <w:rPr>
          <w:rFonts w:hint="eastAsia"/>
        </w:rPr>
        <w:t>规划</w:t>
      </w:r>
      <w:r w:rsidRPr="000549B1">
        <w:t>需开展环境影响评价。通过对规划实施可能带来的环境影响进行预测、分析和评估，可以及时发现潜在的不利影响，并提出有针对性的生态环境保护和减缓措施，以实现区域经济社会发展与生态环境保护的协调统一。按照水利部及黄河水利委员会的工作部署，沙珠玉河流域规划环境影响报告书的编制工作由黄河水资源保护科学研究院承担，相关环评工作现已全面启动。这将为沙珠玉河流域规划的科学决策提供重要支撑，确保在推进流域治理与开发的同时，最大限度保护和提升当地脆弱的生态环境，实现经济效益、社会效益与环境效益的有机统一。</w:t>
      </w:r>
    </w:p>
    <w:p w14:paraId="69F26E0B" w14:textId="77777777" w:rsidR="00054437" w:rsidRPr="000549B1" w:rsidRDefault="00000000">
      <w:pPr>
        <w:pStyle w:val="2"/>
        <w:rPr>
          <w:rFonts w:ascii="Times New Roman" w:hAnsi="Times New Roman"/>
        </w:rPr>
      </w:pPr>
      <w:bookmarkStart w:id="46" w:name="_Toc30044"/>
      <w:bookmarkStart w:id="47" w:name="_Toc529456877"/>
      <w:bookmarkStart w:id="48" w:name="_Toc9144512"/>
      <w:bookmarkStart w:id="49" w:name="_Toc208583869"/>
      <w:bookmarkStart w:id="50" w:name="_Toc216106981"/>
      <w:r w:rsidRPr="000549B1">
        <w:rPr>
          <w:rFonts w:ascii="Times New Roman" w:hAnsi="Times New Roman"/>
        </w:rPr>
        <w:t>评价</w:t>
      </w:r>
      <w:bookmarkStart w:id="51" w:name="_Hlk531335947"/>
      <w:r w:rsidRPr="000549B1">
        <w:rPr>
          <w:rFonts w:ascii="Times New Roman" w:hAnsi="Times New Roman"/>
        </w:rPr>
        <w:t>目的与原则</w:t>
      </w:r>
      <w:bookmarkEnd w:id="46"/>
      <w:bookmarkEnd w:id="47"/>
      <w:bookmarkEnd w:id="48"/>
      <w:bookmarkEnd w:id="49"/>
      <w:bookmarkEnd w:id="50"/>
      <w:bookmarkEnd w:id="51"/>
    </w:p>
    <w:p w14:paraId="14749190" w14:textId="77777777" w:rsidR="00054437" w:rsidRPr="000549B1" w:rsidRDefault="00000000">
      <w:pPr>
        <w:pStyle w:val="3"/>
      </w:pPr>
      <w:bookmarkStart w:id="52" w:name="_Toc529456878"/>
      <w:bookmarkStart w:id="53" w:name="_Toc9144513"/>
      <w:bookmarkStart w:id="54" w:name="_Toc208583870"/>
      <w:bookmarkStart w:id="55" w:name="_Toc27021"/>
      <w:bookmarkStart w:id="56" w:name="_Toc216106982"/>
      <w:r w:rsidRPr="000549B1">
        <w:t>评价目的</w:t>
      </w:r>
      <w:bookmarkEnd w:id="52"/>
      <w:bookmarkEnd w:id="53"/>
      <w:bookmarkEnd w:id="54"/>
      <w:bookmarkEnd w:id="55"/>
      <w:bookmarkEnd w:id="56"/>
    </w:p>
    <w:p w14:paraId="5700F490" w14:textId="77777777" w:rsidR="00054437" w:rsidRPr="000549B1" w:rsidRDefault="00000000">
      <w:pPr>
        <w:pStyle w:val="x"/>
      </w:pPr>
      <w:bookmarkStart w:id="57" w:name="_Toc529456879"/>
      <w:bookmarkStart w:id="58" w:name="_Toc26749"/>
      <w:bookmarkStart w:id="59" w:name="_Toc208583871"/>
      <w:bookmarkStart w:id="60" w:name="_Toc9144514"/>
      <w:r w:rsidRPr="000549B1">
        <w:t>沙珠玉河流域综合规划的实施，将对流域内水土资源、水环境、生态环境及社会经济发展产生重要影响。本次规划环境影响评价旨在从合理利用资源、维护生态良性循环、保护环境和促进可持续发展的角度，科学论证规划方案的环境合理性与可行性，预测其潜在影响，并提出优化调整建议与保护措施，以协调开发与保护的关系，推动流域经济社会与生态环境协调发展。</w:t>
      </w:r>
    </w:p>
    <w:p w14:paraId="5AB31B71" w14:textId="77777777" w:rsidR="00054437" w:rsidRPr="000549B1" w:rsidRDefault="00000000">
      <w:pPr>
        <w:pStyle w:val="x"/>
      </w:pPr>
      <w:r w:rsidRPr="000549B1">
        <w:t>（</w:t>
      </w:r>
      <w:r w:rsidRPr="000549B1">
        <w:t>1</w:t>
      </w:r>
      <w:r w:rsidRPr="000549B1">
        <w:t>）沙珠玉河流域生态敏感、功能重要，环评工作须立足于国家生态安全及黄河流域水资源保护战略，全面分析规划与相关法律法规、政策的符合性，论证规划方案的环境可行性，从保护生态系统完整性与安全性的角度提出优化建议。</w:t>
      </w:r>
    </w:p>
    <w:p w14:paraId="2430A3CE" w14:textId="77777777" w:rsidR="00054437" w:rsidRPr="000549B1" w:rsidRDefault="00000000">
      <w:pPr>
        <w:pStyle w:val="x"/>
      </w:pPr>
      <w:r w:rsidRPr="000549B1">
        <w:t>（</w:t>
      </w:r>
      <w:r w:rsidRPr="000549B1">
        <w:t>2</w:t>
      </w:r>
      <w:r w:rsidRPr="000549B1">
        <w:t>）系统梳理流域自然环境、生态环境与社会经济现状，识别主要环境问题及保护目标，综合评价规划实施对水土资源可持续利用、生态功能维护及经济社会发展可能带来的影响，提出减轻不良环境影响的对策措施，统筹协调经济发展与生态保护。</w:t>
      </w:r>
    </w:p>
    <w:p w14:paraId="7908E2EF" w14:textId="77777777" w:rsidR="00054437" w:rsidRPr="000549B1" w:rsidRDefault="00000000">
      <w:pPr>
        <w:pStyle w:val="x"/>
      </w:pPr>
      <w:r w:rsidRPr="000549B1">
        <w:t>（</w:t>
      </w:r>
      <w:r w:rsidRPr="000549B1">
        <w:t>3</w:t>
      </w:r>
      <w:r w:rsidRPr="000549B1">
        <w:t>）针对流域内生态敏感区集中、保护目标多样的特点，重点分析规划实施对重要敏感对象的影响途径、范围和程度，从预防、控制和修复三个环节，制定系统、有针对性的环境保护措施。依据国家现行环保法律法规及相关技术规范，在充分调查流域现状基础上，以可持续发展为目标，客观评估规划实施的整体环境效益与风险，识别资源环境制约因素，提出规划优化建议。</w:t>
      </w:r>
    </w:p>
    <w:p w14:paraId="64F6E781" w14:textId="77777777" w:rsidR="00054437" w:rsidRPr="000549B1" w:rsidRDefault="00000000">
      <w:pPr>
        <w:pStyle w:val="x"/>
      </w:pPr>
      <w:r w:rsidRPr="000549B1">
        <w:t>（</w:t>
      </w:r>
      <w:r w:rsidRPr="000549B1">
        <w:t>4</w:t>
      </w:r>
      <w:r w:rsidRPr="000549B1">
        <w:t>）系统开展环境现状评价与历史回顾，识别资源环境约束；从流域尺度综合评价规划实施的生态、经济和社会效应；基于承载力分析规划环境合理性，对存在重大环境风险的规划内容提出调整意见；结合流域特点提出生态保护红线、水资源利用上限、水环境质量底线等管理要求，制定环境保护对策与跟踪评估计划，为规划决策和环境管理提供科学依据。</w:t>
      </w:r>
    </w:p>
    <w:p w14:paraId="6F1C234A" w14:textId="77777777" w:rsidR="00054437" w:rsidRPr="000549B1" w:rsidRDefault="00000000">
      <w:pPr>
        <w:pStyle w:val="3"/>
      </w:pPr>
      <w:bookmarkStart w:id="61" w:name="_Toc216106983"/>
      <w:r w:rsidRPr="000549B1">
        <w:t>评价原则</w:t>
      </w:r>
      <w:bookmarkEnd w:id="57"/>
      <w:bookmarkEnd w:id="58"/>
      <w:bookmarkEnd w:id="59"/>
      <w:bookmarkEnd w:id="60"/>
      <w:bookmarkEnd w:id="61"/>
    </w:p>
    <w:p w14:paraId="009EB624" w14:textId="77777777" w:rsidR="00054437" w:rsidRPr="000549B1" w:rsidRDefault="00000000">
      <w:pPr>
        <w:pStyle w:val="x"/>
      </w:pPr>
      <w:r w:rsidRPr="000549B1">
        <w:t>沙珠玉河流域位于青藏高原东北缘的共和盆地沙漠边缘地带，是青海省重要的内陆河流域之一，生态环境脆弱，风沙危害严重，水土流失与土地荒漠化问题突出，生态地位极为关键。沙珠玉河流域既是共和县重要的农牧业生产区域，也是青藏高原生态安全屏障的重要组成部分，在维护区域绿洲生态系统稳定、防风固沙及水源涵养方面发挥着不可替代的作用。同时，沙珠玉河流域社会经济基础较为薄弱，以农牧业为主导，居民生活条件和基础设施仍有待提升，亟需在生态保护优先的前提下推动绿色发展，实现经济建设、社会进步与生态环境保护的有机协调。</w:t>
      </w:r>
    </w:p>
    <w:p w14:paraId="265F915C" w14:textId="77777777" w:rsidR="00054437" w:rsidRPr="000549B1" w:rsidRDefault="00000000">
      <w:pPr>
        <w:pStyle w:val="x"/>
      </w:pPr>
      <w:r w:rsidRPr="000549B1">
        <w:t>根据规划环境影响评价的要求，结合沙珠玉河流域的独特特点，在规划编制过程中，应坚持环评工作的同步介入与全过程参与，对规划实施后可能产生的环境影响进行科学、客观、公正的评价。在环境影响评价过程中应遵循以下原则：</w:t>
      </w:r>
    </w:p>
    <w:p w14:paraId="3B5835D0" w14:textId="77777777" w:rsidR="00054437" w:rsidRPr="000549B1" w:rsidRDefault="00000000">
      <w:pPr>
        <w:pStyle w:val="x"/>
      </w:pPr>
      <w:r w:rsidRPr="000549B1">
        <w:t>（</w:t>
      </w:r>
      <w:r w:rsidRPr="000549B1">
        <w:t>1</w:t>
      </w:r>
      <w:r w:rsidRPr="000549B1">
        <w:t>）全程参与、充分互动</w:t>
      </w:r>
    </w:p>
    <w:p w14:paraId="421539AA" w14:textId="77777777" w:rsidR="00054437" w:rsidRPr="000549B1" w:rsidRDefault="00000000">
      <w:pPr>
        <w:pStyle w:val="x"/>
      </w:pPr>
      <w:r w:rsidRPr="000549B1">
        <w:t>评价应及早介入规划编制工作，并与规划前期研究和方案编制、论证、审定等关键环节和过程充分互动，吸纳各方意见，优化规划方案。</w:t>
      </w:r>
    </w:p>
    <w:p w14:paraId="43520513" w14:textId="77777777" w:rsidR="00054437" w:rsidRPr="000549B1" w:rsidRDefault="00000000">
      <w:pPr>
        <w:pStyle w:val="x"/>
      </w:pPr>
      <w:r w:rsidRPr="000549B1">
        <w:t>（</w:t>
      </w:r>
      <w:r w:rsidRPr="000549B1">
        <w:t>2</w:t>
      </w:r>
      <w:r w:rsidRPr="000549B1">
        <w:t>）严守红线、强化管控</w:t>
      </w:r>
    </w:p>
    <w:p w14:paraId="3C998D55" w14:textId="77777777" w:rsidR="00054437" w:rsidRPr="000549B1" w:rsidRDefault="00000000">
      <w:pPr>
        <w:pStyle w:val="x"/>
      </w:pPr>
      <w:r w:rsidRPr="000549B1">
        <w:t>评价应充分衔接已发布实施的</w:t>
      </w:r>
      <w:r w:rsidRPr="000549B1">
        <w:rPr>
          <w:rFonts w:ascii="宋体" w:hAnsi="宋体"/>
        </w:rPr>
        <w:t>“</w:t>
      </w:r>
      <w:r w:rsidRPr="000549B1">
        <w:t>三线一单</w:t>
      </w:r>
      <w:r w:rsidRPr="000549B1">
        <w:rPr>
          <w:rFonts w:ascii="宋体" w:hAnsi="宋体"/>
        </w:rPr>
        <w:t>”</w:t>
      </w:r>
      <w:r w:rsidRPr="000549B1">
        <w:t>成果，严守生态保护红线、环境质量底线和资源利用上线要求，结合评价结果进一步提出流域环境保护要求及细化重点区域生态环境管控要求的建议，指导流域专业规划或专项规划、支流下层位规划或建设项目环境准入，实现流域规划、建设项目环境影响评价的系统衔接和协同管理。</w:t>
      </w:r>
    </w:p>
    <w:p w14:paraId="69CFD124" w14:textId="77777777" w:rsidR="00054437" w:rsidRPr="000549B1" w:rsidRDefault="00000000">
      <w:pPr>
        <w:pStyle w:val="x"/>
      </w:pPr>
      <w:r w:rsidRPr="000549B1">
        <w:t>（</w:t>
      </w:r>
      <w:r w:rsidRPr="000549B1">
        <w:t>3</w:t>
      </w:r>
      <w:r w:rsidRPr="000549B1">
        <w:t>）统筹衔接、突出重点</w:t>
      </w:r>
    </w:p>
    <w:p w14:paraId="6497350E" w14:textId="77777777" w:rsidR="00054437" w:rsidRPr="000549B1" w:rsidRDefault="00000000">
      <w:pPr>
        <w:pStyle w:val="x"/>
      </w:pPr>
      <w:r w:rsidRPr="000549B1">
        <w:t>评价应科学统筹水陆、江湖、河海，以及流域上下游、左右岸、干支流生态环境保护和绿色发展，系统考虑流域开发、治理、利用、保护和管理任务与流域内各生态环境要素的关系，重点关注规划实施对流域生态系统整体性、累积性影响。</w:t>
      </w:r>
    </w:p>
    <w:p w14:paraId="17DB5845" w14:textId="77777777" w:rsidR="00054437" w:rsidRPr="000549B1" w:rsidRDefault="00000000">
      <w:pPr>
        <w:pStyle w:val="x"/>
      </w:pPr>
      <w:r w:rsidRPr="000549B1">
        <w:t>（</w:t>
      </w:r>
      <w:r w:rsidRPr="000549B1">
        <w:t>4</w:t>
      </w:r>
      <w:r w:rsidRPr="000549B1">
        <w:t>）协调一致、科学系统</w:t>
      </w:r>
    </w:p>
    <w:p w14:paraId="54D5FE0C" w14:textId="77777777" w:rsidR="00054437" w:rsidRPr="000549B1" w:rsidRDefault="00000000">
      <w:pPr>
        <w:pStyle w:val="x"/>
      </w:pPr>
      <w:r w:rsidRPr="000549B1">
        <w:t>评价内容和深度应与规划的层级、详尽程度协调一致，与规划涉及流域和区域的环境管理要求相适应，并依据不同层级规划的决策需求，提出相应的宏观决策建议以及具体的生态环境管理要求，加强流域整体性保护。</w:t>
      </w:r>
    </w:p>
    <w:p w14:paraId="307FE7EE" w14:textId="1B4E9790" w:rsidR="00054437" w:rsidRPr="000549B1" w:rsidRDefault="00000000">
      <w:pPr>
        <w:pStyle w:val="2"/>
        <w:rPr>
          <w:rFonts w:ascii="Times New Roman" w:hAnsi="Times New Roman"/>
        </w:rPr>
      </w:pPr>
      <w:bookmarkStart w:id="62" w:name="_Toc9144515"/>
      <w:bookmarkStart w:id="63" w:name="_Toc14167"/>
      <w:bookmarkStart w:id="64" w:name="_Toc208583872"/>
      <w:bookmarkStart w:id="65" w:name="_Toc529456880"/>
      <w:bookmarkStart w:id="66" w:name="_Toc216106984"/>
      <w:r w:rsidRPr="000549B1">
        <w:rPr>
          <w:rFonts w:ascii="Times New Roman" w:hAnsi="Times New Roman"/>
        </w:rPr>
        <w:t>评价依据</w:t>
      </w:r>
      <w:bookmarkEnd w:id="62"/>
      <w:bookmarkEnd w:id="63"/>
      <w:bookmarkEnd w:id="64"/>
      <w:bookmarkEnd w:id="65"/>
      <w:bookmarkEnd w:id="66"/>
    </w:p>
    <w:p w14:paraId="35F15992" w14:textId="77777777" w:rsidR="00054437" w:rsidRPr="000549B1" w:rsidRDefault="00000000" w:rsidP="004122DE">
      <w:pPr>
        <w:pStyle w:val="3"/>
      </w:pPr>
      <w:bookmarkStart w:id="67" w:name="_Toc208583873"/>
      <w:bookmarkStart w:id="68" w:name="_Toc3386"/>
      <w:bookmarkStart w:id="69" w:name="_Toc9144516"/>
      <w:bookmarkStart w:id="70" w:name="_Toc216106985"/>
      <w:r w:rsidRPr="000549B1">
        <w:t>中共中央、国务院相关政策</w:t>
      </w:r>
      <w:bookmarkEnd w:id="67"/>
      <w:bookmarkEnd w:id="68"/>
      <w:bookmarkEnd w:id="69"/>
      <w:bookmarkEnd w:id="70"/>
    </w:p>
    <w:p w14:paraId="10A4E642" w14:textId="77777777" w:rsidR="004B3C16" w:rsidRPr="000549B1" w:rsidRDefault="004B3C16" w:rsidP="004B3C16">
      <w:pPr>
        <w:snapToGrid w:val="0"/>
        <w:spacing w:line="500" w:lineRule="exact"/>
        <w:ind w:firstLineChars="200" w:firstLine="480"/>
        <w:rPr>
          <w:sz w:val="24"/>
          <w:lang w:bidi="en-US"/>
        </w:rPr>
      </w:pPr>
      <w:r w:rsidRPr="000549B1">
        <w:rPr>
          <w:rFonts w:hint="eastAsia"/>
          <w:sz w:val="24"/>
          <w:lang w:bidi="en-US"/>
        </w:rPr>
        <w:t>（</w:t>
      </w:r>
      <w:r w:rsidRPr="000549B1">
        <w:rPr>
          <w:sz w:val="24"/>
          <w:lang w:bidi="en-US"/>
        </w:rPr>
        <w:t>1</w:t>
      </w:r>
      <w:r w:rsidRPr="000549B1">
        <w:rPr>
          <w:rFonts w:hint="eastAsia"/>
          <w:sz w:val="24"/>
          <w:lang w:bidi="en-US"/>
        </w:rPr>
        <w:t>）《产业结构调整指导目录（</w:t>
      </w:r>
      <w:r w:rsidRPr="000549B1">
        <w:rPr>
          <w:sz w:val="24"/>
          <w:lang w:bidi="en-US"/>
        </w:rPr>
        <w:t>2024</w:t>
      </w:r>
      <w:r w:rsidRPr="000549B1">
        <w:rPr>
          <w:rFonts w:hint="eastAsia"/>
          <w:sz w:val="24"/>
          <w:lang w:bidi="en-US"/>
        </w:rPr>
        <w:t>年本）》（</w:t>
      </w:r>
      <w:r w:rsidRPr="000549B1">
        <w:rPr>
          <w:sz w:val="24"/>
          <w:lang w:bidi="en-US"/>
        </w:rPr>
        <w:t>2023</w:t>
      </w:r>
      <w:r w:rsidRPr="000549B1">
        <w:rPr>
          <w:rFonts w:hint="eastAsia"/>
          <w:sz w:val="24"/>
          <w:lang w:bidi="en-US"/>
        </w:rPr>
        <w:t>年第</w:t>
      </w:r>
      <w:r w:rsidRPr="000549B1">
        <w:rPr>
          <w:sz w:val="24"/>
          <w:lang w:bidi="en-US"/>
        </w:rPr>
        <w:t>7</w:t>
      </w:r>
      <w:r w:rsidRPr="000549B1">
        <w:rPr>
          <w:rFonts w:hint="eastAsia"/>
          <w:sz w:val="24"/>
          <w:lang w:bidi="en-US"/>
        </w:rPr>
        <w:t>号令）；</w:t>
      </w:r>
    </w:p>
    <w:p w14:paraId="212239AF" w14:textId="77777777" w:rsidR="004B3C16" w:rsidRPr="000549B1" w:rsidRDefault="004B3C16" w:rsidP="004B3C16">
      <w:pPr>
        <w:snapToGrid w:val="0"/>
        <w:spacing w:line="500" w:lineRule="exact"/>
        <w:ind w:firstLineChars="200" w:firstLine="480"/>
        <w:rPr>
          <w:sz w:val="24"/>
          <w:lang w:bidi="en-US"/>
        </w:rPr>
      </w:pPr>
      <w:r w:rsidRPr="000549B1">
        <w:rPr>
          <w:rFonts w:hint="eastAsia"/>
          <w:sz w:val="24"/>
          <w:lang w:bidi="en-US"/>
        </w:rPr>
        <w:t>（</w:t>
      </w:r>
      <w:r w:rsidRPr="000549B1">
        <w:rPr>
          <w:sz w:val="24"/>
          <w:lang w:bidi="en-US"/>
        </w:rPr>
        <w:t>2</w:t>
      </w:r>
      <w:r w:rsidRPr="000549B1">
        <w:rPr>
          <w:rFonts w:hint="eastAsia"/>
          <w:sz w:val="24"/>
          <w:lang w:bidi="en-US"/>
        </w:rPr>
        <w:t>）《关于进一步加强水生生物资源保护严格环境影响评价管理的通知》（环发〔</w:t>
      </w:r>
      <w:r w:rsidRPr="000549B1">
        <w:rPr>
          <w:sz w:val="24"/>
          <w:lang w:bidi="en-US"/>
        </w:rPr>
        <w:t>2013</w:t>
      </w:r>
      <w:r w:rsidRPr="000549B1">
        <w:rPr>
          <w:rFonts w:hint="eastAsia"/>
          <w:sz w:val="24"/>
          <w:lang w:bidi="en-US"/>
        </w:rPr>
        <w:t>〕</w:t>
      </w:r>
      <w:r w:rsidRPr="000549B1">
        <w:rPr>
          <w:sz w:val="24"/>
          <w:lang w:bidi="en-US"/>
        </w:rPr>
        <w:t>86</w:t>
      </w:r>
      <w:r w:rsidRPr="000549B1">
        <w:rPr>
          <w:rFonts w:hint="eastAsia"/>
          <w:sz w:val="24"/>
          <w:lang w:bidi="en-US"/>
        </w:rPr>
        <w:t>号）；</w:t>
      </w:r>
    </w:p>
    <w:p w14:paraId="390BC1E5" w14:textId="77777777" w:rsidR="004B3C16" w:rsidRPr="000549B1" w:rsidRDefault="004B3C16" w:rsidP="004B3C16">
      <w:pPr>
        <w:snapToGrid w:val="0"/>
        <w:spacing w:line="500" w:lineRule="exact"/>
        <w:ind w:firstLineChars="200" w:firstLine="480"/>
        <w:rPr>
          <w:sz w:val="24"/>
          <w:lang w:bidi="en-US"/>
        </w:rPr>
      </w:pPr>
      <w:r w:rsidRPr="000549B1">
        <w:rPr>
          <w:rFonts w:hint="eastAsia"/>
          <w:sz w:val="24"/>
          <w:lang w:bidi="en-US"/>
        </w:rPr>
        <w:t>（</w:t>
      </w:r>
      <w:r w:rsidRPr="000549B1">
        <w:rPr>
          <w:sz w:val="24"/>
          <w:lang w:bidi="en-US"/>
        </w:rPr>
        <w:t>3</w:t>
      </w:r>
      <w:r w:rsidRPr="000549B1">
        <w:rPr>
          <w:rFonts w:hint="eastAsia"/>
          <w:sz w:val="24"/>
          <w:lang w:bidi="en-US"/>
        </w:rPr>
        <w:t>）《国务院关于实行最严格水资源管理制度的意见》（国发〔</w:t>
      </w:r>
      <w:r w:rsidRPr="000549B1">
        <w:rPr>
          <w:sz w:val="24"/>
          <w:lang w:bidi="en-US"/>
        </w:rPr>
        <w:t>2012</w:t>
      </w:r>
      <w:r w:rsidRPr="000549B1">
        <w:rPr>
          <w:rFonts w:hint="eastAsia"/>
          <w:sz w:val="24"/>
          <w:lang w:bidi="en-US"/>
        </w:rPr>
        <w:t>〕</w:t>
      </w:r>
      <w:r w:rsidRPr="000549B1">
        <w:rPr>
          <w:sz w:val="24"/>
          <w:lang w:bidi="en-US"/>
        </w:rPr>
        <w:t>3</w:t>
      </w:r>
      <w:r w:rsidRPr="000549B1">
        <w:rPr>
          <w:rFonts w:hint="eastAsia"/>
          <w:sz w:val="24"/>
          <w:lang w:bidi="en-US"/>
        </w:rPr>
        <w:t>号）；</w:t>
      </w:r>
    </w:p>
    <w:p w14:paraId="131A476F" w14:textId="31193419" w:rsidR="004B3C16" w:rsidRPr="000549B1" w:rsidRDefault="004B3C16" w:rsidP="004B3C16">
      <w:pPr>
        <w:snapToGrid w:val="0"/>
        <w:spacing w:line="500" w:lineRule="exact"/>
        <w:ind w:firstLineChars="200" w:firstLine="480"/>
        <w:rPr>
          <w:sz w:val="24"/>
          <w:lang w:bidi="en-US"/>
        </w:rPr>
      </w:pPr>
      <w:r w:rsidRPr="000549B1">
        <w:rPr>
          <w:rFonts w:hint="eastAsia"/>
          <w:sz w:val="24"/>
          <w:lang w:bidi="en-US"/>
        </w:rPr>
        <w:t>（</w:t>
      </w:r>
      <w:r w:rsidRPr="000549B1">
        <w:rPr>
          <w:sz w:val="24"/>
          <w:lang w:bidi="en-US"/>
        </w:rPr>
        <w:t>4</w:t>
      </w:r>
      <w:r w:rsidRPr="000549B1">
        <w:rPr>
          <w:rFonts w:hint="eastAsia"/>
          <w:sz w:val="24"/>
          <w:lang w:bidi="en-US"/>
        </w:rPr>
        <w:t>）《水利部环境保护部关于加强水利工程建设生态环境保护工作的通知》（水规计〔</w:t>
      </w:r>
      <w:r w:rsidRPr="000549B1">
        <w:rPr>
          <w:sz w:val="24"/>
          <w:lang w:bidi="en-US"/>
        </w:rPr>
        <w:t>2017</w:t>
      </w:r>
      <w:r w:rsidRPr="000549B1">
        <w:rPr>
          <w:rFonts w:hint="eastAsia"/>
          <w:sz w:val="24"/>
          <w:lang w:bidi="en-US"/>
        </w:rPr>
        <w:t>〕</w:t>
      </w:r>
      <w:r w:rsidRPr="000549B1">
        <w:rPr>
          <w:sz w:val="24"/>
          <w:lang w:bidi="en-US"/>
        </w:rPr>
        <w:t>315</w:t>
      </w:r>
      <w:r w:rsidRPr="000549B1">
        <w:rPr>
          <w:rFonts w:hint="eastAsia"/>
          <w:sz w:val="24"/>
          <w:lang w:bidi="en-US"/>
        </w:rPr>
        <w:t>号）；</w:t>
      </w:r>
    </w:p>
    <w:p w14:paraId="72332D9C" w14:textId="77777777" w:rsidR="004B3C16" w:rsidRPr="000549B1" w:rsidRDefault="004B3C16" w:rsidP="004B3C16">
      <w:pPr>
        <w:snapToGrid w:val="0"/>
        <w:spacing w:line="500" w:lineRule="exact"/>
        <w:ind w:firstLineChars="200" w:firstLine="480"/>
        <w:rPr>
          <w:sz w:val="24"/>
          <w:lang w:bidi="en-US"/>
        </w:rPr>
      </w:pPr>
      <w:r w:rsidRPr="000549B1">
        <w:rPr>
          <w:rFonts w:hint="eastAsia"/>
          <w:sz w:val="24"/>
          <w:lang w:bidi="en-US"/>
        </w:rPr>
        <w:t>（</w:t>
      </w:r>
      <w:r w:rsidRPr="000549B1">
        <w:rPr>
          <w:sz w:val="24"/>
          <w:lang w:bidi="en-US"/>
        </w:rPr>
        <w:t>5</w:t>
      </w:r>
      <w:r w:rsidRPr="000549B1">
        <w:rPr>
          <w:rFonts w:hint="eastAsia"/>
          <w:sz w:val="24"/>
          <w:lang w:bidi="en-US"/>
        </w:rPr>
        <w:t>）《青海省生态文明先行示范区建设实施方案》（</w:t>
      </w:r>
      <w:r w:rsidRPr="000549B1">
        <w:rPr>
          <w:sz w:val="24"/>
          <w:lang w:bidi="en-US"/>
        </w:rPr>
        <w:t>2014</w:t>
      </w:r>
      <w:r w:rsidRPr="000549B1">
        <w:rPr>
          <w:rFonts w:hint="eastAsia"/>
          <w:sz w:val="24"/>
          <w:lang w:bidi="en-US"/>
        </w:rPr>
        <w:t>年</w:t>
      </w:r>
      <w:r w:rsidRPr="000549B1">
        <w:rPr>
          <w:sz w:val="24"/>
          <w:lang w:bidi="en-US"/>
        </w:rPr>
        <w:t>10</w:t>
      </w:r>
      <w:r w:rsidRPr="000549B1">
        <w:rPr>
          <w:rFonts w:hint="eastAsia"/>
          <w:sz w:val="24"/>
          <w:lang w:bidi="en-US"/>
        </w:rPr>
        <w:t>月）；</w:t>
      </w:r>
    </w:p>
    <w:p w14:paraId="3069B408" w14:textId="77777777" w:rsidR="004B3C16" w:rsidRPr="000549B1" w:rsidRDefault="004B3C16" w:rsidP="004B3C16">
      <w:pPr>
        <w:snapToGrid w:val="0"/>
        <w:spacing w:line="500" w:lineRule="exact"/>
        <w:ind w:firstLineChars="200" w:firstLine="480"/>
        <w:rPr>
          <w:sz w:val="24"/>
          <w:lang w:bidi="en-US"/>
        </w:rPr>
      </w:pPr>
      <w:r w:rsidRPr="000549B1">
        <w:rPr>
          <w:rFonts w:hint="eastAsia"/>
          <w:sz w:val="24"/>
          <w:lang w:bidi="en-US"/>
        </w:rPr>
        <w:t>（</w:t>
      </w:r>
      <w:r w:rsidRPr="000549B1">
        <w:rPr>
          <w:sz w:val="24"/>
          <w:lang w:bidi="en-US"/>
        </w:rPr>
        <w:t>6</w:t>
      </w:r>
      <w:r w:rsidRPr="000549B1">
        <w:rPr>
          <w:rFonts w:hint="eastAsia"/>
          <w:sz w:val="24"/>
          <w:lang w:bidi="en-US"/>
        </w:rPr>
        <w:t>）《青海省四区两带一线发展规划纲要》（</w:t>
      </w:r>
      <w:r w:rsidRPr="000549B1">
        <w:rPr>
          <w:sz w:val="24"/>
          <w:lang w:bidi="en-US"/>
        </w:rPr>
        <w:t>2009</w:t>
      </w:r>
      <w:r w:rsidRPr="000549B1">
        <w:rPr>
          <w:rFonts w:hint="eastAsia"/>
          <w:sz w:val="24"/>
          <w:lang w:bidi="en-US"/>
        </w:rPr>
        <w:t>年</w:t>
      </w:r>
      <w:r w:rsidRPr="000549B1">
        <w:rPr>
          <w:sz w:val="24"/>
          <w:lang w:bidi="en-US"/>
        </w:rPr>
        <w:t>10</w:t>
      </w:r>
      <w:r w:rsidRPr="000549B1">
        <w:rPr>
          <w:rFonts w:hint="eastAsia"/>
          <w:sz w:val="24"/>
          <w:lang w:bidi="en-US"/>
        </w:rPr>
        <w:t>月）；</w:t>
      </w:r>
    </w:p>
    <w:p w14:paraId="622C6235" w14:textId="77777777" w:rsidR="004B3C16" w:rsidRPr="000549B1" w:rsidRDefault="004B3C16" w:rsidP="004B3C16">
      <w:pPr>
        <w:snapToGrid w:val="0"/>
        <w:spacing w:line="500" w:lineRule="exact"/>
        <w:ind w:firstLineChars="200" w:firstLine="480"/>
        <w:rPr>
          <w:sz w:val="24"/>
          <w:lang w:bidi="en-US"/>
        </w:rPr>
      </w:pPr>
      <w:r w:rsidRPr="000549B1">
        <w:rPr>
          <w:rFonts w:hint="eastAsia"/>
          <w:sz w:val="24"/>
          <w:lang w:bidi="en-US"/>
        </w:rPr>
        <w:t>（</w:t>
      </w:r>
      <w:r w:rsidRPr="000549B1">
        <w:rPr>
          <w:sz w:val="24"/>
          <w:lang w:bidi="en-US"/>
        </w:rPr>
        <w:t>7</w:t>
      </w:r>
      <w:r w:rsidRPr="000549B1">
        <w:rPr>
          <w:rFonts w:hint="eastAsia"/>
          <w:sz w:val="24"/>
          <w:lang w:bidi="en-US"/>
        </w:rPr>
        <w:t>）《中共中央关于进一步推进四川云南甘肃青海省藏区经济社会发展和长治久安的意见》（中发〔</w:t>
      </w:r>
      <w:r w:rsidRPr="000549B1">
        <w:rPr>
          <w:sz w:val="24"/>
          <w:lang w:bidi="en-US"/>
        </w:rPr>
        <w:t>2015</w:t>
      </w:r>
      <w:r w:rsidRPr="000549B1">
        <w:rPr>
          <w:rFonts w:hint="eastAsia"/>
          <w:sz w:val="24"/>
          <w:lang w:bidi="en-US"/>
        </w:rPr>
        <w:t>〕</w:t>
      </w:r>
      <w:r w:rsidRPr="000549B1">
        <w:rPr>
          <w:sz w:val="24"/>
          <w:lang w:bidi="en-US"/>
        </w:rPr>
        <w:t>24</w:t>
      </w:r>
      <w:r w:rsidRPr="000549B1">
        <w:rPr>
          <w:rFonts w:hint="eastAsia"/>
          <w:sz w:val="24"/>
          <w:lang w:bidi="en-US"/>
        </w:rPr>
        <w:t>号文）；</w:t>
      </w:r>
    </w:p>
    <w:p w14:paraId="2728C368" w14:textId="2F0C9CF1" w:rsidR="00054437" w:rsidRPr="000549B1" w:rsidRDefault="004B3C16" w:rsidP="000549B1">
      <w:pPr>
        <w:spacing w:line="360" w:lineRule="auto"/>
        <w:ind w:firstLineChars="200" w:firstLine="480"/>
      </w:pPr>
      <w:r w:rsidRPr="000549B1">
        <w:rPr>
          <w:rFonts w:hint="eastAsia"/>
          <w:sz w:val="24"/>
          <w:lang w:bidi="en-US"/>
        </w:rPr>
        <w:t>（</w:t>
      </w:r>
      <w:r w:rsidRPr="000549B1">
        <w:rPr>
          <w:sz w:val="24"/>
          <w:lang w:bidi="en-US"/>
        </w:rPr>
        <w:t>8</w:t>
      </w:r>
      <w:r w:rsidRPr="000549B1">
        <w:rPr>
          <w:rFonts w:hint="eastAsia"/>
          <w:sz w:val="24"/>
          <w:lang w:bidi="en-US"/>
        </w:rPr>
        <w:t>）《关于新时代推进西部大开发形成新格局的指导意见》。</w:t>
      </w:r>
    </w:p>
    <w:p w14:paraId="61DD34A3" w14:textId="77777777" w:rsidR="00054437" w:rsidRPr="000549B1" w:rsidRDefault="00000000">
      <w:pPr>
        <w:pStyle w:val="3"/>
      </w:pPr>
      <w:bookmarkStart w:id="71" w:name="_Toc5104"/>
      <w:bookmarkStart w:id="72" w:name="_Toc208583874"/>
      <w:bookmarkStart w:id="73" w:name="_Toc9144517"/>
      <w:bookmarkStart w:id="74" w:name="_Toc216106986"/>
      <w:r w:rsidRPr="000549B1">
        <w:t>法律法规及规章</w:t>
      </w:r>
      <w:bookmarkEnd w:id="71"/>
      <w:bookmarkEnd w:id="72"/>
      <w:bookmarkEnd w:id="73"/>
      <w:bookmarkEnd w:id="74"/>
    </w:p>
    <w:p w14:paraId="18CAEF79" w14:textId="77777777" w:rsidR="004B3C16" w:rsidRPr="000549B1" w:rsidRDefault="004B3C16" w:rsidP="000549B1">
      <w:pPr>
        <w:pStyle w:val="x"/>
      </w:pPr>
      <w:r w:rsidRPr="000549B1">
        <w:t>（</w:t>
      </w:r>
      <w:r w:rsidRPr="000549B1">
        <w:t>1</w:t>
      </w:r>
      <w:r w:rsidRPr="000549B1">
        <w:t>）《中华人民共和国水法》（</w:t>
      </w:r>
      <w:r w:rsidRPr="000549B1">
        <w:t>2016</w:t>
      </w:r>
      <w:r w:rsidRPr="000549B1">
        <w:t>年</w:t>
      </w:r>
      <w:r w:rsidRPr="000549B1">
        <w:t>7</w:t>
      </w:r>
      <w:r w:rsidRPr="000549B1">
        <w:t>月）</w:t>
      </w:r>
      <w:r w:rsidRPr="000549B1">
        <w:rPr>
          <w:rFonts w:hint="eastAsia"/>
        </w:rPr>
        <w:t>；</w:t>
      </w:r>
    </w:p>
    <w:p w14:paraId="3C51B09A" w14:textId="77777777" w:rsidR="004B3C16" w:rsidRPr="000549B1" w:rsidRDefault="004B3C16" w:rsidP="000549B1">
      <w:pPr>
        <w:pStyle w:val="x"/>
      </w:pPr>
      <w:r w:rsidRPr="000549B1">
        <w:rPr>
          <w:rFonts w:hint="eastAsia"/>
        </w:rPr>
        <w:t>（</w:t>
      </w:r>
      <w:r w:rsidRPr="000549B1">
        <w:rPr>
          <w:rFonts w:hint="eastAsia"/>
        </w:rPr>
        <w:t>2</w:t>
      </w:r>
      <w:r w:rsidRPr="000549B1">
        <w:rPr>
          <w:rFonts w:hint="eastAsia"/>
        </w:rPr>
        <w:t>）《</w:t>
      </w:r>
      <w:r w:rsidRPr="000549B1">
        <w:t>中华人民共和国</w:t>
      </w:r>
      <w:r w:rsidRPr="000549B1">
        <w:rPr>
          <w:rFonts w:hint="eastAsia"/>
        </w:rPr>
        <w:t>黄河保护法》（</w:t>
      </w:r>
      <w:r w:rsidRPr="000549B1">
        <w:rPr>
          <w:rFonts w:hint="eastAsia"/>
        </w:rPr>
        <w:t>2</w:t>
      </w:r>
      <w:r w:rsidRPr="000549B1">
        <w:t>023</w:t>
      </w:r>
      <w:r w:rsidRPr="000549B1">
        <w:rPr>
          <w:rFonts w:hint="eastAsia"/>
        </w:rPr>
        <w:t>年</w:t>
      </w:r>
      <w:r w:rsidRPr="000549B1">
        <w:rPr>
          <w:rFonts w:hint="eastAsia"/>
        </w:rPr>
        <w:t>4</w:t>
      </w:r>
      <w:r w:rsidRPr="000549B1">
        <w:rPr>
          <w:rFonts w:hint="eastAsia"/>
        </w:rPr>
        <w:t>月</w:t>
      </w:r>
      <w:r w:rsidRPr="000549B1">
        <w:rPr>
          <w:rFonts w:hint="eastAsia"/>
        </w:rPr>
        <w:t>1</w:t>
      </w:r>
      <w:r w:rsidRPr="000549B1">
        <w:rPr>
          <w:rFonts w:hint="eastAsia"/>
        </w:rPr>
        <w:t>日）；</w:t>
      </w:r>
    </w:p>
    <w:p w14:paraId="24F0CDE7" w14:textId="77777777" w:rsidR="004B3C16" w:rsidRPr="000549B1" w:rsidRDefault="004B3C16" w:rsidP="000549B1">
      <w:pPr>
        <w:pStyle w:val="x"/>
      </w:pPr>
      <w:r w:rsidRPr="000549B1">
        <w:t>（</w:t>
      </w:r>
      <w:r w:rsidRPr="000549B1">
        <w:t>3</w:t>
      </w:r>
      <w:r w:rsidRPr="000549B1">
        <w:t>）《中华人民共和国水土保持法》（</w:t>
      </w:r>
      <w:r w:rsidRPr="000549B1">
        <w:t>2011</w:t>
      </w:r>
      <w:r w:rsidRPr="000549B1">
        <w:t>年</w:t>
      </w:r>
      <w:r w:rsidRPr="000549B1">
        <w:t>3</w:t>
      </w:r>
      <w:r w:rsidRPr="000549B1">
        <w:t>月）；</w:t>
      </w:r>
    </w:p>
    <w:p w14:paraId="4517D51C" w14:textId="77777777" w:rsidR="004B3C16" w:rsidRPr="000549B1" w:rsidRDefault="004B3C16" w:rsidP="000549B1">
      <w:pPr>
        <w:pStyle w:val="x"/>
      </w:pPr>
      <w:r w:rsidRPr="000549B1">
        <w:t>（</w:t>
      </w:r>
      <w:r w:rsidRPr="000549B1">
        <w:t>4</w:t>
      </w:r>
      <w:r w:rsidRPr="000549B1">
        <w:t>）《中华人民共和国环境保护法》（</w:t>
      </w:r>
      <w:r w:rsidRPr="000549B1">
        <w:t>2015</w:t>
      </w:r>
      <w:r w:rsidRPr="000549B1">
        <w:t>年</w:t>
      </w:r>
      <w:r w:rsidRPr="000549B1">
        <w:t>1</w:t>
      </w:r>
      <w:r w:rsidRPr="000549B1">
        <w:t>月）；</w:t>
      </w:r>
    </w:p>
    <w:p w14:paraId="3E5763DF" w14:textId="77777777" w:rsidR="004B3C16" w:rsidRPr="000549B1" w:rsidRDefault="004B3C16" w:rsidP="000549B1">
      <w:pPr>
        <w:pStyle w:val="x"/>
      </w:pPr>
      <w:r w:rsidRPr="000549B1">
        <w:t>（</w:t>
      </w:r>
      <w:r w:rsidRPr="000549B1">
        <w:t>5</w:t>
      </w:r>
      <w:r w:rsidRPr="000549B1">
        <w:t>）《中华人民共和国水污染防治法》（</w:t>
      </w:r>
      <w:r w:rsidRPr="000549B1">
        <w:t>2018</w:t>
      </w:r>
      <w:r w:rsidRPr="000549B1">
        <w:t>年</w:t>
      </w:r>
      <w:r w:rsidRPr="000549B1">
        <w:t>6</w:t>
      </w:r>
      <w:r w:rsidRPr="000549B1">
        <w:t>月）；</w:t>
      </w:r>
    </w:p>
    <w:p w14:paraId="399F2D8A" w14:textId="77777777" w:rsidR="004B3C16" w:rsidRPr="000549B1" w:rsidRDefault="004B3C16" w:rsidP="000549B1">
      <w:pPr>
        <w:pStyle w:val="x"/>
      </w:pPr>
      <w:r w:rsidRPr="000549B1">
        <w:rPr>
          <w:rFonts w:hint="eastAsia"/>
        </w:rPr>
        <w:t>（</w:t>
      </w:r>
      <w:r w:rsidRPr="000549B1">
        <w:t>6</w:t>
      </w:r>
      <w:r w:rsidRPr="000549B1">
        <w:rPr>
          <w:rFonts w:hint="eastAsia"/>
        </w:rPr>
        <w:t>）《节约用水条例》</w:t>
      </w:r>
      <w:r w:rsidRPr="000549B1">
        <w:t>（</w:t>
      </w:r>
      <w:r w:rsidRPr="000549B1">
        <w:t>2024</w:t>
      </w:r>
      <w:r w:rsidRPr="000549B1">
        <w:t>年</w:t>
      </w:r>
      <w:r w:rsidRPr="000549B1">
        <w:t>5</w:t>
      </w:r>
      <w:r w:rsidRPr="000549B1">
        <w:t>月）；</w:t>
      </w:r>
    </w:p>
    <w:p w14:paraId="2AA2E492" w14:textId="2EF0732F" w:rsidR="004B3C16" w:rsidRPr="000549B1" w:rsidRDefault="004B3C16" w:rsidP="000549B1">
      <w:pPr>
        <w:pStyle w:val="x"/>
      </w:pPr>
      <w:r w:rsidRPr="000549B1">
        <w:rPr>
          <w:rFonts w:hint="eastAsia"/>
        </w:rPr>
        <w:t>（</w:t>
      </w:r>
      <w:r w:rsidRPr="000549B1">
        <w:t>7</w:t>
      </w:r>
      <w:r w:rsidRPr="000549B1">
        <w:rPr>
          <w:rFonts w:hint="eastAsia"/>
        </w:rPr>
        <w:t>）《水资源规划规范》（</w:t>
      </w:r>
      <w:r w:rsidRPr="000549B1">
        <w:rPr>
          <w:rFonts w:hint="eastAsia"/>
        </w:rPr>
        <w:t>G</w:t>
      </w:r>
      <w:r w:rsidRPr="000549B1">
        <w:t>B51051-2014</w:t>
      </w:r>
      <w:r w:rsidRPr="000549B1">
        <w:rPr>
          <w:rFonts w:hint="eastAsia"/>
        </w:rPr>
        <w:t>）；</w:t>
      </w:r>
    </w:p>
    <w:p w14:paraId="46277BEC" w14:textId="597F8C38" w:rsidR="004B3C16" w:rsidRPr="000549B1" w:rsidRDefault="004B3C16" w:rsidP="000549B1">
      <w:pPr>
        <w:pStyle w:val="x"/>
      </w:pPr>
      <w:r w:rsidRPr="000549B1">
        <w:t>（</w:t>
      </w:r>
      <w:r w:rsidRPr="000549B1">
        <w:t>8</w:t>
      </w:r>
      <w:r w:rsidRPr="000549B1">
        <w:t>）《节水灌溉工程技术</w:t>
      </w:r>
      <w:r w:rsidRPr="000549B1">
        <w:rPr>
          <w:rFonts w:hint="eastAsia"/>
        </w:rPr>
        <w:t>标准</w:t>
      </w:r>
      <w:r w:rsidRPr="000549B1">
        <w:t>（</w:t>
      </w:r>
      <w:r w:rsidRPr="000549B1">
        <w:t>GB/T50363-2018</w:t>
      </w:r>
      <w:r w:rsidRPr="000549B1">
        <w:t>）；</w:t>
      </w:r>
    </w:p>
    <w:p w14:paraId="73C9E020" w14:textId="0D331863" w:rsidR="004B3C16" w:rsidRPr="000549B1" w:rsidRDefault="004B3C16" w:rsidP="000549B1">
      <w:pPr>
        <w:pStyle w:val="x"/>
      </w:pPr>
      <w:r w:rsidRPr="000549B1">
        <w:t>（</w:t>
      </w:r>
      <w:r w:rsidRPr="000549B1">
        <w:t>9</w:t>
      </w:r>
      <w:r w:rsidRPr="000549B1">
        <w:t>）《城镇给水排水技术规范》（</w:t>
      </w:r>
      <w:r w:rsidRPr="000549B1">
        <w:t>GB50788-2012</w:t>
      </w:r>
      <w:r w:rsidRPr="000549B1">
        <w:t>）；</w:t>
      </w:r>
    </w:p>
    <w:p w14:paraId="22A83233" w14:textId="7C3B51D9" w:rsidR="004B3C16" w:rsidRPr="000549B1" w:rsidRDefault="004B3C16" w:rsidP="000549B1">
      <w:pPr>
        <w:pStyle w:val="x"/>
      </w:pPr>
      <w:r w:rsidRPr="000549B1">
        <w:t>（</w:t>
      </w:r>
      <w:r w:rsidRPr="000549B1">
        <w:t>10</w:t>
      </w:r>
      <w:r w:rsidRPr="000549B1">
        <w:t>）《城市居民生活用水量标准》（</w:t>
      </w:r>
      <w:r w:rsidRPr="000549B1">
        <w:t>GB/T50331-2002</w:t>
      </w:r>
      <w:r w:rsidRPr="000549B1">
        <w:t>）；</w:t>
      </w:r>
    </w:p>
    <w:p w14:paraId="299A8AB2" w14:textId="0ABFE167" w:rsidR="004B3C16" w:rsidRPr="000549B1" w:rsidRDefault="004B3C16" w:rsidP="000549B1">
      <w:pPr>
        <w:pStyle w:val="x"/>
      </w:pPr>
      <w:r w:rsidRPr="000549B1">
        <w:t>（</w:t>
      </w:r>
      <w:r w:rsidRPr="000549B1">
        <w:t>11</w:t>
      </w:r>
      <w:r w:rsidRPr="000549B1">
        <w:t>）《水利建设项目经济评价规范》（</w:t>
      </w:r>
      <w:r w:rsidRPr="000549B1">
        <w:t>SL72-2013</w:t>
      </w:r>
      <w:r w:rsidRPr="000549B1">
        <w:t>）；</w:t>
      </w:r>
    </w:p>
    <w:p w14:paraId="28C7A309" w14:textId="7E36F1B9" w:rsidR="004B3C16" w:rsidRPr="000549B1" w:rsidRDefault="004B3C16" w:rsidP="000549B1">
      <w:pPr>
        <w:pStyle w:val="x"/>
      </w:pPr>
      <w:r w:rsidRPr="000549B1">
        <w:t>（</w:t>
      </w:r>
      <w:r w:rsidRPr="000549B1">
        <w:t>12</w:t>
      </w:r>
      <w:r w:rsidRPr="000549B1">
        <w:t>）</w:t>
      </w:r>
      <w:r w:rsidRPr="000549B1">
        <w:rPr>
          <w:rFonts w:hint="eastAsia"/>
        </w:rPr>
        <w:t>《区域供水规划导则》（</w:t>
      </w:r>
      <w:r w:rsidRPr="000549B1">
        <w:rPr>
          <w:rFonts w:hint="eastAsia"/>
        </w:rPr>
        <w:t>S</w:t>
      </w:r>
      <w:r w:rsidRPr="000549B1">
        <w:t>L726-2015</w:t>
      </w:r>
      <w:r w:rsidRPr="000549B1">
        <w:rPr>
          <w:rFonts w:hint="eastAsia"/>
        </w:rPr>
        <w:t>）；</w:t>
      </w:r>
    </w:p>
    <w:p w14:paraId="0DC657FB" w14:textId="1CE44716" w:rsidR="004B3C16" w:rsidRPr="000549B1" w:rsidRDefault="004B3C16" w:rsidP="000549B1">
      <w:pPr>
        <w:pStyle w:val="x"/>
      </w:pPr>
      <w:r w:rsidRPr="000549B1">
        <w:rPr>
          <w:rFonts w:hint="eastAsia"/>
        </w:rPr>
        <w:t>（</w:t>
      </w:r>
      <w:r w:rsidRPr="000549B1">
        <w:rPr>
          <w:rFonts w:hint="eastAsia"/>
        </w:rPr>
        <w:t>1</w:t>
      </w:r>
      <w:r w:rsidRPr="000549B1">
        <w:t>3</w:t>
      </w:r>
      <w:r w:rsidRPr="000549B1">
        <w:rPr>
          <w:rFonts w:hint="eastAsia"/>
        </w:rPr>
        <w:t>）</w:t>
      </w:r>
      <w:r w:rsidRPr="000549B1">
        <w:t>《江河流域规划编制规程》（</w:t>
      </w:r>
      <w:r w:rsidRPr="000549B1">
        <w:t>SL201-2015</w:t>
      </w:r>
      <w:r w:rsidRPr="000549B1">
        <w:t>）；</w:t>
      </w:r>
    </w:p>
    <w:p w14:paraId="0D29E525" w14:textId="77777777" w:rsidR="004B3C16" w:rsidRPr="000549B1" w:rsidRDefault="004B3C16" w:rsidP="000549B1">
      <w:pPr>
        <w:pStyle w:val="x"/>
      </w:pPr>
      <w:r w:rsidRPr="000549B1">
        <w:t>（</w:t>
      </w:r>
      <w:r w:rsidRPr="000549B1">
        <w:t>14</w:t>
      </w:r>
      <w:r w:rsidRPr="000549B1">
        <w:t>）《国务院关于实行最严格水资源管理制度的意见》（国务院国办发〔</w:t>
      </w:r>
      <w:r w:rsidRPr="000549B1">
        <w:t>2012</w:t>
      </w:r>
      <w:r w:rsidRPr="000549B1">
        <w:t>〕</w:t>
      </w:r>
      <w:r w:rsidRPr="000549B1">
        <w:t>3</w:t>
      </w:r>
      <w:r w:rsidRPr="000549B1">
        <w:t>号文）；</w:t>
      </w:r>
    </w:p>
    <w:p w14:paraId="1B486F52" w14:textId="7C87DAA6" w:rsidR="004B3C16" w:rsidRPr="000549B1" w:rsidRDefault="004B3C16" w:rsidP="000549B1">
      <w:pPr>
        <w:pStyle w:val="x"/>
      </w:pPr>
      <w:r w:rsidRPr="000549B1">
        <w:t>（</w:t>
      </w:r>
      <w:r w:rsidRPr="000549B1">
        <w:t>15</w:t>
      </w:r>
      <w:r w:rsidRPr="000549B1">
        <w:t>）中共中央办公厅国务院办公厅印发《关于全面推行河长制的意见》（</w:t>
      </w:r>
      <w:r w:rsidRPr="000549B1">
        <w:t>2016</w:t>
      </w:r>
      <w:r w:rsidRPr="000549B1">
        <w:t>年</w:t>
      </w:r>
      <w:r w:rsidRPr="000549B1">
        <w:t>12</w:t>
      </w:r>
      <w:r w:rsidRPr="000549B1">
        <w:t>月</w:t>
      </w:r>
      <w:r w:rsidRPr="000549B1">
        <w:t>11</w:t>
      </w:r>
      <w:r w:rsidRPr="000549B1">
        <w:t>日）；</w:t>
      </w:r>
    </w:p>
    <w:p w14:paraId="44E35D14" w14:textId="02DC1356" w:rsidR="004B3C16" w:rsidRPr="000549B1" w:rsidRDefault="004B3C16" w:rsidP="000549B1">
      <w:pPr>
        <w:pStyle w:val="x"/>
      </w:pPr>
      <w:r w:rsidRPr="000549B1">
        <w:t>（</w:t>
      </w:r>
      <w:r w:rsidRPr="000549B1">
        <w:t>16</w:t>
      </w:r>
      <w:r w:rsidRPr="000549B1">
        <w:t>）《河湖生态环境需水计算规范》（</w:t>
      </w:r>
      <w:r w:rsidRPr="000549B1">
        <w:t>SL/Z712-2021</w:t>
      </w:r>
      <w:r w:rsidRPr="000549B1">
        <w:t>）</w:t>
      </w:r>
      <w:r w:rsidRPr="000549B1">
        <w:rPr>
          <w:rFonts w:hint="eastAsia"/>
        </w:rPr>
        <w:t>；</w:t>
      </w:r>
    </w:p>
    <w:p w14:paraId="61769C42" w14:textId="77777777" w:rsidR="004B3C16" w:rsidRPr="000549B1" w:rsidRDefault="004B3C16" w:rsidP="000549B1">
      <w:pPr>
        <w:pStyle w:val="x"/>
      </w:pPr>
      <w:r w:rsidRPr="000549B1">
        <w:t>（</w:t>
      </w:r>
      <w:r w:rsidRPr="000549B1">
        <w:t>17</w:t>
      </w:r>
      <w:r w:rsidRPr="000549B1">
        <w:t>）《</w:t>
      </w:r>
      <w:r w:rsidRPr="000549B1">
        <w:rPr>
          <w:rFonts w:hint="eastAsia"/>
        </w:rPr>
        <w:t>青海省</w:t>
      </w:r>
      <w:r w:rsidRPr="000549B1">
        <w:t>节约用水</w:t>
      </w:r>
      <w:r w:rsidRPr="000549B1">
        <w:rPr>
          <w:rFonts w:hint="eastAsia"/>
        </w:rPr>
        <w:t>管理办法</w:t>
      </w:r>
      <w:r w:rsidRPr="000549B1">
        <w:t>》</w:t>
      </w:r>
      <w:r w:rsidRPr="000549B1">
        <w:rPr>
          <w:rFonts w:hint="eastAsia"/>
        </w:rPr>
        <w:t>（</w:t>
      </w:r>
      <w:r w:rsidRPr="000549B1">
        <w:rPr>
          <w:rFonts w:hint="eastAsia"/>
        </w:rPr>
        <w:t>2019</w:t>
      </w:r>
      <w:r w:rsidRPr="000549B1">
        <w:rPr>
          <w:rFonts w:hint="eastAsia"/>
        </w:rPr>
        <w:t>年）；</w:t>
      </w:r>
    </w:p>
    <w:p w14:paraId="1E558192" w14:textId="77777777" w:rsidR="004B3C16" w:rsidRPr="000549B1" w:rsidRDefault="004B3C16" w:rsidP="000549B1">
      <w:pPr>
        <w:pStyle w:val="x"/>
      </w:pPr>
      <w:r w:rsidRPr="000549B1">
        <w:rPr>
          <w:rFonts w:hint="eastAsia"/>
        </w:rPr>
        <w:t>（</w:t>
      </w:r>
      <w:r w:rsidRPr="000549B1">
        <w:rPr>
          <w:rFonts w:hint="eastAsia"/>
        </w:rPr>
        <w:t>1</w:t>
      </w:r>
      <w:r w:rsidRPr="000549B1">
        <w:t>8</w:t>
      </w:r>
      <w:r w:rsidRPr="000549B1">
        <w:rPr>
          <w:rFonts w:hint="eastAsia"/>
        </w:rPr>
        <w:t>）《青海省取水许可和水资源费征收管理办法》（</w:t>
      </w:r>
      <w:r w:rsidRPr="000549B1">
        <w:rPr>
          <w:rFonts w:hint="eastAsia"/>
        </w:rPr>
        <w:t>20</w:t>
      </w:r>
      <w:r w:rsidRPr="000549B1">
        <w:t>24</w:t>
      </w:r>
      <w:r w:rsidRPr="000549B1">
        <w:rPr>
          <w:rFonts w:hint="eastAsia"/>
        </w:rPr>
        <w:t>年）；</w:t>
      </w:r>
    </w:p>
    <w:p w14:paraId="51587F9A" w14:textId="77777777" w:rsidR="004B3C16" w:rsidRPr="000549B1" w:rsidRDefault="004B3C16" w:rsidP="000549B1">
      <w:pPr>
        <w:pStyle w:val="x"/>
      </w:pPr>
      <w:r w:rsidRPr="000549B1">
        <w:t>（</w:t>
      </w:r>
      <w:r w:rsidRPr="000549B1">
        <w:rPr>
          <w:rFonts w:hint="eastAsia"/>
        </w:rPr>
        <w:t>1</w:t>
      </w:r>
      <w:r w:rsidRPr="000549B1">
        <w:t>9</w:t>
      </w:r>
      <w:r w:rsidRPr="000549B1">
        <w:t>）《青海省</w:t>
      </w:r>
      <w:r w:rsidRPr="000549B1">
        <w:rPr>
          <w:rFonts w:hint="eastAsia"/>
        </w:rPr>
        <w:t>水利厅青海省发展和改革委员会</w:t>
      </w:r>
      <w:r w:rsidRPr="000549B1">
        <w:t>关于印发</w:t>
      </w:r>
      <w:r w:rsidRPr="000549B1">
        <w:t>“</w:t>
      </w:r>
      <w:r w:rsidRPr="000549B1">
        <w:t>十四五</w:t>
      </w:r>
      <w:r w:rsidRPr="000549B1">
        <w:t>”</w:t>
      </w:r>
      <w:r w:rsidRPr="000549B1">
        <w:rPr>
          <w:rFonts w:hint="eastAsia"/>
        </w:rPr>
        <w:t>用水总量和强度</w:t>
      </w:r>
      <w:r w:rsidRPr="000549B1">
        <w:t>控制指标分解方案的通知》（青</w:t>
      </w:r>
      <w:r w:rsidRPr="000549B1">
        <w:rPr>
          <w:rFonts w:hint="eastAsia"/>
        </w:rPr>
        <w:t>水资</w:t>
      </w:r>
      <w:r w:rsidRPr="000549B1">
        <w:t>〔</w:t>
      </w:r>
      <w:r w:rsidRPr="000549B1">
        <w:t>20</w:t>
      </w:r>
      <w:r w:rsidRPr="000549B1">
        <w:rPr>
          <w:rFonts w:hint="eastAsia"/>
        </w:rPr>
        <w:t>22</w:t>
      </w:r>
      <w:r w:rsidRPr="000549B1">
        <w:t>〕</w:t>
      </w:r>
      <w:r w:rsidRPr="000549B1">
        <w:rPr>
          <w:rFonts w:hint="eastAsia"/>
        </w:rPr>
        <w:t>55</w:t>
      </w:r>
      <w:r w:rsidRPr="000549B1">
        <w:t>号）；</w:t>
      </w:r>
    </w:p>
    <w:p w14:paraId="7919448B" w14:textId="29436987" w:rsidR="00054437" w:rsidRPr="000549B1" w:rsidRDefault="004B3C16">
      <w:pPr>
        <w:pStyle w:val="x"/>
      </w:pPr>
      <w:r w:rsidRPr="000549B1">
        <w:t>（</w:t>
      </w:r>
      <w:r w:rsidRPr="000549B1">
        <w:t>20</w:t>
      </w:r>
      <w:r w:rsidRPr="000549B1">
        <w:t>）海南州人民政府办公室《关于下达</w:t>
      </w:r>
      <w:r w:rsidRPr="000549B1">
        <w:t>2025</w:t>
      </w:r>
      <w:r w:rsidRPr="000549B1">
        <w:t>年海南州用水总量控制指标的通知》（南政办〔</w:t>
      </w:r>
      <w:r w:rsidRPr="000549B1">
        <w:t>2022</w:t>
      </w:r>
      <w:r w:rsidRPr="000549B1">
        <w:t>〕</w:t>
      </w:r>
      <w:r w:rsidRPr="000549B1">
        <w:t>18</w:t>
      </w:r>
      <w:r w:rsidRPr="000549B1">
        <w:t>号）。</w:t>
      </w:r>
    </w:p>
    <w:p w14:paraId="59676E19" w14:textId="77777777" w:rsidR="00054437" w:rsidRPr="000549B1" w:rsidRDefault="00000000">
      <w:pPr>
        <w:pStyle w:val="3"/>
      </w:pPr>
      <w:bookmarkStart w:id="75" w:name="_Toc208583875"/>
      <w:bookmarkStart w:id="76" w:name="_Toc529456882"/>
      <w:bookmarkStart w:id="77" w:name="_Toc9144518"/>
      <w:bookmarkStart w:id="78" w:name="_Toc14240"/>
      <w:bookmarkStart w:id="79" w:name="_Toc216106987"/>
      <w:r w:rsidRPr="000549B1">
        <w:t>技术规范与标准</w:t>
      </w:r>
      <w:bookmarkEnd w:id="75"/>
      <w:bookmarkEnd w:id="76"/>
      <w:bookmarkEnd w:id="77"/>
      <w:bookmarkEnd w:id="78"/>
      <w:bookmarkEnd w:id="79"/>
    </w:p>
    <w:p w14:paraId="36C058CA" w14:textId="1A343025" w:rsidR="004B3C16" w:rsidRPr="000549B1" w:rsidRDefault="004B3C16" w:rsidP="004B3C16">
      <w:pPr>
        <w:pStyle w:val="x"/>
      </w:pPr>
      <w:bookmarkStart w:id="80" w:name="_Hlk216122526"/>
      <w:r w:rsidRPr="000549B1">
        <w:rPr>
          <w:rFonts w:hint="eastAsia"/>
        </w:rPr>
        <w:t>（</w:t>
      </w:r>
      <w:r w:rsidRPr="000549B1">
        <w:t>1</w:t>
      </w:r>
      <w:r w:rsidRPr="000549B1">
        <w:rPr>
          <w:rFonts w:hint="eastAsia"/>
        </w:rPr>
        <w:t>）《规划环境影响评价技术导则总纲》（</w:t>
      </w:r>
      <w:r w:rsidRPr="000549B1">
        <w:t>HJ130-201</w:t>
      </w:r>
      <w:r w:rsidRPr="000549B1">
        <w:rPr>
          <w:rFonts w:hint="eastAsia"/>
        </w:rPr>
        <w:t>9</w:t>
      </w:r>
      <w:r w:rsidRPr="000549B1">
        <w:rPr>
          <w:rFonts w:hint="eastAsia"/>
        </w:rPr>
        <w:t>）；</w:t>
      </w:r>
    </w:p>
    <w:p w14:paraId="0C1B1820" w14:textId="4FDE75A0" w:rsidR="004B3C16" w:rsidRPr="000549B1" w:rsidRDefault="004B3C16" w:rsidP="004B3C16">
      <w:pPr>
        <w:pStyle w:val="x"/>
      </w:pPr>
      <w:r w:rsidRPr="000549B1">
        <w:rPr>
          <w:rFonts w:hint="eastAsia"/>
        </w:rPr>
        <w:t>（</w:t>
      </w:r>
      <w:r w:rsidRPr="000549B1">
        <w:rPr>
          <w:rFonts w:hint="eastAsia"/>
        </w:rPr>
        <w:t>2</w:t>
      </w:r>
      <w:r w:rsidRPr="000549B1">
        <w:rPr>
          <w:rFonts w:hint="eastAsia"/>
        </w:rPr>
        <w:t>）</w:t>
      </w:r>
      <w:r w:rsidRPr="000549B1">
        <w:t>《规划环境影响评价技术导则流域综合规划》（</w:t>
      </w:r>
      <w:r w:rsidRPr="000549B1">
        <w:t>HJ1218-2021</w:t>
      </w:r>
      <w:r w:rsidRPr="000549B1">
        <w:t>）</w:t>
      </w:r>
      <w:r w:rsidRPr="000549B1">
        <w:rPr>
          <w:rFonts w:hint="eastAsia"/>
        </w:rPr>
        <w:t>；</w:t>
      </w:r>
    </w:p>
    <w:p w14:paraId="067935D5" w14:textId="77777777" w:rsidR="004B3C16" w:rsidRPr="000549B1" w:rsidRDefault="004B3C16" w:rsidP="004B3C16">
      <w:pPr>
        <w:pStyle w:val="x"/>
      </w:pPr>
      <w:r w:rsidRPr="000549B1">
        <w:rPr>
          <w:rFonts w:hint="eastAsia"/>
        </w:rPr>
        <w:t>（</w:t>
      </w:r>
      <w:r w:rsidRPr="000549B1">
        <w:rPr>
          <w:rFonts w:hint="eastAsia"/>
        </w:rPr>
        <w:t>3</w:t>
      </w:r>
      <w:r w:rsidRPr="000549B1">
        <w:rPr>
          <w:rFonts w:hint="eastAsia"/>
        </w:rPr>
        <w:t>）</w:t>
      </w:r>
      <w:r w:rsidRPr="000549B1">
        <w:t>《规划环境影响跟踪评价技术指南（试行）》（环办环评〔</w:t>
      </w:r>
      <w:r w:rsidRPr="000549B1">
        <w:t>2019</w:t>
      </w:r>
      <w:r w:rsidRPr="000549B1">
        <w:t>〕</w:t>
      </w:r>
      <w:r w:rsidRPr="000549B1">
        <w:t>20</w:t>
      </w:r>
      <w:r w:rsidRPr="000549B1">
        <w:t>号）</w:t>
      </w:r>
      <w:r w:rsidRPr="000549B1">
        <w:rPr>
          <w:rFonts w:hint="eastAsia"/>
        </w:rPr>
        <w:t>；</w:t>
      </w:r>
    </w:p>
    <w:p w14:paraId="7312D450" w14:textId="5F27B596" w:rsidR="004B3C16" w:rsidRPr="000549B1" w:rsidRDefault="004B3C16" w:rsidP="004B3C16">
      <w:pPr>
        <w:pStyle w:val="x"/>
      </w:pPr>
      <w:r w:rsidRPr="000549B1">
        <w:t>（</w:t>
      </w:r>
      <w:r w:rsidRPr="000549B1">
        <w:rPr>
          <w:rFonts w:hint="eastAsia"/>
        </w:rPr>
        <w:t>4</w:t>
      </w:r>
      <w:r w:rsidRPr="000549B1">
        <w:t>）《江河流域规划环境影响评价规范》（</w:t>
      </w:r>
      <w:r w:rsidRPr="000549B1">
        <w:t>SL45-2006</w:t>
      </w:r>
      <w:r w:rsidRPr="000549B1">
        <w:t>）；</w:t>
      </w:r>
    </w:p>
    <w:p w14:paraId="3467FA26" w14:textId="24535B7D" w:rsidR="004B3C16" w:rsidRPr="000549B1" w:rsidRDefault="004B3C16" w:rsidP="004B3C16">
      <w:pPr>
        <w:pStyle w:val="x"/>
      </w:pPr>
      <w:r w:rsidRPr="000549B1">
        <w:t>（</w:t>
      </w:r>
      <w:r w:rsidRPr="000549B1">
        <w:rPr>
          <w:rFonts w:hint="eastAsia"/>
        </w:rPr>
        <w:t>5</w:t>
      </w:r>
      <w:r w:rsidRPr="000549B1">
        <w:t>）《环境影响评价技术导则水利水电工程》（</w:t>
      </w:r>
      <w:r w:rsidRPr="000549B1">
        <w:t>HJ/T88-2003</w:t>
      </w:r>
      <w:r w:rsidRPr="000549B1">
        <w:t>）；</w:t>
      </w:r>
    </w:p>
    <w:p w14:paraId="13F44BAA" w14:textId="46F032A8" w:rsidR="004B3C16" w:rsidRPr="000549B1" w:rsidRDefault="004B3C16" w:rsidP="004B3C16">
      <w:pPr>
        <w:pStyle w:val="x"/>
      </w:pPr>
      <w:r w:rsidRPr="000549B1">
        <w:t>（</w:t>
      </w:r>
      <w:r w:rsidRPr="000549B1">
        <w:rPr>
          <w:rFonts w:hint="eastAsia"/>
        </w:rPr>
        <w:t>6</w:t>
      </w:r>
      <w:r w:rsidRPr="000549B1">
        <w:t>）《环境影响评价技术导则</w:t>
      </w:r>
      <w:r w:rsidRPr="000549B1">
        <w:rPr>
          <w:rFonts w:hint="eastAsia"/>
        </w:rPr>
        <w:t>-</w:t>
      </w:r>
      <w:r w:rsidRPr="000549B1">
        <w:t>地表水环境》（</w:t>
      </w:r>
      <w:r w:rsidRPr="000549B1">
        <w:t>HJ2.3-2018</w:t>
      </w:r>
      <w:r w:rsidRPr="000549B1">
        <w:t>）；</w:t>
      </w:r>
    </w:p>
    <w:p w14:paraId="1E0773A7" w14:textId="77777777" w:rsidR="004B3C16" w:rsidRPr="000549B1" w:rsidRDefault="004B3C16" w:rsidP="000549B1">
      <w:pPr>
        <w:spacing w:line="500" w:lineRule="exact"/>
        <w:ind w:firstLineChars="200" w:firstLine="480"/>
        <w:textAlignment w:val="baseline"/>
        <w:rPr>
          <w:snapToGrid w:val="0"/>
          <w:szCs w:val="24"/>
        </w:rPr>
      </w:pPr>
      <w:r w:rsidRPr="000549B1">
        <w:rPr>
          <w:rFonts w:hint="eastAsia"/>
          <w:snapToGrid w:val="0"/>
          <w:sz w:val="24"/>
          <w:szCs w:val="24"/>
        </w:rPr>
        <w:t>（</w:t>
      </w:r>
      <w:r w:rsidRPr="000549B1">
        <w:rPr>
          <w:snapToGrid w:val="0"/>
          <w:sz w:val="24"/>
          <w:szCs w:val="24"/>
        </w:rPr>
        <w:t>7</w:t>
      </w:r>
      <w:r w:rsidRPr="000549B1">
        <w:rPr>
          <w:rFonts w:hint="eastAsia"/>
          <w:snapToGrid w:val="0"/>
          <w:sz w:val="24"/>
          <w:szCs w:val="24"/>
        </w:rPr>
        <w:t>）《环境影响评价技术导则</w:t>
      </w:r>
      <w:r w:rsidRPr="000549B1">
        <w:rPr>
          <w:snapToGrid w:val="0"/>
          <w:sz w:val="24"/>
          <w:szCs w:val="24"/>
        </w:rPr>
        <w:t>-</w:t>
      </w:r>
      <w:r w:rsidRPr="000549B1">
        <w:rPr>
          <w:rFonts w:hint="eastAsia"/>
          <w:snapToGrid w:val="0"/>
          <w:sz w:val="24"/>
          <w:szCs w:val="24"/>
        </w:rPr>
        <w:t>地下水环境》（</w:t>
      </w:r>
      <w:r w:rsidRPr="000549B1">
        <w:rPr>
          <w:snapToGrid w:val="0"/>
          <w:sz w:val="24"/>
          <w:szCs w:val="24"/>
        </w:rPr>
        <w:t>HJ610-2016</w:t>
      </w:r>
      <w:r w:rsidRPr="000549B1">
        <w:rPr>
          <w:rFonts w:hint="eastAsia"/>
          <w:snapToGrid w:val="0"/>
          <w:sz w:val="24"/>
          <w:szCs w:val="24"/>
        </w:rPr>
        <w:t>）；</w:t>
      </w:r>
    </w:p>
    <w:p w14:paraId="1EEC9EAB" w14:textId="6FE58964" w:rsidR="004B3C16" w:rsidRPr="000549B1" w:rsidRDefault="004B3C16" w:rsidP="004B3C16">
      <w:pPr>
        <w:pStyle w:val="x"/>
      </w:pPr>
      <w:r w:rsidRPr="000549B1">
        <w:t>（</w:t>
      </w:r>
      <w:r w:rsidRPr="000549B1">
        <w:rPr>
          <w:rFonts w:hint="eastAsia"/>
        </w:rPr>
        <w:t>8</w:t>
      </w:r>
      <w:r w:rsidRPr="000549B1">
        <w:t>）《环境影响评价技术导则</w:t>
      </w:r>
      <w:r w:rsidRPr="000549B1">
        <w:rPr>
          <w:rFonts w:hint="eastAsia"/>
        </w:rPr>
        <w:t>-</w:t>
      </w:r>
      <w:r w:rsidRPr="000549B1">
        <w:t>生态影响》（</w:t>
      </w:r>
      <w:r w:rsidRPr="000549B1">
        <w:t>HJ19-20</w:t>
      </w:r>
      <w:r w:rsidRPr="000549B1">
        <w:rPr>
          <w:rFonts w:hint="eastAsia"/>
        </w:rPr>
        <w:t>22</w:t>
      </w:r>
      <w:r w:rsidRPr="000549B1">
        <w:t>）；</w:t>
      </w:r>
    </w:p>
    <w:p w14:paraId="768FC728" w14:textId="2CE98528" w:rsidR="004B3C16" w:rsidRPr="000549B1" w:rsidRDefault="004B3C16" w:rsidP="004B3C16">
      <w:pPr>
        <w:pStyle w:val="x"/>
      </w:pPr>
      <w:r w:rsidRPr="000549B1">
        <w:t>（</w:t>
      </w:r>
      <w:r w:rsidRPr="000549B1">
        <w:rPr>
          <w:rFonts w:hint="eastAsia"/>
        </w:rPr>
        <w:t>9</w:t>
      </w:r>
      <w:r w:rsidRPr="000549B1">
        <w:t>）《生物多样性观测技术导则陆生维管植物》（</w:t>
      </w:r>
      <w:r w:rsidRPr="000549B1">
        <w:t>HJ710.1-2014</w:t>
      </w:r>
      <w:r w:rsidRPr="000549B1">
        <w:t>）；</w:t>
      </w:r>
    </w:p>
    <w:p w14:paraId="04D83CDA" w14:textId="15A61298" w:rsidR="004B3C16" w:rsidRPr="000549B1" w:rsidRDefault="004B3C16" w:rsidP="004B3C16">
      <w:pPr>
        <w:pStyle w:val="x"/>
      </w:pPr>
      <w:r w:rsidRPr="000549B1">
        <w:t>（</w:t>
      </w:r>
      <w:r w:rsidRPr="000549B1">
        <w:rPr>
          <w:rFonts w:hint="eastAsia"/>
        </w:rPr>
        <w:t>10</w:t>
      </w:r>
      <w:r w:rsidRPr="000549B1">
        <w:t>）《生物多样性观测技术导则陆生哺乳动物》（</w:t>
      </w:r>
      <w:r w:rsidRPr="000549B1">
        <w:t>HJ710.3-2014</w:t>
      </w:r>
      <w:r w:rsidRPr="000549B1">
        <w:t>）；</w:t>
      </w:r>
    </w:p>
    <w:p w14:paraId="76A31949" w14:textId="47196CB4" w:rsidR="004B3C16" w:rsidRPr="000549B1" w:rsidRDefault="004B3C16" w:rsidP="004B3C16">
      <w:pPr>
        <w:spacing w:line="500" w:lineRule="exact"/>
        <w:ind w:firstLineChars="200" w:firstLine="480"/>
        <w:textAlignment w:val="baseline"/>
        <w:rPr>
          <w:snapToGrid w:val="0"/>
          <w:sz w:val="24"/>
          <w:szCs w:val="24"/>
        </w:rPr>
      </w:pPr>
      <w:r w:rsidRPr="000549B1">
        <w:rPr>
          <w:rFonts w:hint="eastAsia"/>
          <w:snapToGrid w:val="0"/>
          <w:sz w:val="24"/>
          <w:szCs w:val="24"/>
        </w:rPr>
        <w:t>（</w:t>
      </w:r>
      <w:r w:rsidRPr="000549B1">
        <w:rPr>
          <w:snapToGrid w:val="0"/>
          <w:sz w:val="24"/>
          <w:szCs w:val="24"/>
        </w:rPr>
        <w:t>11</w:t>
      </w:r>
      <w:r w:rsidRPr="000549B1">
        <w:rPr>
          <w:rFonts w:hint="eastAsia"/>
          <w:snapToGrid w:val="0"/>
          <w:sz w:val="24"/>
          <w:szCs w:val="24"/>
        </w:rPr>
        <w:t>）《生物多样性观测技术导则内陆水域鱼类》（</w:t>
      </w:r>
      <w:r w:rsidRPr="000549B1">
        <w:rPr>
          <w:snapToGrid w:val="0"/>
          <w:sz w:val="24"/>
          <w:szCs w:val="24"/>
        </w:rPr>
        <w:t>HJ710.7-2014</w:t>
      </w:r>
      <w:r w:rsidRPr="000549B1">
        <w:rPr>
          <w:rFonts w:hint="eastAsia"/>
          <w:snapToGrid w:val="0"/>
          <w:sz w:val="24"/>
          <w:szCs w:val="24"/>
        </w:rPr>
        <w:t>）；</w:t>
      </w:r>
    </w:p>
    <w:p w14:paraId="6A0DF828" w14:textId="0C018E16" w:rsidR="004B3C16" w:rsidRPr="000549B1" w:rsidRDefault="004B3C16" w:rsidP="000549B1">
      <w:pPr>
        <w:spacing w:line="500" w:lineRule="exact"/>
        <w:ind w:firstLineChars="200" w:firstLine="480"/>
        <w:textAlignment w:val="baseline"/>
        <w:rPr>
          <w:snapToGrid w:val="0"/>
          <w:szCs w:val="24"/>
        </w:rPr>
      </w:pPr>
      <w:r w:rsidRPr="000549B1">
        <w:rPr>
          <w:rFonts w:hint="eastAsia"/>
          <w:snapToGrid w:val="0"/>
          <w:sz w:val="24"/>
          <w:szCs w:val="24"/>
        </w:rPr>
        <w:t>（</w:t>
      </w:r>
      <w:r w:rsidRPr="000549B1">
        <w:rPr>
          <w:snapToGrid w:val="0"/>
          <w:sz w:val="24"/>
          <w:szCs w:val="24"/>
        </w:rPr>
        <w:t>12</w:t>
      </w:r>
      <w:r w:rsidRPr="000549B1">
        <w:rPr>
          <w:rFonts w:hint="eastAsia"/>
          <w:snapToGrid w:val="0"/>
          <w:sz w:val="24"/>
          <w:szCs w:val="24"/>
        </w:rPr>
        <w:t>）《生物多样性观测技术导则淡水底栖大型无脊椎动物（</w:t>
      </w:r>
      <w:r w:rsidRPr="000549B1">
        <w:rPr>
          <w:snapToGrid w:val="0"/>
          <w:sz w:val="24"/>
          <w:szCs w:val="24"/>
        </w:rPr>
        <w:t>HJ710.8-2014</w:t>
      </w:r>
      <w:r w:rsidRPr="000549B1">
        <w:rPr>
          <w:rFonts w:hint="eastAsia"/>
          <w:snapToGrid w:val="0"/>
          <w:sz w:val="24"/>
          <w:szCs w:val="24"/>
        </w:rPr>
        <w:t>）》；</w:t>
      </w:r>
    </w:p>
    <w:p w14:paraId="123D7DF3" w14:textId="4895149C" w:rsidR="004B3C16" w:rsidRPr="000549B1" w:rsidRDefault="004B3C16" w:rsidP="004B3C16">
      <w:pPr>
        <w:pStyle w:val="x"/>
      </w:pPr>
      <w:r w:rsidRPr="000549B1">
        <w:t>（</w:t>
      </w:r>
      <w:r w:rsidRPr="000549B1">
        <w:t>1</w:t>
      </w:r>
      <w:r w:rsidRPr="000549B1">
        <w:rPr>
          <w:rFonts w:hint="eastAsia"/>
        </w:rPr>
        <w:t>3</w:t>
      </w:r>
      <w:r w:rsidRPr="000549B1">
        <w:t>）《河湖生态需水评估导则》（</w:t>
      </w:r>
      <w:r w:rsidRPr="000549B1">
        <w:t>SL/Z479-2010</w:t>
      </w:r>
      <w:r w:rsidRPr="000549B1">
        <w:t>）；</w:t>
      </w:r>
    </w:p>
    <w:p w14:paraId="5C15912B" w14:textId="1A44815C" w:rsidR="004B3C16" w:rsidRPr="000549B1" w:rsidRDefault="004B3C16" w:rsidP="004B3C16">
      <w:pPr>
        <w:pStyle w:val="x"/>
      </w:pPr>
      <w:r w:rsidRPr="000549B1">
        <w:t>（</w:t>
      </w:r>
      <w:r w:rsidRPr="000549B1">
        <w:t>1</w:t>
      </w:r>
      <w:r w:rsidRPr="000549B1">
        <w:rPr>
          <w:rFonts w:hint="eastAsia"/>
        </w:rPr>
        <w:t>4</w:t>
      </w:r>
      <w:r w:rsidRPr="000549B1">
        <w:t>）《河湖生态环境需水计算规范》（</w:t>
      </w:r>
      <w:r w:rsidRPr="000549B1">
        <w:t>SL/Z712-20</w:t>
      </w:r>
      <w:r w:rsidR="00B81685" w:rsidRPr="000549B1">
        <w:rPr>
          <w:rFonts w:hint="eastAsia"/>
        </w:rPr>
        <w:t>21</w:t>
      </w:r>
      <w:r w:rsidRPr="000549B1">
        <w:t>）；</w:t>
      </w:r>
    </w:p>
    <w:p w14:paraId="426EF9CF" w14:textId="51237459" w:rsidR="004B3C16" w:rsidRPr="000549B1" w:rsidRDefault="004B3C16" w:rsidP="004B3C16">
      <w:pPr>
        <w:pStyle w:val="x"/>
      </w:pPr>
      <w:r w:rsidRPr="000549B1">
        <w:t>（</w:t>
      </w:r>
      <w:r w:rsidRPr="000549B1">
        <w:t>1</w:t>
      </w:r>
      <w:r w:rsidRPr="000549B1">
        <w:rPr>
          <w:rFonts w:hint="eastAsia"/>
        </w:rPr>
        <w:t>5</w:t>
      </w:r>
      <w:r w:rsidRPr="000549B1">
        <w:t>）《生态环境状况评价技术规范》（</w:t>
      </w:r>
      <w:r w:rsidRPr="000549B1">
        <w:t>HJ192-2015</w:t>
      </w:r>
      <w:r w:rsidRPr="000549B1">
        <w:t>）；</w:t>
      </w:r>
    </w:p>
    <w:p w14:paraId="36725636" w14:textId="58335093" w:rsidR="004B3C16" w:rsidRPr="000549B1" w:rsidRDefault="004B3C16" w:rsidP="004B3C16">
      <w:pPr>
        <w:pStyle w:val="x"/>
      </w:pPr>
      <w:r w:rsidRPr="000549B1">
        <w:t>（</w:t>
      </w:r>
      <w:r w:rsidRPr="000549B1">
        <w:t>1</w:t>
      </w:r>
      <w:r w:rsidRPr="000549B1">
        <w:rPr>
          <w:rFonts w:hint="eastAsia"/>
        </w:rPr>
        <w:t>6</w:t>
      </w:r>
      <w:r w:rsidRPr="000549B1">
        <w:t>）《地表水环境质量标准》（</w:t>
      </w:r>
      <w:r w:rsidRPr="000549B1">
        <w:t>GB3838-2002</w:t>
      </w:r>
      <w:r w:rsidRPr="000549B1">
        <w:t>）；</w:t>
      </w:r>
    </w:p>
    <w:p w14:paraId="5B62318E" w14:textId="43A6F3DD" w:rsidR="004B3C16" w:rsidRPr="000549B1" w:rsidRDefault="004B3C16" w:rsidP="004B3C16">
      <w:pPr>
        <w:pStyle w:val="x"/>
      </w:pPr>
      <w:r w:rsidRPr="000549B1">
        <w:t>（</w:t>
      </w:r>
      <w:r w:rsidRPr="000549B1">
        <w:t>1</w:t>
      </w:r>
      <w:r w:rsidRPr="000549B1">
        <w:rPr>
          <w:rFonts w:hint="eastAsia"/>
        </w:rPr>
        <w:t>7</w:t>
      </w:r>
      <w:r w:rsidRPr="000549B1">
        <w:t>）《污水综合排放标准》</w:t>
      </w:r>
      <w:r w:rsidRPr="000549B1">
        <w:t>(GB8978-2002)</w:t>
      </w:r>
      <w:r w:rsidRPr="000549B1">
        <w:t>；</w:t>
      </w:r>
    </w:p>
    <w:p w14:paraId="6113E98E" w14:textId="76E644AA" w:rsidR="004B3C16" w:rsidRPr="000549B1" w:rsidRDefault="004B3C16" w:rsidP="004B3C16">
      <w:pPr>
        <w:pStyle w:val="x"/>
      </w:pPr>
      <w:r w:rsidRPr="000549B1">
        <w:t>（</w:t>
      </w:r>
      <w:r w:rsidRPr="000549B1">
        <w:t>1</w:t>
      </w:r>
      <w:r w:rsidRPr="000549B1">
        <w:rPr>
          <w:rFonts w:hint="eastAsia"/>
        </w:rPr>
        <w:t>8</w:t>
      </w:r>
      <w:r w:rsidRPr="000549B1">
        <w:t>）《农田灌溉水质标准》（</w:t>
      </w:r>
      <w:r w:rsidRPr="000549B1">
        <w:t>CBS084-2005</w:t>
      </w:r>
      <w:r w:rsidRPr="000549B1">
        <w:t>）；</w:t>
      </w:r>
    </w:p>
    <w:p w14:paraId="53F3C5AD" w14:textId="7AE536B9" w:rsidR="004B3C16" w:rsidRPr="000549B1" w:rsidRDefault="004B3C16" w:rsidP="004B3C16">
      <w:pPr>
        <w:pStyle w:val="x"/>
      </w:pPr>
      <w:r w:rsidRPr="000549B1">
        <w:t>（</w:t>
      </w:r>
      <w:r w:rsidRPr="000549B1">
        <w:t>1</w:t>
      </w:r>
      <w:r w:rsidRPr="000549B1">
        <w:rPr>
          <w:rFonts w:hint="eastAsia"/>
        </w:rPr>
        <w:t>9</w:t>
      </w:r>
      <w:r w:rsidRPr="000549B1">
        <w:t>）《水库渔业资源调查规范》（</w:t>
      </w:r>
      <w:r w:rsidRPr="000549B1">
        <w:t>SL167-96</w:t>
      </w:r>
      <w:r w:rsidRPr="000549B1">
        <w:t>）；</w:t>
      </w:r>
    </w:p>
    <w:p w14:paraId="49F35690" w14:textId="467158E8" w:rsidR="004B3C16" w:rsidRPr="000549B1" w:rsidRDefault="004B3C16" w:rsidP="004B3C16">
      <w:pPr>
        <w:pStyle w:val="x"/>
      </w:pPr>
      <w:r w:rsidRPr="000549B1">
        <w:t>（</w:t>
      </w:r>
      <w:r w:rsidRPr="000549B1">
        <w:rPr>
          <w:rFonts w:hint="eastAsia"/>
        </w:rPr>
        <w:t>20</w:t>
      </w:r>
      <w:r w:rsidRPr="000549B1">
        <w:t>）《渔业生态环境监测规范》（</w:t>
      </w:r>
      <w:r w:rsidRPr="000549B1">
        <w:t>SC/T9102.3-2007</w:t>
      </w:r>
      <w:r w:rsidRPr="000549B1">
        <w:t>）；</w:t>
      </w:r>
    </w:p>
    <w:p w14:paraId="174CAE8D" w14:textId="00CC1319" w:rsidR="004B3C16" w:rsidRDefault="004B3C16" w:rsidP="004B3C16">
      <w:pPr>
        <w:pStyle w:val="x"/>
      </w:pPr>
      <w:r w:rsidRPr="000549B1">
        <w:t>（</w:t>
      </w:r>
      <w:r w:rsidRPr="000549B1">
        <w:t>2</w:t>
      </w:r>
      <w:r w:rsidRPr="000549B1">
        <w:rPr>
          <w:rFonts w:hint="eastAsia"/>
        </w:rPr>
        <w:t>1</w:t>
      </w:r>
      <w:r w:rsidRPr="000549B1">
        <w:t>）《淡水浮游生物调查技术规范》（</w:t>
      </w:r>
      <w:r w:rsidRPr="000549B1">
        <w:t>SC/T9402-2010</w:t>
      </w:r>
      <w:r w:rsidRPr="000549B1">
        <w:t>）</w:t>
      </w:r>
      <w:r w:rsidR="00D4685B">
        <w:rPr>
          <w:rFonts w:hint="eastAsia"/>
        </w:rPr>
        <w:t>；</w:t>
      </w:r>
    </w:p>
    <w:p w14:paraId="73557133" w14:textId="3005464D" w:rsidR="00F1314B" w:rsidRPr="000549B1" w:rsidRDefault="00F1314B" w:rsidP="00F1314B">
      <w:pPr>
        <w:pStyle w:val="x"/>
        <w:ind w:firstLineChars="200" w:firstLine="480"/>
      </w:pPr>
      <w:r>
        <w:rPr>
          <w:rFonts w:hint="eastAsia"/>
        </w:rPr>
        <w:t>（</w:t>
      </w:r>
      <w:r>
        <w:rPr>
          <w:rFonts w:hint="eastAsia"/>
        </w:rPr>
        <w:t>22</w:t>
      </w:r>
      <w:r>
        <w:rPr>
          <w:rFonts w:hint="eastAsia"/>
        </w:rPr>
        <w:t>）</w:t>
      </w:r>
      <w:r w:rsidRPr="00F1314B">
        <w:rPr>
          <w:rFonts w:hint="eastAsia"/>
        </w:rPr>
        <w:t>《水库生态流量泄放规程》（</w:t>
      </w:r>
      <w:r w:rsidRPr="00F1314B">
        <w:rPr>
          <w:rFonts w:hint="eastAsia"/>
        </w:rPr>
        <w:t>SL/T 819-2023</w:t>
      </w:r>
      <w:r w:rsidR="00D4685B">
        <w:rPr>
          <w:rFonts w:hint="eastAsia"/>
        </w:rPr>
        <w:t>；</w:t>
      </w:r>
      <w:r w:rsidRPr="00F1314B">
        <w:rPr>
          <w:rFonts w:hint="eastAsia"/>
        </w:rPr>
        <w:t>）</w:t>
      </w:r>
    </w:p>
    <w:p w14:paraId="1FB41465" w14:textId="5566D5DC" w:rsidR="00F1314B" w:rsidRPr="00F1314B" w:rsidRDefault="00F1314B" w:rsidP="004B3C16">
      <w:pPr>
        <w:pStyle w:val="x"/>
      </w:pPr>
      <w:r>
        <w:rPr>
          <w:rFonts w:hint="eastAsia"/>
        </w:rPr>
        <w:t>（</w:t>
      </w:r>
      <w:r>
        <w:rPr>
          <w:rFonts w:hint="eastAsia"/>
        </w:rPr>
        <w:t>23</w:t>
      </w:r>
      <w:r>
        <w:rPr>
          <w:rFonts w:hint="eastAsia"/>
        </w:rPr>
        <w:t>）</w:t>
      </w:r>
      <w:r w:rsidRPr="00F1314B">
        <w:rPr>
          <w:rFonts w:hint="eastAsia"/>
        </w:rPr>
        <w:t>《水利水电工程生态流量计算与泄放设计规范》（</w:t>
      </w:r>
      <w:r w:rsidRPr="00F1314B">
        <w:rPr>
          <w:rFonts w:hint="eastAsia"/>
        </w:rPr>
        <w:t>SL/T 820-2023</w:t>
      </w:r>
      <w:r w:rsidRPr="00F1314B">
        <w:rPr>
          <w:rFonts w:hint="eastAsia"/>
        </w:rPr>
        <w:t>）</w:t>
      </w:r>
      <w:r w:rsidR="00D4685B">
        <w:rPr>
          <w:rFonts w:hint="eastAsia"/>
        </w:rPr>
        <w:t>。</w:t>
      </w:r>
    </w:p>
    <w:p w14:paraId="538F5A57" w14:textId="77777777" w:rsidR="00054437" w:rsidRPr="000549B1" w:rsidRDefault="00000000">
      <w:pPr>
        <w:pStyle w:val="3"/>
      </w:pPr>
      <w:bookmarkStart w:id="81" w:name="_Toc29259"/>
      <w:bookmarkStart w:id="82" w:name="_Toc529456883"/>
      <w:bookmarkStart w:id="83" w:name="_Toc9144519"/>
      <w:bookmarkStart w:id="84" w:name="_Toc208583876"/>
      <w:bookmarkStart w:id="85" w:name="_Toc216106988"/>
      <w:bookmarkEnd w:id="80"/>
      <w:r w:rsidRPr="000549B1">
        <w:t>相关规划、区划</w:t>
      </w:r>
      <w:bookmarkEnd w:id="81"/>
      <w:bookmarkEnd w:id="82"/>
      <w:bookmarkEnd w:id="83"/>
      <w:bookmarkEnd w:id="84"/>
      <w:bookmarkEnd w:id="85"/>
    </w:p>
    <w:p w14:paraId="22B8CE03" w14:textId="77777777" w:rsidR="004B3C16" w:rsidRPr="000549B1" w:rsidRDefault="004B3C16" w:rsidP="004B3C16">
      <w:pPr>
        <w:snapToGrid w:val="0"/>
        <w:spacing w:line="500" w:lineRule="exact"/>
        <w:ind w:firstLineChars="200" w:firstLine="480"/>
        <w:rPr>
          <w:sz w:val="24"/>
          <w:lang w:bidi="en-US"/>
        </w:rPr>
      </w:pPr>
      <w:r w:rsidRPr="000549B1">
        <w:rPr>
          <w:rFonts w:hint="eastAsia"/>
          <w:sz w:val="24"/>
          <w:lang w:bidi="en-US"/>
        </w:rPr>
        <w:t>（</w:t>
      </w:r>
      <w:r w:rsidRPr="000549B1">
        <w:rPr>
          <w:sz w:val="24"/>
          <w:lang w:bidi="en-US"/>
        </w:rPr>
        <w:t>1</w:t>
      </w:r>
      <w:r w:rsidRPr="000549B1">
        <w:rPr>
          <w:rFonts w:hint="eastAsia"/>
          <w:sz w:val="24"/>
          <w:lang w:bidi="en-US"/>
        </w:rPr>
        <w:t>）《全国国土规划纲要（</w:t>
      </w:r>
      <w:r w:rsidRPr="000549B1">
        <w:rPr>
          <w:sz w:val="24"/>
          <w:lang w:bidi="en-US"/>
        </w:rPr>
        <w:t>2016—2030</w:t>
      </w:r>
      <w:r w:rsidRPr="000549B1">
        <w:rPr>
          <w:rFonts w:hint="eastAsia"/>
          <w:sz w:val="24"/>
          <w:lang w:bidi="en-US"/>
        </w:rPr>
        <w:t>年）》；</w:t>
      </w:r>
    </w:p>
    <w:p w14:paraId="26C42075" w14:textId="77777777" w:rsidR="004B3C16" w:rsidRPr="000549B1" w:rsidRDefault="004B3C16" w:rsidP="004B3C16">
      <w:pPr>
        <w:snapToGrid w:val="0"/>
        <w:spacing w:line="500" w:lineRule="exact"/>
        <w:ind w:firstLineChars="200" w:firstLine="480"/>
        <w:rPr>
          <w:sz w:val="24"/>
          <w:lang w:bidi="en-US"/>
        </w:rPr>
      </w:pPr>
      <w:r w:rsidRPr="000549B1">
        <w:rPr>
          <w:rFonts w:hint="eastAsia"/>
          <w:sz w:val="24"/>
          <w:lang w:bidi="en-US"/>
        </w:rPr>
        <w:t>（</w:t>
      </w:r>
      <w:r w:rsidRPr="000549B1">
        <w:rPr>
          <w:sz w:val="24"/>
          <w:lang w:bidi="en-US"/>
        </w:rPr>
        <w:t>2</w:t>
      </w:r>
      <w:r w:rsidRPr="000549B1">
        <w:rPr>
          <w:rFonts w:hint="eastAsia"/>
          <w:sz w:val="24"/>
          <w:lang w:bidi="en-US"/>
        </w:rPr>
        <w:t>）《全国国土空间规划纲要（</w:t>
      </w:r>
      <w:r w:rsidRPr="000549B1">
        <w:rPr>
          <w:sz w:val="24"/>
          <w:lang w:bidi="en-US"/>
        </w:rPr>
        <w:t>2021</w:t>
      </w:r>
      <w:r w:rsidRPr="000549B1">
        <w:rPr>
          <w:rFonts w:hint="eastAsia"/>
          <w:sz w:val="24"/>
          <w:lang w:bidi="en-US"/>
        </w:rPr>
        <w:t>—</w:t>
      </w:r>
      <w:r w:rsidRPr="000549B1">
        <w:rPr>
          <w:sz w:val="24"/>
          <w:lang w:bidi="en-US"/>
        </w:rPr>
        <w:t>2035</w:t>
      </w:r>
      <w:r w:rsidRPr="000549B1">
        <w:rPr>
          <w:rFonts w:hint="eastAsia"/>
          <w:sz w:val="24"/>
          <w:lang w:bidi="en-US"/>
        </w:rPr>
        <w:t>年）》；</w:t>
      </w:r>
    </w:p>
    <w:p w14:paraId="4D1DFA66" w14:textId="77777777" w:rsidR="004B3C16" w:rsidRPr="000549B1" w:rsidRDefault="004B3C16" w:rsidP="004B3C16">
      <w:pPr>
        <w:snapToGrid w:val="0"/>
        <w:spacing w:line="500" w:lineRule="exact"/>
        <w:ind w:firstLineChars="200" w:firstLine="480"/>
        <w:rPr>
          <w:sz w:val="24"/>
          <w:lang w:bidi="en-US"/>
        </w:rPr>
      </w:pPr>
      <w:r w:rsidRPr="000549B1">
        <w:rPr>
          <w:rFonts w:hint="eastAsia"/>
          <w:sz w:val="24"/>
          <w:lang w:bidi="en-US"/>
        </w:rPr>
        <w:t>（</w:t>
      </w:r>
      <w:r w:rsidRPr="000549B1">
        <w:rPr>
          <w:sz w:val="24"/>
          <w:lang w:bidi="en-US"/>
        </w:rPr>
        <w:t>3</w:t>
      </w:r>
      <w:r w:rsidRPr="000549B1">
        <w:rPr>
          <w:rFonts w:hint="eastAsia"/>
          <w:sz w:val="24"/>
          <w:lang w:bidi="en-US"/>
        </w:rPr>
        <w:t>）《全国主体功能区规划》（国发〔</w:t>
      </w:r>
      <w:r w:rsidRPr="000549B1">
        <w:rPr>
          <w:sz w:val="24"/>
          <w:lang w:bidi="en-US"/>
        </w:rPr>
        <w:t>2010</w:t>
      </w:r>
      <w:r w:rsidRPr="000549B1">
        <w:rPr>
          <w:rFonts w:hint="eastAsia"/>
          <w:sz w:val="24"/>
          <w:lang w:bidi="en-US"/>
        </w:rPr>
        <w:t>〕</w:t>
      </w:r>
      <w:r w:rsidRPr="000549B1">
        <w:rPr>
          <w:sz w:val="24"/>
          <w:lang w:bidi="en-US"/>
        </w:rPr>
        <w:t>46</w:t>
      </w:r>
      <w:r w:rsidRPr="000549B1">
        <w:rPr>
          <w:rFonts w:hint="eastAsia"/>
          <w:sz w:val="24"/>
          <w:lang w:bidi="en-US"/>
        </w:rPr>
        <w:t>号）</w:t>
      </w:r>
    </w:p>
    <w:p w14:paraId="121C095A" w14:textId="77777777" w:rsidR="004B3C16" w:rsidRPr="000549B1" w:rsidRDefault="004B3C16" w:rsidP="004B3C16">
      <w:pPr>
        <w:snapToGrid w:val="0"/>
        <w:spacing w:line="500" w:lineRule="exact"/>
        <w:ind w:firstLineChars="200" w:firstLine="480"/>
        <w:rPr>
          <w:sz w:val="24"/>
          <w:lang w:bidi="en-US"/>
        </w:rPr>
      </w:pPr>
      <w:r w:rsidRPr="000549B1">
        <w:rPr>
          <w:rFonts w:hint="eastAsia"/>
          <w:sz w:val="24"/>
          <w:lang w:bidi="en-US"/>
        </w:rPr>
        <w:t>（</w:t>
      </w:r>
      <w:r w:rsidRPr="000549B1">
        <w:rPr>
          <w:sz w:val="24"/>
          <w:lang w:bidi="en-US"/>
        </w:rPr>
        <w:t>4</w:t>
      </w:r>
      <w:r w:rsidRPr="000549B1">
        <w:rPr>
          <w:rFonts w:hint="eastAsia"/>
          <w:sz w:val="24"/>
          <w:lang w:bidi="en-US"/>
        </w:rPr>
        <w:t>）《全国生态功能区划（修编版）》（</w:t>
      </w:r>
      <w:r w:rsidRPr="000549B1">
        <w:rPr>
          <w:sz w:val="24"/>
          <w:lang w:bidi="en-US"/>
        </w:rPr>
        <w:t>2015</w:t>
      </w:r>
      <w:r w:rsidRPr="000549B1">
        <w:rPr>
          <w:rFonts w:hint="eastAsia"/>
          <w:sz w:val="24"/>
          <w:lang w:bidi="en-US"/>
        </w:rPr>
        <w:t>年</w:t>
      </w:r>
      <w:r w:rsidRPr="000549B1">
        <w:rPr>
          <w:sz w:val="24"/>
          <w:lang w:bidi="en-US"/>
        </w:rPr>
        <w:t>11</w:t>
      </w:r>
      <w:r w:rsidRPr="000549B1">
        <w:rPr>
          <w:rFonts w:hint="eastAsia"/>
          <w:sz w:val="24"/>
          <w:lang w:bidi="en-US"/>
        </w:rPr>
        <w:t>月）；</w:t>
      </w:r>
    </w:p>
    <w:p w14:paraId="589F838E" w14:textId="77777777" w:rsidR="004B3C16" w:rsidRPr="000549B1" w:rsidRDefault="004B3C16" w:rsidP="004B3C16">
      <w:pPr>
        <w:snapToGrid w:val="0"/>
        <w:spacing w:line="500" w:lineRule="exact"/>
        <w:ind w:firstLineChars="200" w:firstLine="480"/>
        <w:rPr>
          <w:sz w:val="24"/>
          <w:lang w:bidi="en-US"/>
        </w:rPr>
      </w:pPr>
      <w:r w:rsidRPr="000549B1">
        <w:rPr>
          <w:rFonts w:hint="eastAsia"/>
          <w:sz w:val="24"/>
          <w:lang w:bidi="en-US"/>
        </w:rPr>
        <w:t>（</w:t>
      </w:r>
      <w:r w:rsidRPr="000549B1">
        <w:rPr>
          <w:sz w:val="24"/>
          <w:lang w:bidi="en-US"/>
        </w:rPr>
        <w:t>5</w:t>
      </w:r>
      <w:r w:rsidRPr="000549B1">
        <w:rPr>
          <w:rFonts w:hint="eastAsia"/>
          <w:sz w:val="24"/>
          <w:lang w:bidi="en-US"/>
        </w:rPr>
        <w:t>）《全国重要江河湖泊水功能区划》（国函〔</w:t>
      </w:r>
      <w:r w:rsidRPr="000549B1">
        <w:rPr>
          <w:sz w:val="24"/>
          <w:lang w:bidi="en-US"/>
        </w:rPr>
        <w:t>2011</w:t>
      </w:r>
      <w:r w:rsidRPr="000549B1">
        <w:rPr>
          <w:rFonts w:hint="eastAsia"/>
          <w:sz w:val="24"/>
          <w:lang w:bidi="en-US"/>
        </w:rPr>
        <w:t>〕</w:t>
      </w:r>
      <w:r w:rsidRPr="000549B1">
        <w:rPr>
          <w:sz w:val="24"/>
          <w:lang w:bidi="en-US"/>
        </w:rPr>
        <w:t>167</w:t>
      </w:r>
      <w:r w:rsidRPr="000549B1">
        <w:rPr>
          <w:rFonts w:hint="eastAsia"/>
          <w:sz w:val="24"/>
          <w:lang w:bidi="en-US"/>
        </w:rPr>
        <w:t>号）；</w:t>
      </w:r>
    </w:p>
    <w:p w14:paraId="7A86D1D3" w14:textId="77777777" w:rsidR="004B3C16" w:rsidRPr="000549B1" w:rsidRDefault="004B3C16" w:rsidP="004B3C16">
      <w:pPr>
        <w:snapToGrid w:val="0"/>
        <w:spacing w:line="500" w:lineRule="exact"/>
        <w:ind w:firstLineChars="200" w:firstLine="480"/>
        <w:rPr>
          <w:sz w:val="24"/>
          <w:lang w:bidi="en-US"/>
        </w:rPr>
      </w:pPr>
      <w:r w:rsidRPr="000549B1">
        <w:rPr>
          <w:rFonts w:hint="eastAsia"/>
          <w:sz w:val="24"/>
          <w:lang w:bidi="en-US"/>
        </w:rPr>
        <w:t>（</w:t>
      </w:r>
      <w:r w:rsidRPr="000549B1">
        <w:rPr>
          <w:sz w:val="24"/>
          <w:lang w:bidi="en-US"/>
        </w:rPr>
        <w:t>6</w:t>
      </w:r>
      <w:r w:rsidRPr="000549B1">
        <w:rPr>
          <w:rFonts w:hint="eastAsia"/>
          <w:sz w:val="24"/>
          <w:lang w:bidi="en-US"/>
        </w:rPr>
        <w:t>）《全国水资源保护规划》（</w:t>
      </w:r>
      <w:r w:rsidRPr="000549B1">
        <w:rPr>
          <w:sz w:val="24"/>
          <w:lang w:bidi="en-US"/>
        </w:rPr>
        <w:t>2015</w:t>
      </w:r>
      <w:r w:rsidRPr="000549B1">
        <w:rPr>
          <w:rFonts w:hint="eastAsia"/>
          <w:sz w:val="24"/>
          <w:lang w:bidi="en-US"/>
        </w:rPr>
        <w:t>年）；</w:t>
      </w:r>
    </w:p>
    <w:p w14:paraId="212C736E" w14:textId="77777777" w:rsidR="004B3C16" w:rsidRPr="000549B1" w:rsidRDefault="004B3C16" w:rsidP="004B3C16">
      <w:pPr>
        <w:snapToGrid w:val="0"/>
        <w:spacing w:line="500" w:lineRule="exact"/>
        <w:ind w:firstLineChars="200" w:firstLine="480"/>
        <w:rPr>
          <w:sz w:val="24"/>
          <w:lang w:bidi="en-US"/>
        </w:rPr>
      </w:pPr>
      <w:r w:rsidRPr="000549B1">
        <w:rPr>
          <w:rFonts w:hint="eastAsia"/>
          <w:sz w:val="24"/>
          <w:lang w:bidi="en-US"/>
        </w:rPr>
        <w:t>（</w:t>
      </w:r>
      <w:r w:rsidRPr="000549B1">
        <w:rPr>
          <w:sz w:val="24"/>
          <w:lang w:bidi="en-US"/>
        </w:rPr>
        <w:t>7</w:t>
      </w:r>
      <w:r w:rsidRPr="000549B1">
        <w:rPr>
          <w:rFonts w:hint="eastAsia"/>
          <w:sz w:val="24"/>
          <w:lang w:bidi="en-US"/>
        </w:rPr>
        <w:t>）《黄河流域综合规划》（国函〔</w:t>
      </w:r>
      <w:r w:rsidRPr="000549B1">
        <w:rPr>
          <w:sz w:val="24"/>
          <w:lang w:bidi="en-US"/>
        </w:rPr>
        <w:t>2013</w:t>
      </w:r>
      <w:r w:rsidRPr="000549B1">
        <w:rPr>
          <w:rFonts w:hint="eastAsia"/>
          <w:sz w:val="24"/>
          <w:lang w:bidi="en-US"/>
        </w:rPr>
        <w:t>〕</w:t>
      </w:r>
      <w:r w:rsidRPr="000549B1">
        <w:rPr>
          <w:sz w:val="24"/>
          <w:lang w:bidi="en-US"/>
        </w:rPr>
        <w:t>34</w:t>
      </w:r>
      <w:r w:rsidRPr="000549B1">
        <w:rPr>
          <w:rFonts w:hint="eastAsia"/>
          <w:sz w:val="24"/>
          <w:lang w:bidi="en-US"/>
        </w:rPr>
        <w:t>号）；</w:t>
      </w:r>
    </w:p>
    <w:p w14:paraId="41550C77" w14:textId="77777777" w:rsidR="004B3C16" w:rsidRPr="000549B1" w:rsidRDefault="004B3C16" w:rsidP="004B3C16">
      <w:pPr>
        <w:tabs>
          <w:tab w:val="left" w:pos="6840"/>
        </w:tabs>
        <w:spacing w:line="500" w:lineRule="exact"/>
        <w:ind w:firstLineChars="200" w:firstLine="480"/>
        <w:jc w:val="left"/>
        <w:textAlignment w:val="baseline"/>
        <w:rPr>
          <w:sz w:val="24"/>
          <w:lang w:bidi="en-US"/>
        </w:rPr>
      </w:pPr>
      <w:r w:rsidRPr="000549B1">
        <w:rPr>
          <w:rFonts w:hint="eastAsia"/>
          <w:sz w:val="24"/>
          <w:lang w:bidi="en-US"/>
        </w:rPr>
        <w:t>（</w:t>
      </w:r>
      <w:r w:rsidRPr="000549B1">
        <w:rPr>
          <w:sz w:val="24"/>
          <w:lang w:bidi="en-US"/>
        </w:rPr>
        <w:t>8</w:t>
      </w:r>
      <w:r w:rsidRPr="000549B1">
        <w:rPr>
          <w:rFonts w:hint="eastAsia"/>
          <w:sz w:val="24"/>
          <w:lang w:bidi="en-US"/>
        </w:rPr>
        <w:t>）《黄河流域防洪规划》（国函〔</w:t>
      </w:r>
      <w:r w:rsidRPr="000549B1">
        <w:rPr>
          <w:sz w:val="24"/>
          <w:lang w:bidi="en-US"/>
        </w:rPr>
        <w:t>2008</w:t>
      </w:r>
      <w:r w:rsidRPr="000549B1">
        <w:rPr>
          <w:rFonts w:hint="eastAsia"/>
          <w:sz w:val="24"/>
          <w:lang w:bidi="en-US"/>
        </w:rPr>
        <w:t>〕</w:t>
      </w:r>
      <w:r w:rsidRPr="000549B1">
        <w:rPr>
          <w:sz w:val="24"/>
          <w:lang w:bidi="en-US"/>
        </w:rPr>
        <w:t>63</w:t>
      </w:r>
      <w:r w:rsidRPr="000549B1">
        <w:rPr>
          <w:rFonts w:hint="eastAsia"/>
          <w:sz w:val="24"/>
          <w:lang w:bidi="en-US"/>
        </w:rPr>
        <w:t>号）；</w:t>
      </w:r>
    </w:p>
    <w:p w14:paraId="76CC1256" w14:textId="77777777" w:rsidR="004B3C16" w:rsidRPr="000549B1" w:rsidRDefault="004B3C16" w:rsidP="004B3C16">
      <w:pPr>
        <w:pStyle w:val="0A2"/>
      </w:pPr>
      <w:r w:rsidRPr="000549B1">
        <w:rPr>
          <w:rFonts w:hint="eastAsia"/>
        </w:rPr>
        <w:t>（</w:t>
      </w:r>
      <w:r w:rsidRPr="000549B1">
        <w:t>9</w:t>
      </w:r>
      <w:r w:rsidRPr="000549B1">
        <w:rPr>
          <w:rFonts w:hint="eastAsia"/>
        </w:rPr>
        <w:t>）《黄河流域生态保护和高质量发展规划纲要》（国务院，</w:t>
      </w:r>
      <w:r w:rsidRPr="000549B1">
        <w:t>2021</w:t>
      </w:r>
      <w:r w:rsidRPr="000549B1">
        <w:rPr>
          <w:rFonts w:hint="eastAsia"/>
        </w:rPr>
        <w:t>年</w:t>
      </w:r>
      <w:r w:rsidRPr="000549B1">
        <w:t>10</w:t>
      </w:r>
      <w:r w:rsidRPr="000549B1">
        <w:rPr>
          <w:rFonts w:hint="eastAsia"/>
        </w:rPr>
        <w:t>月）；</w:t>
      </w:r>
    </w:p>
    <w:p w14:paraId="0DE856AB" w14:textId="77777777" w:rsidR="004B3C16" w:rsidRPr="000549B1" w:rsidRDefault="004B3C16" w:rsidP="004B3C16">
      <w:pPr>
        <w:tabs>
          <w:tab w:val="left" w:pos="6840"/>
        </w:tabs>
        <w:spacing w:line="500" w:lineRule="exact"/>
        <w:ind w:firstLineChars="200" w:firstLine="480"/>
        <w:jc w:val="left"/>
        <w:textAlignment w:val="baseline"/>
        <w:rPr>
          <w:sz w:val="24"/>
          <w:lang w:bidi="en-US"/>
        </w:rPr>
      </w:pPr>
      <w:r w:rsidRPr="000549B1">
        <w:rPr>
          <w:rFonts w:hint="eastAsia"/>
          <w:sz w:val="24"/>
          <w:lang w:bidi="en-US"/>
        </w:rPr>
        <w:t>（</w:t>
      </w:r>
      <w:r w:rsidRPr="000549B1">
        <w:rPr>
          <w:sz w:val="24"/>
          <w:lang w:bidi="en-US"/>
        </w:rPr>
        <w:t>10</w:t>
      </w:r>
      <w:r w:rsidRPr="000549B1">
        <w:rPr>
          <w:rFonts w:hint="eastAsia"/>
          <w:sz w:val="24"/>
          <w:lang w:bidi="en-US"/>
        </w:rPr>
        <w:t>）《“十四五”全国饲草产业发展规划》；</w:t>
      </w:r>
    </w:p>
    <w:p w14:paraId="2551A77A" w14:textId="77777777" w:rsidR="004B3C16" w:rsidRPr="000549B1" w:rsidRDefault="004B3C16" w:rsidP="004B3C16">
      <w:pPr>
        <w:tabs>
          <w:tab w:val="left" w:pos="6840"/>
        </w:tabs>
        <w:spacing w:line="500" w:lineRule="exact"/>
        <w:ind w:firstLineChars="200" w:firstLine="480"/>
        <w:jc w:val="left"/>
        <w:textAlignment w:val="baseline"/>
        <w:rPr>
          <w:sz w:val="24"/>
          <w:lang w:bidi="en-US"/>
        </w:rPr>
      </w:pPr>
      <w:r w:rsidRPr="000549B1">
        <w:rPr>
          <w:rFonts w:hint="eastAsia"/>
          <w:sz w:val="24"/>
          <w:lang w:bidi="en-US"/>
        </w:rPr>
        <w:t>（</w:t>
      </w:r>
      <w:r w:rsidRPr="000549B1">
        <w:rPr>
          <w:sz w:val="24"/>
          <w:lang w:bidi="en-US"/>
        </w:rPr>
        <w:t>11</w:t>
      </w:r>
      <w:r w:rsidRPr="000549B1">
        <w:rPr>
          <w:rFonts w:hint="eastAsia"/>
          <w:sz w:val="24"/>
          <w:lang w:bidi="en-US"/>
        </w:rPr>
        <w:t>）《</w:t>
      </w:r>
      <w:r w:rsidRPr="000549B1">
        <w:rPr>
          <w:sz w:val="24"/>
          <w:lang w:bidi="en-US"/>
        </w:rPr>
        <w:t>“</w:t>
      </w:r>
      <w:r w:rsidRPr="000549B1">
        <w:rPr>
          <w:rFonts w:hint="eastAsia"/>
          <w:sz w:val="24"/>
          <w:lang w:bidi="en-US"/>
        </w:rPr>
        <w:t>十四五</w:t>
      </w:r>
      <w:r w:rsidRPr="000549B1">
        <w:rPr>
          <w:sz w:val="24"/>
          <w:lang w:bidi="en-US"/>
        </w:rPr>
        <w:t>”</w:t>
      </w:r>
      <w:r w:rsidRPr="000549B1">
        <w:rPr>
          <w:rFonts w:hint="eastAsia"/>
          <w:sz w:val="24"/>
          <w:lang w:bidi="en-US"/>
        </w:rPr>
        <w:t>生态环境保护规划》（</w:t>
      </w:r>
      <w:r w:rsidRPr="000549B1">
        <w:rPr>
          <w:sz w:val="24"/>
          <w:lang w:bidi="en-US"/>
        </w:rPr>
        <w:t>2022</w:t>
      </w:r>
      <w:r w:rsidRPr="000549B1">
        <w:rPr>
          <w:rFonts w:hint="eastAsia"/>
          <w:sz w:val="24"/>
          <w:lang w:bidi="en-US"/>
        </w:rPr>
        <w:t>年）；</w:t>
      </w:r>
    </w:p>
    <w:p w14:paraId="4892C67E" w14:textId="77777777" w:rsidR="004B3C16" w:rsidRPr="000549B1" w:rsidRDefault="004B3C16" w:rsidP="004B3C16">
      <w:pPr>
        <w:tabs>
          <w:tab w:val="left" w:pos="6840"/>
        </w:tabs>
        <w:spacing w:line="500" w:lineRule="exact"/>
        <w:ind w:firstLineChars="200" w:firstLine="480"/>
        <w:jc w:val="left"/>
        <w:textAlignment w:val="baseline"/>
        <w:rPr>
          <w:sz w:val="24"/>
          <w:lang w:bidi="en-US"/>
        </w:rPr>
      </w:pPr>
      <w:r w:rsidRPr="000549B1">
        <w:rPr>
          <w:rFonts w:hint="eastAsia"/>
          <w:sz w:val="24"/>
          <w:lang w:bidi="en-US"/>
        </w:rPr>
        <w:t>（</w:t>
      </w:r>
      <w:r w:rsidRPr="000549B1">
        <w:rPr>
          <w:sz w:val="24"/>
          <w:lang w:bidi="en-US"/>
        </w:rPr>
        <w:t>12</w:t>
      </w:r>
      <w:r w:rsidRPr="000549B1">
        <w:rPr>
          <w:rFonts w:hint="eastAsia"/>
          <w:sz w:val="24"/>
          <w:lang w:bidi="en-US"/>
        </w:rPr>
        <w:t>）《“十四五”水安全保障规划》；</w:t>
      </w:r>
    </w:p>
    <w:p w14:paraId="41D59B14" w14:textId="77777777" w:rsidR="004B3C16" w:rsidRPr="000549B1" w:rsidRDefault="004B3C16" w:rsidP="004B3C16">
      <w:pPr>
        <w:tabs>
          <w:tab w:val="left" w:pos="6840"/>
        </w:tabs>
        <w:spacing w:line="500" w:lineRule="exact"/>
        <w:ind w:firstLineChars="200" w:firstLine="480"/>
        <w:jc w:val="left"/>
        <w:textAlignment w:val="baseline"/>
        <w:rPr>
          <w:sz w:val="24"/>
          <w:lang w:bidi="en-US"/>
        </w:rPr>
      </w:pPr>
      <w:r w:rsidRPr="000549B1">
        <w:rPr>
          <w:rFonts w:hint="eastAsia"/>
          <w:sz w:val="24"/>
          <w:lang w:bidi="en-US"/>
        </w:rPr>
        <w:t>（</w:t>
      </w:r>
      <w:r w:rsidRPr="000549B1">
        <w:rPr>
          <w:sz w:val="24"/>
          <w:lang w:bidi="en-US"/>
        </w:rPr>
        <w:t>13</w:t>
      </w:r>
      <w:r w:rsidRPr="000549B1">
        <w:rPr>
          <w:rFonts w:hint="eastAsia"/>
          <w:sz w:val="24"/>
          <w:lang w:bidi="en-US"/>
        </w:rPr>
        <w:t>）《加快建设农业强国规划（</w:t>
      </w:r>
      <w:r w:rsidRPr="000549B1">
        <w:rPr>
          <w:sz w:val="24"/>
          <w:lang w:bidi="en-US"/>
        </w:rPr>
        <w:t>2024</w:t>
      </w:r>
      <w:r w:rsidRPr="000549B1">
        <w:rPr>
          <w:rFonts w:hint="eastAsia"/>
          <w:sz w:val="24"/>
          <w:lang w:bidi="en-US"/>
        </w:rPr>
        <w:t>－</w:t>
      </w:r>
      <w:r w:rsidRPr="000549B1">
        <w:rPr>
          <w:sz w:val="24"/>
          <w:lang w:bidi="en-US"/>
        </w:rPr>
        <w:t>2035</w:t>
      </w:r>
      <w:r w:rsidRPr="000549B1">
        <w:rPr>
          <w:rFonts w:hint="eastAsia"/>
          <w:sz w:val="24"/>
          <w:lang w:bidi="en-US"/>
        </w:rPr>
        <w:t>年）》；</w:t>
      </w:r>
    </w:p>
    <w:p w14:paraId="3AAB16CC" w14:textId="77777777" w:rsidR="004B3C16" w:rsidRPr="000549B1" w:rsidRDefault="004B3C16" w:rsidP="004B3C16">
      <w:pPr>
        <w:tabs>
          <w:tab w:val="left" w:pos="6840"/>
        </w:tabs>
        <w:spacing w:line="500" w:lineRule="exact"/>
        <w:ind w:firstLineChars="200" w:firstLine="480"/>
        <w:jc w:val="left"/>
        <w:textAlignment w:val="baseline"/>
        <w:rPr>
          <w:sz w:val="24"/>
          <w:lang w:bidi="en-US"/>
        </w:rPr>
      </w:pPr>
      <w:r w:rsidRPr="000549B1">
        <w:rPr>
          <w:rFonts w:hint="eastAsia"/>
          <w:sz w:val="24"/>
          <w:lang w:bidi="en-US"/>
        </w:rPr>
        <w:t>（</w:t>
      </w:r>
      <w:r w:rsidRPr="000549B1">
        <w:rPr>
          <w:sz w:val="24"/>
          <w:lang w:bidi="en-US"/>
        </w:rPr>
        <w:t>14</w:t>
      </w:r>
      <w:r w:rsidRPr="000549B1">
        <w:rPr>
          <w:rFonts w:hint="eastAsia"/>
          <w:sz w:val="24"/>
          <w:lang w:bidi="en-US"/>
        </w:rPr>
        <w:t>）《国家重点生态功能保护区规划纲要》（环发〔</w:t>
      </w:r>
      <w:r w:rsidRPr="000549B1">
        <w:rPr>
          <w:sz w:val="24"/>
          <w:lang w:bidi="en-US"/>
        </w:rPr>
        <w:t>2007</w:t>
      </w:r>
      <w:r w:rsidRPr="000549B1">
        <w:rPr>
          <w:rFonts w:hint="eastAsia"/>
          <w:sz w:val="24"/>
          <w:lang w:bidi="en-US"/>
        </w:rPr>
        <w:t>〕</w:t>
      </w:r>
      <w:r w:rsidRPr="000549B1">
        <w:rPr>
          <w:sz w:val="24"/>
          <w:lang w:bidi="en-US"/>
        </w:rPr>
        <w:t>165</w:t>
      </w:r>
      <w:r w:rsidRPr="000549B1">
        <w:rPr>
          <w:rFonts w:hint="eastAsia"/>
          <w:sz w:val="24"/>
          <w:lang w:bidi="en-US"/>
        </w:rPr>
        <w:t>号）；</w:t>
      </w:r>
    </w:p>
    <w:p w14:paraId="5096635B" w14:textId="77777777" w:rsidR="004B3C16" w:rsidRPr="000549B1" w:rsidRDefault="004B3C16" w:rsidP="004B3C16">
      <w:pPr>
        <w:tabs>
          <w:tab w:val="left" w:pos="6840"/>
        </w:tabs>
        <w:spacing w:line="360" w:lineRule="auto"/>
        <w:ind w:firstLineChars="200" w:firstLine="480"/>
        <w:jc w:val="left"/>
        <w:textAlignment w:val="baseline"/>
        <w:rPr>
          <w:sz w:val="24"/>
          <w:lang w:bidi="en-US"/>
        </w:rPr>
      </w:pPr>
      <w:r w:rsidRPr="000549B1">
        <w:rPr>
          <w:rFonts w:hint="eastAsia"/>
          <w:sz w:val="24"/>
          <w:lang w:bidi="en-US"/>
        </w:rPr>
        <w:t>（</w:t>
      </w:r>
      <w:r w:rsidRPr="000549B1">
        <w:rPr>
          <w:sz w:val="24"/>
          <w:lang w:bidi="en-US"/>
        </w:rPr>
        <w:t>15</w:t>
      </w:r>
      <w:r w:rsidRPr="000549B1">
        <w:rPr>
          <w:rFonts w:hint="eastAsia"/>
          <w:sz w:val="24"/>
          <w:lang w:bidi="en-US"/>
        </w:rPr>
        <w:t>）《全国生物物种资源保护与利用规划纲要》（环发〔</w:t>
      </w:r>
      <w:r w:rsidRPr="000549B1">
        <w:rPr>
          <w:sz w:val="24"/>
          <w:lang w:bidi="en-US"/>
        </w:rPr>
        <w:t>2007</w:t>
      </w:r>
      <w:r w:rsidRPr="000549B1">
        <w:rPr>
          <w:rFonts w:hint="eastAsia"/>
          <w:sz w:val="24"/>
          <w:lang w:bidi="en-US"/>
        </w:rPr>
        <w:t>〕</w:t>
      </w:r>
      <w:r w:rsidRPr="000549B1">
        <w:rPr>
          <w:sz w:val="24"/>
          <w:lang w:bidi="en-US"/>
        </w:rPr>
        <w:t>163</w:t>
      </w:r>
      <w:r w:rsidRPr="000549B1">
        <w:rPr>
          <w:rFonts w:hint="eastAsia"/>
          <w:sz w:val="24"/>
          <w:lang w:bidi="en-US"/>
        </w:rPr>
        <w:t>号）；</w:t>
      </w:r>
    </w:p>
    <w:p w14:paraId="346E6C55" w14:textId="77777777" w:rsidR="004B3C16" w:rsidRPr="000549B1" w:rsidRDefault="004B3C16" w:rsidP="004B3C16">
      <w:pPr>
        <w:tabs>
          <w:tab w:val="left" w:pos="6840"/>
        </w:tabs>
        <w:spacing w:line="360" w:lineRule="auto"/>
        <w:ind w:firstLineChars="200" w:firstLine="480"/>
        <w:jc w:val="left"/>
        <w:textAlignment w:val="baseline"/>
        <w:rPr>
          <w:sz w:val="24"/>
          <w:lang w:bidi="en-US"/>
        </w:rPr>
      </w:pPr>
      <w:r w:rsidRPr="000549B1">
        <w:rPr>
          <w:rFonts w:hint="eastAsia"/>
          <w:sz w:val="24"/>
          <w:lang w:bidi="en-US"/>
        </w:rPr>
        <w:t>（</w:t>
      </w:r>
      <w:r w:rsidRPr="000549B1">
        <w:rPr>
          <w:sz w:val="24"/>
          <w:lang w:bidi="en-US"/>
        </w:rPr>
        <w:t>16</w:t>
      </w:r>
      <w:r w:rsidRPr="000549B1">
        <w:rPr>
          <w:rFonts w:hint="eastAsia"/>
          <w:sz w:val="24"/>
          <w:lang w:bidi="en-US"/>
        </w:rPr>
        <w:t>）《中国生物多样性保护战略与行动计划（</w:t>
      </w:r>
      <w:r w:rsidRPr="000549B1">
        <w:rPr>
          <w:sz w:val="24"/>
          <w:lang w:bidi="en-US"/>
        </w:rPr>
        <w:t>2011-2030</w:t>
      </w:r>
      <w:r w:rsidRPr="000549B1">
        <w:rPr>
          <w:rFonts w:hint="eastAsia"/>
          <w:sz w:val="24"/>
          <w:lang w:bidi="en-US"/>
        </w:rPr>
        <w:t>年）》（环发〔</w:t>
      </w:r>
      <w:r w:rsidRPr="000549B1">
        <w:rPr>
          <w:sz w:val="24"/>
          <w:lang w:bidi="en-US"/>
        </w:rPr>
        <w:t>2010</w:t>
      </w:r>
      <w:r w:rsidRPr="000549B1">
        <w:rPr>
          <w:rFonts w:hint="eastAsia"/>
          <w:sz w:val="24"/>
          <w:lang w:bidi="en-US"/>
        </w:rPr>
        <w:t>〕</w:t>
      </w:r>
      <w:r w:rsidRPr="000549B1">
        <w:rPr>
          <w:sz w:val="24"/>
          <w:lang w:bidi="en-US"/>
        </w:rPr>
        <w:t>106</w:t>
      </w:r>
      <w:r w:rsidRPr="000549B1">
        <w:rPr>
          <w:rFonts w:hint="eastAsia"/>
          <w:sz w:val="24"/>
          <w:lang w:bidi="en-US"/>
        </w:rPr>
        <w:t>号）；</w:t>
      </w:r>
    </w:p>
    <w:p w14:paraId="0B3EBD4B" w14:textId="77777777" w:rsidR="004B3C16" w:rsidRPr="000549B1" w:rsidRDefault="004B3C16" w:rsidP="004B3C16">
      <w:pPr>
        <w:tabs>
          <w:tab w:val="left" w:pos="6840"/>
        </w:tabs>
        <w:spacing w:line="360" w:lineRule="auto"/>
        <w:ind w:firstLineChars="200" w:firstLine="480"/>
        <w:jc w:val="left"/>
        <w:textAlignment w:val="baseline"/>
        <w:rPr>
          <w:sz w:val="24"/>
          <w:lang w:bidi="en-US"/>
        </w:rPr>
      </w:pPr>
      <w:r w:rsidRPr="000549B1">
        <w:rPr>
          <w:rFonts w:hint="eastAsia"/>
          <w:sz w:val="24"/>
          <w:lang w:bidi="en-US"/>
        </w:rPr>
        <w:t>（</w:t>
      </w:r>
      <w:r w:rsidRPr="000549B1">
        <w:rPr>
          <w:sz w:val="24"/>
          <w:lang w:bidi="en-US"/>
        </w:rPr>
        <w:t>17</w:t>
      </w:r>
      <w:r w:rsidRPr="000549B1">
        <w:rPr>
          <w:rFonts w:hint="eastAsia"/>
          <w:sz w:val="24"/>
          <w:lang w:bidi="en-US"/>
        </w:rPr>
        <w:t>）《水污染防治行动计划》（国发〔</w:t>
      </w:r>
      <w:r w:rsidRPr="000549B1">
        <w:rPr>
          <w:sz w:val="24"/>
          <w:lang w:bidi="en-US"/>
        </w:rPr>
        <w:t>2015</w:t>
      </w:r>
      <w:r w:rsidRPr="000549B1">
        <w:rPr>
          <w:rFonts w:hint="eastAsia"/>
          <w:sz w:val="24"/>
          <w:lang w:bidi="en-US"/>
        </w:rPr>
        <w:t>〕</w:t>
      </w:r>
      <w:r w:rsidRPr="000549B1">
        <w:rPr>
          <w:sz w:val="24"/>
          <w:lang w:bidi="en-US"/>
        </w:rPr>
        <w:t>17</w:t>
      </w:r>
      <w:r w:rsidRPr="000549B1">
        <w:rPr>
          <w:rFonts w:hint="eastAsia"/>
          <w:sz w:val="24"/>
          <w:lang w:bidi="en-US"/>
        </w:rPr>
        <w:t>号）；</w:t>
      </w:r>
    </w:p>
    <w:p w14:paraId="00F09382" w14:textId="77777777" w:rsidR="004B3C16" w:rsidRPr="000549B1" w:rsidRDefault="004B3C16" w:rsidP="004B3C16">
      <w:pPr>
        <w:tabs>
          <w:tab w:val="left" w:pos="6840"/>
        </w:tabs>
        <w:spacing w:line="360" w:lineRule="auto"/>
        <w:ind w:firstLineChars="200" w:firstLine="480"/>
        <w:jc w:val="left"/>
        <w:textAlignment w:val="baseline"/>
        <w:rPr>
          <w:sz w:val="24"/>
          <w:lang w:bidi="en-US"/>
        </w:rPr>
      </w:pPr>
      <w:r w:rsidRPr="000549B1">
        <w:rPr>
          <w:rFonts w:hint="eastAsia"/>
          <w:sz w:val="24"/>
          <w:lang w:bidi="en-US"/>
        </w:rPr>
        <w:t>（</w:t>
      </w:r>
      <w:r w:rsidRPr="000549B1">
        <w:rPr>
          <w:sz w:val="24"/>
          <w:lang w:bidi="en-US"/>
        </w:rPr>
        <w:t>18</w:t>
      </w:r>
      <w:r w:rsidRPr="000549B1">
        <w:rPr>
          <w:rFonts w:hint="eastAsia"/>
          <w:sz w:val="24"/>
          <w:lang w:bidi="en-US"/>
        </w:rPr>
        <w:t>）《大气污染防治行动计划》（国发〔</w:t>
      </w:r>
      <w:r w:rsidRPr="000549B1">
        <w:rPr>
          <w:sz w:val="24"/>
          <w:lang w:bidi="en-US"/>
        </w:rPr>
        <w:t>2013</w:t>
      </w:r>
      <w:r w:rsidRPr="000549B1">
        <w:rPr>
          <w:rFonts w:hint="eastAsia"/>
          <w:sz w:val="24"/>
          <w:lang w:bidi="en-US"/>
        </w:rPr>
        <w:t>〕</w:t>
      </w:r>
      <w:r w:rsidRPr="000549B1">
        <w:rPr>
          <w:sz w:val="24"/>
          <w:lang w:bidi="en-US"/>
        </w:rPr>
        <w:t>37</w:t>
      </w:r>
      <w:r w:rsidRPr="000549B1">
        <w:rPr>
          <w:rFonts w:hint="eastAsia"/>
          <w:sz w:val="24"/>
          <w:lang w:bidi="en-US"/>
        </w:rPr>
        <w:t>号）；</w:t>
      </w:r>
    </w:p>
    <w:p w14:paraId="28578A9D" w14:textId="77777777" w:rsidR="004B3C16" w:rsidRPr="000549B1" w:rsidRDefault="004B3C16" w:rsidP="004B3C16">
      <w:pPr>
        <w:tabs>
          <w:tab w:val="left" w:pos="6840"/>
        </w:tabs>
        <w:spacing w:line="360" w:lineRule="auto"/>
        <w:ind w:firstLineChars="200" w:firstLine="480"/>
        <w:jc w:val="left"/>
        <w:textAlignment w:val="baseline"/>
        <w:rPr>
          <w:sz w:val="24"/>
          <w:lang w:bidi="en-US"/>
        </w:rPr>
      </w:pPr>
      <w:r w:rsidRPr="000549B1">
        <w:rPr>
          <w:rFonts w:hint="eastAsia"/>
          <w:sz w:val="24"/>
          <w:lang w:bidi="en-US"/>
        </w:rPr>
        <w:t>（</w:t>
      </w:r>
      <w:r w:rsidRPr="000549B1">
        <w:rPr>
          <w:sz w:val="24"/>
          <w:lang w:bidi="en-US"/>
        </w:rPr>
        <w:t>19</w:t>
      </w:r>
      <w:r w:rsidRPr="000549B1">
        <w:rPr>
          <w:rFonts w:hint="eastAsia"/>
          <w:sz w:val="24"/>
          <w:lang w:bidi="en-US"/>
        </w:rPr>
        <w:t>）《土壤污染防治行动计划》（国发〔</w:t>
      </w:r>
      <w:r w:rsidRPr="000549B1">
        <w:rPr>
          <w:sz w:val="24"/>
          <w:lang w:bidi="en-US"/>
        </w:rPr>
        <w:t>2016</w:t>
      </w:r>
      <w:r w:rsidRPr="000549B1">
        <w:rPr>
          <w:rFonts w:hint="eastAsia"/>
          <w:sz w:val="24"/>
          <w:lang w:bidi="en-US"/>
        </w:rPr>
        <w:t>〕</w:t>
      </w:r>
      <w:r w:rsidRPr="000549B1">
        <w:rPr>
          <w:sz w:val="24"/>
          <w:lang w:bidi="en-US"/>
        </w:rPr>
        <w:t>31</w:t>
      </w:r>
      <w:r w:rsidRPr="000549B1">
        <w:rPr>
          <w:rFonts w:hint="eastAsia"/>
          <w:sz w:val="24"/>
          <w:lang w:bidi="en-US"/>
        </w:rPr>
        <w:t>号）；</w:t>
      </w:r>
    </w:p>
    <w:p w14:paraId="416D7F34" w14:textId="77777777" w:rsidR="004B3C16" w:rsidRPr="000549B1" w:rsidRDefault="004B3C16" w:rsidP="004B3C16">
      <w:pPr>
        <w:tabs>
          <w:tab w:val="left" w:pos="6840"/>
        </w:tabs>
        <w:spacing w:line="360" w:lineRule="auto"/>
        <w:ind w:firstLineChars="200" w:firstLine="480"/>
        <w:jc w:val="left"/>
        <w:textAlignment w:val="baseline"/>
        <w:rPr>
          <w:sz w:val="24"/>
          <w:lang w:bidi="en-US"/>
        </w:rPr>
      </w:pPr>
      <w:r w:rsidRPr="000549B1">
        <w:rPr>
          <w:rFonts w:hint="eastAsia"/>
          <w:sz w:val="24"/>
          <w:lang w:bidi="en-US"/>
        </w:rPr>
        <w:t>（</w:t>
      </w:r>
      <w:r w:rsidRPr="000549B1">
        <w:rPr>
          <w:sz w:val="24"/>
          <w:lang w:bidi="en-US"/>
        </w:rPr>
        <w:t>20</w:t>
      </w:r>
      <w:r w:rsidRPr="000549B1">
        <w:rPr>
          <w:rFonts w:hint="eastAsia"/>
          <w:sz w:val="24"/>
          <w:lang w:bidi="en-US"/>
        </w:rPr>
        <w:t>）《</w:t>
      </w:r>
      <w:r w:rsidRPr="000549B1">
        <w:rPr>
          <w:sz w:val="24"/>
          <w:lang w:bidi="en-US"/>
        </w:rPr>
        <w:t>“</w:t>
      </w:r>
      <w:r w:rsidRPr="000549B1">
        <w:rPr>
          <w:rFonts w:hint="eastAsia"/>
          <w:sz w:val="24"/>
          <w:lang w:bidi="en-US"/>
        </w:rPr>
        <w:t>十四五</w:t>
      </w:r>
      <w:r w:rsidRPr="000549B1">
        <w:rPr>
          <w:sz w:val="24"/>
          <w:lang w:bidi="en-US"/>
        </w:rPr>
        <w:t>”</w:t>
      </w:r>
      <w:r w:rsidRPr="000549B1">
        <w:rPr>
          <w:rFonts w:hint="eastAsia"/>
          <w:sz w:val="24"/>
          <w:lang w:bidi="en-US"/>
        </w:rPr>
        <w:t>重点流域水环境综合治理规划》；</w:t>
      </w:r>
    </w:p>
    <w:p w14:paraId="20B5CEE3" w14:textId="77777777" w:rsidR="004B3C16" w:rsidRPr="000549B1" w:rsidRDefault="004B3C16" w:rsidP="004B3C16">
      <w:pPr>
        <w:tabs>
          <w:tab w:val="left" w:pos="6840"/>
        </w:tabs>
        <w:spacing w:line="360" w:lineRule="auto"/>
        <w:ind w:firstLineChars="200" w:firstLine="480"/>
        <w:jc w:val="left"/>
        <w:textAlignment w:val="baseline"/>
        <w:rPr>
          <w:sz w:val="24"/>
          <w:lang w:bidi="en-US"/>
        </w:rPr>
      </w:pPr>
      <w:r w:rsidRPr="000549B1">
        <w:rPr>
          <w:rFonts w:hint="eastAsia"/>
          <w:sz w:val="24"/>
          <w:lang w:bidi="en-US"/>
        </w:rPr>
        <w:t>（</w:t>
      </w:r>
      <w:r w:rsidRPr="000549B1">
        <w:rPr>
          <w:sz w:val="24"/>
          <w:lang w:bidi="en-US"/>
        </w:rPr>
        <w:t>21</w:t>
      </w:r>
      <w:r w:rsidRPr="000549B1">
        <w:rPr>
          <w:rFonts w:hint="eastAsia"/>
          <w:sz w:val="24"/>
          <w:lang w:bidi="en-US"/>
        </w:rPr>
        <w:t>）《青海省国民经济和社会发展第十四个五年规划和二〇三五年远景目标纲要》（</w:t>
      </w:r>
      <w:r w:rsidRPr="000549B1">
        <w:rPr>
          <w:sz w:val="24"/>
          <w:lang w:bidi="en-US"/>
        </w:rPr>
        <w:t>2021</w:t>
      </w:r>
      <w:r w:rsidRPr="000549B1">
        <w:rPr>
          <w:rFonts w:hint="eastAsia"/>
          <w:sz w:val="24"/>
          <w:lang w:bidi="en-US"/>
        </w:rPr>
        <w:t>年</w:t>
      </w:r>
      <w:r w:rsidRPr="000549B1">
        <w:rPr>
          <w:sz w:val="24"/>
          <w:lang w:bidi="en-US"/>
        </w:rPr>
        <w:t>2</w:t>
      </w:r>
      <w:r w:rsidRPr="000549B1">
        <w:rPr>
          <w:rFonts w:hint="eastAsia"/>
          <w:sz w:val="24"/>
          <w:lang w:bidi="en-US"/>
        </w:rPr>
        <w:t>月）；</w:t>
      </w:r>
    </w:p>
    <w:p w14:paraId="79CEA64A" w14:textId="77777777" w:rsidR="004B3C16" w:rsidRPr="000549B1" w:rsidRDefault="004B3C16" w:rsidP="004B3C16">
      <w:pPr>
        <w:tabs>
          <w:tab w:val="left" w:pos="6840"/>
        </w:tabs>
        <w:spacing w:line="360" w:lineRule="auto"/>
        <w:ind w:firstLineChars="200" w:firstLine="480"/>
        <w:jc w:val="left"/>
        <w:textAlignment w:val="baseline"/>
        <w:rPr>
          <w:sz w:val="24"/>
          <w:lang w:bidi="en-US"/>
        </w:rPr>
      </w:pPr>
      <w:r w:rsidRPr="000549B1">
        <w:rPr>
          <w:rFonts w:hint="eastAsia"/>
          <w:sz w:val="24"/>
          <w:lang w:bidi="en-US"/>
        </w:rPr>
        <w:t>（</w:t>
      </w:r>
      <w:r w:rsidRPr="000549B1">
        <w:rPr>
          <w:sz w:val="24"/>
          <w:lang w:bidi="en-US"/>
        </w:rPr>
        <w:t>22</w:t>
      </w:r>
      <w:r w:rsidRPr="000549B1">
        <w:rPr>
          <w:rFonts w:hint="eastAsia"/>
          <w:sz w:val="24"/>
          <w:lang w:bidi="en-US"/>
        </w:rPr>
        <w:t>）《青海省</w:t>
      </w:r>
      <w:r w:rsidRPr="000549B1">
        <w:rPr>
          <w:sz w:val="24"/>
          <w:lang w:bidi="en-US"/>
        </w:rPr>
        <w:t>“</w:t>
      </w:r>
      <w:r w:rsidRPr="000549B1">
        <w:rPr>
          <w:rFonts w:hint="eastAsia"/>
          <w:sz w:val="24"/>
          <w:lang w:bidi="en-US"/>
        </w:rPr>
        <w:t>十四五</w:t>
      </w:r>
      <w:r w:rsidRPr="000549B1">
        <w:rPr>
          <w:sz w:val="24"/>
          <w:lang w:bidi="en-US"/>
        </w:rPr>
        <w:t>”</w:t>
      </w:r>
      <w:r w:rsidRPr="000549B1">
        <w:rPr>
          <w:rFonts w:hint="eastAsia"/>
          <w:sz w:val="24"/>
          <w:lang w:bidi="en-US"/>
        </w:rPr>
        <w:t>水安全保障规划》（</w:t>
      </w:r>
      <w:r w:rsidRPr="000549B1">
        <w:rPr>
          <w:sz w:val="24"/>
          <w:lang w:bidi="en-US"/>
        </w:rPr>
        <w:t>2021</w:t>
      </w:r>
      <w:r w:rsidRPr="000549B1">
        <w:rPr>
          <w:rFonts w:hint="eastAsia"/>
          <w:sz w:val="24"/>
          <w:lang w:bidi="en-US"/>
        </w:rPr>
        <w:t>年</w:t>
      </w:r>
      <w:r w:rsidRPr="000549B1">
        <w:rPr>
          <w:sz w:val="24"/>
          <w:lang w:bidi="en-US"/>
        </w:rPr>
        <w:t>12</w:t>
      </w:r>
      <w:r w:rsidRPr="000549B1">
        <w:rPr>
          <w:rFonts w:hint="eastAsia"/>
          <w:sz w:val="24"/>
          <w:lang w:bidi="en-US"/>
        </w:rPr>
        <w:t>月）；</w:t>
      </w:r>
    </w:p>
    <w:p w14:paraId="07CE5E32" w14:textId="77777777" w:rsidR="004B3C16" w:rsidRPr="000549B1" w:rsidRDefault="004B3C16" w:rsidP="004B3C16">
      <w:pPr>
        <w:tabs>
          <w:tab w:val="left" w:pos="6840"/>
        </w:tabs>
        <w:spacing w:line="360" w:lineRule="auto"/>
        <w:ind w:firstLineChars="200" w:firstLine="480"/>
        <w:jc w:val="left"/>
        <w:textAlignment w:val="baseline"/>
        <w:rPr>
          <w:sz w:val="24"/>
          <w:lang w:bidi="en-US"/>
        </w:rPr>
      </w:pPr>
      <w:r w:rsidRPr="000549B1">
        <w:rPr>
          <w:rFonts w:hint="eastAsia"/>
          <w:sz w:val="24"/>
          <w:lang w:bidi="en-US"/>
        </w:rPr>
        <w:t>（</w:t>
      </w:r>
      <w:r w:rsidRPr="000549B1">
        <w:rPr>
          <w:sz w:val="24"/>
          <w:lang w:bidi="en-US"/>
        </w:rPr>
        <w:t>23</w:t>
      </w:r>
      <w:r w:rsidRPr="000549B1">
        <w:rPr>
          <w:rFonts w:hint="eastAsia"/>
          <w:sz w:val="24"/>
          <w:lang w:bidi="en-US"/>
        </w:rPr>
        <w:t>）《青海省山洪灾害防治</w:t>
      </w:r>
      <w:r w:rsidRPr="000549B1">
        <w:rPr>
          <w:sz w:val="24"/>
          <w:lang w:bidi="en-US"/>
        </w:rPr>
        <w:t>“</w:t>
      </w:r>
      <w:r w:rsidRPr="000549B1">
        <w:rPr>
          <w:rFonts w:hint="eastAsia"/>
          <w:sz w:val="24"/>
          <w:lang w:bidi="en-US"/>
        </w:rPr>
        <w:t>十四五</w:t>
      </w:r>
      <w:r w:rsidRPr="000549B1">
        <w:rPr>
          <w:sz w:val="24"/>
          <w:lang w:bidi="en-US"/>
        </w:rPr>
        <w:t>”</w:t>
      </w:r>
      <w:r w:rsidRPr="000549B1">
        <w:rPr>
          <w:rFonts w:hint="eastAsia"/>
          <w:sz w:val="24"/>
          <w:lang w:bidi="en-US"/>
        </w:rPr>
        <w:t>规划》；</w:t>
      </w:r>
    </w:p>
    <w:p w14:paraId="13005AA4" w14:textId="77777777" w:rsidR="004B3C16" w:rsidRPr="000549B1" w:rsidRDefault="004B3C16" w:rsidP="004B3C16">
      <w:pPr>
        <w:tabs>
          <w:tab w:val="left" w:pos="6840"/>
        </w:tabs>
        <w:spacing w:line="360" w:lineRule="auto"/>
        <w:ind w:firstLineChars="200" w:firstLine="480"/>
        <w:jc w:val="left"/>
        <w:textAlignment w:val="baseline"/>
        <w:rPr>
          <w:sz w:val="24"/>
          <w:lang w:bidi="en-US"/>
        </w:rPr>
      </w:pPr>
      <w:r w:rsidRPr="000549B1">
        <w:rPr>
          <w:rFonts w:hint="eastAsia"/>
          <w:sz w:val="24"/>
          <w:lang w:bidi="en-US"/>
        </w:rPr>
        <w:t>（</w:t>
      </w:r>
      <w:r w:rsidRPr="000549B1">
        <w:rPr>
          <w:sz w:val="24"/>
          <w:lang w:bidi="en-US"/>
        </w:rPr>
        <w:t>24</w:t>
      </w:r>
      <w:r w:rsidRPr="000549B1">
        <w:rPr>
          <w:rFonts w:hint="eastAsia"/>
          <w:sz w:val="24"/>
          <w:lang w:bidi="en-US"/>
        </w:rPr>
        <w:t>）《青海省农村牧区供水保障</w:t>
      </w:r>
      <w:r w:rsidRPr="000549B1">
        <w:rPr>
          <w:sz w:val="24"/>
          <w:lang w:bidi="en-US"/>
        </w:rPr>
        <w:t>“</w:t>
      </w:r>
      <w:r w:rsidRPr="000549B1">
        <w:rPr>
          <w:rFonts w:hint="eastAsia"/>
          <w:sz w:val="24"/>
          <w:lang w:bidi="en-US"/>
        </w:rPr>
        <w:t>十四五</w:t>
      </w:r>
      <w:r w:rsidRPr="000549B1">
        <w:rPr>
          <w:sz w:val="24"/>
          <w:lang w:bidi="en-US"/>
        </w:rPr>
        <w:t>”</w:t>
      </w:r>
      <w:r w:rsidRPr="000549B1">
        <w:rPr>
          <w:rFonts w:hint="eastAsia"/>
          <w:sz w:val="24"/>
          <w:lang w:bidi="en-US"/>
        </w:rPr>
        <w:t>规划》；</w:t>
      </w:r>
    </w:p>
    <w:p w14:paraId="0FA1FB15" w14:textId="77777777" w:rsidR="004B3C16" w:rsidRPr="000549B1" w:rsidRDefault="004B3C16" w:rsidP="004B3C16">
      <w:pPr>
        <w:tabs>
          <w:tab w:val="left" w:pos="6840"/>
        </w:tabs>
        <w:spacing w:line="360" w:lineRule="auto"/>
        <w:ind w:firstLineChars="200" w:firstLine="480"/>
        <w:jc w:val="left"/>
        <w:textAlignment w:val="baseline"/>
        <w:rPr>
          <w:sz w:val="24"/>
          <w:lang w:bidi="en-US"/>
        </w:rPr>
      </w:pPr>
      <w:r w:rsidRPr="000549B1">
        <w:rPr>
          <w:rFonts w:hint="eastAsia"/>
          <w:sz w:val="24"/>
          <w:lang w:bidi="en-US"/>
        </w:rPr>
        <w:t>（</w:t>
      </w:r>
      <w:r w:rsidRPr="000549B1">
        <w:rPr>
          <w:sz w:val="24"/>
          <w:lang w:bidi="en-US"/>
        </w:rPr>
        <w:t>25</w:t>
      </w:r>
      <w:r w:rsidRPr="000549B1">
        <w:rPr>
          <w:rFonts w:hint="eastAsia"/>
          <w:sz w:val="24"/>
          <w:lang w:bidi="en-US"/>
        </w:rPr>
        <w:t>）《青海省中型灌区续建配套与节水改造规划》；</w:t>
      </w:r>
    </w:p>
    <w:p w14:paraId="5429FC44" w14:textId="77777777" w:rsidR="004B3C16" w:rsidRPr="000549B1" w:rsidRDefault="004B3C16" w:rsidP="004B3C16">
      <w:pPr>
        <w:tabs>
          <w:tab w:val="left" w:pos="6840"/>
        </w:tabs>
        <w:spacing w:line="360" w:lineRule="auto"/>
        <w:ind w:firstLineChars="200" w:firstLine="480"/>
        <w:jc w:val="left"/>
        <w:textAlignment w:val="baseline"/>
        <w:rPr>
          <w:sz w:val="24"/>
          <w:lang w:bidi="en-US"/>
        </w:rPr>
      </w:pPr>
      <w:r w:rsidRPr="000549B1">
        <w:rPr>
          <w:rFonts w:hint="eastAsia"/>
          <w:sz w:val="24"/>
          <w:lang w:bidi="en-US"/>
        </w:rPr>
        <w:t>（</w:t>
      </w:r>
      <w:r w:rsidRPr="000549B1">
        <w:rPr>
          <w:sz w:val="24"/>
          <w:lang w:bidi="en-US"/>
        </w:rPr>
        <w:t>26</w:t>
      </w:r>
      <w:r w:rsidRPr="000549B1">
        <w:rPr>
          <w:rFonts w:hint="eastAsia"/>
          <w:sz w:val="24"/>
          <w:lang w:bidi="en-US"/>
        </w:rPr>
        <w:t>）《青海省节水型社会建设</w:t>
      </w:r>
      <w:r w:rsidRPr="000549B1">
        <w:rPr>
          <w:sz w:val="24"/>
          <w:lang w:bidi="en-US"/>
        </w:rPr>
        <w:t>“</w:t>
      </w:r>
      <w:r w:rsidRPr="000549B1">
        <w:rPr>
          <w:rFonts w:hint="eastAsia"/>
          <w:sz w:val="24"/>
          <w:lang w:bidi="en-US"/>
        </w:rPr>
        <w:t>十四五</w:t>
      </w:r>
      <w:r w:rsidRPr="000549B1">
        <w:rPr>
          <w:sz w:val="24"/>
          <w:lang w:bidi="en-US"/>
        </w:rPr>
        <w:t>”</w:t>
      </w:r>
      <w:r w:rsidRPr="000549B1">
        <w:rPr>
          <w:rFonts w:hint="eastAsia"/>
          <w:sz w:val="24"/>
          <w:lang w:bidi="en-US"/>
        </w:rPr>
        <w:t>规划》；</w:t>
      </w:r>
    </w:p>
    <w:p w14:paraId="69BF99E9" w14:textId="77777777" w:rsidR="004B3C16" w:rsidRPr="000549B1" w:rsidRDefault="004B3C16" w:rsidP="004B3C16">
      <w:pPr>
        <w:tabs>
          <w:tab w:val="left" w:pos="6840"/>
        </w:tabs>
        <w:spacing w:line="360" w:lineRule="auto"/>
        <w:ind w:firstLineChars="200" w:firstLine="480"/>
        <w:jc w:val="left"/>
        <w:textAlignment w:val="baseline"/>
        <w:rPr>
          <w:sz w:val="24"/>
          <w:lang w:bidi="en-US"/>
        </w:rPr>
      </w:pPr>
      <w:r w:rsidRPr="000549B1">
        <w:rPr>
          <w:rFonts w:hint="eastAsia"/>
          <w:sz w:val="24"/>
          <w:lang w:bidi="en-US"/>
        </w:rPr>
        <w:t>（</w:t>
      </w:r>
      <w:r w:rsidRPr="000549B1">
        <w:rPr>
          <w:sz w:val="24"/>
          <w:lang w:bidi="en-US"/>
        </w:rPr>
        <w:t>27</w:t>
      </w:r>
      <w:r w:rsidRPr="000549B1">
        <w:rPr>
          <w:rFonts w:hint="eastAsia"/>
          <w:sz w:val="24"/>
          <w:lang w:bidi="en-US"/>
        </w:rPr>
        <w:t>）《青海省</w:t>
      </w:r>
      <w:r w:rsidRPr="000549B1">
        <w:rPr>
          <w:sz w:val="24"/>
          <w:lang w:bidi="en-US"/>
        </w:rPr>
        <w:t>“</w:t>
      </w:r>
      <w:r w:rsidRPr="000549B1">
        <w:rPr>
          <w:rFonts w:hint="eastAsia"/>
          <w:sz w:val="24"/>
          <w:lang w:bidi="en-US"/>
        </w:rPr>
        <w:t>十四五</w:t>
      </w:r>
      <w:r w:rsidRPr="000549B1">
        <w:rPr>
          <w:sz w:val="24"/>
          <w:lang w:bidi="en-US"/>
        </w:rPr>
        <w:t>”</w:t>
      </w:r>
      <w:r w:rsidRPr="000549B1">
        <w:rPr>
          <w:rFonts w:hint="eastAsia"/>
          <w:sz w:val="24"/>
          <w:lang w:bidi="en-US"/>
        </w:rPr>
        <w:t>水土保持规划》；</w:t>
      </w:r>
    </w:p>
    <w:p w14:paraId="76807E58" w14:textId="77777777" w:rsidR="004B3C16" w:rsidRPr="000549B1" w:rsidRDefault="004B3C16" w:rsidP="004B3C16">
      <w:pPr>
        <w:tabs>
          <w:tab w:val="left" w:pos="6840"/>
        </w:tabs>
        <w:spacing w:line="360" w:lineRule="auto"/>
        <w:ind w:firstLineChars="200" w:firstLine="480"/>
        <w:jc w:val="left"/>
        <w:textAlignment w:val="baseline"/>
        <w:rPr>
          <w:sz w:val="24"/>
          <w:lang w:bidi="en-US"/>
        </w:rPr>
      </w:pPr>
      <w:r w:rsidRPr="000549B1">
        <w:rPr>
          <w:rFonts w:hint="eastAsia"/>
          <w:sz w:val="24"/>
          <w:lang w:bidi="en-US"/>
        </w:rPr>
        <w:t>（</w:t>
      </w:r>
      <w:r w:rsidRPr="000549B1">
        <w:rPr>
          <w:sz w:val="24"/>
          <w:lang w:bidi="en-US"/>
        </w:rPr>
        <w:t>28</w:t>
      </w:r>
      <w:r w:rsidRPr="000549B1">
        <w:rPr>
          <w:rFonts w:hint="eastAsia"/>
          <w:sz w:val="24"/>
          <w:lang w:bidi="en-US"/>
        </w:rPr>
        <w:t>）《青海省</w:t>
      </w:r>
      <w:r w:rsidRPr="000549B1">
        <w:rPr>
          <w:sz w:val="24"/>
          <w:lang w:bidi="en-US"/>
        </w:rPr>
        <w:t>“</w:t>
      </w:r>
      <w:r w:rsidRPr="000549B1">
        <w:rPr>
          <w:rFonts w:hint="eastAsia"/>
          <w:sz w:val="24"/>
          <w:lang w:bidi="en-US"/>
        </w:rPr>
        <w:t>十四五</w:t>
      </w:r>
      <w:r w:rsidRPr="000549B1">
        <w:rPr>
          <w:sz w:val="24"/>
          <w:lang w:bidi="en-US"/>
        </w:rPr>
        <w:t>”</w:t>
      </w:r>
      <w:r w:rsidRPr="000549B1">
        <w:rPr>
          <w:rFonts w:hint="eastAsia"/>
          <w:sz w:val="24"/>
          <w:lang w:bidi="en-US"/>
        </w:rPr>
        <w:t>水文事业发展规划》；</w:t>
      </w:r>
    </w:p>
    <w:p w14:paraId="3A7BFC17" w14:textId="77777777" w:rsidR="004B3C16" w:rsidRPr="000549B1" w:rsidRDefault="004B3C16" w:rsidP="004B3C16">
      <w:pPr>
        <w:tabs>
          <w:tab w:val="left" w:pos="6840"/>
        </w:tabs>
        <w:spacing w:line="360" w:lineRule="auto"/>
        <w:ind w:firstLineChars="200" w:firstLine="480"/>
        <w:jc w:val="left"/>
        <w:textAlignment w:val="baseline"/>
        <w:rPr>
          <w:sz w:val="24"/>
          <w:lang w:bidi="en-US"/>
        </w:rPr>
      </w:pPr>
      <w:r w:rsidRPr="000549B1">
        <w:rPr>
          <w:rFonts w:hint="eastAsia"/>
          <w:sz w:val="24"/>
          <w:lang w:bidi="en-US"/>
        </w:rPr>
        <w:t>（</w:t>
      </w:r>
      <w:r w:rsidRPr="000549B1">
        <w:rPr>
          <w:sz w:val="24"/>
          <w:lang w:bidi="en-US"/>
        </w:rPr>
        <w:t>29</w:t>
      </w:r>
      <w:r w:rsidRPr="000549B1">
        <w:rPr>
          <w:rFonts w:hint="eastAsia"/>
          <w:sz w:val="24"/>
          <w:lang w:bidi="en-US"/>
        </w:rPr>
        <w:t>）《中华水塔水生态保护规划》；</w:t>
      </w:r>
    </w:p>
    <w:p w14:paraId="4182DD97" w14:textId="77777777" w:rsidR="004B3C16" w:rsidRPr="000549B1" w:rsidRDefault="004B3C16" w:rsidP="004B3C16">
      <w:pPr>
        <w:tabs>
          <w:tab w:val="left" w:pos="6840"/>
        </w:tabs>
        <w:spacing w:line="360" w:lineRule="auto"/>
        <w:ind w:firstLineChars="200" w:firstLine="480"/>
        <w:jc w:val="left"/>
        <w:textAlignment w:val="baseline"/>
        <w:rPr>
          <w:sz w:val="24"/>
          <w:lang w:bidi="en-US"/>
        </w:rPr>
      </w:pPr>
      <w:r w:rsidRPr="000549B1">
        <w:rPr>
          <w:rFonts w:hint="eastAsia"/>
          <w:sz w:val="24"/>
          <w:lang w:bidi="en-US"/>
        </w:rPr>
        <w:t>（</w:t>
      </w:r>
      <w:r w:rsidRPr="000549B1">
        <w:rPr>
          <w:sz w:val="24"/>
          <w:lang w:bidi="en-US"/>
        </w:rPr>
        <w:t>30</w:t>
      </w:r>
      <w:r w:rsidRPr="000549B1">
        <w:rPr>
          <w:rFonts w:hint="eastAsia"/>
          <w:sz w:val="24"/>
          <w:lang w:bidi="en-US"/>
        </w:rPr>
        <w:t>）《黄河青海流域生态保护和高质量发展规划》（</w:t>
      </w:r>
      <w:r w:rsidRPr="000549B1">
        <w:rPr>
          <w:sz w:val="24"/>
          <w:lang w:bidi="en-US"/>
        </w:rPr>
        <w:t>2022</w:t>
      </w:r>
      <w:r w:rsidRPr="000549B1">
        <w:rPr>
          <w:rFonts w:hint="eastAsia"/>
          <w:sz w:val="24"/>
          <w:lang w:bidi="en-US"/>
        </w:rPr>
        <w:t>年</w:t>
      </w:r>
      <w:r w:rsidRPr="000549B1">
        <w:rPr>
          <w:sz w:val="24"/>
          <w:lang w:bidi="en-US"/>
        </w:rPr>
        <w:t>6</w:t>
      </w:r>
      <w:r w:rsidRPr="000549B1">
        <w:rPr>
          <w:rFonts w:hint="eastAsia"/>
          <w:sz w:val="24"/>
          <w:lang w:bidi="en-US"/>
        </w:rPr>
        <w:t>月）；</w:t>
      </w:r>
    </w:p>
    <w:p w14:paraId="547BBE86" w14:textId="77777777" w:rsidR="004B3C16" w:rsidRPr="000549B1" w:rsidRDefault="004B3C16" w:rsidP="004B3C16">
      <w:pPr>
        <w:tabs>
          <w:tab w:val="left" w:pos="6840"/>
        </w:tabs>
        <w:spacing w:line="360" w:lineRule="auto"/>
        <w:ind w:firstLineChars="200" w:firstLine="480"/>
        <w:jc w:val="left"/>
        <w:textAlignment w:val="baseline"/>
        <w:rPr>
          <w:sz w:val="24"/>
          <w:lang w:bidi="en-US"/>
        </w:rPr>
      </w:pPr>
      <w:r w:rsidRPr="000549B1">
        <w:rPr>
          <w:rFonts w:hint="eastAsia"/>
          <w:sz w:val="24"/>
          <w:lang w:bidi="en-US"/>
        </w:rPr>
        <w:t>（</w:t>
      </w:r>
      <w:r w:rsidRPr="000549B1">
        <w:rPr>
          <w:sz w:val="24"/>
          <w:lang w:bidi="en-US"/>
        </w:rPr>
        <w:t>31</w:t>
      </w:r>
      <w:r w:rsidRPr="000549B1">
        <w:rPr>
          <w:rFonts w:hint="eastAsia"/>
          <w:sz w:val="24"/>
          <w:lang w:bidi="en-US"/>
        </w:rPr>
        <w:t>）《黄河青海流域生态保护和高质量发展水安全保障规划》；</w:t>
      </w:r>
    </w:p>
    <w:p w14:paraId="2A48FE43" w14:textId="77777777" w:rsidR="004B3C16" w:rsidRPr="000549B1" w:rsidRDefault="004B3C16" w:rsidP="004B3C16">
      <w:pPr>
        <w:tabs>
          <w:tab w:val="left" w:pos="6840"/>
        </w:tabs>
        <w:spacing w:line="360" w:lineRule="auto"/>
        <w:ind w:firstLineChars="200" w:firstLine="480"/>
        <w:jc w:val="left"/>
        <w:textAlignment w:val="baseline"/>
        <w:rPr>
          <w:sz w:val="24"/>
          <w:lang w:bidi="en-US"/>
        </w:rPr>
      </w:pPr>
      <w:r w:rsidRPr="000549B1">
        <w:rPr>
          <w:rFonts w:hint="eastAsia"/>
          <w:sz w:val="24"/>
          <w:lang w:bidi="en-US"/>
        </w:rPr>
        <w:t>（</w:t>
      </w:r>
      <w:r w:rsidRPr="000549B1">
        <w:rPr>
          <w:sz w:val="24"/>
          <w:lang w:bidi="en-US"/>
        </w:rPr>
        <w:t>32</w:t>
      </w:r>
      <w:r w:rsidRPr="000549B1">
        <w:rPr>
          <w:rFonts w:hint="eastAsia"/>
          <w:sz w:val="24"/>
          <w:lang w:bidi="en-US"/>
        </w:rPr>
        <w:t>）《青海省国土空间规划（</w:t>
      </w:r>
      <w:r w:rsidRPr="000549B1">
        <w:rPr>
          <w:sz w:val="24"/>
          <w:lang w:bidi="en-US"/>
        </w:rPr>
        <w:t>2021—2035</w:t>
      </w:r>
      <w:r w:rsidRPr="000549B1">
        <w:rPr>
          <w:rFonts w:hint="eastAsia"/>
          <w:sz w:val="24"/>
          <w:lang w:bidi="en-US"/>
        </w:rPr>
        <w:t>年）》（</w:t>
      </w:r>
      <w:r w:rsidRPr="000549B1">
        <w:rPr>
          <w:sz w:val="24"/>
          <w:lang w:bidi="en-US"/>
        </w:rPr>
        <w:t>2024</w:t>
      </w:r>
      <w:r w:rsidRPr="000549B1">
        <w:rPr>
          <w:rFonts w:hint="eastAsia"/>
          <w:sz w:val="24"/>
          <w:lang w:bidi="en-US"/>
        </w:rPr>
        <w:t>年</w:t>
      </w:r>
      <w:r w:rsidRPr="000549B1">
        <w:rPr>
          <w:sz w:val="24"/>
          <w:lang w:bidi="en-US"/>
        </w:rPr>
        <w:t>5</w:t>
      </w:r>
      <w:r w:rsidRPr="000549B1">
        <w:rPr>
          <w:rFonts w:hint="eastAsia"/>
          <w:sz w:val="24"/>
          <w:lang w:bidi="en-US"/>
        </w:rPr>
        <w:t>月）；</w:t>
      </w:r>
    </w:p>
    <w:p w14:paraId="4D4F132D" w14:textId="77777777" w:rsidR="004B3C16" w:rsidRPr="000549B1" w:rsidRDefault="004B3C16" w:rsidP="004B3C16">
      <w:pPr>
        <w:tabs>
          <w:tab w:val="left" w:pos="6840"/>
        </w:tabs>
        <w:spacing w:line="360" w:lineRule="auto"/>
        <w:ind w:firstLineChars="200" w:firstLine="480"/>
        <w:jc w:val="left"/>
        <w:textAlignment w:val="baseline"/>
        <w:rPr>
          <w:sz w:val="24"/>
          <w:lang w:bidi="en-US"/>
        </w:rPr>
      </w:pPr>
      <w:r w:rsidRPr="000549B1">
        <w:rPr>
          <w:rFonts w:hint="eastAsia"/>
          <w:sz w:val="24"/>
          <w:lang w:bidi="en-US"/>
        </w:rPr>
        <w:t>（</w:t>
      </w:r>
      <w:r w:rsidRPr="000549B1">
        <w:rPr>
          <w:sz w:val="24"/>
          <w:lang w:bidi="en-US"/>
        </w:rPr>
        <w:t>33</w:t>
      </w:r>
      <w:r w:rsidRPr="000549B1">
        <w:rPr>
          <w:rFonts w:hint="eastAsia"/>
          <w:sz w:val="24"/>
          <w:lang w:bidi="en-US"/>
        </w:rPr>
        <w:t>）《青海省主体功能区规划》（</w:t>
      </w:r>
      <w:r w:rsidRPr="000549B1">
        <w:rPr>
          <w:sz w:val="24"/>
          <w:lang w:bidi="en-US"/>
        </w:rPr>
        <w:t>2014</w:t>
      </w:r>
      <w:r w:rsidRPr="000549B1">
        <w:rPr>
          <w:rFonts w:hint="eastAsia"/>
          <w:sz w:val="24"/>
          <w:lang w:bidi="en-US"/>
        </w:rPr>
        <w:t>年）；</w:t>
      </w:r>
    </w:p>
    <w:p w14:paraId="6D9F8015" w14:textId="15862EE1" w:rsidR="004B3C16" w:rsidRPr="000549B1" w:rsidRDefault="004B3C16" w:rsidP="004B3C16">
      <w:pPr>
        <w:tabs>
          <w:tab w:val="left" w:pos="6840"/>
        </w:tabs>
        <w:spacing w:line="360" w:lineRule="auto"/>
        <w:ind w:firstLineChars="200" w:firstLine="480"/>
        <w:jc w:val="left"/>
        <w:textAlignment w:val="baseline"/>
        <w:rPr>
          <w:sz w:val="24"/>
          <w:lang w:bidi="en-US"/>
        </w:rPr>
      </w:pPr>
      <w:r w:rsidRPr="000549B1">
        <w:rPr>
          <w:rFonts w:hint="eastAsia"/>
          <w:sz w:val="24"/>
          <w:lang w:bidi="en-US"/>
        </w:rPr>
        <w:t>（</w:t>
      </w:r>
      <w:r w:rsidRPr="000549B1">
        <w:rPr>
          <w:sz w:val="24"/>
          <w:lang w:bidi="en-US"/>
        </w:rPr>
        <w:t>34</w:t>
      </w:r>
      <w:r w:rsidRPr="000549B1">
        <w:rPr>
          <w:rFonts w:hint="eastAsia"/>
          <w:sz w:val="24"/>
          <w:lang w:bidi="en-US"/>
        </w:rPr>
        <w:t>）《</w:t>
      </w:r>
      <w:hyperlink r:id="rId11" w:tgtFrame="https://www.baidu.com/_blank" w:history="1">
        <w:r w:rsidRPr="000549B1">
          <w:rPr>
            <w:rFonts w:hint="eastAsia"/>
            <w:sz w:val="24"/>
            <w:lang w:bidi="en-US"/>
          </w:rPr>
          <w:t>海南藏族自治州国土空间总体规划（</w:t>
        </w:r>
        <w:r w:rsidRPr="000549B1">
          <w:rPr>
            <w:sz w:val="24"/>
            <w:lang w:bidi="en-US"/>
          </w:rPr>
          <w:t>2021—2035</w:t>
        </w:r>
        <w:r w:rsidRPr="000549B1">
          <w:rPr>
            <w:rFonts w:hint="eastAsia"/>
            <w:sz w:val="24"/>
            <w:lang w:bidi="en-US"/>
          </w:rPr>
          <w:t>年）</w:t>
        </w:r>
      </w:hyperlink>
      <w:r w:rsidRPr="000549B1">
        <w:rPr>
          <w:rFonts w:hint="eastAsia"/>
          <w:sz w:val="24"/>
          <w:lang w:bidi="en-US"/>
        </w:rPr>
        <w:t>》（</w:t>
      </w:r>
      <w:r w:rsidRPr="000549B1">
        <w:rPr>
          <w:sz w:val="24"/>
          <w:lang w:bidi="en-US"/>
        </w:rPr>
        <w:t>2024</w:t>
      </w:r>
      <w:r w:rsidRPr="000549B1">
        <w:rPr>
          <w:rFonts w:hint="eastAsia"/>
          <w:sz w:val="24"/>
          <w:lang w:bidi="en-US"/>
        </w:rPr>
        <w:t>年</w:t>
      </w:r>
      <w:r w:rsidRPr="000549B1">
        <w:rPr>
          <w:sz w:val="24"/>
          <w:lang w:bidi="en-US"/>
        </w:rPr>
        <w:t>7</w:t>
      </w:r>
      <w:r w:rsidRPr="000549B1">
        <w:rPr>
          <w:rFonts w:hint="eastAsia"/>
          <w:sz w:val="24"/>
          <w:lang w:bidi="en-US"/>
        </w:rPr>
        <w:t>月）；</w:t>
      </w:r>
    </w:p>
    <w:p w14:paraId="1B01A48F" w14:textId="77777777" w:rsidR="004B3C16" w:rsidRPr="000549B1" w:rsidRDefault="004B3C16" w:rsidP="004B3C16">
      <w:pPr>
        <w:tabs>
          <w:tab w:val="left" w:pos="6840"/>
        </w:tabs>
        <w:spacing w:line="360" w:lineRule="auto"/>
        <w:ind w:firstLineChars="200" w:firstLine="480"/>
        <w:jc w:val="left"/>
        <w:textAlignment w:val="baseline"/>
        <w:rPr>
          <w:sz w:val="24"/>
          <w:lang w:bidi="en-US"/>
        </w:rPr>
      </w:pPr>
      <w:r w:rsidRPr="000549B1">
        <w:rPr>
          <w:rFonts w:hint="eastAsia"/>
          <w:sz w:val="24"/>
          <w:lang w:bidi="en-US"/>
        </w:rPr>
        <w:t>（</w:t>
      </w:r>
      <w:r w:rsidRPr="000549B1">
        <w:rPr>
          <w:sz w:val="24"/>
          <w:lang w:bidi="en-US"/>
        </w:rPr>
        <w:t>35</w:t>
      </w:r>
      <w:r w:rsidRPr="000549B1">
        <w:rPr>
          <w:rFonts w:hint="eastAsia"/>
          <w:sz w:val="24"/>
          <w:lang w:bidi="en-US"/>
        </w:rPr>
        <w:t>）《海南州</w:t>
      </w:r>
      <w:r w:rsidRPr="000549B1">
        <w:rPr>
          <w:sz w:val="24"/>
          <w:lang w:bidi="en-US"/>
        </w:rPr>
        <w:t>“</w:t>
      </w:r>
      <w:r w:rsidRPr="000549B1">
        <w:rPr>
          <w:rFonts w:hint="eastAsia"/>
          <w:sz w:val="24"/>
          <w:lang w:bidi="en-US"/>
        </w:rPr>
        <w:t>十四五</w:t>
      </w:r>
      <w:r w:rsidRPr="000549B1">
        <w:rPr>
          <w:sz w:val="24"/>
          <w:lang w:bidi="en-US"/>
        </w:rPr>
        <w:t>”</w:t>
      </w:r>
      <w:r w:rsidRPr="000549B1">
        <w:rPr>
          <w:rFonts w:hint="eastAsia"/>
          <w:sz w:val="24"/>
          <w:lang w:bidi="en-US"/>
        </w:rPr>
        <w:t>生态环境保护规划》（</w:t>
      </w:r>
      <w:r w:rsidRPr="000549B1">
        <w:rPr>
          <w:sz w:val="24"/>
          <w:lang w:bidi="en-US"/>
        </w:rPr>
        <w:t>2021</w:t>
      </w:r>
      <w:r w:rsidRPr="000549B1">
        <w:rPr>
          <w:rFonts w:hint="eastAsia"/>
          <w:sz w:val="24"/>
          <w:lang w:bidi="en-US"/>
        </w:rPr>
        <w:t>年</w:t>
      </w:r>
      <w:r w:rsidRPr="000549B1">
        <w:rPr>
          <w:sz w:val="24"/>
          <w:lang w:bidi="en-US"/>
        </w:rPr>
        <w:t>12</w:t>
      </w:r>
      <w:r w:rsidRPr="000549B1">
        <w:rPr>
          <w:rFonts w:hint="eastAsia"/>
          <w:sz w:val="24"/>
          <w:lang w:bidi="en-US"/>
        </w:rPr>
        <w:t>月）；</w:t>
      </w:r>
    </w:p>
    <w:p w14:paraId="79735A4B" w14:textId="77777777" w:rsidR="004B3C16" w:rsidRPr="000549B1" w:rsidRDefault="004B3C16" w:rsidP="000549B1">
      <w:pPr>
        <w:tabs>
          <w:tab w:val="left" w:pos="6840"/>
        </w:tabs>
        <w:spacing w:line="360" w:lineRule="auto"/>
        <w:ind w:firstLineChars="200" w:firstLine="480"/>
        <w:jc w:val="left"/>
        <w:textAlignment w:val="baseline"/>
        <w:rPr>
          <w:sz w:val="24"/>
          <w:lang w:bidi="en-US"/>
        </w:rPr>
      </w:pPr>
      <w:r w:rsidRPr="000549B1">
        <w:rPr>
          <w:rFonts w:hint="eastAsia"/>
          <w:sz w:val="24"/>
          <w:lang w:bidi="en-US"/>
        </w:rPr>
        <w:t>（</w:t>
      </w:r>
      <w:r w:rsidRPr="000549B1">
        <w:rPr>
          <w:sz w:val="24"/>
          <w:lang w:bidi="en-US"/>
        </w:rPr>
        <w:t>36</w:t>
      </w:r>
      <w:r w:rsidRPr="000549B1">
        <w:rPr>
          <w:rFonts w:hint="eastAsia"/>
          <w:sz w:val="24"/>
          <w:lang w:bidi="en-US"/>
        </w:rPr>
        <w:t>）《海南藏族自治州</w:t>
      </w:r>
      <w:r w:rsidRPr="000549B1">
        <w:rPr>
          <w:sz w:val="24"/>
          <w:lang w:bidi="en-US"/>
        </w:rPr>
        <w:t>“</w:t>
      </w:r>
      <w:r w:rsidRPr="000549B1">
        <w:rPr>
          <w:rFonts w:hint="eastAsia"/>
          <w:sz w:val="24"/>
          <w:lang w:bidi="en-US"/>
        </w:rPr>
        <w:t>十四五</w:t>
      </w:r>
      <w:r w:rsidRPr="000549B1">
        <w:rPr>
          <w:sz w:val="24"/>
          <w:lang w:bidi="en-US"/>
        </w:rPr>
        <w:t>”</w:t>
      </w:r>
      <w:r w:rsidRPr="000549B1">
        <w:rPr>
          <w:rFonts w:hint="eastAsia"/>
          <w:sz w:val="24"/>
          <w:lang w:bidi="en-US"/>
        </w:rPr>
        <w:t>农牧特色产业发展规划》；</w:t>
      </w:r>
    </w:p>
    <w:p w14:paraId="51CD0D82" w14:textId="7FA651DB" w:rsidR="00054437" w:rsidRPr="000549B1" w:rsidRDefault="004B3C16" w:rsidP="000549B1">
      <w:pPr>
        <w:tabs>
          <w:tab w:val="left" w:pos="6840"/>
        </w:tabs>
        <w:spacing w:line="360" w:lineRule="auto"/>
        <w:ind w:firstLineChars="200" w:firstLine="480"/>
        <w:jc w:val="left"/>
        <w:textAlignment w:val="baseline"/>
        <w:rPr>
          <w:lang w:bidi="en-US"/>
        </w:rPr>
      </w:pPr>
      <w:r w:rsidRPr="000549B1">
        <w:rPr>
          <w:rFonts w:hint="eastAsia"/>
          <w:sz w:val="24"/>
          <w:lang w:bidi="en-US"/>
        </w:rPr>
        <w:t>（</w:t>
      </w:r>
      <w:r w:rsidRPr="000549B1">
        <w:rPr>
          <w:sz w:val="24"/>
          <w:lang w:bidi="en-US"/>
        </w:rPr>
        <w:t>37</w:t>
      </w:r>
      <w:r w:rsidRPr="000549B1">
        <w:rPr>
          <w:rFonts w:hint="eastAsia"/>
          <w:sz w:val="24"/>
          <w:lang w:bidi="en-US"/>
        </w:rPr>
        <w:t>）《海南州“十四五”水安全保障规划》。</w:t>
      </w:r>
    </w:p>
    <w:p w14:paraId="1129FDAE" w14:textId="77777777" w:rsidR="00054437" w:rsidRPr="000549B1" w:rsidRDefault="00000000" w:rsidP="004B3C16">
      <w:pPr>
        <w:pStyle w:val="2"/>
        <w:rPr>
          <w:lang w:bidi="en-US"/>
        </w:rPr>
      </w:pPr>
      <w:bookmarkStart w:id="86" w:name="_Toc208583877"/>
      <w:bookmarkStart w:id="87" w:name="_Toc10632"/>
      <w:bookmarkStart w:id="88" w:name="_Toc9144520"/>
      <w:bookmarkStart w:id="89" w:name="_Toc529456884"/>
      <w:bookmarkStart w:id="90" w:name="_Toc216106989"/>
      <w:r w:rsidRPr="000549B1">
        <w:rPr>
          <w:rFonts w:hint="eastAsia"/>
          <w:lang w:bidi="en-US"/>
        </w:rPr>
        <w:t>评价范围</w:t>
      </w:r>
      <w:bookmarkEnd w:id="86"/>
      <w:bookmarkEnd w:id="87"/>
      <w:bookmarkEnd w:id="88"/>
      <w:bookmarkEnd w:id="89"/>
      <w:r w:rsidRPr="000549B1">
        <w:rPr>
          <w:rFonts w:hint="eastAsia"/>
          <w:lang w:bidi="en-US"/>
        </w:rPr>
        <w:t>与评价时段</w:t>
      </w:r>
      <w:bookmarkEnd w:id="90"/>
    </w:p>
    <w:p w14:paraId="12F5B589" w14:textId="4A9C49B1" w:rsidR="00054437" w:rsidRPr="000549B1" w:rsidRDefault="00000000">
      <w:pPr>
        <w:pStyle w:val="3"/>
      </w:pPr>
      <w:bookmarkStart w:id="91" w:name="_Toc208583878"/>
      <w:bookmarkStart w:id="92" w:name="_Toc529456885"/>
      <w:bookmarkStart w:id="93" w:name="_Toc1223"/>
      <w:bookmarkStart w:id="94" w:name="_Toc9144521"/>
      <w:bookmarkStart w:id="95" w:name="_Toc216106990"/>
      <w:r w:rsidRPr="000549B1">
        <w:rPr>
          <w:rFonts w:hint="eastAsia"/>
        </w:rPr>
        <w:t>评价范围</w:t>
      </w:r>
      <w:bookmarkEnd w:id="91"/>
      <w:bookmarkEnd w:id="92"/>
      <w:bookmarkEnd w:id="93"/>
      <w:bookmarkEnd w:id="94"/>
      <w:bookmarkEnd w:id="95"/>
    </w:p>
    <w:p w14:paraId="531C9FB2" w14:textId="33290EA2" w:rsidR="00054437" w:rsidRPr="000549B1" w:rsidRDefault="00000000">
      <w:pPr>
        <w:pStyle w:val="x"/>
      </w:pPr>
      <w:r w:rsidRPr="000549B1">
        <w:rPr>
          <w:rFonts w:hint="eastAsia"/>
        </w:rPr>
        <w:t>根据《规划环境影响评价技术导则总纲》（</w:t>
      </w:r>
      <w:r w:rsidRPr="000549B1">
        <w:rPr>
          <w:rFonts w:hint="eastAsia"/>
        </w:rPr>
        <w:t>HJ130-2019</w:t>
      </w:r>
      <w:r w:rsidRPr="000549B1">
        <w:rPr>
          <w:rFonts w:hint="eastAsia"/>
        </w:rPr>
        <w:t>）、《规划环境影响评价技术导则流域综合规划》（</w:t>
      </w:r>
      <w:r w:rsidRPr="000549B1">
        <w:rPr>
          <w:rFonts w:hint="eastAsia"/>
        </w:rPr>
        <w:t>HJ1218-2021</w:t>
      </w:r>
      <w:r w:rsidRPr="000549B1">
        <w:rPr>
          <w:rFonts w:hint="eastAsia"/>
        </w:rPr>
        <w:t>）中确定评价范围的基本原则，评价范围应覆盖规划空间范围及可能受到规划实施影响的区域，统筹兼顾流域上下游、干支流、左右岸、河（湖）滨带、地表和地下集水区、调入区和调出区及江河湖海交汇区。</w:t>
      </w:r>
    </w:p>
    <w:p w14:paraId="6A444D66" w14:textId="1B01F839" w:rsidR="00054437" w:rsidRPr="000549B1" w:rsidRDefault="00000000">
      <w:pPr>
        <w:pStyle w:val="x"/>
      </w:pPr>
      <w:r w:rsidRPr="000549B1">
        <w:rPr>
          <w:rFonts w:hint="eastAsia"/>
        </w:rPr>
        <w:t>本次各环境要素评价范围详见下</w:t>
      </w:r>
      <w:r w:rsidR="00F32CCA">
        <w:rPr>
          <w:rFonts w:hint="eastAsia"/>
          <w:b/>
          <w:bCs/>
        </w:rPr>
        <w:t>错误</w:t>
      </w:r>
      <w:r w:rsidR="00F32CCA">
        <w:rPr>
          <w:rFonts w:hint="eastAsia"/>
          <w:b/>
          <w:bCs/>
        </w:rPr>
        <w:t>!</w:t>
      </w:r>
      <w:r w:rsidR="00F32CCA">
        <w:rPr>
          <w:rFonts w:hint="eastAsia"/>
          <w:b/>
          <w:bCs/>
        </w:rPr>
        <w:t>未找到引用源。</w:t>
      </w:r>
      <w:r w:rsidRPr="000549B1">
        <w:rPr>
          <w:rFonts w:hint="eastAsia"/>
        </w:rPr>
        <w:t>。</w:t>
      </w:r>
    </w:p>
    <w:p w14:paraId="314E8BE5" w14:textId="24BDF888" w:rsidR="004B3C16" w:rsidRPr="000549B1" w:rsidRDefault="00000000" w:rsidP="004B3C16">
      <w:pPr>
        <w:jc w:val="center"/>
      </w:pPr>
      <w:r w:rsidRPr="000549B1">
        <w:rPr>
          <w:rFonts w:hint="eastAsia"/>
          <w:b/>
          <w:bCs/>
          <w:sz w:val="24"/>
          <w:szCs w:val="24"/>
        </w:rPr>
        <w:t>表</w:t>
      </w:r>
      <w:r w:rsidRPr="000549B1">
        <w:rPr>
          <w:b/>
          <w:bCs/>
          <w:sz w:val="24"/>
          <w:szCs w:val="24"/>
        </w:rPr>
        <w:fldChar w:fldCharType="begin"/>
      </w:r>
      <w:r w:rsidRPr="000549B1">
        <w:rPr>
          <w:b/>
          <w:bCs/>
          <w:sz w:val="24"/>
          <w:szCs w:val="24"/>
        </w:rPr>
        <w:instrText xml:space="preserve"> STYLEREF 2 \s </w:instrText>
      </w:r>
      <w:r w:rsidRPr="000549B1">
        <w:rPr>
          <w:b/>
          <w:bCs/>
          <w:sz w:val="24"/>
          <w:szCs w:val="24"/>
        </w:rPr>
        <w:fldChar w:fldCharType="separate"/>
      </w:r>
      <w:r w:rsidR="00F32CCA">
        <w:rPr>
          <w:b/>
          <w:bCs/>
          <w:noProof/>
          <w:sz w:val="24"/>
          <w:szCs w:val="24"/>
        </w:rPr>
        <w:t>1.4</w:t>
      </w:r>
      <w:r w:rsidRPr="000549B1">
        <w:rPr>
          <w:b/>
          <w:bCs/>
          <w:sz w:val="24"/>
          <w:szCs w:val="24"/>
        </w:rPr>
        <w:fldChar w:fldCharType="end"/>
      </w:r>
      <w:r w:rsidRPr="000549B1">
        <w:rPr>
          <w:rFonts w:hint="eastAsia"/>
          <w:b/>
          <w:bCs/>
          <w:sz w:val="24"/>
          <w:szCs w:val="24"/>
        </w:rPr>
        <w:t>4</w:t>
      </w:r>
      <w:r w:rsidRPr="000549B1">
        <w:rPr>
          <w:b/>
          <w:bCs/>
          <w:sz w:val="24"/>
          <w:szCs w:val="24"/>
        </w:rPr>
        <w:noBreakHyphen/>
      </w:r>
      <w:r w:rsidR="00F1314B">
        <w:rPr>
          <w:b/>
          <w:bCs/>
          <w:sz w:val="24"/>
          <w:szCs w:val="24"/>
        </w:rPr>
        <w:fldChar w:fldCharType="begin"/>
      </w:r>
      <w:r w:rsidR="00F1314B">
        <w:rPr>
          <w:b/>
          <w:bCs/>
          <w:sz w:val="24"/>
          <w:szCs w:val="24"/>
        </w:rPr>
        <w:instrText xml:space="preserve"> STYLEREF 2 \s </w:instrText>
      </w:r>
      <w:r w:rsidR="00F1314B">
        <w:rPr>
          <w:b/>
          <w:bCs/>
          <w:sz w:val="24"/>
          <w:szCs w:val="24"/>
        </w:rPr>
        <w:fldChar w:fldCharType="separate"/>
      </w:r>
      <w:r w:rsidR="00F32CCA">
        <w:rPr>
          <w:b/>
          <w:bCs/>
          <w:noProof/>
          <w:sz w:val="24"/>
          <w:szCs w:val="24"/>
        </w:rPr>
        <w:t>1.4</w:t>
      </w:r>
      <w:r w:rsidR="00F1314B">
        <w:rPr>
          <w:b/>
          <w:bCs/>
          <w:sz w:val="24"/>
          <w:szCs w:val="24"/>
        </w:rPr>
        <w:fldChar w:fldCharType="end"/>
      </w:r>
      <w:r w:rsidR="00F1314B">
        <w:rPr>
          <w:b/>
          <w:bCs/>
          <w:sz w:val="24"/>
          <w:szCs w:val="24"/>
        </w:rPr>
        <w:noBreakHyphen/>
      </w:r>
      <w:r w:rsidR="00F1314B">
        <w:rPr>
          <w:b/>
          <w:bCs/>
          <w:sz w:val="24"/>
          <w:szCs w:val="24"/>
        </w:rPr>
        <w:fldChar w:fldCharType="begin"/>
      </w:r>
      <w:r w:rsidR="00F1314B">
        <w:rPr>
          <w:b/>
          <w:bCs/>
          <w:sz w:val="24"/>
          <w:szCs w:val="24"/>
        </w:rPr>
        <w:instrText xml:space="preserve"> SEQ </w:instrText>
      </w:r>
      <w:r w:rsidR="00F1314B">
        <w:rPr>
          <w:b/>
          <w:bCs/>
          <w:sz w:val="24"/>
          <w:szCs w:val="24"/>
        </w:rPr>
        <w:instrText>图</w:instrText>
      </w:r>
      <w:r w:rsidR="00F1314B">
        <w:rPr>
          <w:b/>
          <w:bCs/>
          <w:sz w:val="24"/>
          <w:szCs w:val="24"/>
        </w:rPr>
        <w:instrText xml:space="preserve"> \* ARABIC \s 2 </w:instrText>
      </w:r>
      <w:r w:rsidR="00F1314B">
        <w:rPr>
          <w:b/>
          <w:bCs/>
          <w:sz w:val="24"/>
          <w:szCs w:val="24"/>
        </w:rPr>
        <w:fldChar w:fldCharType="separate"/>
      </w:r>
      <w:r w:rsidR="00F32CCA">
        <w:rPr>
          <w:b/>
          <w:bCs/>
          <w:noProof/>
          <w:sz w:val="24"/>
          <w:szCs w:val="24"/>
        </w:rPr>
        <w:t>1</w:t>
      </w:r>
      <w:r w:rsidR="00F1314B">
        <w:rPr>
          <w:b/>
          <w:bCs/>
          <w:sz w:val="24"/>
          <w:szCs w:val="24"/>
        </w:rPr>
        <w:fldChar w:fldCharType="end"/>
      </w:r>
      <w:r w:rsidRPr="000549B1">
        <w:rPr>
          <w:rFonts w:hint="eastAsia"/>
          <w:b/>
          <w:bCs/>
          <w:sz w:val="24"/>
          <w:szCs w:val="24"/>
        </w:rPr>
        <w:t>沙珠玉河流域各环境要素评价范围统计表</w:t>
      </w:r>
      <w:bookmarkStart w:id="96" w:name="_Hlk215243416"/>
    </w:p>
    <w:tbl>
      <w:tblPr>
        <w:tblStyle w:val="aff"/>
        <w:tblW w:w="0" w:type="auto"/>
        <w:tblLook w:val="04A0" w:firstRow="1" w:lastRow="0" w:firstColumn="1" w:lastColumn="0" w:noHBand="0" w:noVBand="1"/>
      </w:tblPr>
      <w:tblGrid>
        <w:gridCol w:w="541"/>
        <w:gridCol w:w="730"/>
        <w:gridCol w:w="992"/>
        <w:gridCol w:w="6033"/>
      </w:tblGrid>
      <w:tr w:rsidR="000549B1" w:rsidRPr="000549B1" w14:paraId="74C6E125" w14:textId="77777777" w:rsidTr="000549B1">
        <w:trPr>
          <w:trHeight w:val="676"/>
        </w:trPr>
        <w:tc>
          <w:tcPr>
            <w:tcW w:w="541" w:type="dxa"/>
            <w:noWrap/>
            <w:vAlign w:val="center"/>
            <w:hideMark/>
          </w:tcPr>
          <w:p w14:paraId="2D59998C" w14:textId="77777777" w:rsidR="004B3C16" w:rsidRPr="00F1314B" w:rsidRDefault="004B3C16" w:rsidP="00A12321">
            <w:pPr>
              <w:jc w:val="center"/>
              <w:rPr>
                <w:b/>
                <w:bCs/>
                <w:kern w:val="0"/>
                <w:sz w:val="22"/>
                <w:szCs w:val="18"/>
              </w:rPr>
            </w:pPr>
            <w:r w:rsidRPr="00F1314B">
              <w:rPr>
                <w:rFonts w:hint="eastAsia"/>
                <w:b/>
                <w:bCs/>
                <w:kern w:val="0"/>
                <w:sz w:val="22"/>
                <w:szCs w:val="18"/>
              </w:rPr>
              <w:t>序号</w:t>
            </w:r>
          </w:p>
        </w:tc>
        <w:tc>
          <w:tcPr>
            <w:tcW w:w="1722" w:type="dxa"/>
            <w:gridSpan w:val="2"/>
            <w:noWrap/>
            <w:vAlign w:val="center"/>
            <w:hideMark/>
          </w:tcPr>
          <w:p w14:paraId="61646307" w14:textId="77777777" w:rsidR="004B3C16" w:rsidRPr="00F1314B" w:rsidRDefault="004B3C16" w:rsidP="00A12321">
            <w:pPr>
              <w:jc w:val="center"/>
              <w:rPr>
                <w:b/>
                <w:bCs/>
                <w:kern w:val="0"/>
                <w:sz w:val="22"/>
                <w:szCs w:val="18"/>
              </w:rPr>
            </w:pPr>
            <w:r w:rsidRPr="00F1314B">
              <w:rPr>
                <w:rFonts w:hint="eastAsia"/>
                <w:b/>
                <w:bCs/>
                <w:kern w:val="0"/>
                <w:sz w:val="22"/>
                <w:szCs w:val="18"/>
              </w:rPr>
              <w:t>评价要素</w:t>
            </w:r>
          </w:p>
        </w:tc>
        <w:tc>
          <w:tcPr>
            <w:tcW w:w="6033" w:type="dxa"/>
            <w:noWrap/>
            <w:vAlign w:val="center"/>
            <w:hideMark/>
          </w:tcPr>
          <w:p w14:paraId="6337F535" w14:textId="77777777" w:rsidR="004B3C16" w:rsidRPr="00F1314B" w:rsidRDefault="004B3C16" w:rsidP="00A12321">
            <w:pPr>
              <w:jc w:val="center"/>
              <w:rPr>
                <w:b/>
                <w:bCs/>
                <w:kern w:val="0"/>
                <w:sz w:val="22"/>
                <w:szCs w:val="18"/>
              </w:rPr>
            </w:pPr>
            <w:r w:rsidRPr="00F1314B">
              <w:rPr>
                <w:rFonts w:hint="eastAsia"/>
                <w:b/>
                <w:bCs/>
                <w:kern w:val="0"/>
                <w:sz w:val="22"/>
                <w:szCs w:val="18"/>
              </w:rPr>
              <w:t>评价范围</w:t>
            </w:r>
          </w:p>
        </w:tc>
      </w:tr>
      <w:tr w:rsidR="000549B1" w:rsidRPr="000549B1" w14:paraId="43244823" w14:textId="77777777" w:rsidTr="000549B1">
        <w:trPr>
          <w:trHeight w:val="1592"/>
        </w:trPr>
        <w:tc>
          <w:tcPr>
            <w:tcW w:w="541" w:type="dxa"/>
            <w:vMerge w:val="restart"/>
            <w:noWrap/>
            <w:vAlign w:val="center"/>
            <w:hideMark/>
          </w:tcPr>
          <w:p w14:paraId="0CB8420E" w14:textId="77777777" w:rsidR="004B3C16" w:rsidRPr="000549B1" w:rsidRDefault="004B3C16" w:rsidP="00A12321">
            <w:pPr>
              <w:jc w:val="center"/>
              <w:rPr>
                <w:kern w:val="0"/>
                <w:sz w:val="22"/>
                <w:szCs w:val="18"/>
              </w:rPr>
            </w:pPr>
            <w:r w:rsidRPr="000549B1">
              <w:rPr>
                <w:kern w:val="0"/>
                <w:sz w:val="22"/>
                <w:szCs w:val="18"/>
              </w:rPr>
              <w:t>1</w:t>
            </w:r>
          </w:p>
        </w:tc>
        <w:tc>
          <w:tcPr>
            <w:tcW w:w="730" w:type="dxa"/>
            <w:vMerge w:val="restart"/>
            <w:noWrap/>
            <w:vAlign w:val="center"/>
            <w:hideMark/>
          </w:tcPr>
          <w:p w14:paraId="13CABF12" w14:textId="77777777" w:rsidR="004B3C16" w:rsidRPr="000549B1" w:rsidRDefault="004B3C16" w:rsidP="00A12321">
            <w:pPr>
              <w:jc w:val="center"/>
              <w:rPr>
                <w:kern w:val="0"/>
                <w:sz w:val="22"/>
                <w:szCs w:val="18"/>
              </w:rPr>
            </w:pPr>
            <w:r w:rsidRPr="000549B1">
              <w:rPr>
                <w:rFonts w:hint="eastAsia"/>
                <w:kern w:val="0"/>
                <w:sz w:val="22"/>
                <w:szCs w:val="18"/>
              </w:rPr>
              <w:t>水文水资源</w:t>
            </w:r>
          </w:p>
        </w:tc>
        <w:tc>
          <w:tcPr>
            <w:tcW w:w="992" w:type="dxa"/>
            <w:noWrap/>
            <w:vAlign w:val="center"/>
            <w:hideMark/>
          </w:tcPr>
          <w:p w14:paraId="6410E0EA" w14:textId="77777777" w:rsidR="004B3C16" w:rsidRPr="000549B1" w:rsidRDefault="004B3C16" w:rsidP="00A12321">
            <w:pPr>
              <w:jc w:val="center"/>
              <w:rPr>
                <w:kern w:val="0"/>
                <w:sz w:val="22"/>
                <w:szCs w:val="18"/>
              </w:rPr>
            </w:pPr>
            <w:r w:rsidRPr="000549B1">
              <w:rPr>
                <w:rFonts w:hint="eastAsia"/>
                <w:kern w:val="0"/>
                <w:sz w:val="22"/>
                <w:szCs w:val="18"/>
              </w:rPr>
              <w:t>水文情势</w:t>
            </w:r>
          </w:p>
        </w:tc>
        <w:tc>
          <w:tcPr>
            <w:tcW w:w="6033" w:type="dxa"/>
            <w:noWrap/>
            <w:vAlign w:val="center"/>
            <w:hideMark/>
          </w:tcPr>
          <w:p w14:paraId="769166DE" w14:textId="24F3279F" w:rsidR="004B3C16" w:rsidRPr="000549B1" w:rsidRDefault="004B3C16" w:rsidP="00A12321">
            <w:pPr>
              <w:jc w:val="center"/>
              <w:rPr>
                <w:kern w:val="0"/>
                <w:sz w:val="22"/>
                <w:szCs w:val="18"/>
              </w:rPr>
            </w:pPr>
            <w:r w:rsidRPr="000549B1">
              <w:rPr>
                <w:rFonts w:hint="eastAsia"/>
                <w:kern w:val="0"/>
                <w:sz w:val="22"/>
                <w:szCs w:val="18"/>
              </w:rPr>
              <w:t>沙珠玉河流域，重点为水资源配置方案所引起的水文情势变化的河段</w:t>
            </w:r>
          </w:p>
        </w:tc>
      </w:tr>
      <w:tr w:rsidR="000549B1" w:rsidRPr="000549B1" w14:paraId="6BE16134" w14:textId="77777777" w:rsidTr="000549B1">
        <w:trPr>
          <w:trHeight w:val="282"/>
        </w:trPr>
        <w:tc>
          <w:tcPr>
            <w:tcW w:w="541" w:type="dxa"/>
            <w:vMerge/>
            <w:vAlign w:val="center"/>
            <w:hideMark/>
          </w:tcPr>
          <w:p w14:paraId="61F0395C" w14:textId="77777777" w:rsidR="004B3C16" w:rsidRPr="000549B1" w:rsidRDefault="004B3C16" w:rsidP="00A12321">
            <w:pPr>
              <w:jc w:val="center"/>
              <w:rPr>
                <w:kern w:val="0"/>
                <w:sz w:val="22"/>
                <w:szCs w:val="18"/>
              </w:rPr>
            </w:pPr>
          </w:p>
        </w:tc>
        <w:tc>
          <w:tcPr>
            <w:tcW w:w="730" w:type="dxa"/>
            <w:vMerge/>
            <w:vAlign w:val="center"/>
            <w:hideMark/>
          </w:tcPr>
          <w:p w14:paraId="57D565AC" w14:textId="77777777" w:rsidR="004B3C16" w:rsidRPr="000549B1" w:rsidRDefault="004B3C16" w:rsidP="00A12321">
            <w:pPr>
              <w:jc w:val="center"/>
              <w:rPr>
                <w:kern w:val="0"/>
                <w:sz w:val="22"/>
                <w:szCs w:val="18"/>
              </w:rPr>
            </w:pPr>
          </w:p>
        </w:tc>
        <w:tc>
          <w:tcPr>
            <w:tcW w:w="992" w:type="dxa"/>
            <w:noWrap/>
            <w:vAlign w:val="center"/>
            <w:hideMark/>
          </w:tcPr>
          <w:p w14:paraId="30AA5CDD" w14:textId="77777777" w:rsidR="004B3C16" w:rsidRPr="000549B1" w:rsidRDefault="004B3C16" w:rsidP="00A12321">
            <w:pPr>
              <w:jc w:val="center"/>
              <w:rPr>
                <w:kern w:val="0"/>
                <w:sz w:val="22"/>
                <w:szCs w:val="18"/>
              </w:rPr>
            </w:pPr>
            <w:r w:rsidRPr="000549B1">
              <w:rPr>
                <w:rFonts w:hint="eastAsia"/>
                <w:kern w:val="0"/>
                <w:sz w:val="22"/>
                <w:szCs w:val="18"/>
              </w:rPr>
              <w:t>水资源</w:t>
            </w:r>
          </w:p>
        </w:tc>
        <w:tc>
          <w:tcPr>
            <w:tcW w:w="6033" w:type="dxa"/>
            <w:noWrap/>
            <w:vAlign w:val="center"/>
            <w:hideMark/>
          </w:tcPr>
          <w:p w14:paraId="12B95AE9" w14:textId="77777777" w:rsidR="004B3C16" w:rsidRPr="000549B1" w:rsidRDefault="004B3C16" w:rsidP="00A12321">
            <w:pPr>
              <w:jc w:val="center"/>
              <w:rPr>
                <w:kern w:val="0"/>
                <w:sz w:val="22"/>
                <w:szCs w:val="18"/>
              </w:rPr>
            </w:pPr>
            <w:r w:rsidRPr="000549B1">
              <w:rPr>
                <w:rFonts w:hint="eastAsia"/>
                <w:kern w:val="0"/>
                <w:sz w:val="22"/>
                <w:szCs w:val="18"/>
              </w:rPr>
              <w:t>沙珠玉河干流、右岸主要支流及河卡的操什达河（后统称为沙珠玉河流域）</w:t>
            </w:r>
          </w:p>
        </w:tc>
      </w:tr>
      <w:tr w:rsidR="000549B1" w:rsidRPr="000549B1" w14:paraId="098DDC86" w14:textId="77777777" w:rsidTr="000549B1">
        <w:trPr>
          <w:trHeight w:val="612"/>
        </w:trPr>
        <w:tc>
          <w:tcPr>
            <w:tcW w:w="541" w:type="dxa"/>
            <w:vMerge w:val="restart"/>
            <w:noWrap/>
            <w:vAlign w:val="center"/>
            <w:hideMark/>
          </w:tcPr>
          <w:p w14:paraId="405AE973" w14:textId="77777777" w:rsidR="004B3C16" w:rsidRPr="000549B1" w:rsidRDefault="004B3C16" w:rsidP="00A12321">
            <w:pPr>
              <w:jc w:val="center"/>
              <w:rPr>
                <w:kern w:val="0"/>
                <w:sz w:val="22"/>
                <w:szCs w:val="18"/>
              </w:rPr>
            </w:pPr>
            <w:r w:rsidRPr="000549B1">
              <w:rPr>
                <w:kern w:val="0"/>
                <w:sz w:val="22"/>
                <w:szCs w:val="18"/>
              </w:rPr>
              <w:t>2</w:t>
            </w:r>
          </w:p>
        </w:tc>
        <w:tc>
          <w:tcPr>
            <w:tcW w:w="730" w:type="dxa"/>
            <w:vMerge w:val="restart"/>
            <w:noWrap/>
            <w:vAlign w:val="center"/>
            <w:hideMark/>
          </w:tcPr>
          <w:p w14:paraId="7ABAA76E" w14:textId="77777777" w:rsidR="004B3C16" w:rsidRPr="000549B1" w:rsidRDefault="004B3C16" w:rsidP="00A12321">
            <w:pPr>
              <w:jc w:val="center"/>
              <w:rPr>
                <w:kern w:val="0"/>
                <w:sz w:val="22"/>
                <w:szCs w:val="18"/>
              </w:rPr>
            </w:pPr>
            <w:r w:rsidRPr="000549B1">
              <w:rPr>
                <w:rFonts w:hint="eastAsia"/>
                <w:kern w:val="0"/>
                <w:sz w:val="22"/>
                <w:szCs w:val="18"/>
              </w:rPr>
              <w:t>水环境</w:t>
            </w:r>
          </w:p>
        </w:tc>
        <w:tc>
          <w:tcPr>
            <w:tcW w:w="992" w:type="dxa"/>
            <w:noWrap/>
            <w:vAlign w:val="center"/>
            <w:hideMark/>
          </w:tcPr>
          <w:p w14:paraId="65B6322D" w14:textId="77777777" w:rsidR="004B3C16" w:rsidRPr="000549B1" w:rsidRDefault="004B3C16" w:rsidP="00A12321">
            <w:pPr>
              <w:jc w:val="center"/>
              <w:rPr>
                <w:kern w:val="0"/>
                <w:sz w:val="22"/>
                <w:szCs w:val="18"/>
              </w:rPr>
            </w:pPr>
            <w:r w:rsidRPr="000549B1">
              <w:rPr>
                <w:rFonts w:hint="eastAsia"/>
                <w:kern w:val="0"/>
                <w:sz w:val="22"/>
                <w:szCs w:val="18"/>
              </w:rPr>
              <w:t>地表水</w:t>
            </w:r>
          </w:p>
        </w:tc>
        <w:tc>
          <w:tcPr>
            <w:tcW w:w="6033" w:type="dxa"/>
            <w:noWrap/>
            <w:vAlign w:val="center"/>
            <w:hideMark/>
          </w:tcPr>
          <w:p w14:paraId="19AFD512" w14:textId="1F43B4F0" w:rsidR="004B3C16" w:rsidRPr="000549B1" w:rsidRDefault="004B3C16" w:rsidP="00A12321">
            <w:pPr>
              <w:jc w:val="center"/>
              <w:rPr>
                <w:kern w:val="0"/>
                <w:sz w:val="22"/>
                <w:szCs w:val="18"/>
              </w:rPr>
            </w:pPr>
            <w:r w:rsidRPr="000549B1">
              <w:rPr>
                <w:rFonts w:hint="eastAsia"/>
                <w:kern w:val="0"/>
                <w:sz w:val="22"/>
                <w:szCs w:val="18"/>
              </w:rPr>
              <w:t>沙珠玉河干支流，重点评价大河坝水库所在的切吉河下游河段</w:t>
            </w:r>
          </w:p>
        </w:tc>
      </w:tr>
      <w:tr w:rsidR="000549B1" w:rsidRPr="000549B1" w14:paraId="472125DB" w14:textId="77777777" w:rsidTr="000549B1">
        <w:trPr>
          <w:trHeight w:val="282"/>
        </w:trPr>
        <w:tc>
          <w:tcPr>
            <w:tcW w:w="541" w:type="dxa"/>
            <w:vMerge/>
            <w:vAlign w:val="center"/>
            <w:hideMark/>
          </w:tcPr>
          <w:p w14:paraId="2251B103" w14:textId="77777777" w:rsidR="004B3C16" w:rsidRPr="000549B1" w:rsidRDefault="004B3C16" w:rsidP="00A12321">
            <w:pPr>
              <w:jc w:val="center"/>
              <w:rPr>
                <w:kern w:val="0"/>
                <w:sz w:val="22"/>
                <w:szCs w:val="18"/>
              </w:rPr>
            </w:pPr>
          </w:p>
        </w:tc>
        <w:tc>
          <w:tcPr>
            <w:tcW w:w="730" w:type="dxa"/>
            <w:vMerge/>
            <w:vAlign w:val="center"/>
            <w:hideMark/>
          </w:tcPr>
          <w:p w14:paraId="330079A3" w14:textId="77777777" w:rsidR="004B3C16" w:rsidRPr="000549B1" w:rsidRDefault="004B3C16" w:rsidP="00A12321">
            <w:pPr>
              <w:jc w:val="center"/>
              <w:rPr>
                <w:kern w:val="0"/>
                <w:sz w:val="22"/>
                <w:szCs w:val="18"/>
              </w:rPr>
            </w:pPr>
          </w:p>
        </w:tc>
        <w:tc>
          <w:tcPr>
            <w:tcW w:w="992" w:type="dxa"/>
            <w:noWrap/>
            <w:vAlign w:val="center"/>
            <w:hideMark/>
          </w:tcPr>
          <w:p w14:paraId="344728E0" w14:textId="77777777" w:rsidR="004B3C16" w:rsidRPr="000549B1" w:rsidRDefault="004B3C16" w:rsidP="00A12321">
            <w:pPr>
              <w:jc w:val="center"/>
              <w:rPr>
                <w:kern w:val="0"/>
                <w:sz w:val="22"/>
                <w:szCs w:val="18"/>
              </w:rPr>
            </w:pPr>
            <w:r w:rsidRPr="000549B1">
              <w:rPr>
                <w:rFonts w:hint="eastAsia"/>
                <w:kern w:val="0"/>
                <w:sz w:val="22"/>
                <w:szCs w:val="18"/>
              </w:rPr>
              <w:t>地下水</w:t>
            </w:r>
          </w:p>
        </w:tc>
        <w:tc>
          <w:tcPr>
            <w:tcW w:w="6033" w:type="dxa"/>
            <w:noWrap/>
            <w:vAlign w:val="center"/>
            <w:hideMark/>
          </w:tcPr>
          <w:p w14:paraId="28F7D7DE" w14:textId="03811B2E" w:rsidR="004B3C16" w:rsidRPr="000549B1" w:rsidRDefault="004B3C16" w:rsidP="00A12321">
            <w:pPr>
              <w:jc w:val="center"/>
              <w:rPr>
                <w:kern w:val="0"/>
                <w:sz w:val="22"/>
                <w:szCs w:val="18"/>
              </w:rPr>
            </w:pPr>
            <w:r w:rsidRPr="000549B1">
              <w:rPr>
                <w:rFonts w:hint="eastAsia"/>
                <w:kern w:val="0"/>
                <w:sz w:val="22"/>
                <w:szCs w:val="18"/>
              </w:rPr>
              <w:t>以沙珠玉河流域边界构成的独立水文地质单元，重点评价范围是规划大河坝水库的影响区域</w:t>
            </w:r>
          </w:p>
        </w:tc>
      </w:tr>
      <w:tr w:rsidR="000549B1" w:rsidRPr="000549B1" w14:paraId="54A3803D" w14:textId="77777777" w:rsidTr="000549B1">
        <w:trPr>
          <w:trHeight w:val="354"/>
        </w:trPr>
        <w:tc>
          <w:tcPr>
            <w:tcW w:w="541" w:type="dxa"/>
            <w:vMerge w:val="restart"/>
            <w:noWrap/>
            <w:vAlign w:val="center"/>
            <w:hideMark/>
          </w:tcPr>
          <w:p w14:paraId="5DB623F7" w14:textId="77777777" w:rsidR="004B3C16" w:rsidRPr="000549B1" w:rsidRDefault="004B3C16" w:rsidP="00A12321">
            <w:pPr>
              <w:jc w:val="center"/>
              <w:rPr>
                <w:kern w:val="0"/>
                <w:sz w:val="22"/>
                <w:szCs w:val="18"/>
              </w:rPr>
            </w:pPr>
            <w:r w:rsidRPr="000549B1">
              <w:rPr>
                <w:kern w:val="0"/>
                <w:sz w:val="22"/>
                <w:szCs w:val="18"/>
              </w:rPr>
              <w:t>3</w:t>
            </w:r>
          </w:p>
        </w:tc>
        <w:tc>
          <w:tcPr>
            <w:tcW w:w="730" w:type="dxa"/>
            <w:vMerge w:val="restart"/>
            <w:noWrap/>
            <w:vAlign w:val="center"/>
            <w:hideMark/>
          </w:tcPr>
          <w:p w14:paraId="2F8E99AA" w14:textId="77777777" w:rsidR="004B3C16" w:rsidRPr="000549B1" w:rsidRDefault="004B3C16" w:rsidP="00A12321">
            <w:pPr>
              <w:jc w:val="center"/>
              <w:rPr>
                <w:kern w:val="0"/>
                <w:sz w:val="22"/>
                <w:szCs w:val="18"/>
              </w:rPr>
            </w:pPr>
            <w:r w:rsidRPr="000549B1">
              <w:rPr>
                <w:rFonts w:hint="eastAsia"/>
                <w:kern w:val="0"/>
                <w:sz w:val="22"/>
                <w:szCs w:val="18"/>
              </w:rPr>
              <w:t>生态环境</w:t>
            </w:r>
          </w:p>
        </w:tc>
        <w:tc>
          <w:tcPr>
            <w:tcW w:w="992" w:type="dxa"/>
            <w:noWrap/>
            <w:vAlign w:val="center"/>
            <w:hideMark/>
          </w:tcPr>
          <w:p w14:paraId="0CA9EDEC" w14:textId="77777777" w:rsidR="004B3C16" w:rsidRPr="000549B1" w:rsidRDefault="004B3C16" w:rsidP="00A12321">
            <w:pPr>
              <w:jc w:val="center"/>
              <w:rPr>
                <w:kern w:val="0"/>
                <w:sz w:val="22"/>
                <w:szCs w:val="18"/>
              </w:rPr>
            </w:pPr>
            <w:r w:rsidRPr="000549B1">
              <w:rPr>
                <w:rFonts w:hint="eastAsia"/>
                <w:kern w:val="0"/>
                <w:sz w:val="22"/>
                <w:szCs w:val="18"/>
              </w:rPr>
              <w:t>陆生生态</w:t>
            </w:r>
          </w:p>
        </w:tc>
        <w:tc>
          <w:tcPr>
            <w:tcW w:w="6033" w:type="dxa"/>
            <w:noWrap/>
            <w:vAlign w:val="center"/>
            <w:hideMark/>
          </w:tcPr>
          <w:p w14:paraId="6E191E12" w14:textId="0AFC6BD6" w:rsidR="004B3C16" w:rsidRPr="000549B1" w:rsidRDefault="004B3C16" w:rsidP="00A12321">
            <w:pPr>
              <w:jc w:val="center"/>
              <w:rPr>
                <w:kern w:val="0"/>
                <w:sz w:val="22"/>
                <w:szCs w:val="18"/>
              </w:rPr>
            </w:pPr>
            <w:r w:rsidRPr="000549B1">
              <w:rPr>
                <w:rFonts w:hint="eastAsia"/>
                <w:kern w:val="0"/>
                <w:sz w:val="22"/>
                <w:szCs w:val="18"/>
              </w:rPr>
              <w:t>沙珠玉河流域，流域面积为</w:t>
            </w:r>
            <w:r w:rsidRPr="000549B1">
              <w:rPr>
                <w:kern w:val="0"/>
                <w:sz w:val="22"/>
                <w:szCs w:val="18"/>
              </w:rPr>
              <w:t>8660km</w:t>
            </w:r>
            <w:r w:rsidRPr="000549B1">
              <w:rPr>
                <w:kern w:val="0"/>
                <w:sz w:val="22"/>
                <w:szCs w:val="18"/>
                <w:vertAlign w:val="superscript"/>
              </w:rPr>
              <w:t>2</w:t>
            </w:r>
          </w:p>
        </w:tc>
      </w:tr>
      <w:tr w:rsidR="000549B1" w:rsidRPr="000549B1" w14:paraId="71806E7F" w14:textId="77777777" w:rsidTr="000549B1">
        <w:trPr>
          <w:trHeight w:val="306"/>
        </w:trPr>
        <w:tc>
          <w:tcPr>
            <w:tcW w:w="541" w:type="dxa"/>
            <w:vMerge/>
            <w:vAlign w:val="center"/>
            <w:hideMark/>
          </w:tcPr>
          <w:p w14:paraId="1F7B8CFD" w14:textId="77777777" w:rsidR="004B3C16" w:rsidRPr="000549B1" w:rsidRDefault="004B3C16" w:rsidP="00A12321">
            <w:pPr>
              <w:jc w:val="center"/>
              <w:rPr>
                <w:kern w:val="0"/>
                <w:sz w:val="22"/>
                <w:szCs w:val="18"/>
              </w:rPr>
            </w:pPr>
          </w:p>
        </w:tc>
        <w:tc>
          <w:tcPr>
            <w:tcW w:w="730" w:type="dxa"/>
            <w:vMerge/>
            <w:vAlign w:val="center"/>
            <w:hideMark/>
          </w:tcPr>
          <w:p w14:paraId="61DC7DCE" w14:textId="77777777" w:rsidR="004B3C16" w:rsidRPr="000549B1" w:rsidRDefault="004B3C16" w:rsidP="00A12321">
            <w:pPr>
              <w:jc w:val="center"/>
              <w:rPr>
                <w:kern w:val="0"/>
                <w:sz w:val="22"/>
                <w:szCs w:val="18"/>
              </w:rPr>
            </w:pPr>
          </w:p>
        </w:tc>
        <w:tc>
          <w:tcPr>
            <w:tcW w:w="992" w:type="dxa"/>
            <w:noWrap/>
            <w:vAlign w:val="center"/>
            <w:hideMark/>
          </w:tcPr>
          <w:p w14:paraId="62D33501" w14:textId="77777777" w:rsidR="004B3C16" w:rsidRPr="000549B1" w:rsidRDefault="004B3C16" w:rsidP="00A12321">
            <w:pPr>
              <w:jc w:val="center"/>
              <w:rPr>
                <w:kern w:val="0"/>
                <w:sz w:val="22"/>
                <w:szCs w:val="18"/>
              </w:rPr>
            </w:pPr>
            <w:r w:rsidRPr="000549B1">
              <w:rPr>
                <w:rFonts w:hint="eastAsia"/>
                <w:kern w:val="0"/>
                <w:sz w:val="22"/>
                <w:szCs w:val="18"/>
              </w:rPr>
              <w:t>水生生态</w:t>
            </w:r>
          </w:p>
        </w:tc>
        <w:tc>
          <w:tcPr>
            <w:tcW w:w="6033" w:type="dxa"/>
            <w:noWrap/>
            <w:vAlign w:val="center"/>
            <w:hideMark/>
          </w:tcPr>
          <w:p w14:paraId="5BA55A27" w14:textId="10C1A618" w:rsidR="004B3C16" w:rsidRPr="000549B1" w:rsidRDefault="004B3C16" w:rsidP="00A12321">
            <w:pPr>
              <w:jc w:val="center"/>
              <w:rPr>
                <w:kern w:val="0"/>
                <w:sz w:val="22"/>
                <w:szCs w:val="18"/>
              </w:rPr>
            </w:pPr>
            <w:r w:rsidRPr="000549B1">
              <w:rPr>
                <w:rFonts w:hint="eastAsia"/>
                <w:kern w:val="0"/>
                <w:sz w:val="22"/>
                <w:szCs w:val="18"/>
              </w:rPr>
              <w:t>沙珠玉河干支流</w:t>
            </w:r>
          </w:p>
        </w:tc>
      </w:tr>
      <w:tr w:rsidR="000549B1" w:rsidRPr="000549B1" w14:paraId="548B3A2A" w14:textId="77777777" w:rsidTr="000549B1">
        <w:trPr>
          <w:trHeight w:val="294"/>
        </w:trPr>
        <w:tc>
          <w:tcPr>
            <w:tcW w:w="541" w:type="dxa"/>
            <w:noWrap/>
            <w:vAlign w:val="center"/>
            <w:hideMark/>
          </w:tcPr>
          <w:p w14:paraId="671BE04A" w14:textId="77777777" w:rsidR="004B3C16" w:rsidRPr="000549B1" w:rsidRDefault="004B3C16" w:rsidP="00A12321">
            <w:pPr>
              <w:jc w:val="center"/>
              <w:rPr>
                <w:kern w:val="0"/>
                <w:sz w:val="22"/>
                <w:szCs w:val="18"/>
              </w:rPr>
            </w:pPr>
            <w:r w:rsidRPr="000549B1">
              <w:rPr>
                <w:kern w:val="0"/>
                <w:sz w:val="22"/>
                <w:szCs w:val="18"/>
              </w:rPr>
              <w:t>4</w:t>
            </w:r>
          </w:p>
        </w:tc>
        <w:tc>
          <w:tcPr>
            <w:tcW w:w="730" w:type="dxa"/>
            <w:noWrap/>
            <w:vAlign w:val="center"/>
            <w:hideMark/>
          </w:tcPr>
          <w:p w14:paraId="3378754A" w14:textId="77777777" w:rsidR="004B3C16" w:rsidRPr="000549B1" w:rsidRDefault="004B3C16" w:rsidP="00A12321">
            <w:pPr>
              <w:jc w:val="center"/>
              <w:rPr>
                <w:kern w:val="0"/>
                <w:sz w:val="22"/>
                <w:szCs w:val="18"/>
              </w:rPr>
            </w:pPr>
            <w:r w:rsidRPr="000549B1">
              <w:rPr>
                <w:rFonts w:hint="eastAsia"/>
                <w:kern w:val="0"/>
                <w:sz w:val="22"/>
                <w:szCs w:val="18"/>
              </w:rPr>
              <w:t>其他环境要素</w:t>
            </w:r>
          </w:p>
        </w:tc>
        <w:tc>
          <w:tcPr>
            <w:tcW w:w="992" w:type="dxa"/>
            <w:noWrap/>
            <w:vAlign w:val="center"/>
            <w:hideMark/>
          </w:tcPr>
          <w:p w14:paraId="2F385BC5" w14:textId="77777777" w:rsidR="004B3C16" w:rsidRPr="000549B1" w:rsidRDefault="004B3C16" w:rsidP="00A12321">
            <w:pPr>
              <w:jc w:val="center"/>
              <w:rPr>
                <w:kern w:val="0"/>
                <w:sz w:val="22"/>
                <w:szCs w:val="18"/>
              </w:rPr>
            </w:pPr>
            <w:r w:rsidRPr="000549B1">
              <w:rPr>
                <w:rFonts w:hint="eastAsia"/>
                <w:kern w:val="0"/>
                <w:sz w:val="22"/>
                <w:szCs w:val="18"/>
              </w:rPr>
              <w:t>社会环境</w:t>
            </w:r>
          </w:p>
        </w:tc>
        <w:tc>
          <w:tcPr>
            <w:tcW w:w="6033" w:type="dxa"/>
            <w:noWrap/>
            <w:vAlign w:val="center"/>
            <w:hideMark/>
          </w:tcPr>
          <w:p w14:paraId="20255DC6" w14:textId="700DA6C8" w:rsidR="004B3C16" w:rsidRPr="000549B1" w:rsidRDefault="004B3C16" w:rsidP="00A12321">
            <w:pPr>
              <w:jc w:val="center"/>
              <w:rPr>
                <w:kern w:val="0"/>
                <w:sz w:val="22"/>
                <w:szCs w:val="18"/>
              </w:rPr>
            </w:pPr>
            <w:r w:rsidRPr="000549B1">
              <w:rPr>
                <w:rFonts w:hint="eastAsia"/>
                <w:kern w:val="0"/>
                <w:sz w:val="22"/>
                <w:szCs w:val="18"/>
              </w:rPr>
              <w:t>涉及青海省海南州共和县石乃亥镇、黑马河镇、廿地乡、沙珠玉乡、切吉乡、塘格木镇和兴海县的河卡镇，共计</w:t>
            </w:r>
            <w:r w:rsidRPr="000549B1">
              <w:rPr>
                <w:kern w:val="0"/>
                <w:sz w:val="22"/>
                <w:szCs w:val="18"/>
              </w:rPr>
              <w:t>7</w:t>
            </w:r>
            <w:r w:rsidRPr="000549B1">
              <w:rPr>
                <w:rFonts w:hint="eastAsia"/>
                <w:kern w:val="0"/>
                <w:sz w:val="22"/>
                <w:szCs w:val="18"/>
              </w:rPr>
              <w:t>个乡镇，流域面积</w:t>
            </w:r>
            <w:r w:rsidRPr="000549B1">
              <w:rPr>
                <w:kern w:val="0"/>
                <w:sz w:val="22"/>
                <w:szCs w:val="18"/>
              </w:rPr>
              <w:t>8660km</w:t>
            </w:r>
            <w:r w:rsidRPr="000549B1">
              <w:rPr>
                <w:kern w:val="0"/>
                <w:sz w:val="22"/>
                <w:szCs w:val="18"/>
                <w:vertAlign w:val="superscript"/>
              </w:rPr>
              <w:t>2</w:t>
            </w:r>
          </w:p>
        </w:tc>
      </w:tr>
    </w:tbl>
    <w:p w14:paraId="4BBAC3A2" w14:textId="622C91B1" w:rsidR="00054437" w:rsidRPr="000549B1" w:rsidRDefault="00000000">
      <w:pPr>
        <w:pStyle w:val="3"/>
      </w:pPr>
      <w:bookmarkStart w:id="97" w:name="_Toc216106991"/>
      <w:bookmarkEnd w:id="96"/>
      <w:r w:rsidRPr="000549B1">
        <w:rPr>
          <w:rFonts w:hint="eastAsia"/>
        </w:rPr>
        <w:t>评价时段</w:t>
      </w:r>
      <w:bookmarkEnd w:id="97"/>
    </w:p>
    <w:p w14:paraId="79ED1961" w14:textId="77777777" w:rsidR="00054437" w:rsidRPr="000549B1" w:rsidRDefault="00000000">
      <w:pPr>
        <w:pStyle w:val="x"/>
      </w:pPr>
      <w:r w:rsidRPr="000549B1">
        <w:rPr>
          <w:rFonts w:hint="eastAsia"/>
        </w:rPr>
        <w:t>评价时段包括整个规划期。评价基准年、近期水平年、远期水平年等与规划水平年保持一致。评价重点时段为近期水平年。</w:t>
      </w:r>
    </w:p>
    <w:p w14:paraId="56F00720" w14:textId="3A264485" w:rsidR="00054437" w:rsidRPr="000549B1" w:rsidRDefault="00000000">
      <w:pPr>
        <w:pStyle w:val="x"/>
      </w:pPr>
      <w:r w:rsidRPr="000549B1">
        <w:rPr>
          <w:rFonts w:hint="eastAsia"/>
        </w:rPr>
        <w:t>根据规划报告，规划基准年为</w:t>
      </w:r>
      <w:r w:rsidRPr="000549B1">
        <w:rPr>
          <w:rFonts w:hint="eastAsia"/>
        </w:rPr>
        <w:t>2024</w:t>
      </w:r>
      <w:r w:rsidRPr="000549B1">
        <w:rPr>
          <w:rFonts w:hint="eastAsia"/>
        </w:rPr>
        <w:t>年，</w:t>
      </w:r>
      <w:r w:rsidRPr="000549B1">
        <w:t>近期水平年</w:t>
      </w:r>
      <w:r w:rsidRPr="000549B1">
        <w:t>2035</w:t>
      </w:r>
      <w:r w:rsidRPr="000549B1">
        <w:t>年，远景展望</w:t>
      </w:r>
      <w:r w:rsidRPr="000549B1">
        <w:t>2050</w:t>
      </w:r>
      <w:r w:rsidRPr="000549B1">
        <w:t>年。</w:t>
      </w:r>
    </w:p>
    <w:p w14:paraId="5A867DB7" w14:textId="7D814AD3" w:rsidR="00054437" w:rsidRPr="000549B1" w:rsidRDefault="00000000">
      <w:pPr>
        <w:pStyle w:val="2"/>
        <w:rPr>
          <w:rFonts w:ascii="Times New Roman" w:hAnsi="Times New Roman"/>
        </w:rPr>
      </w:pPr>
      <w:bookmarkStart w:id="98" w:name="_Toc216106992"/>
      <w:r w:rsidRPr="000549B1">
        <w:rPr>
          <w:rFonts w:ascii="Times New Roman" w:hAnsi="Times New Roman" w:hint="eastAsia"/>
        </w:rPr>
        <w:t>环境功能区划</w:t>
      </w:r>
      <w:bookmarkEnd w:id="98"/>
    </w:p>
    <w:p w14:paraId="477F89B6" w14:textId="77777777" w:rsidR="00054437" w:rsidRPr="000549B1" w:rsidRDefault="00000000">
      <w:pPr>
        <w:pStyle w:val="3"/>
      </w:pPr>
      <w:bookmarkStart w:id="99" w:name="_Toc216106993"/>
      <w:r w:rsidRPr="000549B1">
        <w:rPr>
          <w:rFonts w:hint="eastAsia"/>
        </w:rPr>
        <w:t>生态功能区划</w:t>
      </w:r>
      <w:bookmarkEnd w:id="99"/>
    </w:p>
    <w:p w14:paraId="1CE9E58C" w14:textId="77777777" w:rsidR="00054437" w:rsidRPr="000549B1" w:rsidRDefault="00000000" w:rsidP="000549B1">
      <w:pPr>
        <w:pStyle w:val="x"/>
        <w:rPr>
          <w:b/>
          <w:bCs/>
        </w:rPr>
      </w:pPr>
      <w:r w:rsidRPr="000549B1">
        <w:rPr>
          <w:b/>
          <w:bCs/>
        </w:rPr>
        <w:t>1</w:t>
      </w:r>
      <w:r w:rsidRPr="000549B1">
        <w:rPr>
          <w:rFonts w:hint="eastAsia"/>
          <w:b/>
          <w:bCs/>
        </w:rPr>
        <w:t>、全国生态功能区划</w:t>
      </w:r>
    </w:p>
    <w:p w14:paraId="4731ED22" w14:textId="77777777" w:rsidR="00054437" w:rsidRPr="000549B1" w:rsidRDefault="00000000" w:rsidP="000549B1">
      <w:pPr>
        <w:spacing w:line="360" w:lineRule="auto"/>
        <w:ind w:firstLine="480"/>
        <w:rPr>
          <w:rFonts w:eastAsiaTheme="minorEastAsia"/>
          <w:sz w:val="24"/>
          <w:szCs w:val="24"/>
        </w:rPr>
      </w:pPr>
      <w:r w:rsidRPr="000549B1">
        <w:rPr>
          <w:rFonts w:eastAsiaTheme="minorEastAsia" w:hint="eastAsia"/>
          <w:sz w:val="24"/>
          <w:szCs w:val="24"/>
        </w:rPr>
        <w:t>根据《全国生态功能区划》（修编版），全国生态功能区划包括生态功能区</w:t>
      </w:r>
      <w:r w:rsidRPr="000549B1">
        <w:rPr>
          <w:rFonts w:eastAsiaTheme="minorEastAsia"/>
          <w:sz w:val="24"/>
          <w:szCs w:val="24"/>
        </w:rPr>
        <w:t>242</w:t>
      </w:r>
      <w:r w:rsidRPr="000549B1">
        <w:rPr>
          <w:rFonts w:eastAsiaTheme="minorEastAsia" w:hint="eastAsia"/>
          <w:sz w:val="24"/>
          <w:szCs w:val="24"/>
        </w:rPr>
        <w:t>个，其中划分防风固沙生态功能区</w:t>
      </w:r>
      <w:r w:rsidRPr="000549B1">
        <w:rPr>
          <w:rFonts w:eastAsiaTheme="minorEastAsia"/>
          <w:sz w:val="24"/>
          <w:szCs w:val="24"/>
        </w:rPr>
        <w:t>30</w:t>
      </w:r>
      <w:r w:rsidRPr="000549B1">
        <w:rPr>
          <w:rFonts w:eastAsiaTheme="minorEastAsia" w:hint="eastAsia"/>
          <w:sz w:val="24"/>
          <w:szCs w:val="24"/>
        </w:rPr>
        <w:t>个，面积共计</w:t>
      </w:r>
      <w:r w:rsidRPr="000549B1">
        <w:rPr>
          <w:rFonts w:eastAsiaTheme="minorEastAsia"/>
          <w:sz w:val="24"/>
          <w:szCs w:val="24"/>
        </w:rPr>
        <w:t>199.0</w:t>
      </w:r>
      <w:r w:rsidRPr="000549B1">
        <w:rPr>
          <w:rFonts w:eastAsiaTheme="minorEastAsia" w:hint="eastAsia"/>
          <w:sz w:val="24"/>
          <w:szCs w:val="24"/>
        </w:rPr>
        <w:t>万</w:t>
      </w:r>
      <w:r w:rsidRPr="000549B1">
        <w:rPr>
          <w:rFonts w:eastAsiaTheme="minorEastAsia"/>
          <w:sz w:val="24"/>
          <w:szCs w:val="24"/>
        </w:rPr>
        <w:t>km</w:t>
      </w:r>
      <w:r w:rsidRPr="000549B1">
        <w:rPr>
          <w:rFonts w:eastAsiaTheme="minorEastAsia"/>
          <w:sz w:val="24"/>
          <w:szCs w:val="24"/>
          <w:vertAlign w:val="superscript"/>
        </w:rPr>
        <w:t>2</w:t>
      </w:r>
      <w:r w:rsidRPr="000549B1">
        <w:rPr>
          <w:rFonts w:eastAsiaTheme="minorEastAsia" w:hint="eastAsia"/>
          <w:sz w:val="24"/>
          <w:szCs w:val="24"/>
        </w:rPr>
        <w:t>，占全国国土面积的</w:t>
      </w:r>
      <w:r w:rsidRPr="000549B1">
        <w:rPr>
          <w:rFonts w:eastAsiaTheme="minorEastAsia"/>
          <w:sz w:val="24"/>
          <w:szCs w:val="24"/>
        </w:rPr>
        <w:t>20.8</w:t>
      </w:r>
      <w:r w:rsidRPr="000549B1">
        <w:rPr>
          <w:rFonts w:eastAsiaTheme="minorEastAsia" w:hint="eastAsia"/>
          <w:sz w:val="24"/>
          <w:szCs w:val="24"/>
        </w:rPr>
        <w:t>％。其中，对国家和区域生态安全具有重要作用的防风固沙生态功能区主要包括呼伦贝尔草原、科尔沁沙地、阴山北部、鄂尔多斯高原、黑河中下游、塔里木河流域，以及环京津风沙源区等。</w:t>
      </w:r>
    </w:p>
    <w:p w14:paraId="31F48D9B" w14:textId="77777777" w:rsidR="00054437" w:rsidRPr="000549B1" w:rsidRDefault="00000000" w:rsidP="000549B1">
      <w:pPr>
        <w:spacing w:line="360" w:lineRule="auto"/>
        <w:ind w:firstLine="480"/>
        <w:rPr>
          <w:rFonts w:eastAsiaTheme="minorEastAsia"/>
          <w:sz w:val="24"/>
          <w:szCs w:val="24"/>
        </w:rPr>
      </w:pPr>
      <w:r w:rsidRPr="000549B1">
        <w:rPr>
          <w:rFonts w:eastAsiaTheme="minorEastAsia" w:hint="eastAsia"/>
          <w:sz w:val="24"/>
          <w:szCs w:val="24"/>
        </w:rPr>
        <w:t>该类型区的主要生态问题是过度放牧、草原开垦、水资源严重短缺与水资源过度开发导致植被退化、土地沙化、沙尘暴等。</w:t>
      </w:r>
    </w:p>
    <w:p w14:paraId="5EF67636" w14:textId="77777777" w:rsidR="00054437" w:rsidRPr="000549B1" w:rsidRDefault="00000000" w:rsidP="000549B1">
      <w:pPr>
        <w:spacing w:line="360" w:lineRule="auto"/>
        <w:ind w:firstLine="480"/>
        <w:rPr>
          <w:rFonts w:eastAsiaTheme="minorEastAsia"/>
          <w:sz w:val="24"/>
          <w:szCs w:val="24"/>
        </w:rPr>
      </w:pPr>
      <w:r w:rsidRPr="000549B1">
        <w:rPr>
          <w:rFonts w:eastAsiaTheme="minorEastAsia" w:hint="eastAsia"/>
          <w:sz w:val="24"/>
          <w:szCs w:val="24"/>
        </w:rPr>
        <w:t>该类型区生态保护的主要方向：</w:t>
      </w:r>
    </w:p>
    <w:p w14:paraId="312C92BF" w14:textId="77777777" w:rsidR="00054437" w:rsidRPr="000549B1" w:rsidRDefault="00000000" w:rsidP="000549B1">
      <w:pPr>
        <w:spacing w:line="360" w:lineRule="auto"/>
        <w:ind w:firstLine="480"/>
        <w:rPr>
          <w:rFonts w:eastAsiaTheme="minorEastAsia"/>
          <w:sz w:val="24"/>
          <w:szCs w:val="24"/>
        </w:rPr>
      </w:pPr>
      <w:r w:rsidRPr="000549B1">
        <w:rPr>
          <w:rFonts w:eastAsiaTheme="minorEastAsia" w:hint="eastAsia"/>
          <w:sz w:val="24"/>
          <w:szCs w:val="24"/>
        </w:rPr>
        <w:t>（</w:t>
      </w:r>
      <w:r w:rsidRPr="000549B1">
        <w:rPr>
          <w:rFonts w:eastAsiaTheme="minorEastAsia" w:hint="eastAsia"/>
          <w:sz w:val="24"/>
          <w:szCs w:val="24"/>
        </w:rPr>
        <w:t>1</w:t>
      </w:r>
      <w:r w:rsidRPr="000549B1">
        <w:rPr>
          <w:rFonts w:eastAsiaTheme="minorEastAsia" w:hint="eastAsia"/>
          <w:sz w:val="24"/>
          <w:szCs w:val="24"/>
        </w:rPr>
        <w:t>）在沙漠化极敏感区和高度敏感区建立生态功能保护区，严格控制放牧和草原生物资源的利用，禁止开垦草原，加强植被恢复和保护。</w:t>
      </w:r>
    </w:p>
    <w:p w14:paraId="72935C35" w14:textId="77777777" w:rsidR="00054437" w:rsidRPr="000549B1" w:rsidRDefault="00000000" w:rsidP="000549B1">
      <w:pPr>
        <w:spacing w:line="360" w:lineRule="auto"/>
        <w:ind w:firstLine="480"/>
        <w:rPr>
          <w:rFonts w:eastAsiaTheme="minorEastAsia"/>
          <w:sz w:val="24"/>
          <w:szCs w:val="24"/>
        </w:rPr>
      </w:pPr>
      <w:r w:rsidRPr="000549B1">
        <w:rPr>
          <w:rFonts w:eastAsiaTheme="minorEastAsia" w:hint="eastAsia"/>
          <w:sz w:val="24"/>
          <w:szCs w:val="24"/>
        </w:rPr>
        <w:t>（</w:t>
      </w:r>
      <w:r w:rsidRPr="000549B1">
        <w:rPr>
          <w:rFonts w:eastAsiaTheme="minorEastAsia" w:hint="eastAsia"/>
          <w:sz w:val="24"/>
          <w:szCs w:val="24"/>
        </w:rPr>
        <w:t>2</w:t>
      </w:r>
      <w:r w:rsidRPr="000549B1">
        <w:rPr>
          <w:rFonts w:eastAsiaTheme="minorEastAsia" w:hint="eastAsia"/>
          <w:sz w:val="24"/>
          <w:szCs w:val="24"/>
        </w:rPr>
        <w:t>）调整传统的畜牧业生产方式，大力发展草业，加快规模化圈养牧业的发展，控制放养对草地生态系统的损害。</w:t>
      </w:r>
    </w:p>
    <w:p w14:paraId="67318849" w14:textId="77777777" w:rsidR="00054437" w:rsidRPr="000549B1" w:rsidRDefault="00000000" w:rsidP="000549B1">
      <w:pPr>
        <w:spacing w:line="360" w:lineRule="auto"/>
        <w:ind w:firstLine="480"/>
        <w:rPr>
          <w:rFonts w:eastAsiaTheme="minorEastAsia"/>
          <w:sz w:val="24"/>
          <w:szCs w:val="24"/>
        </w:rPr>
      </w:pPr>
      <w:r w:rsidRPr="000549B1">
        <w:rPr>
          <w:rFonts w:eastAsiaTheme="minorEastAsia" w:hint="eastAsia"/>
          <w:sz w:val="24"/>
          <w:szCs w:val="24"/>
        </w:rPr>
        <w:t>（</w:t>
      </w:r>
      <w:r w:rsidRPr="000549B1">
        <w:rPr>
          <w:rFonts w:eastAsiaTheme="minorEastAsia" w:hint="eastAsia"/>
          <w:sz w:val="24"/>
          <w:szCs w:val="24"/>
        </w:rPr>
        <w:t>3</w:t>
      </w:r>
      <w:r w:rsidRPr="000549B1">
        <w:rPr>
          <w:rFonts w:eastAsiaTheme="minorEastAsia" w:hint="eastAsia"/>
          <w:sz w:val="24"/>
          <w:szCs w:val="24"/>
        </w:rPr>
        <w:t>）积极推进草畜平衡科学管理办法，限制养殖规模。</w:t>
      </w:r>
    </w:p>
    <w:p w14:paraId="139A2FE9" w14:textId="77777777" w:rsidR="00054437" w:rsidRPr="000549B1" w:rsidRDefault="00000000" w:rsidP="000549B1">
      <w:pPr>
        <w:spacing w:line="360" w:lineRule="auto"/>
        <w:ind w:firstLine="480"/>
        <w:rPr>
          <w:rFonts w:eastAsiaTheme="minorEastAsia"/>
          <w:sz w:val="24"/>
          <w:szCs w:val="24"/>
        </w:rPr>
      </w:pPr>
      <w:r w:rsidRPr="000549B1">
        <w:rPr>
          <w:rFonts w:eastAsiaTheme="minorEastAsia" w:hint="eastAsia"/>
          <w:sz w:val="24"/>
          <w:szCs w:val="24"/>
        </w:rPr>
        <w:t>（</w:t>
      </w:r>
      <w:r w:rsidRPr="000549B1">
        <w:rPr>
          <w:rFonts w:eastAsiaTheme="minorEastAsia" w:hint="eastAsia"/>
          <w:sz w:val="24"/>
          <w:szCs w:val="24"/>
        </w:rPr>
        <w:t>4</w:t>
      </w:r>
      <w:r w:rsidRPr="000549B1">
        <w:rPr>
          <w:rFonts w:eastAsiaTheme="minorEastAsia" w:hint="eastAsia"/>
          <w:sz w:val="24"/>
          <w:szCs w:val="24"/>
        </w:rPr>
        <w:t>）实施防风固沙工程，恢复草地植被，大力推进调整产业结构，退耕还草，退牧还草等措施。</w:t>
      </w:r>
    </w:p>
    <w:p w14:paraId="0BF22548" w14:textId="77777777" w:rsidR="00054437" w:rsidRPr="000549B1" w:rsidRDefault="00000000" w:rsidP="000549B1">
      <w:pPr>
        <w:pStyle w:val="x"/>
      </w:pPr>
      <w:r w:rsidRPr="000549B1">
        <w:rPr>
          <w:rFonts w:hint="eastAsia"/>
        </w:rPr>
        <w:t>沙珠玉河流域位于共和盆地防风固沙功能区（</w:t>
      </w:r>
      <w:r w:rsidRPr="000549B1">
        <w:rPr>
          <w:rFonts w:hint="eastAsia"/>
        </w:rPr>
        <w:t>I-04-30</w:t>
      </w:r>
      <w:r w:rsidRPr="000549B1">
        <w:rPr>
          <w:rFonts w:hint="eastAsia"/>
        </w:rPr>
        <w:t>）内，该区属高原大陆性气候，兼具半干旱至干旱气候特征，发育了以高寒草原和荒漠草原为主的草原植被类型，土地沙漠化敏感性程度较高，是我国防风固沙重要区域。</w:t>
      </w:r>
    </w:p>
    <w:p w14:paraId="05CF7D9C" w14:textId="77777777" w:rsidR="00054437" w:rsidRPr="000549B1" w:rsidRDefault="00000000" w:rsidP="00C35C11">
      <w:pPr>
        <w:pStyle w:val="x"/>
        <w:ind w:firstLine="0"/>
      </w:pPr>
      <w:r w:rsidRPr="000549B1">
        <w:rPr>
          <w:rFonts w:hint="eastAsia"/>
          <w:noProof/>
        </w:rPr>
        <w:drawing>
          <wp:inline distT="0" distB="0" distL="114300" distR="114300" wp14:anchorId="184A49BC" wp14:editId="06A4043E">
            <wp:extent cx="5269230" cy="3728720"/>
            <wp:effectExtent l="0" t="0" r="7620" b="5080"/>
            <wp:docPr id="119" name="图片 119" descr="沙珠玉河流域与全国生态功能区划位置关系图 20251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119" descr="沙珠玉河流域与全国生态功能区划位置关系图 20251126"/>
                    <pic:cNvPicPr>
                      <a:picLocks noChangeAspect="1"/>
                    </pic:cNvPicPr>
                  </pic:nvPicPr>
                  <pic:blipFill>
                    <a:blip r:embed="rId12" cstate="email">
                      <a:extLst>
                        <a:ext uri="{28A0092B-C50C-407E-A947-70E740481C1C}">
                          <a14:useLocalDpi xmlns:a14="http://schemas.microsoft.com/office/drawing/2010/main"/>
                        </a:ext>
                      </a:extLst>
                    </a:blip>
                    <a:stretch>
                      <a:fillRect/>
                    </a:stretch>
                  </pic:blipFill>
                  <pic:spPr>
                    <a:xfrm>
                      <a:off x="0" y="0"/>
                      <a:ext cx="5269230" cy="3728720"/>
                    </a:xfrm>
                    <a:prstGeom prst="rect">
                      <a:avLst/>
                    </a:prstGeom>
                  </pic:spPr>
                </pic:pic>
              </a:graphicData>
            </a:graphic>
          </wp:inline>
        </w:drawing>
      </w:r>
    </w:p>
    <w:p w14:paraId="576427BB" w14:textId="588F668D" w:rsidR="00054437" w:rsidRPr="000549B1" w:rsidRDefault="004B3C16">
      <w:pPr>
        <w:pStyle w:val="afa"/>
        <w:spacing w:before="0" w:beforeAutospacing="0" w:after="0" w:afterAutospacing="0" w:line="23" w:lineRule="atLeast"/>
        <w:jc w:val="center"/>
        <w:rPr>
          <w:rFonts w:ascii="Times New Roman" w:hAnsi="Times New Roman" w:cs="Times New Roman"/>
          <w:b/>
          <w:bCs/>
          <w:sz w:val="21"/>
          <w:szCs w:val="21"/>
        </w:rPr>
      </w:pPr>
      <w:r w:rsidRPr="000549B1">
        <w:rPr>
          <w:rFonts w:ascii="Times New Roman" w:hAnsi="Times New Roman" w:cs="Times New Roman"/>
        </w:rPr>
        <w:t>图</w:t>
      </w:r>
      <w:r w:rsidR="00F1314B">
        <w:rPr>
          <w:rFonts w:ascii="Times New Roman" w:hAnsi="Times New Roman" w:cs="Times New Roman"/>
        </w:rPr>
        <w:fldChar w:fldCharType="begin"/>
      </w:r>
      <w:r w:rsidR="00F1314B">
        <w:rPr>
          <w:rFonts w:ascii="Times New Roman" w:hAnsi="Times New Roman" w:cs="Times New Roman"/>
        </w:rPr>
        <w:instrText xml:space="preserve"> STYLEREF 2 \s </w:instrText>
      </w:r>
      <w:r w:rsidR="00F1314B">
        <w:rPr>
          <w:rFonts w:ascii="Times New Roman" w:hAnsi="Times New Roman" w:cs="Times New Roman"/>
        </w:rPr>
        <w:fldChar w:fldCharType="separate"/>
      </w:r>
      <w:r w:rsidR="00F32CCA">
        <w:rPr>
          <w:rFonts w:ascii="Times New Roman" w:hAnsi="Times New Roman" w:cs="Times New Roman"/>
          <w:noProof/>
        </w:rPr>
        <w:t>1.5</w:t>
      </w:r>
      <w:r w:rsidR="00F1314B">
        <w:rPr>
          <w:rFonts w:ascii="Times New Roman" w:hAnsi="Times New Roman" w:cs="Times New Roman"/>
        </w:rPr>
        <w:fldChar w:fldCharType="end"/>
      </w:r>
      <w:r w:rsidR="00F1314B">
        <w:rPr>
          <w:rFonts w:ascii="Times New Roman" w:hAnsi="Times New Roman" w:cs="Times New Roman"/>
        </w:rPr>
        <w:noBreakHyphen/>
      </w:r>
      <w:r w:rsidR="00F1314B">
        <w:rPr>
          <w:rFonts w:ascii="Times New Roman" w:hAnsi="Times New Roman" w:cs="Times New Roman"/>
        </w:rPr>
        <w:fldChar w:fldCharType="begin"/>
      </w:r>
      <w:r w:rsidR="00F1314B">
        <w:rPr>
          <w:rFonts w:ascii="Times New Roman" w:hAnsi="Times New Roman" w:cs="Times New Roman"/>
        </w:rPr>
        <w:instrText xml:space="preserve"> SEQ </w:instrText>
      </w:r>
      <w:r w:rsidR="00F1314B">
        <w:rPr>
          <w:rFonts w:ascii="Times New Roman" w:hAnsi="Times New Roman" w:cs="Times New Roman"/>
        </w:rPr>
        <w:instrText>图</w:instrText>
      </w:r>
      <w:r w:rsidR="00F1314B">
        <w:rPr>
          <w:rFonts w:ascii="Times New Roman" w:hAnsi="Times New Roman" w:cs="Times New Roman"/>
        </w:rPr>
        <w:instrText xml:space="preserve"> \* ARABIC \s 2 </w:instrText>
      </w:r>
      <w:r w:rsidR="00F1314B">
        <w:rPr>
          <w:rFonts w:ascii="Times New Roman" w:hAnsi="Times New Roman" w:cs="Times New Roman"/>
        </w:rPr>
        <w:fldChar w:fldCharType="separate"/>
      </w:r>
      <w:r w:rsidR="00F32CCA">
        <w:rPr>
          <w:rFonts w:ascii="Times New Roman" w:hAnsi="Times New Roman" w:cs="Times New Roman"/>
          <w:noProof/>
        </w:rPr>
        <w:t>1</w:t>
      </w:r>
      <w:r w:rsidR="00F1314B">
        <w:rPr>
          <w:rFonts w:ascii="Times New Roman" w:hAnsi="Times New Roman" w:cs="Times New Roman"/>
        </w:rPr>
        <w:fldChar w:fldCharType="end"/>
      </w:r>
      <w:r w:rsidRPr="000549B1">
        <w:rPr>
          <w:rFonts w:ascii="Times New Roman" w:hAnsi="Times New Roman" w:cs="Times New Roman"/>
          <w:b/>
          <w:bCs/>
          <w:sz w:val="21"/>
          <w:szCs w:val="21"/>
        </w:rPr>
        <w:t>沙珠玉河流域与全国生态功能区划位置关系图</w:t>
      </w:r>
    </w:p>
    <w:p w14:paraId="312AB909" w14:textId="77777777" w:rsidR="00054437" w:rsidRPr="000549B1" w:rsidRDefault="00000000" w:rsidP="000549B1">
      <w:pPr>
        <w:pStyle w:val="x"/>
        <w:rPr>
          <w:b/>
          <w:bCs/>
        </w:rPr>
      </w:pPr>
      <w:r w:rsidRPr="000549B1">
        <w:rPr>
          <w:b/>
          <w:bCs/>
        </w:rPr>
        <w:t>2</w:t>
      </w:r>
      <w:r w:rsidRPr="000549B1">
        <w:rPr>
          <w:rFonts w:hint="eastAsia"/>
          <w:b/>
          <w:bCs/>
        </w:rPr>
        <w:t>、青海省生态功能区划</w:t>
      </w:r>
    </w:p>
    <w:p w14:paraId="52FED016" w14:textId="14CD42E6" w:rsidR="00054437" w:rsidRPr="000549B1" w:rsidRDefault="00000000" w:rsidP="000549B1">
      <w:pPr>
        <w:pStyle w:val="x"/>
        <w:spacing w:beforeLines="50" w:before="156"/>
      </w:pPr>
      <w:r w:rsidRPr="000549B1">
        <w:rPr>
          <w:rFonts w:hint="eastAsia"/>
        </w:rPr>
        <w:t>根据《青海省生态功能区划》，沙珠玉河流域共涉及四个生态功能区，分别为塔拉滩荒漠化控制生态功能区（Ⅲ</w:t>
      </w:r>
      <w:r w:rsidRPr="000549B1">
        <w:rPr>
          <w:rFonts w:hint="eastAsia"/>
        </w:rPr>
        <w:t>-04-01-04</w:t>
      </w:r>
      <w:r w:rsidRPr="000549B1">
        <w:rPr>
          <w:rFonts w:hint="eastAsia"/>
        </w:rPr>
        <w:t>）、沙珠玉荒漠化控制生态功能区（Ⅲ</w:t>
      </w:r>
      <w:r w:rsidRPr="000549B1">
        <w:rPr>
          <w:rFonts w:hint="eastAsia"/>
        </w:rPr>
        <w:t>-04-01-02</w:t>
      </w:r>
      <w:r w:rsidRPr="000549B1">
        <w:rPr>
          <w:rFonts w:hint="eastAsia"/>
        </w:rPr>
        <w:t>）、青根河水源涵养生态功能区（Ⅲ</w:t>
      </w:r>
      <w:r w:rsidRPr="000549B1">
        <w:rPr>
          <w:rFonts w:hint="eastAsia"/>
        </w:rPr>
        <w:t>-04-03-01</w:t>
      </w:r>
      <w:r w:rsidRPr="000549B1">
        <w:rPr>
          <w:rFonts w:hint="eastAsia"/>
        </w:rPr>
        <w:t>）、鄂拉山生物多样性保护与水源涵养生态功能区（Ⅲ</w:t>
      </w:r>
      <w:r w:rsidRPr="000549B1">
        <w:rPr>
          <w:rFonts w:hint="eastAsia"/>
        </w:rPr>
        <w:t>-04-01-03</w:t>
      </w:r>
      <w:r w:rsidRPr="000549B1">
        <w:rPr>
          <w:rFonts w:hint="eastAsia"/>
        </w:rPr>
        <w:t>），见</w:t>
      </w:r>
      <w:r w:rsidR="00F32CCA" w:rsidRPr="000549B1">
        <w:rPr>
          <w:rFonts w:hint="eastAsia"/>
        </w:rPr>
        <w:t>图</w:t>
      </w:r>
      <w:r w:rsidR="00F32CCA">
        <w:t>1.5</w:t>
      </w:r>
      <w:r w:rsidR="00F32CCA">
        <w:noBreakHyphen/>
        <w:t>2</w:t>
      </w:r>
      <w:r w:rsidR="004B3C16" w:rsidRPr="000549B1">
        <w:rPr>
          <w:rFonts w:hint="eastAsia"/>
        </w:rPr>
        <w:t>。</w:t>
      </w:r>
      <w:r w:rsidR="004B3C16" w:rsidRPr="000549B1">
        <w:t>四个生态功能区发展方向均以农牧业及水土保持为主</w:t>
      </w:r>
      <w:r w:rsidR="004B3C16" w:rsidRPr="000549B1">
        <w:rPr>
          <w:rFonts w:hint="eastAsia"/>
        </w:rPr>
        <w:t>，各功能区概况详见下</w:t>
      </w:r>
      <w:bookmarkStart w:id="100" w:name="_Hlk215672122"/>
      <w:r w:rsidR="00F32CCA" w:rsidRPr="000549B1">
        <w:rPr>
          <w:rFonts w:hint="eastAsia"/>
        </w:rPr>
        <w:t>表</w:t>
      </w:r>
      <w:r w:rsidR="00F32CCA">
        <w:t>1.5</w:t>
      </w:r>
      <w:r w:rsidR="00F32CCA">
        <w:noBreakHyphen/>
        <w:t>1</w:t>
      </w:r>
      <w:bookmarkEnd w:id="100"/>
      <w:r w:rsidRPr="000549B1">
        <w:rPr>
          <w:rFonts w:hint="eastAsia"/>
        </w:rPr>
        <w:t>。</w:t>
      </w:r>
    </w:p>
    <w:p w14:paraId="30874BC1" w14:textId="77777777" w:rsidR="000549B1" w:rsidRPr="000549B1" w:rsidRDefault="000549B1" w:rsidP="000549B1">
      <w:pPr>
        <w:pStyle w:val="x"/>
        <w:spacing w:beforeLines="50" w:before="156"/>
      </w:pPr>
    </w:p>
    <w:p w14:paraId="68B2586F" w14:textId="77777777" w:rsidR="000549B1" w:rsidRPr="000549B1" w:rsidRDefault="000549B1" w:rsidP="000549B1">
      <w:pPr>
        <w:pStyle w:val="x"/>
        <w:spacing w:beforeLines="50" w:before="156"/>
      </w:pPr>
    </w:p>
    <w:p w14:paraId="31C21D52" w14:textId="0409166B" w:rsidR="00054437" w:rsidRPr="000549B1" w:rsidRDefault="004B3C16" w:rsidP="000549B1">
      <w:pPr>
        <w:pStyle w:val="aff8"/>
        <w:rPr>
          <w:color w:val="auto"/>
        </w:rPr>
      </w:pPr>
      <w:bookmarkStart w:id="101" w:name="_Ref215238040"/>
      <w:r w:rsidRPr="000549B1">
        <w:rPr>
          <w:rFonts w:hint="eastAsia"/>
          <w:color w:val="auto"/>
        </w:rPr>
        <w:t>表</w:t>
      </w:r>
      <w:r w:rsidR="00372953">
        <w:rPr>
          <w:color w:val="auto"/>
        </w:rPr>
        <w:fldChar w:fldCharType="begin"/>
      </w:r>
      <w:r w:rsidR="00372953">
        <w:rPr>
          <w:color w:val="auto"/>
        </w:rPr>
        <w:instrText xml:space="preserve"> </w:instrText>
      </w:r>
      <w:r w:rsidR="00372953">
        <w:rPr>
          <w:rFonts w:hint="eastAsia"/>
          <w:color w:val="auto"/>
        </w:rPr>
        <w:instrText>STYLEREF 2 \s</w:instrText>
      </w:r>
      <w:r w:rsidR="00372953">
        <w:rPr>
          <w:color w:val="auto"/>
        </w:rPr>
        <w:instrText xml:space="preserve"> </w:instrText>
      </w:r>
      <w:r w:rsidR="00372953">
        <w:rPr>
          <w:color w:val="auto"/>
        </w:rPr>
        <w:fldChar w:fldCharType="separate"/>
      </w:r>
      <w:r w:rsidR="00372953">
        <w:rPr>
          <w:noProof/>
          <w:color w:val="auto"/>
        </w:rPr>
        <w:t>1.5</w:t>
      </w:r>
      <w:r w:rsidR="00372953">
        <w:rPr>
          <w:color w:val="auto"/>
        </w:rPr>
        <w:fldChar w:fldCharType="end"/>
      </w:r>
      <w:r w:rsidR="00372953">
        <w:rPr>
          <w:color w:val="auto"/>
        </w:rPr>
        <w:noBreakHyphen/>
      </w:r>
      <w:r w:rsidR="00372953">
        <w:rPr>
          <w:color w:val="auto"/>
        </w:rPr>
        <w:fldChar w:fldCharType="begin"/>
      </w:r>
      <w:r w:rsidR="00372953">
        <w:rPr>
          <w:color w:val="auto"/>
        </w:rPr>
        <w:instrText xml:space="preserve"> </w:instrText>
      </w:r>
      <w:r w:rsidR="00372953">
        <w:rPr>
          <w:rFonts w:hint="eastAsia"/>
          <w:color w:val="auto"/>
        </w:rPr>
        <w:instrText xml:space="preserve">SEQ </w:instrText>
      </w:r>
      <w:r w:rsidR="00372953">
        <w:rPr>
          <w:rFonts w:hint="eastAsia"/>
          <w:color w:val="auto"/>
        </w:rPr>
        <w:instrText>表</w:instrText>
      </w:r>
      <w:r w:rsidR="00372953">
        <w:rPr>
          <w:rFonts w:hint="eastAsia"/>
          <w:color w:val="auto"/>
        </w:rPr>
        <w:instrText xml:space="preserve"> \* ARABIC \s 2</w:instrText>
      </w:r>
      <w:r w:rsidR="00372953">
        <w:rPr>
          <w:color w:val="auto"/>
        </w:rPr>
        <w:instrText xml:space="preserve"> </w:instrText>
      </w:r>
      <w:r w:rsidR="00372953">
        <w:rPr>
          <w:color w:val="auto"/>
        </w:rPr>
        <w:fldChar w:fldCharType="separate"/>
      </w:r>
      <w:r w:rsidR="00372953">
        <w:rPr>
          <w:noProof/>
          <w:color w:val="auto"/>
        </w:rPr>
        <w:t>1</w:t>
      </w:r>
      <w:r w:rsidR="00372953">
        <w:rPr>
          <w:color w:val="auto"/>
        </w:rPr>
        <w:fldChar w:fldCharType="end"/>
      </w:r>
      <w:bookmarkEnd w:id="101"/>
      <w:r w:rsidRPr="000549B1">
        <w:rPr>
          <w:rFonts w:hint="eastAsia"/>
          <w:color w:val="auto"/>
        </w:rPr>
        <w:t>项目所处生态功能区概况表</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642"/>
        <w:gridCol w:w="886"/>
        <w:gridCol w:w="1306"/>
        <w:gridCol w:w="1664"/>
        <w:gridCol w:w="2084"/>
        <w:gridCol w:w="795"/>
        <w:gridCol w:w="1145"/>
      </w:tblGrid>
      <w:tr w:rsidR="000549B1" w:rsidRPr="000549B1" w14:paraId="55019A60" w14:textId="77777777">
        <w:trPr>
          <w:trHeight w:val="300"/>
        </w:trPr>
        <w:tc>
          <w:tcPr>
            <w:tcW w:w="642"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51ACB55C" w14:textId="77777777" w:rsidR="00054437" w:rsidRPr="000549B1" w:rsidRDefault="00000000">
            <w:pPr>
              <w:pStyle w:val="afa"/>
              <w:spacing w:before="0" w:beforeAutospacing="0" w:after="0" w:afterAutospacing="0"/>
              <w:jc w:val="center"/>
              <w:rPr>
                <w:rFonts w:ascii="Times New Roman" w:hAnsi="Times New Roman" w:cs="Times New Roman"/>
              </w:rPr>
            </w:pPr>
            <w:r w:rsidRPr="000549B1">
              <w:rPr>
                <w:rFonts w:ascii="Times New Roman" w:hAnsi="Times New Roman" w:cs="Times New Roman" w:hint="eastAsia"/>
                <w:b/>
                <w:bCs/>
                <w:sz w:val="21"/>
                <w:szCs w:val="21"/>
              </w:rPr>
              <w:t>编号</w:t>
            </w:r>
          </w:p>
        </w:tc>
        <w:tc>
          <w:tcPr>
            <w:tcW w:w="886"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00D31E76" w14:textId="77777777" w:rsidR="00054437" w:rsidRPr="000549B1" w:rsidRDefault="00000000">
            <w:pPr>
              <w:pStyle w:val="afa"/>
              <w:spacing w:before="0" w:beforeAutospacing="0" w:after="0" w:afterAutospacing="0"/>
              <w:jc w:val="center"/>
              <w:rPr>
                <w:rFonts w:ascii="Times New Roman" w:hAnsi="Times New Roman" w:cs="Times New Roman"/>
              </w:rPr>
            </w:pPr>
            <w:r w:rsidRPr="000549B1">
              <w:rPr>
                <w:rFonts w:ascii="Times New Roman" w:hAnsi="Times New Roman" w:cs="Times New Roman" w:hint="eastAsia"/>
                <w:b/>
                <w:bCs/>
                <w:sz w:val="21"/>
                <w:szCs w:val="21"/>
              </w:rPr>
              <w:t>功能区</w:t>
            </w:r>
          </w:p>
        </w:tc>
        <w:tc>
          <w:tcPr>
            <w:tcW w:w="1306"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0F35720D" w14:textId="77777777" w:rsidR="00054437" w:rsidRPr="000549B1" w:rsidRDefault="00000000">
            <w:pPr>
              <w:pStyle w:val="afa"/>
              <w:spacing w:before="0" w:beforeAutospacing="0" w:after="0" w:afterAutospacing="0"/>
              <w:jc w:val="center"/>
              <w:rPr>
                <w:rFonts w:ascii="Times New Roman" w:hAnsi="Times New Roman" w:cs="Times New Roman"/>
              </w:rPr>
            </w:pPr>
            <w:r w:rsidRPr="000549B1">
              <w:rPr>
                <w:rFonts w:ascii="Times New Roman" w:hAnsi="Times New Roman" w:cs="Times New Roman" w:hint="eastAsia"/>
                <w:b/>
                <w:bCs/>
                <w:sz w:val="21"/>
                <w:szCs w:val="21"/>
              </w:rPr>
              <w:t>区域位置</w:t>
            </w:r>
          </w:p>
        </w:tc>
        <w:tc>
          <w:tcPr>
            <w:tcW w:w="1664"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7BC7F0C1" w14:textId="77777777" w:rsidR="00054437" w:rsidRPr="000549B1" w:rsidRDefault="00000000">
            <w:pPr>
              <w:pStyle w:val="afa"/>
              <w:spacing w:before="0" w:beforeAutospacing="0" w:after="0" w:afterAutospacing="0"/>
              <w:jc w:val="center"/>
              <w:rPr>
                <w:rFonts w:ascii="Times New Roman" w:hAnsi="Times New Roman" w:cs="Times New Roman"/>
              </w:rPr>
            </w:pPr>
            <w:r w:rsidRPr="000549B1">
              <w:rPr>
                <w:rFonts w:ascii="Times New Roman" w:hAnsi="Times New Roman" w:cs="Times New Roman" w:hint="eastAsia"/>
                <w:b/>
                <w:bCs/>
                <w:sz w:val="21"/>
                <w:szCs w:val="21"/>
              </w:rPr>
              <w:t>存在问题</w:t>
            </w:r>
          </w:p>
        </w:tc>
        <w:tc>
          <w:tcPr>
            <w:tcW w:w="2084"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2A7F4447" w14:textId="77777777" w:rsidR="00054437" w:rsidRPr="000549B1" w:rsidRDefault="00000000">
            <w:pPr>
              <w:pStyle w:val="afa"/>
              <w:spacing w:before="0" w:beforeAutospacing="0" w:after="0" w:afterAutospacing="0"/>
              <w:jc w:val="center"/>
              <w:rPr>
                <w:rFonts w:ascii="Times New Roman" w:hAnsi="Times New Roman" w:cs="Times New Roman"/>
              </w:rPr>
            </w:pPr>
            <w:r w:rsidRPr="000549B1">
              <w:rPr>
                <w:rFonts w:ascii="Times New Roman" w:hAnsi="Times New Roman" w:cs="Times New Roman" w:hint="eastAsia"/>
                <w:b/>
                <w:bCs/>
                <w:sz w:val="21"/>
                <w:szCs w:val="21"/>
              </w:rPr>
              <w:t>生态敏感性</w:t>
            </w:r>
          </w:p>
        </w:tc>
        <w:tc>
          <w:tcPr>
            <w:tcW w:w="79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69B3BBD9" w14:textId="77777777" w:rsidR="00054437" w:rsidRPr="000549B1" w:rsidRDefault="00000000">
            <w:pPr>
              <w:pStyle w:val="afa"/>
              <w:spacing w:before="0" w:beforeAutospacing="0" w:after="0" w:afterAutospacing="0"/>
              <w:jc w:val="center"/>
              <w:rPr>
                <w:rFonts w:ascii="Times New Roman" w:hAnsi="Times New Roman" w:cs="Times New Roman"/>
              </w:rPr>
            </w:pPr>
            <w:r w:rsidRPr="000549B1">
              <w:rPr>
                <w:rFonts w:ascii="Times New Roman" w:hAnsi="Times New Roman" w:cs="Times New Roman" w:hint="eastAsia"/>
                <w:b/>
                <w:bCs/>
                <w:sz w:val="21"/>
                <w:szCs w:val="21"/>
              </w:rPr>
              <w:t>服务功能</w:t>
            </w:r>
          </w:p>
        </w:tc>
        <w:tc>
          <w:tcPr>
            <w:tcW w:w="11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5910666C" w14:textId="77777777" w:rsidR="00054437" w:rsidRPr="000549B1" w:rsidRDefault="00000000">
            <w:pPr>
              <w:pStyle w:val="afa"/>
              <w:spacing w:before="0" w:beforeAutospacing="0" w:after="0" w:afterAutospacing="0"/>
              <w:jc w:val="center"/>
              <w:rPr>
                <w:rFonts w:ascii="Times New Roman" w:hAnsi="Times New Roman" w:cs="Times New Roman"/>
              </w:rPr>
            </w:pPr>
            <w:r w:rsidRPr="000549B1">
              <w:rPr>
                <w:rFonts w:ascii="Times New Roman" w:hAnsi="Times New Roman" w:cs="Times New Roman" w:hint="eastAsia"/>
                <w:b/>
                <w:bCs/>
                <w:sz w:val="21"/>
                <w:szCs w:val="21"/>
              </w:rPr>
              <w:t>保护与发展</w:t>
            </w:r>
          </w:p>
        </w:tc>
      </w:tr>
      <w:tr w:rsidR="000549B1" w:rsidRPr="000549B1" w14:paraId="337C7788" w14:textId="77777777">
        <w:trPr>
          <w:trHeight w:val="300"/>
        </w:trPr>
        <w:tc>
          <w:tcPr>
            <w:tcW w:w="642"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645EA37F" w14:textId="77777777" w:rsidR="00054437" w:rsidRPr="000549B1" w:rsidRDefault="00000000">
            <w:pPr>
              <w:pStyle w:val="afa"/>
              <w:spacing w:before="0" w:beforeAutospacing="0" w:after="0" w:afterAutospacing="0"/>
              <w:jc w:val="center"/>
              <w:rPr>
                <w:rFonts w:ascii="Times New Roman" w:hAnsi="Times New Roman" w:cs="Times New Roman"/>
              </w:rPr>
            </w:pPr>
            <w:r w:rsidRPr="000549B1">
              <w:rPr>
                <w:rFonts w:ascii="Times New Roman" w:hAnsi="Times New Roman" w:cs="Times New Roman" w:hint="eastAsia"/>
                <w:sz w:val="21"/>
                <w:szCs w:val="21"/>
              </w:rPr>
              <w:t>Ⅲ</w:t>
            </w:r>
            <w:r w:rsidRPr="000549B1">
              <w:rPr>
                <w:rFonts w:ascii="Times New Roman" w:hAnsi="Times New Roman" w:cs="Times New Roman" w:hint="eastAsia"/>
                <w:sz w:val="21"/>
                <w:szCs w:val="21"/>
              </w:rPr>
              <w:t>-04-01-02</w:t>
            </w:r>
          </w:p>
        </w:tc>
        <w:tc>
          <w:tcPr>
            <w:tcW w:w="886"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38130FCA" w14:textId="77777777" w:rsidR="00054437" w:rsidRPr="000549B1" w:rsidRDefault="00000000">
            <w:pPr>
              <w:pStyle w:val="afa"/>
              <w:spacing w:before="0" w:beforeAutospacing="0" w:after="0" w:afterAutospacing="0"/>
              <w:jc w:val="center"/>
              <w:rPr>
                <w:rFonts w:ascii="Times New Roman" w:hAnsi="Times New Roman" w:cs="Times New Roman"/>
              </w:rPr>
            </w:pPr>
            <w:r w:rsidRPr="000549B1">
              <w:rPr>
                <w:rFonts w:ascii="Times New Roman" w:hAnsi="Times New Roman" w:cs="Times New Roman" w:hint="eastAsia"/>
                <w:sz w:val="21"/>
                <w:szCs w:val="21"/>
              </w:rPr>
              <w:t>沙珠玉荒漠化控制生态功能区</w:t>
            </w:r>
          </w:p>
        </w:tc>
        <w:tc>
          <w:tcPr>
            <w:tcW w:w="1306"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488CC22A" w14:textId="77777777" w:rsidR="00054437" w:rsidRPr="000549B1" w:rsidRDefault="00000000">
            <w:pPr>
              <w:pStyle w:val="afa"/>
              <w:spacing w:before="0" w:beforeAutospacing="0" w:after="0" w:afterAutospacing="0"/>
              <w:jc w:val="center"/>
              <w:rPr>
                <w:rFonts w:ascii="Times New Roman" w:hAnsi="Times New Roman" w:cs="Times New Roman"/>
              </w:rPr>
            </w:pPr>
            <w:r w:rsidRPr="000549B1">
              <w:rPr>
                <w:rFonts w:ascii="Times New Roman" w:hAnsi="Times New Roman" w:cs="Times New Roman" w:hint="eastAsia"/>
                <w:sz w:val="21"/>
                <w:szCs w:val="21"/>
              </w:rPr>
              <w:t>共和县中部地区，面积为</w:t>
            </w:r>
            <w:r w:rsidRPr="000549B1">
              <w:rPr>
                <w:rFonts w:ascii="Times New Roman" w:hAnsi="Times New Roman" w:cs="Times New Roman" w:hint="eastAsia"/>
                <w:sz w:val="21"/>
                <w:szCs w:val="21"/>
              </w:rPr>
              <w:t>4679.07km</w:t>
            </w:r>
            <w:r w:rsidRPr="000549B1">
              <w:rPr>
                <w:rFonts w:ascii="Times New Roman" w:hAnsi="Times New Roman" w:cs="Times New Roman" w:hint="eastAsia"/>
                <w:sz w:val="21"/>
                <w:szCs w:val="21"/>
                <w:vertAlign w:val="superscript"/>
              </w:rPr>
              <w:t>2</w:t>
            </w:r>
          </w:p>
        </w:tc>
        <w:tc>
          <w:tcPr>
            <w:tcW w:w="1664"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3CF6152D" w14:textId="77777777" w:rsidR="00054437" w:rsidRPr="000549B1" w:rsidRDefault="00000000">
            <w:pPr>
              <w:pStyle w:val="afa"/>
              <w:spacing w:before="0" w:beforeAutospacing="0" w:after="0" w:afterAutospacing="0"/>
              <w:jc w:val="center"/>
              <w:rPr>
                <w:rFonts w:ascii="Times New Roman" w:hAnsi="Times New Roman" w:cs="Times New Roman"/>
              </w:rPr>
            </w:pPr>
            <w:r w:rsidRPr="000549B1">
              <w:rPr>
                <w:rFonts w:ascii="Times New Roman" w:hAnsi="Times New Roman" w:cs="Times New Roman" w:hint="eastAsia"/>
                <w:sz w:val="21"/>
                <w:szCs w:val="21"/>
              </w:rPr>
              <w:t>土地沙漠化，水土流失严重，滑坡、泥石流、地震等地质灾害较多</w:t>
            </w:r>
          </w:p>
        </w:tc>
        <w:tc>
          <w:tcPr>
            <w:tcW w:w="2084"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578A8D97" w14:textId="77777777" w:rsidR="00054437" w:rsidRPr="000549B1" w:rsidRDefault="00000000">
            <w:pPr>
              <w:pStyle w:val="afa"/>
              <w:spacing w:before="0" w:beforeAutospacing="0" w:after="0" w:afterAutospacing="0"/>
              <w:jc w:val="center"/>
              <w:rPr>
                <w:rFonts w:ascii="Times New Roman" w:hAnsi="Times New Roman" w:cs="Times New Roman"/>
              </w:rPr>
            </w:pPr>
            <w:r w:rsidRPr="000549B1">
              <w:rPr>
                <w:rFonts w:ascii="Times New Roman" w:hAnsi="Times New Roman" w:cs="Times New Roman" w:hint="eastAsia"/>
                <w:sz w:val="21"/>
                <w:szCs w:val="21"/>
              </w:rPr>
              <w:t>土壤侵蚀、盐渍化为轻度敏感，土地沙漠化为高度敏感，生物多样性及生境</w:t>
            </w:r>
          </w:p>
        </w:tc>
        <w:tc>
          <w:tcPr>
            <w:tcW w:w="79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0415F65E" w14:textId="77777777" w:rsidR="00054437" w:rsidRPr="000549B1" w:rsidRDefault="00000000">
            <w:pPr>
              <w:pStyle w:val="afa"/>
              <w:spacing w:before="0" w:beforeAutospacing="0" w:after="0" w:afterAutospacing="0"/>
              <w:jc w:val="center"/>
              <w:rPr>
                <w:rFonts w:ascii="Times New Roman" w:hAnsi="Times New Roman" w:cs="Times New Roman"/>
              </w:rPr>
            </w:pPr>
            <w:r w:rsidRPr="000549B1">
              <w:rPr>
                <w:rFonts w:ascii="Times New Roman" w:hAnsi="Times New Roman" w:cs="Times New Roman" w:hint="eastAsia"/>
                <w:sz w:val="21"/>
                <w:szCs w:val="21"/>
              </w:rPr>
              <w:t>水源涵养和沙漠化控制</w:t>
            </w:r>
          </w:p>
        </w:tc>
        <w:tc>
          <w:tcPr>
            <w:tcW w:w="11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45C09E6E" w14:textId="77777777" w:rsidR="00054437" w:rsidRPr="000549B1" w:rsidRDefault="00000000">
            <w:pPr>
              <w:pStyle w:val="afa"/>
              <w:spacing w:before="0" w:beforeAutospacing="0" w:after="0" w:afterAutospacing="0"/>
              <w:jc w:val="center"/>
              <w:rPr>
                <w:rFonts w:ascii="Times New Roman" w:hAnsi="Times New Roman" w:cs="Times New Roman"/>
              </w:rPr>
            </w:pPr>
            <w:r w:rsidRPr="000549B1">
              <w:rPr>
                <w:rFonts w:ascii="Times New Roman" w:hAnsi="Times New Roman" w:cs="Times New Roman" w:hint="eastAsia"/>
                <w:sz w:val="21"/>
                <w:szCs w:val="21"/>
              </w:rPr>
              <w:t>推行舍饲畜牧业和农耕地的节水灌溉。</w:t>
            </w:r>
          </w:p>
        </w:tc>
      </w:tr>
      <w:tr w:rsidR="000549B1" w:rsidRPr="000549B1" w14:paraId="179C2206" w14:textId="77777777">
        <w:trPr>
          <w:trHeight w:val="300"/>
        </w:trPr>
        <w:tc>
          <w:tcPr>
            <w:tcW w:w="642"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100F2AA1" w14:textId="77777777" w:rsidR="00054437" w:rsidRPr="000549B1" w:rsidRDefault="00000000">
            <w:pPr>
              <w:pStyle w:val="afa"/>
              <w:spacing w:before="0" w:beforeAutospacing="0" w:after="0" w:afterAutospacing="0"/>
              <w:jc w:val="center"/>
              <w:rPr>
                <w:rFonts w:ascii="Times New Roman" w:hAnsi="Times New Roman" w:cs="Times New Roman"/>
              </w:rPr>
            </w:pPr>
            <w:r w:rsidRPr="000549B1">
              <w:rPr>
                <w:rFonts w:ascii="Times New Roman" w:hAnsi="Times New Roman" w:cs="Times New Roman" w:hint="eastAsia"/>
                <w:sz w:val="21"/>
                <w:szCs w:val="21"/>
              </w:rPr>
              <w:t>Ⅲ</w:t>
            </w:r>
            <w:r w:rsidRPr="000549B1">
              <w:rPr>
                <w:rFonts w:ascii="Times New Roman" w:hAnsi="Times New Roman" w:cs="Times New Roman" w:hint="eastAsia"/>
                <w:sz w:val="21"/>
                <w:szCs w:val="21"/>
              </w:rPr>
              <w:t>-04-01-03</w:t>
            </w:r>
          </w:p>
        </w:tc>
        <w:tc>
          <w:tcPr>
            <w:tcW w:w="886"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069069C4" w14:textId="77777777" w:rsidR="00054437" w:rsidRPr="000549B1" w:rsidRDefault="00000000">
            <w:pPr>
              <w:pStyle w:val="afa"/>
              <w:spacing w:before="0" w:beforeAutospacing="0" w:after="0" w:afterAutospacing="0"/>
              <w:jc w:val="center"/>
              <w:rPr>
                <w:rFonts w:ascii="Times New Roman" w:hAnsi="Times New Roman" w:cs="Times New Roman"/>
              </w:rPr>
            </w:pPr>
            <w:r w:rsidRPr="000549B1">
              <w:rPr>
                <w:rFonts w:ascii="Times New Roman" w:hAnsi="Times New Roman" w:cs="Times New Roman" w:hint="eastAsia"/>
                <w:sz w:val="21"/>
                <w:szCs w:val="21"/>
              </w:rPr>
              <w:t>鄂拉山生物多样性保护与水源涵养生态功能区</w:t>
            </w:r>
          </w:p>
        </w:tc>
        <w:tc>
          <w:tcPr>
            <w:tcW w:w="1306"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4EE90DA7" w14:textId="77777777" w:rsidR="00054437" w:rsidRPr="000549B1" w:rsidRDefault="00000000">
            <w:pPr>
              <w:pStyle w:val="afa"/>
              <w:spacing w:before="0" w:beforeAutospacing="0" w:after="0" w:afterAutospacing="0"/>
              <w:jc w:val="center"/>
              <w:rPr>
                <w:rFonts w:ascii="Times New Roman" w:hAnsi="Times New Roman" w:cs="Times New Roman"/>
              </w:rPr>
            </w:pPr>
            <w:r w:rsidRPr="000549B1">
              <w:rPr>
                <w:rFonts w:ascii="Times New Roman" w:hAnsi="Times New Roman" w:cs="Times New Roman" w:hint="eastAsia"/>
                <w:sz w:val="21"/>
                <w:szCs w:val="21"/>
              </w:rPr>
              <w:t>兴海县北部和共和县西南部地区，面积为</w:t>
            </w:r>
            <w:r w:rsidRPr="000549B1">
              <w:rPr>
                <w:rFonts w:ascii="Times New Roman" w:hAnsi="Times New Roman" w:cs="Times New Roman" w:hint="eastAsia"/>
                <w:sz w:val="21"/>
                <w:szCs w:val="21"/>
              </w:rPr>
              <w:t>3981.01km</w:t>
            </w:r>
            <w:r w:rsidRPr="000549B1">
              <w:rPr>
                <w:rFonts w:ascii="Times New Roman" w:hAnsi="Times New Roman" w:cs="Times New Roman" w:hint="eastAsia"/>
                <w:sz w:val="21"/>
                <w:szCs w:val="21"/>
                <w:vertAlign w:val="superscript"/>
              </w:rPr>
              <w:t>2</w:t>
            </w:r>
          </w:p>
        </w:tc>
        <w:tc>
          <w:tcPr>
            <w:tcW w:w="1664"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19051207" w14:textId="77777777" w:rsidR="00054437" w:rsidRPr="000549B1" w:rsidRDefault="00000000">
            <w:pPr>
              <w:pStyle w:val="afa"/>
              <w:spacing w:before="0" w:beforeAutospacing="0" w:after="0" w:afterAutospacing="0"/>
              <w:jc w:val="center"/>
              <w:rPr>
                <w:rFonts w:ascii="Times New Roman" w:hAnsi="Times New Roman" w:cs="Times New Roman"/>
              </w:rPr>
            </w:pPr>
            <w:r w:rsidRPr="000549B1">
              <w:rPr>
                <w:rFonts w:ascii="Times New Roman" w:hAnsi="Times New Roman" w:cs="Times New Roman" w:hint="eastAsia"/>
                <w:sz w:val="21"/>
                <w:szCs w:val="21"/>
              </w:rPr>
              <w:t>林草植被呈中度退化，生物多样性减少，水土流失加剧，水源涵养能力下降</w:t>
            </w:r>
          </w:p>
        </w:tc>
        <w:tc>
          <w:tcPr>
            <w:tcW w:w="2084"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10D19AB3" w14:textId="77777777" w:rsidR="00054437" w:rsidRPr="000549B1" w:rsidRDefault="00000000">
            <w:pPr>
              <w:pStyle w:val="afa"/>
              <w:spacing w:before="0" w:beforeAutospacing="0" w:after="0" w:afterAutospacing="0"/>
              <w:jc w:val="center"/>
              <w:rPr>
                <w:rFonts w:ascii="Times New Roman" w:hAnsi="Times New Roman" w:cs="Times New Roman"/>
              </w:rPr>
            </w:pPr>
            <w:r w:rsidRPr="000549B1">
              <w:rPr>
                <w:rFonts w:ascii="Times New Roman" w:hAnsi="Times New Roman" w:cs="Times New Roman" w:hint="eastAsia"/>
                <w:sz w:val="21"/>
                <w:szCs w:val="21"/>
              </w:rPr>
              <w:t>土壤侵蚀为轻度敏感，土地沙漠化为中度敏感，盐渍化为不敏感，生物多样性及生境为高度敏感</w:t>
            </w:r>
          </w:p>
        </w:tc>
        <w:tc>
          <w:tcPr>
            <w:tcW w:w="79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214429A7" w14:textId="77777777" w:rsidR="00054437" w:rsidRPr="000549B1" w:rsidRDefault="00000000">
            <w:pPr>
              <w:pStyle w:val="afa"/>
              <w:spacing w:before="0" w:beforeAutospacing="0" w:after="0" w:afterAutospacing="0"/>
              <w:jc w:val="center"/>
              <w:rPr>
                <w:rFonts w:ascii="Times New Roman" w:hAnsi="Times New Roman" w:cs="Times New Roman"/>
              </w:rPr>
            </w:pPr>
            <w:r w:rsidRPr="000549B1">
              <w:rPr>
                <w:rFonts w:ascii="Times New Roman" w:hAnsi="Times New Roman" w:cs="Times New Roman" w:hint="eastAsia"/>
                <w:sz w:val="21"/>
                <w:szCs w:val="21"/>
              </w:rPr>
              <w:t>生物多样性保护和水源涵养</w:t>
            </w:r>
          </w:p>
        </w:tc>
        <w:tc>
          <w:tcPr>
            <w:tcW w:w="11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451ED41F" w14:textId="77777777" w:rsidR="00054437" w:rsidRPr="000549B1" w:rsidRDefault="00000000">
            <w:pPr>
              <w:pStyle w:val="afa"/>
              <w:spacing w:before="0" w:beforeAutospacing="0" w:after="0" w:afterAutospacing="0"/>
              <w:jc w:val="center"/>
              <w:rPr>
                <w:rFonts w:ascii="Times New Roman" w:hAnsi="Times New Roman" w:cs="Times New Roman"/>
              </w:rPr>
            </w:pPr>
            <w:r w:rsidRPr="000549B1">
              <w:rPr>
                <w:rFonts w:ascii="Times New Roman" w:hAnsi="Times New Roman" w:cs="Times New Roman" w:hint="eastAsia"/>
                <w:sz w:val="21"/>
                <w:szCs w:val="21"/>
              </w:rPr>
              <w:t>推行适度放牧和集约化经营的畜牧业发展方向。</w:t>
            </w:r>
          </w:p>
        </w:tc>
      </w:tr>
      <w:tr w:rsidR="000549B1" w:rsidRPr="000549B1" w14:paraId="68301EFE" w14:textId="77777777">
        <w:trPr>
          <w:trHeight w:val="300"/>
        </w:trPr>
        <w:tc>
          <w:tcPr>
            <w:tcW w:w="642"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54C3B4F9" w14:textId="77777777" w:rsidR="00054437" w:rsidRPr="000549B1" w:rsidRDefault="00000000">
            <w:pPr>
              <w:pStyle w:val="afa"/>
              <w:spacing w:before="0" w:beforeAutospacing="0" w:after="0" w:afterAutospacing="0"/>
              <w:jc w:val="center"/>
              <w:rPr>
                <w:rFonts w:ascii="Times New Roman" w:hAnsi="Times New Roman" w:cs="Times New Roman"/>
              </w:rPr>
            </w:pPr>
            <w:r w:rsidRPr="000549B1">
              <w:rPr>
                <w:rFonts w:ascii="Times New Roman" w:hAnsi="Times New Roman" w:cs="Times New Roman" w:hint="eastAsia"/>
                <w:sz w:val="21"/>
                <w:szCs w:val="21"/>
              </w:rPr>
              <w:t>Ⅲ</w:t>
            </w:r>
            <w:r w:rsidRPr="000549B1">
              <w:rPr>
                <w:rFonts w:ascii="Times New Roman" w:hAnsi="Times New Roman" w:cs="Times New Roman" w:hint="eastAsia"/>
                <w:sz w:val="21"/>
                <w:szCs w:val="21"/>
              </w:rPr>
              <w:t>-04-01-04</w:t>
            </w:r>
          </w:p>
        </w:tc>
        <w:tc>
          <w:tcPr>
            <w:tcW w:w="886"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7D64F4D5" w14:textId="77777777" w:rsidR="00054437" w:rsidRPr="000549B1" w:rsidRDefault="00000000">
            <w:pPr>
              <w:pStyle w:val="afa"/>
              <w:spacing w:before="0" w:beforeAutospacing="0" w:after="0" w:afterAutospacing="0"/>
              <w:jc w:val="center"/>
              <w:rPr>
                <w:rFonts w:ascii="Times New Roman" w:hAnsi="Times New Roman" w:cs="Times New Roman"/>
              </w:rPr>
            </w:pPr>
            <w:r w:rsidRPr="000549B1">
              <w:rPr>
                <w:rFonts w:ascii="Times New Roman" w:hAnsi="Times New Roman" w:cs="Times New Roman" w:hint="eastAsia"/>
                <w:sz w:val="21"/>
                <w:szCs w:val="21"/>
              </w:rPr>
              <w:t>塔拉滩荒漠化控制生态功能区</w:t>
            </w:r>
          </w:p>
        </w:tc>
        <w:tc>
          <w:tcPr>
            <w:tcW w:w="1306"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650009E4" w14:textId="77777777" w:rsidR="00054437" w:rsidRPr="000549B1" w:rsidRDefault="00000000">
            <w:pPr>
              <w:pStyle w:val="afa"/>
              <w:spacing w:before="0" w:beforeAutospacing="0" w:after="0" w:afterAutospacing="0"/>
              <w:jc w:val="center"/>
              <w:rPr>
                <w:rFonts w:ascii="Times New Roman" w:hAnsi="Times New Roman" w:cs="Times New Roman"/>
              </w:rPr>
            </w:pPr>
            <w:r w:rsidRPr="000549B1">
              <w:rPr>
                <w:rFonts w:ascii="Times New Roman" w:hAnsi="Times New Roman" w:cs="Times New Roman" w:hint="eastAsia"/>
                <w:sz w:val="21"/>
                <w:szCs w:val="21"/>
              </w:rPr>
              <w:t>共和县西南部，面积为</w:t>
            </w:r>
            <w:r w:rsidRPr="000549B1">
              <w:rPr>
                <w:rFonts w:ascii="Times New Roman" w:hAnsi="Times New Roman" w:cs="Times New Roman" w:hint="eastAsia"/>
                <w:sz w:val="21"/>
                <w:szCs w:val="21"/>
              </w:rPr>
              <w:t>2460.39km</w:t>
            </w:r>
            <w:r w:rsidRPr="000549B1">
              <w:rPr>
                <w:rFonts w:ascii="Times New Roman" w:hAnsi="Times New Roman" w:cs="Times New Roman" w:hint="eastAsia"/>
                <w:sz w:val="21"/>
                <w:szCs w:val="21"/>
                <w:vertAlign w:val="superscript"/>
              </w:rPr>
              <w:t>2</w:t>
            </w:r>
          </w:p>
        </w:tc>
        <w:tc>
          <w:tcPr>
            <w:tcW w:w="1664"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04395955" w14:textId="77777777" w:rsidR="00054437" w:rsidRPr="000549B1" w:rsidRDefault="00000000">
            <w:pPr>
              <w:pStyle w:val="afa"/>
              <w:spacing w:before="0" w:beforeAutospacing="0" w:after="0" w:afterAutospacing="0"/>
              <w:jc w:val="center"/>
              <w:rPr>
                <w:rFonts w:ascii="Times New Roman" w:hAnsi="Times New Roman" w:cs="Times New Roman"/>
              </w:rPr>
            </w:pPr>
            <w:r w:rsidRPr="000549B1">
              <w:rPr>
                <w:rFonts w:ascii="Times New Roman" w:hAnsi="Times New Roman" w:cs="Times New Roman" w:hint="eastAsia"/>
                <w:sz w:val="21"/>
                <w:szCs w:val="21"/>
              </w:rPr>
              <w:t>土地沙漠化加剧，水土流失严重</w:t>
            </w:r>
          </w:p>
        </w:tc>
        <w:tc>
          <w:tcPr>
            <w:tcW w:w="2084"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7DA8A818" w14:textId="77777777" w:rsidR="00054437" w:rsidRPr="000549B1" w:rsidRDefault="00000000">
            <w:pPr>
              <w:pStyle w:val="afa"/>
              <w:spacing w:before="0" w:beforeAutospacing="0" w:after="0" w:afterAutospacing="0"/>
              <w:jc w:val="center"/>
              <w:rPr>
                <w:rFonts w:ascii="Times New Roman" w:hAnsi="Times New Roman" w:cs="Times New Roman"/>
              </w:rPr>
            </w:pPr>
            <w:r w:rsidRPr="000549B1">
              <w:rPr>
                <w:rFonts w:ascii="Times New Roman" w:hAnsi="Times New Roman" w:cs="Times New Roman" w:hint="eastAsia"/>
                <w:sz w:val="21"/>
                <w:szCs w:val="21"/>
              </w:rPr>
              <w:t>土壤侵蚀、盐渍化为轻度敏感，土地沙漠化为高度敏感，生物多样性及生境为中度敏感</w:t>
            </w:r>
          </w:p>
        </w:tc>
        <w:tc>
          <w:tcPr>
            <w:tcW w:w="79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7FEBE43F" w14:textId="77777777" w:rsidR="00054437" w:rsidRPr="000549B1" w:rsidRDefault="00000000">
            <w:pPr>
              <w:pStyle w:val="afa"/>
              <w:spacing w:before="0" w:beforeAutospacing="0" w:after="0" w:afterAutospacing="0"/>
              <w:jc w:val="center"/>
              <w:rPr>
                <w:rFonts w:ascii="Times New Roman" w:hAnsi="Times New Roman" w:cs="Times New Roman"/>
              </w:rPr>
            </w:pPr>
            <w:r w:rsidRPr="000549B1">
              <w:rPr>
                <w:rFonts w:ascii="Times New Roman" w:hAnsi="Times New Roman" w:cs="Times New Roman" w:hint="eastAsia"/>
                <w:sz w:val="21"/>
                <w:szCs w:val="21"/>
              </w:rPr>
              <w:t>沙漠化控制</w:t>
            </w:r>
          </w:p>
        </w:tc>
        <w:tc>
          <w:tcPr>
            <w:tcW w:w="11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28449CB6" w14:textId="77777777" w:rsidR="00054437" w:rsidRPr="000549B1" w:rsidRDefault="00000000">
            <w:pPr>
              <w:pStyle w:val="afa"/>
              <w:spacing w:before="0" w:beforeAutospacing="0" w:after="0" w:afterAutospacing="0"/>
              <w:jc w:val="center"/>
              <w:rPr>
                <w:rFonts w:ascii="Times New Roman" w:hAnsi="Times New Roman" w:cs="Times New Roman"/>
              </w:rPr>
            </w:pPr>
            <w:r w:rsidRPr="000549B1">
              <w:rPr>
                <w:rFonts w:ascii="Times New Roman" w:hAnsi="Times New Roman" w:cs="Times New Roman" w:hint="eastAsia"/>
                <w:sz w:val="21"/>
                <w:szCs w:val="21"/>
              </w:rPr>
              <w:t>逐步实现“滩内禁牧，周边舍饲”的畜牧业生产方式。</w:t>
            </w:r>
          </w:p>
        </w:tc>
      </w:tr>
      <w:tr w:rsidR="000549B1" w:rsidRPr="000549B1" w14:paraId="3F5DE250" w14:textId="77777777">
        <w:trPr>
          <w:trHeight w:val="300"/>
        </w:trPr>
        <w:tc>
          <w:tcPr>
            <w:tcW w:w="642"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760347DE" w14:textId="77777777" w:rsidR="00054437" w:rsidRPr="000549B1" w:rsidRDefault="00000000">
            <w:pPr>
              <w:pStyle w:val="afa"/>
              <w:spacing w:before="0" w:beforeAutospacing="0" w:after="0" w:afterAutospacing="0"/>
              <w:jc w:val="center"/>
              <w:rPr>
                <w:rFonts w:ascii="Times New Roman" w:hAnsi="Times New Roman" w:cs="Times New Roman"/>
              </w:rPr>
            </w:pPr>
            <w:r w:rsidRPr="000549B1">
              <w:rPr>
                <w:rFonts w:ascii="Times New Roman" w:hAnsi="Times New Roman" w:cs="Times New Roman" w:hint="eastAsia"/>
                <w:sz w:val="21"/>
                <w:szCs w:val="21"/>
              </w:rPr>
              <w:t>Ⅲ</w:t>
            </w:r>
            <w:r w:rsidRPr="000549B1">
              <w:rPr>
                <w:rFonts w:ascii="Times New Roman" w:hAnsi="Times New Roman" w:cs="Times New Roman" w:hint="eastAsia"/>
                <w:sz w:val="21"/>
                <w:szCs w:val="21"/>
              </w:rPr>
              <w:t>-04-03-01</w:t>
            </w:r>
          </w:p>
        </w:tc>
        <w:tc>
          <w:tcPr>
            <w:tcW w:w="886"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1A029AF5" w14:textId="77777777" w:rsidR="00054437" w:rsidRPr="000549B1" w:rsidRDefault="00000000">
            <w:pPr>
              <w:pStyle w:val="afa"/>
              <w:spacing w:before="0" w:beforeAutospacing="0" w:after="0" w:afterAutospacing="0"/>
              <w:jc w:val="center"/>
              <w:rPr>
                <w:rFonts w:ascii="Times New Roman" w:hAnsi="Times New Roman" w:cs="Times New Roman"/>
              </w:rPr>
            </w:pPr>
            <w:r w:rsidRPr="000549B1">
              <w:rPr>
                <w:rFonts w:ascii="Times New Roman" w:hAnsi="Times New Roman" w:cs="Times New Roman" w:hint="eastAsia"/>
                <w:sz w:val="21"/>
                <w:szCs w:val="21"/>
              </w:rPr>
              <w:t>青根河水源涵养生态功能区</w:t>
            </w:r>
          </w:p>
        </w:tc>
        <w:tc>
          <w:tcPr>
            <w:tcW w:w="1306"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64721626" w14:textId="77777777" w:rsidR="00054437" w:rsidRPr="000549B1" w:rsidRDefault="00000000">
            <w:pPr>
              <w:pStyle w:val="afa"/>
              <w:spacing w:before="0" w:beforeAutospacing="0" w:after="0" w:afterAutospacing="0"/>
              <w:jc w:val="center"/>
              <w:rPr>
                <w:rFonts w:ascii="Times New Roman" w:hAnsi="Times New Roman" w:cs="Times New Roman"/>
              </w:rPr>
            </w:pPr>
            <w:r w:rsidRPr="000549B1">
              <w:rPr>
                <w:rFonts w:ascii="Times New Roman" w:hAnsi="Times New Roman" w:cs="Times New Roman" w:hint="eastAsia"/>
                <w:sz w:val="21"/>
                <w:szCs w:val="21"/>
              </w:rPr>
              <w:t>海南藏族自治州兴海县西北部分地区，面积为</w:t>
            </w:r>
            <w:r w:rsidRPr="000549B1">
              <w:rPr>
                <w:rFonts w:ascii="Times New Roman" w:hAnsi="Times New Roman" w:cs="Times New Roman" w:hint="eastAsia"/>
                <w:sz w:val="21"/>
                <w:szCs w:val="21"/>
              </w:rPr>
              <w:t>4215.8Km</w:t>
            </w:r>
            <w:r w:rsidRPr="000549B1">
              <w:rPr>
                <w:rFonts w:ascii="Times New Roman" w:hAnsi="Times New Roman" w:cs="Times New Roman" w:hint="eastAsia"/>
                <w:sz w:val="21"/>
                <w:szCs w:val="21"/>
                <w:vertAlign w:val="superscript"/>
              </w:rPr>
              <w:t>2</w:t>
            </w:r>
          </w:p>
        </w:tc>
        <w:tc>
          <w:tcPr>
            <w:tcW w:w="1664"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0E3ACD1B" w14:textId="77777777" w:rsidR="00054437" w:rsidRPr="000549B1" w:rsidRDefault="00000000">
            <w:pPr>
              <w:pStyle w:val="afa"/>
              <w:spacing w:before="0" w:beforeAutospacing="0" w:after="0" w:afterAutospacing="0"/>
              <w:jc w:val="center"/>
              <w:rPr>
                <w:rFonts w:ascii="Times New Roman" w:hAnsi="Times New Roman" w:cs="Times New Roman"/>
              </w:rPr>
            </w:pPr>
            <w:r w:rsidRPr="000549B1">
              <w:rPr>
                <w:rFonts w:ascii="Times New Roman" w:hAnsi="Times New Roman" w:cs="Times New Roman" w:hint="eastAsia"/>
                <w:sz w:val="21"/>
                <w:szCs w:val="21"/>
              </w:rPr>
              <w:t>水土流失加剧，土地沙化进程加快</w:t>
            </w:r>
          </w:p>
        </w:tc>
        <w:tc>
          <w:tcPr>
            <w:tcW w:w="2084"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61C6A892" w14:textId="77777777" w:rsidR="00054437" w:rsidRPr="000549B1" w:rsidRDefault="00000000">
            <w:pPr>
              <w:pStyle w:val="afa"/>
              <w:spacing w:before="0" w:beforeAutospacing="0" w:after="0" w:afterAutospacing="0"/>
              <w:jc w:val="center"/>
              <w:rPr>
                <w:rFonts w:ascii="Times New Roman" w:hAnsi="Times New Roman" w:cs="Times New Roman"/>
              </w:rPr>
            </w:pPr>
            <w:r w:rsidRPr="000549B1">
              <w:rPr>
                <w:rFonts w:ascii="Times New Roman" w:hAnsi="Times New Roman" w:cs="Times New Roman" w:hint="eastAsia"/>
                <w:sz w:val="21"/>
                <w:szCs w:val="21"/>
              </w:rPr>
              <w:t>土壤侵蚀为轻度敏感，土地沙漠化为中度敏感，盐渍化为不敏感，生物多样性及生境为极敏感。</w:t>
            </w:r>
          </w:p>
        </w:tc>
        <w:tc>
          <w:tcPr>
            <w:tcW w:w="79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0C0AFBB7" w14:textId="77777777" w:rsidR="00054437" w:rsidRPr="000549B1" w:rsidRDefault="00000000">
            <w:pPr>
              <w:pStyle w:val="afa"/>
              <w:spacing w:before="0" w:beforeAutospacing="0" w:after="0" w:afterAutospacing="0"/>
              <w:jc w:val="center"/>
              <w:rPr>
                <w:rFonts w:ascii="Times New Roman" w:hAnsi="Times New Roman" w:cs="Times New Roman"/>
              </w:rPr>
            </w:pPr>
            <w:r w:rsidRPr="000549B1">
              <w:rPr>
                <w:rFonts w:ascii="Times New Roman" w:hAnsi="Times New Roman" w:cs="Times New Roman" w:hint="eastAsia"/>
                <w:sz w:val="21"/>
                <w:szCs w:val="21"/>
              </w:rPr>
              <w:t>生物多样性保护和水源涵养</w:t>
            </w:r>
          </w:p>
        </w:tc>
        <w:tc>
          <w:tcPr>
            <w:tcW w:w="114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1D8B703B" w14:textId="77777777" w:rsidR="00054437" w:rsidRPr="000549B1" w:rsidRDefault="00000000">
            <w:pPr>
              <w:pStyle w:val="afa"/>
              <w:spacing w:before="0" w:beforeAutospacing="0" w:after="0" w:afterAutospacing="0"/>
              <w:jc w:val="center"/>
              <w:rPr>
                <w:rFonts w:ascii="Times New Roman" w:hAnsi="Times New Roman" w:cs="Times New Roman"/>
              </w:rPr>
            </w:pPr>
            <w:r w:rsidRPr="000549B1">
              <w:rPr>
                <w:rFonts w:ascii="Times New Roman" w:hAnsi="Times New Roman" w:cs="Times New Roman" w:hint="eastAsia"/>
                <w:sz w:val="21"/>
                <w:szCs w:val="21"/>
              </w:rPr>
              <w:t>实行防沙治河工程，达到天然植被恢复的目的。</w:t>
            </w:r>
          </w:p>
        </w:tc>
      </w:tr>
    </w:tbl>
    <w:p w14:paraId="1D80F17C" w14:textId="77777777" w:rsidR="00054437" w:rsidRPr="000549B1" w:rsidRDefault="00000000" w:rsidP="000549B1">
      <w:pPr>
        <w:pStyle w:val="afa"/>
        <w:spacing w:before="0" w:beforeAutospacing="0" w:after="0" w:afterAutospacing="0" w:line="23" w:lineRule="atLeast"/>
        <w:jc w:val="both"/>
        <w:rPr>
          <w:rFonts w:hint="eastAsia"/>
        </w:rPr>
      </w:pPr>
      <w:r w:rsidRPr="000549B1">
        <w:rPr>
          <w:rFonts w:hint="eastAsia"/>
          <w:noProof/>
        </w:rPr>
        <w:drawing>
          <wp:inline distT="0" distB="0" distL="114300" distR="114300" wp14:anchorId="6FB6DF29" wp14:editId="0BEC6324">
            <wp:extent cx="5348261" cy="3784600"/>
            <wp:effectExtent l="0" t="0" r="5080" b="6350"/>
            <wp:docPr id="118" name="图片 118" descr="沙珠玉河流域与青海省生态功能区划位置关系图 20251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118" descr="沙珠玉河流域与青海省生态功能区划位置关系图 20251126"/>
                    <pic:cNvPicPr>
                      <a:picLocks noChangeAspect="1"/>
                    </pic:cNvPicPr>
                  </pic:nvPicPr>
                  <pic:blipFill>
                    <a:blip r:embed="rId13" cstate="email">
                      <a:extLst>
                        <a:ext uri="{28A0092B-C50C-407E-A947-70E740481C1C}">
                          <a14:useLocalDpi xmlns:a14="http://schemas.microsoft.com/office/drawing/2010/main"/>
                        </a:ext>
                      </a:extLst>
                    </a:blip>
                    <a:stretch>
                      <a:fillRect/>
                    </a:stretch>
                  </pic:blipFill>
                  <pic:spPr>
                    <a:xfrm>
                      <a:off x="0" y="0"/>
                      <a:ext cx="5350253" cy="3786010"/>
                    </a:xfrm>
                    <a:prstGeom prst="rect">
                      <a:avLst/>
                    </a:prstGeom>
                  </pic:spPr>
                </pic:pic>
              </a:graphicData>
            </a:graphic>
          </wp:inline>
        </w:drawing>
      </w:r>
    </w:p>
    <w:p w14:paraId="31D591EB" w14:textId="3104FE05" w:rsidR="00054437" w:rsidRPr="000549B1" w:rsidRDefault="004B3C16" w:rsidP="000549B1">
      <w:pPr>
        <w:pStyle w:val="aff8"/>
        <w:rPr>
          <w:color w:val="auto"/>
        </w:rPr>
      </w:pPr>
      <w:bookmarkStart w:id="102" w:name="_Ref215238079"/>
      <w:r w:rsidRPr="000549B1">
        <w:rPr>
          <w:rFonts w:hint="eastAsia"/>
          <w:color w:val="auto"/>
        </w:rPr>
        <w:t>图</w:t>
      </w:r>
      <w:r w:rsidR="00F1314B">
        <w:rPr>
          <w:color w:val="auto"/>
        </w:rPr>
        <w:fldChar w:fldCharType="begin"/>
      </w:r>
      <w:r w:rsidR="00F1314B">
        <w:rPr>
          <w:color w:val="auto"/>
        </w:rPr>
        <w:instrText xml:space="preserve"> </w:instrText>
      </w:r>
      <w:r w:rsidR="00F1314B">
        <w:rPr>
          <w:rFonts w:hint="eastAsia"/>
          <w:color w:val="auto"/>
        </w:rPr>
        <w:instrText>STYLEREF 2 \s</w:instrText>
      </w:r>
      <w:r w:rsidR="00F1314B">
        <w:rPr>
          <w:color w:val="auto"/>
        </w:rPr>
        <w:instrText xml:space="preserve"> </w:instrText>
      </w:r>
      <w:r w:rsidR="00F1314B">
        <w:rPr>
          <w:color w:val="auto"/>
        </w:rPr>
        <w:fldChar w:fldCharType="separate"/>
      </w:r>
      <w:r w:rsidR="00F32CCA">
        <w:rPr>
          <w:noProof/>
          <w:color w:val="auto"/>
        </w:rPr>
        <w:t>1.5</w:t>
      </w:r>
      <w:r w:rsidR="00F1314B">
        <w:rPr>
          <w:color w:val="auto"/>
        </w:rPr>
        <w:fldChar w:fldCharType="end"/>
      </w:r>
      <w:r w:rsidR="00F1314B">
        <w:rPr>
          <w:color w:val="auto"/>
        </w:rPr>
        <w:noBreakHyphen/>
      </w:r>
      <w:r w:rsidR="00F1314B">
        <w:rPr>
          <w:color w:val="auto"/>
        </w:rPr>
        <w:fldChar w:fldCharType="begin"/>
      </w:r>
      <w:r w:rsidR="00F1314B">
        <w:rPr>
          <w:color w:val="auto"/>
        </w:rPr>
        <w:instrText xml:space="preserve"> </w:instrText>
      </w:r>
      <w:r w:rsidR="00F1314B">
        <w:rPr>
          <w:rFonts w:hint="eastAsia"/>
          <w:color w:val="auto"/>
        </w:rPr>
        <w:instrText xml:space="preserve">SEQ </w:instrText>
      </w:r>
      <w:r w:rsidR="00F1314B">
        <w:rPr>
          <w:rFonts w:hint="eastAsia"/>
          <w:color w:val="auto"/>
        </w:rPr>
        <w:instrText>图</w:instrText>
      </w:r>
      <w:r w:rsidR="00F1314B">
        <w:rPr>
          <w:rFonts w:hint="eastAsia"/>
          <w:color w:val="auto"/>
        </w:rPr>
        <w:instrText xml:space="preserve"> \* ARABIC \s 2</w:instrText>
      </w:r>
      <w:r w:rsidR="00F1314B">
        <w:rPr>
          <w:color w:val="auto"/>
        </w:rPr>
        <w:instrText xml:space="preserve"> </w:instrText>
      </w:r>
      <w:r w:rsidR="00F1314B">
        <w:rPr>
          <w:color w:val="auto"/>
        </w:rPr>
        <w:fldChar w:fldCharType="separate"/>
      </w:r>
      <w:r w:rsidR="00F32CCA">
        <w:rPr>
          <w:noProof/>
          <w:color w:val="auto"/>
        </w:rPr>
        <w:t>2</w:t>
      </w:r>
      <w:r w:rsidR="00F1314B">
        <w:rPr>
          <w:color w:val="auto"/>
        </w:rPr>
        <w:fldChar w:fldCharType="end"/>
      </w:r>
      <w:bookmarkEnd w:id="102"/>
      <w:r w:rsidRPr="000549B1">
        <w:rPr>
          <w:rFonts w:hint="eastAsia"/>
          <w:color w:val="auto"/>
        </w:rPr>
        <w:t>沙珠玉河流域与青海省生态功能区划位置关系图</w:t>
      </w:r>
    </w:p>
    <w:p w14:paraId="2181602F" w14:textId="77777777" w:rsidR="00054437" w:rsidRPr="000549B1" w:rsidRDefault="00000000">
      <w:pPr>
        <w:pStyle w:val="3"/>
      </w:pPr>
      <w:bookmarkStart w:id="103" w:name="_Toc216106994"/>
      <w:r w:rsidRPr="000549B1">
        <w:rPr>
          <w:rFonts w:hint="eastAsia"/>
        </w:rPr>
        <w:t>水功能区划</w:t>
      </w:r>
      <w:bookmarkEnd w:id="103"/>
    </w:p>
    <w:p w14:paraId="786FE095" w14:textId="77777777" w:rsidR="00054437" w:rsidRPr="000549B1" w:rsidRDefault="00000000">
      <w:pPr>
        <w:pStyle w:val="x"/>
      </w:pPr>
      <w:r w:rsidRPr="000549B1">
        <w:rPr>
          <w:szCs w:val="24"/>
        </w:rPr>
        <w:t>根据《青海省水功能区划（</w:t>
      </w:r>
      <w:r w:rsidRPr="000549B1">
        <w:rPr>
          <w:szCs w:val="24"/>
        </w:rPr>
        <w:t>2015-2020</w:t>
      </w:r>
      <w:r w:rsidRPr="000549B1">
        <w:rPr>
          <w:szCs w:val="24"/>
        </w:rPr>
        <w:t>年）》，沙珠玉河划分的一级水功能区为沙珠玉共和开发利用区，对应二级水功能区为沙珠玉共和农业用水区，起止断面为源头至达连海湖，水质目标为</w:t>
      </w:r>
      <w:r w:rsidRPr="000549B1">
        <w:rPr>
          <w:szCs w:val="24"/>
        </w:rPr>
        <w:t>Ⅲ</w:t>
      </w:r>
      <w:r w:rsidRPr="000549B1">
        <w:rPr>
          <w:szCs w:val="24"/>
        </w:rPr>
        <w:t>类。</w:t>
      </w:r>
    </w:p>
    <w:p w14:paraId="14D94EDE" w14:textId="77777777" w:rsidR="00054437" w:rsidRPr="000549B1" w:rsidRDefault="00000000">
      <w:pPr>
        <w:pStyle w:val="2"/>
        <w:spacing w:before="156" w:after="156"/>
        <w:rPr>
          <w:rFonts w:ascii="Times New Roman" w:hAnsi="Times New Roman"/>
        </w:rPr>
      </w:pPr>
      <w:bookmarkStart w:id="104" w:name="_Toc216106995"/>
      <w:r w:rsidRPr="000549B1">
        <w:rPr>
          <w:rFonts w:ascii="Times New Roman" w:hAnsi="Times New Roman"/>
        </w:rPr>
        <w:t>评价标准</w:t>
      </w:r>
      <w:bookmarkEnd w:id="104"/>
    </w:p>
    <w:p w14:paraId="4F66EA26" w14:textId="77777777" w:rsidR="00054437" w:rsidRPr="000549B1" w:rsidRDefault="00000000">
      <w:pPr>
        <w:pStyle w:val="x"/>
      </w:pPr>
      <w:r w:rsidRPr="000549B1">
        <w:t>地表水环境质量评价标准执行《地表水环境质量标准》（</w:t>
      </w:r>
      <w:r w:rsidRPr="000549B1">
        <w:t>GB3838-2002</w:t>
      </w:r>
      <w:r w:rsidRPr="000549B1">
        <w:t>）。</w:t>
      </w:r>
    </w:p>
    <w:p w14:paraId="3A668E3E" w14:textId="77777777" w:rsidR="00054437" w:rsidRPr="000549B1" w:rsidRDefault="00000000">
      <w:pPr>
        <w:pStyle w:val="x"/>
      </w:pPr>
      <w:r w:rsidRPr="000549B1">
        <w:t>地下水环境质量目标参照地表水水质目标，执行《地下水质量标准》（</w:t>
      </w:r>
      <w:r w:rsidRPr="000549B1">
        <w:t>GB/T14848-2017</w:t>
      </w:r>
      <w:r w:rsidRPr="000549B1">
        <w:t>）相应标准。</w:t>
      </w:r>
    </w:p>
    <w:p w14:paraId="186F792B" w14:textId="77777777" w:rsidR="00054437" w:rsidRPr="000549B1" w:rsidRDefault="00000000">
      <w:pPr>
        <w:pStyle w:val="x"/>
      </w:pPr>
      <w:r w:rsidRPr="000549B1">
        <w:t>土壤环境质量根据土地利用类型分别执行《土壤环境质量农用地土壤污染风险管控标准（试行）》（</w:t>
      </w:r>
      <w:r w:rsidRPr="000549B1">
        <w:t>GB15618-2018</w:t>
      </w:r>
      <w:r w:rsidRPr="000549B1">
        <w:t>）和《土壤环境质量建设用地土壤污染风险管控标准（试行）》（</w:t>
      </w:r>
      <w:r w:rsidRPr="000549B1">
        <w:t>GB36600-2018</w:t>
      </w:r>
      <w:r w:rsidRPr="000549B1">
        <w:t>）。</w:t>
      </w:r>
    </w:p>
    <w:p w14:paraId="5CA08007" w14:textId="77777777" w:rsidR="00054437" w:rsidRPr="000549B1" w:rsidRDefault="00000000">
      <w:pPr>
        <w:pStyle w:val="x"/>
      </w:pPr>
      <w:r w:rsidRPr="000549B1">
        <w:t>大气环境质量根据所在区域环境功能区划分别执行《环境空气质量标准》（</w:t>
      </w:r>
      <w:r w:rsidRPr="000549B1">
        <w:t>GB3095-2012</w:t>
      </w:r>
      <w:r w:rsidRPr="000549B1">
        <w:t>）相应标准。</w:t>
      </w:r>
    </w:p>
    <w:p w14:paraId="6270BEDF" w14:textId="77777777" w:rsidR="00054437" w:rsidRPr="000549B1" w:rsidRDefault="00000000">
      <w:pPr>
        <w:pStyle w:val="x"/>
      </w:pPr>
      <w:r w:rsidRPr="000549B1">
        <w:t>声环境质量根据所在区域环境功能区划分别执行《声环境质量标准》（</w:t>
      </w:r>
      <w:r w:rsidRPr="000549B1">
        <w:t>GB3096-2008</w:t>
      </w:r>
      <w:r w:rsidRPr="000549B1">
        <w:t>）相应标准。</w:t>
      </w:r>
    </w:p>
    <w:p w14:paraId="551D4755" w14:textId="31F7AB57" w:rsidR="00054437" w:rsidRPr="000549B1" w:rsidRDefault="00000000">
      <w:pPr>
        <w:pStyle w:val="2"/>
        <w:rPr>
          <w:rFonts w:ascii="Times New Roman" w:hAnsi="Times New Roman"/>
        </w:rPr>
      </w:pPr>
      <w:bookmarkStart w:id="105" w:name="_Toc216106996"/>
      <w:r w:rsidRPr="000549B1">
        <w:rPr>
          <w:rFonts w:ascii="Times New Roman" w:hAnsi="Times New Roman" w:hint="eastAsia"/>
        </w:rPr>
        <w:t>环境保护目标及环境敏感区</w:t>
      </w:r>
      <w:r w:rsidRPr="000549B1">
        <w:rPr>
          <w:rFonts w:ascii="Times New Roman" w:hAnsi="Times New Roman" w:hint="eastAsia"/>
        </w:rPr>
        <w:t>-</w:t>
      </w:r>
      <w:bookmarkEnd w:id="105"/>
    </w:p>
    <w:p w14:paraId="588A7CD1" w14:textId="77777777" w:rsidR="00054437" w:rsidRPr="000549B1" w:rsidRDefault="00000000">
      <w:pPr>
        <w:pStyle w:val="3"/>
      </w:pPr>
      <w:bookmarkStart w:id="106" w:name="_Toc216106997"/>
      <w:r w:rsidRPr="000549B1">
        <w:rPr>
          <w:rFonts w:hint="eastAsia"/>
        </w:rPr>
        <w:t>环境保护目标</w:t>
      </w:r>
      <w:bookmarkEnd w:id="106"/>
    </w:p>
    <w:p w14:paraId="17E844A3" w14:textId="270967A4" w:rsidR="00054437" w:rsidRPr="000549B1" w:rsidRDefault="00000000" w:rsidP="000549B1">
      <w:pPr>
        <w:spacing w:line="360" w:lineRule="auto"/>
        <w:ind w:firstLineChars="200" w:firstLine="480"/>
        <w:rPr>
          <w:sz w:val="24"/>
          <w:szCs w:val="24"/>
        </w:rPr>
      </w:pPr>
      <w:r w:rsidRPr="000549B1">
        <w:rPr>
          <w:rFonts w:hint="eastAsia"/>
          <w:sz w:val="24"/>
          <w:szCs w:val="24"/>
        </w:rPr>
        <w:t>根据沙珠玉河流域的主体功能、生态功能、水功能、水土保持区划等功能区划定位，以及环境敏感区的分布和保护要求，流域生态环境分区管控要求等因素，依据国家和地方法律法规政策文件，针对流域自然环境特点和社会经济背景，确定环境保护目标。</w:t>
      </w:r>
    </w:p>
    <w:p w14:paraId="70FE2859" w14:textId="2AE90CA6" w:rsidR="00054437" w:rsidRPr="000549B1" w:rsidRDefault="00000000" w:rsidP="000549B1">
      <w:pPr>
        <w:spacing w:line="360" w:lineRule="auto"/>
        <w:jc w:val="center"/>
        <w:rPr>
          <w:b/>
          <w:bCs/>
          <w:sz w:val="24"/>
          <w:szCs w:val="24"/>
        </w:rPr>
      </w:pPr>
      <w:r w:rsidRPr="000549B1">
        <w:rPr>
          <w:rFonts w:hint="eastAsia"/>
          <w:b/>
          <w:bCs/>
          <w:sz w:val="24"/>
          <w:szCs w:val="24"/>
        </w:rPr>
        <w:t>表</w:t>
      </w:r>
      <w:r w:rsidR="00F1314B">
        <w:rPr>
          <w:b/>
          <w:bCs/>
          <w:sz w:val="24"/>
          <w:szCs w:val="24"/>
        </w:rPr>
        <w:fldChar w:fldCharType="begin"/>
      </w:r>
      <w:r w:rsidR="00F1314B">
        <w:rPr>
          <w:b/>
          <w:bCs/>
          <w:sz w:val="24"/>
          <w:szCs w:val="24"/>
        </w:rPr>
        <w:instrText xml:space="preserve"> </w:instrText>
      </w:r>
      <w:r w:rsidR="00F1314B">
        <w:rPr>
          <w:rFonts w:hint="eastAsia"/>
          <w:b/>
          <w:bCs/>
          <w:sz w:val="24"/>
          <w:szCs w:val="24"/>
        </w:rPr>
        <w:instrText>STYLEREF 2 \s</w:instrText>
      </w:r>
      <w:r w:rsidR="00F1314B">
        <w:rPr>
          <w:b/>
          <w:bCs/>
          <w:sz w:val="24"/>
          <w:szCs w:val="24"/>
        </w:rPr>
        <w:instrText xml:space="preserve"> </w:instrText>
      </w:r>
      <w:r w:rsidR="00F1314B">
        <w:rPr>
          <w:b/>
          <w:bCs/>
          <w:sz w:val="24"/>
          <w:szCs w:val="24"/>
        </w:rPr>
        <w:fldChar w:fldCharType="separate"/>
      </w:r>
      <w:r w:rsidR="00F32CCA">
        <w:rPr>
          <w:b/>
          <w:bCs/>
          <w:noProof/>
          <w:sz w:val="24"/>
          <w:szCs w:val="24"/>
        </w:rPr>
        <w:t>1.7</w:t>
      </w:r>
      <w:r w:rsidR="00F1314B">
        <w:rPr>
          <w:b/>
          <w:bCs/>
          <w:sz w:val="24"/>
          <w:szCs w:val="24"/>
        </w:rPr>
        <w:fldChar w:fldCharType="end"/>
      </w:r>
      <w:r w:rsidR="00F1314B">
        <w:rPr>
          <w:b/>
          <w:bCs/>
          <w:sz w:val="24"/>
          <w:szCs w:val="24"/>
        </w:rPr>
        <w:noBreakHyphen/>
      </w:r>
      <w:r w:rsidR="00F1314B">
        <w:rPr>
          <w:b/>
          <w:bCs/>
          <w:sz w:val="24"/>
          <w:szCs w:val="24"/>
        </w:rPr>
        <w:fldChar w:fldCharType="begin"/>
      </w:r>
      <w:r w:rsidR="00F1314B">
        <w:rPr>
          <w:b/>
          <w:bCs/>
          <w:sz w:val="24"/>
          <w:szCs w:val="24"/>
        </w:rPr>
        <w:instrText xml:space="preserve"> </w:instrText>
      </w:r>
      <w:r w:rsidR="00F1314B">
        <w:rPr>
          <w:rFonts w:hint="eastAsia"/>
          <w:b/>
          <w:bCs/>
          <w:sz w:val="24"/>
          <w:szCs w:val="24"/>
        </w:rPr>
        <w:instrText xml:space="preserve">SEQ </w:instrText>
      </w:r>
      <w:r w:rsidR="00F1314B">
        <w:rPr>
          <w:rFonts w:hint="eastAsia"/>
          <w:b/>
          <w:bCs/>
          <w:sz w:val="24"/>
          <w:szCs w:val="24"/>
        </w:rPr>
        <w:instrText>图</w:instrText>
      </w:r>
      <w:r w:rsidR="00F1314B">
        <w:rPr>
          <w:rFonts w:hint="eastAsia"/>
          <w:b/>
          <w:bCs/>
          <w:sz w:val="24"/>
          <w:szCs w:val="24"/>
        </w:rPr>
        <w:instrText xml:space="preserve"> \* ARABIC \s 2</w:instrText>
      </w:r>
      <w:r w:rsidR="00F1314B">
        <w:rPr>
          <w:b/>
          <w:bCs/>
          <w:sz w:val="24"/>
          <w:szCs w:val="24"/>
        </w:rPr>
        <w:instrText xml:space="preserve"> </w:instrText>
      </w:r>
      <w:r w:rsidR="00F1314B">
        <w:rPr>
          <w:b/>
          <w:bCs/>
          <w:sz w:val="24"/>
          <w:szCs w:val="24"/>
        </w:rPr>
        <w:fldChar w:fldCharType="separate"/>
      </w:r>
      <w:r w:rsidR="00F32CCA">
        <w:rPr>
          <w:b/>
          <w:bCs/>
          <w:noProof/>
          <w:sz w:val="24"/>
          <w:szCs w:val="24"/>
        </w:rPr>
        <w:t>1</w:t>
      </w:r>
      <w:r w:rsidR="00F1314B">
        <w:rPr>
          <w:b/>
          <w:bCs/>
          <w:sz w:val="24"/>
          <w:szCs w:val="24"/>
        </w:rPr>
        <w:fldChar w:fldCharType="end"/>
      </w:r>
      <w:r w:rsidRPr="000549B1">
        <w:rPr>
          <w:rFonts w:hint="eastAsia"/>
          <w:b/>
          <w:bCs/>
          <w:sz w:val="24"/>
          <w:szCs w:val="24"/>
        </w:rPr>
        <w:t>沙珠玉河流域环境保护目标清单</w:t>
      </w:r>
    </w:p>
    <w:tbl>
      <w:tblPr>
        <w:tblW w:w="95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3"/>
        <w:gridCol w:w="1584"/>
        <w:gridCol w:w="6400"/>
      </w:tblGrid>
      <w:tr w:rsidR="000549B1" w:rsidRPr="000549B1" w14:paraId="71CE5DA1" w14:textId="77777777" w:rsidTr="004F1AD2">
        <w:trPr>
          <w:trHeight w:val="385"/>
          <w:tblHeader/>
          <w:jc w:val="center"/>
        </w:trPr>
        <w:tc>
          <w:tcPr>
            <w:tcW w:w="3167" w:type="dxa"/>
            <w:gridSpan w:val="2"/>
            <w:tcMar>
              <w:left w:w="28" w:type="dxa"/>
              <w:right w:w="28" w:type="dxa"/>
            </w:tcMar>
            <w:vAlign w:val="center"/>
          </w:tcPr>
          <w:p w14:paraId="7DF39083" w14:textId="77777777" w:rsidR="004F1AD2" w:rsidRPr="000549B1" w:rsidRDefault="004F1AD2" w:rsidP="00A12321">
            <w:pPr>
              <w:snapToGrid w:val="0"/>
              <w:spacing w:line="320" w:lineRule="exact"/>
              <w:jc w:val="center"/>
              <w:rPr>
                <w:sz w:val="18"/>
                <w:szCs w:val="18"/>
              </w:rPr>
            </w:pPr>
            <w:r w:rsidRPr="000549B1">
              <w:rPr>
                <w:sz w:val="18"/>
                <w:szCs w:val="18"/>
              </w:rPr>
              <w:t>环境要素</w:t>
            </w:r>
          </w:p>
        </w:tc>
        <w:tc>
          <w:tcPr>
            <w:tcW w:w="6400" w:type="dxa"/>
            <w:tcMar>
              <w:left w:w="28" w:type="dxa"/>
              <w:right w:w="28" w:type="dxa"/>
            </w:tcMar>
            <w:vAlign w:val="center"/>
          </w:tcPr>
          <w:p w14:paraId="03FBE6B5" w14:textId="77777777" w:rsidR="004F1AD2" w:rsidRPr="000549B1" w:rsidRDefault="004F1AD2" w:rsidP="00A12321">
            <w:pPr>
              <w:snapToGrid w:val="0"/>
              <w:spacing w:line="320" w:lineRule="exact"/>
              <w:jc w:val="center"/>
              <w:rPr>
                <w:sz w:val="18"/>
                <w:szCs w:val="18"/>
              </w:rPr>
            </w:pPr>
            <w:r w:rsidRPr="000549B1">
              <w:rPr>
                <w:sz w:val="18"/>
                <w:szCs w:val="18"/>
              </w:rPr>
              <w:t>环境功能保护目标</w:t>
            </w:r>
          </w:p>
        </w:tc>
      </w:tr>
      <w:tr w:rsidR="000549B1" w:rsidRPr="000549B1" w14:paraId="4D596186" w14:textId="77777777" w:rsidTr="004F1AD2">
        <w:trPr>
          <w:trHeight w:val="385"/>
          <w:tblHeader/>
          <w:jc w:val="center"/>
        </w:trPr>
        <w:tc>
          <w:tcPr>
            <w:tcW w:w="3167" w:type="dxa"/>
            <w:gridSpan w:val="2"/>
            <w:tcMar>
              <w:left w:w="28" w:type="dxa"/>
              <w:right w:w="28" w:type="dxa"/>
            </w:tcMar>
            <w:vAlign w:val="center"/>
          </w:tcPr>
          <w:p w14:paraId="14EAEC51" w14:textId="77777777" w:rsidR="004F1AD2" w:rsidRPr="000549B1" w:rsidRDefault="004F1AD2" w:rsidP="00A12321">
            <w:pPr>
              <w:snapToGrid w:val="0"/>
              <w:spacing w:line="320" w:lineRule="exact"/>
              <w:jc w:val="center"/>
              <w:rPr>
                <w:sz w:val="18"/>
                <w:szCs w:val="18"/>
              </w:rPr>
            </w:pPr>
            <w:r w:rsidRPr="000549B1">
              <w:rPr>
                <w:kern w:val="0"/>
                <w:sz w:val="18"/>
                <w:szCs w:val="18"/>
              </w:rPr>
              <w:t>水资源</w:t>
            </w:r>
          </w:p>
        </w:tc>
        <w:tc>
          <w:tcPr>
            <w:tcW w:w="6400" w:type="dxa"/>
            <w:tcMar>
              <w:left w:w="28" w:type="dxa"/>
              <w:right w:w="28" w:type="dxa"/>
            </w:tcMar>
            <w:vAlign w:val="center"/>
          </w:tcPr>
          <w:p w14:paraId="13789899" w14:textId="77777777" w:rsidR="004F1AD2" w:rsidRPr="000549B1" w:rsidRDefault="004F1AD2" w:rsidP="004F1AD2">
            <w:pPr>
              <w:widowControl/>
              <w:numPr>
                <w:ilvl w:val="0"/>
                <w:numId w:val="11"/>
              </w:numPr>
              <w:tabs>
                <w:tab w:val="left" w:pos="420"/>
              </w:tabs>
              <w:snapToGrid w:val="0"/>
              <w:spacing w:line="320" w:lineRule="exact"/>
              <w:rPr>
                <w:sz w:val="18"/>
                <w:szCs w:val="18"/>
              </w:rPr>
            </w:pPr>
            <w:r w:rsidRPr="000549B1">
              <w:t>优化水资源配置，提高水资源利用效率，促进水资源可持续利用</w:t>
            </w:r>
          </w:p>
          <w:p w14:paraId="1482EFC4" w14:textId="77777777" w:rsidR="004F1AD2" w:rsidRPr="000549B1" w:rsidRDefault="004F1AD2" w:rsidP="004F1AD2">
            <w:pPr>
              <w:widowControl/>
              <w:numPr>
                <w:ilvl w:val="0"/>
                <w:numId w:val="11"/>
              </w:numPr>
              <w:tabs>
                <w:tab w:val="left" w:pos="420"/>
              </w:tabs>
              <w:snapToGrid w:val="0"/>
              <w:spacing w:line="320" w:lineRule="exact"/>
              <w:rPr>
                <w:sz w:val="18"/>
                <w:szCs w:val="18"/>
              </w:rPr>
            </w:pPr>
            <w:r w:rsidRPr="000549B1">
              <w:t>解决灌溉供水水源不足，提高灌溉保证率，确保灌区粮食安全</w:t>
            </w:r>
          </w:p>
          <w:p w14:paraId="7E34DEEF" w14:textId="12934F36" w:rsidR="004F1AD2" w:rsidRPr="000549B1" w:rsidRDefault="004F1AD2" w:rsidP="004F1AD2">
            <w:pPr>
              <w:widowControl/>
              <w:numPr>
                <w:ilvl w:val="0"/>
                <w:numId w:val="11"/>
              </w:numPr>
              <w:tabs>
                <w:tab w:val="left" w:pos="420"/>
              </w:tabs>
              <w:snapToGrid w:val="0"/>
              <w:spacing w:line="320" w:lineRule="exact"/>
              <w:rPr>
                <w:sz w:val="18"/>
                <w:szCs w:val="18"/>
              </w:rPr>
            </w:pPr>
            <w:r w:rsidRPr="000549B1">
              <w:t>控制地下水超采，维持地下水采补平衡</w:t>
            </w:r>
            <w:r w:rsidRPr="000549B1">
              <w:sym w:font="Symbol" w:char="F0D8"/>
            </w:r>
            <w:r w:rsidRPr="000549B1">
              <w:t>新建水库及引水工程，提高供水能力，灌溉水利用系数提高到</w:t>
            </w:r>
            <w:r w:rsidRPr="000549B1">
              <w:t>0.6</w:t>
            </w:r>
            <w:r w:rsidRPr="000549B1">
              <w:t>以上</w:t>
            </w:r>
          </w:p>
        </w:tc>
      </w:tr>
      <w:tr w:rsidR="000549B1" w:rsidRPr="000549B1" w14:paraId="63569953" w14:textId="77777777" w:rsidTr="004F1AD2">
        <w:trPr>
          <w:trHeight w:val="482"/>
          <w:tblHeader/>
          <w:jc w:val="center"/>
        </w:trPr>
        <w:tc>
          <w:tcPr>
            <w:tcW w:w="3167" w:type="dxa"/>
            <w:gridSpan w:val="2"/>
            <w:tcMar>
              <w:left w:w="28" w:type="dxa"/>
              <w:right w:w="28" w:type="dxa"/>
            </w:tcMar>
            <w:vAlign w:val="center"/>
          </w:tcPr>
          <w:p w14:paraId="78FF1E54" w14:textId="77777777" w:rsidR="004F1AD2" w:rsidRPr="000549B1" w:rsidRDefault="004F1AD2" w:rsidP="00A12321">
            <w:pPr>
              <w:snapToGrid w:val="0"/>
              <w:spacing w:line="320" w:lineRule="exact"/>
              <w:jc w:val="center"/>
              <w:rPr>
                <w:kern w:val="0"/>
                <w:sz w:val="18"/>
                <w:szCs w:val="18"/>
              </w:rPr>
            </w:pPr>
            <w:r w:rsidRPr="000549B1">
              <w:rPr>
                <w:kern w:val="0"/>
                <w:sz w:val="18"/>
                <w:szCs w:val="18"/>
              </w:rPr>
              <w:t>地表水环境</w:t>
            </w:r>
          </w:p>
        </w:tc>
        <w:tc>
          <w:tcPr>
            <w:tcW w:w="6400" w:type="dxa"/>
            <w:tcMar>
              <w:left w:w="28" w:type="dxa"/>
              <w:right w:w="28" w:type="dxa"/>
            </w:tcMar>
            <w:vAlign w:val="center"/>
          </w:tcPr>
          <w:p w14:paraId="6E3B75BF" w14:textId="77777777" w:rsidR="004F1AD2" w:rsidRPr="000549B1" w:rsidRDefault="004F1AD2" w:rsidP="004F1AD2">
            <w:pPr>
              <w:widowControl/>
              <w:numPr>
                <w:ilvl w:val="0"/>
                <w:numId w:val="11"/>
              </w:numPr>
              <w:tabs>
                <w:tab w:val="left" w:pos="420"/>
              </w:tabs>
              <w:snapToGrid w:val="0"/>
              <w:spacing w:line="320" w:lineRule="exact"/>
              <w:rPr>
                <w:kern w:val="0"/>
                <w:sz w:val="18"/>
                <w:szCs w:val="18"/>
              </w:rPr>
            </w:pPr>
            <w:r w:rsidRPr="000549B1">
              <w:t>控制水污染，改善水环境，达到水功能区水质要求</w:t>
            </w:r>
          </w:p>
          <w:p w14:paraId="7A211CB1" w14:textId="77777777" w:rsidR="004F1AD2" w:rsidRPr="000549B1" w:rsidRDefault="004F1AD2" w:rsidP="004F1AD2">
            <w:pPr>
              <w:widowControl/>
              <w:numPr>
                <w:ilvl w:val="0"/>
                <w:numId w:val="11"/>
              </w:numPr>
              <w:tabs>
                <w:tab w:val="left" w:pos="420"/>
              </w:tabs>
              <w:snapToGrid w:val="0"/>
              <w:spacing w:line="320" w:lineRule="exact"/>
              <w:rPr>
                <w:kern w:val="0"/>
                <w:sz w:val="18"/>
                <w:szCs w:val="18"/>
              </w:rPr>
            </w:pPr>
            <w:r w:rsidRPr="000549B1">
              <w:t>保障城镇饮用水水源地水质安全，水功能区水质和饮用水水源地水质率</w:t>
            </w:r>
            <w:r w:rsidRPr="000549B1">
              <w:t>100%</w:t>
            </w:r>
          </w:p>
        </w:tc>
      </w:tr>
      <w:tr w:rsidR="000549B1" w:rsidRPr="000549B1" w14:paraId="14CCF93D" w14:textId="77777777" w:rsidTr="004F1AD2">
        <w:trPr>
          <w:trHeight w:val="1547"/>
          <w:tblHeader/>
          <w:jc w:val="center"/>
        </w:trPr>
        <w:tc>
          <w:tcPr>
            <w:tcW w:w="1583" w:type="dxa"/>
            <w:vMerge w:val="restart"/>
            <w:tcMar>
              <w:left w:w="28" w:type="dxa"/>
              <w:right w:w="28" w:type="dxa"/>
            </w:tcMar>
            <w:vAlign w:val="center"/>
          </w:tcPr>
          <w:p w14:paraId="0C44FC11" w14:textId="77777777" w:rsidR="004F1AD2" w:rsidRPr="000549B1" w:rsidRDefault="004F1AD2" w:rsidP="00A12321">
            <w:pPr>
              <w:snapToGrid w:val="0"/>
              <w:spacing w:line="320" w:lineRule="exact"/>
              <w:jc w:val="center"/>
              <w:rPr>
                <w:kern w:val="0"/>
                <w:sz w:val="18"/>
                <w:szCs w:val="18"/>
              </w:rPr>
            </w:pPr>
            <w:r w:rsidRPr="000549B1">
              <w:rPr>
                <w:kern w:val="0"/>
                <w:sz w:val="18"/>
                <w:szCs w:val="18"/>
              </w:rPr>
              <w:t>生态环境</w:t>
            </w:r>
          </w:p>
        </w:tc>
        <w:tc>
          <w:tcPr>
            <w:tcW w:w="1584" w:type="dxa"/>
            <w:vAlign w:val="center"/>
          </w:tcPr>
          <w:p w14:paraId="4D86D5C4" w14:textId="77777777" w:rsidR="004F1AD2" w:rsidRPr="000549B1" w:rsidRDefault="004F1AD2" w:rsidP="00A12321">
            <w:pPr>
              <w:snapToGrid w:val="0"/>
              <w:spacing w:line="320" w:lineRule="exact"/>
              <w:jc w:val="center"/>
              <w:rPr>
                <w:kern w:val="0"/>
                <w:sz w:val="18"/>
                <w:szCs w:val="18"/>
              </w:rPr>
            </w:pPr>
            <w:r w:rsidRPr="000549B1">
              <w:rPr>
                <w:kern w:val="0"/>
                <w:sz w:val="18"/>
                <w:szCs w:val="18"/>
              </w:rPr>
              <w:t>水生生态</w:t>
            </w:r>
          </w:p>
        </w:tc>
        <w:tc>
          <w:tcPr>
            <w:tcW w:w="6400" w:type="dxa"/>
            <w:tcMar>
              <w:left w:w="28" w:type="dxa"/>
              <w:right w:w="28" w:type="dxa"/>
            </w:tcMar>
            <w:vAlign w:val="center"/>
          </w:tcPr>
          <w:p w14:paraId="48C3A5E1" w14:textId="77777777" w:rsidR="004F1AD2" w:rsidRPr="000549B1" w:rsidRDefault="004F1AD2" w:rsidP="004F1AD2">
            <w:pPr>
              <w:widowControl/>
              <w:numPr>
                <w:ilvl w:val="0"/>
                <w:numId w:val="11"/>
              </w:numPr>
              <w:tabs>
                <w:tab w:val="left" w:pos="420"/>
              </w:tabs>
              <w:snapToGrid w:val="0"/>
              <w:spacing w:line="320" w:lineRule="exact"/>
              <w:rPr>
                <w:kern w:val="0"/>
                <w:sz w:val="18"/>
                <w:szCs w:val="18"/>
              </w:rPr>
            </w:pPr>
            <w:r w:rsidRPr="000549B1">
              <w:t>保障重要河湖生态需水，改善水生态环境</w:t>
            </w:r>
          </w:p>
          <w:p w14:paraId="14BF953D" w14:textId="77777777" w:rsidR="004F1AD2" w:rsidRPr="000549B1" w:rsidRDefault="004F1AD2" w:rsidP="004F1AD2">
            <w:pPr>
              <w:widowControl/>
              <w:numPr>
                <w:ilvl w:val="0"/>
                <w:numId w:val="11"/>
              </w:numPr>
              <w:tabs>
                <w:tab w:val="left" w:pos="420"/>
              </w:tabs>
              <w:snapToGrid w:val="0"/>
              <w:spacing w:line="320" w:lineRule="exact"/>
            </w:pPr>
            <w:r w:rsidRPr="000549B1">
              <w:t>修复水生生物栖息地，重点保护濒危鱼类如花斑裸鲤和茶卡高原鳅的繁殖场和栖息地</w:t>
            </w:r>
          </w:p>
        </w:tc>
      </w:tr>
      <w:tr w:rsidR="000549B1" w:rsidRPr="000549B1" w14:paraId="4AB1EF28" w14:textId="77777777" w:rsidTr="004F1AD2">
        <w:trPr>
          <w:trHeight w:val="385"/>
          <w:tblHeader/>
          <w:jc w:val="center"/>
        </w:trPr>
        <w:tc>
          <w:tcPr>
            <w:tcW w:w="1583" w:type="dxa"/>
            <w:vMerge/>
            <w:tcMar>
              <w:left w:w="28" w:type="dxa"/>
              <w:right w:w="28" w:type="dxa"/>
            </w:tcMar>
            <w:vAlign w:val="center"/>
          </w:tcPr>
          <w:p w14:paraId="168255DB" w14:textId="77777777" w:rsidR="004F1AD2" w:rsidRPr="000549B1" w:rsidRDefault="004F1AD2" w:rsidP="00A12321">
            <w:pPr>
              <w:snapToGrid w:val="0"/>
              <w:spacing w:line="320" w:lineRule="exact"/>
              <w:jc w:val="center"/>
              <w:rPr>
                <w:kern w:val="0"/>
                <w:sz w:val="18"/>
                <w:szCs w:val="18"/>
              </w:rPr>
            </w:pPr>
          </w:p>
        </w:tc>
        <w:tc>
          <w:tcPr>
            <w:tcW w:w="1584" w:type="dxa"/>
            <w:vAlign w:val="center"/>
          </w:tcPr>
          <w:p w14:paraId="21246AFB" w14:textId="77777777" w:rsidR="004F1AD2" w:rsidRPr="000549B1" w:rsidRDefault="004F1AD2" w:rsidP="00A12321">
            <w:pPr>
              <w:snapToGrid w:val="0"/>
              <w:spacing w:line="320" w:lineRule="exact"/>
              <w:jc w:val="center"/>
              <w:rPr>
                <w:kern w:val="0"/>
                <w:sz w:val="18"/>
                <w:szCs w:val="18"/>
              </w:rPr>
            </w:pPr>
            <w:r w:rsidRPr="000549B1">
              <w:rPr>
                <w:kern w:val="0"/>
                <w:sz w:val="18"/>
                <w:szCs w:val="18"/>
              </w:rPr>
              <w:t>环境敏感区</w:t>
            </w:r>
          </w:p>
        </w:tc>
        <w:tc>
          <w:tcPr>
            <w:tcW w:w="6400" w:type="dxa"/>
            <w:tcMar>
              <w:left w:w="28" w:type="dxa"/>
              <w:right w:w="28" w:type="dxa"/>
            </w:tcMar>
            <w:vAlign w:val="center"/>
          </w:tcPr>
          <w:p w14:paraId="0D28F069" w14:textId="77777777" w:rsidR="004F1AD2" w:rsidRPr="000549B1" w:rsidRDefault="004F1AD2" w:rsidP="004F1AD2">
            <w:pPr>
              <w:widowControl/>
              <w:numPr>
                <w:ilvl w:val="0"/>
                <w:numId w:val="11"/>
              </w:numPr>
              <w:tabs>
                <w:tab w:val="left" w:pos="420"/>
              </w:tabs>
              <w:snapToGrid w:val="0"/>
              <w:spacing w:line="320" w:lineRule="exact"/>
              <w:rPr>
                <w:kern w:val="0"/>
                <w:sz w:val="18"/>
                <w:szCs w:val="18"/>
              </w:rPr>
            </w:pPr>
            <w:r w:rsidRPr="000549B1">
              <w:t>符合各相关环境敏感区的保护要求</w:t>
            </w:r>
          </w:p>
          <w:p w14:paraId="769B9BB9" w14:textId="77777777" w:rsidR="004F1AD2" w:rsidRPr="000549B1" w:rsidRDefault="004F1AD2" w:rsidP="004F1AD2">
            <w:pPr>
              <w:widowControl/>
              <w:numPr>
                <w:ilvl w:val="0"/>
                <w:numId w:val="11"/>
              </w:numPr>
              <w:tabs>
                <w:tab w:val="left" w:pos="420"/>
              </w:tabs>
              <w:snapToGrid w:val="0"/>
              <w:spacing w:line="320" w:lineRule="exact"/>
              <w:rPr>
                <w:kern w:val="0"/>
                <w:sz w:val="18"/>
                <w:szCs w:val="18"/>
              </w:rPr>
            </w:pPr>
            <w:r w:rsidRPr="000549B1">
              <w:t>重点保护青海湖等重要湖泊，改善生态环境</w:t>
            </w:r>
          </w:p>
        </w:tc>
      </w:tr>
      <w:tr w:rsidR="000549B1" w:rsidRPr="000549B1" w14:paraId="3313BC43" w14:textId="77777777" w:rsidTr="004F1AD2">
        <w:trPr>
          <w:trHeight w:val="385"/>
          <w:tblHeader/>
          <w:jc w:val="center"/>
        </w:trPr>
        <w:tc>
          <w:tcPr>
            <w:tcW w:w="1583" w:type="dxa"/>
            <w:vMerge/>
            <w:tcMar>
              <w:left w:w="28" w:type="dxa"/>
              <w:right w:w="28" w:type="dxa"/>
            </w:tcMar>
            <w:vAlign w:val="center"/>
          </w:tcPr>
          <w:p w14:paraId="2730C18D" w14:textId="77777777" w:rsidR="004F1AD2" w:rsidRPr="000549B1" w:rsidRDefault="004F1AD2" w:rsidP="00A12321">
            <w:pPr>
              <w:snapToGrid w:val="0"/>
              <w:spacing w:line="320" w:lineRule="exact"/>
              <w:jc w:val="center"/>
              <w:rPr>
                <w:kern w:val="0"/>
                <w:sz w:val="18"/>
                <w:szCs w:val="18"/>
              </w:rPr>
            </w:pPr>
          </w:p>
        </w:tc>
        <w:tc>
          <w:tcPr>
            <w:tcW w:w="1584" w:type="dxa"/>
            <w:vAlign w:val="center"/>
          </w:tcPr>
          <w:p w14:paraId="147E06E8" w14:textId="77777777" w:rsidR="004F1AD2" w:rsidRPr="000549B1" w:rsidRDefault="004F1AD2" w:rsidP="00A12321">
            <w:pPr>
              <w:snapToGrid w:val="0"/>
              <w:spacing w:line="320" w:lineRule="exact"/>
              <w:jc w:val="center"/>
              <w:rPr>
                <w:kern w:val="0"/>
                <w:sz w:val="18"/>
                <w:szCs w:val="18"/>
              </w:rPr>
            </w:pPr>
            <w:r w:rsidRPr="000549B1">
              <w:rPr>
                <w:kern w:val="0"/>
                <w:sz w:val="18"/>
                <w:szCs w:val="18"/>
              </w:rPr>
              <w:t>水土流失</w:t>
            </w:r>
          </w:p>
        </w:tc>
        <w:tc>
          <w:tcPr>
            <w:tcW w:w="6400" w:type="dxa"/>
            <w:tcMar>
              <w:left w:w="28" w:type="dxa"/>
              <w:right w:w="28" w:type="dxa"/>
            </w:tcMar>
            <w:vAlign w:val="center"/>
          </w:tcPr>
          <w:p w14:paraId="41DBAD1A" w14:textId="77777777" w:rsidR="004F1AD2" w:rsidRPr="000549B1" w:rsidRDefault="004F1AD2" w:rsidP="004F1AD2">
            <w:pPr>
              <w:widowControl/>
              <w:numPr>
                <w:ilvl w:val="0"/>
                <w:numId w:val="11"/>
              </w:numPr>
              <w:tabs>
                <w:tab w:val="left" w:pos="420"/>
              </w:tabs>
              <w:snapToGrid w:val="0"/>
              <w:spacing w:line="320" w:lineRule="exact"/>
            </w:pPr>
            <w:r w:rsidRPr="000549B1">
              <w:t>防治流域水土流失，综合防治面积</w:t>
            </w:r>
            <w:bookmarkStart w:id="107" w:name="OLE_LINK53"/>
            <w:r w:rsidRPr="000549B1">
              <w:t>860.40km</w:t>
            </w:r>
            <w:bookmarkEnd w:id="107"/>
            <w:r w:rsidRPr="000549B1">
              <w:rPr>
                <w:vertAlign w:val="superscript"/>
              </w:rPr>
              <w:t>2</w:t>
            </w:r>
          </w:p>
          <w:p w14:paraId="238C887A" w14:textId="77777777" w:rsidR="004F1AD2" w:rsidRPr="000549B1" w:rsidRDefault="004F1AD2" w:rsidP="004F1AD2">
            <w:pPr>
              <w:widowControl/>
              <w:numPr>
                <w:ilvl w:val="0"/>
                <w:numId w:val="11"/>
              </w:numPr>
              <w:tabs>
                <w:tab w:val="left" w:pos="420"/>
              </w:tabs>
              <w:snapToGrid w:val="0"/>
              <w:spacing w:line="320" w:lineRule="exact"/>
              <w:rPr>
                <w:kern w:val="0"/>
                <w:sz w:val="18"/>
                <w:szCs w:val="18"/>
              </w:rPr>
            </w:pPr>
            <w:r w:rsidRPr="000549B1">
              <w:t>提升水土保持率至</w:t>
            </w:r>
            <w:r w:rsidRPr="000549B1">
              <w:rPr>
                <w:rFonts w:hint="eastAsia"/>
              </w:rPr>
              <w:t>72.33</w:t>
            </w:r>
            <w:r w:rsidRPr="000549B1">
              <w:t>%</w:t>
            </w:r>
          </w:p>
          <w:p w14:paraId="615C757A" w14:textId="77777777" w:rsidR="004F1AD2" w:rsidRPr="000549B1" w:rsidRDefault="004F1AD2" w:rsidP="004F1AD2">
            <w:pPr>
              <w:widowControl/>
              <w:numPr>
                <w:ilvl w:val="0"/>
                <w:numId w:val="11"/>
              </w:numPr>
              <w:tabs>
                <w:tab w:val="left" w:pos="420"/>
              </w:tabs>
              <w:snapToGrid w:val="0"/>
              <w:spacing w:line="320" w:lineRule="exact"/>
              <w:rPr>
                <w:kern w:val="0"/>
                <w:sz w:val="18"/>
                <w:szCs w:val="18"/>
              </w:rPr>
            </w:pPr>
            <w:r w:rsidRPr="000549B1">
              <w:t>建立水土保持预防监督体系和动态监测网络，控制人为水土流失</w:t>
            </w:r>
          </w:p>
        </w:tc>
      </w:tr>
      <w:tr w:rsidR="000549B1" w:rsidRPr="000549B1" w14:paraId="78E98001" w14:textId="77777777" w:rsidTr="004F1AD2">
        <w:trPr>
          <w:trHeight w:val="758"/>
          <w:tblHeader/>
          <w:jc w:val="center"/>
        </w:trPr>
        <w:tc>
          <w:tcPr>
            <w:tcW w:w="3167" w:type="dxa"/>
            <w:gridSpan w:val="2"/>
            <w:tcMar>
              <w:left w:w="28" w:type="dxa"/>
              <w:right w:w="28" w:type="dxa"/>
            </w:tcMar>
            <w:vAlign w:val="center"/>
          </w:tcPr>
          <w:p w14:paraId="172A223F" w14:textId="77777777" w:rsidR="004F1AD2" w:rsidRPr="000549B1" w:rsidRDefault="004F1AD2" w:rsidP="00A12321">
            <w:pPr>
              <w:snapToGrid w:val="0"/>
              <w:spacing w:line="320" w:lineRule="exact"/>
              <w:jc w:val="center"/>
              <w:rPr>
                <w:kern w:val="0"/>
                <w:sz w:val="18"/>
                <w:szCs w:val="18"/>
              </w:rPr>
            </w:pPr>
            <w:r w:rsidRPr="000549B1">
              <w:rPr>
                <w:kern w:val="0"/>
                <w:sz w:val="18"/>
                <w:szCs w:val="18"/>
              </w:rPr>
              <w:t>社会环境</w:t>
            </w:r>
          </w:p>
        </w:tc>
        <w:tc>
          <w:tcPr>
            <w:tcW w:w="6400" w:type="dxa"/>
            <w:tcMar>
              <w:left w:w="28" w:type="dxa"/>
              <w:right w:w="28" w:type="dxa"/>
            </w:tcMar>
            <w:vAlign w:val="center"/>
          </w:tcPr>
          <w:p w14:paraId="46707E70" w14:textId="77777777" w:rsidR="004F1AD2" w:rsidRPr="000549B1" w:rsidRDefault="004F1AD2" w:rsidP="004F1AD2">
            <w:pPr>
              <w:widowControl/>
              <w:numPr>
                <w:ilvl w:val="0"/>
                <w:numId w:val="11"/>
              </w:numPr>
              <w:tabs>
                <w:tab w:val="left" w:pos="420"/>
              </w:tabs>
              <w:snapToGrid w:val="0"/>
              <w:spacing w:line="320" w:lineRule="exact"/>
              <w:rPr>
                <w:kern w:val="0"/>
                <w:sz w:val="18"/>
                <w:szCs w:val="18"/>
              </w:rPr>
            </w:pPr>
            <w:r w:rsidRPr="000549B1">
              <w:t>完善防洪减灾体系，提高防洪能力，保障人民生命财产安全</w:t>
            </w:r>
          </w:p>
          <w:p w14:paraId="64AF6753" w14:textId="77777777" w:rsidR="004F1AD2" w:rsidRPr="000549B1" w:rsidRDefault="004F1AD2" w:rsidP="004F1AD2">
            <w:pPr>
              <w:widowControl/>
              <w:numPr>
                <w:ilvl w:val="0"/>
                <w:numId w:val="11"/>
              </w:numPr>
              <w:tabs>
                <w:tab w:val="left" w:pos="420"/>
              </w:tabs>
              <w:snapToGrid w:val="0"/>
              <w:spacing w:line="320" w:lineRule="exact"/>
              <w:rPr>
                <w:kern w:val="0"/>
                <w:sz w:val="18"/>
                <w:szCs w:val="18"/>
              </w:rPr>
            </w:pPr>
            <w:r w:rsidRPr="000549B1">
              <w:t>达到国家规定的防洪标准，覆盖沿岸乡镇、耕地集中区及重要基础设施</w:t>
            </w:r>
          </w:p>
          <w:p w14:paraId="381BD6C9" w14:textId="77777777" w:rsidR="004F1AD2" w:rsidRPr="000549B1" w:rsidRDefault="004F1AD2" w:rsidP="004F1AD2">
            <w:pPr>
              <w:widowControl/>
              <w:numPr>
                <w:ilvl w:val="0"/>
                <w:numId w:val="11"/>
              </w:numPr>
              <w:tabs>
                <w:tab w:val="left" w:pos="420"/>
              </w:tabs>
              <w:snapToGrid w:val="0"/>
              <w:spacing w:line="320" w:lineRule="exact"/>
              <w:rPr>
                <w:kern w:val="0"/>
                <w:sz w:val="18"/>
                <w:szCs w:val="18"/>
              </w:rPr>
            </w:pPr>
            <w:r w:rsidRPr="000549B1">
              <w:t>促进现代化灌区建设，提高灌溉效率，发展灌溉面积</w:t>
            </w:r>
          </w:p>
          <w:p w14:paraId="1F0BAB9F" w14:textId="77777777" w:rsidR="004F1AD2" w:rsidRPr="000549B1" w:rsidRDefault="004F1AD2" w:rsidP="004F1AD2">
            <w:pPr>
              <w:widowControl/>
              <w:numPr>
                <w:ilvl w:val="0"/>
                <w:numId w:val="11"/>
              </w:numPr>
              <w:tabs>
                <w:tab w:val="left" w:pos="420"/>
              </w:tabs>
              <w:snapToGrid w:val="0"/>
              <w:spacing w:line="320" w:lineRule="exact"/>
              <w:rPr>
                <w:kern w:val="0"/>
                <w:sz w:val="18"/>
                <w:szCs w:val="18"/>
              </w:rPr>
            </w:pPr>
            <w:r w:rsidRPr="000549B1">
              <w:t>加强流域综合管理，基于河（湖）长制完善管理体制和运行机制</w:t>
            </w:r>
          </w:p>
          <w:p w14:paraId="1DC3BAFF" w14:textId="77777777" w:rsidR="004F1AD2" w:rsidRPr="000549B1" w:rsidRDefault="004F1AD2" w:rsidP="004F1AD2">
            <w:pPr>
              <w:widowControl/>
              <w:numPr>
                <w:ilvl w:val="0"/>
                <w:numId w:val="11"/>
              </w:numPr>
              <w:tabs>
                <w:tab w:val="left" w:pos="420"/>
              </w:tabs>
              <w:snapToGrid w:val="0"/>
              <w:spacing w:line="320" w:lineRule="exact"/>
              <w:rPr>
                <w:kern w:val="0"/>
                <w:sz w:val="18"/>
                <w:szCs w:val="18"/>
              </w:rPr>
            </w:pPr>
            <w:r w:rsidRPr="000549B1">
              <w:t>构建水利信息化系统，提升流域智能化管理能力和公共服务水平</w:t>
            </w:r>
          </w:p>
        </w:tc>
      </w:tr>
    </w:tbl>
    <w:p w14:paraId="79AED03F" w14:textId="6C31796F" w:rsidR="00054437" w:rsidRPr="000549B1" w:rsidRDefault="00000000">
      <w:pPr>
        <w:pStyle w:val="3"/>
      </w:pPr>
      <w:bookmarkStart w:id="108" w:name="_Toc216106998"/>
      <w:r w:rsidRPr="000549B1">
        <w:rPr>
          <w:rFonts w:hint="eastAsia"/>
        </w:rPr>
        <w:t>环境敏感区和保护对象</w:t>
      </w:r>
      <w:bookmarkEnd w:id="108"/>
    </w:p>
    <w:p w14:paraId="05B1D3E6" w14:textId="77777777" w:rsidR="00054437" w:rsidRPr="000549B1" w:rsidRDefault="00000000">
      <w:pPr>
        <w:pStyle w:val="x"/>
      </w:pPr>
      <w:r w:rsidRPr="000549B1">
        <w:rPr>
          <w:rFonts w:hint="eastAsia"/>
        </w:rPr>
        <w:t>1</w:t>
      </w:r>
      <w:r w:rsidRPr="000549B1">
        <w:rPr>
          <w:rFonts w:hint="eastAsia"/>
        </w:rPr>
        <w:t>、环境敏感区</w:t>
      </w:r>
    </w:p>
    <w:p w14:paraId="48E5C67D" w14:textId="77777777" w:rsidR="00054437" w:rsidRPr="000549B1" w:rsidRDefault="00000000">
      <w:pPr>
        <w:pStyle w:val="x"/>
      </w:pPr>
      <w:r w:rsidRPr="000549B1">
        <w:rPr>
          <w:rFonts w:hint="eastAsia"/>
        </w:rPr>
        <w:t>经识别，沙珠玉河流域涉及的</w:t>
      </w:r>
      <w:r w:rsidRPr="000549B1">
        <w:t>环境敏感</w:t>
      </w:r>
      <w:r w:rsidRPr="000549B1">
        <w:rPr>
          <w:rFonts w:hint="eastAsia"/>
        </w:rPr>
        <w:t>区及与规划工程的位置关系详见</w:t>
      </w:r>
      <w:r w:rsidRPr="000549B1">
        <w:t>下表</w:t>
      </w:r>
      <w:r w:rsidRPr="000549B1">
        <w:rPr>
          <w:rFonts w:hint="eastAsia"/>
        </w:rPr>
        <w:t>。</w:t>
      </w:r>
    </w:p>
    <w:p w14:paraId="202AD22F" w14:textId="417BFAAB" w:rsidR="00054437" w:rsidRPr="000549B1" w:rsidRDefault="00000000" w:rsidP="000549B1">
      <w:pPr>
        <w:spacing w:line="360" w:lineRule="auto"/>
        <w:jc w:val="center"/>
      </w:pPr>
      <w:r w:rsidRPr="000549B1">
        <w:rPr>
          <w:rFonts w:hint="eastAsia"/>
          <w:b/>
          <w:bCs/>
          <w:sz w:val="24"/>
          <w:szCs w:val="24"/>
        </w:rPr>
        <w:t>表</w:t>
      </w:r>
      <w:r w:rsidRPr="000549B1">
        <w:rPr>
          <w:b/>
          <w:bCs/>
          <w:sz w:val="24"/>
          <w:szCs w:val="24"/>
        </w:rPr>
        <w:fldChar w:fldCharType="begin"/>
      </w:r>
      <w:r w:rsidRPr="000549B1">
        <w:rPr>
          <w:b/>
          <w:bCs/>
          <w:sz w:val="24"/>
          <w:szCs w:val="24"/>
        </w:rPr>
        <w:instrText xml:space="preserve"> STYLEREF 2 \s </w:instrText>
      </w:r>
      <w:r w:rsidRPr="000549B1">
        <w:rPr>
          <w:b/>
          <w:bCs/>
          <w:sz w:val="24"/>
          <w:szCs w:val="24"/>
        </w:rPr>
        <w:fldChar w:fldCharType="separate"/>
      </w:r>
      <w:r w:rsidR="00F32CCA">
        <w:rPr>
          <w:b/>
          <w:bCs/>
          <w:noProof/>
          <w:sz w:val="24"/>
          <w:szCs w:val="24"/>
        </w:rPr>
        <w:t>1.7</w:t>
      </w:r>
      <w:r w:rsidRPr="000549B1">
        <w:rPr>
          <w:b/>
          <w:bCs/>
          <w:sz w:val="24"/>
          <w:szCs w:val="24"/>
        </w:rPr>
        <w:fldChar w:fldCharType="end"/>
      </w:r>
      <w:r w:rsidRPr="000549B1">
        <w:rPr>
          <w:b/>
          <w:bCs/>
          <w:sz w:val="24"/>
          <w:szCs w:val="24"/>
        </w:rPr>
        <w:noBreakHyphen/>
      </w:r>
      <w:r w:rsidRPr="000549B1">
        <w:rPr>
          <w:rFonts w:hint="eastAsia"/>
          <w:b/>
          <w:bCs/>
          <w:sz w:val="24"/>
          <w:szCs w:val="24"/>
        </w:rPr>
        <w:t>2</w:t>
      </w:r>
      <w:r w:rsidRPr="000549B1">
        <w:rPr>
          <w:rFonts w:hint="eastAsia"/>
          <w:b/>
          <w:bCs/>
          <w:sz w:val="24"/>
          <w:szCs w:val="24"/>
        </w:rPr>
        <w:t>沙珠玉河流域环境敏感区清单</w:t>
      </w:r>
    </w:p>
    <w:tbl>
      <w:tblPr>
        <w:tblW w:w="4998" w:type="pct"/>
        <w:jc w:val="center"/>
        <w:tblLook w:val="04A0" w:firstRow="1" w:lastRow="0" w:firstColumn="1" w:lastColumn="0" w:noHBand="0" w:noVBand="1"/>
      </w:tblPr>
      <w:tblGrid>
        <w:gridCol w:w="1764"/>
        <w:gridCol w:w="3230"/>
        <w:gridCol w:w="1536"/>
        <w:gridCol w:w="1763"/>
      </w:tblGrid>
      <w:tr w:rsidR="000549B1" w:rsidRPr="000549B1" w14:paraId="59FC01D1" w14:textId="77777777" w:rsidTr="000549B1">
        <w:trPr>
          <w:trHeight w:val="727"/>
          <w:jc w:val="center"/>
        </w:trPr>
        <w:tc>
          <w:tcPr>
            <w:tcW w:w="1063" w:type="pct"/>
            <w:tcBorders>
              <w:top w:val="single" w:sz="4" w:space="0" w:color="auto"/>
              <w:left w:val="single" w:sz="4" w:space="0" w:color="auto"/>
              <w:bottom w:val="single" w:sz="4" w:space="0" w:color="auto"/>
              <w:right w:val="single" w:sz="4" w:space="0" w:color="auto"/>
            </w:tcBorders>
            <w:noWrap/>
            <w:vAlign w:val="center"/>
          </w:tcPr>
          <w:p w14:paraId="301B5093" w14:textId="77777777" w:rsidR="00054437" w:rsidRPr="000549B1" w:rsidRDefault="00000000" w:rsidP="000549B1">
            <w:pPr>
              <w:pStyle w:val="CharCharCharCharChar"/>
              <w:spacing w:line="360" w:lineRule="auto"/>
              <w:rPr>
                <w:b/>
                <w:bCs/>
                <w:color w:val="auto"/>
              </w:rPr>
            </w:pPr>
            <w:r w:rsidRPr="000549B1">
              <w:rPr>
                <w:b/>
                <w:bCs/>
                <w:color w:val="auto"/>
              </w:rPr>
              <w:t>编号</w:t>
            </w:r>
          </w:p>
        </w:tc>
        <w:tc>
          <w:tcPr>
            <w:tcW w:w="1946" w:type="pct"/>
            <w:tcBorders>
              <w:top w:val="single" w:sz="4" w:space="0" w:color="auto"/>
              <w:left w:val="nil"/>
              <w:bottom w:val="single" w:sz="4" w:space="0" w:color="auto"/>
              <w:right w:val="single" w:sz="4" w:space="0" w:color="auto"/>
            </w:tcBorders>
            <w:vAlign w:val="center"/>
          </w:tcPr>
          <w:p w14:paraId="432474E3" w14:textId="77777777" w:rsidR="00054437" w:rsidRPr="000549B1" w:rsidRDefault="00000000" w:rsidP="000549B1">
            <w:pPr>
              <w:pStyle w:val="CharCharCharCharChar"/>
              <w:spacing w:line="360" w:lineRule="auto"/>
              <w:rPr>
                <w:b/>
                <w:bCs/>
                <w:color w:val="auto"/>
              </w:rPr>
            </w:pPr>
            <w:r w:rsidRPr="000549B1">
              <w:rPr>
                <w:b/>
                <w:bCs/>
                <w:color w:val="auto"/>
              </w:rPr>
              <w:t>环境敏感目标</w:t>
            </w:r>
          </w:p>
        </w:tc>
        <w:tc>
          <w:tcPr>
            <w:tcW w:w="926" w:type="pct"/>
            <w:tcBorders>
              <w:top w:val="single" w:sz="4" w:space="0" w:color="auto"/>
              <w:left w:val="nil"/>
              <w:bottom w:val="single" w:sz="4" w:space="0" w:color="auto"/>
              <w:right w:val="single" w:sz="4" w:space="0" w:color="auto"/>
            </w:tcBorders>
            <w:vAlign w:val="center"/>
          </w:tcPr>
          <w:p w14:paraId="37CAE933" w14:textId="77777777" w:rsidR="00054437" w:rsidRPr="000549B1" w:rsidRDefault="00000000" w:rsidP="000549B1">
            <w:pPr>
              <w:pStyle w:val="CharCharCharCharChar"/>
              <w:spacing w:line="360" w:lineRule="auto"/>
              <w:rPr>
                <w:b/>
                <w:bCs/>
                <w:color w:val="auto"/>
              </w:rPr>
            </w:pPr>
            <w:r w:rsidRPr="000549B1">
              <w:rPr>
                <w:b/>
                <w:bCs/>
                <w:color w:val="auto"/>
              </w:rPr>
              <w:t>级别</w:t>
            </w:r>
          </w:p>
        </w:tc>
        <w:tc>
          <w:tcPr>
            <w:tcW w:w="1063" w:type="pct"/>
            <w:tcBorders>
              <w:top w:val="single" w:sz="4" w:space="0" w:color="auto"/>
              <w:left w:val="nil"/>
              <w:bottom w:val="single" w:sz="4" w:space="0" w:color="auto"/>
              <w:right w:val="single" w:sz="4" w:space="0" w:color="auto"/>
            </w:tcBorders>
            <w:vAlign w:val="center"/>
          </w:tcPr>
          <w:p w14:paraId="0DDB7D5A" w14:textId="77777777" w:rsidR="00054437" w:rsidRPr="000549B1" w:rsidRDefault="00000000" w:rsidP="000549B1">
            <w:pPr>
              <w:pStyle w:val="CharCharCharCharChar"/>
              <w:spacing w:line="360" w:lineRule="auto"/>
              <w:rPr>
                <w:b/>
                <w:bCs/>
                <w:color w:val="auto"/>
              </w:rPr>
            </w:pPr>
            <w:r w:rsidRPr="000549B1">
              <w:rPr>
                <w:b/>
                <w:bCs/>
                <w:color w:val="auto"/>
              </w:rPr>
              <w:t>涉及规划工程</w:t>
            </w:r>
          </w:p>
        </w:tc>
      </w:tr>
      <w:tr w:rsidR="000549B1" w:rsidRPr="000549B1" w14:paraId="108FFBD7" w14:textId="77777777" w:rsidTr="000549B1">
        <w:trPr>
          <w:trHeight w:val="363"/>
          <w:jc w:val="center"/>
        </w:trPr>
        <w:tc>
          <w:tcPr>
            <w:tcW w:w="1063" w:type="pct"/>
            <w:tcBorders>
              <w:top w:val="nil"/>
              <w:left w:val="single" w:sz="4" w:space="0" w:color="auto"/>
              <w:bottom w:val="single" w:sz="4" w:space="0" w:color="auto"/>
              <w:right w:val="single" w:sz="4" w:space="0" w:color="auto"/>
            </w:tcBorders>
            <w:vAlign w:val="center"/>
          </w:tcPr>
          <w:p w14:paraId="29772F4B" w14:textId="77777777" w:rsidR="00054437" w:rsidRPr="000549B1" w:rsidRDefault="00000000" w:rsidP="000549B1">
            <w:pPr>
              <w:pStyle w:val="CharCharCharCharChar"/>
              <w:spacing w:line="360" w:lineRule="auto"/>
              <w:rPr>
                <w:color w:val="auto"/>
              </w:rPr>
            </w:pPr>
            <w:r w:rsidRPr="000549B1">
              <w:rPr>
                <w:color w:val="auto"/>
              </w:rPr>
              <w:t>一</w:t>
            </w:r>
          </w:p>
        </w:tc>
        <w:tc>
          <w:tcPr>
            <w:tcW w:w="1946" w:type="pct"/>
            <w:tcBorders>
              <w:top w:val="nil"/>
              <w:left w:val="nil"/>
              <w:bottom w:val="single" w:sz="4" w:space="0" w:color="auto"/>
              <w:right w:val="single" w:sz="4" w:space="0" w:color="auto"/>
            </w:tcBorders>
            <w:vAlign w:val="center"/>
          </w:tcPr>
          <w:p w14:paraId="51FB04FE" w14:textId="77777777" w:rsidR="00054437" w:rsidRPr="000549B1" w:rsidRDefault="00000000" w:rsidP="000549B1">
            <w:pPr>
              <w:pStyle w:val="CharCharCharCharChar"/>
              <w:spacing w:line="360" w:lineRule="auto"/>
              <w:rPr>
                <w:color w:val="auto"/>
              </w:rPr>
            </w:pPr>
            <w:r w:rsidRPr="000549B1">
              <w:rPr>
                <w:color w:val="auto"/>
              </w:rPr>
              <w:t>自然保护地</w:t>
            </w:r>
          </w:p>
        </w:tc>
        <w:tc>
          <w:tcPr>
            <w:tcW w:w="926" w:type="pct"/>
            <w:tcBorders>
              <w:top w:val="nil"/>
              <w:left w:val="nil"/>
              <w:bottom w:val="single" w:sz="4" w:space="0" w:color="auto"/>
              <w:right w:val="single" w:sz="4" w:space="0" w:color="auto"/>
            </w:tcBorders>
            <w:vAlign w:val="center"/>
          </w:tcPr>
          <w:p w14:paraId="020BACAE" w14:textId="77777777" w:rsidR="00054437" w:rsidRPr="000549B1" w:rsidRDefault="00054437" w:rsidP="000549B1">
            <w:pPr>
              <w:pStyle w:val="CharCharCharCharChar"/>
              <w:spacing w:line="360" w:lineRule="auto"/>
              <w:rPr>
                <w:color w:val="auto"/>
              </w:rPr>
            </w:pPr>
          </w:p>
        </w:tc>
        <w:tc>
          <w:tcPr>
            <w:tcW w:w="1063" w:type="pct"/>
            <w:tcBorders>
              <w:top w:val="nil"/>
              <w:left w:val="nil"/>
              <w:bottom w:val="single" w:sz="4" w:space="0" w:color="auto"/>
              <w:right w:val="single" w:sz="4" w:space="0" w:color="auto"/>
            </w:tcBorders>
            <w:vAlign w:val="center"/>
          </w:tcPr>
          <w:p w14:paraId="0EDEA79C" w14:textId="77777777" w:rsidR="00054437" w:rsidRPr="000549B1" w:rsidRDefault="00054437" w:rsidP="000549B1">
            <w:pPr>
              <w:pStyle w:val="CharCharCharCharChar"/>
              <w:spacing w:line="360" w:lineRule="auto"/>
              <w:rPr>
                <w:color w:val="auto"/>
              </w:rPr>
            </w:pPr>
          </w:p>
        </w:tc>
      </w:tr>
      <w:tr w:rsidR="000549B1" w:rsidRPr="000549B1" w14:paraId="2E0D1127" w14:textId="77777777" w:rsidTr="000549B1">
        <w:trPr>
          <w:trHeight w:val="727"/>
          <w:jc w:val="center"/>
        </w:trPr>
        <w:tc>
          <w:tcPr>
            <w:tcW w:w="1063" w:type="pct"/>
            <w:tcBorders>
              <w:top w:val="nil"/>
              <w:left w:val="single" w:sz="4" w:space="0" w:color="auto"/>
              <w:bottom w:val="single" w:sz="4" w:space="0" w:color="auto"/>
              <w:right w:val="single" w:sz="4" w:space="0" w:color="auto"/>
            </w:tcBorders>
            <w:vAlign w:val="center"/>
          </w:tcPr>
          <w:p w14:paraId="10475D98" w14:textId="77777777" w:rsidR="00054437" w:rsidRPr="000549B1" w:rsidRDefault="00000000" w:rsidP="000549B1">
            <w:pPr>
              <w:pStyle w:val="CharCharCharCharChar"/>
              <w:spacing w:line="360" w:lineRule="auto"/>
              <w:rPr>
                <w:color w:val="auto"/>
              </w:rPr>
            </w:pPr>
            <w:r w:rsidRPr="000549B1">
              <w:rPr>
                <w:color w:val="auto"/>
              </w:rPr>
              <w:t>1</w:t>
            </w:r>
          </w:p>
        </w:tc>
        <w:tc>
          <w:tcPr>
            <w:tcW w:w="1946" w:type="pct"/>
            <w:tcBorders>
              <w:top w:val="nil"/>
              <w:left w:val="nil"/>
              <w:bottom w:val="single" w:sz="4" w:space="0" w:color="auto"/>
              <w:right w:val="single" w:sz="4" w:space="0" w:color="auto"/>
            </w:tcBorders>
            <w:vAlign w:val="center"/>
          </w:tcPr>
          <w:p w14:paraId="3AFB610C" w14:textId="77777777" w:rsidR="00054437" w:rsidRPr="000549B1" w:rsidRDefault="00000000" w:rsidP="000549B1">
            <w:pPr>
              <w:pStyle w:val="CharCharCharCharChar"/>
              <w:spacing w:line="360" w:lineRule="auto"/>
              <w:rPr>
                <w:color w:val="auto"/>
              </w:rPr>
            </w:pPr>
            <w:r w:rsidRPr="000549B1">
              <w:rPr>
                <w:color w:val="auto"/>
              </w:rPr>
              <w:t>青海湖国家级自然保护区</w:t>
            </w:r>
          </w:p>
        </w:tc>
        <w:tc>
          <w:tcPr>
            <w:tcW w:w="926" w:type="pct"/>
            <w:tcBorders>
              <w:top w:val="nil"/>
              <w:left w:val="nil"/>
              <w:bottom w:val="single" w:sz="4" w:space="0" w:color="auto"/>
              <w:right w:val="single" w:sz="4" w:space="0" w:color="auto"/>
            </w:tcBorders>
            <w:vAlign w:val="center"/>
          </w:tcPr>
          <w:p w14:paraId="6186956E" w14:textId="77777777" w:rsidR="00054437" w:rsidRPr="000549B1" w:rsidRDefault="00000000" w:rsidP="00C35C11">
            <w:pPr>
              <w:pStyle w:val="CharCharCharCharChar"/>
              <w:spacing w:line="360" w:lineRule="auto"/>
              <w:rPr>
                <w:color w:val="auto"/>
              </w:rPr>
            </w:pPr>
            <w:r w:rsidRPr="000549B1">
              <w:rPr>
                <w:rFonts w:hint="eastAsia"/>
                <w:color w:val="auto"/>
              </w:rPr>
              <w:t>国家级</w:t>
            </w:r>
          </w:p>
        </w:tc>
        <w:tc>
          <w:tcPr>
            <w:tcW w:w="1063" w:type="pct"/>
            <w:tcBorders>
              <w:top w:val="nil"/>
              <w:left w:val="nil"/>
              <w:bottom w:val="single" w:sz="4" w:space="0" w:color="auto"/>
              <w:right w:val="single" w:sz="4" w:space="0" w:color="auto"/>
            </w:tcBorders>
            <w:vAlign w:val="center"/>
          </w:tcPr>
          <w:p w14:paraId="3BA318C9" w14:textId="77777777" w:rsidR="00054437" w:rsidRPr="000549B1" w:rsidRDefault="00000000" w:rsidP="000549B1">
            <w:pPr>
              <w:pStyle w:val="CharCharCharCharChar"/>
              <w:spacing w:line="360" w:lineRule="auto"/>
              <w:rPr>
                <w:color w:val="auto"/>
              </w:rPr>
            </w:pPr>
            <w:r w:rsidRPr="000549B1">
              <w:rPr>
                <w:color w:val="auto"/>
              </w:rPr>
              <w:t>不涉及</w:t>
            </w:r>
          </w:p>
        </w:tc>
      </w:tr>
      <w:tr w:rsidR="000549B1" w:rsidRPr="000549B1" w14:paraId="0C7DCF26" w14:textId="77777777" w:rsidTr="000549B1">
        <w:trPr>
          <w:trHeight w:val="727"/>
          <w:jc w:val="center"/>
        </w:trPr>
        <w:tc>
          <w:tcPr>
            <w:tcW w:w="1063" w:type="pct"/>
            <w:tcBorders>
              <w:top w:val="nil"/>
              <w:left w:val="single" w:sz="4" w:space="0" w:color="auto"/>
              <w:bottom w:val="single" w:sz="4" w:space="0" w:color="auto"/>
              <w:right w:val="single" w:sz="4" w:space="0" w:color="auto"/>
            </w:tcBorders>
            <w:noWrap/>
            <w:vAlign w:val="center"/>
          </w:tcPr>
          <w:p w14:paraId="58AAAC56" w14:textId="77777777" w:rsidR="00054437" w:rsidRPr="000549B1" w:rsidRDefault="00000000" w:rsidP="000549B1">
            <w:pPr>
              <w:pStyle w:val="CharCharCharCharChar"/>
              <w:spacing w:line="360" w:lineRule="auto"/>
              <w:rPr>
                <w:color w:val="auto"/>
              </w:rPr>
            </w:pPr>
            <w:r w:rsidRPr="000549B1">
              <w:rPr>
                <w:color w:val="auto"/>
              </w:rPr>
              <w:t>2</w:t>
            </w:r>
          </w:p>
        </w:tc>
        <w:tc>
          <w:tcPr>
            <w:tcW w:w="1946" w:type="pct"/>
            <w:tcBorders>
              <w:top w:val="nil"/>
              <w:left w:val="nil"/>
              <w:bottom w:val="single" w:sz="4" w:space="0" w:color="auto"/>
              <w:right w:val="single" w:sz="4" w:space="0" w:color="auto"/>
            </w:tcBorders>
            <w:vAlign w:val="center"/>
          </w:tcPr>
          <w:p w14:paraId="7C8FB0AB" w14:textId="77777777" w:rsidR="00054437" w:rsidRPr="000549B1" w:rsidRDefault="00000000" w:rsidP="000549B1">
            <w:pPr>
              <w:pStyle w:val="CharCharCharCharChar"/>
              <w:spacing w:line="360" w:lineRule="auto"/>
              <w:rPr>
                <w:color w:val="auto"/>
              </w:rPr>
            </w:pPr>
            <w:r w:rsidRPr="000549B1">
              <w:rPr>
                <w:color w:val="auto"/>
              </w:rPr>
              <w:t>青海湖国家级风景名胜区</w:t>
            </w:r>
          </w:p>
        </w:tc>
        <w:tc>
          <w:tcPr>
            <w:tcW w:w="926" w:type="pct"/>
            <w:tcBorders>
              <w:top w:val="nil"/>
              <w:left w:val="nil"/>
              <w:bottom w:val="single" w:sz="4" w:space="0" w:color="auto"/>
              <w:right w:val="single" w:sz="4" w:space="0" w:color="auto"/>
            </w:tcBorders>
            <w:vAlign w:val="center"/>
          </w:tcPr>
          <w:p w14:paraId="59AECF08" w14:textId="77777777" w:rsidR="00054437" w:rsidRPr="000549B1" w:rsidRDefault="00000000" w:rsidP="000549B1">
            <w:pPr>
              <w:pStyle w:val="CharCharCharCharChar"/>
              <w:spacing w:line="360" w:lineRule="auto"/>
              <w:rPr>
                <w:color w:val="auto"/>
              </w:rPr>
            </w:pPr>
            <w:r w:rsidRPr="000549B1">
              <w:rPr>
                <w:rFonts w:hint="eastAsia"/>
                <w:color w:val="auto"/>
              </w:rPr>
              <w:t>国家级</w:t>
            </w:r>
          </w:p>
        </w:tc>
        <w:tc>
          <w:tcPr>
            <w:tcW w:w="1063" w:type="pct"/>
            <w:tcBorders>
              <w:top w:val="nil"/>
              <w:left w:val="nil"/>
              <w:bottom w:val="single" w:sz="4" w:space="0" w:color="auto"/>
              <w:right w:val="single" w:sz="4" w:space="0" w:color="auto"/>
            </w:tcBorders>
            <w:vAlign w:val="center"/>
          </w:tcPr>
          <w:p w14:paraId="001C5D00" w14:textId="77777777" w:rsidR="00054437" w:rsidRPr="000549B1" w:rsidRDefault="00000000" w:rsidP="000549B1">
            <w:pPr>
              <w:pStyle w:val="CharCharCharCharChar"/>
              <w:spacing w:line="360" w:lineRule="auto"/>
              <w:rPr>
                <w:color w:val="auto"/>
              </w:rPr>
            </w:pPr>
            <w:r w:rsidRPr="000549B1">
              <w:rPr>
                <w:color w:val="auto"/>
              </w:rPr>
              <w:t>不涉及</w:t>
            </w:r>
          </w:p>
        </w:tc>
      </w:tr>
      <w:tr w:rsidR="000549B1" w:rsidRPr="000549B1" w14:paraId="64008094" w14:textId="77777777" w:rsidTr="000549B1">
        <w:trPr>
          <w:trHeight w:val="363"/>
          <w:jc w:val="center"/>
        </w:trPr>
        <w:tc>
          <w:tcPr>
            <w:tcW w:w="1063" w:type="pct"/>
            <w:tcBorders>
              <w:top w:val="nil"/>
              <w:left w:val="single" w:sz="4" w:space="0" w:color="auto"/>
              <w:bottom w:val="single" w:sz="4" w:space="0" w:color="auto"/>
              <w:right w:val="single" w:sz="4" w:space="0" w:color="auto"/>
            </w:tcBorders>
            <w:vAlign w:val="center"/>
          </w:tcPr>
          <w:p w14:paraId="0ABD751D" w14:textId="77777777" w:rsidR="00054437" w:rsidRPr="000549B1" w:rsidRDefault="00000000" w:rsidP="000549B1">
            <w:pPr>
              <w:pStyle w:val="CharCharCharCharChar"/>
              <w:spacing w:line="360" w:lineRule="auto"/>
              <w:rPr>
                <w:color w:val="auto"/>
              </w:rPr>
            </w:pPr>
            <w:r w:rsidRPr="000549B1">
              <w:rPr>
                <w:color w:val="auto"/>
              </w:rPr>
              <w:t>二</w:t>
            </w:r>
          </w:p>
        </w:tc>
        <w:tc>
          <w:tcPr>
            <w:tcW w:w="1946" w:type="pct"/>
            <w:tcBorders>
              <w:top w:val="nil"/>
              <w:left w:val="nil"/>
              <w:bottom w:val="single" w:sz="4" w:space="0" w:color="auto"/>
              <w:right w:val="single" w:sz="4" w:space="0" w:color="auto"/>
            </w:tcBorders>
            <w:noWrap/>
            <w:vAlign w:val="center"/>
          </w:tcPr>
          <w:p w14:paraId="554A455D" w14:textId="77777777" w:rsidR="00054437" w:rsidRPr="000549B1" w:rsidRDefault="00000000" w:rsidP="000549B1">
            <w:pPr>
              <w:pStyle w:val="CharCharCharCharChar"/>
              <w:spacing w:line="360" w:lineRule="auto"/>
              <w:rPr>
                <w:color w:val="auto"/>
              </w:rPr>
            </w:pPr>
            <w:r w:rsidRPr="000549B1">
              <w:rPr>
                <w:color w:val="auto"/>
              </w:rPr>
              <w:t>饮用水水源保护区</w:t>
            </w:r>
          </w:p>
        </w:tc>
        <w:tc>
          <w:tcPr>
            <w:tcW w:w="926" w:type="pct"/>
            <w:tcBorders>
              <w:top w:val="nil"/>
              <w:left w:val="nil"/>
              <w:bottom w:val="single" w:sz="4" w:space="0" w:color="auto"/>
              <w:right w:val="single" w:sz="4" w:space="0" w:color="auto"/>
            </w:tcBorders>
            <w:vAlign w:val="center"/>
          </w:tcPr>
          <w:p w14:paraId="60FE9829" w14:textId="77777777" w:rsidR="00054437" w:rsidRPr="000549B1" w:rsidRDefault="00054437" w:rsidP="000549B1">
            <w:pPr>
              <w:pStyle w:val="CharCharCharCharChar"/>
              <w:spacing w:line="360" w:lineRule="auto"/>
              <w:rPr>
                <w:color w:val="auto"/>
              </w:rPr>
            </w:pPr>
          </w:p>
        </w:tc>
        <w:tc>
          <w:tcPr>
            <w:tcW w:w="1063" w:type="pct"/>
            <w:tcBorders>
              <w:top w:val="nil"/>
              <w:left w:val="nil"/>
              <w:bottom w:val="single" w:sz="4" w:space="0" w:color="auto"/>
              <w:right w:val="single" w:sz="4" w:space="0" w:color="auto"/>
            </w:tcBorders>
            <w:vAlign w:val="center"/>
          </w:tcPr>
          <w:p w14:paraId="78A8FF61" w14:textId="77777777" w:rsidR="00054437" w:rsidRPr="000549B1" w:rsidRDefault="00054437" w:rsidP="000549B1">
            <w:pPr>
              <w:pStyle w:val="CharCharCharCharChar"/>
              <w:spacing w:line="360" w:lineRule="auto"/>
              <w:rPr>
                <w:color w:val="auto"/>
              </w:rPr>
            </w:pPr>
          </w:p>
        </w:tc>
      </w:tr>
      <w:tr w:rsidR="000549B1" w:rsidRPr="000549B1" w14:paraId="324B0EB2" w14:textId="77777777" w:rsidTr="000549B1">
        <w:trPr>
          <w:trHeight w:val="696"/>
          <w:jc w:val="center"/>
        </w:trPr>
        <w:tc>
          <w:tcPr>
            <w:tcW w:w="1063" w:type="pct"/>
            <w:tcBorders>
              <w:top w:val="nil"/>
              <w:left w:val="single" w:sz="4" w:space="0" w:color="auto"/>
              <w:bottom w:val="single" w:sz="4" w:space="0" w:color="auto"/>
              <w:right w:val="single" w:sz="4" w:space="0" w:color="auto"/>
            </w:tcBorders>
            <w:vAlign w:val="center"/>
          </w:tcPr>
          <w:p w14:paraId="2D7BC321" w14:textId="77777777" w:rsidR="00054437" w:rsidRPr="000549B1" w:rsidRDefault="00000000" w:rsidP="000549B1">
            <w:pPr>
              <w:pStyle w:val="CharCharCharCharChar"/>
              <w:spacing w:line="360" w:lineRule="auto"/>
              <w:rPr>
                <w:color w:val="auto"/>
              </w:rPr>
            </w:pPr>
            <w:r w:rsidRPr="000549B1">
              <w:rPr>
                <w:color w:val="auto"/>
              </w:rPr>
              <w:t>1</w:t>
            </w:r>
          </w:p>
        </w:tc>
        <w:tc>
          <w:tcPr>
            <w:tcW w:w="1946" w:type="pct"/>
            <w:tcBorders>
              <w:top w:val="nil"/>
              <w:left w:val="nil"/>
              <w:bottom w:val="single" w:sz="4" w:space="0" w:color="auto"/>
              <w:right w:val="single" w:sz="4" w:space="0" w:color="auto"/>
            </w:tcBorders>
            <w:shd w:val="clear" w:color="000000" w:fill="FFFFFF"/>
            <w:vAlign w:val="center"/>
          </w:tcPr>
          <w:p w14:paraId="00CFD8E5" w14:textId="77777777" w:rsidR="00054437" w:rsidRPr="000549B1" w:rsidRDefault="00000000" w:rsidP="000549B1">
            <w:pPr>
              <w:pStyle w:val="CharCharCharCharChar"/>
              <w:spacing w:line="360" w:lineRule="auto"/>
              <w:rPr>
                <w:color w:val="auto"/>
                <w:szCs w:val="21"/>
              </w:rPr>
            </w:pPr>
            <w:r w:rsidRPr="000549B1">
              <w:rPr>
                <w:color w:val="auto"/>
                <w:szCs w:val="21"/>
              </w:rPr>
              <w:t>共和县切吉滩集中式饮用水水源地</w:t>
            </w:r>
          </w:p>
        </w:tc>
        <w:tc>
          <w:tcPr>
            <w:tcW w:w="926" w:type="pct"/>
            <w:tcBorders>
              <w:top w:val="nil"/>
              <w:left w:val="nil"/>
              <w:bottom w:val="single" w:sz="4" w:space="0" w:color="auto"/>
              <w:right w:val="single" w:sz="4" w:space="0" w:color="auto"/>
            </w:tcBorders>
            <w:vAlign w:val="center"/>
          </w:tcPr>
          <w:p w14:paraId="24221613" w14:textId="77777777" w:rsidR="00054437" w:rsidRPr="000549B1" w:rsidRDefault="00000000" w:rsidP="000549B1">
            <w:pPr>
              <w:pStyle w:val="CharCharCharCharChar"/>
              <w:spacing w:line="360" w:lineRule="auto"/>
              <w:rPr>
                <w:color w:val="auto"/>
              </w:rPr>
            </w:pPr>
            <w:r w:rsidRPr="000549B1">
              <w:rPr>
                <w:color w:val="auto"/>
              </w:rPr>
              <w:t>地市级</w:t>
            </w:r>
          </w:p>
        </w:tc>
        <w:tc>
          <w:tcPr>
            <w:tcW w:w="1063" w:type="pct"/>
            <w:tcBorders>
              <w:top w:val="nil"/>
              <w:left w:val="nil"/>
              <w:bottom w:val="single" w:sz="4" w:space="0" w:color="auto"/>
              <w:right w:val="single" w:sz="4" w:space="0" w:color="auto"/>
            </w:tcBorders>
            <w:vAlign w:val="center"/>
          </w:tcPr>
          <w:p w14:paraId="4C71DC5C" w14:textId="77777777" w:rsidR="00054437" w:rsidRPr="000549B1" w:rsidRDefault="00000000" w:rsidP="000549B1">
            <w:pPr>
              <w:pStyle w:val="CharCharCharCharChar"/>
              <w:spacing w:line="360" w:lineRule="auto"/>
              <w:rPr>
                <w:color w:val="auto"/>
              </w:rPr>
            </w:pPr>
            <w:r w:rsidRPr="000549B1">
              <w:rPr>
                <w:color w:val="auto"/>
              </w:rPr>
              <w:t>不涉及</w:t>
            </w:r>
          </w:p>
        </w:tc>
      </w:tr>
      <w:tr w:rsidR="000549B1" w:rsidRPr="000549B1" w14:paraId="526ABD00" w14:textId="77777777" w:rsidTr="000549B1">
        <w:trPr>
          <w:trHeight w:val="696"/>
          <w:jc w:val="center"/>
        </w:trPr>
        <w:tc>
          <w:tcPr>
            <w:tcW w:w="1063" w:type="pct"/>
            <w:tcBorders>
              <w:top w:val="nil"/>
              <w:left w:val="single" w:sz="4" w:space="0" w:color="auto"/>
              <w:bottom w:val="single" w:sz="4" w:space="0" w:color="auto"/>
              <w:right w:val="single" w:sz="4" w:space="0" w:color="auto"/>
            </w:tcBorders>
            <w:vAlign w:val="center"/>
          </w:tcPr>
          <w:p w14:paraId="5E2DE4B4" w14:textId="73281EEE" w:rsidR="00054437" w:rsidRPr="000549B1" w:rsidRDefault="00000000" w:rsidP="000549B1">
            <w:pPr>
              <w:pStyle w:val="CharCharCharCharChar"/>
              <w:spacing w:line="360" w:lineRule="auto"/>
              <w:rPr>
                <w:color w:val="auto"/>
              </w:rPr>
            </w:pPr>
            <w:r w:rsidRPr="000549B1">
              <w:rPr>
                <w:rFonts w:hint="eastAsia"/>
                <w:color w:val="auto"/>
              </w:rPr>
              <w:t>2</w:t>
            </w:r>
          </w:p>
        </w:tc>
        <w:tc>
          <w:tcPr>
            <w:tcW w:w="1946" w:type="pct"/>
            <w:tcBorders>
              <w:top w:val="nil"/>
              <w:left w:val="nil"/>
              <w:bottom w:val="single" w:sz="4" w:space="0" w:color="auto"/>
              <w:right w:val="single" w:sz="4" w:space="0" w:color="auto"/>
            </w:tcBorders>
            <w:shd w:val="clear" w:color="000000" w:fill="FFFFFF"/>
            <w:vAlign w:val="center"/>
          </w:tcPr>
          <w:p w14:paraId="63D3AEA4" w14:textId="77777777" w:rsidR="00054437" w:rsidRPr="000549B1" w:rsidRDefault="00000000" w:rsidP="000549B1">
            <w:pPr>
              <w:pStyle w:val="CharCharCharCharChar"/>
              <w:spacing w:line="360" w:lineRule="auto"/>
              <w:rPr>
                <w:color w:val="auto"/>
                <w:szCs w:val="21"/>
              </w:rPr>
            </w:pPr>
            <w:r w:rsidRPr="000549B1">
              <w:rPr>
                <w:color w:val="auto"/>
                <w:szCs w:val="21"/>
              </w:rPr>
              <w:t>恰让水库</w:t>
            </w:r>
          </w:p>
        </w:tc>
        <w:tc>
          <w:tcPr>
            <w:tcW w:w="926" w:type="pct"/>
            <w:tcBorders>
              <w:top w:val="nil"/>
              <w:left w:val="nil"/>
              <w:bottom w:val="single" w:sz="4" w:space="0" w:color="auto"/>
              <w:right w:val="single" w:sz="4" w:space="0" w:color="auto"/>
            </w:tcBorders>
            <w:vAlign w:val="center"/>
          </w:tcPr>
          <w:p w14:paraId="51170714" w14:textId="77777777" w:rsidR="00054437" w:rsidRPr="000549B1" w:rsidRDefault="00000000" w:rsidP="000549B1">
            <w:pPr>
              <w:pStyle w:val="CharCharCharCharChar"/>
              <w:spacing w:line="360" w:lineRule="auto"/>
              <w:rPr>
                <w:color w:val="auto"/>
              </w:rPr>
            </w:pPr>
            <w:r w:rsidRPr="000549B1">
              <w:rPr>
                <w:color w:val="auto"/>
              </w:rPr>
              <w:t>地市级</w:t>
            </w:r>
          </w:p>
        </w:tc>
        <w:tc>
          <w:tcPr>
            <w:tcW w:w="1063" w:type="pct"/>
            <w:tcBorders>
              <w:top w:val="nil"/>
              <w:left w:val="nil"/>
              <w:bottom w:val="single" w:sz="4" w:space="0" w:color="auto"/>
              <w:right w:val="single" w:sz="4" w:space="0" w:color="auto"/>
            </w:tcBorders>
            <w:vAlign w:val="center"/>
          </w:tcPr>
          <w:p w14:paraId="3882CDE6" w14:textId="77777777" w:rsidR="00054437" w:rsidRPr="000549B1" w:rsidRDefault="00000000" w:rsidP="000549B1">
            <w:pPr>
              <w:pStyle w:val="CharCharCharCharChar"/>
              <w:spacing w:line="360" w:lineRule="auto"/>
              <w:rPr>
                <w:color w:val="auto"/>
              </w:rPr>
            </w:pPr>
            <w:r w:rsidRPr="000549B1">
              <w:rPr>
                <w:color w:val="auto"/>
              </w:rPr>
              <w:t>不涉及</w:t>
            </w:r>
          </w:p>
        </w:tc>
      </w:tr>
      <w:tr w:rsidR="000549B1" w:rsidRPr="000549B1" w14:paraId="05A1ADE6" w14:textId="77777777" w:rsidTr="000549B1">
        <w:trPr>
          <w:trHeight w:val="363"/>
          <w:jc w:val="center"/>
        </w:trPr>
        <w:tc>
          <w:tcPr>
            <w:tcW w:w="1063" w:type="pct"/>
            <w:tcBorders>
              <w:top w:val="nil"/>
              <w:left w:val="single" w:sz="4" w:space="0" w:color="auto"/>
              <w:bottom w:val="single" w:sz="4" w:space="0" w:color="auto"/>
              <w:right w:val="single" w:sz="4" w:space="0" w:color="auto"/>
            </w:tcBorders>
            <w:vAlign w:val="center"/>
          </w:tcPr>
          <w:p w14:paraId="397B8768" w14:textId="77777777" w:rsidR="00054437" w:rsidRPr="000549B1" w:rsidRDefault="00000000" w:rsidP="000549B1">
            <w:pPr>
              <w:pStyle w:val="CharCharCharCharChar"/>
              <w:spacing w:line="360" w:lineRule="auto"/>
              <w:rPr>
                <w:color w:val="auto"/>
              </w:rPr>
            </w:pPr>
            <w:r w:rsidRPr="000549B1">
              <w:rPr>
                <w:color w:val="auto"/>
              </w:rPr>
              <w:t>3</w:t>
            </w:r>
          </w:p>
        </w:tc>
        <w:tc>
          <w:tcPr>
            <w:tcW w:w="1946" w:type="pct"/>
            <w:tcBorders>
              <w:top w:val="nil"/>
              <w:left w:val="nil"/>
              <w:bottom w:val="single" w:sz="4" w:space="0" w:color="auto"/>
              <w:right w:val="single" w:sz="4" w:space="0" w:color="auto"/>
            </w:tcBorders>
            <w:shd w:val="clear" w:color="000000" w:fill="FFFFFF"/>
            <w:vAlign w:val="center"/>
          </w:tcPr>
          <w:p w14:paraId="6AAC7A91" w14:textId="77777777" w:rsidR="00054437" w:rsidRPr="000549B1" w:rsidRDefault="00000000" w:rsidP="000549B1">
            <w:pPr>
              <w:pStyle w:val="CharCharCharCharChar"/>
              <w:spacing w:line="360" w:lineRule="auto"/>
              <w:rPr>
                <w:color w:val="auto"/>
                <w:szCs w:val="21"/>
              </w:rPr>
            </w:pPr>
            <w:r w:rsidRPr="000549B1">
              <w:rPr>
                <w:rFonts w:hint="eastAsia"/>
                <w:color w:val="auto"/>
                <w:szCs w:val="21"/>
              </w:rPr>
              <w:t>河卡镇满丈水源地</w:t>
            </w:r>
          </w:p>
        </w:tc>
        <w:tc>
          <w:tcPr>
            <w:tcW w:w="926" w:type="pct"/>
            <w:tcBorders>
              <w:top w:val="nil"/>
              <w:left w:val="nil"/>
              <w:bottom w:val="single" w:sz="4" w:space="0" w:color="auto"/>
              <w:right w:val="single" w:sz="4" w:space="0" w:color="auto"/>
            </w:tcBorders>
            <w:vAlign w:val="center"/>
          </w:tcPr>
          <w:p w14:paraId="26762D17" w14:textId="77777777" w:rsidR="00054437" w:rsidRPr="000549B1" w:rsidRDefault="00000000" w:rsidP="000549B1">
            <w:pPr>
              <w:pStyle w:val="CharCharCharCharChar"/>
              <w:spacing w:line="360" w:lineRule="auto"/>
              <w:rPr>
                <w:color w:val="auto"/>
              </w:rPr>
            </w:pPr>
            <w:r w:rsidRPr="000549B1">
              <w:rPr>
                <w:rFonts w:hint="eastAsia"/>
                <w:color w:val="auto"/>
              </w:rPr>
              <w:t>乡镇级</w:t>
            </w:r>
          </w:p>
        </w:tc>
        <w:tc>
          <w:tcPr>
            <w:tcW w:w="1063" w:type="pct"/>
            <w:tcBorders>
              <w:top w:val="nil"/>
              <w:left w:val="nil"/>
              <w:bottom w:val="single" w:sz="4" w:space="0" w:color="auto"/>
              <w:right w:val="single" w:sz="4" w:space="0" w:color="auto"/>
            </w:tcBorders>
            <w:vAlign w:val="center"/>
          </w:tcPr>
          <w:p w14:paraId="0B4D7C01" w14:textId="77777777" w:rsidR="00054437" w:rsidRPr="000549B1" w:rsidRDefault="00000000" w:rsidP="000549B1">
            <w:pPr>
              <w:pStyle w:val="CharCharCharCharChar"/>
              <w:spacing w:line="360" w:lineRule="auto"/>
              <w:rPr>
                <w:color w:val="auto"/>
              </w:rPr>
            </w:pPr>
            <w:r w:rsidRPr="000549B1">
              <w:rPr>
                <w:rFonts w:hint="eastAsia"/>
                <w:color w:val="auto"/>
              </w:rPr>
              <w:t>不涉及</w:t>
            </w:r>
          </w:p>
        </w:tc>
      </w:tr>
      <w:tr w:rsidR="000549B1" w:rsidRPr="000549B1" w14:paraId="1DC1ABAD" w14:textId="77777777" w:rsidTr="000549B1">
        <w:trPr>
          <w:trHeight w:val="363"/>
          <w:jc w:val="center"/>
        </w:trPr>
        <w:tc>
          <w:tcPr>
            <w:tcW w:w="1063" w:type="pct"/>
            <w:tcBorders>
              <w:top w:val="nil"/>
              <w:left w:val="single" w:sz="4" w:space="0" w:color="auto"/>
              <w:bottom w:val="single" w:sz="4" w:space="0" w:color="auto"/>
              <w:right w:val="single" w:sz="4" w:space="0" w:color="auto"/>
            </w:tcBorders>
            <w:vAlign w:val="center"/>
          </w:tcPr>
          <w:p w14:paraId="29D6CADB" w14:textId="77777777" w:rsidR="00054437" w:rsidRPr="000549B1" w:rsidRDefault="00000000" w:rsidP="000549B1">
            <w:pPr>
              <w:pStyle w:val="CharCharCharCharChar"/>
              <w:spacing w:line="360" w:lineRule="auto"/>
              <w:rPr>
                <w:color w:val="auto"/>
              </w:rPr>
            </w:pPr>
            <w:r w:rsidRPr="000549B1">
              <w:rPr>
                <w:color w:val="auto"/>
              </w:rPr>
              <w:t>三</w:t>
            </w:r>
          </w:p>
        </w:tc>
        <w:tc>
          <w:tcPr>
            <w:tcW w:w="1946" w:type="pct"/>
            <w:tcBorders>
              <w:top w:val="nil"/>
              <w:left w:val="nil"/>
              <w:bottom w:val="single" w:sz="4" w:space="0" w:color="auto"/>
              <w:right w:val="single" w:sz="4" w:space="0" w:color="auto"/>
            </w:tcBorders>
            <w:noWrap/>
            <w:vAlign w:val="center"/>
          </w:tcPr>
          <w:p w14:paraId="6871EC2B" w14:textId="77777777" w:rsidR="00054437" w:rsidRPr="000549B1" w:rsidRDefault="00000000" w:rsidP="000549B1">
            <w:pPr>
              <w:pStyle w:val="CharCharCharCharChar"/>
              <w:spacing w:line="360" w:lineRule="auto"/>
              <w:rPr>
                <w:color w:val="auto"/>
              </w:rPr>
            </w:pPr>
            <w:r w:rsidRPr="000549B1">
              <w:rPr>
                <w:color w:val="auto"/>
              </w:rPr>
              <w:t>生态保护红线</w:t>
            </w:r>
          </w:p>
        </w:tc>
        <w:tc>
          <w:tcPr>
            <w:tcW w:w="926" w:type="pct"/>
            <w:tcBorders>
              <w:top w:val="nil"/>
              <w:left w:val="nil"/>
              <w:bottom w:val="single" w:sz="4" w:space="0" w:color="auto"/>
              <w:right w:val="single" w:sz="4" w:space="0" w:color="auto"/>
            </w:tcBorders>
            <w:vAlign w:val="center"/>
          </w:tcPr>
          <w:p w14:paraId="3BE99A5C" w14:textId="77777777" w:rsidR="00054437" w:rsidRPr="000549B1" w:rsidRDefault="00054437" w:rsidP="000549B1">
            <w:pPr>
              <w:pStyle w:val="CharCharCharCharChar"/>
              <w:spacing w:line="360" w:lineRule="auto"/>
              <w:rPr>
                <w:color w:val="auto"/>
              </w:rPr>
            </w:pPr>
          </w:p>
        </w:tc>
        <w:tc>
          <w:tcPr>
            <w:tcW w:w="1063" w:type="pct"/>
            <w:tcBorders>
              <w:top w:val="nil"/>
              <w:left w:val="nil"/>
              <w:bottom w:val="single" w:sz="4" w:space="0" w:color="auto"/>
              <w:right w:val="single" w:sz="4" w:space="0" w:color="auto"/>
            </w:tcBorders>
            <w:vAlign w:val="center"/>
          </w:tcPr>
          <w:p w14:paraId="36BD8F64" w14:textId="77777777" w:rsidR="00054437" w:rsidRPr="000549B1" w:rsidRDefault="00054437" w:rsidP="000549B1">
            <w:pPr>
              <w:pStyle w:val="CharCharCharCharChar"/>
              <w:spacing w:line="360" w:lineRule="auto"/>
              <w:rPr>
                <w:color w:val="auto"/>
              </w:rPr>
            </w:pPr>
          </w:p>
        </w:tc>
      </w:tr>
      <w:tr w:rsidR="000549B1" w:rsidRPr="000549B1" w14:paraId="60FD1805" w14:textId="77777777" w:rsidTr="000549B1">
        <w:trPr>
          <w:trHeight w:val="363"/>
          <w:jc w:val="center"/>
        </w:trPr>
        <w:tc>
          <w:tcPr>
            <w:tcW w:w="1063" w:type="pct"/>
            <w:tcBorders>
              <w:top w:val="nil"/>
              <w:left w:val="single" w:sz="4" w:space="0" w:color="auto"/>
              <w:bottom w:val="single" w:sz="4" w:space="0" w:color="auto"/>
              <w:right w:val="single" w:sz="4" w:space="0" w:color="auto"/>
            </w:tcBorders>
            <w:vAlign w:val="center"/>
          </w:tcPr>
          <w:p w14:paraId="59311D56" w14:textId="77777777" w:rsidR="00054437" w:rsidRPr="000549B1" w:rsidRDefault="00000000" w:rsidP="000549B1">
            <w:pPr>
              <w:pStyle w:val="CharCharCharCharChar"/>
              <w:spacing w:line="360" w:lineRule="auto"/>
              <w:rPr>
                <w:color w:val="auto"/>
              </w:rPr>
            </w:pPr>
            <w:r w:rsidRPr="000549B1">
              <w:rPr>
                <w:color w:val="auto"/>
              </w:rPr>
              <w:t>1</w:t>
            </w:r>
          </w:p>
        </w:tc>
        <w:tc>
          <w:tcPr>
            <w:tcW w:w="1946" w:type="pct"/>
            <w:tcBorders>
              <w:top w:val="nil"/>
              <w:left w:val="nil"/>
              <w:bottom w:val="single" w:sz="4" w:space="0" w:color="auto"/>
              <w:right w:val="single" w:sz="4" w:space="0" w:color="auto"/>
            </w:tcBorders>
            <w:vAlign w:val="center"/>
          </w:tcPr>
          <w:p w14:paraId="182E6C61" w14:textId="77777777" w:rsidR="00054437" w:rsidRPr="000549B1" w:rsidRDefault="00000000" w:rsidP="000549B1">
            <w:pPr>
              <w:pStyle w:val="CharCharCharCharChar"/>
              <w:spacing w:line="360" w:lineRule="auto"/>
              <w:rPr>
                <w:color w:val="auto"/>
              </w:rPr>
            </w:pPr>
            <w:r w:rsidRPr="000549B1">
              <w:rPr>
                <w:color w:val="auto"/>
              </w:rPr>
              <w:t>柴达木盆地土地沙化防控与生物多样维护生态保护红线</w:t>
            </w:r>
          </w:p>
        </w:tc>
        <w:tc>
          <w:tcPr>
            <w:tcW w:w="926" w:type="pct"/>
            <w:tcBorders>
              <w:top w:val="nil"/>
              <w:left w:val="nil"/>
              <w:bottom w:val="single" w:sz="4" w:space="0" w:color="auto"/>
              <w:right w:val="single" w:sz="4" w:space="0" w:color="auto"/>
            </w:tcBorders>
            <w:vAlign w:val="center"/>
          </w:tcPr>
          <w:p w14:paraId="166A8851" w14:textId="77777777" w:rsidR="00054437" w:rsidRPr="000549B1" w:rsidRDefault="00000000" w:rsidP="000549B1">
            <w:pPr>
              <w:pStyle w:val="CharCharCharCharChar"/>
              <w:spacing w:line="360" w:lineRule="auto"/>
              <w:rPr>
                <w:color w:val="auto"/>
              </w:rPr>
            </w:pPr>
            <w:r w:rsidRPr="000549B1">
              <w:rPr>
                <w:rFonts w:hint="eastAsia"/>
                <w:color w:val="auto"/>
              </w:rPr>
              <w:t>/</w:t>
            </w:r>
          </w:p>
        </w:tc>
        <w:tc>
          <w:tcPr>
            <w:tcW w:w="1063" w:type="pct"/>
            <w:tcBorders>
              <w:top w:val="nil"/>
              <w:left w:val="nil"/>
              <w:bottom w:val="single" w:sz="4" w:space="0" w:color="auto"/>
              <w:right w:val="single" w:sz="4" w:space="0" w:color="auto"/>
            </w:tcBorders>
            <w:vAlign w:val="center"/>
          </w:tcPr>
          <w:p w14:paraId="6307D397" w14:textId="77777777" w:rsidR="00054437" w:rsidRPr="000549B1" w:rsidRDefault="00000000" w:rsidP="000549B1">
            <w:pPr>
              <w:pStyle w:val="CharCharCharCharChar"/>
              <w:spacing w:line="360" w:lineRule="auto"/>
              <w:rPr>
                <w:color w:val="auto"/>
              </w:rPr>
            </w:pPr>
            <w:r w:rsidRPr="000549B1">
              <w:rPr>
                <w:color w:val="auto"/>
              </w:rPr>
              <w:t>不涉及</w:t>
            </w:r>
          </w:p>
        </w:tc>
      </w:tr>
      <w:tr w:rsidR="000549B1" w:rsidRPr="000549B1" w14:paraId="61B69256" w14:textId="77777777" w:rsidTr="000549B1">
        <w:trPr>
          <w:trHeight w:val="363"/>
          <w:jc w:val="center"/>
        </w:trPr>
        <w:tc>
          <w:tcPr>
            <w:tcW w:w="1063" w:type="pct"/>
            <w:tcBorders>
              <w:top w:val="nil"/>
              <w:left w:val="single" w:sz="4" w:space="0" w:color="auto"/>
              <w:bottom w:val="single" w:sz="4" w:space="0" w:color="auto"/>
              <w:right w:val="single" w:sz="4" w:space="0" w:color="auto"/>
            </w:tcBorders>
            <w:vAlign w:val="center"/>
          </w:tcPr>
          <w:p w14:paraId="5DD12F75" w14:textId="77777777" w:rsidR="00054437" w:rsidRPr="000549B1" w:rsidRDefault="00000000" w:rsidP="000549B1">
            <w:pPr>
              <w:pStyle w:val="CharCharCharCharChar"/>
              <w:spacing w:line="360" w:lineRule="auto"/>
              <w:rPr>
                <w:color w:val="auto"/>
              </w:rPr>
            </w:pPr>
            <w:r w:rsidRPr="000549B1">
              <w:rPr>
                <w:color w:val="auto"/>
              </w:rPr>
              <w:t>2</w:t>
            </w:r>
          </w:p>
        </w:tc>
        <w:tc>
          <w:tcPr>
            <w:tcW w:w="1946" w:type="pct"/>
            <w:tcBorders>
              <w:top w:val="nil"/>
              <w:left w:val="nil"/>
              <w:bottom w:val="single" w:sz="4" w:space="0" w:color="auto"/>
              <w:right w:val="single" w:sz="4" w:space="0" w:color="auto"/>
            </w:tcBorders>
            <w:vAlign w:val="center"/>
          </w:tcPr>
          <w:p w14:paraId="3D0F778D" w14:textId="77777777" w:rsidR="00054437" w:rsidRPr="000549B1" w:rsidRDefault="00000000" w:rsidP="000549B1">
            <w:pPr>
              <w:pStyle w:val="CharCharCharCharChar"/>
              <w:spacing w:line="360" w:lineRule="auto"/>
              <w:rPr>
                <w:color w:val="auto"/>
              </w:rPr>
            </w:pPr>
            <w:r w:rsidRPr="000549B1">
              <w:rPr>
                <w:color w:val="auto"/>
              </w:rPr>
              <w:t>青海湖水源涵养与生物多样性维护生态保护红线</w:t>
            </w:r>
          </w:p>
        </w:tc>
        <w:tc>
          <w:tcPr>
            <w:tcW w:w="926" w:type="pct"/>
            <w:tcBorders>
              <w:top w:val="nil"/>
              <w:left w:val="nil"/>
              <w:bottom w:val="single" w:sz="4" w:space="0" w:color="auto"/>
              <w:right w:val="single" w:sz="4" w:space="0" w:color="auto"/>
            </w:tcBorders>
            <w:vAlign w:val="center"/>
          </w:tcPr>
          <w:p w14:paraId="285C5793" w14:textId="77777777" w:rsidR="00054437" w:rsidRPr="000549B1" w:rsidRDefault="00000000" w:rsidP="000549B1">
            <w:pPr>
              <w:pStyle w:val="CharCharCharCharChar"/>
              <w:spacing w:line="360" w:lineRule="auto"/>
              <w:rPr>
                <w:color w:val="auto"/>
              </w:rPr>
            </w:pPr>
            <w:r w:rsidRPr="000549B1">
              <w:rPr>
                <w:rFonts w:hint="eastAsia"/>
                <w:color w:val="auto"/>
              </w:rPr>
              <w:t>/</w:t>
            </w:r>
          </w:p>
        </w:tc>
        <w:tc>
          <w:tcPr>
            <w:tcW w:w="1063" w:type="pct"/>
            <w:tcBorders>
              <w:top w:val="nil"/>
              <w:left w:val="nil"/>
              <w:bottom w:val="single" w:sz="4" w:space="0" w:color="auto"/>
              <w:right w:val="single" w:sz="4" w:space="0" w:color="auto"/>
            </w:tcBorders>
            <w:vAlign w:val="center"/>
          </w:tcPr>
          <w:p w14:paraId="7C12BCA3" w14:textId="77777777" w:rsidR="00054437" w:rsidRPr="000549B1" w:rsidRDefault="00000000" w:rsidP="000549B1">
            <w:pPr>
              <w:pStyle w:val="CharCharCharCharChar"/>
              <w:spacing w:line="360" w:lineRule="auto"/>
              <w:rPr>
                <w:color w:val="auto"/>
              </w:rPr>
            </w:pPr>
            <w:r w:rsidRPr="000549B1">
              <w:rPr>
                <w:color w:val="auto"/>
              </w:rPr>
              <w:t>不涉及</w:t>
            </w:r>
          </w:p>
        </w:tc>
      </w:tr>
    </w:tbl>
    <w:p w14:paraId="6F48B9F2" w14:textId="77777777" w:rsidR="00054437" w:rsidRPr="000549B1" w:rsidRDefault="00000000" w:rsidP="000549B1">
      <w:pPr>
        <w:pStyle w:val="x"/>
      </w:pPr>
      <w:r w:rsidRPr="000549B1">
        <w:rPr>
          <w:rFonts w:hint="eastAsia"/>
        </w:rPr>
        <w:t>2</w:t>
      </w:r>
      <w:r w:rsidRPr="000549B1">
        <w:rPr>
          <w:rFonts w:hint="eastAsia"/>
        </w:rPr>
        <w:t>、生态保护目标</w:t>
      </w:r>
    </w:p>
    <w:p w14:paraId="35F0685D" w14:textId="57B6BEAA" w:rsidR="00054437" w:rsidRPr="000549B1" w:rsidRDefault="00000000" w:rsidP="000549B1">
      <w:pPr>
        <w:pStyle w:val="x"/>
      </w:pPr>
      <w:r w:rsidRPr="000549B1">
        <w:rPr>
          <w:rFonts w:hint="eastAsia"/>
        </w:rPr>
        <w:t>参照《环境影响评价技术导则生态影响》（</w:t>
      </w:r>
      <w:r w:rsidRPr="000549B1">
        <w:rPr>
          <w:rFonts w:hint="eastAsia"/>
        </w:rPr>
        <w:t>HJ19-2022</w:t>
      </w:r>
      <w:r w:rsidRPr="000549B1">
        <w:rPr>
          <w:rFonts w:hint="eastAsia"/>
        </w:rPr>
        <w:t>），生态保护目标为受影响的重要物种、生态敏感区以及其他需要保护的物种、种群、生物群落及生态空间等。</w:t>
      </w:r>
    </w:p>
    <w:p w14:paraId="5A63E6C3" w14:textId="77777777" w:rsidR="00054437" w:rsidRPr="000549B1" w:rsidRDefault="00000000" w:rsidP="000549B1">
      <w:pPr>
        <w:pStyle w:val="x"/>
        <w:numPr>
          <w:ilvl w:val="0"/>
          <w:numId w:val="3"/>
        </w:numPr>
      </w:pPr>
      <w:r w:rsidRPr="000549B1">
        <w:rPr>
          <w:rFonts w:hint="eastAsia"/>
        </w:rPr>
        <w:t>陆生生态</w:t>
      </w:r>
    </w:p>
    <w:p w14:paraId="28B18BD9" w14:textId="7DE13477" w:rsidR="00054437" w:rsidRPr="000549B1" w:rsidRDefault="00B81685" w:rsidP="000549B1">
      <w:pPr>
        <w:pStyle w:val="x"/>
      </w:pPr>
      <w:r w:rsidRPr="000549B1">
        <w:rPr>
          <w:rFonts w:hint="eastAsia"/>
        </w:rPr>
        <w:t>本项目不涉及生态敏感区，也无其他需要保护的物种、种群、生物群落及生态空间等，主要生态保护目标为评价范围内的古树名木、野生动植物重要物种等。流域范围内分布有古树名木</w:t>
      </w:r>
      <w:r w:rsidRPr="000549B1">
        <w:rPr>
          <w:rFonts w:hint="eastAsia"/>
        </w:rPr>
        <w:t>2</w:t>
      </w:r>
      <w:r w:rsidRPr="000549B1">
        <w:rPr>
          <w:rFonts w:hint="eastAsia"/>
        </w:rPr>
        <w:t>棵，分别为位于切吉乡莫合村村委会的</w:t>
      </w:r>
      <w:r w:rsidRPr="000549B1">
        <w:rPr>
          <w:rFonts w:hint="eastAsia"/>
        </w:rPr>
        <w:t>1</w:t>
      </w:r>
      <w:r w:rsidRPr="000549B1">
        <w:rPr>
          <w:rFonts w:hint="eastAsia"/>
        </w:rPr>
        <w:t>棵柽柳和新村村委会的</w:t>
      </w:r>
      <w:r w:rsidRPr="000549B1">
        <w:rPr>
          <w:rFonts w:hint="eastAsia"/>
        </w:rPr>
        <w:t>1</w:t>
      </w:r>
      <w:r w:rsidRPr="000549B1">
        <w:rPr>
          <w:rFonts w:hint="eastAsia"/>
        </w:rPr>
        <w:t>棵柽柳。重要物种主要包括国家及地方重点保护野生动物、中国或地方特有动物以及《中国生物多样性红色名录</w:t>
      </w:r>
      <w:r w:rsidRPr="000549B1">
        <w:rPr>
          <w:rFonts w:hint="eastAsia"/>
        </w:rPr>
        <w:t>-</w:t>
      </w:r>
      <w:r w:rsidRPr="000549B1">
        <w:rPr>
          <w:rFonts w:hint="eastAsia"/>
        </w:rPr>
        <w:t>脊椎动物卷》等记录的珍稀濒危物种等。</w:t>
      </w:r>
    </w:p>
    <w:p w14:paraId="1B8A1F53" w14:textId="77777777" w:rsidR="00054437" w:rsidRPr="000549B1" w:rsidRDefault="00000000" w:rsidP="000549B1">
      <w:pPr>
        <w:pStyle w:val="x"/>
        <w:numPr>
          <w:ilvl w:val="0"/>
          <w:numId w:val="3"/>
        </w:numPr>
      </w:pPr>
      <w:r w:rsidRPr="000549B1">
        <w:rPr>
          <w:rFonts w:hint="eastAsia"/>
        </w:rPr>
        <w:t>水生生态</w:t>
      </w:r>
    </w:p>
    <w:p w14:paraId="200733B5" w14:textId="77777777" w:rsidR="00FD127F" w:rsidRPr="000549B1" w:rsidRDefault="00FD127F" w:rsidP="000549B1">
      <w:pPr>
        <w:pStyle w:val="x"/>
        <w:ind w:firstLineChars="200" w:firstLine="480"/>
      </w:pPr>
      <w:bookmarkStart w:id="109" w:name="OLE_LINK30"/>
      <w:r w:rsidRPr="000549B1">
        <w:rPr>
          <w:rFonts w:hint="eastAsia"/>
        </w:rPr>
        <w:t>规划范围内沙珠玉河流域分布有花斑裸鲤和茶卡高原鳅</w:t>
      </w:r>
      <w:r w:rsidRPr="000549B1">
        <w:t>2</w:t>
      </w:r>
      <w:r w:rsidRPr="000549B1">
        <w:rPr>
          <w:rFonts w:hint="eastAsia"/>
        </w:rPr>
        <w:t>种青海省重点保护鱼类。花斑裸鲤列为《中国生物多样性红色名录》</w:t>
      </w:r>
      <w:r w:rsidRPr="000549B1">
        <w:t>-</w:t>
      </w:r>
      <w:r w:rsidRPr="000549B1">
        <w:rPr>
          <w:rFonts w:hint="eastAsia"/>
        </w:rPr>
        <w:t>脊椎动物卷（</w:t>
      </w:r>
      <w:r w:rsidRPr="000549B1">
        <w:t>2020</w:t>
      </w:r>
      <w:r w:rsidRPr="000549B1">
        <w:rPr>
          <w:rFonts w:hint="eastAsia"/>
        </w:rPr>
        <w:t>）易危物种，同时也是青海省省级保护鱼类；茶卡高原鳅被列入青海省重点保护水生野生动物名录（第一批）、《中国生物多样性红色名录》</w:t>
      </w:r>
      <w:r w:rsidRPr="000549B1">
        <w:t>-</w:t>
      </w:r>
      <w:r w:rsidRPr="000549B1">
        <w:rPr>
          <w:rFonts w:hint="eastAsia"/>
        </w:rPr>
        <w:t>脊椎动物卷（</w:t>
      </w:r>
      <w:r w:rsidRPr="000549B1">
        <w:t>2020</w:t>
      </w:r>
      <w:r w:rsidRPr="000549B1">
        <w:rPr>
          <w:rFonts w:hint="eastAsia"/>
        </w:rPr>
        <w:t>）濒危物种。</w:t>
      </w:r>
    </w:p>
    <w:p w14:paraId="514E3855" w14:textId="1D705772" w:rsidR="00054437" w:rsidRPr="000549B1" w:rsidRDefault="00000000">
      <w:pPr>
        <w:pStyle w:val="2"/>
        <w:rPr>
          <w:rFonts w:ascii="Times New Roman" w:hAnsi="Times New Roman"/>
        </w:rPr>
      </w:pPr>
      <w:bookmarkStart w:id="110" w:name="_Toc529456887"/>
      <w:bookmarkStart w:id="111" w:name="_Toc9144523"/>
      <w:bookmarkStart w:id="112" w:name="_Toc208583880"/>
      <w:bookmarkStart w:id="113" w:name="_Toc5937"/>
      <w:bookmarkStart w:id="114" w:name="_Toc216106999"/>
      <w:bookmarkEnd w:id="109"/>
      <w:r w:rsidRPr="000549B1">
        <w:rPr>
          <w:rFonts w:ascii="Times New Roman" w:hAnsi="Times New Roman" w:hint="eastAsia"/>
        </w:rPr>
        <w:t>评价</w:t>
      </w:r>
      <w:bookmarkEnd w:id="110"/>
      <w:bookmarkEnd w:id="111"/>
      <w:bookmarkEnd w:id="112"/>
      <w:bookmarkEnd w:id="113"/>
      <w:r w:rsidRPr="000549B1">
        <w:rPr>
          <w:rFonts w:ascii="Times New Roman" w:hAnsi="Times New Roman" w:hint="eastAsia"/>
        </w:rPr>
        <w:t>内容与评价重点</w:t>
      </w:r>
      <w:bookmarkEnd w:id="114"/>
    </w:p>
    <w:p w14:paraId="40D3E953" w14:textId="77777777" w:rsidR="00054437" w:rsidRPr="000549B1" w:rsidRDefault="00000000">
      <w:pPr>
        <w:pStyle w:val="3"/>
      </w:pPr>
      <w:bookmarkStart w:id="115" w:name="_Toc3640"/>
      <w:bookmarkStart w:id="116" w:name="_Toc529456888"/>
      <w:bookmarkStart w:id="117" w:name="_Toc9144524"/>
      <w:bookmarkStart w:id="118" w:name="_Toc208583881"/>
      <w:bookmarkStart w:id="119" w:name="_Toc216107000"/>
      <w:r w:rsidRPr="000549B1">
        <w:t>评价思路</w:t>
      </w:r>
      <w:bookmarkEnd w:id="115"/>
      <w:bookmarkEnd w:id="116"/>
      <w:bookmarkEnd w:id="117"/>
      <w:bookmarkEnd w:id="118"/>
      <w:bookmarkEnd w:id="119"/>
    </w:p>
    <w:p w14:paraId="1CAAE3D4" w14:textId="35BBC87E" w:rsidR="00054437" w:rsidRPr="000549B1" w:rsidRDefault="00000000">
      <w:pPr>
        <w:pStyle w:val="x"/>
      </w:pPr>
      <w:r w:rsidRPr="000549B1">
        <w:t>依据国家关于沙珠玉河流域生态环境保护要求，根据青海省水系及水资源特点和生态环境特征，充分考虑青海省资源、生态环境的承载力，从宏观及战略高度审视规划方案的环境合理性和可行性，分析规划方案对流域及区域水资源、水生态、水环境、生态环境、社会环境等产生的整体性和累积性影响，提出规划方案优化调整建议，从源头上预防环境污染和生态破坏，促进</w:t>
      </w:r>
      <w:r w:rsidRPr="000549B1">
        <w:rPr>
          <w:rFonts w:hint="eastAsia"/>
        </w:rPr>
        <w:t>区域</w:t>
      </w:r>
      <w:r w:rsidRPr="000549B1">
        <w:t>经济、社会和环境协调可持续发展。</w:t>
      </w:r>
    </w:p>
    <w:p w14:paraId="71B2B095" w14:textId="77777777" w:rsidR="00054437" w:rsidRPr="000549B1" w:rsidRDefault="00000000">
      <w:pPr>
        <w:pStyle w:val="3"/>
      </w:pPr>
      <w:bookmarkStart w:id="120" w:name="_Toc216107001"/>
      <w:r w:rsidRPr="000549B1">
        <w:t>评价</w:t>
      </w:r>
      <w:r w:rsidRPr="000549B1">
        <w:rPr>
          <w:rFonts w:hint="eastAsia"/>
        </w:rPr>
        <w:t>内容</w:t>
      </w:r>
      <w:bookmarkEnd w:id="120"/>
    </w:p>
    <w:p w14:paraId="09A6AB30" w14:textId="77777777" w:rsidR="00054437" w:rsidRPr="000549B1" w:rsidRDefault="00000000" w:rsidP="000549B1">
      <w:pPr>
        <w:pStyle w:val="x"/>
      </w:pPr>
      <w:r w:rsidRPr="000549B1">
        <w:rPr>
          <w:rFonts w:hint="eastAsia"/>
        </w:rPr>
        <w:t>基于沙珠玉河流域环境现状、区位特征及环境敏感区分布情况，确定本次规划环评内容如下：</w:t>
      </w:r>
    </w:p>
    <w:p w14:paraId="3243F812" w14:textId="77777777" w:rsidR="00054437" w:rsidRPr="000549B1" w:rsidRDefault="00000000" w:rsidP="000549B1">
      <w:pPr>
        <w:pStyle w:val="x"/>
      </w:pPr>
      <w:r w:rsidRPr="000549B1">
        <w:rPr>
          <w:rFonts w:hint="eastAsia"/>
        </w:rPr>
        <w:t>（</w:t>
      </w:r>
      <w:r w:rsidRPr="000549B1">
        <w:rPr>
          <w:rFonts w:hint="eastAsia"/>
        </w:rPr>
        <w:t>1</w:t>
      </w:r>
      <w:r w:rsidRPr="000549B1">
        <w:rPr>
          <w:rFonts w:hint="eastAsia"/>
        </w:rPr>
        <w:t>）规划方案分析：分析沙珠玉河流域综合规划的目标、指标，规划方案与相关发展规划、环境保护规划的协调性，分析可能受到规划方案影响的环境要素，分析规划方案对这些要素及其实现生态和环境保护目标的影响，分析规划方案与区域环境承载力、生态适宜度的相容性，从而分析规划方案的合理性及其可持续发展的可能性，提出完善沙珠玉河流域综合规划的建议。</w:t>
      </w:r>
    </w:p>
    <w:p w14:paraId="33A99934" w14:textId="77777777" w:rsidR="00054437" w:rsidRPr="000549B1" w:rsidRDefault="00000000" w:rsidP="000549B1">
      <w:pPr>
        <w:pStyle w:val="x"/>
      </w:pPr>
      <w:r w:rsidRPr="000549B1">
        <w:rPr>
          <w:rFonts w:hint="eastAsia"/>
        </w:rPr>
        <w:t>（</w:t>
      </w:r>
      <w:r w:rsidRPr="000549B1">
        <w:rPr>
          <w:rFonts w:hint="eastAsia"/>
        </w:rPr>
        <w:t>2</w:t>
      </w:r>
      <w:r w:rsidRPr="000549B1">
        <w:rPr>
          <w:rFonts w:hint="eastAsia"/>
        </w:rPr>
        <w:t>）环境现状分析：通过现状调查，对规划范围内的各环境要素质量现状进行分析评价，确定规划区内有利条件和不利因素。并梳理流域开发、利用和保护历程，分析流域生态环境演变趋势，总结流域存在的主要环境问题和制约因素等。</w:t>
      </w:r>
    </w:p>
    <w:p w14:paraId="2831642E" w14:textId="77777777" w:rsidR="00054437" w:rsidRPr="000549B1" w:rsidRDefault="00000000" w:rsidP="000549B1">
      <w:pPr>
        <w:pStyle w:val="x"/>
      </w:pPr>
      <w:r w:rsidRPr="000549B1">
        <w:rPr>
          <w:rFonts w:hint="eastAsia"/>
        </w:rPr>
        <w:t>（</w:t>
      </w:r>
      <w:r w:rsidRPr="000549B1">
        <w:rPr>
          <w:rFonts w:hint="eastAsia"/>
        </w:rPr>
        <w:t>3</w:t>
      </w:r>
      <w:r w:rsidRPr="000549B1">
        <w:rPr>
          <w:rFonts w:hint="eastAsia"/>
        </w:rPr>
        <w:t>）环境影响预测：根据不同的情景设定分析规划建设可能带来的直接或间接影响，特别是规划的累积影响，提出规划调整完善的建议和减缓环境影响的措施。</w:t>
      </w:r>
    </w:p>
    <w:p w14:paraId="4D998C1B" w14:textId="77777777" w:rsidR="00054437" w:rsidRPr="000549B1" w:rsidRDefault="00000000" w:rsidP="000549B1">
      <w:pPr>
        <w:pStyle w:val="x"/>
      </w:pPr>
      <w:r w:rsidRPr="000549B1">
        <w:rPr>
          <w:rFonts w:hint="eastAsia"/>
        </w:rPr>
        <w:t>（</w:t>
      </w:r>
      <w:r w:rsidRPr="000549B1">
        <w:rPr>
          <w:rFonts w:hint="eastAsia"/>
        </w:rPr>
        <w:t>4</w:t>
      </w:r>
      <w:r w:rsidRPr="000549B1">
        <w:rPr>
          <w:rFonts w:hint="eastAsia"/>
        </w:rPr>
        <w:t>）生态环境影响评价：对规划区域生态现状进行调查和评价，分析规划实施可能造成的生态影响，对环境敏感区的影响应重点分析。</w:t>
      </w:r>
    </w:p>
    <w:p w14:paraId="47AB2574" w14:textId="77777777" w:rsidR="00054437" w:rsidRPr="000549B1" w:rsidRDefault="00000000" w:rsidP="000549B1">
      <w:pPr>
        <w:pStyle w:val="x"/>
      </w:pPr>
      <w:r w:rsidRPr="000549B1">
        <w:rPr>
          <w:rFonts w:hint="eastAsia"/>
        </w:rPr>
        <w:t>（</w:t>
      </w:r>
      <w:r w:rsidRPr="000549B1">
        <w:rPr>
          <w:rFonts w:hint="eastAsia"/>
        </w:rPr>
        <w:t>5</w:t>
      </w:r>
      <w:r w:rsidRPr="000549B1">
        <w:rPr>
          <w:rFonts w:hint="eastAsia"/>
        </w:rPr>
        <w:t>）承载力分析：按照资源和环境两个方面分别评价规划实施对资源承载力和环境承载力的影响，分析规划区是否能够承载区域的发展规划，并提出意见和建议。</w:t>
      </w:r>
    </w:p>
    <w:p w14:paraId="3D9F0B33" w14:textId="77777777" w:rsidR="00054437" w:rsidRPr="000549B1" w:rsidRDefault="00000000">
      <w:pPr>
        <w:pStyle w:val="x"/>
      </w:pPr>
      <w:r w:rsidRPr="000549B1">
        <w:rPr>
          <w:rFonts w:hint="eastAsia"/>
        </w:rPr>
        <w:t>（</w:t>
      </w:r>
      <w:r w:rsidRPr="000549B1">
        <w:rPr>
          <w:rFonts w:hint="eastAsia"/>
        </w:rPr>
        <w:t>6</w:t>
      </w:r>
      <w:r w:rsidRPr="000549B1">
        <w:rPr>
          <w:rFonts w:hint="eastAsia"/>
        </w:rPr>
        <w:t>）环境保护措施：针对规划可能会产生的影响，具体落实环境污染控制和生态调控策略等关键内容。</w:t>
      </w:r>
    </w:p>
    <w:p w14:paraId="552F9792" w14:textId="72041183" w:rsidR="00054437" w:rsidRPr="000549B1" w:rsidRDefault="00000000">
      <w:pPr>
        <w:pStyle w:val="zhang3"/>
        <w:spacing w:before="156" w:after="156"/>
      </w:pPr>
      <w:r w:rsidRPr="000549B1">
        <w:rPr>
          <w:rFonts w:hint="eastAsia"/>
        </w:rPr>
        <w:t>评价重点</w:t>
      </w:r>
    </w:p>
    <w:p w14:paraId="585DAAAF" w14:textId="6A9100E8" w:rsidR="00054437" w:rsidRPr="000549B1" w:rsidRDefault="00000000" w:rsidP="000549B1">
      <w:pPr>
        <w:pStyle w:val="x"/>
      </w:pPr>
      <w:r w:rsidRPr="000549B1">
        <w:rPr>
          <w:rFonts w:hint="eastAsia"/>
        </w:rPr>
        <w:t>（</w:t>
      </w:r>
      <w:r w:rsidRPr="000549B1">
        <w:rPr>
          <w:rFonts w:hint="eastAsia"/>
        </w:rPr>
        <w:t>1</w:t>
      </w:r>
      <w:r w:rsidRPr="000549B1">
        <w:rPr>
          <w:rFonts w:hint="eastAsia"/>
        </w:rPr>
        <w:t>）规划分析：全面分析规划方案，熟悉规划编制的每个具体环节，理解流域存在的主要生态环境问题，掌握规划项目布局，明确各项工程和非工程措施。尤其是重大水利工程的选址选线、开发规模、建设时序等。</w:t>
      </w:r>
    </w:p>
    <w:p w14:paraId="013DAC6F" w14:textId="77777777" w:rsidR="00054437" w:rsidRPr="000549B1" w:rsidRDefault="00000000" w:rsidP="000549B1">
      <w:pPr>
        <w:pStyle w:val="x"/>
      </w:pPr>
      <w:r w:rsidRPr="000549B1">
        <w:rPr>
          <w:rFonts w:hint="eastAsia"/>
        </w:rPr>
        <w:t>（</w:t>
      </w:r>
      <w:r w:rsidRPr="000549B1">
        <w:rPr>
          <w:rFonts w:hint="eastAsia"/>
        </w:rPr>
        <w:t>2</w:t>
      </w:r>
      <w:r w:rsidRPr="000549B1">
        <w:rPr>
          <w:rFonts w:hint="eastAsia"/>
        </w:rPr>
        <w:t>）现状调查与评价：全面调研查勘流域内生态环境现状，包括水文水资源、水环境和生态。并结合流域生态环境回顾性分析，总结出流域生态环境的变化趋势和存在问题。结合规划方案，分析规划实施的制约因素。</w:t>
      </w:r>
    </w:p>
    <w:p w14:paraId="2349EB1D" w14:textId="35D7D516" w:rsidR="00054437" w:rsidRPr="000549B1" w:rsidRDefault="00000000" w:rsidP="000549B1">
      <w:pPr>
        <w:pStyle w:val="x"/>
      </w:pPr>
      <w:r w:rsidRPr="000549B1">
        <w:rPr>
          <w:rFonts w:hint="eastAsia"/>
        </w:rPr>
        <w:t>（</w:t>
      </w:r>
      <w:r w:rsidRPr="000549B1">
        <w:rPr>
          <w:rFonts w:hint="eastAsia"/>
        </w:rPr>
        <w:t>3</w:t>
      </w:r>
      <w:r w:rsidRPr="000549B1">
        <w:rPr>
          <w:rFonts w:hint="eastAsia"/>
        </w:rPr>
        <w:t>）构建环境评价指标体系：参照《规划环境影响评价技术导则流域综合规划》（</w:t>
      </w:r>
      <w:r w:rsidRPr="000549B1">
        <w:rPr>
          <w:rFonts w:hint="eastAsia"/>
        </w:rPr>
        <w:t>HJ1218</w:t>
      </w:r>
      <w:r w:rsidRPr="000549B1">
        <w:rPr>
          <w:rFonts w:hint="eastAsia"/>
        </w:rPr>
        <w:t>—</w:t>
      </w:r>
      <w:r w:rsidRPr="000549B1">
        <w:rPr>
          <w:rFonts w:hint="eastAsia"/>
        </w:rPr>
        <w:t>2021</w:t>
      </w:r>
      <w:r w:rsidRPr="000549B1">
        <w:rPr>
          <w:rFonts w:hint="eastAsia"/>
        </w:rPr>
        <w:t>）附录</w:t>
      </w:r>
      <w:r w:rsidRPr="000549B1">
        <w:rPr>
          <w:rFonts w:hint="eastAsia"/>
        </w:rPr>
        <w:t>A</w:t>
      </w:r>
      <w:r w:rsidRPr="000549B1">
        <w:rPr>
          <w:rFonts w:hint="eastAsia"/>
        </w:rPr>
        <w:t>，确定规划的环境目标及环境评价指标体系。依据沙珠玉河流域生态环境特点，合理选取可选指标。</w:t>
      </w:r>
    </w:p>
    <w:p w14:paraId="6ABD9723" w14:textId="77777777" w:rsidR="00054437" w:rsidRPr="000549B1" w:rsidRDefault="00000000" w:rsidP="000549B1">
      <w:pPr>
        <w:pStyle w:val="x"/>
      </w:pPr>
      <w:r w:rsidRPr="000549B1">
        <w:rPr>
          <w:rFonts w:hint="eastAsia"/>
        </w:rPr>
        <w:t>（</w:t>
      </w:r>
      <w:r w:rsidRPr="000549B1">
        <w:rPr>
          <w:rFonts w:hint="eastAsia"/>
        </w:rPr>
        <w:t>4</w:t>
      </w:r>
      <w:r w:rsidRPr="000549B1">
        <w:rPr>
          <w:rFonts w:hint="eastAsia"/>
        </w:rPr>
        <w:t>）流域资源环境承载评估：</w:t>
      </w:r>
      <w:r w:rsidRPr="000549B1">
        <w:t>在充分利用已有成果评价资源环境承载力的基础上，分析规划实施后重要河段水资源量与用水量、控制断面水环境质量的变化，围绕设定的规划开发情景评估流域水资源、水环境、生态环境对规划实施的承载状态及其变化趋势</w:t>
      </w:r>
      <w:r w:rsidRPr="000549B1">
        <w:rPr>
          <w:rFonts w:hint="eastAsia"/>
        </w:rPr>
        <w:t>。</w:t>
      </w:r>
    </w:p>
    <w:p w14:paraId="3226E38D" w14:textId="57DCB366" w:rsidR="00054437" w:rsidRPr="000549B1" w:rsidRDefault="00000000">
      <w:pPr>
        <w:pStyle w:val="x"/>
      </w:pPr>
      <w:r w:rsidRPr="000549B1">
        <w:rPr>
          <w:rFonts w:hint="eastAsia"/>
        </w:rPr>
        <w:t>（</w:t>
      </w:r>
      <w:r w:rsidRPr="000549B1">
        <w:rPr>
          <w:rFonts w:hint="eastAsia"/>
        </w:rPr>
        <w:t>5</w:t>
      </w:r>
      <w:r w:rsidRPr="000549B1">
        <w:rPr>
          <w:rFonts w:hint="eastAsia"/>
        </w:rPr>
        <w:t>）环境合理性分析和优化调整建议：基于对沙珠玉河流域生态环境现状和预测结果，以及规划实施的制约因素和流域资源环境承载力，从规划定位和规划环境目标、规划任务布局和重大工程选址、规划开发利用规模和重大工程规模、规划时序安排和建设方式等四个方面综合分析规划方案的环境合理性。并从流域水资源开发利用、水环境质量、生态安全、生态环境质量等方面，定性或定量论述规划环境目标的可达性和环境效益。根据分析结果，提出针对性的规划优化调整建议。</w:t>
      </w:r>
    </w:p>
    <w:p w14:paraId="4BB9907D" w14:textId="1D080F2A" w:rsidR="00054437" w:rsidRPr="000549B1" w:rsidRDefault="00000000">
      <w:pPr>
        <w:pStyle w:val="2"/>
        <w:rPr>
          <w:rFonts w:ascii="Times New Roman" w:hAnsi="Times New Roman"/>
        </w:rPr>
      </w:pPr>
      <w:bookmarkStart w:id="121" w:name="_Toc14768"/>
      <w:bookmarkStart w:id="122" w:name="_Toc529456891"/>
      <w:bookmarkStart w:id="123" w:name="_Toc208583884"/>
      <w:bookmarkStart w:id="124" w:name="_Toc9144527"/>
      <w:bookmarkStart w:id="125" w:name="_Toc216107002"/>
      <w:r w:rsidRPr="000549B1">
        <w:rPr>
          <w:rFonts w:ascii="Times New Roman" w:hAnsi="Times New Roman" w:hint="eastAsia"/>
        </w:rPr>
        <w:t>评价流程</w:t>
      </w:r>
      <w:bookmarkEnd w:id="121"/>
      <w:bookmarkEnd w:id="122"/>
      <w:bookmarkEnd w:id="123"/>
      <w:bookmarkEnd w:id="124"/>
      <w:bookmarkEnd w:id="125"/>
    </w:p>
    <w:p w14:paraId="730242E4" w14:textId="77777777" w:rsidR="00054437" w:rsidRPr="000549B1" w:rsidRDefault="00000000">
      <w:pPr>
        <w:pStyle w:val="zhang3"/>
        <w:spacing w:before="156" w:after="156"/>
      </w:pPr>
      <w:bookmarkStart w:id="126" w:name="_Hlk216026506"/>
      <w:r w:rsidRPr="000549B1">
        <w:rPr>
          <w:rFonts w:hint="eastAsia"/>
        </w:rPr>
        <w:t>工作流程</w:t>
      </w:r>
    </w:p>
    <w:bookmarkEnd w:id="126"/>
    <w:p w14:paraId="533F7FC2" w14:textId="77777777" w:rsidR="00054437" w:rsidRPr="000549B1" w:rsidRDefault="00000000">
      <w:pPr>
        <w:pStyle w:val="x"/>
      </w:pPr>
      <w:r w:rsidRPr="000549B1">
        <w:t>规划环境影响评价应在规划编制的早期阶段介入，并与规划编制、论证及审定等关键环节和过程充分互动，互动内容一般包括：</w:t>
      </w:r>
    </w:p>
    <w:p w14:paraId="6D2C2148" w14:textId="6B6B00DF" w:rsidR="00054437" w:rsidRPr="000549B1" w:rsidRDefault="00000000">
      <w:pPr>
        <w:pStyle w:val="x"/>
      </w:pPr>
      <w:r w:rsidRPr="000549B1">
        <w:rPr>
          <w:rFonts w:hint="eastAsia"/>
        </w:rPr>
        <w:t>1</w:t>
      </w:r>
      <w:r w:rsidRPr="000549B1">
        <w:rPr>
          <w:rFonts w:hint="eastAsia"/>
        </w:rPr>
        <w:t>、</w:t>
      </w:r>
      <w:r w:rsidRPr="000549B1">
        <w:t>在规划前期阶段，同步开展规划环评工作。通过对规划内容的分析，收集与规划相关的法律法规、环境政策等，收集上层位规划及</w:t>
      </w:r>
      <w:r w:rsidRPr="000549B1">
        <w:rPr>
          <w:rFonts w:ascii="宋体" w:hAnsi="宋体"/>
        </w:rPr>
        <w:t>“</w:t>
      </w:r>
      <w:r w:rsidRPr="000549B1">
        <w:t>三线一单</w:t>
      </w:r>
      <w:r w:rsidRPr="000549B1">
        <w:rPr>
          <w:rFonts w:ascii="宋体" w:hAnsi="宋体"/>
        </w:rPr>
        <w:t>”</w:t>
      </w:r>
      <w:r w:rsidRPr="000549B1">
        <w:t>成果，对规划区域及可能受影响的区域进行现场踏勘，收集相关基础数据资料，初步调查环境敏感区情况，识别规划实施的主要环境影响，分析提出规划实施的资源、生态、环境制约因素，反馈给规划编制机关。</w:t>
      </w:r>
    </w:p>
    <w:p w14:paraId="21AAB920" w14:textId="58E10DC4" w:rsidR="00054437" w:rsidRPr="000549B1" w:rsidRDefault="00000000">
      <w:pPr>
        <w:pStyle w:val="x"/>
      </w:pPr>
      <w:r w:rsidRPr="000549B1">
        <w:rPr>
          <w:rFonts w:hint="eastAsia"/>
        </w:rPr>
        <w:t>2</w:t>
      </w:r>
      <w:r w:rsidRPr="000549B1">
        <w:rPr>
          <w:rFonts w:hint="eastAsia"/>
        </w:rPr>
        <w:t>、</w:t>
      </w:r>
      <w:r w:rsidRPr="000549B1">
        <w:t>在规划方案编制阶段，完成现状调查与评价，提出环境影响评价指标体系，分析、预测和评价拟定规划方案实施的资源、生态、环境影响，并将评价结果和结论反馈给规划编制机关，作为方案比选和优化的参考和依据。</w:t>
      </w:r>
    </w:p>
    <w:p w14:paraId="538A8C30" w14:textId="6F0BD5D9" w:rsidR="00054437" w:rsidRPr="000549B1" w:rsidRDefault="00000000">
      <w:pPr>
        <w:pStyle w:val="x"/>
      </w:pPr>
      <w:r w:rsidRPr="000549B1">
        <w:rPr>
          <w:rFonts w:hint="eastAsia"/>
        </w:rPr>
        <w:t>3</w:t>
      </w:r>
      <w:r w:rsidRPr="000549B1">
        <w:rPr>
          <w:rFonts w:hint="eastAsia"/>
        </w:rPr>
        <w:t>、</w:t>
      </w:r>
      <w:r w:rsidRPr="000549B1">
        <w:t>在规划的审定阶段：</w:t>
      </w:r>
    </w:p>
    <w:p w14:paraId="6B30BED4" w14:textId="12B006BA" w:rsidR="00054437" w:rsidRPr="000549B1" w:rsidRDefault="00000000">
      <w:pPr>
        <w:pStyle w:val="x"/>
        <w:rPr>
          <w:rFonts w:ascii="宋体" w:hAnsi="宋体" w:cs="宋体" w:hint="eastAsia"/>
        </w:rPr>
      </w:pPr>
      <w:r w:rsidRPr="000549B1">
        <w:rPr>
          <w:rFonts w:ascii="宋体" w:hAnsi="宋体" w:cs="宋体" w:hint="eastAsia"/>
        </w:rPr>
        <w:t>a）</w:t>
      </w:r>
      <w:r w:rsidRPr="000549B1">
        <w:t>进一步论证拟推荐的规划方案的环境合理性，形成必要的优化调整建议，反馈给规划编制机关。针对推荐的规划方案提出不良环境影响减缓措施和环境影响跟踪评价计划，编制环境影响报告书。</w:t>
      </w:r>
    </w:p>
    <w:p w14:paraId="01005CC0" w14:textId="77777777" w:rsidR="00054437" w:rsidRPr="000549B1" w:rsidRDefault="00000000">
      <w:pPr>
        <w:pStyle w:val="x"/>
      </w:pPr>
      <w:r w:rsidRPr="000549B1">
        <w:rPr>
          <w:rFonts w:hint="eastAsia"/>
        </w:rPr>
        <w:t>b</w:t>
      </w:r>
      <w:r w:rsidRPr="000549B1">
        <w:rPr>
          <w:rFonts w:hint="eastAsia"/>
        </w:rPr>
        <w:t>）</w:t>
      </w:r>
      <w:r w:rsidRPr="000549B1">
        <w:t>如果拟选定的规划方案在资源、生态、环境方面难以承载，或者可能造成重大不良生态环境影响且无法提出切实可行的预防或减缓对策和措施，或者根据现有的数据资料和专家知识对可能产生的不良生态环境影响的程度、范围等无法做出科学判断，应向规划编制机关提出对规划方案做出重大修改的建议并说明理由。</w:t>
      </w:r>
    </w:p>
    <w:p w14:paraId="53B523B5" w14:textId="27B7DE23" w:rsidR="00054437" w:rsidRPr="000549B1" w:rsidRDefault="00000000">
      <w:pPr>
        <w:pStyle w:val="x"/>
      </w:pPr>
      <w:r w:rsidRPr="000549B1">
        <w:rPr>
          <w:rFonts w:hint="eastAsia"/>
        </w:rPr>
        <w:t>4</w:t>
      </w:r>
      <w:r w:rsidRPr="000549B1">
        <w:rPr>
          <w:rFonts w:hint="eastAsia"/>
        </w:rPr>
        <w:t>、</w:t>
      </w:r>
      <w:r w:rsidRPr="000549B1">
        <w:t>规划环境影响报告书审查会后，应根据审查小组提出的修改意见和审查意见对报告书进行修改完善。</w:t>
      </w:r>
    </w:p>
    <w:p w14:paraId="787EED0E" w14:textId="5BF9F973" w:rsidR="00054437" w:rsidRPr="000549B1" w:rsidRDefault="00000000">
      <w:pPr>
        <w:pStyle w:val="x"/>
      </w:pPr>
      <w:r w:rsidRPr="000549B1">
        <w:rPr>
          <w:rFonts w:hint="eastAsia"/>
        </w:rPr>
        <w:t>5</w:t>
      </w:r>
      <w:r w:rsidRPr="000549B1">
        <w:rPr>
          <w:rFonts w:hint="eastAsia"/>
        </w:rPr>
        <w:t>、</w:t>
      </w:r>
      <w:r w:rsidRPr="000549B1">
        <w:t>在规划报送审批前，应将环境影响评价文件及其审查意见正式提交给规划编制机关。</w:t>
      </w:r>
    </w:p>
    <w:p w14:paraId="3C0A91F5" w14:textId="275E5223" w:rsidR="00054437" w:rsidRPr="000549B1" w:rsidRDefault="00000000">
      <w:pPr>
        <w:pStyle w:val="zhang3"/>
        <w:spacing w:before="156" w:after="156"/>
      </w:pPr>
      <w:r w:rsidRPr="000549B1">
        <w:rPr>
          <w:rFonts w:hint="eastAsia"/>
        </w:rPr>
        <w:t>技术流程</w:t>
      </w:r>
    </w:p>
    <w:p w14:paraId="2DE0A32B" w14:textId="3DD13AE7" w:rsidR="00F32CCA" w:rsidRPr="000549B1" w:rsidRDefault="00000000" w:rsidP="00F32CCA">
      <w:pPr>
        <w:ind w:firstLineChars="200" w:firstLine="480"/>
      </w:pPr>
      <w:r w:rsidRPr="000549B1">
        <w:rPr>
          <w:rFonts w:hint="eastAsia"/>
          <w:kern w:val="0"/>
          <w:sz w:val="24"/>
          <w:szCs w:val="20"/>
        </w:rPr>
        <w:t>规划环境影响评价的技术流程见</w:t>
      </w:r>
      <w:r w:rsidR="00F32CCA" w:rsidRPr="00F32CCA">
        <w:rPr>
          <w:noProof/>
        </w:rPr>
        <w:drawing>
          <wp:inline distT="0" distB="0" distL="114300" distR="114300" wp14:anchorId="46CC13A1" wp14:editId="0A5F7A88">
            <wp:extent cx="5438140" cy="5734050"/>
            <wp:effectExtent l="0" t="0" r="10160" b="0"/>
            <wp:docPr id="201363074" name="图片 3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36" descr="IMG_256"/>
                    <pic:cNvPicPr>
                      <a:picLocks noChangeAspect="1"/>
                    </pic:cNvPicPr>
                  </pic:nvPicPr>
                  <pic:blipFill>
                    <a:blip r:embed="rId14" cstate="email">
                      <a:extLst>
                        <a:ext uri="{28A0092B-C50C-407E-A947-70E740481C1C}">
                          <a14:useLocalDpi xmlns:a14="http://schemas.microsoft.com/office/drawing/2010/main"/>
                        </a:ext>
                      </a:extLst>
                    </a:blip>
                    <a:stretch>
                      <a:fillRect/>
                    </a:stretch>
                  </pic:blipFill>
                  <pic:spPr>
                    <a:xfrm>
                      <a:off x="0" y="0"/>
                      <a:ext cx="5438140" cy="5734050"/>
                    </a:xfrm>
                    <a:prstGeom prst="rect">
                      <a:avLst/>
                    </a:prstGeom>
                    <a:noFill/>
                    <a:ln w="9525">
                      <a:noFill/>
                    </a:ln>
                  </pic:spPr>
                </pic:pic>
              </a:graphicData>
            </a:graphic>
          </wp:inline>
        </w:drawing>
      </w:r>
    </w:p>
    <w:p w14:paraId="7156EB6A" w14:textId="04D6C1B0" w:rsidR="00054437" w:rsidRPr="00C35C11" w:rsidRDefault="00F32CCA" w:rsidP="00C35C11">
      <w:pPr>
        <w:ind w:firstLineChars="200" w:firstLine="420"/>
      </w:pPr>
      <w:r w:rsidRPr="000549B1">
        <w:t>图</w:t>
      </w:r>
      <w:r>
        <w:rPr>
          <w:noProof/>
        </w:rPr>
        <w:t>1.9</w:t>
      </w:r>
      <w:r>
        <w:noBreakHyphen/>
      </w:r>
      <w:r>
        <w:rPr>
          <w:noProof/>
        </w:rPr>
        <w:t>1</w:t>
      </w:r>
      <w:r w:rsidRPr="000549B1">
        <w:rPr>
          <w:rFonts w:hint="eastAsia"/>
          <w:kern w:val="0"/>
          <w:sz w:val="24"/>
          <w:szCs w:val="20"/>
        </w:rPr>
        <w:t>。</w:t>
      </w:r>
    </w:p>
    <w:p w14:paraId="232450EB" w14:textId="77777777" w:rsidR="00054437" w:rsidRPr="000549B1" w:rsidRDefault="00000000" w:rsidP="000549B1">
      <w:pPr>
        <w:pStyle w:val="aff8"/>
        <w:jc w:val="both"/>
        <w:rPr>
          <w:color w:val="auto"/>
        </w:rPr>
      </w:pPr>
      <w:bookmarkStart w:id="127" w:name="_Ref214974897"/>
      <w:bookmarkStart w:id="128" w:name="_Ref214974888"/>
      <w:r w:rsidRPr="000549B1">
        <w:rPr>
          <w:rFonts w:ascii="宋体" w:hAnsi="宋体" w:cs="宋体"/>
          <w:noProof/>
          <w:color w:val="auto"/>
          <w:sz w:val="24"/>
          <w:szCs w:val="24"/>
        </w:rPr>
        <w:drawing>
          <wp:inline distT="0" distB="0" distL="114300" distR="114300" wp14:anchorId="002DB2E7" wp14:editId="44263F84">
            <wp:extent cx="5438140" cy="5734050"/>
            <wp:effectExtent l="0" t="0" r="10160" b="0"/>
            <wp:docPr id="117" name="图片 3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36" descr="IMG_256"/>
                    <pic:cNvPicPr>
                      <a:picLocks noChangeAspect="1"/>
                    </pic:cNvPicPr>
                  </pic:nvPicPr>
                  <pic:blipFill>
                    <a:blip r:embed="rId14" cstate="email">
                      <a:extLst>
                        <a:ext uri="{28A0092B-C50C-407E-A947-70E740481C1C}">
                          <a14:useLocalDpi xmlns:a14="http://schemas.microsoft.com/office/drawing/2010/main"/>
                        </a:ext>
                      </a:extLst>
                    </a:blip>
                    <a:stretch>
                      <a:fillRect/>
                    </a:stretch>
                  </pic:blipFill>
                  <pic:spPr>
                    <a:xfrm>
                      <a:off x="0" y="0"/>
                      <a:ext cx="5438140" cy="5734050"/>
                    </a:xfrm>
                    <a:prstGeom prst="rect">
                      <a:avLst/>
                    </a:prstGeom>
                    <a:noFill/>
                    <a:ln w="9525">
                      <a:noFill/>
                    </a:ln>
                  </pic:spPr>
                </pic:pic>
              </a:graphicData>
            </a:graphic>
          </wp:inline>
        </w:drawing>
      </w:r>
    </w:p>
    <w:p w14:paraId="69DB5BED" w14:textId="77BF57F1" w:rsidR="00054437" w:rsidRPr="000549B1" w:rsidRDefault="00000000" w:rsidP="000549B1">
      <w:pPr>
        <w:pStyle w:val="aff8"/>
        <w:ind w:firstLine="422"/>
        <w:rPr>
          <w:color w:val="auto"/>
        </w:rPr>
      </w:pPr>
      <w:r w:rsidRPr="000549B1">
        <w:rPr>
          <w:color w:val="auto"/>
        </w:rPr>
        <w:t>图</w:t>
      </w:r>
      <w:r w:rsidR="00F1314B">
        <w:rPr>
          <w:color w:val="auto"/>
        </w:rPr>
        <w:fldChar w:fldCharType="begin"/>
      </w:r>
      <w:r w:rsidR="00F1314B">
        <w:rPr>
          <w:color w:val="auto"/>
        </w:rPr>
        <w:instrText xml:space="preserve"> STYLEREF 2 \s </w:instrText>
      </w:r>
      <w:r w:rsidR="00F1314B">
        <w:rPr>
          <w:color w:val="auto"/>
        </w:rPr>
        <w:fldChar w:fldCharType="separate"/>
      </w:r>
      <w:r w:rsidR="00F32CCA">
        <w:rPr>
          <w:noProof/>
          <w:color w:val="auto"/>
        </w:rPr>
        <w:t>1.9</w:t>
      </w:r>
      <w:r w:rsidR="00F1314B">
        <w:rPr>
          <w:color w:val="auto"/>
        </w:rPr>
        <w:fldChar w:fldCharType="end"/>
      </w:r>
      <w:r w:rsidR="00F1314B">
        <w:rPr>
          <w:color w:val="auto"/>
        </w:rPr>
        <w:noBreakHyphen/>
      </w:r>
      <w:r w:rsidR="00F1314B">
        <w:rPr>
          <w:color w:val="auto"/>
        </w:rPr>
        <w:fldChar w:fldCharType="begin"/>
      </w:r>
      <w:r w:rsidR="00F1314B">
        <w:rPr>
          <w:color w:val="auto"/>
        </w:rPr>
        <w:instrText xml:space="preserve"> SEQ </w:instrText>
      </w:r>
      <w:r w:rsidR="00F1314B">
        <w:rPr>
          <w:color w:val="auto"/>
        </w:rPr>
        <w:instrText>图</w:instrText>
      </w:r>
      <w:r w:rsidR="00F1314B">
        <w:rPr>
          <w:color w:val="auto"/>
        </w:rPr>
        <w:instrText xml:space="preserve"> \* ARABIC \s 2 </w:instrText>
      </w:r>
      <w:r w:rsidR="00F1314B">
        <w:rPr>
          <w:color w:val="auto"/>
        </w:rPr>
        <w:fldChar w:fldCharType="separate"/>
      </w:r>
      <w:r w:rsidR="00F32CCA">
        <w:rPr>
          <w:noProof/>
          <w:color w:val="auto"/>
        </w:rPr>
        <w:t>1</w:t>
      </w:r>
      <w:r w:rsidR="00F1314B">
        <w:rPr>
          <w:color w:val="auto"/>
        </w:rPr>
        <w:fldChar w:fldCharType="end"/>
      </w:r>
      <w:bookmarkEnd w:id="127"/>
      <w:r w:rsidRPr="000549B1">
        <w:rPr>
          <w:bCs/>
          <w:color w:val="auto"/>
        </w:rPr>
        <w:t>评价工作技术流程图</w:t>
      </w:r>
      <w:bookmarkEnd w:id="128"/>
    </w:p>
    <w:p w14:paraId="05F39CAA" w14:textId="77777777" w:rsidR="00054437" w:rsidRPr="000549B1" w:rsidRDefault="00000000">
      <w:r w:rsidRPr="000549B1">
        <w:br w:type="page"/>
      </w:r>
    </w:p>
    <w:p w14:paraId="0E830A2C" w14:textId="77777777" w:rsidR="00054437" w:rsidRPr="000549B1" w:rsidRDefault="00000000">
      <w:pPr>
        <w:pStyle w:val="1"/>
      </w:pPr>
      <w:bookmarkStart w:id="129" w:name="_Toc208583904"/>
      <w:bookmarkStart w:id="130" w:name="_Toc12450"/>
      <w:bookmarkStart w:id="131" w:name="_Toc9144553"/>
      <w:bookmarkStart w:id="132" w:name="_Toc216107003"/>
      <w:r w:rsidRPr="000549B1">
        <w:t>规划分析</w:t>
      </w:r>
      <w:bookmarkEnd w:id="129"/>
      <w:bookmarkEnd w:id="130"/>
      <w:bookmarkEnd w:id="131"/>
      <w:bookmarkEnd w:id="132"/>
    </w:p>
    <w:p w14:paraId="542A019D" w14:textId="77777777" w:rsidR="00054437" w:rsidRPr="000549B1" w:rsidRDefault="00000000">
      <w:pPr>
        <w:pStyle w:val="2"/>
        <w:rPr>
          <w:rFonts w:ascii="Times New Roman" w:hAnsi="Times New Roman"/>
        </w:rPr>
      </w:pPr>
      <w:bookmarkStart w:id="133" w:name="_Toc9144557"/>
      <w:bookmarkStart w:id="134" w:name="_Toc2694"/>
      <w:bookmarkStart w:id="135" w:name="_Toc208583908"/>
      <w:bookmarkStart w:id="136" w:name="_Toc216107004"/>
      <w:r w:rsidRPr="000549B1">
        <w:rPr>
          <w:rFonts w:ascii="Times New Roman" w:hAnsi="Times New Roman"/>
        </w:rPr>
        <w:t>规划概述</w:t>
      </w:r>
      <w:bookmarkEnd w:id="133"/>
      <w:bookmarkEnd w:id="134"/>
      <w:bookmarkEnd w:id="135"/>
      <w:bookmarkEnd w:id="136"/>
    </w:p>
    <w:p w14:paraId="6A8CD6C0" w14:textId="77777777" w:rsidR="00054437" w:rsidRPr="000549B1" w:rsidRDefault="00000000">
      <w:pPr>
        <w:pStyle w:val="zhang3"/>
        <w:spacing w:before="156" w:after="156"/>
      </w:pPr>
      <w:r w:rsidRPr="000549B1">
        <w:t>规划背景</w:t>
      </w:r>
    </w:p>
    <w:p w14:paraId="40E4B68C" w14:textId="77777777" w:rsidR="00054437" w:rsidRPr="000549B1" w:rsidRDefault="00000000">
      <w:pPr>
        <w:pStyle w:val="x"/>
        <w:rPr>
          <w:szCs w:val="24"/>
        </w:rPr>
      </w:pPr>
      <w:r w:rsidRPr="000549B1">
        <w:t>沙珠玉河是青海省海南州共和县境内的一条重要内陆河，流域面积达</w:t>
      </w:r>
      <w:r w:rsidRPr="000549B1">
        <w:t>8660km</w:t>
      </w:r>
      <w:r w:rsidRPr="000549B1">
        <w:rPr>
          <w:vertAlign w:val="superscript"/>
        </w:rPr>
        <w:t>2</w:t>
      </w:r>
      <w:r w:rsidRPr="000549B1">
        <w:t>，是维系当地生态系统和农牧业生产的关键水源。流域地处青藏高原东北缘，气候干旱少雨，水资源时空分布不均，生态环境脆弱，同时面临着水土流失、土地沙化、灌溉供水不足等多重挑战。</w:t>
      </w:r>
    </w:p>
    <w:p w14:paraId="213BDF12" w14:textId="77777777" w:rsidR="00054437" w:rsidRPr="000549B1" w:rsidRDefault="00000000">
      <w:pPr>
        <w:pStyle w:val="x"/>
      </w:pPr>
      <w:r w:rsidRPr="000549B1">
        <w:t>为系统推进沙珠玉河流域治理与保护，优化水资源配置，提升防洪减灾能力，改善水生态环境，促进区域经济社会可持续发展，黄河勘测规划设计研究院有限公司于</w:t>
      </w:r>
      <w:r w:rsidRPr="000549B1">
        <w:t>2025</w:t>
      </w:r>
      <w:r w:rsidRPr="000549B1">
        <w:t>年</w:t>
      </w:r>
      <w:r w:rsidRPr="000549B1">
        <w:t>11</w:t>
      </w:r>
      <w:r w:rsidRPr="000549B1">
        <w:t>月编制完成了《沙珠玉河流域综合规划》。该规划立足于流域自然条件和经济社会发展需求，统筹水资源、水生态、水环境、水灾害治理，明确了至</w:t>
      </w:r>
      <w:r w:rsidRPr="000549B1">
        <w:t>2035</w:t>
      </w:r>
      <w:r w:rsidRPr="000549B1">
        <w:t>年的发展目标、重点任务和重大工程布局，是指导今后一段时期沙珠玉河流域保护、治理、开发与管理的重要依据。</w:t>
      </w:r>
    </w:p>
    <w:p w14:paraId="10E97096" w14:textId="77777777" w:rsidR="00054437" w:rsidRPr="000549B1" w:rsidRDefault="00000000">
      <w:pPr>
        <w:pStyle w:val="x"/>
      </w:pPr>
      <w:r w:rsidRPr="000549B1">
        <w:t>当前，沙珠玉河流域已初步建成以蓄水、引水工程为主的灌溉供水系统，但仍存在水资源短缺、工程调控能力不足、部分河段防洪能力薄弱、生态用水保障不充分等问题。随着经济社会发展和生态保护要求的不断提高，亟需通过系统规划，进一步优化流域治理开发格局，提升水资源节约集约利用水平，筑牢区域生态安全屏障，为实现沙珠玉河流域高质量发展提供坚实的水利支撑和保障。</w:t>
      </w:r>
    </w:p>
    <w:p w14:paraId="25DBF44C" w14:textId="4853326C" w:rsidR="00054437" w:rsidRPr="000549B1" w:rsidRDefault="00000000">
      <w:pPr>
        <w:pStyle w:val="zhang3"/>
        <w:spacing w:before="156" w:after="156"/>
      </w:pPr>
      <w:r w:rsidRPr="000549B1">
        <w:t>规划</w:t>
      </w:r>
      <w:r w:rsidRPr="000549B1">
        <w:rPr>
          <w:rFonts w:hint="eastAsia"/>
        </w:rPr>
        <w:t>范围和水平年</w:t>
      </w:r>
    </w:p>
    <w:p w14:paraId="4BA9B9A0" w14:textId="77777777" w:rsidR="00054437" w:rsidRPr="000549B1" w:rsidRDefault="00000000">
      <w:pPr>
        <w:pStyle w:val="x"/>
      </w:pPr>
      <w:r w:rsidRPr="000549B1">
        <w:t>（</w:t>
      </w:r>
      <w:r w:rsidRPr="000549B1">
        <w:t>1</w:t>
      </w:r>
      <w:r w:rsidRPr="000549B1">
        <w:t>）规划范围</w:t>
      </w:r>
    </w:p>
    <w:p w14:paraId="4942FA81" w14:textId="77777777" w:rsidR="00054437" w:rsidRPr="000549B1" w:rsidRDefault="00000000">
      <w:pPr>
        <w:pStyle w:val="x"/>
      </w:pPr>
      <w:r w:rsidRPr="000549B1">
        <w:t>本次规划范围为沙珠玉河干流、右岸主要支流及河卡的操什达河（后统称为沙珠玉河流域），涉及青海省海南州共和县石乃亥镇、黑马河镇、廿地乡、沙珠玉乡、切吉乡、塘格木镇和兴海县的河卡镇，共计</w:t>
      </w:r>
      <w:r w:rsidRPr="000549B1">
        <w:t>7</w:t>
      </w:r>
      <w:r w:rsidRPr="000549B1">
        <w:t>个乡镇，流域面积</w:t>
      </w:r>
      <w:r w:rsidRPr="000549B1">
        <w:t>8660km</w:t>
      </w:r>
      <w:r w:rsidRPr="000549B1">
        <w:rPr>
          <w:vertAlign w:val="superscript"/>
        </w:rPr>
        <w:t>2</w:t>
      </w:r>
      <w:r w:rsidRPr="000549B1">
        <w:t>。</w:t>
      </w:r>
    </w:p>
    <w:p w14:paraId="066B3B98" w14:textId="77777777" w:rsidR="00054437" w:rsidRPr="000549B1" w:rsidRDefault="00000000">
      <w:pPr>
        <w:pStyle w:val="x"/>
      </w:pPr>
      <w:r w:rsidRPr="000549B1">
        <w:t>（</w:t>
      </w:r>
      <w:r w:rsidRPr="000549B1">
        <w:t>2</w:t>
      </w:r>
      <w:r w:rsidRPr="000549B1">
        <w:t>）规划水平年</w:t>
      </w:r>
    </w:p>
    <w:p w14:paraId="5AD9E486" w14:textId="77777777" w:rsidR="00054437" w:rsidRPr="000549B1" w:rsidRDefault="00000000">
      <w:pPr>
        <w:pStyle w:val="x"/>
      </w:pPr>
      <w:r w:rsidRPr="000549B1">
        <w:t>根据《江河流域规划编制规程》（</w:t>
      </w:r>
      <w:r w:rsidRPr="000549B1">
        <w:t>SL201-2015</w:t>
      </w:r>
      <w:r w:rsidRPr="000549B1">
        <w:t>）规定，本次规划修编水平年为：现状基准年为</w:t>
      </w:r>
      <w:r w:rsidRPr="000549B1">
        <w:t>2024</w:t>
      </w:r>
      <w:r w:rsidRPr="000549B1">
        <w:t>年，规划水平年</w:t>
      </w:r>
      <w:r w:rsidRPr="000549B1">
        <w:t>2035</w:t>
      </w:r>
      <w:r w:rsidRPr="000549B1">
        <w:t>年。</w:t>
      </w:r>
    </w:p>
    <w:p w14:paraId="103843A3" w14:textId="48958169" w:rsidR="00054437" w:rsidRPr="000549B1" w:rsidRDefault="00000000">
      <w:pPr>
        <w:pStyle w:val="3"/>
      </w:pPr>
      <w:bookmarkStart w:id="137" w:name="_Toc216107005"/>
      <w:r w:rsidRPr="000549B1">
        <w:rPr>
          <w:rStyle w:val="aff0"/>
          <w:b/>
          <w:bCs w:val="0"/>
        </w:rPr>
        <w:t>规划目标</w:t>
      </w:r>
      <w:r w:rsidRPr="000549B1">
        <w:rPr>
          <w:rStyle w:val="aff0"/>
          <w:rFonts w:hint="eastAsia"/>
          <w:b/>
          <w:bCs w:val="0"/>
        </w:rPr>
        <w:t>与主要</w:t>
      </w:r>
      <w:r w:rsidRPr="000549B1">
        <w:rPr>
          <w:rStyle w:val="aff0"/>
          <w:b/>
          <w:bCs w:val="0"/>
        </w:rPr>
        <w:t>控制指标</w:t>
      </w:r>
      <w:bookmarkEnd w:id="137"/>
    </w:p>
    <w:p w14:paraId="70773E8E" w14:textId="77777777" w:rsidR="00054437" w:rsidRPr="000549B1" w:rsidRDefault="00000000">
      <w:pPr>
        <w:pStyle w:val="x"/>
      </w:pPr>
      <w:r w:rsidRPr="000549B1">
        <w:t>（</w:t>
      </w:r>
      <w:r w:rsidRPr="000549B1">
        <w:t>1</w:t>
      </w:r>
      <w:r w:rsidRPr="000549B1">
        <w:t>）规划目标</w:t>
      </w:r>
    </w:p>
    <w:p w14:paraId="29A7C852" w14:textId="77777777" w:rsidR="00054437" w:rsidRPr="000549B1" w:rsidRDefault="00000000">
      <w:pPr>
        <w:pStyle w:val="x"/>
      </w:pPr>
      <w:r w:rsidRPr="000549B1">
        <w:t>1</w:t>
      </w:r>
      <w:r w:rsidRPr="000549B1">
        <w:t>）总体目标</w:t>
      </w:r>
    </w:p>
    <w:p w14:paraId="24BCB9A6" w14:textId="77777777" w:rsidR="00054437" w:rsidRPr="000549B1" w:rsidRDefault="00000000">
      <w:pPr>
        <w:pStyle w:val="x"/>
      </w:pPr>
      <w:r w:rsidRPr="000549B1">
        <w:t>到</w:t>
      </w:r>
      <w:r w:rsidRPr="000549B1">
        <w:t>2035</w:t>
      </w:r>
      <w:r w:rsidRPr="000549B1">
        <w:t>年，建成与沙珠玉河流域经济社会发展相适应的水资源安全保障体系、防洪减灾体系、水生态保护体系和现代水管理体系，实现水资源的高效集约利用、河湖生态的有效恢复、防洪安全的可靠保障，支撑流域经济社会可持续发展与生态环境高水平保护。</w:t>
      </w:r>
    </w:p>
    <w:p w14:paraId="772AD032" w14:textId="77777777" w:rsidR="00054437" w:rsidRPr="000549B1" w:rsidRDefault="00000000">
      <w:pPr>
        <w:pStyle w:val="x"/>
      </w:pPr>
      <w:r w:rsidRPr="000549B1">
        <w:t>2</w:t>
      </w:r>
      <w:r w:rsidRPr="000549B1">
        <w:t>）分项目标</w:t>
      </w:r>
    </w:p>
    <w:p w14:paraId="5C846566" w14:textId="77777777" w:rsidR="00054437" w:rsidRPr="000549B1" w:rsidRDefault="00000000">
      <w:pPr>
        <w:pStyle w:val="x"/>
      </w:pPr>
      <w:r w:rsidRPr="000549B1">
        <w:t>水资源节约集约利用目标：灌溉水利用系数由现状的</w:t>
      </w:r>
      <w:r w:rsidRPr="000549B1">
        <w:t>0.467</w:t>
      </w:r>
      <w:r w:rsidRPr="000549B1">
        <w:t>提高到</w:t>
      </w:r>
      <w:r w:rsidRPr="000549B1">
        <w:t>0.6</w:t>
      </w:r>
      <w:r w:rsidRPr="000549B1">
        <w:t>以上。万元工业增加值用水量控制在</w:t>
      </w:r>
      <w:r w:rsidRPr="000549B1">
        <w:t>7.0m³/</w:t>
      </w:r>
      <w:r w:rsidRPr="000549B1">
        <w:t>万元以下。城镇供水管网漏损率控制在</w:t>
      </w:r>
      <w:r w:rsidRPr="000549B1">
        <w:t>8%</w:t>
      </w:r>
      <w:r w:rsidRPr="000549B1">
        <w:t>左右。</w:t>
      </w:r>
    </w:p>
    <w:p w14:paraId="65E56858" w14:textId="72EC17A0" w:rsidR="00054437" w:rsidRPr="000549B1" w:rsidRDefault="00000000">
      <w:pPr>
        <w:pStyle w:val="x"/>
      </w:pPr>
      <w:r w:rsidRPr="000549B1">
        <w:t>供水安全保障目标：通过新建水源工程和跨流域调水，有效解决资源性缺水问题，大幅提高灌溉保证率。有效灌溉面积从现状</w:t>
      </w:r>
      <w:r w:rsidRPr="000549B1">
        <w:t>40.60</w:t>
      </w:r>
      <w:r w:rsidRPr="000549B1">
        <w:t>万亩发展至</w:t>
      </w:r>
      <w:r w:rsidRPr="000549B1">
        <w:t>80.71</w:t>
      </w:r>
      <w:r w:rsidRPr="000549B1">
        <w:t>万亩（其中农田</w:t>
      </w:r>
      <w:r w:rsidRPr="000549B1">
        <w:t>46.28</w:t>
      </w:r>
      <w:r w:rsidRPr="000549B1">
        <w:t>万亩，</w:t>
      </w:r>
      <w:r w:rsidR="00AE38DE" w:rsidRPr="000549B1">
        <w:t>林草地灌溉面积达到</w:t>
      </w:r>
      <w:r w:rsidR="00AE38DE" w:rsidRPr="000549B1">
        <w:t>34.43</w:t>
      </w:r>
      <w:r w:rsidR="00AE38DE" w:rsidRPr="000549B1">
        <w:t>万亩</w:t>
      </w:r>
      <w:r w:rsidRPr="000549B1">
        <w:t>），实灌率显著提升。全面保障城乡人畜饮水安全，供水稳定性和保证率得到根本改善。</w:t>
      </w:r>
    </w:p>
    <w:p w14:paraId="119F2F25" w14:textId="77777777" w:rsidR="00054437" w:rsidRPr="000549B1" w:rsidRDefault="00000000">
      <w:pPr>
        <w:pStyle w:val="x"/>
      </w:pPr>
      <w:r w:rsidRPr="000549B1">
        <w:t>防洪减灾安全目标：完成沙珠玉河干流及主要支流重点河段治理，使沿岸乡镇、集中居民点和重要基础设施的防洪标准达到</w:t>
      </w:r>
      <w:r w:rsidRPr="000549B1">
        <w:t>10</w:t>
      </w:r>
      <w:r w:rsidRPr="000549B1">
        <w:t>年一遇。建成覆盖全面的山洪灾害监测预警系统和高效的群测群防体系，扭转重点河段防洪能力薄弱的局面。</w:t>
      </w:r>
    </w:p>
    <w:p w14:paraId="77540F40" w14:textId="77777777" w:rsidR="00054437" w:rsidRPr="000549B1" w:rsidRDefault="00000000">
      <w:pPr>
        <w:pStyle w:val="x"/>
      </w:pPr>
      <w:r w:rsidRPr="000549B1">
        <w:t>水生态保护与修复目标：流域水功能区水质达标率</w:t>
      </w:r>
      <w:r w:rsidRPr="000549B1">
        <w:t>100%</w:t>
      </w:r>
      <w:r w:rsidRPr="000549B1">
        <w:t>，城镇集中式饮用水水源地水质全面达标。保障河道内基本生态流量，遏制达连海等尾闾湖泊萎缩趋势，流域重要水生态保护目标的生态环境用水基本得到满足。</w:t>
      </w:r>
    </w:p>
    <w:p w14:paraId="6F01F216" w14:textId="0DA91A15" w:rsidR="00054437" w:rsidRPr="000549B1" w:rsidRDefault="00000000">
      <w:pPr>
        <w:pStyle w:val="x"/>
      </w:pPr>
      <w:r w:rsidRPr="000549B1">
        <w:t>水土保持目标：</w:t>
      </w:r>
      <w:r w:rsidR="00A96CD4" w:rsidRPr="000549B1">
        <w:rPr>
          <w:rFonts w:hint="eastAsia"/>
        </w:rPr>
        <w:t>规划到</w:t>
      </w:r>
      <w:r w:rsidR="00A96CD4" w:rsidRPr="000549B1">
        <w:rPr>
          <w:rFonts w:hint="eastAsia"/>
        </w:rPr>
        <w:t>203</w:t>
      </w:r>
      <w:r w:rsidR="00A96CD4" w:rsidRPr="000549B1">
        <w:t>5</w:t>
      </w:r>
      <w:r w:rsidR="00A96CD4" w:rsidRPr="000549B1">
        <w:rPr>
          <w:rFonts w:hint="eastAsia"/>
        </w:rPr>
        <w:t>年，</w:t>
      </w:r>
      <w:r w:rsidR="00AE38DE" w:rsidRPr="000549B1">
        <w:rPr>
          <w:rFonts w:hint="eastAsia"/>
        </w:rPr>
        <w:t>综合防治面积</w:t>
      </w:r>
      <w:r w:rsidR="00AE38DE" w:rsidRPr="000549B1">
        <w:t>860.40km2</w:t>
      </w:r>
      <w:r w:rsidR="00AE38DE" w:rsidRPr="000549B1">
        <w:rPr>
          <w:rFonts w:hint="eastAsia"/>
        </w:rPr>
        <w:t>，其中，预防保护规模</w:t>
      </w:r>
      <w:r w:rsidR="00AE38DE" w:rsidRPr="000549B1">
        <w:t>473.22km2</w:t>
      </w:r>
      <w:r w:rsidR="00AE38DE" w:rsidRPr="000549B1">
        <w:rPr>
          <w:rFonts w:hint="eastAsia"/>
        </w:rPr>
        <w:t>，综合治理规模</w:t>
      </w:r>
      <w:r w:rsidR="00AE38DE" w:rsidRPr="000549B1">
        <w:t>387.18km2</w:t>
      </w:r>
      <w:r w:rsidR="00AE38DE" w:rsidRPr="000549B1">
        <w:rPr>
          <w:rFonts w:hint="eastAsia"/>
        </w:rPr>
        <w:t>，规划实施后，可有效控制人为水土流失，保护流域生态环境</w:t>
      </w:r>
      <w:r w:rsidR="00A96CD4" w:rsidRPr="000549B1">
        <w:rPr>
          <w:rFonts w:hint="eastAsia"/>
        </w:rPr>
        <w:t>。</w:t>
      </w:r>
    </w:p>
    <w:p w14:paraId="40D3F39B" w14:textId="77777777" w:rsidR="00054437" w:rsidRPr="000549B1" w:rsidRDefault="00000000">
      <w:pPr>
        <w:pStyle w:val="x"/>
      </w:pPr>
      <w:r w:rsidRPr="000549B1">
        <w:t>水利信息化与管理目标：全面建成沙珠玉河数字孪生流域，实现</w:t>
      </w:r>
      <w:r w:rsidRPr="000549B1">
        <w:rPr>
          <w:rFonts w:ascii="宋体" w:hAnsi="宋体"/>
        </w:rPr>
        <w:t>“</w:t>
      </w:r>
      <w:r w:rsidRPr="000549B1">
        <w:t>四预</w:t>
      </w:r>
      <w:r w:rsidRPr="000549B1">
        <w:rPr>
          <w:rFonts w:ascii="宋体" w:hAnsi="宋体"/>
        </w:rPr>
        <w:t>”</w:t>
      </w:r>
      <w:r w:rsidRPr="000549B1">
        <w:t>（预报、预警、预演、预案）功能。面建成基于河（湖）长制的现代化流域综合管理体制和运行机制。</w:t>
      </w:r>
    </w:p>
    <w:p w14:paraId="2E683A41" w14:textId="77777777" w:rsidR="00054437" w:rsidRPr="000549B1" w:rsidRDefault="00000000">
      <w:pPr>
        <w:pStyle w:val="zhang3"/>
        <w:spacing w:before="156" w:after="156"/>
      </w:pPr>
      <w:r w:rsidRPr="000549B1">
        <w:t>规划</w:t>
      </w:r>
      <w:r w:rsidRPr="000549B1">
        <w:rPr>
          <w:rFonts w:hint="eastAsia"/>
        </w:rPr>
        <w:t>任务与</w:t>
      </w:r>
      <w:r w:rsidRPr="000549B1">
        <w:t>总体布局</w:t>
      </w:r>
    </w:p>
    <w:p w14:paraId="428B487A" w14:textId="51F9452F" w:rsidR="00054437" w:rsidRPr="000549B1" w:rsidRDefault="00000000">
      <w:pPr>
        <w:pStyle w:val="Z4"/>
        <w:rPr>
          <w:color w:val="auto"/>
        </w:rPr>
      </w:pPr>
      <w:r w:rsidRPr="000549B1">
        <w:rPr>
          <w:rFonts w:hint="eastAsia"/>
          <w:color w:val="auto"/>
        </w:rPr>
        <w:t>规划任务</w:t>
      </w:r>
    </w:p>
    <w:p w14:paraId="54D02E31" w14:textId="77777777" w:rsidR="004F1AD2" w:rsidRPr="000549B1" w:rsidRDefault="004F1AD2" w:rsidP="000549B1">
      <w:pPr>
        <w:pStyle w:val="x"/>
      </w:pPr>
      <w:r w:rsidRPr="000549B1">
        <w:rPr>
          <w:rFonts w:hint="eastAsia"/>
        </w:rPr>
        <w:t>（</w:t>
      </w:r>
      <w:r w:rsidRPr="000549B1">
        <w:t>1</w:t>
      </w:r>
      <w:r w:rsidRPr="000549B1">
        <w:rPr>
          <w:rFonts w:hint="eastAsia"/>
        </w:rPr>
        <w:t>）水资源调查评价</w:t>
      </w:r>
    </w:p>
    <w:p w14:paraId="5188F4AD" w14:textId="77777777" w:rsidR="004F1AD2" w:rsidRPr="000549B1" w:rsidRDefault="004F1AD2" w:rsidP="000549B1">
      <w:pPr>
        <w:pStyle w:val="x"/>
      </w:pPr>
      <w:r w:rsidRPr="000549B1">
        <w:rPr>
          <w:rFonts w:hint="eastAsia"/>
        </w:rPr>
        <w:t>对流域水资源禀赋和承载能力家底情况进行深入调查评价，包括地表水资源、地下水资源及水资源总量调查评价。</w:t>
      </w:r>
    </w:p>
    <w:p w14:paraId="0E1F79C0" w14:textId="77777777" w:rsidR="004F1AD2" w:rsidRPr="000549B1" w:rsidRDefault="004F1AD2" w:rsidP="000549B1">
      <w:pPr>
        <w:pStyle w:val="x"/>
      </w:pPr>
      <w:r w:rsidRPr="000549B1">
        <w:rPr>
          <w:rFonts w:hint="eastAsia"/>
        </w:rPr>
        <w:t>（</w:t>
      </w:r>
      <w:r w:rsidRPr="000549B1">
        <w:t>2</w:t>
      </w:r>
      <w:r w:rsidRPr="000549B1">
        <w:rPr>
          <w:rFonts w:hint="eastAsia"/>
        </w:rPr>
        <w:t>）流域总体规划</w:t>
      </w:r>
    </w:p>
    <w:p w14:paraId="688E799D" w14:textId="77777777" w:rsidR="004F1AD2" w:rsidRPr="000549B1" w:rsidRDefault="004F1AD2" w:rsidP="000549B1">
      <w:pPr>
        <w:pStyle w:val="x"/>
      </w:pPr>
      <w:r w:rsidRPr="000549B1">
        <w:rPr>
          <w:rFonts w:hint="eastAsia"/>
        </w:rPr>
        <w:t>根据经济社会可持续发展和维持河流健康生命的要求，结合地方主体功能区划，分析确定各河段的功能定位和控制性指标，统筹考虑流域上下游、左右岸关于水资源利用和保护、防洪、河流生态保护等方面的关系，研究提出河流治理、开发、保护的目标、任务和总体布局及综合管理的框架体系。</w:t>
      </w:r>
    </w:p>
    <w:p w14:paraId="3CDC6516" w14:textId="77777777" w:rsidR="004F1AD2" w:rsidRPr="000549B1" w:rsidRDefault="004F1AD2" w:rsidP="000549B1">
      <w:pPr>
        <w:pStyle w:val="x"/>
      </w:pPr>
      <w:r w:rsidRPr="000549B1">
        <w:rPr>
          <w:rFonts w:hint="eastAsia"/>
        </w:rPr>
        <w:t>（</w:t>
      </w:r>
      <w:r w:rsidRPr="000549B1">
        <w:rPr>
          <w:rFonts w:hint="eastAsia"/>
        </w:rPr>
        <w:t>4</w:t>
      </w:r>
      <w:r w:rsidRPr="000549B1">
        <w:rPr>
          <w:rFonts w:hint="eastAsia"/>
        </w:rPr>
        <w:t>）水资源配置规划</w:t>
      </w:r>
    </w:p>
    <w:p w14:paraId="6E1EC9CB" w14:textId="77777777" w:rsidR="004F1AD2" w:rsidRPr="000549B1" w:rsidRDefault="004F1AD2" w:rsidP="000549B1">
      <w:pPr>
        <w:pStyle w:val="x"/>
      </w:pPr>
      <w:r w:rsidRPr="000549B1">
        <w:rPr>
          <w:rFonts w:hint="eastAsia"/>
        </w:rPr>
        <w:t>根据保障流域供水安全的要求，分析经济社会高质量发展和维护河流健康要求的用水需求，考虑水资源的承载能力，研究提出流域和区域水资源配置方案及水资源配置工程措施。</w:t>
      </w:r>
    </w:p>
    <w:p w14:paraId="2E30518E" w14:textId="77777777" w:rsidR="004F1AD2" w:rsidRPr="000549B1" w:rsidRDefault="004F1AD2" w:rsidP="000549B1">
      <w:pPr>
        <w:pStyle w:val="x"/>
      </w:pPr>
      <w:r w:rsidRPr="000549B1">
        <w:rPr>
          <w:rFonts w:hint="eastAsia"/>
        </w:rPr>
        <w:t>（</w:t>
      </w:r>
      <w:r w:rsidRPr="000549B1">
        <w:rPr>
          <w:rFonts w:hint="eastAsia"/>
        </w:rPr>
        <w:t>5</w:t>
      </w:r>
      <w:r w:rsidRPr="000549B1">
        <w:rPr>
          <w:rFonts w:hint="eastAsia"/>
        </w:rPr>
        <w:t>）节约用水规划</w:t>
      </w:r>
    </w:p>
    <w:p w14:paraId="0EB58224" w14:textId="77777777" w:rsidR="004F1AD2" w:rsidRPr="000549B1" w:rsidRDefault="004F1AD2" w:rsidP="000549B1">
      <w:pPr>
        <w:pStyle w:val="x"/>
      </w:pPr>
      <w:r w:rsidRPr="000549B1">
        <w:rPr>
          <w:rFonts w:hint="eastAsia"/>
        </w:rPr>
        <w:t>对节水现状进行评价，分析计算各行业节水潜力，提出节水目标和节水保障措施，评价节水效果。</w:t>
      </w:r>
    </w:p>
    <w:p w14:paraId="644E527A" w14:textId="77777777" w:rsidR="004F1AD2" w:rsidRPr="000549B1" w:rsidRDefault="004F1AD2" w:rsidP="000549B1">
      <w:pPr>
        <w:pStyle w:val="x"/>
      </w:pPr>
      <w:r w:rsidRPr="000549B1">
        <w:rPr>
          <w:rFonts w:hint="eastAsia"/>
        </w:rPr>
        <w:t>（</w:t>
      </w:r>
      <w:r w:rsidRPr="000549B1">
        <w:rPr>
          <w:rFonts w:hint="eastAsia"/>
        </w:rPr>
        <w:t>6</w:t>
      </w:r>
      <w:r w:rsidRPr="000549B1">
        <w:rPr>
          <w:rFonts w:hint="eastAsia"/>
        </w:rPr>
        <w:t>）灌溉规划</w:t>
      </w:r>
    </w:p>
    <w:p w14:paraId="2BBF0363" w14:textId="77777777" w:rsidR="004F1AD2" w:rsidRPr="000549B1" w:rsidRDefault="004F1AD2" w:rsidP="000549B1">
      <w:pPr>
        <w:pStyle w:val="x"/>
      </w:pPr>
      <w:r w:rsidRPr="000549B1">
        <w:rPr>
          <w:rFonts w:hint="eastAsia"/>
        </w:rPr>
        <w:t>根据国家相关政策要求和流域水土资源条件，以现代化灌区建设为目标，合理确定流域灌溉发展规模和地区布局，重点研究提出主要灌区节水改造方案。</w:t>
      </w:r>
    </w:p>
    <w:p w14:paraId="59F1CA79" w14:textId="77777777" w:rsidR="004F1AD2" w:rsidRPr="000549B1" w:rsidRDefault="004F1AD2" w:rsidP="000549B1">
      <w:pPr>
        <w:pStyle w:val="x"/>
      </w:pPr>
      <w:r w:rsidRPr="000549B1">
        <w:rPr>
          <w:rFonts w:hint="eastAsia"/>
        </w:rPr>
        <w:t>（</w:t>
      </w:r>
      <w:r w:rsidRPr="000549B1">
        <w:rPr>
          <w:rFonts w:hint="eastAsia"/>
        </w:rPr>
        <w:t>7</w:t>
      </w:r>
      <w:r w:rsidRPr="000549B1">
        <w:rPr>
          <w:rFonts w:hint="eastAsia"/>
        </w:rPr>
        <w:t>）防洪规划</w:t>
      </w:r>
    </w:p>
    <w:p w14:paraId="2BF1782C" w14:textId="77777777" w:rsidR="004F1AD2" w:rsidRPr="000549B1" w:rsidRDefault="004F1AD2" w:rsidP="000549B1">
      <w:pPr>
        <w:pStyle w:val="x"/>
      </w:pPr>
      <w:r w:rsidRPr="000549B1">
        <w:rPr>
          <w:rFonts w:hint="eastAsia"/>
        </w:rPr>
        <w:t>根据防洪规划河段社会经济情况、河段地形、治理现状和防洪特点，分析流域防洪工程存在的问题，合理确定防洪河段的防洪目标、任务及治理措施。</w:t>
      </w:r>
    </w:p>
    <w:p w14:paraId="699BFF42" w14:textId="77777777" w:rsidR="004F1AD2" w:rsidRPr="000549B1" w:rsidRDefault="004F1AD2" w:rsidP="000549B1">
      <w:pPr>
        <w:pStyle w:val="x"/>
      </w:pPr>
      <w:r w:rsidRPr="000549B1">
        <w:rPr>
          <w:rFonts w:hint="eastAsia"/>
        </w:rPr>
        <w:t>（</w:t>
      </w:r>
      <w:r w:rsidRPr="000549B1">
        <w:t>8</w:t>
      </w:r>
      <w:r w:rsidRPr="000549B1">
        <w:rPr>
          <w:rFonts w:hint="eastAsia"/>
        </w:rPr>
        <w:t>）重大水资源配置工程</w:t>
      </w:r>
    </w:p>
    <w:p w14:paraId="209C6790" w14:textId="024F88C0" w:rsidR="004F1AD2" w:rsidRPr="000549B1" w:rsidRDefault="004F1AD2" w:rsidP="000549B1">
      <w:pPr>
        <w:pStyle w:val="x"/>
      </w:pPr>
      <w:r w:rsidRPr="000549B1">
        <w:rPr>
          <w:rFonts w:hint="eastAsia"/>
        </w:rPr>
        <w:t>结合流域总体布局，从资源、环境和经济社会协调发展的要求出发，考虑多水源条件、多用户需求，在水资源优化配置方案基础上，合理布局沙珠玉河流域内蓄水及引水工程。基于沙珠玉河流域水资源匮乏的现实条件，充分考虑临近流域水源条件，谋划从大河坝河流域引调水工程方案。</w:t>
      </w:r>
    </w:p>
    <w:p w14:paraId="2B3DB7F6" w14:textId="77777777" w:rsidR="004F1AD2" w:rsidRPr="000549B1" w:rsidRDefault="004F1AD2" w:rsidP="000549B1">
      <w:pPr>
        <w:pStyle w:val="x"/>
      </w:pPr>
      <w:r w:rsidRPr="000549B1">
        <w:rPr>
          <w:rFonts w:hint="eastAsia"/>
        </w:rPr>
        <w:t>综合考虑流域内社会经济发展、水资源开发利用、生态环境保护等需求，从工程开发任务、建设必要性、工程规划、调水规模等对外调水工程开展分析工作。</w:t>
      </w:r>
    </w:p>
    <w:p w14:paraId="79C71821" w14:textId="77777777" w:rsidR="004F1AD2" w:rsidRPr="000549B1" w:rsidRDefault="004F1AD2" w:rsidP="000549B1">
      <w:pPr>
        <w:pStyle w:val="x"/>
      </w:pPr>
      <w:r w:rsidRPr="000549B1">
        <w:rPr>
          <w:rFonts w:hint="eastAsia"/>
        </w:rPr>
        <w:t>（</w:t>
      </w:r>
      <w:r w:rsidRPr="000549B1">
        <w:t>9</w:t>
      </w:r>
      <w:r w:rsidRPr="000549B1">
        <w:rPr>
          <w:rFonts w:hint="eastAsia"/>
        </w:rPr>
        <w:t>）水生态保护与修复规划</w:t>
      </w:r>
    </w:p>
    <w:p w14:paraId="65F599EE" w14:textId="77777777" w:rsidR="004F1AD2" w:rsidRPr="000549B1" w:rsidRDefault="004F1AD2" w:rsidP="000549B1">
      <w:pPr>
        <w:pStyle w:val="x"/>
      </w:pPr>
      <w:r w:rsidRPr="000549B1">
        <w:rPr>
          <w:rFonts w:hint="eastAsia"/>
        </w:rPr>
        <w:t>根据流域水生态保护与修复要求，确定主要河湖及其控制节点的生态需水量指标；明确重要生境保护与修复的目标和区域，提出各类对策措施实施的范围、目标及具体方案。</w:t>
      </w:r>
    </w:p>
    <w:p w14:paraId="1A1F27B0" w14:textId="77777777" w:rsidR="004F1AD2" w:rsidRPr="000549B1" w:rsidRDefault="004F1AD2" w:rsidP="000549B1">
      <w:pPr>
        <w:pStyle w:val="x"/>
      </w:pPr>
      <w:r w:rsidRPr="000549B1">
        <w:rPr>
          <w:rFonts w:hint="eastAsia"/>
        </w:rPr>
        <w:t>（</w:t>
      </w:r>
      <w:r w:rsidRPr="000549B1">
        <w:rPr>
          <w:rFonts w:hint="eastAsia"/>
        </w:rPr>
        <w:t>1</w:t>
      </w:r>
      <w:r w:rsidRPr="000549B1">
        <w:t>0</w:t>
      </w:r>
      <w:r w:rsidRPr="000549B1">
        <w:rPr>
          <w:rFonts w:hint="eastAsia"/>
        </w:rPr>
        <w:t>）水土保持规划</w:t>
      </w:r>
    </w:p>
    <w:p w14:paraId="384257D1" w14:textId="77777777" w:rsidR="004F1AD2" w:rsidRPr="000549B1" w:rsidRDefault="004F1AD2" w:rsidP="000549B1">
      <w:pPr>
        <w:pStyle w:val="x"/>
      </w:pPr>
      <w:r w:rsidRPr="000549B1">
        <w:rPr>
          <w:rFonts w:hint="eastAsia"/>
        </w:rPr>
        <w:t>根据促进地区经济社会发展和生态环境改善的要求，更加注重大自然的生态修复能力，分析流域水土流失特点，明确水土保持分区和治理分区，研究提出各类型区水土流失的防治思路、目标，提出水土流失综合治理措施。</w:t>
      </w:r>
    </w:p>
    <w:p w14:paraId="642FAE56" w14:textId="77777777" w:rsidR="004F1AD2" w:rsidRPr="000549B1" w:rsidRDefault="004F1AD2" w:rsidP="000549B1">
      <w:pPr>
        <w:pStyle w:val="x"/>
      </w:pPr>
      <w:r w:rsidRPr="000549B1">
        <w:rPr>
          <w:rFonts w:hint="eastAsia"/>
        </w:rPr>
        <w:t>（</w:t>
      </w:r>
      <w:r w:rsidRPr="000549B1">
        <w:rPr>
          <w:rFonts w:hint="eastAsia"/>
        </w:rPr>
        <w:t>1</w:t>
      </w:r>
      <w:r w:rsidRPr="000549B1">
        <w:t>1</w:t>
      </w:r>
      <w:r w:rsidRPr="000549B1">
        <w:rPr>
          <w:rFonts w:hint="eastAsia"/>
        </w:rPr>
        <w:t>）水利信息化规划</w:t>
      </w:r>
    </w:p>
    <w:p w14:paraId="1440090A" w14:textId="77777777" w:rsidR="004F1AD2" w:rsidRPr="000549B1" w:rsidRDefault="004F1AD2" w:rsidP="000549B1">
      <w:pPr>
        <w:pStyle w:val="x"/>
      </w:pPr>
      <w:r w:rsidRPr="000549B1">
        <w:rPr>
          <w:rFonts w:hint="eastAsia"/>
        </w:rPr>
        <w:t>以信息化、数字化、现代化为方向，以提高水资源综合利用、减灾防灾、水生态保护等决策支持和水利建设管理、社会服务水平为目标，按照国家水利信息化总体要求，研究提出水利信息采集与传输、信息分析处理、决策支持与管理系统等的总体布局和方案。</w:t>
      </w:r>
    </w:p>
    <w:p w14:paraId="77A77868" w14:textId="77777777" w:rsidR="004F1AD2" w:rsidRPr="000549B1" w:rsidRDefault="004F1AD2" w:rsidP="000549B1">
      <w:pPr>
        <w:pStyle w:val="x"/>
      </w:pPr>
      <w:r w:rsidRPr="000549B1">
        <w:rPr>
          <w:rFonts w:hint="eastAsia"/>
        </w:rPr>
        <w:t>（</w:t>
      </w:r>
      <w:r w:rsidRPr="000549B1">
        <w:rPr>
          <w:rFonts w:hint="eastAsia"/>
        </w:rPr>
        <w:t>1</w:t>
      </w:r>
      <w:r w:rsidRPr="000549B1">
        <w:t>2</w:t>
      </w:r>
      <w:r w:rsidRPr="000549B1">
        <w:rPr>
          <w:rFonts w:hint="eastAsia"/>
        </w:rPr>
        <w:t>）流域综合管理规划</w:t>
      </w:r>
    </w:p>
    <w:p w14:paraId="6EC31B53" w14:textId="77777777" w:rsidR="004F1AD2" w:rsidRPr="000549B1" w:rsidRDefault="004F1AD2" w:rsidP="000549B1">
      <w:pPr>
        <w:pStyle w:val="x"/>
      </w:pPr>
      <w:r w:rsidRPr="000549B1">
        <w:rPr>
          <w:rFonts w:hint="eastAsia"/>
        </w:rPr>
        <w:t>从加强流域管理职能、提高公共服务水平的要求出发，明确流域机构和地方机构对沙珠玉河流域管理的职责，提出完善流域管理机制和流域管理能力建设等方面的建议。</w:t>
      </w:r>
    </w:p>
    <w:p w14:paraId="0EA1D1FB" w14:textId="77777777" w:rsidR="00054437" w:rsidRPr="000549B1" w:rsidRDefault="00000000">
      <w:pPr>
        <w:pStyle w:val="Z4"/>
        <w:rPr>
          <w:color w:val="auto"/>
        </w:rPr>
      </w:pPr>
      <w:r w:rsidRPr="000549B1">
        <w:rPr>
          <w:rFonts w:hint="eastAsia"/>
          <w:color w:val="auto"/>
        </w:rPr>
        <w:t>总体布局</w:t>
      </w:r>
    </w:p>
    <w:p w14:paraId="1768920D" w14:textId="77777777" w:rsidR="00054437" w:rsidRPr="000549B1" w:rsidRDefault="00000000">
      <w:pPr>
        <w:pStyle w:val="x"/>
      </w:pPr>
      <w:r w:rsidRPr="000549B1">
        <w:t>沙珠玉河流域开发与保护并重，在满足水生态保护基础上，对沙珠玉河流域进行需水、供水和水资源供需分析，提出水资源配置方案，在此基础上结合产业规划，提出水资源利用、防洪、水土保持工程总体布局，制定水资源管理措施，并对实施效果进行评价，为生态保护和经济高质量发展提供水安全保障。初步规划总体布局如下：</w:t>
      </w:r>
    </w:p>
    <w:p w14:paraId="47620BB9" w14:textId="77777777" w:rsidR="00054437" w:rsidRPr="000549B1" w:rsidRDefault="00000000">
      <w:pPr>
        <w:pStyle w:val="x"/>
      </w:pPr>
      <w:r w:rsidRPr="000549B1">
        <w:t>干流上游段（大水河段）主要以保护为主，依托于大水水库，适当开发农业灌溉，改善生态环境。中下游段及右岸主要支流在总结实践经验的基础上，研究合理的农业结构和布局，制定科学合理的灌溉制度，编制各行各业的用水规划。因地制宜地做好灌溉工程规划，新增河卡灌区，对已建的娘塘水库灌区、塔什秋灌区、切吉灌区等进行续建配套与节水改造，以提高灌溉水利用效率为核心，结合土地资源、水源工程建设，在合理分析共和县和兴海县绿洲建设维持与修复治理范围的基础上，合理分析其农田及草场灌溉发展潜力及分布。规划重点从提高灌区供水保证程度、节水灌溉工程标准和工程完好率、灌区信息化建设等方面提出现代化灌区建设规划方案。同时根据流域防洪治理思路，完成沙珠玉河干流及主要支流的重点河段治理，覆盖沿岸乡镇政府驻地、耕地集中区及重要基础设施，基本达到国家规定的防洪标准。水土保持主要是保护、恢复、发展沙生植被，防止荒漠化扩展，改善生态环境。针对达连海、更尕海等尾闾湖泊萎缩，生态功能退化等问题，通过向沙珠玉河和达连海湖等河湖补充生态水量，改善沙珠玉河流域生态环境，筑牢青藏高原生态屏障区生态安全。</w:t>
      </w:r>
    </w:p>
    <w:p w14:paraId="78D35445" w14:textId="23635E3B" w:rsidR="00054437" w:rsidRPr="000549B1" w:rsidRDefault="00000000">
      <w:pPr>
        <w:pStyle w:val="zhang3"/>
        <w:spacing w:before="156" w:after="156"/>
      </w:pPr>
      <w:r w:rsidRPr="000549B1">
        <w:rPr>
          <w:rFonts w:hint="eastAsia"/>
        </w:rPr>
        <w:t>主要</w:t>
      </w:r>
      <w:r w:rsidRPr="000549B1">
        <w:t>规划</w:t>
      </w:r>
      <w:r w:rsidRPr="000549B1">
        <w:rPr>
          <w:rFonts w:hint="eastAsia"/>
        </w:rPr>
        <w:t>内容</w:t>
      </w:r>
    </w:p>
    <w:p w14:paraId="6F8FAB79" w14:textId="77777777" w:rsidR="00054437" w:rsidRPr="000549B1" w:rsidRDefault="00000000" w:rsidP="00FF5F6B">
      <w:pPr>
        <w:pStyle w:val="Z4"/>
        <w:rPr>
          <w:color w:val="auto"/>
        </w:rPr>
      </w:pPr>
      <w:r w:rsidRPr="000549B1">
        <w:rPr>
          <w:color w:val="auto"/>
        </w:rPr>
        <w:t>水资源规划</w:t>
      </w:r>
    </w:p>
    <w:p w14:paraId="33F9BB81" w14:textId="216B6E8B" w:rsidR="00FF5F6B" w:rsidRPr="000549B1" w:rsidRDefault="00FF5F6B" w:rsidP="000549B1">
      <w:pPr>
        <w:pStyle w:val="x"/>
      </w:pPr>
      <w:bookmarkStart w:id="138" w:name="_Hlk216031690"/>
      <w:r w:rsidRPr="000549B1">
        <w:rPr>
          <w:rFonts w:hint="eastAsia"/>
        </w:rPr>
        <w:t>（</w:t>
      </w:r>
      <w:r w:rsidRPr="000549B1">
        <w:rPr>
          <w:rFonts w:hint="eastAsia"/>
        </w:rPr>
        <w:t>1</w:t>
      </w:r>
      <w:r w:rsidRPr="000549B1">
        <w:rPr>
          <w:rFonts w:hint="eastAsia"/>
        </w:rPr>
        <w:t>）任务</w:t>
      </w:r>
    </w:p>
    <w:p w14:paraId="3E3CD639" w14:textId="008CC8A3" w:rsidR="00FF5F6B" w:rsidRPr="000549B1" w:rsidRDefault="00FF5F6B" w:rsidP="000549B1">
      <w:pPr>
        <w:pStyle w:val="x"/>
      </w:pPr>
      <w:r w:rsidRPr="000549B1">
        <w:rPr>
          <w:rFonts w:hint="eastAsia"/>
        </w:rPr>
        <w:t>根据保障流域供水安全的要求，分析经济社会高质量发展和维护河流健康要求的用水需求，考虑水资源的承载能力，研究提出流域和区域水资源配置方案及水资源配置工程措施。</w:t>
      </w:r>
    </w:p>
    <w:bookmarkEnd w:id="138"/>
    <w:p w14:paraId="2E620474" w14:textId="2E3EE9E2" w:rsidR="00054437" w:rsidRPr="000549B1" w:rsidRDefault="00FF5F6B" w:rsidP="000549B1">
      <w:pPr>
        <w:pStyle w:val="x"/>
      </w:pPr>
      <w:r w:rsidRPr="000549B1">
        <w:rPr>
          <w:rFonts w:hint="eastAsia"/>
        </w:rPr>
        <w:t>（</w:t>
      </w:r>
      <w:r w:rsidRPr="000549B1">
        <w:rPr>
          <w:rFonts w:hint="eastAsia"/>
        </w:rPr>
        <w:t>2</w:t>
      </w:r>
      <w:r w:rsidRPr="000549B1">
        <w:rPr>
          <w:rFonts w:hint="eastAsia"/>
        </w:rPr>
        <w:t>）</w:t>
      </w:r>
      <w:r w:rsidRPr="000549B1">
        <w:t>水资源配置方案</w:t>
      </w:r>
    </w:p>
    <w:p w14:paraId="6A951B98" w14:textId="609FDF03" w:rsidR="00054437" w:rsidRPr="000549B1" w:rsidRDefault="00000000" w:rsidP="000549B1">
      <w:pPr>
        <w:pStyle w:val="x"/>
        <w:numPr>
          <w:ilvl w:val="0"/>
          <w:numId w:val="13"/>
        </w:numPr>
      </w:pPr>
      <w:r w:rsidRPr="000549B1">
        <w:t>基准年水资源配置</w:t>
      </w:r>
    </w:p>
    <w:p w14:paraId="75507D2B" w14:textId="77777777" w:rsidR="00054437" w:rsidRPr="000549B1" w:rsidRDefault="00000000">
      <w:pPr>
        <w:pStyle w:val="x"/>
      </w:pPr>
      <w:r w:rsidRPr="000549B1">
        <w:t>统筹考虑沙珠玉河流域河道内外用水需求，配置河道外供水量</w:t>
      </w:r>
      <w:r w:rsidRPr="000549B1">
        <w:t>0.7741</w:t>
      </w:r>
      <w:r w:rsidRPr="000549B1">
        <w:t>亿</w:t>
      </w:r>
      <w:r w:rsidRPr="000549B1">
        <w:t>m³</w:t>
      </w:r>
      <w:r w:rsidRPr="000549B1">
        <w:t>，其中地表水</w:t>
      </w:r>
      <w:r w:rsidRPr="000549B1">
        <w:t>0.7713</w:t>
      </w:r>
      <w:r w:rsidRPr="000549B1">
        <w:t>亿</w:t>
      </w:r>
      <w:r w:rsidRPr="000549B1">
        <w:t>m³</w:t>
      </w:r>
      <w:r w:rsidRPr="000549B1">
        <w:t>、地下水</w:t>
      </w:r>
      <w:r w:rsidRPr="000549B1">
        <w:t>0.0028</w:t>
      </w:r>
      <w:r w:rsidRPr="000549B1">
        <w:t>亿</w:t>
      </w:r>
      <w:r w:rsidRPr="000549B1">
        <w:t>m³</w:t>
      </w:r>
      <w:r w:rsidRPr="000549B1">
        <w:t>；流域内无再生水利用，无非常规水源。配置地表水耗水量以需水量为基础，基准年流域内国民经济总需水量为</w:t>
      </w:r>
      <w:r w:rsidRPr="000549B1">
        <w:t>1.6981</w:t>
      </w:r>
      <w:r w:rsidRPr="000549B1">
        <w:t>亿</w:t>
      </w:r>
      <w:r w:rsidRPr="000549B1">
        <w:t>m³</w:t>
      </w:r>
      <w:r w:rsidRPr="000549B1">
        <w:t>，其中农业灌溉占比超过</w:t>
      </w:r>
      <w:r w:rsidRPr="000549B1">
        <w:t>96%</w:t>
      </w:r>
      <w:r w:rsidRPr="000549B1">
        <w:t>。</w:t>
      </w:r>
    </w:p>
    <w:p w14:paraId="1D0AFE98" w14:textId="089CF8A9" w:rsidR="00054437" w:rsidRPr="000549B1" w:rsidRDefault="00000000">
      <w:pPr>
        <w:pStyle w:val="x"/>
      </w:pPr>
      <w:r w:rsidRPr="000549B1">
        <w:t>基准年沙珠玉河流域</w:t>
      </w:r>
      <w:bookmarkStart w:id="139" w:name="OLE_LINK55"/>
      <w:r w:rsidRPr="000549B1">
        <w:t>地表水开发利用率</w:t>
      </w:r>
      <w:bookmarkEnd w:id="139"/>
      <w:r w:rsidRPr="000549B1">
        <w:t>为</w:t>
      </w:r>
      <w:r w:rsidR="00AE38DE" w:rsidRPr="000549B1">
        <w:rPr>
          <w:rFonts w:hint="eastAsia"/>
        </w:rPr>
        <w:t>47</w:t>
      </w:r>
      <w:r w:rsidRPr="000549B1">
        <w:t>%</w:t>
      </w:r>
      <w:r w:rsidRPr="000549B1">
        <w:t>（按河川径流量计），水资源总量开发利用程度较高，当地水资源矛盾突出，不足以支撑国民经济用水需求。</w:t>
      </w:r>
    </w:p>
    <w:p w14:paraId="2BAF7769" w14:textId="4EF07D0F" w:rsidR="00054437" w:rsidRPr="000549B1" w:rsidRDefault="00000000" w:rsidP="000549B1">
      <w:pPr>
        <w:pStyle w:val="x"/>
        <w:numPr>
          <w:ilvl w:val="0"/>
          <w:numId w:val="13"/>
        </w:numPr>
      </w:pPr>
      <w:r w:rsidRPr="000549B1">
        <w:t>规划水平年水资源配置</w:t>
      </w:r>
    </w:p>
    <w:p w14:paraId="0584C3BA" w14:textId="663DE9EA" w:rsidR="00054437" w:rsidRPr="00F1314B" w:rsidRDefault="00000000">
      <w:pPr>
        <w:pStyle w:val="x"/>
      </w:pPr>
      <w:r w:rsidRPr="00F1314B">
        <w:t>以</w:t>
      </w:r>
      <w:r w:rsidRPr="00F1314B">
        <w:t>2035</w:t>
      </w:r>
      <w:r w:rsidRPr="00F1314B">
        <w:t>年为配置水平年，统筹考虑流域河道内外需求，</w:t>
      </w:r>
      <w:r w:rsidR="005E0378" w:rsidRPr="00F1314B">
        <w:rPr>
          <w:rFonts w:hint="eastAsia"/>
        </w:rPr>
        <w:t>当地水可供水量</w:t>
      </w:r>
      <w:r w:rsidR="005E0378" w:rsidRPr="00F1314B">
        <w:rPr>
          <w:rFonts w:hint="eastAsia"/>
        </w:rPr>
        <w:t>16082</w:t>
      </w:r>
      <w:r w:rsidR="005E0378" w:rsidRPr="00F1314B">
        <w:rPr>
          <w:rFonts w:hint="eastAsia"/>
        </w:rPr>
        <w:t>万</w:t>
      </w:r>
      <w:r w:rsidR="005E0378" w:rsidRPr="00F1314B">
        <w:rPr>
          <w:rFonts w:hint="eastAsia"/>
        </w:rPr>
        <w:t>m</w:t>
      </w:r>
      <w:r w:rsidR="005E0378" w:rsidRPr="00F1314B">
        <w:rPr>
          <w:rFonts w:hint="eastAsia"/>
          <w:vertAlign w:val="superscript"/>
        </w:rPr>
        <w:t>3</w:t>
      </w:r>
      <w:r w:rsidR="005E0378" w:rsidRPr="00F1314B">
        <w:rPr>
          <w:rFonts w:hint="eastAsia"/>
        </w:rPr>
        <w:t>，其中地表水</w:t>
      </w:r>
      <w:r w:rsidR="005E0378" w:rsidRPr="00F1314B">
        <w:rPr>
          <w:rFonts w:hint="eastAsia"/>
        </w:rPr>
        <w:t>8287</w:t>
      </w:r>
      <w:r w:rsidR="005E0378" w:rsidRPr="00F1314B">
        <w:rPr>
          <w:rFonts w:hint="eastAsia"/>
        </w:rPr>
        <w:t>万</w:t>
      </w:r>
      <w:r w:rsidR="005E0378" w:rsidRPr="00F1314B">
        <w:rPr>
          <w:rFonts w:hint="eastAsia"/>
        </w:rPr>
        <w:t>m</w:t>
      </w:r>
      <w:r w:rsidR="005E0378" w:rsidRPr="00F1314B">
        <w:rPr>
          <w:vertAlign w:val="superscript"/>
        </w:rPr>
        <w:t>3</w:t>
      </w:r>
      <w:r w:rsidR="005E0378" w:rsidRPr="00F1314B">
        <w:rPr>
          <w:rFonts w:hint="eastAsia"/>
        </w:rPr>
        <w:t>，地下水</w:t>
      </w:r>
      <w:r w:rsidR="005E0378" w:rsidRPr="00F1314B">
        <w:rPr>
          <w:rFonts w:hint="eastAsia"/>
        </w:rPr>
        <w:t>33</w:t>
      </w:r>
      <w:r w:rsidR="005E0378" w:rsidRPr="00F1314B">
        <w:rPr>
          <w:rFonts w:hint="eastAsia"/>
        </w:rPr>
        <w:t>万</w:t>
      </w:r>
      <w:r w:rsidR="005E0378" w:rsidRPr="00F1314B">
        <w:rPr>
          <w:rFonts w:hint="eastAsia"/>
        </w:rPr>
        <w:t>m</w:t>
      </w:r>
      <w:r w:rsidR="005E0378" w:rsidRPr="00F1314B">
        <w:rPr>
          <w:vertAlign w:val="superscript"/>
        </w:rPr>
        <w:t>3</w:t>
      </w:r>
      <w:r w:rsidR="005E0378" w:rsidRPr="00F1314B">
        <w:rPr>
          <w:rFonts w:hint="eastAsia"/>
        </w:rPr>
        <w:t>，大河坝引水</w:t>
      </w:r>
      <w:r w:rsidR="005E0378" w:rsidRPr="00F1314B">
        <w:rPr>
          <w:rFonts w:hint="eastAsia"/>
        </w:rPr>
        <w:t>7762</w:t>
      </w:r>
      <w:r w:rsidR="005E0378" w:rsidRPr="00F1314B">
        <w:rPr>
          <w:rFonts w:hint="eastAsia"/>
        </w:rPr>
        <w:t>万</w:t>
      </w:r>
      <w:r w:rsidR="005E0378" w:rsidRPr="00F1314B">
        <w:rPr>
          <w:rFonts w:hint="eastAsia"/>
        </w:rPr>
        <w:t>m</w:t>
      </w:r>
      <w:r w:rsidR="005E0378" w:rsidRPr="00F1314B">
        <w:rPr>
          <w:rFonts w:hint="eastAsia"/>
          <w:vertAlign w:val="superscript"/>
        </w:rPr>
        <w:t>3</w:t>
      </w:r>
      <w:r w:rsidRPr="00F1314B">
        <w:t>。</w:t>
      </w:r>
    </w:p>
    <w:p w14:paraId="52BB7816" w14:textId="6A38772E" w:rsidR="00054437" w:rsidRPr="00F1314B" w:rsidRDefault="005E0378">
      <w:pPr>
        <w:pStyle w:val="x"/>
      </w:pPr>
      <w:r w:rsidRPr="00F1314B">
        <w:t>2035</w:t>
      </w:r>
      <w:r w:rsidRPr="00F1314B">
        <w:rPr>
          <w:rFonts w:hint="eastAsia"/>
        </w:rPr>
        <w:t>年流域内总需水量</w:t>
      </w:r>
      <w:r w:rsidRPr="00F1314B">
        <w:t>17076</w:t>
      </w:r>
      <w:r w:rsidRPr="00F1314B">
        <w:rPr>
          <w:rFonts w:hint="eastAsia"/>
        </w:rPr>
        <w:t>万</w:t>
      </w:r>
      <w:r w:rsidRPr="00F1314B">
        <w:t>m</w:t>
      </w:r>
      <w:r w:rsidRPr="00F1314B">
        <w:rPr>
          <w:vertAlign w:val="superscript"/>
        </w:rPr>
        <w:t>3</w:t>
      </w:r>
      <w:r w:rsidRPr="00F1314B">
        <w:rPr>
          <w:rFonts w:hint="eastAsia"/>
        </w:rPr>
        <w:t>，其中农业需水量</w:t>
      </w:r>
      <w:r w:rsidRPr="00F1314B">
        <w:t>16487</w:t>
      </w:r>
      <w:r w:rsidRPr="00F1314B">
        <w:rPr>
          <w:rFonts w:hint="eastAsia"/>
        </w:rPr>
        <w:t>万</w:t>
      </w:r>
      <w:r w:rsidRPr="00F1314B">
        <w:t>m</w:t>
      </w:r>
      <w:r w:rsidRPr="00F1314B">
        <w:rPr>
          <w:vertAlign w:val="superscript"/>
        </w:rPr>
        <w:t>3</w:t>
      </w:r>
      <w:r w:rsidRPr="00F1314B">
        <w:rPr>
          <w:rFonts w:hint="eastAsia"/>
        </w:rPr>
        <w:t>，工业生活需水量</w:t>
      </w:r>
      <w:r w:rsidRPr="00F1314B">
        <w:t>589</w:t>
      </w:r>
      <w:r w:rsidRPr="00F1314B">
        <w:rPr>
          <w:rFonts w:hint="eastAsia"/>
        </w:rPr>
        <w:t>万</w:t>
      </w:r>
      <w:r w:rsidRPr="00F1314B">
        <w:t>m</w:t>
      </w:r>
      <w:r w:rsidRPr="00F1314B">
        <w:rPr>
          <w:vertAlign w:val="superscript"/>
        </w:rPr>
        <w:t>3</w:t>
      </w:r>
      <w:r w:rsidRPr="00F1314B">
        <w:t>。</w:t>
      </w:r>
    </w:p>
    <w:p w14:paraId="2D6605F2" w14:textId="13411CEB" w:rsidR="00FF5F6B" w:rsidRPr="000549B1" w:rsidRDefault="00000000">
      <w:pPr>
        <w:pStyle w:val="x"/>
      </w:pPr>
      <w:r w:rsidRPr="000549B1">
        <w:t>2035</w:t>
      </w:r>
      <w:r w:rsidRPr="000549B1">
        <w:t>年沙珠玉河流域水资源供需矛盾得到缓解，但特枯年份（</w:t>
      </w:r>
      <w:r w:rsidRPr="000549B1">
        <w:t>P=85%</w:t>
      </w:r>
      <w:r w:rsidRPr="000549B1">
        <w:t>）仍存在一定缺水压力，需进一步优化调度和加强节水管理。</w:t>
      </w:r>
    </w:p>
    <w:p w14:paraId="32E7EEC9" w14:textId="5808E06F" w:rsidR="00054437" w:rsidRPr="000549B1" w:rsidRDefault="00FF5F6B" w:rsidP="000549B1">
      <w:pPr>
        <w:pStyle w:val="x"/>
      </w:pPr>
      <w:r w:rsidRPr="000549B1">
        <w:rPr>
          <w:rFonts w:hint="eastAsia"/>
        </w:rPr>
        <w:t>（</w:t>
      </w:r>
      <w:r w:rsidRPr="000549B1">
        <w:rPr>
          <w:rFonts w:hint="eastAsia"/>
        </w:rPr>
        <w:t>3</w:t>
      </w:r>
      <w:r w:rsidRPr="000549B1">
        <w:rPr>
          <w:rFonts w:hint="eastAsia"/>
        </w:rPr>
        <w:t>）</w:t>
      </w:r>
      <w:r w:rsidRPr="000549B1">
        <w:t>水资源保障重点工程概况</w:t>
      </w:r>
    </w:p>
    <w:p w14:paraId="30D76961" w14:textId="5953230F" w:rsidR="00054437" w:rsidRPr="000549B1" w:rsidRDefault="00FF5F6B" w:rsidP="00FF5F6B">
      <w:pPr>
        <w:pStyle w:val="x"/>
      </w:pPr>
      <w:r w:rsidRPr="000549B1">
        <w:rPr>
          <w:rFonts w:hint="eastAsia"/>
        </w:rPr>
        <w:t>①</w:t>
      </w:r>
      <w:r w:rsidRPr="000549B1">
        <w:t>已建工程</w:t>
      </w:r>
    </w:p>
    <w:p w14:paraId="5371E597" w14:textId="0C03B22B" w:rsidR="00054437" w:rsidRPr="000549B1" w:rsidRDefault="00000000">
      <w:pPr>
        <w:pStyle w:val="x"/>
      </w:pPr>
      <w:r w:rsidRPr="000549B1">
        <w:t>截至</w:t>
      </w:r>
      <w:r w:rsidRPr="000549B1">
        <w:t>2024</w:t>
      </w:r>
      <w:r w:rsidRPr="000549B1">
        <w:t>年，沙珠玉河流域已建成各类蓄水工程</w:t>
      </w:r>
      <w:r w:rsidRPr="000549B1">
        <w:t>11</w:t>
      </w:r>
      <w:r w:rsidRPr="000549B1">
        <w:t>座，其中包括</w:t>
      </w:r>
      <w:r w:rsidRPr="000549B1">
        <w:t>2</w:t>
      </w:r>
      <w:r w:rsidRPr="000549B1">
        <w:t>座中型水库和</w:t>
      </w:r>
      <w:r w:rsidRPr="000549B1">
        <w:t>9</w:t>
      </w:r>
      <w:r w:rsidRPr="000549B1">
        <w:t>座小型水库，总库容</w:t>
      </w:r>
      <w:r w:rsidRPr="000549B1">
        <w:t>4497</w:t>
      </w:r>
      <w:r w:rsidRPr="000549B1">
        <w:t>万</w:t>
      </w:r>
      <w:r w:rsidRPr="000549B1">
        <w:t>m</w:t>
      </w:r>
      <w:r w:rsidRPr="000549B1">
        <w:rPr>
          <w:vertAlign w:val="superscript"/>
        </w:rPr>
        <w:t>3</w:t>
      </w:r>
      <w:r w:rsidRPr="000549B1">
        <w:t>，兴利库容</w:t>
      </w:r>
      <w:r w:rsidRPr="000549B1">
        <w:t>3693</w:t>
      </w:r>
      <w:r w:rsidRPr="000549B1">
        <w:t>万</w:t>
      </w:r>
      <w:r w:rsidRPr="000549B1">
        <w:t>m</w:t>
      </w:r>
      <w:r w:rsidRPr="000549B1">
        <w:rPr>
          <w:vertAlign w:val="superscript"/>
        </w:rPr>
        <w:t>3</w:t>
      </w:r>
      <w:r w:rsidRPr="000549B1">
        <w:t>。</w:t>
      </w:r>
      <w:bookmarkStart w:id="140" w:name="OLE_LINK3"/>
      <w:r w:rsidRPr="000549B1">
        <w:t>流域内现状蓄水工程基本情况</w:t>
      </w:r>
      <w:bookmarkEnd w:id="140"/>
      <w:r w:rsidRPr="000549B1">
        <w:t>见</w:t>
      </w:r>
      <w:r w:rsidR="00F32CCA" w:rsidRPr="000549B1">
        <w:t>表</w:t>
      </w:r>
      <w:r w:rsidR="00F32CCA">
        <w:t>2.1</w:t>
      </w:r>
      <w:r w:rsidR="00F32CCA">
        <w:noBreakHyphen/>
        <w:t>1</w:t>
      </w:r>
      <w:r w:rsidRPr="000549B1">
        <w:t>。</w:t>
      </w:r>
    </w:p>
    <w:p w14:paraId="163E851A" w14:textId="35D1B783" w:rsidR="00054437" w:rsidRPr="000549B1" w:rsidRDefault="00000000">
      <w:pPr>
        <w:pStyle w:val="aff8"/>
        <w:rPr>
          <w:color w:val="auto"/>
        </w:rPr>
      </w:pPr>
      <w:bookmarkStart w:id="141" w:name="_Ref214975184"/>
      <w:r w:rsidRPr="000549B1">
        <w:rPr>
          <w:color w:val="auto"/>
        </w:rPr>
        <w:t>表</w:t>
      </w:r>
      <w:r w:rsidR="00372953">
        <w:rPr>
          <w:color w:val="auto"/>
        </w:rPr>
        <w:fldChar w:fldCharType="begin"/>
      </w:r>
      <w:r w:rsidR="00372953">
        <w:rPr>
          <w:color w:val="auto"/>
        </w:rPr>
        <w:instrText xml:space="preserve"> STYLEREF 2 \s </w:instrText>
      </w:r>
      <w:r w:rsidR="00372953">
        <w:rPr>
          <w:color w:val="auto"/>
        </w:rPr>
        <w:fldChar w:fldCharType="separate"/>
      </w:r>
      <w:r w:rsidR="00372953">
        <w:rPr>
          <w:noProof/>
          <w:color w:val="auto"/>
        </w:rPr>
        <w:t>2.1</w:t>
      </w:r>
      <w:r w:rsidR="00372953">
        <w:rPr>
          <w:color w:val="auto"/>
        </w:rPr>
        <w:fldChar w:fldCharType="end"/>
      </w:r>
      <w:r w:rsidR="00372953">
        <w:rPr>
          <w:color w:val="auto"/>
        </w:rPr>
        <w:noBreakHyphen/>
      </w:r>
      <w:r w:rsidR="00372953">
        <w:rPr>
          <w:color w:val="auto"/>
        </w:rPr>
        <w:fldChar w:fldCharType="begin"/>
      </w:r>
      <w:r w:rsidR="00372953">
        <w:rPr>
          <w:color w:val="auto"/>
        </w:rPr>
        <w:instrText xml:space="preserve"> SEQ </w:instrText>
      </w:r>
      <w:r w:rsidR="00372953">
        <w:rPr>
          <w:color w:val="auto"/>
        </w:rPr>
        <w:instrText>表</w:instrText>
      </w:r>
      <w:r w:rsidR="00372953">
        <w:rPr>
          <w:color w:val="auto"/>
        </w:rPr>
        <w:instrText xml:space="preserve"> \* ARABIC \s 2 </w:instrText>
      </w:r>
      <w:r w:rsidR="00372953">
        <w:rPr>
          <w:color w:val="auto"/>
        </w:rPr>
        <w:fldChar w:fldCharType="separate"/>
      </w:r>
      <w:r w:rsidR="00372953">
        <w:rPr>
          <w:noProof/>
          <w:color w:val="auto"/>
        </w:rPr>
        <w:t>1</w:t>
      </w:r>
      <w:r w:rsidR="00372953">
        <w:rPr>
          <w:color w:val="auto"/>
        </w:rPr>
        <w:fldChar w:fldCharType="end"/>
      </w:r>
      <w:bookmarkEnd w:id="141"/>
      <w:r w:rsidRPr="000549B1">
        <w:rPr>
          <w:rStyle w:val="Char5"/>
          <w:b/>
          <w:color w:val="auto"/>
          <w:sz w:val="21"/>
        </w:rPr>
        <w:t>流域内现状蓄水工程基本情况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1275"/>
        <w:gridCol w:w="1280"/>
        <w:gridCol w:w="1274"/>
        <w:gridCol w:w="1417"/>
        <w:gridCol w:w="1274"/>
        <w:gridCol w:w="1213"/>
      </w:tblGrid>
      <w:tr w:rsidR="000549B1" w:rsidRPr="000549B1" w14:paraId="6814F01A" w14:textId="77777777">
        <w:trPr>
          <w:trHeight w:val="340"/>
          <w:tblHeader/>
        </w:trPr>
        <w:tc>
          <w:tcPr>
            <w:tcW w:w="339" w:type="pct"/>
            <w:vAlign w:val="center"/>
          </w:tcPr>
          <w:p w14:paraId="35697614" w14:textId="77777777" w:rsidR="00054437" w:rsidRPr="000549B1" w:rsidRDefault="00000000">
            <w:pPr>
              <w:pStyle w:val="CharCharCharCharChar"/>
              <w:rPr>
                <w:b/>
                <w:bCs/>
                <w:color w:val="auto"/>
              </w:rPr>
            </w:pPr>
            <w:r w:rsidRPr="000549B1">
              <w:rPr>
                <w:b/>
                <w:bCs/>
                <w:color w:val="auto"/>
              </w:rPr>
              <w:t>序号</w:t>
            </w:r>
          </w:p>
        </w:tc>
        <w:tc>
          <w:tcPr>
            <w:tcW w:w="768" w:type="pct"/>
            <w:vAlign w:val="center"/>
          </w:tcPr>
          <w:p w14:paraId="29E3ACEB" w14:textId="77777777" w:rsidR="00054437" w:rsidRPr="000549B1" w:rsidRDefault="00000000">
            <w:pPr>
              <w:pStyle w:val="CharCharCharCharChar"/>
              <w:rPr>
                <w:b/>
                <w:bCs/>
                <w:color w:val="auto"/>
              </w:rPr>
            </w:pPr>
            <w:r w:rsidRPr="000549B1">
              <w:rPr>
                <w:b/>
                <w:bCs/>
                <w:color w:val="auto"/>
              </w:rPr>
              <w:t>水库名称</w:t>
            </w:r>
          </w:p>
        </w:tc>
        <w:tc>
          <w:tcPr>
            <w:tcW w:w="771" w:type="pct"/>
            <w:vAlign w:val="center"/>
          </w:tcPr>
          <w:p w14:paraId="1E6D6A12" w14:textId="77777777" w:rsidR="00054437" w:rsidRPr="000549B1" w:rsidRDefault="00000000">
            <w:pPr>
              <w:pStyle w:val="CharCharCharCharChar"/>
              <w:rPr>
                <w:b/>
                <w:bCs/>
                <w:color w:val="auto"/>
              </w:rPr>
            </w:pPr>
            <w:r w:rsidRPr="000549B1">
              <w:rPr>
                <w:b/>
                <w:bCs/>
                <w:color w:val="auto"/>
              </w:rPr>
              <w:t>所在乡镇</w:t>
            </w:r>
          </w:p>
        </w:tc>
        <w:tc>
          <w:tcPr>
            <w:tcW w:w="768" w:type="pct"/>
            <w:vAlign w:val="center"/>
          </w:tcPr>
          <w:p w14:paraId="668AFEF1" w14:textId="77777777" w:rsidR="00054437" w:rsidRPr="000549B1" w:rsidRDefault="00000000">
            <w:pPr>
              <w:pStyle w:val="CharCharCharCharChar"/>
              <w:rPr>
                <w:b/>
                <w:bCs/>
                <w:color w:val="auto"/>
              </w:rPr>
            </w:pPr>
            <w:r w:rsidRPr="000549B1">
              <w:rPr>
                <w:b/>
                <w:bCs/>
                <w:color w:val="auto"/>
              </w:rPr>
              <w:t>水源</w:t>
            </w:r>
          </w:p>
        </w:tc>
        <w:tc>
          <w:tcPr>
            <w:tcW w:w="854" w:type="pct"/>
            <w:vAlign w:val="center"/>
          </w:tcPr>
          <w:p w14:paraId="7D634B8C" w14:textId="77777777" w:rsidR="00054437" w:rsidRPr="000549B1" w:rsidRDefault="00000000">
            <w:pPr>
              <w:pStyle w:val="CharCharCharCharChar"/>
              <w:rPr>
                <w:b/>
                <w:bCs/>
                <w:color w:val="auto"/>
              </w:rPr>
            </w:pPr>
            <w:r w:rsidRPr="000549B1">
              <w:rPr>
                <w:b/>
                <w:bCs/>
                <w:color w:val="auto"/>
              </w:rPr>
              <w:t>工程规模</w:t>
            </w:r>
          </w:p>
        </w:tc>
        <w:tc>
          <w:tcPr>
            <w:tcW w:w="768" w:type="pct"/>
            <w:vAlign w:val="center"/>
          </w:tcPr>
          <w:p w14:paraId="65563E8E" w14:textId="77777777" w:rsidR="00054437" w:rsidRPr="000549B1" w:rsidRDefault="00000000">
            <w:pPr>
              <w:pStyle w:val="CharCharCharCharChar"/>
              <w:rPr>
                <w:b/>
                <w:bCs/>
                <w:color w:val="auto"/>
              </w:rPr>
            </w:pPr>
            <w:r w:rsidRPr="000549B1">
              <w:rPr>
                <w:b/>
                <w:bCs/>
                <w:color w:val="auto"/>
              </w:rPr>
              <w:t>总库容</w:t>
            </w:r>
          </w:p>
          <w:p w14:paraId="38AAC1CD" w14:textId="77777777" w:rsidR="00054437" w:rsidRPr="000549B1" w:rsidRDefault="00000000">
            <w:pPr>
              <w:pStyle w:val="CharCharCharCharChar"/>
              <w:rPr>
                <w:b/>
                <w:bCs/>
                <w:color w:val="auto"/>
              </w:rPr>
            </w:pPr>
            <w:r w:rsidRPr="000549B1">
              <w:rPr>
                <w:b/>
                <w:bCs/>
                <w:color w:val="auto"/>
              </w:rPr>
              <w:t>（万</w:t>
            </w:r>
            <w:r w:rsidRPr="000549B1">
              <w:rPr>
                <w:b/>
                <w:bCs/>
                <w:color w:val="auto"/>
              </w:rPr>
              <w:t>m³</w:t>
            </w:r>
            <w:r w:rsidRPr="000549B1">
              <w:rPr>
                <w:b/>
                <w:bCs/>
                <w:color w:val="auto"/>
              </w:rPr>
              <w:t>）</w:t>
            </w:r>
          </w:p>
        </w:tc>
        <w:tc>
          <w:tcPr>
            <w:tcW w:w="731" w:type="pct"/>
            <w:vAlign w:val="center"/>
          </w:tcPr>
          <w:p w14:paraId="09D9A4C0" w14:textId="77777777" w:rsidR="00054437" w:rsidRPr="000549B1" w:rsidRDefault="00000000">
            <w:pPr>
              <w:pStyle w:val="CharCharCharCharChar"/>
              <w:rPr>
                <w:b/>
                <w:bCs/>
                <w:color w:val="auto"/>
              </w:rPr>
            </w:pPr>
            <w:r w:rsidRPr="000549B1">
              <w:rPr>
                <w:b/>
                <w:bCs/>
                <w:color w:val="auto"/>
              </w:rPr>
              <w:t>兴利库容</w:t>
            </w:r>
          </w:p>
          <w:p w14:paraId="7D9213F7" w14:textId="77777777" w:rsidR="00054437" w:rsidRPr="000549B1" w:rsidRDefault="00000000">
            <w:pPr>
              <w:pStyle w:val="CharCharCharCharChar"/>
              <w:rPr>
                <w:b/>
                <w:bCs/>
                <w:color w:val="auto"/>
              </w:rPr>
            </w:pPr>
            <w:r w:rsidRPr="000549B1">
              <w:rPr>
                <w:b/>
                <w:bCs/>
                <w:color w:val="auto"/>
              </w:rPr>
              <w:t>（万</w:t>
            </w:r>
            <w:r w:rsidRPr="000549B1">
              <w:rPr>
                <w:b/>
                <w:bCs/>
                <w:color w:val="auto"/>
              </w:rPr>
              <w:t>m³</w:t>
            </w:r>
            <w:r w:rsidRPr="000549B1">
              <w:rPr>
                <w:b/>
                <w:bCs/>
                <w:color w:val="auto"/>
              </w:rPr>
              <w:t>）</w:t>
            </w:r>
          </w:p>
        </w:tc>
      </w:tr>
      <w:tr w:rsidR="000549B1" w:rsidRPr="000549B1" w14:paraId="3892DC86" w14:textId="77777777">
        <w:trPr>
          <w:trHeight w:val="340"/>
        </w:trPr>
        <w:tc>
          <w:tcPr>
            <w:tcW w:w="339" w:type="pct"/>
            <w:noWrap/>
            <w:vAlign w:val="center"/>
          </w:tcPr>
          <w:p w14:paraId="064BFB94" w14:textId="77777777" w:rsidR="00054437" w:rsidRPr="000549B1" w:rsidRDefault="00000000">
            <w:pPr>
              <w:pStyle w:val="CharCharCharCharChar"/>
              <w:rPr>
                <w:color w:val="auto"/>
              </w:rPr>
            </w:pPr>
            <w:r w:rsidRPr="000549B1">
              <w:rPr>
                <w:color w:val="auto"/>
              </w:rPr>
              <w:t>1</w:t>
            </w:r>
          </w:p>
        </w:tc>
        <w:tc>
          <w:tcPr>
            <w:tcW w:w="768" w:type="pct"/>
            <w:noWrap/>
            <w:vAlign w:val="center"/>
          </w:tcPr>
          <w:p w14:paraId="2BFEFFFC" w14:textId="77777777" w:rsidR="00054437" w:rsidRPr="000549B1" w:rsidRDefault="00000000">
            <w:pPr>
              <w:pStyle w:val="CharCharCharCharChar"/>
              <w:rPr>
                <w:color w:val="auto"/>
              </w:rPr>
            </w:pPr>
            <w:r w:rsidRPr="000549B1">
              <w:rPr>
                <w:color w:val="auto"/>
              </w:rPr>
              <w:t>娘堂水库</w:t>
            </w:r>
          </w:p>
        </w:tc>
        <w:tc>
          <w:tcPr>
            <w:tcW w:w="771" w:type="pct"/>
            <w:noWrap/>
            <w:vAlign w:val="center"/>
          </w:tcPr>
          <w:p w14:paraId="70AF2842" w14:textId="77777777" w:rsidR="00054437" w:rsidRPr="000549B1" w:rsidRDefault="00000000">
            <w:pPr>
              <w:pStyle w:val="CharCharCharCharChar"/>
              <w:rPr>
                <w:color w:val="auto"/>
              </w:rPr>
            </w:pPr>
            <w:r w:rsidRPr="000549B1">
              <w:rPr>
                <w:color w:val="auto"/>
              </w:rPr>
              <w:t>沙珠玉乡</w:t>
            </w:r>
          </w:p>
        </w:tc>
        <w:tc>
          <w:tcPr>
            <w:tcW w:w="768" w:type="pct"/>
            <w:vAlign w:val="center"/>
          </w:tcPr>
          <w:p w14:paraId="0AA85148" w14:textId="77777777" w:rsidR="00054437" w:rsidRPr="000549B1" w:rsidRDefault="00000000">
            <w:pPr>
              <w:pStyle w:val="CharCharCharCharChar"/>
              <w:rPr>
                <w:color w:val="auto"/>
              </w:rPr>
            </w:pPr>
            <w:r w:rsidRPr="000549B1">
              <w:rPr>
                <w:color w:val="auto"/>
              </w:rPr>
              <w:t>沙珠玉河</w:t>
            </w:r>
          </w:p>
        </w:tc>
        <w:tc>
          <w:tcPr>
            <w:tcW w:w="854" w:type="pct"/>
            <w:noWrap/>
            <w:vAlign w:val="center"/>
          </w:tcPr>
          <w:p w14:paraId="764300CF" w14:textId="77777777" w:rsidR="00054437" w:rsidRPr="000549B1" w:rsidRDefault="00000000">
            <w:pPr>
              <w:pStyle w:val="CharCharCharCharChar"/>
              <w:rPr>
                <w:color w:val="auto"/>
              </w:rPr>
            </w:pPr>
            <w:r w:rsidRPr="000549B1">
              <w:rPr>
                <w:color w:val="auto"/>
              </w:rPr>
              <w:t>中型</w:t>
            </w:r>
          </w:p>
        </w:tc>
        <w:tc>
          <w:tcPr>
            <w:tcW w:w="768" w:type="pct"/>
            <w:noWrap/>
            <w:vAlign w:val="center"/>
          </w:tcPr>
          <w:p w14:paraId="0382F43F" w14:textId="77777777" w:rsidR="00054437" w:rsidRPr="000549B1" w:rsidRDefault="00000000">
            <w:pPr>
              <w:pStyle w:val="CharCharCharCharChar"/>
              <w:rPr>
                <w:color w:val="auto"/>
              </w:rPr>
            </w:pPr>
            <w:r w:rsidRPr="000549B1">
              <w:rPr>
                <w:color w:val="auto"/>
              </w:rPr>
              <w:t>1080</w:t>
            </w:r>
          </w:p>
        </w:tc>
        <w:tc>
          <w:tcPr>
            <w:tcW w:w="731" w:type="pct"/>
            <w:noWrap/>
            <w:vAlign w:val="center"/>
          </w:tcPr>
          <w:p w14:paraId="51E0CFDB" w14:textId="77777777" w:rsidR="00054437" w:rsidRPr="000549B1" w:rsidRDefault="00000000">
            <w:pPr>
              <w:pStyle w:val="CharCharCharCharChar"/>
              <w:rPr>
                <w:color w:val="auto"/>
              </w:rPr>
            </w:pPr>
            <w:r w:rsidRPr="000549B1">
              <w:rPr>
                <w:color w:val="auto"/>
              </w:rPr>
              <w:t>880</w:t>
            </w:r>
          </w:p>
        </w:tc>
      </w:tr>
      <w:tr w:rsidR="000549B1" w:rsidRPr="000549B1" w14:paraId="3F0AE208" w14:textId="77777777">
        <w:trPr>
          <w:trHeight w:val="340"/>
        </w:trPr>
        <w:tc>
          <w:tcPr>
            <w:tcW w:w="339" w:type="pct"/>
            <w:noWrap/>
            <w:vAlign w:val="center"/>
          </w:tcPr>
          <w:p w14:paraId="7522E3F5" w14:textId="77777777" w:rsidR="00054437" w:rsidRPr="000549B1" w:rsidRDefault="00000000">
            <w:pPr>
              <w:pStyle w:val="CharCharCharCharChar"/>
              <w:rPr>
                <w:color w:val="auto"/>
              </w:rPr>
            </w:pPr>
            <w:r w:rsidRPr="000549B1">
              <w:rPr>
                <w:color w:val="auto"/>
              </w:rPr>
              <w:t>2</w:t>
            </w:r>
          </w:p>
        </w:tc>
        <w:tc>
          <w:tcPr>
            <w:tcW w:w="768" w:type="pct"/>
            <w:noWrap/>
            <w:vAlign w:val="center"/>
          </w:tcPr>
          <w:p w14:paraId="569021B1" w14:textId="77777777" w:rsidR="00054437" w:rsidRPr="000549B1" w:rsidRDefault="00000000">
            <w:pPr>
              <w:pStyle w:val="CharCharCharCharChar"/>
              <w:rPr>
                <w:color w:val="auto"/>
              </w:rPr>
            </w:pPr>
            <w:r w:rsidRPr="000549B1">
              <w:rPr>
                <w:color w:val="auto"/>
              </w:rPr>
              <w:t>哇洪水库</w:t>
            </w:r>
          </w:p>
        </w:tc>
        <w:tc>
          <w:tcPr>
            <w:tcW w:w="771" w:type="pct"/>
            <w:noWrap/>
            <w:vAlign w:val="center"/>
          </w:tcPr>
          <w:p w14:paraId="72696E85" w14:textId="77777777" w:rsidR="00054437" w:rsidRPr="000549B1" w:rsidRDefault="00000000">
            <w:pPr>
              <w:pStyle w:val="CharCharCharCharChar"/>
              <w:rPr>
                <w:color w:val="auto"/>
              </w:rPr>
            </w:pPr>
            <w:r w:rsidRPr="000549B1">
              <w:rPr>
                <w:color w:val="auto"/>
              </w:rPr>
              <w:t>切吉乡</w:t>
            </w:r>
          </w:p>
        </w:tc>
        <w:tc>
          <w:tcPr>
            <w:tcW w:w="768" w:type="pct"/>
            <w:vAlign w:val="center"/>
          </w:tcPr>
          <w:p w14:paraId="51C1E1BF" w14:textId="77777777" w:rsidR="00054437" w:rsidRPr="000549B1" w:rsidRDefault="00000000">
            <w:pPr>
              <w:pStyle w:val="CharCharCharCharChar"/>
              <w:rPr>
                <w:color w:val="auto"/>
              </w:rPr>
            </w:pPr>
            <w:r w:rsidRPr="000549B1">
              <w:rPr>
                <w:color w:val="auto"/>
              </w:rPr>
              <w:t>哇洪沟</w:t>
            </w:r>
          </w:p>
        </w:tc>
        <w:tc>
          <w:tcPr>
            <w:tcW w:w="854" w:type="pct"/>
            <w:noWrap/>
            <w:vAlign w:val="center"/>
          </w:tcPr>
          <w:p w14:paraId="15FE38ED" w14:textId="77777777" w:rsidR="00054437" w:rsidRPr="000549B1" w:rsidRDefault="00000000">
            <w:pPr>
              <w:pStyle w:val="CharCharCharCharChar"/>
              <w:rPr>
                <w:color w:val="auto"/>
              </w:rPr>
            </w:pPr>
            <w:r w:rsidRPr="000549B1">
              <w:rPr>
                <w:color w:val="auto"/>
              </w:rPr>
              <w:t>中型</w:t>
            </w:r>
          </w:p>
        </w:tc>
        <w:tc>
          <w:tcPr>
            <w:tcW w:w="768" w:type="pct"/>
            <w:noWrap/>
            <w:vAlign w:val="center"/>
          </w:tcPr>
          <w:p w14:paraId="54DA9C16" w14:textId="77777777" w:rsidR="00054437" w:rsidRPr="000549B1" w:rsidRDefault="00000000">
            <w:pPr>
              <w:pStyle w:val="CharCharCharCharChar"/>
              <w:rPr>
                <w:color w:val="auto"/>
              </w:rPr>
            </w:pPr>
            <w:r w:rsidRPr="000549B1">
              <w:rPr>
                <w:color w:val="auto"/>
              </w:rPr>
              <w:t>1961</w:t>
            </w:r>
          </w:p>
        </w:tc>
        <w:tc>
          <w:tcPr>
            <w:tcW w:w="731" w:type="pct"/>
            <w:noWrap/>
            <w:vAlign w:val="center"/>
          </w:tcPr>
          <w:p w14:paraId="61A2D67A" w14:textId="77777777" w:rsidR="00054437" w:rsidRPr="000549B1" w:rsidRDefault="00000000">
            <w:pPr>
              <w:pStyle w:val="CharCharCharCharChar"/>
              <w:rPr>
                <w:color w:val="auto"/>
              </w:rPr>
            </w:pPr>
            <w:r w:rsidRPr="000549B1">
              <w:rPr>
                <w:color w:val="auto"/>
              </w:rPr>
              <w:t>1664</w:t>
            </w:r>
          </w:p>
        </w:tc>
      </w:tr>
      <w:tr w:rsidR="000549B1" w:rsidRPr="000549B1" w14:paraId="0757C729" w14:textId="77777777">
        <w:trPr>
          <w:trHeight w:val="340"/>
        </w:trPr>
        <w:tc>
          <w:tcPr>
            <w:tcW w:w="339" w:type="pct"/>
            <w:noWrap/>
            <w:vAlign w:val="center"/>
          </w:tcPr>
          <w:p w14:paraId="1F8E3356" w14:textId="77777777" w:rsidR="00054437" w:rsidRPr="000549B1" w:rsidRDefault="00000000">
            <w:pPr>
              <w:pStyle w:val="CharCharCharCharChar"/>
              <w:rPr>
                <w:color w:val="auto"/>
              </w:rPr>
            </w:pPr>
            <w:r w:rsidRPr="000549B1">
              <w:rPr>
                <w:color w:val="auto"/>
              </w:rPr>
              <w:t>3</w:t>
            </w:r>
          </w:p>
        </w:tc>
        <w:tc>
          <w:tcPr>
            <w:tcW w:w="768" w:type="pct"/>
            <w:noWrap/>
            <w:vAlign w:val="center"/>
          </w:tcPr>
          <w:p w14:paraId="2D542955" w14:textId="77777777" w:rsidR="00054437" w:rsidRPr="000549B1" w:rsidRDefault="00000000">
            <w:pPr>
              <w:pStyle w:val="CharCharCharCharChar"/>
              <w:rPr>
                <w:color w:val="auto"/>
              </w:rPr>
            </w:pPr>
            <w:r w:rsidRPr="000549B1">
              <w:rPr>
                <w:color w:val="auto"/>
              </w:rPr>
              <w:t>大水水库</w:t>
            </w:r>
          </w:p>
        </w:tc>
        <w:tc>
          <w:tcPr>
            <w:tcW w:w="771" w:type="pct"/>
            <w:noWrap/>
            <w:vAlign w:val="center"/>
          </w:tcPr>
          <w:p w14:paraId="10C27979" w14:textId="77777777" w:rsidR="00054437" w:rsidRPr="000549B1" w:rsidRDefault="00000000">
            <w:pPr>
              <w:pStyle w:val="CharCharCharCharChar"/>
              <w:rPr>
                <w:color w:val="auto"/>
              </w:rPr>
            </w:pPr>
            <w:r w:rsidRPr="000549B1">
              <w:rPr>
                <w:color w:val="auto"/>
              </w:rPr>
              <w:t>切吉乡</w:t>
            </w:r>
          </w:p>
        </w:tc>
        <w:tc>
          <w:tcPr>
            <w:tcW w:w="768" w:type="pct"/>
            <w:vAlign w:val="center"/>
          </w:tcPr>
          <w:p w14:paraId="0FBAD766" w14:textId="77777777" w:rsidR="00054437" w:rsidRPr="000549B1" w:rsidRDefault="00000000">
            <w:pPr>
              <w:pStyle w:val="CharCharCharCharChar"/>
              <w:rPr>
                <w:color w:val="auto"/>
              </w:rPr>
            </w:pPr>
            <w:r w:rsidRPr="000549B1">
              <w:rPr>
                <w:color w:val="auto"/>
              </w:rPr>
              <w:t>大水河</w:t>
            </w:r>
          </w:p>
        </w:tc>
        <w:tc>
          <w:tcPr>
            <w:tcW w:w="854" w:type="pct"/>
            <w:noWrap/>
            <w:vAlign w:val="center"/>
          </w:tcPr>
          <w:p w14:paraId="0DE61FA0" w14:textId="77777777" w:rsidR="00054437" w:rsidRPr="000549B1" w:rsidRDefault="00000000">
            <w:pPr>
              <w:pStyle w:val="CharCharCharCharChar"/>
              <w:rPr>
                <w:color w:val="auto"/>
              </w:rPr>
            </w:pPr>
            <w:r w:rsidRPr="000549B1">
              <w:rPr>
                <w:color w:val="auto"/>
              </w:rPr>
              <w:t>小（</w:t>
            </w:r>
            <w:r w:rsidRPr="000549B1">
              <w:rPr>
                <w:color w:val="auto"/>
              </w:rPr>
              <w:t>1</w:t>
            </w:r>
            <w:r w:rsidRPr="000549B1">
              <w:rPr>
                <w:color w:val="auto"/>
              </w:rPr>
              <w:t>）型</w:t>
            </w:r>
          </w:p>
        </w:tc>
        <w:tc>
          <w:tcPr>
            <w:tcW w:w="768" w:type="pct"/>
            <w:noWrap/>
            <w:vAlign w:val="center"/>
          </w:tcPr>
          <w:p w14:paraId="5058001C" w14:textId="77777777" w:rsidR="00054437" w:rsidRPr="000549B1" w:rsidRDefault="00000000">
            <w:pPr>
              <w:pStyle w:val="CharCharCharCharChar"/>
              <w:rPr>
                <w:color w:val="auto"/>
              </w:rPr>
            </w:pPr>
            <w:r w:rsidRPr="000549B1">
              <w:rPr>
                <w:color w:val="auto"/>
              </w:rPr>
              <w:t>485</w:t>
            </w:r>
          </w:p>
        </w:tc>
        <w:tc>
          <w:tcPr>
            <w:tcW w:w="731" w:type="pct"/>
            <w:noWrap/>
            <w:vAlign w:val="center"/>
          </w:tcPr>
          <w:p w14:paraId="5B091AD8" w14:textId="77777777" w:rsidR="00054437" w:rsidRPr="000549B1" w:rsidRDefault="00000000">
            <w:pPr>
              <w:pStyle w:val="CharCharCharCharChar"/>
              <w:rPr>
                <w:color w:val="auto"/>
              </w:rPr>
            </w:pPr>
            <w:r w:rsidRPr="000549B1">
              <w:rPr>
                <w:color w:val="auto"/>
              </w:rPr>
              <w:t>387</w:t>
            </w:r>
          </w:p>
        </w:tc>
      </w:tr>
      <w:tr w:rsidR="000549B1" w:rsidRPr="000549B1" w14:paraId="5621698B" w14:textId="77777777">
        <w:trPr>
          <w:trHeight w:val="340"/>
        </w:trPr>
        <w:tc>
          <w:tcPr>
            <w:tcW w:w="339" w:type="pct"/>
            <w:noWrap/>
            <w:vAlign w:val="center"/>
          </w:tcPr>
          <w:p w14:paraId="4D801895" w14:textId="77777777" w:rsidR="00054437" w:rsidRPr="000549B1" w:rsidRDefault="00000000">
            <w:pPr>
              <w:pStyle w:val="CharCharCharCharChar"/>
              <w:rPr>
                <w:color w:val="auto"/>
              </w:rPr>
            </w:pPr>
            <w:r w:rsidRPr="000549B1">
              <w:rPr>
                <w:color w:val="auto"/>
              </w:rPr>
              <w:t>4</w:t>
            </w:r>
          </w:p>
        </w:tc>
        <w:tc>
          <w:tcPr>
            <w:tcW w:w="768" w:type="pct"/>
            <w:noWrap/>
            <w:vAlign w:val="center"/>
          </w:tcPr>
          <w:p w14:paraId="463BD7CE" w14:textId="77777777" w:rsidR="00054437" w:rsidRPr="000549B1" w:rsidRDefault="00000000">
            <w:pPr>
              <w:pStyle w:val="CharCharCharCharChar"/>
              <w:rPr>
                <w:color w:val="auto"/>
              </w:rPr>
            </w:pPr>
            <w:r w:rsidRPr="000549B1">
              <w:rPr>
                <w:color w:val="auto"/>
              </w:rPr>
              <w:t>切吉水库</w:t>
            </w:r>
          </w:p>
        </w:tc>
        <w:tc>
          <w:tcPr>
            <w:tcW w:w="771" w:type="pct"/>
            <w:noWrap/>
            <w:vAlign w:val="center"/>
          </w:tcPr>
          <w:p w14:paraId="00D2E536" w14:textId="77777777" w:rsidR="00054437" w:rsidRPr="000549B1" w:rsidRDefault="00000000">
            <w:pPr>
              <w:pStyle w:val="CharCharCharCharChar"/>
              <w:rPr>
                <w:color w:val="auto"/>
              </w:rPr>
            </w:pPr>
            <w:r w:rsidRPr="000549B1">
              <w:rPr>
                <w:color w:val="auto"/>
              </w:rPr>
              <w:t>塘格木镇</w:t>
            </w:r>
          </w:p>
        </w:tc>
        <w:tc>
          <w:tcPr>
            <w:tcW w:w="768" w:type="pct"/>
            <w:vAlign w:val="center"/>
          </w:tcPr>
          <w:p w14:paraId="35B00742" w14:textId="77777777" w:rsidR="00054437" w:rsidRPr="000549B1" w:rsidRDefault="00000000">
            <w:pPr>
              <w:pStyle w:val="CharCharCharCharChar"/>
              <w:rPr>
                <w:color w:val="auto"/>
              </w:rPr>
            </w:pPr>
            <w:r w:rsidRPr="000549B1">
              <w:rPr>
                <w:color w:val="auto"/>
              </w:rPr>
              <w:t>切吉河</w:t>
            </w:r>
          </w:p>
        </w:tc>
        <w:tc>
          <w:tcPr>
            <w:tcW w:w="854" w:type="pct"/>
            <w:noWrap/>
            <w:vAlign w:val="center"/>
          </w:tcPr>
          <w:p w14:paraId="3D13431F" w14:textId="77777777" w:rsidR="00054437" w:rsidRPr="000549B1" w:rsidRDefault="00000000">
            <w:pPr>
              <w:pStyle w:val="CharCharCharCharChar"/>
              <w:rPr>
                <w:color w:val="auto"/>
              </w:rPr>
            </w:pPr>
            <w:r w:rsidRPr="000549B1">
              <w:rPr>
                <w:color w:val="auto"/>
              </w:rPr>
              <w:t>小（</w:t>
            </w:r>
            <w:r w:rsidRPr="000549B1">
              <w:rPr>
                <w:color w:val="auto"/>
              </w:rPr>
              <w:t>1</w:t>
            </w:r>
            <w:r w:rsidRPr="000549B1">
              <w:rPr>
                <w:color w:val="auto"/>
              </w:rPr>
              <w:t>）型</w:t>
            </w:r>
          </w:p>
        </w:tc>
        <w:tc>
          <w:tcPr>
            <w:tcW w:w="768" w:type="pct"/>
            <w:noWrap/>
            <w:vAlign w:val="center"/>
          </w:tcPr>
          <w:p w14:paraId="2702E0E4" w14:textId="77777777" w:rsidR="00054437" w:rsidRPr="000549B1" w:rsidRDefault="00000000">
            <w:pPr>
              <w:pStyle w:val="CharCharCharCharChar"/>
              <w:rPr>
                <w:color w:val="auto"/>
              </w:rPr>
            </w:pPr>
            <w:r w:rsidRPr="000549B1">
              <w:rPr>
                <w:color w:val="auto"/>
              </w:rPr>
              <w:t>462</w:t>
            </w:r>
          </w:p>
        </w:tc>
        <w:tc>
          <w:tcPr>
            <w:tcW w:w="731" w:type="pct"/>
            <w:noWrap/>
            <w:vAlign w:val="center"/>
          </w:tcPr>
          <w:p w14:paraId="347A627F" w14:textId="77777777" w:rsidR="00054437" w:rsidRPr="000549B1" w:rsidRDefault="00000000">
            <w:pPr>
              <w:pStyle w:val="CharCharCharCharChar"/>
              <w:rPr>
                <w:color w:val="auto"/>
              </w:rPr>
            </w:pPr>
            <w:r w:rsidRPr="000549B1">
              <w:rPr>
                <w:color w:val="auto"/>
              </w:rPr>
              <w:t>333</w:t>
            </w:r>
          </w:p>
        </w:tc>
      </w:tr>
      <w:tr w:rsidR="000549B1" w:rsidRPr="000549B1" w14:paraId="5059DA62" w14:textId="77777777">
        <w:trPr>
          <w:trHeight w:val="340"/>
        </w:trPr>
        <w:tc>
          <w:tcPr>
            <w:tcW w:w="339" w:type="pct"/>
            <w:noWrap/>
            <w:vAlign w:val="center"/>
          </w:tcPr>
          <w:p w14:paraId="5ADAD74E" w14:textId="77777777" w:rsidR="00054437" w:rsidRPr="000549B1" w:rsidRDefault="00000000">
            <w:pPr>
              <w:pStyle w:val="CharCharCharCharChar"/>
              <w:rPr>
                <w:color w:val="auto"/>
              </w:rPr>
            </w:pPr>
            <w:r w:rsidRPr="000549B1">
              <w:rPr>
                <w:color w:val="auto"/>
              </w:rPr>
              <w:t>5</w:t>
            </w:r>
          </w:p>
        </w:tc>
        <w:tc>
          <w:tcPr>
            <w:tcW w:w="768" w:type="pct"/>
            <w:noWrap/>
            <w:vAlign w:val="center"/>
          </w:tcPr>
          <w:p w14:paraId="1882B510" w14:textId="77777777" w:rsidR="00054437" w:rsidRPr="000549B1" w:rsidRDefault="00000000">
            <w:pPr>
              <w:pStyle w:val="CharCharCharCharChar"/>
              <w:rPr>
                <w:color w:val="auto"/>
              </w:rPr>
            </w:pPr>
            <w:r w:rsidRPr="000549B1">
              <w:rPr>
                <w:color w:val="auto"/>
              </w:rPr>
              <w:t>塔什秋水库</w:t>
            </w:r>
          </w:p>
        </w:tc>
        <w:tc>
          <w:tcPr>
            <w:tcW w:w="771" w:type="pct"/>
            <w:noWrap/>
            <w:vAlign w:val="center"/>
          </w:tcPr>
          <w:p w14:paraId="6968E59A" w14:textId="77777777" w:rsidR="00054437" w:rsidRPr="000549B1" w:rsidRDefault="00000000">
            <w:pPr>
              <w:pStyle w:val="CharCharCharCharChar"/>
              <w:rPr>
                <w:color w:val="auto"/>
              </w:rPr>
            </w:pPr>
            <w:r w:rsidRPr="000549B1">
              <w:rPr>
                <w:color w:val="auto"/>
              </w:rPr>
              <w:t>塘格木镇</w:t>
            </w:r>
          </w:p>
        </w:tc>
        <w:tc>
          <w:tcPr>
            <w:tcW w:w="768" w:type="pct"/>
            <w:vAlign w:val="center"/>
          </w:tcPr>
          <w:p w14:paraId="783D2706" w14:textId="77777777" w:rsidR="00054437" w:rsidRPr="000549B1" w:rsidRDefault="00000000">
            <w:pPr>
              <w:pStyle w:val="CharCharCharCharChar"/>
              <w:rPr>
                <w:color w:val="auto"/>
              </w:rPr>
            </w:pPr>
            <w:r w:rsidRPr="000549B1">
              <w:rPr>
                <w:color w:val="auto"/>
              </w:rPr>
              <w:t>直亥买沟</w:t>
            </w:r>
          </w:p>
        </w:tc>
        <w:tc>
          <w:tcPr>
            <w:tcW w:w="854" w:type="pct"/>
            <w:noWrap/>
            <w:vAlign w:val="center"/>
          </w:tcPr>
          <w:p w14:paraId="5D0F0877" w14:textId="77777777" w:rsidR="00054437" w:rsidRPr="000549B1" w:rsidRDefault="00000000">
            <w:pPr>
              <w:pStyle w:val="CharCharCharCharChar"/>
              <w:rPr>
                <w:color w:val="auto"/>
              </w:rPr>
            </w:pPr>
            <w:r w:rsidRPr="000549B1">
              <w:rPr>
                <w:color w:val="auto"/>
              </w:rPr>
              <w:t>小（</w:t>
            </w:r>
            <w:r w:rsidRPr="000549B1">
              <w:rPr>
                <w:color w:val="auto"/>
              </w:rPr>
              <w:t>1</w:t>
            </w:r>
            <w:r w:rsidRPr="000549B1">
              <w:rPr>
                <w:color w:val="auto"/>
              </w:rPr>
              <w:t>）型</w:t>
            </w:r>
          </w:p>
        </w:tc>
        <w:tc>
          <w:tcPr>
            <w:tcW w:w="768" w:type="pct"/>
            <w:noWrap/>
            <w:vAlign w:val="center"/>
          </w:tcPr>
          <w:p w14:paraId="24C49DAA" w14:textId="77777777" w:rsidR="00054437" w:rsidRPr="000549B1" w:rsidRDefault="00000000">
            <w:pPr>
              <w:pStyle w:val="CharCharCharCharChar"/>
              <w:rPr>
                <w:color w:val="auto"/>
              </w:rPr>
            </w:pPr>
            <w:r w:rsidRPr="000549B1">
              <w:rPr>
                <w:color w:val="auto"/>
              </w:rPr>
              <w:t>115</w:t>
            </w:r>
          </w:p>
        </w:tc>
        <w:tc>
          <w:tcPr>
            <w:tcW w:w="731" w:type="pct"/>
            <w:noWrap/>
            <w:vAlign w:val="center"/>
          </w:tcPr>
          <w:p w14:paraId="25E153D5" w14:textId="77777777" w:rsidR="00054437" w:rsidRPr="000549B1" w:rsidRDefault="00000000">
            <w:pPr>
              <w:pStyle w:val="CharCharCharCharChar"/>
              <w:rPr>
                <w:color w:val="auto"/>
              </w:rPr>
            </w:pPr>
            <w:r w:rsidRPr="000549B1">
              <w:rPr>
                <w:color w:val="auto"/>
              </w:rPr>
              <w:t>100</w:t>
            </w:r>
          </w:p>
        </w:tc>
      </w:tr>
      <w:tr w:rsidR="000549B1" w:rsidRPr="000549B1" w14:paraId="1701EFC4" w14:textId="77777777">
        <w:trPr>
          <w:trHeight w:val="340"/>
        </w:trPr>
        <w:tc>
          <w:tcPr>
            <w:tcW w:w="339" w:type="pct"/>
            <w:noWrap/>
            <w:vAlign w:val="center"/>
          </w:tcPr>
          <w:p w14:paraId="221BD0CC" w14:textId="77777777" w:rsidR="00054437" w:rsidRPr="000549B1" w:rsidRDefault="00000000">
            <w:pPr>
              <w:pStyle w:val="CharCharCharCharChar"/>
              <w:rPr>
                <w:color w:val="auto"/>
              </w:rPr>
            </w:pPr>
            <w:r w:rsidRPr="000549B1">
              <w:rPr>
                <w:color w:val="auto"/>
              </w:rPr>
              <w:t>6</w:t>
            </w:r>
          </w:p>
        </w:tc>
        <w:tc>
          <w:tcPr>
            <w:tcW w:w="768" w:type="pct"/>
            <w:noWrap/>
            <w:vAlign w:val="center"/>
          </w:tcPr>
          <w:p w14:paraId="2025EADE" w14:textId="77777777" w:rsidR="00054437" w:rsidRPr="000549B1" w:rsidRDefault="00000000">
            <w:pPr>
              <w:pStyle w:val="CharCharCharCharChar"/>
              <w:rPr>
                <w:color w:val="auto"/>
              </w:rPr>
            </w:pPr>
            <w:r w:rsidRPr="000549B1">
              <w:rPr>
                <w:color w:val="auto"/>
              </w:rPr>
              <w:t>恰让水库</w:t>
            </w:r>
          </w:p>
        </w:tc>
        <w:tc>
          <w:tcPr>
            <w:tcW w:w="771" w:type="pct"/>
            <w:noWrap/>
            <w:vAlign w:val="center"/>
          </w:tcPr>
          <w:p w14:paraId="69B0086F" w14:textId="77777777" w:rsidR="00054437" w:rsidRPr="000549B1" w:rsidRDefault="00000000">
            <w:pPr>
              <w:pStyle w:val="CharCharCharCharChar"/>
              <w:rPr>
                <w:color w:val="auto"/>
              </w:rPr>
            </w:pPr>
            <w:r w:rsidRPr="000549B1">
              <w:rPr>
                <w:color w:val="auto"/>
              </w:rPr>
              <w:t>甘地乡</w:t>
            </w:r>
          </w:p>
        </w:tc>
        <w:tc>
          <w:tcPr>
            <w:tcW w:w="768" w:type="pct"/>
            <w:vAlign w:val="center"/>
          </w:tcPr>
          <w:p w14:paraId="21407699" w14:textId="77777777" w:rsidR="00054437" w:rsidRPr="000549B1" w:rsidRDefault="00000000">
            <w:pPr>
              <w:pStyle w:val="CharCharCharCharChar"/>
              <w:rPr>
                <w:color w:val="auto"/>
              </w:rPr>
            </w:pPr>
            <w:r w:rsidRPr="000549B1">
              <w:rPr>
                <w:color w:val="auto"/>
              </w:rPr>
              <w:t>恰让沟</w:t>
            </w:r>
          </w:p>
        </w:tc>
        <w:tc>
          <w:tcPr>
            <w:tcW w:w="854" w:type="pct"/>
            <w:noWrap/>
            <w:vAlign w:val="center"/>
          </w:tcPr>
          <w:p w14:paraId="4112911E" w14:textId="77777777" w:rsidR="00054437" w:rsidRPr="000549B1" w:rsidRDefault="00000000">
            <w:pPr>
              <w:pStyle w:val="CharCharCharCharChar"/>
              <w:rPr>
                <w:color w:val="auto"/>
              </w:rPr>
            </w:pPr>
            <w:r w:rsidRPr="000549B1">
              <w:rPr>
                <w:color w:val="auto"/>
              </w:rPr>
              <w:t>小（</w:t>
            </w:r>
            <w:r w:rsidRPr="000549B1">
              <w:rPr>
                <w:color w:val="auto"/>
              </w:rPr>
              <w:t>1</w:t>
            </w:r>
            <w:r w:rsidRPr="000549B1">
              <w:rPr>
                <w:color w:val="auto"/>
              </w:rPr>
              <w:t>）型</w:t>
            </w:r>
          </w:p>
        </w:tc>
        <w:tc>
          <w:tcPr>
            <w:tcW w:w="768" w:type="pct"/>
            <w:noWrap/>
            <w:vAlign w:val="center"/>
          </w:tcPr>
          <w:p w14:paraId="0055F4F5" w14:textId="77777777" w:rsidR="00054437" w:rsidRPr="000549B1" w:rsidRDefault="00000000">
            <w:pPr>
              <w:pStyle w:val="CharCharCharCharChar"/>
              <w:rPr>
                <w:color w:val="auto"/>
              </w:rPr>
            </w:pPr>
            <w:r w:rsidRPr="000549B1">
              <w:rPr>
                <w:color w:val="auto"/>
              </w:rPr>
              <w:t>307</w:t>
            </w:r>
          </w:p>
        </w:tc>
        <w:tc>
          <w:tcPr>
            <w:tcW w:w="731" w:type="pct"/>
            <w:noWrap/>
            <w:vAlign w:val="center"/>
          </w:tcPr>
          <w:p w14:paraId="7CA3124C" w14:textId="77777777" w:rsidR="00054437" w:rsidRPr="000549B1" w:rsidRDefault="00000000">
            <w:pPr>
              <w:pStyle w:val="CharCharCharCharChar"/>
              <w:rPr>
                <w:color w:val="auto"/>
              </w:rPr>
            </w:pPr>
            <w:r w:rsidRPr="000549B1">
              <w:rPr>
                <w:color w:val="auto"/>
              </w:rPr>
              <w:t>255</w:t>
            </w:r>
          </w:p>
        </w:tc>
      </w:tr>
      <w:tr w:rsidR="000549B1" w:rsidRPr="000549B1" w14:paraId="62BFF307" w14:textId="77777777">
        <w:trPr>
          <w:trHeight w:val="340"/>
        </w:trPr>
        <w:tc>
          <w:tcPr>
            <w:tcW w:w="339" w:type="pct"/>
            <w:noWrap/>
            <w:vAlign w:val="center"/>
          </w:tcPr>
          <w:p w14:paraId="4057E155" w14:textId="77777777" w:rsidR="00054437" w:rsidRPr="000549B1" w:rsidRDefault="00000000">
            <w:pPr>
              <w:pStyle w:val="CharCharCharCharChar"/>
              <w:rPr>
                <w:color w:val="auto"/>
              </w:rPr>
            </w:pPr>
            <w:r w:rsidRPr="000549B1">
              <w:rPr>
                <w:color w:val="auto"/>
              </w:rPr>
              <w:t>7</w:t>
            </w:r>
          </w:p>
        </w:tc>
        <w:tc>
          <w:tcPr>
            <w:tcW w:w="768" w:type="pct"/>
            <w:noWrap/>
            <w:vAlign w:val="center"/>
          </w:tcPr>
          <w:p w14:paraId="066C5D63" w14:textId="77777777" w:rsidR="00054437" w:rsidRPr="000549B1" w:rsidRDefault="00000000">
            <w:pPr>
              <w:pStyle w:val="CharCharCharCharChar"/>
              <w:rPr>
                <w:color w:val="auto"/>
              </w:rPr>
            </w:pPr>
            <w:r w:rsidRPr="000549B1">
              <w:rPr>
                <w:color w:val="auto"/>
              </w:rPr>
              <w:t>塘曲水库</w:t>
            </w:r>
          </w:p>
        </w:tc>
        <w:tc>
          <w:tcPr>
            <w:tcW w:w="771" w:type="pct"/>
            <w:noWrap/>
            <w:vAlign w:val="center"/>
          </w:tcPr>
          <w:p w14:paraId="06475AD6" w14:textId="77777777" w:rsidR="00054437" w:rsidRPr="000549B1" w:rsidRDefault="00000000">
            <w:pPr>
              <w:pStyle w:val="CharCharCharCharChar"/>
              <w:rPr>
                <w:color w:val="auto"/>
              </w:rPr>
            </w:pPr>
            <w:r w:rsidRPr="000549B1">
              <w:rPr>
                <w:color w:val="auto"/>
              </w:rPr>
              <w:t>切吉乡</w:t>
            </w:r>
          </w:p>
        </w:tc>
        <w:tc>
          <w:tcPr>
            <w:tcW w:w="768" w:type="pct"/>
            <w:vAlign w:val="center"/>
          </w:tcPr>
          <w:p w14:paraId="7A747C3C" w14:textId="77777777" w:rsidR="00054437" w:rsidRPr="000549B1" w:rsidRDefault="00000000">
            <w:pPr>
              <w:pStyle w:val="CharCharCharCharChar"/>
              <w:rPr>
                <w:color w:val="auto"/>
              </w:rPr>
            </w:pPr>
            <w:r w:rsidRPr="000549B1">
              <w:rPr>
                <w:color w:val="auto"/>
              </w:rPr>
              <w:t>塘曲沟</w:t>
            </w:r>
          </w:p>
        </w:tc>
        <w:tc>
          <w:tcPr>
            <w:tcW w:w="854" w:type="pct"/>
            <w:noWrap/>
            <w:vAlign w:val="center"/>
          </w:tcPr>
          <w:p w14:paraId="61CF0859" w14:textId="77777777" w:rsidR="00054437" w:rsidRPr="000549B1" w:rsidRDefault="00000000">
            <w:pPr>
              <w:pStyle w:val="CharCharCharCharChar"/>
              <w:rPr>
                <w:color w:val="auto"/>
              </w:rPr>
            </w:pPr>
            <w:r w:rsidRPr="000549B1">
              <w:rPr>
                <w:color w:val="auto"/>
              </w:rPr>
              <w:t>小（</w:t>
            </w:r>
            <w:r w:rsidRPr="000549B1">
              <w:rPr>
                <w:color w:val="auto"/>
              </w:rPr>
              <w:t>2</w:t>
            </w:r>
            <w:r w:rsidRPr="000549B1">
              <w:rPr>
                <w:color w:val="auto"/>
              </w:rPr>
              <w:t>）型</w:t>
            </w:r>
          </w:p>
        </w:tc>
        <w:tc>
          <w:tcPr>
            <w:tcW w:w="768" w:type="pct"/>
            <w:noWrap/>
            <w:vAlign w:val="center"/>
          </w:tcPr>
          <w:p w14:paraId="5E803697" w14:textId="77777777" w:rsidR="00054437" w:rsidRPr="000549B1" w:rsidRDefault="00000000">
            <w:pPr>
              <w:pStyle w:val="CharCharCharCharChar"/>
              <w:rPr>
                <w:color w:val="auto"/>
              </w:rPr>
            </w:pPr>
            <w:r w:rsidRPr="000549B1">
              <w:rPr>
                <w:color w:val="auto"/>
              </w:rPr>
              <w:t>10</w:t>
            </w:r>
          </w:p>
        </w:tc>
        <w:tc>
          <w:tcPr>
            <w:tcW w:w="731" w:type="pct"/>
            <w:noWrap/>
            <w:vAlign w:val="center"/>
          </w:tcPr>
          <w:p w14:paraId="77BB2D26" w14:textId="77777777" w:rsidR="00054437" w:rsidRPr="000549B1" w:rsidRDefault="00000000">
            <w:pPr>
              <w:pStyle w:val="CharCharCharCharChar"/>
              <w:rPr>
                <w:color w:val="auto"/>
              </w:rPr>
            </w:pPr>
            <w:r w:rsidRPr="000549B1">
              <w:rPr>
                <w:color w:val="auto"/>
              </w:rPr>
              <w:t>8</w:t>
            </w:r>
          </w:p>
        </w:tc>
      </w:tr>
      <w:tr w:rsidR="000549B1" w:rsidRPr="000549B1" w14:paraId="0B8A541E" w14:textId="77777777">
        <w:trPr>
          <w:trHeight w:val="340"/>
        </w:trPr>
        <w:tc>
          <w:tcPr>
            <w:tcW w:w="339" w:type="pct"/>
            <w:noWrap/>
            <w:vAlign w:val="center"/>
          </w:tcPr>
          <w:p w14:paraId="78DB46DB" w14:textId="77777777" w:rsidR="00054437" w:rsidRPr="000549B1" w:rsidRDefault="00000000">
            <w:pPr>
              <w:pStyle w:val="CharCharCharCharChar"/>
              <w:rPr>
                <w:color w:val="auto"/>
              </w:rPr>
            </w:pPr>
            <w:r w:rsidRPr="000549B1">
              <w:rPr>
                <w:color w:val="auto"/>
              </w:rPr>
              <w:t>8</w:t>
            </w:r>
          </w:p>
        </w:tc>
        <w:tc>
          <w:tcPr>
            <w:tcW w:w="768" w:type="pct"/>
            <w:noWrap/>
            <w:vAlign w:val="center"/>
          </w:tcPr>
          <w:p w14:paraId="0F3A2E4E" w14:textId="77777777" w:rsidR="00054437" w:rsidRPr="000549B1" w:rsidRDefault="00000000">
            <w:pPr>
              <w:pStyle w:val="CharCharCharCharChar"/>
              <w:rPr>
                <w:color w:val="auto"/>
              </w:rPr>
            </w:pPr>
            <w:r w:rsidRPr="000549B1">
              <w:rPr>
                <w:color w:val="auto"/>
              </w:rPr>
              <w:t>塔勒水库</w:t>
            </w:r>
          </w:p>
        </w:tc>
        <w:tc>
          <w:tcPr>
            <w:tcW w:w="771" w:type="pct"/>
            <w:noWrap/>
            <w:vAlign w:val="center"/>
          </w:tcPr>
          <w:p w14:paraId="460F2BCB" w14:textId="77777777" w:rsidR="00054437" w:rsidRPr="000549B1" w:rsidRDefault="00000000">
            <w:pPr>
              <w:pStyle w:val="CharCharCharCharChar"/>
              <w:rPr>
                <w:color w:val="auto"/>
              </w:rPr>
            </w:pPr>
            <w:r w:rsidRPr="000549B1">
              <w:rPr>
                <w:color w:val="auto"/>
              </w:rPr>
              <w:t>切吉乡</w:t>
            </w:r>
          </w:p>
        </w:tc>
        <w:tc>
          <w:tcPr>
            <w:tcW w:w="768" w:type="pct"/>
            <w:vAlign w:val="center"/>
          </w:tcPr>
          <w:p w14:paraId="4F0FF332" w14:textId="77777777" w:rsidR="00054437" w:rsidRPr="000549B1" w:rsidRDefault="00000000">
            <w:pPr>
              <w:pStyle w:val="CharCharCharCharChar"/>
              <w:rPr>
                <w:color w:val="auto"/>
              </w:rPr>
            </w:pPr>
            <w:r w:rsidRPr="000549B1">
              <w:rPr>
                <w:color w:val="auto"/>
              </w:rPr>
              <w:t>塔勒沟</w:t>
            </w:r>
          </w:p>
        </w:tc>
        <w:tc>
          <w:tcPr>
            <w:tcW w:w="854" w:type="pct"/>
            <w:noWrap/>
            <w:vAlign w:val="center"/>
          </w:tcPr>
          <w:p w14:paraId="31F1A6F2" w14:textId="77777777" w:rsidR="00054437" w:rsidRPr="000549B1" w:rsidRDefault="00000000">
            <w:pPr>
              <w:pStyle w:val="CharCharCharCharChar"/>
              <w:rPr>
                <w:color w:val="auto"/>
              </w:rPr>
            </w:pPr>
            <w:r w:rsidRPr="000549B1">
              <w:rPr>
                <w:color w:val="auto"/>
              </w:rPr>
              <w:t>小（</w:t>
            </w:r>
            <w:r w:rsidRPr="000549B1">
              <w:rPr>
                <w:color w:val="auto"/>
              </w:rPr>
              <w:t>2</w:t>
            </w:r>
            <w:r w:rsidRPr="000549B1">
              <w:rPr>
                <w:color w:val="auto"/>
              </w:rPr>
              <w:t>）型</w:t>
            </w:r>
          </w:p>
        </w:tc>
        <w:tc>
          <w:tcPr>
            <w:tcW w:w="768" w:type="pct"/>
            <w:noWrap/>
            <w:vAlign w:val="center"/>
          </w:tcPr>
          <w:p w14:paraId="1E9E6D54" w14:textId="77777777" w:rsidR="00054437" w:rsidRPr="000549B1" w:rsidRDefault="00000000">
            <w:pPr>
              <w:pStyle w:val="CharCharCharCharChar"/>
              <w:rPr>
                <w:color w:val="auto"/>
              </w:rPr>
            </w:pPr>
            <w:r w:rsidRPr="000549B1">
              <w:rPr>
                <w:color w:val="auto"/>
              </w:rPr>
              <w:t>17</w:t>
            </w:r>
          </w:p>
        </w:tc>
        <w:tc>
          <w:tcPr>
            <w:tcW w:w="731" w:type="pct"/>
            <w:noWrap/>
            <w:vAlign w:val="center"/>
          </w:tcPr>
          <w:p w14:paraId="3ED4FA12" w14:textId="77777777" w:rsidR="00054437" w:rsidRPr="000549B1" w:rsidRDefault="00000000">
            <w:pPr>
              <w:pStyle w:val="CharCharCharCharChar"/>
              <w:rPr>
                <w:color w:val="auto"/>
              </w:rPr>
            </w:pPr>
            <w:r w:rsidRPr="000549B1">
              <w:rPr>
                <w:color w:val="auto"/>
              </w:rPr>
              <w:t>9</w:t>
            </w:r>
          </w:p>
        </w:tc>
      </w:tr>
      <w:tr w:rsidR="000549B1" w:rsidRPr="000549B1" w14:paraId="74B3FD1F" w14:textId="77777777">
        <w:trPr>
          <w:trHeight w:val="340"/>
        </w:trPr>
        <w:tc>
          <w:tcPr>
            <w:tcW w:w="339" w:type="pct"/>
            <w:noWrap/>
            <w:vAlign w:val="center"/>
          </w:tcPr>
          <w:p w14:paraId="54C9B2A0" w14:textId="77777777" w:rsidR="00054437" w:rsidRPr="000549B1" w:rsidRDefault="00000000">
            <w:pPr>
              <w:pStyle w:val="CharCharCharCharChar"/>
              <w:rPr>
                <w:color w:val="auto"/>
              </w:rPr>
            </w:pPr>
            <w:r w:rsidRPr="000549B1">
              <w:rPr>
                <w:color w:val="auto"/>
              </w:rPr>
              <w:t>9</w:t>
            </w:r>
          </w:p>
        </w:tc>
        <w:tc>
          <w:tcPr>
            <w:tcW w:w="768" w:type="pct"/>
            <w:noWrap/>
            <w:vAlign w:val="center"/>
          </w:tcPr>
          <w:p w14:paraId="58D69903" w14:textId="77777777" w:rsidR="00054437" w:rsidRPr="000549B1" w:rsidRDefault="00000000">
            <w:pPr>
              <w:pStyle w:val="CharCharCharCharChar"/>
              <w:rPr>
                <w:color w:val="auto"/>
              </w:rPr>
            </w:pPr>
            <w:r w:rsidRPr="000549B1">
              <w:rPr>
                <w:color w:val="auto"/>
              </w:rPr>
              <w:t>曲让水库</w:t>
            </w:r>
          </w:p>
        </w:tc>
        <w:tc>
          <w:tcPr>
            <w:tcW w:w="771" w:type="pct"/>
            <w:noWrap/>
            <w:vAlign w:val="center"/>
          </w:tcPr>
          <w:p w14:paraId="3BB8EFB7" w14:textId="77777777" w:rsidR="00054437" w:rsidRPr="000549B1" w:rsidRDefault="00000000">
            <w:pPr>
              <w:pStyle w:val="CharCharCharCharChar"/>
              <w:rPr>
                <w:color w:val="auto"/>
              </w:rPr>
            </w:pPr>
            <w:r w:rsidRPr="000549B1">
              <w:rPr>
                <w:color w:val="auto"/>
              </w:rPr>
              <w:t>切吉乡</w:t>
            </w:r>
          </w:p>
        </w:tc>
        <w:tc>
          <w:tcPr>
            <w:tcW w:w="768" w:type="pct"/>
            <w:vAlign w:val="center"/>
          </w:tcPr>
          <w:p w14:paraId="40D12156" w14:textId="77777777" w:rsidR="00054437" w:rsidRPr="000549B1" w:rsidRDefault="00000000">
            <w:pPr>
              <w:pStyle w:val="CharCharCharCharChar"/>
              <w:rPr>
                <w:color w:val="auto"/>
              </w:rPr>
            </w:pPr>
            <w:r w:rsidRPr="000549B1">
              <w:rPr>
                <w:color w:val="auto"/>
              </w:rPr>
              <w:t>曲让沟</w:t>
            </w:r>
          </w:p>
        </w:tc>
        <w:tc>
          <w:tcPr>
            <w:tcW w:w="854" w:type="pct"/>
            <w:noWrap/>
            <w:vAlign w:val="center"/>
          </w:tcPr>
          <w:p w14:paraId="31F8C2A0" w14:textId="77777777" w:rsidR="00054437" w:rsidRPr="000549B1" w:rsidRDefault="00000000">
            <w:pPr>
              <w:pStyle w:val="CharCharCharCharChar"/>
              <w:rPr>
                <w:color w:val="auto"/>
              </w:rPr>
            </w:pPr>
            <w:r w:rsidRPr="000549B1">
              <w:rPr>
                <w:color w:val="auto"/>
              </w:rPr>
              <w:t>小（</w:t>
            </w:r>
            <w:r w:rsidRPr="000549B1">
              <w:rPr>
                <w:color w:val="auto"/>
              </w:rPr>
              <w:t>2</w:t>
            </w:r>
            <w:r w:rsidRPr="000549B1">
              <w:rPr>
                <w:color w:val="auto"/>
              </w:rPr>
              <w:t>）型</w:t>
            </w:r>
          </w:p>
        </w:tc>
        <w:tc>
          <w:tcPr>
            <w:tcW w:w="768" w:type="pct"/>
            <w:noWrap/>
            <w:vAlign w:val="center"/>
          </w:tcPr>
          <w:p w14:paraId="2F4F3A8F" w14:textId="77777777" w:rsidR="00054437" w:rsidRPr="000549B1" w:rsidRDefault="00000000">
            <w:pPr>
              <w:pStyle w:val="CharCharCharCharChar"/>
              <w:rPr>
                <w:color w:val="auto"/>
              </w:rPr>
            </w:pPr>
            <w:r w:rsidRPr="000549B1">
              <w:rPr>
                <w:color w:val="auto"/>
              </w:rPr>
              <w:t>13</w:t>
            </w:r>
          </w:p>
        </w:tc>
        <w:tc>
          <w:tcPr>
            <w:tcW w:w="731" w:type="pct"/>
            <w:noWrap/>
            <w:vAlign w:val="center"/>
          </w:tcPr>
          <w:p w14:paraId="0D864FE7" w14:textId="77777777" w:rsidR="00054437" w:rsidRPr="000549B1" w:rsidRDefault="00000000">
            <w:pPr>
              <w:pStyle w:val="CharCharCharCharChar"/>
              <w:rPr>
                <w:color w:val="auto"/>
              </w:rPr>
            </w:pPr>
            <w:r w:rsidRPr="000549B1">
              <w:rPr>
                <w:color w:val="auto"/>
              </w:rPr>
              <w:t>9</w:t>
            </w:r>
          </w:p>
        </w:tc>
      </w:tr>
      <w:tr w:rsidR="000549B1" w:rsidRPr="000549B1" w14:paraId="158241A5" w14:textId="77777777">
        <w:trPr>
          <w:trHeight w:val="340"/>
        </w:trPr>
        <w:tc>
          <w:tcPr>
            <w:tcW w:w="339" w:type="pct"/>
            <w:noWrap/>
            <w:vAlign w:val="center"/>
          </w:tcPr>
          <w:p w14:paraId="380294E9" w14:textId="77777777" w:rsidR="00054437" w:rsidRPr="000549B1" w:rsidRDefault="00000000">
            <w:pPr>
              <w:pStyle w:val="CharCharCharCharChar"/>
              <w:rPr>
                <w:color w:val="auto"/>
              </w:rPr>
            </w:pPr>
            <w:r w:rsidRPr="000549B1">
              <w:rPr>
                <w:color w:val="auto"/>
              </w:rPr>
              <w:t>10</w:t>
            </w:r>
          </w:p>
        </w:tc>
        <w:tc>
          <w:tcPr>
            <w:tcW w:w="768" w:type="pct"/>
            <w:noWrap/>
            <w:vAlign w:val="center"/>
          </w:tcPr>
          <w:p w14:paraId="561771DB" w14:textId="77777777" w:rsidR="00054437" w:rsidRPr="000549B1" w:rsidRDefault="00000000">
            <w:pPr>
              <w:pStyle w:val="CharCharCharCharChar"/>
              <w:rPr>
                <w:color w:val="auto"/>
              </w:rPr>
            </w:pPr>
            <w:r w:rsidRPr="000549B1">
              <w:rPr>
                <w:color w:val="auto"/>
              </w:rPr>
              <w:t>沟台水库</w:t>
            </w:r>
          </w:p>
        </w:tc>
        <w:tc>
          <w:tcPr>
            <w:tcW w:w="771" w:type="pct"/>
            <w:noWrap/>
            <w:vAlign w:val="center"/>
          </w:tcPr>
          <w:p w14:paraId="5C77B5C6" w14:textId="77777777" w:rsidR="00054437" w:rsidRPr="000549B1" w:rsidRDefault="00000000">
            <w:pPr>
              <w:pStyle w:val="CharCharCharCharChar"/>
              <w:rPr>
                <w:color w:val="auto"/>
              </w:rPr>
            </w:pPr>
            <w:r w:rsidRPr="000549B1">
              <w:rPr>
                <w:color w:val="auto"/>
              </w:rPr>
              <w:t>切吉乡</w:t>
            </w:r>
          </w:p>
        </w:tc>
        <w:tc>
          <w:tcPr>
            <w:tcW w:w="768" w:type="pct"/>
            <w:vAlign w:val="center"/>
          </w:tcPr>
          <w:p w14:paraId="77855740" w14:textId="77777777" w:rsidR="00054437" w:rsidRPr="000549B1" w:rsidRDefault="00000000">
            <w:pPr>
              <w:pStyle w:val="CharCharCharCharChar"/>
              <w:rPr>
                <w:color w:val="auto"/>
              </w:rPr>
            </w:pPr>
            <w:r w:rsidRPr="000549B1">
              <w:rPr>
                <w:color w:val="auto"/>
              </w:rPr>
              <w:t>沟台沟</w:t>
            </w:r>
          </w:p>
        </w:tc>
        <w:tc>
          <w:tcPr>
            <w:tcW w:w="854" w:type="pct"/>
            <w:noWrap/>
            <w:vAlign w:val="center"/>
          </w:tcPr>
          <w:p w14:paraId="517128C9" w14:textId="77777777" w:rsidR="00054437" w:rsidRPr="000549B1" w:rsidRDefault="00000000">
            <w:pPr>
              <w:pStyle w:val="CharCharCharCharChar"/>
              <w:rPr>
                <w:color w:val="auto"/>
              </w:rPr>
            </w:pPr>
            <w:r w:rsidRPr="000549B1">
              <w:rPr>
                <w:color w:val="auto"/>
              </w:rPr>
              <w:t>小（</w:t>
            </w:r>
            <w:r w:rsidRPr="000549B1">
              <w:rPr>
                <w:color w:val="auto"/>
              </w:rPr>
              <w:t>2</w:t>
            </w:r>
            <w:r w:rsidRPr="000549B1">
              <w:rPr>
                <w:color w:val="auto"/>
              </w:rPr>
              <w:t>）型</w:t>
            </w:r>
          </w:p>
        </w:tc>
        <w:tc>
          <w:tcPr>
            <w:tcW w:w="768" w:type="pct"/>
            <w:noWrap/>
            <w:vAlign w:val="center"/>
          </w:tcPr>
          <w:p w14:paraId="7D368EA4" w14:textId="77777777" w:rsidR="00054437" w:rsidRPr="000549B1" w:rsidRDefault="00000000">
            <w:pPr>
              <w:pStyle w:val="CharCharCharCharChar"/>
              <w:rPr>
                <w:color w:val="auto"/>
              </w:rPr>
            </w:pPr>
            <w:r w:rsidRPr="000549B1">
              <w:rPr>
                <w:color w:val="auto"/>
              </w:rPr>
              <w:t>38</w:t>
            </w:r>
          </w:p>
        </w:tc>
        <w:tc>
          <w:tcPr>
            <w:tcW w:w="731" w:type="pct"/>
            <w:noWrap/>
            <w:vAlign w:val="center"/>
          </w:tcPr>
          <w:p w14:paraId="310B31CD" w14:textId="77777777" w:rsidR="00054437" w:rsidRPr="000549B1" w:rsidRDefault="00000000">
            <w:pPr>
              <w:pStyle w:val="CharCharCharCharChar"/>
              <w:rPr>
                <w:color w:val="auto"/>
              </w:rPr>
            </w:pPr>
            <w:r w:rsidRPr="000549B1">
              <w:rPr>
                <w:color w:val="auto"/>
              </w:rPr>
              <w:t>38</w:t>
            </w:r>
          </w:p>
        </w:tc>
      </w:tr>
      <w:tr w:rsidR="000549B1" w:rsidRPr="000549B1" w14:paraId="751D9193" w14:textId="77777777">
        <w:trPr>
          <w:trHeight w:val="340"/>
        </w:trPr>
        <w:tc>
          <w:tcPr>
            <w:tcW w:w="339" w:type="pct"/>
            <w:noWrap/>
            <w:vAlign w:val="center"/>
          </w:tcPr>
          <w:p w14:paraId="411D04F3" w14:textId="77777777" w:rsidR="00054437" w:rsidRPr="000549B1" w:rsidRDefault="00000000">
            <w:pPr>
              <w:pStyle w:val="CharCharCharCharChar"/>
              <w:rPr>
                <w:color w:val="auto"/>
              </w:rPr>
            </w:pPr>
            <w:r w:rsidRPr="000549B1">
              <w:rPr>
                <w:color w:val="auto"/>
              </w:rPr>
              <w:t>11</w:t>
            </w:r>
          </w:p>
        </w:tc>
        <w:tc>
          <w:tcPr>
            <w:tcW w:w="768" w:type="pct"/>
            <w:noWrap/>
            <w:vAlign w:val="center"/>
          </w:tcPr>
          <w:p w14:paraId="1153A5FD" w14:textId="77777777" w:rsidR="00054437" w:rsidRPr="000549B1" w:rsidRDefault="00000000">
            <w:pPr>
              <w:pStyle w:val="CharCharCharCharChar"/>
              <w:rPr>
                <w:color w:val="auto"/>
              </w:rPr>
            </w:pPr>
            <w:r w:rsidRPr="000549B1">
              <w:rPr>
                <w:color w:val="auto"/>
              </w:rPr>
              <w:t>中试水库</w:t>
            </w:r>
          </w:p>
        </w:tc>
        <w:tc>
          <w:tcPr>
            <w:tcW w:w="771" w:type="pct"/>
            <w:noWrap/>
            <w:vAlign w:val="center"/>
          </w:tcPr>
          <w:p w14:paraId="511387DE" w14:textId="77777777" w:rsidR="00054437" w:rsidRPr="000549B1" w:rsidRDefault="00000000">
            <w:pPr>
              <w:pStyle w:val="CharCharCharCharChar"/>
              <w:rPr>
                <w:color w:val="auto"/>
              </w:rPr>
            </w:pPr>
            <w:r w:rsidRPr="000549B1">
              <w:rPr>
                <w:color w:val="auto"/>
              </w:rPr>
              <w:t>切吉乡</w:t>
            </w:r>
          </w:p>
        </w:tc>
        <w:tc>
          <w:tcPr>
            <w:tcW w:w="768" w:type="pct"/>
            <w:vAlign w:val="center"/>
          </w:tcPr>
          <w:p w14:paraId="755028E3" w14:textId="77777777" w:rsidR="00054437" w:rsidRPr="000549B1" w:rsidRDefault="00000000">
            <w:pPr>
              <w:pStyle w:val="CharCharCharCharChar"/>
              <w:rPr>
                <w:color w:val="auto"/>
              </w:rPr>
            </w:pPr>
            <w:r w:rsidRPr="000549B1">
              <w:rPr>
                <w:color w:val="auto"/>
              </w:rPr>
              <w:t>鹿龙沟</w:t>
            </w:r>
          </w:p>
        </w:tc>
        <w:tc>
          <w:tcPr>
            <w:tcW w:w="854" w:type="pct"/>
            <w:noWrap/>
            <w:vAlign w:val="center"/>
          </w:tcPr>
          <w:p w14:paraId="1F3D731E" w14:textId="77777777" w:rsidR="00054437" w:rsidRPr="000549B1" w:rsidRDefault="00000000">
            <w:pPr>
              <w:pStyle w:val="CharCharCharCharChar"/>
              <w:rPr>
                <w:color w:val="auto"/>
              </w:rPr>
            </w:pPr>
            <w:r w:rsidRPr="000549B1">
              <w:rPr>
                <w:color w:val="auto"/>
              </w:rPr>
              <w:t>小（</w:t>
            </w:r>
            <w:r w:rsidRPr="000549B1">
              <w:rPr>
                <w:color w:val="auto"/>
              </w:rPr>
              <w:t>2</w:t>
            </w:r>
            <w:r w:rsidRPr="000549B1">
              <w:rPr>
                <w:color w:val="auto"/>
              </w:rPr>
              <w:t>）型</w:t>
            </w:r>
          </w:p>
        </w:tc>
        <w:tc>
          <w:tcPr>
            <w:tcW w:w="768" w:type="pct"/>
            <w:noWrap/>
            <w:vAlign w:val="center"/>
          </w:tcPr>
          <w:p w14:paraId="13761A0C" w14:textId="77777777" w:rsidR="00054437" w:rsidRPr="000549B1" w:rsidRDefault="00000000">
            <w:pPr>
              <w:pStyle w:val="CharCharCharCharChar"/>
              <w:rPr>
                <w:color w:val="auto"/>
              </w:rPr>
            </w:pPr>
            <w:r w:rsidRPr="000549B1">
              <w:rPr>
                <w:color w:val="auto"/>
              </w:rPr>
              <w:t>10</w:t>
            </w:r>
          </w:p>
        </w:tc>
        <w:tc>
          <w:tcPr>
            <w:tcW w:w="731" w:type="pct"/>
            <w:noWrap/>
            <w:vAlign w:val="center"/>
          </w:tcPr>
          <w:p w14:paraId="34D1F129" w14:textId="77777777" w:rsidR="00054437" w:rsidRPr="000549B1" w:rsidRDefault="00000000">
            <w:pPr>
              <w:pStyle w:val="CharCharCharCharChar"/>
              <w:rPr>
                <w:color w:val="auto"/>
              </w:rPr>
            </w:pPr>
            <w:r w:rsidRPr="000549B1">
              <w:rPr>
                <w:color w:val="auto"/>
              </w:rPr>
              <w:t>10</w:t>
            </w:r>
          </w:p>
        </w:tc>
      </w:tr>
    </w:tbl>
    <w:p w14:paraId="7CDD8D31" w14:textId="3BADFCAD" w:rsidR="00054437" w:rsidRPr="000549B1" w:rsidRDefault="00FF5F6B">
      <w:pPr>
        <w:pStyle w:val="x"/>
      </w:pPr>
      <w:r w:rsidRPr="000549B1">
        <w:rPr>
          <w:rFonts w:hint="eastAsia"/>
        </w:rPr>
        <w:t>②引水</w:t>
      </w:r>
      <w:r w:rsidRPr="000549B1">
        <w:t>与地下水源工程</w:t>
      </w:r>
    </w:p>
    <w:p w14:paraId="5A7E83E4" w14:textId="77777777" w:rsidR="00054437" w:rsidRPr="000549B1" w:rsidRDefault="00000000">
      <w:pPr>
        <w:pStyle w:val="x"/>
      </w:pPr>
      <w:r w:rsidRPr="000549B1">
        <w:rPr>
          <w:rStyle w:val="aff0"/>
          <w:b w:val="0"/>
          <w:bCs w:val="0"/>
        </w:rPr>
        <w:t>引水工程</w:t>
      </w:r>
      <w:r w:rsidRPr="000549B1">
        <w:t>：共有</w:t>
      </w:r>
      <w:r w:rsidRPr="000549B1">
        <w:rPr>
          <w:rStyle w:val="aff0"/>
          <w:b w:val="0"/>
          <w:bCs w:val="0"/>
        </w:rPr>
        <w:t>12</w:t>
      </w:r>
      <w:r w:rsidRPr="000549B1">
        <w:rPr>
          <w:rStyle w:val="aff0"/>
          <w:b w:val="0"/>
          <w:bCs w:val="0"/>
        </w:rPr>
        <w:t>处</w:t>
      </w:r>
      <w:r w:rsidRPr="000549B1">
        <w:t>，有效灌溉面积合计</w:t>
      </w:r>
      <w:bookmarkStart w:id="142" w:name="OLE_LINK61"/>
      <w:r w:rsidRPr="000549B1">
        <w:rPr>
          <w:rStyle w:val="aff0"/>
          <w:b w:val="0"/>
          <w:bCs w:val="0"/>
        </w:rPr>
        <w:t>5.04</w:t>
      </w:r>
      <w:bookmarkEnd w:id="142"/>
      <w:r w:rsidRPr="000549B1">
        <w:rPr>
          <w:rStyle w:val="aff0"/>
          <w:b w:val="0"/>
          <w:bCs w:val="0"/>
        </w:rPr>
        <w:t>万亩</w:t>
      </w:r>
      <w:r w:rsidRPr="000549B1">
        <w:t>。但因无水库调节，供水保证率低，旱季缺水严重。</w:t>
      </w:r>
    </w:p>
    <w:p w14:paraId="6EDCB9ED" w14:textId="77777777" w:rsidR="00054437" w:rsidRPr="000549B1" w:rsidRDefault="00000000">
      <w:pPr>
        <w:pStyle w:val="x"/>
      </w:pPr>
      <w:r w:rsidRPr="000549B1">
        <w:rPr>
          <w:rStyle w:val="aff0"/>
          <w:b w:val="0"/>
          <w:bCs w:val="0"/>
        </w:rPr>
        <w:t>地下水源工程</w:t>
      </w:r>
      <w:r w:rsidRPr="000549B1">
        <w:t>：主要为沙珠玉乡生活供水（年供水量</w:t>
      </w:r>
      <w:r w:rsidRPr="000549B1">
        <w:rPr>
          <w:rStyle w:val="aff0"/>
          <w:b w:val="0"/>
          <w:bCs w:val="0"/>
        </w:rPr>
        <w:t>28.2</w:t>
      </w:r>
      <w:r w:rsidRPr="000549B1">
        <w:rPr>
          <w:rStyle w:val="aff0"/>
          <w:b w:val="0"/>
          <w:bCs w:val="0"/>
        </w:rPr>
        <w:t>万</w:t>
      </w:r>
      <w:r w:rsidRPr="000549B1">
        <w:rPr>
          <w:rStyle w:val="aff0"/>
          <w:b w:val="0"/>
          <w:bCs w:val="0"/>
        </w:rPr>
        <w:t>m³</w:t>
      </w:r>
      <w:r w:rsidRPr="000549B1">
        <w:t>）及向流域外共和县城供水的切吉滩叉叉沟水源地。</w:t>
      </w:r>
    </w:p>
    <w:p w14:paraId="43164370" w14:textId="1CC35EAD" w:rsidR="00054437" w:rsidRPr="000549B1" w:rsidRDefault="00FF5F6B">
      <w:pPr>
        <w:pStyle w:val="x"/>
        <w:ind w:firstLineChars="200" w:firstLine="480"/>
        <w:rPr>
          <w:bCs/>
        </w:rPr>
      </w:pPr>
      <w:r w:rsidRPr="000549B1">
        <w:rPr>
          <w:rFonts w:hint="eastAsia"/>
          <w:bCs/>
        </w:rPr>
        <w:t>（</w:t>
      </w:r>
      <w:r w:rsidRPr="000549B1">
        <w:rPr>
          <w:rFonts w:hint="eastAsia"/>
          <w:bCs/>
        </w:rPr>
        <w:t>3</w:t>
      </w:r>
      <w:r w:rsidRPr="000549B1">
        <w:rPr>
          <w:bCs/>
        </w:rPr>
        <w:t>）规划新建供水工程</w:t>
      </w:r>
    </w:p>
    <w:p w14:paraId="054D8C19" w14:textId="77777777" w:rsidR="00054437" w:rsidRPr="000549B1" w:rsidRDefault="00000000">
      <w:pPr>
        <w:pStyle w:val="x"/>
        <w:rPr>
          <w:bCs/>
        </w:rPr>
      </w:pPr>
      <w:r w:rsidRPr="000549B1">
        <w:rPr>
          <w:rFonts w:ascii="宋体" w:hAnsi="宋体" w:cs="宋体" w:hint="eastAsia"/>
          <w:bCs/>
        </w:rPr>
        <w:t>①</w:t>
      </w:r>
      <w:r w:rsidRPr="000549B1">
        <w:rPr>
          <w:bCs/>
        </w:rPr>
        <w:t>蓄水工程</w:t>
      </w:r>
    </w:p>
    <w:p w14:paraId="482609B6" w14:textId="77777777" w:rsidR="00054437" w:rsidRPr="000549B1" w:rsidRDefault="00000000">
      <w:pPr>
        <w:pStyle w:val="x"/>
      </w:pPr>
      <w:r w:rsidRPr="000549B1">
        <w:t>据《青海省小型水库建设规划（修编报告）》，沙珠玉河流域范围内规划建设</w:t>
      </w:r>
      <w:r w:rsidRPr="000549B1">
        <w:t>5</w:t>
      </w:r>
      <w:r w:rsidRPr="000549B1">
        <w:t>座小型水库，分别为切吉乡的羊清沟、鹿龙沟、叉叉沟、直亥买水库和塘格木镇的哈干水库，以替代现状保证率不高的引水灌溉工程，增强水资源调蓄能力。</w:t>
      </w:r>
    </w:p>
    <w:p w14:paraId="4ECE3DD7" w14:textId="77777777" w:rsidR="00054437" w:rsidRPr="000549B1" w:rsidRDefault="00000000">
      <w:pPr>
        <w:pStyle w:val="x"/>
        <w:rPr>
          <w:bCs/>
        </w:rPr>
      </w:pPr>
      <w:r w:rsidRPr="000549B1">
        <w:rPr>
          <w:rFonts w:ascii="宋体" w:hAnsi="宋体" w:cs="宋体" w:hint="eastAsia"/>
          <w:bCs/>
        </w:rPr>
        <w:t>②</w:t>
      </w:r>
      <w:r w:rsidRPr="000549B1">
        <w:rPr>
          <w:bCs/>
        </w:rPr>
        <w:t>引水与调水工程</w:t>
      </w:r>
    </w:p>
    <w:p w14:paraId="1D520CB8" w14:textId="77777777" w:rsidR="00054437" w:rsidRPr="000549B1" w:rsidRDefault="00000000">
      <w:pPr>
        <w:pStyle w:val="x"/>
      </w:pPr>
      <w:r w:rsidRPr="000549B1">
        <w:t>为解决流域内当地水资源总量不足的根本性问题，规划实施</w:t>
      </w:r>
      <w:r w:rsidRPr="000549B1">
        <w:rPr>
          <w:bCs/>
        </w:rPr>
        <w:t>三滩引水生态治理一期工程</w:t>
      </w:r>
      <w:r w:rsidRPr="000549B1">
        <w:t>。该工程是流域水资源配置的关键性工程，通过在大河坝建设取水口和输水洞，并新建大河坝水库进行联合调节，实现从外流域向沙珠玉河流域调水。该工程建成后，将极大提升流域整体供水能力，是保障规划水平年</w:t>
      </w:r>
      <w:bookmarkStart w:id="143" w:name="OLE_LINK62"/>
      <w:r w:rsidRPr="000549B1">
        <w:t>80.71</w:t>
      </w:r>
      <w:bookmarkEnd w:id="143"/>
      <w:r w:rsidRPr="000549B1">
        <w:t>万亩灌溉面积和城乡用水需求的核心措施。</w:t>
      </w:r>
    </w:p>
    <w:p w14:paraId="6FBEA96F" w14:textId="0E13E6EC" w:rsidR="00054437" w:rsidRPr="000549B1" w:rsidRDefault="00FF5F6B">
      <w:pPr>
        <w:pStyle w:val="x"/>
        <w:ind w:firstLineChars="200" w:firstLine="480"/>
        <w:rPr>
          <w:bCs/>
        </w:rPr>
      </w:pPr>
      <w:r w:rsidRPr="000549B1">
        <w:rPr>
          <w:rFonts w:hint="eastAsia"/>
          <w:bCs/>
        </w:rPr>
        <w:t>（</w:t>
      </w:r>
      <w:r w:rsidRPr="000549B1">
        <w:rPr>
          <w:rFonts w:hint="eastAsia"/>
          <w:bCs/>
        </w:rPr>
        <w:t>4</w:t>
      </w:r>
      <w:r w:rsidRPr="000549B1">
        <w:rPr>
          <w:bCs/>
        </w:rPr>
        <w:t>）工程实施效果与配置分析</w:t>
      </w:r>
    </w:p>
    <w:p w14:paraId="0077092E" w14:textId="77777777" w:rsidR="00054437" w:rsidRPr="000549B1" w:rsidRDefault="00000000">
      <w:pPr>
        <w:pStyle w:val="x"/>
      </w:pPr>
      <w:r w:rsidRPr="000549B1">
        <w:t>上述规划工程生效后，沙珠玉河流域的水资源供给格局将得到根本性改善。</w:t>
      </w:r>
    </w:p>
    <w:p w14:paraId="71A7D4F1" w14:textId="77777777" w:rsidR="00054437" w:rsidRPr="000549B1" w:rsidRDefault="00000000">
      <w:pPr>
        <w:pStyle w:val="x"/>
      </w:pPr>
      <w:r w:rsidRPr="000549B1">
        <w:rPr>
          <w:bCs/>
        </w:rPr>
        <w:t>供水能力显著提升</w:t>
      </w:r>
      <w:r w:rsidRPr="000549B1">
        <w:t>：规划水平年（</w:t>
      </w:r>
      <w:r w:rsidRPr="000549B1">
        <w:t>2035</w:t>
      </w:r>
      <w:r w:rsidRPr="000549B1">
        <w:t>年），流域当地水可供水量将由基准年的</w:t>
      </w:r>
      <w:r w:rsidRPr="000549B1">
        <w:rPr>
          <w:bCs/>
        </w:rPr>
        <w:t>0.77</w:t>
      </w:r>
      <w:r w:rsidRPr="000549B1">
        <w:rPr>
          <w:bCs/>
        </w:rPr>
        <w:t>亿</w:t>
      </w:r>
      <w:r w:rsidRPr="000549B1">
        <w:rPr>
          <w:bCs/>
        </w:rPr>
        <w:t>m³</w:t>
      </w:r>
      <w:r w:rsidRPr="000549B1">
        <w:t>提升至</w:t>
      </w:r>
      <w:r w:rsidRPr="000549B1">
        <w:rPr>
          <w:bCs/>
        </w:rPr>
        <w:t>1.60</w:t>
      </w:r>
      <w:r w:rsidRPr="000549B1">
        <w:rPr>
          <w:bCs/>
        </w:rPr>
        <w:t>亿</w:t>
      </w:r>
      <w:r w:rsidRPr="000549B1">
        <w:rPr>
          <w:bCs/>
        </w:rPr>
        <w:t>m³</w:t>
      </w:r>
      <w:r w:rsidRPr="000549B1">
        <w:t>。</w:t>
      </w:r>
    </w:p>
    <w:p w14:paraId="4EA11A56" w14:textId="77777777" w:rsidR="00054437" w:rsidRPr="000549B1" w:rsidRDefault="00000000">
      <w:pPr>
        <w:pStyle w:val="x"/>
      </w:pPr>
      <w:r w:rsidRPr="000549B1">
        <w:rPr>
          <w:bCs/>
        </w:rPr>
        <w:t>缺水状况大幅缓解</w:t>
      </w:r>
      <w:r w:rsidRPr="000549B1">
        <w:t>：在考虑节水改造与新建工程共同作用下，流域多年平均缺水量由基准年的</w:t>
      </w:r>
      <w:r w:rsidRPr="000549B1">
        <w:rPr>
          <w:bCs/>
        </w:rPr>
        <w:t>0.92</w:t>
      </w:r>
      <w:r w:rsidRPr="000549B1">
        <w:rPr>
          <w:bCs/>
        </w:rPr>
        <w:t>亿</w:t>
      </w:r>
      <w:r w:rsidRPr="000549B1">
        <w:rPr>
          <w:bCs/>
        </w:rPr>
        <w:t>m³</w:t>
      </w:r>
      <w:r w:rsidRPr="000549B1">
        <w:t>降至</w:t>
      </w:r>
      <w:r w:rsidRPr="000549B1">
        <w:rPr>
          <w:bCs/>
        </w:rPr>
        <w:t>0.10</w:t>
      </w:r>
      <w:r w:rsidRPr="000549B1">
        <w:rPr>
          <w:bCs/>
        </w:rPr>
        <w:t>亿</w:t>
      </w:r>
      <w:r w:rsidRPr="000549B1">
        <w:rPr>
          <w:bCs/>
        </w:rPr>
        <w:t>m³</w:t>
      </w:r>
      <w:r w:rsidRPr="000549B1">
        <w:t>，缺水率由</w:t>
      </w:r>
      <w:r w:rsidRPr="000549B1">
        <w:rPr>
          <w:bCs/>
        </w:rPr>
        <w:t>54%</w:t>
      </w:r>
      <w:r w:rsidRPr="000549B1">
        <w:t>大幅下降至约</w:t>
      </w:r>
      <w:r w:rsidRPr="000549B1">
        <w:rPr>
          <w:bCs/>
        </w:rPr>
        <w:t>6%</w:t>
      </w:r>
      <w:r w:rsidRPr="000549B1">
        <w:t>。</w:t>
      </w:r>
    </w:p>
    <w:p w14:paraId="157C3321" w14:textId="77777777" w:rsidR="00054437" w:rsidRPr="000549B1" w:rsidRDefault="00000000">
      <w:pPr>
        <w:pStyle w:val="x"/>
      </w:pPr>
      <w:r w:rsidRPr="000549B1">
        <w:rPr>
          <w:bCs/>
        </w:rPr>
        <w:t>灌溉保证率提高</w:t>
      </w:r>
      <w:r w:rsidRPr="000549B1">
        <w:t>：新建的小型水库将有效替代无调节能力的引水工程，使原有灌区的供水稳定性和保证率得到显著提升，为实现规划灌溉面积、保障粮食安全和饲草料供应奠定基础。</w:t>
      </w:r>
    </w:p>
    <w:p w14:paraId="58C24351" w14:textId="77777777" w:rsidR="00054437" w:rsidRPr="000549B1" w:rsidRDefault="00000000">
      <w:pPr>
        <w:pStyle w:val="x"/>
      </w:pPr>
      <w:r w:rsidRPr="000549B1">
        <w:t>综上所述，通过实施以</w:t>
      </w:r>
      <w:r w:rsidRPr="000549B1">
        <w:rPr>
          <w:bCs/>
        </w:rPr>
        <w:t>5</w:t>
      </w:r>
      <w:r w:rsidRPr="000549B1">
        <w:rPr>
          <w:bCs/>
        </w:rPr>
        <w:t>座新建小型水库</w:t>
      </w:r>
      <w:r w:rsidRPr="000549B1">
        <w:t>和</w:t>
      </w:r>
      <w:r w:rsidRPr="000549B1">
        <w:rPr>
          <w:bCs/>
        </w:rPr>
        <w:t>三滩引水生态治理一期工程</w:t>
      </w:r>
      <w:r w:rsidRPr="000549B1">
        <w:t>为核心的水资源配置工程，沙珠玉河流域的水资源承载能力将显著增强，能够基本支撑</w:t>
      </w:r>
      <w:r w:rsidRPr="000549B1">
        <w:t>2035</w:t>
      </w:r>
      <w:r w:rsidRPr="000549B1">
        <w:t>年流域经济社会发展的用水需求。</w:t>
      </w:r>
    </w:p>
    <w:p w14:paraId="1D31BFB2" w14:textId="77777777" w:rsidR="00054437" w:rsidRPr="000549B1" w:rsidRDefault="00000000" w:rsidP="000549B1">
      <w:pPr>
        <w:pStyle w:val="Z4"/>
        <w:rPr>
          <w:color w:val="auto"/>
        </w:rPr>
      </w:pPr>
      <w:r w:rsidRPr="000549B1">
        <w:rPr>
          <w:color w:val="auto"/>
        </w:rPr>
        <w:t>防洪规划</w:t>
      </w:r>
    </w:p>
    <w:p w14:paraId="7BBD2FD0" w14:textId="2272E6DA" w:rsidR="00054437" w:rsidRPr="000549B1" w:rsidRDefault="00FF5F6B" w:rsidP="000549B1">
      <w:pPr>
        <w:pStyle w:val="x"/>
      </w:pPr>
      <w:r w:rsidRPr="000549B1">
        <w:rPr>
          <w:rFonts w:hint="eastAsia"/>
        </w:rPr>
        <w:t>（</w:t>
      </w:r>
      <w:r w:rsidRPr="000549B1">
        <w:rPr>
          <w:rFonts w:hint="eastAsia"/>
        </w:rPr>
        <w:t>1</w:t>
      </w:r>
      <w:r w:rsidRPr="000549B1">
        <w:rPr>
          <w:rFonts w:hint="eastAsia"/>
        </w:rPr>
        <w:t>）</w:t>
      </w:r>
      <w:r w:rsidRPr="000549B1">
        <w:t>治理思路</w:t>
      </w:r>
      <w:r w:rsidRPr="000549B1">
        <w:rPr>
          <w:rFonts w:hint="eastAsia"/>
        </w:rPr>
        <w:t>与任务</w:t>
      </w:r>
    </w:p>
    <w:p w14:paraId="1AF912D4" w14:textId="77777777" w:rsidR="00054437" w:rsidRPr="000549B1" w:rsidRDefault="00000000">
      <w:pPr>
        <w:pStyle w:val="x"/>
      </w:pPr>
      <w:r w:rsidRPr="000549B1">
        <w:t>本次防洪规划主要针对沙珠玉河流域</w:t>
      </w:r>
      <w:r w:rsidRPr="000549B1">
        <w:rPr>
          <w:rStyle w:val="aff0"/>
          <w:b w:val="0"/>
          <w:bCs w:val="0"/>
        </w:rPr>
        <w:t>现状无堤防工程</w:t>
      </w:r>
      <w:r w:rsidRPr="000549B1">
        <w:t>、防洪能力薄弱的现状，以布置</w:t>
      </w:r>
      <w:r w:rsidRPr="000549B1">
        <w:rPr>
          <w:rStyle w:val="aff0"/>
          <w:b w:val="0"/>
          <w:bCs w:val="0"/>
        </w:rPr>
        <w:t>护岸工程</w:t>
      </w:r>
      <w:r w:rsidRPr="000549B1">
        <w:t>为主要治理措施。</w:t>
      </w:r>
    </w:p>
    <w:p w14:paraId="605403FD" w14:textId="2C8E9792" w:rsidR="00054437" w:rsidRPr="000549B1" w:rsidRDefault="00000000">
      <w:pPr>
        <w:pStyle w:val="x"/>
      </w:pPr>
      <w:r w:rsidRPr="000549B1">
        <w:t>根据保护对象的规模和《防洪标准》（</w:t>
      </w:r>
      <w:r w:rsidRPr="000549B1">
        <w:t>GB50201-2014</w:t>
      </w:r>
      <w:r w:rsidRPr="000549B1">
        <w:t>），沙珠玉河流域的防洪重点是</w:t>
      </w:r>
      <w:r w:rsidRPr="000549B1">
        <w:rPr>
          <w:rStyle w:val="aff0"/>
          <w:b w:val="0"/>
          <w:bCs w:val="0"/>
        </w:rPr>
        <w:t>人口较为集中的乡镇和耕地河段</w:t>
      </w:r>
      <w:r w:rsidRPr="000549B1">
        <w:t>。规划确定</w:t>
      </w:r>
      <w:r w:rsidRPr="000549B1">
        <w:rPr>
          <w:rStyle w:val="aff0"/>
          <w:b w:val="0"/>
          <w:bCs w:val="0"/>
        </w:rPr>
        <w:t>沙珠玉河干流有防洪任务的鲁色村至加什科村大水桥段</w:t>
      </w:r>
      <w:r w:rsidRPr="000549B1">
        <w:t>以及</w:t>
      </w:r>
      <w:r w:rsidRPr="000549B1">
        <w:rPr>
          <w:rStyle w:val="aff0"/>
          <w:b w:val="0"/>
          <w:bCs w:val="0"/>
        </w:rPr>
        <w:t>龙漠尔沟、莫日沟、鹿龙沟、叉叉龙洼沟、直亥买沟、塘格木河、切吉河、然却乎沟、廿地沟</w:t>
      </w:r>
      <w:r w:rsidRPr="000549B1">
        <w:t>等</w:t>
      </w:r>
      <w:r w:rsidRPr="000549B1">
        <w:t>9</w:t>
      </w:r>
      <w:r w:rsidRPr="000549B1">
        <w:t>条重要支流的重点河段，治理标准均为</w:t>
      </w:r>
      <w:bookmarkStart w:id="144" w:name="OLE_LINK63"/>
      <w:r w:rsidRPr="000549B1">
        <w:rPr>
          <w:rStyle w:val="aff0"/>
          <w:b w:val="0"/>
          <w:bCs w:val="0"/>
        </w:rPr>
        <w:t>10</w:t>
      </w:r>
      <w:r w:rsidRPr="000549B1">
        <w:rPr>
          <w:rStyle w:val="aff0"/>
          <w:b w:val="0"/>
          <w:bCs w:val="0"/>
        </w:rPr>
        <w:t>年一遇</w:t>
      </w:r>
      <w:bookmarkEnd w:id="144"/>
      <w:r w:rsidRPr="000549B1">
        <w:t>。</w:t>
      </w:r>
    </w:p>
    <w:p w14:paraId="1229EADD" w14:textId="77777777" w:rsidR="00054437" w:rsidRPr="000549B1" w:rsidRDefault="00000000">
      <w:pPr>
        <w:pStyle w:val="x"/>
      </w:pPr>
      <w:r w:rsidRPr="000549B1">
        <w:t>规划遵循</w:t>
      </w:r>
      <w:r w:rsidRPr="000549B1">
        <w:rPr>
          <w:rFonts w:ascii="宋体" w:hAnsi="宋体"/>
        </w:rPr>
        <w:t>“</w:t>
      </w:r>
      <w:r w:rsidRPr="000549B1">
        <w:t>顺应河势、稳定河槽</w:t>
      </w:r>
      <w:r w:rsidRPr="000549B1">
        <w:rPr>
          <w:rFonts w:ascii="宋体" w:hAnsi="宋体"/>
        </w:rPr>
        <w:t>”</w:t>
      </w:r>
      <w:r w:rsidRPr="000549B1">
        <w:t>的原则，对于易遭受水流顶冲、淘刷的河段，建设不具有挑流功能的护岸工程，以保护主河槽的滩岸稳定和行洪能力，进而保护滩地后的村庄和农田。</w:t>
      </w:r>
    </w:p>
    <w:p w14:paraId="6D23CD9D" w14:textId="77777777" w:rsidR="00054437" w:rsidRPr="000549B1" w:rsidRDefault="00000000">
      <w:pPr>
        <w:pStyle w:val="x"/>
      </w:pPr>
      <w:r w:rsidRPr="000549B1">
        <w:t>通过对上述干流和支流重点河段的治理，旨在提高沿岸乡镇、居民点和农田的防洪能力，减少洪水威胁，保障人民生命财产安全和经济社会可持续发展。</w:t>
      </w:r>
    </w:p>
    <w:p w14:paraId="6D01758C" w14:textId="77777777" w:rsidR="00054437" w:rsidRPr="000549B1" w:rsidRDefault="00000000">
      <w:pPr>
        <w:pStyle w:val="x"/>
      </w:pPr>
      <w:r w:rsidRPr="000549B1">
        <w:t>防洪规划与海南州及共和县、兴海县的国土空间总体规划、乡村振兴战略等相协调，以保障人民生命财产安全为首要目标，提升城乡防洪能力。规划通过对干流及重要支流上的乡镇重点河段进行治理，并对一般乡村河段实施局部防护，构建与经济社会发展水平相适应的防洪工程体系，有效减轻洪水威胁，为流域内经济社会可持续发展提供安全保障。</w:t>
      </w:r>
    </w:p>
    <w:p w14:paraId="276A2F15" w14:textId="24EBC7FF" w:rsidR="00054437" w:rsidRPr="000549B1" w:rsidRDefault="00FF5F6B" w:rsidP="000549B1">
      <w:pPr>
        <w:pStyle w:val="x"/>
      </w:pPr>
      <w:r w:rsidRPr="000549B1">
        <w:rPr>
          <w:rFonts w:hint="eastAsia"/>
        </w:rPr>
        <w:t>（</w:t>
      </w:r>
      <w:r w:rsidRPr="000549B1">
        <w:rPr>
          <w:rFonts w:hint="eastAsia"/>
        </w:rPr>
        <w:t>2</w:t>
      </w:r>
      <w:r w:rsidRPr="000549B1">
        <w:rPr>
          <w:rFonts w:hint="eastAsia"/>
        </w:rPr>
        <w:t>）</w:t>
      </w:r>
      <w:r w:rsidRPr="000549B1">
        <w:t>防洪工程规划及布置</w:t>
      </w:r>
    </w:p>
    <w:p w14:paraId="4C3F4D53" w14:textId="18D794E5" w:rsidR="00054437" w:rsidRPr="000549B1" w:rsidRDefault="00000000">
      <w:pPr>
        <w:pStyle w:val="x"/>
      </w:pPr>
      <w:r w:rsidRPr="000549B1">
        <w:t>沙珠玉河流域规划河段共安排新建护岸</w:t>
      </w:r>
      <w:r w:rsidRPr="000549B1">
        <w:t>21.37km</w:t>
      </w:r>
      <w:r w:rsidRPr="000549B1">
        <w:t>，包括干流护岸长度</w:t>
      </w:r>
      <w:r w:rsidRPr="000549B1">
        <w:t>5.40km</w:t>
      </w:r>
      <w:r w:rsidRPr="000549B1">
        <w:t>，重要支流护岸长度</w:t>
      </w:r>
      <w:r w:rsidRPr="000549B1">
        <w:t>15.97km</w:t>
      </w:r>
      <w:r w:rsidRPr="000549B1">
        <w:t>，工程型式以护岸为主，防洪标准为</w:t>
      </w:r>
      <w:r w:rsidRPr="000549B1">
        <w:t>10</w:t>
      </w:r>
      <w:r w:rsidRPr="000549B1">
        <w:t>年一遇。详见</w:t>
      </w:r>
      <w:r w:rsidR="00F32CCA" w:rsidRPr="000549B1">
        <w:t>表</w:t>
      </w:r>
      <w:r w:rsidR="00F32CCA">
        <w:t>2.1</w:t>
      </w:r>
      <w:r w:rsidR="00F32CCA">
        <w:noBreakHyphen/>
        <w:t>2</w:t>
      </w:r>
      <w:r w:rsidRPr="000549B1">
        <w:t>和</w:t>
      </w:r>
      <w:r w:rsidR="00F32CCA" w:rsidRPr="000549B1">
        <w:t>图</w:t>
      </w:r>
      <w:r w:rsidR="00F32CCA">
        <w:t>2.1</w:t>
      </w:r>
      <w:r w:rsidR="00F32CCA">
        <w:noBreakHyphen/>
        <w:t>1</w:t>
      </w:r>
      <w:r w:rsidRPr="000549B1">
        <w:t>。</w:t>
      </w:r>
    </w:p>
    <w:p w14:paraId="3E71AE99" w14:textId="77FEB39D" w:rsidR="00054437" w:rsidRPr="000549B1" w:rsidRDefault="00000000">
      <w:pPr>
        <w:pStyle w:val="aff8"/>
        <w:rPr>
          <w:color w:val="auto"/>
        </w:rPr>
      </w:pPr>
      <w:bookmarkStart w:id="145" w:name="_Ref214975296"/>
      <w:r w:rsidRPr="000549B1">
        <w:rPr>
          <w:color w:val="auto"/>
        </w:rPr>
        <w:t>表</w:t>
      </w:r>
      <w:r w:rsidR="00372953">
        <w:rPr>
          <w:color w:val="auto"/>
        </w:rPr>
        <w:fldChar w:fldCharType="begin"/>
      </w:r>
      <w:r w:rsidR="00372953">
        <w:rPr>
          <w:color w:val="auto"/>
        </w:rPr>
        <w:instrText xml:space="preserve"> STYLEREF 2 \s </w:instrText>
      </w:r>
      <w:r w:rsidR="00372953">
        <w:rPr>
          <w:color w:val="auto"/>
        </w:rPr>
        <w:fldChar w:fldCharType="separate"/>
      </w:r>
      <w:r w:rsidR="00372953">
        <w:rPr>
          <w:noProof/>
          <w:color w:val="auto"/>
        </w:rPr>
        <w:t>2.1</w:t>
      </w:r>
      <w:r w:rsidR="00372953">
        <w:rPr>
          <w:color w:val="auto"/>
        </w:rPr>
        <w:fldChar w:fldCharType="end"/>
      </w:r>
      <w:r w:rsidR="00372953">
        <w:rPr>
          <w:color w:val="auto"/>
        </w:rPr>
        <w:noBreakHyphen/>
      </w:r>
      <w:r w:rsidR="00372953">
        <w:rPr>
          <w:color w:val="auto"/>
        </w:rPr>
        <w:fldChar w:fldCharType="begin"/>
      </w:r>
      <w:r w:rsidR="00372953">
        <w:rPr>
          <w:color w:val="auto"/>
        </w:rPr>
        <w:instrText xml:space="preserve"> SEQ </w:instrText>
      </w:r>
      <w:r w:rsidR="00372953">
        <w:rPr>
          <w:color w:val="auto"/>
        </w:rPr>
        <w:instrText>表</w:instrText>
      </w:r>
      <w:r w:rsidR="00372953">
        <w:rPr>
          <w:color w:val="auto"/>
        </w:rPr>
        <w:instrText xml:space="preserve"> \* ARABIC \s 2 </w:instrText>
      </w:r>
      <w:r w:rsidR="00372953">
        <w:rPr>
          <w:color w:val="auto"/>
        </w:rPr>
        <w:fldChar w:fldCharType="separate"/>
      </w:r>
      <w:r w:rsidR="00372953">
        <w:rPr>
          <w:noProof/>
          <w:color w:val="auto"/>
        </w:rPr>
        <w:t>2</w:t>
      </w:r>
      <w:r w:rsidR="00372953">
        <w:rPr>
          <w:color w:val="auto"/>
        </w:rPr>
        <w:fldChar w:fldCharType="end"/>
      </w:r>
      <w:bookmarkEnd w:id="145"/>
      <w:r w:rsidRPr="000549B1">
        <w:rPr>
          <w:color w:val="auto"/>
        </w:rPr>
        <w:t>沙珠玉河流域工程规划规模表</w:t>
      </w:r>
    </w:p>
    <w:tbl>
      <w:tblPr>
        <w:tblW w:w="5000" w:type="pct"/>
        <w:tblLook w:val="04A0" w:firstRow="1" w:lastRow="0" w:firstColumn="1" w:lastColumn="0" w:noHBand="0" w:noVBand="1"/>
      </w:tblPr>
      <w:tblGrid>
        <w:gridCol w:w="820"/>
        <w:gridCol w:w="3483"/>
        <w:gridCol w:w="1331"/>
        <w:gridCol w:w="1331"/>
        <w:gridCol w:w="1331"/>
      </w:tblGrid>
      <w:tr w:rsidR="000549B1" w:rsidRPr="000549B1" w14:paraId="32C99607" w14:textId="77777777">
        <w:trPr>
          <w:trHeight w:val="312"/>
        </w:trPr>
        <w:tc>
          <w:tcPr>
            <w:tcW w:w="495" w:type="pct"/>
            <w:vMerge w:val="restart"/>
            <w:tcBorders>
              <w:top w:val="single" w:sz="4" w:space="0" w:color="auto"/>
              <w:left w:val="single" w:sz="4" w:space="0" w:color="auto"/>
              <w:bottom w:val="single" w:sz="4" w:space="0" w:color="auto"/>
              <w:right w:val="single" w:sz="4" w:space="0" w:color="auto"/>
            </w:tcBorders>
            <w:vAlign w:val="center"/>
          </w:tcPr>
          <w:p w14:paraId="2A44060A" w14:textId="77777777" w:rsidR="00054437" w:rsidRPr="000549B1" w:rsidRDefault="00000000">
            <w:pPr>
              <w:pStyle w:val="CharCharCharCharChar"/>
              <w:rPr>
                <w:b/>
                <w:bCs/>
                <w:color w:val="auto"/>
              </w:rPr>
            </w:pPr>
            <w:r w:rsidRPr="000549B1">
              <w:rPr>
                <w:b/>
                <w:bCs/>
                <w:color w:val="auto"/>
              </w:rPr>
              <w:t>序号</w:t>
            </w:r>
          </w:p>
        </w:tc>
        <w:tc>
          <w:tcPr>
            <w:tcW w:w="2099" w:type="pct"/>
            <w:vMerge w:val="restart"/>
            <w:tcBorders>
              <w:top w:val="single" w:sz="4" w:space="0" w:color="auto"/>
              <w:left w:val="single" w:sz="4" w:space="0" w:color="auto"/>
              <w:bottom w:val="single" w:sz="4" w:space="0" w:color="auto"/>
              <w:right w:val="single" w:sz="4" w:space="0" w:color="auto"/>
            </w:tcBorders>
            <w:vAlign w:val="center"/>
          </w:tcPr>
          <w:p w14:paraId="0EA87B09" w14:textId="77777777" w:rsidR="00054437" w:rsidRPr="000549B1" w:rsidRDefault="00000000">
            <w:pPr>
              <w:pStyle w:val="CharCharCharCharChar"/>
              <w:rPr>
                <w:b/>
                <w:bCs/>
                <w:color w:val="auto"/>
              </w:rPr>
            </w:pPr>
            <w:r w:rsidRPr="000549B1">
              <w:rPr>
                <w:b/>
                <w:bCs/>
                <w:color w:val="auto"/>
              </w:rPr>
              <w:t>河流</w:t>
            </w:r>
          </w:p>
        </w:tc>
        <w:tc>
          <w:tcPr>
            <w:tcW w:w="2406" w:type="pct"/>
            <w:gridSpan w:val="3"/>
            <w:tcBorders>
              <w:top w:val="single" w:sz="4" w:space="0" w:color="auto"/>
              <w:left w:val="single" w:sz="4" w:space="0" w:color="auto"/>
              <w:bottom w:val="single" w:sz="4" w:space="0" w:color="auto"/>
              <w:right w:val="single" w:sz="4" w:space="0" w:color="auto"/>
            </w:tcBorders>
            <w:vAlign w:val="center"/>
          </w:tcPr>
          <w:p w14:paraId="7084D418" w14:textId="77777777" w:rsidR="00054437" w:rsidRPr="000549B1" w:rsidRDefault="00000000">
            <w:pPr>
              <w:pStyle w:val="CharCharCharCharChar"/>
              <w:rPr>
                <w:b/>
                <w:bCs/>
                <w:color w:val="auto"/>
              </w:rPr>
            </w:pPr>
            <w:r w:rsidRPr="000549B1">
              <w:rPr>
                <w:b/>
                <w:bCs/>
                <w:color w:val="auto"/>
              </w:rPr>
              <w:t>护岸长度（</w:t>
            </w:r>
            <w:r w:rsidRPr="000549B1">
              <w:rPr>
                <w:b/>
                <w:bCs/>
                <w:color w:val="auto"/>
              </w:rPr>
              <w:t>km</w:t>
            </w:r>
            <w:r w:rsidRPr="000549B1">
              <w:rPr>
                <w:b/>
                <w:bCs/>
                <w:color w:val="auto"/>
              </w:rPr>
              <w:t>）</w:t>
            </w:r>
          </w:p>
        </w:tc>
      </w:tr>
      <w:tr w:rsidR="000549B1" w:rsidRPr="000549B1" w14:paraId="1B2EB023" w14:textId="77777777">
        <w:trPr>
          <w:trHeight w:val="312"/>
        </w:trPr>
        <w:tc>
          <w:tcPr>
            <w:tcW w:w="495" w:type="pct"/>
            <w:vMerge/>
            <w:tcBorders>
              <w:top w:val="single" w:sz="4" w:space="0" w:color="auto"/>
              <w:left w:val="single" w:sz="4" w:space="0" w:color="auto"/>
              <w:bottom w:val="single" w:sz="4" w:space="0" w:color="auto"/>
              <w:right w:val="single" w:sz="4" w:space="0" w:color="auto"/>
            </w:tcBorders>
            <w:vAlign w:val="center"/>
          </w:tcPr>
          <w:p w14:paraId="7A8D6760" w14:textId="77777777" w:rsidR="00054437" w:rsidRPr="000549B1" w:rsidRDefault="00054437">
            <w:pPr>
              <w:pStyle w:val="CharCharCharCharChar"/>
              <w:rPr>
                <w:b/>
                <w:bCs/>
                <w:color w:val="auto"/>
              </w:rPr>
            </w:pPr>
          </w:p>
        </w:tc>
        <w:tc>
          <w:tcPr>
            <w:tcW w:w="2099" w:type="pct"/>
            <w:vMerge/>
            <w:tcBorders>
              <w:top w:val="single" w:sz="4" w:space="0" w:color="auto"/>
              <w:left w:val="single" w:sz="4" w:space="0" w:color="auto"/>
              <w:bottom w:val="single" w:sz="4" w:space="0" w:color="auto"/>
              <w:right w:val="single" w:sz="4" w:space="0" w:color="auto"/>
            </w:tcBorders>
            <w:vAlign w:val="center"/>
          </w:tcPr>
          <w:p w14:paraId="1DC3D01A" w14:textId="77777777" w:rsidR="00054437" w:rsidRPr="000549B1" w:rsidRDefault="00054437">
            <w:pPr>
              <w:pStyle w:val="CharCharCharCharChar"/>
              <w:rPr>
                <w:b/>
                <w:bCs/>
                <w:color w:val="auto"/>
              </w:rPr>
            </w:pPr>
          </w:p>
        </w:tc>
        <w:tc>
          <w:tcPr>
            <w:tcW w:w="802" w:type="pct"/>
            <w:tcBorders>
              <w:top w:val="single" w:sz="4" w:space="0" w:color="auto"/>
              <w:left w:val="single" w:sz="4" w:space="0" w:color="auto"/>
              <w:bottom w:val="single" w:sz="4" w:space="0" w:color="auto"/>
              <w:right w:val="single" w:sz="4" w:space="0" w:color="auto"/>
            </w:tcBorders>
            <w:vAlign w:val="center"/>
          </w:tcPr>
          <w:p w14:paraId="7C134398" w14:textId="77777777" w:rsidR="00054437" w:rsidRPr="000549B1" w:rsidRDefault="00000000">
            <w:pPr>
              <w:pStyle w:val="CharCharCharCharChar"/>
              <w:rPr>
                <w:b/>
                <w:bCs/>
                <w:color w:val="auto"/>
              </w:rPr>
            </w:pPr>
            <w:r w:rsidRPr="000549B1">
              <w:rPr>
                <w:b/>
                <w:bCs/>
                <w:color w:val="auto"/>
              </w:rPr>
              <w:t>小计</w:t>
            </w:r>
          </w:p>
        </w:tc>
        <w:tc>
          <w:tcPr>
            <w:tcW w:w="802" w:type="pct"/>
            <w:tcBorders>
              <w:top w:val="single" w:sz="4" w:space="0" w:color="auto"/>
              <w:left w:val="single" w:sz="4" w:space="0" w:color="auto"/>
              <w:bottom w:val="single" w:sz="4" w:space="0" w:color="auto"/>
              <w:right w:val="single" w:sz="4" w:space="0" w:color="auto"/>
            </w:tcBorders>
            <w:vAlign w:val="center"/>
          </w:tcPr>
          <w:p w14:paraId="0A15095F" w14:textId="77777777" w:rsidR="00054437" w:rsidRPr="000549B1" w:rsidRDefault="00000000">
            <w:pPr>
              <w:pStyle w:val="CharCharCharCharChar"/>
              <w:rPr>
                <w:b/>
                <w:bCs/>
                <w:color w:val="auto"/>
              </w:rPr>
            </w:pPr>
            <w:r w:rsidRPr="000549B1">
              <w:rPr>
                <w:b/>
                <w:bCs/>
                <w:color w:val="auto"/>
              </w:rPr>
              <w:t>左岸</w:t>
            </w:r>
          </w:p>
        </w:tc>
        <w:tc>
          <w:tcPr>
            <w:tcW w:w="802" w:type="pct"/>
            <w:tcBorders>
              <w:top w:val="single" w:sz="4" w:space="0" w:color="auto"/>
              <w:left w:val="single" w:sz="4" w:space="0" w:color="auto"/>
              <w:bottom w:val="single" w:sz="4" w:space="0" w:color="auto"/>
              <w:right w:val="single" w:sz="4" w:space="0" w:color="auto"/>
            </w:tcBorders>
            <w:vAlign w:val="center"/>
          </w:tcPr>
          <w:p w14:paraId="64152B65" w14:textId="77777777" w:rsidR="00054437" w:rsidRPr="000549B1" w:rsidRDefault="00000000">
            <w:pPr>
              <w:pStyle w:val="CharCharCharCharChar"/>
              <w:rPr>
                <w:b/>
                <w:bCs/>
                <w:color w:val="auto"/>
              </w:rPr>
            </w:pPr>
            <w:r w:rsidRPr="000549B1">
              <w:rPr>
                <w:b/>
                <w:bCs/>
                <w:color w:val="auto"/>
              </w:rPr>
              <w:t>右岸</w:t>
            </w:r>
          </w:p>
        </w:tc>
      </w:tr>
      <w:tr w:rsidR="000549B1" w:rsidRPr="000549B1" w14:paraId="16B12301" w14:textId="77777777">
        <w:trPr>
          <w:trHeight w:val="20"/>
        </w:trPr>
        <w:tc>
          <w:tcPr>
            <w:tcW w:w="495" w:type="pct"/>
            <w:tcBorders>
              <w:top w:val="nil"/>
              <w:left w:val="single" w:sz="4" w:space="0" w:color="auto"/>
              <w:bottom w:val="single" w:sz="4" w:space="0" w:color="auto"/>
              <w:right w:val="single" w:sz="4" w:space="0" w:color="auto"/>
            </w:tcBorders>
            <w:vAlign w:val="center"/>
          </w:tcPr>
          <w:p w14:paraId="6927FE83" w14:textId="77777777" w:rsidR="00054437" w:rsidRPr="000549B1" w:rsidRDefault="00000000">
            <w:pPr>
              <w:pStyle w:val="CharCharCharCharChar"/>
              <w:rPr>
                <w:color w:val="auto"/>
              </w:rPr>
            </w:pPr>
            <w:r w:rsidRPr="000549B1">
              <w:rPr>
                <w:color w:val="auto"/>
              </w:rPr>
              <w:t>1</w:t>
            </w:r>
          </w:p>
        </w:tc>
        <w:tc>
          <w:tcPr>
            <w:tcW w:w="2099" w:type="pct"/>
            <w:tcBorders>
              <w:top w:val="nil"/>
              <w:left w:val="nil"/>
              <w:bottom w:val="single" w:sz="4" w:space="0" w:color="auto"/>
              <w:right w:val="single" w:sz="4" w:space="0" w:color="auto"/>
            </w:tcBorders>
            <w:vAlign w:val="center"/>
          </w:tcPr>
          <w:p w14:paraId="3E5BD296" w14:textId="77777777" w:rsidR="00054437" w:rsidRPr="000549B1" w:rsidRDefault="00000000">
            <w:pPr>
              <w:pStyle w:val="CharCharCharCharChar"/>
              <w:rPr>
                <w:color w:val="auto"/>
              </w:rPr>
            </w:pPr>
            <w:r w:rsidRPr="000549B1">
              <w:rPr>
                <w:color w:val="auto"/>
              </w:rPr>
              <w:t>沙珠玉河干流</w:t>
            </w:r>
          </w:p>
        </w:tc>
        <w:tc>
          <w:tcPr>
            <w:tcW w:w="802" w:type="pct"/>
            <w:tcBorders>
              <w:top w:val="nil"/>
              <w:left w:val="nil"/>
              <w:bottom w:val="single" w:sz="4" w:space="0" w:color="auto"/>
              <w:right w:val="single" w:sz="4" w:space="0" w:color="auto"/>
            </w:tcBorders>
            <w:vAlign w:val="center"/>
          </w:tcPr>
          <w:p w14:paraId="63AAAD04" w14:textId="77777777" w:rsidR="00054437" w:rsidRPr="000549B1" w:rsidRDefault="00000000">
            <w:pPr>
              <w:pStyle w:val="CharCharCharCharChar"/>
              <w:rPr>
                <w:color w:val="auto"/>
              </w:rPr>
            </w:pPr>
            <w:r w:rsidRPr="000549B1">
              <w:rPr>
                <w:color w:val="auto"/>
              </w:rPr>
              <w:t>5.40</w:t>
            </w:r>
          </w:p>
        </w:tc>
        <w:tc>
          <w:tcPr>
            <w:tcW w:w="802" w:type="pct"/>
            <w:tcBorders>
              <w:top w:val="nil"/>
              <w:left w:val="nil"/>
              <w:bottom w:val="single" w:sz="4" w:space="0" w:color="auto"/>
              <w:right w:val="single" w:sz="4" w:space="0" w:color="auto"/>
            </w:tcBorders>
            <w:vAlign w:val="center"/>
          </w:tcPr>
          <w:p w14:paraId="25BC5B34" w14:textId="77777777" w:rsidR="00054437" w:rsidRPr="000549B1" w:rsidRDefault="00000000">
            <w:pPr>
              <w:pStyle w:val="CharCharCharCharChar"/>
              <w:rPr>
                <w:color w:val="auto"/>
              </w:rPr>
            </w:pPr>
            <w:r w:rsidRPr="000549B1">
              <w:rPr>
                <w:color w:val="auto"/>
              </w:rPr>
              <w:t>1.80</w:t>
            </w:r>
          </w:p>
        </w:tc>
        <w:tc>
          <w:tcPr>
            <w:tcW w:w="802" w:type="pct"/>
            <w:tcBorders>
              <w:top w:val="nil"/>
              <w:left w:val="nil"/>
              <w:bottom w:val="single" w:sz="4" w:space="0" w:color="auto"/>
              <w:right w:val="single" w:sz="4" w:space="0" w:color="auto"/>
            </w:tcBorders>
            <w:vAlign w:val="center"/>
          </w:tcPr>
          <w:p w14:paraId="4603B12F" w14:textId="77777777" w:rsidR="00054437" w:rsidRPr="000549B1" w:rsidRDefault="00000000">
            <w:pPr>
              <w:pStyle w:val="CharCharCharCharChar"/>
              <w:rPr>
                <w:color w:val="auto"/>
              </w:rPr>
            </w:pPr>
            <w:r w:rsidRPr="000549B1">
              <w:rPr>
                <w:color w:val="auto"/>
              </w:rPr>
              <w:t>3.60</w:t>
            </w:r>
          </w:p>
        </w:tc>
      </w:tr>
      <w:tr w:rsidR="000549B1" w:rsidRPr="000549B1" w14:paraId="151FA970" w14:textId="77777777">
        <w:trPr>
          <w:trHeight w:val="20"/>
        </w:trPr>
        <w:tc>
          <w:tcPr>
            <w:tcW w:w="495" w:type="pct"/>
            <w:tcBorders>
              <w:top w:val="nil"/>
              <w:left w:val="single" w:sz="4" w:space="0" w:color="auto"/>
              <w:bottom w:val="single" w:sz="4" w:space="0" w:color="auto"/>
              <w:right w:val="single" w:sz="4" w:space="0" w:color="auto"/>
            </w:tcBorders>
            <w:vAlign w:val="center"/>
          </w:tcPr>
          <w:p w14:paraId="2498A96B" w14:textId="77777777" w:rsidR="00054437" w:rsidRPr="000549B1" w:rsidRDefault="00000000">
            <w:pPr>
              <w:pStyle w:val="CharCharCharCharChar"/>
              <w:rPr>
                <w:color w:val="auto"/>
              </w:rPr>
            </w:pPr>
            <w:r w:rsidRPr="000549B1">
              <w:rPr>
                <w:color w:val="auto"/>
              </w:rPr>
              <w:t>2</w:t>
            </w:r>
          </w:p>
        </w:tc>
        <w:tc>
          <w:tcPr>
            <w:tcW w:w="2099" w:type="pct"/>
            <w:tcBorders>
              <w:top w:val="nil"/>
              <w:left w:val="nil"/>
              <w:bottom w:val="single" w:sz="4" w:space="0" w:color="auto"/>
              <w:right w:val="single" w:sz="4" w:space="0" w:color="auto"/>
            </w:tcBorders>
            <w:vAlign w:val="center"/>
          </w:tcPr>
          <w:p w14:paraId="0FA82F5D" w14:textId="77777777" w:rsidR="00054437" w:rsidRPr="000549B1" w:rsidRDefault="00000000">
            <w:pPr>
              <w:pStyle w:val="CharCharCharCharChar"/>
              <w:rPr>
                <w:color w:val="auto"/>
              </w:rPr>
            </w:pPr>
            <w:r w:rsidRPr="000549B1">
              <w:rPr>
                <w:color w:val="auto"/>
              </w:rPr>
              <w:t>莫日沟</w:t>
            </w:r>
          </w:p>
        </w:tc>
        <w:tc>
          <w:tcPr>
            <w:tcW w:w="802" w:type="pct"/>
            <w:tcBorders>
              <w:top w:val="nil"/>
              <w:left w:val="nil"/>
              <w:bottom w:val="single" w:sz="4" w:space="0" w:color="auto"/>
              <w:right w:val="single" w:sz="4" w:space="0" w:color="auto"/>
            </w:tcBorders>
            <w:vAlign w:val="center"/>
          </w:tcPr>
          <w:p w14:paraId="422DACD2" w14:textId="77777777" w:rsidR="00054437" w:rsidRPr="000549B1" w:rsidRDefault="00000000">
            <w:pPr>
              <w:pStyle w:val="CharCharCharCharChar"/>
              <w:rPr>
                <w:color w:val="auto"/>
              </w:rPr>
            </w:pPr>
            <w:r w:rsidRPr="000549B1">
              <w:rPr>
                <w:color w:val="auto"/>
              </w:rPr>
              <w:t>0.92</w:t>
            </w:r>
          </w:p>
        </w:tc>
        <w:tc>
          <w:tcPr>
            <w:tcW w:w="802" w:type="pct"/>
            <w:tcBorders>
              <w:top w:val="nil"/>
              <w:left w:val="nil"/>
              <w:bottom w:val="single" w:sz="4" w:space="0" w:color="auto"/>
              <w:right w:val="single" w:sz="4" w:space="0" w:color="auto"/>
            </w:tcBorders>
            <w:vAlign w:val="center"/>
          </w:tcPr>
          <w:p w14:paraId="6D4BCA4E" w14:textId="77777777" w:rsidR="00054437" w:rsidRPr="000549B1" w:rsidRDefault="00000000">
            <w:pPr>
              <w:pStyle w:val="CharCharCharCharChar"/>
              <w:rPr>
                <w:color w:val="auto"/>
              </w:rPr>
            </w:pPr>
            <w:r w:rsidRPr="000549B1">
              <w:rPr>
                <w:color w:val="auto"/>
              </w:rPr>
              <w:t>0.92</w:t>
            </w:r>
          </w:p>
        </w:tc>
        <w:tc>
          <w:tcPr>
            <w:tcW w:w="802" w:type="pct"/>
            <w:tcBorders>
              <w:top w:val="nil"/>
              <w:left w:val="nil"/>
              <w:bottom w:val="single" w:sz="4" w:space="0" w:color="auto"/>
              <w:right w:val="single" w:sz="4" w:space="0" w:color="auto"/>
            </w:tcBorders>
            <w:vAlign w:val="center"/>
          </w:tcPr>
          <w:p w14:paraId="0F9D0042" w14:textId="77777777" w:rsidR="00054437" w:rsidRPr="000549B1" w:rsidRDefault="00054437">
            <w:pPr>
              <w:pStyle w:val="CharCharCharCharChar"/>
              <w:rPr>
                <w:color w:val="auto"/>
              </w:rPr>
            </w:pPr>
          </w:p>
        </w:tc>
      </w:tr>
      <w:tr w:rsidR="000549B1" w:rsidRPr="000549B1" w14:paraId="6CFB87D8" w14:textId="77777777">
        <w:trPr>
          <w:trHeight w:val="20"/>
        </w:trPr>
        <w:tc>
          <w:tcPr>
            <w:tcW w:w="495" w:type="pct"/>
            <w:tcBorders>
              <w:top w:val="nil"/>
              <w:left w:val="single" w:sz="4" w:space="0" w:color="auto"/>
              <w:bottom w:val="single" w:sz="4" w:space="0" w:color="auto"/>
              <w:right w:val="single" w:sz="4" w:space="0" w:color="auto"/>
            </w:tcBorders>
            <w:vAlign w:val="center"/>
          </w:tcPr>
          <w:p w14:paraId="7AB3EFC5" w14:textId="77777777" w:rsidR="00054437" w:rsidRPr="000549B1" w:rsidRDefault="00000000">
            <w:pPr>
              <w:pStyle w:val="CharCharCharCharChar"/>
              <w:rPr>
                <w:color w:val="auto"/>
              </w:rPr>
            </w:pPr>
            <w:r w:rsidRPr="000549B1">
              <w:rPr>
                <w:color w:val="auto"/>
              </w:rPr>
              <w:t>3</w:t>
            </w:r>
          </w:p>
        </w:tc>
        <w:tc>
          <w:tcPr>
            <w:tcW w:w="2099" w:type="pct"/>
            <w:tcBorders>
              <w:top w:val="nil"/>
              <w:left w:val="nil"/>
              <w:bottom w:val="single" w:sz="4" w:space="0" w:color="auto"/>
              <w:right w:val="single" w:sz="4" w:space="0" w:color="auto"/>
            </w:tcBorders>
            <w:vAlign w:val="center"/>
          </w:tcPr>
          <w:p w14:paraId="640260B6" w14:textId="77777777" w:rsidR="00054437" w:rsidRPr="000549B1" w:rsidRDefault="00000000">
            <w:pPr>
              <w:pStyle w:val="CharCharCharCharChar"/>
              <w:rPr>
                <w:color w:val="auto"/>
              </w:rPr>
            </w:pPr>
            <w:r w:rsidRPr="000549B1">
              <w:rPr>
                <w:color w:val="auto"/>
              </w:rPr>
              <w:t>鹿龙沟</w:t>
            </w:r>
          </w:p>
        </w:tc>
        <w:tc>
          <w:tcPr>
            <w:tcW w:w="802" w:type="pct"/>
            <w:tcBorders>
              <w:top w:val="nil"/>
              <w:left w:val="nil"/>
              <w:bottom w:val="single" w:sz="4" w:space="0" w:color="auto"/>
              <w:right w:val="single" w:sz="4" w:space="0" w:color="auto"/>
            </w:tcBorders>
            <w:vAlign w:val="center"/>
          </w:tcPr>
          <w:p w14:paraId="4A45019B" w14:textId="77777777" w:rsidR="00054437" w:rsidRPr="000549B1" w:rsidRDefault="00000000">
            <w:pPr>
              <w:pStyle w:val="CharCharCharCharChar"/>
              <w:rPr>
                <w:color w:val="auto"/>
              </w:rPr>
            </w:pPr>
            <w:r w:rsidRPr="000549B1">
              <w:rPr>
                <w:color w:val="auto"/>
              </w:rPr>
              <w:t>1.90</w:t>
            </w:r>
          </w:p>
        </w:tc>
        <w:tc>
          <w:tcPr>
            <w:tcW w:w="802" w:type="pct"/>
            <w:tcBorders>
              <w:top w:val="nil"/>
              <w:left w:val="nil"/>
              <w:bottom w:val="single" w:sz="4" w:space="0" w:color="auto"/>
              <w:right w:val="single" w:sz="4" w:space="0" w:color="auto"/>
            </w:tcBorders>
            <w:vAlign w:val="center"/>
          </w:tcPr>
          <w:p w14:paraId="545B68D4" w14:textId="77777777" w:rsidR="00054437" w:rsidRPr="000549B1" w:rsidRDefault="00000000">
            <w:pPr>
              <w:pStyle w:val="CharCharCharCharChar"/>
              <w:rPr>
                <w:color w:val="auto"/>
              </w:rPr>
            </w:pPr>
            <w:r w:rsidRPr="000549B1">
              <w:rPr>
                <w:color w:val="auto"/>
              </w:rPr>
              <w:t>1.90</w:t>
            </w:r>
          </w:p>
        </w:tc>
        <w:tc>
          <w:tcPr>
            <w:tcW w:w="802" w:type="pct"/>
            <w:tcBorders>
              <w:top w:val="nil"/>
              <w:left w:val="nil"/>
              <w:bottom w:val="single" w:sz="4" w:space="0" w:color="auto"/>
              <w:right w:val="single" w:sz="4" w:space="0" w:color="auto"/>
            </w:tcBorders>
            <w:vAlign w:val="center"/>
          </w:tcPr>
          <w:p w14:paraId="51D17ED5" w14:textId="77777777" w:rsidR="00054437" w:rsidRPr="000549B1" w:rsidRDefault="00054437">
            <w:pPr>
              <w:pStyle w:val="CharCharCharCharChar"/>
              <w:rPr>
                <w:color w:val="auto"/>
              </w:rPr>
            </w:pPr>
          </w:p>
        </w:tc>
      </w:tr>
      <w:tr w:rsidR="000549B1" w:rsidRPr="000549B1" w14:paraId="09943123" w14:textId="77777777">
        <w:trPr>
          <w:trHeight w:val="20"/>
        </w:trPr>
        <w:tc>
          <w:tcPr>
            <w:tcW w:w="495" w:type="pct"/>
            <w:tcBorders>
              <w:top w:val="nil"/>
              <w:left w:val="single" w:sz="4" w:space="0" w:color="auto"/>
              <w:bottom w:val="single" w:sz="4" w:space="0" w:color="auto"/>
              <w:right w:val="single" w:sz="4" w:space="0" w:color="auto"/>
            </w:tcBorders>
            <w:vAlign w:val="center"/>
          </w:tcPr>
          <w:p w14:paraId="08975AD7" w14:textId="77777777" w:rsidR="00054437" w:rsidRPr="000549B1" w:rsidRDefault="00000000">
            <w:pPr>
              <w:pStyle w:val="CharCharCharCharChar"/>
              <w:rPr>
                <w:color w:val="auto"/>
              </w:rPr>
            </w:pPr>
            <w:r w:rsidRPr="000549B1">
              <w:rPr>
                <w:color w:val="auto"/>
              </w:rPr>
              <w:t>4</w:t>
            </w:r>
          </w:p>
        </w:tc>
        <w:tc>
          <w:tcPr>
            <w:tcW w:w="2099" w:type="pct"/>
            <w:tcBorders>
              <w:top w:val="nil"/>
              <w:left w:val="nil"/>
              <w:bottom w:val="single" w:sz="4" w:space="0" w:color="auto"/>
              <w:right w:val="single" w:sz="4" w:space="0" w:color="auto"/>
            </w:tcBorders>
            <w:vAlign w:val="center"/>
          </w:tcPr>
          <w:p w14:paraId="318496D7" w14:textId="77777777" w:rsidR="00054437" w:rsidRPr="000549B1" w:rsidRDefault="00000000">
            <w:pPr>
              <w:pStyle w:val="CharCharCharCharChar"/>
              <w:rPr>
                <w:color w:val="auto"/>
              </w:rPr>
            </w:pPr>
            <w:r w:rsidRPr="000549B1">
              <w:rPr>
                <w:color w:val="auto"/>
              </w:rPr>
              <w:t>叉叉龙洼</w:t>
            </w:r>
          </w:p>
        </w:tc>
        <w:tc>
          <w:tcPr>
            <w:tcW w:w="802" w:type="pct"/>
            <w:tcBorders>
              <w:top w:val="nil"/>
              <w:left w:val="nil"/>
              <w:bottom w:val="single" w:sz="4" w:space="0" w:color="auto"/>
              <w:right w:val="single" w:sz="4" w:space="0" w:color="auto"/>
            </w:tcBorders>
            <w:vAlign w:val="center"/>
          </w:tcPr>
          <w:p w14:paraId="469B7A71" w14:textId="77777777" w:rsidR="00054437" w:rsidRPr="000549B1" w:rsidRDefault="00000000">
            <w:pPr>
              <w:pStyle w:val="CharCharCharCharChar"/>
              <w:rPr>
                <w:color w:val="auto"/>
              </w:rPr>
            </w:pPr>
            <w:r w:rsidRPr="000549B1">
              <w:rPr>
                <w:color w:val="auto"/>
              </w:rPr>
              <w:t>5.60</w:t>
            </w:r>
          </w:p>
        </w:tc>
        <w:tc>
          <w:tcPr>
            <w:tcW w:w="802" w:type="pct"/>
            <w:tcBorders>
              <w:top w:val="nil"/>
              <w:left w:val="nil"/>
              <w:bottom w:val="single" w:sz="4" w:space="0" w:color="auto"/>
              <w:right w:val="single" w:sz="4" w:space="0" w:color="auto"/>
            </w:tcBorders>
            <w:vAlign w:val="center"/>
          </w:tcPr>
          <w:p w14:paraId="55B50DB4" w14:textId="77777777" w:rsidR="00054437" w:rsidRPr="000549B1" w:rsidRDefault="00000000">
            <w:pPr>
              <w:pStyle w:val="CharCharCharCharChar"/>
              <w:rPr>
                <w:color w:val="auto"/>
              </w:rPr>
            </w:pPr>
            <w:r w:rsidRPr="000549B1">
              <w:rPr>
                <w:color w:val="auto"/>
              </w:rPr>
              <w:t>5.60</w:t>
            </w:r>
          </w:p>
        </w:tc>
        <w:tc>
          <w:tcPr>
            <w:tcW w:w="802" w:type="pct"/>
            <w:tcBorders>
              <w:top w:val="nil"/>
              <w:left w:val="nil"/>
              <w:bottom w:val="single" w:sz="4" w:space="0" w:color="auto"/>
              <w:right w:val="single" w:sz="4" w:space="0" w:color="auto"/>
            </w:tcBorders>
            <w:vAlign w:val="center"/>
          </w:tcPr>
          <w:p w14:paraId="1DDB8544" w14:textId="77777777" w:rsidR="00054437" w:rsidRPr="000549B1" w:rsidRDefault="00054437">
            <w:pPr>
              <w:pStyle w:val="CharCharCharCharChar"/>
              <w:rPr>
                <w:color w:val="auto"/>
              </w:rPr>
            </w:pPr>
          </w:p>
        </w:tc>
      </w:tr>
      <w:tr w:rsidR="000549B1" w:rsidRPr="000549B1" w14:paraId="59071165" w14:textId="77777777">
        <w:trPr>
          <w:trHeight w:val="20"/>
        </w:trPr>
        <w:tc>
          <w:tcPr>
            <w:tcW w:w="495" w:type="pct"/>
            <w:tcBorders>
              <w:top w:val="nil"/>
              <w:left w:val="single" w:sz="4" w:space="0" w:color="auto"/>
              <w:bottom w:val="single" w:sz="4" w:space="0" w:color="auto"/>
              <w:right w:val="single" w:sz="4" w:space="0" w:color="auto"/>
            </w:tcBorders>
            <w:vAlign w:val="center"/>
          </w:tcPr>
          <w:p w14:paraId="152DBE5F" w14:textId="77777777" w:rsidR="00054437" w:rsidRPr="000549B1" w:rsidRDefault="00000000">
            <w:pPr>
              <w:pStyle w:val="CharCharCharCharChar"/>
              <w:rPr>
                <w:color w:val="auto"/>
              </w:rPr>
            </w:pPr>
            <w:r w:rsidRPr="000549B1">
              <w:rPr>
                <w:color w:val="auto"/>
              </w:rPr>
              <w:t>5</w:t>
            </w:r>
          </w:p>
        </w:tc>
        <w:tc>
          <w:tcPr>
            <w:tcW w:w="2099" w:type="pct"/>
            <w:tcBorders>
              <w:top w:val="nil"/>
              <w:left w:val="nil"/>
              <w:bottom w:val="single" w:sz="4" w:space="0" w:color="auto"/>
              <w:right w:val="single" w:sz="4" w:space="0" w:color="auto"/>
            </w:tcBorders>
            <w:vAlign w:val="center"/>
          </w:tcPr>
          <w:p w14:paraId="16ECEDE6" w14:textId="77777777" w:rsidR="00054437" w:rsidRPr="000549B1" w:rsidRDefault="00000000">
            <w:pPr>
              <w:pStyle w:val="CharCharCharCharChar"/>
              <w:rPr>
                <w:color w:val="auto"/>
              </w:rPr>
            </w:pPr>
            <w:r w:rsidRPr="000549B1">
              <w:rPr>
                <w:color w:val="auto"/>
              </w:rPr>
              <w:t>直亥买沟</w:t>
            </w:r>
          </w:p>
        </w:tc>
        <w:tc>
          <w:tcPr>
            <w:tcW w:w="802" w:type="pct"/>
            <w:tcBorders>
              <w:top w:val="nil"/>
              <w:left w:val="nil"/>
              <w:bottom w:val="single" w:sz="4" w:space="0" w:color="auto"/>
              <w:right w:val="single" w:sz="4" w:space="0" w:color="auto"/>
            </w:tcBorders>
            <w:vAlign w:val="center"/>
          </w:tcPr>
          <w:p w14:paraId="1A6F4A8D" w14:textId="77777777" w:rsidR="00054437" w:rsidRPr="000549B1" w:rsidRDefault="00000000">
            <w:pPr>
              <w:pStyle w:val="CharCharCharCharChar"/>
              <w:rPr>
                <w:color w:val="auto"/>
              </w:rPr>
            </w:pPr>
            <w:r w:rsidRPr="000549B1">
              <w:rPr>
                <w:color w:val="auto"/>
              </w:rPr>
              <w:t>2.50</w:t>
            </w:r>
          </w:p>
        </w:tc>
        <w:tc>
          <w:tcPr>
            <w:tcW w:w="802" w:type="pct"/>
            <w:tcBorders>
              <w:top w:val="nil"/>
              <w:left w:val="nil"/>
              <w:bottom w:val="single" w:sz="4" w:space="0" w:color="auto"/>
              <w:right w:val="single" w:sz="4" w:space="0" w:color="auto"/>
            </w:tcBorders>
            <w:vAlign w:val="center"/>
          </w:tcPr>
          <w:p w14:paraId="3A8BCD54" w14:textId="77777777" w:rsidR="00054437" w:rsidRPr="000549B1" w:rsidRDefault="00000000">
            <w:pPr>
              <w:pStyle w:val="CharCharCharCharChar"/>
              <w:rPr>
                <w:color w:val="auto"/>
              </w:rPr>
            </w:pPr>
            <w:r w:rsidRPr="000549B1">
              <w:rPr>
                <w:color w:val="auto"/>
              </w:rPr>
              <w:t>2.50</w:t>
            </w:r>
          </w:p>
        </w:tc>
        <w:tc>
          <w:tcPr>
            <w:tcW w:w="802" w:type="pct"/>
            <w:tcBorders>
              <w:top w:val="nil"/>
              <w:left w:val="nil"/>
              <w:bottom w:val="single" w:sz="4" w:space="0" w:color="auto"/>
              <w:right w:val="single" w:sz="4" w:space="0" w:color="auto"/>
            </w:tcBorders>
            <w:vAlign w:val="center"/>
          </w:tcPr>
          <w:p w14:paraId="2050DBA5" w14:textId="77777777" w:rsidR="00054437" w:rsidRPr="000549B1" w:rsidRDefault="00054437">
            <w:pPr>
              <w:pStyle w:val="CharCharCharCharChar"/>
              <w:rPr>
                <w:color w:val="auto"/>
              </w:rPr>
            </w:pPr>
          </w:p>
        </w:tc>
      </w:tr>
      <w:tr w:rsidR="000549B1" w:rsidRPr="000549B1" w14:paraId="0274840A" w14:textId="77777777">
        <w:trPr>
          <w:trHeight w:val="20"/>
        </w:trPr>
        <w:tc>
          <w:tcPr>
            <w:tcW w:w="495" w:type="pct"/>
            <w:tcBorders>
              <w:top w:val="nil"/>
              <w:left w:val="single" w:sz="4" w:space="0" w:color="auto"/>
              <w:bottom w:val="single" w:sz="4" w:space="0" w:color="auto"/>
              <w:right w:val="single" w:sz="4" w:space="0" w:color="auto"/>
            </w:tcBorders>
            <w:vAlign w:val="center"/>
          </w:tcPr>
          <w:p w14:paraId="7F334254" w14:textId="77777777" w:rsidR="00054437" w:rsidRPr="000549B1" w:rsidRDefault="00000000">
            <w:pPr>
              <w:pStyle w:val="CharCharCharCharChar"/>
              <w:rPr>
                <w:color w:val="auto"/>
              </w:rPr>
            </w:pPr>
            <w:r w:rsidRPr="000549B1">
              <w:rPr>
                <w:color w:val="auto"/>
              </w:rPr>
              <w:t>6</w:t>
            </w:r>
          </w:p>
        </w:tc>
        <w:tc>
          <w:tcPr>
            <w:tcW w:w="2099" w:type="pct"/>
            <w:tcBorders>
              <w:top w:val="nil"/>
              <w:left w:val="nil"/>
              <w:bottom w:val="single" w:sz="4" w:space="0" w:color="auto"/>
              <w:right w:val="single" w:sz="4" w:space="0" w:color="auto"/>
            </w:tcBorders>
            <w:vAlign w:val="center"/>
          </w:tcPr>
          <w:p w14:paraId="6C848D45" w14:textId="77777777" w:rsidR="00054437" w:rsidRPr="000549B1" w:rsidRDefault="00000000">
            <w:pPr>
              <w:pStyle w:val="CharCharCharCharChar"/>
              <w:rPr>
                <w:color w:val="auto"/>
              </w:rPr>
            </w:pPr>
            <w:r w:rsidRPr="000549B1">
              <w:rPr>
                <w:color w:val="auto"/>
              </w:rPr>
              <w:t>切吉河</w:t>
            </w:r>
          </w:p>
        </w:tc>
        <w:tc>
          <w:tcPr>
            <w:tcW w:w="802" w:type="pct"/>
            <w:tcBorders>
              <w:top w:val="nil"/>
              <w:left w:val="nil"/>
              <w:bottom w:val="single" w:sz="4" w:space="0" w:color="auto"/>
              <w:right w:val="single" w:sz="4" w:space="0" w:color="auto"/>
            </w:tcBorders>
            <w:vAlign w:val="center"/>
          </w:tcPr>
          <w:p w14:paraId="342C7A8A" w14:textId="77777777" w:rsidR="00054437" w:rsidRPr="000549B1" w:rsidRDefault="00000000">
            <w:pPr>
              <w:pStyle w:val="CharCharCharCharChar"/>
              <w:rPr>
                <w:color w:val="auto"/>
              </w:rPr>
            </w:pPr>
            <w:r w:rsidRPr="000549B1">
              <w:rPr>
                <w:color w:val="auto"/>
              </w:rPr>
              <w:t>2.30</w:t>
            </w:r>
          </w:p>
        </w:tc>
        <w:tc>
          <w:tcPr>
            <w:tcW w:w="802" w:type="pct"/>
            <w:tcBorders>
              <w:top w:val="nil"/>
              <w:left w:val="nil"/>
              <w:bottom w:val="single" w:sz="4" w:space="0" w:color="auto"/>
              <w:right w:val="single" w:sz="4" w:space="0" w:color="auto"/>
            </w:tcBorders>
            <w:vAlign w:val="center"/>
          </w:tcPr>
          <w:p w14:paraId="2965DE52" w14:textId="77777777" w:rsidR="00054437" w:rsidRPr="000549B1" w:rsidRDefault="00000000">
            <w:pPr>
              <w:pStyle w:val="CharCharCharCharChar"/>
              <w:rPr>
                <w:color w:val="auto"/>
              </w:rPr>
            </w:pPr>
            <w:r w:rsidRPr="000549B1">
              <w:rPr>
                <w:color w:val="auto"/>
              </w:rPr>
              <w:t>2.30</w:t>
            </w:r>
          </w:p>
        </w:tc>
        <w:tc>
          <w:tcPr>
            <w:tcW w:w="802" w:type="pct"/>
            <w:tcBorders>
              <w:top w:val="nil"/>
              <w:left w:val="nil"/>
              <w:bottom w:val="single" w:sz="4" w:space="0" w:color="auto"/>
              <w:right w:val="single" w:sz="4" w:space="0" w:color="auto"/>
            </w:tcBorders>
            <w:vAlign w:val="center"/>
          </w:tcPr>
          <w:p w14:paraId="440EAFA1" w14:textId="77777777" w:rsidR="00054437" w:rsidRPr="000549B1" w:rsidRDefault="00054437">
            <w:pPr>
              <w:pStyle w:val="CharCharCharCharChar"/>
              <w:rPr>
                <w:color w:val="auto"/>
              </w:rPr>
            </w:pPr>
          </w:p>
        </w:tc>
      </w:tr>
      <w:tr w:rsidR="000549B1" w:rsidRPr="000549B1" w14:paraId="3D6A9A70" w14:textId="77777777">
        <w:trPr>
          <w:trHeight w:val="20"/>
        </w:trPr>
        <w:tc>
          <w:tcPr>
            <w:tcW w:w="495" w:type="pct"/>
            <w:tcBorders>
              <w:top w:val="nil"/>
              <w:left w:val="single" w:sz="4" w:space="0" w:color="auto"/>
              <w:bottom w:val="single" w:sz="4" w:space="0" w:color="auto"/>
              <w:right w:val="single" w:sz="4" w:space="0" w:color="auto"/>
            </w:tcBorders>
            <w:vAlign w:val="center"/>
          </w:tcPr>
          <w:p w14:paraId="4AFA3139" w14:textId="77777777" w:rsidR="00054437" w:rsidRPr="000549B1" w:rsidRDefault="00000000">
            <w:pPr>
              <w:pStyle w:val="CharCharCharCharChar"/>
              <w:rPr>
                <w:color w:val="auto"/>
              </w:rPr>
            </w:pPr>
            <w:r w:rsidRPr="000549B1">
              <w:rPr>
                <w:color w:val="auto"/>
              </w:rPr>
              <w:t>7</w:t>
            </w:r>
          </w:p>
        </w:tc>
        <w:tc>
          <w:tcPr>
            <w:tcW w:w="2099" w:type="pct"/>
            <w:tcBorders>
              <w:top w:val="nil"/>
              <w:left w:val="nil"/>
              <w:bottom w:val="single" w:sz="4" w:space="0" w:color="auto"/>
              <w:right w:val="single" w:sz="4" w:space="0" w:color="auto"/>
            </w:tcBorders>
            <w:vAlign w:val="center"/>
          </w:tcPr>
          <w:p w14:paraId="7B3F3D62" w14:textId="77777777" w:rsidR="00054437" w:rsidRPr="000549B1" w:rsidRDefault="00000000">
            <w:pPr>
              <w:pStyle w:val="CharCharCharCharChar"/>
              <w:rPr>
                <w:color w:val="auto"/>
              </w:rPr>
            </w:pPr>
            <w:r w:rsidRPr="000549B1">
              <w:rPr>
                <w:color w:val="auto"/>
              </w:rPr>
              <w:t>塘格木河</w:t>
            </w:r>
          </w:p>
        </w:tc>
        <w:tc>
          <w:tcPr>
            <w:tcW w:w="802" w:type="pct"/>
            <w:tcBorders>
              <w:top w:val="nil"/>
              <w:left w:val="nil"/>
              <w:bottom w:val="single" w:sz="4" w:space="0" w:color="auto"/>
              <w:right w:val="single" w:sz="4" w:space="0" w:color="auto"/>
            </w:tcBorders>
            <w:vAlign w:val="center"/>
          </w:tcPr>
          <w:p w14:paraId="4422DC1A" w14:textId="77777777" w:rsidR="00054437" w:rsidRPr="000549B1" w:rsidRDefault="00000000">
            <w:pPr>
              <w:pStyle w:val="CharCharCharCharChar"/>
              <w:rPr>
                <w:color w:val="auto"/>
              </w:rPr>
            </w:pPr>
            <w:r w:rsidRPr="000549B1">
              <w:rPr>
                <w:color w:val="auto"/>
              </w:rPr>
              <w:t>1.50</w:t>
            </w:r>
          </w:p>
        </w:tc>
        <w:tc>
          <w:tcPr>
            <w:tcW w:w="802" w:type="pct"/>
            <w:tcBorders>
              <w:top w:val="nil"/>
              <w:left w:val="nil"/>
              <w:bottom w:val="single" w:sz="4" w:space="0" w:color="auto"/>
              <w:right w:val="single" w:sz="4" w:space="0" w:color="auto"/>
            </w:tcBorders>
            <w:vAlign w:val="center"/>
          </w:tcPr>
          <w:p w14:paraId="0862A2E5" w14:textId="77777777" w:rsidR="00054437" w:rsidRPr="000549B1" w:rsidRDefault="00000000">
            <w:pPr>
              <w:pStyle w:val="CharCharCharCharChar"/>
              <w:rPr>
                <w:color w:val="auto"/>
              </w:rPr>
            </w:pPr>
            <w:r w:rsidRPr="000549B1">
              <w:rPr>
                <w:color w:val="auto"/>
              </w:rPr>
              <w:t>1.50</w:t>
            </w:r>
          </w:p>
        </w:tc>
        <w:tc>
          <w:tcPr>
            <w:tcW w:w="802" w:type="pct"/>
            <w:tcBorders>
              <w:top w:val="nil"/>
              <w:left w:val="nil"/>
              <w:bottom w:val="single" w:sz="4" w:space="0" w:color="auto"/>
              <w:right w:val="single" w:sz="4" w:space="0" w:color="auto"/>
            </w:tcBorders>
            <w:vAlign w:val="center"/>
          </w:tcPr>
          <w:p w14:paraId="4B0FEFAD" w14:textId="77777777" w:rsidR="00054437" w:rsidRPr="000549B1" w:rsidRDefault="00054437">
            <w:pPr>
              <w:pStyle w:val="CharCharCharCharChar"/>
              <w:rPr>
                <w:color w:val="auto"/>
              </w:rPr>
            </w:pPr>
          </w:p>
        </w:tc>
      </w:tr>
      <w:tr w:rsidR="000549B1" w:rsidRPr="000549B1" w14:paraId="2F5A8BFB" w14:textId="77777777">
        <w:trPr>
          <w:trHeight w:val="20"/>
        </w:trPr>
        <w:tc>
          <w:tcPr>
            <w:tcW w:w="495" w:type="pct"/>
            <w:tcBorders>
              <w:top w:val="nil"/>
              <w:left w:val="single" w:sz="4" w:space="0" w:color="auto"/>
              <w:bottom w:val="single" w:sz="4" w:space="0" w:color="auto"/>
              <w:right w:val="single" w:sz="4" w:space="0" w:color="auto"/>
            </w:tcBorders>
            <w:vAlign w:val="center"/>
          </w:tcPr>
          <w:p w14:paraId="3DB38551" w14:textId="77777777" w:rsidR="00054437" w:rsidRPr="000549B1" w:rsidRDefault="00000000">
            <w:pPr>
              <w:pStyle w:val="CharCharCharCharChar"/>
              <w:rPr>
                <w:color w:val="auto"/>
              </w:rPr>
            </w:pPr>
            <w:r w:rsidRPr="000549B1">
              <w:rPr>
                <w:color w:val="auto"/>
              </w:rPr>
              <w:t>8</w:t>
            </w:r>
          </w:p>
        </w:tc>
        <w:tc>
          <w:tcPr>
            <w:tcW w:w="2099" w:type="pct"/>
            <w:tcBorders>
              <w:top w:val="nil"/>
              <w:left w:val="nil"/>
              <w:bottom w:val="single" w:sz="4" w:space="0" w:color="auto"/>
              <w:right w:val="single" w:sz="4" w:space="0" w:color="auto"/>
            </w:tcBorders>
            <w:vAlign w:val="center"/>
          </w:tcPr>
          <w:p w14:paraId="2B0E4AF8" w14:textId="77777777" w:rsidR="00054437" w:rsidRPr="000549B1" w:rsidRDefault="00000000">
            <w:pPr>
              <w:pStyle w:val="CharCharCharCharChar"/>
              <w:rPr>
                <w:color w:val="auto"/>
              </w:rPr>
            </w:pPr>
            <w:r w:rsidRPr="000549B1">
              <w:rPr>
                <w:color w:val="auto"/>
              </w:rPr>
              <w:t>廿地沟</w:t>
            </w:r>
          </w:p>
        </w:tc>
        <w:tc>
          <w:tcPr>
            <w:tcW w:w="802" w:type="pct"/>
            <w:tcBorders>
              <w:top w:val="nil"/>
              <w:left w:val="nil"/>
              <w:bottom w:val="single" w:sz="4" w:space="0" w:color="auto"/>
              <w:right w:val="single" w:sz="4" w:space="0" w:color="auto"/>
            </w:tcBorders>
            <w:vAlign w:val="center"/>
          </w:tcPr>
          <w:p w14:paraId="5E5EDE10" w14:textId="77777777" w:rsidR="00054437" w:rsidRPr="000549B1" w:rsidRDefault="00000000">
            <w:pPr>
              <w:pStyle w:val="CharCharCharCharChar"/>
              <w:rPr>
                <w:color w:val="auto"/>
              </w:rPr>
            </w:pPr>
            <w:r w:rsidRPr="000549B1">
              <w:rPr>
                <w:color w:val="auto"/>
              </w:rPr>
              <w:t>1.25</w:t>
            </w:r>
          </w:p>
        </w:tc>
        <w:tc>
          <w:tcPr>
            <w:tcW w:w="802" w:type="pct"/>
            <w:tcBorders>
              <w:top w:val="nil"/>
              <w:left w:val="nil"/>
              <w:bottom w:val="single" w:sz="4" w:space="0" w:color="auto"/>
              <w:right w:val="single" w:sz="4" w:space="0" w:color="auto"/>
            </w:tcBorders>
            <w:vAlign w:val="center"/>
          </w:tcPr>
          <w:p w14:paraId="787A0112" w14:textId="77777777" w:rsidR="00054437" w:rsidRPr="000549B1" w:rsidRDefault="00000000">
            <w:pPr>
              <w:pStyle w:val="CharCharCharCharChar"/>
              <w:rPr>
                <w:color w:val="auto"/>
              </w:rPr>
            </w:pPr>
            <w:r w:rsidRPr="000549B1">
              <w:rPr>
                <w:color w:val="auto"/>
              </w:rPr>
              <w:t>0.64</w:t>
            </w:r>
          </w:p>
        </w:tc>
        <w:tc>
          <w:tcPr>
            <w:tcW w:w="802" w:type="pct"/>
            <w:tcBorders>
              <w:top w:val="nil"/>
              <w:left w:val="nil"/>
              <w:bottom w:val="single" w:sz="4" w:space="0" w:color="auto"/>
              <w:right w:val="single" w:sz="4" w:space="0" w:color="auto"/>
            </w:tcBorders>
            <w:vAlign w:val="center"/>
          </w:tcPr>
          <w:p w14:paraId="7B881A01" w14:textId="77777777" w:rsidR="00054437" w:rsidRPr="000549B1" w:rsidRDefault="00000000">
            <w:pPr>
              <w:pStyle w:val="CharCharCharCharChar"/>
              <w:rPr>
                <w:color w:val="auto"/>
              </w:rPr>
            </w:pPr>
            <w:r w:rsidRPr="000549B1">
              <w:rPr>
                <w:color w:val="auto"/>
              </w:rPr>
              <w:t>0.61</w:t>
            </w:r>
          </w:p>
        </w:tc>
      </w:tr>
      <w:tr w:rsidR="000549B1" w:rsidRPr="000549B1" w14:paraId="43589E54" w14:textId="77777777">
        <w:trPr>
          <w:trHeight w:val="20"/>
        </w:trPr>
        <w:tc>
          <w:tcPr>
            <w:tcW w:w="2594" w:type="pct"/>
            <w:gridSpan w:val="2"/>
            <w:tcBorders>
              <w:top w:val="single" w:sz="4" w:space="0" w:color="auto"/>
              <w:left w:val="single" w:sz="4" w:space="0" w:color="auto"/>
              <w:bottom w:val="single" w:sz="4" w:space="0" w:color="auto"/>
              <w:right w:val="single" w:sz="4" w:space="0" w:color="auto"/>
            </w:tcBorders>
            <w:vAlign w:val="center"/>
          </w:tcPr>
          <w:p w14:paraId="3FB8DA26" w14:textId="77777777" w:rsidR="00054437" w:rsidRPr="000549B1" w:rsidRDefault="00000000">
            <w:pPr>
              <w:pStyle w:val="CharCharCharCharChar"/>
              <w:rPr>
                <w:color w:val="auto"/>
              </w:rPr>
            </w:pPr>
            <w:r w:rsidRPr="000549B1">
              <w:rPr>
                <w:color w:val="auto"/>
              </w:rPr>
              <w:t>合计</w:t>
            </w:r>
          </w:p>
        </w:tc>
        <w:tc>
          <w:tcPr>
            <w:tcW w:w="802" w:type="pct"/>
            <w:tcBorders>
              <w:top w:val="nil"/>
              <w:left w:val="nil"/>
              <w:bottom w:val="single" w:sz="4" w:space="0" w:color="auto"/>
              <w:right w:val="single" w:sz="4" w:space="0" w:color="auto"/>
            </w:tcBorders>
            <w:vAlign w:val="center"/>
          </w:tcPr>
          <w:p w14:paraId="3195C5F6" w14:textId="77777777" w:rsidR="00054437" w:rsidRPr="000549B1" w:rsidRDefault="00000000">
            <w:pPr>
              <w:pStyle w:val="CharCharCharCharChar"/>
              <w:rPr>
                <w:color w:val="auto"/>
              </w:rPr>
            </w:pPr>
            <w:r w:rsidRPr="000549B1">
              <w:rPr>
                <w:rFonts w:eastAsia="等线"/>
                <w:color w:val="auto"/>
              </w:rPr>
              <w:t>21.37</w:t>
            </w:r>
          </w:p>
        </w:tc>
        <w:tc>
          <w:tcPr>
            <w:tcW w:w="802" w:type="pct"/>
            <w:tcBorders>
              <w:top w:val="nil"/>
              <w:left w:val="nil"/>
              <w:bottom w:val="single" w:sz="4" w:space="0" w:color="auto"/>
              <w:right w:val="single" w:sz="4" w:space="0" w:color="auto"/>
            </w:tcBorders>
            <w:vAlign w:val="center"/>
          </w:tcPr>
          <w:p w14:paraId="59D84642" w14:textId="77777777" w:rsidR="00054437" w:rsidRPr="000549B1" w:rsidRDefault="00000000">
            <w:pPr>
              <w:pStyle w:val="CharCharCharCharChar"/>
              <w:rPr>
                <w:color w:val="auto"/>
              </w:rPr>
            </w:pPr>
            <w:r w:rsidRPr="000549B1">
              <w:rPr>
                <w:rFonts w:eastAsia="等线"/>
                <w:color w:val="auto"/>
              </w:rPr>
              <w:t>17.16</w:t>
            </w:r>
          </w:p>
        </w:tc>
        <w:tc>
          <w:tcPr>
            <w:tcW w:w="802" w:type="pct"/>
            <w:tcBorders>
              <w:top w:val="nil"/>
              <w:left w:val="nil"/>
              <w:bottom w:val="single" w:sz="4" w:space="0" w:color="auto"/>
              <w:right w:val="single" w:sz="4" w:space="0" w:color="auto"/>
            </w:tcBorders>
            <w:vAlign w:val="center"/>
          </w:tcPr>
          <w:p w14:paraId="590C2E49" w14:textId="77777777" w:rsidR="00054437" w:rsidRPr="000549B1" w:rsidRDefault="00000000">
            <w:pPr>
              <w:pStyle w:val="CharCharCharCharChar"/>
              <w:rPr>
                <w:color w:val="auto"/>
              </w:rPr>
            </w:pPr>
            <w:r w:rsidRPr="000549B1">
              <w:rPr>
                <w:rFonts w:eastAsia="等线"/>
                <w:color w:val="auto"/>
              </w:rPr>
              <w:t>4.21</w:t>
            </w:r>
          </w:p>
        </w:tc>
      </w:tr>
    </w:tbl>
    <w:p w14:paraId="39BEE75D" w14:textId="77777777" w:rsidR="00054437" w:rsidRPr="000549B1" w:rsidRDefault="00000000">
      <w:pPr>
        <w:ind w:firstLine="480"/>
        <w:jc w:val="center"/>
      </w:pPr>
      <w:r w:rsidRPr="000549B1">
        <w:rPr>
          <w:noProof/>
        </w:rPr>
        <w:drawing>
          <wp:inline distT="0" distB="0" distL="0" distR="0" wp14:anchorId="2EF0C21F" wp14:editId="5D8B4D6D">
            <wp:extent cx="3771900" cy="3750310"/>
            <wp:effectExtent l="0" t="0" r="0" b="254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a:xfrm>
                      <a:off x="0" y="0"/>
                      <a:ext cx="3776709" cy="3754884"/>
                    </a:xfrm>
                    <a:prstGeom prst="rect">
                      <a:avLst/>
                    </a:prstGeom>
                    <a:noFill/>
                    <a:ln>
                      <a:noFill/>
                    </a:ln>
                  </pic:spPr>
                </pic:pic>
              </a:graphicData>
            </a:graphic>
          </wp:inline>
        </w:drawing>
      </w:r>
    </w:p>
    <w:p w14:paraId="6BBEB55F" w14:textId="39C987A0" w:rsidR="00054437" w:rsidRPr="000549B1" w:rsidRDefault="00000000">
      <w:pPr>
        <w:pStyle w:val="aff8"/>
        <w:rPr>
          <w:color w:val="auto"/>
        </w:rPr>
      </w:pPr>
      <w:bookmarkStart w:id="146" w:name="_Ref214975321"/>
      <w:r w:rsidRPr="000549B1">
        <w:rPr>
          <w:color w:val="auto"/>
        </w:rPr>
        <w:t>图</w:t>
      </w:r>
      <w:r w:rsidR="00F1314B">
        <w:rPr>
          <w:color w:val="auto"/>
        </w:rPr>
        <w:fldChar w:fldCharType="begin"/>
      </w:r>
      <w:r w:rsidR="00F1314B">
        <w:rPr>
          <w:color w:val="auto"/>
        </w:rPr>
        <w:instrText xml:space="preserve"> STYLEREF 2 \s </w:instrText>
      </w:r>
      <w:r w:rsidR="00F1314B">
        <w:rPr>
          <w:color w:val="auto"/>
        </w:rPr>
        <w:fldChar w:fldCharType="separate"/>
      </w:r>
      <w:r w:rsidR="00F32CCA">
        <w:rPr>
          <w:noProof/>
          <w:color w:val="auto"/>
        </w:rPr>
        <w:t>2.1</w:t>
      </w:r>
      <w:r w:rsidR="00F1314B">
        <w:rPr>
          <w:color w:val="auto"/>
        </w:rPr>
        <w:fldChar w:fldCharType="end"/>
      </w:r>
      <w:r w:rsidR="00F1314B">
        <w:rPr>
          <w:color w:val="auto"/>
        </w:rPr>
        <w:noBreakHyphen/>
      </w:r>
      <w:r w:rsidR="00F1314B">
        <w:rPr>
          <w:color w:val="auto"/>
        </w:rPr>
        <w:fldChar w:fldCharType="begin"/>
      </w:r>
      <w:r w:rsidR="00F1314B">
        <w:rPr>
          <w:color w:val="auto"/>
        </w:rPr>
        <w:instrText xml:space="preserve"> SEQ </w:instrText>
      </w:r>
      <w:r w:rsidR="00F1314B">
        <w:rPr>
          <w:color w:val="auto"/>
        </w:rPr>
        <w:instrText>图</w:instrText>
      </w:r>
      <w:r w:rsidR="00F1314B">
        <w:rPr>
          <w:color w:val="auto"/>
        </w:rPr>
        <w:instrText xml:space="preserve"> \* ARABIC \s 2 </w:instrText>
      </w:r>
      <w:r w:rsidR="00F1314B">
        <w:rPr>
          <w:color w:val="auto"/>
        </w:rPr>
        <w:fldChar w:fldCharType="separate"/>
      </w:r>
      <w:r w:rsidR="00F32CCA">
        <w:rPr>
          <w:noProof/>
          <w:color w:val="auto"/>
        </w:rPr>
        <w:t>1</w:t>
      </w:r>
      <w:r w:rsidR="00F1314B">
        <w:rPr>
          <w:color w:val="auto"/>
        </w:rPr>
        <w:fldChar w:fldCharType="end"/>
      </w:r>
      <w:bookmarkEnd w:id="146"/>
      <w:r w:rsidRPr="000549B1">
        <w:rPr>
          <w:color w:val="auto"/>
        </w:rPr>
        <w:t>沙珠玉河流域规划防洪工程布置图</w:t>
      </w:r>
    </w:p>
    <w:p w14:paraId="704179BA" w14:textId="4A2F4132" w:rsidR="00054437" w:rsidRPr="000549B1" w:rsidRDefault="00FF5F6B" w:rsidP="000549B1">
      <w:pPr>
        <w:pStyle w:val="x"/>
      </w:pPr>
      <w:r w:rsidRPr="000549B1">
        <w:rPr>
          <w:rFonts w:hint="eastAsia"/>
        </w:rPr>
        <w:t>（</w:t>
      </w:r>
      <w:r w:rsidRPr="000549B1">
        <w:rPr>
          <w:rFonts w:hint="eastAsia"/>
        </w:rPr>
        <w:t>3</w:t>
      </w:r>
      <w:r w:rsidRPr="000549B1">
        <w:rPr>
          <w:rFonts w:hint="eastAsia"/>
        </w:rPr>
        <w:t>）</w:t>
      </w:r>
      <w:r w:rsidRPr="000549B1">
        <w:t>山洪灾害防治措施</w:t>
      </w:r>
    </w:p>
    <w:p w14:paraId="025CE929" w14:textId="77777777" w:rsidR="00054437" w:rsidRPr="000549B1" w:rsidRDefault="00000000">
      <w:pPr>
        <w:pStyle w:val="x"/>
      </w:pPr>
      <w:r w:rsidRPr="000549B1">
        <w:t>根据沙珠玉河流域山洪沟道现状以及当地山洪灾害防治工程措施需求，并结合山洪灾害防治工程措施建设实施方案，在本次规划中，仅考虑对山洪沟出山的沟口安排防洪工程建设。</w:t>
      </w:r>
    </w:p>
    <w:p w14:paraId="41696F6F" w14:textId="77777777" w:rsidR="00054437" w:rsidRPr="000549B1" w:rsidRDefault="00000000">
      <w:pPr>
        <w:pStyle w:val="x"/>
      </w:pPr>
      <w:r w:rsidRPr="000549B1">
        <w:t>在山洪沟岸有居民或重要建筑物时，为防山洪冲刷破坏，宜沿岸修筑护岸工程，拦挡或疏导山洪，使其顺利排泄。对依山而建、受山坡地表径流危害的城镇、居民点、学校、医院、工矿企业，规划修建排洪渠，将坡面地表径流引入沟道排泄。</w:t>
      </w:r>
    </w:p>
    <w:p w14:paraId="04E4CF3F" w14:textId="007F1181" w:rsidR="00054437" w:rsidRPr="00F1314B" w:rsidRDefault="00000000">
      <w:pPr>
        <w:pStyle w:val="x"/>
      </w:pPr>
      <w:r w:rsidRPr="00F1314B">
        <w:t>根据沙珠玉河流域易灾山洪沟道现状，</w:t>
      </w:r>
      <w:r w:rsidR="005E0378" w:rsidRPr="00F1314B">
        <w:rPr>
          <w:rFonts w:hint="eastAsia"/>
        </w:rPr>
        <w:t>规划安排治理山洪沟道</w:t>
      </w:r>
      <w:r w:rsidR="005E0378" w:rsidRPr="00F1314B">
        <w:t>4</w:t>
      </w:r>
      <w:r w:rsidR="005E0378" w:rsidRPr="00F1314B">
        <w:rPr>
          <w:rFonts w:hint="eastAsia"/>
        </w:rPr>
        <w:t>条，包括护岸工程</w:t>
      </w:r>
      <w:r w:rsidR="005E0378" w:rsidRPr="00F1314B">
        <w:t>6</w:t>
      </w:r>
      <w:r w:rsidR="005E0378" w:rsidRPr="00F1314B">
        <w:rPr>
          <w:rFonts w:hint="eastAsia"/>
        </w:rPr>
        <w:t>.0</w:t>
      </w:r>
      <w:r w:rsidR="005E0378" w:rsidRPr="00F1314B">
        <w:t>km</w:t>
      </w:r>
      <w:r w:rsidR="005E0378" w:rsidRPr="00F1314B">
        <w:rPr>
          <w:rFonts w:hint="eastAsia"/>
        </w:rPr>
        <w:t>，排洪渠</w:t>
      </w:r>
      <w:r w:rsidR="005E0378" w:rsidRPr="00F1314B">
        <w:rPr>
          <w:rFonts w:hint="eastAsia"/>
        </w:rPr>
        <w:t>8</w:t>
      </w:r>
      <w:r w:rsidR="005E0378" w:rsidRPr="00F1314B">
        <w:t>.0km</w:t>
      </w:r>
      <w:r w:rsidRPr="00F1314B">
        <w:t>。</w:t>
      </w:r>
    </w:p>
    <w:p w14:paraId="51130E7C" w14:textId="77777777" w:rsidR="00054437" w:rsidRPr="000549B1" w:rsidRDefault="00000000">
      <w:pPr>
        <w:pStyle w:val="x"/>
      </w:pPr>
      <w:r w:rsidRPr="000549B1">
        <w:t>山洪灾害防治非工程措施主要包括建立</w:t>
      </w:r>
      <w:r w:rsidRPr="000549B1">
        <w:rPr>
          <w:bCs/>
        </w:rPr>
        <w:t>监测系统、通讯系统、预警预报系统、防灾预案和救灾措施、政策法规建设、宣传教育手段和群测群防体系</w:t>
      </w:r>
      <w:r w:rsidRPr="000549B1">
        <w:t>等。围绕防洪保安全，严守山洪灾害防御底线的要求，针对沙珠玉河流域山洪灾害防治现状和存在的短板，按照</w:t>
      </w:r>
      <w:r w:rsidRPr="000549B1">
        <w:t>"</w:t>
      </w:r>
      <w:r w:rsidRPr="000549B1">
        <w:t>预</w:t>
      </w:r>
      <w:r w:rsidRPr="000549B1">
        <w:t>"</w:t>
      </w:r>
      <w:r w:rsidRPr="000549B1">
        <w:t>字当先、</w:t>
      </w:r>
      <w:r w:rsidRPr="000549B1">
        <w:t>"</w:t>
      </w:r>
      <w:r w:rsidRPr="000549B1">
        <w:t>实</w:t>
      </w:r>
      <w:r w:rsidRPr="000549B1">
        <w:t>"</w:t>
      </w:r>
      <w:r w:rsidRPr="000549B1">
        <w:t>字托底，聚焦非工程措施关键领域和薄弱环节，夯实防洪安全保障基础。具体措施包括：</w:t>
      </w:r>
    </w:p>
    <w:p w14:paraId="23FD30BA" w14:textId="6F818ED0" w:rsidR="00054437" w:rsidRPr="000549B1" w:rsidRDefault="00FF5F6B">
      <w:pPr>
        <w:pStyle w:val="x"/>
      </w:pPr>
      <w:r w:rsidRPr="000549B1">
        <w:rPr>
          <w:rFonts w:hint="eastAsia"/>
        </w:rPr>
        <w:t>①</w:t>
      </w:r>
      <w:r w:rsidRPr="000549B1">
        <w:rPr>
          <w:bCs/>
        </w:rPr>
        <w:t>监测站网优化提升</w:t>
      </w:r>
      <w:r w:rsidRPr="000549B1">
        <w:t>：对已建站点升级改造，补充建设，推广小型化、低功耗、免维护的雨水情监测站点。</w:t>
      </w:r>
    </w:p>
    <w:p w14:paraId="5ED30725" w14:textId="357908BE" w:rsidR="00054437" w:rsidRPr="000549B1" w:rsidRDefault="00FF5F6B">
      <w:pPr>
        <w:pStyle w:val="x"/>
      </w:pPr>
      <w:r w:rsidRPr="000549B1">
        <w:rPr>
          <w:rFonts w:hint="eastAsia"/>
        </w:rPr>
        <w:t>②</w:t>
      </w:r>
      <w:r w:rsidRPr="000549B1">
        <w:rPr>
          <w:bCs/>
        </w:rPr>
        <w:t>监测预警平台巩固提升</w:t>
      </w:r>
      <w:r w:rsidRPr="000549B1">
        <w:t>：升级共和县监测预警平台软硬件，利用大数据、云计算等技术提高预报精准度。</w:t>
      </w:r>
    </w:p>
    <w:p w14:paraId="247A6D83" w14:textId="6DB0CA8A" w:rsidR="00054437" w:rsidRPr="000549B1" w:rsidRDefault="00FF5F6B">
      <w:pPr>
        <w:pStyle w:val="x"/>
      </w:pPr>
      <w:r w:rsidRPr="000549B1">
        <w:rPr>
          <w:rFonts w:hint="eastAsia"/>
        </w:rPr>
        <w:t>③</w:t>
      </w:r>
      <w:r w:rsidRPr="000549B1">
        <w:rPr>
          <w:bCs/>
        </w:rPr>
        <w:t>定向电子围栏发布</w:t>
      </w:r>
      <w:r w:rsidRPr="000549B1">
        <w:t>：建立山洪灾害风险区移动信号电子围栏发布机制，实施靶向预警。</w:t>
      </w:r>
    </w:p>
    <w:p w14:paraId="1E3B1A5F" w14:textId="762562DC" w:rsidR="00054437" w:rsidRPr="000549B1" w:rsidRDefault="00FF5F6B">
      <w:pPr>
        <w:pStyle w:val="x"/>
      </w:pPr>
      <w:r w:rsidRPr="000549B1">
        <w:rPr>
          <w:rFonts w:hint="eastAsia"/>
        </w:rPr>
        <w:t>④</w:t>
      </w:r>
      <w:r w:rsidRPr="000549B1">
        <w:rPr>
          <w:bCs/>
        </w:rPr>
        <w:t>预警设施设备更新改造</w:t>
      </w:r>
      <w:r w:rsidRPr="000549B1">
        <w:t>：升级改造无线预警广播，新增入户报警器，补充简易预警设备。</w:t>
      </w:r>
    </w:p>
    <w:p w14:paraId="2D4F7A40" w14:textId="6D6E5A85" w:rsidR="00054437" w:rsidRPr="000549B1" w:rsidRDefault="00FF5F6B">
      <w:pPr>
        <w:pStyle w:val="x"/>
      </w:pPr>
      <w:r w:rsidRPr="000549B1">
        <w:rPr>
          <w:rFonts w:hint="eastAsia"/>
        </w:rPr>
        <w:t>⑤</w:t>
      </w:r>
      <w:r w:rsidRPr="000549B1">
        <w:rPr>
          <w:bCs/>
        </w:rPr>
        <w:t>移动巡查设施设备</w:t>
      </w:r>
      <w:r w:rsidRPr="000549B1">
        <w:t>：配备无人机、对讲机等信息化移动巡查设备。</w:t>
      </w:r>
    </w:p>
    <w:p w14:paraId="1893DE1E" w14:textId="77777777" w:rsidR="00054437" w:rsidRPr="000549B1" w:rsidRDefault="00000000" w:rsidP="000549B1">
      <w:pPr>
        <w:pStyle w:val="Z4"/>
        <w:rPr>
          <w:color w:val="auto"/>
        </w:rPr>
      </w:pPr>
      <w:r w:rsidRPr="000549B1">
        <w:rPr>
          <w:color w:val="auto"/>
        </w:rPr>
        <w:t>水土保持规划</w:t>
      </w:r>
    </w:p>
    <w:p w14:paraId="1A1316D3" w14:textId="0D5F6427" w:rsidR="00054437" w:rsidRPr="000549B1" w:rsidRDefault="00FF5F6B" w:rsidP="000549B1">
      <w:pPr>
        <w:pStyle w:val="x"/>
      </w:pPr>
      <w:r w:rsidRPr="000549B1">
        <w:rPr>
          <w:rFonts w:hint="eastAsia"/>
        </w:rPr>
        <w:t>（</w:t>
      </w:r>
      <w:r w:rsidRPr="000549B1">
        <w:rPr>
          <w:rFonts w:hint="eastAsia"/>
        </w:rPr>
        <w:t>1</w:t>
      </w:r>
      <w:r w:rsidRPr="000549B1">
        <w:rPr>
          <w:rFonts w:hint="eastAsia"/>
        </w:rPr>
        <w:t>）</w:t>
      </w:r>
      <w:r w:rsidRPr="000549B1">
        <w:t>任务与规模</w:t>
      </w:r>
    </w:p>
    <w:p w14:paraId="695F5E36" w14:textId="03456E69" w:rsidR="00054437" w:rsidRPr="00F1314B" w:rsidRDefault="00000000">
      <w:pPr>
        <w:pStyle w:val="x"/>
        <w:rPr>
          <w:rStyle w:val="Char"/>
          <w:rFonts w:ascii="Times New Roman" w:hAnsi="Times New Roman"/>
          <w:color w:val="auto"/>
        </w:rPr>
      </w:pPr>
      <w:r w:rsidRPr="00F1314B">
        <w:t>根据规划目标与任务，结合区域经济社会发展规划及相关行业规划纲要，确定沙珠玉河流域水土流失防治规模为：规划到</w:t>
      </w:r>
      <w:r w:rsidRPr="00F1314B">
        <w:t>2035</w:t>
      </w:r>
      <w:r w:rsidRPr="00F1314B">
        <w:t>年，</w:t>
      </w:r>
      <w:bookmarkStart w:id="147" w:name="OLE_LINK69"/>
      <w:r w:rsidRPr="00F1314B">
        <w:t>综合防治水土流失面积</w:t>
      </w:r>
      <w:bookmarkStart w:id="148" w:name="OLE_LINK66"/>
      <w:r w:rsidR="005E0378" w:rsidRPr="00F1314B">
        <w:t>860.40km</w:t>
      </w:r>
      <w:r w:rsidR="005E0378" w:rsidRPr="00F1314B">
        <w:rPr>
          <w:vertAlign w:val="superscript"/>
        </w:rPr>
        <w:t>2</w:t>
      </w:r>
      <w:bookmarkEnd w:id="148"/>
      <w:r w:rsidRPr="00F1314B">
        <w:t>，其中，预防保护规模</w:t>
      </w:r>
      <w:bookmarkStart w:id="149" w:name="OLE_LINK67"/>
      <w:r w:rsidR="005E0378" w:rsidRPr="00F1314B">
        <w:t>473.22</w:t>
      </w:r>
      <w:bookmarkEnd w:id="149"/>
      <w:r w:rsidR="005E0378" w:rsidRPr="00F1314B">
        <w:t>km</w:t>
      </w:r>
      <w:r w:rsidR="005E0378" w:rsidRPr="00F1314B">
        <w:rPr>
          <w:vertAlign w:val="superscript"/>
        </w:rPr>
        <w:t>2</w:t>
      </w:r>
      <w:r w:rsidRPr="00F1314B">
        <w:t>，综合治理规模</w:t>
      </w:r>
      <w:bookmarkStart w:id="150" w:name="OLE_LINK68"/>
      <w:r w:rsidR="005E0378" w:rsidRPr="00F1314B">
        <w:t>387.18</w:t>
      </w:r>
      <w:bookmarkEnd w:id="150"/>
      <w:r w:rsidR="005E0378" w:rsidRPr="00F1314B">
        <w:t>km</w:t>
      </w:r>
      <w:r w:rsidR="005E0378" w:rsidRPr="00F1314B">
        <w:rPr>
          <w:vertAlign w:val="superscript"/>
        </w:rPr>
        <w:t>2</w:t>
      </w:r>
      <w:r w:rsidRPr="00F1314B">
        <w:t>，</w:t>
      </w:r>
      <w:bookmarkEnd w:id="147"/>
      <w:r w:rsidRPr="00F1314B">
        <w:t>水土保</w:t>
      </w:r>
      <w:r w:rsidRPr="00F1314B">
        <w:rPr>
          <w:rStyle w:val="Char"/>
          <w:rFonts w:ascii="Times New Roman" w:eastAsia="宋体" w:hAnsi="Times New Roman"/>
          <w:b w:val="0"/>
          <w:bCs/>
          <w:color w:val="auto"/>
        </w:rPr>
        <w:t>持率提升至</w:t>
      </w:r>
      <w:r w:rsidRPr="00F1314B">
        <w:rPr>
          <w:rStyle w:val="Char"/>
          <w:rFonts w:ascii="Times New Roman" w:eastAsia="宋体" w:hAnsi="Times New Roman"/>
          <w:b w:val="0"/>
          <w:bCs/>
          <w:color w:val="auto"/>
        </w:rPr>
        <w:t>66.83%</w:t>
      </w:r>
      <w:r w:rsidRPr="00F1314B">
        <w:rPr>
          <w:rStyle w:val="Char"/>
          <w:rFonts w:ascii="Times New Roman" w:hAnsi="Times New Roman"/>
          <w:b w:val="0"/>
          <w:bCs/>
          <w:color w:val="auto"/>
        </w:rPr>
        <w:t>。</w:t>
      </w:r>
    </w:p>
    <w:p w14:paraId="453233B6" w14:textId="3D8C237B" w:rsidR="00054437" w:rsidRPr="000549B1" w:rsidRDefault="00000000">
      <w:pPr>
        <w:pStyle w:val="aff8"/>
        <w:rPr>
          <w:rStyle w:val="Char"/>
          <w:rFonts w:ascii="Times New Roman" w:eastAsia="宋体" w:hAnsi="Times New Roman"/>
          <w:b/>
          <w:color w:val="auto"/>
          <w:sz w:val="21"/>
        </w:rPr>
      </w:pPr>
      <w:r w:rsidRPr="000549B1">
        <w:rPr>
          <w:rStyle w:val="Char"/>
          <w:rFonts w:ascii="Times New Roman" w:eastAsia="宋体" w:hAnsi="Times New Roman"/>
          <w:b/>
          <w:color w:val="auto"/>
          <w:sz w:val="21"/>
        </w:rPr>
        <w:t>表</w:t>
      </w:r>
      <w:r w:rsidR="00372953">
        <w:rPr>
          <w:rStyle w:val="Char"/>
          <w:rFonts w:ascii="Times New Roman" w:eastAsia="宋体" w:hAnsi="Times New Roman"/>
          <w:b/>
          <w:color w:val="auto"/>
          <w:sz w:val="21"/>
        </w:rPr>
        <w:fldChar w:fldCharType="begin"/>
      </w:r>
      <w:r w:rsidR="00372953">
        <w:rPr>
          <w:rStyle w:val="Char"/>
          <w:rFonts w:ascii="Times New Roman" w:eastAsia="宋体" w:hAnsi="Times New Roman"/>
          <w:b/>
          <w:color w:val="auto"/>
          <w:sz w:val="21"/>
        </w:rPr>
        <w:instrText xml:space="preserve"> STYLEREF 2 \s </w:instrText>
      </w:r>
      <w:r w:rsidR="00372953">
        <w:rPr>
          <w:rStyle w:val="Char"/>
          <w:rFonts w:ascii="Times New Roman" w:eastAsia="宋体" w:hAnsi="Times New Roman"/>
          <w:b/>
          <w:color w:val="auto"/>
          <w:sz w:val="21"/>
        </w:rPr>
        <w:fldChar w:fldCharType="separate"/>
      </w:r>
      <w:r w:rsidR="00372953">
        <w:rPr>
          <w:rStyle w:val="Char"/>
          <w:rFonts w:ascii="Times New Roman" w:eastAsia="宋体" w:hAnsi="Times New Roman"/>
          <w:b/>
          <w:noProof/>
          <w:color w:val="auto"/>
          <w:sz w:val="21"/>
        </w:rPr>
        <w:t>2.1</w:t>
      </w:r>
      <w:r w:rsidR="00372953">
        <w:rPr>
          <w:rStyle w:val="Char"/>
          <w:rFonts w:ascii="Times New Roman" w:eastAsia="宋体" w:hAnsi="Times New Roman"/>
          <w:b/>
          <w:color w:val="auto"/>
          <w:sz w:val="21"/>
        </w:rPr>
        <w:fldChar w:fldCharType="end"/>
      </w:r>
      <w:r w:rsidR="00372953">
        <w:rPr>
          <w:rStyle w:val="Char"/>
          <w:rFonts w:ascii="Times New Roman" w:eastAsia="宋体" w:hAnsi="Times New Roman"/>
          <w:b/>
          <w:color w:val="auto"/>
          <w:sz w:val="21"/>
        </w:rPr>
        <w:noBreakHyphen/>
      </w:r>
      <w:r w:rsidR="00372953">
        <w:rPr>
          <w:rStyle w:val="Char"/>
          <w:rFonts w:ascii="Times New Roman" w:eastAsia="宋体" w:hAnsi="Times New Roman"/>
          <w:b/>
          <w:color w:val="auto"/>
          <w:sz w:val="21"/>
        </w:rPr>
        <w:fldChar w:fldCharType="begin"/>
      </w:r>
      <w:r w:rsidR="00372953">
        <w:rPr>
          <w:rStyle w:val="Char"/>
          <w:rFonts w:ascii="Times New Roman" w:eastAsia="宋体" w:hAnsi="Times New Roman"/>
          <w:b/>
          <w:color w:val="auto"/>
          <w:sz w:val="21"/>
        </w:rPr>
        <w:instrText xml:space="preserve"> SEQ </w:instrText>
      </w:r>
      <w:r w:rsidR="00372953">
        <w:rPr>
          <w:rStyle w:val="Char"/>
          <w:rFonts w:ascii="Times New Roman" w:eastAsia="宋体" w:hAnsi="Times New Roman"/>
          <w:b/>
          <w:color w:val="auto"/>
          <w:sz w:val="21"/>
        </w:rPr>
        <w:instrText>表</w:instrText>
      </w:r>
      <w:r w:rsidR="00372953">
        <w:rPr>
          <w:rStyle w:val="Char"/>
          <w:rFonts w:ascii="Times New Roman" w:eastAsia="宋体" w:hAnsi="Times New Roman"/>
          <w:b/>
          <w:color w:val="auto"/>
          <w:sz w:val="21"/>
        </w:rPr>
        <w:instrText xml:space="preserve"> \* ARABIC \s 2 </w:instrText>
      </w:r>
      <w:r w:rsidR="00372953">
        <w:rPr>
          <w:rStyle w:val="Char"/>
          <w:rFonts w:ascii="Times New Roman" w:eastAsia="宋体" w:hAnsi="Times New Roman"/>
          <w:b/>
          <w:color w:val="auto"/>
          <w:sz w:val="21"/>
        </w:rPr>
        <w:fldChar w:fldCharType="separate"/>
      </w:r>
      <w:r w:rsidR="00372953">
        <w:rPr>
          <w:rStyle w:val="Char"/>
          <w:rFonts w:ascii="Times New Roman" w:eastAsia="宋体" w:hAnsi="Times New Roman"/>
          <w:b/>
          <w:noProof/>
          <w:color w:val="auto"/>
          <w:sz w:val="21"/>
        </w:rPr>
        <w:t>3</w:t>
      </w:r>
      <w:r w:rsidR="00372953">
        <w:rPr>
          <w:rStyle w:val="Char"/>
          <w:rFonts w:ascii="Times New Roman" w:eastAsia="宋体" w:hAnsi="Times New Roman"/>
          <w:b/>
          <w:color w:val="auto"/>
          <w:sz w:val="21"/>
        </w:rPr>
        <w:fldChar w:fldCharType="end"/>
      </w:r>
      <w:r w:rsidRPr="000549B1">
        <w:rPr>
          <w:rStyle w:val="Char"/>
          <w:rFonts w:ascii="Times New Roman" w:eastAsia="宋体" w:hAnsi="Times New Roman"/>
          <w:b/>
          <w:color w:val="auto"/>
          <w:sz w:val="21"/>
        </w:rPr>
        <w:t>沙珠玉河流域水土流失防治规模表</w:t>
      </w:r>
    </w:p>
    <w:tbl>
      <w:tblPr>
        <w:tblW w:w="8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16"/>
        <w:gridCol w:w="2881"/>
        <w:gridCol w:w="3310"/>
      </w:tblGrid>
      <w:tr w:rsidR="000549B1" w:rsidRPr="000549B1" w14:paraId="1504B5CC" w14:textId="77777777">
        <w:trPr>
          <w:trHeight w:val="104"/>
          <w:tblHeader/>
        </w:trPr>
        <w:tc>
          <w:tcPr>
            <w:tcW w:w="0" w:type="auto"/>
            <w:tcMar>
              <w:top w:w="150" w:type="dxa"/>
              <w:left w:w="0" w:type="dxa"/>
              <w:bottom w:w="150" w:type="dxa"/>
              <w:right w:w="240" w:type="dxa"/>
            </w:tcMar>
            <w:vAlign w:val="center"/>
          </w:tcPr>
          <w:p w14:paraId="31F6ACA7" w14:textId="77777777" w:rsidR="00054437" w:rsidRPr="000549B1" w:rsidRDefault="00000000">
            <w:pPr>
              <w:pStyle w:val="CharCharCharCharChar"/>
              <w:rPr>
                <w:b/>
                <w:bCs/>
                <w:color w:val="auto"/>
              </w:rPr>
            </w:pPr>
            <w:r w:rsidRPr="000549B1">
              <w:rPr>
                <w:b/>
                <w:bCs/>
                <w:color w:val="auto"/>
              </w:rPr>
              <w:t>区域</w:t>
            </w:r>
          </w:p>
        </w:tc>
        <w:tc>
          <w:tcPr>
            <w:tcW w:w="0" w:type="auto"/>
            <w:tcMar>
              <w:top w:w="150" w:type="dxa"/>
              <w:left w:w="240" w:type="dxa"/>
              <w:bottom w:w="150" w:type="dxa"/>
              <w:right w:w="240" w:type="dxa"/>
            </w:tcMar>
            <w:vAlign w:val="center"/>
          </w:tcPr>
          <w:p w14:paraId="5F4A4CD8" w14:textId="77777777" w:rsidR="00054437" w:rsidRPr="000549B1" w:rsidRDefault="00000000">
            <w:pPr>
              <w:pStyle w:val="CharCharCharCharChar"/>
              <w:rPr>
                <w:b/>
                <w:bCs/>
                <w:color w:val="auto"/>
              </w:rPr>
            </w:pPr>
            <w:r w:rsidRPr="000549B1">
              <w:rPr>
                <w:b/>
                <w:bCs/>
                <w:color w:val="auto"/>
              </w:rPr>
              <w:t>防治类型</w:t>
            </w:r>
          </w:p>
        </w:tc>
        <w:tc>
          <w:tcPr>
            <w:tcW w:w="0" w:type="auto"/>
            <w:tcMar>
              <w:top w:w="150" w:type="dxa"/>
              <w:left w:w="240" w:type="dxa"/>
              <w:bottom w:w="150" w:type="dxa"/>
              <w:right w:w="240" w:type="dxa"/>
            </w:tcMar>
            <w:vAlign w:val="center"/>
          </w:tcPr>
          <w:p w14:paraId="4072F3EE" w14:textId="77777777" w:rsidR="00054437" w:rsidRPr="000549B1" w:rsidRDefault="00000000">
            <w:pPr>
              <w:pStyle w:val="CharCharCharCharChar"/>
              <w:rPr>
                <w:b/>
                <w:bCs/>
                <w:color w:val="auto"/>
              </w:rPr>
            </w:pPr>
            <w:r w:rsidRPr="000549B1">
              <w:rPr>
                <w:b/>
                <w:bCs/>
                <w:color w:val="auto"/>
              </w:rPr>
              <w:t>规划防治规模</w:t>
            </w:r>
            <w:r w:rsidRPr="000549B1">
              <w:rPr>
                <w:b/>
                <w:bCs/>
                <w:color w:val="auto"/>
              </w:rPr>
              <w:t>(km²)</w:t>
            </w:r>
          </w:p>
        </w:tc>
      </w:tr>
      <w:tr w:rsidR="000549B1" w:rsidRPr="000549B1" w14:paraId="10DE907B" w14:textId="77777777">
        <w:trPr>
          <w:trHeight w:val="459"/>
        </w:trPr>
        <w:tc>
          <w:tcPr>
            <w:tcW w:w="0" w:type="auto"/>
            <w:vMerge w:val="restart"/>
            <w:tcMar>
              <w:top w:w="150" w:type="dxa"/>
              <w:left w:w="0" w:type="dxa"/>
              <w:bottom w:w="150" w:type="dxa"/>
              <w:right w:w="240" w:type="dxa"/>
            </w:tcMar>
            <w:vAlign w:val="center"/>
          </w:tcPr>
          <w:p w14:paraId="70BF1FC2" w14:textId="77777777" w:rsidR="00054437" w:rsidRPr="000549B1" w:rsidRDefault="00000000">
            <w:pPr>
              <w:pStyle w:val="CharCharCharCharChar"/>
              <w:rPr>
                <w:color w:val="auto"/>
              </w:rPr>
            </w:pPr>
            <w:r w:rsidRPr="000549B1">
              <w:rPr>
                <w:color w:val="auto"/>
              </w:rPr>
              <w:t>沙珠玉河流域</w:t>
            </w:r>
          </w:p>
        </w:tc>
        <w:tc>
          <w:tcPr>
            <w:tcW w:w="0" w:type="auto"/>
            <w:tcMar>
              <w:top w:w="150" w:type="dxa"/>
              <w:left w:w="240" w:type="dxa"/>
              <w:bottom w:w="150" w:type="dxa"/>
              <w:right w:w="240" w:type="dxa"/>
            </w:tcMar>
            <w:vAlign w:val="center"/>
          </w:tcPr>
          <w:p w14:paraId="6F324EB5" w14:textId="77777777" w:rsidR="00054437" w:rsidRPr="000549B1" w:rsidRDefault="00000000">
            <w:pPr>
              <w:pStyle w:val="CharCharCharCharChar"/>
              <w:rPr>
                <w:color w:val="auto"/>
              </w:rPr>
            </w:pPr>
            <w:r w:rsidRPr="000549B1">
              <w:rPr>
                <w:color w:val="auto"/>
              </w:rPr>
              <w:t>综合防治总面积</w:t>
            </w:r>
          </w:p>
        </w:tc>
        <w:tc>
          <w:tcPr>
            <w:tcW w:w="0" w:type="auto"/>
            <w:tcMar>
              <w:top w:w="150" w:type="dxa"/>
              <w:left w:w="240" w:type="dxa"/>
              <w:bottom w:w="150" w:type="dxa"/>
              <w:right w:w="0" w:type="dxa"/>
            </w:tcMar>
            <w:vAlign w:val="center"/>
          </w:tcPr>
          <w:p w14:paraId="7802720F" w14:textId="7DC1793D" w:rsidR="00054437" w:rsidRPr="000549B1" w:rsidRDefault="005E0378">
            <w:pPr>
              <w:pStyle w:val="CharCharCharCharChar"/>
              <w:rPr>
                <w:color w:val="auto"/>
              </w:rPr>
            </w:pPr>
            <w:r w:rsidRPr="000549B1">
              <w:rPr>
                <w:b/>
                <w:color w:val="auto"/>
              </w:rPr>
              <w:t>860.4</w:t>
            </w:r>
            <w:r w:rsidRPr="000549B1">
              <w:rPr>
                <w:rFonts w:hint="eastAsia"/>
                <w:b/>
                <w:color w:val="auto"/>
              </w:rPr>
              <w:t>0</w:t>
            </w:r>
          </w:p>
        </w:tc>
      </w:tr>
      <w:tr w:rsidR="000549B1" w:rsidRPr="000549B1" w14:paraId="7CF0A541" w14:textId="77777777">
        <w:trPr>
          <w:trHeight w:val="459"/>
        </w:trPr>
        <w:tc>
          <w:tcPr>
            <w:tcW w:w="0" w:type="auto"/>
            <w:vMerge/>
            <w:tcMar>
              <w:top w:w="150" w:type="dxa"/>
              <w:left w:w="0" w:type="dxa"/>
              <w:bottom w:w="150" w:type="dxa"/>
              <w:right w:w="240" w:type="dxa"/>
            </w:tcMar>
            <w:vAlign w:val="center"/>
          </w:tcPr>
          <w:p w14:paraId="455968DE" w14:textId="77777777" w:rsidR="00054437" w:rsidRPr="000549B1" w:rsidRDefault="00054437">
            <w:pPr>
              <w:pStyle w:val="CharCharCharCharChar"/>
              <w:rPr>
                <w:color w:val="auto"/>
              </w:rPr>
            </w:pPr>
          </w:p>
        </w:tc>
        <w:tc>
          <w:tcPr>
            <w:tcW w:w="0" w:type="auto"/>
            <w:tcMar>
              <w:top w:w="150" w:type="dxa"/>
              <w:left w:w="240" w:type="dxa"/>
              <w:bottom w:w="150" w:type="dxa"/>
              <w:right w:w="240" w:type="dxa"/>
            </w:tcMar>
            <w:vAlign w:val="center"/>
          </w:tcPr>
          <w:p w14:paraId="1218F09B" w14:textId="77777777" w:rsidR="00054437" w:rsidRPr="000549B1" w:rsidRDefault="00000000">
            <w:pPr>
              <w:pStyle w:val="CharCharCharCharChar"/>
              <w:rPr>
                <w:color w:val="auto"/>
              </w:rPr>
            </w:pPr>
            <w:r w:rsidRPr="000549B1">
              <w:rPr>
                <w:color w:val="auto"/>
              </w:rPr>
              <w:t>预防保护面积</w:t>
            </w:r>
          </w:p>
        </w:tc>
        <w:tc>
          <w:tcPr>
            <w:tcW w:w="0" w:type="auto"/>
            <w:tcMar>
              <w:top w:w="150" w:type="dxa"/>
              <w:left w:w="240" w:type="dxa"/>
              <w:bottom w:w="150" w:type="dxa"/>
              <w:right w:w="0" w:type="dxa"/>
            </w:tcMar>
            <w:vAlign w:val="center"/>
          </w:tcPr>
          <w:p w14:paraId="61D3299F" w14:textId="025521C2" w:rsidR="00054437" w:rsidRPr="000549B1" w:rsidRDefault="005E0378">
            <w:pPr>
              <w:pStyle w:val="CharCharCharCharChar"/>
              <w:rPr>
                <w:color w:val="auto"/>
              </w:rPr>
            </w:pPr>
            <w:r w:rsidRPr="000549B1">
              <w:rPr>
                <w:b/>
                <w:color w:val="auto"/>
              </w:rPr>
              <w:t>473.22</w:t>
            </w:r>
          </w:p>
        </w:tc>
      </w:tr>
      <w:tr w:rsidR="000549B1" w:rsidRPr="000549B1" w14:paraId="5CAFD932" w14:textId="77777777">
        <w:trPr>
          <w:trHeight w:val="459"/>
        </w:trPr>
        <w:tc>
          <w:tcPr>
            <w:tcW w:w="0" w:type="auto"/>
            <w:vMerge/>
            <w:tcMar>
              <w:top w:w="150" w:type="dxa"/>
              <w:left w:w="0" w:type="dxa"/>
              <w:bottom w:w="150" w:type="dxa"/>
              <w:right w:w="240" w:type="dxa"/>
            </w:tcMar>
            <w:vAlign w:val="center"/>
          </w:tcPr>
          <w:p w14:paraId="3700AF6A" w14:textId="77777777" w:rsidR="00054437" w:rsidRPr="000549B1" w:rsidRDefault="00054437">
            <w:pPr>
              <w:pStyle w:val="CharCharCharCharChar"/>
              <w:rPr>
                <w:color w:val="auto"/>
              </w:rPr>
            </w:pPr>
          </w:p>
        </w:tc>
        <w:tc>
          <w:tcPr>
            <w:tcW w:w="0" w:type="auto"/>
            <w:tcMar>
              <w:top w:w="150" w:type="dxa"/>
              <w:left w:w="240" w:type="dxa"/>
              <w:bottom w:w="150" w:type="dxa"/>
              <w:right w:w="240" w:type="dxa"/>
            </w:tcMar>
            <w:vAlign w:val="center"/>
          </w:tcPr>
          <w:p w14:paraId="305658A4" w14:textId="77777777" w:rsidR="00054437" w:rsidRPr="000549B1" w:rsidRDefault="00000000">
            <w:pPr>
              <w:pStyle w:val="CharCharCharCharChar"/>
              <w:rPr>
                <w:color w:val="auto"/>
              </w:rPr>
            </w:pPr>
            <w:r w:rsidRPr="000549B1">
              <w:rPr>
                <w:color w:val="auto"/>
              </w:rPr>
              <w:t>综合治理面积</w:t>
            </w:r>
          </w:p>
        </w:tc>
        <w:tc>
          <w:tcPr>
            <w:tcW w:w="0" w:type="auto"/>
            <w:tcMar>
              <w:top w:w="150" w:type="dxa"/>
              <w:left w:w="240" w:type="dxa"/>
              <w:bottom w:w="150" w:type="dxa"/>
              <w:right w:w="0" w:type="dxa"/>
            </w:tcMar>
            <w:vAlign w:val="center"/>
          </w:tcPr>
          <w:p w14:paraId="7B934AF7" w14:textId="16FCC80D" w:rsidR="00054437" w:rsidRPr="000549B1" w:rsidRDefault="005E0378">
            <w:pPr>
              <w:pStyle w:val="CharCharCharCharChar"/>
              <w:rPr>
                <w:color w:val="auto"/>
              </w:rPr>
            </w:pPr>
            <w:r w:rsidRPr="000549B1">
              <w:rPr>
                <w:b/>
                <w:bCs/>
                <w:color w:val="auto"/>
              </w:rPr>
              <w:t>387.18</w:t>
            </w:r>
          </w:p>
        </w:tc>
      </w:tr>
    </w:tbl>
    <w:p w14:paraId="26E8F575" w14:textId="36810C0F" w:rsidR="00054437" w:rsidRPr="000549B1" w:rsidRDefault="00FF5F6B" w:rsidP="000549B1">
      <w:pPr>
        <w:pStyle w:val="x"/>
      </w:pPr>
      <w:r w:rsidRPr="000549B1">
        <w:rPr>
          <w:rFonts w:hint="eastAsia"/>
        </w:rPr>
        <w:t>（</w:t>
      </w:r>
      <w:r w:rsidRPr="000549B1">
        <w:rPr>
          <w:rFonts w:hint="eastAsia"/>
        </w:rPr>
        <w:t>2</w:t>
      </w:r>
      <w:r w:rsidRPr="000549B1">
        <w:rPr>
          <w:rFonts w:hint="eastAsia"/>
        </w:rPr>
        <w:t>）</w:t>
      </w:r>
      <w:r w:rsidRPr="000549B1">
        <w:t>总体布局</w:t>
      </w:r>
    </w:p>
    <w:p w14:paraId="1A8110A7" w14:textId="77777777" w:rsidR="00054437" w:rsidRDefault="00000000">
      <w:pPr>
        <w:pStyle w:val="x"/>
      </w:pPr>
      <w:r w:rsidRPr="000549B1">
        <w:t>结合上位规划要求与流域特性，本次规划沙珠玉河流域整体为</w:t>
      </w:r>
      <w:r w:rsidRPr="000549B1">
        <w:rPr>
          <w:bCs/>
        </w:rPr>
        <w:t>风蚀水蚀防风固沙蓄水保土区</w:t>
      </w:r>
      <w:r w:rsidRPr="000549B1">
        <w:t>。规划坚持</w:t>
      </w:r>
      <w:r w:rsidRPr="000549B1">
        <w:rPr>
          <w:rFonts w:ascii="宋体" w:hAnsi="宋体"/>
        </w:rPr>
        <w:t>“</w:t>
      </w:r>
      <w:r w:rsidRPr="000549B1">
        <w:t>预防为主、保护优先</w:t>
      </w:r>
      <w:r w:rsidRPr="000549B1">
        <w:rPr>
          <w:rFonts w:ascii="宋体" w:hAnsi="宋体"/>
        </w:rPr>
        <w:t>”</w:t>
      </w:r>
      <w:r w:rsidRPr="000549B1">
        <w:t>和</w:t>
      </w:r>
      <w:r w:rsidRPr="000549B1">
        <w:rPr>
          <w:rFonts w:ascii="宋体" w:hAnsi="宋体"/>
        </w:rPr>
        <w:t>“</w:t>
      </w:r>
      <w:r w:rsidRPr="000549B1">
        <w:t>因地制宜、综合治理</w:t>
      </w:r>
      <w:r w:rsidRPr="000549B1">
        <w:rPr>
          <w:rFonts w:ascii="宋体" w:hAnsi="宋体"/>
        </w:rPr>
        <w:t>”</w:t>
      </w:r>
      <w:r w:rsidRPr="000549B1">
        <w:t>的原则，实施分区防治战略，统筹协调与天然林保护、退耕还林还草、土地整治、乡村振兴等相关工作，提出流域水土保持总体布局。</w:t>
      </w:r>
    </w:p>
    <w:p w14:paraId="48CCEF94" w14:textId="77777777" w:rsidR="00F1314B" w:rsidRDefault="00F1314B">
      <w:pPr>
        <w:pStyle w:val="x"/>
      </w:pPr>
    </w:p>
    <w:p w14:paraId="11EE692F" w14:textId="77777777" w:rsidR="00F1314B" w:rsidRPr="000549B1" w:rsidRDefault="00F1314B">
      <w:pPr>
        <w:pStyle w:val="x"/>
      </w:pPr>
    </w:p>
    <w:p w14:paraId="1D9F717B" w14:textId="7B656893" w:rsidR="00054437" w:rsidRPr="000549B1" w:rsidRDefault="00000000">
      <w:pPr>
        <w:pStyle w:val="aff8"/>
        <w:rPr>
          <w:color w:val="auto"/>
        </w:rPr>
      </w:pPr>
      <w:r w:rsidRPr="000549B1">
        <w:rPr>
          <w:color w:val="auto"/>
        </w:rPr>
        <w:t>表</w:t>
      </w:r>
      <w:r w:rsidR="00372953">
        <w:rPr>
          <w:color w:val="auto"/>
        </w:rPr>
        <w:fldChar w:fldCharType="begin"/>
      </w:r>
      <w:r w:rsidR="00372953">
        <w:rPr>
          <w:color w:val="auto"/>
        </w:rPr>
        <w:instrText xml:space="preserve"> STYLEREF 2 \s </w:instrText>
      </w:r>
      <w:r w:rsidR="00372953">
        <w:rPr>
          <w:color w:val="auto"/>
        </w:rPr>
        <w:fldChar w:fldCharType="separate"/>
      </w:r>
      <w:r w:rsidR="00372953">
        <w:rPr>
          <w:noProof/>
          <w:color w:val="auto"/>
        </w:rPr>
        <w:t>2.1</w:t>
      </w:r>
      <w:r w:rsidR="00372953">
        <w:rPr>
          <w:color w:val="auto"/>
        </w:rPr>
        <w:fldChar w:fldCharType="end"/>
      </w:r>
      <w:r w:rsidR="00372953">
        <w:rPr>
          <w:color w:val="auto"/>
        </w:rPr>
        <w:noBreakHyphen/>
      </w:r>
      <w:r w:rsidR="00372953">
        <w:rPr>
          <w:color w:val="auto"/>
        </w:rPr>
        <w:fldChar w:fldCharType="begin"/>
      </w:r>
      <w:r w:rsidR="00372953">
        <w:rPr>
          <w:color w:val="auto"/>
        </w:rPr>
        <w:instrText xml:space="preserve"> SEQ </w:instrText>
      </w:r>
      <w:r w:rsidR="00372953">
        <w:rPr>
          <w:color w:val="auto"/>
        </w:rPr>
        <w:instrText>表</w:instrText>
      </w:r>
      <w:r w:rsidR="00372953">
        <w:rPr>
          <w:color w:val="auto"/>
        </w:rPr>
        <w:instrText xml:space="preserve"> \* ARABIC \s 2 </w:instrText>
      </w:r>
      <w:r w:rsidR="00372953">
        <w:rPr>
          <w:color w:val="auto"/>
        </w:rPr>
        <w:fldChar w:fldCharType="separate"/>
      </w:r>
      <w:r w:rsidR="00372953">
        <w:rPr>
          <w:noProof/>
          <w:color w:val="auto"/>
        </w:rPr>
        <w:t>4</w:t>
      </w:r>
      <w:r w:rsidR="00372953">
        <w:rPr>
          <w:color w:val="auto"/>
        </w:rPr>
        <w:fldChar w:fldCharType="end"/>
      </w:r>
      <w:r w:rsidRPr="000549B1">
        <w:rPr>
          <w:color w:val="auto"/>
        </w:rPr>
        <w:t>沙珠玉河流域水土保持分区防治布局</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53"/>
        <w:gridCol w:w="1510"/>
        <w:gridCol w:w="6804"/>
      </w:tblGrid>
      <w:tr w:rsidR="000549B1" w:rsidRPr="000549B1" w14:paraId="35CE6EA1" w14:textId="77777777">
        <w:trPr>
          <w:trHeight w:val="655"/>
          <w:tblHeader/>
          <w:jc w:val="center"/>
        </w:trPr>
        <w:tc>
          <w:tcPr>
            <w:tcW w:w="753" w:type="dxa"/>
            <w:tcMar>
              <w:top w:w="150" w:type="dxa"/>
              <w:left w:w="0" w:type="dxa"/>
              <w:bottom w:w="150" w:type="dxa"/>
              <w:right w:w="240" w:type="dxa"/>
            </w:tcMar>
            <w:vAlign w:val="center"/>
          </w:tcPr>
          <w:p w14:paraId="08D13AB4" w14:textId="77777777" w:rsidR="00054437" w:rsidRPr="000549B1" w:rsidRDefault="00000000">
            <w:pPr>
              <w:pStyle w:val="CharCharCharCharChar"/>
              <w:rPr>
                <w:b/>
                <w:bCs/>
                <w:color w:val="auto"/>
              </w:rPr>
            </w:pPr>
            <w:r w:rsidRPr="000549B1">
              <w:rPr>
                <w:b/>
                <w:bCs/>
                <w:color w:val="auto"/>
              </w:rPr>
              <w:t>区域类型</w:t>
            </w:r>
          </w:p>
        </w:tc>
        <w:tc>
          <w:tcPr>
            <w:tcW w:w="1510" w:type="dxa"/>
            <w:tcMar>
              <w:top w:w="150" w:type="dxa"/>
              <w:left w:w="240" w:type="dxa"/>
              <w:bottom w:w="150" w:type="dxa"/>
              <w:right w:w="240" w:type="dxa"/>
            </w:tcMar>
            <w:vAlign w:val="center"/>
          </w:tcPr>
          <w:p w14:paraId="5DC5B5A6" w14:textId="77777777" w:rsidR="00054437" w:rsidRPr="000549B1" w:rsidRDefault="00000000">
            <w:pPr>
              <w:pStyle w:val="CharCharCharCharChar"/>
              <w:rPr>
                <w:b/>
                <w:bCs/>
                <w:color w:val="auto"/>
              </w:rPr>
            </w:pPr>
            <w:r w:rsidRPr="000549B1">
              <w:rPr>
                <w:b/>
                <w:bCs/>
                <w:color w:val="auto"/>
              </w:rPr>
              <w:t>分区名称</w:t>
            </w:r>
            <w:r w:rsidRPr="000549B1">
              <w:rPr>
                <w:b/>
                <w:bCs/>
                <w:color w:val="auto"/>
              </w:rPr>
              <w:t>/</w:t>
            </w:r>
            <w:r w:rsidRPr="000549B1">
              <w:rPr>
                <w:b/>
                <w:bCs/>
                <w:color w:val="auto"/>
              </w:rPr>
              <w:t>涉及乡镇</w:t>
            </w:r>
          </w:p>
        </w:tc>
        <w:tc>
          <w:tcPr>
            <w:tcW w:w="6804" w:type="dxa"/>
            <w:tcMar>
              <w:top w:w="150" w:type="dxa"/>
              <w:left w:w="240" w:type="dxa"/>
              <w:bottom w:w="150" w:type="dxa"/>
              <w:right w:w="240" w:type="dxa"/>
            </w:tcMar>
            <w:vAlign w:val="center"/>
          </w:tcPr>
          <w:p w14:paraId="04D68C3B" w14:textId="77777777" w:rsidR="00054437" w:rsidRPr="000549B1" w:rsidRDefault="00000000">
            <w:pPr>
              <w:pStyle w:val="CharCharCharCharChar"/>
              <w:rPr>
                <w:b/>
                <w:bCs/>
                <w:color w:val="auto"/>
              </w:rPr>
            </w:pPr>
            <w:r w:rsidRPr="000549B1">
              <w:rPr>
                <w:b/>
                <w:bCs/>
                <w:color w:val="auto"/>
              </w:rPr>
              <w:t>防治布局</w:t>
            </w:r>
          </w:p>
        </w:tc>
      </w:tr>
      <w:tr w:rsidR="000549B1" w:rsidRPr="000549B1" w14:paraId="6D94B8ED" w14:textId="77777777">
        <w:trPr>
          <w:trHeight w:val="140"/>
          <w:jc w:val="center"/>
        </w:trPr>
        <w:tc>
          <w:tcPr>
            <w:tcW w:w="753" w:type="dxa"/>
            <w:tcMar>
              <w:top w:w="150" w:type="dxa"/>
              <w:left w:w="0" w:type="dxa"/>
              <w:bottom w:w="150" w:type="dxa"/>
              <w:right w:w="240" w:type="dxa"/>
            </w:tcMar>
            <w:vAlign w:val="center"/>
          </w:tcPr>
          <w:p w14:paraId="4B76DCFF" w14:textId="77777777" w:rsidR="00054437" w:rsidRPr="000549B1" w:rsidRDefault="00000000">
            <w:pPr>
              <w:pStyle w:val="CharCharCharCharChar"/>
              <w:rPr>
                <w:color w:val="auto"/>
              </w:rPr>
            </w:pPr>
            <w:r w:rsidRPr="000549B1">
              <w:rPr>
                <w:bCs/>
                <w:color w:val="auto"/>
              </w:rPr>
              <w:t>重点预防区</w:t>
            </w:r>
          </w:p>
        </w:tc>
        <w:tc>
          <w:tcPr>
            <w:tcW w:w="1510" w:type="dxa"/>
            <w:tcMar>
              <w:top w:w="150" w:type="dxa"/>
              <w:left w:w="240" w:type="dxa"/>
              <w:bottom w:w="150" w:type="dxa"/>
              <w:right w:w="240" w:type="dxa"/>
            </w:tcMar>
            <w:vAlign w:val="center"/>
          </w:tcPr>
          <w:p w14:paraId="2A08F98E" w14:textId="77777777" w:rsidR="00054437" w:rsidRPr="000549B1" w:rsidRDefault="00000000">
            <w:pPr>
              <w:pStyle w:val="CharCharCharCharChar"/>
              <w:rPr>
                <w:color w:val="auto"/>
              </w:rPr>
            </w:pPr>
            <w:r w:rsidRPr="000549B1">
              <w:rPr>
                <w:bCs/>
                <w:color w:val="auto"/>
              </w:rPr>
              <w:t>石乃亥镇、黑马河镇、廿地乡、切吉乡、河卡镇</w:t>
            </w:r>
          </w:p>
        </w:tc>
        <w:tc>
          <w:tcPr>
            <w:tcW w:w="6804" w:type="dxa"/>
            <w:tcMar>
              <w:top w:w="150" w:type="dxa"/>
              <w:left w:w="240" w:type="dxa"/>
              <w:bottom w:w="150" w:type="dxa"/>
              <w:right w:w="0" w:type="dxa"/>
            </w:tcMar>
            <w:vAlign w:val="center"/>
          </w:tcPr>
          <w:p w14:paraId="6F459A51" w14:textId="77777777" w:rsidR="00054437" w:rsidRPr="000549B1" w:rsidRDefault="00000000">
            <w:pPr>
              <w:pStyle w:val="CharCharCharCharChar"/>
              <w:rPr>
                <w:color w:val="auto"/>
              </w:rPr>
            </w:pPr>
            <w:r w:rsidRPr="000549B1">
              <w:rPr>
                <w:color w:val="auto"/>
              </w:rPr>
              <w:t>水土保持主导基础功能为</w:t>
            </w:r>
            <w:r w:rsidRPr="000549B1">
              <w:rPr>
                <w:bCs/>
                <w:color w:val="auto"/>
              </w:rPr>
              <w:t>生态维护和水源涵养</w:t>
            </w:r>
            <w:r w:rsidRPr="000549B1">
              <w:rPr>
                <w:color w:val="auto"/>
              </w:rPr>
              <w:t>。该区植被覆盖度相对较高，但生态环境脆弱，潜在危险较大。水土保持重点是</w:t>
            </w:r>
            <w:r w:rsidRPr="000549B1">
              <w:rPr>
                <w:bCs/>
                <w:color w:val="auto"/>
              </w:rPr>
              <w:t>涵养水源、维护生态稳定</w:t>
            </w:r>
            <w:r w:rsidRPr="000549B1">
              <w:rPr>
                <w:color w:val="auto"/>
              </w:rPr>
              <w:t>。</w:t>
            </w:r>
          </w:p>
          <w:p w14:paraId="355A8B09" w14:textId="7CC0BDCD" w:rsidR="00054437" w:rsidRPr="000549B1" w:rsidRDefault="00000000">
            <w:pPr>
              <w:pStyle w:val="CharCharCharCharChar"/>
              <w:rPr>
                <w:color w:val="auto"/>
              </w:rPr>
            </w:pPr>
            <w:r w:rsidRPr="000549B1">
              <w:rPr>
                <w:color w:val="auto"/>
              </w:rPr>
              <w:t>主要防治措施布局：采取封育保护、生态修复等措施实施重点保护，巩固现有林草植被，防止人为破坏。通过设立封禁标志、建立管护制度、实施封山育林育草、对稀疏林地和退化草地进行补植补种，进一步提高林草植被的蓄水保土、涵养水源等生态功能</w:t>
            </w:r>
          </w:p>
        </w:tc>
      </w:tr>
      <w:tr w:rsidR="000549B1" w:rsidRPr="000549B1" w14:paraId="2558D3E6" w14:textId="77777777">
        <w:trPr>
          <w:trHeight w:val="4301"/>
          <w:jc w:val="center"/>
        </w:trPr>
        <w:tc>
          <w:tcPr>
            <w:tcW w:w="753" w:type="dxa"/>
            <w:tcMar>
              <w:top w:w="150" w:type="dxa"/>
              <w:left w:w="0" w:type="dxa"/>
              <w:bottom w:w="150" w:type="dxa"/>
              <w:right w:w="240" w:type="dxa"/>
            </w:tcMar>
            <w:vAlign w:val="center"/>
          </w:tcPr>
          <w:p w14:paraId="7D874212" w14:textId="77777777" w:rsidR="00054437" w:rsidRPr="000549B1" w:rsidRDefault="00000000">
            <w:pPr>
              <w:pStyle w:val="CharCharCharCharChar"/>
              <w:rPr>
                <w:color w:val="auto"/>
              </w:rPr>
            </w:pPr>
            <w:r w:rsidRPr="000549B1">
              <w:rPr>
                <w:bCs/>
                <w:color w:val="auto"/>
              </w:rPr>
              <w:t>重点治理区</w:t>
            </w:r>
          </w:p>
        </w:tc>
        <w:tc>
          <w:tcPr>
            <w:tcW w:w="1510" w:type="dxa"/>
            <w:tcMar>
              <w:top w:w="150" w:type="dxa"/>
              <w:left w:w="240" w:type="dxa"/>
              <w:bottom w:w="150" w:type="dxa"/>
              <w:right w:w="240" w:type="dxa"/>
            </w:tcMar>
            <w:vAlign w:val="center"/>
          </w:tcPr>
          <w:p w14:paraId="48FEB4FC" w14:textId="77777777" w:rsidR="00054437" w:rsidRPr="000549B1" w:rsidRDefault="00000000">
            <w:pPr>
              <w:pStyle w:val="CharCharCharCharChar"/>
              <w:rPr>
                <w:color w:val="auto"/>
              </w:rPr>
            </w:pPr>
            <w:r w:rsidRPr="000549B1">
              <w:rPr>
                <w:bCs/>
                <w:color w:val="auto"/>
              </w:rPr>
              <w:t>沙珠玉乡、塘格木镇、切吉乡</w:t>
            </w:r>
          </w:p>
        </w:tc>
        <w:tc>
          <w:tcPr>
            <w:tcW w:w="6804" w:type="dxa"/>
            <w:tcMar>
              <w:top w:w="150" w:type="dxa"/>
              <w:left w:w="240" w:type="dxa"/>
              <w:bottom w:w="150" w:type="dxa"/>
              <w:right w:w="0" w:type="dxa"/>
            </w:tcMar>
            <w:vAlign w:val="center"/>
          </w:tcPr>
          <w:p w14:paraId="0A205DE9" w14:textId="77777777" w:rsidR="00054437" w:rsidRPr="000549B1" w:rsidRDefault="00000000">
            <w:pPr>
              <w:pStyle w:val="CharCharCharCharChar"/>
              <w:rPr>
                <w:color w:val="auto"/>
              </w:rPr>
            </w:pPr>
            <w:r w:rsidRPr="000549B1">
              <w:rPr>
                <w:color w:val="auto"/>
              </w:rPr>
              <w:t>水土保持主导基础功能为</w:t>
            </w:r>
            <w:r w:rsidRPr="000549B1">
              <w:rPr>
                <w:bCs/>
                <w:color w:val="auto"/>
              </w:rPr>
              <w:t>农田防护、防风固沙</w:t>
            </w:r>
            <w:r w:rsidRPr="000549B1">
              <w:rPr>
                <w:color w:val="auto"/>
              </w:rPr>
              <w:t>。该区土壤沙漠化严重，水土资源流失较多，土地生产力下降，是治理的迫切区域。</w:t>
            </w:r>
          </w:p>
          <w:p w14:paraId="55F77D19" w14:textId="77777777" w:rsidR="00054437" w:rsidRPr="000549B1" w:rsidRDefault="00000000">
            <w:pPr>
              <w:pStyle w:val="CharCharCharCharChar"/>
              <w:rPr>
                <w:color w:val="auto"/>
              </w:rPr>
            </w:pPr>
            <w:r w:rsidRPr="000549B1">
              <w:rPr>
                <w:bCs/>
                <w:color w:val="auto"/>
              </w:rPr>
              <w:t>主要防治措施布局</w:t>
            </w:r>
            <w:r w:rsidRPr="000549B1">
              <w:rPr>
                <w:color w:val="auto"/>
              </w:rPr>
              <w:t>：以</w:t>
            </w:r>
            <w:r w:rsidRPr="000549B1">
              <w:rPr>
                <w:bCs/>
                <w:color w:val="auto"/>
              </w:rPr>
              <w:t>人工治理措施</w:t>
            </w:r>
            <w:r w:rsidRPr="000549B1">
              <w:rPr>
                <w:color w:val="auto"/>
              </w:rPr>
              <w:t>为主，恢复水土保持功能。</w:t>
            </w:r>
          </w:p>
          <w:p w14:paraId="7E7867A2" w14:textId="77777777" w:rsidR="00054437" w:rsidRPr="000549B1" w:rsidRDefault="00000000">
            <w:pPr>
              <w:pStyle w:val="CharCharCharCharChar"/>
              <w:rPr>
                <w:color w:val="auto"/>
              </w:rPr>
            </w:pPr>
            <w:r w:rsidRPr="000549B1">
              <w:rPr>
                <w:bCs/>
                <w:color w:val="auto"/>
              </w:rPr>
              <w:t>一是</w:t>
            </w:r>
            <w:r w:rsidRPr="000549B1">
              <w:rPr>
                <w:color w:val="auto"/>
              </w:rPr>
              <w:t>对人为扰动频繁、土地沙化严重的风蚀区域进行大面积封禁治理，并采取</w:t>
            </w:r>
            <w:r w:rsidRPr="000549B1">
              <w:rPr>
                <w:bCs/>
                <w:color w:val="auto"/>
              </w:rPr>
              <w:t>工程固沙与生物固沙相结合</w:t>
            </w:r>
            <w:r w:rsidRPr="000549B1">
              <w:rPr>
                <w:color w:val="auto"/>
              </w:rPr>
              <w:t>的措施，包括设置沙障、营造防风固沙林带，补播牧草，提高地表植被盖度。</w:t>
            </w:r>
          </w:p>
          <w:p w14:paraId="083C25E8" w14:textId="77777777" w:rsidR="00054437" w:rsidRPr="000549B1" w:rsidRDefault="00000000">
            <w:pPr>
              <w:pStyle w:val="CharCharCharCharChar"/>
              <w:rPr>
                <w:color w:val="auto"/>
              </w:rPr>
            </w:pPr>
            <w:r w:rsidRPr="000549B1">
              <w:rPr>
                <w:bCs/>
                <w:color w:val="auto"/>
              </w:rPr>
              <w:t>二是</w:t>
            </w:r>
            <w:r w:rsidRPr="000549B1">
              <w:rPr>
                <w:color w:val="auto"/>
              </w:rPr>
              <w:t>以</w:t>
            </w:r>
            <w:r w:rsidRPr="000549B1">
              <w:rPr>
                <w:bCs/>
                <w:color w:val="auto"/>
              </w:rPr>
              <w:t>小流域为单元</w:t>
            </w:r>
            <w:r w:rsidRPr="000549B1">
              <w:rPr>
                <w:color w:val="auto"/>
              </w:rPr>
              <w:t>进行综合治理，采取</w:t>
            </w:r>
            <w:r w:rsidRPr="000549B1">
              <w:rPr>
                <w:bCs/>
                <w:color w:val="auto"/>
              </w:rPr>
              <w:t>沟头防护、谷坊</w:t>
            </w:r>
            <w:r w:rsidRPr="000549B1">
              <w:rPr>
                <w:color w:val="auto"/>
              </w:rPr>
              <w:t>等工程措施，控制沟蚀发展，减少泥沙危害。</w:t>
            </w:r>
          </w:p>
          <w:p w14:paraId="02A194E0" w14:textId="77777777" w:rsidR="00054437" w:rsidRPr="000549B1" w:rsidRDefault="00000000">
            <w:pPr>
              <w:pStyle w:val="CharCharCharCharChar"/>
              <w:rPr>
                <w:color w:val="auto"/>
              </w:rPr>
            </w:pPr>
            <w:r w:rsidRPr="000549B1">
              <w:rPr>
                <w:bCs/>
                <w:color w:val="auto"/>
              </w:rPr>
              <w:t>三是</w:t>
            </w:r>
            <w:r w:rsidRPr="000549B1">
              <w:rPr>
                <w:color w:val="auto"/>
              </w:rPr>
              <w:t>结合乡村振兴，在乡镇周边和支流沿岸实施小流域综合治理，适当提高建设标准，改善农牧民生产生活条件。</w:t>
            </w:r>
          </w:p>
          <w:p w14:paraId="6E71F88B" w14:textId="093E534B" w:rsidR="00054437" w:rsidRPr="000549B1" w:rsidRDefault="00000000">
            <w:pPr>
              <w:pStyle w:val="CharCharCharCharChar"/>
              <w:rPr>
                <w:color w:val="auto"/>
              </w:rPr>
            </w:pPr>
            <w:r w:rsidRPr="000549B1">
              <w:rPr>
                <w:bCs/>
                <w:color w:val="auto"/>
              </w:rPr>
              <w:t>四是</w:t>
            </w:r>
            <w:r w:rsidRPr="000549B1">
              <w:rPr>
                <w:color w:val="auto"/>
              </w:rPr>
              <w:t>加强生产建设项目水土流失的监管与治理，控制人为新增水土流失</w:t>
            </w:r>
          </w:p>
        </w:tc>
      </w:tr>
    </w:tbl>
    <w:p w14:paraId="0C9FDFCD" w14:textId="2B484491" w:rsidR="00054437" w:rsidRPr="000549B1" w:rsidRDefault="00FF5F6B" w:rsidP="000549B1">
      <w:pPr>
        <w:pStyle w:val="x"/>
      </w:pPr>
      <w:r w:rsidRPr="000549B1">
        <w:rPr>
          <w:rFonts w:hint="eastAsia"/>
        </w:rPr>
        <w:t>①</w:t>
      </w:r>
      <w:r w:rsidRPr="000549B1">
        <w:t>防治重点</w:t>
      </w:r>
    </w:p>
    <w:p w14:paraId="365A3DCD" w14:textId="77777777" w:rsidR="00054437" w:rsidRPr="000549B1" w:rsidRDefault="00000000">
      <w:pPr>
        <w:pStyle w:val="x"/>
      </w:pPr>
      <w:r w:rsidRPr="000549B1">
        <w:t>根据《水利部办公厅关于印发〈全国水土保持规划国家级水土流失重点预防区和重点治理区复核划分成果〉的通知》（办水保〔</w:t>
      </w:r>
      <w:r w:rsidRPr="000549B1">
        <w:t>2013</w:t>
      </w:r>
      <w:r w:rsidRPr="000549B1">
        <w:t>〕</w:t>
      </w:r>
      <w:r w:rsidRPr="000549B1">
        <w:t>188</w:t>
      </w:r>
      <w:r w:rsidRPr="000549B1">
        <w:t>号），共和县属</w:t>
      </w:r>
      <w:r w:rsidRPr="000549B1">
        <w:rPr>
          <w:rStyle w:val="aff0"/>
          <w:b w:val="0"/>
          <w:bCs w:val="0"/>
        </w:rPr>
        <w:t>三江源国家级水土流失重点预防区</w:t>
      </w:r>
      <w:r w:rsidRPr="000549B1">
        <w:t>。</w:t>
      </w:r>
    </w:p>
    <w:p w14:paraId="3F01C4FA" w14:textId="6715CD11" w:rsidR="00054437" w:rsidRPr="00F1314B" w:rsidRDefault="00000000">
      <w:pPr>
        <w:pStyle w:val="x"/>
      </w:pPr>
      <w:r w:rsidRPr="000549B1">
        <w:t>依据规划目标、任务和总体布局，并遵循分区防治原则，确定沙珠玉河流域水土流失防治重点与规模。规划到</w:t>
      </w:r>
      <w:r w:rsidRPr="000549B1">
        <w:t>2035</w:t>
      </w:r>
      <w:r w:rsidRPr="000549B1">
        <w:t>年，</w:t>
      </w:r>
      <w:r w:rsidR="005E0378" w:rsidRPr="000549B1">
        <w:t>综合防治水土流失面</w:t>
      </w:r>
      <w:r w:rsidR="005E0378" w:rsidRPr="00F1314B">
        <w:t>积</w:t>
      </w:r>
      <w:r w:rsidR="005E0378" w:rsidRPr="00F1314B">
        <w:t>860.40km</w:t>
      </w:r>
      <w:r w:rsidR="005E0378" w:rsidRPr="00F1314B">
        <w:rPr>
          <w:vertAlign w:val="superscript"/>
        </w:rPr>
        <w:t>2</w:t>
      </w:r>
      <w:r w:rsidR="005E0378" w:rsidRPr="00F1314B">
        <w:t>，其中，预防保护规模</w:t>
      </w:r>
      <w:r w:rsidR="005E0378" w:rsidRPr="00F1314B">
        <w:t>473.22km</w:t>
      </w:r>
      <w:r w:rsidR="005E0378" w:rsidRPr="00F1314B">
        <w:rPr>
          <w:vertAlign w:val="superscript"/>
        </w:rPr>
        <w:t>2</w:t>
      </w:r>
      <w:r w:rsidR="005E0378" w:rsidRPr="00F1314B">
        <w:t>，综合治理规模</w:t>
      </w:r>
      <w:r w:rsidR="005E0378" w:rsidRPr="00F1314B">
        <w:t>387.18km</w:t>
      </w:r>
      <w:r w:rsidR="005E0378" w:rsidRPr="00F1314B">
        <w:rPr>
          <w:vertAlign w:val="superscript"/>
        </w:rPr>
        <w:t>2</w:t>
      </w:r>
      <w:r w:rsidR="005E0378" w:rsidRPr="00F1314B">
        <w:t>，</w:t>
      </w:r>
      <w:r w:rsidRPr="00F1314B">
        <w:t>。</w:t>
      </w:r>
    </w:p>
    <w:p w14:paraId="5140CC74" w14:textId="162041D0" w:rsidR="00054437" w:rsidRPr="000549B1" w:rsidRDefault="00FF5F6B" w:rsidP="000549B1">
      <w:pPr>
        <w:pStyle w:val="x"/>
      </w:pPr>
      <w:r w:rsidRPr="000549B1">
        <w:rPr>
          <w:rFonts w:hint="eastAsia"/>
        </w:rPr>
        <w:t>②</w:t>
      </w:r>
      <w:r w:rsidRPr="000549B1">
        <w:t>预防保护</w:t>
      </w:r>
    </w:p>
    <w:p w14:paraId="3D336913" w14:textId="77777777" w:rsidR="00054437" w:rsidRPr="000549B1" w:rsidRDefault="00000000">
      <w:pPr>
        <w:pStyle w:val="x"/>
        <w:rPr>
          <w:snapToGrid w:val="0"/>
        </w:rPr>
      </w:pPr>
      <w:r w:rsidRPr="000549B1">
        <w:rPr>
          <w:snapToGrid w:val="0"/>
        </w:rPr>
        <w:t>按照</w:t>
      </w:r>
      <w:r w:rsidRPr="000549B1">
        <w:rPr>
          <w:rFonts w:ascii="宋体" w:hAnsi="宋体"/>
          <w:snapToGrid w:val="0"/>
        </w:rPr>
        <w:t>“</w:t>
      </w:r>
      <w:r w:rsidRPr="000549B1">
        <w:rPr>
          <w:snapToGrid w:val="0"/>
        </w:rPr>
        <w:t>预防为主，保护优先</w:t>
      </w:r>
      <w:r w:rsidRPr="000549B1">
        <w:rPr>
          <w:rFonts w:ascii="宋体" w:hAnsi="宋体"/>
          <w:snapToGrid w:val="0"/>
        </w:rPr>
        <w:t>”</w:t>
      </w:r>
      <w:r w:rsidRPr="000549B1">
        <w:rPr>
          <w:snapToGrid w:val="0"/>
        </w:rPr>
        <w:t>的原则，在沙珠玉河流域所辖区域实施全面预防保护，从源头上有效控制水土流失，保护地表植被，扩大林草覆盖，恢复区域生态，促进水土资源保护和合理利用。</w:t>
      </w:r>
    </w:p>
    <w:p w14:paraId="1B8A9873" w14:textId="45D76D92" w:rsidR="00054437" w:rsidRPr="000549B1" w:rsidRDefault="00FF5F6B" w:rsidP="00FF5F6B">
      <w:pPr>
        <w:pStyle w:val="x"/>
        <w:rPr>
          <w:snapToGrid w:val="0"/>
        </w:rPr>
      </w:pPr>
      <w:r w:rsidRPr="000549B1">
        <w:rPr>
          <w:rFonts w:hint="eastAsia"/>
          <w:snapToGrid w:val="0"/>
        </w:rPr>
        <w:t>1</w:t>
      </w:r>
      <w:r w:rsidRPr="000549B1">
        <w:rPr>
          <w:rFonts w:hint="eastAsia"/>
          <w:snapToGrid w:val="0"/>
        </w:rPr>
        <w:t>）</w:t>
      </w:r>
      <w:r w:rsidRPr="000549B1">
        <w:rPr>
          <w:snapToGrid w:val="0"/>
        </w:rPr>
        <w:t>范围与对象</w:t>
      </w:r>
    </w:p>
    <w:p w14:paraId="2F073CFC" w14:textId="77777777" w:rsidR="00054437" w:rsidRPr="000549B1" w:rsidRDefault="00000000">
      <w:pPr>
        <w:pStyle w:val="x"/>
        <w:rPr>
          <w:snapToGrid w:val="0"/>
        </w:rPr>
      </w:pPr>
      <w:r w:rsidRPr="000549B1">
        <w:rPr>
          <w:snapToGrid w:val="0"/>
        </w:rPr>
        <w:t>预防范围是沙珠玉河流域。主要预防范围包括沙珠玉河源头区，水土流失严重区域，城镇饮用水水源一级和二级保护区和农村集中饮用水水源一级和二级保护区所保护的区域，城镇周边的风蚀沙丘，县级以上人民政府划定并公告的崩塌、滑坡危险区和泥石流易发区，小型侵蚀沟的沟坡和沟岸。</w:t>
      </w:r>
    </w:p>
    <w:p w14:paraId="04B05035" w14:textId="77777777" w:rsidR="00054437" w:rsidRPr="000549B1" w:rsidRDefault="00000000">
      <w:pPr>
        <w:pStyle w:val="x"/>
        <w:rPr>
          <w:snapToGrid w:val="0"/>
        </w:rPr>
      </w:pPr>
      <w:r w:rsidRPr="000549B1">
        <w:rPr>
          <w:snapToGrid w:val="0"/>
        </w:rPr>
        <w:t>预防对象主要包括天然林、郁闭度高的人工林以及覆盖度高的草场和草地；受人为破坏后难以恢复和治理地带以及水土流失严重、生态脆弱地区的植被和沙壳、结皮、地衣等地面覆盖物；侵蚀沟的沟坡和沟岸、河流的两岸以及周边的植物保护带等。</w:t>
      </w:r>
    </w:p>
    <w:p w14:paraId="08CA7AC7" w14:textId="5934F55F" w:rsidR="00054437" w:rsidRPr="000549B1" w:rsidRDefault="00000000" w:rsidP="000549B1">
      <w:pPr>
        <w:pStyle w:val="x"/>
        <w:numPr>
          <w:ilvl w:val="0"/>
          <w:numId w:val="18"/>
        </w:numPr>
        <w:rPr>
          <w:snapToGrid w:val="0"/>
        </w:rPr>
      </w:pPr>
      <w:r w:rsidRPr="000549B1">
        <w:rPr>
          <w:snapToGrid w:val="0"/>
        </w:rPr>
        <w:t>措施配置及重点预防项目</w:t>
      </w:r>
    </w:p>
    <w:p w14:paraId="5AD4D31F" w14:textId="77777777" w:rsidR="00054437" w:rsidRPr="000549B1" w:rsidRDefault="00000000">
      <w:pPr>
        <w:pStyle w:val="x"/>
        <w:rPr>
          <w:snapToGrid w:val="0"/>
        </w:rPr>
      </w:pPr>
      <w:r w:rsidRPr="000549B1">
        <w:rPr>
          <w:snapToGrid w:val="0"/>
        </w:rPr>
        <w:t>预防保护主要的措施就是封禁、修复（补植），增强蓄水保土能力，维护水土保持功能。</w:t>
      </w:r>
    </w:p>
    <w:p w14:paraId="6A2BC254" w14:textId="77777777" w:rsidR="00054437" w:rsidRPr="000549B1" w:rsidRDefault="00000000">
      <w:pPr>
        <w:pStyle w:val="x"/>
        <w:rPr>
          <w:snapToGrid w:val="0"/>
        </w:rPr>
      </w:pPr>
      <w:r w:rsidRPr="000549B1">
        <w:rPr>
          <w:snapToGrid w:val="0"/>
        </w:rPr>
        <w:t>措施配置：</w:t>
      </w:r>
    </w:p>
    <w:p w14:paraId="231490A7" w14:textId="77777777" w:rsidR="00054437" w:rsidRPr="000549B1" w:rsidRDefault="00000000">
      <w:pPr>
        <w:pStyle w:val="x"/>
        <w:rPr>
          <w:snapToGrid w:val="0"/>
        </w:rPr>
      </w:pPr>
      <w:r w:rsidRPr="000549B1">
        <w:rPr>
          <w:snapToGrid w:val="0"/>
        </w:rPr>
        <w:t>封禁：在具有自我修复能力的区域，有计划地限制人畜进入，禁止开垦、砍伐、放牧、割草，充分发挥生态系统自我修复能力。通过设立封禁标志碑、警示牌，建立封禁制度和专职管护队伍，保护和巩固治理成果。</w:t>
      </w:r>
    </w:p>
    <w:p w14:paraId="403EA0E8" w14:textId="77777777" w:rsidR="00054437" w:rsidRPr="000549B1" w:rsidRDefault="00000000">
      <w:pPr>
        <w:pStyle w:val="x"/>
        <w:rPr>
          <w:snapToGrid w:val="0"/>
        </w:rPr>
      </w:pPr>
      <w:r w:rsidRPr="000549B1">
        <w:rPr>
          <w:snapToGrid w:val="0"/>
        </w:rPr>
        <w:t>修复（补植）：对稀疏林地或严重退化的草地，选择当地适生林木或草种进行补植，加大林草覆盖率，并设置专职管护人员进行管理抚育。</w:t>
      </w:r>
    </w:p>
    <w:p w14:paraId="1BF207DB" w14:textId="77777777" w:rsidR="00054437" w:rsidRPr="000549B1" w:rsidRDefault="00000000">
      <w:pPr>
        <w:pStyle w:val="x"/>
        <w:rPr>
          <w:snapToGrid w:val="0"/>
        </w:rPr>
      </w:pPr>
      <w:r w:rsidRPr="000549B1">
        <w:rPr>
          <w:snapToGrid w:val="0"/>
        </w:rPr>
        <w:t>按照</w:t>
      </w:r>
      <w:r w:rsidRPr="000549B1">
        <w:rPr>
          <w:rFonts w:ascii="宋体" w:hAnsi="宋体"/>
          <w:snapToGrid w:val="0"/>
        </w:rPr>
        <w:t>“</w:t>
      </w:r>
      <w:r w:rsidRPr="000549B1">
        <w:rPr>
          <w:snapToGrid w:val="0"/>
        </w:rPr>
        <w:t>大封禁、小治理</w:t>
      </w:r>
      <w:r w:rsidRPr="000549B1">
        <w:rPr>
          <w:rFonts w:ascii="宋体" w:hAnsi="宋体"/>
          <w:snapToGrid w:val="0"/>
        </w:rPr>
        <w:t>”</w:t>
      </w:r>
      <w:r w:rsidRPr="000549B1">
        <w:rPr>
          <w:snapToGrid w:val="0"/>
        </w:rPr>
        <w:t>的原则，对草原植被破坏严重的地区采取封山育林、封山育草；对沙化、退化严重的草场实施生态修复；对重点牧区因地制宜开展轮封轮牧、休牧还草、推行舍饲圈养。</w:t>
      </w:r>
    </w:p>
    <w:p w14:paraId="18483B42" w14:textId="77777777" w:rsidR="00054437" w:rsidRPr="000549B1" w:rsidRDefault="00000000">
      <w:pPr>
        <w:pStyle w:val="x"/>
        <w:rPr>
          <w:snapToGrid w:val="0"/>
        </w:rPr>
      </w:pPr>
      <w:r w:rsidRPr="000549B1">
        <w:rPr>
          <w:snapToGrid w:val="0"/>
        </w:rPr>
        <w:t>规模与重点：</w:t>
      </w:r>
    </w:p>
    <w:p w14:paraId="39DC5574" w14:textId="276F15E0" w:rsidR="00054437" w:rsidRPr="00F1314B" w:rsidRDefault="00000000">
      <w:pPr>
        <w:pStyle w:val="x"/>
        <w:rPr>
          <w:snapToGrid w:val="0"/>
        </w:rPr>
      </w:pPr>
      <w:r w:rsidRPr="00F1314B">
        <w:rPr>
          <w:snapToGrid w:val="0"/>
        </w:rPr>
        <w:t>规划期内（至</w:t>
      </w:r>
      <w:r w:rsidRPr="00F1314B">
        <w:rPr>
          <w:snapToGrid w:val="0"/>
        </w:rPr>
        <w:t>2035</w:t>
      </w:r>
      <w:r w:rsidRPr="00F1314B">
        <w:rPr>
          <w:snapToGrid w:val="0"/>
        </w:rPr>
        <w:t>年）</w:t>
      </w:r>
      <w:r w:rsidR="00652349" w:rsidRPr="00F1314B">
        <w:rPr>
          <w:rFonts w:hint="eastAsia"/>
          <w:snapToGrid w:val="0"/>
        </w:rPr>
        <w:t>预防保护面积</w:t>
      </w:r>
      <w:r w:rsidR="00652349" w:rsidRPr="00F1314B">
        <w:rPr>
          <w:snapToGrid w:val="0"/>
        </w:rPr>
        <w:t>473.22km</w:t>
      </w:r>
      <w:r w:rsidR="00652349" w:rsidRPr="00F1314B">
        <w:rPr>
          <w:snapToGrid w:val="0"/>
          <w:vertAlign w:val="superscript"/>
        </w:rPr>
        <w:t>2</w:t>
      </w:r>
      <w:r w:rsidR="00652349" w:rsidRPr="00F1314B">
        <w:rPr>
          <w:rFonts w:hint="eastAsia"/>
          <w:snapToGrid w:val="0"/>
        </w:rPr>
        <w:t>，其中封禁面积</w:t>
      </w:r>
      <w:r w:rsidR="00652349" w:rsidRPr="00F1314B">
        <w:rPr>
          <w:snapToGrid w:val="0"/>
        </w:rPr>
        <w:t>418.52km</w:t>
      </w:r>
      <w:r w:rsidR="00652349" w:rsidRPr="00F1314B">
        <w:rPr>
          <w:snapToGrid w:val="0"/>
          <w:vertAlign w:val="superscript"/>
        </w:rPr>
        <w:t>2</w:t>
      </w:r>
      <w:r w:rsidR="00652349" w:rsidRPr="00F1314B">
        <w:rPr>
          <w:rFonts w:hint="eastAsia"/>
          <w:snapToGrid w:val="0"/>
        </w:rPr>
        <w:t>，修复（补植）</w:t>
      </w:r>
      <w:r w:rsidR="00652349" w:rsidRPr="00F1314B">
        <w:rPr>
          <w:snapToGrid w:val="0"/>
        </w:rPr>
        <w:t>54.70km</w:t>
      </w:r>
      <w:r w:rsidR="00652349" w:rsidRPr="00F1314B">
        <w:rPr>
          <w:snapToGrid w:val="0"/>
          <w:vertAlign w:val="superscript"/>
        </w:rPr>
        <w:t>2</w:t>
      </w:r>
      <w:r w:rsidR="00652349" w:rsidRPr="00F1314B">
        <w:rPr>
          <w:rFonts w:hint="eastAsia"/>
          <w:snapToGrid w:val="0"/>
        </w:rPr>
        <w:t>，宣传牌</w:t>
      </w:r>
      <w:r w:rsidR="00652349" w:rsidRPr="00F1314B">
        <w:rPr>
          <w:snapToGrid w:val="0"/>
        </w:rPr>
        <w:t>78</w:t>
      </w:r>
      <w:r w:rsidR="00652349" w:rsidRPr="00F1314B">
        <w:rPr>
          <w:rFonts w:hint="eastAsia"/>
          <w:snapToGrid w:val="0"/>
        </w:rPr>
        <w:t>个</w:t>
      </w:r>
      <w:r w:rsidRPr="00F1314B">
        <w:rPr>
          <w:snapToGrid w:val="0"/>
        </w:rPr>
        <w:t>。</w:t>
      </w:r>
    </w:p>
    <w:p w14:paraId="107846EE" w14:textId="77777777" w:rsidR="00054437" w:rsidRPr="000549B1" w:rsidRDefault="00000000">
      <w:pPr>
        <w:pStyle w:val="x"/>
        <w:rPr>
          <w:snapToGrid w:val="0"/>
        </w:rPr>
      </w:pPr>
      <w:r w:rsidRPr="000549B1">
        <w:rPr>
          <w:snapToGrid w:val="0"/>
        </w:rPr>
        <w:t>重点预防范围包括石乃亥镇、黑马河镇、廿地乡、切吉乡、河卡镇等水土流失重点预防区，该区植被覆盖度相对较高，但生态环境脆弱，潜在危险较大，应主要采取封育保护、生态修复等措施实施重点保护。</w:t>
      </w:r>
    </w:p>
    <w:p w14:paraId="7145D7FF" w14:textId="08648513" w:rsidR="00054437" w:rsidRDefault="00000000">
      <w:pPr>
        <w:pStyle w:val="x"/>
        <w:rPr>
          <w:snapToGrid w:val="0"/>
        </w:rPr>
      </w:pPr>
      <w:r w:rsidRPr="000549B1">
        <w:rPr>
          <w:snapToGrid w:val="0"/>
        </w:rPr>
        <w:t>重点预防保护规划重要江河源区范围及规模详见</w:t>
      </w:r>
      <w:r w:rsidR="00F32CCA" w:rsidRPr="000549B1">
        <w:t>表</w:t>
      </w:r>
      <w:r w:rsidR="00F32CCA">
        <w:t>2.1</w:t>
      </w:r>
      <w:r w:rsidR="00F32CCA">
        <w:noBreakHyphen/>
        <w:t>5</w:t>
      </w:r>
      <w:r w:rsidRPr="000549B1">
        <w:rPr>
          <w:snapToGrid w:val="0"/>
        </w:rPr>
        <w:t>。</w:t>
      </w:r>
    </w:p>
    <w:p w14:paraId="50B2C451" w14:textId="77777777" w:rsidR="00F1314B" w:rsidRPr="000549B1" w:rsidRDefault="00F1314B">
      <w:pPr>
        <w:pStyle w:val="x"/>
        <w:rPr>
          <w:snapToGrid w:val="0"/>
        </w:rPr>
      </w:pPr>
    </w:p>
    <w:p w14:paraId="3DFEEC45" w14:textId="75C9768F" w:rsidR="00054437" w:rsidRPr="000549B1" w:rsidRDefault="00000000">
      <w:pPr>
        <w:pStyle w:val="aff8"/>
        <w:rPr>
          <w:color w:val="auto"/>
        </w:rPr>
      </w:pPr>
      <w:bookmarkStart w:id="151" w:name="_Ref214975616"/>
      <w:r w:rsidRPr="000549B1">
        <w:rPr>
          <w:color w:val="auto"/>
        </w:rPr>
        <w:t>表</w:t>
      </w:r>
      <w:r w:rsidR="00372953">
        <w:rPr>
          <w:color w:val="auto"/>
        </w:rPr>
        <w:fldChar w:fldCharType="begin"/>
      </w:r>
      <w:r w:rsidR="00372953">
        <w:rPr>
          <w:color w:val="auto"/>
        </w:rPr>
        <w:instrText xml:space="preserve"> STYLEREF 2 \s </w:instrText>
      </w:r>
      <w:r w:rsidR="00372953">
        <w:rPr>
          <w:color w:val="auto"/>
        </w:rPr>
        <w:fldChar w:fldCharType="separate"/>
      </w:r>
      <w:r w:rsidR="00372953">
        <w:rPr>
          <w:noProof/>
          <w:color w:val="auto"/>
        </w:rPr>
        <w:t>2.1</w:t>
      </w:r>
      <w:r w:rsidR="00372953">
        <w:rPr>
          <w:color w:val="auto"/>
        </w:rPr>
        <w:fldChar w:fldCharType="end"/>
      </w:r>
      <w:r w:rsidR="00372953">
        <w:rPr>
          <w:color w:val="auto"/>
        </w:rPr>
        <w:noBreakHyphen/>
      </w:r>
      <w:r w:rsidR="00372953">
        <w:rPr>
          <w:color w:val="auto"/>
        </w:rPr>
        <w:fldChar w:fldCharType="begin"/>
      </w:r>
      <w:r w:rsidR="00372953">
        <w:rPr>
          <w:color w:val="auto"/>
        </w:rPr>
        <w:instrText xml:space="preserve"> SEQ </w:instrText>
      </w:r>
      <w:r w:rsidR="00372953">
        <w:rPr>
          <w:color w:val="auto"/>
        </w:rPr>
        <w:instrText>表</w:instrText>
      </w:r>
      <w:r w:rsidR="00372953">
        <w:rPr>
          <w:color w:val="auto"/>
        </w:rPr>
        <w:instrText xml:space="preserve"> \* ARABIC \s 2 </w:instrText>
      </w:r>
      <w:r w:rsidR="00372953">
        <w:rPr>
          <w:color w:val="auto"/>
        </w:rPr>
        <w:fldChar w:fldCharType="separate"/>
      </w:r>
      <w:r w:rsidR="00372953">
        <w:rPr>
          <w:noProof/>
          <w:color w:val="auto"/>
        </w:rPr>
        <w:t>5</w:t>
      </w:r>
      <w:r w:rsidR="00372953">
        <w:rPr>
          <w:color w:val="auto"/>
        </w:rPr>
        <w:fldChar w:fldCharType="end"/>
      </w:r>
      <w:bookmarkEnd w:id="151"/>
      <w:r w:rsidRPr="000549B1">
        <w:rPr>
          <w:color w:val="auto"/>
        </w:rPr>
        <w:t>重点预防保护规划重要江河源区范围及规模</w:t>
      </w:r>
    </w:p>
    <w:tbl>
      <w:tblPr>
        <w:tblW w:w="7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248"/>
        <w:gridCol w:w="3734"/>
      </w:tblGrid>
      <w:tr w:rsidR="000549B1" w:rsidRPr="000549B1" w14:paraId="1F2ECEB1" w14:textId="77777777">
        <w:trPr>
          <w:trHeight w:val="235"/>
          <w:tblHeader/>
          <w:jc w:val="center"/>
        </w:trPr>
        <w:tc>
          <w:tcPr>
            <w:tcW w:w="4248" w:type="dxa"/>
            <w:shd w:val="clear" w:color="auto" w:fill="FFFFFF"/>
            <w:tcMar>
              <w:top w:w="150" w:type="dxa"/>
              <w:left w:w="0" w:type="dxa"/>
              <w:bottom w:w="150" w:type="dxa"/>
              <w:right w:w="240" w:type="dxa"/>
            </w:tcMar>
            <w:vAlign w:val="center"/>
          </w:tcPr>
          <w:p w14:paraId="0390E734" w14:textId="77777777" w:rsidR="00054437" w:rsidRPr="000549B1" w:rsidRDefault="00000000">
            <w:pPr>
              <w:pStyle w:val="CharCharCharCharChar"/>
              <w:rPr>
                <w:b/>
                <w:bCs/>
                <w:color w:val="auto"/>
              </w:rPr>
            </w:pPr>
            <w:r w:rsidRPr="000549B1">
              <w:rPr>
                <w:b/>
                <w:bCs/>
                <w:color w:val="auto"/>
              </w:rPr>
              <w:t>治理措施</w:t>
            </w:r>
          </w:p>
        </w:tc>
        <w:tc>
          <w:tcPr>
            <w:tcW w:w="3734" w:type="dxa"/>
            <w:shd w:val="clear" w:color="auto" w:fill="FFFFFF"/>
            <w:tcMar>
              <w:top w:w="150" w:type="dxa"/>
              <w:left w:w="240" w:type="dxa"/>
              <w:bottom w:w="150" w:type="dxa"/>
              <w:right w:w="240" w:type="dxa"/>
            </w:tcMar>
            <w:vAlign w:val="center"/>
          </w:tcPr>
          <w:p w14:paraId="69027AD3" w14:textId="77777777" w:rsidR="00054437" w:rsidRPr="000549B1" w:rsidRDefault="00000000">
            <w:pPr>
              <w:pStyle w:val="CharCharCharCharChar"/>
              <w:rPr>
                <w:b/>
                <w:bCs/>
                <w:color w:val="auto"/>
              </w:rPr>
            </w:pPr>
            <w:r w:rsidRPr="000549B1">
              <w:rPr>
                <w:b/>
                <w:bCs/>
                <w:color w:val="auto"/>
              </w:rPr>
              <w:t>治理规模</w:t>
            </w:r>
          </w:p>
        </w:tc>
      </w:tr>
      <w:tr w:rsidR="000549B1" w:rsidRPr="000549B1" w14:paraId="06D52B6B" w14:textId="77777777">
        <w:trPr>
          <w:trHeight w:val="25"/>
          <w:jc w:val="center"/>
        </w:trPr>
        <w:tc>
          <w:tcPr>
            <w:tcW w:w="4248" w:type="dxa"/>
            <w:shd w:val="clear" w:color="auto" w:fill="FFFFFF"/>
            <w:tcMar>
              <w:top w:w="150" w:type="dxa"/>
              <w:left w:w="0" w:type="dxa"/>
              <w:bottom w:w="150" w:type="dxa"/>
              <w:right w:w="240" w:type="dxa"/>
            </w:tcMar>
            <w:vAlign w:val="center"/>
          </w:tcPr>
          <w:p w14:paraId="61BC0E34" w14:textId="77777777" w:rsidR="00652349" w:rsidRPr="000549B1" w:rsidRDefault="00652349" w:rsidP="00652349">
            <w:pPr>
              <w:pStyle w:val="CharCharCharCharChar"/>
              <w:rPr>
                <w:color w:val="auto"/>
              </w:rPr>
            </w:pPr>
            <w:r w:rsidRPr="000549B1">
              <w:rPr>
                <w:color w:val="auto"/>
              </w:rPr>
              <w:t>预防保护面积</w:t>
            </w:r>
            <w:bookmarkStart w:id="152" w:name="OLE_LINK17"/>
            <w:r w:rsidRPr="000549B1">
              <w:rPr>
                <w:color w:val="auto"/>
              </w:rPr>
              <w:t>（</w:t>
            </w:r>
            <w:r w:rsidRPr="000549B1">
              <w:rPr>
                <w:color w:val="auto"/>
              </w:rPr>
              <w:t>km²</w:t>
            </w:r>
            <w:r w:rsidRPr="000549B1">
              <w:rPr>
                <w:color w:val="auto"/>
              </w:rPr>
              <w:t>）</w:t>
            </w:r>
            <w:bookmarkEnd w:id="152"/>
          </w:p>
        </w:tc>
        <w:tc>
          <w:tcPr>
            <w:tcW w:w="3734" w:type="dxa"/>
            <w:shd w:val="clear" w:color="auto" w:fill="FFFFFF"/>
            <w:tcMar>
              <w:top w:w="150" w:type="dxa"/>
              <w:left w:w="240" w:type="dxa"/>
              <w:bottom w:w="150" w:type="dxa"/>
              <w:right w:w="0" w:type="dxa"/>
            </w:tcMar>
            <w:vAlign w:val="center"/>
          </w:tcPr>
          <w:p w14:paraId="0679B9AF" w14:textId="34168AA7" w:rsidR="00652349" w:rsidRPr="000549B1" w:rsidRDefault="00652349" w:rsidP="00652349">
            <w:pPr>
              <w:pStyle w:val="CharCharCharCharChar"/>
              <w:rPr>
                <w:color w:val="auto"/>
              </w:rPr>
            </w:pPr>
            <w:bookmarkStart w:id="153" w:name="_Hlk214374115"/>
            <w:r w:rsidRPr="000549B1">
              <w:rPr>
                <w:b/>
                <w:color w:val="auto"/>
                <w:sz w:val="18"/>
                <w:szCs w:val="18"/>
              </w:rPr>
              <w:t>473.22</w:t>
            </w:r>
            <w:bookmarkEnd w:id="153"/>
          </w:p>
        </w:tc>
      </w:tr>
      <w:tr w:rsidR="000549B1" w:rsidRPr="000549B1" w14:paraId="43EB3733" w14:textId="77777777">
        <w:trPr>
          <w:trHeight w:val="475"/>
          <w:jc w:val="center"/>
        </w:trPr>
        <w:tc>
          <w:tcPr>
            <w:tcW w:w="4248" w:type="dxa"/>
            <w:shd w:val="clear" w:color="auto" w:fill="FFFFFF"/>
            <w:tcMar>
              <w:top w:w="150" w:type="dxa"/>
              <w:left w:w="0" w:type="dxa"/>
              <w:bottom w:w="150" w:type="dxa"/>
              <w:right w:w="240" w:type="dxa"/>
            </w:tcMar>
            <w:vAlign w:val="center"/>
          </w:tcPr>
          <w:p w14:paraId="3AEF6E3B" w14:textId="77777777" w:rsidR="00652349" w:rsidRPr="000549B1" w:rsidRDefault="00652349" w:rsidP="00652349">
            <w:pPr>
              <w:pStyle w:val="CharCharCharCharChar"/>
              <w:rPr>
                <w:color w:val="auto"/>
              </w:rPr>
            </w:pPr>
            <w:r w:rsidRPr="000549B1">
              <w:rPr>
                <w:color w:val="auto"/>
              </w:rPr>
              <w:t>封禁（</w:t>
            </w:r>
            <w:r w:rsidRPr="000549B1">
              <w:rPr>
                <w:color w:val="auto"/>
              </w:rPr>
              <w:t>km²</w:t>
            </w:r>
            <w:r w:rsidRPr="000549B1">
              <w:rPr>
                <w:color w:val="auto"/>
              </w:rPr>
              <w:t>）</w:t>
            </w:r>
          </w:p>
        </w:tc>
        <w:tc>
          <w:tcPr>
            <w:tcW w:w="3734" w:type="dxa"/>
            <w:shd w:val="clear" w:color="auto" w:fill="FFFFFF"/>
            <w:tcMar>
              <w:top w:w="150" w:type="dxa"/>
              <w:left w:w="240" w:type="dxa"/>
              <w:bottom w:w="150" w:type="dxa"/>
              <w:right w:w="0" w:type="dxa"/>
            </w:tcMar>
            <w:vAlign w:val="center"/>
          </w:tcPr>
          <w:p w14:paraId="0E64966B" w14:textId="5FD20474" w:rsidR="00652349" w:rsidRPr="000549B1" w:rsidRDefault="00652349" w:rsidP="00652349">
            <w:pPr>
              <w:pStyle w:val="CharCharCharCharChar"/>
              <w:rPr>
                <w:color w:val="auto"/>
              </w:rPr>
            </w:pPr>
            <w:r w:rsidRPr="000549B1">
              <w:rPr>
                <w:b/>
                <w:color w:val="auto"/>
                <w:sz w:val="18"/>
                <w:szCs w:val="18"/>
              </w:rPr>
              <w:t>418.52</w:t>
            </w:r>
          </w:p>
        </w:tc>
      </w:tr>
      <w:tr w:rsidR="000549B1" w:rsidRPr="000549B1" w14:paraId="2830BED3" w14:textId="77777777">
        <w:trPr>
          <w:trHeight w:val="481"/>
          <w:jc w:val="center"/>
        </w:trPr>
        <w:tc>
          <w:tcPr>
            <w:tcW w:w="4248" w:type="dxa"/>
            <w:shd w:val="clear" w:color="auto" w:fill="FFFFFF"/>
            <w:tcMar>
              <w:top w:w="150" w:type="dxa"/>
              <w:left w:w="0" w:type="dxa"/>
              <w:bottom w:w="150" w:type="dxa"/>
              <w:right w:w="240" w:type="dxa"/>
            </w:tcMar>
            <w:vAlign w:val="center"/>
          </w:tcPr>
          <w:p w14:paraId="31B17F70" w14:textId="77777777" w:rsidR="00652349" w:rsidRPr="000549B1" w:rsidRDefault="00652349" w:rsidP="00652349">
            <w:pPr>
              <w:pStyle w:val="CharCharCharCharChar"/>
              <w:rPr>
                <w:color w:val="auto"/>
              </w:rPr>
            </w:pPr>
            <w:r w:rsidRPr="000549B1">
              <w:rPr>
                <w:color w:val="auto"/>
              </w:rPr>
              <w:t>补植补种（</w:t>
            </w:r>
            <w:r w:rsidRPr="000549B1">
              <w:rPr>
                <w:color w:val="auto"/>
              </w:rPr>
              <w:t>km²</w:t>
            </w:r>
            <w:r w:rsidRPr="000549B1">
              <w:rPr>
                <w:color w:val="auto"/>
              </w:rPr>
              <w:t>）</w:t>
            </w:r>
          </w:p>
        </w:tc>
        <w:tc>
          <w:tcPr>
            <w:tcW w:w="3734" w:type="dxa"/>
            <w:shd w:val="clear" w:color="auto" w:fill="FFFFFF"/>
            <w:tcMar>
              <w:top w:w="150" w:type="dxa"/>
              <w:left w:w="240" w:type="dxa"/>
              <w:bottom w:w="150" w:type="dxa"/>
              <w:right w:w="0" w:type="dxa"/>
            </w:tcMar>
            <w:vAlign w:val="center"/>
          </w:tcPr>
          <w:p w14:paraId="0172B259" w14:textId="1701C38A" w:rsidR="00652349" w:rsidRPr="000549B1" w:rsidRDefault="00652349" w:rsidP="00652349">
            <w:pPr>
              <w:pStyle w:val="CharCharCharCharChar"/>
              <w:rPr>
                <w:color w:val="auto"/>
              </w:rPr>
            </w:pPr>
            <w:r w:rsidRPr="000549B1">
              <w:rPr>
                <w:b/>
                <w:color w:val="auto"/>
                <w:sz w:val="18"/>
                <w:szCs w:val="18"/>
              </w:rPr>
              <w:t>54.70</w:t>
            </w:r>
          </w:p>
        </w:tc>
      </w:tr>
      <w:tr w:rsidR="000549B1" w:rsidRPr="000549B1" w14:paraId="79C2C0A2" w14:textId="77777777">
        <w:trPr>
          <w:trHeight w:val="469"/>
          <w:jc w:val="center"/>
        </w:trPr>
        <w:tc>
          <w:tcPr>
            <w:tcW w:w="4248" w:type="dxa"/>
            <w:shd w:val="clear" w:color="auto" w:fill="FFFFFF"/>
            <w:tcMar>
              <w:top w:w="150" w:type="dxa"/>
              <w:left w:w="0" w:type="dxa"/>
              <w:bottom w:w="150" w:type="dxa"/>
              <w:right w:w="240" w:type="dxa"/>
            </w:tcMar>
            <w:vAlign w:val="center"/>
          </w:tcPr>
          <w:p w14:paraId="71156ADC" w14:textId="77777777" w:rsidR="00652349" w:rsidRPr="000549B1" w:rsidRDefault="00652349" w:rsidP="00652349">
            <w:pPr>
              <w:pStyle w:val="CharCharCharCharChar"/>
              <w:rPr>
                <w:color w:val="auto"/>
              </w:rPr>
            </w:pPr>
            <w:r w:rsidRPr="000549B1">
              <w:rPr>
                <w:color w:val="auto"/>
              </w:rPr>
              <w:t>宣传牌（个）</w:t>
            </w:r>
          </w:p>
        </w:tc>
        <w:tc>
          <w:tcPr>
            <w:tcW w:w="3734" w:type="dxa"/>
            <w:shd w:val="clear" w:color="auto" w:fill="FFFFFF"/>
            <w:tcMar>
              <w:top w:w="150" w:type="dxa"/>
              <w:left w:w="240" w:type="dxa"/>
              <w:bottom w:w="150" w:type="dxa"/>
              <w:right w:w="0" w:type="dxa"/>
            </w:tcMar>
            <w:vAlign w:val="center"/>
          </w:tcPr>
          <w:p w14:paraId="5DB166D4" w14:textId="282752F6" w:rsidR="00652349" w:rsidRPr="000549B1" w:rsidRDefault="00652349" w:rsidP="00652349">
            <w:pPr>
              <w:pStyle w:val="CharCharCharCharChar"/>
              <w:rPr>
                <w:color w:val="auto"/>
              </w:rPr>
            </w:pPr>
            <w:r w:rsidRPr="000549B1">
              <w:rPr>
                <w:b/>
                <w:color w:val="auto"/>
                <w:sz w:val="18"/>
                <w:szCs w:val="18"/>
              </w:rPr>
              <w:t>78</w:t>
            </w:r>
          </w:p>
        </w:tc>
      </w:tr>
    </w:tbl>
    <w:p w14:paraId="77A7FB20" w14:textId="32DF7E2D" w:rsidR="00054437" w:rsidRPr="000549B1" w:rsidRDefault="00FF5F6B" w:rsidP="000549B1">
      <w:pPr>
        <w:pStyle w:val="x"/>
      </w:pPr>
      <w:r w:rsidRPr="000549B1">
        <w:rPr>
          <w:rFonts w:hint="eastAsia"/>
        </w:rPr>
        <w:t>（</w:t>
      </w:r>
      <w:r w:rsidRPr="000549B1">
        <w:rPr>
          <w:rFonts w:hint="eastAsia"/>
        </w:rPr>
        <w:t>3</w:t>
      </w:r>
      <w:r w:rsidRPr="000549B1">
        <w:rPr>
          <w:rFonts w:hint="eastAsia"/>
        </w:rPr>
        <w:t>）</w:t>
      </w:r>
      <w:r w:rsidRPr="000549B1">
        <w:t>综合治理</w:t>
      </w:r>
      <w:r w:rsidRPr="000549B1">
        <w:rPr>
          <w:rFonts w:hint="eastAsia"/>
        </w:rPr>
        <w:t>项目</w:t>
      </w:r>
    </w:p>
    <w:p w14:paraId="6BD6DD02" w14:textId="77777777" w:rsidR="00054437" w:rsidRPr="000549B1" w:rsidRDefault="00000000">
      <w:pPr>
        <w:pStyle w:val="x"/>
      </w:pPr>
      <w:r w:rsidRPr="000549B1">
        <w:t>坚持</w:t>
      </w:r>
      <w:r w:rsidRPr="000549B1">
        <w:rPr>
          <w:rFonts w:ascii="宋体" w:hAnsi="宋体"/>
        </w:rPr>
        <w:t>“</w:t>
      </w:r>
      <w:r w:rsidRPr="000549B1">
        <w:t>因地制宜、综合治理</w:t>
      </w:r>
      <w:r w:rsidRPr="000549B1">
        <w:rPr>
          <w:rFonts w:ascii="宋体" w:hAnsi="宋体"/>
        </w:rPr>
        <w:t>”</w:t>
      </w:r>
      <w:r w:rsidRPr="000549B1">
        <w:t>，在农牧业人口密集、水土流失严重地区进行水土流失综合治理，以人工治理措施为主恢复水土保持功能。</w:t>
      </w:r>
    </w:p>
    <w:p w14:paraId="6F15EE0A" w14:textId="7F1FCD94" w:rsidR="00054437" w:rsidRPr="000549B1" w:rsidRDefault="00FF5F6B" w:rsidP="000549B1">
      <w:pPr>
        <w:pStyle w:val="x"/>
      </w:pPr>
      <w:r w:rsidRPr="000549B1">
        <w:rPr>
          <w:rFonts w:hint="eastAsia"/>
        </w:rPr>
        <w:t>①</w:t>
      </w:r>
      <w:r w:rsidRPr="000549B1">
        <w:t>范围与对象</w:t>
      </w:r>
    </w:p>
    <w:p w14:paraId="7CCE5375" w14:textId="07A67C0A" w:rsidR="00FF5F6B" w:rsidRPr="000549B1" w:rsidRDefault="00000000" w:rsidP="00FF5F6B">
      <w:pPr>
        <w:pStyle w:val="x"/>
      </w:pPr>
      <w:r w:rsidRPr="000549B1">
        <w:t>本次规划确定的治理范围包括沙珠玉河流域土壤沙化严重、局部水土流失程度较高，集中连片，具有一定的规模性的区域。治理范围不仅包括重点治理区（沙珠玉乡、塘格木镇、切吉乡），还包括重点预防区内局部水土流失严重地区。治理对象为沙化等侵蚀劣地、水蚀林（草）地、坡面侵蚀沟；输沙量较大的沟道、山洪沟和重力侵蚀坡面。</w:t>
      </w:r>
    </w:p>
    <w:p w14:paraId="5D9C23AE" w14:textId="642089F1" w:rsidR="00054437" w:rsidRPr="000549B1" w:rsidRDefault="00FF5F6B" w:rsidP="000549B1">
      <w:pPr>
        <w:pStyle w:val="x"/>
      </w:pPr>
      <w:r w:rsidRPr="000549B1">
        <w:rPr>
          <w:rFonts w:hint="eastAsia"/>
        </w:rPr>
        <w:t>②</w:t>
      </w:r>
      <w:r w:rsidRPr="000549B1">
        <w:t>措施配置与重点治理项目</w:t>
      </w:r>
    </w:p>
    <w:p w14:paraId="07A71025" w14:textId="77777777" w:rsidR="00054437" w:rsidRPr="000549B1" w:rsidRDefault="00000000">
      <w:pPr>
        <w:pStyle w:val="x"/>
        <w:ind w:left="482" w:firstLine="0"/>
      </w:pPr>
      <w:r w:rsidRPr="000549B1">
        <w:t>水土流失治理措施主要包括林草措施和工程措施。</w:t>
      </w:r>
    </w:p>
    <w:p w14:paraId="2F23204D" w14:textId="77777777" w:rsidR="00054437" w:rsidRPr="000549B1" w:rsidRDefault="00000000">
      <w:pPr>
        <w:pStyle w:val="x"/>
      </w:pPr>
      <w:r w:rsidRPr="000549B1">
        <w:t>林草措施：包括营造水土保持林、防风固沙林、种草，营造沙障，开发与利用高效水土保持植物，河流两岸及乡镇周边营造植物保护带。</w:t>
      </w:r>
    </w:p>
    <w:p w14:paraId="719B0109" w14:textId="77777777" w:rsidR="00054437" w:rsidRPr="000549B1" w:rsidRDefault="00000000">
      <w:pPr>
        <w:pStyle w:val="x"/>
      </w:pPr>
      <w:r w:rsidRPr="000549B1">
        <w:t>工程措施：主要包括沟头防护、谷坊等，可改善坡面水系，拦沙、保土、蓄水，提高防御能力，减轻水土流失。</w:t>
      </w:r>
    </w:p>
    <w:p w14:paraId="6283B905" w14:textId="77777777" w:rsidR="00054437" w:rsidRPr="000549B1" w:rsidRDefault="00000000">
      <w:pPr>
        <w:pStyle w:val="x"/>
      </w:pPr>
      <w:r w:rsidRPr="000549B1">
        <w:t>根据确定的治理范围和对象，本次规划重点实施河卡镇切吉河流域综合治理项目。</w:t>
      </w:r>
    </w:p>
    <w:p w14:paraId="58D00418" w14:textId="18F148DA" w:rsidR="00054437" w:rsidRPr="000549B1" w:rsidRDefault="00000000">
      <w:pPr>
        <w:pStyle w:val="x"/>
      </w:pPr>
      <w:r w:rsidRPr="000549B1">
        <w:t>重点小流域综合治理</w:t>
      </w:r>
      <w:r w:rsidR="00FF5F6B" w:rsidRPr="000549B1">
        <w:rPr>
          <w:rFonts w:hint="eastAsia"/>
        </w:rPr>
        <w:t>：</w:t>
      </w:r>
    </w:p>
    <w:p w14:paraId="725DCD4E" w14:textId="77777777" w:rsidR="00054437" w:rsidRPr="000549B1" w:rsidRDefault="00000000">
      <w:pPr>
        <w:pStyle w:val="x"/>
      </w:pPr>
      <w:r w:rsidRPr="000549B1">
        <w:t>项目位于河卡镇切吉河，治理水土流失面积</w:t>
      </w:r>
      <w:r w:rsidRPr="000549B1">
        <w:t>55km²</w:t>
      </w:r>
      <w:r w:rsidRPr="000549B1">
        <w:t>。项目以</w:t>
      </w:r>
      <w:r w:rsidRPr="000549B1">
        <w:rPr>
          <w:rFonts w:ascii="宋体" w:hAnsi="宋体"/>
        </w:rPr>
        <w:t>“</w:t>
      </w:r>
      <w:r w:rsidRPr="000549B1">
        <w:t>防风固沙</w:t>
      </w:r>
      <w:r w:rsidRPr="000549B1">
        <w:t>+</w:t>
      </w:r>
      <w:r w:rsidRPr="000549B1">
        <w:t>岸坡生态修复</w:t>
      </w:r>
      <w:r w:rsidRPr="000549B1">
        <w:rPr>
          <w:rFonts w:ascii="宋体" w:hAnsi="宋体"/>
        </w:rPr>
        <w:t>”</w:t>
      </w:r>
      <w:r w:rsidRPr="000549B1">
        <w:t>为核心定位，推进防风固沙林、沙障、农田防护林、生态护岸等关键建设内容，构建多层次生态防护体系。</w:t>
      </w:r>
    </w:p>
    <w:p w14:paraId="139A1709" w14:textId="77777777" w:rsidR="00054437" w:rsidRPr="000549B1" w:rsidRDefault="00000000">
      <w:pPr>
        <w:pStyle w:val="x"/>
      </w:pPr>
      <w:r w:rsidRPr="000549B1">
        <w:t>防风固沙环节：选取本土耐旱抗风树种连片种植，打造绿色防风屏障以遏制流沙移动；配套布设草方格沙障，强化固沙效果。</w:t>
      </w:r>
    </w:p>
    <w:p w14:paraId="197264C0" w14:textId="77777777" w:rsidR="00054437" w:rsidRPr="000549B1" w:rsidRDefault="00000000">
      <w:pPr>
        <w:pStyle w:val="x"/>
      </w:pPr>
      <w:r w:rsidRPr="000549B1">
        <w:t>农田保护：沿耕地边界修建农田防护林，采用乔灌混交的立体结构，抵御风沙侵袭。</w:t>
      </w:r>
    </w:p>
    <w:p w14:paraId="548FE13B" w14:textId="77777777" w:rsidR="00054437" w:rsidRPr="000549B1" w:rsidRDefault="00000000">
      <w:pPr>
        <w:pStyle w:val="x"/>
      </w:pPr>
      <w:r w:rsidRPr="000549B1">
        <w:t>岸坡生态修复：对切吉河沿岸岸线实施生态化改造，通过生态友好型技术构建缓坡护岸，并搭配种植水生及耐湿植物，防止岸坡坍塌，恢复河岸生态功能。</w:t>
      </w:r>
    </w:p>
    <w:p w14:paraId="5F6FBC34" w14:textId="7B849607" w:rsidR="00054437" w:rsidRPr="000549B1" w:rsidRDefault="00000000">
      <w:pPr>
        <w:pStyle w:val="x"/>
      </w:pPr>
      <w:r w:rsidRPr="000549B1">
        <w:t>治理措施总体配置</w:t>
      </w:r>
      <w:r w:rsidR="00FF5F6B" w:rsidRPr="000549B1">
        <w:rPr>
          <w:rFonts w:hint="eastAsia"/>
        </w:rPr>
        <w:t>：</w:t>
      </w:r>
    </w:p>
    <w:p w14:paraId="2EC07937" w14:textId="3C0AD656" w:rsidR="00054437" w:rsidRPr="000549B1" w:rsidRDefault="00652349" w:rsidP="00652349">
      <w:pPr>
        <w:pStyle w:val="x"/>
        <w:rPr>
          <w:b/>
        </w:rPr>
      </w:pPr>
      <w:r w:rsidRPr="000549B1">
        <w:rPr>
          <w:rFonts w:hint="eastAsia"/>
        </w:rPr>
        <w:t>规划综合治理</w:t>
      </w:r>
      <w:r w:rsidRPr="000549B1">
        <w:t>387.18km</w:t>
      </w:r>
      <w:r w:rsidRPr="000549B1">
        <w:rPr>
          <w:vertAlign w:val="superscript"/>
        </w:rPr>
        <w:t>2</w:t>
      </w:r>
      <w:r w:rsidRPr="000549B1">
        <w:rPr>
          <w:rFonts w:hint="eastAsia"/>
        </w:rPr>
        <w:t>，其中工程固沙治理</w:t>
      </w:r>
      <w:r w:rsidRPr="000549B1">
        <w:t>90.71km</w:t>
      </w:r>
      <w:r w:rsidRPr="000549B1">
        <w:rPr>
          <w:vertAlign w:val="superscript"/>
        </w:rPr>
        <w:t>2</w:t>
      </w:r>
      <w:r w:rsidRPr="000549B1">
        <w:rPr>
          <w:rFonts w:hint="eastAsia"/>
        </w:rPr>
        <w:t>，造林</w:t>
      </w:r>
      <w:r w:rsidRPr="000549B1">
        <w:t>29.01km</w:t>
      </w:r>
      <w:r w:rsidRPr="000549B1">
        <w:rPr>
          <w:vertAlign w:val="superscript"/>
        </w:rPr>
        <w:t>2</w:t>
      </w:r>
      <w:r w:rsidRPr="000549B1">
        <w:rPr>
          <w:rFonts w:hint="eastAsia"/>
        </w:rPr>
        <w:t>，种草</w:t>
      </w:r>
      <w:r w:rsidRPr="000549B1">
        <w:t>192.64km</w:t>
      </w:r>
      <w:r w:rsidRPr="000549B1">
        <w:rPr>
          <w:vertAlign w:val="superscript"/>
        </w:rPr>
        <w:t>2</w:t>
      </w:r>
      <w:r w:rsidRPr="000549B1">
        <w:rPr>
          <w:rFonts w:hint="eastAsia"/>
        </w:rPr>
        <w:t>，退化林修复</w:t>
      </w:r>
      <w:r w:rsidRPr="000549B1">
        <w:t>17.72km</w:t>
      </w:r>
      <w:r w:rsidRPr="000549B1">
        <w:rPr>
          <w:vertAlign w:val="superscript"/>
        </w:rPr>
        <w:t>2</w:t>
      </w:r>
      <w:r w:rsidRPr="000549B1">
        <w:rPr>
          <w:rFonts w:hint="eastAsia"/>
        </w:rPr>
        <w:t>，封育</w:t>
      </w:r>
      <w:r w:rsidRPr="000549B1">
        <w:t>57.11km</w:t>
      </w:r>
      <w:r w:rsidRPr="000549B1">
        <w:rPr>
          <w:vertAlign w:val="superscript"/>
        </w:rPr>
        <w:t>2</w:t>
      </w:r>
      <w:r w:rsidRPr="000549B1">
        <w:rPr>
          <w:rFonts w:hint="eastAsia"/>
        </w:rPr>
        <w:t>，建设网围栏</w:t>
      </w:r>
      <w:r w:rsidRPr="000549B1">
        <w:t>223km</w:t>
      </w:r>
      <w:r w:rsidRPr="000549B1">
        <w:rPr>
          <w:rFonts w:hint="eastAsia"/>
        </w:rPr>
        <w:t>，建设谷坊</w:t>
      </w:r>
      <w:r w:rsidRPr="000549B1">
        <w:t>697</w:t>
      </w:r>
      <w:r w:rsidRPr="000549B1">
        <w:rPr>
          <w:rFonts w:hint="eastAsia"/>
        </w:rPr>
        <w:t>座。</w:t>
      </w:r>
      <w:r w:rsidRPr="000549B1">
        <w:t>具体措施配置如下：</w:t>
      </w:r>
    </w:p>
    <w:p w14:paraId="28F6F239" w14:textId="5E239927" w:rsidR="00054437" w:rsidRPr="000549B1" w:rsidRDefault="00000000">
      <w:pPr>
        <w:pStyle w:val="aff8"/>
        <w:rPr>
          <w:color w:val="auto"/>
        </w:rPr>
      </w:pPr>
      <w:r w:rsidRPr="000549B1">
        <w:rPr>
          <w:color w:val="auto"/>
        </w:rPr>
        <w:t>表</w:t>
      </w:r>
      <w:r w:rsidR="00372953">
        <w:rPr>
          <w:color w:val="auto"/>
        </w:rPr>
        <w:fldChar w:fldCharType="begin"/>
      </w:r>
      <w:r w:rsidR="00372953">
        <w:rPr>
          <w:color w:val="auto"/>
        </w:rPr>
        <w:instrText xml:space="preserve"> STYLEREF 2 \s </w:instrText>
      </w:r>
      <w:r w:rsidR="00372953">
        <w:rPr>
          <w:color w:val="auto"/>
        </w:rPr>
        <w:fldChar w:fldCharType="separate"/>
      </w:r>
      <w:r w:rsidR="00372953">
        <w:rPr>
          <w:noProof/>
          <w:color w:val="auto"/>
        </w:rPr>
        <w:t>2.1</w:t>
      </w:r>
      <w:r w:rsidR="00372953">
        <w:rPr>
          <w:color w:val="auto"/>
        </w:rPr>
        <w:fldChar w:fldCharType="end"/>
      </w:r>
      <w:r w:rsidR="00372953">
        <w:rPr>
          <w:color w:val="auto"/>
        </w:rPr>
        <w:noBreakHyphen/>
      </w:r>
      <w:r w:rsidR="00372953">
        <w:rPr>
          <w:color w:val="auto"/>
        </w:rPr>
        <w:fldChar w:fldCharType="begin"/>
      </w:r>
      <w:r w:rsidR="00372953">
        <w:rPr>
          <w:color w:val="auto"/>
        </w:rPr>
        <w:instrText xml:space="preserve"> SEQ </w:instrText>
      </w:r>
      <w:r w:rsidR="00372953">
        <w:rPr>
          <w:color w:val="auto"/>
        </w:rPr>
        <w:instrText>表</w:instrText>
      </w:r>
      <w:r w:rsidR="00372953">
        <w:rPr>
          <w:color w:val="auto"/>
        </w:rPr>
        <w:instrText xml:space="preserve"> \* ARABIC \s 2 </w:instrText>
      </w:r>
      <w:r w:rsidR="00372953">
        <w:rPr>
          <w:color w:val="auto"/>
        </w:rPr>
        <w:fldChar w:fldCharType="separate"/>
      </w:r>
      <w:r w:rsidR="00372953">
        <w:rPr>
          <w:noProof/>
          <w:color w:val="auto"/>
        </w:rPr>
        <w:t>6</w:t>
      </w:r>
      <w:r w:rsidR="00372953">
        <w:rPr>
          <w:color w:val="auto"/>
        </w:rPr>
        <w:fldChar w:fldCharType="end"/>
      </w:r>
      <w:r w:rsidRPr="000549B1">
        <w:rPr>
          <w:color w:val="auto"/>
        </w:rPr>
        <w:t>沙珠玉河流域综合治理规模表</w:t>
      </w:r>
    </w:p>
    <w:tbl>
      <w:tblPr>
        <w:tblW w:w="5460" w:type="pct"/>
        <w:tblLook w:val="04A0" w:firstRow="1" w:lastRow="0" w:firstColumn="1" w:lastColumn="0" w:noHBand="0" w:noVBand="1"/>
      </w:tblPr>
      <w:tblGrid>
        <w:gridCol w:w="2339"/>
        <w:gridCol w:w="3125"/>
        <w:gridCol w:w="3595"/>
      </w:tblGrid>
      <w:tr w:rsidR="000549B1" w:rsidRPr="000549B1" w14:paraId="05392AD3" w14:textId="77777777" w:rsidTr="00652349">
        <w:trPr>
          <w:trHeight w:val="330"/>
        </w:trPr>
        <w:tc>
          <w:tcPr>
            <w:tcW w:w="3016" w:type="pct"/>
            <w:gridSpan w:val="2"/>
            <w:tcBorders>
              <w:top w:val="single" w:sz="4" w:space="0" w:color="auto"/>
              <w:left w:val="single" w:sz="4" w:space="0" w:color="auto"/>
              <w:bottom w:val="single" w:sz="4" w:space="0" w:color="auto"/>
              <w:right w:val="single" w:sz="4" w:space="0" w:color="auto"/>
            </w:tcBorders>
            <w:hideMark/>
          </w:tcPr>
          <w:p w14:paraId="4DD8FDF9" w14:textId="77777777" w:rsidR="00652349" w:rsidRPr="000549B1" w:rsidRDefault="00652349" w:rsidP="0050757E">
            <w:pPr>
              <w:widowControl/>
              <w:jc w:val="center"/>
              <w:rPr>
                <w:b/>
                <w:kern w:val="0"/>
                <w:sz w:val="18"/>
                <w:szCs w:val="18"/>
              </w:rPr>
            </w:pPr>
            <w:bookmarkStart w:id="154" w:name="_Hlk216037833"/>
            <w:r w:rsidRPr="000549B1">
              <w:rPr>
                <w:b/>
                <w:kern w:val="0"/>
                <w:sz w:val="18"/>
                <w:szCs w:val="18"/>
              </w:rPr>
              <w:t>治理措施</w:t>
            </w:r>
          </w:p>
        </w:tc>
        <w:tc>
          <w:tcPr>
            <w:tcW w:w="1984" w:type="pct"/>
            <w:tcBorders>
              <w:top w:val="single" w:sz="4" w:space="0" w:color="auto"/>
              <w:left w:val="single" w:sz="4" w:space="0" w:color="auto"/>
              <w:bottom w:val="single" w:sz="4" w:space="0" w:color="auto"/>
              <w:right w:val="single" w:sz="4" w:space="0" w:color="auto"/>
            </w:tcBorders>
            <w:hideMark/>
          </w:tcPr>
          <w:p w14:paraId="18941D6A" w14:textId="77777777" w:rsidR="00652349" w:rsidRPr="000549B1" w:rsidRDefault="00652349" w:rsidP="0050757E">
            <w:pPr>
              <w:widowControl/>
              <w:jc w:val="center"/>
              <w:rPr>
                <w:b/>
                <w:kern w:val="0"/>
                <w:sz w:val="18"/>
                <w:szCs w:val="18"/>
              </w:rPr>
            </w:pPr>
            <w:r w:rsidRPr="000549B1">
              <w:rPr>
                <w:b/>
                <w:kern w:val="0"/>
                <w:sz w:val="18"/>
                <w:szCs w:val="18"/>
              </w:rPr>
              <w:t>治理规模</w:t>
            </w:r>
          </w:p>
        </w:tc>
      </w:tr>
      <w:tr w:rsidR="000549B1" w:rsidRPr="000549B1" w14:paraId="734D36A2" w14:textId="77777777" w:rsidTr="00652349">
        <w:trPr>
          <w:trHeight w:val="330"/>
        </w:trPr>
        <w:tc>
          <w:tcPr>
            <w:tcW w:w="3016" w:type="pct"/>
            <w:gridSpan w:val="2"/>
            <w:tcBorders>
              <w:top w:val="single" w:sz="4" w:space="0" w:color="auto"/>
              <w:left w:val="single" w:sz="4" w:space="0" w:color="auto"/>
              <w:bottom w:val="single" w:sz="4" w:space="0" w:color="auto"/>
              <w:right w:val="single" w:sz="4" w:space="0" w:color="auto"/>
            </w:tcBorders>
            <w:hideMark/>
          </w:tcPr>
          <w:p w14:paraId="7D2CA6C8" w14:textId="77777777" w:rsidR="00652349" w:rsidRPr="000549B1" w:rsidRDefault="00652349" w:rsidP="0050757E">
            <w:pPr>
              <w:widowControl/>
              <w:jc w:val="center"/>
              <w:rPr>
                <w:b/>
                <w:kern w:val="0"/>
                <w:sz w:val="18"/>
                <w:szCs w:val="18"/>
              </w:rPr>
            </w:pPr>
            <w:r w:rsidRPr="000549B1">
              <w:rPr>
                <w:b/>
                <w:kern w:val="0"/>
                <w:sz w:val="18"/>
                <w:szCs w:val="18"/>
              </w:rPr>
              <w:t>综合治理面积（</w:t>
            </w:r>
            <w:r w:rsidRPr="000549B1">
              <w:rPr>
                <w:b/>
                <w:kern w:val="0"/>
                <w:sz w:val="18"/>
                <w:szCs w:val="18"/>
              </w:rPr>
              <w:t>hm</w:t>
            </w:r>
            <w:r w:rsidRPr="000549B1">
              <w:rPr>
                <w:b/>
                <w:kern w:val="0"/>
                <w:sz w:val="18"/>
                <w:szCs w:val="18"/>
                <w:vertAlign w:val="superscript"/>
              </w:rPr>
              <w:t>2</w:t>
            </w:r>
            <w:r w:rsidRPr="000549B1">
              <w:rPr>
                <w:b/>
                <w:kern w:val="0"/>
                <w:sz w:val="18"/>
                <w:szCs w:val="18"/>
              </w:rPr>
              <w:t>）</w:t>
            </w:r>
          </w:p>
        </w:tc>
        <w:tc>
          <w:tcPr>
            <w:tcW w:w="1984" w:type="pct"/>
            <w:tcBorders>
              <w:top w:val="single" w:sz="4" w:space="0" w:color="auto"/>
              <w:left w:val="single" w:sz="4" w:space="0" w:color="auto"/>
              <w:bottom w:val="single" w:sz="4" w:space="0" w:color="auto"/>
              <w:right w:val="single" w:sz="4" w:space="0" w:color="auto"/>
            </w:tcBorders>
            <w:hideMark/>
          </w:tcPr>
          <w:p w14:paraId="35074775" w14:textId="77777777" w:rsidR="00652349" w:rsidRPr="000549B1" w:rsidRDefault="00652349" w:rsidP="0050757E">
            <w:pPr>
              <w:widowControl/>
              <w:jc w:val="center"/>
              <w:rPr>
                <w:b/>
                <w:kern w:val="0"/>
                <w:sz w:val="18"/>
                <w:szCs w:val="18"/>
              </w:rPr>
            </w:pPr>
            <w:r w:rsidRPr="000549B1">
              <w:rPr>
                <w:b/>
                <w:kern w:val="0"/>
                <w:sz w:val="18"/>
                <w:szCs w:val="18"/>
              </w:rPr>
              <w:t>38718.07</w:t>
            </w:r>
          </w:p>
        </w:tc>
      </w:tr>
      <w:tr w:rsidR="000549B1" w:rsidRPr="000549B1" w14:paraId="7AA07746" w14:textId="77777777" w:rsidTr="00652349">
        <w:trPr>
          <w:trHeight w:val="330"/>
        </w:trPr>
        <w:tc>
          <w:tcPr>
            <w:tcW w:w="3016" w:type="pct"/>
            <w:gridSpan w:val="2"/>
            <w:tcBorders>
              <w:top w:val="single" w:sz="4" w:space="0" w:color="auto"/>
              <w:left w:val="single" w:sz="4" w:space="0" w:color="auto"/>
              <w:bottom w:val="single" w:sz="4" w:space="0" w:color="auto"/>
              <w:right w:val="single" w:sz="4" w:space="0" w:color="auto"/>
            </w:tcBorders>
            <w:hideMark/>
          </w:tcPr>
          <w:p w14:paraId="7435CA9A" w14:textId="77777777" w:rsidR="00652349" w:rsidRPr="000549B1" w:rsidRDefault="00652349" w:rsidP="0050757E">
            <w:pPr>
              <w:widowControl/>
              <w:jc w:val="center"/>
              <w:rPr>
                <w:b/>
                <w:kern w:val="0"/>
                <w:sz w:val="18"/>
                <w:szCs w:val="18"/>
              </w:rPr>
            </w:pPr>
            <w:r w:rsidRPr="000549B1">
              <w:rPr>
                <w:b/>
                <w:kern w:val="0"/>
                <w:sz w:val="18"/>
                <w:szCs w:val="18"/>
              </w:rPr>
              <w:t>工程固沙（</w:t>
            </w:r>
            <w:r w:rsidRPr="000549B1">
              <w:rPr>
                <w:b/>
                <w:kern w:val="0"/>
                <w:sz w:val="18"/>
                <w:szCs w:val="18"/>
              </w:rPr>
              <w:t>hm</w:t>
            </w:r>
            <w:r w:rsidRPr="000549B1">
              <w:rPr>
                <w:b/>
                <w:kern w:val="0"/>
                <w:sz w:val="18"/>
                <w:szCs w:val="18"/>
                <w:vertAlign w:val="superscript"/>
              </w:rPr>
              <w:t>2</w:t>
            </w:r>
            <w:r w:rsidRPr="000549B1">
              <w:rPr>
                <w:b/>
                <w:kern w:val="0"/>
                <w:sz w:val="18"/>
                <w:szCs w:val="18"/>
              </w:rPr>
              <w:t>）</w:t>
            </w:r>
          </w:p>
        </w:tc>
        <w:tc>
          <w:tcPr>
            <w:tcW w:w="1984" w:type="pct"/>
            <w:tcBorders>
              <w:top w:val="single" w:sz="4" w:space="0" w:color="auto"/>
              <w:left w:val="single" w:sz="4" w:space="0" w:color="auto"/>
              <w:bottom w:val="single" w:sz="4" w:space="0" w:color="auto"/>
              <w:right w:val="single" w:sz="4" w:space="0" w:color="auto"/>
            </w:tcBorders>
            <w:hideMark/>
          </w:tcPr>
          <w:p w14:paraId="4EAA698F" w14:textId="77777777" w:rsidR="00652349" w:rsidRPr="000549B1" w:rsidRDefault="00652349" w:rsidP="0050757E">
            <w:pPr>
              <w:widowControl/>
              <w:jc w:val="center"/>
              <w:rPr>
                <w:b/>
                <w:kern w:val="0"/>
                <w:sz w:val="18"/>
                <w:szCs w:val="18"/>
              </w:rPr>
            </w:pPr>
            <w:r w:rsidRPr="000549B1">
              <w:rPr>
                <w:b/>
                <w:kern w:val="0"/>
                <w:sz w:val="18"/>
                <w:szCs w:val="18"/>
              </w:rPr>
              <w:t>9070.88</w:t>
            </w:r>
          </w:p>
        </w:tc>
      </w:tr>
      <w:tr w:rsidR="000549B1" w:rsidRPr="000549B1" w14:paraId="33D7E100" w14:textId="77777777" w:rsidTr="00652349">
        <w:trPr>
          <w:trHeight w:val="330"/>
        </w:trPr>
        <w:tc>
          <w:tcPr>
            <w:tcW w:w="1291" w:type="pct"/>
            <w:vMerge w:val="restart"/>
            <w:tcBorders>
              <w:top w:val="single" w:sz="4" w:space="0" w:color="auto"/>
              <w:left w:val="single" w:sz="4" w:space="0" w:color="auto"/>
              <w:bottom w:val="single" w:sz="4" w:space="0" w:color="auto"/>
              <w:right w:val="single" w:sz="4" w:space="0" w:color="auto"/>
            </w:tcBorders>
            <w:hideMark/>
          </w:tcPr>
          <w:p w14:paraId="790CC0F2" w14:textId="77777777" w:rsidR="00652349" w:rsidRPr="000549B1" w:rsidRDefault="00652349" w:rsidP="0050757E">
            <w:pPr>
              <w:widowControl/>
              <w:jc w:val="center"/>
              <w:rPr>
                <w:b/>
                <w:kern w:val="0"/>
                <w:sz w:val="18"/>
                <w:szCs w:val="18"/>
              </w:rPr>
            </w:pPr>
            <w:r w:rsidRPr="000549B1">
              <w:rPr>
                <w:b/>
                <w:kern w:val="0"/>
                <w:sz w:val="18"/>
                <w:szCs w:val="18"/>
              </w:rPr>
              <w:t>造林（</w:t>
            </w:r>
            <w:r w:rsidRPr="000549B1">
              <w:rPr>
                <w:b/>
                <w:kern w:val="0"/>
                <w:sz w:val="18"/>
                <w:szCs w:val="18"/>
              </w:rPr>
              <w:t>hm</w:t>
            </w:r>
            <w:r w:rsidRPr="000549B1">
              <w:rPr>
                <w:b/>
                <w:kern w:val="0"/>
                <w:sz w:val="18"/>
                <w:szCs w:val="18"/>
                <w:vertAlign w:val="superscript"/>
              </w:rPr>
              <w:t>2</w:t>
            </w:r>
            <w:r w:rsidRPr="000549B1">
              <w:rPr>
                <w:b/>
                <w:kern w:val="0"/>
                <w:sz w:val="18"/>
                <w:szCs w:val="18"/>
              </w:rPr>
              <w:t>）</w:t>
            </w:r>
          </w:p>
        </w:tc>
        <w:tc>
          <w:tcPr>
            <w:tcW w:w="1725" w:type="pct"/>
            <w:tcBorders>
              <w:top w:val="single" w:sz="4" w:space="0" w:color="auto"/>
              <w:left w:val="single" w:sz="4" w:space="0" w:color="auto"/>
              <w:bottom w:val="single" w:sz="4" w:space="0" w:color="auto"/>
              <w:right w:val="single" w:sz="4" w:space="0" w:color="auto"/>
            </w:tcBorders>
            <w:noWrap/>
            <w:hideMark/>
          </w:tcPr>
          <w:p w14:paraId="79530251" w14:textId="77777777" w:rsidR="00652349" w:rsidRPr="000549B1" w:rsidRDefault="00652349" w:rsidP="0050757E">
            <w:pPr>
              <w:widowControl/>
              <w:jc w:val="center"/>
              <w:rPr>
                <w:b/>
                <w:kern w:val="0"/>
                <w:sz w:val="18"/>
                <w:szCs w:val="18"/>
              </w:rPr>
            </w:pPr>
            <w:r w:rsidRPr="000549B1">
              <w:rPr>
                <w:b/>
                <w:kern w:val="0"/>
                <w:sz w:val="18"/>
                <w:szCs w:val="18"/>
              </w:rPr>
              <w:t>乔木林</w:t>
            </w:r>
          </w:p>
        </w:tc>
        <w:tc>
          <w:tcPr>
            <w:tcW w:w="1984" w:type="pct"/>
            <w:tcBorders>
              <w:top w:val="single" w:sz="4" w:space="0" w:color="auto"/>
              <w:left w:val="single" w:sz="4" w:space="0" w:color="auto"/>
              <w:bottom w:val="single" w:sz="4" w:space="0" w:color="auto"/>
              <w:right w:val="single" w:sz="4" w:space="0" w:color="auto"/>
            </w:tcBorders>
            <w:hideMark/>
          </w:tcPr>
          <w:p w14:paraId="008CC7C1" w14:textId="77777777" w:rsidR="00652349" w:rsidRPr="000549B1" w:rsidRDefault="00652349" w:rsidP="0050757E">
            <w:pPr>
              <w:widowControl/>
              <w:jc w:val="center"/>
              <w:rPr>
                <w:b/>
                <w:kern w:val="0"/>
                <w:sz w:val="18"/>
                <w:szCs w:val="18"/>
              </w:rPr>
            </w:pPr>
            <w:r w:rsidRPr="000549B1">
              <w:rPr>
                <w:b/>
                <w:kern w:val="0"/>
                <w:sz w:val="18"/>
                <w:szCs w:val="18"/>
              </w:rPr>
              <w:t>1741.05</w:t>
            </w:r>
          </w:p>
        </w:tc>
      </w:tr>
      <w:tr w:rsidR="000549B1" w:rsidRPr="000549B1" w14:paraId="682EB3C4" w14:textId="77777777" w:rsidTr="00652349">
        <w:trPr>
          <w:trHeight w:val="330"/>
        </w:trPr>
        <w:tc>
          <w:tcPr>
            <w:tcW w:w="1291" w:type="pct"/>
            <w:vMerge/>
            <w:tcBorders>
              <w:top w:val="single" w:sz="4" w:space="0" w:color="auto"/>
              <w:left w:val="single" w:sz="4" w:space="0" w:color="auto"/>
              <w:bottom w:val="single" w:sz="4" w:space="0" w:color="auto"/>
              <w:right w:val="single" w:sz="4" w:space="0" w:color="auto"/>
            </w:tcBorders>
            <w:hideMark/>
          </w:tcPr>
          <w:p w14:paraId="7BDF8514" w14:textId="77777777" w:rsidR="00652349" w:rsidRPr="000549B1" w:rsidRDefault="00652349" w:rsidP="0050757E">
            <w:pPr>
              <w:widowControl/>
              <w:jc w:val="center"/>
              <w:rPr>
                <w:b/>
                <w:kern w:val="0"/>
                <w:sz w:val="18"/>
                <w:szCs w:val="18"/>
              </w:rPr>
            </w:pPr>
          </w:p>
        </w:tc>
        <w:tc>
          <w:tcPr>
            <w:tcW w:w="1725" w:type="pct"/>
            <w:tcBorders>
              <w:top w:val="single" w:sz="4" w:space="0" w:color="auto"/>
              <w:left w:val="single" w:sz="4" w:space="0" w:color="auto"/>
              <w:bottom w:val="single" w:sz="4" w:space="0" w:color="auto"/>
              <w:right w:val="single" w:sz="4" w:space="0" w:color="auto"/>
            </w:tcBorders>
            <w:noWrap/>
            <w:hideMark/>
          </w:tcPr>
          <w:p w14:paraId="490151EE" w14:textId="77777777" w:rsidR="00652349" w:rsidRPr="000549B1" w:rsidRDefault="00652349" w:rsidP="0050757E">
            <w:pPr>
              <w:widowControl/>
              <w:jc w:val="center"/>
              <w:rPr>
                <w:b/>
                <w:kern w:val="0"/>
                <w:sz w:val="18"/>
                <w:szCs w:val="18"/>
              </w:rPr>
            </w:pPr>
            <w:r w:rsidRPr="000549B1">
              <w:rPr>
                <w:b/>
                <w:kern w:val="0"/>
                <w:sz w:val="18"/>
                <w:szCs w:val="18"/>
              </w:rPr>
              <w:t>灌木林</w:t>
            </w:r>
          </w:p>
        </w:tc>
        <w:tc>
          <w:tcPr>
            <w:tcW w:w="1984" w:type="pct"/>
            <w:tcBorders>
              <w:top w:val="single" w:sz="4" w:space="0" w:color="auto"/>
              <w:left w:val="single" w:sz="4" w:space="0" w:color="auto"/>
              <w:bottom w:val="single" w:sz="4" w:space="0" w:color="auto"/>
              <w:right w:val="single" w:sz="4" w:space="0" w:color="auto"/>
            </w:tcBorders>
            <w:hideMark/>
          </w:tcPr>
          <w:p w14:paraId="52B0EADB" w14:textId="77777777" w:rsidR="00652349" w:rsidRPr="000549B1" w:rsidRDefault="00652349" w:rsidP="0050757E">
            <w:pPr>
              <w:widowControl/>
              <w:jc w:val="center"/>
              <w:rPr>
                <w:b/>
                <w:kern w:val="0"/>
                <w:sz w:val="18"/>
                <w:szCs w:val="18"/>
              </w:rPr>
            </w:pPr>
            <w:r w:rsidRPr="000549B1">
              <w:rPr>
                <w:b/>
                <w:kern w:val="0"/>
                <w:sz w:val="18"/>
                <w:szCs w:val="18"/>
              </w:rPr>
              <w:t>1159.67</w:t>
            </w:r>
          </w:p>
        </w:tc>
      </w:tr>
      <w:tr w:rsidR="000549B1" w:rsidRPr="000549B1" w14:paraId="21F6EFD4" w14:textId="77777777" w:rsidTr="00652349">
        <w:trPr>
          <w:trHeight w:val="330"/>
        </w:trPr>
        <w:tc>
          <w:tcPr>
            <w:tcW w:w="3016" w:type="pct"/>
            <w:gridSpan w:val="2"/>
            <w:tcBorders>
              <w:top w:val="single" w:sz="4" w:space="0" w:color="auto"/>
              <w:left w:val="single" w:sz="4" w:space="0" w:color="auto"/>
              <w:bottom w:val="single" w:sz="4" w:space="0" w:color="auto"/>
              <w:right w:val="single" w:sz="4" w:space="0" w:color="auto"/>
            </w:tcBorders>
            <w:hideMark/>
          </w:tcPr>
          <w:p w14:paraId="62B348BB" w14:textId="77777777" w:rsidR="00652349" w:rsidRPr="000549B1" w:rsidRDefault="00652349" w:rsidP="0050757E">
            <w:pPr>
              <w:widowControl/>
              <w:jc w:val="center"/>
              <w:rPr>
                <w:b/>
                <w:kern w:val="0"/>
                <w:sz w:val="18"/>
                <w:szCs w:val="18"/>
              </w:rPr>
            </w:pPr>
            <w:r w:rsidRPr="000549B1">
              <w:rPr>
                <w:b/>
                <w:kern w:val="0"/>
                <w:sz w:val="18"/>
                <w:szCs w:val="18"/>
              </w:rPr>
              <w:t>种草（</w:t>
            </w:r>
            <w:r w:rsidRPr="000549B1">
              <w:rPr>
                <w:b/>
                <w:kern w:val="0"/>
                <w:sz w:val="18"/>
                <w:szCs w:val="18"/>
              </w:rPr>
              <w:t>hm</w:t>
            </w:r>
            <w:r w:rsidRPr="000549B1">
              <w:rPr>
                <w:b/>
                <w:kern w:val="0"/>
                <w:sz w:val="18"/>
                <w:szCs w:val="18"/>
                <w:vertAlign w:val="superscript"/>
              </w:rPr>
              <w:t>2</w:t>
            </w:r>
            <w:r w:rsidRPr="000549B1">
              <w:rPr>
                <w:b/>
                <w:kern w:val="0"/>
                <w:sz w:val="18"/>
                <w:szCs w:val="18"/>
              </w:rPr>
              <w:t>）</w:t>
            </w:r>
          </w:p>
        </w:tc>
        <w:tc>
          <w:tcPr>
            <w:tcW w:w="1984" w:type="pct"/>
            <w:tcBorders>
              <w:top w:val="single" w:sz="4" w:space="0" w:color="auto"/>
              <w:left w:val="single" w:sz="4" w:space="0" w:color="auto"/>
              <w:bottom w:val="single" w:sz="4" w:space="0" w:color="auto"/>
              <w:right w:val="single" w:sz="4" w:space="0" w:color="auto"/>
            </w:tcBorders>
            <w:hideMark/>
          </w:tcPr>
          <w:p w14:paraId="12FA28AB" w14:textId="77777777" w:rsidR="00652349" w:rsidRPr="000549B1" w:rsidRDefault="00652349" w:rsidP="0050757E">
            <w:pPr>
              <w:widowControl/>
              <w:jc w:val="center"/>
              <w:rPr>
                <w:b/>
                <w:kern w:val="0"/>
                <w:sz w:val="18"/>
                <w:szCs w:val="18"/>
              </w:rPr>
            </w:pPr>
            <w:r w:rsidRPr="000549B1">
              <w:rPr>
                <w:b/>
                <w:kern w:val="0"/>
                <w:sz w:val="18"/>
                <w:szCs w:val="18"/>
              </w:rPr>
              <w:t>19264.07</w:t>
            </w:r>
          </w:p>
        </w:tc>
      </w:tr>
      <w:tr w:rsidR="000549B1" w:rsidRPr="000549B1" w14:paraId="0126A457" w14:textId="77777777" w:rsidTr="00652349">
        <w:trPr>
          <w:trHeight w:val="330"/>
        </w:trPr>
        <w:tc>
          <w:tcPr>
            <w:tcW w:w="3016" w:type="pct"/>
            <w:gridSpan w:val="2"/>
            <w:tcBorders>
              <w:top w:val="single" w:sz="4" w:space="0" w:color="auto"/>
              <w:left w:val="single" w:sz="4" w:space="0" w:color="auto"/>
              <w:bottom w:val="single" w:sz="4" w:space="0" w:color="auto"/>
              <w:right w:val="single" w:sz="4" w:space="0" w:color="auto"/>
            </w:tcBorders>
            <w:hideMark/>
          </w:tcPr>
          <w:p w14:paraId="195B6B57" w14:textId="77777777" w:rsidR="00652349" w:rsidRPr="000549B1" w:rsidRDefault="00652349" w:rsidP="0050757E">
            <w:pPr>
              <w:widowControl/>
              <w:jc w:val="center"/>
              <w:rPr>
                <w:b/>
                <w:kern w:val="0"/>
                <w:sz w:val="18"/>
                <w:szCs w:val="18"/>
              </w:rPr>
            </w:pPr>
            <w:r w:rsidRPr="000549B1">
              <w:rPr>
                <w:b/>
                <w:kern w:val="0"/>
                <w:sz w:val="18"/>
                <w:szCs w:val="18"/>
              </w:rPr>
              <w:t>退化林修复（</w:t>
            </w:r>
            <w:r w:rsidRPr="000549B1">
              <w:rPr>
                <w:b/>
                <w:kern w:val="0"/>
                <w:sz w:val="18"/>
                <w:szCs w:val="18"/>
              </w:rPr>
              <w:t>hm</w:t>
            </w:r>
            <w:r w:rsidRPr="000549B1">
              <w:rPr>
                <w:b/>
                <w:kern w:val="0"/>
                <w:sz w:val="18"/>
                <w:szCs w:val="18"/>
                <w:vertAlign w:val="superscript"/>
              </w:rPr>
              <w:t>2</w:t>
            </w:r>
            <w:r w:rsidRPr="000549B1">
              <w:rPr>
                <w:b/>
                <w:kern w:val="0"/>
                <w:sz w:val="18"/>
                <w:szCs w:val="18"/>
              </w:rPr>
              <w:t>）</w:t>
            </w:r>
          </w:p>
        </w:tc>
        <w:tc>
          <w:tcPr>
            <w:tcW w:w="1984" w:type="pct"/>
            <w:tcBorders>
              <w:top w:val="single" w:sz="4" w:space="0" w:color="auto"/>
              <w:left w:val="single" w:sz="4" w:space="0" w:color="auto"/>
              <w:bottom w:val="single" w:sz="4" w:space="0" w:color="auto"/>
              <w:right w:val="single" w:sz="4" w:space="0" w:color="auto"/>
            </w:tcBorders>
            <w:hideMark/>
          </w:tcPr>
          <w:p w14:paraId="63319B7B" w14:textId="77777777" w:rsidR="00652349" w:rsidRPr="000549B1" w:rsidRDefault="00652349" w:rsidP="0050757E">
            <w:pPr>
              <w:widowControl/>
              <w:jc w:val="center"/>
              <w:rPr>
                <w:b/>
                <w:kern w:val="0"/>
                <w:sz w:val="18"/>
                <w:szCs w:val="18"/>
              </w:rPr>
            </w:pPr>
            <w:r w:rsidRPr="000549B1">
              <w:rPr>
                <w:b/>
                <w:kern w:val="0"/>
                <w:sz w:val="18"/>
                <w:szCs w:val="18"/>
              </w:rPr>
              <w:t>1771.87</w:t>
            </w:r>
          </w:p>
        </w:tc>
      </w:tr>
      <w:tr w:rsidR="000549B1" w:rsidRPr="000549B1" w14:paraId="61BA7F5A" w14:textId="77777777" w:rsidTr="00652349">
        <w:trPr>
          <w:trHeight w:val="330"/>
        </w:trPr>
        <w:tc>
          <w:tcPr>
            <w:tcW w:w="3016" w:type="pct"/>
            <w:gridSpan w:val="2"/>
            <w:tcBorders>
              <w:top w:val="single" w:sz="4" w:space="0" w:color="auto"/>
              <w:left w:val="single" w:sz="4" w:space="0" w:color="auto"/>
              <w:bottom w:val="single" w:sz="4" w:space="0" w:color="auto"/>
              <w:right w:val="single" w:sz="4" w:space="0" w:color="auto"/>
            </w:tcBorders>
            <w:hideMark/>
          </w:tcPr>
          <w:p w14:paraId="427B4B3D" w14:textId="77777777" w:rsidR="00652349" w:rsidRPr="000549B1" w:rsidRDefault="00652349" w:rsidP="0050757E">
            <w:pPr>
              <w:widowControl/>
              <w:jc w:val="center"/>
              <w:rPr>
                <w:b/>
                <w:kern w:val="0"/>
                <w:sz w:val="18"/>
                <w:szCs w:val="18"/>
              </w:rPr>
            </w:pPr>
            <w:r w:rsidRPr="000549B1">
              <w:rPr>
                <w:b/>
                <w:kern w:val="0"/>
                <w:sz w:val="18"/>
                <w:szCs w:val="18"/>
              </w:rPr>
              <w:t>封育（</w:t>
            </w:r>
            <w:r w:rsidRPr="000549B1">
              <w:rPr>
                <w:b/>
                <w:kern w:val="0"/>
                <w:sz w:val="18"/>
                <w:szCs w:val="18"/>
              </w:rPr>
              <w:t>hm</w:t>
            </w:r>
            <w:r w:rsidRPr="000549B1">
              <w:rPr>
                <w:b/>
                <w:kern w:val="0"/>
                <w:sz w:val="18"/>
                <w:szCs w:val="18"/>
                <w:vertAlign w:val="superscript"/>
              </w:rPr>
              <w:t>2</w:t>
            </w:r>
            <w:r w:rsidRPr="000549B1">
              <w:rPr>
                <w:b/>
                <w:kern w:val="0"/>
                <w:sz w:val="18"/>
                <w:szCs w:val="18"/>
              </w:rPr>
              <w:t>）</w:t>
            </w:r>
          </w:p>
        </w:tc>
        <w:tc>
          <w:tcPr>
            <w:tcW w:w="1984" w:type="pct"/>
            <w:tcBorders>
              <w:top w:val="single" w:sz="4" w:space="0" w:color="auto"/>
              <w:left w:val="single" w:sz="4" w:space="0" w:color="auto"/>
              <w:bottom w:val="single" w:sz="4" w:space="0" w:color="auto"/>
              <w:right w:val="single" w:sz="4" w:space="0" w:color="auto"/>
            </w:tcBorders>
            <w:hideMark/>
          </w:tcPr>
          <w:p w14:paraId="0F022E65" w14:textId="77777777" w:rsidR="00652349" w:rsidRPr="000549B1" w:rsidRDefault="00652349" w:rsidP="0050757E">
            <w:pPr>
              <w:widowControl/>
              <w:jc w:val="center"/>
              <w:rPr>
                <w:b/>
                <w:kern w:val="0"/>
                <w:sz w:val="18"/>
                <w:szCs w:val="18"/>
              </w:rPr>
            </w:pPr>
            <w:r w:rsidRPr="000549B1">
              <w:rPr>
                <w:b/>
                <w:kern w:val="0"/>
                <w:sz w:val="18"/>
                <w:szCs w:val="18"/>
              </w:rPr>
              <w:t>5710.53</w:t>
            </w:r>
          </w:p>
        </w:tc>
      </w:tr>
      <w:tr w:rsidR="000549B1" w:rsidRPr="000549B1" w14:paraId="53CAFDC4" w14:textId="77777777" w:rsidTr="00652349">
        <w:trPr>
          <w:trHeight w:val="330"/>
        </w:trPr>
        <w:tc>
          <w:tcPr>
            <w:tcW w:w="3016" w:type="pct"/>
            <w:gridSpan w:val="2"/>
            <w:tcBorders>
              <w:top w:val="single" w:sz="4" w:space="0" w:color="auto"/>
              <w:left w:val="single" w:sz="4" w:space="0" w:color="auto"/>
              <w:bottom w:val="single" w:sz="4" w:space="0" w:color="auto"/>
              <w:right w:val="single" w:sz="4" w:space="0" w:color="auto"/>
            </w:tcBorders>
            <w:hideMark/>
          </w:tcPr>
          <w:p w14:paraId="4AB49568" w14:textId="77777777" w:rsidR="00652349" w:rsidRPr="000549B1" w:rsidRDefault="00652349" w:rsidP="0050757E">
            <w:pPr>
              <w:widowControl/>
              <w:jc w:val="center"/>
              <w:rPr>
                <w:b/>
                <w:kern w:val="0"/>
                <w:sz w:val="18"/>
                <w:szCs w:val="18"/>
              </w:rPr>
            </w:pPr>
            <w:r w:rsidRPr="000549B1">
              <w:rPr>
                <w:b/>
                <w:kern w:val="0"/>
                <w:sz w:val="18"/>
                <w:szCs w:val="18"/>
              </w:rPr>
              <w:t>网围栏</w:t>
            </w:r>
            <w:r w:rsidRPr="000549B1">
              <w:rPr>
                <w:b/>
                <w:kern w:val="0"/>
                <w:sz w:val="18"/>
                <w:szCs w:val="18"/>
              </w:rPr>
              <w:t>km</w:t>
            </w:r>
          </w:p>
        </w:tc>
        <w:tc>
          <w:tcPr>
            <w:tcW w:w="1984" w:type="pct"/>
            <w:tcBorders>
              <w:top w:val="single" w:sz="4" w:space="0" w:color="auto"/>
              <w:left w:val="single" w:sz="4" w:space="0" w:color="auto"/>
              <w:bottom w:val="single" w:sz="4" w:space="0" w:color="auto"/>
              <w:right w:val="single" w:sz="4" w:space="0" w:color="auto"/>
            </w:tcBorders>
            <w:hideMark/>
          </w:tcPr>
          <w:p w14:paraId="0CD49E56" w14:textId="77777777" w:rsidR="00652349" w:rsidRPr="000549B1" w:rsidRDefault="00652349" w:rsidP="0050757E">
            <w:pPr>
              <w:widowControl/>
              <w:jc w:val="center"/>
              <w:rPr>
                <w:b/>
                <w:kern w:val="0"/>
                <w:sz w:val="18"/>
                <w:szCs w:val="18"/>
              </w:rPr>
            </w:pPr>
            <w:r w:rsidRPr="000549B1">
              <w:rPr>
                <w:b/>
                <w:kern w:val="0"/>
                <w:sz w:val="18"/>
                <w:szCs w:val="18"/>
              </w:rPr>
              <w:t>223</w:t>
            </w:r>
          </w:p>
        </w:tc>
      </w:tr>
      <w:tr w:rsidR="000549B1" w:rsidRPr="000549B1" w14:paraId="28684E09" w14:textId="77777777" w:rsidTr="00652349">
        <w:trPr>
          <w:trHeight w:val="330"/>
        </w:trPr>
        <w:tc>
          <w:tcPr>
            <w:tcW w:w="3016" w:type="pct"/>
            <w:gridSpan w:val="2"/>
            <w:tcBorders>
              <w:top w:val="single" w:sz="4" w:space="0" w:color="auto"/>
              <w:left w:val="single" w:sz="4" w:space="0" w:color="auto"/>
              <w:bottom w:val="single" w:sz="4" w:space="0" w:color="auto"/>
              <w:right w:val="single" w:sz="4" w:space="0" w:color="auto"/>
            </w:tcBorders>
            <w:hideMark/>
          </w:tcPr>
          <w:p w14:paraId="2D762EB5" w14:textId="77777777" w:rsidR="00652349" w:rsidRPr="000549B1" w:rsidRDefault="00652349" w:rsidP="0050757E">
            <w:pPr>
              <w:widowControl/>
              <w:jc w:val="center"/>
              <w:rPr>
                <w:b/>
                <w:kern w:val="0"/>
                <w:sz w:val="18"/>
                <w:szCs w:val="18"/>
              </w:rPr>
            </w:pPr>
            <w:r w:rsidRPr="000549B1">
              <w:rPr>
                <w:b/>
                <w:kern w:val="0"/>
                <w:sz w:val="18"/>
                <w:szCs w:val="18"/>
              </w:rPr>
              <w:t>谷坊（座）</w:t>
            </w:r>
          </w:p>
        </w:tc>
        <w:tc>
          <w:tcPr>
            <w:tcW w:w="1984" w:type="pct"/>
            <w:tcBorders>
              <w:top w:val="single" w:sz="4" w:space="0" w:color="auto"/>
              <w:left w:val="single" w:sz="4" w:space="0" w:color="auto"/>
              <w:bottom w:val="single" w:sz="4" w:space="0" w:color="auto"/>
              <w:right w:val="single" w:sz="4" w:space="0" w:color="auto"/>
            </w:tcBorders>
            <w:hideMark/>
          </w:tcPr>
          <w:p w14:paraId="29EA9BD0" w14:textId="77777777" w:rsidR="00652349" w:rsidRPr="000549B1" w:rsidRDefault="00652349" w:rsidP="0050757E">
            <w:pPr>
              <w:widowControl/>
              <w:jc w:val="center"/>
              <w:rPr>
                <w:b/>
                <w:kern w:val="0"/>
                <w:sz w:val="18"/>
                <w:szCs w:val="18"/>
              </w:rPr>
            </w:pPr>
            <w:r w:rsidRPr="000549B1">
              <w:rPr>
                <w:b/>
                <w:kern w:val="0"/>
                <w:sz w:val="18"/>
                <w:szCs w:val="18"/>
              </w:rPr>
              <w:t>697</w:t>
            </w:r>
          </w:p>
        </w:tc>
      </w:tr>
    </w:tbl>
    <w:bookmarkEnd w:id="154"/>
    <w:p w14:paraId="7BBCDF30" w14:textId="77777777" w:rsidR="00054437" w:rsidRPr="000549B1" w:rsidRDefault="00000000" w:rsidP="000549B1">
      <w:pPr>
        <w:pStyle w:val="Z4"/>
        <w:rPr>
          <w:color w:val="auto"/>
        </w:rPr>
      </w:pPr>
      <w:r w:rsidRPr="000549B1">
        <w:rPr>
          <w:color w:val="auto"/>
        </w:rPr>
        <w:t>水生态保护规划</w:t>
      </w:r>
    </w:p>
    <w:p w14:paraId="282DF8D8" w14:textId="7303C606" w:rsidR="00054437" w:rsidRPr="000549B1" w:rsidRDefault="002F2485" w:rsidP="000549B1">
      <w:pPr>
        <w:pStyle w:val="x"/>
      </w:pPr>
      <w:r w:rsidRPr="000549B1">
        <w:rPr>
          <w:rStyle w:val="Z4CharChar"/>
          <w:rFonts w:eastAsia="宋体" w:hint="eastAsia"/>
          <w:b w:val="0"/>
          <w:bCs w:val="0"/>
          <w:color w:val="auto"/>
          <w:sz w:val="24"/>
          <w:szCs w:val="20"/>
        </w:rPr>
        <w:t>（</w:t>
      </w:r>
      <w:r w:rsidRPr="000549B1">
        <w:rPr>
          <w:rStyle w:val="Z4CharChar"/>
          <w:rFonts w:eastAsia="宋体"/>
          <w:b w:val="0"/>
          <w:bCs w:val="0"/>
          <w:color w:val="auto"/>
          <w:sz w:val="24"/>
          <w:szCs w:val="20"/>
        </w:rPr>
        <w:t>1</w:t>
      </w:r>
      <w:r w:rsidRPr="000549B1">
        <w:rPr>
          <w:rFonts w:hint="eastAsia"/>
        </w:rPr>
        <w:t>）规划任务与布局</w:t>
      </w:r>
    </w:p>
    <w:p w14:paraId="31F6375D" w14:textId="77777777" w:rsidR="00054437" w:rsidRPr="000549B1" w:rsidRDefault="00000000">
      <w:pPr>
        <w:pStyle w:val="x"/>
      </w:pPr>
      <w:r w:rsidRPr="000549B1">
        <w:t>根据沙珠玉河流域《综合规划》的定位，本次水生态保护规划以恢复和保护流域水生生态系统功能为核心任务。主要任务包括保障河道生态基流、维护重点河段和重要栖息地的水量需求，修复濒危鱼类（如花斑裸鲤和茶卡高原鳅）产卵场和越冬场，改善水质条件，恢复河道自然连通性。规划强调</w:t>
      </w:r>
      <w:r w:rsidRPr="000549B1">
        <w:rPr>
          <w:rFonts w:ascii="宋体" w:hAnsi="宋体"/>
        </w:rPr>
        <w:t>“</w:t>
      </w:r>
      <w:r w:rsidRPr="000549B1">
        <w:t>生态优先</w:t>
      </w:r>
      <w:r w:rsidRPr="000549B1">
        <w:rPr>
          <w:rFonts w:ascii="宋体" w:hAnsi="宋体"/>
        </w:rPr>
        <w:t>”</w:t>
      </w:r>
      <w:r w:rsidRPr="000549B1">
        <w:t>，统筹发展与保护，对流域不同区域划定功能区。沙珠玉河干流及上游切吉河等关键河段被确定为生态保护重点区域，严禁在这些区域内进行破坏性开发（如新建拦河坝、小水电等），以保障水生态安全。其他次要支流也应以保护河道连通性、水流连续性为主，禁止不合理开发，确保整体河流系统的连通与稳定。总体而言，规划任务聚焦于落实生态流量、保护重要生物栖息地和维护水环境质量，形成</w:t>
      </w:r>
      <w:r w:rsidRPr="000549B1">
        <w:rPr>
          <w:rFonts w:ascii="宋体" w:hAnsi="宋体"/>
        </w:rPr>
        <w:t>“</w:t>
      </w:r>
      <w:r w:rsidRPr="000549B1">
        <w:t>一核多片</w:t>
      </w:r>
      <w:r w:rsidRPr="000549B1">
        <w:rPr>
          <w:rFonts w:ascii="宋体" w:hAnsi="宋体"/>
        </w:rPr>
        <w:t>”</w:t>
      </w:r>
      <w:r w:rsidRPr="000549B1">
        <w:t>保护格局，既满足流域生态安全需要，又与地方生产协调发展。</w:t>
      </w:r>
    </w:p>
    <w:p w14:paraId="501C369F" w14:textId="1A2F17CB" w:rsidR="00054437" w:rsidRPr="000549B1" w:rsidRDefault="002F2485" w:rsidP="000549B1">
      <w:pPr>
        <w:pStyle w:val="x"/>
      </w:pPr>
      <w:r w:rsidRPr="000549B1">
        <w:rPr>
          <w:rFonts w:hint="eastAsia"/>
        </w:rPr>
        <w:t>（</w:t>
      </w:r>
      <w:r w:rsidRPr="000549B1">
        <w:rPr>
          <w:rFonts w:hint="eastAsia"/>
        </w:rPr>
        <w:t>2</w:t>
      </w:r>
      <w:r w:rsidRPr="000549B1">
        <w:rPr>
          <w:rFonts w:hint="eastAsia"/>
        </w:rPr>
        <w:t>）</w:t>
      </w:r>
      <w:r w:rsidRPr="000549B1">
        <w:t>重大工程及建设方式</w:t>
      </w:r>
    </w:p>
    <w:p w14:paraId="4DB6C107" w14:textId="77777777" w:rsidR="00054437" w:rsidRPr="000549B1" w:rsidRDefault="00000000">
      <w:pPr>
        <w:pStyle w:val="x"/>
      </w:pPr>
      <w:r w:rsidRPr="000549B1">
        <w:t>为实现上述目标，规划提出多项关键工程和治理措施，采取</w:t>
      </w:r>
      <w:r w:rsidRPr="000549B1">
        <w:rPr>
          <w:rFonts w:ascii="宋体" w:hAnsi="宋体"/>
        </w:rPr>
        <w:t>“</w:t>
      </w:r>
      <w:r w:rsidRPr="000549B1">
        <w:t>自然恢复与系统治理并举</w:t>
      </w:r>
      <w:r w:rsidRPr="000549B1">
        <w:rPr>
          <w:rFonts w:ascii="宋体" w:hAnsi="宋体"/>
        </w:rPr>
        <w:t>”</w:t>
      </w:r>
      <w:r w:rsidRPr="000549B1">
        <w:t>的方式，推动流域生态修复。主要工程措施包括：</w:t>
      </w:r>
    </w:p>
    <w:p w14:paraId="77180600" w14:textId="77777777" w:rsidR="00054437" w:rsidRPr="000549B1" w:rsidRDefault="00000000">
      <w:pPr>
        <w:pStyle w:val="x"/>
      </w:pPr>
      <w:r w:rsidRPr="000549B1">
        <w:rPr>
          <w:b/>
          <w:bCs/>
        </w:rPr>
        <w:t>生态流量调控工程</w:t>
      </w:r>
      <w:r w:rsidRPr="000549B1">
        <w:t>：改造现有水库和引调水工程，增设生态泄流设施（如基流墩、泄水装置、基流管道等），并在枯水年限降低引水强度，确保下泄生态流量。同时，对流域内不符合生态保护要求的小型水电站进行整改或拆除，保持重点河段河流连续性。</w:t>
      </w:r>
    </w:p>
    <w:p w14:paraId="6FAB33BF" w14:textId="77777777" w:rsidR="00054437" w:rsidRPr="000549B1" w:rsidRDefault="00000000">
      <w:pPr>
        <w:pStyle w:val="x"/>
      </w:pPr>
      <w:r w:rsidRPr="000549B1">
        <w:rPr>
          <w:b/>
          <w:bCs/>
        </w:rPr>
        <w:t>河道疏浚与连通性恢复</w:t>
      </w:r>
      <w:r w:rsidRPr="000549B1">
        <w:t>：对沙珠玉河干流及切吉河等断流频发河段实施疏浚工程，清理淤积，加强河床稳定，恢复河道连通性。清淤后恢复水生植物群落，重建适宜的缓流滩间和岸边植被，为鱼类提供产卵和索饵场所。</w:t>
      </w:r>
    </w:p>
    <w:p w14:paraId="15ED0912" w14:textId="77777777" w:rsidR="00054437" w:rsidRPr="000549B1" w:rsidRDefault="00000000">
      <w:pPr>
        <w:pStyle w:val="x"/>
      </w:pPr>
      <w:r w:rsidRPr="000549B1">
        <w:rPr>
          <w:b/>
          <w:bCs/>
        </w:rPr>
        <w:t>鱼类栖息地工程</w:t>
      </w:r>
      <w:r w:rsidRPr="000549B1">
        <w:t>：重点修复和增设鱼类产卵场、越冬场等生物工程设施，对河岸进行生态硬化处理或设置鱼道，保护花斑裸鲤和茶卡高原鳅等特有鱼种的繁殖环境。对已经退化的湿地和水域，采取工程与植被结合的方式进行恢复。</w:t>
      </w:r>
    </w:p>
    <w:p w14:paraId="4181B38F" w14:textId="77777777" w:rsidR="00054437" w:rsidRPr="000549B1" w:rsidRDefault="00000000">
      <w:pPr>
        <w:pStyle w:val="x"/>
      </w:pPr>
      <w:r w:rsidRPr="000549B1">
        <w:rPr>
          <w:b/>
          <w:bCs/>
        </w:rPr>
        <w:t>岸线生态带与廊道建设</w:t>
      </w:r>
      <w:r w:rsidRPr="000549B1">
        <w:t>：沿沙珠玉河干支流两岸实施绿色生态廊道建设，通过河湖岸线复绿、湿地修复和植被恢复等措施，形成</w:t>
      </w:r>
      <w:r w:rsidRPr="000549B1">
        <w:rPr>
          <w:rFonts w:ascii="宋体" w:hAnsi="宋体"/>
        </w:rPr>
        <w:t>“</w:t>
      </w:r>
      <w:r w:rsidRPr="000549B1">
        <w:t>自然涵养型</w:t>
      </w:r>
      <w:r w:rsidRPr="000549B1">
        <w:rPr>
          <w:rFonts w:ascii="宋体" w:hAnsi="宋体"/>
        </w:rPr>
        <w:t>”“</w:t>
      </w:r>
      <w:r w:rsidRPr="000549B1">
        <w:t>生境保护型</w:t>
      </w:r>
      <w:r w:rsidRPr="000549B1">
        <w:rPr>
          <w:rFonts w:ascii="宋体" w:hAnsi="宋体"/>
        </w:rPr>
        <w:t>”“</w:t>
      </w:r>
      <w:r w:rsidRPr="000549B1">
        <w:t>蓝绿融合型</w:t>
      </w:r>
      <w:r w:rsidRPr="000549B1">
        <w:rPr>
          <w:rFonts w:ascii="宋体" w:hAnsi="宋体"/>
        </w:rPr>
        <w:t>”</w:t>
      </w:r>
      <w:r w:rsidRPr="000549B1">
        <w:t>三大类生态廊道。其中，自然涵养型重点保护源头区与湖泊，自由发展植被；生境保护型重点在稀有鱼类分布区开展生态护岸与治理河道；蓝绿融合型在城镇和耕地沿岸构建生态堤岸和亲水岸线，实现城镇绿色发展与河流生态恢复相结合。</w:t>
      </w:r>
    </w:p>
    <w:p w14:paraId="27D23B62" w14:textId="77777777" w:rsidR="00054437" w:rsidRPr="000549B1" w:rsidRDefault="00000000">
      <w:pPr>
        <w:pStyle w:val="x"/>
      </w:pPr>
      <w:r w:rsidRPr="000549B1">
        <w:rPr>
          <w:b/>
          <w:bCs/>
        </w:rPr>
        <w:t>绿色改造与综合治理</w:t>
      </w:r>
      <w:r w:rsidRPr="000549B1">
        <w:t>：对现有梯级水库群和灌区进行绿色升级，在维护功能的同时，修复水库库岸生态隔离带；加快退耕还草、退牧还草和围栏禁牧等林草防护工程，提升水源涵养能力。小水电站改造纳入规划，实施节能减排和生态修复（如库区植被恢复、河道留鱼通道建设）。在水质方面，通过完善监测预警、污染源治理和建设人工湿地等工程，逐步提高流域水体自净能力。</w:t>
      </w:r>
    </w:p>
    <w:p w14:paraId="473CEE8D" w14:textId="77777777" w:rsidR="00054437" w:rsidRPr="000549B1" w:rsidRDefault="00000000">
      <w:pPr>
        <w:pStyle w:val="x"/>
      </w:pPr>
      <w:r w:rsidRPr="000549B1">
        <w:rPr>
          <w:b/>
          <w:bCs/>
        </w:rPr>
        <w:t>监测与管理体系建设</w:t>
      </w:r>
      <w:r w:rsidRPr="000549B1">
        <w:t>：完善流域水生态监测网络，建立重点河段和生态目标物种的长期监测站点，对生态流量、水质、鱼类种群等进行实时监控。各项目工程配套数据传输装置，实现水生态信息化管理。强化跨部门协调机制，落实河湖长制责任，确保各项水生态保护工程有效运行和动态评估。</w:t>
      </w:r>
    </w:p>
    <w:p w14:paraId="01F7DC5E" w14:textId="199F2260" w:rsidR="00054437" w:rsidRPr="000549B1" w:rsidRDefault="002F2485" w:rsidP="000549B1">
      <w:pPr>
        <w:pStyle w:val="x"/>
      </w:pPr>
      <w:r w:rsidRPr="000549B1">
        <w:rPr>
          <w:rFonts w:hint="eastAsia"/>
        </w:rPr>
        <w:t>（</w:t>
      </w:r>
      <w:r w:rsidRPr="000549B1">
        <w:rPr>
          <w:rFonts w:hint="eastAsia"/>
        </w:rPr>
        <w:t>3</w:t>
      </w:r>
      <w:r w:rsidRPr="000549B1">
        <w:rPr>
          <w:rFonts w:hint="eastAsia"/>
        </w:rPr>
        <w:t>）</w:t>
      </w:r>
      <w:r w:rsidRPr="000549B1">
        <w:t>时序安排与近远期实施意见</w:t>
      </w:r>
    </w:p>
    <w:p w14:paraId="079869CC" w14:textId="77777777" w:rsidR="00054437" w:rsidRPr="000549B1" w:rsidRDefault="00000000">
      <w:pPr>
        <w:pStyle w:val="x"/>
      </w:pPr>
      <w:r w:rsidRPr="000549B1">
        <w:t>规划明确分阶段实施思路。近期（</w:t>
      </w:r>
      <w:r w:rsidRPr="000549B1">
        <w:rPr>
          <w:rFonts w:ascii="宋体" w:hAnsi="宋体"/>
        </w:rPr>
        <w:t>“</w:t>
      </w:r>
      <w:r w:rsidRPr="000549B1">
        <w:t>十四五</w:t>
      </w:r>
      <w:r w:rsidRPr="000549B1">
        <w:rPr>
          <w:rFonts w:ascii="宋体" w:hAnsi="宋体"/>
        </w:rPr>
        <w:t>”</w:t>
      </w:r>
      <w:r w:rsidRPr="000549B1">
        <w:t>期间）将重点抓好基础保障和重点修复工程：首先确保生态基流和生态流量落实，通过水库调度和河道优先补水等举措实现全年生态用水；保护和恢复现有关键鱼类栖息地，立项启动切吉河水库尾等重点产卵场的生态工程；推进小水电站分类整改和绿色改造，遏制生态断流问题。同时开展应急监测与宣教，在治理试点区域推广生态保护经验。</w:t>
      </w:r>
    </w:p>
    <w:p w14:paraId="7D1F7107" w14:textId="77777777" w:rsidR="00054437" w:rsidRPr="000549B1" w:rsidRDefault="00000000">
      <w:pPr>
        <w:pStyle w:val="x"/>
      </w:pPr>
      <w:r w:rsidRPr="000549B1">
        <w:t>中远期将系统推进流域生态廊道与景观恢复工程：持续开展河湖岸线整治和湿地连通项目，构建跨年补水机制，逐步消除河流生态功能瓶颈。规划提出逐步优化生态流量调度方案，将生态流量需求作为硬约束，依托水源工程配套措施保障河流水量平衡。在植被恢复和退化草地综合治理方面，将逐年扩大退耕还草规模和植被恢复面积，稳步提升水源涵养能力。全过程实行精细化管理和监测评估，对生态工程效果进行动态评价和修正。通过分期建设和</w:t>
      </w:r>
      <w:r w:rsidRPr="000549B1">
        <w:rPr>
          <w:rFonts w:ascii="宋体" w:hAnsi="宋体"/>
        </w:rPr>
        <w:t>“</w:t>
      </w:r>
      <w:r w:rsidRPr="000549B1">
        <w:t>先易后难</w:t>
      </w:r>
      <w:r w:rsidRPr="000549B1">
        <w:rPr>
          <w:rFonts w:ascii="宋体" w:hAnsi="宋体"/>
        </w:rPr>
        <w:t>”</w:t>
      </w:r>
      <w:r w:rsidRPr="000549B1">
        <w:t>的原则，确保近期见效、中长期可持续，逐步实现沙珠玉河流域水生态环境的全面改善。</w:t>
      </w:r>
    </w:p>
    <w:p w14:paraId="17CB40C8" w14:textId="77777777" w:rsidR="00054437" w:rsidRPr="000549B1" w:rsidRDefault="00000000" w:rsidP="000549B1">
      <w:pPr>
        <w:pStyle w:val="Z4"/>
        <w:rPr>
          <w:color w:val="auto"/>
        </w:rPr>
      </w:pPr>
      <w:r w:rsidRPr="000549B1">
        <w:rPr>
          <w:color w:val="auto"/>
        </w:rPr>
        <w:t>节约用水规划</w:t>
      </w:r>
    </w:p>
    <w:p w14:paraId="33B2D453" w14:textId="73D5F496" w:rsidR="00054437" w:rsidRPr="000549B1" w:rsidRDefault="002F2485" w:rsidP="000549B1">
      <w:pPr>
        <w:pStyle w:val="x"/>
      </w:pPr>
      <w:r w:rsidRPr="000549B1">
        <w:rPr>
          <w:rFonts w:hint="eastAsia"/>
        </w:rPr>
        <w:t>（</w:t>
      </w:r>
      <w:r w:rsidRPr="000549B1">
        <w:rPr>
          <w:rFonts w:hint="eastAsia"/>
        </w:rPr>
        <w:t>1</w:t>
      </w:r>
      <w:r w:rsidRPr="000549B1">
        <w:rPr>
          <w:rFonts w:hint="eastAsia"/>
        </w:rPr>
        <w:t>）</w:t>
      </w:r>
      <w:r w:rsidRPr="000549B1">
        <w:t>规划背景</w:t>
      </w:r>
    </w:p>
    <w:p w14:paraId="6E8847FF" w14:textId="77777777" w:rsidR="00054437" w:rsidRPr="000549B1" w:rsidRDefault="00000000">
      <w:pPr>
        <w:pStyle w:val="x"/>
      </w:pPr>
      <w:r w:rsidRPr="000549B1">
        <w:t>针对沙珠玉河流域水资源利用效率提升而制定的专项规划。其核心目的是通过系统性的节水措施，缓解流域水资源供需矛盾，支撑区域可持续发展。规划以</w:t>
      </w:r>
      <w:r w:rsidRPr="000549B1">
        <w:t>2024</w:t>
      </w:r>
      <w:r w:rsidRPr="000549B1">
        <w:t>年为基准年，</w:t>
      </w:r>
      <w:r w:rsidRPr="000549B1">
        <w:t>2035</w:t>
      </w:r>
      <w:r w:rsidRPr="000549B1">
        <w:t>年为目标年，旨在通过农业、工业和生活三大领域的节水改造与管理提升，实现水资源的高效集约利用。</w:t>
      </w:r>
    </w:p>
    <w:p w14:paraId="7805D72D" w14:textId="1FAFC8E3" w:rsidR="00054437" w:rsidRPr="000549B1" w:rsidRDefault="00000000" w:rsidP="00652349">
      <w:pPr>
        <w:pStyle w:val="x"/>
      </w:pPr>
      <w:r w:rsidRPr="000549B1">
        <w:t>为应对流域内</w:t>
      </w:r>
      <w:r w:rsidRPr="000549B1">
        <w:t>“</w:t>
      </w:r>
      <w:bookmarkStart w:id="155" w:name="OLE_LINK73"/>
      <w:r w:rsidRPr="000549B1">
        <w:t>灌溉水利用系数</w:t>
      </w:r>
      <w:bookmarkEnd w:id="155"/>
      <w:r w:rsidRPr="000549B1">
        <w:t>为</w:t>
      </w:r>
      <w:r w:rsidRPr="000549B1">
        <w:t>0.4</w:t>
      </w:r>
      <w:r w:rsidR="00652349" w:rsidRPr="000549B1">
        <w:rPr>
          <w:rFonts w:hint="eastAsia"/>
        </w:rPr>
        <w:t>7</w:t>
      </w:r>
      <w:r w:rsidRPr="000549B1">
        <w:t>，</w:t>
      </w:r>
      <w:r w:rsidR="00652349" w:rsidRPr="000549B1">
        <w:rPr>
          <w:rFonts w:hint="eastAsia"/>
        </w:rPr>
        <w:t>低于青海省（</w:t>
      </w:r>
      <w:r w:rsidR="00652349" w:rsidRPr="000549B1">
        <w:rPr>
          <w:rFonts w:hint="eastAsia"/>
        </w:rPr>
        <w:t>0</w:t>
      </w:r>
      <w:r w:rsidR="00652349" w:rsidRPr="000549B1">
        <w:t>.51</w:t>
      </w:r>
      <w:r w:rsidR="00652349" w:rsidRPr="000549B1">
        <w:rPr>
          <w:rFonts w:hint="eastAsia"/>
        </w:rPr>
        <w:t>）全国（</w:t>
      </w:r>
      <w:r w:rsidR="00652349" w:rsidRPr="000549B1">
        <w:rPr>
          <w:rFonts w:hint="eastAsia"/>
        </w:rPr>
        <w:t>0</w:t>
      </w:r>
      <w:r w:rsidR="00652349" w:rsidRPr="000549B1">
        <w:t>.58</w:t>
      </w:r>
      <w:r w:rsidR="00652349" w:rsidRPr="000549B1">
        <w:rPr>
          <w:rFonts w:hint="eastAsia"/>
        </w:rPr>
        <w:t>）平均水平</w:t>
      </w:r>
      <w:r w:rsidRPr="000549B1">
        <w:t>，并依据</w:t>
      </w:r>
      <w:r w:rsidRPr="000549B1">
        <w:t>“</w:t>
      </w:r>
      <w:r w:rsidRPr="000549B1">
        <w:t>《城市节水评价标准》（</w:t>
      </w:r>
      <w:r w:rsidRPr="000549B1">
        <w:t>GB/T51083</w:t>
      </w:r>
      <w:r w:rsidRPr="000549B1">
        <w:t>）、《海南州节水型社会建设</w:t>
      </w:r>
      <w:r w:rsidRPr="000549B1">
        <w:t>‘</w:t>
      </w:r>
      <w:r w:rsidRPr="000549B1">
        <w:t>十四五</w:t>
      </w:r>
      <w:r w:rsidRPr="000549B1">
        <w:t>’</w:t>
      </w:r>
      <w:r w:rsidRPr="000549B1">
        <w:t>规划》</w:t>
      </w:r>
      <w:r w:rsidRPr="000549B1">
        <w:t>”</w:t>
      </w:r>
      <w:r w:rsidRPr="000549B1">
        <w:t>等国家现行规程、规范及西北地区先进用水要求指标，编制</w:t>
      </w:r>
      <w:r w:rsidRPr="000549B1">
        <w:rPr>
          <w:rFonts w:hint="eastAsia"/>
        </w:rPr>
        <w:t>规划</w:t>
      </w:r>
      <w:r w:rsidRPr="000549B1">
        <w:t>，以落实最严格水资源管理制度。</w:t>
      </w:r>
    </w:p>
    <w:p w14:paraId="0294915B" w14:textId="2A34EDE8" w:rsidR="00054437" w:rsidRPr="000549B1" w:rsidRDefault="002F2485" w:rsidP="000549B1">
      <w:pPr>
        <w:pStyle w:val="x"/>
      </w:pPr>
      <w:r w:rsidRPr="000549B1">
        <w:rPr>
          <w:rStyle w:val="aff0"/>
          <w:rFonts w:hint="eastAsia"/>
          <w:b w:val="0"/>
          <w:bCs w:val="0"/>
        </w:rPr>
        <w:t>（</w:t>
      </w:r>
      <w:r w:rsidRPr="000549B1">
        <w:rPr>
          <w:rStyle w:val="aff0"/>
          <w:b w:val="0"/>
          <w:bCs w:val="0"/>
        </w:rPr>
        <w:t>2</w:t>
      </w:r>
      <w:r w:rsidRPr="000549B1">
        <w:rPr>
          <w:rStyle w:val="aff0"/>
          <w:rFonts w:hint="eastAsia"/>
          <w:b w:val="0"/>
          <w:bCs w:val="0"/>
        </w:rPr>
        <w:t>）规划目标与控制性指标</w:t>
      </w:r>
    </w:p>
    <w:p w14:paraId="4FD8170B" w14:textId="77777777" w:rsidR="00054437" w:rsidRPr="000549B1" w:rsidRDefault="00000000">
      <w:pPr>
        <w:pStyle w:val="x"/>
      </w:pPr>
      <w:r w:rsidRPr="000549B1">
        <w:t>为有效提升流域节水水平，规划针对性地设定了分行业、可量化的节水目标。这些目标的确定，是依据国家及地方相关标准与规划，并充分考虑了</w:t>
      </w:r>
      <w:r w:rsidRPr="000549B1">
        <w:rPr>
          <w:rFonts w:ascii="宋体" w:hAnsi="宋体"/>
        </w:rPr>
        <w:t>“</w:t>
      </w:r>
      <w:r w:rsidRPr="000549B1">
        <w:t>沙珠玉河流域现状用水水平和将来节水指标实现的可能性与可行性</w:t>
      </w:r>
      <w:r w:rsidRPr="000549B1">
        <w:rPr>
          <w:rFonts w:ascii="宋体" w:hAnsi="宋体"/>
        </w:rPr>
        <w:t>”</w:t>
      </w:r>
      <w:r w:rsidRPr="000549B1">
        <w:t>。具体控制性指标如下表所示：</w:t>
      </w:r>
    </w:p>
    <w:p w14:paraId="2FF8DA03" w14:textId="45D36BD2" w:rsidR="00054437" w:rsidRPr="000549B1" w:rsidRDefault="00000000">
      <w:pPr>
        <w:pStyle w:val="aff8"/>
        <w:rPr>
          <w:color w:val="auto"/>
        </w:rPr>
      </w:pPr>
      <w:r w:rsidRPr="000549B1">
        <w:rPr>
          <w:color w:val="auto"/>
        </w:rPr>
        <w:t>表</w:t>
      </w:r>
      <w:r w:rsidR="00372953">
        <w:rPr>
          <w:color w:val="auto"/>
        </w:rPr>
        <w:fldChar w:fldCharType="begin"/>
      </w:r>
      <w:r w:rsidR="00372953">
        <w:rPr>
          <w:color w:val="auto"/>
        </w:rPr>
        <w:instrText xml:space="preserve"> STYLEREF 2 \s </w:instrText>
      </w:r>
      <w:r w:rsidR="00372953">
        <w:rPr>
          <w:color w:val="auto"/>
        </w:rPr>
        <w:fldChar w:fldCharType="separate"/>
      </w:r>
      <w:r w:rsidR="00372953">
        <w:rPr>
          <w:noProof/>
          <w:color w:val="auto"/>
        </w:rPr>
        <w:t>2.1</w:t>
      </w:r>
      <w:r w:rsidR="00372953">
        <w:rPr>
          <w:color w:val="auto"/>
        </w:rPr>
        <w:fldChar w:fldCharType="end"/>
      </w:r>
      <w:r w:rsidR="00372953">
        <w:rPr>
          <w:color w:val="auto"/>
        </w:rPr>
        <w:noBreakHyphen/>
      </w:r>
      <w:r w:rsidR="00372953">
        <w:rPr>
          <w:color w:val="auto"/>
        </w:rPr>
        <w:fldChar w:fldCharType="begin"/>
      </w:r>
      <w:r w:rsidR="00372953">
        <w:rPr>
          <w:color w:val="auto"/>
        </w:rPr>
        <w:instrText xml:space="preserve"> SEQ </w:instrText>
      </w:r>
      <w:r w:rsidR="00372953">
        <w:rPr>
          <w:color w:val="auto"/>
        </w:rPr>
        <w:instrText>表</w:instrText>
      </w:r>
      <w:r w:rsidR="00372953">
        <w:rPr>
          <w:color w:val="auto"/>
        </w:rPr>
        <w:instrText xml:space="preserve"> \* ARABIC \s 2 </w:instrText>
      </w:r>
      <w:r w:rsidR="00372953">
        <w:rPr>
          <w:color w:val="auto"/>
        </w:rPr>
        <w:fldChar w:fldCharType="separate"/>
      </w:r>
      <w:r w:rsidR="00372953">
        <w:rPr>
          <w:noProof/>
          <w:color w:val="auto"/>
        </w:rPr>
        <w:t>7</w:t>
      </w:r>
      <w:r w:rsidR="00372953">
        <w:rPr>
          <w:color w:val="auto"/>
        </w:rPr>
        <w:fldChar w:fldCharType="end"/>
      </w:r>
      <w:r w:rsidRPr="000549B1">
        <w:rPr>
          <w:color w:val="auto"/>
        </w:rPr>
        <w:t>沙珠玉河流域节约用水规划核心目标与控制性指标</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04"/>
        <w:gridCol w:w="1559"/>
        <w:gridCol w:w="1701"/>
        <w:gridCol w:w="1701"/>
        <w:gridCol w:w="3402"/>
      </w:tblGrid>
      <w:tr w:rsidR="000549B1" w:rsidRPr="000549B1" w14:paraId="7119EFAF" w14:textId="77777777">
        <w:trPr>
          <w:trHeight w:val="501"/>
          <w:tblHeader/>
          <w:jc w:val="center"/>
        </w:trPr>
        <w:tc>
          <w:tcPr>
            <w:tcW w:w="704" w:type="dxa"/>
            <w:tcMar>
              <w:top w:w="150" w:type="dxa"/>
              <w:left w:w="0" w:type="dxa"/>
              <w:bottom w:w="150" w:type="dxa"/>
              <w:right w:w="240" w:type="dxa"/>
            </w:tcMar>
            <w:vAlign w:val="center"/>
          </w:tcPr>
          <w:p w14:paraId="78D076D5" w14:textId="77777777" w:rsidR="00054437" w:rsidRPr="000549B1" w:rsidRDefault="00000000">
            <w:pPr>
              <w:pStyle w:val="0-"/>
              <w:rPr>
                <w:rFonts w:cs="Times New Roman"/>
                <w:b/>
                <w:bCs/>
              </w:rPr>
            </w:pPr>
            <w:r w:rsidRPr="000549B1">
              <w:rPr>
                <w:rFonts w:cs="Times New Roman"/>
                <w:b/>
                <w:bCs/>
              </w:rPr>
              <w:t>规划领域</w:t>
            </w:r>
          </w:p>
        </w:tc>
        <w:tc>
          <w:tcPr>
            <w:tcW w:w="1559" w:type="dxa"/>
            <w:tcMar>
              <w:top w:w="150" w:type="dxa"/>
              <w:left w:w="240" w:type="dxa"/>
              <w:bottom w:w="150" w:type="dxa"/>
              <w:right w:w="240" w:type="dxa"/>
            </w:tcMar>
            <w:vAlign w:val="center"/>
          </w:tcPr>
          <w:p w14:paraId="706BD019" w14:textId="77777777" w:rsidR="00054437" w:rsidRPr="000549B1" w:rsidRDefault="00000000">
            <w:pPr>
              <w:pStyle w:val="0-"/>
              <w:rPr>
                <w:rFonts w:cs="Times New Roman"/>
                <w:b/>
                <w:bCs/>
              </w:rPr>
            </w:pPr>
            <w:r w:rsidRPr="000549B1">
              <w:rPr>
                <w:rFonts w:cs="Times New Roman"/>
                <w:b/>
                <w:bCs/>
              </w:rPr>
              <w:t>核心指标名称</w:t>
            </w:r>
          </w:p>
        </w:tc>
        <w:tc>
          <w:tcPr>
            <w:tcW w:w="1701" w:type="dxa"/>
            <w:tcMar>
              <w:top w:w="150" w:type="dxa"/>
              <w:left w:w="240" w:type="dxa"/>
              <w:bottom w:w="150" w:type="dxa"/>
              <w:right w:w="240" w:type="dxa"/>
            </w:tcMar>
            <w:vAlign w:val="center"/>
          </w:tcPr>
          <w:p w14:paraId="731B3FB2" w14:textId="77777777" w:rsidR="00054437" w:rsidRPr="000549B1" w:rsidRDefault="00000000">
            <w:pPr>
              <w:pStyle w:val="0-"/>
              <w:rPr>
                <w:rFonts w:cs="Times New Roman"/>
                <w:b/>
                <w:bCs/>
              </w:rPr>
            </w:pPr>
            <w:r w:rsidRPr="000549B1">
              <w:rPr>
                <w:rFonts w:cs="Times New Roman"/>
                <w:b/>
                <w:bCs/>
              </w:rPr>
              <w:t>现状水平（</w:t>
            </w:r>
            <w:r w:rsidRPr="000549B1">
              <w:rPr>
                <w:rFonts w:cs="Times New Roman"/>
                <w:b/>
                <w:bCs/>
              </w:rPr>
              <w:t>2024</w:t>
            </w:r>
            <w:r w:rsidRPr="000549B1">
              <w:rPr>
                <w:rFonts w:cs="Times New Roman"/>
                <w:b/>
                <w:bCs/>
              </w:rPr>
              <w:t>年）</w:t>
            </w:r>
          </w:p>
        </w:tc>
        <w:tc>
          <w:tcPr>
            <w:tcW w:w="1701" w:type="dxa"/>
            <w:tcMar>
              <w:top w:w="150" w:type="dxa"/>
              <w:left w:w="240" w:type="dxa"/>
              <w:bottom w:w="150" w:type="dxa"/>
              <w:right w:w="240" w:type="dxa"/>
            </w:tcMar>
            <w:vAlign w:val="center"/>
          </w:tcPr>
          <w:p w14:paraId="7767902A" w14:textId="77777777" w:rsidR="00054437" w:rsidRPr="000549B1" w:rsidRDefault="00000000">
            <w:pPr>
              <w:pStyle w:val="0-"/>
              <w:rPr>
                <w:rFonts w:cs="Times New Roman"/>
                <w:b/>
                <w:bCs/>
              </w:rPr>
            </w:pPr>
            <w:r w:rsidRPr="000549B1">
              <w:rPr>
                <w:rFonts w:cs="Times New Roman"/>
                <w:b/>
                <w:bCs/>
              </w:rPr>
              <w:t>规划目标（</w:t>
            </w:r>
            <w:r w:rsidRPr="000549B1">
              <w:rPr>
                <w:rFonts w:cs="Times New Roman"/>
                <w:b/>
                <w:bCs/>
              </w:rPr>
              <w:t>2035</w:t>
            </w:r>
            <w:r w:rsidRPr="000549B1">
              <w:rPr>
                <w:rFonts w:cs="Times New Roman"/>
                <w:b/>
                <w:bCs/>
              </w:rPr>
              <w:t>年）</w:t>
            </w:r>
          </w:p>
        </w:tc>
        <w:tc>
          <w:tcPr>
            <w:tcW w:w="3402" w:type="dxa"/>
            <w:tcMar>
              <w:top w:w="150" w:type="dxa"/>
              <w:left w:w="240" w:type="dxa"/>
              <w:bottom w:w="150" w:type="dxa"/>
              <w:right w:w="240" w:type="dxa"/>
            </w:tcMar>
            <w:vAlign w:val="center"/>
          </w:tcPr>
          <w:p w14:paraId="5B1288E0" w14:textId="77777777" w:rsidR="00054437" w:rsidRPr="000549B1" w:rsidRDefault="00000000">
            <w:pPr>
              <w:pStyle w:val="0-"/>
              <w:rPr>
                <w:rFonts w:cs="Times New Roman"/>
                <w:b/>
                <w:bCs/>
              </w:rPr>
            </w:pPr>
            <w:r w:rsidRPr="000549B1">
              <w:rPr>
                <w:rFonts w:cs="Times New Roman"/>
                <w:b/>
                <w:bCs/>
              </w:rPr>
              <w:t>指标来源与依据说明</w:t>
            </w:r>
          </w:p>
        </w:tc>
      </w:tr>
      <w:tr w:rsidR="000549B1" w:rsidRPr="000549B1" w14:paraId="0297420D" w14:textId="77777777">
        <w:trPr>
          <w:trHeight w:val="928"/>
          <w:jc w:val="center"/>
        </w:trPr>
        <w:tc>
          <w:tcPr>
            <w:tcW w:w="704" w:type="dxa"/>
            <w:tcMar>
              <w:top w:w="150" w:type="dxa"/>
              <w:left w:w="0" w:type="dxa"/>
              <w:bottom w:w="150" w:type="dxa"/>
              <w:right w:w="240" w:type="dxa"/>
            </w:tcMar>
            <w:vAlign w:val="center"/>
          </w:tcPr>
          <w:p w14:paraId="0B0D0583" w14:textId="77777777" w:rsidR="00054437" w:rsidRPr="000549B1" w:rsidRDefault="00000000">
            <w:pPr>
              <w:pStyle w:val="0-"/>
              <w:rPr>
                <w:rFonts w:cs="Times New Roman"/>
              </w:rPr>
            </w:pPr>
            <w:r w:rsidRPr="000549B1">
              <w:rPr>
                <w:rFonts w:cs="Times New Roman"/>
                <w:b/>
                <w:bCs/>
              </w:rPr>
              <w:t>农业</w:t>
            </w:r>
          </w:p>
        </w:tc>
        <w:tc>
          <w:tcPr>
            <w:tcW w:w="1559" w:type="dxa"/>
            <w:tcMar>
              <w:top w:w="150" w:type="dxa"/>
              <w:left w:w="240" w:type="dxa"/>
              <w:bottom w:w="150" w:type="dxa"/>
              <w:right w:w="240" w:type="dxa"/>
            </w:tcMar>
            <w:vAlign w:val="center"/>
          </w:tcPr>
          <w:p w14:paraId="0D992CAA" w14:textId="77777777" w:rsidR="00054437" w:rsidRPr="000549B1" w:rsidRDefault="00000000">
            <w:pPr>
              <w:pStyle w:val="0-"/>
              <w:rPr>
                <w:rFonts w:cs="Times New Roman"/>
              </w:rPr>
            </w:pPr>
            <w:r w:rsidRPr="000549B1">
              <w:rPr>
                <w:rFonts w:cs="Times New Roman"/>
              </w:rPr>
              <w:t>灌溉水利用系数</w:t>
            </w:r>
          </w:p>
        </w:tc>
        <w:tc>
          <w:tcPr>
            <w:tcW w:w="1701" w:type="dxa"/>
            <w:tcMar>
              <w:top w:w="150" w:type="dxa"/>
              <w:left w:w="240" w:type="dxa"/>
              <w:bottom w:w="150" w:type="dxa"/>
              <w:right w:w="240" w:type="dxa"/>
            </w:tcMar>
            <w:vAlign w:val="center"/>
          </w:tcPr>
          <w:p w14:paraId="48532077" w14:textId="4DE813BF" w:rsidR="00054437" w:rsidRPr="000549B1" w:rsidRDefault="00000000">
            <w:pPr>
              <w:pStyle w:val="0-"/>
              <w:rPr>
                <w:rFonts w:cs="Times New Roman"/>
              </w:rPr>
            </w:pPr>
            <w:r w:rsidRPr="000549B1">
              <w:rPr>
                <w:rFonts w:cs="Times New Roman"/>
              </w:rPr>
              <w:t>0.4</w:t>
            </w:r>
            <w:r w:rsidR="00652349" w:rsidRPr="000549B1">
              <w:rPr>
                <w:rFonts w:cs="Times New Roman" w:hint="eastAsia"/>
              </w:rPr>
              <w:t>7</w:t>
            </w:r>
          </w:p>
        </w:tc>
        <w:tc>
          <w:tcPr>
            <w:tcW w:w="1701" w:type="dxa"/>
            <w:tcMar>
              <w:top w:w="150" w:type="dxa"/>
              <w:left w:w="240" w:type="dxa"/>
              <w:bottom w:w="150" w:type="dxa"/>
              <w:right w:w="240" w:type="dxa"/>
            </w:tcMar>
            <w:vAlign w:val="center"/>
          </w:tcPr>
          <w:p w14:paraId="3811639A" w14:textId="77777777" w:rsidR="00054437" w:rsidRPr="000549B1" w:rsidRDefault="00000000">
            <w:pPr>
              <w:pStyle w:val="0-"/>
              <w:rPr>
                <w:rFonts w:cs="Times New Roman"/>
              </w:rPr>
            </w:pPr>
            <w:r w:rsidRPr="000549B1">
              <w:rPr>
                <w:rFonts w:cs="Times New Roman"/>
              </w:rPr>
              <w:t>≥0.60</w:t>
            </w:r>
          </w:p>
        </w:tc>
        <w:tc>
          <w:tcPr>
            <w:tcW w:w="3402" w:type="dxa"/>
            <w:tcMar>
              <w:top w:w="150" w:type="dxa"/>
              <w:left w:w="240" w:type="dxa"/>
              <w:bottom w:w="150" w:type="dxa"/>
              <w:right w:w="0" w:type="dxa"/>
            </w:tcMar>
            <w:vAlign w:val="center"/>
          </w:tcPr>
          <w:p w14:paraId="0E26D3C7" w14:textId="4EC4EC31" w:rsidR="00054437" w:rsidRPr="000549B1" w:rsidRDefault="00000000">
            <w:pPr>
              <w:pStyle w:val="0-"/>
              <w:rPr>
                <w:rFonts w:cs="Times New Roman"/>
              </w:rPr>
            </w:pPr>
            <w:r w:rsidRPr="000549B1">
              <w:rPr>
                <w:rFonts w:cs="Times New Roman"/>
              </w:rPr>
              <w:t>依据《关于印发</w:t>
            </w:r>
            <w:r w:rsidRPr="000549B1">
              <w:rPr>
                <w:rFonts w:cs="Times New Roman"/>
              </w:rPr>
              <w:t>"</w:t>
            </w:r>
            <w:r w:rsidRPr="000549B1">
              <w:rPr>
                <w:rFonts w:cs="Times New Roman"/>
              </w:rPr>
              <w:t>十四五</w:t>
            </w:r>
            <w:r w:rsidRPr="000549B1">
              <w:rPr>
                <w:rFonts w:cs="Times New Roman"/>
              </w:rPr>
              <w:t>"</w:t>
            </w:r>
            <w:r w:rsidRPr="000549B1">
              <w:rPr>
                <w:rFonts w:cs="Times New Roman"/>
              </w:rPr>
              <w:t>用水总量和强度控制指标分解方案的通知》（青水资〔</w:t>
            </w:r>
            <w:r w:rsidRPr="000549B1">
              <w:rPr>
                <w:rFonts w:cs="Times New Roman"/>
              </w:rPr>
              <w:t>2022</w:t>
            </w:r>
            <w:r w:rsidRPr="000549B1">
              <w:rPr>
                <w:rFonts w:cs="Times New Roman"/>
              </w:rPr>
              <w:t>〕</w:t>
            </w:r>
            <w:r w:rsidRPr="000549B1">
              <w:rPr>
                <w:rFonts w:cs="Times New Roman"/>
              </w:rPr>
              <w:t>55</w:t>
            </w:r>
            <w:r w:rsidRPr="000549B1">
              <w:rPr>
                <w:rFonts w:cs="Times New Roman"/>
              </w:rPr>
              <w:t>号），并通过调整作物种植结构、对现状已建灌区进行节水改造实现</w:t>
            </w:r>
          </w:p>
        </w:tc>
      </w:tr>
      <w:tr w:rsidR="000549B1" w:rsidRPr="000549B1" w14:paraId="7ED8D198" w14:textId="77777777">
        <w:trPr>
          <w:trHeight w:val="1093"/>
          <w:jc w:val="center"/>
        </w:trPr>
        <w:tc>
          <w:tcPr>
            <w:tcW w:w="704" w:type="dxa"/>
            <w:tcMar>
              <w:top w:w="150" w:type="dxa"/>
              <w:left w:w="0" w:type="dxa"/>
              <w:bottom w:w="150" w:type="dxa"/>
              <w:right w:w="240" w:type="dxa"/>
            </w:tcMar>
            <w:vAlign w:val="center"/>
          </w:tcPr>
          <w:p w14:paraId="7FCDAE82" w14:textId="77777777" w:rsidR="00054437" w:rsidRPr="000549B1" w:rsidRDefault="00000000">
            <w:pPr>
              <w:pStyle w:val="0-"/>
              <w:rPr>
                <w:rFonts w:cs="Times New Roman"/>
              </w:rPr>
            </w:pPr>
            <w:r w:rsidRPr="000549B1">
              <w:rPr>
                <w:rFonts w:cs="Times New Roman"/>
                <w:b/>
                <w:bCs/>
              </w:rPr>
              <w:t>工业</w:t>
            </w:r>
          </w:p>
        </w:tc>
        <w:tc>
          <w:tcPr>
            <w:tcW w:w="1559" w:type="dxa"/>
            <w:tcMar>
              <w:top w:w="150" w:type="dxa"/>
              <w:left w:w="240" w:type="dxa"/>
              <w:bottom w:w="150" w:type="dxa"/>
              <w:right w:w="240" w:type="dxa"/>
            </w:tcMar>
            <w:vAlign w:val="center"/>
          </w:tcPr>
          <w:p w14:paraId="10AC9D81" w14:textId="77777777" w:rsidR="00054437" w:rsidRPr="000549B1" w:rsidRDefault="00000000">
            <w:pPr>
              <w:pStyle w:val="0-"/>
              <w:rPr>
                <w:rFonts w:cs="Times New Roman"/>
              </w:rPr>
            </w:pPr>
            <w:r w:rsidRPr="000549B1">
              <w:rPr>
                <w:rFonts w:cs="Times New Roman"/>
              </w:rPr>
              <w:t>万元工业增加值用水量（</w:t>
            </w:r>
            <w:r w:rsidRPr="000549B1">
              <w:rPr>
                <w:rFonts w:cs="Times New Roman"/>
              </w:rPr>
              <w:t>m³/</w:t>
            </w:r>
            <w:r w:rsidRPr="000549B1">
              <w:rPr>
                <w:rFonts w:cs="Times New Roman"/>
              </w:rPr>
              <w:t>万元）</w:t>
            </w:r>
          </w:p>
        </w:tc>
        <w:tc>
          <w:tcPr>
            <w:tcW w:w="1701" w:type="dxa"/>
            <w:tcMar>
              <w:top w:w="150" w:type="dxa"/>
              <w:left w:w="240" w:type="dxa"/>
              <w:bottom w:w="150" w:type="dxa"/>
              <w:right w:w="240" w:type="dxa"/>
            </w:tcMar>
            <w:vAlign w:val="center"/>
          </w:tcPr>
          <w:p w14:paraId="49231409" w14:textId="77777777" w:rsidR="00054437" w:rsidRPr="000549B1" w:rsidRDefault="00000000">
            <w:pPr>
              <w:pStyle w:val="0-"/>
              <w:rPr>
                <w:rFonts w:cs="Times New Roman"/>
              </w:rPr>
            </w:pPr>
            <w:r w:rsidRPr="000549B1">
              <w:rPr>
                <w:rFonts w:cs="Times New Roman"/>
              </w:rPr>
              <w:t>7.9</w:t>
            </w:r>
          </w:p>
        </w:tc>
        <w:tc>
          <w:tcPr>
            <w:tcW w:w="1701" w:type="dxa"/>
            <w:tcMar>
              <w:top w:w="150" w:type="dxa"/>
              <w:left w:w="240" w:type="dxa"/>
              <w:bottom w:w="150" w:type="dxa"/>
              <w:right w:w="240" w:type="dxa"/>
            </w:tcMar>
            <w:vAlign w:val="center"/>
          </w:tcPr>
          <w:p w14:paraId="61C4839F" w14:textId="77777777" w:rsidR="00054437" w:rsidRPr="000549B1" w:rsidRDefault="00000000">
            <w:pPr>
              <w:pStyle w:val="0-"/>
              <w:rPr>
                <w:rFonts w:cs="Times New Roman"/>
              </w:rPr>
            </w:pPr>
            <w:r w:rsidRPr="000549B1">
              <w:rPr>
                <w:rFonts w:cs="Times New Roman"/>
              </w:rPr>
              <w:t>7.0</w:t>
            </w:r>
          </w:p>
        </w:tc>
        <w:tc>
          <w:tcPr>
            <w:tcW w:w="3402" w:type="dxa"/>
            <w:tcMar>
              <w:top w:w="150" w:type="dxa"/>
              <w:left w:w="240" w:type="dxa"/>
              <w:bottom w:w="150" w:type="dxa"/>
              <w:right w:w="0" w:type="dxa"/>
            </w:tcMar>
            <w:vAlign w:val="center"/>
          </w:tcPr>
          <w:p w14:paraId="4AFA493F" w14:textId="73A5FC8C" w:rsidR="00054437" w:rsidRPr="000549B1" w:rsidRDefault="00000000">
            <w:pPr>
              <w:pStyle w:val="0-"/>
              <w:rPr>
                <w:rFonts w:cs="Times New Roman"/>
              </w:rPr>
            </w:pPr>
            <w:r w:rsidRPr="000549B1">
              <w:rPr>
                <w:rFonts w:cs="Times New Roman"/>
              </w:rPr>
              <w:t>以《城市节水评价标准》（</w:t>
            </w:r>
            <w:r w:rsidRPr="000549B1">
              <w:rPr>
                <w:rFonts w:cs="Times New Roman"/>
              </w:rPr>
              <w:t>GB/T51083</w:t>
            </w:r>
            <w:r w:rsidRPr="000549B1">
              <w:rPr>
                <w:rFonts w:cs="Times New Roman"/>
              </w:rPr>
              <w:t>）、《海南州节水型社会建设</w:t>
            </w:r>
            <w:r w:rsidRPr="000549B1">
              <w:rPr>
                <w:rFonts w:cs="Times New Roman"/>
              </w:rPr>
              <w:t>"</w:t>
            </w:r>
            <w:r w:rsidRPr="000549B1">
              <w:rPr>
                <w:rFonts w:cs="Times New Roman"/>
              </w:rPr>
              <w:t>十四五</w:t>
            </w:r>
            <w:r w:rsidRPr="000549B1">
              <w:rPr>
                <w:rFonts w:cs="Times New Roman"/>
              </w:rPr>
              <w:t>"</w:t>
            </w:r>
            <w:r w:rsidRPr="000549B1">
              <w:rPr>
                <w:rFonts w:cs="Times New Roman"/>
              </w:rPr>
              <w:t>规划》等作为主要参考依据，并参照国内先进用水指标拟定</w:t>
            </w:r>
          </w:p>
        </w:tc>
      </w:tr>
      <w:tr w:rsidR="000549B1" w:rsidRPr="000549B1" w14:paraId="6712EC82" w14:textId="77777777">
        <w:trPr>
          <w:jc w:val="center"/>
        </w:trPr>
        <w:tc>
          <w:tcPr>
            <w:tcW w:w="704" w:type="dxa"/>
            <w:tcMar>
              <w:top w:w="150" w:type="dxa"/>
              <w:left w:w="0" w:type="dxa"/>
              <w:bottom w:w="150" w:type="dxa"/>
              <w:right w:w="240" w:type="dxa"/>
            </w:tcMar>
            <w:vAlign w:val="center"/>
          </w:tcPr>
          <w:p w14:paraId="5EEDC102" w14:textId="77777777" w:rsidR="00054437" w:rsidRPr="000549B1" w:rsidRDefault="00000000">
            <w:pPr>
              <w:pStyle w:val="0-"/>
              <w:rPr>
                <w:rFonts w:cs="Times New Roman"/>
              </w:rPr>
            </w:pPr>
            <w:r w:rsidRPr="000549B1">
              <w:rPr>
                <w:rFonts w:cs="Times New Roman"/>
                <w:b/>
                <w:bCs/>
              </w:rPr>
              <w:t>城镇生活</w:t>
            </w:r>
          </w:p>
        </w:tc>
        <w:tc>
          <w:tcPr>
            <w:tcW w:w="1559" w:type="dxa"/>
            <w:tcMar>
              <w:top w:w="150" w:type="dxa"/>
              <w:left w:w="240" w:type="dxa"/>
              <w:bottom w:w="150" w:type="dxa"/>
              <w:right w:w="240" w:type="dxa"/>
            </w:tcMar>
            <w:vAlign w:val="center"/>
          </w:tcPr>
          <w:p w14:paraId="62124F41" w14:textId="77777777" w:rsidR="00054437" w:rsidRPr="000549B1" w:rsidRDefault="00000000">
            <w:pPr>
              <w:pStyle w:val="0-"/>
              <w:rPr>
                <w:rFonts w:cs="Times New Roman"/>
              </w:rPr>
            </w:pPr>
            <w:r w:rsidRPr="000549B1">
              <w:rPr>
                <w:rFonts w:cs="Times New Roman"/>
              </w:rPr>
              <w:t>公共供水管网漏损率（</w:t>
            </w:r>
            <w:r w:rsidRPr="000549B1">
              <w:rPr>
                <w:rFonts w:cs="Times New Roman"/>
              </w:rPr>
              <w:t>%</w:t>
            </w:r>
            <w:r w:rsidRPr="000549B1">
              <w:rPr>
                <w:rFonts w:cs="Times New Roman"/>
              </w:rPr>
              <w:t>）</w:t>
            </w:r>
          </w:p>
        </w:tc>
        <w:tc>
          <w:tcPr>
            <w:tcW w:w="1701" w:type="dxa"/>
            <w:tcMar>
              <w:top w:w="150" w:type="dxa"/>
              <w:left w:w="240" w:type="dxa"/>
              <w:bottom w:w="150" w:type="dxa"/>
              <w:right w:w="240" w:type="dxa"/>
            </w:tcMar>
            <w:vAlign w:val="center"/>
          </w:tcPr>
          <w:p w14:paraId="73774F2C" w14:textId="77777777" w:rsidR="00054437" w:rsidRPr="000549B1" w:rsidRDefault="00000000">
            <w:pPr>
              <w:pStyle w:val="0-"/>
              <w:rPr>
                <w:rFonts w:cs="Times New Roman"/>
              </w:rPr>
            </w:pPr>
            <w:r w:rsidRPr="000549B1">
              <w:rPr>
                <w:rFonts w:cs="Times New Roman"/>
              </w:rPr>
              <w:t>9.9%</w:t>
            </w:r>
          </w:p>
        </w:tc>
        <w:tc>
          <w:tcPr>
            <w:tcW w:w="1701" w:type="dxa"/>
            <w:tcMar>
              <w:top w:w="150" w:type="dxa"/>
              <w:left w:w="240" w:type="dxa"/>
              <w:bottom w:w="150" w:type="dxa"/>
              <w:right w:w="240" w:type="dxa"/>
            </w:tcMar>
            <w:vAlign w:val="center"/>
          </w:tcPr>
          <w:p w14:paraId="43252DAA" w14:textId="77777777" w:rsidR="00054437" w:rsidRPr="000549B1" w:rsidRDefault="00000000">
            <w:pPr>
              <w:pStyle w:val="0-"/>
              <w:rPr>
                <w:rFonts w:cs="Times New Roman"/>
              </w:rPr>
            </w:pPr>
            <w:r w:rsidRPr="000549B1">
              <w:rPr>
                <w:rFonts w:cs="Times New Roman"/>
              </w:rPr>
              <w:t>≤8.0%</w:t>
            </w:r>
          </w:p>
        </w:tc>
        <w:tc>
          <w:tcPr>
            <w:tcW w:w="3402" w:type="dxa"/>
            <w:tcMar>
              <w:top w:w="150" w:type="dxa"/>
              <w:left w:w="240" w:type="dxa"/>
              <w:bottom w:w="150" w:type="dxa"/>
              <w:right w:w="0" w:type="dxa"/>
            </w:tcMar>
            <w:vAlign w:val="center"/>
          </w:tcPr>
          <w:p w14:paraId="0455B525" w14:textId="41D68484" w:rsidR="00054437" w:rsidRPr="000549B1" w:rsidRDefault="00000000">
            <w:pPr>
              <w:pStyle w:val="0-"/>
              <w:rPr>
                <w:rFonts w:cs="Times New Roman"/>
              </w:rPr>
            </w:pPr>
            <w:r w:rsidRPr="000549B1">
              <w:rPr>
                <w:rFonts w:cs="Times New Roman"/>
              </w:rPr>
              <w:t>以《国家节水行动方案》、《城市节水评价标准》（</w:t>
            </w:r>
            <w:r w:rsidRPr="000549B1">
              <w:rPr>
                <w:rFonts w:cs="Times New Roman"/>
              </w:rPr>
              <w:t>GB/T51083</w:t>
            </w:r>
            <w:r w:rsidRPr="000549B1">
              <w:rPr>
                <w:rFonts w:cs="Times New Roman"/>
              </w:rPr>
              <w:t>）、《城市供水管网漏失率控制及评定标准》（</w:t>
            </w:r>
            <w:r w:rsidRPr="000549B1">
              <w:rPr>
                <w:rFonts w:cs="Times New Roman"/>
              </w:rPr>
              <w:t>CJJ92―2016</w:t>
            </w:r>
            <w:r w:rsidRPr="000549B1">
              <w:rPr>
                <w:rFonts w:cs="Times New Roman"/>
              </w:rPr>
              <w:t>）为主要依据，并考虑管网修复、更新改造周期长等因素后拟定</w:t>
            </w:r>
          </w:p>
        </w:tc>
      </w:tr>
      <w:tr w:rsidR="000549B1" w:rsidRPr="000549B1" w14:paraId="5FB58E30" w14:textId="77777777">
        <w:trPr>
          <w:jc w:val="center"/>
        </w:trPr>
        <w:tc>
          <w:tcPr>
            <w:tcW w:w="704" w:type="dxa"/>
            <w:tcMar>
              <w:top w:w="150" w:type="dxa"/>
              <w:left w:w="0" w:type="dxa"/>
              <w:bottom w:w="150" w:type="dxa"/>
              <w:right w:w="240" w:type="dxa"/>
            </w:tcMar>
            <w:vAlign w:val="center"/>
          </w:tcPr>
          <w:p w14:paraId="5C082D89" w14:textId="77777777" w:rsidR="00054437" w:rsidRPr="000549B1" w:rsidRDefault="00000000">
            <w:pPr>
              <w:pStyle w:val="0-"/>
              <w:rPr>
                <w:rFonts w:cs="Times New Roman"/>
              </w:rPr>
            </w:pPr>
            <w:r w:rsidRPr="000549B1">
              <w:rPr>
                <w:rFonts w:cs="Times New Roman"/>
                <w:b/>
                <w:bCs/>
              </w:rPr>
              <w:t>全域综合</w:t>
            </w:r>
          </w:p>
        </w:tc>
        <w:tc>
          <w:tcPr>
            <w:tcW w:w="1559" w:type="dxa"/>
            <w:tcMar>
              <w:top w:w="150" w:type="dxa"/>
              <w:left w:w="240" w:type="dxa"/>
              <w:bottom w:w="150" w:type="dxa"/>
              <w:right w:w="240" w:type="dxa"/>
            </w:tcMar>
            <w:vAlign w:val="center"/>
          </w:tcPr>
          <w:p w14:paraId="40C7D9B4" w14:textId="77777777" w:rsidR="00054437" w:rsidRPr="000549B1" w:rsidRDefault="00000000">
            <w:pPr>
              <w:pStyle w:val="0-"/>
              <w:rPr>
                <w:rFonts w:cs="Times New Roman"/>
              </w:rPr>
            </w:pPr>
            <w:r w:rsidRPr="000549B1">
              <w:rPr>
                <w:rFonts w:cs="Times New Roman"/>
              </w:rPr>
              <w:t>估算总节水潜力（万</w:t>
            </w:r>
            <w:r w:rsidRPr="000549B1">
              <w:rPr>
                <w:rFonts w:cs="Times New Roman"/>
              </w:rPr>
              <w:t>m³</w:t>
            </w:r>
            <w:r w:rsidRPr="000549B1">
              <w:rPr>
                <w:rFonts w:cs="Times New Roman"/>
              </w:rPr>
              <w:t>）</w:t>
            </w:r>
          </w:p>
        </w:tc>
        <w:tc>
          <w:tcPr>
            <w:tcW w:w="1701" w:type="dxa"/>
            <w:tcMar>
              <w:top w:w="150" w:type="dxa"/>
              <w:left w:w="240" w:type="dxa"/>
              <w:bottom w:w="150" w:type="dxa"/>
              <w:right w:w="240" w:type="dxa"/>
            </w:tcMar>
            <w:vAlign w:val="center"/>
          </w:tcPr>
          <w:p w14:paraId="4DF7AEAC" w14:textId="77777777" w:rsidR="00054437" w:rsidRPr="000549B1" w:rsidRDefault="00000000">
            <w:pPr>
              <w:pStyle w:val="0-"/>
              <w:rPr>
                <w:rFonts w:cs="Times New Roman"/>
              </w:rPr>
            </w:pPr>
            <w:r w:rsidRPr="000549B1">
              <w:rPr>
                <w:rFonts w:cs="Times New Roman"/>
              </w:rPr>
              <w:t>-</w:t>
            </w:r>
          </w:p>
        </w:tc>
        <w:tc>
          <w:tcPr>
            <w:tcW w:w="1701" w:type="dxa"/>
            <w:tcMar>
              <w:top w:w="150" w:type="dxa"/>
              <w:left w:w="240" w:type="dxa"/>
              <w:bottom w:w="150" w:type="dxa"/>
              <w:right w:w="240" w:type="dxa"/>
            </w:tcMar>
            <w:vAlign w:val="center"/>
          </w:tcPr>
          <w:p w14:paraId="31F4E5FC" w14:textId="77777777" w:rsidR="00054437" w:rsidRPr="000549B1" w:rsidRDefault="00000000">
            <w:pPr>
              <w:pStyle w:val="0-"/>
              <w:rPr>
                <w:rFonts w:cs="Times New Roman"/>
              </w:rPr>
            </w:pPr>
            <w:r w:rsidRPr="000549B1">
              <w:rPr>
                <w:rFonts w:cs="Times New Roman"/>
              </w:rPr>
              <w:t>1.3</w:t>
            </w:r>
          </w:p>
        </w:tc>
        <w:tc>
          <w:tcPr>
            <w:tcW w:w="3402" w:type="dxa"/>
            <w:tcMar>
              <w:top w:w="150" w:type="dxa"/>
              <w:left w:w="240" w:type="dxa"/>
              <w:bottom w:w="150" w:type="dxa"/>
              <w:right w:w="0" w:type="dxa"/>
            </w:tcMar>
            <w:vAlign w:val="center"/>
          </w:tcPr>
          <w:p w14:paraId="1B27C4CC" w14:textId="5DA686F4" w:rsidR="00054437" w:rsidRPr="000549B1" w:rsidRDefault="00000000">
            <w:pPr>
              <w:pStyle w:val="0-"/>
              <w:rPr>
                <w:rFonts w:cs="Times New Roman"/>
              </w:rPr>
            </w:pPr>
            <w:r w:rsidRPr="000549B1">
              <w:rPr>
                <w:rFonts w:cs="Times New Roman"/>
              </w:rPr>
              <w:t>根据农业、工业、生活节水潜力分析结果汇总得出</w:t>
            </w:r>
          </w:p>
        </w:tc>
      </w:tr>
    </w:tbl>
    <w:p w14:paraId="7AE781A7" w14:textId="3ACFE5C3" w:rsidR="00054437" w:rsidRPr="000549B1" w:rsidRDefault="002F2485" w:rsidP="000549B1">
      <w:pPr>
        <w:pStyle w:val="x"/>
      </w:pPr>
      <w:r w:rsidRPr="000549B1">
        <w:rPr>
          <w:rStyle w:val="aff0"/>
          <w:rFonts w:hint="eastAsia"/>
          <w:b w:val="0"/>
          <w:bCs w:val="0"/>
        </w:rPr>
        <w:t>（</w:t>
      </w:r>
      <w:r w:rsidRPr="000549B1">
        <w:rPr>
          <w:rStyle w:val="aff0"/>
          <w:b w:val="0"/>
          <w:bCs w:val="0"/>
        </w:rPr>
        <w:t>3</w:t>
      </w:r>
      <w:r w:rsidRPr="000549B1">
        <w:rPr>
          <w:rStyle w:val="aff0"/>
          <w:rFonts w:hint="eastAsia"/>
          <w:b w:val="0"/>
          <w:bCs w:val="0"/>
        </w:rPr>
        <w:t>）规划任务、规模与建设方式</w:t>
      </w:r>
    </w:p>
    <w:p w14:paraId="1E65E346" w14:textId="77777777" w:rsidR="00054437" w:rsidRPr="000549B1" w:rsidRDefault="00000000">
      <w:pPr>
        <w:pStyle w:val="x"/>
      </w:pPr>
      <w:r w:rsidRPr="000549B1">
        <w:t>为实现上述目标，规划在农业、工业和生活三大领域部署了详尽的行动路径。这些任务与措施是基于对流域现状的深入分析而提出的，例如农业方面旨在挖掘</w:t>
      </w:r>
      <w:r w:rsidRPr="000549B1">
        <w:rPr>
          <w:rFonts w:ascii="宋体" w:hAnsi="宋体"/>
        </w:rPr>
        <w:t>“</w:t>
      </w:r>
      <w:r w:rsidRPr="000549B1">
        <w:t>仍有一定节水潜力</w:t>
      </w:r>
      <w:r w:rsidRPr="000549B1">
        <w:rPr>
          <w:rFonts w:ascii="宋体" w:hAnsi="宋体"/>
        </w:rPr>
        <w:t>”</w:t>
      </w:r>
      <w:r w:rsidRPr="000549B1">
        <w:t>，而工业和生活方面则侧重于在现有较高节水水平上进一步优化。各领域的任务、规模及建设方式具体如下：</w:t>
      </w:r>
    </w:p>
    <w:p w14:paraId="45CCB4CB" w14:textId="5EA85C3D" w:rsidR="00054437" w:rsidRPr="000549B1" w:rsidRDefault="00000000">
      <w:pPr>
        <w:pStyle w:val="aff8"/>
        <w:rPr>
          <w:color w:val="auto"/>
        </w:rPr>
      </w:pPr>
      <w:r w:rsidRPr="000549B1">
        <w:rPr>
          <w:color w:val="auto"/>
        </w:rPr>
        <w:t>表</w:t>
      </w:r>
      <w:r w:rsidR="00372953">
        <w:rPr>
          <w:color w:val="auto"/>
        </w:rPr>
        <w:fldChar w:fldCharType="begin"/>
      </w:r>
      <w:r w:rsidR="00372953">
        <w:rPr>
          <w:color w:val="auto"/>
        </w:rPr>
        <w:instrText xml:space="preserve"> STYLEREF 2 \s </w:instrText>
      </w:r>
      <w:r w:rsidR="00372953">
        <w:rPr>
          <w:color w:val="auto"/>
        </w:rPr>
        <w:fldChar w:fldCharType="separate"/>
      </w:r>
      <w:r w:rsidR="00372953">
        <w:rPr>
          <w:noProof/>
          <w:color w:val="auto"/>
        </w:rPr>
        <w:t>2.1</w:t>
      </w:r>
      <w:r w:rsidR="00372953">
        <w:rPr>
          <w:color w:val="auto"/>
        </w:rPr>
        <w:fldChar w:fldCharType="end"/>
      </w:r>
      <w:r w:rsidR="00372953">
        <w:rPr>
          <w:color w:val="auto"/>
        </w:rPr>
        <w:noBreakHyphen/>
      </w:r>
      <w:r w:rsidR="00372953">
        <w:rPr>
          <w:color w:val="auto"/>
        </w:rPr>
        <w:fldChar w:fldCharType="begin"/>
      </w:r>
      <w:r w:rsidR="00372953">
        <w:rPr>
          <w:color w:val="auto"/>
        </w:rPr>
        <w:instrText xml:space="preserve"> SEQ </w:instrText>
      </w:r>
      <w:r w:rsidR="00372953">
        <w:rPr>
          <w:color w:val="auto"/>
        </w:rPr>
        <w:instrText>表</w:instrText>
      </w:r>
      <w:r w:rsidR="00372953">
        <w:rPr>
          <w:color w:val="auto"/>
        </w:rPr>
        <w:instrText xml:space="preserve"> \* ARABIC \s 2 </w:instrText>
      </w:r>
      <w:r w:rsidR="00372953">
        <w:rPr>
          <w:color w:val="auto"/>
        </w:rPr>
        <w:fldChar w:fldCharType="separate"/>
      </w:r>
      <w:r w:rsidR="00372953">
        <w:rPr>
          <w:noProof/>
          <w:color w:val="auto"/>
        </w:rPr>
        <w:t>8</w:t>
      </w:r>
      <w:r w:rsidR="00372953">
        <w:rPr>
          <w:color w:val="auto"/>
        </w:rPr>
        <w:fldChar w:fldCharType="end"/>
      </w:r>
      <w:r w:rsidRPr="000549B1">
        <w:rPr>
          <w:rStyle w:val="aff0"/>
          <w:b/>
          <w:bCs w:val="0"/>
          <w:color w:val="auto"/>
        </w:rPr>
        <w:t>分领域节水规划任务、规模与建设方式</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59"/>
        <w:gridCol w:w="1547"/>
        <w:gridCol w:w="2283"/>
        <w:gridCol w:w="4962"/>
      </w:tblGrid>
      <w:tr w:rsidR="000549B1" w:rsidRPr="000549B1" w14:paraId="7386BAB1" w14:textId="77777777">
        <w:trPr>
          <w:tblHeader/>
        </w:trPr>
        <w:tc>
          <w:tcPr>
            <w:tcW w:w="0" w:type="auto"/>
            <w:tcMar>
              <w:top w:w="150" w:type="dxa"/>
              <w:left w:w="0" w:type="dxa"/>
              <w:bottom w:w="150" w:type="dxa"/>
              <w:right w:w="240" w:type="dxa"/>
            </w:tcMar>
            <w:vAlign w:val="center"/>
          </w:tcPr>
          <w:p w14:paraId="5940AAB5" w14:textId="77777777" w:rsidR="00054437" w:rsidRPr="000549B1" w:rsidRDefault="00000000">
            <w:pPr>
              <w:pStyle w:val="CharCharCharCharChar"/>
              <w:rPr>
                <w:b/>
                <w:bCs/>
                <w:color w:val="auto"/>
              </w:rPr>
            </w:pPr>
            <w:r w:rsidRPr="000549B1">
              <w:rPr>
                <w:b/>
                <w:bCs/>
                <w:color w:val="auto"/>
              </w:rPr>
              <w:t>规划领域</w:t>
            </w:r>
          </w:p>
        </w:tc>
        <w:tc>
          <w:tcPr>
            <w:tcW w:w="0" w:type="auto"/>
            <w:tcMar>
              <w:top w:w="150" w:type="dxa"/>
              <w:left w:w="240" w:type="dxa"/>
              <w:bottom w:w="150" w:type="dxa"/>
              <w:right w:w="240" w:type="dxa"/>
            </w:tcMar>
            <w:vAlign w:val="center"/>
          </w:tcPr>
          <w:p w14:paraId="20E1CF3A" w14:textId="77777777" w:rsidR="00054437" w:rsidRPr="000549B1" w:rsidRDefault="00000000">
            <w:pPr>
              <w:pStyle w:val="CharCharCharCharChar"/>
              <w:rPr>
                <w:b/>
                <w:bCs/>
                <w:color w:val="auto"/>
              </w:rPr>
            </w:pPr>
            <w:r w:rsidRPr="000549B1">
              <w:rPr>
                <w:b/>
                <w:bCs/>
                <w:color w:val="auto"/>
              </w:rPr>
              <w:t>主要规划任务</w:t>
            </w:r>
          </w:p>
        </w:tc>
        <w:tc>
          <w:tcPr>
            <w:tcW w:w="0" w:type="auto"/>
            <w:tcMar>
              <w:top w:w="150" w:type="dxa"/>
              <w:left w:w="240" w:type="dxa"/>
              <w:bottom w:w="150" w:type="dxa"/>
              <w:right w:w="240" w:type="dxa"/>
            </w:tcMar>
            <w:vAlign w:val="center"/>
          </w:tcPr>
          <w:p w14:paraId="11D7A603" w14:textId="77777777" w:rsidR="00054437" w:rsidRPr="000549B1" w:rsidRDefault="00000000">
            <w:pPr>
              <w:pStyle w:val="CharCharCharCharChar"/>
              <w:rPr>
                <w:b/>
                <w:bCs/>
                <w:color w:val="auto"/>
              </w:rPr>
            </w:pPr>
            <w:r w:rsidRPr="000549B1">
              <w:rPr>
                <w:b/>
                <w:bCs/>
                <w:color w:val="auto"/>
              </w:rPr>
              <w:t>规模</w:t>
            </w:r>
            <w:r w:rsidRPr="000549B1">
              <w:rPr>
                <w:b/>
                <w:bCs/>
                <w:color w:val="auto"/>
              </w:rPr>
              <w:t>/</w:t>
            </w:r>
            <w:r w:rsidRPr="000549B1">
              <w:rPr>
                <w:b/>
                <w:bCs/>
                <w:color w:val="auto"/>
              </w:rPr>
              <w:t>范围</w:t>
            </w:r>
          </w:p>
        </w:tc>
        <w:tc>
          <w:tcPr>
            <w:tcW w:w="4962" w:type="dxa"/>
            <w:tcMar>
              <w:top w:w="150" w:type="dxa"/>
              <w:left w:w="240" w:type="dxa"/>
              <w:bottom w:w="150" w:type="dxa"/>
              <w:right w:w="240" w:type="dxa"/>
            </w:tcMar>
            <w:vAlign w:val="center"/>
          </w:tcPr>
          <w:p w14:paraId="19086E93" w14:textId="77777777" w:rsidR="00054437" w:rsidRPr="000549B1" w:rsidRDefault="00000000">
            <w:pPr>
              <w:pStyle w:val="CharCharCharCharChar"/>
              <w:rPr>
                <w:b/>
                <w:bCs/>
                <w:color w:val="auto"/>
              </w:rPr>
            </w:pPr>
            <w:r w:rsidRPr="000549B1">
              <w:rPr>
                <w:b/>
                <w:bCs/>
                <w:color w:val="auto"/>
              </w:rPr>
              <w:t>主要建设与管理方式</w:t>
            </w:r>
          </w:p>
        </w:tc>
      </w:tr>
      <w:tr w:rsidR="000549B1" w:rsidRPr="000549B1" w14:paraId="24817E41" w14:textId="77777777">
        <w:tc>
          <w:tcPr>
            <w:tcW w:w="0" w:type="auto"/>
            <w:tcMar>
              <w:top w:w="150" w:type="dxa"/>
              <w:left w:w="0" w:type="dxa"/>
              <w:bottom w:w="150" w:type="dxa"/>
              <w:right w:w="240" w:type="dxa"/>
            </w:tcMar>
            <w:vAlign w:val="center"/>
          </w:tcPr>
          <w:p w14:paraId="12B50879" w14:textId="77777777" w:rsidR="00054437" w:rsidRPr="000549B1" w:rsidRDefault="00000000">
            <w:pPr>
              <w:pStyle w:val="CharCharCharCharChar"/>
              <w:rPr>
                <w:color w:val="auto"/>
              </w:rPr>
            </w:pPr>
            <w:r w:rsidRPr="000549B1">
              <w:rPr>
                <w:rStyle w:val="aff0"/>
                <w:b w:val="0"/>
                <w:bCs w:val="0"/>
                <w:color w:val="auto"/>
              </w:rPr>
              <w:t>农业</w:t>
            </w:r>
          </w:p>
        </w:tc>
        <w:tc>
          <w:tcPr>
            <w:tcW w:w="0" w:type="auto"/>
            <w:tcMar>
              <w:top w:w="150" w:type="dxa"/>
              <w:left w:w="240" w:type="dxa"/>
              <w:bottom w:w="150" w:type="dxa"/>
              <w:right w:w="240" w:type="dxa"/>
            </w:tcMar>
            <w:vAlign w:val="center"/>
          </w:tcPr>
          <w:p w14:paraId="4612BA49" w14:textId="4B345D49" w:rsidR="00054437" w:rsidRPr="000549B1" w:rsidRDefault="00000000">
            <w:pPr>
              <w:pStyle w:val="CharCharCharCharChar"/>
              <w:rPr>
                <w:color w:val="auto"/>
              </w:rPr>
            </w:pPr>
            <w:r w:rsidRPr="000549B1">
              <w:rPr>
                <w:color w:val="auto"/>
              </w:rPr>
              <w:t>灌区节水改造，提升灌溉效率，优化种植结构</w:t>
            </w:r>
          </w:p>
        </w:tc>
        <w:tc>
          <w:tcPr>
            <w:tcW w:w="0" w:type="auto"/>
            <w:tcMar>
              <w:top w:w="150" w:type="dxa"/>
              <w:left w:w="240" w:type="dxa"/>
              <w:bottom w:w="150" w:type="dxa"/>
              <w:right w:w="240" w:type="dxa"/>
            </w:tcMar>
            <w:vAlign w:val="center"/>
          </w:tcPr>
          <w:p w14:paraId="5781626D" w14:textId="58943806" w:rsidR="00054437" w:rsidRPr="000549B1" w:rsidRDefault="00000000">
            <w:pPr>
              <w:pStyle w:val="CharCharCharCharChar"/>
              <w:rPr>
                <w:color w:val="auto"/>
              </w:rPr>
            </w:pPr>
            <w:r w:rsidRPr="000549B1">
              <w:rPr>
                <w:color w:val="auto"/>
              </w:rPr>
              <w:t>覆盖全流域</w:t>
            </w:r>
            <w:r w:rsidRPr="000549B1">
              <w:rPr>
                <w:rStyle w:val="aff0"/>
                <w:b w:val="0"/>
                <w:bCs w:val="0"/>
                <w:color w:val="auto"/>
              </w:rPr>
              <w:t>21.23</w:t>
            </w:r>
            <w:r w:rsidRPr="000549B1">
              <w:rPr>
                <w:rStyle w:val="aff0"/>
                <w:b w:val="0"/>
                <w:bCs w:val="0"/>
                <w:color w:val="auto"/>
              </w:rPr>
              <w:t>万亩</w:t>
            </w:r>
            <w:r w:rsidRPr="000549B1">
              <w:rPr>
                <w:color w:val="auto"/>
              </w:rPr>
              <w:t>现状灌溉面积</w:t>
            </w:r>
          </w:p>
        </w:tc>
        <w:tc>
          <w:tcPr>
            <w:tcW w:w="4962" w:type="dxa"/>
            <w:tcMar>
              <w:top w:w="150" w:type="dxa"/>
              <w:left w:w="240" w:type="dxa"/>
              <w:bottom w:w="150" w:type="dxa"/>
              <w:right w:w="0" w:type="dxa"/>
            </w:tcMar>
            <w:vAlign w:val="center"/>
          </w:tcPr>
          <w:p w14:paraId="19A9DC9F" w14:textId="0F36FA7E" w:rsidR="00054437" w:rsidRPr="000549B1" w:rsidRDefault="00000000">
            <w:pPr>
              <w:pStyle w:val="CharCharCharCharChar"/>
              <w:rPr>
                <w:color w:val="auto"/>
              </w:rPr>
            </w:pPr>
            <w:r w:rsidRPr="000549B1">
              <w:rPr>
                <w:rStyle w:val="aff0"/>
                <w:b w:val="0"/>
                <w:bCs w:val="0"/>
                <w:color w:val="auto"/>
              </w:rPr>
              <w:t>工程措施：</w:t>
            </w:r>
            <w:r w:rsidRPr="000549B1">
              <w:rPr>
                <w:rFonts w:ascii="宋体" w:hAnsi="宋体"/>
                <w:color w:val="auto"/>
              </w:rPr>
              <w:t>“</w:t>
            </w:r>
            <w:r w:rsidRPr="000549B1">
              <w:rPr>
                <w:color w:val="auto"/>
              </w:rPr>
              <w:t>渠道防渗是降低渠道水量损失最根本和最有效的措施</w:t>
            </w:r>
            <w:r w:rsidRPr="000549B1">
              <w:rPr>
                <w:rFonts w:ascii="宋体" w:hAnsi="宋体"/>
                <w:color w:val="auto"/>
              </w:rPr>
              <w:t>”</w:t>
            </w:r>
            <w:r w:rsidRPr="000549B1">
              <w:rPr>
                <w:color w:val="auto"/>
              </w:rPr>
              <w:t>，同时</w:t>
            </w:r>
            <w:r w:rsidRPr="000549B1">
              <w:rPr>
                <w:rFonts w:ascii="宋体" w:hAnsi="宋体"/>
                <w:color w:val="auto"/>
              </w:rPr>
              <w:t>“</w:t>
            </w:r>
            <w:r w:rsidRPr="000549B1">
              <w:rPr>
                <w:color w:val="auto"/>
              </w:rPr>
              <w:t>大力发展田间渠道防渗和管道输水，因地制宜发展喷微灌等节水灌溉工程</w:t>
            </w:r>
            <w:r w:rsidRPr="000549B1">
              <w:rPr>
                <w:rFonts w:ascii="宋体" w:hAnsi="宋体"/>
                <w:color w:val="auto"/>
              </w:rPr>
              <w:t>”</w:t>
            </w:r>
            <w:r w:rsidRPr="000549B1">
              <w:rPr>
                <w:color w:val="auto"/>
              </w:rPr>
              <w:t>。</w:t>
            </w:r>
            <w:r w:rsidRPr="000549B1">
              <w:rPr>
                <w:color w:val="auto"/>
              </w:rPr>
              <w:br/>
            </w:r>
            <w:r w:rsidRPr="000549B1">
              <w:rPr>
                <w:rStyle w:val="aff0"/>
                <w:b w:val="0"/>
                <w:bCs w:val="0"/>
                <w:color w:val="auto"/>
              </w:rPr>
              <w:t>管理措施：</w:t>
            </w:r>
            <w:r w:rsidRPr="000549B1">
              <w:rPr>
                <w:rFonts w:ascii="宋体" w:hAnsi="宋体"/>
                <w:color w:val="auto"/>
              </w:rPr>
              <w:t>“</w:t>
            </w:r>
            <w:r w:rsidRPr="000549B1">
              <w:rPr>
                <w:color w:val="auto"/>
              </w:rPr>
              <w:t>优化农业种植结构。根据水资源条件及其承载能力，合理安排作物种植结构和发展灌溉规模</w:t>
            </w:r>
            <w:r w:rsidRPr="000549B1">
              <w:rPr>
                <w:rFonts w:ascii="宋体" w:hAnsi="宋体"/>
                <w:color w:val="auto"/>
              </w:rPr>
              <w:t>”</w:t>
            </w:r>
            <w:r w:rsidRPr="000549B1">
              <w:rPr>
                <w:color w:val="auto"/>
              </w:rPr>
              <w:t>，并</w:t>
            </w:r>
            <w:r w:rsidRPr="000549B1">
              <w:rPr>
                <w:rFonts w:ascii="宋体" w:hAnsi="宋体"/>
                <w:color w:val="auto"/>
              </w:rPr>
              <w:t>“</w:t>
            </w:r>
            <w:r w:rsidRPr="000549B1">
              <w:rPr>
                <w:color w:val="auto"/>
              </w:rPr>
              <w:t>推广各种生物、农艺节水技术和保墒技术，研究开发和推广耐旱、高产、优质农作物品种</w:t>
            </w:r>
            <w:r w:rsidRPr="000549B1">
              <w:rPr>
                <w:rFonts w:ascii="宋体" w:hAnsi="宋体"/>
                <w:color w:val="auto"/>
              </w:rPr>
              <w:t>”</w:t>
            </w:r>
          </w:p>
        </w:tc>
      </w:tr>
      <w:tr w:rsidR="000549B1" w:rsidRPr="000549B1" w14:paraId="1D02DBE0" w14:textId="77777777">
        <w:tc>
          <w:tcPr>
            <w:tcW w:w="0" w:type="auto"/>
            <w:tcMar>
              <w:top w:w="150" w:type="dxa"/>
              <w:left w:w="0" w:type="dxa"/>
              <w:bottom w:w="150" w:type="dxa"/>
              <w:right w:w="240" w:type="dxa"/>
            </w:tcMar>
            <w:vAlign w:val="center"/>
          </w:tcPr>
          <w:p w14:paraId="16D549D3" w14:textId="77777777" w:rsidR="00054437" w:rsidRPr="000549B1" w:rsidRDefault="00000000">
            <w:pPr>
              <w:pStyle w:val="CharCharCharCharChar"/>
              <w:rPr>
                <w:color w:val="auto"/>
              </w:rPr>
            </w:pPr>
            <w:r w:rsidRPr="000549B1">
              <w:rPr>
                <w:rStyle w:val="aff0"/>
                <w:b w:val="0"/>
                <w:bCs w:val="0"/>
                <w:color w:val="auto"/>
              </w:rPr>
              <w:t>工业</w:t>
            </w:r>
          </w:p>
        </w:tc>
        <w:tc>
          <w:tcPr>
            <w:tcW w:w="0" w:type="auto"/>
            <w:tcMar>
              <w:top w:w="150" w:type="dxa"/>
              <w:left w:w="240" w:type="dxa"/>
              <w:bottom w:w="150" w:type="dxa"/>
              <w:right w:w="240" w:type="dxa"/>
            </w:tcMar>
            <w:vAlign w:val="center"/>
          </w:tcPr>
          <w:p w14:paraId="0F7DDEB3" w14:textId="32EB8520" w:rsidR="00054437" w:rsidRPr="000549B1" w:rsidRDefault="00000000">
            <w:pPr>
              <w:pStyle w:val="CharCharCharCharChar"/>
              <w:rPr>
                <w:color w:val="auto"/>
              </w:rPr>
            </w:pPr>
            <w:r w:rsidRPr="000549B1">
              <w:rPr>
                <w:color w:val="auto"/>
              </w:rPr>
              <w:t>推进企业节水技术改造，提高水重复利用率</w:t>
            </w:r>
          </w:p>
        </w:tc>
        <w:tc>
          <w:tcPr>
            <w:tcW w:w="0" w:type="auto"/>
            <w:tcMar>
              <w:top w:w="150" w:type="dxa"/>
              <w:left w:w="240" w:type="dxa"/>
              <w:bottom w:w="150" w:type="dxa"/>
              <w:right w:w="240" w:type="dxa"/>
            </w:tcMar>
            <w:vAlign w:val="center"/>
          </w:tcPr>
          <w:p w14:paraId="6AD53199" w14:textId="105EDAAB" w:rsidR="00054437" w:rsidRPr="000549B1" w:rsidRDefault="00000000">
            <w:pPr>
              <w:pStyle w:val="CharCharCharCharChar"/>
              <w:rPr>
                <w:color w:val="auto"/>
              </w:rPr>
            </w:pPr>
            <w:r w:rsidRPr="000549B1">
              <w:rPr>
                <w:color w:val="auto"/>
              </w:rPr>
              <w:t>针对流域内以</w:t>
            </w:r>
            <w:r w:rsidRPr="000549B1">
              <w:rPr>
                <w:rFonts w:ascii="宋体" w:hAnsi="宋体"/>
                <w:color w:val="auto"/>
              </w:rPr>
              <w:t>“</w:t>
            </w:r>
            <w:r w:rsidRPr="000549B1">
              <w:rPr>
                <w:color w:val="auto"/>
              </w:rPr>
              <w:t>矿产、肉类加工、光伏等为主</w:t>
            </w:r>
            <w:r w:rsidRPr="000549B1">
              <w:rPr>
                <w:rFonts w:ascii="宋体" w:hAnsi="宋体"/>
                <w:color w:val="auto"/>
              </w:rPr>
              <w:t>”</w:t>
            </w:r>
            <w:r w:rsidRPr="000549B1">
              <w:rPr>
                <w:color w:val="auto"/>
              </w:rPr>
              <w:t>的工业企业，现状工业增加值为</w:t>
            </w:r>
            <w:r w:rsidRPr="000549B1">
              <w:rPr>
                <w:rStyle w:val="aff0"/>
                <w:b w:val="0"/>
                <w:bCs w:val="0"/>
                <w:color w:val="auto"/>
              </w:rPr>
              <w:t>2.79</w:t>
            </w:r>
            <w:r w:rsidRPr="000549B1">
              <w:rPr>
                <w:rStyle w:val="aff0"/>
                <w:b w:val="0"/>
                <w:bCs w:val="0"/>
                <w:color w:val="auto"/>
              </w:rPr>
              <w:t>亿元</w:t>
            </w:r>
          </w:p>
        </w:tc>
        <w:tc>
          <w:tcPr>
            <w:tcW w:w="4962" w:type="dxa"/>
            <w:tcMar>
              <w:top w:w="150" w:type="dxa"/>
              <w:left w:w="240" w:type="dxa"/>
              <w:bottom w:w="150" w:type="dxa"/>
              <w:right w:w="0" w:type="dxa"/>
            </w:tcMar>
            <w:vAlign w:val="center"/>
          </w:tcPr>
          <w:p w14:paraId="0FDC99BF" w14:textId="21F794E2" w:rsidR="00054437" w:rsidRPr="000549B1" w:rsidRDefault="00000000">
            <w:pPr>
              <w:pStyle w:val="CharCharCharCharChar"/>
              <w:rPr>
                <w:color w:val="auto"/>
              </w:rPr>
            </w:pPr>
            <w:r w:rsidRPr="000549B1">
              <w:rPr>
                <w:rStyle w:val="aff0"/>
                <w:b w:val="0"/>
                <w:bCs w:val="0"/>
                <w:color w:val="auto"/>
              </w:rPr>
              <w:t>工程措施：</w:t>
            </w:r>
            <w:r w:rsidRPr="000549B1">
              <w:rPr>
                <w:rFonts w:ascii="宋体" w:hAnsi="宋体"/>
                <w:color w:val="auto"/>
              </w:rPr>
              <w:t>“</w:t>
            </w:r>
            <w:r w:rsidRPr="000549B1">
              <w:rPr>
                <w:color w:val="auto"/>
              </w:rPr>
              <w:t>大力推广高效冷却、洗涤、循环用水、废污水再生利用、高耗水生产工艺替代等节水新工艺、新技术和新设备</w:t>
            </w:r>
            <w:r w:rsidRPr="000549B1">
              <w:rPr>
                <w:rFonts w:ascii="宋体" w:hAnsi="宋体"/>
                <w:color w:val="auto"/>
              </w:rPr>
              <w:t>”</w:t>
            </w:r>
            <w:r w:rsidRPr="000549B1">
              <w:rPr>
                <w:color w:val="auto"/>
              </w:rPr>
              <w:t>，</w:t>
            </w:r>
            <w:r w:rsidRPr="000549B1">
              <w:rPr>
                <w:rFonts w:ascii="宋体" w:hAnsi="宋体"/>
                <w:color w:val="auto"/>
              </w:rPr>
              <w:t>“</w:t>
            </w:r>
            <w:r w:rsidRPr="000549B1">
              <w:rPr>
                <w:color w:val="auto"/>
              </w:rPr>
              <w:t>支持企业开展用水工艺节水技术改造及再生水回用改造</w:t>
            </w:r>
            <w:r w:rsidRPr="000549B1">
              <w:rPr>
                <w:rFonts w:ascii="宋体" w:hAnsi="宋体"/>
                <w:color w:val="auto"/>
              </w:rPr>
              <w:t>”</w:t>
            </w:r>
            <w:r w:rsidRPr="000549B1">
              <w:rPr>
                <w:color w:val="auto"/>
              </w:rPr>
              <w:t>。</w:t>
            </w:r>
            <w:r w:rsidRPr="000549B1">
              <w:rPr>
                <w:color w:val="auto"/>
              </w:rPr>
              <w:br/>
            </w:r>
            <w:r w:rsidRPr="000549B1">
              <w:rPr>
                <w:rStyle w:val="aff0"/>
                <w:b w:val="0"/>
                <w:bCs w:val="0"/>
                <w:color w:val="auto"/>
              </w:rPr>
              <w:t>管理措施：</w:t>
            </w:r>
            <w:r w:rsidRPr="000549B1">
              <w:rPr>
                <w:rFonts w:ascii="宋体" w:hAnsi="宋体"/>
                <w:color w:val="auto"/>
              </w:rPr>
              <w:t>“</w:t>
            </w:r>
            <w:r w:rsidRPr="000549B1">
              <w:rPr>
                <w:color w:val="auto"/>
              </w:rPr>
              <w:t>定期开展水平衡测试、用水审计及水效对标评估，完善供用水计量体系和在线监测系统，强化生产用水管理</w:t>
            </w:r>
            <w:r w:rsidRPr="000549B1">
              <w:rPr>
                <w:rFonts w:ascii="宋体" w:hAnsi="宋体"/>
                <w:color w:val="auto"/>
              </w:rPr>
              <w:t>”</w:t>
            </w:r>
          </w:p>
        </w:tc>
      </w:tr>
      <w:tr w:rsidR="000549B1" w:rsidRPr="000549B1" w14:paraId="509F1792" w14:textId="77777777">
        <w:tc>
          <w:tcPr>
            <w:tcW w:w="0" w:type="auto"/>
            <w:tcMar>
              <w:top w:w="150" w:type="dxa"/>
              <w:left w:w="0" w:type="dxa"/>
              <w:bottom w:w="150" w:type="dxa"/>
              <w:right w:w="240" w:type="dxa"/>
            </w:tcMar>
            <w:vAlign w:val="center"/>
          </w:tcPr>
          <w:p w14:paraId="11B9EFA7" w14:textId="77777777" w:rsidR="00054437" w:rsidRPr="000549B1" w:rsidRDefault="00000000">
            <w:pPr>
              <w:pStyle w:val="CharCharCharCharChar"/>
              <w:rPr>
                <w:color w:val="auto"/>
              </w:rPr>
            </w:pPr>
            <w:r w:rsidRPr="000549B1">
              <w:rPr>
                <w:rStyle w:val="aff0"/>
                <w:b w:val="0"/>
                <w:bCs w:val="0"/>
                <w:color w:val="auto"/>
              </w:rPr>
              <w:t>生活</w:t>
            </w:r>
          </w:p>
        </w:tc>
        <w:tc>
          <w:tcPr>
            <w:tcW w:w="0" w:type="auto"/>
            <w:tcMar>
              <w:top w:w="150" w:type="dxa"/>
              <w:left w:w="240" w:type="dxa"/>
              <w:bottom w:w="150" w:type="dxa"/>
              <w:right w:w="240" w:type="dxa"/>
            </w:tcMar>
            <w:vAlign w:val="center"/>
          </w:tcPr>
          <w:p w14:paraId="252B93E4" w14:textId="4A4D48F4" w:rsidR="00054437" w:rsidRPr="000549B1" w:rsidRDefault="00000000">
            <w:pPr>
              <w:pStyle w:val="CharCharCharCharChar"/>
              <w:rPr>
                <w:color w:val="auto"/>
              </w:rPr>
            </w:pPr>
            <w:r w:rsidRPr="000549B1">
              <w:rPr>
                <w:color w:val="auto"/>
              </w:rPr>
              <w:t>降低公共供水管网漏损，全面普及节水器具</w:t>
            </w:r>
          </w:p>
        </w:tc>
        <w:tc>
          <w:tcPr>
            <w:tcW w:w="0" w:type="auto"/>
            <w:tcMar>
              <w:top w:w="150" w:type="dxa"/>
              <w:left w:w="240" w:type="dxa"/>
              <w:bottom w:w="150" w:type="dxa"/>
              <w:right w:w="240" w:type="dxa"/>
            </w:tcMar>
            <w:vAlign w:val="center"/>
          </w:tcPr>
          <w:p w14:paraId="13D54A7A" w14:textId="4911C8B3" w:rsidR="00054437" w:rsidRPr="000549B1" w:rsidRDefault="00000000">
            <w:pPr>
              <w:pStyle w:val="CharCharCharCharChar"/>
              <w:rPr>
                <w:color w:val="auto"/>
              </w:rPr>
            </w:pPr>
            <w:r w:rsidRPr="000549B1">
              <w:rPr>
                <w:color w:val="auto"/>
              </w:rPr>
              <w:t>覆盖流域内城镇公共供水系统，现状城镇生活用水量为</w:t>
            </w:r>
            <w:r w:rsidRPr="000549B1">
              <w:rPr>
                <w:rStyle w:val="aff0"/>
                <w:b w:val="0"/>
                <w:bCs w:val="0"/>
                <w:color w:val="auto"/>
              </w:rPr>
              <w:t>11</w:t>
            </w:r>
            <w:r w:rsidRPr="000549B1">
              <w:rPr>
                <w:rStyle w:val="aff0"/>
                <w:b w:val="0"/>
                <w:bCs w:val="0"/>
                <w:color w:val="auto"/>
              </w:rPr>
              <w:t>万</w:t>
            </w:r>
            <w:r w:rsidRPr="000549B1">
              <w:rPr>
                <w:rStyle w:val="aff0"/>
                <w:b w:val="0"/>
                <w:bCs w:val="0"/>
                <w:color w:val="auto"/>
              </w:rPr>
              <w:t>m³</w:t>
            </w:r>
          </w:p>
        </w:tc>
        <w:tc>
          <w:tcPr>
            <w:tcW w:w="4962" w:type="dxa"/>
            <w:tcMar>
              <w:top w:w="150" w:type="dxa"/>
              <w:left w:w="240" w:type="dxa"/>
              <w:bottom w:w="150" w:type="dxa"/>
              <w:right w:w="0" w:type="dxa"/>
            </w:tcMar>
            <w:vAlign w:val="center"/>
          </w:tcPr>
          <w:p w14:paraId="7896EA15" w14:textId="321775DF" w:rsidR="00054437" w:rsidRPr="000549B1" w:rsidRDefault="00000000">
            <w:pPr>
              <w:pStyle w:val="CharCharCharCharChar"/>
              <w:rPr>
                <w:color w:val="auto"/>
              </w:rPr>
            </w:pPr>
            <w:r w:rsidRPr="000549B1">
              <w:rPr>
                <w:rStyle w:val="aff0"/>
                <w:b w:val="0"/>
                <w:bCs w:val="0"/>
                <w:color w:val="auto"/>
              </w:rPr>
              <w:t>工程措施：</w:t>
            </w:r>
            <w:r w:rsidRPr="000549B1">
              <w:rPr>
                <w:rFonts w:ascii="宋体" w:hAnsi="宋体"/>
                <w:color w:val="auto"/>
              </w:rPr>
              <w:t>“</w:t>
            </w:r>
            <w:r w:rsidRPr="000549B1">
              <w:rPr>
                <w:color w:val="auto"/>
              </w:rPr>
              <w:t>加快城镇供水管网改造，降低供水管网综合损失率。应大力推广管网检漏防渗技术</w:t>
            </w:r>
            <w:r w:rsidRPr="000549B1">
              <w:rPr>
                <w:rFonts w:ascii="宋体" w:hAnsi="宋体"/>
                <w:color w:val="auto"/>
              </w:rPr>
              <w:t>”</w:t>
            </w:r>
            <w:r w:rsidRPr="000549B1">
              <w:rPr>
                <w:color w:val="auto"/>
              </w:rPr>
              <w:t>。</w:t>
            </w:r>
            <w:r w:rsidRPr="000549B1">
              <w:rPr>
                <w:color w:val="auto"/>
              </w:rPr>
              <w:br/>
            </w:r>
            <w:r w:rsidRPr="000549B1">
              <w:rPr>
                <w:rStyle w:val="aff0"/>
                <w:b w:val="0"/>
                <w:bCs w:val="0"/>
                <w:color w:val="auto"/>
              </w:rPr>
              <w:t>管理措施：</w:t>
            </w:r>
            <w:r w:rsidRPr="000549B1">
              <w:rPr>
                <w:rFonts w:ascii="宋体" w:hAnsi="宋体"/>
                <w:color w:val="auto"/>
              </w:rPr>
              <w:t>“</w:t>
            </w:r>
            <w:r w:rsidRPr="000549B1">
              <w:rPr>
                <w:color w:val="auto"/>
              </w:rPr>
              <w:t>强化节水卫生洁具市场准入制度，提高节水器具普及率</w:t>
            </w:r>
            <w:r w:rsidRPr="000549B1">
              <w:rPr>
                <w:rFonts w:ascii="宋体" w:hAnsi="宋体"/>
                <w:color w:val="auto"/>
              </w:rPr>
              <w:t>”</w:t>
            </w:r>
            <w:r w:rsidRPr="000549B1">
              <w:rPr>
                <w:color w:val="auto"/>
              </w:rPr>
              <w:t>，并</w:t>
            </w:r>
            <w:r w:rsidRPr="000549B1">
              <w:rPr>
                <w:rFonts w:ascii="宋体" w:hAnsi="宋体"/>
                <w:color w:val="auto"/>
              </w:rPr>
              <w:t>“</w:t>
            </w:r>
            <w:r w:rsidRPr="000549B1">
              <w:rPr>
                <w:color w:val="auto"/>
              </w:rPr>
              <w:t>加强用水计量管理，加大用水计量设施改装力度</w:t>
            </w:r>
            <w:r w:rsidRPr="000549B1">
              <w:rPr>
                <w:rFonts w:ascii="宋体" w:hAnsi="宋体"/>
                <w:color w:val="auto"/>
              </w:rPr>
              <w:t>”</w:t>
            </w:r>
            <w:r w:rsidRPr="000549B1">
              <w:rPr>
                <w:color w:val="auto"/>
              </w:rPr>
              <w:t>，</w:t>
            </w:r>
            <w:r w:rsidRPr="000549B1">
              <w:rPr>
                <w:rFonts w:ascii="宋体" w:hAnsi="宋体"/>
                <w:color w:val="auto"/>
              </w:rPr>
              <w:t>“</w:t>
            </w:r>
            <w:r w:rsidRPr="000549B1">
              <w:rPr>
                <w:color w:val="auto"/>
              </w:rPr>
              <w:t>制定合理的水价，促进居民生活节水</w:t>
            </w:r>
            <w:r w:rsidRPr="000549B1">
              <w:rPr>
                <w:rFonts w:ascii="宋体" w:hAnsi="宋体"/>
                <w:color w:val="auto"/>
              </w:rPr>
              <w:t>”</w:t>
            </w:r>
            <w:r w:rsidRPr="000549B1">
              <w:rPr>
                <w:color w:val="auto"/>
              </w:rPr>
              <w:t>，</w:t>
            </w:r>
            <w:r w:rsidRPr="000549B1">
              <w:rPr>
                <w:rFonts w:ascii="宋体" w:hAnsi="宋体"/>
                <w:color w:val="auto"/>
              </w:rPr>
              <w:t>“</w:t>
            </w:r>
            <w:r w:rsidRPr="000549B1">
              <w:rPr>
                <w:color w:val="auto"/>
              </w:rPr>
              <w:t>加强节水宣传教育，提高居民节水意识</w:t>
            </w:r>
            <w:r w:rsidRPr="000549B1">
              <w:rPr>
                <w:rFonts w:ascii="宋体" w:hAnsi="宋体"/>
                <w:color w:val="auto"/>
              </w:rPr>
              <w:t>”</w:t>
            </w:r>
          </w:p>
        </w:tc>
      </w:tr>
    </w:tbl>
    <w:p w14:paraId="7C9D8B35" w14:textId="03473AC2" w:rsidR="00054437" w:rsidRPr="000549B1" w:rsidRDefault="002F2485" w:rsidP="000549B1">
      <w:pPr>
        <w:pStyle w:val="x"/>
      </w:pPr>
      <w:r w:rsidRPr="000549B1">
        <w:rPr>
          <w:rStyle w:val="aff0"/>
          <w:rFonts w:hint="eastAsia"/>
          <w:b w:val="0"/>
          <w:bCs w:val="0"/>
        </w:rPr>
        <w:t>（</w:t>
      </w:r>
      <w:r w:rsidRPr="000549B1">
        <w:rPr>
          <w:rStyle w:val="aff0"/>
          <w:b w:val="0"/>
          <w:bCs w:val="0"/>
        </w:rPr>
        <w:t>4</w:t>
      </w:r>
      <w:r w:rsidRPr="000549B1">
        <w:rPr>
          <w:rStyle w:val="aff0"/>
          <w:rFonts w:hint="eastAsia"/>
          <w:b w:val="0"/>
          <w:bCs w:val="0"/>
        </w:rPr>
        <w:t>）近远期实施意见</w:t>
      </w:r>
    </w:p>
    <w:p w14:paraId="74D2980F" w14:textId="11F48EE3" w:rsidR="002F2485" w:rsidRPr="000549B1" w:rsidRDefault="00000000" w:rsidP="00E62FAF">
      <w:pPr>
        <w:pStyle w:val="x"/>
      </w:pPr>
      <w:r w:rsidRPr="000549B1">
        <w:t>为确保节水目标稳步实现，规划制定了分阶段实施的路线图。近期工作重点在于启动关键改造工程和建立管理机制，而远期则致力于全面实现各项节水指标，构建成熟的节水型社会。具体实施意见安排如下：</w:t>
      </w:r>
    </w:p>
    <w:p w14:paraId="68D9D55F" w14:textId="2D11178E" w:rsidR="00054437" w:rsidRPr="000549B1" w:rsidRDefault="00000000">
      <w:pPr>
        <w:pStyle w:val="aff8"/>
        <w:rPr>
          <w:rStyle w:val="Char"/>
          <w:rFonts w:ascii="Times New Roman" w:eastAsia="宋体" w:hAnsi="Times New Roman"/>
          <w:b/>
          <w:color w:val="auto"/>
          <w:sz w:val="21"/>
        </w:rPr>
      </w:pPr>
      <w:r w:rsidRPr="000549B1">
        <w:rPr>
          <w:rStyle w:val="Char"/>
          <w:rFonts w:ascii="Times New Roman" w:eastAsia="宋体" w:hAnsi="Times New Roman"/>
          <w:b/>
          <w:color w:val="auto"/>
          <w:sz w:val="21"/>
        </w:rPr>
        <w:t>表</w:t>
      </w:r>
      <w:r w:rsidR="00372953">
        <w:rPr>
          <w:rStyle w:val="Char"/>
          <w:rFonts w:ascii="Times New Roman" w:eastAsia="宋体" w:hAnsi="Times New Roman"/>
          <w:b/>
          <w:color w:val="auto"/>
          <w:sz w:val="21"/>
        </w:rPr>
        <w:fldChar w:fldCharType="begin"/>
      </w:r>
      <w:r w:rsidR="00372953">
        <w:rPr>
          <w:rStyle w:val="Char"/>
          <w:rFonts w:ascii="Times New Roman" w:eastAsia="宋体" w:hAnsi="Times New Roman"/>
          <w:b/>
          <w:color w:val="auto"/>
          <w:sz w:val="21"/>
        </w:rPr>
        <w:instrText xml:space="preserve"> STYLEREF 2 \s </w:instrText>
      </w:r>
      <w:r w:rsidR="00372953">
        <w:rPr>
          <w:rStyle w:val="Char"/>
          <w:rFonts w:ascii="Times New Roman" w:eastAsia="宋体" w:hAnsi="Times New Roman"/>
          <w:b/>
          <w:color w:val="auto"/>
          <w:sz w:val="21"/>
        </w:rPr>
        <w:fldChar w:fldCharType="separate"/>
      </w:r>
      <w:r w:rsidR="00372953">
        <w:rPr>
          <w:rStyle w:val="Char"/>
          <w:rFonts w:ascii="Times New Roman" w:eastAsia="宋体" w:hAnsi="Times New Roman"/>
          <w:b/>
          <w:noProof/>
          <w:color w:val="auto"/>
          <w:sz w:val="21"/>
        </w:rPr>
        <w:t>2.1</w:t>
      </w:r>
      <w:r w:rsidR="00372953">
        <w:rPr>
          <w:rStyle w:val="Char"/>
          <w:rFonts w:ascii="Times New Roman" w:eastAsia="宋体" w:hAnsi="Times New Roman"/>
          <w:b/>
          <w:color w:val="auto"/>
          <w:sz w:val="21"/>
        </w:rPr>
        <w:fldChar w:fldCharType="end"/>
      </w:r>
      <w:r w:rsidR="00372953">
        <w:rPr>
          <w:rStyle w:val="Char"/>
          <w:rFonts w:ascii="Times New Roman" w:eastAsia="宋体" w:hAnsi="Times New Roman"/>
          <w:b/>
          <w:color w:val="auto"/>
          <w:sz w:val="21"/>
        </w:rPr>
        <w:noBreakHyphen/>
      </w:r>
      <w:r w:rsidR="00372953">
        <w:rPr>
          <w:rStyle w:val="Char"/>
          <w:rFonts w:ascii="Times New Roman" w:eastAsia="宋体" w:hAnsi="Times New Roman"/>
          <w:b/>
          <w:color w:val="auto"/>
          <w:sz w:val="21"/>
        </w:rPr>
        <w:fldChar w:fldCharType="begin"/>
      </w:r>
      <w:r w:rsidR="00372953">
        <w:rPr>
          <w:rStyle w:val="Char"/>
          <w:rFonts w:ascii="Times New Roman" w:eastAsia="宋体" w:hAnsi="Times New Roman"/>
          <w:b/>
          <w:color w:val="auto"/>
          <w:sz w:val="21"/>
        </w:rPr>
        <w:instrText xml:space="preserve"> SEQ </w:instrText>
      </w:r>
      <w:r w:rsidR="00372953">
        <w:rPr>
          <w:rStyle w:val="Char"/>
          <w:rFonts w:ascii="Times New Roman" w:eastAsia="宋体" w:hAnsi="Times New Roman"/>
          <w:b/>
          <w:color w:val="auto"/>
          <w:sz w:val="21"/>
        </w:rPr>
        <w:instrText>表</w:instrText>
      </w:r>
      <w:r w:rsidR="00372953">
        <w:rPr>
          <w:rStyle w:val="Char"/>
          <w:rFonts w:ascii="Times New Roman" w:eastAsia="宋体" w:hAnsi="Times New Roman"/>
          <w:b/>
          <w:color w:val="auto"/>
          <w:sz w:val="21"/>
        </w:rPr>
        <w:instrText xml:space="preserve"> \* ARABIC \s 2 </w:instrText>
      </w:r>
      <w:r w:rsidR="00372953">
        <w:rPr>
          <w:rStyle w:val="Char"/>
          <w:rFonts w:ascii="Times New Roman" w:eastAsia="宋体" w:hAnsi="Times New Roman"/>
          <w:b/>
          <w:color w:val="auto"/>
          <w:sz w:val="21"/>
        </w:rPr>
        <w:fldChar w:fldCharType="separate"/>
      </w:r>
      <w:r w:rsidR="00372953">
        <w:rPr>
          <w:rStyle w:val="Char"/>
          <w:rFonts w:ascii="Times New Roman" w:eastAsia="宋体" w:hAnsi="Times New Roman"/>
          <w:b/>
          <w:noProof/>
          <w:color w:val="auto"/>
          <w:sz w:val="21"/>
        </w:rPr>
        <w:t>9</w:t>
      </w:r>
      <w:r w:rsidR="00372953">
        <w:rPr>
          <w:rStyle w:val="Char"/>
          <w:rFonts w:ascii="Times New Roman" w:eastAsia="宋体" w:hAnsi="Times New Roman"/>
          <w:b/>
          <w:color w:val="auto"/>
          <w:sz w:val="21"/>
        </w:rPr>
        <w:fldChar w:fldCharType="end"/>
      </w:r>
      <w:r w:rsidRPr="000549B1">
        <w:rPr>
          <w:rStyle w:val="Char"/>
          <w:rFonts w:ascii="Times New Roman" w:eastAsia="宋体" w:hAnsi="Times New Roman"/>
          <w:b/>
          <w:color w:val="auto"/>
          <w:sz w:val="21"/>
        </w:rPr>
        <w:t>规划近远期实施意见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91"/>
        <w:gridCol w:w="2367"/>
        <w:gridCol w:w="2758"/>
        <w:gridCol w:w="2380"/>
      </w:tblGrid>
      <w:tr w:rsidR="000549B1" w:rsidRPr="000549B1" w14:paraId="4915C94B" w14:textId="77777777" w:rsidTr="00F1314B">
        <w:trPr>
          <w:tblHeader/>
          <w:jc w:val="center"/>
        </w:trPr>
        <w:tc>
          <w:tcPr>
            <w:tcW w:w="0" w:type="auto"/>
            <w:tcMar>
              <w:top w:w="150" w:type="dxa"/>
              <w:left w:w="0" w:type="dxa"/>
              <w:bottom w:w="150" w:type="dxa"/>
              <w:right w:w="240" w:type="dxa"/>
            </w:tcMar>
            <w:vAlign w:val="center"/>
          </w:tcPr>
          <w:p w14:paraId="07DB8704" w14:textId="77777777" w:rsidR="00054437" w:rsidRPr="000549B1" w:rsidRDefault="00000000">
            <w:pPr>
              <w:pStyle w:val="0-"/>
              <w:rPr>
                <w:rFonts w:cs="Times New Roman"/>
                <w:b/>
                <w:bCs/>
                <w:szCs w:val="21"/>
              </w:rPr>
            </w:pPr>
            <w:r w:rsidRPr="000549B1">
              <w:rPr>
                <w:rFonts w:cs="Times New Roman"/>
                <w:b/>
                <w:bCs/>
                <w:szCs w:val="21"/>
              </w:rPr>
              <w:t>时段</w:t>
            </w:r>
          </w:p>
        </w:tc>
        <w:tc>
          <w:tcPr>
            <w:tcW w:w="0" w:type="auto"/>
            <w:tcMar>
              <w:top w:w="150" w:type="dxa"/>
              <w:left w:w="240" w:type="dxa"/>
              <w:bottom w:w="150" w:type="dxa"/>
              <w:right w:w="240" w:type="dxa"/>
            </w:tcMar>
            <w:vAlign w:val="center"/>
          </w:tcPr>
          <w:p w14:paraId="0BD74E57" w14:textId="77777777" w:rsidR="00054437" w:rsidRPr="000549B1" w:rsidRDefault="00000000">
            <w:pPr>
              <w:pStyle w:val="0-"/>
              <w:rPr>
                <w:rFonts w:cs="Times New Roman"/>
                <w:b/>
                <w:bCs/>
                <w:szCs w:val="21"/>
              </w:rPr>
            </w:pPr>
            <w:r w:rsidRPr="000549B1">
              <w:rPr>
                <w:rFonts w:cs="Times New Roman"/>
                <w:b/>
                <w:bCs/>
                <w:szCs w:val="21"/>
              </w:rPr>
              <w:t>农业领域实施重点</w:t>
            </w:r>
          </w:p>
        </w:tc>
        <w:tc>
          <w:tcPr>
            <w:tcW w:w="0" w:type="auto"/>
            <w:tcMar>
              <w:top w:w="150" w:type="dxa"/>
              <w:left w:w="240" w:type="dxa"/>
              <w:bottom w:w="150" w:type="dxa"/>
              <w:right w:w="240" w:type="dxa"/>
            </w:tcMar>
            <w:vAlign w:val="center"/>
          </w:tcPr>
          <w:p w14:paraId="5DE527AF" w14:textId="77777777" w:rsidR="00054437" w:rsidRPr="000549B1" w:rsidRDefault="00000000">
            <w:pPr>
              <w:pStyle w:val="0-"/>
              <w:rPr>
                <w:rFonts w:cs="Times New Roman"/>
                <w:b/>
                <w:bCs/>
                <w:szCs w:val="21"/>
              </w:rPr>
            </w:pPr>
            <w:r w:rsidRPr="000549B1">
              <w:rPr>
                <w:rFonts w:cs="Times New Roman"/>
                <w:b/>
                <w:bCs/>
                <w:szCs w:val="21"/>
              </w:rPr>
              <w:t>工业领域实施重点</w:t>
            </w:r>
          </w:p>
        </w:tc>
        <w:tc>
          <w:tcPr>
            <w:tcW w:w="0" w:type="auto"/>
            <w:tcMar>
              <w:top w:w="150" w:type="dxa"/>
              <w:left w:w="240" w:type="dxa"/>
              <w:bottom w:w="150" w:type="dxa"/>
              <w:right w:w="240" w:type="dxa"/>
            </w:tcMar>
            <w:vAlign w:val="center"/>
          </w:tcPr>
          <w:p w14:paraId="3B305ABD" w14:textId="77777777" w:rsidR="00054437" w:rsidRPr="000549B1" w:rsidRDefault="00000000">
            <w:pPr>
              <w:pStyle w:val="0-"/>
              <w:rPr>
                <w:rFonts w:cs="Times New Roman"/>
                <w:b/>
                <w:bCs/>
                <w:szCs w:val="21"/>
              </w:rPr>
            </w:pPr>
            <w:r w:rsidRPr="000549B1">
              <w:rPr>
                <w:rFonts w:cs="Times New Roman"/>
                <w:b/>
                <w:bCs/>
                <w:szCs w:val="21"/>
              </w:rPr>
              <w:t>生活领域实施重点</w:t>
            </w:r>
          </w:p>
        </w:tc>
      </w:tr>
      <w:tr w:rsidR="000549B1" w:rsidRPr="000549B1" w14:paraId="47F7DADA" w14:textId="77777777" w:rsidTr="00F1314B">
        <w:trPr>
          <w:jc w:val="center"/>
        </w:trPr>
        <w:tc>
          <w:tcPr>
            <w:tcW w:w="0" w:type="auto"/>
            <w:tcMar>
              <w:top w:w="150" w:type="dxa"/>
              <w:left w:w="0" w:type="dxa"/>
              <w:bottom w:w="150" w:type="dxa"/>
              <w:right w:w="240" w:type="dxa"/>
            </w:tcMar>
            <w:vAlign w:val="center"/>
          </w:tcPr>
          <w:p w14:paraId="63D82AC5" w14:textId="77777777" w:rsidR="00054437" w:rsidRPr="000549B1" w:rsidRDefault="00000000">
            <w:pPr>
              <w:pStyle w:val="0-"/>
              <w:rPr>
                <w:rFonts w:cs="Times New Roman"/>
                <w:b/>
                <w:bCs/>
                <w:szCs w:val="21"/>
              </w:rPr>
            </w:pPr>
            <w:r w:rsidRPr="000549B1">
              <w:rPr>
                <w:rStyle w:val="aff0"/>
                <w:rFonts w:cs="Times New Roman"/>
                <w:b w:val="0"/>
                <w:bCs w:val="0"/>
                <w:szCs w:val="21"/>
              </w:rPr>
              <w:t>近期</w:t>
            </w:r>
          </w:p>
        </w:tc>
        <w:tc>
          <w:tcPr>
            <w:tcW w:w="0" w:type="auto"/>
            <w:tcMar>
              <w:top w:w="150" w:type="dxa"/>
              <w:left w:w="240" w:type="dxa"/>
              <w:bottom w:w="150" w:type="dxa"/>
              <w:right w:w="240" w:type="dxa"/>
            </w:tcMar>
            <w:vAlign w:val="center"/>
          </w:tcPr>
          <w:p w14:paraId="76EDB050" w14:textId="6E1A5090" w:rsidR="00054437" w:rsidRPr="000549B1" w:rsidRDefault="00000000">
            <w:pPr>
              <w:pStyle w:val="0-"/>
              <w:rPr>
                <w:rFonts w:cs="Times New Roman"/>
                <w:szCs w:val="21"/>
              </w:rPr>
            </w:pPr>
            <w:r w:rsidRPr="000549B1">
              <w:rPr>
                <w:rFonts w:ascii="宋体" w:hAnsi="宋体" w:cs="Times New Roman"/>
                <w:szCs w:val="21"/>
              </w:rPr>
              <w:t>“</w:t>
            </w:r>
            <w:r w:rsidRPr="000549B1">
              <w:rPr>
                <w:rFonts w:cs="Times New Roman"/>
                <w:szCs w:val="21"/>
              </w:rPr>
              <w:t>加快灌区节水改造。加大灌区的节水改造力度，重点解决骨干工程设施不配套、老化失修、渠系不配套、渗漏损失严重等问题，同时开展灌区末级渠系和田间节水改造</w:t>
            </w:r>
            <w:r w:rsidRPr="000549B1">
              <w:rPr>
                <w:rFonts w:ascii="宋体" w:hAnsi="宋体" w:cs="Times New Roman"/>
                <w:szCs w:val="21"/>
              </w:rPr>
              <w:t>”</w:t>
            </w:r>
          </w:p>
        </w:tc>
        <w:tc>
          <w:tcPr>
            <w:tcW w:w="0" w:type="auto"/>
            <w:tcMar>
              <w:top w:w="150" w:type="dxa"/>
              <w:left w:w="240" w:type="dxa"/>
              <w:bottom w:w="150" w:type="dxa"/>
              <w:right w:w="240" w:type="dxa"/>
            </w:tcMar>
            <w:vAlign w:val="center"/>
          </w:tcPr>
          <w:p w14:paraId="1791EAB8" w14:textId="029183B3" w:rsidR="00054437" w:rsidRPr="000549B1" w:rsidRDefault="00000000">
            <w:pPr>
              <w:pStyle w:val="0-"/>
              <w:rPr>
                <w:rFonts w:cs="Times New Roman"/>
                <w:szCs w:val="21"/>
              </w:rPr>
            </w:pPr>
            <w:r w:rsidRPr="000549B1">
              <w:rPr>
                <w:rFonts w:ascii="宋体" w:hAnsi="宋体" w:cs="Times New Roman"/>
                <w:szCs w:val="21"/>
              </w:rPr>
              <w:t>“</w:t>
            </w:r>
            <w:r w:rsidRPr="000549B1">
              <w:rPr>
                <w:rFonts w:cs="Times New Roman"/>
                <w:szCs w:val="21"/>
              </w:rPr>
              <w:t>推进工业企业节水改造。大力推广高效冷却、洗涤、循环用水、废污水再生利用、高耗水生产工艺替代等节水新工艺、新技术和新设备</w:t>
            </w:r>
            <w:r w:rsidRPr="000549B1">
              <w:rPr>
                <w:rFonts w:ascii="宋体" w:hAnsi="宋体" w:cs="Times New Roman"/>
                <w:szCs w:val="21"/>
              </w:rPr>
              <w:t>”</w:t>
            </w:r>
            <w:r w:rsidRPr="000549B1">
              <w:rPr>
                <w:rFonts w:cs="Times New Roman"/>
                <w:szCs w:val="21"/>
              </w:rPr>
              <w:t>，</w:t>
            </w:r>
            <w:r w:rsidRPr="000549B1">
              <w:rPr>
                <w:rFonts w:ascii="宋体" w:hAnsi="宋体" w:cs="Times New Roman"/>
                <w:szCs w:val="21"/>
              </w:rPr>
              <w:t>“</w:t>
            </w:r>
            <w:r w:rsidRPr="000549B1">
              <w:rPr>
                <w:rFonts w:cs="Times New Roman"/>
                <w:szCs w:val="21"/>
              </w:rPr>
              <w:t>定期开展水平衡测试、用水审计及水效对标评估</w:t>
            </w:r>
            <w:r w:rsidRPr="000549B1">
              <w:rPr>
                <w:rFonts w:ascii="宋体" w:hAnsi="宋体" w:cs="Times New Roman"/>
                <w:szCs w:val="21"/>
              </w:rPr>
              <w:t>”</w:t>
            </w:r>
          </w:p>
        </w:tc>
        <w:tc>
          <w:tcPr>
            <w:tcW w:w="0" w:type="auto"/>
            <w:tcMar>
              <w:top w:w="150" w:type="dxa"/>
              <w:left w:w="240" w:type="dxa"/>
              <w:bottom w:w="150" w:type="dxa"/>
              <w:right w:w="0" w:type="dxa"/>
            </w:tcMar>
            <w:vAlign w:val="center"/>
          </w:tcPr>
          <w:p w14:paraId="53E65FD9" w14:textId="23762659" w:rsidR="00054437" w:rsidRPr="000549B1" w:rsidRDefault="00000000">
            <w:pPr>
              <w:pStyle w:val="0-"/>
              <w:rPr>
                <w:rFonts w:cs="Times New Roman"/>
                <w:szCs w:val="21"/>
              </w:rPr>
            </w:pPr>
            <w:r w:rsidRPr="000549B1">
              <w:rPr>
                <w:rFonts w:ascii="宋体" w:hAnsi="宋体" w:cs="Times New Roman"/>
                <w:szCs w:val="21"/>
              </w:rPr>
              <w:t>“</w:t>
            </w:r>
            <w:r w:rsidRPr="000549B1">
              <w:rPr>
                <w:rFonts w:cs="Times New Roman"/>
                <w:szCs w:val="21"/>
              </w:rPr>
              <w:t>加快城镇供水管网改造，降低供水管网综合损失率</w:t>
            </w:r>
            <w:r w:rsidRPr="000549B1">
              <w:rPr>
                <w:rFonts w:ascii="宋体" w:hAnsi="宋体" w:cs="Times New Roman"/>
                <w:szCs w:val="21"/>
              </w:rPr>
              <w:t>”</w:t>
            </w:r>
            <w:r w:rsidRPr="000549B1">
              <w:rPr>
                <w:rFonts w:cs="Times New Roman"/>
                <w:szCs w:val="21"/>
              </w:rPr>
              <w:t>，</w:t>
            </w:r>
            <w:r w:rsidRPr="000549B1">
              <w:rPr>
                <w:rFonts w:ascii="宋体" w:hAnsi="宋体" w:cs="Times New Roman"/>
                <w:szCs w:val="21"/>
              </w:rPr>
              <w:t>“</w:t>
            </w:r>
            <w:r w:rsidRPr="000549B1">
              <w:rPr>
                <w:rFonts w:cs="Times New Roman"/>
                <w:szCs w:val="21"/>
              </w:rPr>
              <w:t>强化节水卫生洁具市场准入制度，提高节水器具普及率</w:t>
            </w:r>
            <w:r w:rsidRPr="000549B1">
              <w:rPr>
                <w:rFonts w:ascii="宋体" w:hAnsi="宋体" w:cs="Times New Roman"/>
                <w:szCs w:val="21"/>
              </w:rPr>
              <w:t>”</w:t>
            </w:r>
            <w:r w:rsidRPr="000549B1">
              <w:rPr>
                <w:rFonts w:cs="Times New Roman"/>
                <w:szCs w:val="21"/>
              </w:rPr>
              <w:t>，</w:t>
            </w:r>
            <w:r w:rsidRPr="000549B1">
              <w:rPr>
                <w:rFonts w:ascii="宋体" w:hAnsi="宋体" w:cs="Times New Roman"/>
                <w:szCs w:val="21"/>
              </w:rPr>
              <w:t>“</w:t>
            </w:r>
            <w:r w:rsidRPr="000549B1">
              <w:rPr>
                <w:rFonts w:cs="Times New Roman"/>
                <w:szCs w:val="21"/>
              </w:rPr>
              <w:t>加强用水计量管理，加大用水计量设施改装力度</w:t>
            </w:r>
            <w:r w:rsidRPr="000549B1">
              <w:rPr>
                <w:rFonts w:ascii="宋体" w:hAnsi="宋体" w:cs="Times New Roman"/>
                <w:szCs w:val="21"/>
              </w:rPr>
              <w:t>”</w:t>
            </w:r>
          </w:p>
        </w:tc>
      </w:tr>
      <w:tr w:rsidR="000549B1" w:rsidRPr="000549B1" w14:paraId="5A2068C0" w14:textId="77777777" w:rsidTr="00F1314B">
        <w:trPr>
          <w:jc w:val="center"/>
        </w:trPr>
        <w:tc>
          <w:tcPr>
            <w:tcW w:w="0" w:type="auto"/>
            <w:tcMar>
              <w:top w:w="150" w:type="dxa"/>
              <w:left w:w="0" w:type="dxa"/>
              <w:bottom w:w="150" w:type="dxa"/>
              <w:right w:w="240" w:type="dxa"/>
            </w:tcMar>
            <w:vAlign w:val="center"/>
          </w:tcPr>
          <w:p w14:paraId="0A93C0EE" w14:textId="77777777" w:rsidR="00054437" w:rsidRPr="000549B1" w:rsidRDefault="00000000">
            <w:pPr>
              <w:pStyle w:val="0-"/>
              <w:rPr>
                <w:rFonts w:cs="Times New Roman"/>
                <w:b/>
                <w:bCs/>
                <w:szCs w:val="21"/>
              </w:rPr>
            </w:pPr>
            <w:r w:rsidRPr="000549B1">
              <w:rPr>
                <w:rStyle w:val="aff0"/>
                <w:rFonts w:cs="Times New Roman"/>
                <w:b w:val="0"/>
                <w:bCs w:val="0"/>
                <w:szCs w:val="21"/>
              </w:rPr>
              <w:t>远期（至</w:t>
            </w:r>
            <w:r w:rsidRPr="000549B1">
              <w:rPr>
                <w:rStyle w:val="aff0"/>
                <w:rFonts w:cs="Times New Roman"/>
                <w:b w:val="0"/>
                <w:bCs w:val="0"/>
                <w:szCs w:val="21"/>
              </w:rPr>
              <w:t>2035</w:t>
            </w:r>
            <w:r w:rsidRPr="000549B1">
              <w:rPr>
                <w:rStyle w:val="aff0"/>
                <w:rFonts w:cs="Times New Roman"/>
                <w:b w:val="0"/>
                <w:bCs w:val="0"/>
                <w:szCs w:val="21"/>
              </w:rPr>
              <w:t>年）</w:t>
            </w:r>
          </w:p>
        </w:tc>
        <w:tc>
          <w:tcPr>
            <w:tcW w:w="0" w:type="auto"/>
            <w:tcMar>
              <w:top w:w="150" w:type="dxa"/>
              <w:left w:w="240" w:type="dxa"/>
              <w:bottom w:w="150" w:type="dxa"/>
              <w:right w:w="240" w:type="dxa"/>
            </w:tcMar>
            <w:vAlign w:val="center"/>
          </w:tcPr>
          <w:p w14:paraId="615D14DE" w14:textId="3E0DDA43" w:rsidR="00054437" w:rsidRPr="000549B1" w:rsidRDefault="00000000">
            <w:pPr>
              <w:pStyle w:val="0-"/>
              <w:rPr>
                <w:rFonts w:cs="Times New Roman"/>
                <w:szCs w:val="21"/>
              </w:rPr>
            </w:pPr>
            <w:r w:rsidRPr="000549B1">
              <w:rPr>
                <w:rFonts w:cs="Times New Roman"/>
                <w:szCs w:val="21"/>
              </w:rPr>
              <w:t>全面完成节水改造任务，实现</w:t>
            </w:r>
            <w:r w:rsidRPr="000549B1">
              <w:rPr>
                <w:rFonts w:ascii="宋体" w:hAnsi="宋体" w:cs="Times New Roman"/>
                <w:szCs w:val="21"/>
              </w:rPr>
              <w:t>“</w:t>
            </w:r>
            <w:r w:rsidRPr="000549B1">
              <w:rPr>
                <w:rFonts w:cs="Times New Roman"/>
                <w:szCs w:val="21"/>
              </w:rPr>
              <w:t>灌溉水利用系数提高至</w:t>
            </w:r>
            <w:r w:rsidRPr="000549B1">
              <w:rPr>
                <w:rFonts w:cs="Times New Roman"/>
                <w:szCs w:val="21"/>
              </w:rPr>
              <w:t>0.6</w:t>
            </w:r>
            <w:r w:rsidRPr="000549B1">
              <w:rPr>
                <w:rFonts w:cs="Times New Roman"/>
                <w:szCs w:val="21"/>
              </w:rPr>
              <w:t>以上</w:t>
            </w:r>
            <w:r w:rsidRPr="000549B1">
              <w:rPr>
                <w:rFonts w:ascii="宋体" w:hAnsi="宋体" w:cs="Times New Roman"/>
                <w:szCs w:val="21"/>
              </w:rPr>
              <w:t>”</w:t>
            </w:r>
            <w:r w:rsidRPr="000549B1">
              <w:rPr>
                <w:rFonts w:cs="Times New Roman"/>
                <w:szCs w:val="21"/>
              </w:rPr>
              <w:t>的规划目标</w:t>
            </w:r>
          </w:p>
        </w:tc>
        <w:tc>
          <w:tcPr>
            <w:tcW w:w="0" w:type="auto"/>
            <w:tcMar>
              <w:top w:w="150" w:type="dxa"/>
              <w:left w:w="240" w:type="dxa"/>
              <w:bottom w:w="150" w:type="dxa"/>
              <w:right w:w="240" w:type="dxa"/>
            </w:tcMar>
            <w:vAlign w:val="center"/>
          </w:tcPr>
          <w:p w14:paraId="4AF68182" w14:textId="06A9E048" w:rsidR="00054437" w:rsidRPr="000549B1" w:rsidRDefault="00000000">
            <w:pPr>
              <w:pStyle w:val="0-"/>
              <w:rPr>
                <w:rFonts w:cs="Times New Roman"/>
                <w:szCs w:val="21"/>
              </w:rPr>
            </w:pPr>
            <w:r w:rsidRPr="000549B1">
              <w:rPr>
                <w:rFonts w:cs="Times New Roman"/>
                <w:szCs w:val="21"/>
              </w:rPr>
              <w:t>全面完成节水改造，实现</w:t>
            </w:r>
            <w:r w:rsidRPr="000549B1">
              <w:rPr>
                <w:rFonts w:ascii="宋体" w:hAnsi="宋体" w:cs="Times New Roman"/>
                <w:szCs w:val="21"/>
              </w:rPr>
              <w:t>“</w:t>
            </w:r>
            <w:r w:rsidRPr="000549B1">
              <w:rPr>
                <w:rFonts w:cs="Times New Roman"/>
                <w:szCs w:val="21"/>
              </w:rPr>
              <w:t>万元工业增加值用水量为</w:t>
            </w:r>
            <w:r w:rsidRPr="000549B1">
              <w:rPr>
                <w:rFonts w:cs="Times New Roman"/>
                <w:szCs w:val="21"/>
              </w:rPr>
              <w:t>7.0m³/</w:t>
            </w:r>
            <w:r w:rsidRPr="000549B1">
              <w:rPr>
                <w:rFonts w:cs="Times New Roman"/>
                <w:szCs w:val="21"/>
              </w:rPr>
              <w:t>万元</w:t>
            </w:r>
            <w:r w:rsidRPr="000549B1">
              <w:rPr>
                <w:rFonts w:ascii="宋体" w:hAnsi="宋体" w:cs="Times New Roman"/>
                <w:szCs w:val="21"/>
              </w:rPr>
              <w:t>”</w:t>
            </w:r>
            <w:r w:rsidRPr="000549B1">
              <w:rPr>
                <w:rFonts w:cs="Times New Roman"/>
                <w:szCs w:val="21"/>
              </w:rPr>
              <w:t>的规划目标</w:t>
            </w:r>
          </w:p>
        </w:tc>
        <w:tc>
          <w:tcPr>
            <w:tcW w:w="0" w:type="auto"/>
            <w:tcMar>
              <w:top w:w="150" w:type="dxa"/>
              <w:left w:w="240" w:type="dxa"/>
              <w:bottom w:w="150" w:type="dxa"/>
              <w:right w:w="0" w:type="dxa"/>
            </w:tcMar>
            <w:vAlign w:val="center"/>
          </w:tcPr>
          <w:p w14:paraId="6DD3318A" w14:textId="347B0758" w:rsidR="00054437" w:rsidRPr="000549B1" w:rsidRDefault="00000000">
            <w:pPr>
              <w:pStyle w:val="0-"/>
              <w:rPr>
                <w:rFonts w:cs="Times New Roman"/>
                <w:szCs w:val="21"/>
              </w:rPr>
            </w:pPr>
            <w:r w:rsidRPr="000549B1">
              <w:rPr>
                <w:rFonts w:cs="Times New Roman"/>
                <w:szCs w:val="21"/>
              </w:rPr>
              <w:t>全面完成管网改造和器具普及，实现</w:t>
            </w:r>
            <w:r w:rsidRPr="000549B1">
              <w:rPr>
                <w:rFonts w:ascii="宋体" w:hAnsi="宋体" w:cs="Times New Roman"/>
                <w:szCs w:val="21"/>
              </w:rPr>
              <w:t>“</w:t>
            </w:r>
            <w:r w:rsidRPr="000549B1">
              <w:rPr>
                <w:rFonts w:cs="Times New Roman"/>
                <w:szCs w:val="21"/>
              </w:rPr>
              <w:t>城镇供水管网漏失率</w:t>
            </w:r>
            <w:r w:rsidRPr="000549B1">
              <w:rPr>
                <w:rFonts w:cs="Times New Roman"/>
                <w:szCs w:val="21"/>
              </w:rPr>
              <w:t>2035</w:t>
            </w:r>
            <w:r w:rsidRPr="000549B1">
              <w:rPr>
                <w:rFonts w:cs="Times New Roman"/>
                <w:szCs w:val="21"/>
              </w:rPr>
              <w:t>年控制在</w:t>
            </w:r>
            <w:r w:rsidRPr="000549B1">
              <w:rPr>
                <w:rFonts w:cs="Times New Roman"/>
                <w:szCs w:val="21"/>
              </w:rPr>
              <w:t>8%</w:t>
            </w:r>
            <w:r w:rsidRPr="000549B1">
              <w:rPr>
                <w:rFonts w:ascii="宋体" w:hAnsi="宋体" w:cs="Times New Roman"/>
                <w:szCs w:val="21"/>
              </w:rPr>
              <w:t>”</w:t>
            </w:r>
            <w:r w:rsidRPr="000549B1">
              <w:rPr>
                <w:rFonts w:cs="Times New Roman"/>
                <w:szCs w:val="21"/>
              </w:rPr>
              <w:t>和</w:t>
            </w:r>
            <w:r w:rsidRPr="000549B1">
              <w:rPr>
                <w:rFonts w:ascii="宋体" w:hAnsi="宋体" w:cs="Times New Roman"/>
                <w:szCs w:val="21"/>
              </w:rPr>
              <w:t>“</w:t>
            </w:r>
            <w:r w:rsidRPr="000549B1">
              <w:rPr>
                <w:rFonts w:cs="Times New Roman"/>
                <w:szCs w:val="21"/>
              </w:rPr>
              <w:t>节水器具普及率达到</w:t>
            </w:r>
            <w:r w:rsidRPr="000549B1">
              <w:rPr>
                <w:rFonts w:cs="Times New Roman"/>
                <w:szCs w:val="21"/>
              </w:rPr>
              <w:t>100%</w:t>
            </w:r>
            <w:r w:rsidRPr="000549B1">
              <w:rPr>
                <w:rFonts w:ascii="宋体" w:hAnsi="宋体" w:cs="Times New Roman"/>
                <w:szCs w:val="21"/>
              </w:rPr>
              <w:t>”</w:t>
            </w:r>
            <w:r w:rsidRPr="000549B1">
              <w:rPr>
                <w:rFonts w:cs="Times New Roman"/>
                <w:szCs w:val="21"/>
              </w:rPr>
              <w:t>的规划目标</w:t>
            </w:r>
          </w:p>
        </w:tc>
      </w:tr>
    </w:tbl>
    <w:p w14:paraId="0E577389" w14:textId="77777777" w:rsidR="00054437" w:rsidRPr="000549B1" w:rsidRDefault="00000000" w:rsidP="000549B1">
      <w:pPr>
        <w:pStyle w:val="Z4"/>
        <w:rPr>
          <w:color w:val="auto"/>
        </w:rPr>
      </w:pPr>
      <w:r w:rsidRPr="000549B1">
        <w:rPr>
          <w:color w:val="auto"/>
        </w:rPr>
        <w:t>城乡供水规划</w:t>
      </w:r>
    </w:p>
    <w:p w14:paraId="43DD4CC6" w14:textId="59700A63" w:rsidR="00054437" w:rsidRPr="000549B1" w:rsidRDefault="002F2485" w:rsidP="000549B1">
      <w:pPr>
        <w:pStyle w:val="x"/>
      </w:pPr>
      <w:r w:rsidRPr="000549B1">
        <w:rPr>
          <w:rFonts w:hint="eastAsia"/>
        </w:rPr>
        <w:t>（</w:t>
      </w:r>
      <w:r w:rsidRPr="000549B1">
        <w:rPr>
          <w:rFonts w:hint="eastAsia"/>
        </w:rPr>
        <w:t>1</w:t>
      </w:r>
      <w:r w:rsidRPr="000549B1">
        <w:rPr>
          <w:rFonts w:hint="eastAsia"/>
        </w:rPr>
        <w:t>）</w:t>
      </w:r>
      <w:r w:rsidRPr="000549B1">
        <w:rPr>
          <w:rStyle w:val="aff0"/>
          <w:rFonts w:hint="eastAsia"/>
          <w:b w:val="0"/>
          <w:bCs w:val="0"/>
        </w:rPr>
        <w:t>规划目标与供需平衡</w:t>
      </w:r>
    </w:p>
    <w:p w14:paraId="1BD73182" w14:textId="3A4B5BEB" w:rsidR="00054437" w:rsidRPr="000549B1" w:rsidRDefault="00000000">
      <w:pPr>
        <w:pStyle w:val="x"/>
      </w:pPr>
      <w:r w:rsidRPr="000549B1">
        <w:rPr>
          <w:rFonts w:hint="eastAsia"/>
        </w:rPr>
        <w:t>规划</w:t>
      </w:r>
      <w:r w:rsidRPr="000549B1">
        <w:t>的核心目标是全面解决流域内城乡供水安全问题。通过需水预测与供水规划，力求在规划水平年实现供需平衡。</w:t>
      </w:r>
    </w:p>
    <w:p w14:paraId="2992F915" w14:textId="23604ECA" w:rsidR="00054437" w:rsidRPr="000549B1" w:rsidRDefault="00000000">
      <w:pPr>
        <w:pStyle w:val="x"/>
      </w:pPr>
      <w:r w:rsidRPr="000549B1">
        <w:rPr>
          <w:rStyle w:val="aff0"/>
          <w:b w:val="0"/>
          <w:bCs w:val="0"/>
        </w:rPr>
        <w:t>供需平衡分析</w:t>
      </w:r>
      <w:r w:rsidRPr="000549B1">
        <w:t>：根据预测，至</w:t>
      </w:r>
      <w:r w:rsidRPr="000549B1">
        <w:t>2035</w:t>
      </w:r>
      <w:r w:rsidRPr="000549B1">
        <w:t>年，沙珠玉河流域城乡需水总量为</w:t>
      </w:r>
      <w:r w:rsidR="00652349" w:rsidRPr="000549B1">
        <w:rPr>
          <w:b/>
        </w:rPr>
        <w:t>588.7</w:t>
      </w:r>
      <w:r w:rsidR="00652349" w:rsidRPr="000549B1">
        <w:rPr>
          <w:rFonts w:hint="eastAsia"/>
          <w:b/>
        </w:rPr>
        <w:t>万</w:t>
      </w:r>
      <w:r w:rsidR="00652349" w:rsidRPr="000549B1">
        <w:rPr>
          <w:rFonts w:hint="eastAsia"/>
          <w:b/>
        </w:rPr>
        <w:t>m</w:t>
      </w:r>
      <w:r w:rsidR="00652349" w:rsidRPr="000549B1">
        <w:rPr>
          <w:rFonts w:hint="eastAsia"/>
          <w:b/>
          <w:vertAlign w:val="superscript"/>
        </w:rPr>
        <w:t>3</w:t>
      </w:r>
      <w:r w:rsidRPr="000549B1">
        <w:t>。规划通过系统性的水源工程与输配水工程布局，旨在满足这一需求，并显著提升供水保证率与水质量。各行业需水量预测如下表所示：</w:t>
      </w:r>
    </w:p>
    <w:p w14:paraId="71492DC4" w14:textId="0FF69C14" w:rsidR="00054437" w:rsidRPr="000549B1" w:rsidRDefault="00000000">
      <w:pPr>
        <w:pStyle w:val="aff8"/>
        <w:rPr>
          <w:color w:val="auto"/>
        </w:rPr>
      </w:pPr>
      <w:r w:rsidRPr="000549B1">
        <w:rPr>
          <w:color w:val="auto"/>
        </w:rPr>
        <w:t>表</w:t>
      </w:r>
      <w:r w:rsidR="00372953">
        <w:rPr>
          <w:color w:val="auto"/>
        </w:rPr>
        <w:fldChar w:fldCharType="begin"/>
      </w:r>
      <w:r w:rsidR="00372953">
        <w:rPr>
          <w:color w:val="auto"/>
        </w:rPr>
        <w:instrText xml:space="preserve"> STYLEREF 2 \s </w:instrText>
      </w:r>
      <w:r w:rsidR="00372953">
        <w:rPr>
          <w:color w:val="auto"/>
        </w:rPr>
        <w:fldChar w:fldCharType="separate"/>
      </w:r>
      <w:r w:rsidR="00372953">
        <w:rPr>
          <w:noProof/>
          <w:color w:val="auto"/>
        </w:rPr>
        <w:t>2.1</w:t>
      </w:r>
      <w:r w:rsidR="00372953">
        <w:rPr>
          <w:color w:val="auto"/>
        </w:rPr>
        <w:fldChar w:fldCharType="end"/>
      </w:r>
      <w:r w:rsidR="00372953">
        <w:rPr>
          <w:color w:val="auto"/>
        </w:rPr>
        <w:noBreakHyphen/>
      </w:r>
      <w:r w:rsidR="00372953">
        <w:rPr>
          <w:color w:val="auto"/>
        </w:rPr>
        <w:fldChar w:fldCharType="begin"/>
      </w:r>
      <w:r w:rsidR="00372953">
        <w:rPr>
          <w:color w:val="auto"/>
        </w:rPr>
        <w:instrText xml:space="preserve"> SEQ </w:instrText>
      </w:r>
      <w:r w:rsidR="00372953">
        <w:rPr>
          <w:color w:val="auto"/>
        </w:rPr>
        <w:instrText>表</w:instrText>
      </w:r>
      <w:r w:rsidR="00372953">
        <w:rPr>
          <w:color w:val="auto"/>
        </w:rPr>
        <w:instrText xml:space="preserve"> \* ARABIC \s 2 </w:instrText>
      </w:r>
      <w:r w:rsidR="00372953">
        <w:rPr>
          <w:color w:val="auto"/>
        </w:rPr>
        <w:fldChar w:fldCharType="separate"/>
      </w:r>
      <w:r w:rsidR="00372953">
        <w:rPr>
          <w:noProof/>
          <w:color w:val="auto"/>
        </w:rPr>
        <w:t>10</w:t>
      </w:r>
      <w:r w:rsidR="00372953">
        <w:rPr>
          <w:color w:val="auto"/>
        </w:rPr>
        <w:fldChar w:fldCharType="end"/>
      </w:r>
      <w:r w:rsidRPr="000549B1">
        <w:rPr>
          <w:color w:val="auto"/>
        </w:rPr>
        <w:t>沙珠玉河流域</w:t>
      </w:r>
      <w:r w:rsidRPr="000549B1">
        <w:rPr>
          <w:color w:val="auto"/>
        </w:rPr>
        <w:t>2035</w:t>
      </w:r>
      <w:r w:rsidRPr="000549B1">
        <w:rPr>
          <w:color w:val="auto"/>
        </w:rPr>
        <w:t>年需水量预测</w:t>
      </w:r>
      <w:bookmarkStart w:id="156" w:name="OLE_LINK74"/>
      <w:r w:rsidRPr="000549B1">
        <w:rPr>
          <w:color w:val="auto"/>
        </w:rPr>
        <w:t>成果表</w:t>
      </w:r>
      <w:bookmarkEnd w:id="156"/>
      <w:r w:rsidRPr="000549B1">
        <w:rPr>
          <w:color w:val="auto"/>
        </w:rPr>
        <w:t>单位：万</w:t>
      </w:r>
      <w:r w:rsidRPr="000549B1">
        <w:rPr>
          <w:color w:val="auto"/>
        </w:rPr>
        <w:t>m³</w:t>
      </w:r>
    </w:p>
    <w:tbl>
      <w:tblPr>
        <w:tblW w:w="5000" w:type="pct"/>
        <w:jc w:val="center"/>
        <w:tblLook w:val="04A0" w:firstRow="1" w:lastRow="0" w:firstColumn="1" w:lastColumn="0" w:noHBand="0" w:noVBand="1"/>
      </w:tblPr>
      <w:tblGrid>
        <w:gridCol w:w="830"/>
        <w:gridCol w:w="1060"/>
        <w:gridCol w:w="1060"/>
        <w:gridCol w:w="1060"/>
        <w:gridCol w:w="638"/>
        <w:gridCol w:w="782"/>
        <w:gridCol w:w="751"/>
        <w:gridCol w:w="587"/>
        <w:gridCol w:w="839"/>
        <w:gridCol w:w="689"/>
      </w:tblGrid>
      <w:tr w:rsidR="000549B1" w:rsidRPr="000549B1" w14:paraId="1716ADEC" w14:textId="77777777" w:rsidTr="0050757E">
        <w:trPr>
          <w:trHeight w:val="369"/>
          <w:jc w:val="center"/>
        </w:trPr>
        <w:tc>
          <w:tcPr>
            <w:tcW w:w="541" w:type="pct"/>
            <w:vMerge w:val="restart"/>
            <w:tcBorders>
              <w:top w:val="single" w:sz="4" w:space="0" w:color="auto"/>
              <w:left w:val="single" w:sz="4" w:space="0" w:color="auto"/>
              <w:right w:val="single" w:sz="4" w:space="0" w:color="auto"/>
            </w:tcBorders>
            <w:vAlign w:val="center"/>
          </w:tcPr>
          <w:p w14:paraId="73D4E835" w14:textId="77777777" w:rsidR="00652349" w:rsidRPr="000549B1" w:rsidRDefault="00652349" w:rsidP="0050757E">
            <w:pPr>
              <w:pStyle w:val="afff2"/>
              <w:rPr>
                <w:b/>
              </w:rPr>
            </w:pPr>
            <w:r w:rsidRPr="000549B1">
              <w:rPr>
                <w:rFonts w:hint="eastAsia"/>
                <w:b/>
              </w:rPr>
              <w:t>分区</w:t>
            </w:r>
          </w:p>
        </w:tc>
        <w:tc>
          <w:tcPr>
            <w:tcW w:w="595" w:type="pct"/>
            <w:vMerge w:val="restart"/>
            <w:tcBorders>
              <w:top w:val="single" w:sz="4" w:space="0" w:color="auto"/>
              <w:left w:val="single" w:sz="4" w:space="0" w:color="auto"/>
              <w:bottom w:val="single" w:sz="4" w:space="0" w:color="auto"/>
              <w:right w:val="single" w:sz="4" w:space="0" w:color="auto"/>
            </w:tcBorders>
            <w:noWrap/>
            <w:vAlign w:val="center"/>
          </w:tcPr>
          <w:p w14:paraId="49DD1F62" w14:textId="77777777" w:rsidR="00652349" w:rsidRPr="000549B1" w:rsidRDefault="00652349" w:rsidP="0050757E">
            <w:pPr>
              <w:pStyle w:val="afff2"/>
              <w:rPr>
                <w:b/>
              </w:rPr>
            </w:pPr>
            <w:r w:rsidRPr="000549B1">
              <w:rPr>
                <w:rFonts w:hint="eastAsia"/>
                <w:b/>
              </w:rPr>
              <w:t>乡镇</w:t>
            </w:r>
          </w:p>
        </w:tc>
        <w:tc>
          <w:tcPr>
            <w:tcW w:w="1540" w:type="pct"/>
            <w:gridSpan w:val="3"/>
            <w:tcBorders>
              <w:top w:val="single" w:sz="4" w:space="0" w:color="auto"/>
              <w:left w:val="nil"/>
              <w:bottom w:val="single" w:sz="4" w:space="0" w:color="auto"/>
              <w:right w:val="single" w:sz="4" w:space="0" w:color="auto"/>
            </w:tcBorders>
            <w:noWrap/>
            <w:vAlign w:val="center"/>
          </w:tcPr>
          <w:p w14:paraId="4309BC42" w14:textId="77777777" w:rsidR="00652349" w:rsidRPr="000549B1" w:rsidRDefault="00652349" w:rsidP="0050757E">
            <w:pPr>
              <w:pStyle w:val="afff2"/>
              <w:rPr>
                <w:b/>
              </w:rPr>
            </w:pPr>
            <w:r w:rsidRPr="000549B1">
              <w:rPr>
                <w:rFonts w:hint="eastAsia"/>
                <w:b/>
              </w:rPr>
              <w:t>居民生活</w:t>
            </w:r>
          </w:p>
        </w:tc>
        <w:tc>
          <w:tcPr>
            <w:tcW w:w="512" w:type="pct"/>
            <w:vMerge w:val="restart"/>
            <w:tcBorders>
              <w:top w:val="single" w:sz="4" w:space="0" w:color="auto"/>
              <w:left w:val="single" w:sz="4" w:space="0" w:color="auto"/>
              <w:bottom w:val="single" w:sz="4" w:space="0" w:color="auto"/>
              <w:right w:val="single" w:sz="4" w:space="0" w:color="auto"/>
            </w:tcBorders>
            <w:vAlign w:val="center"/>
          </w:tcPr>
          <w:p w14:paraId="6787F8A8" w14:textId="77777777" w:rsidR="00652349" w:rsidRPr="000549B1" w:rsidRDefault="00652349" w:rsidP="0050757E">
            <w:pPr>
              <w:pStyle w:val="afff2"/>
              <w:rPr>
                <w:b/>
              </w:rPr>
            </w:pPr>
            <w:r w:rsidRPr="000549B1">
              <w:rPr>
                <w:rFonts w:hint="eastAsia"/>
                <w:b/>
              </w:rPr>
              <w:t>牲畜</w:t>
            </w:r>
          </w:p>
        </w:tc>
        <w:tc>
          <w:tcPr>
            <w:tcW w:w="493" w:type="pct"/>
            <w:vMerge w:val="restart"/>
            <w:tcBorders>
              <w:top w:val="single" w:sz="4" w:space="0" w:color="auto"/>
              <w:left w:val="single" w:sz="4" w:space="0" w:color="auto"/>
              <w:bottom w:val="single" w:sz="4" w:space="0" w:color="auto"/>
              <w:right w:val="single" w:sz="4" w:space="0" w:color="auto"/>
            </w:tcBorders>
            <w:vAlign w:val="center"/>
          </w:tcPr>
          <w:p w14:paraId="665B2636" w14:textId="77777777" w:rsidR="00652349" w:rsidRPr="000549B1" w:rsidRDefault="00652349" w:rsidP="0050757E">
            <w:pPr>
              <w:pStyle w:val="afff2"/>
              <w:rPr>
                <w:b/>
              </w:rPr>
            </w:pPr>
            <w:r w:rsidRPr="000549B1">
              <w:rPr>
                <w:rFonts w:hint="eastAsia"/>
                <w:b/>
              </w:rPr>
              <w:t>工业</w:t>
            </w:r>
          </w:p>
        </w:tc>
        <w:tc>
          <w:tcPr>
            <w:tcW w:w="394" w:type="pct"/>
            <w:vMerge w:val="restart"/>
            <w:tcBorders>
              <w:top w:val="single" w:sz="4" w:space="0" w:color="auto"/>
              <w:left w:val="single" w:sz="4" w:space="0" w:color="auto"/>
              <w:bottom w:val="single" w:sz="4" w:space="0" w:color="auto"/>
              <w:right w:val="single" w:sz="4" w:space="0" w:color="auto"/>
            </w:tcBorders>
            <w:vAlign w:val="center"/>
          </w:tcPr>
          <w:p w14:paraId="51D5D602" w14:textId="77777777" w:rsidR="00652349" w:rsidRPr="000549B1" w:rsidRDefault="00652349" w:rsidP="0050757E">
            <w:pPr>
              <w:pStyle w:val="afff2"/>
              <w:rPr>
                <w:b/>
              </w:rPr>
            </w:pPr>
            <w:r w:rsidRPr="000549B1">
              <w:rPr>
                <w:rFonts w:hint="eastAsia"/>
                <w:b/>
              </w:rPr>
              <w:t>建筑业</w:t>
            </w:r>
          </w:p>
        </w:tc>
        <w:tc>
          <w:tcPr>
            <w:tcW w:w="546" w:type="pct"/>
            <w:vMerge w:val="restart"/>
            <w:tcBorders>
              <w:top w:val="single" w:sz="4" w:space="0" w:color="auto"/>
              <w:left w:val="single" w:sz="4" w:space="0" w:color="auto"/>
              <w:bottom w:val="single" w:sz="4" w:space="0" w:color="auto"/>
              <w:right w:val="single" w:sz="4" w:space="0" w:color="auto"/>
            </w:tcBorders>
            <w:vAlign w:val="center"/>
          </w:tcPr>
          <w:p w14:paraId="137FF640" w14:textId="77777777" w:rsidR="00652349" w:rsidRPr="000549B1" w:rsidRDefault="00652349" w:rsidP="0050757E">
            <w:pPr>
              <w:pStyle w:val="afff2"/>
              <w:rPr>
                <w:b/>
              </w:rPr>
            </w:pPr>
            <w:r w:rsidRPr="000549B1">
              <w:rPr>
                <w:rFonts w:hint="eastAsia"/>
                <w:b/>
              </w:rPr>
              <w:t>第三产业</w:t>
            </w:r>
          </w:p>
        </w:tc>
        <w:tc>
          <w:tcPr>
            <w:tcW w:w="380" w:type="pct"/>
            <w:vMerge w:val="restart"/>
            <w:tcBorders>
              <w:top w:val="single" w:sz="4" w:space="0" w:color="auto"/>
              <w:left w:val="single" w:sz="4" w:space="0" w:color="auto"/>
              <w:bottom w:val="single" w:sz="4" w:space="0" w:color="auto"/>
              <w:right w:val="single" w:sz="4" w:space="0" w:color="auto"/>
            </w:tcBorders>
            <w:vAlign w:val="center"/>
          </w:tcPr>
          <w:p w14:paraId="2F16C1D4" w14:textId="77777777" w:rsidR="00652349" w:rsidRPr="000549B1" w:rsidRDefault="00652349" w:rsidP="0050757E">
            <w:pPr>
              <w:pStyle w:val="afff2"/>
              <w:rPr>
                <w:b/>
              </w:rPr>
            </w:pPr>
            <w:r w:rsidRPr="000549B1">
              <w:rPr>
                <w:rFonts w:hint="eastAsia"/>
                <w:b/>
              </w:rPr>
              <w:t>合计</w:t>
            </w:r>
          </w:p>
        </w:tc>
      </w:tr>
      <w:tr w:rsidR="000549B1" w:rsidRPr="000549B1" w14:paraId="0141F5FF" w14:textId="77777777" w:rsidTr="0050757E">
        <w:trPr>
          <w:trHeight w:val="369"/>
          <w:jc w:val="center"/>
        </w:trPr>
        <w:tc>
          <w:tcPr>
            <w:tcW w:w="541" w:type="pct"/>
            <w:vMerge/>
            <w:tcBorders>
              <w:left w:val="single" w:sz="4" w:space="0" w:color="auto"/>
              <w:bottom w:val="single" w:sz="4" w:space="0" w:color="auto"/>
              <w:right w:val="single" w:sz="4" w:space="0" w:color="auto"/>
            </w:tcBorders>
            <w:vAlign w:val="center"/>
          </w:tcPr>
          <w:p w14:paraId="5C1AEA49" w14:textId="77777777" w:rsidR="00652349" w:rsidRPr="000549B1" w:rsidRDefault="00652349" w:rsidP="0050757E">
            <w:pPr>
              <w:pStyle w:val="afff2"/>
              <w:rPr>
                <w:b/>
              </w:rPr>
            </w:pPr>
          </w:p>
        </w:tc>
        <w:tc>
          <w:tcPr>
            <w:tcW w:w="595" w:type="pct"/>
            <w:vMerge/>
            <w:tcBorders>
              <w:top w:val="single" w:sz="4" w:space="0" w:color="auto"/>
              <w:left w:val="single" w:sz="4" w:space="0" w:color="auto"/>
              <w:bottom w:val="single" w:sz="4" w:space="0" w:color="auto"/>
              <w:right w:val="single" w:sz="4" w:space="0" w:color="auto"/>
            </w:tcBorders>
            <w:vAlign w:val="center"/>
          </w:tcPr>
          <w:p w14:paraId="0F9ACB2A" w14:textId="77777777" w:rsidR="00652349" w:rsidRPr="000549B1" w:rsidRDefault="00652349" w:rsidP="0050757E">
            <w:pPr>
              <w:pStyle w:val="afff2"/>
              <w:rPr>
                <w:b/>
              </w:rPr>
            </w:pPr>
          </w:p>
        </w:tc>
        <w:tc>
          <w:tcPr>
            <w:tcW w:w="596" w:type="pct"/>
            <w:tcBorders>
              <w:top w:val="nil"/>
              <w:left w:val="nil"/>
              <w:bottom w:val="single" w:sz="4" w:space="0" w:color="auto"/>
              <w:right w:val="single" w:sz="4" w:space="0" w:color="auto"/>
            </w:tcBorders>
            <w:noWrap/>
            <w:vAlign w:val="center"/>
          </w:tcPr>
          <w:p w14:paraId="4070B92A" w14:textId="77777777" w:rsidR="00652349" w:rsidRPr="000549B1" w:rsidRDefault="00652349" w:rsidP="0050757E">
            <w:pPr>
              <w:pStyle w:val="afff2"/>
              <w:rPr>
                <w:b/>
              </w:rPr>
            </w:pPr>
            <w:r w:rsidRPr="000549B1">
              <w:rPr>
                <w:rFonts w:hint="eastAsia"/>
                <w:b/>
              </w:rPr>
              <w:t>城镇居民</w:t>
            </w:r>
          </w:p>
        </w:tc>
        <w:tc>
          <w:tcPr>
            <w:tcW w:w="596" w:type="pct"/>
            <w:tcBorders>
              <w:top w:val="nil"/>
              <w:left w:val="nil"/>
              <w:bottom w:val="single" w:sz="4" w:space="0" w:color="auto"/>
              <w:right w:val="single" w:sz="4" w:space="0" w:color="auto"/>
            </w:tcBorders>
            <w:noWrap/>
            <w:vAlign w:val="center"/>
          </w:tcPr>
          <w:p w14:paraId="3F7C4EDC" w14:textId="77777777" w:rsidR="00652349" w:rsidRPr="000549B1" w:rsidRDefault="00652349" w:rsidP="0050757E">
            <w:pPr>
              <w:pStyle w:val="afff2"/>
              <w:rPr>
                <w:b/>
              </w:rPr>
            </w:pPr>
            <w:r w:rsidRPr="000549B1">
              <w:rPr>
                <w:rFonts w:hint="eastAsia"/>
                <w:b/>
              </w:rPr>
              <w:t>农村居民</w:t>
            </w:r>
          </w:p>
        </w:tc>
        <w:tc>
          <w:tcPr>
            <w:tcW w:w="349" w:type="pct"/>
            <w:tcBorders>
              <w:top w:val="nil"/>
              <w:left w:val="nil"/>
              <w:bottom w:val="single" w:sz="4" w:space="0" w:color="auto"/>
              <w:right w:val="single" w:sz="4" w:space="0" w:color="auto"/>
            </w:tcBorders>
            <w:noWrap/>
            <w:vAlign w:val="center"/>
          </w:tcPr>
          <w:p w14:paraId="1EEA1628" w14:textId="77777777" w:rsidR="00652349" w:rsidRPr="000549B1" w:rsidRDefault="00652349" w:rsidP="0050757E">
            <w:pPr>
              <w:pStyle w:val="afff2"/>
              <w:rPr>
                <w:b/>
              </w:rPr>
            </w:pPr>
            <w:r w:rsidRPr="000549B1">
              <w:rPr>
                <w:rFonts w:hint="eastAsia"/>
                <w:b/>
              </w:rPr>
              <w:t>小计</w:t>
            </w:r>
          </w:p>
        </w:tc>
        <w:tc>
          <w:tcPr>
            <w:tcW w:w="512" w:type="pct"/>
            <w:vMerge/>
            <w:tcBorders>
              <w:top w:val="single" w:sz="4" w:space="0" w:color="auto"/>
              <w:left w:val="single" w:sz="4" w:space="0" w:color="auto"/>
              <w:bottom w:val="single" w:sz="4" w:space="0" w:color="auto"/>
              <w:right w:val="single" w:sz="4" w:space="0" w:color="auto"/>
            </w:tcBorders>
            <w:vAlign w:val="center"/>
          </w:tcPr>
          <w:p w14:paraId="1560B3E8" w14:textId="77777777" w:rsidR="00652349" w:rsidRPr="000549B1" w:rsidRDefault="00652349" w:rsidP="0050757E">
            <w:pPr>
              <w:pStyle w:val="afff2"/>
              <w:rPr>
                <w:b/>
              </w:rPr>
            </w:pPr>
          </w:p>
        </w:tc>
        <w:tc>
          <w:tcPr>
            <w:tcW w:w="493" w:type="pct"/>
            <w:vMerge/>
            <w:tcBorders>
              <w:top w:val="single" w:sz="4" w:space="0" w:color="auto"/>
              <w:left w:val="single" w:sz="4" w:space="0" w:color="auto"/>
              <w:bottom w:val="single" w:sz="4" w:space="0" w:color="auto"/>
              <w:right w:val="single" w:sz="4" w:space="0" w:color="auto"/>
            </w:tcBorders>
            <w:vAlign w:val="center"/>
          </w:tcPr>
          <w:p w14:paraId="39E287AD" w14:textId="77777777" w:rsidR="00652349" w:rsidRPr="000549B1" w:rsidRDefault="00652349" w:rsidP="0050757E">
            <w:pPr>
              <w:pStyle w:val="afff2"/>
              <w:rPr>
                <w:b/>
              </w:rPr>
            </w:pPr>
          </w:p>
        </w:tc>
        <w:tc>
          <w:tcPr>
            <w:tcW w:w="394" w:type="pct"/>
            <w:vMerge/>
            <w:tcBorders>
              <w:top w:val="single" w:sz="4" w:space="0" w:color="auto"/>
              <w:left w:val="single" w:sz="4" w:space="0" w:color="auto"/>
              <w:bottom w:val="single" w:sz="4" w:space="0" w:color="auto"/>
              <w:right w:val="single" w:sz="4" w:space="0" w:color="auto"/>
            </w:tcBorders>
            <w:vAlign w:val="center"/>
          </w:tcPr>
          <w:p w14:paraId="427BBAC2" w14:textId="77777777" w:rsidR="00652349" w:rsidRPr="000549B1" w:rsidRDefault="00652349" w:rsidP="0050757E">
            <w:pPr>
              <w:pStyle w:val="afff2"/>
              <w:rPr>
                <w:b/>
              </w:rPr>
            </w:pPr>
          </w:p>
        </w:tc>
        <w:tc>
          <w:tcPr>
            <w:tcW w:w="546" w:type="pct"/>
            <w:vMerge/>
            <w:tcBorders>
              <w:top w:val="single" w:sz="4" w:space="0" w:color="auto"/>
              <w:left w:val="single" w:sz="4" w:space="0" w:color="auto"/>
              <w:bottom w:val="single" w:sz="4" w:space="0" w:color="auto"/>
              <w:right w:val="single" w:sz="4" w:space="0" w:color="auto"/>
            </w:tcBorders>
            <w:vAlign w:val="center"/>
          </w:tcPr>
          <w:p w14:paraId="1FB8862F" w14:textId="77777777" w:rsidR="00652349" w:rsidRPr="000549B1" w:rsidRDefault="00652349" w:rsidP="0050757E">
            <w:pPr>
              <w:pStyle w:val="afff2"/>
              <w:rPr>
                <w:b/>
              </w:rPr>
            </w:pPr>
          </w:p>
        </w:tc>
        <w:tc>
          <w:tcPr>
            <w:tcW w:w="380" w:type="pct"/>
            <w:vMerge/>
            <w:tcBorders>
              <w:top w:val="single" w:sz="4" w:space="0" w:color="auto"/>
              <w:left w:val="single" w:sz="4" w:space="0" w:color="auto"/>
              <w:bottom w:val="single" w:sz="4" w:space="0" w:color="auto"/>
              <w:right w:val="single" w:sz="4" w:space="0" w:color="auto"/>
            </w:tcBorders>
            <w:vAlign w:val="center"/>
          </w:tcPr>
          <w:p w14:paraId="05008D86" w14:textId="77777777" w:rsidR="00652349" w:rsidRPr="000549B1" w:rsidRDefault="00652349" w:rsidP="0050757E">
            <w:pPr>
              <w:pStyle w:val="afff2"/>
              <w:rPr>
                <w:b/>
              </w:rPr>
            </w:pPr>
          </w:p>
        </w:tc>
      </w:tr>
      <w:tr w:rsidR="000549B1" w:rsidRPr="000549B1" w14:paraId="34683901" w14:textId="77777777" w:rsidTr="0050757E">
        <w:trPr>
          <w:trHeight w:val="369"/>
          <w:jc w:val="center"/>
        </w:trPr>
        <w:tc>
          <w:tcPr>
            <w:tcW w:w="541" w:type="pct"/>
            <w:vMerge w:val="restart"/>
            <w:tcBorders>
              <w:top w:val="nil"/>
              <w:left w:val="single" w:sz="4" w:space="0" w:color="auto"/>
              <w:right w:val="single" w:sz="4" w:space="0" w:color="auto"/>
            </w:tcBorders>
            <w:vAlign w:val="center"/>
          </w:tcPr>
          <w:p w14:paraId="5A86E079" w14:textId="77777777" w:rsidR="00652349" w:rsidRPr="000549B1" w:rsidRDefault="00652349" w:rsidP="0050757E">
            <w:pPr>
              <w:pStyle w:val="afff2"/>
              <w:rPr>
                <w:b/>
              </w:rPr>
            </w:pPr>
            <w:r w:rsidRPr="000549B1">
              <w:rPr>
                <w:rFonts w:hint="eastAsia"/>
                <w:b/>
              </w:rPr>
              <w:t>共和县</w:t>
            </w:r>
          </w:p>
        </w:tc>
        <w:tc>
          <w:tcPr>
            <w:tcW w:w="595" w:type="pct"/>
            <w:tcBorders>
              <w:top w:val="nil"/>
              <w:left w:val="single" w:sz="4" w:space="0" w:color="auto"/>
              <w:bottom w:val="single" w:sz="4" w:space="0" w:color="auto"/>
              <w:right w:val="single" w:sz="4" w:space="0" w:color="auto"/>
            </w:tcBorders>
            <w:noWrap/>
            <w:vAlign w:val="center"/>
          </w:tcPr>
          <w:p w14:paraId="035E5B94" w14:textId="77777777" w:rsidR="00652349" w:rsidRPr="000549B1" w:rsidRDefault="00652349" w:rsidP="0050757E">
            <w:pPr>
              <w:pStyle w:val="afff2"/>
              <w:rPr>
                <w:b/>
              </w:rPr>
            </w:pPr>
            <w:r w:rsidRPr="000549B1">
              <w:rPr>
                <w:rFonts w:hint="eastAsia"/>
                <w:b/>
              </w:rPr>
              <w:t>塘格木镇</w:t>
            </w:r>
          </w:p>
        </w:tc>
        <w:tc>
          <w:tcPr>
            <w:tcW w:w="596" w:type="pct"/>
            <w:tcBorders>
              <w:top w:val="nil"/>
              <w:left w:val="nil"/>
              <w:bottom w:val="single" w:sz="4" w:space="0" w:color="auto"/>
              <w:right w:val="single" w:sz="4" w:space="0" w:color="auto"/>
            </w:tcBorders>
            <w:noWrap/>
            <w:vAlign w:val="center"/>
          </w:tcPr>
          <w:p w14:paraId="55EBDEA2" w14:textId="77777777" w:rsidR="00652349" w:rsidRPr="000549B1" w:rsidRDefault="00652349" w:rsidP="0050757E">
            <w:pPr>
              <w:pStyle w:val="afff2"/>
              <w:rPr>
                <w:b/>
              </w:rPr>
            </w:pPr>
            <w:r w:rsidRPr="000549B1">
              <w:rPr>
                <w:b/>
              </w:rPr>
              <w:t>1.7</w:t>
            </w:r>
          </w:p>
        </w:tc>
        <w:tc>
          <w:tcPr>
            <w:tcW w:w="596" w:type="pct"/>
            <w:tcBorders>
              <w:top w:val="nil"/>
              <w:left w:val="nil"/>
              <w:bottom w:val="single" w:sz="4" w:space="0" w:color="auto"/>
              <w:right w:val="single" w:sz="4" w:space="0" w:color="auto"/>
            </w:tcBorders>
            <w:noWrap/>
            <w:vAlign w:val="center"/>
          </w:tcPr>
          <w:p w14:paraId="54C8CA96" w14:textId="77777777" w:rsidR="00652349" w:rsidRPr="000549B1" w:rsidRDefault="00652349" w:rsidP="0050757E">
            <w:pPr>
              <w:pStyle w:val="afff2"/>
              <w:rPr>
                <w:b/>
              </w:rPr>
            </w:pPr>
            <w:r w:rsidRPr="000549B1">
              <w:rPr>
                <w:b/>
              </w:rPr>
              <w:t>21.4</w:t>
            </w:r>
          </w:p>
        </w:tc>
        <w:tc>
          <w:tcPr>
            <w:tcW w:w="349" w:type="pct"/>
            <w:tcBorders>
              <w:top w:val="nil"/>
              <w:left w:val="nil"/>
              <w:bottom w:val="single" w:sz="4" w:space="0" w:color="auto"/>
              <w:right w:val="single" w:sz="4" w:space="0" w:color="auto"/>
            </w:tcBorders>
            <w:noWrap/>
            <w:vAlign w:val="center"/>
          </w:tcPr>
          <w:p w14:paraId="3610BF40" w14:textId="77777777" w:rsidR="00652349" w:rsidRPr="000549B1" w:rsidRDefault="00652349" w:rsidP="0050757E">
            <w:pPr>
              <w:pStyle w:val="afff2"/>
              <w:rPr>
                <w:b/>
              </w:rPr>
            </w:pPr>
            <w:r w:rsidRPr="000549B1">
              <w:rPr>
                <w:b/>
              </w:rPr>
              <w:t>23.1</w:t>
            </w:r>
          </w:p>
        </w:tc>
        <w:tc>
          <w:tcPr>
            <w:tcW w:w="512" w:type="pct"/>
            <w:tcBorders>
              <w:top w:val="nil"/>
              <w:left w:val="nil"/>
              <w:bottom w:val="single" w:sz="4" w:space="0" w:color="auto"/>
              <w:right w:val="single" w:sz="4" w:space="0" w:color="auto"/>
            </w:tcBorders>
            <w:noWrap/>
            <w:vAlign w:val="center"/>
          </w:tcPr>
          <w:p w14:paraId="3B85BD29" w14:textId="77777777" w:rsidR="00652349" w:rsidRPr="000549B1" w:rsidRDefault="00652349" w:rsidP="0050757E">
            <w:pPr>
              <w:pStyle w:val="afff2"/>
              <w:rPr>
                <w:b/>
              </w:rPr>
            </w:pPr>
            <w:r w:rsidRPr="000549B1">
              <w:rPr>
                <w:b/>
              </w:rPr>
              <w:t>57.4</w:t>
            </w:r>
          </w:p>
        </w:tc>
        <w:tc>
          <w:tcPr>
            <w:tcW w:w="493" w:type="pct"/>
            <w:tcBorders>
              <w:top w:val="nil"/>
              <w:left w:val="nil"/>
              <w:bottom w:val="single" w:sz="4" w:space="0" w:color="auto"/>
              <w:right w:val="single" w:sz="4" w:space="0" w:color="auto"/>
            </w:tcBorders>
            <w:noWrap/>
            <w:vAlign w:val="center"/>
          </w:tcPr>
          <w:p w14:paraId="14B6AF9B" w14:textId="77777777" w:rsidR="00652349" w:rsidRPr="000549B1" w:rsidRDefault="00652349" w:rsidP="0050757E">
            <w:pPr>
              <w:pStyle w:val="afff2"/>
              <w:rPr>
                <w:b/>
              </w:rPr>
            </w:pPr>
            <w:r w:rsidRPr="000549B1">
              <w:rPr>
                <w:b/>
              </w:rPr>
              <w:t>14.7</w:t>
            </w:r>
          </w:p>
        </w:tc>
        <w:tc>
          <w:tcPr>
            <w:tcW w:w="394" w:type="pct"/>
            <w:tcBorders>
              <w:top w:val="nil"/>
              <w:left w:val="nil"/>
              <w:bottom w:val="single" w:sz="4" w:space="0" w:color="auto"/>
              <w:right w:val="single" w:sz="4" w:space="0" w:color="auto"/>
            </w:tcBorders>
            <w:noWrap/>
            <w:vAlign w:val="center"/>
          </w:tcPr>
          <w:p w14:paraId="3F7B7B64" w14:textId="77777777" w:rsidR="00652349" w:rsidRPr="000549B1" w:rsidRDefault="00652349" w:rsidP="0050757E">
            <w:pPr>
              <w:pStyle w:val="afff2"/>
              <w:rPr>
                <w:b/>
              </w:rPr>
            </w:pPr>
            <w:r w:rsidRPr="000549B1">
              <w:rPr>
                <w:b/>
              </w:rPr>
              <w:t>0.2</w:t>
            </w:r>
          </w:p>
        </w:tc>
        <w:tc>
          <w:tcPr>
            <w:tcW w:w="546" w:type="pct"/>
            <w:tcBorders>
              <w:top w:val="nil"/>
              <w:left w:val="nil"/>
              <w:bottom w:val="single" w:sz="4" w:space="0" w:color="auto"/>
              <w:right w:val="single" w:sz="4" w:space="0" w:color="auto"/>
            </w:tcBorders>
            <w:noWrap/>
            <w:vAlign w:val="center"/>
          </w:tcPr>
          <w:p w14:paraId="7F397A00" w14:textId="77777777" w:rsidR="00652349" w:rsidRPr="000549B1" w:rsidRDefault="00652349" w:rsidP="0050757E">
            <w:pPr>
              <w:pStyle w:val="afff2"/>
              <w:rPr>
                <w:b/>
              </w:rPr>
            </w:pPr>
            <w:r w:rsidRPr="000549B1">
              <w:rPr>
                <w:b/>
              </w:rPr>
              <w:t>7.1</w:t>
            </w:r>
          </w:p>
        </w:tc>
        <w:tc>
          <w:tcPr>
            <w:tcW w:w="380" w:type="pct"/>
            <w:tcBorders>
              <w:top w:val="nil"/>
              <w:left w:val="nil"/>
              <w:bottom w:val="single" w:sz="4" w:space="0" w:color="auto"/>
              <w:right w:val="single" w:sz="4" w:space="0" w:color="auto"/>
            </w:tcBorders>
            <w:noWrap/>
            <w:vAlign w:val="center"/>
          </w:tcPr>
          <w:p w14:paraId="5B0A4790" w14:textId="77777777" w:rsidR="00652349" w:rsidRPr="000549B1" w:rsidRDefault="00652349" w:rsidP="0050757E">
            <w:pPr>
              <w:pStyle w:val="afff2"/>
              <w:rPr>
                <w:b/>
              </w:rPr>
            </w:pPr>
            <w:r w:rsidRPr="000549B1">
              <w:rPr>
                <w:b/>
              </w:rPr>
              <w:t>102.5</w:t>
            </w:r>
          </w:p>
        </w:tc>
      </w:tr>
      <w:tr w:rsidR="000549B1" w:rsidRPr="000549B1" w14:paraId="6EB8C245" w14:textId="77777777" w:rsidTr="0050757E">
        <w:trPr>
          <w:trHeight w:val="369"/>
          <w:jc w:val="center"/>
        </w:trPr>
        <w:tc>
          <w:tcPr>
            <w:tcW w:w="541" w:type="pct"/>
            <w:vMerge/>
            <w:tcBorders>
              <w:left w:val="single" w:sz="4" w:space="0" w:color="auto"/>
              <w:right w:val="single" w:sz="4" w:space="0" w:color="auto"/>
            </w:tcBorders>
            <w:vAlign w:val="center"/>
          </w:tcPr>
          <w:p w14:paraId="1D5F9F1A" w14:textId="77777777" w:rsidR="00652349" w:rsidRPr="000549B1" w:rsidRDefault="00652349" w:rsidP="0050757E">
            <w:pPr>
              <w:pStyle w:val="afff2"/>
              <w:rPr>
                <w:b/>
              </w:rPr>
            </w:pPr>
          </w:p>
        </w:tc>
        <w:tc>
          <w:tcPr>
            <w:tcW w:w="595" w:type="pct"/>
            <w:tcBorders>
              <w:top w:val="nil"/>
              <w:left w:val="single" w:sz="4" w:space="0" w:color="auto"/>
              <w:bottom w:val="single" w:sz="4" w:space="0" w:color="auto"/>
              <w:right w:val="single" w:sz="4" w:space="0" w:color="auto"/>
            </w:tcBorders>
            <w:noWrap/>
            <w:vAlign w:val="center"/>
          </w:tcPr>
          <w:p w14:paraId="786763B6" w14:textId="77777777" w:rsidR="00652349" w:rsidRPr="000549B1" w:rsidRDefault="00652349" w:rsidP="0050757E">
            <w:pPr>
              <w:pStyle w:val="afff2"/>
              <w:rPr>
                <w:b/>
              </w:rPr>
            </w:pPr>
            <w:r w:rsidRPr="000549B1">
              <w:rPr>
                <w:rFonts w:hint="eastAsia"/>
                <w:b/>
              </w:rPr>
              <w:t>切吉乡</w:t>
            </w:r>
          </w:p>
        </w:tc>
        <w:tc>
          <w:tcPr>
            <w:tcW w:w="596" w:type="pct"/>
            <w:tcBorders>
              <w:top w:val="nil"/>
              <w:left w:val="nil"/>
              <w:bottom w:val="single" w:sz="4" w:space="0" w:color="auto"/>
              <w:right w:val="single" w:sz="4" w:space="0" w:color="auto"/>
            </w:tcBorders>
            <w:noWrap/>
            <w:vAlign w:val="center"/>
          </w:tcPr>
          <w:p w14:paraId="316930F5" w14:textId="77777777" w:rsidR="00652349" w:rsidRPr="000549B1" w:rsidRDefault="00652349" w:rsidP="0050757E">
            <w:pPr>
              <w:pStyle w:val="afff2"/>
              <w:rPr>
                <w:b/>
              </w:rPr>
            </w:pPr>
            <w:r w:rsidRPr="000549B1">
              <w:rPr>
                <w:b/>
              </w:rPr>
              <w:t>0.9</w:t>
            </w:r>
          </w:p>
        </w:tc>
        <w:tc>
          <w:tcPr>
            <w:tcW w:w="596" w:type="pct"/>
            <w:tcBorders>
              <w:top w:val="nil"/>
              <w:left w:val="nil"/>
              <w:bottom w:val="single" w:sz="4" w:space="0" w:color="auto"/>
              <w:right w:val="single" w:sz="4" w:space="0" w:color="auto"/>
            </w:tcBorders>
            <w:noWrap/>
            <w:vAlign w:val="center"/>
          </w:tcPr>
          <w:p w14:paraId="2B87F9F3" w14:textId="77777777" w:rsidR="00652349" w:rsidRPr="000549B1" w:rsidRDefault="00652349" w:rsidP="0050757E">
            <w:pPr>
              <w:pStyle w:val="afff2"/>
              <w:rPr>
                <w:b/>
              </w:rPr>
            </w:pPr>
            <w:r w:rsidRPr="000549B1">
              <w:rPr>
                <w:b/>
              </w:rPr>
              <w:t>16.8</w:t>
            </w:r>
          </w:p>
        </w:tc>
        <w:tc>
          <w:tcPr>
            <w:tcW w:w="349" w:type="pct"/>
            <w:tcBorders>
              <w:top w:val="nil"/>
              <w:left w:val="nil"/>
              <w:bottom w:val="single" w:sz="4" w:space="0" w:color="auto"/>
              <w:right w:val="single" w:sz="4" w:space="0" w:color="auto"/>
            </w:tcBorders>
            <w:noWrap/>
            <w:vAlign w:val="center"/>
          </w:tcPr>
          <w:p w14:paraId="1A8CBC0B" w14:textId="77777777" w:rsidR="00652349" w:rsidRPr="000549B1" w:rsidRDefault="00652349" w:rsidP="0050757E">
            <w:pPr>
              <w:pStyle w:val="afff2"/>
              <w:rPr>
                <w:b/>
              </w:rPr>
            </w:pPr>
            <w:r w:rsidRPr="000549B1">
              <w:rPr>
                <w:b/>
              </w:rPr>
              <w:t>17.6</w:t>
            </w:r>
          </w:p>
        </w:tc>
        <w:tc>
          <w:tcPr>
            <w:tcW w:w="512" w:type="pct"/>
            <w:tcBorders>
              <w:top w:val="nil"/>
              <w:left w:val="nil"/>
              <w:bottom w:val="single" w:sz="4" w:space="0" w:color="auto"/>
              <w:right w:val="single" w:sz="4" w:space="0" w:color="auto"/>
            </w:tcBorders>
            <w:noWrap/>
            <w:vAlign w:val="center"/>
          </w:tcPr>
          <w:p w14:paraId="2416A087" w14:textId="77777777" w:rsidR="00652349" w:rsidRPr="000549B1" w:rsidRDefault="00652349" w:rsidP="0050757E">
            <w:pPr>
              <w:pStyle w:val="afff2"/>
              <w:rPr>
                <w:b/>
              </w:rPr>
            </w:pPr>
            <w:r w:rsidRPr="000549B1">
              <w:rPr>
                <w:b/>
              </w:rPr>
              <w:t>168.4</w:t>
            </w:r>
          </w:p>
        </w:tc>
        <w:tc>
          <w:tcPr>
            <w:tcW w:w="493" w:type="pct"/>
            <w:tcBorders>
              <w:top w:val="nil"/>
              <w:left w:val="nil"/>
              <w:bottom w:val="single" w:sz="4" w:space="0" w:color="auto"/>
              <w:right w:val="single" w:sz="4" w:space="0" w:color="auto"/>
            </w:tcBorders>
            <w:noWrap/>
            <w:vAlign w:val="center"/>
          </w:tcPr>
          <w:p w14:paraId="13192D2B" w14:textId="77777777" w:rsidR="00652349" w:rsidRPr="000549B1" w:rsidRDefault="00652349" w:rsidP="0050757E">
            <w:pPr>
              <w:pStyle w:val="afff2"/>
              <w:rPr>
                <w:b/>
              </w:rPr>
            </w:pPr>
            <w:r w:rsidRPr="000549B1">
              <w:rPr>
                <w:b/>
              </w:rPr>
              <w:t>7.8</w:t>
            </w:r>
          </w:p>
        </w:tc>
        <w:tc>
          <w:tcPr>
            <w:tcW w:w="394" w:type="pct"/>
            <w:tcBorders>
              <w:top w:val="nil"/>
              <w:left w:val="nil"/>
              <w:bottom w:val="single" w:sz="4" w:space="0" w:color="auto"/>
              <w:right w:val="single" w:sz="4" w:space="0" w:color="auto"/>
            </w:tcBorders>
            <w:noWrap/>
            <w:vAlign w:val="center"/>
          </w:tcPr>
          <w:p w14:paraId="47E68118" w14:textId="77777777" w:rsidR="00652349" w:rsidRPr="000549B1" w:rsidRDefault="00652349" w:rsidP="0050757E">
            <w:pPr>
              <w:pStyle w:val="afff2"/>
              <w:rPr>
                <w:b/>
              </w:rPr>
            </w:pPr>
            <w:r w:rsidRPr="000549B1">
              <w:rPr>
                <w:rFonts w:hint="eastAsia"/>
                <w:b/>
              </w:rPr>
              <w:t>0</w:t>
            </w:r>
            <w:r w:rsidRPr="000549B1">
              <w:rPr>
                <w:b/>
              </w:rPr>
              <w:t>.1</w:t>
            </w:r>
          </w:p>
        </w:tc>
        <w:tc>
          <w:tcPr>
            <w:tcW w:w="546" w:type="pct"/>
            <w:tcBorders>
              <w:top w:val="nil"/>
              <w:left w:val="nil"/>
              <w:bottom w:val="single" w:sz="4" w:space="0" w:color="auto"/>
              <w:right w:val="single" w:sz="4" w:space="0" w:color="auto"/>
            </w:tcBorders>
            <w:noWrap/>
            <w:vAlign w:val="center"/>
          </w:tcPr>
          <w:p w14:paraId="70F35194" w14:textId="77777777" w:rsidR="00652349" w:rsidRPr="000549B1" w:rsidRDefault="00652349" w:rsidP="0050757E">
            <w:pPr>
              <w:pStyle w:val="afff2"/>
              <w:rPr>
                <w:b/>
              </w:rPr>
            </w:pPr>
            <w:r w:rsidRPr="000549B1">
              <w:rPr>
                <w:b/>
              </w:rPr>
              <w:t>3.8</w:t>
            </w:r>
          </w:p>
        </w:tc>
        <w:tc>
          <w:tcPr>
            <w:tcW w:w="380" w:type="pct"/>
            <w:tcBorders>
              <w:top w:val="nil"/>
              <w:left w:val="nil"/>
              <w:bottom w:val="single" w:sz="4" w:space="0" w:color="auto"/>
              <w:right w:val="single" w:sz="4" w:space="0" w:color="auto"/>
            </w:tcBorders>
            <w:noWrap/>
            <w:vAlign w:val="center"/>
          </w:tcPr>
          <w:p w14:paraId="418D8F21" w14:textId="77777777" w:rsidR="00652349" w:rsidRPr="000549B1" w:rsidRDefault="00652349" w:rsidP="0050757E">
            <w:pPr>
              <w:pStyle w:val="afff2"/>
              <w:rPr>
                <w:b/>
              </w:rPr>
            </w:pPr>
            <w:r w:rsidRPr="000549B1">
              <w:rPr>
                <w:b/>
              </w:rPr>
              <w:t>197.7</w:t>
            </w:r>
          </w:p>
        </w:tc>
      </w:tr>
      <w:tr w:rsidR="000549B1" w:rsidRPr="000549B1" w14:paraId="17C25A82" w14:textId="77777777" w:rsidTr="0050757E">
        <w:trPr>
          <w:trHeight w:val="369"/>
          <w:jc w:val="center"/>
        </w:trPr>
        <w:tc>
          <w:tcPr>
            <w:tcW w:w="541" w:type="pct"/>
            <w:vMerge/>
            <w:tcBorders>
              <w:left w:val="single" w:sz="4" w:space="0" w:color="auto"/>
              <w:right w:val="single" w:sz="4" w:space="0" w:color="auto"/>
            </w:tcBorders>
            <w:vAlign w:val="center"/>
          </w:tcPr>
          <w:p w14:paraId="4101D6BD" w14:textId="77777777" w:rsidR="00652349" w:rsidRPr="000549B1" w:rsidRDefault="00652349" w:rsidP="0050757E">
            <w:pPr>
              <w:pStyle w:val="afff2"/>
              <w:rPr>
                <w:b/>
              </w:rPr>
            </w:pPr>
          </w:p>
        </w:tc>
        <w:tc>
          <w:tcPr>
            <w:tcW w:w="595" w:type="pct"/>
            <w:tcBorders>
              <w:top w:val="nil"/>
              <w:left w:val="single" w:sz="4" w:space="0" w:color="auto"/>
              <w:bottom w:val="single" w:sz="4" w:space="0" w:color="auto"/>
              <w:right w:val="single" w:sz="4" w:space="0" w:color="auto"/>
            </w:tcBorders>
            <w:noWrap/>
            <w:vAlign w:val="center"/>
          </w:tcPr>
          <w:p w14:paraId="7E97EC4B" w14:textId="77777777" w:rsidR="00652349" w:rsidRPr="000549B1" w:rsidRDefault="00652349" w:rsidP="0050757E">
            <w:pPr>
              <w:pStyle w:val="afff2"/>
              <w:rPr>
                <w:b/>
              </w:rPr>
            </w:pPr>
            <w:r w:rsidRPr="000549B1">
              <w:rPr>
                <w:rFonts w:hint="eastAsia"/>
                <w:b/>
              </w:rPr>
              <w:t>廿地乡</w:t>
            </w:r>
          </w:p>
        </w:tc>
        <w:tc>
          <w:tcPr>
            <w:tcW w:w="596" w:type="pct"/>
            <w:tcBorders>
              <w:top w:val="nil"/>
              <w:left w:val="nil"/>
              <w:bottom w:val="single" w:sz="4" w:space="0" w:color="auto"/>
              <w:right w:val="single" w:sz="4" w:space="0" w:color="auto"/>
            </w:tcBorders>
            <w:noWrap/>
            <w:vAlign w:val="center"/>
          </w:tcPr>
          <w:p w14:paraId="2550FF12" w14:textId="77777777" w:rsidR="00652349" w:rsidRPr="000549B1" w:rsidRDefault="00652349" w:rsidP="0050757E">
            <w:pPr>
              <w:pStyle w:val="afff2"/>
              <w:rPr>
                <w:b/>
              </w:rPr>
            </w:pPr>
            <w:r w:rsidRPr="000549B1">
              <w:rPr>
                <w:b/>
              </w:rPr>
              <w:t>0.5</w:t>
            </w:r>
          </w:p>
        </w:tc>
        <w:tc>
          <w:tcPr>
            <w:tcW w:w="596" w:type="pct"/>
            <w:tcBorders>
              <w:top w:val="nil"/>
              <w:left w:val="nil"/>
              <w:bottom w:val="single" w:sz="4" w:space="0" w:color="auto"/>
              <w:right w:val="single" w:sz="4" w:space="0" w:color="auto"/>
            </w:tcBorders>
            <w:noWrap/>
            <w:vAlign w:val="center"/>
          </w:tcPr>
          <w:p w14:paraId="2F5618E7" w14:textId="77777777" w:rsidR="00652349" w:rsidRPr="000549B1" w:rsidRDefault="00652349" w:rsidP="0050757E">
            <w:pPr>
              <w:pStyle w:val="afff2"/>
              <w:rPr>
                <w:b/>
              </w:rPr>
            </w:pPr>
            <w:r w:rsidRPr="000549B1">
              <w:rPr>
                <w:b/>
              </w:rPr>
              <w:t>7.9</w:t>
            </w:r>
          </w:p>
        </w:tc>
        <w:tc>
          <w:tcPr>
            <w:tcW w:w="349" w:type="pct"/>
            <w:tcBorders>
              <w:top w:val="nil"/>
              <w:left w:val="nil"/>
              <w:bottom w:val="single" w:sz="4" w:space="0" w:color="auto"/>
              <w:right w:val="single" w:sz="4" w:space="0" w:color="auto"/>
            </w:tcBorders>
            <w:noWrap/>
            <w:vAlign w:val="center"/>
          </w:tcPr>
          <w:p w14:paraId="150614B6" w14:textId="77777777" w:rsidR="00652349" w:rsidRPr="000549B1" w:rsidRDefault="00652349" w:rsidP="0050757E">
            <w:pPr>
              <w:pStyle w:val="afff2"/>
              <w:rPr>
                <w:b/>
              </w:rPr>
            </w:pPr>
            <w:r w:rsidRPr="000549B1">
              <w:rPr>
                <w:b/>
              </w:rPr>
              <w:t>8.4</w:t>
            </w:r>
          </w:p>
        </w:tc>
        <w:tc>
          <w:tcPr>
            <w:tcW w:w="512" w:type="pct"/>
            <w:tcBorders>
              <w:top w:val="nil"/>
              <w:left w:val="nil"/>
              <w:bottom w:val="single" w:sz="4" w:space="0" w:color="auto"/>
              <w:right w:val="single" w:sz="4" w:space="0" w:color="auto"/>
            </w:tcBorders>
            <w:noWrap/>
            <w:vAlign w:val="center"/>
          </w:tcPr>
          <w:p w14:paraId="255545D6" w14:textId="77777777" w:rsidR="00652349" w:rsidRPr="000549B1" w:rsidRDefault="00652349" w:rsidP="0050757E">
            <w:pPr>
              <w:pStyle w:val="afff2"/>
              <w:rPr>
                <w:b/>
              </w:rPr>
            </w:pPr>
            <w:r w:rsidRPr="000549B1">
              <w:rPr>
                <w:b/>
              </w:rPr>
              <w:t>46.2</w:t>
            </w:r>
          </w:p>
        </w:tc>
        <w:tc>
          <w:tcPr>
            <w:tcW w:w="493" w:type="pct"/>
            <w:tcBorders>
              <w:top w:val="nil"/>
              <w:left w:val="nil"/>
              <w:bottom w:val="single" w:sz="4" w:space="0" w:color="auto"/>
              <w:right w:val="single" w:sz="4" w:space="0" w:color="auto"/>
            </w:tcBorders>
            <w:noWrap/>
            <w:vAlign w:val="center"/>
          </w:tcPr>
          <w:p w14:paraId="5364F3AA" w14:textId="77777777" w:rsidR="00652349" w:rsidRPr="000549B1" w:rsidRDefault="00652349" w:rsidP="0050757E">
            <w:pPr>
              <w:pStyle w:val="afff2"/>
              <w:rPr>
                <w:b/>
              </w:rPr>
            </w:pPr>
            <w:r w:rsidRPr="000549B1">
              <w:rPr>
                <w:b/>
              </w:rPr>
              <w:t>4.8</w:t>
            </w:r>
          </w:p>
        </w:tc>
        <w:tc>
          <w:tcPr>
            <w:tcW w:w="394" w:type="pct"/>
            <w:tcBorders>
              <w:top w:val="nil"/>
              <w:left w:val="nil"/>
              <w:bottom w:val="single" w:sz="4" w:space="0" w:color="auto"/>
              <w:right w:val="single" w:sz="4" w:space="0" w:color="auto"/>
            </w:tcBorders>
            <w:noWrap/>
            <w:vAlign w:val="center"/>
          </w:tcPr>
          <w:p w14:paraId="62E4A130" w14:textId="77777777" w:rsidR="00652349" w:rsidRPr="000549B1" w:rsidRDefault="00652349" w:rsidP="0050757E">
            <w:pPr>
              <w:pStyle w:val="afff2"/>
              <w:rPr>
                <w:b/>
              </w:rPr>
            </w:pPr>
            <w:r w:rsidRPr="000549B1">
              <w:rPr>
                <w:b/>
              </w:rPr>
              <w:t>0.1</w:t>
            </w:r>
          </w:p>
        </w:tc>
        <w:tc>
          <w:tcPr>
            <w:tcW w:w="546" w:type="pct"/>
            <w:tcBorders>
              <w:top w:val="nil"/>
              <w:left w:val="nil"/>
              <w:bottom w:val="single" w:sz="4" w:space="0" w:color="auto"/>
              <w:right w:val="single" w:sz="4" w:space="0" w:color="auto"/>
            </w:tcBorders>
            <w:noWrap/>
            <w:vAlign w:val="center"/>
          </w:tcPr>
          <w:p w14:paraId="7808A5DF" w14:textId="77777777" w:rsidR="00652349" w:rsidRPr="000549B1" w:rsidRDefault="00652349" w:rsidP="0050757E">
            <w:pPr>
              <w:pStyle w:val="afff2"/>
              <w:rPr>
                <w:b/>
              </w:rPr>
            </w:pPr>
            <w:r w:rsidRPr="000549B1">
              <w:rPr>
                <w:rFonts w:hint="eastAsia"/>
                <w:b/>
              </w:rPr>
              <w:t>2</w:t>
            </w:r>
            <w:r w:rsidRPr="000549B1">
              <w:rPr>
                <w:b/>
              </w:rPr>
              <w:t>.3</w:t>
            </w:r>
          </w:p>
        </w:tc>
        <w:tc>
          <w:tcPr>
            <w:tcW w:w="380" w:type="pct"/>
            <w:tcBorders>
              <w:top w:val="nil"/>
              <w:left w:val="nil"/>
              <w:bottom w:val="single" w:sz="4" w:space="0" w:color="auto"/>
              <w:right w:val="single" w:sz="4" w:space="0" w:color="auto"/>
            </w:tcBorders>
            <w:noWrap/>
            <w:vAlign w:val="center"/>
          </w:tcPr>
          <w:p w14:paraId="7ED04A61" w14:textId="77777777" w:rsidR="00652349" w:rsidRPr="000549B1" w:rsidRDefault="00652349" w:rsidP="0050757E">
            <w:pPr>
              <w:pStyle w:val="afff2"/>
              <w:rPr>
                <w:b/>
              </w:rPr>
            </w:pPr>
            <w:r w:rsidRPr="000549B1">
              <w:rPr>
                <w:b/>
              </w:rPr>
              <w:t>61.8</w:t>
            </w:r>
          </w:p>
        </w:tc>
      </w:tr>
      <w:tr w:rsidR="000549B1" w:rsidRPr="000549B1" w14:paraId="1F4E0D31" w14:textId="77777777" w:rsidTr="0050757E">
        <w:trPr>
          <w:trHeight w:val="369"/>
          <w:jc w:val="center"/>
        </w:trPr>
        <w:tc>
          <w:tcPr>
            <w:tcW w:w="541" w:type="pct"/>
            <w:vMerge/>
            <w:tcBorders>
              <w:left w:val="single" w:sz="4" w:space="0" w:color="auto"/>
              <w:right w:val="single" w:sz="4" w:space="0" w:color="auto"/>
            </w:tcBorders>
            <w:vAlign w:val="center"/>
          </w:tcPr>
          <w:p w14:paraId="1616FD07" w14:textId="77777777" w:rsidR="00652349" w:rsidRPr="000549B1" w:rsidRDefault="00652349" w:rsidP="0050757E">
            <w:pPr>
              <w:pStyle w:val="afff2"/>
              <w:rPr>
                <w:b/>
              </w:rPr>
            </w:pPr>
          </w:p>
        </w:tc>
        <w:tc>
          <w:tcPr>
            <w:tcW w:w="595" w:type="pct"/>
            <w:tcBorders>
              <w:top w:val="nil"/>
              <w:left w:val="single" w:sz="4" w:space="0" w:color="auto"/>
              <w:bottom w:val="single" w:sz="4" w:space="0" w:color="auto"/>
              <w:right w:val="single" w:sz="4" w:space="0" w:color="auto"/>
            </w:tcBorders>
            <w:noWrap/>
            <w:vAlign w:val="center"/>
          </w:tcPr>
          <w:p w14:paraId="0AF5BA2E" w14:textId="77777777" w:rsidR="00652349" w:rsidRPr="000549B1" w:rsidRDefault="00652349" w:rsidP="0050757E">
            <w:pPr>
              <w:pStyle w:val="afff2"/>
              <w:rPr>
                <w:b/>
              </w:rPr>
            </w:pPr>
            <w:r w:rsidRPr="000549B1">
              <w:rPr>
                <w:rFonts w:hint="eastAsia"/>
                <w:b/>
              </w:rPr>
              <w:t>沙珠玉乡</w:t>
            </w:r>
          </w:p>
        </w:tc>
        <w:tc>
          <w:tcPr>
            <w:tcW w:w="596" w:type="pct"/>
            <w:tcBorders>
              <w:top w:val="nil"/>
              <w:left w:val="nil"/>
              <w:bottom w:val="single" w:sz="4" w:space="0" w:color="auto"/>
              <w:right w:val="single" w:sz="4" w:space="0" w:color="auto"/>
            </w:tcBorders>
            <w:noWrap/>
            <w:vAlign w:val="center"/>
          </w:tcPr>
          <w:p w14:paraId="0FF438E0" w14:textId="77777777" w:rsidR="00652349" w:rsidRPr="000549B1" w:rsidRDefault="00652349" w:rsidP="0050757E">
            <w:pPr>
              <w:pStyle w:val="afff2"/>
              <w:rPr>
                <w:b/>
              </w:rPr>
            </w:pPr>
            <w:r w:rsidRPr="000549B1">
              <w:rPr>
                <w:b/>
              </w:rPr>
              <w:t>0.4</w:t>
            </w:r>
          </w:p>
        </w:tc>
        <w:tc>
          <w:tcPr>
            <w:tcW w:w="596" w:type="pct"/>
            <w:tcBorders>
              <w:top w:val="nil"/>
              <w:left w:val="nil"/>
              <w:bottom w:val="single" w:sz="4" w:space="0" w:color="auto"/>
              <w:right w:val="single" w:sz="4" w:space="0" w:color="auto"/>
            </w:tcBorders>
            <w:noWrap/>
            <w:vAlign w:val="center"/>
          </w:tcPr>
          <w:p w14:paraId="2736ABC3" w14:textId="77777777" w:rsidR="00652349" w:rsidRPr="000549B1" w:rsidRDefault="00652349" w:rsidP="0050757E">
            <w:pPr>
              <w:pStyle w:val="afff2"/>
              <w:rPr>
                <w:b/>
              </w:rPr>
            </w:pPr>
            <w:r w:rsidRPr="000549B1">
              <w:rPr>
                <w:b/>
              </w:rPr>
              <w:t>11.8</w:t>
            </w:r>
          </w:p>
        </w:tc>
        <w:tc>
          <w:tcPr>
            <w:tcW w:w="349" w:type="pct"/>
            <w:tcBorders>
              <w:top w:val="nil"/>
              <w:left w:val="nil"/>
              <w:bottom w:val="single" w:sz="4" w:space="0" w:color="auto"/>
              <w:right w:val="single" w:sz="4" w:space="0" w:color="auto"/>
            </w:tcBorders>
            <w:noWrap/>
            <w:vAlign w:val="center"/>
          </w:tcPr>
          <w:p w14:paraId="77682F21" w14:textId="77777777" w:rsidR="00652349" w:rsidRPr="000549B1" w:rsidRDefault="00652349" w:rsidP="0050757E">
            <w:pPr>
              <w:pStyle w:val="afff2"/>
              <w:rPr>
                <w:b/>
              </w:rPr>
            </w:pPr>
            <w:r w:rsidRPr="000549B1">
              <w:rPr>
                <w:b/>
              </w:rPr>
              <w:t>12.2</w:t>
            </w:r>
          </w:p>
        </w:tc>
        <w:tc>
          <w:tcPr>
            <w:tcW w:w="512" w:type="pct"/>
            <w:tcBorders>
              <w:top w:val="nil"/>
              <w:left w:val="nil"/>
              <w:bottom w:val="single" w:sz="4" w:space="0" w:color="auto"/>
              <w:right w:val="single" w:sz="4" w:space="0" w:color="auto"/>
            </w:tcBorders>
            <w:noWrap/>
            <w:vAlign w:val="center"/>
          </w:tcPr>
          <w:p w14:paraId="72E4F647" w14:textId="77777777" w:rsidR="00652349" w:rsidRPr="000549B1" w:rsidRDefault="00652349" w:rsidP="0050757E">
            <w:pPr>
              <w:pStyle w:val="afff2"/>
              <w:rPr>
                <w:b/>
              </w:rPr>
            </w:pPr>
            <w:r w:rsidRPr="000549B1">
              <w:rPr>
                <w:b/>
              </w:rPr>
              <w:t>16.2</w:t>
            </w:r>
          </w:p>
        </w:tc>
        <w:tc>
          <w:tcPr>
            <w:tcW w:w="493" w:type="pct"/>
            <w:tcBorders>
              <w:top w:val="nil"/>
              <w:left w:val="nil"/>
              <w:bottom w:val="single" w:sz="4" w:space="0" w:color="auto"/>
              <w:right w:val="single" w:sz="4" w:space="0" w:color="auto"/>
            </w:tcBorders>
            <w:noWrap/>
            <w:vAlign w:val="center"/>
          </w:tcPr>
          <w:p w14:paraId="54C8F435" w14:textId="77777777" w:rsidR="00652349" w:rsidRPr="000549B1" w:rsidRDefault="00652349" w:rsidP="0050757E">
            <w:pPr>
              <w:pStyle w:val="afff2"/>
              <w:rPr>
                <w:b/>
              </w:rPr>
            </w:pPr>
            <w:r w:rsidRPr="000549B1">
              <w:rPr>
                <w:b/>
              </w:rPr>
              <w:t>3.4</w:t>
            </w:r>
          </w:p>
        </w:tc>
        <w:tc>
          <w:tcPr>
            <w:tcW w:w="394" w:type="pct"/>
            <w:tcBorders>
              <w:top w:val="nil"/>
              <w:left w:val="nil"/>
              <w:bottom w:val="single" w:sz="4" w:space="0" w:color="auto"/>
              <w:right w:val="single" w:sz="4" w:space="0" w:color="auto"/>
            </w:tcBorders>
            <w:noWrap/>
            <w:vAlign w:val="center"/>
          </w:tcPr>
          <w:p w14:paraId="3C4D7D2E" w14:textId="77777777" w:rsidR="00652349" w:rsidRPr="000549B1" w:rsidRDefault="00652349" w:rsidP="0050757E">
            <w:pPr>
              <w:pStyle w:val="afff2"/>
              <w:rPr>
                <w:b/>
              </w:rPr>
            </w:pPr>
            <w:r w:rsidRPr="000549B1">
              <w:rPr>
                <w:b/>
              </w:rPr>
              <w:t>0</w:t>
            </w:r>
          </w:p>
        </w:tc>
        <w:tc>
          <w:tcPr>
            <w:tcW w:w="546" w:type="pct"/>
            <w:tcBorders>
              <w:top w:val="nil"/>
              <w:left w:val="nil"/>
              <w:bottom w:val="single" w:sz="4" w:space="0" w:color="auto"/>
              <w:right w:val="single" w:sz="4" w:space="0" w:color="auto"/>
            </w:tcBorders>
            <w:noWrap/>
            <w:vAlign w:val="center"/>
          </w:tcPr>
          <w:p w14:paraId="03C82515" w14:textId="77777777" w:rsidR="00652349" w:rsidRPr="000549B1" w:rsidRDefault="00652349" w:rsidP="0050757E">
            <w:pPr>
              <w:pStyle w:val="afff2"/>
              <w:rPr>
                <w:b/>
              </w:rPr>
            </w:pPr>
            <w:r w:rsidRPr="000549B1">
              <w:rPr>
                <w:b/>
              </w:rPr>
              <w:t>1.6</w:t>
            </w:r>
          </w:p>
        </w:tc>
        <w:tc>
          <w:tcPr>
            <w:tcW w:w="380" w:type="pct"/>
            <w:tcBorders>
              <w:top w:val="nil"/>
              <w:left w:val="nil"/>
              <w:bottom w:val="single" w:sz="4" w:space="0" w:color="auto"/>
              <w:right w:val="single" w:sz="4" w:space="0" w:color="auto"/>
            </w:tcBorders>
            <w:noWrap/>
            <w:vAlign w:val="center"/>
          </w:tcPr>
          <w:p w14:paraId="3043422A" w14:textId="77777777" w:rsidR="00652349" w:rsidRPr="000549B1" w:rsidRDefault="00652349" w:rsidP="0050757E">
            <w:pPr>
              <w:pStyle w:val="afff2"/>
              <w:rPr>
                <w:b/>
              </w:rPr>
            </w:pPr>
            <w:r w:rsidRPr="000549B1">
              <w:rPr>
                <w:b/>
              </w:rPr>
              <w:t>33.4</w:t>
            </w:r>
          </w:p>
        </w:tc>
      </w:tr>
      <w:tr w:rsidR="000549B1" w:rsidRPr="000549B1" w14:paraId="54632E49" w14:textId="77777777" w:rsidTr="0050757E">
        <w:trPr>
          <w:trHeight w:val="369"/>
          <w:jc w:val="center"/>
        </w:trPr>
        <w:tc>
          <w:tcPr>
            <w:tcW w:w="541" w:type="pct"/>
            <w:vMerge/>
            <w:tcBorders>
              <w:left w:val="single" w:sz="4" w:space="0" w:color="auto"/>
              <w:right w:val="single" w:sz="4" w:space="0" w:color="auto"/>
            </w:tcBorders>
            <w:vAlign w:val="center"/>
          </w:tcPr>
          <w:p w14:paraId="105CD2AA" w14:textId="77777777" w:rsidR="00652349" w:rsidRPr="000549B1" w:rsidRDefault="00652349" w:rsidP="0050757E">
            <w:pPr>
              <w:pStyle w:val="afff2"/>
              <w:rPr>
                <w:b/>
              </w:rPr>
            </w:pPr>
          </w:p>
        </w:tc>
        <w:tc>
          <w:tcPr>
            <w:tcW w:w="595" w:type="pct"/>
            <w:tcBorders>
              <w:top w:val="nil"/>
              <w:left w:val="single" w:sz="4" w:space="0" w:color="auto"/>
              <w:bottom w:val="single" w:sz="4" w:space="0" w:color="auto"/>
              <w:right w:val="single" w:sz="4" w:space="0" w:color="auto"/>
            </w:tcBorders>
            <w:noWrap/>
            <w:vAlign w:val="center"/>
          </w:tcPr>
          <w:p w14:paraId="540A90A2" w14:textId="77777777" w:rsidR="00652349" w:rsidRPr="000549B1" w:rsidRDefault="00652349" w:rsidP="0050757E">
            <w:pPr>
              <w:pStyle w:val="afff2"/>
              <w:rPr>
                <w:b/>
              </w:rPr>
            </w:pPr>
            <w:r w:rsidRPr="000549B1">
              <w:rPr>
                <w:rFonts w:hint="eastAsia"/>
                <w:b/>
              </w:rPr>
              <w:t>黑马河镇</w:t>
            </w:r>
          </w:p>
        </w:tc>
        <w:tc>
          <w:tcPr>
            <w:tcW w:w="596" w:type="pct"/>
            <w:tcBorders>
              <w:top w:val="nil"/>
              <w:left w:val="nil"/>
              <w:bottom w:val="single" w:sz="4" w:space="0" w:color="auto"/>
              <w:right w:val="single" w:sz="4" w:space="0" w:color="auto"/>
            </w:tcBorders>
            <w:noWrap/>
            <w:vAlign w:val="center"/>
          </w:tcPr>
          <w:p w14:paraId="345B7EA1" w14:textId="77777777" w:rsidR="00652349" w:rsidRPr="000549B1" w:rsidRDefault="00652349" w:rsidP="0050757E">
            <w:pPr>
              <w:pStyle w:val="afff2"/>
              <w:rPr>
                <w:b/>
              </w:rPr>
            </w:pPr>
            <w:r w:rsidRPr="000549B1">
              <w:rPr>
                <w:b/>
              </w:rPr>
              <w:t>0.0</w:t>
            </w:r>
          </w:p>
        </w:tc>
        <w:tc>
          <w:tcPr>
            <w:tcW w:w="596" w:type="pct"/>
            <w:tcBorders>
              <w:top w:val="nil"/>
              <w:left w:val="nil"/>
              <w:bottom w:val="single" w:sz="4" w:space="0" w:color="auto"/>
              <w:right w:val="single" w:sz="4" w:space="0" w:color="auto"/>
            </w:tcBorders>
            <w:noWrap/>
            <w:vAlign w:val="center"/>
          </w:tcPr>
          <w:p w14:paraId="3515AFEB" w14:textId="77777777" w:rsidR="00652349" w:rsidRPr="000549B1" w:rsidRDefault="00652349" w:rsidP="0050757E">
            <w:pPr>
              <w:pStyle w:val="afff2"/>
              <w:rPr>
                <w:b/>
              </w:rPr>
            </w:pPr>
            <w:r w:rsidRPr="000549B1">
              <w:rPr>
                <w:b/>
              </w:rPr>
              <w:t>0.4</w:t>
            </w:r>
          </w:p>
        </w:tc>
        <w:tc>
          <w:tcPr>
            <w:tcW w:w="349" w:type="pct"/>
            <w:tcBorders>
              <w:top w:val="nil"/>
              <w:left w:val="nil"/>
              <w:bottom w:val="single" w:sz="4" w:space="0" w:color="auto"/>
              <w:right w:val="single" w:sz="4" w:space="0" w:color="auto"/>
            </w:tcBorders>
            <w:noWrap/>
            <w:vAlign w:val="center"/>
          </w:tcPr>
          <w:p w14:paraId="1C0AA483" w14:textId="77777777" w:rsidR="00652349" w:rsidRPr="000549B1" w:rsidRDefault="00652349" w:rsidP="0050757E">
            <w:pPr>
              <w:pStyle w:val="afff2"/>
              <w:rPr>
                <w:b/>
              </w:rPr>
            </w:pPr>
            <w:r w:rsidRPr="000549B1">
              <w:rPr>
                <w:b/>
              </w:rPr>
              <w:t>0.4</w:t>
            </w:r>
          </w:p>
        </w:tc>
        <w:tc>
          <w:tcPr>
            <w:tcW w:w="512" w:type="pct"/>
            <w:tcBorders>
              <w:top w:val="nil"/>
              <w:left w:val="nil"/>
              <w:bottom w:val="single" w:sz="4" w:space="0" w:color="auto"/>
              <w:right w:val="single" w:sz="4" w:space="0" w:color="auto"/>
            </w:tcBorders>
            <w:noWrap/>
            <w:vAlign w:val="center"/>
          </w:tcPr>
          <w:p w14:paraId="5F55FCC5" w14:textId="77777777" w:rsidR="00652349" w:rsidRPr="000549B1" w:rsidRDefault="00652349" w:rsidP="0050757E">
            <w:pPr>
              <w:pStyle w:val="afff2"/>
              <w:rPr>
                <w:b/>
              </w:rPr>
            </w:pPr>
            <w:r w:rsidRPr="000549B1">
              <w:rPr>
                <w:b/>
              </w:rPr>
              <w:t>3.9</w:t>
            </w:r>
          </w:p>
        </w:tc>
        <w:tc>
          <w:tcPr>
            <w:tcW w:w="493" w:type="pct"/>
            <w:tcBorders>
              <w:top w:val="nil"/>
              <w:left w:val="nil"/>
              <w:bottom w:val="single" w:sz="4" w:space="0" w:color="auto"/>
              <w:right w:val="single" w:sz="4" w:space="0" w:color="auto"/>
            </w:tcBorders>
            <w:noWrap/>
            <w:vAlign w:val="center"/>
          </w:tcPr>
          <w:p w14:paraId="00CF00D7" w14:textId="77777777" w:rsidR="00652349" w:rsidRPr="000549B1" w:rsidRDefault="00652349" w:rsidP="0050757E">
            <w:pPr>
              <w:pStyle w:val="afff2"/>
              <w:rPr>
                <w:b/>
              </w:rPr>
            </w:pPr>
            <w:r w:rsidRPr="000549B1">
              <w:rPr>
                <w:b/>
              </w:rPr>
              <w:t>0</w:t>
            </w:r>
          </w:p>
        </w:tc>
        <w:tc>
          <w:tcPr>
            <w:tcW w:w="394" w:type="pct"/>
            <w:tcBorders>
              <w:top w:val="nil"/>
              <w:left w:val="nil"/>
              <w:bottom w:val="single" w:sz="4" w:space="0" w:color="auto"/>
              <w:right w:val="single" w:sz="4" w:space="0" w:color="auto"/>
            </w:tcBorders>
            <w:noWrap/>
            <w:vAlign w:val="center"/>
          </w:tcPr>
          <w:p w14:paraId="205FE178" w14:textId="77777777" w:rsidR="00652349" w:rsidRPr="000549B1" w:rsidRDefault="00652349" w:rsidP="0050757E">
            <w:pPr>
              <w:pStyle w:val="afff2"/>
              <w:rPr>
                <w:b/>
              </w:rPr>
            </w:pPr>
            <w:r w:rsidRPr="000549B1">
              <w:rPr>
                <w:b/>
              </w:rPr>
              <w:t>0.1</w:t>
            </w:r>
          </w:p>
        </w:tc>
        <w:tc>
          <w:tcPr>
            <w:tcW w:w="546" w:type="pct"/>
            <w:tcBorders>
              <w:top w:val="nil"/>
              <w:left w:val="nil"/>
              <w:bottom w:val="single" w:sz="4" w:space="0" w:color="auto"/>
              <w:right w:val="single" w:sz="4" w:space="0" w:color="auto"/>
            </w:tcBorders>
            <w:noWrap/>
            <w:vAlign w:val="center"/>
          </w:tcPr>
          <w:p w14:paraId="19597643" w14:textId="77777777" w:rsidR="00652349" w:rsidRPr="000549B1" w:rsidRDefault="00652349" w:rsidP="0050757E">
            <w:pPr>
              <w:pStyle w:val="afff2"/>
              <w:rPr>
                <w:b/>
              </w:rPr>
            </w:pPr>
            <w:r w:rsidRPr="000549B1">
              <w:rPr>
                <w:b/>
              </w:rPr>
              <w:t>2.5</w:t>
            </w:r>
          </w:p>
        </w:tc>
        <w:tc>
          <w:tcPr>
            <w:tcW w:w="380" w:type="pct"/>
            <w:tcBorders>
              <w:top w:val="nil"/>
              <w:left w:val="nil"/>
              <w:bottom w:val="single" w:sz="4" w:space="0" w:color="auto"/>
              <w:right w:val="single" w:sz="4" w:space="0" w:color="auto"/>
            </w:tcBorders>
            <w:noWrap/>
            <w:vAlign w:val="center"/>
          </w:tcPr>
          <w:p w14:paraId="181ABA20" w14:textId="77777777" w:rsidR="00652349" w:rsidRPr="000549B1" w:rsidRDefault="00652349" w:rsidP="0050757E">
            <w:pPr>
              <w:pStyle w:val="afff2"/>
              <w:rPr>
                <w:b/>
              </w:rPr>
            </w:pPr>
            <w:r w:rsidRPr="000549B1">
              <w:rPr>
                <w:b/>
              </w:rPr>
              <w:t>6.9</w:t>
            </w:r>
          </w:p>
        </w:tc>
      </w:tr>
      <w:tr w:rsidR="000549B1" w:rsidRPr="000549B1" w14:paraId="7B2598FF" w14:textId="77777777" w:rsidTr="0050757E">
        <w:trPr>
          <w:trHeight w:val="369"/>
          <w:jc w:val="center"/>
        </w:trPr>
        <w:tc>
          <w:tcPr>
            <w:tcW w:w="541" w:type="pct"/>
            <w:vMerge/>
            <w:tcBorders>
              <w:left w:val="single" w:sz="4" w:space="0" w:color="auto"/>
              <w:bottom w:val="single" w:sz="4" w:space="0" w:color="auto"/>
              <w:right w:val="single" w:sz="4" w:space="0" w:color="auto"/>
            </w:tcBorders>
            <w:vAlign w:val="center"/>
          </w:tcPr>
          <w:p w14:paraId="7BF381BE" w14:textId="77777777" w:rsidR="00652349" w:rsidRPr="000549B1" w:rsidRDefault="00652349" w:rsidP="0050757E">
            <w:pPr>
              <w:pStyle w:val="afff2"/>
              <w:rPr>
                <w:b/>
              </w:rPr>
            </w:pPr>
          </w:p>
        </w:tc>
        <w:tc>
          <w:tcPr>
            <w:tcW w:w="595" w:type="pct"/>
            <w:tcBorders>
              <w:top w:val="nil"/>
              <w:left w:val="single" w:sz="4" w:space="0" w:color="auto"/>
              <w:bottom w:val="single" w:sz="4" w:space="0" w:color="auto"/>
              <w:right w:val="single" w:sz="4" w:space="0" w:color="auto"/>
            </w:tcBorders>
            <w:noWrap/>
            <w:vAlign w:val="center"/>
          </w:tcPr>
          <w:p w14:paraId="47C548AA" w14:textId="77777777" w:rsidR="00652349" w:rsidRPr="000549B1" w:rsidRDefault="00652349" w:rsidP="0050757E">
            <w:pPr>
              <w:pStyle w:val="afff2"/>
              <w:rPr>
                <w:b/>
              </w:rPr>
            </w:pPr>
            <w:r w:rsidRPr="000549B1">
              <w:rPr>
                <w:rFonts w:hint="eastAsia"/>
                <w:b/>
              </w:rPr>
              <w:t>石乃亥镇</w:t>
            </w:r>
          </w:p>
        </w:tc>
        <w:tc>
          <w:tcPr>
            <w:tcW w:w="596" w:type="pct"/>
            <w:tcBorders>
              <w:top w:val="nil"/>
              <w:left w:val="nil"/>
              <w:bottom w:val="single" w:sz="4" w:space="0" w:color="auto"/>
              <w:right w:val="single" w:sz="4" w:space="0" w:color="auto"/>
            </w:tcBorders>
            <w:noWrap/>
            <w:vAlign w:val="center"/>
          </w:tcPr>
          <w:p w14:paraId="7681784C" w14:textId="77777777" w:rsidR="00652349" w:rsidRPr="000549B1" w:rsidRDefault="00652349" w:rsidP="0050757E">
            <w:pPr>
              <w:pStyle w:val="afff2"/>
              <w:rPr>
                <w:b/>
              </w:rPr>
            </w:pPr>
            <w:r w:rsidRPr="000549B1">
              <w:rPr>
                <w:b/>
              </w:rPr>
              <w:t>0.0</w:t>
            </w:r>
          </w:p>
        </w:tc>
        <w:tc>
          <w:tcPr>
            <w:tcW w:w="596" w:type="pct"/>
            <w:tcBorders>
              <w:top w:val="nil"/>
              <w:left w:val="nil"/>
              <w:bottom w:val="single" w:sz="4" w:space="0" w:color="auto"/>
              <w:right w:val="single" w:sz="4" w:space="0" w:color="auto"/>
            </w:tcBorders>
            <w:noWrap/>
            <w:vAlign w:val="center"/>
          </w:tcPr>
          <w:p w14:paraId="5FF0F3F1" w14:textId="77777777" w:rsidR="00652349" w:rsidRPr="000549B1" w:rsidRDefault="00652349" w:rsidP="0050757E">
            <w:pPr>
              <w:pStyle w:val="afff2"/>
              <w:rPr>
                <w:b/>
              </w:rPr>
            </w:pPr>
            <w:r w:rsidRPr="000549B1">
              <w:rPr>
                <w:b/>
              </w:rPr>
              <w:t>2.2</w:t>
            </w:r>
          </w:p>
        </w:tc>
        <w:tc>
          <w:tcPr>
            <w:tcW w:w="349" w:type="pct"/>
            <w:tcBorders>
              <w:top w:val="nil"/>
              <w:left w:val="nil"/>
              <w:bottom w:val="single" w:sz="4" w:space="0" w:color="auto"/>
              <w:right w:val="single" w:sz="4" w:space="0" w:color="auto"/>
            </w:tcBorders>
            <w:noWrap/>
            <w:vAlign w:val="center"/>
          </w:tcPr>
          <w:p w14:paraId="39CB59F7" w14:textId="77777777" w:rsidR="00652349" w:rsidRPr="000549B1" w:rsidRDefault="00652349" w:rsidP="0050757E">
            <w:pPr>
              <w:pStyle w:val="afff2"/>
              <w:rPr>
                <w:b/>
              </w:rPr>
            </w:pPr>
            <w:r w:rsidRPr="000549B1">
              <w:rPr>
                <w:b/>
              </w:rPr>
              <w:t>2.2</w:t>
            </w:r>
          </w:p>
        </w:tc>
        <w:tc>
          <w:tcPr>
            <w:tcW w:w="512" w:type="pct"/>
            <w:tcBorders>
              <w:top w:val="nil"/>
              <w:left w:val="nil"/>
              <w:bottom w:val="single" w:sz="4" w:space="0" w:color="auto"/>
              <w:right w:val="single" w:sz="4" w:space="0" w:color="auto"/>
            </w:tcBorders>
            <w:noWrap/>
            <w:vAlign w:val="center"/>
          </w:tcPr>
          <w:p w14:paraId="49472468" w14:textId="77777777" w:rsidR="00652349" w:rsidRPr="000549B1" w:rsidRDefault="00652349" w:rsidP="0050757E">
            <w:pPr>
              <w:pStyle w:val="afff2"/>
              <w:rPr>
                <w:b/>
              </w:rPr>
            </w:pPr>
            <w:r w:rsidRPr="000549B1">
              <w:rPr>
                <w:b/>
              </w:rPr>
              <w:t>19</w:t>
            </w:r>
          </w:p>
        </w:tc>
        <w:tc>
          <w:tcPr>
            <w:tcW w:w="493" w:type="pct"/>
            <w:tcBorders>
              <w:top w:val="nil"/>
              <w:left w:val="nil"/>
              <w:bottom w:val="single" w:sz="4" w:space="0" w:color="auto"/>
              <w:right w:val="single" w:sz="4" w:space="0" w:color="auto"/>
            </w:tcBorders>
            <w:noWrap/>
            <w:vAlign w:val="center"/>
          </w:tcPr>
          <w:p w14:paraId="494C9527" w14:textId="77777777" w:rsidR="00652349" w:rsidRPr="000549B1" w:rsidRDefault="00652349" w:rsidP="0050757E">
            <w:pPr>
              <w:pStyle w:val="afff2"/>
              <w:rPr>
                <w:b/>
              </w:rPr>
            </w:pPr>
            <w:r w:rsidRPr="000549B1">
              <w:rPr>
                <w:b/>
              </w:rPr>
              <w:t>0</w:t>
            </w:r>
          </w:p>
        </w:tc>
        <w:tc>
          <w:tcPr>
            <w:tcW w:w="394" w:type="pct"/>
            <w:tcBorders>
              <w:top w:val="nil"/>
              <w:left w:val="nil"/>
              <w:bottom w:val="single" w:sz="4" w:space="0" w:color="auto"/>
              <w:right w:val="single" w:sz="4" w:space="0" w:color="auto"/>
            </w:tcBorders>
            <w:noWrap/>
            <w:vAlign w:val="center"/>
          </w:tcPr>
          <w:p w14:paraId="1A02DE2D" w14:textId="77777777" w:rsidR="00652349" w:rsidRPr="000549B1" w:rsidRDefault="00652349" w:rsidP="0050757E">
            <w:pPr>
              <w:pStyle w:val="afff2"/>
              <w:rPr>
                <w:b/>
              </w:rPr>
            </w:pPr>
            <w:r w:rsidRPr="000549B1">
              <w:rPr>
                <w:b/>
              </w:rPr>
              <w:t>0</w:t>
            </w:r>
          </w:p>
        </w:tc>
        <w:tc>
          <w:tcPr>
            <w:tcW w:w="546" w:type="pct"/>
            <w:tcBorders>
              <w:top w:val="nil"/>
              <w:left w:val="nil"/>
              <w:bottom w:val="single" w:sz="4" w:space="0" w:color="auto"/>
              <w:right w:val="single" w:sz="4" w:space="0" w:color="auto"/>
            </w:tcBorders>
            <w:noWrap/>
            <w:vAlign w:val="center"/>
          </w:tcPr>
          <w:p w14:paraId="7B121220" w14:textId="77777777" w:rsidR="00652349" w:rsidRPr="000549B1" w:rsidRDefault="00652349" w:rsidP="0050757E">
            <w:pPr>
              <w:pStyle w:val="afff2"/>
              <w:rPr>
                <w:b/>
              </w:rPr>
            </w:pPr>
            <w:r w:rsidRPr="000549B1">
              <w:rPr>
                <w:b/>
              </w:rPr>
              <w:t>0</w:t>
            </w:r>
          </w:p>
        </w:tc>
        <w:tc>
          <w:tcPr>
            <w:tcW w:w="380" w:type="pct"/>
            <w:tcBorders>
              <w:top w:val="nil"/>
              <w:left w:val="nil"/>
              <w:bottom w:val="single" w:sz="4" w:space="0" w:color="auto"/>
              <w:right w:val="single" w:sz="4" w:space="0" w:color="auto"/>
            </w:tcBorders>
            <w:noWrap/>
            <w:vAlign w:val="center"/>
          </w:tcPr>
          <w:p w14:paraId="7F4E5526" w14:textId="77777777" w:rsidR="00652349" w:rsidRPr="000549B1" w:rsidRDefault="00652349" w:rsidP="0050757E">
            <w:pPr>
              <w:pStyle w:val="afff2"/>
              <w:rPr>
                <w:b/>
              </w:rPr>
            </w:pPr>
            <w:r w:rsidRPr="000549B1">
              <w:rPr>
                <w:b/>
              </w:rPr>
              <w:t>21.2</w:t>
            </w:r>
          </w:p>
        </w:tc>
      </w:tr>
      <w:tr w:rsidR="000549B1" w:rsidRPr="000549B1" w14:paraId="7A6011BD" w14:textId="77777777" w:rsidTr="0050757E">
        <w:trPr>
          <w:trHeight w:val="369"/>
          <w:jc w:val="center"/>
        </w:trPr>
        <w:tc>
          <w:tcPr>
            <w:tcW w:w="541" w:type="pct"/>
            <w:tcBorders>
              <w:top w:val="nil"/>
              <w:left w:val="single" w:sz="4" w:space="0" w:color="auto"/>
              <w:bottom w:val="single" w:sz="4" w:space="0" w:color="auto"/>
              <w:right w:val="single" w:sz="4" w:space="0" w:color="auto"/>
            </w:tcBorders>
            <w:vAlign w:val="center"/>
          </w:tcPr>
          <w:p w14:paraId="6C6B7B20" w14:textId="77777777" w:rsidR="00652349" w:rsidRPr="000549B1" w:rsidRDefault="00652349" w:rsidP="0050757E">
            <w:pPr>
              <w:pStyle w:val="afff2"/>
              <w:rPr>
                <w:b/>
              </w:rPr>
            </w:pPr>
            <w:r w:rsidRPr="000549B1">
              <w:rPr>
                <w:rFonts w:hint="eastAsia"/>
                <w:b/>
              </w:rPr>
              <w:t>兴海县</w:t>
            </w:r>
          </w:p>
        </w:tc>
        <w:tc>
          <w:tcPr>
            <w:tcW w:w="595" w:type="pct"/>
            <w:tcBorders>
              <w:top w:val="nil"/>
              <w:left w:val="single" w:sz="4" w:space="0" w:color="auto"/>
              <w:bottom w:val="single" w:sz="4" w:space="0" w:color="auto"/>
              <w:right w:val="single" w:sz="4" w:space="0" w:color="auto"/>
            </w:tcBorders>
            <w:noWrap/>
            <w:vAlign w:val="center"/>
          </w:tcPr>
          <w:p w14:paraId="725F6AA4" w14:textId="77777777" w:rsidR="00652349" w:rsidRPr="000549B1" w:rsidRDefault="00652349" w:rsidP="0050757E">
            <w:pPr>
              <w:pStyle w:val="afff2"/>
              <w:rPr>
                <w:b/>
              </w:rPr>
            </w:pPr>
            <w:r w:rsidRPr="000549B1">
              <w:rPr>
                <w:rFonts w:hint="eastAsia"/>
                <w:b/>
              </w:rPr>
              <w:t>河卡镇</w:t>
            </w:r>
          </w:p>
        </w:tc>
        <w:tc>
          <w:tcPr>
            <w:tcW w:w="596" w:type="pct"/>
            <w:tcBorders>
              <w:top w:val="nil"/>
              <w:left w:val="nil"/>
              <w:bottom w:val="single" w:sz="4" w:space="0" w:color="auto"/>
              <w:right w:val="single" w:sz="4" w:space="0" w:color="auto"/>
            </w:tcBorders>
            <w:noWrap/>
            <w:vAlign w:val="center"/>
          </w:tcPr>
          <w:p w14:paraId="518B04B2" w14:textId="77777777" w:rsidR="00652349" w:rsidRPr="000549B1" w:rsidRDefault="00652349" w:rsidP="0050757E">
            <w:pPr>
              <w:pStyle w:val="afff2"/>
              <w:rPr>
                <w:b/>
              </w:rPr>
            </w:pPr>
            <w:r w:rsidRPr="000549B1">
              <w:rPr>
                <w:b/>
              </w:rPr>
              <w:t>8.8</w:t>
            </w:r>
          </w:p>
        </w:tc>
        <w:tc>
          <w:tcPr>
            <w:tcW w:w="596" w:type="pct"/>
            <w:tcBorders>
              <w:top w:val="nil"/>
              <w:left w:val="nil"/>
              <w:bottom w:val="single" w:sz="4" w:space="0" w:color="auto"/>
              <w:right w:val="single" w:sz="4" w:space="0" w:color="auto"/>
            </w:tcBorders>
            <w:noWrap/>
            <w:vAlign w:val="center"/>
          </w:tcPr>
          <w:p w14:paraId="5D4008E3" w14:textId="77777777" w:rsidR="00652349" w:rsidRPr="000549B1" w:rsidRDefault="00652349" w:rsidP="0050757E">
            <w:pPr>
              <w:pStyle w:val="afff2"/>
              <w:rPr>
                <w:b/>
              </w:rPr>
            </w:pPr>
            <w:r w:rsidRPr="000549B1">
              <w:rPr>
                <w:b/>
              </w:rPr>
              <w:t>23.8</w:t>
            </w:r>
          </w:p>
        </w:tc>
        <w:tc>
          <w:tcPr>
            <w:tcW w:w="349" w:type="pct"/>
            <w:tcBorders>
              <w:top w:val="nil"/>
              <w:left w:val="nil"/>
              <w:bottom w:val="single" w:sz="4" w:space="0" w:color="auto"/>
              <w:right w:val="single" w:sz="4" w:space="0" w:color="auto"/>
            </w:tcBorders>
            <w:noWrap/>
            <w:vAlign w:val="center"/>
          </w:tcPr>
          <w:p w14:paraId="7CA1DFB4" w14:textId="77777777" w:rsidR="00652349" w:rsidRPr="000549B1" w:rsidRDefault="00652349" w:rsidP="0050757E">
            <w:pPr>
              <w:pStyle w:val="afff2"/>
              <w:rPr>
                <w:b/>
              </w:rPr>
            </w:pPr>
            <w:r w:rsidRPr="000549B1">
              <w:rPr>
                <w:b/>
              </w:rPr>
              <w:t>32.6</w:t>
            </w:r>
          </w:p>
        </w:tc>
        <w:tc>
          <w:tcPr>
            <w:tcW w:w="512" w:type="pct"/>
            <w:tcBorders>
              <w:top w:val="nil"/>
              <w:left w:val="nil"/>
              <w:bottom w:val="single" w:sz="4" w:space="0" w:color="auto"/>
              <w:right w:val="single" w:sz="4" w:space="0" w:color="auto"/>
            </w:tcBorders>
            <w:noWrap/>
            <w:vAlign w:val="center"/>
          </w:tcPr>
          <w:p w14:paraId="690FE42A" w14:textId="77777777" w:rsidR="00652349" w:rsidRPr="000549B1" w:rsidRDefault="00652349" w:rsidP="0050757E">
            <w:pPr>
              <w:pStyle w:val="afff2"/>
              <w:rPr>
                <w:b/>
              </w:rPr>
            </w:pPr>
            <w:r w:rsidRPr="000549B1">
              <w:rPr>
                <w:b/>
              </w:rPr>
              <w:t>103</w:t>
            </w:r>
          </w:p>
        </w:tc>
        <w:tc>
          <w:tcPr>
            <w:tcW w:w="493" w:type="pct"/>
            <w:tcBorders>
              <w:top w:val="nil"/>
              <w:left w:val="nil"/>
              <w:bottom w:val="single" w:sz="4" w:space="0" w:color="auto"/>
              <w:right w:val="single" w:sz="4" w:space="0" w:color="auto"/>
            </w:tcBorders>
            <w:noWrap/>
            <w:vAlign w:val="center"/>
          </w:tcPr>
          <w:p w14:paraId="21B10F21" w14:textId="77777777" w:rsidR="00652349" w:rsidRPr="000549B1" w:rsidRDefault="00652349" w:rsidP="0050757E">
            <w:pPr>
              <w:pStyle w:val="afff2"/>
              <w:rPr>
                <w:b/>
              </w:rPr>
            </w:pPr>
            <w:r w:rsidRPr="000549B1">
              <w:rPr>
                <w:b/>
              </w:rPr>
              <w:t>9.1</w:t>
            </w:r>
          </w:p>
        </w:tc>
        <w:tc>
          <w:tcPr>
            <w:tcW w:w="394" w:type="pct"/>
            <w:tcBorders>
              <w:top w:val="nil"/>
              <w:left w:val="nil"/>
              <w:bottom w:val="single" w:sz="4" w:space="0" w:color="auto"/>
              <w:right w:val="single" w:sz="4" w:space="0" w:color="auto"/>
            </w:tcBorders>
            <w:noWrap/>
            <w:vAlign w:val="center"/>
          </w:tcPr>
          <w:p w14:paraId="209E1FBC" w14:textId="77777777" w:rsidR="00652349" w:rsidRPr="000549B1" w:rsidRDefault="00652349" w:rsidP="0050757E">
            <w:pPr>
              <w:pStyle w:val="afff2"/>
              <w:rPr>
                <w:b/>
              </w:rPr>
            </w:pPr>
            <w:r w:rsidRPr="000549B1">
              <w:rPr>
                <w:b/>
              </w:rPr>
              <w:t>6.7</w:t>
            </w:r>
          </w:p>
        </w:tc>
        <w:tc>
          <w:tcPr>
            <w:tcW w:w="546" w:type="pct"/>
            <w:tcBorders>
              <w:top w:val="nil"/>
              <w:left w:val="nil"/>
              <w:bottom w:val="single" w:sz="4" w:space="0" w:color="auto"/>
              <w:right w:val="single" w:sz="4" w:space="0" w:color="auto"/>
            </w:tcBorders>
            <w:noWrap/>
            <w:vAlign w:val="center"/>
          </w:tcPr>
          <w:p w14:paraId="6D34325B" w14:textId="77777777" w:rsidR="00652349" w:rsidRPr="000549B1" w:rsidRDefault="00652349" w:rsidP="0050757E">
            <w:pPr>
              <w:pStyle w:val="afff2"/>
              <w:rPr>
                <w:b/>
              </w:rPr>
            </w:pPr>
            <w:r w:rsidRPr="000549B1">
              <w:rPr>
                <w:b/>
              </w:rPr>
              <w:t>13.8</w:t>
            </w:r>
          </w:p>
        </w:tc>
        <w:tc>
          <w:tcPr>
            <w:tcW w:w="380" w:type="pct"/>
            <w:tcBorders>
              <w:top w:val="nil"/>
              <w:left w:val="nil"/>
              <w:bottom w:val="single" w:sz="4" w:space="0" w:color="auto"/>
              <w:right w:val="single" w:sz="4" w:space="0" w:color="auto"/>
            </w:tcBorders>
            <w:noWrap/>
            <w:vAlign w:val="center"/>
          </w:tcPr>
          <w:p w14:paraId="067CBCB5" w14:textId="77777777" w:rsidR="00652349" w:rsidRPr="000549B1" w:rsidRDefault="00652349" w:rsidP="0050757E">
            <w:pPr>
              <w:pStyle w:val="afff2"/>
              <w:rPr>
                <w:b/>
              </w:rPr>
            </w:pPr>
            <w:r w:rsidRPr="000549B1">
              <w:rPr>
                <w:b/>
              </w:rPr>
              <w:t>165.2</w:t>
            </w:r>
          </w:p>
        </w:tc>
      </w:tr>
      <w:tr w:rsidR="000549B1" w:rsidRPr="000549B1" w14:paraId="7A6F22D4" w14:textId="77777777" w:rsidTr="0050757E">
        <w:trPr>
          <w:trHeight w:val="369"/>
          <w:jc w:val="center"/>
        </w:trPr>
        <w:tc>
          <w:tcPr>
            <w:tcW w:w="1136" w:type="pct"/>
            <w:gridSpan w:val="2"/>
            <w:tcBorders>
              <w:top w:val="nil"/>
              <w:left w:val="single" w:sz="4" w:space="0" w:color="auto"/>
              <w:bottom w:val="single" w:sz="4" w:space="0" w:color="auto"/>
              <w:right w:val="single" w:sz="4" w:space="0" w:color="auto"/>
            </w:tcBorders>
            <w:vAlign w:val="center"/>
          </w:tcPr>
          <w:p w14:paraId="52958362" w14:textId="77777777" w:rsidR="00652349" w:rsidRPr="000549B1" w:rsidRDefault="00652349" w:rsidP="0050757E">
            <w:pPr>
              <w:pStyle w:val="afff2"/>
              <w:rPr>
                <w:b/>
              </w:rPr>
            </w:pPr>
            <w:r w:rsidRPr="000549B1">
              <w:rPr>
                <w:rFonts w:hint="eastAsia"/>
                <w:b/>
              </w:rPr>
              <w:t>合计</w:t>
            </w:r>
          </w:p>
        </w:tc>
        <w:tc>
          <w:tcPr>
            <w:tcW w:w="596" w:type="pct"/>
            <w:tcBorders>
              <w:top w:val="nil"/>
              <w:left w:val="nil"/>
              <w:bottom w:val="single" w:sz="4" w:space="0" w:color="auto"/>
              <w:right w:val="single" w:sz="4" w:space="0" w:color="auto"/>
            </w:tcBorders>
            <w:noWrap/>
            <w:vAlign w:val="center"/>
          </w:tcPr>
          <w:p w14:paraId="4CDE2D07" w14:textId="77777777" w:rsidR="00652349" w:rsidRPr="000549B1" w:rsidRDefault="00652349" w:rsidP="0050757E">
            <w:pPr>
              <w:pStyle w:val="afff2"/>
              <w:rPr>
                <w:b/>
              </w:rPr>
            </w:pPr>
            <w:r w:rsidRPr="000549B1">
              <w:rPr>
                <w:b/>
              </w:rPr>
              <w:t>12.2</w:t>
            </w:r>
          </w:p>
        </w:tc>
        <w:tc>
          <w:tcPr>
            <w:tcW w:w="596" w:type="pct"/>
            <w:tcBorders>
              <w:top w:val="nil"/>
              <w:left w:val="nil"/>
              <w:bottom w:val="single" w:sz="4" w:space="0" w:color="auto"/>
              <w:right w:val="single" w:sz="4" w:space="0" w:color="auto"/>
            </w:tcBorders>
            <w:noWrap/>
            <w:vAlign w:val="center"/>
          </w:tcPr>
          <w:p w14:paraId="02724B00" w14:textId="77777777" w:rsidR="00652349" w:rsidRPr="000549B1" w:rsidRDefault="00652349" w:rsidP="0050757E">
            <w:pPr>
              <w:pStyle w:val="afff2"/>
              <w:rPr>
                <w:b/>
              </w:rPr>
            </w:pPr>
            <w:r w:rsidRPr="000549B1">
              <w:rPr>
                <w:b/>
              </w:rPr>
              <w:t>84.3</w:t>
            </w:r>
          </w:p>
        </w:tc>
        <w:tc>
          <w:tcPr>
            <w:tcW w:w="349" w:type="pct"/>
            <w:tcBorders>
              <w:top w:val="nil"/>
              <w:left w:val="nil"/>
              <w:bottom w:val="single" w:sz="4" w:space="0" w:color="auto"/>
              <w:right w:val="single" w:sz="4" w:space="0" w:color="auto"/>
            </w:tcBorders>
            <w:noWrap/>
            <w:vAlign w:val="center"/>
          </w:tcPr>
          <w:p w14:paraId="75B3F03A" w14:textId="77777777" w:rsidR="00652349" w:rsidRPr="000549B1" w:rsidRDefault="00652349" w:rsidP="0050757E">
            <w:pPr>
              <w:pStyle w:val="afff2"/>
              <w:rPr>
                <w:b/>
              </w:rPr>
            </w:pPr>
            <w:r w:rsidRPr="000549B1">
              <w:rPr>
                <w:b/>
              </w:rPr>
              <w:t>96.5</w:t>
            </w:r>
          </w:p>
        </w:tc>
        <w:tc>
          <w:tcPr>
            <w:tcW w:w="512" w:type="pct"/>
            <w:tcBorders>
              <w:top w:val="nil"/>
              <w:left w:val="nil"/>
              <w:bottom w:val="single" w:sz="4" w:space="0" w:color="auto"/>
              <w:right w:val="single" w:sz="4" w:space="0" w:color="auto"/>
            </w:tcBorders>
            <w:noWrap/>
            <w:vAlign w:val="center"/>
          </w:tcPr>
          <w:p w14:paraId="1313C7E1" w14:textId="77777777" w:rsidR="00652349" w:rsidRPr="000549B1" w:rsidRDefault="00652349" w:rsidP="0050757E">
            <w:pPr>
              <w:pStyle w:val="afff2"/>
              <w:rPr>
                <w:b/>
              </w:rPr>
            </w:pPr>
            <w:r w:rsidRPr="000549B1">
              <w:rPr>
                <w:b/>
              </w:rPr>
              <w:t>414.2</w:t>
            </w:r>
          </w:p>
        </w:tc>
        <w:tc>
          <w:tcPr>
            <w:tcW w:w="493" w:type="pct"/>
            <w:tcBorders>
              <w:top w:val="nil"/>
              <w:left w:val="nil"/>
              <w:bottom w:val="single" w:sz="4" w:space="0" w:color="auto"/>
              <w:right w:val="single" w:sz="4" w:space="0" w:color="auto"/>
            </w:tcBorders>
            <w:noWrap/>
            <w:vAlign w:val="center"/>
          </w:tcPr>
          <w:p w14:paraId="78E7AF05" w14:textId="77777777" w:rsidR="00652349" w:rsidRPr="000549B1" w:rsidRDefault="00652349" w:rsidP="0050757E">
            <w:pPr>
              <w:pStyle w:val="afff2"/>
              <w:rPr>
                <w:b/>
              </w:rPr>
            </w:pPr>
            <w:r w:rsidRPr="000549B1">
              <w:rPr>
                <w:b/>
              </w:rPr>
              <w:t>39.8</w:t>
            </w:r>
          </w:p>
        </w:tc>
        <w:tc>
          <w:tcPr>
            <w:tcW w:w="394" w:type="pct"/>
            <w:tcBorders>
              <w:top w:val="nil"/>
              <w:left w:val="nil"/>
              <w:bottom w:val="single" w:sz="4" w:space="0" w:color="auto"/>
              <w:right w:val="single" w:sz="4" w:space="0" w:color="auto"/>
            </w:tcBorders>
            <w:noWrap/>
            <w:vAlign w:val="center"/>
          </w:tcPr>
          <w:p w14:paraId="6B323A11" w14:textId="77777777" w:rsidR="00652349" w:rsidRPr="000549B1" w:rsidRDefault="00652349" w:rsidP="0050757E">
            <w:pPr>
              <w:pStyle w:val="afff2"/>
              <w:rPr>
                <w:b/>
              </w:rPr>
            </w:pPr>
            <w:r w:rsidRPr="000549B1">
              <w:rPr>
                <w:b/>
              </w:rPr>
              <w:t>7.2</w:t>
            </w:r>
          </w:p>
        </w:tc>
        <w:tc>
          <w:tcPr>
            <w:tcW w:w="546" w:type="pct"/>
            <w:tcBorders>
              <w:top w:val="nil"/>
              <w:left w:val="nil"/>
              <w:bottom w:val="single" w:sz="4" w:space="0" w:color="auto"/>
              <w:right w:val="single" w:sz="4" w:space="0" w:color="auto"/>
            </w:tcBorders>
            <w:noWrap/>
            <w:vAlign w:val="center"/>
          </w:tcPr>
          <w:p w14:paraId="00EA83B5" w14:textId="77777777" w:rsidR="00652349" w:rsidRPr="000549B1" w:rsidRDefault="00652349" w:rsidP="0050757E">
            <w:pPr>
              <w:pStyle w:val="afff2"/>
              <w:rPr>
                <w:b/>
              </w:rPr>
            </w:pPr>
            <w:r w:rsidRPr="000549B1">
              <w:rPr>
                <w:rFonts w:hint="eastAsia"/>
                <w:b/>
              </w:rPr>
              <w:t>3</w:t>
            </w:r>
            <w:r w:rsidRPr="000549B1">
              <w:rPr>
                <w:b/>
              </w:rPr>
              <w:t>1.2</w:t>
            </w:r>
          </w:p>
        </w:tc>
        <w:tc>
          <w:tcPr>
            <w:tcW w:w="380" w:type="pct"/>
            <w:tcBorders>
              <w:top w:val="nil"/>
              <w:left w:val="nil"/>
              <w:bottom w:val="single" w:sz="4" w:space="0" w:color="auto"/>
              <w:right w:val="single" w:sz="4" w:space="0" w:color="auto"/>
            </w:tcBorders>
            <w:noWrap/>
            <w:vAlign w:val="center"/>
          </w:tcPr>
          <w:p w14:paraId="3FCB6F07" w14:textId="77777777" w:rsidR="00652349" w:rsidRPr="000549B1" w:rsidRDefault="00652349" w:rsidP="0050757E">
            <w:pPr>
              <w:pStyle w:val="afff2"/>
              <w:rPr>
                <w:b/>
              </w:rPr>
            </w:pPr>
            <w:r w:rsidRPr="000549B1">
              <w:rPr>
                <w:b/>
              </w:rPr>
              <w:t>588.7</w:t>
            </w:r>
          </w:p>
        </w:tc>
      </w:tr>
    </w:tbl>
    <w:p w14:paraId="024C275C" w14:textId="7FFB935D" w:rsidR="00054437" w:rsidRPr="000549B1" w:rsidRDefault="002F2485" w:rsidP="000549B1">
      <w:pPr>
        <w:pStyle w:val="x"/>
      </w:pPr>
      <w:r w:rsidRPr="000549B1">
        <w:rPr>
          <w:rStyle w:val="aff0"/>
          <w:rFonts w:hint="eastAsia"/>
          <w:b w:val="0"/>
          <w:bCs w:val="0"/>
        </w:rPr>
        <w:t>（</w:t>
      </w:r>
      <w:r w:rsidRPr="000549B1">
        <w:rPr>
          <w:rStyle w:val="aff0"/>
          <w:rFonts w:hint="eastAsia"/>
          <w:b w:val="0"/>
          <w:bCs w:val="0"/>
        </w:rPr>
        <w:t>2</w:t>
      </w:r>
      <w:r w:rsidRPr="000549B1">
        <w:rPr>
          <w:rStyle w:val="aff0"/>
          <w:rFonts w:hint="eastAsia"/>
          <w:b w:val="0"/>
          <w:bCs w:val="0"/>
        </w:rPr>
        <w:t>）专项规划布局、任务与建设方式</w:t>
      </w:r>
    </w:p>
    <w:p w14:paraId="3E8EB011" w14:textId="78122C0C" w:rsidR="00054437" w:rsidRPr="000549B1" w:rsidRDefault="00000000">
      <w:pPr>
        <w:pStyle w:val="x"/>
      </w:pPr>
      <w:r w:rsidRPr="000549B1">
        <w:rPr>
          <w:rFonts w:hint="eastAsia"/>
        </w:rPr>
        <w:t>规划</w:t>
      </w:r>
      <w:r w:rsidRPr="000549B1">
        <w:t>采用</w:t>
      </w:r>
      <w:r w:rsidRPr="000549B1">
        <w:rPr>
          <w:rFonts w:ascii="宋体" w:hAnsi="宋体"/>
        </w:rPr>
        <w:t>“</w:t>
      </w:r>
      <w:r w:rsidRPr="000549B1">
        <w:t>分区施策、多源互补</w:t>
      </w:r>
      <w:r w:rsidRPr="000549B1">
        <w:rPr>
          <w:rFonts w:ascii="宋体" w:hAnsi="宋体"/>
        </w:rPr>
        <w:t>”</w:t>
      </w:r>
      <w:r w:rsidRPr="000549B1">
        <w:t>的布局思路，针对流域内七个乡镇的不同现状与需求，制定了差异化的供水方案。核心任务是</w:t>
      </w:r>
      <w:r w:rsidRPr="000549B1">
        <w:rPr>
          <w:rStyle w:val="aff0"/>
          <w:b w:val="0"/>
          <w:bCs w:val="0"/>
        </w:rPr>
        <w:t>推进水源置换、建设调蓄工程、配套输水设施、强化水质净化与保护</w:t>
      </w:r>
      <w:r w:rsidRPr="000549B1">
        <w:t>。</w:t>
      </w:r>
    </w:p>
    <w:p w14:paraId="03054623" w14:textId="35BF5796" w:rsidR="00054437" w:rsidRPr="000549B1" w:rsidRDefault="00000000">
      <w:pPr>
        <w:pStyle w:val="aff8"/>
        <w:rPr>
          <w:color w:val="auto"/>
        </w:rPr>
      </w:pPr>
      <w:r w:rsidRPr="000549B1">
        <w:rPr>
          <w:color w:val="auto"/>
        </w:rPr>
        <w:t>表</w:t>
      </w:r>
      <w:r w:rsidR="00372953">
        <w:rPr>
          <w:color w:val="auto"/>
        </w:rPr>
        <w:fldChar w:fldCharType="begin"/>
      </w:r>
      <w:r w:rsidR="00372953">
        <w:rPr>
          <w:color w:val="auto"/>
        </w:rPr>
        <w:instrText xml:space="preserve"> STYLEREF 2 \s </w:instrText>
      </w:r>
      <w:r w:rsidR="00372953">
        <w:rPr>
          <w:color w:val="auto"/>
        </w:rPr>
        <w:fldChar w:fldCharType="separate"/>
      </w:r>
      <w:r w:rsidR="00372953">
        <w:rPr>
          <w:noProof/>
          <w:color w:val="auto"/>
        </w:rPr>
        <w:t>2.1</w:t>
      </w:r>
      <w:r w:rsidR="00372953">
        <w:rPr>
          <w:color w:val="auto"/>
        </w:rPr>
        <w:fldChar w:fldCharType="end"/>
      </w:r>
      <w:r w:rsidR="00372953">
        <w:rPr>
          <w:color w:val="auto"/>
        </w:rPr>
        <w:noBreakHyphen/>
      </w:r>
      <w:r w:rsidR="00372953">
        <w:rPr>
          <w:color w:val="auto"/>
        </w:rPr>
        <w:fldChar w:fldCharType="begin"/>
      </w:r>
      <w:r w:rsidR="00372953">
        <w:rPr>
          <w:color w:val="auto"/>
        </w:rPr>
        <w:instrText xml:space="preserve"> SEQ </w:instrText>
      </w:r>
      <w:r w:rsidR="00372953">
        <w:rPr>
          <w:color w:val="auto"/>
        </w:rPr>
        <w:instrText>表</w:instrText>
      </w:r>
      <w:r w:rsidR="00372953">
        <w:rPr>
          <w:color w:val="auto"/>
        </w:rPr>
        <w:instrText xml:space="preserve"> \* ARABIC \s 2 </w:instrText>
      </w:r>
      <w:r w:rsidR="00372953">
        <w:rPr>
          <w:color w:val="auto"/>
        </w:rPr>
        <w:fldChar w:fldCharType="separate"/>
      </w:r>
      <w:r w:rsidR="00372953">
        <w:rPr>
          <w:noProof/>
          <w:color w:val="auto"/>
        </w:rPr>
        <w:t>11</w:t>
      </w:r>
      <w:r w:rsidR="00372953">
        <w:rPr>
          <w:color w:val="auto"/>
        </w:rPr>
        <w:fldChar w:fldCharType="end"/>
      </w:r>
      <w:r w:rsidRPr="000549B1">
        <w:rPr>
          <w:rStyle w:val="aff0"/>
          <w:b/>
          <w:bCs w:val="0"/>
          <w:color w:val="auto"/>
        </w:rPr>
        <w:t>分乡镇供水规划布局、任务与建设方式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46"/>
        <w:gridCol w:w="3544"/>
        <w:gridCol w:w="3906"/>
      </w:tblGrid>
      <w:tr w:rsidR="000549B1" w:rsidRPr="000549B1" w14:paraId="5A925027" w14:textId="77777777">
        <w:trPr>
          <w:trHeight w:val="272"/>
          <w:tblHeader/>
          <w:jc w:val="center"/>
        </w:trPr>
        <w:tc>
          <w:tcPr>
            <w:tcW w:w="846" w:type="dxa"/>
            <w:tcMar>
              <w:top w:w="150" w:type="dxa"/>
              <w:left w:w="0" w:type="dxa"/>
              <w:bottom w:w="150" w:type="dxa"/>
              <w:right w:w="240" w:type="dxa"/>
            </w:tcMar>
            <w:vAlign w:val="center"/>
          </w:tcPr>
          <w:p w14:paraId="7C605B8B" w14:textId="77777777" w:rsidR="00054437" w:rsidRPr="000549B1" w:rsidRDefault="00000000">
            <w:pPr>
              <w:pStyle w:val="CharCharCharCharChar"/>
              <w:adjustRightInd w:val="0"/>
              <w:spacing w:line="360" w:lineRule="auto"/>
              <w:rPr>
                <w:b/>
                <w:bCs/>
                <w:color w:val="auto"/>
              </w:rPr>
            </w:pPr>
            <w:r w:rsidRPr="000549B1">
              <w:rPr>
                <w:b/>
                <w:bCs/>
                <w:color w:val="auto"/>
              </w:rPr>
              <w:t>乡镇</w:t>
            </w:r>
          </w:p>
        </w:tc>
        <w:tc>
          <w:tcPr>
            <w:tcW w:w="3544" w:type="dxa"/>
            <w:tcMar>
              <w:top w:w="150" w:type="dxa"/>
              <w:left w:w="240" w:type="dxa"/>
              <w:bottom w:w="150" w:type="dxa"/>
              <w:right w:w="240" w:type="dxa"/>
            </w:tcMar>
            <w:vAlign w:val="center"/>
          </w:tcPr>
          <w:p w14:paraId="17A4D17F" w14:textId="77777777" w:rsidR="00054437" w:rsidRPr="000549B1" w:rsidRDefault="00000000">
            <w:pPr>
              <w:pStyle w:val="CharCharCharCharChar"/>
              <w:adjustRightInd w:val="0"/>
              <w:spacing w:line="360" w:lineRule="auto"/>
              <w:rPr>
                <w:b/>
                <w:bCs/>
                <w:color w:val="auto"/>
              </w:rPr>
            </w:pPr>
            <w:r w:rsidRPr="000549B1">
              <w:rPr>
                <w:b/>
                <w:bCs/>
                <w:color w:val="auto"/>
              </w:rPr>
              <w:t>规划布局与核心任务</w:t>
            </w:r>
          </w:p>
        </w:tc>
        <w:tc>
          <w:tcPr>
            <w:tcW w:w="3906" w:type="dxa"/>
            <w:tcMar>
              <w:top w:w="150" w:type="dxa"/>
              <w:left w:w="240" w:type="dxa"/>
              <w:bottom w:w="150" w:type="dxa"/>
              <w:right w:w="240" w:type="dxa"/>
            </w:tcMar>
            <w:vAlign w:val="center"/>
          </w:tcPr>
          <w:p w14:paraId="2905B234" w14:textId="77777777" w:rsidR="00054437" w:rsidRPr="000549B1" w:rsidRDefault="00000000">
            <w:pPr>
              <w:pStyle w:val="CharCharCharCharChar"/>
              <w:adjustRightInd w:val="0"/>
              <w:spacing w:line="360" w:lineRule="auto"/>
              <w:rPr>
                <w:b/>
                <w:bCs/>
                <w:color w:val="auto"/>
              </w:rPr>
            </w:pPr>
            <w:r w:rsidRPr="000549B1">
              <w:rPr>
                <w:b/>
                <w:bCs/>
                <w:color w:val="auto"/>
              </w:rPr>
              <w:t>主要建设方式</w:t>
            </w:r>
          </w:p>
        </w:tc>
      </w:tr>
      <w:tr w:rsidR="000549B1" w:rsidRPr="000549B1" w14:paraId="2A43CE61" w14:textId="77777777">
        <w:trPr>
          <w:trHeight w:val="932"/>
          <w:jc w:val="center"/>
        </w:trPr>
        <w:tc>
          <w:tcPr>
            <w:tcW w:w="846" w:type="dxa"/>
            <w:tcMar>
              <w:top w:w="150" w:type="dxa"/>
              <w:left w:w="0" w:type="dxa"/>
              <w:bottom w:w="150" w:type="dxa"/>
              <w:right w:w="240" w:type="dxa"/>
            </w:tcMar>
            <w:vAlign w:val="center"/>
          </w:tcPr>
          <w:p w14:paraId="3A19CB26" w14:textId="77777777" w:rsidR="00054437" w:rsidRPr="000549B1" w:rsidRDefault="00000000">
            <w:pPr>
              <w:pStyle w:val="CharCharCharCharChar"/>
              <w:adjustRightInd w:val="0"/>
              <w:spacing w:line="360" w:lineRule="auto"/>
              <w:rPr>
                <w:color w:val="auto"/>
              </w:rPr>
            </w:pPr>
            <w:r w:rsidRPr="000549B1">
              <w:rPr>
                <w:rStyle w:val="aff0"/>
                <w:color w:val="auto"/>
                <w:szCs w:val="21"/>
              </w:rPr>
              <w:t>石乃亥镇</w:t>
            </w:r>
          </w:p>
        </w:tc>
        <w:tc>
          <w:tcPr>
            <w:tcW w:w="3544" w:type="dxa"/>
            <w:tcMar>
              <w:top w:w="150" w:type="dxa"/>
              <w:left w:w="240" w:type="dxa"/>
              <w:bottom w:w="150" w:type="dxa"/>
              <w:right w:w="240" w:type="dxa"/>
            </w:tcMar>
            <w:vAlign w:val="center"/>
          </w:tcPr>
          <w:p w14:paraId="0A9348A0" w14:textId="6ED58DFD" w:rsidR="00054437" w:rsidRPr="000549B1" w:rsidRDefault="00000000">
            <w:pPr>
              <w:pStyle w:val="CharCharCharCharChar"/>
              <w:adjustRightInd w:val="0"/>
              <w:spacing w:line="360" w:lineRule="auto"/>
              <w:rPr>
                <w:color w:val="auto"/>
              </w:rPr>
            </w:pPr>
            <w:r w:rsidRPr="000549B1">
              <w:rPr>
                <w:color w:val="auto"/>
              </w:rPr>
              <w:t>由单一山泉水源转向布哈河与鲁色沟联合供水，提升保障率</w:t>
            </w:r>
          </w:p>
        </w:tc>
        <w:tc>
          <w:tcPr>
            <w:tcW w:w="3906" w:type="dxa"/>
            <w:tcMar>
              <w:top w:w="150" w:type="dxa"/>
              <w:left w:w="240" w:type="dxa"/>
              <w:bottom w:w="150" w:type="dxa"/>
              <w:right w:w="0" w:type="dxa"/>
            </w:tcMar>
            <w:vAlign w:val="center"/>
          </w:tcPr>
          <w:p w14:paraId="4F55D11B" w14:textId="116249C7" w:rsidR="00054437" w:rsidRPr="000549B1" w:rsidRDefault="00000000">
            <w:pPr>
              <w:pStyle w:val="CharCharCharCharChar"/>
              <w:adjustRightInd w:val="0"/>
              <w:spacing w:line="360" w:lineRule="auto"/>
              <w:rPr>
                <w:color w:val="auto"/>
              </w:rPr>
            </w:pPr>
            <w:r w:rsidRPr="000549B1">
              <w:rPr>
                <w:color w:val="auto"/>
              </w:rPr>
              <w:t>增设水质净化设施和消毒设备</w:t>
            </w:r>
          </w:p>
        </w:tc>
      </w:tr>
      <w:tr w:rsidR="000549B1" w:rsidRPr="000549B1" w14:paraId="29641E44" w14:textId="77777777">
        <w:trPr>
          <w:trHeight w:val="420"/>
          <w:jc w:val="center"/>
        </w:trPr>
        <w:tc>
          <w:tcPr>
            <w:tcW w:w="846" w:type="dxa"/>
            <w:tcMar>
              <w:top w:w="150" w:type="dxa"/>
              <w:left w:w="0" w:type="dxa"/>
              <w:bottom w:w="150" w:type="dxa"/>
              <w:right w:w="240" w:type="dxa"/>
            </w:tcMar>
            <w:vAlign w:val="center"/>
          </w:tcPr>
          <w:p w14:paraId="0651235A" w14:textId="77777777" w:rsidR="00054437" w:rsidRPr="000549B1" w:rsidRDefault="00000000">
            <w:pPr>
              <w:pStyle w:val="CharCharCharCharChar"/>
              <w:adjustRightInd w:val="0"/>
              <w:spacing w:line="360" w:lineRule="auto"/>
              <w:rPr>
                <w:color w:val="auto"/>
              </w:rPr>
            </w:pPr>
            <w:r w:rsidRPr="000549B1">
              <w:rPr>
                <w:rStyle w:val="aff0"/>
                <w:color w:val="auto"/>
                <w:szCs w:val="21"/>
              </w:rPr>
              <w:t>黑马河镇</w:t>
            </w:r>
          </w:p>
        </w:tc>
        <w:tc>
          <w:tcPr>
            <w:tcW w:w="3544" w:type="dxa"/>
            <w:tcMar>
              <w:top w:w="150" w:type="dxa"/>
              <w:left w:w="240" w:type="dxa"/>
              <w:bottom w:w="150" w:type="dxa"/>
              <w:right w:w="240" w:type="dxa"/>
            </w:tcMar>
            <w:vAlign w:val="center"/>
          </w:tcPr>
          <w:p w14:paraId="71C5EB70" w14:textId="11B506A5" w:rsidR="00054437" w:rsidRPr="000549B1" w:rsidRDefault="00000000">
            <w:pPr>
              <w:pStyle w:val="CharCharCharCharChar"/>
              <w:adjustRightInd w:val="0"/>
              <w:spacing w:line="360" w:lineRule="auto"/>
              <w:rPr>
                <w:color w:val="auto"/>
              </w:rPr>
            </w:pPr>
            <w:r w:rsidRPr="000549B1">
              <w:rPr>
                <w:color w:val="auto"/>
              </w:rPr>
              <w:t>维持现状山泉水源，重点保障供水安全</w:t>
            </w:r>
          </w:p>
        </w:tc>
        <w:tc>
          <w:tcPr>
            <w:tcW w:w="3906" w:type="dxa"/>
            <w:tcMar>
              <w:top w:w="150" w:type="dxa"/>
              <w:left w:w="240" w:type="dxa"/>
              <w:bottom w:w="150" w:type="dxa"/>
              <w:right w:w="0" w:type="dxa"/>
            </w:tcMar>
            <w:vAlign w:val="center"/>
          </w:tcPr>
          <w:p w14:paraId="50E62D49" w14:textId="02B50E4B" w:rsidR="00054437" w:rsidRPr="000549B1" w:rsidRDefault="00000000">
            <w:pPr>
              <w:pStyle w:val="CharCharCharCharChar"/>
              <w:adjustRightInd w:val="0"/>
              <w:spacing w:line="360" w:lineRule="auto"/>
              <w:rPr>
                <w:color w:val="auto"/>
              </w:rPr>
            </w:pPr>
            <w:r w:rsidRPr="000549B1">
              <w:rPr>
                <w:color w:val="auto"/>
              </w:rPr>
              <w:t>增设水质净化设施和消毒设备</w:t>
            </w:r>
          </w:p>
        </w:tc>
      </w:tr>
      <w:tr w:rsidR="000549B1" w:rsidRPr="000549B1" w14:paraId="2C160738" w14:textId="77777777">
        <w:trPr>
          <w:trHeight w:val="735"/>
          <w:jc w:val="center"/>
        </w:trPr>
        <w:tc>
          <w:tcPr>
            <w:tcW w:w="846" w:type="dxa"/>
            <w:tcMar>
              <w:top w:w="150" w:type="dxa"/>
              <w:left w:w="0" w:type="dxa"/>
              <w:bottom w:w="150" w:type="dxa"/>
              <w:right w:w="240" w:type="dxa"/>
            </w:tcMar>
            <w:vAlign w:val="center"/>
          </w:tcPr>
          <w:p w14:paraId="00E9DAE4" w14:textId="77777777" w:rsidR="00054437" w:rsidRPr="000549B1" w:rsidRDefault="00000000">
            <w:pPr>
              <w:pStyle w:val="CharCharCharCharChar"/>
              <w:adjustRightInd w:val="0"/>
              <w:spacing w:line="360" w:lineRule="auto"/>
              <w:rPr>
                <w:color w:val="auto"/>
              </w:rPr>
            </w:pPr>
            <w:r w:rsidRPr="000549B1">
              <w:rPr>
                <w:rStyle w:val="aff0"/>
                <w:color w:val="auto"/>
                <w:szCs w:val="21"/>
              </w:rPr>
              <w:t>廿地乡</w:t>
            </w:r>
          </w:p>
        </w:tc>
        <w:tc>
          <w:tcPr>
            <w:tcW w:w="3544" w:type="dxa"/>
            <w:tcMar>
              <w:top w:w="150" w:type="dxa"/>
              <w:left w:w="240" w:type="dxa"/>
              <w:bottom w:w="150" w:type="dxa"/>
              <w:right w:w="240" w:type="dxa"/>
            </w:tcMar>
            <w:vAlign w:val="center"/>
          </w:tcPr>
          <w:p w14:paraId="267F1B8C" w14:textId="68CC926C" w:rsidR="00054437" w:rsidRPr="000549B1" w:rsidRDefault="00000000">
            <w:pPr>
              <w:pStyle w:val="CharCharCharCharChar"/>
              <w:adjustRightInd w:val="0"/>
              <w:spacing w:line="360" w:lineRule="auto"/>
              <w:rPr>
                <w:color w:val="auto"/>
              </w:rPr>
            </w:pPr>
            <w:r w:rsidRPr="000549B1">
              <w:rPr>
                <w:color w:val="auto"/>
              </w:rPr>
              <w:t>以恰让水库为主水源，偏远乡村辅以山泉水，优化水源结构</w:t>
            </w:r>
          </w:p>
        </w:tc>
        <w:tc>
          <w:tcPr>
            <w:tcW w:w="3906" w:type="dxa"/>
            <w:tcMar>
              <w:top w:w="150" w:type="dxa"/>
              <w:left w:w="240" w:type="dxa"/>
              <w:bottom w:w="150" w:type="dxa"/>
              <w:right w:w="0" w:type="dxa"/>
            </w:tcMar>
            <w:vAlign w:val="center"/>
          </w:tcPr>
          <w:p w14:paraId="75507E9B" w14:textId="76F21328" w:rsidR="00054437" w:rsidRPr="000549B1" w:rsidRDefault="00000000">
            <w:pPr>
              <w:pStyle w:val="CharCharCharCharChar"/>
              <w:adjustRightInd w:val="0"/>
              <w:spacing w:line="360" w:lineRule="auto"/>
              <w:rPr>
                <w:color w:val="auto"/>
              </w:rPr>
            </w:pPr>
            <w:r w:rsidRPr="000549B1">
              <w:rPr>
                <w:color w:val="auto"/>
              </w:rPr>
              <w:t>新建净水厂（</w:t>
            </w:r>
            <w:r w:rsidRPr="000549B1">
              <w:rPr>
                <w:color w:val="auto"/>
              </w:rPr>
              <w:t>1500m³/d</w:t>
            </w:r>
            <w:r w:rsidRPr="000549B1">
              <w:rPr>
                <w:color w:val="auto"/>
              </w:rPr>
              <w:t>）及蓄水池（</w:t>
            </w:r>
            <w:r w:rsidRPr="000549B1">
              <w:rPr>
                <w:color w:val="auto"/>
              </w:rPr>
              <w:t>1000m³/d</w:t>
            </w:r>
            <w:r w:rsidRPr="000549B1">
              <w:rPr>
                <w:color w:val="auto"/>
              </w:rPr>
              <w:t>），配套管网；增设水质净化设施和消毒设备</w:t>
            </w:r>
          </w:p>
        </w:tc>
      </w:tr>
      <w:tr w:rsidR="000549B1" w:rsidRPr="000549B1" w14:paraId="288D327A" w14:textId="77777777">
        <w:trPr>
          <w:trHeight w:val="896"/>
          <w:jc w:val="center"/>
        </w:trPr>
        <w:tc>
          <w:tcPr>
            <w:tcW w:w="846" w:type="dxa"/>
            <w:tcMar>
              <w:top w:w="150" w:type="dxa"/>
              <w:left w:w="0" w:type="dxa"/>
              <w:bottom w:w="150" w:type="dxa"/>
              <w:right w:w="240" w:type="dxa"/>
            </w:tcMar>
            <w:vAlign w:val="center"/>
          </w:tcPr>
          <w:p w14:paraId="641FB7CC" w14:textId="77777777" w:rsidR="00054437" w:rsidRPr="000549B1" w:rsidRDefault="00000000">
            <w:pPr>
              <w:pStyle w:val="CharCharCharCharChar"/>
              <w:adjustRightInd w:val="0"/>
              <w:spacing w:line="360" w:lineRule="auto"/>
              <w:rPr>
                <w:color w:val="auto"/>
              </w:rPr>
            </w:pPr>
            <w:r w:rsidRPr="000549B1">
              <w:rPr>
                <w:rStyle w:val="aff0"/>
                <w:color w:val="auto"/>
                <w:szCs w:val="21"/>
              </w:rPr>
              <w:t>沙珠玉乡</w:t>
            </w:r>
          </w:p>
        </w:tc>
        <w:tc>
          <w:tcPr>
            <w:tcW w:w="3544" w:type="dxa"/>
            <w:tcMar>
              <w:top w:w="150" w:type="dxa"/>
              <w:left w:w="240" w:type="dxa"/>
              <w:bottom w:w="150" w:type="dxa"/>
              <w:right w:w="240" w:type="dxa"/>
            </w:tcMar>
            <w:vAlign w:val="center"/>
          </w:tcPr>
          <w:p w14:paraId="2FDAFFC0" w14:textId="0B1A3911" w:rsidR="00054437" w:rsidRPr="000549B1" w:rsidRDefault="00000000">
            <w:pPr>
              <w:pStyle w:val="CharCharCharCharChar"/>
              <w:adjustRightInd w:val="0"/>
              <w:spacing w:line="360" w:lineRule="auto"/>
              <w:rPr>
                <w:color w:val="auto"/>
              </w:rPr>
            </w:pPr>
            <w:r w:rsidRPr="000549B1">
              <w:rPr>
                <w:color w:val="auto"/>
              </w:rPr>
              <w:t>进行关键水源置换，将全部地下水水源置换为哈干水库地表水</w:t>
            </w:r>
          </w:p>
        </w:tc>
        <w:tc>
          <w:tcPr>
            <w:tcW w:w="3906" w:type="dxa"/>
            <w:tcMar>
              <w:top w:w="150" w:type="dxa"/>
              <w:left w:w="240" w:type="dxa"/>
              <w:bottom w:w="150" w:type="dxa"/>
              <w:right w:w="0" w:type="dxa"/>
            </w:tcMar>
            <w:vAlign w:val="center"/>
          </w:tcPr>
          <w:p w14:paraId="7F923F24" w14:textId="3FD5E36A" w:rsidR="00054437" w:rsidRPr="000549B1" w:rsidRDefault="00000000">
            <w:pPr>
              <w:pStyle w:val="CharCharCharCharChar"/>
              <w:adjustRightInd w:val="0"/>
              <w:spacing w:line="360" w:lineRule="auto"/>
              <w:rPr>
                <w:color w:val="auto"/>
              </w:rPr>
            </w:pPr>
            <w:r w:rsidRPr="000549B1">
              <w:rPr>
                <w:color w:val="auto"/>
              </w:rPr>
              <w:t>利用在建哈干水库；扩建高位水池为水厂（</w:t>
            </w:r>
            <w:r w:rsidRPr="000549B1">
              <w:rPr>
                <w:color w:val="auto"/>
              </w:rPr>
              <w:t>1000m³/d</w:t>
            </w:r>
            <w:r w:rsidRPr="000549B1">
              <w:rPr>
                <w:color w:val="auto"/>
              </w:rPr>
              <w:t>），新建蓄水池（</w:t>
            </w:r>
            <w:r w:rsidRPr="000549B1">
              <w:rPr>
                <w:color w:val="auto"/>
              </w:rPr>
              <w:t>500m³/d</w:t>
            </w:r>
            <w:r w:rsidRPr="000549B1">
              <w:rPr>
                <w:color w:val="auto"/>
              </w:rPr>
              <w:t>），配套管网；增设水质净化设施和消毒设备</w:t>
            </w:r>
          </w:p>
        </w:tc>
      </w:tr>
      <w:tr w:rsidR="000549B1" w:rsidRPr="000549B1" w14:paraId="77EC792C" w14:textId="77777777">
        <w:trPr>
          <w:trHeight w:val="295"/>
          <w:jc w:val="center"/>
        </w:trPr>
        <w:tc>
          <w:tcPr>
            <w:tcW w:w="846" w:type="dxa"/>
            <w:tcMar>
              <w:top w:w="150" w:type="dxa"/>
              <w:left w:w="0" w:type="dxa"/>
              <w:bottom w:w="150" w:type="dxa"/>
              <w:right w:w="240" w:type="dxa"/>
            </w:tcMar>
            <w:vAlign w:val="center"/>
          </w:tcPr>
          <w:p w14:paraId="4BD64976" w14:textId="77777777" w:rsidR="00054437" w:rsidRPr="000549B1" w:rsidRDefault="00000000">
            <w:pPr>
              <w:pStyle w:val="CharCharCharCharChar"/>
              <w:adjustRightInd w:val="0"/>
              <w:spacing w:line="360" w:lineRule="auto"/>
              <w:rPr>
                <w:color w:val="auto"/>
              </w:rPr>
            </w:pPr>
            <w:r w:rsidRPr="000549B1">
              <w:rPr>
                <w:rStyle w:val="aff0"/>
                <w:color w:val="auto"/>
                <w:szCs w:val="21"/>
              </w:rPr>
              <w:t>塘格木镇</w:t>
            </w:r>
          </w:p>
        </w:tc>
        <w:tc>
          <w:tcPr>
            <w:tcW w:w="3544" w:type="dxa"/>
            <w:tcMar>
              <w:top w:w="150" w:type="dxa"/>
              <w:left w:w="240" w:type="dxa"/>
              <w:bottom w:w="150" w:type="dxa"/>
              <w:right w:w="240" w:type="dxa"/>
            </w:tcMar>
            <w:vAlign w:val="center"/>
          </w:tcPr>
          <w:p w14:paraId="76CD1738" w14:textId="080BF002" w:rsidR="00054437" w:rsidRPr="000549B1" w:rsidRDefault="00000000">
            <w:pPr>
              <w:pStyle w:val="CharCharCharCharChar"/>
              <w:adjustRightInd w:val="0"/>
              <w:spacing w:line="360" w:lineRule="auto"/>
              <w:rPr>
                <w:color w:val="auto"/>
              </w:rPr>
            </w:pPr>
            <w:r w:rsidRPr="000549B1">
              <w:rPr>
                <w:color w:val="auto"/>
              </w:rPr>
              <w:t>构建多水库（切吉、哈干、大河坝河、直亥买）联合供水格局，解决灌溉与城乡供水争水矛盾</w:t>
            </w:r>
          </w:p>
        </w:tc>
        <w:tc>
          <w:tcPr>
            <w:tcW w:w="3906" w:type="dxa"/>
            <w:tcMar>
              <w:top w:w="150" w:type="dxa"/>
              <w:left w:w="240" w:type="dxa"/>
              <w:bottom w:w="150" w:type="dxa"/>
              <w:right w:w="0" w:type="dxa"/>
            </w:tcMar>
            <w:vAlign w:val="center"/>
          </w:tcPr>
          <w:p w14:paraId="3500BA01" w14:textId="0B822A0F" w:rsidR="00054437" w:rsidRPr="000549B1" w:rsidRDefault="00000000">
            <w:pPr>
              <w:pStyle w:val="CharCharCharCharChar"/>
              <w:adjustRightInd w:val="0"/>
              <w:spacing w:line="360" w:lineRule="auto"/>
              <w:rPr>
                <w:color w:val="auto"/>
              </w:rPr>
            </w:pPr>
            <w:r w:rsidRPr="000549B1">
              <w:rPr>
                <w:color w:val="auto"/>
              </w:rPr>
              <w:t>新建水厂（</w:t>
            </w:r>
            <w:r w:rsidRPr="000549B1">
              <w:rPr>
                <w:color w:val="auto"/>
              </w:rPr>
              <w:t>2000m³/d</w:t>
            </w:r>
            <w:r w:rsidRPr="000549B1">
              <w:rPr>
                <w:color w:val="auto"/>
              </w:rPr>
              <w:t>）及两座蓄水池（</w:t>
            </w:r>
            <w:r w:rsidRPr="000549B1">
              <w:rPr>
                <w:color w:val="auto"/>
              </w:rPr>
              <w:t>1100m³/d,1000m³/d</w:t>
            </w:r>
            <w:r w:rsidRPr="000549B1">
              <w:rPr>
                <w:color w:val="auto"/>
              </w:rPr>
              <w:t>），配套管网；增设水质净化设施和消毒设备</w:t>
            </w:r>
          </w:p>
        </w:tc>
      </w:tr>
      <w:tr w:rsidR="000549B1" w:rsidRPr="000549B1" w14:paraId="51F199E8" w14:textId="77777777">
        <w:trPr>
          <w:trHeight w:val="143"/>
          <w:jc w:val="center"/>
        </w:trPr>
        <w:tc>
          <w:tcPr>
            <w:tcW w:w="846" w:type="dxa"/>
            <w:tcMar>
              <w:top w:w="150" w:type="dxa"/>
              <w:left w:w="0" w:type="dxa"/>
              <w:bottom w:w="150" w:type="dxa"/>
              <w:right w:w="240" w:type="dxa"/>
            </w:tcMar>
            <w:vAlign w:val="center"/>
          </w:tcPr>
          <w:p w14:paraId="45F191C2" w14:textId="77777777" w:rsidR="00054437" w:rsidRPr="000549B1" w:rsidRDefault="00000000">
            <w:pPr>
              <w:pStyle w:val="CharCharCharCharChar"/>
              <w:adjustRightInd w:val="0"/>
              <w:spacing w:line="360" w:lineRule="auto"/>
              <w:rPr>
                <w:color w:val="auto"/>
              </w:rPr>
            </w:pPr>
            <w:r w:rsidRPr="000549B1">
              <w:rPr>
                <w:rStyle w:val="aff0"/>
                <w:color w:val="auto"/>
                <w:szCs w:val="21"/>
              </w:rPr>
              <w:t>切吉乡</w:t>
            </w:r>
          </w:p>
        </w:tc>
        <w:tc>
          <w:tcPr>
            <w:tcW w:w="3544" w:type="dxa"/>
            <w:tcMar>
              <w:top w:w="150" w:type="dxa"/>
              <w:left w:w="240" w:type="dxa"/>
              <w:bottom w:w="150" w:type="dxa"/>
              <w:right w:w="240" w:type="dxa"/>
            </w:tcMar>
            <w:vAlign w:val="center"/>
          </w:tcPr>
          <w:p w14:paraId="5F719438" w14:textId="4D03445C" w:rsidR="00054437" w:rsidRPr="000549B1" w:rsidRDefault="00000000">
            <w:pPr>
              <w:pStyle w:val="CharCharCharCharChar"/>
              <w:adjustRightInd w:val="0"/>
              <w:spacing w:line="360" w:lineRule="auto"/>
              <w:rPr>
                <w:color w:val="auto"/>
              </w:rPr>
            </w:pPr>
            <w:r w:rsidRPr="000549B1">
              <w:rPr>
                <w:color w:val="auto"/>
              </w:rPr>
              <w:t>构建以叉叉沟水库为主，多水库（哇洪、鹿龙沟等）为辅的地表水供水体系，减少地下水依赖</w:t>
            </w:r>
          </w:p>
        </w:tc>
        <w:tc>
          <w:tcPr>
            <w:tcW w:w="3906" w:type="dxa"/>
            <w:tcMar>
              <w:top w:w="150" w:type="dxa"/>
              <w:left w:w="240" w:type="dxa"/>
              <w:bottom w:w="150" w:type="dxa"/>
              <w:right w:w="0" w:type="dxa"/>
            </w:tcMar>
            <w:vAlign w:val="center"/>
          </w:tcPr>
          <w:p w14:paraId="235012E5" w14:textId="1B943F0B" w:rsidR="00054437" w:rsidRPr="000549B1" w:rsidRDefault="00000000">
            <w:pPr>
              <w:pStyle w:val="CharCharCharCharChar"/>
              <w:adjustRightInd w:val="0"/>
              <w:spacing w:line="360" w:lineRule="auto"/>
              <w:rPr>
                <w:color w:val="auto"/>
              </w:rPr>
            </w:pPr>
            <w:r w:rsidRPr="000549B1">
              <w:rPr>
                <w:color w:val="auto"/>
              </w:rPr>
              <w:t>新建水厂（</w:t>
            </w:r>
            <w:r w:rsidRPr="000549B1">
              <w:rPr>
                <w:color w:val="auto"/>
              </w:rPr>
              <w:t>2000m³/d</w:t>
            </w:r>
            <w:r w:rsidRPr="000549B1">
              <w:rPr>
                <w:color w:val="auto"/>
              </w:rPr>
              <w:t>）及三座蓄水池（</w:t>
            </w:r>
            <w:r w:rsidRPr="000549B1">
              <w:rPr>
                <w:color w:val="auto"/>
              </w:rPr>
              <w:t>2×2000m³/d,1500m³/d</w:t>
            </w:r>
            <w:r w:rsidRPr="000549B1">
              <w:rPr>
                <w:color w:val="auto"/>
              </w:rPr>
              <w:t>），配套管网；增设水质净化设施和消毒设备</w:t>
            </w:r>
          </w:p>
        </w:tc>
      </w:tr>
      <w:tr w:rsidR="000549B1" w:rsidRPr="000549B1" w14:paraId="4C0EC6A7" w14:textId="77777777">
        <w:trPr>
          <w:trHeight w:val="729"/>
          <w:jc w:val="center"/>
        </w:trPr>
        <w:tc>
          <w:tcPr>
            <w:tcW w:w="846" w:type="dxa"/>
            <w:tcMar>
              <w:top w:w="150" w:type="dxa"/>
              <w:left w:w="0" w:type="dxa"/>
              <w:bottom w:w="150" w:type="dxa"/>
              <w:right w:w="240" w:type="dxa"/>
            </w:tcMar>
            <w:vAlign w:val="center"/>
          </w:tcPr>
          <w:p w14:paraId="3CAA3465" w14:textId="77777777" w:rsidR="00054437" w:rsidRPr="000549B1" w:rsidRDefault="00000000">
            <w:pPr>
              <w:pStyle w:val="CharCharCharCharChar"/>
              <w:adjustRightInd w:val="0"/>
              <w:spacing w:line="360" w:lineRule="auto"/>
              <w:rPr>
                <w:color w:val="auto"/>
              </w:rPr>
            </w:pPr>
            <w:r w:rsidRPr="000549B1">
              <w:rPr>
                <w:rStyle w:val="aff0"/>
                <w:color w:val="auto"/>
                <w:szCs w:val="21"/>
              </w:rPr>
              <w:t>河卡镇</w:t>
            </w:r>
          </w:p>
        </w:tc>
        <w:tc>
          <w:tcPr>
            <w:tcW w:w="3544" w:type="dxa"/>
            <w:tcMar>
              <w:top w:w="150" w:type="dxa"/>
              <w:left w:w="240" w:type="dxa"/>
              <w:bottom w:w="150" w:type="dxa"/>
              <w:right w:w="240" w:type="dxa"/>
            </w:tcMar>
            <w:vAlign w:val="center"/>
          </w:tcPr>
          <w:p w14:paraId="68A8DBBC" w14:textId="21434850" w:rsidR="00054437" w:rsidRPr="000549B1" w:rsidRDefault="00000000">
            <w:pPr>
              <w:pStyle w:val="CharCharCharCharChar"/>
              <w:adjustRightInd w:val="0"/>
              <w:spacing w:line="360" w:lineRule="auto"/>
              <w:rPr>
                <w:color w:val="auto"/>
              </w:rPr>
            </w:pPr>
            <w:r w:rsidRPr="000549B1">
              <w:rPr>
                <w:color w:val="auto"/>
              </w:rPr>
              <w:t>通过引入大河坝河水库水源，与现状水源联合调度，根本性解决受降水丰枯影响大的问题</w:t>
            </w:r>
          </w:p>
        </w:tc>
        <w:tc>
          <w:tcPr>
            <w:tcW w:w="3906" w:type="dxa"/>
            <w:tcMar>
              <w:top w:w="150" w:type="dxa"/>
              <w:left w:w="240" w:type="dxa"/>
              <w:bottom w:w="150" w:type="dxa"/>
              <w:right w:w="0" w:type="dxa"/>
            </w:tcMar>
            <w:vAlign w:val="center"/>
          </w:tcPr>
          <w:p w14:paraId="31029B5B" w14:textId="2D39EB32" w:rsidR="00054437" w:rsidRPr="000549B1" w:rsidRDefault="00000000">
            <w:pPr>
              <w:pStyle w:val="CharCharCharCharChar"/>
              <w:adjustRightInd w:val="0"/>
              <w:spacing w:line="360" w:lineRule="auto"/>
              <w:rPr>
                <w:color w:val="auto"/>
              </w:rPr>
            </w:pPr>
            <w:r w:rsidRPr="000549B1">
              <w:rPr>
                <w:color w:val="auto"/>
              </w:rPr>
              <w:t>新建水厂（</w:t>
            </w:r>
            <w:r w:rsidRPr="000549B1">
              <w:rPr>
                <w:color w:val="auto"/>
              </w:rPr>
              <w:t>3000m³/d</w:t>
            </w:r>
            <w:r w:rsidRPr="000549B1">
              <w:rPr>
                <w:color w:val="auto"/>
              </w:rPr>
              <w:t>）及两座蓄水池（</w:t>
            </w:r>
            <w:r w:rsidRPr="000549B1">
              <w:rPr>
                <w:color w:val="auto"/>
              </w:rPr>
              <w:t>2000m³/d,1500m³/d</w:t>
            </w:r>
            <w:r w:rsidRPr="000549B1">
              <w:rPr>
                <w:color w:val="auto"/>
              </w:rPr>
              <w:t>），配套管网；增设水质净化设施和消毒设备</w:t>
            </w:r>
          </w:p>
        </w:tc>
      </w:tr>
    </w:tbl>
    <w:p w14:paraId="755CD3AB" w14:textId="5830EC72" w:rsidR="00054437" w:rsidRPr="000549B1" w:rsidRDefault="002F2485" w:rsidP="000549B1">
      <w:pPr>
        <w:pStyle w:val="x"/>
      </w:pPr>
      <w:r w:rsidRPr="000549B1">
        <w:rPr>
          <w:rStyle w:val="aff0"/>
          <w:rFonts w:hint="eastAsia"/>
          <w:b w:val="0"/>
          <w:bCs w:val="0"/>
        </w:rPr>
        <w:t>（</w:t>
      </w:r>
      <w:r w:rsidRPr="000549B1">
        <w:rPr>
          <w:rStyle w:val="aff0"/>
          <w:rFonts w:hint="eastAsia"/>
          <w:b w:val="0"/>
          <w:bCs w:val="0"/>
        </w:rPr>
        <w:t>3</w:t>
      </w:r>
      <w:r w:rsidRPr="000549B1">
        <w:rPr>
          <w:rStyle w:val="aff0"/>
          <w:rFonts w:hint="eastAsia"/>
          <w:b w:val="0"/>
          <w:bCs w:val="0"/>
        </w:rPr>
        <w:t>）规划涉及的重大工程</w:t>
      </w:r>
    </w:p>
    <w:p w14:paraId="05314F92" w14:textId="6C30B4DA" w:rsidR="00054437" w:rsidRPr="000549B1" w:rsidRDefault="00000000">
      <w:pPr>
        <w:pStyle w:val="x"/>
      </w:pPr>
      <w:r w:rsidRPr="000549B1">
        <w:rPr>
          <w:rFonts w:hint="eastAsia"/>
        </w:rPr>
        <w:t>规划</w:t>
      </w:r>
      <w:r w:rsidRPr="000549B1">
        <w:t>涉及多项水库枢纽工程，是实现水资源调蓄和优化配置的关键。以下为规划中明确的重大工程基本情况：</w:t>
      </w:r>
    </w:p>
    <w:p w14:paraId="4FC63EAC" w14:textId="48A35BD6" w:rsidR="00054437" w:rsidRPr="000549B1" w:rsidRDefault="00000000">
      <w:pPr>
        <w:pStyle w:val="aff8"/>
        <w:rPr>
          <w:color w:val="auto"/>
        </w:rPr>
      </w:pPr>
      <w:r w:rsidRPr="000549B1">
        <w:rPr>
          <w:color w:val="auto"/>
        </w:rPr>
        <w:t>表</w:t>
      </w:r>
      <w:r w:rsidR="00372953">
        <w:rPr>
          <w:color w:val="auto"/>
        </w:rPr>
        <w:fldChar w:fldCharType="begin"/>
      </w:r>
      <w:r w:rsidR="00372953">
        <w:rPr>
          <w:color w:val="auto"/>
        </w:rPr>
        <w:instrText xml:space="preserve"> STYLEREF 2 \s </w:instrText>
      </w:r>
      <w:r w:rsidR="00372953">
        <w:rPr>
          <w:color w:val="auto"/>
        </w:rPr>
        <w:fldChar w:fldCharType="separate"/>
      </w:r>
      <w:r w:rsidR="00372953">
        <w:rPr>
          <w:noProof/>
          <w:color w:val="auto"/>
        </w:rPr>
        <w:t>2.1</w:t>
      </w:r>
      <w:r w:rsidR="00372953">
        <w:rPr>
          <w:color w:val="auto"/>
        </w:rPr>
        <w:fldChar w:fldCharType="end"/>
      </w:r>
      <w:r w:rsidR="00372953">
        <w:rPr>
          <w:color w:val="auto"/>
        </w:rPr>
        <w:noBreakHyphen/>
      </w:r>
      <w:r w:rsidR="00372953">
        <w:rPr>
          <w:color w:val="auto"/>
        </w:rPr>
        <w:fldChar w:fldCharType="begin"/>
      </w:r>
      <w:r w:rsidR="00372953">
        <w:rPr>
          <w:color w:val="auto"/>
        </w:rPr>
        <w:instrText xml:space="preserve"> SEQ </w:instrText>
      </w:r>
      <w:r w:rsidR="00372953">
        <w:rPr>
          <w:color w:val="auto"/>
        </w:rPr>
        <w:instrText>表</w:instrText>
      </w:r>
      <w:r w:rsidR="00372953">
        <w:rPr>
          <w:color w:val="auto"/>
        </w:rPr>
        <w:instrText xml:space="preserve"> \* ARABIC \s 2 </w:instrText>
      </w:r>
      <w:r w:rsidR="00372953">
        <w:rPr>
          <w:color w:val="auto"/>
        </w:rPr>
        <w:fldChar w:fldCharType="separate"/>
      </w:r>
      <w:r w:rsidR="00372953">
        <w:rPr>
          <w:noProof/>
          <w:color w:val="auto"/>
        </w:rPr>
        <w:t>12</w:t>
      </w:r>
      <w:r w:rsidR="00372953">
        <w:rPr>
          <w:color w:val="auto"/>
        </w:rPr>
        <w:fldChar w:fldCharType="end"/>
      </w:r>
      <w:r w:rsidRPr="000549B1">
        <w:rPr>
          <w:rStyle w:val="aff0"/>
          <w:b/>
          <w:bCs w:val="0"/>
          <w:color w:val="auto"/>
        </w:rPr>
        <w:t>规划涉及的重大水库工程基本情况</w:t>
      </w:r>
    </w:p>
    <w:tbl>
      <w:tblPr>
        <w:tblW w:w="81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27"/>
        <w:gridCol w:w="1999"/>
        <w:gridCol w:w="3594"/>
        <w:gridCol w:w="1834"/>
      </w:tblGrid>
      <w:tr w:rsidR="000549B1" w:rsidRPr="000549B1" w14:paraId="150C02FE" w14:textId="77777777">
        <w:trPr>
          <w:trHeight w:val="668"/>
          <w:tblHeader/>
          <w:jc w:val="center"/>
        </w:trPr>
        <w:tc>
          <w:tcPr>
            <w:tcW w:w="0" w:type="auto"/>
            <w:tcMar>
              <w:top w:w="150" w:type="dxa"/>
              <w:left w:w="0" w:type="dxa"/>
              <w:bottom w:w="150" w:type="dxa"/>
              <w:right w:w="240" w:type="dxa"/>
            </w:tcMar>
            <w:vAlign w:val="center"/>
          </w:tcPr>
          <w:p w14:paraId="035F33E4" w14:textId="77777777" w:rsidR="00054437" w:rsidRPr="000549B1" w:rsidRDefault="00000000">
            <w:pPr>
              <w:pStyle w:val="CharCharCharCharChar"/>
              <w:rPr>
                <w:rFonts w:eastAsiaTheme="minorEastAsia"/>
                <w:b/>
                <w:bCs/>
                <w:color w:val="auto"/>
              </w:rPr>
            </w:pPr>
            <w:r w:rsidRPr="000549B1">
              <w:rPr>
                <w:rFonts w:eastAsiaTheme="minorEastAsia"/>
                <w:b/>
                <w:bCs/>
                <w:color w:val="auto"/>
              </w:rPr>
              <w:t>工程名称</w:t>
            </w:r>
          </w:p>
        </w:tc>
        <w:tc>
          <w:tcPr>
            <w:tcW w:w="0" w:type="auto"/>
            <w:tcMar>
              <w:top w:w="150" w:type="dxa"/>
              <w:left w:w="240" w:type="dxa"/>
              <w:bottom w:w="150" w:type="dxa"/>
              <w:right w:w="240" w:type="dxa"/>
            </w:tcMar>
            <w:vAlign w:val="center"/>
          </w:tcPr>
          <w:p w14:paraId="7656586A" w14:textId="77777777" w:rsidR="00054437" w:rsidRPr="000549B1" w:rsidRDefault="00000000">
            <w:pPr>
              <w:pStyle w:val="CharCharCharCharChar"/>
              <w:rPr>
                <w:rFonts w:eastAsiaTheme="minorEastAsia"/>
                <w:b/>
                <w:bCs/>
                <w:color w:val="auto"/>
              </w:rPr>
            </w:pPr>
            <w:r w:rsidRPr="000549B1">
              <w:rPr>
                <w:rFonts w:eastAsiaTheme="minorEastAsia"/>
                <w:b/>
                <w:bCs/>
                <w:color w:val="auto"/>
              </w:rPr>
              <w:t>工程性质与等级</w:t>
            </w:r>
          </w:p>
        </w:tc>
        <w:tc>
          <w:tcPr>
            <w:tcW w:w="0" w:type="auto"/>
            <w:tcMar>
              <w:top w:w="150" w:type="dxa"/>
              <w:left w:w="240" w:type="dxa"/>
              <w:bottom w:w="150" w:type="dxa"/>
              <w:right w:w="240" w:type="dxa"/>
            </w:tcMar>
            <w:vAlign w:val="center"/>
          </w:tcPr>
          <w:p w14:paraId="698AC940" w14:textId="77777777" w:rsidR="00054437" w:rsidRPr="000549B1" w:rsidRDefault="00000000">
            <w:pPr>
              <w:pStyle w:val="CharCharCharCharChar"/>
              <w:rPr>
                <w:rFonts w:eastAsiaTheme="minorEastAsia"/>
                <w:b/>
                <w:bCs/>
                <w:color w:val="auto"/>
              </w:rPr>
            </w:pPr>
            <w:r w:rsidRPr="000549B1">
              <w:rPr>
                <w:rFonts w:eastAsiaTheme="minorEastAsia"/>
                <w:b/>
                <w:bCs/>
                <w:color w:val="auto"/>
              </w:rPr>
              <w:t>核心任务</w:t>
            </w:r>
          </w:p>
        </w:tc>
        <w:tc>
          <w:tcPr>
            <w:tcW w:w="0" w:type="auto"/>
            <w:tcMar>
              <w:top w:w="150" w:type="dxa"/>
              <w:left w:w="240" w:type="dxa"/>
              <w:bottom w:w="150" w:type="dxa"/>
              <w:right w:w="240" w:type="dxa"/>
            </w:tcMar>
            <w:vAlign w:val="center"/>
          </w:tcPr>
          <w:p w14:paraId="0C578813" w14:textId="77777777" w:rsidR="00054437" w:rsidRPr="000549B1" w:rsidRDefault="00000000">
            <w:pPr>
              <w:pStyle w:val="CharCharCharCharChar"/>
              <w:rPr>
                <w:rFonts w:eastAsiaTheme="minorEastAsia"/>
                <w:b/>
                <w:bCs/>
                <w:color w:val="auto"/>
              </w:rPr>
            </w:pPr>
            <w:r w:rsidRPr="000549B1">
              <w:rPr>
                <w:rFonts w:eastAsiaTheme="minorEastAsia"/>
                <w:b/>
                <w:bCs/>
                <w:color w:val="auto"/>
              </w:rPr>
              <w:t>工程规模</w:t>
            </w:r>
          </w:p>
        </w:tc>
      </w:tr>
      <w:tr w:rsidR="000549B1" w:rsidRPr="000549B1" w14:paraId="01B76591" w14:textId="77777777">
        <w:trPr>
          <w:trHeight w:val="831"/>
          <w:jc w:val="center"/>
        </w:trPr>
        <w:tc>
          <w:tcPr>
            <w:tcW w:w="0" w:type="auto"/>
            <w:tcMar>
              <w:top w:w="150" w:type="dxa"/>
              <w:left w:w="0" w:type="dxa"/>
              <w:bottom w:w="150" w:type="dxa"/>
              <w:right w:w="240" w:type="dxa"/>
            </w:tcMar>
            <w:vAlign w:val="center"/>
          </w:tcPr>
          <w:p w14:paraId="08DB85B2" w14:textId="77777777" w:rsidR="00054437" w:rsidRPr="000549B1" w:rsidRDefault="00000000">
            <w:pPr>
              <w:pStyle w:val="CharCharCharCharChar"/>
              <w:rPr>
                <w:rFonts w:eastAsiaTheme="minorEastAsia"/>
                <w:color w:val="auto"/>
              </w:rPr>
            </w:pPr>
            <w:r w:rsidRPr="000549B1">
              <w:rPr>
                <w:rStyle w:val="aff0"/>
                <w:rFonts w:eastAsiaTheme="minorEastAsia"/>
                <w:b w:val="0"/>
                <w:bCs w:val="0"/>
                <w:color w:val="auto"/>
              </w:rPr>
              <w:t>哈干水库</w:t>
            </w:r>
          </w:p>
        </w:tc>
        <w:tc>
          <w:tcPr>
            <w:tcW w:w="0" w:type="auto"/>
            <w:tcMar>
              <w:top w:w="150" w:type="dxa"/>
              <w:left w:w="240" w:type="dxa"/>
              <w:bottom w:w="150" w:type="dxa"/>
              <w:right w:w="240" w:type="dxa"/>
            </w:tcMar>
            <w:vAlign w:val="center"/>
          </w:tcPr>
          <w:p w14:paraId="68A4B2B6" w14:textId="2200B79B" w:rsidR="00054437" w:rsidRPr="000549B1" w:rsidRDefault="00000000">
            <w:pPr>
              <w:pStyle w:val="CharCharCharCharChar"/>
              <w:rPr>
                <w:rFonts w:eastAsiaTheme="minorEastAsia"/>
                <w:color w:val="auto"/>
              </w:rPr>
            </w:pPr>
            <w:r w:rsidRPr="000549B1">
              <w:rPr>
                <w:rFonts w:eastAsiaTheme="minorEastAsia"/>
                <w:color w:val="auto"/>
              </w:rPr>
              <w:t>在建，以供水为主、兼顾灌溉的</w:t>
            </w:r>
            <w:r w:rsidRPr="000549B1">
              <w:rPr>
                <w:rStyle w:val="aff0"/>
                <w:rFonts w:eastAsiaTheme="minorEastAsia"/>
                <w:b w:val="0"/>
                <w:bCs w:val="0"/>
                <w:color w:val="auto"/>
              </w:rPr>
              <w:t>小（</w:t>
            </w:r>
            <w:r w:rsidRPr="000549B1">
              <w:rPr>
                <w:rStyle w:val="aff0"/>
                <w:rFonts w:eastAsiaTheme="minorEastAsia"/>
                <w:b w:val="0"/>
                <w:bCs w:val="0"/>
                <w:color w:val="auto"/>
              </w:rPr>
              <w:t>1</w:t>
            </w:r>
            <w:r w:rsidRPr="000549B1">
              <w:rPr>
                <w:rStyle w:val="aff0"/>
                <w:rFonts w:eastAsiaTheme="minorEastAsia"/>
                <w:b w:val="0"/>
                <w:bCs w:val="0"/>
                <w:color w:val="auto"/>
              </w:rPr>
              <w:t>）型</w:t>
            </w:r>
            <w:r w:rsidRPr="000549B1">
              <w:rPr>
                <w:rFonts w:eastAsiaTheme="minorEastAsia"/>
                <w:color w:val="auto"/>
              </w:rPr>
              <w:t>工程</w:t>
            </w:r>
          </w:p>
        </w:tc>
        <w:tc>
          <w:tcPr>
            <w:tcW w:w="0" w:type="auto"/>
            <w:tcMar>
              <w:top w:w="150" w:type="dxa"/>
              <w:left w:w="240" w:type="dxa"/>
              <w:bottom w:w="150" w:type="dxa"/>
              <w:right w:w="240" w:type="dxa"/>
            </w:tcMar>
            <w:vAlign w:val="center"/>
          </w:tcPr>
          <w:p w14:paraId="1168E10A" w14:textId="10907201" w:rsidR="00054437" w:rsidRPr="000549B1" w:rsidRDefault="00000000">
            <w:pPr>
              <w:pStyle w:val="CharCharCharCharChar"/>
              <w:ind w:firstLineChars="200" w:firstLine="420"/>
              <w:rPr>
                <w:rFonts w:eastAsiaTheme="minorEastAsia"/>
                <w:color w:val="auto"/>
              </w:rPr>
            </w:pPr>
            <w:r w:rsidRPr="000549B1">
              <w:rPr>
                <w:rFonts w:eastAsiaTheme="minorEastAsia"/>
                <w:color w:val="auto"/>
              </w:rPr>
              <w:t>为塘格木镇、沙珠玉乡、廿地乡共</w:t>
            </w:r>
            <w:r w:rsidRPr="000549B1">
              <w:rPr>
                <w:rFonts w:eastAsiaTheme="minorEastAsia"/>
                <w:color w:val="auto"/>
              </w:rPr>
              <w:t>16</w:t>
            </w:r>
            <w:r w:rsidRPr="000549B1">
              <w:rPr>
                <w:rFonts w:eastAsiaTheme="minorEastAsia"/>
                <w:color w:val="auto"/>
              </w:rPr>
              <w:t>个行政村提供人畜饮水，并改善下游灌溉</w:t>
            </w:r>
          </w:p>
        </w:tc>
        <w:tc>
          <w:tcPr>
            <w:tcW w:w="0" w:type="auto"/>
            <w:tcMar>
              <w:top w:w="150" w:type="dxa"/>
              <w:left w:w="240" w:type="dxa"/>
              <w:bottom w:w="150" w:type="dxa"/>
              <w:right w:w="0" w:type="dxa"/>
            </w:tcMar>
            <w:vAlign w:val="center"/>
          </w:tcPr>
          <w:p w14:paraId="7F8DE5D7" w14:textId="107248CA" w:rsidR="00054437" w:rsidRPr="000549B1" w:rsidRDefault="00000000">
            <w:pPr>
              <w:pStyle w:val="CharCharCharCharChar"/>
              <w:rPr>
                <w:rFonts w:eastAsiaTheme="minorEastAsia"/>
                <w:color w:val="auto"/>
              </w:rPr>
            </w:pPr>
            <w:r w:rsidRPr="000549B1">
              <w:rPr>
                <w:rFonts w:eastAsiaTheme="minorEastAsia"/>
                <w:color w:val="auto"/>
              </w:rPr>
              <w:t>总库容</w:t>
            </w:r>
            <w:r w:rsidRPr="000549B1">
              <w:rPr>
                <w:rStyle w:val="aff0"/>
                <w:rFonts w:eastAsiaTheme="minorEastAsia"/>
                <w:b w:val="0"/>
                <w:bCs w:val="0"/>
                <w:color w:val="auto"/>
              </w:rPr>
              <w:t>150.14</w:t>
            </w:r>
            <w:r w:rsidRPr="000549B1">
              <w:rPr>
                <w:rStyle w:val="aff0"/>
                <w:rFonts w:eastAsiaTheme="minorEastAsia"/>
                <w:b w:val="0"/>
                <w:bCs w:val="0"/>
                <w:color w:val="auto"/>
              </w:rPr>
              <w:t>万</w:t>
            </w:r>
            <w:r w:rsidRPr="000549B1">
              <w:rPr>
                <w:rStyle w:val="aff0"/>
                <w:rFonts w:eastAsiaTheme="minorEastAsia"/>
                <w:b w:val="0"/>
                <w:bCs w:val="0"/>
                <w:color w:val="auto"/>
              </w:rPr>
              <w:t>m³</w:t>
            </w:r>
            <w:r w:rsidRPr="000549B1">
              <w:rPr>
                <w:rFonts w:eastAsiaTheme="minorEastAsia"/>
                <w:color w:val="auto"/>
              </w:rPr>
              <w:t>，设计年供水量</w:t>
            </w:r>
            <w:r w:rsidRPr="000549B1">
              <w:rPr>
                <w:rStyle w:val="aff0"/>
                <w:rFonts w:eastAsiaTheme="minorEastAsia"/>
                <w:b w:val="0"/>
                <w:bCs w:val="0"/>
                <w:color w:val="auto"/>
              </w:rPr>
              <w:t>225.04</w:t>
            </w:r>
            <w:r w:rsidRPr="000549B1">
              <w:rPr>
                <w:rStyle w:val="aff0"/>
                <w:rFonts w:eastAsiaTheme="minorEastAsia"/>
                <w:b w:val="0"/>
                <w:bCs w:val="0"/>
                <w:color w:val="auto"/>
              </w:rPr>
              <w:t>万</w:t>
            </w:r>
            <w:r w:rsidRPr="000549B1">
              <w:rPr>
                <w:rStyle w:val="aff0"/>
                <w:rFonts w:eastAsiaTheme="minorEastAsia"/>
                <w:b w:val="0"/>
                <w:bCs w:val="0"/>
                <w:color w:val="auto"/>
              </w:rPr>
              <w:t>m³</w:t>
            </w:r>
          </w:p>
        </w:tc>
      </w:tr>
      <w:tr w:rsidR="000549B1" w:rsidRPr="000549B1" w14:paraId="578FA3A9" w14:textId="77777777">
        <w:trPr>
          <w:trHeight w:val="1336"/>
          <w:jc w:val="center"/>
        </w:trPr>
        <w:tc>
          <w:tcPr>
            <w:tcW w:w="0" w:type="auto"/>
            <w:tcMar>
              <w:top w:w="150" w:type="dxa"/>
              <w:left w:w="0" w:type="dxa"/>
              <w:bottom w:w="150" w:type="dxa"/>
              <w:right w:w="240" w:type="dxa"/>
            </w:tcMar>
            <w:vAlign w:val="center"/>
          </w:tcPr>
          <w:p w14:paraId="73C013E9" w14:textId="77777777" w:rsidR="00054437" w:rsidRPr="000549B1" w:rsidRDefault="00000000">
            <w:pPr>
              <w:pStyle w:val="CharCharCharCharChar"/>
              <w:rPr>
                <w:rFonts w:eastAsiaTheme="minorEastAsia"/>
                <w:color w:val="auto"/>
              </w:rPr>
            </w:pPr>
            <w:r w:rsidRPr="000549B1">
              <w:rPr>
                <w:rStyle w:val="aff0"/>
                <w:rFonts w:eastAsiaTheme="minorEastAsia"/>
                <w:b w:val="0"/>
                <w:bCs w:val="0"/>
                <w:color w:val="auto"/>
              </w:rPr>
              <w:t>大河坝河水库</w:t>
            </w:r>
          </w:p>
        </w:tc>
        <w:tc>
          <w:tcPr>
            <w:tcW w:w="0" w:type="auto"/>
            <w:tcMar>
              <w:top w:w="150" w:type="dxa"/>
              <w:left w:w="240" w:type="dxa"/>
              <w:bottom w:w="150" w:type="dxa"/>
              <w:right w:w="240" w:type="dxa"/>
            </w:tcMar>
            <w:vAlign w:val="center"/>
          </w:tcPr>
          <w:p w14:paraId="2AC8C03E" w14:textId="0B5F183F" w:rsidR="00054437" w:rsidRPr="000549B1" w:rsidRDefault="00000000">
            <w:pPr>
              <w:pStyle w:val="CharCharCharCharChar"/>
              <w:rPr>
                <w:rFonts w:eastAsiaTheme="minorEastAsia"/>
                <w:color w:val="auto"/>
              </w:rPr>
            </w:pPr>
            <w:r w:rsidRPr="000549B1">
              <w:rPr>
                <w:rFonts w:eastAsiaTheme="minorEastAsia"/>
                <w:color w:val="auto"/>
              </w:rPr>
              <w:t>规划，</w:t>
            </w:r>
            <w:r w:rsidRPr="000549B1">
              <w:rPr>
                <w:rStyle w:val="aff0"/>
                <w:rFonts w:eastAsiaTheme="minorEastAsia"/>
                <w:b w:val="0"/>
                <w:bCs w:val="0"/>
                <w:color w:val="auto"/>
              </w:rPr>
              <w:t>中型</w:t>
            </w:r>
            <w:r w:rsidRPr="000549B1">
              <w:rPr>
                <w:rFonts w:eastAsiaTheme="minorEastAsia"/>
                <w:color w:val="auto"/>
              </w:rPr>
              <w:t>水库枢纽工程</w:t>
            </w:r>
          </w:p>
        </w:tc>
        <w:tc>
          <w:tcPr>
            <w:tcW w:w="0" w:type="auto"/>
            <w:tcMar>
              <w:top w:w="150" w:type="dxa"/>
              <w:left w:w="240" w:type="dxa"/>
              <w:bottom w:w="150" w:type="dxa"/>
              <w:right w:w="240" w:type="dxa"/>
            </w:tcMar>
            <w:vAlign w:val="center"/>
          </w:tcPr>
          <w:p w14:paraId="7283D8F8" w14:textId="6C26E26F" w:rsidR="00054437" w:rsidRPr="000549B1" w:rsidRDefault="00000000">
            <w:pPr>
              <w:pStyle w:val="CharCharCharCharChar"/>
              <w:ind w:firstLineChars="200" w:firstLine="420"/>
              <w:rPr>
                <w:rFonts w:eastAsiaTheme="minorEastAsia"/>
                <w:color w:val="auto"/>
              </w:rPr>
            </w:pPr>
            <w:r w:rsidRPr="000549B1">
              <w:rPr>
                <w:rFonts w:eastAsiaTheme="minorEastAsia"/>
                <w:color w:val="auto"/>
              </w:rPr>
              <w:t>作为切吉乡、塘格木镇、河卡镇等多个乡镇的核心与备用水源，是解决流域整体性缺水问题的控制性工程</w:t>
            </w:r>
          </w:p>
        </w:tc>
        <w:tc>
          <w:tcPr>
            <w:tcW w:w="0" w:type="auto"/>
            <w:tcMar>
              <w:top w:w="150" w:type="dxa"/>
              <w:left w:w="240" w:type="dxa"/>
              <w:bottom w:w="150" w:type="dxa"/>
              <w:right w:w="0" w:type="dxa"/>
            </w:tcMar>
            <w:vAlign w:val="center"/>
          </w:tcPr>
          <w:p w14:paraId="4727A91D" w14:textId="3089F24F" w:rsidR="00054437" w:rsidRPr="000549B1" w:rsidRDefault="00000000">
            <w:pPr>
              <w:pStyle w:val="CharCharCharCharChar"/>
              <w:rPr>
                <w:rFonts w:eastAsiaTheme="minorEastAsia"/>
                <w:color w:val="auto"/>
              </w:rPr>
            </w:pPr>
            <w:r w:rsidRPr="000549B1">
              <w:rPr>
                <w:rFonts w:eastAsiaTheme="minorEastAsia"/>
                <w:color w:val="auto"/>
              </w:rPr>
              <w:t>总库容</w:t>
            </w:r>
            <w:r w:rsidRPr="000549B1">
              <w:rPr>
                <w:rStyle w:val="aff0"/>
                <w:rFonts w:eastAsiaTheme="minorEastAsia"/>
                <w:b w:val="0"/>
                <w:bCs w:val="0"/>
                <w:color w:val="auto"/>
              </w:rPr>
              <w:t>7645</w:t>
            </w:r>
            <w:r w:rsidRPr="000549B1">
              <w:rPr>
                <w:rStyle w:val="aff0"/>
                <w:rFonts w:eastAsiaTheme="minorEastAsia"/>
                <w:b w:val="0"/>
                <w:bCs w:val="0"/>
                <w:color w:val="auto"/>
              </w:rPr>
              <w:t>万</w:t>
            </w:r>
            <w:r w:rsidRPr="000549B1">
              <w:rPr>
                <w:rStyle w:val="aff0"/>
                <w:rFonts w:eastAsiaTheme="minorEastAsia"/>
                <w:b w:val="0"/>
                <w:bCs w:val="0"/>
                <w:color w:val="auto"/>
              </w:rPr>
              <w:t>m³</w:t>
            </w:r>
            <w:r w:rsidRPr="000549B1">
              <w:rPr>
                <w:rFonts w:eastAsiaTheme="minorEastAsia"/>
                <w:color w:val="auto"/>
              </w:rPr>
              <w:t>（兴利库容</w:t>
            </w:r>
            <w:r w:rsidRPr="000549B1">
              <w:rPr>
                <w:rFonts w:eastAsiaTheme="minorEastAsia"/>
                <w:color w:val="auto"/>
              </w:rPr>
              <w:t>6354</w:t>
            </w:r>
            <w:r w:rsidRPr="000549B1">
              <w:rPr>
                <w:rFonts w:eastAsiaTheme="minorEastAsia"/>
                <w:color w:val="auto"/>
              </w:rPr>
              <w:t>万</w:t>
            </w:r>
            <w:r w:rsidRPr="000549B1">
              <w:rPr>
                <w:rFonts w:eastAsiaTheme="minorEastAsia"/>
                <w:color w:val="auto"/>
              </w:rPr>
              <w:t>m³</w:t>
            </w:r>
            <w:r w:rsidRPr="000549B1">
              <w:rPr>
                <w:rFonts w:eastAsiaTheme="minorEastAsia"/>
                <w:color w:val="auto"/>
              </w:rPr>
              <w:t>）</w:t>
            </w:r>
          </w:p>
        </w:tc>
      </w:tr>
      <w:tr w:rsidR="000549B1" w:rsidRPr="000549B1" w14:paraId="0538758A" w14:textId="77777777">
        <w:trPr>
          <w:trHeight w:val="995"/>
          <w:jc w:val="center"/>
        </w:trPr>
        <w:tc>
          <w:tcPr>
            <w:tcW w:w="0" w:type="auto"/>
            <w:tcMar>
              <w:top w:w="150" w:type="dxa"/>
              <w:left w:w="0" w:type="dxa"/>
              <w:bottom w:w="150" w:type="dxa"/>
              <w:right w:w="240" w:type="dxa"/>
            </w:tcMar>
            <w:vAlign w:val="center"/>
          </w:tcPr>
          <w:p w14:paraId="3C867A57" w14:textId="77777777" w:rsidR="00054437" w:rsidRPr="000549B1" w:rsidRDefault="00000000">
            <w:pPr>
              <w:pStyle w:val="CharCharCharCharChar"/>
              <w:rPr>
                <w:rFonts w:eastAsiaTheme="minorEastAsia"/>
                <w:color w:val="auto"/>
              </w:rPr>
            </w:pPr>
            <w:r w:rsidRPr="000549B1">
              <w:rPr>
                <w:rStyle w:val="aff0"/>
                <w:rFonts w:eastAsiaTheme="minorEastAsia"/>
                <w:b w:val="0"/>
                <w:bCs w:val="0"/>
                <w:color w:val="auto"/>
              </w:rPr>
              <w:t>鹿龙沟水库</w:t>
            </w:r>
          </w:p>
        </w:tc>
        <w:tc>
          <w:tcPr>
            <w:tcW w:w="0" w:type="auto"/>
            <w:tcMar>
              <w:top w:w="150" w:type="dxa"/>
              <w:left w:w="240" w:type="dxa"/>
              <w:bottom w:w="150" w:type="dxa"/>
              <w:right w:w="240" w:type="dxa"/>
            </w:tcMar>
            <w:vAlign w:val="center"/>
          </w:tcPr>
          <w:p w14:paraId="0E101D52" w14:textId="5A31D877" w:rsidR="00054437" w:rsidRPr="000549B1" w:rsidRDefault="00000000">
            <w:pPr>
              <w:pStyle w:val="CharCharCharCharChar"/>
              <w:rPr>
                <w:rFonts w:eastAsiaTheme="minorEastAsia"/>
                <w:color w:val="auto"/>
              </w:rPr>
            </w:pPr>
            <w:r w:rsidRPr="000549B1">
              <w:rPr>
                <w:rFonts w:eastAsiaTheme="minorEastAsia"/>
                <w:color w:val="auto"/>
              </w:rPr>
              <w:t>规划，</w:t>
            </w:r>
            <w:r w:rsidRPr="000549B1">
              <w:rPr>
                <w:rStyle w:val="aff0"/>
                <w:rFonts w:eastAsiaTheme="minorEastAsia"/>
                <w:b w:val="0"/>
                <w:bCs w:val="0"/>
                <w:color w:val="auto"/>
              </w:rPr>
              <w:t>小（</w:t>
            </w:r>
            <w:r w:rsidRPr="000549B1">
              <w:rPr>
                <w:rStyle w:val="aff0"/>
                <w:rFonts w:eastAsiaTheme="minorEastAsia"/>
                <w:b w:val="0"/>
                <w:bCs w:val="0"/>
                <w:color w:val="auto"/>
              </w:rPr>
              <w:t>1</w:t>
            </w:r>
            <w:r w:rsidRPr="000549B1">
              <w:rPr>
                <w:rStyle w:val="aff0"/>
                <w:rFonts w:eastAsiaTheme="minorEastAsia"/>
                <w:b w:val="0"/>
                <w:bCs w:val="0"/>
                <w:color w:val="auto"/>
              </w:rPr>
              <w:t>）型</w:t>
            </w:r>
            <w:r w:rsidRPr="000549B1">
              <w:rPr>
                <w:rFonts w:eastAsiaTheme="minorEastAsia"/>
                <w:color w:val="auto"/>
              </w:rPr>
              <w:t>工程</w:t>
            </w:r>
          </w:p>
        </w:tc>
        <w:tc>
          <w:tcPr>
            <w:tcW w:w="0" w:type="auto"/>
            <w:tcMar>
              <w:top w:w="150" w:type="dxa"/>
              <w:left w:w="240" w:type="dxa"/>
              <w:bottom w:w="150" w:type="dxa"/>
              <w:right w:w="240" w:type="dxa"/>
            </w:tcMar>
            <w:vAlign w:val="center"/>
          </w:tcPr>
          <w:p w14:paraId="1B4191BB" w14:textId="2AC9ABF8" w:rsidR="00054437" w:rsidRPr="000549B1" w:rsidRDefault="00000000">
            <w:pPr>
              <w:pStyle w:val="CharCharCharCharChar"/>
              <w:ind w:firstLineChars="200" w:firstLine="420"/>
              <w:rPr>
                <w:rFonts w:eastAsiaTheme="minorEastAsia"/>
                <w:color w:val="auto"/>
              </w:rPr>
            </w:pPr>
            <w:r w:rsidRPr="000549B1">
              <w:rPr>
                <w:rFonts w:eastAsiaTheme="minorEastAsia"/>
                <w:color w:val="auto"/>
              </w:rPr>
              <w:t>解决切吉乡乔夫旦村人畜饮水，并改善部分农田灌溉</w:t>
            </w:r>
          </w:p>
        </w:tc>
        <w:tc>
          <w:tcPr>
            <w:tcW w:w="0" w:type="auto"/>
            <w:tcMar>
              <w:top w:w="150" w:type="dxa"/>
              <w:left w:w="240" w:type="dxa"/>
              <w:bottom w:w="150" w:type="dxa"/>
              <w:right w:w="0" w:type="dxa"/>
            </w:tcMar>
            <w:vAlign w:val="center"/>
          </w:tcPr>
          <w:p w14:paraId="1A3F598B" w14:textId="77777777" w:rsidR="00054437" w:rsidRPr="000549B1" w:rsidRDefault="00000000">
            <w:pPr>
              <w:pStyle w:val="CharCharCharCharChar"/>
              <w:rPr>
                <w:rFonts w:eastAsiaTheme="minorEastAsia"/>
                <w:color w:val="auto"/>
              </w:rPr>
            </w:pPr>
            <w:r w:rsidRPr="000549B1">
              <w:rPr>
                <w:rFonts w:eastAsiaTheme="minorEastAsia"/>
                <w:color w:val="auto"/>
              </w:rPr>
              <w:t>总库容</w:t>
            </w:r>
          </w:p>
          <w:p w14:paraId="3D807C97" w14:textId="070045FF" w:rsidR="00054437" w:rsidRPr="000549B1" w:rsidRDefault="00000000">
            <w:pPr>
              <w:pStyle w:val="CharCharCharCharChar"/>
              <w:rPr>
                <w:rFonts w:eastAsiaTheme="minorEastAsia"/>
                <w:color w:val="auto"/>
              </w:rPr>
            </w:pPr>
            <w:r w:rsidRPr="000549B1">
              <w:rPr>
                <w:rStyle w:val="aff0"/>
                <w:rFonts w:eastAsiaTheme="minorEastAsia"/>
                <w:b w:val="0"/>
                <w:bCs w:val="0"/>
                <w:color w:val="auto"/>
              </w:rPr>
              <w:t>216.46</w:t>
            </w:r>
            <w:r w:rsidRPr="000549B1">
              <w:rPr>
                <w:rStyle w:val="aff0"/>
                <w:rFonts w:eastAsiaTheme="minorEastAsia"/>
                <w:b w:val="0"/>
                <w:bCs w:val="0"/>
                <w:color w:val="auto"/>
              </w:rPr>
              <w:t>万</w:t>
            </w:r>
            <w:r w:rsidRPr="000549B1">
              <w:rPr>
                <w:rStyle w:val="aff0"/>
                <w:rFonts w:eastAsiaTheme="minorEastAsia"/>
                <w:b w:val="0"/>
                <w:bCs w:val="0"/>
                <w:color w:val="auto"/>
              </w:rPr>
              <w:t>m³</w:t>
            </w:r>
          </w:p>
        </w:tc>
      </w:tr>
      <w:tr w:rsidR="000549B1" w:rsidRPr="000549B1" w14:paraId="31206618" w14:textId="77777777">
        <w:trPr>
          <w:trHeight w:val="1002"/>
          <w:jc w:val="center"/>
        </w:trPr>
        <w:tc>
          <w:tcPr>
            <w:tcW w:w="0" w:type="auto"/>
            <w:tcMar>
              <w:top w:w="150" w:type="dxa"/>
              <w:left w:w="0" w:type="dxa"/>
              <w:bottom w:w="150" w:type="dxa"/>
              <w:right w:w="240" w:type="dxa"/>
            </w:tcMar>
            <w:vAlign w:val="center"/>
          </w:tcPr>
          <w:p w14:paraId="6201E9F3" w14:textId="77777777" w:rsidR="00054437" w:rsidRPr="000549B1" w:rsidRDefault="00000000">
            <w:pPr>
              <w:pStyle w:val="CharCharCharCharChar"/>
              <w:rPr>
                <w:rFonts w:eastAsiaTheme="minorEastAsia"/>
                <w:color w:val="auto"/>
              </w:rPr>
            </w:pPr>
            <w:r w:rsidRPr="000549B1">
              <w:rPr>
                <w:rStyle w:val="aff0"/>
                <w:rFonts w:eastAsiaTheme="minorEastAsia"/>
                <w:b w:val="0"/>
                <w:bCs w:val="0"/>
                <w:color w:val="auto"/>
              </w:rPr>
              <w:t>直亥买水库</w:t>
            </w:r>
          </w:p>
        </w:tc>
        <w:tc>
          <w:tcPr>
            <w:tcW w:w="0" w:type="auto"/>
            <w:tcMar>
              <w:top w:w="150" w:type="dxa"/>
              <w:left w:w="240" w:type="dxa"/>
              <w:bottom w:w="150" w:type="dxa"/>
              <w:right w:w="240" w:type="dxa"/>
            </w:tcMar>
            <w:vAlign w:val="center"/>
          </w:tcPr>
          <w:p w14:paraId="7E78FFAB" w14:textId="454A342F" w:rsidR="00054437" w:rsidRPr="000549B1" w:rsidRDefault="00000000">
            <w:pPr>
              <w:pStyle w:val="CharCharCharCharChar"/>
              <w:rPr>
                <w:rFonts w:eastAsiaTheme="minorEastAsia"/>
                <w:color w:val="auto"/>
              </w:rPr>
            </w:pPr>
            <w:r w:rsidRPr="000549B1">
              <w:rPr>
                <w:rFonts w:eastAsiaTheme="minorEastAsia"/>
                <w:color w:val="auto"/>
              </w:rPr>
              <w:t>规划，</w:t>
            </w:r>
            <w:r w:rsidRPr="000549B1">
              <w:rPr>
                <w:rStyle w:val="aff0"/>
                <w:rFonts w:eastAsiaTheme="minorEastAsia"/>
                <w:b w:val="0"/>
                <w:bCs w:val="0"/>
                <w:color w:val="auto"/>
              </w:rPr>
              <w:t>小（</w:t>
            </w:r>
            <w:r w:rsidRPr="000549B1">
              <w:rPr>
                <w:rStyle w:val="aff0"/>
                <w:rFonts w:eastAsiaTheme="minorEastAsia"/>
                <w:b w:val="0"/>
                <w:bCs w:val="0"/>
                <w:color w:val="auto"/>
              </w:rPr>
              <w:t>1</w:t>
            </w:r>
            <w:r w:rsidRPr="000549B1">
              <w:rPr>
                <w:rStyle w:val="aff0"/>
                <w:rFonts w:eastAsiaTheme="minorEastAsia"/>
                <w:b w:val="0"/>
                <w:bCs w:val="0"/>
                <w:color w:val="auto"/>
              </w:rPr>
              <w:t>）型</w:t>
            </w:r>
            <w:r w:rsidRPr="000549B1">
              <w:rPr>
                <w:rFonts w:eastAsiaTheme="minorEastAsia"/>
                <w:color w:val="auto"/>
              </w:rPr>
              <w:t>工程</w:t>
            </w:r>
          </w:p>
        </w:tc>
        <w:tc>
          <w:tcPr>
            <w:tcW w:w="0" w:type="auto"/>
            <w:tcMar>
              <w:top w:w="150" w:type="dxa"/>
              <w:left w:w="240" w:type="dxa"/>
              <w:bottom w:w="150" w:type="dxa"/>
              <w:right w:w="240" w:type="dxa"/>
            </w:tcMar>
            <w:vAlign w:val="center"/>
          </w:tcPr>
          <w:p w14:paraId="02F52EA6" w14:textId="15D71573" w:rsidR="00054437" w:rsidRPr="000549B1" w:rsidRDefault="00000000">
            <w:pPr>
              <w:pStyle w:val="CharCharCharCharChar"/>
              <w:ind w:firstLineChars="200" w:firstLine="420"/>
              <w:rPr>
                <w:rFonts w:eastAsiaTheme="minorEastAsia"/>
                <w:color w:val="auto"/>
              </w:rPr>
            </w:pPr>
            <w:r w:rsidRPr="000549B1">
              <w:rPr>
                <w:rFonts w:eastAsiaTheme="minorEastAsia"/>
                <w:color w:val="auto"/>
              </w:rPr>
              <w:t>解决切吉乡、塘格木镇等多村人畜饮水问题，并改善下游灌溉</w:t>
            </w:r>
          </w:p>
        </w:tc>
        <w:tc>
          <w:tcPr>
            <w:tcW w:w="0" w:type="auto"/>
            <w:tcMar>
              <w:top w:w="150" w:type="dxa"/>
              <w:left w:w="240" w:type="dxa"/>
              <w:bottom w:w="150" w:type="dxa"/>
              <w:right w:w="0" w:type="dxa"/>
            </w:tcMar>
            <w:vAlign w:val="center"/>
          </w:tcPr>
          <w:p w14:paraId="38B69B4E" w14:textId="77777777" w:rsidR="00054437" w:rsidRPr="000549B1" w:rsidRDefault="00000000">
            <w:pPr>
              <w:pStyle w:val="CharCharCharCharChar"/>
              <w:rPr>
                <w:rFonts w:eastAsiaTheme="minorEastAsia"/>
                <w:color w:val="auto"/>
              </w:rPr>
            </w:pPr>
            <w:r w:rsidRPr="000549B1">
              <w:rPr>
                <w:rFonts w:eastAsiaTheme="minorEastAsia"/>
                <w:color w:val="auto"/>
              </w:rPr>
              <w:t>总库容</w:t>
            </w:r>
          </w:p>
          <w:p w14:paraId="130B3C99" w14:textId="18516E47" w:rsidR="00054437" w:rsidRPr="000549B1" w:rsidRDefault="00000000">
            <w:pPr>
              <w:pStyle w:val="CharCharCharCharChar"/>
              <w:rPr>
                <w:rFonts w:eastAsiaTheme="minorEastAsia"/>
                <w:color w:val="auto"/>
              </w:rPr>
            </w:pPr>
            <w:r w:rsidRPr="000549B1">
              <w:rPr>
                <w:rStyle w:val="aff0"/>
                <w:rFonts w:eastAsiaTheme="minorEastAsia"/>
                <w:b w:val="0"/>
                <w:bCs w:val="0"/>
                <w:color w:val="auto"/>
              </w:rPr>
              <w:t>143.16</w:t>
            </w:r>
            <w:r w:rsidRPr="000549B1">
              <w:rPr>
                <w:rStyle w:val="aff0"/>
                <w:rFonts w:eastAsiaTheme="minorEastAsia"/>
                <w:b w:val="0"/>
                <w:bCs w:val="0"/>
                <w:color w:val="auto"/>
              </w:rPr>
              <w:t>万</w:t>
            </w:r>
            <w:r w:rsidRPr="000549B1">
              <w:rPr>
                <w:rStyle w:val="aff0"/>
                <w:rFonts w:eastAsiaTheme="minorEastAsia"/>
                <w:b w:val="0"/>
                <w:bCs w:val="0"/>
                <w:color w:val="auto"/>
              </w:rPr>
              <w:t>m³</w:t>
            </w:r>
          </w:p>
        </w:tc>
      </w:tr>
      <w:tr w:rsidR="000549B1" w:rsidRPr="000549B1" w14:paraId="3D6BA79E" w14:textId="77777777">
        <w:trPr>
          <w:trHeight w:val="995"/>
          <w:jc w:val="center"/>
        </w:trPr>
        <w:tc>
          <w:tcPr>
            <w:tcW w:w="0" w:type="auto"/>
            <w:tcMar>
              <w:top w:w="150" w:type="dxa"/>
              <w:left w:w="0" w:type="dxa"/>
              <w:bottom w:w="150" w:type="dxa"/>
              <w:right w:w="240" w:type="dxa"/>
            </w:tcMar>
            <w:vAlign w:val="center"/>
          </w:tcPr>
          <w:p w14:paraId="42F96D27" w14:textId="77777777" w:rsidR="00054437" w:rsidRPr="000549B1" w:rsidRDefault="00000000">
            <w:pPr>
              <w:pStyle w:val="CharCharCharCharChar"/>
              <w:rPr>
                <w:rFonts w:eastAsiaTheme="minorEastAsia"/>
                <w:color w:val="auto"/>
              </w:rPr>
            </w:pPr>
            <w:r w:rsidRPr="000549B1">
              <w:rPr>
                <w:rStyle w:val="aff0"/>
                <w:rFonts w:eastAsiaTheme="minorEastAsia"/>
                <w:b w:val="0"/>
                <w:bCs w:val="0"/>
                <w:color w:val="auto"/>
              </w:rPr>
              <w:t>羊清沟水库</w:t>
            </w:r>
          </w:p>
        </w:tc>
        <w:tc>
          <w:tcPr>
            <w:tcW w:w="0" w:type="auto"/>
            <w:tcMar>
              <w:top w:w="150" w:type="dxa"/>
              <w:left w:w="240" w:type="dxa"/>
              <w:bottom w:w="150" w:type="dxa"/>
              <w:right w:w="240" w:type="dxa"/>
            </w:tcMar>
            <w:vAlign w:val="center"/>
          </w:tcPr>
          <w:p w14:paraId="75DD411D" w14:textId="4AC0B894" w:rsidR="00054437" w:rsidRPr="000549B1" w:rsidRDefault="00000000">
            <w:pPr>
              <w:pStyle w:val="CharCharCharCharChar"/>
              <w:rPr>
                <w:rFonts w:eastAsiaTheme="minorEastAsia"/>
                <w:color w:val="auto"/>
              </w:rPr>
            </w:pPr>
            <w:r w:rsidRPr="000549B1">
              <w:rPr>
                <w:rFonts w:eastAsiaTheme="minorEastAsia"/>
                <w:color w:val="auto"/>
              </w:rPr>
              <w:t>规划，</w:t>
            </w:r>
            <w:r w:rsidRPr="000549B1">
              <w:rPr>
                <w:rStyle w:val="aff0"/>
                <w:rFonts w:eastAsiaTheme="minorEastAsia"/>
                <w:b w:val="0"/>
                <w:bCs w:val="0"/>
                <w:color w:val="auto"/>
              </w:rPr>
              <w:t>小（</w:t>
            </w:r>
            <w:r w:rsidRPr="000549B1">
              <w:rPr>
                <w:rStyle w:val="aff0"/>
                <w:rFonts w:eastAsiaTheme="minorEastAsia"/>
                <w:b w:val="0"/>
                <w:bCs w:val="0"/>
                <w:color w:val="auto"/>
              </w:rPr>
              <w:t>2</w:t>
            </w:r>
            <w:r w:rsidRPr="000549B1">
              <w:rPr>
                <w:rStyle w:val="aff0"/>
                <w:rFonts w:eastAsiaTheme="minorEastAsia"/>
                <w:b w:val="0"/>
                <w:bCs w:val="0"/>
                <w:color w:val="auto"/>
              </w:rPr>
              <w:t>）型</w:t>
            </w:r>
            <w:r w:rsidRPr="000549B1">
              <w:rPr>
                <w:rFonts w:eastAsiaTheme="minorEastAsia"/>
                <w:color w:val="auto"/>
              </w:rPr>
              <w:t>工程</w:t>
            </w:r>
          </w:p>
        </w:tc>
        <w:tc>
          <w:tcPr>
            <w:tcW w:w="0" w:type="auto"/>
            <w:tcMar>
              <w:top w:w="150" w:type="dxa"/>
              <w:left w:w="240" w:type="dxa"/>
              <w:bottom w:w="150" w:type="dxa"/>
              <w:right w:w="240" w:type="dxa"/>
            </w:tcMar>
            <w:vAlign w:val="center"/>
          </w:tcPr>
          <w:p w14:paraId="4417EE78" w14:textId="775E93C6" w:rsidR="00054437" w:rsidRPr="000549B1" w:rsidRDefault="00000000">
            <w:pPr>
              <w:pStyle w:val="CharCharCharCharChar"/>
              <w:ind w:firstLineChars="200" w:firstLine="420"/>
              <w:rPr>
                <w:rFonts w:eastAsiaTheme="minorEastAsia"/>
                <w:color w:val="auto"/>
              </w:rPr>
            </w:pPr>
            <w:r w:rsidRPr="000549B1">
              <w:rPr>
                <w:rFonts w:eastAsiaTheme="minorEastAsia"/>
                <w:color w:val="auto"/>
              </w:rPr>
              <w:t>解决切吉乡祁加村人畜饮水问题，并改善少量农田灌溉</w:t>
            </w:r>
          </w:p>
        </w:tc>
        <w:tc>
          <w:tcPr>
            <w:tcW w:w="0" w:type="auto"/>
            <w:tcMar>
              <w:top w:w="150" w:type="dxa"/>
              <w:left w:w="240" w:type="dxa"/>
              <w:bottom w:w="150" w:type="dxa"/>
              <w:right w:w="0" w:type="dxa"/>
            </w:tcMar>
            <w:vAlign w:val="center"/>
          </w:tcPr>
          <w:p w14:paraId="11E9E04F" w14:textId="77777777" w:rsidR="00054437" w:rsidRPr="000549B1" w:rsidRDefault="00000000">
            <w:pPr>
              <w:pStyle w:val="CharCharCharCharChar"/>
              <w:rPr>
                <w:rFonts w:eastAsiaTheme="minorEastAsia"/>
                <w:color w:val="auto"/>
              </w:rPr>
            </w:pPr>
            <w:r w:rsidRPr="000549B1">
              <w:rPr>
                <w:rFonts w:eastAsiaTheme="minorEastAsia"/>
                <w:color w:val="auto"/>
              </w:rPr>
              <w:t>总库容</w:t>
            </w:r>
          </w:p>
          <w:p w14:paraId="65245206" w14:textId="04003DD9" w:rsidR="00054437" w:rsidRPr="000549B1" w:rsidRDefault="00000000">
            <w:pPr>
              <w:pStyle w:val="CharCharCharCharChar"/>
              <w:rPr>
                <w:rFonts w:eastAsiaTheme="minorEastAsia"/>
                <w:color w:val="auto"/>
              </w:rPr>
            </w:pPr>
            <w:r w:rsidRPr="000549B1">
              <w:rPr>
                <w:rStyle w:val="aff0"/>
                <w:rFonts w:eastAsiaTheme="minorEastAsia"/>
                <w:b w:val="0"/>
                <w:bCs w:val="0"/>
                <w:color w:val="auto"/>
              </w:rPr>
              <w:t>82.41</w:t>
            </w:r>
            <w:r w:rsidRPr="000549B1">
              <w:rPr>
                <w:rStyle w:val="aff0"/>
                <w:rFonts w:eastAsiaTheme="minorEastAsia"/>
                <w:b w:val="0"/>
                <w:bCs w:val="0"/>
                <w:color w:val="auto"/>
              </w:rPr>
              <w:t>万</w:t>
            </w:r>
            <w:r w:rsidRPr="000549B1">
              <w:rPr>
                <w:rStyle w:val="aff0"/>
                <w:rFonts w:eastAsiaTheme="minorEastAsia"/>
                <w:b w:val="0"/>
                <w:bCs w:val="0"/>
                <w:color w:val="auto"/>
              </w:rPr>
              <w:t>m³</w:t>
            </w:r>
          </w:p>
        </w:tc>
      </w:tr>
      <w:tr w:rsidR="000549B1" w:rsidRPr="000549B1" w14:paraId="7D75A3AD" w14:textId="77777777">
        <w:trPr>
          <w:trHeight w:val="1002"/>
          <w:jc w:val="center"/>
        </w:trPr>
        <w:tc>
          <w:tcPr>
            <w:tcW w:w="0" w:type="auto"/>
            <w:tcMar>
              <w:top w:w="150" w:type="dxa"/>
              <w:left w:w="0" w:type="dxa"/>
              <w:bottom w:w="150" w:type="dxa"/>
              <w:right w:w="240" w:type="dxa"/>
            </w:tcMar>
            <w:vAlign w:val="center"/>
          </w:tcPr>
          <w:p w14:paraId="660A2067" w14:textId="77777777" w:rsidR="00054437" w:rsidRPr="000549B1" w:rsidRDefault="00000000">
            <w:pPr>
              <w:pStyle w:val="CharCharCharCharChar"/>
              <w:rPr>
                <w:rFonts w:eastAsiaTheme="minorEastAsia"/>
                <w:color w:val="auto"/>
              </w:rPr>
            </w:pPr>
            <w:r w:rsidRPr="000549B1">
              <w:rPr>
                <w:rStyle w:val="aff0"/>
                <w:rFonts w:eastAsiaTheme="minorEastAsia"/>
                <w:b w:val="0"/>
                <w:bCs w:val="0"/>
                <w:color w:val="auto"/>
              </w:rPr>
              <w:t>叉叉沟水库</w:t>
            </w:r>
          </w:p>
        </w:tc>
        <w:tc>
          <w:tcPr>
            <w:tcW w:w="0" w:type="auto"/>
            <w:tcMar>
              <w:top w:w="150" w:type="dxa"/>
              <w:left w:w="240" w:type="dxa"/>
              <w:bottom w:w="150" w:type="dxa"/>
              <w:right w:w="240" w:type="dxa"/>
            </w:tcMar>
            <w:vAlign w:val="center"/>
          </w:tcPr>
          <w:p w14:paraId="2D89FE9D" w14:textId="5E75E6DF" w:rsidR="00054437" w:rsidRPr="000549B1" w:rsidRDefault="00000000">
            <w:pPr>
              <w:pStyle w:val="CharCharCharCharChar"/>
              <w:rPr>
                <w:rFonts w:eastAsiaTheme="minorEastAsia"/>
                <w:color w:val="auto"/>
              </w:rPr>
            </w:pPr>
            <w:r w:rsidRPr="000549B1">
              <w:rPr>
                <w:rFonts w:eastAsiaTheme="minorEastAsia"/>
                <w:color w:val="auto"/>
              </w:rPr>
              <w:t>规划，</w:t>
            </w:r>
            <w:r w:rsidRPr="000549B1">
              <w:rPr>
                <w:rStyle w:val="aff0"/>
                <w:rFonts w:eastAsiaTheme="minorEastAsia"/>
                <w:b w:val="0"/>
                <w:bCs w:val="0"/>
                <w:color w:val="auto"/>
              </w:rPr>
              <w:t>小（</w:t>
            </w:r>
            <w:r w:rsidRPr="000549B1">
              <w:rPr>
                <w:rStyle w:val="aff0"/>
                <w:rFonts w:eastAsiaTheme="minorEastAsia"/>
                <w:b w:val="0"/>
                <w:bCs w:val="0"/>
                <w:color w:val="auto"/>
              </w:rPr>
              <w:t>1</w:t>
            </w:r>
            <w:r w:rsidRPr="000549B1">
              <w:rPr>
                <w:rStyle w:val="aff0"/>
                <w:rFonts w:eastAsiaTheme="minorEastAsia"/>
                <w:b w:val="0"/>
                <w:bCs w:val="0"/>
                <w:color w:val="auto"/>
              </w:rPr>
              <w:t>）型</w:t>
            </w:r>
            <w:r w:rsidRPr="000549B1">
              <w:rPr>
                <w:rFonts w:eastAsiaTheme="minorEastAsia"/>
                <w:color w:val="auto"/>
              </w:rPr>
              <w:t>工程</w:t>
            </w:r>
          </w:p>
        </w:tc>
        <w:tc>
          <w:tcPr>
            <w:tcW w:w="0" w:type="auto"/>
            <w:tcMar>
              <w:top w:w="150" w:type="dxa"/>
              <w:left w:w="240" w:type="dxa"/>
              <w:bottom w:w="150" w:type="dxa"/>
              <w:right w:w="240" w:type="dxa"/>
            </w:tcMar>
            <w:vAlign w:val="center"/>
          </w:tcPr>
          <w:p w14:paraId="21F995CB" w14:textId="0257F936" w:rsidR="00054437" w:rsidRPr="000549B1" w:rsidRDefault="00000000">
            <w:pPr>
              <w:pStyle w:val="CharCharCharCharChar"/>
              <w:ind w:firstLineChars="200" w:firstLine="420"/>
              <w:rPr>
                <w:rFonts w:eastAsiaTheme="minorEastAsia"/>
                <w:color w:val="auto"/>
              </w:rPr>
            </w:pPr>
            <w:r w:rsidRPr="000549B1">
              <w:rPr>
                <w:rFonts w:eastAsiaTheme="minorEastAsia"/>
                <w:color w:val="auto"/>
              </w:rPr>
              <w:t>作为切吉乡集镇的主要供水水源</w:t>
            </w:r>
          </w:p>
        </w:tc>
        <w:tc>
          <w:tcPr>
            <w:tcW w:w="0" w:type="auto"/>
            <w:tcMar>
              <w:top w:w="150" w:type="dxa"/>
              <w:left w:w="240" w:type="dxa"/>
              <w:bottom w:w="150" w:type="dxa"/>
              <w:right w:w="0" w:type="dxa"/>
            </w:tcMar>
            <w:vAlign w:val="center"/>
          </w:tcPr>
          <w:p w14:paraId="7EF44E88" w14:textId="5DF08EF7" w:rsidR="00054437" w:rsidRPr="000549B1" w:rsidRDefault="00000000">
            <w:pPr>
              <w:pStyle w:val="CharCharCharCharChar"/>
              <w:rPr>
                <w:rFonts w:eastAsiaTheme="minorEastAsia"/>
                <w:color w:val="auto"/>
              </w:rPr>
            </w:pPr>
            <w:r w:rsidRPr="000549B1">
              <w:rPr>
                <w:rFonts w:eastAsiaTheme="minorEastAsia"/>
                <w:color w:val="auto"/>
              </w:rPr>
              <w:t>总库容</w:t>
            </w:r>
            <w:r w:rsidRPr="000549B1">
              <w:rPr>
                <w:rStyle w:val="aff0"/>
                <w:rFonts w:eastAsiaTheme="minorEastAsia"/>
                <w:b w:val="0"/>
                <w:bCs w:val="0"/>
                <w:color w:val="auto"/>
              </w:rPr>
              <w:t>315</w:t>
            </w:r>
            <w:r w:rsidRPr="000549B1">
              <w:rPr>
                <w:rStyle w:val="aff0"/>
                <w:rFonts w:eastAsiaTheme="minorEastAsia"/>
                <w:b w:val="0"/>
                <w:bCs w:val="0"/>
                <w:color w:val="auto"/>
              </w:rPr>
              <w:t>万</w:t>
            </w:r>
            <w:r w:rsidRPr="000549B1">
              <w:rPr>
                <w:rStyle w:val="aff0"/>
                <w:rFonts w:eastAsiaTheme="minorEastAsia"/>
                <w:b w:val="0"/>
                <w:bCs w:val="0"/>
                <w:color w:val="auto"/>
              </w:rPr>
              <w:t>m³</w:t>
            </w:r>
          </w:p>
        </w:tc>
      </w:tr>
      <w:tr w:rsidR="000549B1" w:rsidRPr="000549B1" w14:paraId="2DE122E3" w14:textId="77777777">
        <w:trPr>
          <w:trHeight w:val="1002"/>
          <w:jc w:val="center"/>
        </w:trPr>
        <w:tc>
          <w:tcPr>
            <w:tcW w:w="0" w:type="auto"/>
            <w:tcMar>
              <w:top w:w="150" w:type="dxa"/>
              <w:left w:w="0" w:type="dxa"/>
              <w:bottom w:w="150" w:type="dxa"/>
              <w:right w:w="240" w:type="dxa"/>
            </w:tcMar>
            <w:vAlign w:val="center"/>
          </w:tcPr>
          <w:p w14:paraId="25150FD2" w14:textId="77777777" w:rsidR="00054437" w:rsidRPr="000549B1" w:rsidRDefault="00000000">
            <w:pPr>
              <w:pStyle w:val="CharCharCharCharChar"/>
              <w:rPr>
                <w:rFonts w:eastAsiaTheme="minorEastAsia"/>
                <w:color w:val="auto"/>
              </w:rPr>
            </w:pPr>
            <w:r w:rsidRPr="000549B1">
              <w:rPr>
                <w:rStyle w:val="aff0"/>
                <w:rFonts w:eastAsiaTheme="minorEastAsia"/>
                <w:b w:val="0"/>
                <w:bCs w:val="0"/>
                <w:color w:val="auto"/>
              </w:rPr>
              <w:t>满丈沟水库</w:t>
            </w:r>
          </w:p>
        </w:tc>
        <w:tc>
          <w:tcPr>
            <w:tcW w:w="0" w:type="auto"/>
            <w:tcMar>
              <w:top w:w="150" w:type="dxa"/>
              <w:left w:w="240" w:type="dxa"/>
              <w:bottom w:w="150" w:type="dxa"/>
              <w:right w:w="240" w:type="dxa"/>
            </w:tcMar>
            <w:vAlign w:val="center"/>
          </w:tcPr>
          <w:p w14:paraId="340CBB63" w14:textId="70A96FE5" w:rsidR="00054437" w:rsidRPr="000549B1" w:rsidRDefault="00000000">
            <w:pPr>
              <w:pStyle w:val="CharCharCharCharChar"/>
              <w:rPr>
                <w:rFonts w:eastAsiaTheme="minorEastAsia"/>
                <w:color w:val="auto"/>
              </w:rPr>
            </w:pPr>
            <w:r w:rsidRPr="000549B1">
              <w:rPr>
                <w:rFonts w:eastAsiaTheme="minorEastAsia"/>
                <w:color w:val="auto"/>
              </w:rPr>
              <w:t>规划，</w:t>
            </w:r>
            <w:r w:rsidRPr="000549B1">
              <w:rPr>
                <w:rStyle w:val="aff0"/>
                <w:rFonts w:eastAsiaTheme="minorEastAsia"/>
                <w:b w:val="0"/>
                <w:bCs w:val="0"/>
                <w:color w:val="auto"/>
              </w:rPr>
              <w:t>小（</w:t>
            </w:r>
            <w:r w:rsidRPr="000549B1">
              <w:rPr>
                <w:rStyle w:val="aff0"/>
                <w:rFonts w:eastAsiaTheme="minorEastAsia"/>
                <w:b w:val="0"/>
                <w:bCs w:val="0"/>
                <w:color w:val="auto"/>
              </w:rPr>
              <w:t>1</w:t>
            </w:r>
            <w:r w:rsidRPr="000549B1">
              <w:rPr>
                <w:rStyle w:val="aff0"/>
                <w:rFonts w:eastAsiaTheme="minorEastAsia"/>
                <w:b w:val="0"/>
                <w:bCs w:val="0"/>
                <w:color w:val="auto"/>
              </w:rPr>
              <w:t>）型</w:t>
            </w:r>
            <w:r w:rsidRPr="000549B1">
              <w:rPr>
                <w:rFonts w:eastAsiaTheme="minorEastAsia"/>
                <w:color w:val="auto"/>
              </w:rPr>
              <w:t>工程</w:t>
            </w:r>
          </w:p>
        </w:tc>
        <w:tc>
          <w:tcPr>
            <w:tcW w:w="0" w:type="auto"/>
            <w:tcMar>
              <w:top w:w="150" w:type="dxa"/>
              <w:left w:w="240" w:type="dxa"/>
              <w:bottom w:w="150" w:type="dxa"/>
              <w:right w:w="240" w:type="dxa"/>
            </w:tcMar>
            <w:vAlign w:val="center"/>
          </w:tcPr>
          <w:p w14:paraId="677DA578" w14:textId="2F36A00D" w:rsidR="00054437" w:rsidRPr="000549B1" w:rsidRDefault="00000000">
            <w:pPr>
              <w:pStyle w:val="CharCharCharCharChar"/>
              <w:ind w:firstLineChars="200" w:firstLine="420"/>
              <w:rPr>
                <w:rFonts w:eastAsiaTheme="minorEastAsia"/>
                <w:color w:val="auto"/>
              </w:rPr>
            </w:pPr>
            <w:r w:rsidRPr="000549B1">
              <w:rPr>
                <w:rFonts w:eastAsiaTheme="minorEastAsia"/>
                <w:color w:val="auto"/>
              </w:rPr>
              <w:t>作为河卡镇的备用水源</w:t>
            </w:r>
          </w:p>
        </w:tc>
        <w:tc>
          <w:tcPr>
            <w:tcW w:w="0" w:type="auto"/>
            <w:tcMar>
              <w:top w:w="150" w:type="dxa"/>
              <w:left w:w="240" w:type="dxa"/>
              <w:bottom w:w="150" w:type="dxa"/>
              <w:right w:w="0" w:type="dxa"/>
            </w:tcMar>
            <w:vAlign w:val="center"/>
          </w:tcPr>
          <w:p w14:paraId="5A41EAFF" w14:textId="5DA6CFF0" w:rsidR="00054437" w:rsidRPr="000549B1" w:rsidRDefault="00000000">
            <w:pPr>
              <w:pStyle w:val="CharCharCharCharChar"/>
              <w:rPr>
                <w:rFonts w:eastAsiaTheme="minorEastAsia"/>
                <w:color w:val="auto"/>
              </w:rPr>
            </w:pPr>
            <w:r w:rsidRPr="000549B1">
              <w:rPr>
                <w:rFonts w:eastAsiaTheme="minorEastAsia"/>
                <w:color w:val="auto"/>
              </w:rPr>
              <w:t>总库容</w:t>
            </w:r>
            <w:r w:rsidRPr="000549B1">
              <w:rPr>
                <w:rStyle w:val="aff0"/>
                <w:rFonts w:eastAsiaTheme="minorEastAsia"/>
                <w:b w:val="0"/>
                <w:bCs w:val="0"/>
                <w:color w:val="auto"/>
              </w:rPr>
              <w:t>112</w:t>
            </w:r>
            <w:r w:rsidRPr="000549B1">
              <w:rPr>
                <w:rStyle w:val="aff0"/>
                <w:rFonts w:eastAsiaTheme="minorEastAsia"/>
                <w:b w:val="0"/>
                <w:bCs w:val="0"/>
                <w:color w:val="auto"/>
              </w:rPr>
              <w:t>万</w:t>
            </w:r>
            <w:r w:rsidRPr="000549B1">
              <w:rPr>
                <w:rStyle w:val="aff0"/>
                <w:rFonts w:eastAsiaTheme="minorEastAsia"/>
                <w:b w:val="0"/>
                <w:bCs w:val="0"/>
                <w:color w:val="auto"/>
              </w:rPr>
              <w:t>m³</w:t>
            </w:r>
          </w:p>
        </w:tc>
      </w:tr>
    </w:tbl>
    <w:p w14:paraId="11E4B479" w14:textId="592BC946" w:rsidR="00054437" w:rsidRPr="000549B1" w:rsidRDefault="002F2485" w:rsidP="000549B1">
      <w:pPr>
        <w:pStyle w:val="x"/>
      </w:pPr>
      <w:r w:rsidRPr="000549B1">
        <w:rPr>
          <w:rFonts w:hint="eastAsia"/>
        </w:rPr>
        <w:t>（</w:t>
      </w:r>
      <w:r w:rsidRPr="000549B1">
        <w:rPr>
          <w:rFonts w:hint="eastAsia"/>
        </w:rPr>
        <w:t>4</w:t>
      </w:r>
      <w:r w:rsidRPr="000549B1">
        <w:rPr>
          <w:rFonts w:hint="eastAsia"/>
        </w:rPr>
        <w:t>）</w:t>
      </w:r>
      <w:r w:rsidRPr="000549B1">
        <w:t>近远期实施意见与投资</w:t>
      </w:r>
    </w:p>
    <w:p w14:paraId="0DEC2EDF" w14:textId="77777777" w:rsidR="00054437" w:rsidRPr="000549B1" w:rsidRDefault="00000000">
      <w:pPr>
        <w:pStyle w:val="x"/>
      </w:pPr>
      <w:r w:rsidRPr="000549B1">
        <w:t>规划的实施遵循</w:t>
      </w:r>
      <w:r w:rsidRPr="000549B1">
        <w:rPr>
          <w:rFonts w:ascii="宋体" w:hAnsi="宋体"/>
        </w:rPr>
        <w:t>“</w:t>
      </w:r>
      <w:r w:rsidRPr="000549B1">
        <w:t>近期解决紧迫问题，远期构建完善体系</w:t>
      </w:r>
      <w:r w:rsidRPr="000549B1">
        <w:rPr>
          <w:rFonts w:ascii="宋体" w:hAnsi="宋体"/>
        </w:rPr>
        <w:t>”</w:t>
      </w:r>
      <w:r w:rsidRPr="000549B1">
        <w:t>的原则，并安排了相应的巨额资金投入。</w:t>
      </w:r>
    </w:p>
    <w:p w14:paraId="38CEDB3B" w14:textId="77777777" w:rsidR="00054437" w:rsidRPr="000549B1" w:rsidRDefault="00000000">
      <w:pPr>
        <w:pStyle w:val="x"/>
      </w:pPr>
      <w:r w:rsidRPr="000549B1">
        <w:t>近期实施意见：</w:t>
      </w:r>
    </w:p>
    <w:p w14:paraId="72BD4571" w14:textId="77777777" w:rsidR="00054437" w:rsidRPr="000549B1" w:rsidRDefault="00000000">
      <w:pPr>
        <w:pStyle w:val="x"/>
      </w:pPr>
      <w:r w:rsidRPr="000549B1">
        <w:t>加快推进哈干水库的建设工作，力争早日竣工投用。</w:t>
      </w:r>
    </w:p>
    <w:p w14:paraId="621DE62D" w14:textId="77777777" w:rsidR="00054437" w:rsidRPr="000549B1" w:rsidRDefault="00000000">
      <w:pPr>
        <w:pStyle w:val="x"/>
      </w:pPr>
      <w:r w:rsidRPr="000549B1">
        <w:t>启动现状集中供水工程的更新改造，对老化破损管网进行优先更换。</w:t>
      </w:r>
    </w:p>
    <w:p w14:paraId="30143C5E" w14:textId="77777777" w:rsidR="00054437" w:rsidRPr="000549B1" w:rsidRDefault="00000000">
      <w:pPr>
        <w:pStyle w:val="x"/>
      </w:pPr>
      <w:r w:rsidRPr="000549B1">
        <w:t>在新建水厂和改造工程中，同步落实水质净化与消毒设施的建设。</w:t>
      </w:r>
    </w:p>
    <w:p w14:paraId="135CAAD5" w14:textId="77777777" w:rsidR="00054437" w:rsidRPr="000549B1" w:rsidRDefault="00000000">
      <w:pPr>
        <w:pStyle w:val="x"/>
      </w:pPr>
      <w:r w:rsidRPr="000549B1">
        <w:t>开展大河坝河水库等重大工程的前期论证与立项工作。</w:t>
      </w:r>
    </w:p>
    <w:p w14:paraId="65126832" w14:textId="77777777" w:rsidR="00054437" w:rsidRPr="000549B1" w:rsidRDefault="00000000">
      <w:pPr>
        <w:pStyle w:val="x"/>
      </w:pPr>
      <w:r w:rsidRPr="000549B1">
        <w:t>远期实施意见（至</w:t>
      </w:r>
      <w:r w:rsidRPr="000549B1">
        <w:t>2035</w:t>
      </w:r>
      <w:r w:rsidRPr="000549B1">
        <w:t>年）：</w:t>
      </w:r>
    </w:p>
    <w:p w14:paraId="0E34368F" w14:textId="77777777" w:rsidR="00054437" w:rsidRPr="000549B1" w:rsidRDefault="00000000">
      <w:pPr>
        <w:pStyle w:val="x"/>
      </w:pPr>
      <w:r w:rsidRPr="000549B1">
        <w:t>全面建成鹿龙沟、直亥买、羊清沟、叉叉沟、大河坝河、满丈沟等规划水库工程。</w:t>
      </w:r>
    </w:p>
    <w:p w14:paraId="041DD11D" w14:textId="77777777" w:rsidR="00054437" w:rsidRPr="000549B1" w:rsidRDefault="00000000">
      <w:pPr>
        <w:pStyle w:val="x"/>
      </w:pPr>
      <w:r w:rsidRPr="000549B1">
        <w:t>完成各乡镇规划的新建输配水工程（水厂、蓄水池、管网）建设并投入运营。</w:t>
      </w:r>
    </w:p>
    <w:p w14:paraId="06EBEBC1" w14:textId="77777777" w:rsidR="00054437" w:rsidRPr="000549B1" w:rsidRDefault="00000000">
      <w:pPr>
        <w:pStyle w:val="x"/>
      </w:pPr>
      <w:r w:rsidRPr="000549B1">
        <w:t>全面完成对现有集中供水工程的升级改造。</w:t>
      </w:r>
    </w:p>
    <w:p w14:paraId="23BFF0A8" w14:textId="77777777" w:rsidR="00054437" w:rsidRPr="000549B1" w:rsidRDefault="00000000">
      <w:pPr>
        <w:pStyle w:val="x"/>
      </w:pPr>
      <w:r w:rsidRPr="000549B1">
        <w:t>建立完善的水源地保护区监督管理机制和供水安全保障应急机制。</w:t>
      </w:r>
    </w:p>
    <w:p w14:paraId="15801096" w14:textId="77777777" w:rsidR="00054437" w:rsidRPr="000549B1" w:rsidRDefault="00000000">
      <w:pPr>
        <w:pStyle w:val="x"/>
      </w:pPr>
      <w:r w:rsidRPr="000549B1">
        <w:t>规划投资：为实现上述目标，规划工程总投资估算为</w:t>
      </w:r>
      <w:r w:rsidRPr="000549B1">
        <w:t>46.106</w:t>
      </w:r>
      <w:r w:rsidRPr="000549B1">
        <w:t>亿元，详细构成见下表。</w:t>
      </w:r>
    </w:p>
    <w:p w14:paraId="6D08FCC4" w14:textId="36F850C7" w:rsidR="00054437" w:rsidRPr="000549B1" w:rsidRDefault="00000000">
      <w:pPr>
        <w:pStyle w:val="aff8"/>
        <w:rPr>
          <w:color w:val="auto"/>
        </w:rPr>
      </w:pPr>
      <w:r w:rsidRPr="000549B1">
        <w:rPr>
          <w:color w:val="auto"/>
        </w:rPr>
        <w:t>表</w:t>
      </w:r>
      <w:r w:rsidR="00372953">
        <w:rPr>
          <w:color w:val="auto"/>
        </w:rPr>
        <w:fldChar w:fldCharType="begin"/>
      </w:r>
      <w:r w:rsidR="00372953">
        <w:rPr>
          <w:color w:val="auto"/>
        </w:rPr>
        <w:instrText xml:space="preserve"> STYLEREF 2 \s </w:instrText>
      </w:r>
      <w:r w:rsidR="00372953">
        <w:rPr>
          <w:color w:val="auto"/>
        </w:rPr>
        <w:fldChar w:fldCharType="separate"/>
      </w:r>
      <w:r w:rsidR="00372953">
        <w:rPr>
          <w:noProof/>
          <w:color w:val="auto"/>
        </w:rPr>
        <w:t>2.1</w:t>
      </w:r>
      <w:r w:rsidR="00372953">
        <w:rPr>
          <w:color w:val="auto"/>
        </w:rPr>
        <w:fldChar w:fldCharType="end"/>
      </w:r>
      <w:r w:rsidR="00372953">
        <w:rPr>
          <w:color w:val="auto"/>
        </w:rPr>
        <w:noBreakHyphen/>
      </w:r>
      <w:r w:rsidR="00372953">
        <w:rPr>
          <w:color w:val="auto"/>
        </w:rPr>
        <w:fldChar w:fldCharType="begin"/>
      </w:r>
      <w:r w:rsidR="00372953">
        <w:rPr>
          <w:color w:val="auto"/>
        </w:rPr>
        <w:instrText xml:space="preserve"> SEQ </w:instrText>
      </w:r>
      <w:r w:rsidR="00372953">
        <w:rPr>
          <w:color w:val="auto"/>
        </w:rPr>
        <w:instrText>表</w:instrText>
      </w:r>
      <w:r w:rsidR="00372953">
        <w:rPr>
          <w:color w:val="auto"/>
        </w:rPr>
        <w:instrText xml:space="preserve"> \* ARABIC \s 2 </w:instrText>
      </w:r>
      <w:r w:rsidR="00372953">
        <w:rPr>
          <w:color w:val="auto"/>
        </w:rPr>
        <w:fldChar w:fldCharType="separate"/>
      </w:r>
      <w:r w:rsidR="00372953">
        <w:rPr>
          <w:noProof/>
          <w:color w:val="auto"/>
        </w:rPr>
        <w:t>13</w:t>
      </w:r>
      <w:r w:rsidR="00372953">
        <w:rPr>
          <w:color w:val="auto"/>
        </w:rPr>
        <w:fldChar w:fldCharType="end"/>
      </w:r>
      <w:r w:rsidRPr="000549B1">
        <w:rPr>
          <w:color w:val="auto"/>
        </w:rPr>
        <w:t>城乡供水规划工程及投资估算表</w:t>
      </w:r>
    </w:p>
    <w:tbl>
      <w:tblPr>
        <w:tblW w:w="86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14"/>
        <w:gridCol w:w="2551"/>
        <w:gridCol w:w="2944"/>
      </w:tblGrid>
      <w:tr w:rsidR="000549B1" w:rsidRPr="000549B1" w14:paraId="3059CC0C" w14:textId="77777777">
        <w:trPr>
          <w:trHeight w:val="151"/>
          <w:tblHeader/>
        </w:trPr>
        <w:tc>
          <w:tcPr>
            <w:tcW w:w="3114" w:type="dxa"/>
            <w:tcMar>
              <w:top w:w="150" w:type="dxa"/>
              <w:left w:w="0" w:type="dxa"/>
              <w:bottom w:w="150" w:type="dxa"/>
              <w:right w:w="240" w:type="dxa"/>
            </w:tcMar>
            <w:vAlign w:val="center"/>
          </w:tcPr>
          <w:p w14:paraId="0CD5E6D7" w14:textId="77777777" w:rsidR="00054437" w:rsidRPr="000549B1" w:rsidRDefault="00000000">
            <w:pPr>
              <w:pStyle w:val="CharCharCharCharChar"/>
              <w:rPr>
                <w:b/>
                <w:bCs/>
                <w:color w:val="auto"/>
              </w:rPr>
            </w:pPr>
            <w:r w:rsidRPr="000549B1">
              <w:rPr>
                <w:b/>
                <w:bCs/>
                <w:color w:val="auto"/>
              </w:rPr>
              <w:t>工程类型</w:t>
            </w:r>
          </w:p>
        </w:tc>
        <w:tc>
          <w:tcPr>
            <w:tcW w:w="2551" w:type="dxa"/>
            <w:tcMar>
              <w:top w:w="150" w:type="dxa"/>
              <w:left w:w="240" w:type="dxa"/>
              <w:bottom w:w="150" w:type="dxa"/>
              <w:right w:w="240" w:type="dxa"/>
            </w:tcMar>
            <w:vAlign w:val="center"/>
          </w:tcPr>
          <w:p w14:paraId="05056E7F" w14:textId="77777777" w:rsidR="00054437" w:rsidRPr="000549B1" w:rsidRDefault="00000000">
            <w:pPr>
              <w:pStyle w:val="CharCharCharCharChar"/>
              <w:rPr>
                <w:b/>
                <w:bCs/>
                <w:color w:val="auto"/>
              </w:rPr>
            </w:pPr>
            <w:r w:rsidRPr="000549B1">
              <w:rPr>
                <w:b/>
                <w:bCs/>
                <w:color w:val="auto"/>
              </w:rPr>
              <w:t>工程项目</w:t>
            </w:r>
          </w:p>
        </w:tc>
        <w:tc>
          <w:tcPr>
            <w:tcW w:w="2944" w:type="dxa"/>
            <w:tcMar>
              <w:top w:w="150" w:type="dxa"/>
              <w:left w:w="240" w:type="dxa"/>
              <w:bottom w:w="150" w:type="dxa"/>
              <w:right w:w="240" w:type="dxa"/>
            </w:tcMar>
            <w:vAlign w:val="center"/>
          </w:tcPr>
          <w:p w14:paraId="3C6CADF1" w14:textId="77777777" w:rsidR="00054437" w:rsidRPr="000549B1" w:rsidRDefault="00000000">
            <w:pPr>
              <w:pStyle w:val="CharCharCharCharChar"/>
              <w:rPr>
                <w:b/>
                <w:bCs/>
                <w:color w:val="auto"/>
              </w:rPr>
            </w:pPr>
            <w:r w:rsidRPr="000549B1">
              <w:rPr>
                <w:b/>
                <w:bCs/>
                <w:color w:val="auto"/>
              </w:rPr>
              <w:t>投资（亿元）</w:t>
            </w:r>
          </w:p>
        </w:tc>
      </w:tr>
      <w:tr w:rsidR="000549B1" w:rsidRPr="000549B1" w14:paraId="5A91C0CE" w14:textId="77777777">
        <w:trPr>
          <w:trHeight w:val="155"/>
        </w:trPr>
        <w:tc>
          <w:tcPr>
            <w:tcW w:w="3114" w:type="dxa"/>
            <w:tcMar>
              <w:top w:w="150" w:type="dxa"/>
              <w:left w:w="0" w:type="dxa"/>
              <w:bottom w:w="150" w:type="dxa"/>
              <w:right w:w="240" w:type="dxa"/>
            </w:tcMar>
            <w:vAlign w:val="center"/>
          </w:tcPr>
          <w:p w14:paraId="7FF5A57F" w14:textId="77777777" w:rsidR="00054437" w:rsidRPr="000549B1" w:rsidRDefault="00000000">
            <w:pPr>
              <w:pStyle w:val="CharCharCharCharChar"/>
              <w:rPr>
                <w:color w:val="auto"/>
              </w:rPr>
            </w:pPr>
            <w:r w:rsidRPr="000549B1">
              <w:rPr>
                <w:color w:val="auto"/>
              </w:rPr>
              <w:t>1.</w:t>
            </w:r>
            <w:r w:rsidRPr="000549B1">
              <w:rPr>
                <w:color w:val="auto"/>
              </w:rPr>
              <w:t>水库水源地工程</w:t>
            </w:r>
          </w:p>
        </w:tc>
        <w:tc>
          <w:tcPr>
            <w:tcW w:w="2551" w:type="dxa"/>
            <w:tcMar>
              <w:top w:w="150" w:type="dxa"/>
              <w:left w:w="240" w:type="dxa"/>
              <w:bottom w:w="150" w:type="dxa"/>
              <w:right w:w="240" w:type="dxa"/>
            </w:tcMar>
            <w:vAlign w:val="center"/>
          </w:tcPr>
          <w:p w14:paraId="0DDB01BC" w14:textId="77777777" w:rsidR="00054437" w:rsidRPr="000549B1" w:rsidRDefault="00054437">
            <w:pPr>
              <w:pStyle w:val="CharCharCharCharChar"/>
              <w:rPr>
                <w:color w:val="auto"/>
              </w:rPr>
            </w:pPr>
          </w:p>
        </w:tc>
        <w:tc>
          <w:tcPr>
            <w:tcW w:w="2944" w:type="dxa"/>
            <w:tcMar>
              <w:top w:w="150" w:type="dxa"/>
              <w:left w:w="240" w:type="dxa"/>
              <w:bottom w:w="150" w:type="dxa"/>
              <w:right w:w="0" w:type="dxa"/>
            </w:tcMar>
            <w:vAlign w:val="center"/>
          </w:tcPr>
          <w:p w14:paraId="25DE41DF" w14:textId="3E0821D6" w:rsidR="00054437" w:rsidRPr="000549B1" w:rsidRDefault="00054437">
            <w:pPr>
              <w:pStyle w:val="CharCharCharCharChar"/>
              <w:rPr>
                <w:color w:val="auto"/>
              </w:rPr>
            </w:pPr>
          </w:p>
        </w:tc>
      </w:tr>
      <w:tr w:rsidR="000549B1" w:rsidRPr="000549B1" w14:paraId="70796605" w14:textId="77777777">
        <w:trPr>
          <w:trHeight w:val="151"/>
        </w:trPr>
        <w:tc>
          <w:tcPr>
            <w:tcW w:w="3114" w:type="dxa"/>
            <w:tcMar>
              <w:top w:w="150" w:type="dxa"/>
              <w:left w:w="0" w:type="dxa"/>
              <w:bottom w:w="150" w:type="dxa"/>
              <w:right w:w="240" w:type="dxa"/>
            </w:tcMar>
            <w:vAlign w:val="center"/>
          </w:tcPr>
          <w:p w14:paraId="249E92E7" w14:textId="77777777" w:rsidR="00054437" w:rsidRPr="000549B1" w:rsidRDefault="00054437">
            <w:pPr>
              <w:pStyle w:val="CharCharCharCharChar"/>
              <w:rPr>
                <w:color w:val="auto"/>
              </w:rPr>
            </w:pPr>
          </w:p>
        </w:tc>
        <w:tc>
          <w:tcPr>
            <w:tcW w:w="2551" w:type="dxa"/>
            <w:tcMar>
              <w:top w:w="150" w:type="dxa"/>
              <w:left w:w="240" w:type="dxa"/>
              <w:bottom w:w="150" w:type="dxa"/>
              <w:right w:w="240" w:type="dxa"/>
            </w:tcMar>
            <w:vAlign w:val="center"/>
          </w:tcPr>
          <w:p w14:paraId="72766941" w14:textId="77777777" w:rsidR="00054437" w:rsidRPr="000549B1" w:rsidRDefault="00000000">
            <w:pPr>
              <w:pStyle w:val="CharCharCharCharChar"/>
              <w:rPr>
                <w:color w:val="auto"/>
              </w:rPr>
            </w:pPr>
            <w:r w:rsidRPr="000549B1">
              <w:rPr>
                <w:color w:val="auto"/>
              </w:rPr>
              <w:t>鹿龙沟水库</w:t>
            </w:r>
          </w:p>
        </w:tc>
        <w:tc>
          <w:tcPr>
            <w:tcW w:w="2944" w:type="dxa"/>
            <w:tcMar>
              <w:top w:w="150" w:type="dxa"/>
              <w:left w:w="240" w:type="dxa"/>
              <w:bottom w:w="150" w:type="dxa"/>
              <w:right w:w="0" w:type="dxa"/>
            </w:tcMar>
            <w:vAlign w:val="center"/>
          </w:tcPr>
          <w:p w14:paraId="43B0CB70" w14:textId="77777777" w:rsidR="00054437" w:rsidRPr="000549B1" w:rsidRDefault="00000000">
            <w:pPr>
              <w:pStyle w:val="CharCharCharCharChar"/>
              <w:rPr>
                <w:color w:val="auto"/>
              </w:rPr>
            </w:pPr>
            <w:r w:rsidRPr="000549B1">
              <w:rPr>
                <w:color w:val="auto"/>
              </w:rPr>
              <w:t>1.00</w:t>
            </w:r>
          </w:p>
        </w:tc>
      </w:tr>
      <w:tr w:rsidR="000549B1" w:rsidRPr="000549B1" w14:paraId="504C6CB4" w14:textId="77777777">
        <w:trPr>
          <w:trHeight w:val="151"/>
        </w:trPr>
        <w:tc>
          <w:tcPr>
            <w:tcW w:w="3114" w:type="dxa"/>
            <w:tcMar>
              <w:top w:w="150" w:type="dxa"/>
              <w:left w:w="0" w:type="dxa"/>
              <w:bottom w:w="150" w:type="dxa"/>
              <w:right w:w="240" w:type="dxa"/>
            </w:tcMar>
            <w:vAlign w:val="center"/>
          </w:tcPr>
          <w:p w14:paraId="7C4BC1F4" w14:textId="77777777" w:rsidR="00054437" w:rsidRPr="000549B1" w:rsidRDefault="00054437">
            <w:pPr>
              <w:pStyle w:val="CharCharCharCharChar"/>
              <w:rPr>
                <w:color w:val="auto"/>
              </w:rPr>
            </w:pPr>
          </w:p>
        </w:tc>
        <w:tc>
          <w:tcPr>
            <w:tcW w:w="2551" w:type="dxa"/>
            <w:tcMar>
              <w:top w:w="150" w:type="dxa"/>
              <w:left w:w="240" w:type="dxa"/>
              <w:bottom w:w="150" w:type="dxa"/>
              <w:right w:w="240" w:type="dxa"/>
            </w:tcMar>
            <w:vAlign w:val="center"/>
          </w:tcPr>
          <w:p w14:paraId="015C9C77" w14:textId="77777777" w:rsidR="00054437" w:rsidRPr="000549B1" w:rsidRDefault="00000000">
            <w:pPr>
              <w:pStyle w:val="CharCharCharCharChar"/>
              <w:rPr>
                <w:color w:val="auto"/>
              </w:rPr>
            </w:pPr>
            <w:r w:rsidRPr="000549B1">
              <w:rPr>
                <w:color w:val="auto"/>
              </w:rPr>
              <w:t>直亥买水库</w:t>
            </w:r>
          </w:p>
        </w:tc>
        <w:tc>
          <w:tcPr>
            <w:tcW w:w="2944" w:type="dxa"/>
            <w:tcMar>
              <w:top w:w="150" w:type="dxa"/>
              <w:left w:w="240" w:type="dxa"/>
              <w:bottom w:w="150" w:type="dxa"/>
              <w:right w:w="0" w:type="dxa"/>
            </w:tcMar>
            <w:vAlign w:val="center"/>
          </w:tcPr>
          <w:p w14:paraId="58EB2738" w14:textId="77777777" w:rsidR="00054437" w:rsidRPr="000549B1" w:rsidRDefault="00000000">
            <w:pPr>
              <w:pStyle w:val="CharCharCharCharChar"/>
              <w:rPr>
                <w:color w:val="auto"/>
              </w:rPr>
            </w:pPr>
            <w:r w:rsidRPr="000549B1">
              <w:rPr>
                <w:color w:val="auto"/>
              </w:rPr>
              <w:t>1.95</w:t>
            </w:r>
          </w:p>
        </w:tc>
      </w:tr>
      <w:tr w:rsidR="000549B1" w:rsidRPr="000549B1" w14:paraId="428B906F" w14:textId="77777777">
        <w:trPr>
          <w:trHeight w:val="151"/>
        </w:trPr>
        <w:tc>
          <w:tcPr>
            <w:tcW w:w="3114" w:type="dxa"/>
            <w:tcMar>
              <w:top w:w="150" w:type="dxa"/>
              <w:left w:w="0" w:type="dxa"/>
              <w:bottom w:w="150" w:type="dxa"/>
              <w:right w:w="240" w:type="dxa"/>
            </w:tcMar>
            <w:vAlign w:val="center"/>
          </w:tcPr>
          <w:p w14:paraId="1EF32722" w14:textId="77777777" w:rsidR="00054437" w:rsidRPr="000549B1" w:rsidRDefault="00054437">
            <w:pPr>
              <w:pStyle w:val="CharCharCharCharChar"/>
              <w:rPr>
                <w:color w:val="auto"/>
              </w:rPr>
            </w:pPr>
          </w:p>
        </w:tc>
        <w:tc>
          <w:tcPr>
            <w:tcW w:w="2551" w:type="dxa"/>
            <w:tcMar>
              <w:top w:w="150" w:type="dxa"/>
              <w:left w:w="240" w:type="dxa"/>
              <w:bottom w:w="150" w:type="dxa"/>
              <w:right w:w="240" w:type="dxa"/>
            </w:tcMar>
            <w:vAlign w:val="center"/>
          </w:tcPr>
          <w:p w14:paraId="713112D9" w14:textId="77777777" w:rsidR="00054437" w:rsidRPr="000549B1" w:rsidRDefault="00000000">
            <w:pPr>
              <w:pStyle w:val="CharCharCharCharChar"/>
              <w:rPr>
                <w:color w:val="auto"/>
              </w:rPr>
            </w:pPr>
            <w:r w:rsidRPr="000549B1">
              <w:rPr>
                <w:color w:val="auto"/>
              </w:rPr>
              <w:t>羊清沟水库</w:t>
            </w:r>
          </w:p>
        </w:tc>
        <w:tc>
          <w:tcPr>
            <w:tcW w:w="2944" w:type="dxa"/>
            <w:tcMar>
              <w:top w:w="150" w:type="dxa"/>
              <w:left w:w="240" w:type="dxa"/>
              <w:bottom w:w="150" w:type="dxa"/>
              <w:right w:w="0" w:type="dxa"/>
            </w:tcMar>
            <w:vAlign w:val="center"/>
          </w:tcPr>
          <w:p w14:paraId="02AD0453" w14:textId="77777777" w:rsidR="00054437" w:rsidRPr="000549B1" w:rsidRDefault="00000000">
            <w:pPr>
              <w:pStyle w:val="CharCharCharCharChar"/>
              <w:rPr>
                <w:color w:val="auto"/>
              </w:rPr>
            </w:pPr>
            <w:r w:rsidRPr="000549B1">
              <w:rPr>
                <w:color w:val="auto"/>
              </w:rPr>
              <w:t>1.14</w:t>
            </w:r>
          </w:p>
        </w:tc>
      </w:tr>
      <w:tr w:rsidR="000549B1" w:rsidRPr="000549B1" w14:paraId="3D0D1926" w14:textId="77777777">
        <w:trPr>
          <w:trHeight w:val="147"/>
        </w:trPr>
        <w:tc>
          <w:tcPr>
            <w:tcW w:w="3114" w:type="dxa"/>
            <w:tcMar>
              <w:top w:w="150" w:type="dxa"/>
              <w:left w:w="0" w:type="dxa"/>
              <w:bottom w:w="150" w:type="dxa"/>
              <w:right w:w="240" w:type="dxa"/>
            </w:tcMar>
            <w:vAlign w:val="center"/>
          </w:tcPr>
          <w:p w14:paraId="7F30D993" w14:textId="77777777" w:rsidR="00054437" w:rsidRPr="000549B1" w:rsidRDefault="00054437">
            <w:pPr>
              <w:pStyle w:val="CharCharCharCharChar"/>
              <w:rPr>
                <w:color w:val="auto"/>
              </w:rPr>
            </w:pPr>
          </w:p>
        </w:tc>
        <w:tc>
          <w:tcPr>
            <w:tcW w:w="2551" w:type="dxa"/>
            <w:tcMar>
              <w:top w:w="150" w:type="dxa"/>
              <w:left w:w="240" w:type="dxa"/>
              <w:bottom w:w="150" w:type="dxa"/>
              <w:right w:w="240" w:type="dxa"/>
            </w:tcMar>
            <w:vAlign w:val="center"/>
          </w:tcPr>
          <w:p w14:paraId="1017D8C9" w14:textId="77777777" w:rsidR="00054437" w:rsidRPr="000549B1" w:rsidRDefault="00000000">
            <w:pPr>
              <w:pStyle w:val="CharCharCharCharChar"/>
              <w:rPr>
                <w:color w:val="auto"/>
              </w:rPr>
            </w:pPr>
            <w:r w:rsidRPr="000549B1">
              <w:rPr>
                <w:color w:val="auto"/>
              </w:rPr>
              <w:t>叉叉沟水库</w:t>
            </w:r>
          </w:p>
        </w:tc>
        <w:tc>
          <w:tcPr>
            <w:tcW w:w="2944" w:type="dxa"/>
            <w:tcMar>
              <w:top w:w="150" w:type="dxa"/>
              <w:left w:w="240" w:type="dxa"/>
              <w:bottom w:w="150" w:type="dxa"/>
              <w:right w:w="0" w:type="dxa"/>
            </w:tcMar>
            <w:vAlign w:val="center"/>
          </w:tcPr>
          <w:p w14:paraId="7DE45E93" w14:textId="77777777" w:rsidR="00054437" w:rsidRPr="000549B1" w:rsidRDefault="00000000">
            <w:pPr>
              <w:pStyle w:val="CharCharCharCharChar"/>
              <w:rPr>
                <w:color w:val="auto"/>
              </w:rPr>
            </w:pPr>
            <w:r w:rsidRPr="000549B1">
              <w:rPr>
                <w:color w:val="auto"/>
              </w:rPr>
              <w:t>2.12</w:t>
            </w:r>
          </w:p>
        </w:tc>
      </w:tr>
      <w:tr w:rsidR="000549B1" w:rsidRPr="000549B1" w14:paraId="4362DBFC" w14:textId="77777777">
        <w:trPr>
          <w:trHeight w:val="151"/>
        </w:trPr>
        <w:tc>
          <w:tcPr>
            <w:tcW w:w="3114" w:type="dxa"/>
            <w:tcMar>
              <w:top w:w="150" w:type="dxa"/>
              <w:left w:w="0" w:type="dxa"/>
              <w:bottom w:w="150" w:type="dxa"/>
              <w:right w:w="240" w:type="dxa"/>
            </w:tcMar>
            <w:vAlign w:val="center"/>
          </w:tcPr>
          <w:p w14:paraId="3A8AA870" w14:textId="77777777" w:rsidR="00054437" w:rsidRPr="000549B1" w:rsidRDefault="00054437">
            <w:pPr>
              <w:pStyle w:val="CharCharCharCharChar"/>
              <w:rPr>
                <w:color w:val="auto"/>
              </w:rPr>
            </w:pPr>
          </w:p>
        </w:tc>
        <w:tc>
          <w:tcPr>
            <w:tcW w:w="2551" w:type="dxa"/>
            <w:tcMar>
              <w:top w:w="150" w:type="dxa"/>
              <w:left w:w="240" w:type="dxa"/>
              <w:bottom w:w="150" w:type="dxa"/>
              <w:right w:w="240" w:type="dxa"/>
            </w:tcMar>
            <w:vAlign w:val="center"/>
          </w:tcPr>
          <w:p w14:paraId="746C9E29" w14:textId="77777777" w:rsidR="00054437" w:rsidRPr="000549B1" w:rsidRDefault="00000000">
            <w:pPr>
              <w:pStyle w:val="CharCharCharCharChar"/>
              <w:rPr>
                <w:color w:val="auto"/>
              </w:rPr>
            </w:pPr>
            <w:r w:rsidRPr="000549B1">
              <w:rPr>
                <w:color w:val="auto"/>
              </w:rPr>
              <w:t>大河坝河水库</w:t>
            </w:r>
          </w:p>
        </w:tc>
        <w:tc>
          <w:tcPr>
            <w:tcW w:w="2944" w:type="dxa"/>
            <w:tcMar>
              <w:top w:w="150" w:type="dxa"/>
              <w:left w:w="240" w:type="dxa"/>
              <w:bottom w:w="150" w:type="dxa"/>
              <w:right w:w="0" w:type="dxa"/>
            </w:tcMar>
            <w:vAlign w:val="center"/>
          </w:tcPr>
          <w:p w14:paraId="05FC840F" w14:textId="77777777" w:rsidR="00054437" w:rsidRPr="000549B1" w:rsidRDefault="00000000">
            <w:pPr>
              <w:pStyle w:val="CharCharCharCharChar"/>
              <w:rPr>
                <w:color w:val="auto"/>
              </w:rPr>
            </w:pPr>
            <w:r w:rsidRPr="000549B1">
              <w:rPr>
                <w:color w:val="auto"/>
              </w:rPr>
              <w:t>35.20</w:t>
            </w:r>
          </w:p>
        </w:tc>
      </w:tr>
      <w:tr w:rsidR="000549B1" w:rsidRPr="000549B1" w14:paraId="33615D50" w14:textId="77777777">
        <w:trPr>
          <w:trHeight w:val="151"/>
        </w:trPr>
        <w:tc>
          <w:tcPr>
            <w:tcW w:w="3114" w:type="dxa"/>
            <w:tcMar>
              <w:top w:w="150" w:type="dxa"/>
              <w:left w:w="0" w:type="dxa"/>
              <w:bottom w:w="150" w:type="dxa"/>
              <w:right w:w="240" w:type="dxa"/>
            </w:tcMar>
            <w:vAlign w:val="center"/>
          </w:tcPr>
          <w:p w14:paraId="429E36A7" w14:textId="77777777" w:rsidR="00054437" w:rsidRPr="000549B1" w:rsidRDefault="00054437">
            <w:pPr>
              <w:pStyle w:val="CharCharCharCharChar"/>
              <w:rPr>
                <w:color w:val="auto"/>
              </w:rPr>
            </w:pPr>
          </w:p>
        </w:tc>
        <w:tc>
          <w:tcPr>
            <w:tcW w:w="2551" w:type="dxa"/>
            <w:tcMar>
              <w:top w:w="150" w:type="dxa"/>
              <w:left w:w="240" w:type="dxa"/>
              <w:bottom w:w="150" w:type="dxa"/>
              <w:right w:w="240" w:type="dxa"/>
            </w:tcMar>
            <w:vAlign w:val="center"/>
          </w:tcPr>
          <w:p w14:paraId="4AA371EB" w14:textId="77777777" w:rsidR="00054437" w:rsidRPr="000549B1" w:rsidRDefault="00000000">
            <w:pPr>
              <w:pStyle w:val="CharCharCharCharChar"/>
              <w:rPr>
                <w:color w:val="auto"/>
              </w:rPr>
            </w:pPr>
            <w:r w:rsidRPr="000549B1">
              <w:rPr>
                <w:color w:val="auto"/>
              </w:rPr>
              <w:t>满丈沟水库</w:t>
            </w:r>
          </w:p>
        </w:tc>
        <w:tc>
          <w:tcPr>
            <w:tcW w:w="2944" w:type="dxa"/>
            <w:tcMar>
              <w:top w:w="150" w:type="dxa"/>
              <w:left w:w="240" w:type="dxa"/>
              <w:bottom w:w="150" w:type="dxa"/>
              <w:right w:w="0" w:type="dxa"/>
            </w:tcMar>
            <w:vAlign w:val="center"/>
          </w:tcPr>
          <w:p w14:paraId="7B56289F" w14:textId="77777777" w:rsidR="00054437" w:rsidRPr="000549B1" w:rsidRDefault="00000000">
            <w:pPr>
              <w:pStyle w:val="CharCharCharCharChar"/>
              <w:rPr>
                <w:color w:val="auto"/>
              </w:rPr>
            </w:pPr>
            <w:r w:rsidRPr="000549B1">
              <w:rPr>
                <w:color w:val="auto"/>
              </w:rPr>
              <w:t>0.896</w:t>
            </w:r>
          </w:p>
        </w:tc>
      </w:tr>
      <w:tr w:rsidR="000549B1" w:rsidRPr="000549B1" w14:paraId="5BCC3932" w14:textId="77777777">
        <w:trPr>
          <w:trHeight w:val="10"/>
        </w:trPr>
        <w:tc>
          <w:tcPr>
            <w:tcW w:w="3114" w:type="dxa"/>
            <w:tcMar>
              <w:top w:w="150" w:type="dxa"/>
              <w:left w:w="0" w:type="dxa"/>
              <w:bottom w:w="150" w:type="dxa"/>
              <w:right w:w="240" w:type="dxa"/>
            </w:tcMar>
            <w:vAlign w:val="center"/>
          </w:tcPr>
          <w:p w14:paraId="3945A226" w14:textId="77777777" w:rsidR="00054437" w:rsidRPr="000549B1" w:rsidRDefault="00000000">
            <w:pPr>
              <w:pStyle w:val="CharCharCharCharChar"/>
              <w:rPr>
                <w:color w:val="auto"/>
              </w:rPr>
            </w:pPr>
            <w:r w:rsidRPr="000549B1">
              <w:rPr>
                <w:color w:val="auto"/>
              </w:rPr>
              <w:t>2.</w:t>
            </w:r>
            <w:r w:rsidRPr="000549B1">
              <w:rPr>
                <w:color w:val="auto"/>
              </w:rPr>
              <w:t>新建输配水工程</w:t>
            </w:r>
          </w:p>
        </w:tc>
        <w:tc>
          <w:tcPr>
            <w:tcW w:w="2551" w:type="dxa"/>
            <w:tcMar>
              <w:top w:w="150" w:type="dxa"/>
              <w:left w:w="240" w:type="dxa"/>
              <w:bottom w:w="150" w:type="dxa"/>
              <w:right w:w="240" w:type="dxa"/>
            </w:tcMar>
            <w:vAlign w:val="center"/>
          </w:tcPr>
          <w:p w14:paraId="3F6A6EB6" w14:textId="77777777" w:rsidR="00054437" w:rsidRPr="000549B1" w:rsidRDefault="00054437">
            <w:pPr>
              <w:pStyle w:val="CharCharCharCharChar"/>
              <w:rPr>
                <w:color w:val="auto"/>
              </w:rPr>
            </w:pPr>
          </w:p>
        </w:tc>
        <w:tc>
          <w:tcPr>
            <w:tcW w:w="2944" w:type="dxa"/>
            <w:tcMar>
              <w:top w:w="150" w:type="dxa"/>
              <w:left w:w="240" w:type="dxa"/>
              <w:bottom w:w="150" w:type="dxa"/>
              <w:right w:w="0" w:type="dxa"/>
            </w:tcMar>
            <w:vAlign w:val="center"/>
          </w:tcPr>
          <w:p w14:paraId="71260CF6" w14:textId="77777777" w:rsidR="00054437" w:rsidRPr="000549B1" w:rsidRDefault="00000000">
            <w:pPr>
              <w:pStyle w:val="CharCharCharCharChar"/>
              <w:rPr>
                <w:color w:val="auto"/>
              </w:rPr>
            </w:pPr>
            <w:r w:rsidRPr="000549B1">
              <w:rPr>
                <w:color w:val="auto"/>
              </w:rPr>
              <w:t>2.20</w:t>
            </w:r>
          </w:p>
        </w:tc>
      </w:tr>
      <w:tr w:rsidR="000549B1" w:rsidRPr="000549B1" w14:paraId="4DED7874" w14:textId="77777777">
        <w:trPr>
          <w:trHeight w:val="306"/>
        </w:trPr>
        <w:tc>
          <w:tcPr>
            <w:tcW w:w="3114" w:type="dxa"/>
            <w:tcMar>
              <w:top w:w="150" w:type="dxa"/>
              <w:left w:w="0" w:type="dxa"/>
              <w:bottom w:w="150" w:type="dxa"/>
              <w:right w:w="240" w:type="dxa"/>
            </w:tcMar>
            <w:vAlign w:val="center"/>
          </w:tcPr>
          <w:p w14:paraId="44BB0882" w14:textId="77777777" w:rsidR="00054437" w:rsidRPr="000549B1" w:rsidRDefault="00000000">
            <w:pPr>
              <w:pStyle w:val="CharCharCharCharChar"/>
              <w:rPr>
                <w:color w:val="auto"/>
              </w:rPr>
            </w:pPr>
            <w:r w:rsidRPr="000549B1">
              <w:rPr>
                <w:color w:val="auto"/>
              </w:rPr>
              <w:t>3.</w:t>
            </w:r>
            <w:r w:rsidRPr="000549B1">
              <w:rPr>
                <w:color w:val="auto"/>
              </w:rPr>
              <w:t>现有集中供水工程更新改造</w:t>
            </w:r>
          </w:p>
        </w:tc>
        <w:tc>
          <w:tcPr>
            <w:tcW w:w="2551" w:type="dxa"/>
            <w:tcMar>
              <w:top w:w="150" w:type="dxa"/>
              <w:left w:w="240" w:type="dxa"/>
              <w:bottom w:w="150" w:type="dxa"/>
              <w:right w:w="240" w:type="dxa"/>
            </w:tcMar>
            <w:vAlign w:val="center"/>
          </w:tcPr>
          <w:p w14:paraId="564238CB" w14:textId="77777777" w:rsidR="00054437" w:rsidRPr="000549B1" w:rsidRDefault="00054437">
            <w:pPr>
              <w:pStyle w:val="CharCharCharCharChar"/>
              <w:rPr>
                <w:color w:val="auto"/>
              </w:rPr>
            </w:pPr>
          </w:p>
        </w:tc>
        <w:tc>
          <w:tcPr>
            <w:tcW w:w="2944" w:type="dxa"/>
            <w:tcMar>
              <w:top w:w="150" w:type="dxa"/>
              <w:left w:w="240" w:type="dxa"/>
              <w:bottom w:w="150" w:type="dxa"/>
              <w:right w:w="0" w:type="dxa"/>
            </w:tcMar>
            <w:vAlign w:val="center"/>
          </w:tcPr>
          <w:p w14:paraId="4589AE38" w14:textId="77777777" w:rsidR="00054437" w:rsidRPr="000549B1" w:rsidRDefault="00000000">
            <w:pPr>
              <w:pStyle w:val="CharCharCharCharChar"/>
              <w:rPr>
                <w:color w:val="auto"/>
              </w:rPr>
            </w:pPr>
            <w:r w:rsidRPr="000549B1">
              <w:rPr>
                <w:color w:val="auto"/>
              </w:rPr>
              <w:t>1.60</w:t>
            </w:r>
          </w:p>
        </w:tc>
      </w:tr>
      <w:tr w:rsidR="000549B1" w:rsidRPr="000549B1" w14:paraId="481F062D" w14:textId="77777777">
        <w:trPr>
          <w:trHeight w:val="147"/>
        </w:trPr>
        <w:tc>
          <w:tcPr>
            <w:tcW w:w="3114" w:type="dxa"/>
            <w:tcMar>
              <w:top w:w="150" w:type="dxa"/>
              <w:left w:w="0" w:type="dxa"/>
              <w:bottom w:w="150" w:type="dxa"/>
              <w:right w:w="240" w:type="dxa"/>
            </w:tcMar>
            <w:vAlign w:val="center"/>
          </w:tcPr>
          <w:p w14:paraId="2A32D960" w14:textId="77777777" w:rsidR="00054437" w:rsidRPr="000549B1" w:rsidRDefault="00000000">
            <w:pPr>
              <w:pStyle w:val="CharCharCharCharChar"/>
              <w:rPr>
                <w:color w:val="auto"/>
              </w:rPr>
            </w:pPr>
            <w:r w:rsidRPr="000549B1">
              <w:rPr>
                <w:color w:val="auto"/>
              </w:rPr>
              <w:t>合计</w:t>
            </w:r>
          </w:p>
        </w:tc>
        <w:tc>
          <w:tcPr>
            <w:tcW w:w="2551" w:type="dxa"/>
            <w:tcMar>
              <w:top w:w="150" w:type="dxa"/>
              <w:left w:w="240" w:type="dxa"/>
              <w:bottom w:w="150" w:type="dxa"/>
              <w:right w:w="240" w:type="dxa"/>
            </w:tcMar>
            <w:vAlign w:val="center"/>
          </w:tcPr>
          <w:p w14:paraId="7BCA0C8A" w14:textId="77777777" w:rsidR="00054437" w:rsidRPr="000549B1" w:rsidRDefault="00054437">
            <w:pPr>
              <w:pStyle w:val="CharCharCharCharChar"/>
              <w:rPr>
                <w:color w:val="auto"/>
              </w:rPr>
            </w:pPr>
          </w:p>
        </w:tc>
        <w:tc>
          <w:tcPr>
            <w:tcW w:w="2944" w:type="dxa"/>
            <w:tcMar>
              <w:top w:w="150" w:type="dxa"/>
              <w:left w:w="240" w:type="dxa"/>
              <w:bottom w:w="150" w:type="dxa"/>
              <w:right w:w="0" w:type="dxa"/>
            </w:tcMar>
            <w:vAlign w:val="center"/>
          </w:tcPr>
          <w:p w14:paraId="11501414" w14:textId="77777777" w:rsidR="00054437" w:rsidRPr="000549B1" w:rsidRDefault="00000000">
            <w:pPr>
              <w:pStyle w:val="CharCharCharCharChar"/>
              <w:rPr>
                <w:color w:val="auto"/>
              </w:rPr>
            </w:pPr>
            <w:r w:rsidRPr="000549B1">
              <w:rPr>
                <w:color w:val="auto"/>
              </w:rPr>
              <w:t>46.106</w:t>
            </w:r>
          </w:p>
        </w:tc>
      </w:tr>
    </w:tbl>
    <w:p w14:paraId="23AE2EBA" w14:textId="77777777" w:rsidR="00054437" w:rsidRPr="000549B1" w:rsidRDefault="00000000" w:rsidP="000549B1">
      <w:pPr>
        <w:pStyle w:val="Z4"/>
        <w:rPr>
          <w:color w:val="auto"/>
        </w:rPr>
      </w:pPr>
      <w:r w:rsidRPr="000549B1">
        <w:rPr>
          <w:color w:val="auto"/>
        </w:rPr>
        <w:t>灌区规划</w:t>
      </w:r>
    </w:p>
    <w:p w14:paraId="3496F71C" w14:textId="42E5B2DE" w:rsidR="00054437" w:rsidRPr="000549B1" w:rsidRDefault="002F2485" w:rsidP="000549B1">
      <w:pPr>
        <w:pStyle w:val="x"/>
      </w:pPr>
      <w:r w:rsidRPr="000549B1">
        <w:rPr>
          <w:rFonts w:hint="eastAsia"/>
        </w:rPr>
        <w:t>（</w:t>
      </w:r>
      <w:r w:rsidRPr="000549B1">
        <w:rPr>
          <w:rFonts w:hint="eastAsia"/>
        </w:rPr>
        <w:t>1</w:t>
      </w:r>
      <w:r w:rsidRPr="000549B1">
        <w:rPr>
          <w:rFonts w:hint="eastAsia"/>
        </w:rPr>
        <w:t>）</w:t>
      </w:r>
      <w:r w:rsidRPr="000549B1">
        <w:t>规划目标与规模</w:t>
      </w:r>
    </w:p>
    <w:p w14:paraId="1E92ABE4" w14:textId="010BCFD6" w:rsidR="00054437" w:rsidRPr="000549B1" w:rsidRDefault="00000000">
      <w:pPr>
        <w:pStyle w:val="x"/>
      </w:pPr>
      <w:r w:rsidRPr="000549B1">
        <w:rPr>
          <w:rFonts w:hint="eastAsia"/>
        </w:rPr>
        <w:t>规划</w:t>
      </w:r>
      <w:r w:rsidRPr="000549B1">
        <w:t>的核心目标是实现灌溉面积的大幅扩张与用水效率的显著提升，最终在规划水平年实现更高效的水土资源平衡。</w:t>
      </w:r>
    </w:p>
    <w:p w14:paraId="4EAB48CF" w14:textId="30F56DD3" w:rsidR="00054437" w:rsidRPr="000549B1" w:rsidRDefault="00000000" w:rsidP="00B5491D">
      <w:pPr>
        <w:pStyle w:val="x"/>
      </w:pPr>
      <w:r w:rsidRPr="000549B1">
        <w:rPr>
          <w:bCs/>
        </w:rPr>
        <w:t>规模与效率目标</w:t>
      </w:r>
      <w:r w:rsidRPr="000549B1">
        <w:t>：规划通过开垦旱地和提升灌溉保证率，将全流域</w:t>
      </w:r>
      <w:bookmarkStart w:id="157" w:name="OLE_LINK79"/>
      <w:r w:rsidRPr="000549B1">
        <w:t>总灌溉面积</w:t>
      </w:r>
      <w:bookmarkEnd w:id="157"/>
      <w:r w:rsidRPr="000549B1">
        <w:t>从</w:t>
      </w:r>
      <w:r w:rsidRPr="000549B1">
        <w:t>40.6</w:t>
      </w:r>
      <w:r w:rsidRPr="000549B1">
        <w:t>万亩扩大至</w:t>
      </w:r>
      <w:r w:rsidR="00B5491D" w:rsidRPr="000549B1">
        <w:rPr>
          <w:rFonts w:hint="eastAsia"/>
        </w:rPr>
        <w:t>90.45</w:t>
      </w:r>
      <w:r w:rsidRPr="000549B1">
        <w:t>万亩。与此同时，通过全面推广高效节水技术，将</w:t>
      </w:r>
      <w:bookmarkStart w:id="158" w:name="OLE_LINK78"/>
      <w:r w:rsidRPr="000549B1">
        <w:t>灌溉水利用系数</w:t>
      </w:r>
      <w:bookmarkEnd w:id="158"/>
      <w:r w:rsidRPr="000549B1">
        <w:t>从</w:t>
      </w:r>
      <w:r w:rsidRPr="000549B1">
        <w:t>0.47</w:t>
      </w:r>
      <w:r w:rsidRPr="000549B1">
        <w:t>大幅提升至</w:t>
      </w:r>
      <w:r w:rsidRPr="000549B1">
        <w:t>0.</w:t>
      </w:r>
      <w:r w:rsidR="00B5491D" w:rsidRPr="000549B1">
        <w:rPr>
          <w:rFonts w:hint="eastAsia"/>
        </w:rPr>
        <w:t>69</w:t>
      </w:r>
      <w:r w:rsidRPr="000549B1">
        <w:t>，使得在面积近乎翻倍的情况下，总灌溉需水量得以控制并略有下降。</w:t>
      </w:r>
    </w:p>
    <w:p w14:paraId="3B0E669F" w14:textId="295EB971" w:rsidR="00054437" w:rsidRPr="000549B1" w:rsidRDefault="002F2485" w:rsidP="000549B1">
      <w:pPr>
        <w:pStyle w:val="x"/>
      </w:pPr>
      <w:r w:rsidRPr="000549B1">
        <w:rPr>
          <w:rFonts w:hint="eastAsia"/>
        </w:rPr>
        <w:t>（</w:t>
      </w:r>
      <w:r w:rsidRPr="000549B1">
        <w:rPr>
          <w:rFonts w:hint="eastAsia"/>
        </w:rPr>
        <w:t>2</w:t>
      </w:r>
      <w:r w:rsidRPr="000549B1">
        <w:rPr>
          <w:rFonts w:hint="eastAsia"/>
        </w:rPr>
        <w:t>）</w:t>
      </w:r>
      <w:r w:rsidRPr="000549B1">
        <w:t>规划布局、任务与建设方式</w:t>
      </w:r>
    </w:p>
    <w:p w14:paraId="3283B9CE" w14:textId="3D30E869" w:rsidR="00054437" w:rsidRPr="000549B1" w:rsidRDefault="00000000">
      <w:pPr>
        <w:pStyle w:val="x"/>
      </w:pPr>
      <w:r w:rsidRPr="000549B1">
        <w:rPr>
          <w:rFonts w:hint="eastAsia"/>
        </w:rPr>
        <w:t>规划</w:t>
      </w:r>
      <w:r w:rsidRPr="000549B1">
        <w:t>采用</w:t>
      </w:r>
      <w:r w:rsidRPr="000549B1">
        <w:rPr>
          <w:rFonts w:ascii="宋体" w:hAnsi="宋体"/>
        </w:rPr>
        <w:t>“</w:t>
      </w:r>
      <w:r w:rsidRPr="000549B1">
        <w:t>开源与节流并重，改造与新建结合</w:t>
      </w:r>
      <w:r w:rsidRPr="000549B1">
        <w:rPr>
          <w:rFonts w:ascii="宋体" w:hAnsi="宋体"/>
        </w:rPr>
        <w:t>”</w:t>
      </w:r>
      <w:r w:rsidRPr="000549B1">
        <w:t>的总体布局。任务核心是</w:t>
      </w:r>
      <w:r w:rsidRPr="000549B1">
        <w:rPr>
          <w:bCs/>
        </w:rPr>
        <w:t>挖掘现有工程潜力、新建调蓄水源、全面推进灌区节水配套改造、并优化调整农业种植结构</w:t>
      </w:r>
      <w:r w:rsidRPr="000549B1">
        <w:t>。</w:t>
      </w:r>
    </w:p>
    <w:p w14:paraId="027BD7BA" w14:textId="5CC005CA" w:rsidR="00054437" w:rsidRPr="000549B1" w:rsidRDefault="00000000">
      <w:pPr>
        <w:pStyle w:val="aff8"/>
        <w:rPr>
          <w:color w:val="auto"/>
        </w:rPr>
      </w:pPr>
      <w:r w:rsidRPr="000549B1">
        <w:rPr>
          <w:color w:val="auto"/>
        </w:rPr>
        <w:t>表</w:t>
      </w:r>
      <w:r w:rsidR="00372953">
        <w:rPr>
          <w:color w:val="auto"/>
        </w:rPr>
        <w:fldChar w:fldCharType="begin"/>
      </w:r>
      <w:r w:rsidR="00372953">
        <w:rPr>
          <w:color w:val="auto"/>
        </w:rPr>
        <w:instrText xml:space="preserve"> STYLEREF 2 \s </w:instrText>
      </w:r>
      <w:r w:rsidR="00372953">
        <w:rPr>
          <w:color w:val="auto"/>
        </w:rPr>
        <w:fldChar w:fldCharType="separate"/>
      </w:r>
      <w:r w:rsidR="00372953">
        <w:rPr>
          <w:noProof/>
          <w:color w:val="auto"/>
        </w:rPr>
        <w:t>2.1</w:t>
      </w:r>
      <w:r w:rsidR="00372953">
        <w:rPr>
          <w:color w:val="auto"/>
        </w:rPr>
        <w:fldChar w:fldCharType="end"/>
      </w:r>
      <w:r w:rsidR="00372953">
        <w:rPr>
          <w:color w:val="auto"/>
        </w:rPr>
        <w:noBreakHyphen/>
      </w:r>
      <w:r w:rsidR="00372953">
        <w:rPr>
          <w:color w:val="auto"/>
        </w:rPr>
        <w:fldChar w:fldCharType="begin"/>
      </w:r>
      <w:r w:rsidR="00372953">
        <w:rPr>
          <w:color w:val="auto"/>
        </w:rPr>
        <w:instrText xml:space="preserve"> SEQ </w:instrText>
      </w:r>
      <w:r w:rsidR="00372953">
        <w:rPr>
          <w:color w:val="auto"/>
        </w:rPr>
        <w:instrText>表</w:instrText>
      </w:r>
      <w:r w:rsidR="00372953">
        <w:rPr>
          <w:color w:val="auto"/>
        </w:rPr>
        <w:instrText xml:space="preserve"> \* ARABIC \s 2 </w:instrText>
      </w:r>
      <w:r w:rsidR="00372953">
        <w:rPr>
          <w:color w:val="auto"/>
        </w:rPr>
        <w:fldChar w:fldCharType="separate"/>
      </w:r>
      <w:r w:rsidR="00372953">
        <w:rPr>
          <w:noProof/>
          <w:color w:val="auto"/>
        </w:rPr>
        <w:t>14</w:t>
      </w:r>
      <w:r w:rsidR="00372953">
        <w:rPr>
          <w:color w:val="auto"/>
        </w:rPr>
        <w:fldChar w:fldCharType="end"/>
      </w:r>
      <w:r w:rsidRPr="000549B1">
        <w:rPr>
          <w:color w:val="auto"/>
        </w:rPr>
        <w:t>灌溉规划核心任务与建设方式</w:t>
      </w:r>
    </w:p>
    <w:tbl>
      <w:tblPr>
        <w:tblW w:w="8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71"/>
        <w:gridCol w:w="2268"/>
        <w:gridCol w:w="4973"/>
      </w:tblGrid>
      <w:tr w:rsidR="000549B1" w:rsidRPr="000549B1" w14:paraId="359DED1E" w14:textId="77777777">
        <w:trPr>
          <w:trHeight w:val="20"/>
          <w:tblHeader/>
        </w:trPr>
        <w:tc>
          <w:tcPr>
            <w:tcW w:w="1271" w:type="dxa"/>
            <w:tcMar>
              <w:top w:w="150" w:type="dxa"/>
              <w:left w:w="0" w:type="dxa"/>
              <w:bottom w:w="150" w:type="dxa"/>
              <w:right w:w="240" w:type="dxa"/>
            </w:tcMar>
            <w:vAlign w:val="center"/>
          </w:tcPr>
          <w:p w14:paraId="640F9D69" w14:textId="77777777" w:rsidR="00054437" w:rsidRPr="000549B1" w:rsidRDefault="00000000">
            <w:pPr>
              <w:pStyle w:val="0-"/>
              <w:rPr>
                <w:rFonts w:cs="Times New Roman"/>
                <w:b/>
                <w:bCs/>
              </w:rPr>
            </w:pPr>
            <w:r w:rsidRPr="000549B1">
              <w:rPr>
                <w:rFonts w:cs="Times New Roman"/>
                <w:b/>
                <w:bCs/>
              </w:rPr>
              <w:t>规划方向</w:t>
            </w:r>
          </w:p>
        </w:tc>
        <w:tc>
          <w:tcPr>
            <w:tcW w:w="2268" w:type="dxa"/>
            <w:tcMar>
              <w:top w:w="150" w:type="dxa"/>
              <w:left w:w="240" w:type="dxa"/>
              <w:bottom w:w="150" w:type="dxa"/>
              <w:right w:w="240" w:type="dxa"/>
            </w:tcMar>
            <w:vAlign w:val="center"/>
          </w:tcPr>
          <w:p w14:paraId="4616B0BE" w14:textId="77777777" w:rsidR="00054437" w:rsidRPr="000549B1" w:rsidRDefault="00000000">
            <w:pPr>
              <w:pStyle w:val="0-"/>
              <w:rPr>
                <w:rFonts w:cs="Times New Roman"/>
                <w:b/>
                <w:bCs/>
              </w:rPr>
            </w:pPr>
            <w:r w:rsidRPr="000549B1">
              <w:rPr>
                <w:rFonts w:cs="Times New Roman"/>
                <w:b/>
                <w:bCs/>
              </w:rPr>
              <w:t>核心任务</w:t>
            </w:r>
          </w:p>
        </w:tc>
        <w:tc>
          <w:tcPr>
            <w:tcW w:w="4973" w:type="dxa"/>
            <w:tcMar>
              <w:top w:w="150" w:type="dxa"/>
              <w:left w:w="240" w:type="dxa"/>
              <w:bottom w:w="150" w:type="dxa"/>
              <w:right w:w="240" w:type="dxa"/>
            </w:tcMar>
            <w:vAlign w:val="center"/>
          </w:tcPr>
          <w:p w14:paraId="6F875392" w14:textId="77777777" w:rsidR="00054437" w:rsidRPr="000549B1" w:rsidRDefault="00000000">
            <w:pPr>
              <w:pStyle w:val="0-"/>
              <w:rPr>
                <w:rFonts w:cs="Times New Roman"/>
                <w:b/>
                <w:bCs/>
              </w:rPr>
            </w:pPr>
            <w:r w:rsidRPr="000549B1">
              <w:rPr>
                <w:rFonts w:cs="Times New Roman"/>
                <w:b/>
                <w:bCs/>
              </w:rPr>
              <w:t>主要建设方式</w:t>
            </w:r>
          </w:p>
        </w:tc>
      </w:tr>
      <w:tr w:rsidR="000549B1" w:rsidRPr="000549B1" w14:paraId="1645BFF2" w14:textId="77777777">
        <w:trPr>
          <w:trHeight w:val="20"/>
        </w:trPr>
        <w:tc>
          <w:tcPr>
            <w:tcW w:w="1271" w:type="dxa"/>
            <w:tcMar>
              <w:top w:w="150" w:type="dxa"/>
              <w:left w:w="0" w:type="dxa"/>
              <w:bottom w:w="150" w:type="dxa"/>
              <w:right w:w="240" w:type="dxa"/>
            </w:tcMar>
            <w:vAlign w:val="center"/>
          </w:tcPr>
          <w:p w14:paraId="069E7317" w14:textId="77777777" w:rsidR="00054437" w:rsidRPr="000549B1" w:rsidRDefault="00000000">
            <w:pPr>
              <w:pStyle w:val="0-"/>
              <w:rPr>
                <w:rFonts w:cs="Times New Roman"/>
              </w:rPr>
            </w:pPr>
            <w:r w:rsidRPr="000549B1">
              <w:rPr>
                <w:rFonts w:cs="Times New Roman"/>
                <w:bCs/>
              </w:rPr>
              <w:t>水源保障</w:t>
            </w:r>
          </w:p>
        </w:tc>
        <w:tc>
          <w:tcPr>
            <w:tcW w:w="2268" w:type="dxa"/>
            <w:tcMar>
              <w:top w:w="150" w:type="dxa"/>
              <w:left w:w="240" w:type="dxa"/>
              <w:bottom w:w="150" w:type="dxa"/>
              <w:right w:w="240" w:type="dxa"/>
            </w:tcMar>
            <w:vAlign w:val="center"/>
          </w:tcPr>
          <w:p w14:paraId="07B1EF02" w14:textId="63841363" w:rsidR="00054437" w:rsidRPr="000549B1" w:rsidRDefault="00000000">
            <w:pPr>
              <w:pStyle w:val="0-"/>
              <w:rPr>
                <w:rFonts w:cs="Times New Roman"/>
              </w:rPr>
            </w:pPr>
            <w:r w:rsidRPr="000549B1">
              <w:rPr>
                <w:rFonts w:cs="Times New Roman"/>
              </w:rPr>
              <w:t>增强流域水资源调蓄能力，解决</w:t>
            </w:r>
            <w:r w:rsidRPr="000549B1">
              <w:rPr>
                <w:rFonts w:ascii="宋体" w:hAnsi="宋体" w:cs="Times New Roman"/>
              </w:rPr>
              <w:t>“</w:t>
            </w:r>
            <w:r w:rsidRPr="000549B1">
              <w:rPr>
                <w:rFonts w:cs="Times New Roman"/>
              </w:rPr>
              <w:t>工程调节能力弱</w:t>
            </w:r>
            <w:r w:rsidRPr="000549B1">
              <w:rPr>
                <w:rFonts w:ascii="宋体" w:hAnsi="宋体" w:cs="Times New Roman"/>
              </w:rPr>
              <w:t>”</w:t>
            </w:r>
            <w:r w:rsidRPr="000549B1">
              <w:rPr>
                <w:rFonts w:cs="Times New Roman"/>
              </w:rPr>
              <w:t>和</w:t>
            </w:r>
            <w:r w:rsidRPr="000549B1">
              <w:rPr>
                <w:rFonts w:ascii="宋体" w:hAnsi="宋体" w:cs="Times New Roman"/>
              </w:rPr>
              <w:t>“</w:t>
            </w:r>
            <w:r w:rsidRPr="000549B1">
              <w:rPr>
                <w:rFonts w:cs="Times New Roman"/>
              </w:rPr>
              <w:t>季节性缺水</w:t>
            </w:r>
            <w:r w:rsidRPr="000549B1">
              <w:rPr>
                <w:rFonts w:ascii="宋体" w:hAnsi="宋体" w:cs="Times New Roman"/>
              </w:rPr>
              <w:t>”</w:t>
            </w:r>
            <w:r w:rsidRPr="000549B1">
              <w:rPr>
                <w:rFonts w:cs="Times New Roman"/>
              </w:rPr>
              <w:t>问题</w:t>
            </w:r>
          </w:p>
        </w:tc>
        <w:tc>
          <w:tcPr>
            <w:tcW w:w="4973" w:type="dxa"/>
            <w:tcMar>
              <w:top w:w="150" w:type="dxa"/>
              <w:left w:w="240" w:type="dxa"/>
              <w:bottom w:w="150" w:type="dxa"/>
              <w:right w:w="0" w:type="dxa"/>
            </w:tcMar>
            <w:vAlign w:val="center"/>
          </w:tcPr>
          <w:p w14:paraId="502AD54D" w14:textId="5CE897B4" w:rsidR="00054437" w:rsidRPr="000549B1" w:rsidRDefault="00000000">
            <w:pPr>
              <w:pStyle w:val="0-"/>
              <w:rPr>
                <w:rFonts w:cs="Times New Roman"/>
              </w:rPr>
            </w:pPr>
            <w:r w:rsidRPr="000549B1">
              <w:rPr>
                <w:rFonts w:cs="Times New Roman"/>
              </w:rPr>
              <w:t>1.</w:t>
            </w:r>
            <w:r w:rsidRPr="000549B1">
              <w:rPr>
                <w:rFonts w:cs="Times New Roman"/>
                <w:bCs/>
              </w:rPr>
              <w:t>新建重大调蓄工程</w:t>
            </w:r>
            <w:r w:rsidRPr="000549B1">
              <w:rPr>
                <w:rFonts w:cs="Times New Roman"/>
              </w:rPr>
              <w:t>：建设</w:t>
            </w:r>
            <w:r w:rsidRPr="000549B1">
              <w:rPr>
                <w:rFonts w:cs="Times New Roman"/>
                <w:bCs/>
              </w:rPr>
              <w:t>大河坝水库</w:t>
            </w:r>
            <w:r w:rsidRPr="000549B1">
              <w:rPr>
                <w:rFonts w:cs="Times New Roman"/>
              </w:rPr>
              <w:t>等控制性枢纽。</w:t>
            </w:r>
            <w:r w:rsidRPr="000549B1">
              <w:rPr>
                <w:rFonts w:cs="Times New Roman"/>
              </w:rPr>
              <w:br/>
              <w:t>2.</w:t>
            </w:r>
            <w:r w:rsidRPr="000549B1">
              <w:rPr>
                <w:rFonts w:cs="Times New Roman"/>
                <w:bCs/>
              </w:rPr>
              <w:t>新建小型水库</w:t>
            </w:r>
            <w:r w:rsidRPr="000549B1">
              <w:rPr>
                <w:rFonts w:cs="Times New Roman"/>
              </w:rPr>
              <w:t>：建设叉叉沟、直亥买沟、鹿龙沟等小型水库。</w:t>
            </w:r>
            <w:r w:rsidRPr="000549B1">
              <w:rPr>
                <w:rFonts w:cs="Times New Roman"/>
              </w:rPr>
              <w:br/>
              <w:t>3.</w:t>
            </w:r>
            <w:r w:rsidRPr="000549B1">
              <w:rPr>
                <w:rFonts w:cs="Times New Roman"/>
                <w:bCs/>
              </w:rPr>
              <w:t>实施现有工程提升</w:t>
            </w:r>
            <w:r w:rsidRPr="000549B1">
              <w:rPr>
                <w:rFonts w:cs="Times New Roman"/>
              </w:rPr>
              <w:t>：对切吉水库进行增效扩容，对大水水库实施清淤工程</w:t>
            </w:r>
          </w:p>
        </w:tc>
      </w:tr>
      <w:tr w:rsidR="000549B1" w:rsidRPr="000549B1" w14:paraId="34A2FD87" w14:textId="77777777">
        <w:trPr>
          <w:trHeight w:val="20"/>
        </w:trPr>
        <w:tc>
          <w:tcPr>
            <w:tcW w:w="1271" w:type="dxa"/>
            <w:tcMar>
              <w:top w:w="150" w:type="dxa"/>
              <w:left w:w="0" w:type="dxa"/>
              <w:bottom w:w="150" w:type="dxa"/>
              <w:right w:w="240" w:type="dxa"/>
            </w:tcMar>
            <w:vAlign w:val="center"/>
          </w:tcPr>
          <w:p w14:paraId="0CE159A5" w14:textId="77777777" w:rsidR="00054437" w:rsidRPr="000549B1" w:rsidRDefault="00000000">
            <w:pPr>
              <w:pStyle w:val="0-"/>
              <w:rPr>
                <w:rFonts w:cs="Times New Roman"/>
              </w:rPr>
            </w:pPr>
            <w:r w:rsidRPr="000549B1">
              <w:rPr>
                <w:rFonts w:cs="Times New Roman"/>
                <w:bCs/>
              </w:rPr>
              <w:t>灌区改造与节水</w:t>
            </w:r>
          </w:p>
        </w:tc>
        <w:tc>
          <w:tcPr>
            <w:tcW w:w="2268" w:type="dxa"/>
            <w:tcMar>
              <w:top w:w="150" w:type="dxa"/>
              <w:left w:w="240" w:type="dxa"/>
              <w:bottom w:w="150" w:type="dxa"/>
              <w:right w:w="240" w:type="dxa"/>
            </w:tcMar>
            <w:vAlign w:val="center"/>
          </w:tcPr>
          <w:p w14:paraId="3C38C14B" w14:textId="6210ACF4" w:rsidR="00054437" w:rsidRPr="000549B1" w:rsidRDefault="00000000">
            <w:pPr>
              <w:pStyle w:val="0-"/>
              <w:rPr>
                <w:rFonts w:cs="Times New Roman"/>
              </w:rPr>
            </w:pPr>
            <w:r w:rsidRPr="000549B1">
              <w:rPr>
                <w:rFonts w:cs="Times New Roman"/>
              </w:rPr>
              <w:t>对现有灌区进行现代化改造，大幅提升灌溉水利用效率</w:t>
            </w:r>
          </w:p>
        </w:tc>
        <w:tc>
          <w:tcPr>
            <w:tcW w:w="4973" w:type="dxa"/>
            <w:tcMar>
              <w:top w:w="150" w:type="dxa"/>
              <w:left w:w="240" w:type="dxa"/>
              <w:bottom w:w="150" w:type="dxa"/>
              <w:right w:w="0" w:type="dxa"/>
            </w:tcMar>
            <w:vAlign w:val="center"/>
          </w:tcPr>
          <w:p w14:paraId="685C367B" w14:textId="77E6E00E" w:rsidR="00054437" w:rsidRPr="000549B1" w:rsidRDefault="00000000">
            <w:pPr>
              <w:pStyle w:val="0-"/>
              <w:rPr>
                <w:rFonts w:cs="Times New Roman"/>
              </w:rPr>
            </w:pPr>
            <w:r w:rsidRPr="000549B1">
              <w:rPr>
                <w:rFonts w:cs="Times New Roman"/>
              </w:rPr>
              <w:t>1.</w:t>
            </w:r>
            <w:r w:rsidRPr="000549B1">
              <w:rPr>
                <w:rFonts w:cs="Times New Roman"/>
                <w:bCs/>
              </w:rPr>
              <w:t>续建配套与节水改造</w:t>
            </w:r>
            <w:r w:rsidRPr="000549B1">
              <w:rPr>
                <w:rFonts w:cs="Times New Roman"/>
              </w:rPr>
              <w:t>：对</w:t>
            </w:r>
            <w:r w:rsidRPr="000549B1">
              <w:rPr>
                <w:rFonts w:cs="Times New Roman"/>
                <w:bCs/>
              </w:rPr>
              <w:t>塔什秋、大水、叉叉沟、切吉</w:t>
            </w:r>
            <w:r w:rsidRPr="000549B1">
              <w:rPr>
                <w:rFonts w:cs="Times New Roman"/>
              </w:rPr>
              <w:t>等水库灌区的干支渠进行防渗改造，维修配套建筑物，完善计量监测设施。</w:t>
            </w:r>
            <w:r w:rsidRPr="000549B1">
              <w:rPr>
                <w:rFonts w:cs="Times New Roman"/>
              </w:rPr>
              <w:br/>
              <w:t>2.</w:t>
            </w:r>
            <w:r w:rsidRPr="000549B1">
              <w:rPr>
                <w:rFonts w:cs="Times New Roman"/>
                <w:bCs/>
              </w:rPr>
              <w:t>大力发展高效节水灌溉</w:t>
            </w:r>
            <w:r w:rsidRPr="000549B1">
              <w:rPr>
                <w:rFonts w:cs="Times New Roman"/>
              </w:rPr>
              <w:t>：规划新增的</w:t>
            </w:r>
            <w:r w:rsidRPr="000549B1">
              <w:rPr>
                <w:rFonts w:cs="Times New Roman"/>
                <w:bCs/>
              </w:rPr>
              <w:t>42.88</w:t>
            </w:r>
            <w:r w:rsidRPr="000549B1">
              <w:rPr>
                <w:rFonts w:cs="Times New Roman"/>
                <w:bCs/>
              </w:rPr>
              <w:t>万亩</w:t>
            </w:r>
            <w:r w:rsidRPr="000549B1">
              <w:rPr>
                <w:rFonts w:cs="Times New Roman"/>
              </w:rPr>
              <w:t>灌溉面积（含耕地</w:t>
            </w:r>
            <w:r w:rsidRPr="000549B1">
              <w:rPr>
                <w:rFonts w:cs="Times New Roman"/>
              </w:rPr>
              <w:t>14.6</w:t>
            </w:r>
            <w:r w:rsidRPr="000549B1">
              <w:rPr>
                <w:rFonts w:cs="Times New Roman"/>
              </w:rPr>
              <w:t>万亩、牧草</w:t>
            </w:r>
            <w:r w:rsidRPr="000549B1">
              <w:rPr>
                <w:rFonts w:cs="Times New Roman"/>
              </w:rPr>
              <w:t>28.28</w:t>
            </w:r>
            <w:r w:rsidRPr="000549B1">
              <w:rPr>
                <w:rFonts w:cs="Times New Roman"/>
              </w:rPr>
              <w:t>万亩）全部采用高效节水灌溉方式（如喷灌、微灌）</w:t>
            </w:r>
          </w:p>
        </w:tc>
      </w:tr>
      <w:tr w:rsidR="000549B1" w:rsidRPr="000549B1" w14:paraId="3AB4B261" w14:textId="77777777">
        <w:trPr>
          <w:trHeight w:val="20"/>
        </w:trPr>
        <w:tc>
          <w:tcPr>
            <w:tcW w:w="1271" w:type="dxa"/>
            <w:tcMar>
              <w:top w:w="150" w:type="dxa"/>
              <w:left w:w="0" w:type="dxa"/>
              <w:bottom w:w="150" w:type="dxa"/>
              <w:right w:w="240" w:type="dxa"/>
            </w:tcMar>
            <w:vAlign w:val="center"/>
          </w:tcPr>
          <w:p w14:paraId="6BE4ECA5" w14:textId="77777777" w:rsidR="00054437" w:rsidRPr="000549B1" w:rsidRDefault="00000000">
            <w:pPr>
              <w:pStyle w:val="0-"/>
              <w:rPr>
                <w:rFonts w:cs="Times New Roman"/>
              </w:rPr>
            </w:pPr>
            <w:r w:rsidRPr="000549B1">
              <w:rPr>
                <w:rFonts w:cs="Times New Roman"/>
                <w:bCs/>
              </w:rPr>
              <w:t>种植结构优化</w:t>
            </w:r>
          </w:p>
        </w:tc>
        <w:tc>
          <w:tcPr>
            <w:tcW w:w="2268" w:type="dxa"/>
            <w:tcMar>
              <w:top w:w="150" w:type="dxa"/>
              <w:left w:w="240" w:type="dxa"/>
              <w:bottom w:w="150" w:type="dxa"/>
              <w:right w:w="240" w:type="dxa"/>
            </w:tcMar>
            <w:vAlign w:val="center"/>
          </w:tcPr>
          <w:p w14:paraId="48577685" w14:textId="34C8014E" w:rsidR="00054437" w:rsidRPr="000549B1" w:rsidRDefault="00000000">
            <w:pPr>
              <w:pStyle w:val="0-"/>
              <w:rPr>
                <w:rFonts w:cs="Times New Roman"/>
              </w:rPr>
            </w:pPr>
            <w:r w:rsidRPr="000549B1">
              <w:rPr>
                <w:rFonts w:cs="Times New Roman"/>
              </w:rPr>
              <w:t>服务于区域农牧业发展战略，提升粮食和饲草供给能力</w:t>
            </w:r>
          </w:p>
        </w:tc>
        <w:tc>
          <w:tcPr>
            <w:tcW w:w="4973" w:type="dxa"/>
            <w:tcMar>
              <w:top w:w="150" w:type="dxa"/>
              <w:left w:w="240" w:type="dxa"/>
              <w:bottom w:w="150" w:type="dxa"/>
              <w:right w:w="0" w:type="dxa"/>
            </w:tcMar>
            <w:vAlign w:val="center"/>
          </w:tcPr>
          <w:p w14:paraId="5E6A9A77" w14:textId="6F2E674E" w:rsidR="00054437" w:rsidRPr="000549B1" w:rsidRDefault="00000000">
            <w:pPr>
              <w:pStyle w:val="0-"/>
              <w:rPr>
                <w:rFonts w:cs="Times New Roman"/>
              </w:rPr>
            </w:pPr>
            <w:r w:rsidRPr="000549B1">
              <w:rPr>
                <w:rFonts w:cs="Times New Roman"/>
              </w:rPr>
              <w:t>1.</w:t>
            </w:r>
            <w:r w:rsidRPr="000549B1">
              <w:rPr>
                <w:rFonts w:cs="Times New Roman"/>
                <w:bCs/>
              </w:rPr>
              <w:t>调整作物结构</w:t>
            </w:r>
            <w:r w:rsidRPr="000549B1">
              <w:rPr>
                <w:rFonts w:cs="Times New Roman"/>
              </w:rPr>
              <w:t>：增加青稞、油菜的种植比例，流域粮经比从</w:t>
            </w:r>
            <w:r w:rsidRPr="000549B1">
              <w:rPr>
                <w:rFonts w:cs="Times New Roman"/>
              </w:rPr>
              <w:t>3.75</w:t>
            </w:r>
            <w:r w:rsidRPr="000549B1">
              <w:rPr>
                <w:rFonts w:cs="Times New Roman"/>
              </w:rPr>
              <w:t>调整为</w:t>
            </w:r>
            <w:r w:rsidRPr="000549B1">
              <w:rPr>
                <w:rFonts w:cs="Times New Roman"/>
              </w:rPr>
              <w:t>1.9</w:t>
            </w:r>
            <w:r w:rsidRPr="000549B1">
              <w:rPr>
                <w:rFonts w:cs="Times New Roman"/>
              </w:rPr>
              <w:t>。</w:t>
            </w:r>
            <w:r w:rsidRPr="000549B1">
              <w:rPr>
                <w:rFonts w:cs="Times New Roman"/>
              </w:rPr>
              <w:br/>
              <w:t>2.</w:t>
            </w:r>
            <w:r w:rsidRPr="000549B1">
              <w:rPr>
                <w:rFonts w:cs="Times New Roman"/>
                <w:bCs/>
              </w:rPr>
              <w:t>发展优质饲草</w:t>
            </w:r>
            <w:r w:rsidRPr="000549B1">
              <w:rPr>
                <w:rFonts w:cs="Times New Roman"/>
              </w:rPr>
              <w:t>：新增</w:t>
            </w:r>
            <w:r w:rsidRPr="000549B1">
              <w:rPr>
                <w:rFonts w:cs="Times New Roman"/>
              </w:rPr>
              <w:t>28.28</w:t>
            </w:r>
            <w:r w:rsidRPr="000549B1">
              <w:rPr>
                <w:rFonts w:cs="Times New Roman"/>
              </w:rPr>
              <w:t>万亩草地灌溉面积，主要用于种植燕麦、披碱草等，建设饲草料基地</w:t>
            </w:r>
          </w:p>
        </w:tc>
      </w:tr>
    </w:tbl>
    <w:p w14:paraId="412C0356" w14:textId="18A64C66" w:rsidR="00054437" w:rsidRPr="000549B1" w:rsidRDefault="002F2485" w:rsidP="000549B1">
      <w:pPr>
        <w:pStyle w:val="x"/>
      </w:pPr>
      <w:r w:rsidRPr="000549B1">
        <w:rPr>
          <w:rFonts w:hint="eastAsia"/>
        </w:rPr>
        <w:t>（</w:t>
      </w:r>
      <w:r w:rsidRPr="000549B1">
        <w:rPr>
          <w:rFonts w:hint="eastAsia"/>
        </w:rPr>
        <w:t>3</w:t>
      </w:r>
      <w:r w:rsidRPr="000549B1">
        <w:rPr>
          <w:rFonts w:hint="eastAsia"/>
        </w:rPr>
        <w:t>）</w:t>
      </w:r>
      <w:r w:rsidRPr="000549B1">
        <w:t>规划涉及的重大工程</w:t>
      </w:r>
    </w:p>
    <w:p w14:paraId="5088DAC0" w14:textId="1850C94F" w:rsidR="00054437" w:rsidRPr="000549B1" w:rsidRDefault="00000000">
      <w:pPr>
        <w:pStyle w:val="x"/>
      </w:pPr>
      <w:r w:rsidRPr="000549B1">
        <w:rPr>
          <w:rFonts w:hint="eastAsia"/>
        </w:rPr>
        <w:t>规划</w:t>
      </w:r>
      <w:r w:rsidRPr="000549B1">
        <w:t>涉及一项具有战略意义的跨流域调水工程和一系列支撑性的水源工程，是实现灌溉面积扩张目标的关键。</w:t>
      </w:r>
    </w:p>
    <w:p w14:paraId="2D3CCFCB" w14:textId="16CAD507" w:rsidR="00054437" w:rsidRPr="000549B1" w:rsidRDefault="00000000">
      <w:pPr>
        <w:pStyle w:val="aff8"/>
        <w:rPr>
          <w:color w:val="auto"/>
        </w:rPr>
      </w:pPr>
      <w:r w:rsidRPr="000549B1">
        <w:rPr>
          <w:color w:val="auto"/>
        </w:rPr>
        <w:t>表</w:t>
      </w:r>
      <w:r w:rsidR="00372953">
        <w:rPr>
          <w:color w:val="auto"/>
        </w:rPr>
        <w:fldChar w:fldCharType="begin"/>
      </w:r>
      <w:r w:rsidR="00372953">
        <w:rPr>
          <w:color w:val="auto"/>
        </w:rPr>
        <w:instrText xml:space="preserve"> STYLEREF 2 \s </w:instrText>
      </w:r>
      <w:r w:rsidR="00372953">
        <w:rPr>
          <w:color w:val="auto"/>
        </w:rPr>
        <w:fldChar w:fldCharType="separate"/>
      </w:r>
      <w:r w:rsidR="00372953">
        <w:rPr>
          <w:noProof/>
          <w:color w:val="auto"/>
        </w:rPr>
        <w:t>2.1</w:t>
      </w:r>
      <w:r w:rsidR="00372953">
        <w:rPr>
          <w:color w:val="auto"/>
        </w:rPr>
        <w:fldChar w:fldCharType="end"/>
      </w:r>
      <w:r w:rsidR="00372953">
        <w:rPr>
          <w:color w:val="auto"/>
        </w:rPr>
        <w:noBreakHyphen/>
      </w:r>
      <w:r w:rsidR="00372953">
        <w:rPr>
          <w:color w:val="auto"/>
        </w:rPr>
        <w:fldChar w:fldCharType="begin"/>
      </w:r>
      <w:r w:rsidR="00372953">
        <w:rPr>
          <w:color w:val="auto"/>
        </w:rPr>
        <w:instrText xml:space="preserve"> SEQ </w:instrText>
      </w:r>
      <w:r w:rsidR="00372953">
        <w:rPr>
          <w:color w:val="auto"/>
        </w:rPr>
        <w:instrText>表</w:instrText>
      </w:r>
      <w:r w:rsidR="00372953">
        <w:rPr>
          <w:color w:val="auto"/>
        </w:rPr>
        <w:instrText xml:space="preserve"> \* ARABIC \s 2 </w:instrText>
      </w:r>
      <w:r w:rsidR="00372953">
        <w:rPr>
          <w:color w:val="auto"/>
        </w:rPr>
        <w:fldChar w:fldCharType="separate"/>
      </w:r>
      <w:r w:rsidR="00372953">
        <w:rPr>
          <w:noProof/>
          <w:color w:val="auto"/>
        </w:rPr>
        <w:t>15</w:t>
      </w:r>
      <w:r w:rsidR="00372953">
        <w:rPr>
          <w:color w:val="auto"/>
        </w:rPr>
        <w:fldChar w:fldCharType="end"/>
      </w:r>
      <w:r w:rsidRPr="000549B1">
        <w:rPr>
          <w:color w:val="auto"/>
        </w:rPr>
        <w:t>规划涉及的重大灌溉工程基本情况</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60"/>
        <w:gridCol w:w="1985"/>
        <w:gridCol w:w="3462"/>
        <w:gridCol w:w="2060"/>
      </w:tblGrid>
      <w:tr w:rsidR="000549B1" w:rsidRPr="000549B1" w14:paraId="6AA09C0A" w14:textId="77777777">
        <w:trPr>
          <w:tblHeader/>
          <w:jc w:val="center"/>
        </w:trPr>
        <w:tc>
          <w:tcPr>
            <w:tcW w:w="1560" w:type="dxa"/>
            <w:tcMar>
              <w:top w:w="150" w:type="dxa"/>
              <w:left w:w="0" w:type="dxa"/>
              <w:bottom w:w="150" w:type="dxa"/>
              <w:right w:w="240" w:type="dxa"/>
            </w:tcMar>
            <w:vAlign w:val="center"/>
          </w:tcPr>
          <w:p w14:paraId="10FC62A2" w14:textId="77777777" w:rsidR="00054437" w:rsidRPr="000549B1" w:rsidRDefault="00000000">
            <w:pPr>
              <w:pStyle w:val="0-"/>
              <w:rPr>
                <w:rFonts w:cs="Times New Roman"/>
                <w:b/>
                <w:bCs/>
              </w:rPr>
            </w:pPr>
            <w:r w:rsidRPr="000549B1">
              <w:rPr>
                <w:rFonts w:cs="Times New Roman"/>
                <w:b/>
                <w:bCs/>
              </w:rPr>
              <w:t>工程名称</w:t>
            </w:r>
          </w:p>
        </w:tc>
        <w:tc>
          <w:tcPr>
            <w:tcW w:w="1985" w:type="dxa"/>
            <w:tcMar>
              <w:top w:w="150" w:type="dxa"/>
              <w:left w:w="240" w:type="dxa"/>
              <w:bottom w:w="150" w:type="dxa"/>
              <w:right w:w="240" w:type="dxa"/>
            </w:tcMar>
            <w:vAlign w:val="center"/>
          </w:tcPr>
          <w:p w14:paraId="3D60AA0F" w14:textId="77777777" w:rsidR="00054437" w:rsidRPr="000549B1" w:rsidRDefault="00000000">
            <w:pPr>
              <w:pStyle w:val="0-"/>
              <w:rPr>
                <w:rFonts w:cs="Times New Roman"/>
                <w:b/>
                <w:bCs/>
              </w:rPr>
            </w:pPr>
            <w:r w:rsidRPr="000549B1">
              <w:rPr>
                <w:rFonts w:cs="Times New Roman"/>
                <w:b/>
                <w:bCs/>
              </w:rPr>
              <w:t>工程性质与等级</w:t>
            </w:r>
          </w:p>
        </w:tc>
        <w:tc>
          <w:tcPr>
            <w:tcW w:w="3462" w:type="dxa"/>
            <w:tcMar>
              <w:top w:w="150" w:type="dxa"/>
              <w:left w:w="240" w:type="dxa"/>
              <w:bottom w:w="150" w:type="dxa"/>
              <w:right w:w="240" w:type="dxa"/>
            </w:tcMar>
            <w:vAlign w:val="center"/>
          </w:tcPr>
          <w:p w14:paraId="4068C6AF" w14:textId="77777777" w:rsidR="00054437" w:rsidRPr="000549B1" w:rsidRDefault="00000000">
            <w:pPr>
              <w:pStyle w:val="0-"/>
              <w:rPr>
                <w:rFonts w:cs="Times New Roman"/>
                <w:b/>
                <w:bCs/>
              </w:rPr>
            </w:pPr>
            <w:r w:rsidRPr="000549B1">
              <w:rPr>
                <w:rFonts w:cs="Times New Roman"/>
                <w:b/>
                <w:bCs/>
              </w:rPr>
              <w:t>核心任务</w:t>
            </w:r>
          </w:p>
        </w:tc>
        <w:tc>
          <w:tcPr>
            <w:tcW w:w="2060" w:type="dxa"/>
            <w:tcMar>
              <w:top w:w="150" w:type="dxa"/>
              <w:left w:w="240" w:type="dxa"/>
              <w:bottom w:w="150" w:type="dxa"/>
              <w:right w:w="240" w:type="dxa"/>
            </w:tcMar>
            <w:vAlign w:val="center"/>
          </w:tcPr>
          <w:p w14:paraId="0E9AFB1F" w14:textId="77777777" w:rsidR="00054437" w:rsidRPr="000549B1" w:rsidRDefault="00000000">
            <w:pPr>
              <w:pStyle w:val="0-"/>
              <w:rPr>
                <w:rFonts w:cs="Times New Roman"/>
                <w:b/>
                <w:bCs/>
              </w:rPr>
            </w:pPr>
            <w:r w:rsidRPr="000549B1">
              <w:rPr>
                <w:rFonts w:cs="Times New Roman"/>
                <w:b/>
                <w:bCs/>
              </w:rPr>
              <w:t>工程规模</w:t>
            </w:r>
          </w:p>
        </w:tc>
      </w:tr>
      <w:tr w:rsidR="000549B1" w:rsidRPr="000549B1" w14:paraId="5B5F3E9F" w14:textId="77777777">
        <w:trPr>
          <w:jc w:val="center"/>
        </w:trPr>
        <w:tc>
          <w:tcPr>
            <w:tcW w:w="1560" w:type="dxa"/>
            <w:tcMar>
              <w:top w:w="150" w:type="dxa"/>
              <w:left w:w="0" w:type="dxa"/>
              <w:bottom w:w="150" w:type="dxa"/>
              <w:right w:w="240" w:type="dxa"/>
            </w:tcMar>
            <w:vAlign w:val="center"/>
          </w:tcPr>
          <w:p w14:paraId="2E8F2C49" w14:textId="77777777" w:rsidR="00054437" w:rsidRPr="000549B1" w:rsidRDefault="00000000">
            <w:pPr>
              <w:pStyle w:val="0-"/>
              <w:rPr>
                <w:rFonts w:cs="Times New Roman"/>
              </w:rPr>
            </w:pPr>
            <w:r w:rsidRPr="000549B1">
              <w:rPr>
                <w:rFonts w:cs="Times New Roman"/>
                <w:bCs/>
              </w:rPr>
              <w:t>大河坝水库工程</w:t>
            </w:r>
          </w:p>
        </w:tc>
        <w:tc>
          <w:tcPr>
            <w:tcW w:w="1985" w:type="dxa"/>
            <w:tcMar>
              <w:top w:w="150" w:type="dxa"/>
              <w:left w:w="240" w:type="dxa"/>
              <w:bottom w:w="150" w:type="dxa"/>
              <w:right w:w="240" w:type="dxa"/>
            </w:tcMar>
            <w:vAlign w:val="center"/>
          </w:tcPr>
          <w:p w14:paraId="45A2C1A3" w14:textId="1502FFB4" w:rsidR="00054437" w:rsidRPr="000549B1" w:rsidRDefault="00000000">
            <w:pPr>
              <w:pStyle w:val="0-"/>
              <w:rPr>
                <w:rFonts w:cs="Times New Roman"/>
              </w:rPr>
            </w:pPr>
            <w:r w:rsidRPr="000549B1">
              <w:rPr>
                <w:rFonts w:cs="Times New Roman"/>
              </w:rPr>
              <w:t>新建，</w:t>
            </w:r>
            <w:r w:rsidRPr="000549B1">
              <w:rPr>
                <w:rFonts w:cs="Times New Roman"/>
                <w:bCs/>
              </w:rPr>
              <w:t>中型</w:t>
            </w:r>
            <w:r w:rsidRPr="000549B1">
              <w:rPr>
                <w:rFonts w:cs="Times New Roman"/>
              </w:rPr>
              <w:t>水库枢纽，属</w:t>
            </w:r>
            <w:r w:rsidRPr="000549B1">
              <w:rPr>
                <w:rFonts w:cs="Times New Roman"/>
                <w:bCs/>
              </w:rPr>
              <w:t>跨流域调水工程</w:t>
            </w:r>
          </w:p>
        </w:tc>
        <w:tc>
          <w:tcPr>
            <w:tcW w:w="3462" w:type="dxa"/>
            <w:tcMar>
              <w:top w:w="150" w:type="dxa"/>
              <w:left w:w="240" w:type="dxa"/>
              <w:bottom w:w="150" w:type="dxa"/>
              <w:right w:w="240" w:type="dxa"/>
            </w:tcMar>
            <w:vAlign w:val="center"/>
          </w:tcPr>
          <w:p w14:paraId="0FEB713F" w14:textId="235183AE" w:rsidR="00054437" w:rsidRPr="000549B1" w:rsidRDefault="00000000">
            <w:pPr>
              <w:pStyle w:val="0-"/>
              <w:rPr>
                <w:rFonts w:cs="Times New Roman"/>
              </w:rPr>
            </w:pPr>
            <w:r w:rsidRPr="000549B1">
              <w:rPr>
                <w:rFonts w:cs="Times New Roman"/>
              </w:rPr>
              <w:t>作为</w:t>
            </w:r>
            <w:r w:rsidRPr="000549B1">
              <w:rPr>
                <w:rFonts w:ascii="宋体" w:hAnsi="宋体" w:cs="Times New Roman"/>
              </w:rPr>
              <w:t>“</w:t>
            </w:r>
            <w:r w:rsidRPr="000549B1">
              <w:rPr>
                <w:rFonts w:cs="Times New Roman"/>
              </w:rPr>
              <w:t>三滩引水</w:t>
            </w:r>
            <w:r w:rsidRPr="000549B1">
              <w:rPr>
                <w:rFonts w:ascii="宋体" w:hAnsi="宋体" w:cs="Times New Roman"/>
              </w:rPr>
              <w:t>”</w:t>
            </w:r>
            <w:r w:rsidRPr="000549B1">
              <w:rPr>
                <w:rFonts w:cs="Times New Roman"/>
              </w:rPr>
              <w:t>工程的关键组成部分，从大河坝河引水至切吉河，是解决沙珠玉流域整体性灌溉缺水问题的</w:t>
            </w:r>
            <w:r w:rsidRPr="000549B1">
              <w:rPr>
                <w:rFonts w:cs="Times New Roman"/>
                <w:bCs/>
              </w:rPr>
              <w:t>控制性工程</w:t>
            </w:r>
          </w:p>
        </w:tc>
        <w:tc>
          <w:tcPr>
            <w:tcW w:w="2060" w:type="dxa"/>
            <w:tcMar>
              <w:top w:w="150" w:type="dxa"/>
              <w:left w:w="240" w:type="dxa"/>
              <w:bottom w:w="150" w:type="dxa"/>
              <w:right w:w="0" w:type="dxa"/>
            </w:tcMar>
            <w:vAlign w:val="center"/>
          </w:tcPr>
          <w:p w14:paraId="566427FF" w14:textId="1BAEEB47" w:rsidR="00054437" w:rsidRPr="000549B1" w:rsidRDefault="00000000">
            <w:pPr>
              <w:pStyle w:val="0-"/>
              <w:ind w:leftChars="-100" w:left="-210"/>
              <w:jc w:val="both"/>
              <w:rPr>
                <w:rFonts w:cs="Times New Roman"/>
              </w:rPr>
            </w:pPr>
            <w:r w:rsidRPr="000549B1">
              <w:rPr>
                <w:rFonts w:cs="Times New Roman"/>
              </w:rPr>
              <w:t>总库容</w:t>
            </w:r>
            <w:r w:rsidRPr="000549B1">
              <w:rPr>
                <w:rFonts w:cs="Times New Roman"/>
                <w:bCs/>
              </w:rPr>
              <w:t>7645</w:t>
            </w:r>
            <w:r w:rsidRPr="000549B1">
              <w:rPr>
                <w:rFonts w:cs="Times New Roman"/>
                <w:bCs/>
              </w:rPr>
              <w:t>万</w:t>
            </w:r>
            <w:r w:rsidRPr="000549B1">
              <w:rPr>
                <w:rFonts w:cs="Times New Roman"/>
                <w:bCs/>
              </w:rPr>
              <w:t>m³;</w:t>
            </w:r>
            <w:r w:rsidRPr="000549B1">
              <w:rPr>
                <w:rFonts w:cs="Times New Roman"/>
              </w:rPr>
              <w:t>兴利库容</w:t>
            </w:r>
            <w:r w:rsidRPr="000549B1">
              <w:rPr>
                <w:rFonts w:cs="Times New Roman"/>
                <w:bCs/>
              </w:rPr>
              <w:t>6354</w:t>
            </w:r>
            <w:r w:rsidRPr="000549B1">
              <w:rPr>
                <w:rFonts w:cs="Times New Roman"/>
                <w:bCs/>
              </w:rPr>
              <w:t>万</w:t>
            </w:r>
            <w:r w:rsidRPr="000549B1">
              <w:rPr>
                <w:rFonts w:cs="Times New Roman"/>
                <w:bCs/>
              </w:rPr>
              <w:t>m³</w:t>
            </w:r>
          </w:p>
        </w:tc>
      </w:tr>
      <w:tr w:rsidR="000549B1" w:rsidRPr="000549B1" w14:paraId="1A2D00EA" w14:textId="77777777">
        <w:trPr>
          <w:jc w:val="center"/>
        </w:trPr>
        <w:tc>
          <w:tcPr>
            <w:tcW w:w="1560" w:type="dxa"/>
            <w:tcMar>
              <w:top w:w="150" w:type="dxa"/>
              <w:left w:w="0" w:type="dxa"/>
              <w:bottom w:w="150" w:type="dxa"/>
              <w:right w:w="240" w:type="dxa"/>
            </w:tcMar>
            <w:vAlign w:val="center"/>
          </w:tcPr>
          <w:p w14:paraId="6FF2438F" w14:textId="77777777" w:rsidR="00054437" w:rsidRPr="000549B1" w:rsidRDefault="00000000">
            <w:pPr>
              <w:pStyle w:val="0-"/>
              <w:rPr>
                <w:rFonts w:cs="Times New Roman"/>
              </w:rPr>
            </w:pPr>
            <w:r w:rsidRPr="000549B1">
              <w:rPr>
                <w:rFonts w:cs="Times New Roman"/>
                <w:bCs/>
              </w:rPr>
              <w:t>叉叉沟水库</w:t>
            </w:r>
          </w:p>
        </w:tc>
        <w:tc>
          <w:tcPr>
            <w:tcW w:w="1985" w:type="dxa"/>
            <w:tcMar>
              <w:top w:w="150" w:type="dxa"/>
              <w:left w:w="240" w:type="dxa"/>
              <w:bottom w:w="150" w:type="dxa"/>
              <w:right w:w="240" w:type="dxa"/>
            </w:tcMar>
            <w:vAlign w:val="center"/>
          </w:tcPr>
          <w:p w14:paraId="3C16B112" w14:textId="2F185005" w:rsidR="00054437" w:rsidRPr="000549B1" w:rsidRDefault="00000000">
            <w:pPr>
              <w:pStyle w:val="0-"/>
              <w:rPr>
                <w:rFonts w:cs="Times New Roman"/>
              </w:rPr>
            </w:pPr>
            <w:r w:rsidRPr="000549B1">
              <w:rPr>
                <w:rFonts w:cs="Times New Roman"/>
              </w:rPr>
              <w:t>新建，</w:t>
            </w:r>
            <w:r w:rsidRPr="000549B1">
              <w:rPr>
                <w:rFonts w:cs="Times New Roman"/>
                <w:bCs/>
              </w:rPr>
              <w:t>小（</w:t>
            </w:r>
            <w:r w:rsidRPr="000549B1">
              <w:rPr>
                <w:rFonts w:cs="Times New Roman"/>
                <w:bCs/>
              </w:rPr>
              <w:t>1</w:t>
            </w:r>
            <w:r w:rsidRPr="000549B1">
              <w:rPr>
                <w:rFonts w:cs="Times New Roman"/>
                <w:bCs/>
              </w:rPr>
              <w:t>）型</w:t>
            </w:r>
            <w:r w:rsidRPr="000549B1">
              <w:rPr>
                <w:rFonts w:cs="Times New Roman"/>
              </w:rPr>
              <w:t>工程</w:t>
            </w:r>
          </w:p>
        </w:tc>
        <w:tc>
          <w:tcPr>
            <w:tcW w:w="3462" w:type="dxa"/>
            <w:tcMar>
              <w:top w:w="150" w:type="dxa"/>
              <w:left w:w="240" w:type="dxa"/>
              <w:bottom w:w="150" w:type="dxa"/>
              <w:right w:w="240" w:type="dxa"/>
            </w:tcMar>
            <w:vAlign w:val="center"/>
          </w:tcPr>
          <w:p w14:paraId="4D93DD93" w14:textId="09357359" w:rsidR="00054437" w:rsidRPr="000549B1" w:rsidRDefault="00000000">
            <w:pPr>
              <w:pStyle w:val="0-"/>
              <w:rPr>
                <w:rFonts w:cs="Times New Roman"/>
              </w:rPr>
            </w:pPr>
            <w:r w:rsidRPr="000549B1">
              <w:rPr>
                <w:rFonts w:cs="Times New Roman"/>
              </w:rPr>
              <w:t>解决切吉乡农田灌溉用水需求</w:t>
            </w:r>
          </w:p>
        </w:tc>
        <w:tc>
          <w:tcPr>
            <w:tcW w:w="2060" w:type="dxa"/>
            <w:tcMar>
              <w:top w:w="150" w:type="dxa"/>
              <w:left w:w="240" w:type="dxa"/>
              <w:bottom w:w="150" w:type="dxa"/>
              <w:right w:w="0" w:type="dxa"/>
            </w:tcMar>
            <w:vAlign w:val="center"/>
          </w:tcPr>
          <w:p w14:paraId="3CA828AB" w14:textId="2084BF30" w:rsidR="00054437" w:rsidRPr="000549B1" w:rsidRDefault="00000000">
            <w:pPr>
              <w:pStyle w:val="0-"/>
              <w:ind w:leftChars="-100" w:left="-210"/>
              <w:jc w:val="both"/>
              <w:rPr>
                <w:rFonts w:cs="Times New Roman"/>
              </w:rPr>
            </w:pPr>
            <w:r w:rsidRPr="000549B1">
              <w:rPr>
                <w:rFonts w:cs="Times New Roman"/>
              </w:rPr>
              <w:t>总库容</w:t>
            </w:r>
            <w:r w:rsidRPr="000549B1">
              <w:rPr>
                <w:rFonts w:cs="Times New Roman"/>
                <w:bCs/>
              </w:rPr>
              <w:t>315</w:t>
            </w:r>
            <w:r w:rsidRPr="000549B1">
              <w:rPr>
                <w:rFonts w:cs="Times New Roman"/>
                <w:bCs/>
              </w:rPr>
              <w:t>万</w:t>
            </w:r>
            <w:r w:rsidRPr="000549B1">
              <w:rPr>
                <w:rFonts w:cs="Times New Roman"/>
                <w:bCs/>
              </w:rPr>
              <w:t>m³</w:t>
            </w:r>
          </w:p>
        </w:tc>
      </w:tr>
      <w:tr w:rsidR="000549B1" w:rsidRPr="000549B1" w14:paraId="7C13C521" w14:textId="77777777">
        <w:trPr>
          <w:jc w:val="center"/>
        </w:trPr>
        <w:tc>
          <w:tcPr>
            <w:tcW w:w="1560" w:type="dxa"/>
            <w:tcMar>
              <w:top w:w="150" w:type="dxa"/>
              <w:left w:w="0" w:type="dxa"/>
              <w:bottom w:w="150" w:type="dxa"/>
              <w:right w:w="240" w:type="dxa"/>
            </w:tcMar>
            <w:vAlign w:val="center"/>
          </w:tcPr>
          <w:p w14:paraId="4B88CDD9" w14:textId="77777777" w:rsidR="00054437" w:rsidRPr="000549B1" w:rsidRDefault="00000000">
            <w:pPr>
              <w:pStyle w:val="0-"/>
              <w:rPr>
                <w:rFonts w:cs="Times New Roman"/>
              </w:rPr>
            </w:pPr>
            <w:r w:rsidRPr="000549B1">
              <w:rPr>
                <w:rFonts w:cs="Times New Roman"/>
                <w:bCs/>
              </w:rPr>
              <w:t>直亥买沟水库</w:t>
            </w:r>
          </w:p>
        </w:tc>
        <w:tc>
          <w:tcPr>
            <w:tcW w:w="1985" w:type="dxa"/>
            <w:tcMar>
              <w:top w:w="150" w:type="dxa"/>
              <w:left w:w="240" w:type="dxa"/>
              <w:bottom w:w="150" w:type="dxa"/>
              <w:right w:w="240" w:type="dxa"/>
            </w:tcMar>
            <w:vAlign w:val="center"/>
          </w:tcPr>
          <w:p w14:paraId="5A4DEA8D" w14:textId="52C28910" w:rsidR="00054437" w:rsidRPr="000549B1" w:rsidRDefault="00000000">
            <w:pPr>
              <w:pStyle w:val="0-"/>
              <w:rPr>
                <w:rFonts w:cs="Times New Roman"/>
              </w:rPr>
            </w:pPr>
            <w:r w:rsidRPr="000549B1">
              <w:rPr>
                <w:rFonts w:cs="Times New Roman"/>
              </w:rPr>
              <w:t>新建，</w:t>
            </w:r>
            <w:r w:rsidRPr="000549B1">
              <w:rPr>
                <w:rFonts w:cs="Times New Roman"/>
                <w:bCs/>
              </w:rPr>
              <w:t>小（</w:t>
            </w:r>
            <w:r w:rsidRPr="000549B1">
              <w:rPr>
                <w:rFonts w:cs="Times New Roman"/>
                <w:bCs/>
              </w:rPr>
              <w:t>1</w:t>
            </w:r>
            <w:r w:rsidRPr="000549B1">
              <w:rPr>
                <w:rFonts w:cs="Times New Roman"/>
                <w:bCs/>
              </w:rPr>
              <w:t>）型</w:t>
            </w:r>
            <w:r w:rsidRPr="000549B1">
              <w:rPr>
                <w:rFonts w:cs="Times New Roman"/>
              </w:rPr>
              <w:t>工程</w:t>
            </w:r>
          </w:p>
        </w:tc>
        <w:tc>
          <w:tcPr>
            <w:tcW w:w="3462" w:type="dxa"/>
            <w:tcMar>
              <w:top w:w="150" w:type="dxa"/>
              <w:left w:w="240" w:type="dxa"/>
              <w:bottom w:w="150" w:type="dxa"/>
              <w:right w:w="240" w:type="dxa"/>
            </w:tcMar>
            <w:vAlign w:val="center"/>
          </w:tcPr>
          <w:p w14:paraId="7A2C1290" w14:textId="6296CC3C" w:rsidR="00054437" w:rsidRPr="000549B1" w:rsidRDefault="00000000">
            <w:pPr>
              <w:pStyle w:val="0-"/>
              <w:rPr>
                <w:rFonts w:cs="Times New Roman"/>
              </w:rPr>
            </w:pPr>
            <w:r w:rsidRPr="000549B1">
              <w:rPr>
                <w:rFonts w:cs="Times New Roman"/>
              </w:rPr>
              <w:t>解决切吉乡、塘格木镇等多村农田灌溉用水问题</w:t>
            </w:r>
          </w:p>
        </w:tc>
        <w:tc>
          <w:tcPr>
            <w:tcW w:w="2060" w:type="dxa"/>
            <w:tcMar>
              <w:top w:w="150" w:type="dxa"/>
              <w:left w:w="240" w:type="dxa"/>
              <w:bottom w:w="150" w:type="dxa"/>
              <w:right w:w="0" w:type="dxa"/>
            </w:tcMar>
            <w:vAlign w:val="center"/>
          </w:tcPr>
          <w:p w14:paraId="07D11B5F" w14:textId="1FA7575A" w:rsidR="00054437" w:rsidRPr="000549B1" w:rsidRDefault="00000000">
            <w:pPr>
              <w:pStyle w:val="0-"/>
              <w:ind w:leftChars="-100" w:left="-210"/>
              <w:jc w:val="both"/>
              <w:rPr>
                <w:rFonts w:cs="Times New Roman"/>
              </w:rPr>
            </w:pPr>
            <w:r w:rsidRPr="000549B1">
              <w:rPr>
                <w:rFonts w:cs="Times New Roman"/>
              </w:rPr>
              <w:t>总库容</w:t>
            </w:r>
            <w:bookmarkStart w:id="159" w:name="OLE_LINK81"/>
            <w:r w:rsidRPr="000549B1">
              <w:rPr>
                <w:rFonts w:cs="Times New Roman"/>
                <w:bCs/>
              </w:rPr>
              <w:t>143.16</w:t>
            </w:r>
            <w:bookmarkEnd w:id="159"/>
            <w:r w:rsidRPr="000549B1">
              <w:rPr>
                <w:rFonts w:cs="Times New Roman"/>
                <w:bCs/>
              </w:rPr>
              <w:t>万</w:t>
            </w:r>
            <w:r w:rsidRPr="000549B1">
              <w:rPr>
                <w:rFonts w:cs="Times New Roman"/>
                <w:bCs/>
              </w:rPr>
              <w:t>m³</w:t>
            </w:r>
          </w:p>
        </w:tc>
      </w:tr>
      <w:tr w:rsidR="000549B1" w:rsidRPr="000549B1" w14:paraId="799CFF8D" w14:textId="77777777">
        <w:trPr>
          <w:jc w:val="center"/>
        </w:trPr>
        <w:tc>
          <w:tcPr>
            <w:tcW w:w="1560" w:type="dxa"/>
            <w:tcMar>
              <w:top w:w="150" w:type="dxa"/>
              <w:left w:w="0" w:type="dxa"/>
              <w:bottom w:w="150" w:type="dxa"/>
              <w:right w:w="240" w:type="dxa"/>
            </w:tcMar>
            <w:vAlign w:val="center"/>
          </w:tcPr>
          <w:p w14:paraId="1D7E76FB" w14:textId="77777777" w:rsidR="00054437" w:rsidRPr="000549B1" w:rsidRDefault="00000000">
            <w:pPr>
              <w:pStyle w:val="0-"/>
              <w:rPr>
                <w:rFonts w:cs="Times New Roman"/>
              </w:rPr>
            </w:pPr>
            <w:r w:rsidRPr="000549B1">
              <w:rPr>
                <w:rFonts w:cs="Times New Roman"/>
                <w:bCs/>
              </w:rPr>
              <w:t>鹿龙沟水库</w:t>
            </w:r>
          </w:p>
        </w:tc>
        <w:tc>
          <w:tcPr>
            <w:tcW w:w="1985" w:type="dxa"/>
            <w:tcMar>
              <w:top w:w="150" w:type="dxa"/>
              <w:left w:w="240" w:type="dxa"/>
              <w:bottom w:w="150" w:type="dxa"/>
              <w:right w:w="240" w:type="dxa"/>
            </w:tcMar>
            <w:vAlign w:val="center"/>
          </w:tcPr>
          <w:p w14:paraId="17A7358E" w14:textId="0C10FBF7" w:rsidR="00054437" w:rsidRPr="000549B1" w:rsidRDefault="00000000">
            <w:pPr>
              <w:pStyle w:val="0-"/>
              <w:rPr>
                <w:rFonts w:cs="Times New Roman"/>
              </w:rPr>
            </w:pPr>
            <w:r w:rsidRPr="000549B1">
              <w:rPr>
                <w:rFonts w:cs="Times New Roman"/>
              </w:rPr>
              <w:t>新建，</w:t>
            </w:r>
            <w:r w:rsidRPr="000549B1">
              <w:rPr>
                <w:rFonts w:cs="Times New Roman"/>
                <w:bCs/>
              </w:rPr>
              <w:t>小（</w:t>
            </w:r>
            <w:r w:rsidRPr="000549B1">
              <w:rPr>
                <w:rFonts w:cs="Times New Roman"/>
                <w:bCs/>
              </w:rPr>
              <w:t>1</w:t>
            </w:r>
            <w:r w:rsidRPr="000549B1">
              <w:rPr>
                <w:rFonts w:cs="Times New Roman"/>
                <w:bCs/>
              </w:rPr>
              <w:t>）型</w:t>
            </w:r>
            <w:r w:rsidRPr="000549B1">
              <w:rPr>
                <w:rFonts w:cs="Times New Roman"/>
              </w:rPr>
              <w:t>工程</w:t>
            </w:r>
          </w:p>
        </w:tc>
        <w:tc>
          <w:tcPr>
            <w:tcW w:w="3462" w:type="dxa"/>
            <w:tcMar>
              <w:top w:w="150" w:type="dxa"/>
              <w:left w:w="240" w:type="dxa"/>
              <w:bottom w:w="150" w:type="dxa"/>
              <w:right w:w="240" w:type="dxa"/>
            </w:tcMar>
            <w:vAlign w:val="center"/>
          </w:tcPr>
          <w:p w14:paraId="04BE4F2C" w14:textId="4E260EC2" w:rsidR="00054437" w:rsidRPr="000549B1" w:rsidRDefault="00000000">
            <w:pPr>
              <w:pStyle w:val="0-"/>
              <w:rPr>
                <w:rFonts w:cs="Times New Roman"/>
              </w:rPr>
            </w:pPr>
            <w:r w:rsidRPr="000549B1">
              <w:rPr>
                <w:rFonts w:cs="Times New Roman"/>
              </w:rPr>
              <w:t>解决共和县切吉乡乔夫旦村农田灌溉问题</w:t>
            </w:r>
          </w:p>
        </w:tc>
        <w:tc>
          <w:tcPr>
            <w:tcW w:w="2060" w:type="dxa"/>
            <w:tcMar>
              <w:top w:w="150" w:type="dxa"/>
              <w:left w:w="240" w:type="dxa"/>
              <w:bottom w:w="150" w:type="dxa"/>
              <w:right w:w="0" w:type="dxa"/>
            </w:tcMar>
            <w:vAlign w:val="center"/>
          </w:tcPr>
          <w:p w14:paraId="13F00282" w14:textId="71CED309" w:rsidR="00054437" w:rsidRPr="000549B1" w:rsidRDefault="00000000">
            <w:pPr>
              <w:pStyle w:val="0-"/>
              <w:ind w:leftChars="-100" w:left="-210"/>
              <w:jc w:val="both"/>
              <w:rPr>
                <w:rFonts w:cs="Times New Roman"/>
              </w:rPr>
            </w:pPr>
            <w:r w:rsidRPr="000549B1">
              <w:rPr>
                <w:rFonts w:cs="Times New Roman"/>
              </w:rPr>
              <w:t>总库容</w:t>
            </w:r>
            <w:r w:rsidRPr="000549B1">
              <w:rPr>
                <w:rFonts w:cs="Times New Roman"/>
                <w:bCs/>
              </w:rPr>
              <w:t>216.46</w:t>
            </w:r>
            <w:r w:rsidRPr="000549B1">
              <w:rPr>
                <w:rFonts w:cs="Times New Roman"/>
                <w:bCs/>
              </w:rPr>
              <w:t>万</w:t>
            </w:r>
            <w:r w:rsidRPr="000549B1">
              <w:rPr>
                <w:rFonts w:cs="Times New Roman"/>
                <w:bCs/>
              </w:rPr>
              <w:t>m³</w:t>
            </w:r>
          </w:p>
        </w:tc>
      </w:tr>
      <w:tr w:rsidR="000549B1" w:rsidRPr="000549B1" w14:paraId="51FD9A63" w14:textId="77777777">
        <w:trPr>
          <w:jc w:val="center"/>
        </w:trPr>
        <w:tc>
          <w:tcPr>
            <w:tcW w:w="1560" w:type="dxa"/>
            <w:tcMar>
              <w:top w:w="150" w:type="dxa"/>
              <w:left w:w="0" w:type="dxa"/>
              <w:bottom w:w="150" w:type="dxa"/>
              <w:right w:w="240" w:type="dxa"/>
            </w:tcMar>
            <w:vAlign w:val="center"/>
          </w:tcPr>
          <w:p w14:paraId="1704CB9F" w14:textId="77777777" w:rsidR="00054437" w:rsidRPr="000549B1" w:rsidRDefault="00000000">
            <w:pPr>
              <w:pStyle w:val="0-"/>
              <w:rPr>
                <w:rFonts w:cs="Times New Roman"/>
              </w:rPr>
            </w:pPr>
            <w:r w:rsidRPr="000549B1">
              <w:rPr>
                <w:rFonts w:cs="Times New Roman"/>
                <w:bCs/>
              </w:rPr>
              <w:t>切吉水库增效扩容</w:t>
            </w:r>
          </w:p>
        </w:tc>
        <w:tc>
          <w:tcPr>
            <w:tcW w:w="1985" w:type="dxa"/>
            <w:tcMar>
              <w:top w:w="150" w:type="dxa"/>
              <w:left w:w="240" w:type="dxa"/>
              <w:bottom w:w="150" w:type="dxa"/>
              <w:right w:w="240" w:type="dxa"/>
            </w:tcMar>
            <w:vAlign w:val="center"/>
          </w:tcPr>
          <w:p w14:paraId="2E044EEE" w14:textId="029EDB58" w:rsidR="00054437" w:rsidRPr="000549B1" w:rsidRDefault="00000000">
            <w:pPr>
              <w:pStyle w:val="0-"/>
              <w:rPr>
                <w:rFonts w:cs="Times New Roman"/>
              </w:rPr>
            </w:pPr>
            <w:r w:rsidRPr="000549B1">
              <w:rPr>
                <w:rFonts w:cs="Times New Roman"/>
              </w:rPr>
              <w:t>改造，提升现有水库能力</w:t>
            </w:r>
          </w:p>
        </w:tc>
        <w:tc>
          <w:tcPr>
            <w:tcW w:w="3462" w:type="dxa"/>
            <w:tcMar>
              <w:top w:w="150" w:type="dxa"/>
              <w:left w:w="240" w:type="dxa"/>
              <w:bottom w:w="150" w:type="dxa"/>
              <w:right w:w="240" w:type="dxa"/>
            </w:tcMar>
            <w:vAlign w:val="center"/>
          </w:tcPr>
          <w:p w14:paraId="7654D4D4" w14:textId="25111713" w:rsidR="00054437" w:rsidRPr="000549B1" w:rsidRDefault="00000000">
            <w:pPr>
              <w:pStyle w:val="0-"/>
              <w:rPr>
                <w:rFonts w:cs="Times New Roman"/>
              </w:rPr>
            </w:pPr>
            <w:r w:rsidRPr="000549B1">
              <w:rPr>
                <w:rFonts w:cs="Times New Roman"/>
              </w:rPr>
              <w:t>增加兴利库容，提升对切吉灌区的供水保障能力</w:t>
            </w:r>
          </w:p>
        </w:tc>
        <w:tc>
          <w:tcPr>
            <w:tcW w:w="2060" w:type="dxa"/>
            <w:tcMar>
              <w:top w:w="150" w:type="dxa"/>
              <w:left w:w="240" w:type="dxa"/>
              <w:bottom w:w="150" w:type="dxa"/>
              <w:right w:w="0" w:type="dxa"/>
            </w:tcMar>
            <w:vAlign w:val="center"/>
          </w:tcPr>
          <w:p w14:paraId="2F75B716" w14:textId="2682FB14" w:rsidR="00054437" w:rsidRPr="000549B1" w:rsidRDefault="00000000">
            <w:pPr>
              <w:pStyle w:val="0-"/>
              <w:ind w:leftChars="-100" w:left="-210"/>
              <w:jc w:val="both"/>
              <w:rPr>
                <w:rFonts w:cs="Times New Roman"/>
              </w:rPr>
            </w:pPr>
            <w:r w:rsidRPr="000549B1">
              <w:rPr>
                <w:rFonts w:cs="Times New Roman"/>
              </w:rPr>
              <w:t>扩容后总库容</w:t>
            </w:r>
            <w:r w:rsidRPr="000549B1">
              <w:rPr>
                <w:rFonts w:cs="Times New Roman"/>
                <w:bCs/>
              </w:rPr>
              <w:t>2800</w:t>
            </w:r>
            <w:r w:rsidRPr="000549B1">
              <w:rPr>
                <w:rFonts w:cs="Times New Roman"/>
                <w:bCs/>
              </w:rPr>
              <w:t>万</w:t>
            </w:r>
            <w:r w:rsidRPr="000549B1">
              <w:rPr>
                <w:rFonts w:cs="Times New Roman"/>
                <w:bCs/>
              </w:rPr>
              <w:t>m³</w:t>
            </w:r>
          </w:p>
        </w:tc>
      </w:tr>
    </w:tbl>
    <w:p w14:paraId="0918A82D" w14:textId="1A146E02" w:rsidR="00054437" w:rsidRPr="000549B1" w:rsidRDefault="002F2485" w:rsidP="000549B1">
      <w:pPr>
        <w:pStyle w:val="x"/>
      </w:pPr>
      <w:r w:rsidRPr="000549B1">
        <w:rPr>
          <w:rFonts w:hint="eastAsia"/>
        </w:rPr>
        <w:t>（</w:t>
      </w:r>
      <w:r w:rsidRPr="000549B1">
        <w:rPr>
          <w:rFonts w:hint="eastAsia"/>
        </w:rPr>
        <w:t>4</w:t>
      </w:r>
      <w:r w:rsidRPr="000549B1">
        <w:rPr>
          <w:rFonts w:hint="eastAsia"/>
        </w:rPr>
        <w:t>）</w:t>
      </w:r>
      <w:r w:rsidRPr="000549B1">
        <w:t>近远期实施意见与投资</w:t>
      </w:r>
    </w:p>
    <w:p w14:paraId="11F88285" w14:textId="77777777" w:rsidR="00054437" w:rsidRPr="000549B1" w:rsidRDefault="00000000">
      <w:pPr>
        <w:pStyle w:val="x"/>
      </w:pPr>
      <w:r w:rsidRPr="000549B1">
        <w:t>规划的实施遵循</w:t>
      </w:r>
      <w:r w:rsidRPr="000549B1">
        <w:rPr>
          <w:rFonts w:ascii="宋体" w:hAnsi="宋体"/>
        </w:rPr>
        <w:t>“</w:t>
      </w:r>
      <w:r w:rsidRPr="000549B1">
        <w:t>近期以改造挖潜为主，远期以新建扩容并重</w:t>
      </w:r>
      <w:r w:rsidRPr="000549B1">
        <w:rPr>
          <w:rFonts w:ascii="宋体" w:hAnsi="宋体"/>
        </w:rPr>
        <w:t>”</w:t>
      </w:r>
      <w:r w:rsidRPr="000549B1">
        <w:t>的原则，通过巨额投资实现规划目标。</w:t>
      </w:r>
    </w:p>
    <w:p w14:paraId="05B3D654" w14:textId="77777777" w:rsidR="00054437" w:rsidRPr="000549B1" w:rsidRDefault="00000000">
      <w:pPr>
        <w:pStyle w:val="x"/>
      </w:pPr>
      <w:r w:rsidRPr="000549B1">
        <w:t>近期实施意见：</w:t>
      </w:r>
    </w:p>
    <w:p w14:paraId="31F53FC4" w14:textId="77777777" w:rsidR="00054437" w:rsidRPr="000549B1" w:rsidRDefault="00000000">
      <w:pPr>
        <w:pStyle w:val="x"/>
      </w:pPr>
      <w:r w:rsidRPr="000549B1">
        <w:t>优先推进灌区续建配套与现代化改造工程，对塔什秋、大水、叉叉沟、切吉等现有灌区的渠道和建筑物进行节水改造。启动现有水源能力提升工程，实施大水水库清淤。开展大河坝水库工程等重大新建项目的前期工作与立项。</w:t>
      </w:r>
    </w:p>
    <w:p w14:paraId="289C027E" w14:textId="77777777" w:rsidR="00054437" w:rsidRPr="000549B1" w:rsidRDefault="00000000">
      <w:pPr>
        <w:pStyle w:val="x"/>
      </w:pPr>
      <w:r w:rsidRPr="000549B1">
        <w:t>远期实施意见（至</w:t>
      </w:r>
      <w:r w:rsidRPr="000549B1">
        <w:t>2035</w:t>
      </w:r>
      <w:r w:rsidRPr="000549B1">
        <w:t>年）：</w:t>
      </w:r>
    </w:p>
    <w:p w14:paraId="538C8AAC" w14:textId="77777777" w:rsidR="00054437" w:rsidRPr="000549B1" w:rsidRDefault="00000000">
      <w:pPr>
        <w:pStyle w:val="x"/>
      </w:pPr>
      <w:r w:rsidRPr="000549B1">
        <w:t>全面建成大河坝水库及其配套输水工程，实现跨流域调水。完成叉叉沟、直亥买沟、鹿龙沟等规划小型水库的建设。完成切吉水库的增效扩容工程。</w:t>
      </w:r>
    </w:p>
    <w:p w14:paraId="35579B1F" w14:textId="77777777" w:rsidR="00054437" w:rsidRPr="000549B1" w:rsidRDefault="00000000">
      <w:pPr>
        <w:pStyle w:val="x"/>
      </w:pPr>
      <w:r w:rsidRPr="000549B1">
        <w:t>全面完成规划的高效节水灌溉面积建设任务，灌溉水利用系数稳定达到</w:t>
      </w:r>
      <w:r w:rsidRPr="000549B1">
        <w:t>0.72</w:t>
      </w:r>
      <w:r w:rsidRPr="000549B1">
        <w:t>以上。</w:t>
      </w:r>
    </w:p>
    <w:p w14:paraId="04BCE019" w14:textId="77777777" w:rsidR="00054437" w:rsidRPr="000549B1" w:rsidRDefault="00000000">
      <w:pPr>
        <w:pStyle w:val="x"/>
      </w:pPr>
      <w:r w:rsidRPr="000549B1">
        <w:t>规划投资：为实现上述目标，规划灌溉工程总投资估算为</w:t>
      </w:r>
      <w:r w:rsidRPr="000549B1">
        <w:t>36.5</w:t>
      </w:r>
      <w:r w:rsidRPr="000549B1">
        <w:t>亿元，详细构成见下表。</w:t>
      </w:r>
    </w:p>
    <w:p w14:paraId="5CEDC0A6" w14:textId="3BEEE267" w:rsidR="00054437" w:rsidRPr="000549B1" w:rsidRDefault="00000000">
      <w:pPr>
        <w:pStyle w:val="aff8"/>
        <w:rPr>
          <w:color w:val="auto"/>
        </w:rPr>
      </w:pPr>
      <w:r w:rsidRPr="000549B1">
        <w:rPr>
          <w:color w:val="auto"/>
        </w:rPr>
        <w:t>表</w:t>
      </w:r>
      <w:r w:rsidR="00372953">
        <w:rPr>
          <w:color w:val="auto"/>
        </w:rPr>
        <w:fldChar w:fldCharType="begin"/>
      </w:r>
      <w:r w:rsidR="00372953">
        <w:rPr>
          <w:color w:val="auto"/>
        </w:rPr>
        <w:instrText xml:space="preserve"> STYLEREF 2 \s </w:instrText>
      </w:r>
      <w:r w:rsidR="00372953">
        <w:rPr>
          <w:color w:val="auto"/>
        </w:rPr>
        <w:fldChar w:fldCharType="separate"/>
      </w:r>
      <w:r w:rsidR="00372953">
        <w:rPr>
          <w:noProof/>
          <w:color w:val="auto"/>
        </w:rPr>
        <w:t>2.1</w:t>
      </w:r>
      <w:r w:rsidR="00372953">
        <w:rPr>
          <w:color w:val="auto"/>
        </w:rPr>
        <w:fldChar w:fldCharType="end"/>
      </w:r>
      <w:r w:rsidR="00372953">
        <w:rPr>
          <w:color w:val="auto"/>
        </w:rPr>
        <w:noBreakHyphen/>
      </w:r>
      <w:r w:rsidR="00372953">
        <w:rPr>
          <w:color w:val="auto"/>
        </w:rPr>
        <w:fldChar w:fldCharType="begin"/>
      </w:r>
      <w:r w:rsidR="00372953">
        <w:rPr>
          <w:color w:val="auto"/>
        </w:rPr>
        <w:instrText xml:space="preserve"> SEQ </w:instrText>
      </w:r>
      <w:r w:rsidR="00372953">
        <w:rPr>
          <w:color w:val="auto"/>
        </w:rPr>
        <w:instrText>表</w:instrText>
      </w:r>
      <w:r w:rsidR="00372953">
        <w:rPr>
          <w:color w:val="auto"/>
        </w:rPr>
        <w:instrText xml:space="preserve"> \* ARABIC \s 2 </w:instrText>
      </w:r>
      <w:r w:rsidR="00372953">
        <w:rPr>
          <w:color w:val="auto"/>
        </w:rPr>
        <w:fldChar w:fldCharType="separate"/>
      </w:r>
      <w:r w:rsidR="00372953">
        <w:rPr>
          <w:noProof/>
          <w:color w:val="auto"/>
        </w:rPr>
        <w:t>16</w:t>
      </w:r>
      <w:r w:rsidR="00372953">
        <w:rPr>
          <w:color w:val="auto"/>
        </w:rPr>
        <w:fldChar w:fldCharType="end"/>
      </w:r>
      <w:r w:rsidRPr="000549B1">
        <w:rPr>
          <w:color w:val="auto"/>
        </w:rPr>
        <w:t>灌溉规划工程及投资估算表</w:t>
      </w:r>
    </w:p>
    <w:tbl>
      <w:tblPr>
        <w:tblW w:w="8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29"/>
        <w:gridCol w:w="4975"/>
        <w:gridCol w:w="1304"/>
      </w:tblGrid>
      <w:tr w:rsidR="000549B1" w:rsidRPr="000549B1" w14:paraId="7F6BAD40" w14:textId="77777777">
        <w:trPr>
          <w:trHeight w:val="286"/>
          <w:tblHeader/>
        </w:trPr>
        <w:tc>
          <w:tcPr>
            <w:tcW w:w="0" w:type="auto"/>
            <w:tcMar>
              <w:top w:w="150" w:type="dxa"/>
              <w:left w:w="0" w:type="dxa"/>
              <w:bottom w:w="150" w:type="dxa"/>
              <w:right w:w="240" w:type="dxa"/>
            </w:tcMar>
            <w:vAlign w:val="center"/>
          </w:tcPr>
          <w:p w14:paraId="28048888" w14:textId="77777777" w:rsidR="00054437" w:rsidRPr="000549B1" w:rsidRDefault="00000000">
            <w:pPr>
              <w:pStyle w:val="0-"/>
              <w:rPr>
                <w:rFonts w:cs="Times New Roman"/>
                <w:b/>
                <w:bCs/>
              </w:rPr>
            </w:pPr>
            <w:r w:rsidRPr="000549B1">
              <w:rPr>
                <w:rFonts w:cs="Times New Roman"/>
                <w:b/>
                <w:bCs/>
              </w:rPr>
              <w:t>工程类型</w:t>
            </w:r>
          </w:p>
        </w:tc>
        <w:tc>
          <w:tcPr>
            <w:tcW w:w="0" w:type="auto"/>
            <w:tcMar>
              <w:top w:w="150" w:type="dxa"/>
              <w:left w:w="240" w:type="dxa"/>
              <w:bottom w:w="150" w:type="dxa"/>
              <w:right w:w="240" w:type="dxa"/>
            </w:tcMar>
            <w:vAlign w:val="center"/>
          </w:tcPr>
          <w:p w14:paraId="50F69648" w14:textId="77777777" w:rsidR="00054437" w:rsidRPr="000549B1" w:rsidRDefault="00000000">
            <w:pPr>
              <w:pStyle w:val="0-"/>
              <w:rPr>
                <w:rFonts w:cs="Times New Roman"/>
                <w:b/>
                <w:bCs/>
              </w:rPr>
            </w:pPr>
            <w:r w:rsidRPr="000549B1">
              <w:rPr>
                <w:rFonts w:cs="Times New Roman"/>
                <w:b/>
                <w:bCs/>
              </w:rPr>
              <w:t>主要内容</w:t>
            </w:r>
          </w:p>
        </w:tc>
        <w:tc>
          <w:tcPr>
            <w:tcW w:w="0" w:type="auto"/>
            <w:tcMar>
              <w:top w:w="150" w:type="dxa"/>
              <w:left w:w="240" w:type="dxa"/>
              <w:bottom w:w="150" w:type="dxa"/>
              <w:right w:w="240" w:type="dxa"/>
            </w:tcMar>
            <w:vAlign w:val="center"/>
          </w:tcPr>
          <w:p w14:paraId="1EF02FEF" w14:textId="77777777" w:rsidR="00054437" w:rsidRPr="000549B1" w:rsidRDefault="00000000">
            <w:pPr>
              <w:pStyle w:val="0-"/>
              <w:rPr>
                <w:rFonts w:cs="Times New Roman"/>
                <w:b/>
                <w:bCs/>
              </w:rPr>
            </w:pPr>
            <w:r w:rsidRPr="000549B1">
              <w:rPr>
                <w:rFonts w:cs="Times New Roman"/>
                <w:b/>
                <w:bCs/>
              </w:rPr>
              <w:t>投资（亿元）</w:t>
            </w:r>
          </w:p>
        </w:tc>
      </w:tr>
      <w:tr w:rsidR="000549B1" w:rsidRPr="000549B1" w14:paraId="3D87B891" w14:textId="77777777">
        <w:trPr>
          <w:trHeight w:val="286"/>
        </w:trPr>
        <w:tc>
          <w:tcPr>
            <w:tcW w:w="0" w:type="auto"/>
            <w:tcMar>
              <w:top w:w="150" w:type="dxa"/>
              <w:left w:w="0" w:type="dxa"/>
              <w:bottom w:w="150" w:type="dxa"/>
              <w:right w:w="240" w:type="dxa"/>
            </w:tcMar>
            <w:vAlign w:val="center"/>
          </w:tcPr>
          <w:p w14:paraId="60E270C0" w14:textId="77777777" w:rsidR="00054437" w:rsidRPr="000549B1" w:rsidRDefault="00000000">
            <w:pPr>
              <w:pStyle w:val="0-"/>
              <w:rPr>
                <w:rFonts w:cs="Times New Roman"/>
              </w:rPr>
            </w:pPr>
            <w:r w:rsidRPr="000549B1">
              <w:rPr>
                <w:rFonts w:cs="Times New Roman"/>
                <w:bCs/>
              </w:rPr>
              <w:t>1.</w:t>
            </w:r>
            <w:r w:rsidRPr="000549B1">
              <w:rPr>
                <w:rFonts w:cs="Times New Roman"/>
                <w:bCs/>
              </w:rPr>
              <w:t>新建灌溉水源及配套输水工程</w:t>
            </w:r>
          </w:p>
        </w:tc>
        <w:tc>
          <w:tcPr>
            <w:tcW w:w="0" w:type="auto"/>
            <w:tcMar>
              <w:top w:w="150" w:type="dxa"/>
              <w:left w:w="240" w:type="dxa"/>
              <w:bottom w:w="150" w:type="dxa"/>
              <w:right w:w="240" w:type="dxa"/>
            </w:tcMar>
            <w:vAlign w:val="center"/>
          </w:tcPr>
          <w:p w14:paraId="6A0C635E" w14:textId="23FE0DCF" w:rsidR="00054437" w:rsidRPr="00F1314B" w:rsidRDefault="00000000">
            <w:pPr>
              <w:pStyle w:val="0-"/>
              <w:rPr>
                <w:rFonts w:cs="Times New Roman"/>
              </w:rPr>
            </w:pPr>
            <w:r w:rsidRPr="00F1314B">
              <w:rPr>
                <w:rFonts w:cs="Times New Roman"/>
              </w:rPr>
              <w:t>大河坝水库工程</w:t>
            </w:r>
            <w:r w:rsidR="00B5491D" w:rsidRPr="00F1314B">
              <w:rPr>
                <w:rFonts w:cs="Times New Roman" w:hint="eastAsia"/>
              </w:rPr>
              <w:t>、</w:t>
            </w:r>
            <w:r w:rsidR="00B5491D" w:rsidRPr="00F1314B">
              <w:rPr>
                <w:rFonts w:hint="eastAsia"/>
              </w:rPr>
              <w:t>叉叉沟水库工程、直亥买沟水库、鹿龙沟水库、青羊沟水库、廿地沟水库等</w:t>
            </w:r>
          </w:p>
        </w:tc>
        <w:tc>
          <w:tcPr>
            <w:tcW w:w="0" w:type="auto"/>
            <w:tcMar>
              <w:top w:w="150" w:type="dxa"/>
              <w:left w:w="240" w:type="dxa"/>
              <w:bottom w:w="150" w:type="dxa"/>
              <w:right w:w="0" w:type="dxa"/>
            </w:tcMar>
            <w:vAlign w:val="center"/>
          </w:tcPr>
          <w:p w14:paraId="784D0362" w14:textId="7241E26A" w:rsidR="00054437" w:rsidRPr="000549B1" w:rsidRDefault="00B5491D">
            <w:pPr>
              <w:pStyle w:val="0-"/>
              <w:rPr>
                <w:rFonts w:cs="Times New Roman"/>
              </w:rPr>
            </w:pPr>
            <w:r w:rsidRPr="000549B1">
              <w:rPr>
                <w:rFonts w:cs="Times New Roman" w:hint="eastAsia"/>
                <w:bCs/>
              </w:rPr>
              <w:t>64.7</w:t>
            </w:r>
          </w:p>
        </w:tc>
      </w:tr>
      <w:tr w:rsidR="000549B1" w:rsidRPr="000549B1" w14:paraId="75E7BB50" w14:textId="77777777">
        <w:trPr>
          <w:trHeight w:val="286"/>
        </w:trPr>
        <w:tc>
          <w:tcPr>
            <w:tcW w:w="0" w:type="auto"/>
            <w:tcMar>
              <w:top w:w="150" w:type="dxa"/>
              <w:left w:w="0" w:type="dxa"/>
              <w:bottom w:w="150" w:type="dxa"/>
              <w:right w:w="240" w:type="dxa"/>
            </w:tcMar>
            <w:vAlign w:val="center"/>
          </w:tcPr>
          <w:p w14:paraId="42CD78DC" w14:textId="77777777" w:rsidR="00054437" w:rsidRPr="000549B1" w:rsidRDefault="00000000">
            <w:pPr>
              <w:pStyle w:val="0-"/>
              <w:rPr>
                <w:rFonts w:cs="Times New Roman"/>
              </w:rPr>
            </w:pPr>
            <w:r w:rsidRPr="000549B1">
              <w:rPr>
                <w:rFonts w:cs="Times New Roman"/>
                <w:bCs/>
              </w:rPr>
              <w:t>2.</w:t>
            </w:r>
            <w:r w:rsidRPr="000549B1">
              <w:rPr>
                <w:rFonts w:cs="Times New Roman"/>
                <w:bCs/>
              </w:rPr>
              <w:t>现有水源能力提升工程</w:t>
            </w:r>
          </w:p>
        </w:tc>
        <w:tc>
          <w:tcPr>
            <w:tcW w:w="0" w:type="auto"/>
            <w:tcMar>
              <w:top w:w="150" w:type="dxa"/>
              <w:left w:w="240" w:type="dxa"/>
              <w:bottom w:w="150" w:type="dxa"/>
              <w:right w:w="240" w:type="dxa"/>
            </w:tcMar>
            <w:vAlign w:val="center"/>
          </w:tcPr>
          <w:p w14:paraId="5FA277EC" w14:textId="77777777" w:rsidR="00054437" w:rsidRPr="000549B1" w:rsidRDefault="00000000">
            <w:pPr>
              <w:pStyle w:val="0-"/>
              <w:rPr>
                <w:rFonts w:cs="Times New Roman"/>
              </w:rPr>
            </w:pPr>
            <w:r w:rsidRPr="000549B1">
              <w:rPr>
                <w:rFonts w:cs="Times New Roman"/>
              </w:rPr>
              <w:t>大水水库清淤工程</w:t>
            </w:r>
          </w:p>
        </w:tc>
        <w:tc>
          <w:tcPr>
            <w:tcW w:w="0" w:type="auto"/>
            <w:tcMar>
              <w:top w:w="150" w:type="dxa"/>
              <w:left w:w="240" w:type="dxa"/>
              <w:bottom w:w="150" w:type="dxa"/>
              <w:right w:w="0" w:type="dxa"/>
            </w:tcMar>
            <w:vAlign w:val="center"/>
          </w:tcPr>
          <w:p w14:paraId="76DF7711" w14:textId="77777777" w:rsidR="00054437" w:rsidRPr="000549B1" w:rsidRDefault="00000000">
            <w:pPr>
              <w:pStyle w:val="0-"/>
              <w:rPr>
                <w:rFonts w:cs="Times New Roman"/>
              </w:rPr>
            </w:pPr>
            <w:r w:rsidRPr="000549B1">
              <w:rPr>
                <w:rFonts w:cs="Times New Roman"/>
                <w:bCs/>
              </w:rPr>
              <w:t>0.15</w:t>
            </w:r>
          </w:p>
        </w:tc>
      </w:tr>
      <w:tr w:rsidR="000549B1" w:rsidRPr="000549B1" w14:paraId="738994FA" w14:textId="77777777">
        <w:trPr>
          <w:trHeight w:val="281"/>
        </w:trPr>
        <w:tc>
          <w:tcPr>
            <w:tcW w:w="0" w:type="auto"/>
            <w:tcMar>
              <w:top w:w="150" w:type="dxa"/>
              <w:left w:w="0" w:type="dxa"/>
              <w:bottom w:w="150" w:type="dxa"/>
              <w:right w:w="240" w:type="dxa"/>
            </w:tcMar>
            <w:vAlign w:val="center"/>
          </w:tcPr>
          <w:p w14:paraId="6886B0CF" w14:textId="77777777" w:rsidR="00054437" w:rsidRPr="000549B1" w:rsidRDefault="00000000">
            <w:pPr>
              <w:pStyle w:val="0-"/>
              <w:rPr>
                <w:rFonts w:cs="Times New Roman"/>
              </w:rPr>
            </w:pPr>
            <w:r w:rsidRPr="000549B1">
              <w:rPr>
                <w:rFonts w:cs="Times New Roman"/>
                <w:bCs/>
              </w:rPr>
              <w:t>3.</w:t>
            </w:r>
            <w:r w:rsidRPr="000549B1">
              <w:rPr>
                <w:rFonts w:cs="Times New Roman"/>
                <w:bCs/>
              </w:rPr>
              <w:t>灌区续建配套与现代化改造工程</w:t>
            </w:r>
          </w:p>
        </w:tc>
        <w:tc>
          <w:tcPr>
            <w:tcW w:w="0" w:type="auto"/>
            <w:tcMar>
              <w:top w:w="150" w:type="dxa"/>
              <w:left w:w="240" w:type="dxa"/>
              <w:bottom w:w="150" w:type="dxa"/>
              <w:right w:w="240" w:type="dxa"/>
            </w:tcMar>
            <w:vAlign w:val="center"/>
          </w:tcPr>
          <w:p w14:paraId="1239D509" w14:textId="77777777" w:rsidR="00054437" w:rsidRPr="000549B1" w:rsidRDefault="00000000">
            <w:pPr>
              <w:pStyle w:val="0-"/>
              <w:rPr>
                <w:rFonts w:cs="Times New Roman"/>
              </w:rPr>
            </w:pPr>
            <w:r w:rsidRPr="000549B1">
              <w:rPr>
                <w:rFonts w:cs="Times New Roman"/>
              </w:rPr>
              <w:t>改造塔什秋、大水、叉叉沟、切吉等灌区干支渠</w:t>
            </w:r>
            <w:r w:rsidRPr="000549B1">
              <w:rPr>
                <w:rFonts w:cs="Times New Roman"/>
              </w:rPr>
              <w:t>43.73km</w:t>
            </w:r>
          </w:p>
        </w:tc>
        <w:tc>
          <w:tcPr>
            <w:tcW w:w="0" w:type="auto"/>
            <w:tcMar>
              <w:top w:w="150" w:type="dxa"/>
              <w:left w:w="240" w:type="dxa"/>
              <w:bottom w:w="150" w:type="dxa"/>
              <w:right w:w="0" w:type="dxa"/>
            </w:tcMar>
            <w:vAlign w:val="center"/>
          </w:tcPr>
          <w:p w14:paraId="4FAE79F5" w14:textId="77777777" w:rsidR="00054437" w:rsidRPr="000549B1" w:rsidRDefault="00000000">
            <w:pPr>
              <w:pStyle w:val="0-"/>
              <w:rPr>
                <w:rFonts w:cs="Times New Roman"/>
              </w:rPr>
            </w:pPr>
            <w:r w:rsidRPr="000549B1">
              <w:rPr>
                <w:rFonts w:cs="Times New Roman"/>
                <w:bCs/>
              </w:rPr>
              <w:t>1.15</w:t>
            </w:r>
          </w:p>
        </w:tc>
      </w:tr>
      <w:tr w:rsidR="000549B1" w:rsidRPr="000549B1" w14:paraId="027D0B48" w14:textId="77777777">
        <w:trPr>
          <w:trHeight w:val="286"/>
        </w:trPr>
        <w:tc>
          <w:tcPr>
            <w:tcW w:w="0" w:type="auto"/>
            <w:tcMar>
              <w:top w:w="150" w:type="dxa"/>
              <w:left w:w="0" w:type="dxa"/>
              <w:bottom w:w="150" w:type="dxa"/>
              <w:right w:w="240" w:type="dxa"/>
            </w:tcMar>
            <w:vAlign w:val="center"/>
          </w:tcPr>
          <w:p w14:paraId="45A0303E" w14:textId="77777777" w:rsidR="00054437" w:rsidRPr="000549B1" w:rsidRDefault="00000000">
            <w:pPr>
              <w:pStyle w:val="0-"/>
              <w:rPr>
                <w:rFonts w:cs="Times New Roman"/>
              </w:rPr>
            </w:pPr>
            <w:r w:rsidRPr="000549B1">
              <w:rPr>
                <w:rFonts w:cs="Times New Roman"/>
                <w:bCs/>
              </w:rPr>
              <w:t>合计</w:t>
            </w:r>
          </w:p>
        </w:tc>
        <w:tc>
          <w:tcPr>
            <w:tcW w:w="0" w:type="auto"/>
            <w:tcMar>
              <w:top w:w="150" w:type="dxa"/>
              <w:left w:w="240" w:type="dxa"/>
              <w:bottom w:w="150" w:type="dxa"/>
              <w:right w:w="240" w:type="dxa"/>
            </w:tcMar>
            <w:vAlign w:val="center"/>
          </w:tcPr>
          <w:p w14:paraId="2D67A48C" w14:textId="77777777" w:rsidR="00054437" w:rsidRPr="000549B1" w:rsidRDefault="00054437">
            <w:pPr>
              <w:pStyle w:val="0-"/>
              <w:rPr>
                <w:rFonts w:cs="Times New Roman"/>
              </w:rPr>
            </w:pPr>
          </w:p>
        </w:tc>
        <w:tc>
          <w:tcPr>
            <w:tcW w:w="0" w:type="auto"/>
            <w:tcMar>
              <w:top w:w="150" w:type="dxa"/>
              <w:left w:w="240" w:type="dxa"/>
              <w:bottom w:w="150" w:type="dxa"/>
              <w:right w:w="0" w:type="dxa"/>
            </w:tcMar>
            <w:vAlign w:val="center"/>
          </w:tcPr>
          <w:p w14:paraId="7C206985" w14:textId="5462D314" w:rsidR="00054437" w:rsidRPr="000549B1" w:rsidRDefault="00B5491D">
            <w:pPr>
              <w:pStyle w:val="0-"/>
              <w:rPr>
                <w:rFonts w:cs="Times New Roman"/>
              </w:rPr>
            </w:pPr>
            <w:r w:rsidRPr="000549B1">
              <w:rPr>
                <w:rFonts w:cs="Times New Roman" w:hint="eastAsia"/>
                <w:bCs/>
              </w:rPr>
              <w:t>66</w:t>
            </w:r>
          </w:p>
        </w:tc>
      </w:tr>
    </w:tbl>
    <w:p w14:paraId="30BCBAB9" w14:textId="77777777" w:rsidR="00054437" w:rsidRPr="000549B1" w:rsidRDefault="00000000" w:rsidP="000549B1">
      <w:pPr>
        <w:pStyle w:val="Z4"/>
        <w:rPr>
          <w:color w:val="auto"/>
        </w:rPr>
      </w:pPr>
      <w:r w:rsidRPr="000549B1">
        <w:rPr>
          <w:color w:val="auto"/>
        </w:rPr>
        <w:t>水利信息化规划</w:t>
      </w:r>
    </w:p>
    <w:p w14:paraId="7A56C2CF" w14:textId="0B1C22D8" w:rsidR="00054437" w:rsidRPr="000549B1" w:rsidRDefault="002F2485" w:rsidP="000549B1">
      <w:pPr>
        <w:pStyle w:val="x"/>
      </w:pPr>
      <w:r w:rsidRPr="000549B1">
        <w:rPr>
          <w:rStyle w:val="aff0"/>
          <w:rFonts w:hint="eastAsia"/>
          <w:b w:val="0"/>
          <w:bCs w:val="0"/>
        </w:rPr>
        <w:t>（</w:t>
      </w:r>
      <w:r w:rsidRPr="000549B1">
        <w:rPr>
          <w:rStyle w:val="aff0"/>
          <w:rFonts w:hint="eastAsia"/>
          <w:b w:val="0"/>
          <w:bCs w:val="0"/>
        </w:rPr>
        <w:t>1</w:t>
      </w:r>
      <w:r w:rsidRPr="000549B1">
        <w:rPr>
          <w:rStyle w:val="aff0"/>
          <w:rFonts w:hint="eastAsia"/>
          <w:b w:val="0"/>
          <w:bCs w:val="0"/>
        </w:rPr>
        <w:t>）规划目标与核心指标</w:t>
      </w:r>
    </w:p>
    <w:p w14:paraId="6D7C6B8B" w14:textId="517173A9" w:rsidR="00054437" w:rsidRDefault="00000000">
      <w:pPr>
        <w:pStyle w:val="x"/>
      </w:pPr>
      <w:r w:rsidRPr="000549B1">
        <w:rPr>
          <w:rFonts w:hint="eastAsia"/>
        </w:rPr>
        <w:t>规划</w:t>
      </w:r>
      <w:r w:rsidRPr="000549B1">
        <w:t>旨在建成一个</w:t>
      </w:r>
      <w:r w:rsidRPr="000549B1">
        <w:rPr>
          <w:rFonts w:ascii="宋体" w:hAnsi="宋体"/>
        </w:rPr>
        <w:t>“</w:t>
      </w:r>
      <w:r w:rsidRPr="000549B1">
        <w:t>透彻感知、互联互通、智能模拟、精准决策</w:t>
      </w:r>
      <w:r w:rsidRPr="000549B1">
        <w:rPr>
          <w:rFonts w:ascii="宋体" w:hAnsi="宋体"/>
        </w:rPr>
        <w:t>”</w:t>
      </w:r>
      <w:r w:rsidRPr="000549B1">
        <w:t>的智慧水利体系。其核心目标是构建</w:t>
      </w:r>
      <w:r w:rsidRPr="000549B1">
        <w:rPr>
          <w:rStyle w:val="aff0"/>
          <w:b w:val="0"/>
          <w:bCs w:val="0"/>
        </w:rPr>
        <w:t>数字孪生沙珠玉河流域</w:t>
      </w:r>
      <w:r w:rsidRPr="000549B1">
        <w:rPr>
          <w:b/>
          <w:bCs/>
        </w:rPr>
        <w:t>，</w:t>
      </w:r>
      <w:r w:rsidRPr="000549B1">
        <w:t>并围绕</w:t>
      </w:r>
      <w:r w:rsidRPr="000549B1">
        <w:rPr>
          <w:rFonts w:ascii="宋体" w:hAnsi="宋体"/>
        </w:rPr>
        <w:t>“</w:t>
      </w:r>
      <w:r w:rsidRPr="000549B1">
        <w:t>四预</w:t>
      </w:r>
      <w:r w:rsidRPr="000549B1">
        <w:rPr>
          <w:rFonts w:ascii="宋体" w:hAnsi="宋体"/>
        </w:rPr>
        <w:t>”</w:t>
      </w:r>
      <w:r w:rsidRPr="000549B1">
        <w:t>功能，全面提升水利业务的智能化水平。</w:t>
      </w:r>
    </w:p>
    <w:p w14:paraId="3BDA259A" w14:textId="77777777" w:rsidR="00F1314B" w:rsidRDefault="00F1314B">
      <w:pPr>
        <w:pStyle w:val="x"/>
      </w:pPr>
    </w:p>
    <w:p w14:paraId="739F0F72" w14:textId="77777777" w:rsidR="00F1314B" w:rsidRDefault="00F1314B">
      <w:pPr>
        <w:pStyle w:val="x"/>
      </w:pPr>
    </w:p>
    <w:p w14:paraId="52FDA8F4" w14:textId="77777777" w:rsidR="00F1314B" w:rsidRDefault="00F1314B">
      <w:pPr>
        <w:pStyle w:val="x"/>
      </w:pPr>
    </w:p>
    <w:p w14:paraId="1BDF5DBE" w14:textId="77777777" w:rsidR="00F1314B" w:rsidRDefault="00F1314B">
      <w:pPr>
        <w:pStyle w:val="x"/>
      </w:pPr>
    </w:p>
    <w:p w14:paraId="423BA5F5" w14:textId="77777777" w:rsidR="00F1314B" w:rsidRPr="000549B1" w:rsidRDefault="00F1314B">
      <w:pPr>
        <w:pStyle w:val="x"/>
      </w:pPr>
    </w:p>
    <w:p w14:paraId="5936A683" w14:textId="7A3AAF2D" w:rsidR="00054437" w:rsidRPr="000549B1" w:rsidRDefault="00000000">
      <w:pPr>
        <w:pStyle w:val="aff8"/>
        <w:rPr>
          <w:bCs/>
          <w:snapToGrid w:val="0"/>
          <w:color w:val="auto"/>
          <w:szCs w:val="21"/>
        </w:rPr>
      </w:pPr>
      <w:r w:rsidRPr="000549B1">
        <w:rPr>
          <w:color w:val="auto"/>
        </w:rPr>
        <w:t>表</w:t>
      </w:r>
      <w:r w:rsidR="00372953">
        <w:rPr>
          <w:color w:val="auto"/>
        </w:rPr>
        <w:fldChar w:fldCharType="begin"/>
      </w:r>
      <w:r w:rsidR="00372953">
        <w:rPr>
          <w:color w:val="auto"/>
        </w:rPr>
        <w:instrText xml:space="preserve"> STYLEREF 2 \s </w:instrText>
      </w:r>
      <w:r w:rsidR="00372953">
        <w:rPr>
          <w:color w:val="auto"/>
        </w:rPr>
        <w:fldChar w:fldCharType="separate"/>
      </w:r>
      <w:r w:rsidR="00372953">
        <w:rPr>
          <w:noProof/>
          <w:color w:val="auto"/>
        </w:rPr>
        <w:t>2.1</w:t>
      </w:r>
      <w:r w:rsidR="00372953">
        <w:rPr>
          <w:color w:val="auto"/>
        </w:rPr>
        <w:fldChar w:fldCharType="end"/>
      </w:r>
      <w:r w:rsidR="00372953">
        <w:rPr>
          <w:color w:val="auto"/>
        </w:rPr>
        <w:noBreakHyphen/>
      </w:r>
      <w:r w:rsidR="00372953">
        <w:rPr>
          <w:color w:val="auto"/>
        </w:rPr>
        <w:fldChar w:fldCharType="begin"/>
      </w:r>
      <w:r w:rsidR="00372953">
        <w:rPr>
          <w:color w:val="auto"/>
        </w:rPr>
        <w:instrText xml:space="preserve"> SEQ </w:instrText>
      </w:r>
      <w:r w:rsidR="00372953">
        <w:rPr>
          <w:color w:val="auto"/>
        </w:rPr>
        <w:instrText>表</w:instrText>
      </w:r>
      <w:r w:rsidR="00372953">
        <w:rPr>
          <w:color w:val="auto"/>
        </w:rPr>
        <w:instrText xml:space="preserve"> \* ARABIC \s 2 </w:instrText>
      </w:r>
      <w:r w:rsidR="00372953">
        <w:rPr>
          <w:color w:val="auto"/>
        </w:rPr>
        <w:fldChar w:fldCharType="separate"/>
      </w:r>
      <w:r w:rsidR="00372953">
        <w:rPr>
          <w:noProof/>
          <w:color w:val="auto"/>
        </w:rPr>
        <w:t>17</w:t>
      </w:r>
      <w:r w:rsidR="00372953">
        <w:rPr>
          <w:color w:val="auto"/>
        </w:rPr>
        <w:fldChar w:fldCharType="end"/>
      </w:r>
      <w:r w:rsidRPr="000549B1">
        <w:rPr>
          <w:bCs/>
          <w:snapToGrid w:val="0"/>
          <w:color w:val="auto"/>
          <w:szCs w:val="21"/>
        </w:rPr>
        <w:t>水利信息化规划核心目标与指标</w:t>
      </w:r>
    </w:p>
    <w:tbl>
      <w:tblPr>
        <w:tblW w:w="85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71"/>
        <w:gridCol w:w="7322"/>
      </w:tblGrid>
      <w:tr w:rsidR="000549B1" w:rsidRPr="000549B1" w14:paraId="7AFADC4C" w14:textId="77777777">
        <w:trPr>
          <w:trHeight w:val="785"/>
          <w:tblHeader/>
          <w:jc w:val="center"/>
        </w:trPr>
        <w:tc>
          <w:tcPr>
            <w:tcW w:w="1271" w:type="dxa"/>
            <w:tcMar>
              <w:top w:w="150" w:type="dxa"/>
              <w:left w:w="0" w:type="dxa"/>
              <w:bottom w:w="150" w:type="dxa"/>
              <w:right w:w="240" w:type="dxa"/>
            </w:tcMar>
            <w:vAlign w:val="center"/>
          </w:tcPr>
          <w:p w14:paraId="209EC28A" w14:textId="77777777" w:rsidR="00054437" w:rsidRPr="000549B1" w:rsidRDefault="00000000">
            <w:pPr>
              <w:pStyle w:val="0-"/>
              <w:rPr>
                <w:rFonts w:cs="Times New Roman"/>
                <w:b/>
                <w:bCs/>
              </w:rPr>
            </w:pPr>
            <w:r w:rsidRPr="000549B1">
              <w:rPr>
                <w:rFonts w:cs="Times New Roman"/>
                <w:b/>
                <w:bCs/>
              </w:rPr>
              <w:t>规划维度</w:t>
            </w:r>
          </w:p>
        </w:tc>
        <w:tc>
          <w:tcPr>
            <w:tcW w:w="7322" w:type="dxa"/>
            <w:tcMar>
              <w:top w:w="150" w:type="dxa"/>
              <w:left w:w="240" w:type="dxa"/>
              <w:bottom w:w="150" w:type="dxa"/>
              <w:right w:w="240" w:type="dxa"/>
            </w:tcMar>
            <w:vAlign w:val="center"/>
          </w:tcPr>
          <w:p w14:paraId="0599DE89" w14:textId="77777777" w:rsidR="00054437" w:rsidRPr="000549B1" w:rsidRDefault="00000000">
            <w:pPr>
              <w:pStyle w:val="0-"/>
              <w:rPr>
                <w:rFonts w:cs="Times New Roman"/>
                <w:b/>
                <w:bCs/>
              </w:rPr>
            </w:pPr>
            <w:r w:rsidRPr="000549B1">
              <w:rPr>
                <w:rFonts w:cs="Times New Roman"/>
                <w:b/>
                <w:bCs/>
              </w:rPr>
              <w:t>核心目标与指标</w:t>
            </w:r>
          </w:p>
        </w:tc>
      </w:tr>
      <w:tr w:rsidR="000549B1" w:rsidRPr="000549B1" w14:paraId="7E4D2C72" w14:textId="77777777">
        <w:trPr>
          <w:trHeight w:val="642"/>
          <w:jc w:val="center"/>
        </w:trPr>
        <w:tc>
          <w:tcPr>
            <w:tcW w:w="1271" w:type="dxa"/>
            <w:tcMar>
              <w:top w:w="150" w:type="dxa"/>
              <w:left w:w="0" w:type="dxa"/>
              <w:bottom w:w="150" w:type="dxa"/>
              <w:right w:w="240" w:type="dxa"/>
            </w:tcMar>
            <w:vAlign w:val="center"/>
          </w:tcPr>
          <w:p w14:paraId="04E24819" w14:textId="77777777" w:rsidR="00054437" w:rsidRPr="000549B1" w:rsidRDefault="00000000">
            <w:pPr>
              <w:pStyle w:val="0-"/>
              <w:rPr>
                <w:rFonts w:cs="Times New Roman"/>
              </w:rPr>
            </w:pPr>
            <w:r w:rsidRPr="000549B1">
              <w:rPr>
                <w:rStyle w:val="aff0"/>
                <w:rFonts w:cs="Times New Roman"/>
                <w:b w:val="0"/>
                <w:bCs w:val="0"/>
              </w:rPr>
              <w:t>基础设施</w:t>
            </w:r>
          </w:p>
        </w:tc>
        <w:tc>
          <w:tcPr>
            <w:tcW w:w="7322" w:type="dxa"/>
            <w:tcMar>
              <w:top w:w="150" w:type="dxa"/>
              <w:left w:w="240" w:type="dxa"/>
              <w:bottom w:w="150" w:type="dxa"/>
              <w:right w:w="0" w:type="dxa"/>
            </w:tcMar>
            <w:vAlign w:val="center"/>
          </w:tcPr>
          <w:p w14:paraId="77F49D8D" w14:textId="09E6FD05" w:rsidR="00054437" w:rsidRPr="000549B1" w:rsidRDefault="00000000">
            <w:pPr>
              <w:pStyle w:val="0-"/>
              <w:rPr>
                <w:rFonts w:cs="Times New Roman"/>
              </w:rPr>
            </w:pPr>
            <w:r w:rsidRPr="000549B1">
              <w:rPr>
                <w:rFonts w:cs="Times New Roman"/>
              </w:rPr>
              <w:t>建成覆盖流域重点水利工程的</w:t>
            </w:r>
            <w:r w:rsidRPr="000549B1">
              <w:rPr>
                <w:rFonts w:ascii="宋体" w:hAnsi="宋体" w:cs="Times New Roman"/>
              </w:rPr>
              <w:t>“</w:t>
            </w:r>
            <w:r w:rsidRPr="000549B1">
              <w:rPr>
                <w:rFonts w:cs="Times New Roman"/>
              </w:rPr>
              <w:t>天空地水工</w:t>
            </w:r>
            <w:r w:rsidRPr="000549B1">
              <w:rPr>
                <w:rFonts w:ascii="宋体" w:hAnsi="宋体" w:cs="Times New Roman"/>
              </w:rPr>
              <w:t>”</w:t>
            </w:r>
            <w:r w:rsidRPr="000549B1">
              <w:rPr>
                <w:rFonts w:cs="Times New Roman"/>
              </w:rPr>
              <w:t>一体化监测感知网；构建州、县两级互联互通的通信网络与水利云平台</w:t>
            </w:r>
          </w:p>
        </w:tc>
      </w:tr>
      <w:tr w:rsidR="000549B1" w:rsidRPr="000549B1" w14:paraId="604760EE" w14:textId="77777777">
        <w:trPr>
          <w:trHeight w:val="698"/>
          <w:jc w:val="center"/>
        </w:trPr>
        <w:tc>
          <w:tcPr>
            <w:tcW w:w="1271" w:type="dxa"/>
            <w:tcMar>
              <w:top w:w="150" w:type="dxa"/>
              <w:left w:w="0" w:type="dxa"/>
              <w:bottom w:w="150" w:type="dxa"/>
              <w:right w:w="240" w:type="dxa"/>
            </w:tcMar>
            <w:vAlign w:val="center"/>
          </w:tcPr>
          <w:p w14:paraId="71AF05ED" w14:textId="77777777" w:rsidR="00054437" w:rsidRPr="000549B1" w:rsidRDefault="00000000">
            <w:pPr>
              <w:pStyle w:val="0-"/>
              <w:rPr>
                <w:rFonts w:cs="Times New Roman"/>
              </w:rPr>
            </w:pPr>
            <w:r w:rsidRPr="000549B1">
              <w:rPr>
                <w:rStyle w:val="aff0"/>
                <w:rFonts w:cs="Times New Roman"/>
                <w:b w:val="0"/>
                <w:bCs w:val="0"/>
              </w:rPr>
              <w:t>数字孪生平台</w:t>
            </w:r>
          </w:p>
        </w:tc>
        <w:tc>
          <w:tcPr>
            <w:tcW w:w="7322" w:type="dxa"/>
            <w:tcMar>
              <w:top w:w="150" w:type="dxa"/>
              <w:left w:w="240" w:type="dxa"/>
              <w:bottom w:w="150" w:type="dxa"/>
              <w:right w:w="0" w:type="dxa"/>
            </w:tcMar>
            <w:vAlign w:val="center"/>
          </w:tcPr>
          <w:p w14:paraId="62834051" w14:textId="7D85589E" w:rsidR="00054437" w:rsidRPr="000549B1" w:rsidRDefault="00000000">
            <w:pPr>
              <w:pStyle w:val="0-"/>
              <w:rPr>
                <w:rFonts w:cs="Times New Roman"/>
              </w:rPr>
            </w:pPr>
            <w:r w:rsidRPr="000549B1">
              <w:rPr>
                <w:rFonts w:cs="Times New Roman"/>
              </w:rPr>
              <w:t>构建覆盖全流域的</w:t>
            </w:r>
            <w:r w:rsidRPr="000549B1">
              <w:rPr>
                <w:rFonts w:cs="Times New Roman"/>
              </w:rPr>
              <w:t>L1</w:t>
            </w:r>
            <w:r w:rsidRPr="000549B1">
              <w:rPr>
                <w:rFonts w:cs="Times New Roman"/>
              </w:rPr>
              <w:t>级、重要防洪河段</w:t>
            </w:r>
            <w:r w:rsidRPr="000549B1">
              <w:rPr>
                <w:rFonts w:cs="Times New Roman"/>
              </w:rPr>
              <w:t>L2</w:t>
            </w:r>
            <w:r w:rsidRPr="000549B1">
              <w:rPr>
                <w:rFonts w:cs="Times New Roman"/>
              </w:rPr>
              <w:t>级、以及</w:t>
            </w:r>
            <w:r w:rsidRPr="000549B1">
              <w:rPr>
                <w:rFonts w:ascii="宋体" w:hAnsi="宋体" w:cs="Times New Roman"/>
              </w:rPr>
              <w:t>“</w:t>
            </w:r>
            <w:r w:rsidRPr="000549B1">
              <w:rPr>
                <w:rFonts w:cs="Times New Roman"/>
              </w:rPr>
              <w:t>三滩引水</w:t>
            </w:r>
            <w:r w:rsidRPr="000549B1">
              <w:rPr>
                <w:rFonts w:ascii="宋体" w:hAnsi="宋体" w:cs="Times New Roman"/>
              </w:rPr>
              <w:t>”</w:t>
            </w:r>
            <w:r w:rsidRPr="000549B1">
              <w:rPr>
                <w:rFonts w:cs="Times New Roman"/>
              </w:rPr>
              <w:t>等重大工程的</w:t>
            </w:r>
            <w:r w:rsidRPr="000549B1">
              <w:rPr>
                <w:rFonts w:cs="Times New Roman"/>
              </w:rPr>
              <w:t>L3</w:t>
            </w:r>
            <w:r w:rsidRPr="000549B1">
              <w:rPr>
                <w:rFonts w:cs="Times New Roman"/>
              </w:rPr>
              <w:t>级</w:t>
            </w:r>
            <w:r w:rsidRPr="000549B1">
              <w:rPr>
                <w:rStyle w:val="aff0"/>
                <w:rFonts w:cs="Times New Roman"/>
                <w:b w:val="0"/>
                <w:bCs w:val="0"/>
              </w:rPr>
              <w:t>数据底板</w:t>
            </w:r>
            <w:r w:rsidRPr="000549B1">
              <w:rPr>
                <w:rFonts w:cs="Times New Roman"/>
              </w:rPr>
              <w:t>；建成包含水文、水资源、水生态等模型的</w:t>
            </w:r>
            <w:r w:rsidRPr="000549B1">
              <w:rPr>
                <w:rStyle w:val="aff0"/>
                <w:rFonts w:cs="Times New Roman"/>
                <w:b w:val="0"/>
                <w:bCs w:val="0"/>
              </w:rPr>
              <w:t>模型平台</w:t>
            </w:r>
            <w:r w:rsidRPr="000549B1">
              <w:rPr>
                <w:rFonts w:cs="Times New Roman"/>
              </w:rPr>
              <w:t>和涵盖调度方案、知识图谱的</w:t>
            </w:r>
            <w:r w:rsidRPr="000549B1">
              <w:rPr>
                <w:rStyle w:val="aff0"/>
                <w:rFonts w:cs="Times New Roman"/>
                <w:b w:val="0"/>
                <w:bCs w:val="0"/>
              </w:rPr>
              <w:t>知识平台</w:t>
            </w:r>
          </w:p>
        </w:tc>
      </w:tr>
      <w:tr w:rsidR="000549B1" w:rsidRPr="000549B1" w14:paraId="305FAE72" w14:textId="77777777">
        <w:trPr>
          <w:trHeight w:val="686"/>
          <w:jc w:val="center"/>
        </w:trPr>
        <w:tc>
          <w:tcPr>
            <w:tcW w:w="1271" w:type="dxa"/>
            <w:tcMar>
              <w:top w:w="150" w:type="dxa"/>
              <w:left w:w="0" w:type="dxa"/>
              <w:bottom w:w="150" w:type="dxa"/>
              <w:right w:w="240" w:type="dxa"/>
            </w:tcMar>
            <w:vAlign w:val="center"/>
          </w:tcPr>
          <w:p w14:paraId="2D5E6DD1" w14:textId="77777777" w:rsidR="00054437" w:rsidRPr="000549B1" w:rsidRDefault="00000000">
            <w:pPr>
              <w:pStyle w:val="0-"/>
              <w:rPr>
                <w:rFonts w:cs="Times New Roman"/>
              </w:rPr>
            </w:pPr>
            <w:r w:rsidRPr="000549B1">
              <w:rPr>
                <w:rStyle w:val="aff0"/>
                <w:rFonts w:cs="Times New Roman"/>
                <w:b w:val="0"/>
                <w:bCs w:val="0"/>
              </w:rPr>
              <w:t>智能应用</w:t>
            </w:r>
          </w:p>
        </w:tc>
        <w:tc>
          <w:tcPr>
            <w:tcW w:w="7322" w:type="dxa"/>
            <w:tcMar>
              <w:top w:w="150" w:type="dxa"/>
              <w:left w:w="240" w:type="dxa"/>
              <w:bottom w:w="150" w:type="dxa"/>
              <w:right w:w="0" w:type="dxa"/>
            </w:tcMar>
            <w:vAlign w:val="center"/>
          </w:tcPr>
          <w:p w14:paraId="1AA7BF39" w14:textId="7FA5A140" w:rsidR="00054437" w:rsidRPr="000549B1" w:rsidRDefault="00000000">
            <w:pPr>
              <w:pStyle w:val="0-"/>
              <w:rPr>
                <w:rFonts w:cs="Times New Roman"/>
              </w:rPr>
            </w:pPr>
            <w:r w:rsidRPr="000549B1">
              <w:rPr>
                <w:rFonts w:cs="Times New Roman"/>
              </w:rPr>
              <w:t>在水旱灾害防御、水资源管理与调配等核心业务上全面实现</w:t>
            </w:r>
            <w:r w:rsidRPr="000549B1">
              <w:rPr>
                <w:rFonts w:ascii="宋体" w:hAnsi="宋体" w:cs="Times New Roman"/>
              </w:rPr>
              <w:t>“</w:t>
            </w:r>
            <w:r w:rsidRPr="000549B1">
              <w:rPr>
                <w:rStyle w:val="aff0"/>
                <w:rFonts w:cs="Times New Roman"/>
                <w:b w:val="0"/>
                <w:bCs w:val="0"/>
              </w:rPr>
              <w:t>四预</w:t>
            </w:r>
            <w:r w:rsidRPr="000549B1">
              <w:rPr>
                <w:rFonts w:ascii="宋体" w:hAnsi="宋体" w:cs="Times New Roman"/>
              </w:rPr>
              <w:t>”</w:t>
            </w:r>
            <w:r w:rsidRPr="000549B1">
              <w:rPr>
                <w:rFonts w:cs="Times New Roman"/>
              </w:rPr>
              <w:t>（预报、预警、预演、预案）功能</w:t>
            </w:r>
          </w:p>
        </w:tc>
      </w:tr>
      <w:tr w:rsidR="000549B1" w:rsidRPr="000549B1" w14:paraId="53788D68" w14:textId="77777777">
        <w:trPr>
          <w:trHeight w:val="780"/>
          <w:jc w:val="center"/>
        </w:trPr>
        <w:tc>
          <w:tcPr>
            <w:tcW w:w="1271" w:type="dxa"/>
            <w:tcMar>
              <w:top w:w="150" w:type="dxa"/>
              <w:left w:w="0" w:type="dxa"/>
              <w:bottom w:w="150" w:type="dxa"/>
              <w:right w:w="240" w:type="dxa"/>
            </w:tcMar>
            <w:vAlign w:val="center"/>
          </w:tcPr>
          <w:p w14:paraId="61B422DB" w14:textId="77777777" w:rsidR="00054437" w:rsidRPr="000549B1" w:rsidRDefault="00000000">
            <w:pPr>
              <w:pStyle w:val="0-"/>
              <w:rPr>
                <w:rFonts w:cs="Times New Roman"/>
              </w:rPr>
            </w:pPr>
            <w:r w:rsidRPr="000549B1">
              <w:rPr>
                <w:rStyle w:val="aff0"/>
                <w:rFonts w:cs="Times New Roman"/>
                <w:b w:val="0"/>
                <w:bCs w:val="0"/>
              </w:rPr>
              <w:t>安全保障</w:t>
            </w:r>
          </w:p>
        </w:tc>
        <w:tc>
          <w:tcPr>
            <w:tcW w:w="7322" w:type="dxa"/>
            <w:tcMar>
              <w:top w:w="150" w:type="dxa"/>
              <w:left w:w="240" w:type="dxa"/>
              <w:bottom w:w="150" w:type="dxa"/>
              <w:right w:w="0" w:type="dxa"/>
            </w:tcMar>
            <w:vAlign w:val="center"/>
          </w:tcPr>
          <w:p w14:paraId="56AA046C" w14:textId="10281E32" w:rsidR="00054437" w:rsidRPr="000549B1" w:rsidRDefault="00000000">
            <w:pPr>
              <w:pStyle w:val="0-"/>
              <w:rPr>
                <w:rFonts w:cs="Times New Roman"/>
              </w:rPr>
            </w:pPr>
            <w:r w:rsidRPr="000549B1">
              <w:rPr>
                <w:rFonts w:cs="Times New Roman"/>
              </w:rPr>
              <w:t>确保监测传输网络等级保护达到</w:t>
            </w:r>
            <w:r w:rsidRPr="000549B1">
              <w:rPr>
                <w:rStyle w:val="aff0"/>
                <w:rFonts w:cs="Times New Roman"/>
                <w:b w:val="0"/>
                <w:bCs w:val="0"/>
              </w:rPr>
              <w:t>二级</w:t>
            </w:r>
            <w:r w:rsidRPr="000549B1">
              <w:rPr>
                <w:rFonts w:cs="Times New Roman"/>
              </w:rPr>
              <w:t>，工控网等级保护达到</w:t>
            </w:r>
            <w:r w:rsidRPr="000549B1">
              <w:rPr>
                <w:rStyle w:val="aff0"/>
                <w:rFonts w:cs="Times New Roman"/>
                <w:b w:val="0"/>
                <w:bCs w:val="0"/>
              </w:rPr>
              <w:t>三级</w:t>
            </w:r>
            <w:r w:rsidRPr="000549B1">
              <w:rPr>
                <w:rFonts w:cs="Times New Roman"/>
              </w:rPr>
              <w:t>；建立闭环网络安全防护体系与数据安全管理体系</w:t>
            </w:r>
          </w:p>
        </w:tc>
      </w:tr>
    </w:tbl>
    <w:p w14:paraId="52D5B761" w14:textId="2004955D" w:rsidR="00054437" w:rsidRPr="000549B1" w:rsidRDefault="002F2485" w:rsidP="000549B1">
      <w:pPr>
        <w:pStyle w:val="x"/>
      </w:pPr>
      <w:r w:rsidRPr="000549B1">
        <w:rPr>
          <w:rStyle w:val="aff0"/>
          <w:rFonts w:hint="eastAsia"/>
          <w:b w:val="0"/>
          <w:bCs w:val="0"/>
        </w:rPr>
        <w:t>（</w:t>
      </w:r>
      <w:r w:rsidRPr="000549B1">
        <w:rPr>
          <w:rStyle w:val="aff0"/>
          <w:rFonts w:hint="eastAsia"/>
          <w:b w:val="0"/>
          <w:bCs w:val="0"/>
        </w:rPr>
        <w:t>2</w:t>
      </w:r>
      <w:r w:rsidRPr="000549B1">
        <w:rPr>
          <w:rStyle w:val="aff0"/>
          <w:rFonts w:hint="eastAsia"/>
          <w:b w:val="0"/>
          <w:bCs w:val="0"/>
        </w:rPr>
        <w:t>）规划任务、布局与建设方式</w:t>
      </w:r>
    </w:p>
    <w:p w14:paraId="6BE8F3F4" w14:textId="086F0745" w:rsidR="00054437" w:rsidRPr="000549B1" w:rsidRDefault="00000000">
      <w:pPr>
        <w:pStyle w:val="x"/>
      </w:pPr>
      <w:r w:rsidRPr="000549B1">
        <w:rPr>
          <w:rFonts w:hint="eastAsia"/>
        </w:rPr>
        <w:t>规划</w:t>
      </w:r>
      <w:r w:rsidRPr="000549B1">
        <w:t>采用</w:t>
      </w:r>
      <w:r w:rsidRPr="000549B1">
        <w:rPr>
          <w:rFonts w:ascii="宋体" w:hAnsi="宋体"/>
        </w:rPr>
        <w:t>“</w:t>
      </w:r>
      <w:r w:rsidRPr="000549B1">
        <w:t>基础设施先行、平台中枢驱动、智能应用赋能、安全体系保障</w:t>
      </w:r>
      <w:r w:rsidRPr="000549B1">
        <w:rPr>
          <w:rFonts w:ascii="宋体" w:hAnsi="宋体"/>
        </w:rPr>
        <w:t>”</w:t>
      </w:r>
      <w:r w:rsidRPr="000549B1">
        <w:t>的系统性布局思路。其任务不是进行传统的土木工程建设，而是构建一个覆盖全域、全要素的数字化、智能化管理和决策支持系统。</w:t>
      </w:r>
    </w:p>
    <w:p w14:paraId="62E3D12C" w14:textId="2DDD5991" w:rsidR="00054437" w:rsidRPr="000549B1" w:rsidRDefault="00000000">
      <w:pPr>
        <w:pStyle w:val="aff8"/>
        <w:rPr>
          <w:color w:val="auto"/>
        </w:rPr>
      </w:pPr>
      <w:r w:rsidRPr="000549B1">
        <w:rPr>
          <w:color w:val="auto"/>
        </w:rPr>
        <w:t>表</w:t>
      </w:r>
      <w:r w:rsidR="00372953">
        <w:rPr>
          <w:color w:val="auto"/>
        </w:rPr>
        <w:fldChar w:fldCharType="begin"/>
      </w:r>
      <w:r w:rsidR="00372953">
        <w:rPr>
          <w:color w:val="auto"/>
        </w:rPr>
        <w:instrText xml:space="preserve"> STYLEREF 2 \s </w:instrText>
      </w:r>
      <w:r w:rsidR="00372953">
        <w:rPr>
          <w:color w:val="auto"/>
        </w:rPr>
        <w:fldChar w:fldCharType="separate"/>
      </w:r>
      <w:r w:rsidR="00372953">
        <w:rPr>
          <w:noProof/>
          <w:color w:val="auto"/>
        </w:rPr>
        <w:t>2.1</w:t>
      </w:r>
      <w:r w:rsidR="00372953">
        <w:rPr>
          <w:color w:val="auto"/>
        </w:rPr>
        <w:fldChar w:fldCharType="end"/>
      </w:r>
      <w:r w:rsidR="00372953">
        <w:rPr>
          <w:color w:val="auto"/>
        </w:rPr>
        <w:noBreakHyphen/>
      </w:r>
      <w:r w:rsidR="00372953">
        <w:rPr>
          <w:color w:val="auto"/>
        </w:rPr>
        <w:fldChar w:fldCharType="begin"/>
      </w:r>
      <w:r w:rsidR="00372953">
        <w:rPr>
          <w:color w:val="auto"/>
        </w:rPr>
        <w:instrText xml:space="preserve"> SEQ </w:instrText>
      </w:r>
      <w:r w:rsidR="00372953">
        <w:rPr>
          <w:color w:val="auto"/>
        </w:rPr>
        <w:instrText>表</w:instrText>
      </w:r>
      <w:r w:rsidR="00372953">
        <w:rPr>
          <w:color w:val="auto"/>
        </w:rPr>
        <w:instrText xml:space="preserve"> \* ARABIC \s 2 </w:instrText>
      </w:r>
      <w:r w:rsidR="00372953">
        <w:rPr>
          <w:color w:val="auto"/>
        </w:rPr>
        <w:fldChar w:fldCharType="separate"/>
      </w:r>
      <w:r w:rsidR="00372953">
        <w:rPr>
          <w:noProof/>
          <w:color w:val="auto"/>
        </w:rPr>
        <w:t>18</w:t>
      </w:r>
      <w:r w:rsidR="00372953">
        <w:rPr>
          <w:color w:val="auto"/>
        </w:rPr>
        <w:fldChar w:fldCharType="end"/>
      </w:r>
      <w:r w:rsidRPr="000549B1">
        <w:rPr>
          <w:rStyle w:val="aff0"/>
          <w:b/>
          <w:bCs w:val="0"/>
          <w:color w:val="auto"/>
        </w:rPr>
        <w:t>水利信息化规划任务、布局与建设方式</w:t>
      </w:r>
    </w:p>
    <w:tbl>
      <w:tblPr>
        <w:tblW w:w="8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61"/>
        <w:gridCol w:w="1769"/>
        <w:gridCol w:w="5831"/>
      </w:tblGrid>
      <w:tr w:rsidR="000549B1" w:rsidRPr="000549B1" w14:paraId="67DD2E9B" w14:textId="77777777">
        <w:trPr>
          <w:trHeight w:val="268"/>
          <w:tblHeader/>
        </w:trPr>
        <w:tc>
          <w:tcPr>
            <w:tcW w:w="0" w:type="auto"/>
            <w:tcMar>
              <w:top w:w="150" w:type="dxa"/>
              <w:left w:w="0" w:type="dxa"/>
              <w:bottom w:w="150" w:type="dxa"/>
              <w:right w:w="240" w:type="dxa"/>
            </w:tcMar>
            <w:vAlign w:val="center"/>
          </w:tcPr>
          <w:p w14:paraId="58DC76CD" w14:textId="77777777" w:rsidR="00054437" w:rsidRPr="000549B1" w:rsidRDefault="00000000">
            <w:pPr>
              <w:pStyle w:val="0-"/>
              <w:rPr>
                <w:rFonts w:cs="Times New Roman"/>
                <w:b/>
                <w:bCs/>
              </w:rPr>
            </w:pPr>
            <w:r w:rsidRPr="000549B1">
              <w:rPr>
                <w:rFonts w:cs="Times New Roman"/>
                <w:b/>
                <w:bCs/>
              </w:rPr>
              <w:t>规划任务</w:t>
            </w:r>
          </w:p>
        </w:tc>
        <w:tc>
          <w:tcPr>
            <w:tcW w:w="1769" w:type="dxa"/>
            <w:tcMar>
              <w:top w:w="150" w:type="dxa"/>
              <w:left w:w="240" w:type="dxa"/>
              <w:bottom w:w="150" w:type="dxa"/>
              <w:right w:w="240" w:type="dxa"/>
            </w:tcMar>
            <w:vAlign w:val="center"/>
          </w:tcPr>
          <w:p w14:paraId="1CC66CF1" w14:textId="77777777" w:rsidR="00054437" w:rsidRPr="000549B1" w:rsidRDefault="00000000">
            <w:pPr>
              <w:pStyle w:val="0-"/>
              <w:rPr>
                <w:rFonts w:cs="Times New Roman"/>
                <w:b/>
                <w:bCs/>
              </w:rPr>
            </w:pPr>
            <w:r w:rsidRPr="000549B1">
              <w:rPr>
                <w:rFonts w:cs="Times New Roman"/>
                <w:b/>
                <w:bCs/>
              </w:rPr>
              <w:t>系统布局</w:t>
            </w:r>
          </w:p>
        </w:tc>
        <w:tc>
          <w:tcPr>
            <w:tcW w:w="5831" w:type="dxa"/>
            <w:tcMar>
              <w:top w:w="150" w:type="dxa"/>
              <w:left w:w="240" w:type="dxa"/>
              <w:bottom w:w="150" w:type="dxa"/>
              <w:right w:w="240" w:type="dxa"/>
            </w:tcMar>
            <w:vAlign w:val="center"/>
          </w:tcPr>
          <w:p w14:paraId="034E248F" w14:textId="77777777" w:rsidR="00054437" w:rsidRPr="000549B1" w:rsidRDefault="00000000">
            <w:pPr>
              <w:pStyle w:val="0-"/>
              <w:rPr>
                <w:rFonts w:cs="Times New Roman"/>
                <w:b/>
                <w:bCs/>
              </w:rPr>
            </w:pPr>
            <w:r w:rsidRPr="000549B1">
              <w:rPr>
                <w:rFonts w:cs="Times New Roman"/>
                <w:b/>
                <w:bCs/>
              </w:rPr>
              <w:t>主要建设内容与方式</w:t>
            </w:r>
          </w:p>
        </w:tc>
      </w:tr>
      <w:tr w:rsidR="000549B1" w:rsidRPr="000549B1" w14:paraId="6BD0358A" w14:textId="77777777">
        <w:trPr>
          <w:trHeight w:val="2130"/>
        </w:trPr>
        <w:tc>
          <w:tcPr>
            <w:tcW w:w="0" w:type="auto"/>
            <w:tcMar>
              <w:top w:w="150" w:type="dxa"/>
              <w:left w:w="0" w:type="dxa"/>
              <w:bottom w:w="150" w:type="dxa"/>
              <w:right w:w="240" w:type="dxa"/>
            </w:tcMar>
            <w:vAlign w:val="center"/>
          </w:tcPr>
          <w:p w14:paraId="2B51D40B" w14:textId="77777777" w:rsidR="00054437" w:rsidRPr="000549B1" w:rsidRDefault="00000000">
            <w:pPr>
              <w:pStyle w:val="0-"/>
              <w:rPr>
                <w:rFonts w:cs="Times New Roman"/>
              </w:rPr>
            </w:pPr>
            <w:r w:rsidRPr="000549B1">
              <w:rPr>
                <w:rStyle w:val="aff0"/>
                <w:rFonts w:cs="Times New Roman"/>
                <w:b w:val="0"/>
                <w:bCs w:val="0"/>
              </w:rPr>
              <w:t>完善信息化基础设施</w:t>
            </w:r>
          </w:p>
        </w:tc>
        <w:tc>
          <w:tcPr>
            <w:tcW w:w="1769" w:type="dxa"/>
            <w:tcMar>
              <w:top w:w="150" w:type="dxa"/>
              <w:left w:w="240" w:type="dxa"/>
              <w:bottom w:w="150" w:type="dxa"/>
              <w:right w:w="240" w:type="dxa"/>
            </w:tcMar>
            <w:vAlign w:val="center"/>
          </w:tcPr>
          <w:p w14:paraId="7D406B68" w14:textId="6E1B2713" w:rsidR="00054437" w:rsidRPr="000549B1" w:rsidRDefault="00000000">
            <w:pPr>
              <w:pStyle w:val="0-"/>
              <w:rPr>
                <w:rFonts w:cs="Times New Roman"/>
              </w:rPr>
            </w:pPr>
            <w:r w:rsidRPr="000549B1">
              <w:rPr>
                <w:rFonts w:cs="Times New Roman"/>
              </w:rPr>
              <w:t>覆盖全流域及重点工程</w:t>
            </w:r>
          </w:p>
        </w:tc>
        <w:tc>
          <w:tcPr>
            <w:tcW w:w="5831" w:type="dxa"/>
            <w:tcMar>
              <w:top w:w="150" w:type="dxa"/>
              <w:left w:w="240" w:type="dxa"/>
              <w:bottom w:w="150" w:type="dxa"/>
              <w:right w:w="0" w:type="dxa"/>
            </w:tcMar>
            <w:vAlign w:val="center"/>
          </w:tcPr>
          <w:p w14:paraId="2B656493" w14:textId="5D93661D" w:rsidR="00054437" w:rsidRPr="000549B1" w:rsidRDefault="00000000">
            <w:pPr>
              <w:pStyle w:val="0-"/>
              <w:rPr>
                <w:rFonts w:cs="Times New Roman"/>
              </w:rPr>
            </w:pPr>
            <w:r w:rsidRPr="000549B1">
              <w:rPr>
                <w:rFonts w:cs="Times New Roman"/>
              </w:rPr>
              <w:t>1.</w:t>
            </w:r>
            <w:r w:rsidRPr="000549B1">
              <w:rPr>
                <w:rStyle w:val="aff0"/>
                <w:rFonts w:cs="Times New Roman"/>
                <w:b w:val="0"/>
                <w:bCs w:val="0"/>
              </w:rPr>
              <w:t>监测感知网</w:t>
            </w:r>
            <w:r w:rsidRPr="000549B1">
              <w:rPr>
                <w:rFonts w:cs="Times New Roman"/>
              </w:rPr>
              <w:t>：优化站网布局，通过改造和新建，补充监测站点；应用卫星遥感、无人机、视频监控等技术，构建</w:t>
            </w:r>
            <w:r w:rsidRPr="000549B1">
              <w:rPr>
                <w:rFonts w:ascii="宋体" w:hAnsi="宋体" w:cs="Times New Roman"/>
              </w:rPr>
              <w:t>“</w:t>
            </w:r>
            <w:r w:rsidRPr="000549B1">
              <w:rPr>
                <w:rFonts w:cs="Times New Roman"/>
              </w:rPr>
              <w:t>天空地水工</w:t>
            </w:r>
            <w:r w:rsidRPr="000549B1">
              <w:rPr>
                <w:rFonts w:ascii="宋体" w:hAnsi="宋体" w:cs="Times New Roman"/>
              </w:rPr>
              <w:t>”</w:t>
            </w:r>
            <w:r w:rsidRPr="000549B1">
              <w:rPr>
                <w:rFonts w:cs="Times New Roman"/>
              </w:rPr>
              <w:t>一体化感知体系。</w:t>
            </w:r>
            <w:r w:rsidRPr="000549B1">
              <w:rPr>
                <w:rFonts w:cs="Times New Roman"/>
              </w:rPr>
              <w:br/>
              <w:t>2.</w:t>
            </w:r>
            <w:r w:rsidRPr="000549B1">
              <w:rPr>
                <w:rStyle w:val="aff0"/>
                <w:rFonts w:cs="Times New Roman"/>
                <w:b w:val="0"/>
                <w:bCs w:val="0"/>
              </w:rPr>
              <w:t>通信网络</w:t>
            </w:r>
            <w:r w:rsidRPr="000549B1">
              <w:rPr>
                <w:rFonts w:cs="Times New Roman"/>
              </w:rPr>
              <w:t>：利用自建光纤、租用公网、无线通信（如</w:t>
            </w:r>
            <w:r w:rsidRPr="000549B1">
              <w:rPr>
                <w:rFonts w:cs="Times New Roman"/>
              </w:rPr>
              <w:t>5G</w:t>
            </w:r>
            <w:r w:rsidRPr="000549B1">
              <w:rPr>
                <w:rFonts w:cs="Times New Roman"/>
              </w:rPr>
              <w:t>、北斗）等多种方式，构建连接州、县及各水利工程管理单位的互联网络。</w:t>
            </w:r>
            <w:r w:rsidRPr="000549B1">
              <w:rPr>
                <w:rFonts w:cs="Times New Roman"/>
              </w:rPr>
              <w:br/>
              <w:t>3.</w:t>
            </w:r>
            <w:r w:rsidRPr="000549B1">
              <w:rPr>
                <w:rStyle w:val="aff0"/>
                <w:rFonts w:cs="Times New Roman"/>
                <w:b w:val="0"/>
                <w:bCs w:val="0"/>
              </w:rPr>
              <w:t>水利云平台</w:t>
            </w:r>
            <w:r w:rsidRPr="000549B1">
              <w:rPr>
                <w:rFonts w:cs="Times New Roman"/>
              </w:rPr>
              <w:t>：通过共享政府云、购置云服务或自建方式，构建统一的云数据中心，提供计算、存储和应用支撑服务。</w:t>
            </w:r>
            <w:r w:rsidRPr="000549B1">
              <w:rPr>
                <w:rFonts w:cs="Times New Roman"/>
              </w:rPr>
              <w:br/>
              <w:t>4.</w:t>
            </w:r>
            <w:r w:rsidRPr="000549B1">
              <w:rPr>
                <w:rStyle w:val="aff0"/>
                <w:rFonts w:cs="Times New Roman"/>
                <w:b w:val="0"/>
                <w:bCs w:val="0"/>
              </w:rPr>
              <w:t>运行管理环境</w:t>
            </w:r>
            <w:r w:rsidRPr="000549B1">
              <w:rPr>
                <w:rFonts w:cs="Times New Roman"/>
              </w:rPr>
              <w:t>：建设州、县两级水利综合会商中心，升级视频会议系统</w:t>
            </w:r>
          </w:p>
        </w:tc>
      </w:tr>
      <w:tr w:rsidR="000549B1" w:rsidRPr="000549B1" w14:paraId="788BE992" w14:textId="77777777">
        <w:trPr>
          <w:trHeight w:val="2136"/>
        </w:trPr>
        <w:tc>
          <w:tcPr>
            <w:tcW w:w="0" w:type="auto"/>
            <w:tcMar>
              <w:top w:w="150" w:type="dxa"/>
              <w:left w:w="0" w:type="dxa"/>
              <w:bottom w:w="150" w:type="dxa"/>
              <w:right w:w="240" w:type="dxa"/>
            </w:tcMar>
            <w:vAlign w:val="center"/>
          </w:tcPr>
          <w:p w14:paraId="2DA2DCAE" w14:textId="77777777" w:rsidR="00054437" w:rsidRPr="000549B1" w:rsidRDefault="00000000">
            <w:pPr>
              <w:pStyle w:val="0-"/>
              <w:rPr>
                <w:rFonts w:cs="Times New Roman"/>
              </w:rPr>
            </w:pPr>
            <w:r w:rsidRPr="000549B1">
              <w:rPr>
                <w:rStyle w:val="aff0"/>
                <w:rFonts w:cs="Times New Roman"/>
                <w:b w:val="0"/>
                <w:bCs w:val="0"/>
              </w:rPr>
              <w:t>构建数字孪生平台</w:t>
            </w:r>
          </w:p>
        </w:tc>
        <w:tc>
          <w:tcPr>
            <w:tcW w:w="1769" w:type="dxa"/>
            <w:tcMar>
              <w:top w:w="150" w:type="dxa"/>
              <w:left w:w="240" w:type="dxa"/>
              <w:bottom w:w="150" w:type="dxa"/>
              <w:right w:w="240" w:type="dxa"/>
            </w:tcMar>
            <w:vAlign w:val="center"/>
          </w:tcPr>
          <w:p w14:paraId="5BF8C844" w14:textId="22B6E59C" w:rsidR="00054437" w:rsidRPr="000549B1" w:rsidRDefault="00000000">
            <w:pPr>
              <w:pStyle w:val="0-"/>
              <w:rPr>
                <w:rFonts w:cs="Times New Roman"/>
              </w:rPr>
            </w:pPr>
            <w:r w:rsidRPr="000549B1">
              <w:rPr>
                <w:rFonts w:cs="Times New Roman"/>
              </w:rPr>
              <w:t>作为整个智慧水利系统的</w:t>
            </w:r>
            <w:r w:rsidRPr="000549B1">
              <w:rPr>
                <w:rFonts w:ascii="宋体" w:hAnsi="宋体" w:cs="Times New Roman"/>
              </w:rPr>
              <w:t>“</w:t>
            </w:r>
            <w:r w:rsidRPr="000549B1">
              <w:rPr>
                <w:rFonts w:cs="Times New Roman"/>
              </w:rPr>
              <w:t>大脑</w:t>
            </w:r>
            <w:r w:rsidRPr="000549B1">
              <w:rPr>
                <w:rFonts w:ascii="宋体" w:hAnsi="宋体" w:cs="Times New Roman"/>
              </w:rPr>
              <w:t>”</w:t>
            </w:r>
            <w:r w:rsidRPr="000549B1">
              <w:rPr>
                <w:rFonts w:cs="Times New Roman"/>
              </w:rPr>
              <w:t>和中枢</w:t>
            </w:r>
          </w:p>
        </w:tc>
        <w:tc>
          <w:tcPr>
            <w:tcW w:w="5831" w:type="dxa"/>
            <w:tcMar>
              <w:top w:w="150" w:type="dxa"/>
              <w:left w:w="240" w:type="dxa"/>
              <w:bottom w:w="150" w:type="dxa"/>
              <w:right w:w="0" w:type="dxa"/>
            </w:tcMar>
            <w:vAlign w:val="center"/>
          </w:tcPr>
          <w:p w14:paraId="7227B65C" w14:textId="7AC15B92" w:rsidR="00054437" w:rsidRPr="000549B1" w:rsidRDefault="00000000">
            <w:pPr>
              <w:pStyle w:val="0-"/>
              <w:rPr>
                <w:rFonts w:cs="Times New Roman"/>
              </w:rPr>
            </w:pPr>
            <w:r w:rsidRPr="000549B1">
              <w:rPr>
                <w:rFonts w:cs="Times New Roman"/>
              </w:rPr>
              <w:t>1.</w:t>
            </w:r>
            <w:r w:rsidRPr="000549B1">
              <w:rPr>
                <w:rStyle w:val="aff0"/>
                <w:rFonts w:cs="Times New Roman"/>
                <w:b w:val="0"/>
                <w:bCs w:val="0"/>
              </w:rPr>
              <w:t>数据底板</w:t>
            </w:r>
            <w:r w:rsidRPr="000549B1">
              <w:rPr>
                <w:rFonts w:cs="Times New Roman"/>
              </w:rPr>
              <w:t>：采用</w:t>
            </w:r>
            <w:r w:rsidRPr="000549B1">
              <w:rPr>
                <w:rFonts w:ascii="宋体" w:hAnsi="宋体" w:cs="Times New Roman"/>
              </w:rPr>
              <w:t>“</w:t>
            </w:r>
            <w:r w:rsidRPr="000549B1">
              <w:rPr>
                <w:rStyle w:val="aff0"/>
                <w:rFonts w:cs="Times New Roman"/>
                <w:b w:val="0"/>
                <w:bCs w:val="0"/>
              </w:rPr>
              <w:t>L1</w:t>
            </w:r>
            <w:r w:rsidRPr="000549B1">
              <w:rPr>
                <w:rStyle w:val="aff0"/>
                <w:rFonts w:cs="Times New Roman"/>
                <w:b w:val="0"/>
                <w:bCs w:val="0"/>
              </w:rPr>
              <w:t>（全域基础）</w:t>
            </w:r>
            <w:r w:rsidRPr="000549B1">
              <w:rPr>
                <w:rStyle w:val="aff0"/>
                <w:rFonts w:cs="Times New Roman"/>
                <w:b w:val="0"/>
                <w:bCs w:val="0"/>
              </w:rPr>
              <w:t>-L2</w:t>
            </w:r>
            <w:r w:rsidRPr="000549B1">
              <w:rPr>
                <w:rStyle w:val="aff0"/>
                <w:rFonts w:cs="Times New Roman"/>
                <w:b w:val="0"/>
                <w:bCs w:val="0"/>
              </w:rPr>
              <w:t>（重点河段精细）</w:t>
            </w:r>
            <w:r w:rsidRPr="000549B1">
              <w:rPr>
                <w:rStyle w:val="aff0"/>
                <w:rFonts w:cs="Times New Roman"/>
                <w:b w:val="0"/>
                <w:bCs w:val="0"/>
              </w:rPr>
              <w:t>-L3</w:t>
            </w:r>
            <w:r w:rsidRPr="000549B1">
              <w:rPr>
                <w:rStyle w:val="aff0"/>
                <w:rFonts w:cs="Times New Roman"/>
                <w:b w:val="0"/>
                <w:bCs w:val="0"/>
              </w:rPr>
              <w:t>（关键工程高保真）</w:t>
            </w:r>
            <w:r w:rsidRPr="000549B1">
              <w:rPr>
                <w:rFonts w:ascii="宋体" w:hAnsi="宋体" w:cs="Times New Roman"/>
              </w:rPr>
              <w:t>”</w:t>
            </w:r>
            <w:r w:rsidRPr="000549B1">
              <w:rPr>
                <w:rFonts w:cs="Times New Roman"/>
              </w:rPr>
              <w:t>三级架构，整合基础地理信息、监测数据、</w:t>
            </w:r>
            <w:r w:rsidRPr="000549B1">
              <w:rPr>
                <w:rFonts w:cs="Times New Roman"/>
              </w:rPr>
              <w:t>BIM</w:t>
            </w:r>
            <w:r w:rsidRPr="000549B1">
              <w:rPr>
                <w:rFonts w:cs="Times New Roman"/>
              </w:rPr>
              <w:t>模型等，形成统一的数据资源池和模型。</w:t>
            </w:r>
            <w:r w:rsidRPr="000549B1">
              <w:rPr>
                <w:rFonts w:cs="Times New Roman"/>
              </w:rPr>
              <w:br/>
              <w:t>2.</w:t>
            </w:r>
            <w:r w:rsidRPr="000549B1">
              <w:rPr>
                <w:rStyle w:val="aff0"/>
                <w:rFonts w:cs="Times New Roman"/>
                <w:b w:val="0"/>
                <w:bCs w:val="0"/>
              </w:rPr>
              <w:t>模型平台</w:t>
            </w:r>
            <w:r w:rsidRPr="000549B1">
              <w:rPr>
                <w:rFonts w:cs="Times New Roman"/>
              </w:rPr>
              <w:t>：在国家和省级模型库基础上，补充开发适用于本流域的</w:t>
            </w:r>
            <w:r w:rsidRPr="000549B1">
              <w:rPr>
                <w:rStyle w:val="aff0"/>
                <w:rFonts w:cs="Times New Roman"/>
                <w:b w:val="0"/>
                <w:bCs w:val="0"/>
              </w:rPr>
              <w:t>水文、水资源、水环境、水力学、泥沙、工程调度与安全</w:t>
            </w:r>
            <w:r w:rsidRPr="000549B1">
              <w:rPr>
                <w:rFonts w:cs="Times New Roman"/>
              </w:rPr>
              <w:t>等专业模型，以及</w:t>
            </w:r>
            <w:r w:rsidRPr="000549B1">
              <w:rPr>
                <w:rFonts w:cs="Times New Roman"/>
              </w:rPr>
              <w:t>AI</w:t>
            </w:r>
            <w:r w:rsidRPr="000549B1">
              <w:rPr>
                <w:rFonts w:cs="Times New Roman"/>
              </w:rPr>
              <w:t>识别、可视化等智能模型。</w:t>
            </w:r>
            <w:r w:rsidRPr="000549B1">
              <w:rPr>
                <w:rFonts w:cs="Times New Roman"/>
              </w:rPr>
              <w:br/>
              <w:t>3.</w:t>
            </w:r>
            <w:r w:rsidRPr="000549B1">
              <w:rPr>
                <w:rStyle w:val="aff0"/>
                <w:rFonts w:cs="Times New Roman"/>
                <w:b w:val="0"/>
                <w:bCs w:val="0"/>
              </w:rPr>
              <w:t>知识平台</w:t>
            </w:r>
            <w:r w:rsidRPr="000549B1">
              <w:rPr>
                <w:rFonts w:cs="Times New Roman"/>
              </w:rPr>
              <w:t>：构建包括调度方案库、知识图谱库、业务规则库、历史场景库在内的</w:t>
            </w:r>
            <w:r w:rsidRPr="000549B1">
              <w:rPr>
                <w:rStyle w:val="aff0"/>
                <w:rFonts w:cs="Times New Roman"/>
                <w:b w:val="0"/>
                <w:bCs w:val="0"/>
              </w:rPr>
              <w:t>流域知识库</w:t>
            </w:r>
            <w:r w:rsidRPr="000549B1">
              <w:rPr>
                <w:rFonts w:cs="Times New Roman"/>
              </w:rPr>
              <w:t>，并建设知识引擎</w:t>
            </w:r>
          </w:p>
        </w:tc>
      </w:tr>
      <w:tr w:rsidR="000549B1" w:rsidRPr="000549B1" w14:paraId="36A66203" w14:textId="77777777">
        <w:trPr>
          <w:trHeight w:val="1599"/>
        </w:trPr>
        <w:tc>
          <w:tcPr>
            <w:tcW w:w="0" w:type="auto"/>
            <w:tcMar>
              <w:top w:w="150" w:type="dxa"/>
              <w:left w:w="0" w:type="dxa"/>
              <w:bottom w:w="150" w:type="dxa"/>
              <w:right w:w="240" w:type="dxa"/>
            </w:tcMar>
            <w:vAlign w:val="center"/>
          </w:tcPr>
          <w:p w14:paraId="2A8C7383" w14:textId="77777777" w:rsidR="00054437" w:rsidRPr="000549B1" w:rsidRDefault="00000000">
            <w:pPr>
              <w:pStyle w:val="0-"/>
              <w:rPr>
                <w:rFonts w:cs="Times New Roman"/>
              </w:rPr>
            </w:pPr>
            <w:r w:rsidRPr="000549B1">
              <w:rPr>
                <w:rStyle w:val="aff0"/>
                <w:rFonts w:cs="Times New Roman"/>
                <w:b w:val="0"/>
                <w:bCs w:val="0"/>
              </w:rPr>
              <w:t>加强智能应用建设</w:t>
            </w:r>
          </w:p>
        </w:tc>
        <w:tc>
          <w:tcPr>
            <w:tcW w:w="1769" w:type="dxa"/>
            <w:tcMar>
              <w:top w:w="150" w:type="dxa"/>
              <w:left w:w="240" w:type="dxa"/>
              <w:bottom w:w="150" w:type="dxa"/>
              <w:right w:w="240" w:type="dxa"/>
            </w:tcMar>
            <w:vAlign w:val="center"/>
          </w:tcPr>
          <w:p w14:paraId="69382A99" w14:textId="66E2E599" w:rsidR="00054437" w:rsidRPr="000549B1" w:rsidRDefault="00000000">
            <w:pPr>
              <w:pStyle w:val="0-"/>
              <w:rPr>
                <w:rFonts w:cs="Times New Roman"/>
              </w:rPr>
            </w:pPr>
            <w:r w:rsidRPr="000549B1">
              <w:rPr>
                <w:rFonts w:cs="Times New Roman"/>
              </w:rPr>
              <w:t>聚焦水旱灾害防御、水资源调配等</w:t>
            </w:r>
            <w:r w:rsidRPr="000549B1">
              <w:rPr>
                <w:rFonts w:ascii="宋体" w:hAnsi="宋体" w:cs="Times New Roman"/>
              </w:rPr>
              <w:t>“</w:t>
            </w:r>
            <w:r w:rsidRPr="000549B1">
              <w:rPr>
                <w:rFonts w:cs="Times New Roman"/>
              </w:rPr>
              <w:t>2+N</w:t>
            </w:r>
            <w:r w:rsidRPr="000549B1">
              <w:rPr>
                <w:rFonts w:ascii="宋体" w:hAnsi="宋体" w:cs="Times New Roman"/>
              </w:rPr>
              <w:t>”</w:t>
            </w:r>
            <w:r w:rsidRPr="000549B1">
              <w:rPr>
                <w:rFonts w:cs="Times New Roman"/>
              </w:rPr>
              <w:t>项核心业务</w:t>
            </w:r>
          </w:p>
        </w:tc>
        <w:tc>
          <w:tcPr>
            <w:tcW w:w="5831" w:type="dxa"/>
            <w:tcMar>
              <w:top w:w="150" w:type="dxa"/>
              <w:left w:w="240" w:type="dxa"/>
              <w:bottom w:w="150" w:type="dxa"/>
              <w:right w:w="0" w:type="dxa"/>
            </w:tcMar>
            <w:vAlign w:val="center"/>
          </w:tcPr>
          <w:p w14:paraId="2AC730C3" w14:textId="729716F2" w:rsidR="00054437" w:rsidRPr="000549B1" w:rsidRDefault="00000000">
            <w:pPr>
              <w:pStyle w:val="0-"/>
              <w:rPr>
                <w:rFonts w:cs="Times New Roman"/>
              </w:rPr>
            </w:pPr>
            <w:r w:rsidRPr="000549B1">
              <w:rPr>
                <w:rFonts w:cs="Times New Roman"/>
              </w:rPr>
              <w:t>1.</w:t>
            </w:r>
            <w:r w:rsidRPr="000549B1">
              <w:rPr>
                <w:rStyle w:val="aff0"/>
                <w:rFonts w:cs="Times New Roman"/>
                <w:b w:val="0"/>
                <w:bCs w:val="0"/>
              </w:rPr>
              <w:t>水旱灾害防御平台</w:t>
            </w:r>
            <w:r w:rsidRPr="000549B1">
              <w:rPr>
                <w:rFonts w:cs="Times New Roman"/>
              </w:rPr>
              <w:t>：集成</w:t>
            </w:r>
            <w:r w:rsidRPr="000549B1">
              <w:rPr>
                <w:rFonts w:ascii="宋体" w:hAnsi="宋体" w:cs="Times New Roman"/>
              </w:rPr>
              <w:t>“</w:t>
            </w:r>
            <w:r w:rsidRPr="000549B1">
              <w:rPr>
                <w:rFonts w:cs="Times New Roman"/>
              </w:rPr>
              <w:t>四预</w:t>
            </w:r>
            <w:r w:rsidRPr="000549B1">
              <w:rPr>
                <w:rFonts w:ascii="宋体" w:hAnsi="宋体" w:cs="Times New Roman"/>
              </w:rPr>
              <w:t>”</w:t>
            </w:r>
            <w:r w:rsidRPr="000549B1">
              <w:rPr>
                <w:rFonts w:cs="Times New Roman"/>
              </w:rPr>
              <w:t>功能，提升防洪调度和抗旱保供的决策支持能力。</w:t>
            </w:r>
            <w:r w:rsidRPr="000549B1">
              <w:rPr>
                <w:rFonts w:cs="Times New Roman"/>
              </w:rPr>
              <w:br/>
              <w:t>2.</w:t>
            </w:r>
            <w:r w:rsidRPr="000549B1">
              <w:rPr>
                <w:rStyle w:val="aff0"/>
                <w:rFonts w:cs="Times New Roman"/>
                <w:b w:val="0"/>
                <w:bCs w:val="0"/>
              </w:rPr>
              <w:t>水资源管理与调配平台</w:t>
            </w:r>
            <w:r w:rsidRPr="000549B1">
              <w:rPr>
                <w:rFonts w:cs="Times New Roman"/>
              </w:rPr>
              <w:t>：实现中长期来水预报、需水预测、精准配置和应急响应。</w:t>
            </w:r>
            <w:r w:rsidRPr="000549B1">
              <w:rPr>
                <w:rFonts w:cs="Times New Roman"/>
              </w:rPr>
              <w:br/>
              <w:t>3.</w:t>
            </w:r>
            <w:r w:rsidRPr="000549B1">
              <w:rPr>
                <w:rStyle w:val="aff0"/>
                <w:rFonts w:cs="Times New Roman"/>
                <w:b w:val="0"/>
                <w:bCs w:val="0"/>
              </w:rPr>
              <w:t>其他应用</w:t>
            </w:r>
            <w:r w:rsidRPr="000549B1">
              <w:rPr>
                <w:rFonts w:cs="Times New Roman"/>
              </w:rPr>
              <w:t>：同步推进流域综合管理、水工程全生命周期管理、农村供水安全保障等智能应用建设</w:t>
            </w:r>
          </w:p>
        </w:tc>
      </w:tr>
      <w:tr w:rsidR="000549B1" w:rsidRPr="000549B1" w14:paraId="6FAA33DE" w14:textId="77777777">
        <w:trPr>
          <w:trHeight w:val="1067"/>
        </w:trPr>
        <w:tc>
          <w:tcPr>
            <w:tcW w:w="0" w:type="auto"/>
            <w:tcMar>
              <w:top w:w="150" w:type="dxa"/>
              <w:left w:w="0" w:type="dxa"/>
              <w:bottom w:w="150" w:type="dxa"/>
              <w:right w:w="240" w:type="dxa"/>
            </w:tcMar>
            <w:vAlign w:val="center"/>
          </w:tcPr>
          <w:p w14:paraId="280AD745" w14:textId="77777777" w:rsidR="00054437" w:rsidRPr="000549B1" w:rsidRDefault="00000000">
            <w:pPr>
              <w:pStyle w:val="0-"/>
              <w:rPr>
                <w:rFonts w:cs="Times New Roman"/>
              </w:rPr>
            </w:pPr>
            <w:r w:rsidRPr="000549B1">
              <w:rPr>
                <w:rStyle w:val="aff0"/>
                <w:rFonts w:cs="Times New Roman"/>
                <w:b w:val="0"/>
                <w:bCs w:val="0"/>
              </w:rPr>
              <w:t>强化网络安全与保障体系</w:t>
            </w:r>
          </w:p>
        </w:tc>
        <w:tc>
          <w:tcPr>
            <w:tcW w:w="1769" w:type="dxa"/>
            <w:tcMar>
              <w:top w:w="150" w:type="dxa"/>
              <w:left w:w="240" w:type="dxa"/>
              <w:bottom w:w="150" w:type="dxa"/>
              <w:right w:w="240" w:type="dxa"/>
            </w:tcMar>
            <w:vAlign w:val="center"/>
          </w:tcPr>
          <w:p w14:paraId="42F14529" w14:textId="298F1EA3" w:rsidR="00054437" w:rsidRPr="000549B1" w:rsidRDefault="00000000">
            <w:pPr>
              <w:pStyle w:val="0-"/>
              <w:rPr>
                <w:rFonts w:cs="Times New Roman"/>
              </w:rPr>
            </w:pPr>
            <w:r w:rsidRPr="000549B1">
              <w:rPr>
                <w:rFonts w:cs="Times New Roman"/>
              </w:rPr>
              <w:t>贯穿于基础设施、平台和应用各个层级</w:t>
            </w:r>
          </w:p>
        </w:tc>
        <w:tc>
          <w:tcPr>
            <w:tcW w:w="5831" w:type="dxa"/>
            <w:tcMar>
              <w:top w:w="150" w:type="dxa"/>
              <w:left w:w="240" w:type="dxa"/>
              <w:bottom w:w="150" w:type="dxa"/>
              <w:right w:w="0" w:type="dxa"/>
            </w:tcMar>
            <w:vAlign w:val="center"/>
          </w:tcPr>
          <w:p w14:paraId="3CF72098" w14:textId="295849E9" w:rsidR="00054437" w:rsidRPr="000549B1" w:rsidRDefault="00000000">
            <w:pPr>
              <w:pStyle w:val="0-"/>
              <w:rPr>
                <w:rFonts w:cs="Times New Roman"/>
              </w:rPr>
            </w:pPr>
            <w:r w:rsidRPr="000549B1">
              <w:rPr>
                <w:rFonts w:cs="Times New Roman"/>
              </w:rPr>
              <w:t>1.</w:t>
            </w:r>
            <w:r w:rsidRPr="000549B1">
              <w:rPr>
                <w:rStyle w:val="aff0"/>
                <w:rFonts w:cs="Times New Roman"/>
                <w:b w:val="0"/>
                <w:bCs w:val="0"/>
              </w:rPr>
              <w:t>网络安全</w:t>
            </w:r>
            <w:r w:rsidRPr="000549B1">
              <w:rPr>
                <w:rFonts w:cs="Times New Roman"/>
              </w:rPr>
              <w:t>：构建预防、监测、预警、处置闭环防护体系，推进国产化替代和商用密码应用。</w:t>
            </w:r>
            <w:r w:rsidRPr="000549B1">
              <w:rPr>
                <w:rFonts w:cs="Times New Roman"/>
              </w:rPr>
              <w:br/>
              <w:t>2.</w:t>
            </w:r>
            <w:r w:rsidRPr="000549B1">
              <w:rPr>
                <w:rStyle w:val="aff0"/>
                <w:rFonts w:cs="Times New Roman"/>
                <w:b w:val="0"/>
                <w:bCs w:val="0"/>
              </w:rPr>
              <w:t>数据安全</w:t>
            </w:r>
            <w:r w:rsidRPr="000549B1">
              <w:rPr>
                <w:rFonts w:cs="Times New Roman"/>
              </w:rPr>
              <w:t>：加强数据分类分级保护，建立备份与灾备机制。</w:t>
            </w:r>
            <w:r w:rsidRPr="000549B1">
              <w:rPr>
                <w:rFonts w:cs="Times New Roman"/>
              </w:rPr>
              <w:br/>
              <w:t>3.</w:t>
            </w:r>
            <w:r w:rsidRPr="000549B1">
              <w:rPr>
                <w:rStyle w:val="aff0"/>
                <w:rFonts w:cs="Times New Roman"/>
                <w:b w:val="0"/>
                <w:bCs w:val="0"/>
              </w:rPr>
              <w:t>保障体系</w:t>
            </w:r>
            <w:r w:rsidRPr="000549B1">
              <w:rPr>
                <w:rFonts w:cs="Times New Roman"/>
              </w:rPr>
              <w:t>：制定技术标准、完善运维机制、加强复合型人才培养</w:t>
            </w:r>
          </w:p>
        </w:tc>
      </w:tr>
    </w:tbl>
    <w:p w14:paraId="6F94C4E1" w14:textId="6CD0A607" w:rsidR="00054437" w:rsidRPr="000549B1" w:rsidRDefault="002F2485" w:rsidP="000549B1">
      <w:pPr>
        <w:pStyle w:val="x"/>
      </w:pPr>
      <w:r w:rsidRPr="000549B1">
        <w:rPr>
          <w:rStyle w:val="aff0"/>
          <w:rFonts w:hint="eastAsia"/>
          <w:b w:val="0"/>
          <w:bCs w:val="0"/>
        </w:rPr>
        <w:t>（</w:t>
      </w:r>
      <w:r w:rsidRPr="000549B1">
        <w:rPr>
          <w:rStyle w:val="aff0"/>
          <w:b w:val="0"/>
          <w:bCs w:val="0"/>
        </w:rPr>
        <w:t>3</w:t>
      </w:r>
      <w:r w:rsidRPr="000549B1">
        <w:rPr>
          <w:rStyle w:val="aff0"/>
          <w:rFonts w:hint="eastAsia"/>
          <w:b w:val="0"/>
          <w:bCs w:val="0"/>
        </w:rPr>
        <w:t>）重大系统</w:t>
      </w:r>
    </w:p>
    <w:p w14:paraId="3951E80C" w14:textId="2676929F" w:rsidR="00054437" w:rsidRPr="000549B1" w:rsidRDefault="00000000">
      <w:pPr>
        <w:pStyle w:val="x"/>
      </w:pPr>
      <w:r w:rsidRPr="000549B1">
        <w:rPr>
          <w:rFonts w:hint="eastAsia"/>
        </w:rPr>
        <w:t>规划</w:t>
      </w:r>
      <w:r w:rsidRPr="000549B1">
        <w:t>不涉及传统意义上的水库、堤防等土木工程，其</w:t>
      </w:r>
      <w:r w:rsidRPr="000549B1">
        <w:rPr>
          <w:rFonts w:ascii="宋体" w:hAnsi="宋体"/>
        </w:rPr>
        <w:t>“</w:t>
      </w:r>
      <w:r w:rsidRPr="000549B1">
        <w:t>重大工程</w:t>
      </w:r>
      <w:r w:rsidRPr="000549B1">
        <w:rPr>
          <w:rFonts w:ascii="宋体" w:hAnsi="宋体"/>
        </w:rPr>
        <w:t>”</w:t>
      </w:r>
      <w:r w:rsidRPr="000549B1">
        <w:t>体现为支撑整个数字孪生流域运行的</w:t>
      </w:r>
      <w:r w:rsidRPr="000549B1">
        <w:rPr>
          <w:rStyle w:val="aff0"/>
          <w:b w:val="0"/>
          <w:bCs w:val="0"/>
        </w:rPr>
        <w:t>系统性、枢纽性信息基础设施与平台</w:t>
      </w:r>
      <w:r w:rsidRPr="000549B1">
        <w:t>。</w:t>
      </w:r>
    </w:p>
    <w:p w14:paraId="163FD506" w14:textId="103D371F" w:rsidR="00054437" w:rsidRPr="000549B1" w:rsidRDefault="00000000">
      <w:pPr>
        <w:pStyle w:val="aff8"/>
        <w:rPr>
          <w:color w:val="auto"/>
        </w:rPr>
      </w:pPr>
      <w:r w:rsidRPr="000549B1">
        <w:rPr>
          <w:color w:val="auto"/>
        </w:rPr>
        <w:t>表</w:t>
      </w:r>
      <w:r w:rsidR="00372953">
        <w:rPr>
          <w:color w:val="auto"/>
        </w:rPr>
        <w:fldChar w:fldCharType="begin"/>
      </w:r>
      <w:r w:rsidR="00372953">
        <w:rPr>
          <w:color w:val="auto"/>
        </w:rPr>
        <w:instrText xml:space="preserve"> STYLEREF 2 \s </w:instrText>
      </w:r>
      <w:r w:rsidR="00372953">
        <w:rPr>
          <w:color w:val="auto"/>
        </w:rPr>
        <w:fldChar w:fldCharType="separate"/>
      </w:r>
      <w:r w:rsidR="00372953">
        <w:rPr>
          <w:noProof/>
          <w:color w:val="auto"/>
        </w:rPr>
        <w:t>2.1</w:t>
      </w:r>
      <w:r w:rsidR="00372953">
        <w:rPr>
          <w:color w:val="auto"/>
        </w:rPr>
        <w:fldChar w:fldCharType="end"/>
      </w:r>
      <w:r w:rsidR="00372953">
        <w:rPr>
          <w:color w:val="auto"/>
        </w:rPr>
        <w:noBreakHyphen/>
      </w:r>
      <w:r w:rsidR="00372953">
        <w:rPr>
          <w:color w:val="auto"/>
        </w:rPr>
        <w:fldChar w:fldCharType="begin"/>
      </w:r>
      <w:r w:rsidR="00372953">
        <w:rPr>
          <w:color w:val="auto"/>
        </w:rPr>
        <w:instrText xml:space="preserve"> SEQ </w:instrText>
      </w:r>
      <w:r w:rsidR="00372953">
        <w:rPr>
          <w:color w:val="auto"/>
        </w:rPr>
        <w:instrText>表</w:instrText>
      </w:r>
      <w:r w:rsidR="00372953">
        <w:rPr>
          <w:color w:val="auto"/>
        </w:rPr>
        <w:instrText xml:space="preserve"> \* ARABIC \s 2 </w:instrText>
      </w:r>
      <w:r w:rsidR="00372953">
        <w:rPr>
          <w:color w:val="auto"/>
        </w:rPr>
        <w:fldChar w:fldCharType="separate"/>
      </w:r>
      <w:r w:rsidR="00372953">
        <w:rPr>
          <w:noProof/>
          <w:color w:val="auto"/>
        </w:rPr>
        <w:t>19</w:t>
      </w:r>
      <w:r w:rsidR="00372953">
        <w:rPr>
          <w:color w:val="auto"/>
        </w:rPr>
        <w:fldChar w:fldCharType="end"/>
      </w:r>
      <w:r w:rsidRPr="000549B1">
        <w:rPr>
          <w:rStyle w:val="aff0"/>
          <w:b/>
          <w:bCs w:val="0"/>
          <w:color w:val="auto"/>
        </w:rPr>
        <w:t>规划涉及的重大系统工程基本情况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13"/>
        <w:gridCol w:w="1244"/>
        <w:gridCol w:w="3410"/>
        <w:gridCol w:w="2429"/>
      </w:tblGrid>
      <w:tr w:rsidR="000549B1" w:rsidRPr="000549B1" w14:paraId="3CEB1DA8" w14:textId="77777777">
        <w:trPr>
          <w:tblHeader/>
        </w:trPr>
        <w:tc>
          <w:tcPr>
            <w:tcW w:w="0" w:type="auto"/>
            <w:tcMar>
              <w:top w:w="150" w:type="dxa"/>
              <w:left w:w="0" w:type="dxa"/>
              <w:bottom w:w="150" w:type="dxa"/>
              <w:right w:w="240" w:type="dxa"/>
            </w:tcMar>
            <w:vAlign w:val="center"/>
          </w:tcPr>
          <w:p w14:paraId="29DC17A8" w14:textId="77777777" w:rsidR="00054437" w:rsidRPr="000549B1" w:rsidRDefault="00000000">
            <w:pPr>
              <w:pStyle w:val="0-"/>
              <w:rPr>
                <w:rFonts w:cs="Times New Roman"/>
                <w:b/>
                <w:bCs/>
              </w:rPr>
            </w:pPr>
            <w:r w:rsidRPr="000549B1">
              <w:rPr>
                <w:rFonts w:cs="Times New Roman"/>
                <w:b/>
                <w:bCs/>
              </w:rPr>
              <w:t>系统名称</w:t>
            </w:r>
          </w:p>
        </w:tc>
        <w:tc>
          <w:tcPr>
            <w:tcW w:w="0" w:type="auto"/>
            <w:tcMar>
              <w:top w:w="150" w:type="dxa"/>
              <w:left w:w="240" w:type="dxa"/>
              <w:bottom w:w="150" w:type="dxa"/>
              <w:right w:w="240" w:type="dxa"/>
            </w:tcMar>
            <w:vAlign w:val="center"/>
          </w:tcPr>
          <w:p w14:paraId="7B843EA7" w14:textId="77777777" w:rsidR="00054437" w:rsidRPr="000549B1" w:rsidRDefault="00000000">
            <w:pPr>
              <w:pStyle w:val="0-"/>
              <w:rPr>
                <w:rFonts w:cs="Times New Roman"/>
                <w:b/>
                <w:bCs/>
              </w:rPr>
            </w:pPr>
            <w:r w:rsidRPr="000549B1">
              <w:rPr>
                <w:rFonts w:cs="Times New Roman"/>
                <w:b/>
                <w:bCs/>
              </w:rPr>
              <w:t>性质</w:t>
            </w:r>
          </w:p>
        </w:tc>
        <w:tc>
          <w:tcPr>
            <w:tcW w:w="0" w:type="auto"/>
            <w:tcMar>
              <w:top w:w="150" w:type="dxa"/>
              <w:left w:w="240" w:type="dxa"/>
              <w:bottom w:w="150" w:type="dxa"/>
              <w:right w:w="240" w:type="dxa"/>
            </w:tcMar>
            <w:vAlign w:val="center"/>
          </w:tcPr>
          <w:p w14:paraId="1B647678" w14:textId="77777777" w:rsidR="00054437" w:rsidRPr="000549B1" w:rsidRDefault="00000000">
            <w:pPr>
              <w:pStyle w:val="0-"/>
              <w:rPr>
                <w:rFonts w:cs="Times New Roman"/>
                <w:b/>
                <w:bCs/>
              </w:rPr>
            </w:pPr>
            <w:r w:rsidRPr="000549B1">
              <w:rPr>
                <w:rFonts w:cs="Times New Roman"/>
                <w:b/>
                <w:bCs/>
              </w:rPr>
              <w:t>核心任务</w:t>
            </w:r>
          </w:p>
        </w:tc>
        <w:tc>
          <w:tcPr>
            <w:tcW w:w="0" w:type="auto"/>
            <w:tcMar>
              <w:top w:w="150" w:type="dxa"/>
              <w:left w:w="240" w:type="dxa"/>
              <w:bottom w:w="150" w:type="dxa"/>
              <w:right w:w="240" w:type="dxa"/>
            </w:tcMar>
            <w:vAlign w:val="center"/>
          </w:tcPr>
          <w:p w14:paraId="78219F59" w14:textId="77777777" w:rsidR="00054437" w:rsidRPr="000549B1" w:rsidRDefault="00000000">
            <w:pPr>
              <w:pStyle w:val="0-"/>
              <w:rPr>
                <w:rFonts w:cs="Times New Roman"/>
                <w:b/>
                <w:bCs/>
              </w:rPr>
            </w:pPr>
            <w:r w:rsidRPr="000549B1">
              <w:rPr>
                <w:rFonts w:cs="Times New Roman"/>
                <w:b/>
                <w:bCs/>
              </w:rPr>
              <w:t>规模与构成</w:t>
            </w:r>
          </w:p>
        </w:tc>
      </w:tr>
      <w:tr w:rsidR="000549B1" w:rsidRPr="000549B1" w14:paraId="291B436E" w14:textId="77777777">
        <w:tc>
          <w:tcPr>
            <w:tcW w:w="0" w:type="auto"/>
            <w:tcMar>
              <w:top w:w="150" w:type="dxa"/>
              <w:left w:w="0" w:type="dxa"/>
              <w:bottom w:w="150" w:type="dxa"/>
              <w:right w:w="240" w:type="dxa"/>
            </w:tcMar>
            <w:vAlign w:val="center"/>
          </w:tcPr>
          <w:p w14:paraId="22DD877B" w14:textId="77777777" w:rsidR="00054437" w:rsidRPr="000549B1" w:rsidRDefault="00000000">
            <w:pPr>
              <w:pStyle w:val="0-"/>
              <w:rPr>
                <w:rFonts w:cs="Times New Roman"/>
              </w:rPr>
            </w:pPr>
            <w:r w:rsidRPr="000549B1">
              <w:rPr>
                <w:rStyle w:val="aff0"/>
                <w:rFonts w:cs="Times New Roman"/>
                <w:b w:val="0"/>
                <w:bCs w:val="0"/>
              </w:rPr>
              <w:t>沙珠玉河数字孪生平台</w:t>
            </w:r>
          </w:p>
        </w:tc>
        <w:tc>
          <w:tcPr>
            <w:tcW w:w="0" w:type="auto"/>
            <w:tcMar>
              <w:top w:w="150" w:type="dxa"/>
              <w:left w:w="240" w:type="dxa"/>
              <w:bottom w:w="150" w:type="dxa"/>
              <w:right w:w="240" w:type="dxa"/>
            </w:tcMar>
            <w:vAlign w:val="center"/>
          </w:tcPr>
          <w:p w14:paraId="27A33E2B" w14:textId="3B183D32" w:rsidR="00054437" w:rsidRPr="000549B1" w:rsidRDefault="00000000">
            <w:pPr>
              <w:pStyle w:val="0-"/>
              <w:rPr>
                <w:rFonts w:cs="Times New Roman"/>
              </w:rPr>
            </w:pPr>
            <w:r w:rsidRPr="000549B1">
              <w:rPr>
                <w:rFonts w:cs="Times New Roman"/>
              </w:rPr>
              <w:t>软件与数据驱动的</w:t>
            </w:r>
            <w:r w:rsidRPr="000549B1">
              <w:rPr>
                <w:rStyle w:val="aff0"/>
                <w:rFonts w:cs="Times New Roman"/>
                <w:b w:val="0"/>
                <w:bCs w:val="0"/>
              </w:rPr>
              <w:t>核心中枢平台</w:t>
            </w:r>
          </w:p>
        </w:tc>
        <w:tc>
          <w:tcPr>
            <w:tcW w:w="0" w:type="auto"/>
            <w:tcMar>
              <w:top w:w="150" w:type="dxa"/>
              <w:left w:w="240" w:type="dxa"/>
              <w:bottom w:w="150" w:type="dxa"/>
              <w:right w:w="240" w:type="dxa"/>
            </w:tcMar>
            <w:vAlign w:val="center"/>
          </w:tcPr>
          <w:p w14:paraId="3C94D236" w14:textId="448EF52A" w:rsidR="00054437" w:rsidRPr="000549B1" w:rsidRDefault="00000000">
            <w:pPr>
              <w:pStyle w:val="0-"/>
              <w:rPr>
                <w:rFonts w:cs="Times New Roman"/>
              </w:rPr>
            </w:pPr>
            <w:r w:rsidRPr="000549B1">
              <w:rPr>
                <w:rFonts w:cs="Times New Roman"/>
              </w:rPr>
              <w:t>实现对物理流域全要素和水利治理管理活动全过程的数字化映射、智能化模拟和前瞻性预演，为各项智慧应用提供</w:t>
            </w:r>
            <w:r w:rsidRPr="000549B1">
              <w:rPr>
                <w:rFonts w:ascii="宋体" w:hAnsi="宋体" w:cs="Times New Roman"/>
              </w:rPr>
              <w:t>“</w:t>
            </w:r>
            <w:r w:rsidRPr="000549B1">
              <w:rPr>
                <w:rFonts w:cs="Times New Roman"/>
              </w:rPr>
              <w:t>算据</w:t>
            </w:r>
            <w:r w:rsidRPr="000549B1">
              <w:rPr>
                <w:rFonts w:ascii="宋体" w:hAnsi="宋体" w:cs="Times New Roman"/>
              </w:rPr>
              <w:t>”</w:t>
            </w:r>
            <w:r w:rsidRPr="000549B1">
              <w:rPr>
                <w:rFonts w:cs="Times New Roman"/>
              </w:rPr>
              <w:t>和</w:t>
            </w:r>
            <w:r w:rsidRPr="000549B1">
              <w:rPr>
                <w:rFonts w:ascii="宋体" w:hAnsi="宋体" w:cs="Times New Roman"/>
              </w:rPr>
              <w:t>“</w:t>
            </w:r>
            <w:r w:rsidRPr="000549B1">
              <w:rPr>
                <w:rFonts w:cs="Times New Roman"/>
              </w:rPr>
              <w:t>算法</w:t>
            </w:r>
            <w:r w:rsidRPr="000549B1">
              <w:rPr>
                <w:rFonts w:ascii="宋体" w:hAnsi="宋体" w:cs="Times New Roman"/>
              </w:rPr>
              <w:t>”</w:t>
            </w:r>
            <w:r w:rsidRPr="000549B1">
              <w:rPr>
                <w:rFonts w:cs="Times New Roman"/>
              </w:rPr>
              <w:t>支撑</w:t>
            </w:r>
          </w:p>
        </w:tc>
        <w:tc>
          <w:tcPr>
            <w:tcW w:w="0" w:type="auto"/>
            <w:tcMar>
              <w:top w:w="150" w:type="dxa"/>
              <w:left w:w="240" w:type="dxa"/>
              <w:bottom w:w="150" w:type="dxa"/>
              <w:right w:w="0" w:type="dxa"/>
            </w:tcMar>
            <w:vAlign w:val="center"/>
          </w:tcPr>
          <w:p w14:paraId="34512C3F" w14:textId="732F386A" w:rsidR="00054437" w:rsidRPr="000549B1" w:rsidRDefault="00000000">
            <w:pPr>
              <w:pStyle w:val="0-"/>
              <w:rPr>
                <w:rFonts w:cs="Times New Roman"/>
              </w:rPr>
            </w:pPr>
            <w:r w:rsidRPr="000549B1">
              <w:rPr>
                <w:rFonts w:cs="Times New Roman"/>
              </w:rPr>
              <w:t>由</w:t>
            </w:r>
            <w:r w:rsidRPr="000549B1">
              <w:rPr>
                <w:rStyle w:val="aff0"/>
                <w:rFonts w:cs="Times New Roman"/>
                <w:b w:val="0"/>
                <w:bCs w:val="0"/>
              </w:rPr>
              <w:t>L1-L3</w:t>
            </w:r>
            <w:r w:rsidRPr="000549B1">
              <w:rPr>
                <w:rStyle w:val="aff0"/>
                <w:rFonts w:cs="Times New Roman"/>
                <w:b w:val="0"/>
                <w:bCs w:val="0"/>
              </w:rPr>
              <w:t>级数据底板</w:t>
            </w:r>
            <w:r w:rsidRPr="000549B1">
              <w:rPr>
                <w:rFonts w:cs="Times New Roman"/>
              </w:rPr>
              <w:t>、</w:t>
            </w:r>
            <w:r w:rsidRPr="000549B1">
              <w:rPr>
                <w:rStyle w:val="aff0"/>
                <w:rFonts w:cs="Times New Roman"/>
                <w:b w:val="0"/>
                <w:bCs w:val="0"/>
              </w:rPr>
              <w:t>水利专业与智能模型平台</w:t>
            </w:r>
            <w:r w:rsidRPr="000549B1">
              <w:rPr>
                <w:rFonts w:cs="Times New Roman"/>
              </w:rPr>
              <w:t>、</w:t>
            </w:r>
            <w:r w:rsidRPr="000549B1">
              <w:rPr>
                <w:rStyle w:val="aff0"/>
                <w:rFonts w:cs="Times New Roman"/>
                <w:b w:val="0"/>
                <w:bCs w:val="0"/>
              </w:rPr>
              <w:t>流域知识平台</w:t>
            </w:r>
            <w:r w:rsidRPr="000549B1">
              <w:rPr>
                <w:rFonts w:cs="Times New Roman"/>
              </w:rPr>
              <w:t>三大核心部分共同构成</w:t>
            </w:r>
          </w:p>
        </w:tc>
      </w:tr>
      <w:tr w:rsidR="000549B1" w:rsidRPr="000549B1" w14:paraId="4E658751" w14:textId="77777777">
        <w:tc>
          <w:tcPr>
            <w:tcW w:w="0" w:type="auto"/>
            <w:tcMar>
              <w:top w:w="150" w:type="dxa"/>
              <w:left w:w="0" w:type="dxa"/>
              <w:bottom w:w="150" w:type="dxa"/>
              <w:right w:w="240" w:type="dxa"/>
            </w:tcMar>
            <w:vAlign w:val="center"/>
          </w:tcPr>
          <w:p w14:paraId="15F6A4EF" w14:textId="77777777" w:rsidR="00054437" w:rsidRPr="000549B1" w:rsidRDefault="00000000">
            <w:pPr>
              <w:pStyle w:val="0-"/>
              <w:rPr>
                <w:rFonts w:cs="Times New Roman"/>
              </w:rPr>
            </w:pPr>
            <w:r w:rsidRPr="000549B1">
              <w:rPr>
                <w:rStyle w:val="aff0"/>
                <w:rFonts w:ascii="宋体" w:hAnsi="宋体" w:cs="Times New Roman"/>
                <w:b w:val="0"/>
                <w:bCs w:val="0"/>
              </w:rPr>
              <w:t>“</w:t>
            </w:r>
            <w:r w:rsidRPr="000549B1">
              <w:rPr>
                <w:rStyle w:val="aff0"/>
                <w:rFonts w:cs="Times New Roman"/>
                <w:b w:val="0"/>
                <w:bCs w:val="0"/>
              </w:rPr>
              <w:t>天空地水工</w:t>
            </w:r>
            <w:r w:rsidRPr="000549B1">
              <w:rPr>
                <w:rStyle w:val="aff0"/>
                <w:rFonts w:ascii="宋体" w:hAnsi="宋体" w:cs="Times New Roman"/>
                <w:b w:val="0"/>
                <w:bCs w:val="0"/>
              </w:rPr>
              <w:t>”</w:t>
            </w:r>
            <w:r w:rsidRPr="000549B1">
              <w:rPr>
                <w:rStyle w:val="aff0"/>
                <w:rFonts w:cs="Times New Roman"/>
                <w:b w:val="0"/>
                <w:bCs w:val="0"/>
              </w:rPr>
              <w:t>一体化监测感知网</w:t>
            </w:r>
          </w:p>
        </w:tc>
        <w:tc>
          <w:tcPr>
            <w:tcW w:w="0" w:type="auto"/>
            <w:tcMar>
              <w:top w:w="150" w:type="dxa"/>
              <w:left w:w="240" w:type="dxa"/>
              <w:bottom w:w="150" w:type="dxa"/>
              <w:right w:w="240" w:type="dxa"/>
            </w:tcMar>
            <w:vAlign w:val="center"/>
          </w:tcPr>
          <w:p w14:paraId="322233BA" w14:textId="2BF080EE" w:rsidR="00054437" w:rsidRPr="000549B1" w:rsidRDefault="00000000">
            <w:pPr>
              <w:pStyle w:val="0-"/>
              <w:rPr>
                <w:rFonts w:cs="Times New Roman"/>
              </w:rPr>
            </w:pPr>
            <w:r w:rsidRPr="000549B1">
              <w:rPr>
                <w:rFonts w:cs="Times New Roman"/>
              </w:rPr>
              <w:t>覆盖全域的</w:t>
            </w:r>
            <w:r w:rsidRPr="000549B1">
              <w:rPr>
                <w:rStyle w:val="aff0"/>
                <w:rFonts w:cs="Times New Roman"/>
                <w:b w:val="0"/>
                <w:bCs w:val="0"/>
              </w:rPr>
              <w:t>神经末梢与感知系统</w:t>
            </w:r>
          </w:p>
        </w:tc>
        <w:tc>
          <w:tcPr>
            <w:tcW w:w="0" w:type="auto"/>
            <w:tcMar>
              <w:top w:w="150" w:type="dxa"/>
              <w:left w:w="240" w:type="dxa"/>
              <w:bottom w:w="150" w:type="dxa"/>
              <w:right w:w="240" w:type="dxa"/>
            </w:tcMar>
            <w:vAlign w:val="center"/>
          </w:tcPr>
          <w:p w14:paraId="6527244F" w14:textId="3B6029C5" w:rsidR="00054437" w:rsidRPr="000549B1" w:rsidRDefault="00000000">
            <w:pPr>
              <w:pStyle w:val="0-"/>
              <w:rPr>
                <w:rFonts w:cs="Times New Roman"/>
              </w:rPr>
            </w:pPr>
            <w:r w:rsidRPr="000549B1">
              <w:rPr>
                <w:rFonts w:cs="Times New Roman"/>
              </w:rPr>
              <w:t>全面采集河流、水库、灌区、水质、地下水、工程运行状态等全要素数据，为数字孪生平台提供实时、准确的数据来源</w:t>
            </w:r>
          </w:p>
        </w:tc>
        <w:tc>
          <w:tcPr>
            <w:tcW w:w="0" w:type="auto"/>
            <w:tcMar>
              <w:top w:w="150" w:type="dxa"/>
              <w:left w:w="240" w:type="dxa"/>
              <w:bottom w:w="150" w:type="dxa"/>
              <w:right w:w="0" w:type="dxa"/>
            </w:tcMar>
            <w:vAlign w:val="center"/>
          </w:tcPr>
          <w:p w14:paraId="29A8DE51" w14:textId="5107DC2C" w:rsidR="00054437" w:rsidRPr="000549B1" w:rsidRDefault="00000000">
            <w:pPr>
              <w:pStyle w:val="0-"/>
              <w:rPr>
                <w:rFonts w:cs="Times New Roman"/>
              </w:rPr>
            </w:pPr>
            <w:r w:rsidRPr="000549B1">
              <w:rPr>
                <w:rFonts w:cs="Times New Roman"/>
              </w:rPr>
              <w:t>由优化布局的</w:t>
            </w:r>
            <w:r w:rsidRPr="000549B1">
              <w:rPr>
                <w:rStyle w:val="aff0"/>
                <w:rFonts w:cs="Times New Roman"/>
                <w:b w:val="0"/>
                <w:bCs w:val="0"/>
              </w:rPr>
              <w:t>地面监测站网</w:t>
            </w:r>
            <w:r w:rsidRPr="000549B1">
              <w:rPr>
                <w:rFonts w:cs="Times New Roman"/>
              </w:rPr>
              <w:t>，以及</w:t>
            </w:r>
            <w:r w:rsidRPr="000549B1">
              <w:rPr>
                <w:rStyle w:val="aff0"/>
                <w:rFonts w:cs="Times New Roman"/>
                <w:b w:val="0"/>
                <w:bCs w:val="0"/>
              </w:rPr>
              <w:t>卫星遥感、无人机、视频、水下机器人</w:t>
            </w:r>
            <w:r w:rsidRPr="000549B1">
              <w:rPr>
                <w:rFonts w:cs="Times New Roman"/>
              </w:rPr>
              <w:t>等立体化监测手段共同组</w:t>
            </w:r>
          </w:p>
        </w:tc>
      </w:tr>
      <w:tr w:rsidR="000549B1" w:rsidRPr="000549B1" w14:paraId="54928EDB" w14:textId="77777777">
        <w:tc>
          <w:tcPr>
            <w:tcW w:w="0" w:type="auto"/>
            <w:tcMar>
              <w:top w:w="150" w:type="dxa"/>
              <w:left w:w="0" w:type="dxa"/>
              <w:bottom w:w="150" w:type="dxa"/>
              <w:right w:w="240" w:type="dxa"/>
            </w:tcMar>
            <w:vAlign w:val="center"/>
          </w:tcPr>
          <w:p w14:paraId="2805099E" w14:textId="77777777" w:rsidR="00054437" w:rsidRPr="000549B1" w:rsidRDefault="00000000">
            <w:pPr>
              <w:pStyle w:val="0-"/>
              <w:rPr>
                <w:rFonts w:cs="Times New Roman"/>
              </w:rPr>
            </w:pPr>
            <w:r w:rsidRPr="000549B1">
              <w:rPr>
                <w:rStyle w:val="aff0"/>
                <w:rFonts w:cs="Times New Roman"/>
                <w:b w:val="0"/>
                <w:bCs w:val="0"/>
              </w:rPr>
              <w:t>沙珠玉河流域水利云平台</w:t>
            </w:r>
          </w:p>
        </w:tc>
        <w:tc>
          <w:tcPr>
            <w:tcW w:w="0" w:type="auto"/>
            <w:tcMar>
              <w:top w:w="150" w:type="dxa"/>
              <w:left w:w="240" w:type="dxa"/>
              <w:bottom w:w="150" w:type="dxa"/>
              <w:right w:w="240" w:type="dxa"/>
            </w:tcMar>
            <w:vAlign w:val="center"/>
          </w:tcPr>
          <w:p w14:paraId="644EA80C" w14:textId="35967102" w:rsidR="00054437" w:rsidRPr="000549B1" w:rsidRDefault="00000000">
            <w:pPr>
              <w:pStyle w:val="0-"/>
              <w:rPr>
                <w:rFonts w:cs="Times New Roman"/>
              </w:rPr>
            </w:pPr>
            <w:r w:rsidRPr="000549B1">
              <w:rPr>
                <w:rFonts w:cs="Times New Roman"/>
              </w:rPr>
              <w:t>集约化的</w:t>
            </w:r>
            <w:r w:rsidRPr="000549B1">
              <w:rPr>
                <w:rStyle w:val="aff0"/>
                <w:rFonts w:cs="Times New Roman"/>
                <w:b w:val="0"/>
                <w:bCs w:val="0"/>
              </w:rPr>
              <w:t>算力与存储资源池</w:t>
            </w:r>
          </w:p>
        </w:tc>
        <w:tc>
          <w:tcPr>
            <w:tcW w:w="0" w:type="auto"/>
            <w:tcMar>
              <w:top w:w="150" w:type="dxa"/>
              <w:left w:w="240" w:type="dxa"/>
              <w:bottom w:w="150" w:type="dxa"/>
              <w:right w:w="240" w:type="dxa"/>
            </w:tcMar>
            <w:vAlign w:val="center"/>
          </w:tcPr>
          <w:p w14:paraId="3891B04C" w14:textId="677A1837" w:rsidR="00054437" w:rsidRPr="000549B1" w:rsidRDefault="00000000">
            <w:pPr>
              <w:pStyle w:val="0-"/>
              <w:rPr>
                <w:rFonts w:cs="Times New Roman"/>
              </w:rPr>
            </w:pPr>
            <w:r w:rsidRPr="000549B1">
              <w:rPr>
                <w:rFonts w:cs="Times New Roman"/>
              </w:rPr>
              <w:t>为数字孪生平台和各类智能应用提供统一、弹性、可靠的计算、存储和基础软件支撑，实现信息基础设施的共建共享</w:t>
            </w:r>
          </w:p>
        </w:tc>
        <w:tc>
          <w:tcPr>
            <w:tcW w:w="0" w:type="auto"/>
            <w:tcMar>
              <w:top w:w="150" w:type="dxa"/>
              <w:left w:w="240" w:type="dxa"/>
              <w:bottom w:w="150" w:type="dxa"/>
              <w:right w:w="0" w:type="dxa"/>
            </w:tcMar>
            <w:vAlign w:val="center"/>
          </w:tcPr>
          <w:p w14:paraId="48252894" w14:textId="51FFE28D" w:rsidR="00054437" w:rsidRPr="000549B1" w:rsidRDefault="00000000">
            <w:pPr>
              <w:pStyle w:val="0-"/>
              <w:rPr>
                <w:rFonts w:cs="Times New Roman"/>
              </w:rPr>
            </w:pPr>
            <w:r w:rsidRPr="000549B1">
              <w:rPr>
                <w:rFonts w:cs="Times New Roman"/>
              </w:rPr>
              <w:t>采用共享、购置或自建方式构建，涵盖服务器、存储、网络、安全及各类应用支撑软件</w:t>
            </w:r>
          </w:p>
        </w:tc>
      </w:tr>
    </w:tbl>
    <w:p w14:paraId="050A9846" w14:textId="77777777" w:rsidR="00054437" w:rsidRPr="000549B1" w:rsidRDefault="00000000" w:rsidP="000549B1">
      <w:pPr>
        <w:pStyle w:val="Z4"/>
        <w:rPr>
          <w:color w:val="auto"/>
        </w:rPr>
      </w:pPr>
      <w:r w:rsidRPr="000549B1">
        <w:rPr>
          <w:color w:val="auto"/>
        </w:rPr>
        <w:t>重大水利工程规划</w:t>
      </w:r>
    </w:p>
    <w:p w14:paraId="16A456FC" w14:textId="69FC8AF4" w:rsidR="00054437" w:rsidRPr="000549B1" w:rsidRDefault="002F2485" w:rsidP="000549B1">
      <w:pPr>
        <w:pStyle w:val="x"/>
      </w:pPr>
      <w:bookmarkStart w:id="160" w:name="_Hlk216109831"/>
      <w:r w:rsidRPr="000549B1">
        <w:rPr>
          <w:rFonts w:hint="eastAsia"/>
        </w:rPr>
        <w:t>（</w:t>
      </w:r>
      <w:r w:rsidRPr="000549B1">
        <w:rPr>
          <w:rFonts w:hint="eastAsia"/>
        </w:rPr>
        <w:t>1</w:t>
      </w:r>
      <w:r w:rsidRPr="000549B1">
        <w:rPr>
          <w:rFonts w:hint="eastAsia"/>
        </w:rPr>
        <w:t>）</w:t>
      </w:r>
      <w:r w:rsidRPr="000549B1">
        <w:t>总体布局</w:t>
      </w:r>
    </w:p>
    <w:p w14:paraId="50297A76" w14:textId="77777777" w:rsidR="00124CEB" w:rsidRPr="000549B1" w:rsidRDefault="00124CEB" w:rsidP="000549B1">
      <w:pPr>
        <w:pStyle w:val="x"/>
      </w:pPr>
      <w:r w:rsidRPr="000549B1">
        <w:t>在大河坝河和切吉河上修建水源工程，联合调度两河水量，通过输配水工程为项目区灌区以及共和县城工业生活供水，并对老灌区进行改造提升。</w:t>
      </w:r>
    </w:p>
    <w:p w14:paraId="624BE292" w14:textId="4679A364" w:rsidR="00124CEB" w:rsidRPr="000549B1" w:rsidRDefault="00124CEB" w:rsidP="000549B1">
      <w:pPr>
        <w:pStyle w:val="x"/>
      </w:pPr>
      <w:r w:rsidRPr="000549B1">
        <w:rPr>
          <w:rFonts w:hint="eastAsia"/>
        </w:rPr>
        <w:t>①</w:t>
      </w:r>
      <w:r w:rsidRPr="000549B1">
        <w:t>水源工程</w:t>
      </w:r>
    </w:p>
    <w:p w14:paraId="143FF5D9" w14:textId="77777777" w:rsidR="00124CEB" w:rsidRPr="000549B1" w:rsidRDefault="00124CEB" w:rsidP="000549B1">
      <w:pPr>
        <w:pStyle w:val="x"/>
      </w:pPr>
      <w:r w:rsidRPr="000549B1">
        <w:t>在大河坝河上修建引水工程，通过输水洞引水至切吉河上游，切吉河上新建大河坝水库，联合调度大河坝河与切吉河水量，为项目区供水。</w:t>
      </w:r>
    </w:p>
    <w:p w14:paraId="74C75481" w14:textId="690A377D" w:rsidR="00124CEB" w:rsidRPr="000549B1" w:rsidRDefault="00124CEB" w:rsidP="000549B1">
      <w:pPr>
        <w:pStyle w:val="x"/>
      </w:pPr>
      <w:r w:rsidRPr="000549B1">
        <w:rPr>
          <w:rFonts w:hint="eastAsia"/>
        </w:rPr>
        <w:t>②</w:t>
      </w:r>
      <w:r w:rsidRPr="000549B1">
        <w:t>输配水工程</w:t>
      </w:r>
    </w:p>
    <w:p w14:paraId="1E01CE6E" w14:textId="77777777" w:rsidR="00124CEB" w:rsidRPr="000549B1" w:rsidRDefault="00124CEB" w:rsidP="000549B1">
      <w:pPr>
        <w:pStyle w:val="x"/>
      </w:pPr>
      <w:r w:rsidRPr="000549B1">
        <w:t>在大河坝水库新建输配水工程，结合现状灌区灌溉体系，分别向塔什秋灌区、切吉灌区、河卡灌区供水及县城工业生活供水。</w:t>
      </w:r>
    </w:p>
    <w:p w14:paraId="46590549" w14:textId="532D2F4C" w:rsidR="00124CEB" w:rsidRPr="000549B1" w:rsidRDefault="00124CEB" w:rsidP="000549B1">
      <w:pPr>
        <w:pStyle w:val="x"/>
      </w:pPr>
      <w:r w:rsidRPr="000549B1">
        <w:rPr>
          <w:rFonts w:hint="eastAsia"/>
        </w:rPr>
        <w:t>③</w:t>
      </w:r>
      <w:r w:rsidRPr="000549B1">
        <w:t>灌区改造工程</w:t>
      </w:r>
    </w:p>
    <w:p w14:paraId="7E6D8421" w14:textId="5745CC90" w:rsidR="00054437" w:rsidRPr="000549B1" w:rsidRDefault="00124CEB">
      <w:pPr>
        <w:pStyle w:val="x"/>
      </w:pPr>
      <w:r w:rsidRPr="000549B1">
        <w:t>规划灌区包含塔什秋灌区以及切吉灌区，两灌区内新增部分林草等灌溉面积，对部分过流能力不足的渠道，以及现状完好率不达标的渠道进行改造提升。</w:t>
      </w:r>
    </w:p>
    <w:p w14:paraId="6522822A" w14:textId="28544469" w:rsidR="00054437" w:rsidRPr="000549B1" w:rsidRDefault="00124CEB">
      <w:pPr>
        <w:pStyle w:val="x"/>
      </w:pPr>
      <w:r w:rsidRPr="000549B1">
        <w:rPr>
          <w:rFonts w:hint="eastAsia"/>
        </w:rPr>
        <w:t>（</w:t>
      </w:r>
      <w:r w:rsidRPr="000549B1">
        <w:rPr>
          <w:rFonts w:hint="eastAsia"/>
        </w:rPr>
        <w:t>2</w:t>
      </w:r>
      <w:r w:rsidRPr="000549B1">
        <w:rPr>
          <w:rFonts w:hint="eastAsia"/>
        </w:rPr>
        <w:t>）三滩引水生态综合治理一期工程任务及规模</w:t>
      </w:r>
    </w:p>
    <w:p w14:paraId="77E874E6" w14:textId="77777777" w:rsidR="00054437" w:rsidRPr="000549B1" w:rsidRDefault="00000000">
      <w:pPr>
        <w:pStyle w:val="x"/>
      </w:pPr>
      <w:r w:rsidRPr="000549B1">
        <w:rPr>
          <w:rFonts w:hint="eastAsia"/>
        </w:rPr>
        <w:t>开发任务：以农田灌溉和饲草料基地灌溉为主，兼顾共和县城工业生活用水，并为改善沿线乡镇生活供水创造条件。</w:t>
      </w:r>
    </w:p>
    <w:p w14:paraId="542E0AC2" w14:textId="39B7401A" w:rsidR="00054437" w:rsidRPr="000549B1" w:rsidRDefault="00000000">
      <w:pPr>
        <w:pStyle w:val="x"/>
      </w:pPr>
      <w:r w:rsidRPr="000549B1">
        <w:rPr>
          <w:rFonts w:hint="eastAsia"/>
        </w:rPr>
        <w:t>水源工程：</w:t>
      </w:r>
    </w:p>
    <w:p w14:paraId="40FB3E30" w14:textId="37C8D46B" w:rsidR="00124CEB" w:rsidRPr="000549B1" w:rsidRDefault="00124CEB" w:rsidP="000549B1">
      <w:pPr>
        <w:pStyle w:val="x"/>
        <w:numPr>
          <w:ilvl w:val="0"/>
          <w:numId w:val="21"/>
        </w:numPr>
      </w:pPr>
      <w:r w:rsidRPr="000549B1">
        <w:rPr>
          <w:rFonts w:hint="eastAsia"/>
        </w:rPr>
        <w:t>大河坝水库（干流）单库供水方案</w:t>
      </w:r>
    </w:p>
    <w:p w14:paraId="018D8298" w14:textId="77777777" w:rsidR="00124CEB" w:rsidRPr="000549B1" w:rsidRDefault="00124CEB" w:rsidP="000549B1">
      <w:pPr>
        <w:pStyle w:val="x"/>
      </w:pPr>
      <w:r w:rsidRPr="000549B1">
        <w:rPr>
          <w:rFonts w:hint="eastAsia"/>
        </w:rPr>
        <w:t>在水塔拉河与青根河汇合口下游直线距离约</w:t>
      </w:r>
      <w:r w:rsidRPr="000549B1">
        <w:rPr>
          <w:rFonts w:hint="eastAsia"/>
        </w:rPr>
        <w:t>4km</w:t>
      </w:r>
      <w:r w:rsidRPr="000549B1">
        <w:rPr>
          <w:rFonts w:hint="eastAsia"/>
        </w:rPr>
        <w:t>处的大河坝河上修建大河坝水库，通过大河坝水库左岸的输水洞输水穿越河卡山入切吉河上游，而后注入切吉水库，通过切吉水库左岸修建供水工程取水口向项目受水区供水。大河坝河坝址处控制流域面积</w:t>
      </w:r>
      <w:r w:rsidRPr="000549B1">
        <w:rPr>
          <w:rFonts w:hint="eastAsia"/>
        </w:rPr>
        <w:t>2337km</w:t>
      </w:r>
      <w:r w:rsidRPr="000549B1">
        <w:rPr>
          <w:rFonts w:hint="eastAsia"/>
          <w:vertAlign w:val="superscript"/>
        </w:rPr>
        <w:t>2</w:t>
      </w:r>
      <w:r w:rsidRPr="000549B1">
        <w:rPr>
          <w:rFonts w:hint="eastAsia"/>
        </w:rPr>
        <w:t>，河底高程</w:t>
      </w:r>
      <w:r w:rsidRPr="000549B1">
        <w:rPr>
          <w:rFonts w:hint="eastAsia"/>
        </w:rPr>
        <w:t>3574m</w:t>
      </w:r>
      <w:r w:rsidRPr="000549B1">
        <w:rPr>
          <w:rFonts w:hint="eastAsia"/>
        </w:rPr>
        <w:t>。大河坝水库兴利库容</w:t>
      </w:r>
      <w:r w:rsidRPr="000549B1">
        <w:rPr>
          <w:rFonts w:hint="eastAsia"/>
        </w:rPr>
        <w:t>5013</w:t>
      </w:r>
      <w:r w:rsidRPr="000549B1">
        <w:rPr>
          <w:rFonts w:hint="eastAsia"/>
        </w:rPr>
        <w:t>万</w:t>
      </w:r>
      <w:r w:rsidRPr="000549B1">
        <w:rPr>
          <w:rFonts w:hint="eastAsia"/>
        </w:rPr>
        <w:t>m</w:t>
      </w:r>
      <w:r w:rsidRPr="000549B1">
        <w:rPr>
          <w:rFonts w:hint="eastAsia"/>
          <w:vertAlign w:val="superscript"/>
        </w:rPr>
        <w:t>3</w:t>
      </w:r>
      <w:r w:rsidRPr="000549B1">
        <w:rPr>
          <w:rFonts w:hint="eastAsia"/>
        </w:rPr>
        <w:t>，总库容</w:t>
      </w:r>
      <w:r w:rsidRPr="000549B1">
        <w:rPr>
          <w:rFonts w:hint="eastAsia"/>
        </w:rPr>
        <w:t>6554</w:t>
      </w:r>
      <w:r w:rsidRPr="000549B1">
        <w:rPr>
          <w:rFonts w:hint="eastAsia"/>
        </w:rPr>
        <w:t>万</w:t>
      </w:r>
      <w:r w:rsidRPr="000549B1">
        <w:rPr>
          <w:rFonts w:hint="eastAsia"/>
        </w:rPr>
        <w:t>m</w:t>
      </w:r>
      <w:r w:rsidRPr="000549B1">
        <w:rPr>
          <w:rFonts w:hint="eastAsia"/>
          <w:vertAlign w:val="superscript"/>
        </w:rPr>
        <w:t>3</w:t>
      </w:r>
      <w:r w:rsidRPr="000549B1">
        <w:rPr>
          <w:rFonts w:hint="eastAsia"/>
        </w:rPr>
        <w:t>。</w:t>
      </w:r>
    </w:p>
    <w:p w14:paraId="2CD7BBD0" w14:textId="3D16FECB" w:rsidR="00124CEB" w:rsidRPr="000549B1" w:rsidRDefault="00124CEB" w:rsidP="000549B1">
      <w:pPr>
        <w:pStyle w:val="x"/>
        <w:numPr>
          <w:ilvl w:val="0"/>
          <w:numId w:val="21"/>
        </w:numPr>
      </w:pPr>
      <w:r w:rsidRPr="000549B1">
        <w:rPr>
          <w:rFonts w:hint="eastAsia"/>
        </w:rPr>
        <w:t>大河坝取水口</w:t>
      </w:r>
      <w:r w:rsidRPr="000549B1">
        <w:rPr>
          <w:rFonts w:hint="eastAsia"/>
        </w:rPr>
        <w:t>+</w:t>
      </w:r>
      <w:r w:rsidRPr="000549B1">
        <w:rPr>
          <w:rFonts w:hint="eastAsia"/>
        </w:rPr>
        <w:t>大河坝水库（注入式）供水方案</w:t>
      </w:r>
    </w:p>
    <w:p w14:paraId="6B4CF60C" w14:textId="77777777" w:rsidR="00124CEB" w:rsidRPr="000549B1" w:rsidRDefault="00124CEB" w:rsidP="000549B1">
      <w:pPr>
        <w:pStyle w:val="x"/>
      </w:pPr>
      <w:r w:rsidRPr="000549B1">
        <w:t>大河坝取水口为</w:t>
      </w:r>
      <w:r w:rsidRPr="000549B1">
        <w:rPr>
          <w:rFonts w:hint="eastAsia"/>
        </w:rPr>
        <w:t>无坝取水型式</w:t>
      </w:r>
      <w:r w:rsidRPr="000549B1">
        <w:t>，取水闸设计流量与输水洞相同，均为</w:t>
      </w:r>
      <w:r w:rsidRPr="000549B1">
        <w:t>16.0m</w:t>
      </w:r>
      <w:r w:rsidRPr="000549B1">
        <w:rPr>
          <w:vertAlign w:val="superscript"/>
        </w:rPr>
        <w:t>3</w:t>
      </w:r>
      <w:r w:rsidRPr="000549B1">
        <w:t>/s</w:t>
      </w:r>
      <w:r w:rsidRPr="000549B1">
        <w:t>。</w:t>
      </w:r>
      <w:r w:rsidRPr="000549B1">
        <w:rPr>
          <w:rFonts w:hint="eastAsia"/>
        </w:rPr>
        <w:t>隧洞段自大河坝取水口分水池左岸工作闸开始，长</w:t>
      </w:r>
      <w:r w:rsidRPr="000549B1">
        <w:rPr>
          <w:rFonts w:hint="eastAsia"/>
        </w:rPr>
        <w:t>24.68k</w:t>
      </w:r>
      <w:r w:rsidRPr="000549B1">
        <w:t>m</w:t>
      </w:r>
      <w:r w:rsidRPr="000549B1">
        <w:rPr>
          <w:rFonts w:hint="eastAsia"/>
        </w:rPr>
        <w:t>。</w:t>
      </w:r>
      <w:r w:rsidRPr="000549B1">
        <w:t>大河坝水库</w:t>
      </w:r>
      <w:r w:rsidRPr="000549B1">
        <w:rPr>
          <w:rFonts w:hint="eastAsia"/>
        </w:rPr>
        <w:t>坝址位于原切吉水库老坝上游约</w:t>
      </w:r>
      <w:r w:rsidRPr="000549B1">
        <w:rPr>
          <w:rFonts w:hint="eastAsia"/>
        </w:rPr>
        <w:t>2k</w:t>
      </w:r>
      <w:r w:rsidRPr="000549B1">
        <w:t>m</w:t>
      </w:r>
      <w:r w:rsidRPr="000549B1">
        <w:rPr>
          <w:rFonts w:hint="eastAsia"/>
        </w:rPr>
        <w:t>处，死水位</w:t>
      </w:r>
      <w:r w:rsidRPr="000549B1">
        <w:rPr>
          <w:rFonts w:hint="eastAsia"/>
        </w:rPr>
        <w:t>3305</w:t>
      </w:r>
      <w:r w:rsidRPr="000549B1">
        <w:t>m</w:t>
      </w:r>
      <w:r w:rsidRPr="000549B1">
        <w:rPr>
          <w:rFonts w:hint="eastAsia"/>
        </w:rPr>
        <w:t>，正常蓄水位</w:t>
      </w:r>
      <w:r w:rsidRPr="000549B1">
        <w:rPr>
          <w:rFonts w:hint="eastAsia"/>
        </w:rPr>
        <w:t>3343</w:t>
      </w:r>
      <w:r w:rsidRPr="000549B1">
        <w:t>m</w:t>
      </w:r>
      <w:r w:rsidRPr="000549B1">
        <w:rPr>
          <w:rFonts w:hint="eastAsia"/>
        </w:rPr>
        <w:t>，</w:t>
      </w:r>
      <w:r w:rsidRPr="000549B1">
        <w:t>兴利库容</w:t>
      </w:r>
      <w:r w:rsidRPr="000549B1">
        <w:t>6354</w:t>
      </w:r>
      <w:r w:rsidRPr="000549B1">
        <w:t>万</w:t>
      </w:r>
      <w:r w:rsidRPr="000549B1">
        <w:t>m</w:t>
      </w:r>
      <w:r w:rsidRPr="000549B1">
        <w:rPr>
          <w:vertAlign w:val="superscript"/>
        </w:rPr>
        <w:t>3</w:t>
      </w:r>
      <w:r w:rsidRPr="000549B1">
        <w:t>。</w:t>
      </w:r>
    </w:p>
    <w:p w14:paraId="055FA9F8" w14:textId="77777777" w:rsidR="00054437" w:rsidRPr="00F1314B" w:rsidRDefault="00000000">
      <w:pPr>
        <w:pStyle w:val="x"/>
      </w:pPr>
      <w:r w:rsidRPr="00F1314B">
        <w:rPr>
          <w:rFonts w:hint="eastAsia"/>
        </w:rPr>
        <w:t>输水工程：大河坝取水口和输水洞设计流量均为</w:t>
      </w:r>
      <w:r w:rsidRPr="00F1314B">
        <w:t>16.0m³/s</w:t>
      </w:r>
      <w:r w:rsidRPr="00F1314B">
        <w:rPr>
          <w:rFonts w:hint="eastAsia"/>
        </w:rPr>
        <w:t>。</w:t>
      </w:r>
    </w:p>
    <w:p w14:paraId="71FCE600" w14:textId="63F84265" w:rsidR="00054437" w:rsidRPr="00F1314B" w:rsidRDefault="00000000" w:rsidP="00124CEB">
      <w:pPr>
        <w:pStyle w:val="x"/>
      </w:pPr>
      <w:r w:rsidRPr="00F1314B">
        <w:rPr>
          <w:rFonts w:hint="eastAsia"/>
        </w:rPr>
        <w:t>供水对象与规模：</w:t>
      </w:r>
      <w:r w:rsidR="00124CEB" w:rsidRPr="00F1314B">
        <w:t>供水对象包括</w:t>
      </w:r>
      <w:r w:rsidR="00124CEB" w:rsidRPr="00F1314B">
        <w:rPr>
          <w:rFonts w:hint="eastAsia"/>
        </w:rPr>
        <w:t>69.2</w:t>
      </w:r>
      <w:r w:rsidR="00124CEB" w:rsidRPr="00F1314B">
        <w:t>万亩灌区，共和县城工业生活供水及沿线</w:t>
      </w:r>
      <w:r w:rsidR="00124CEB" w:rsidRPr="00F1314B">
        <w:rPr>
          <w:rFonts w:hint="eastAsia"/>
        </w:rPr>
        <w:t>乡镇</w:t>
      </w:r>
      <w:r w:rsidR="00124CEB" w:rsidRPr="00F1314B">
        <w:t>生活用水。灌区包括</w:t>
      </w:r>
      <w:r w:rsidR="00124CEB" w:rsidRPr="00F1314B">
        <w:rPr>
          <w:rFonts w:hint="eastAsia"/>
        </w:rPr>
        <w:t>21.2</w:t>
      </w:r>
      <w:r w:rsidR="00124CEB" w:rsidRPr="00F1314B">
        <w:t>万亩农田和</w:t>
      </w:r>
      <w:r w:rsidR="00124CEB" w:rsidRPr="00F1314B">
        <w:rPr>
          <w:rFonts w:hint="eastAsia"/>
        </w:rPr>
        <w:t>48.0</w:t>
      </w:r>
      <w:r w:rsidR="00124CEB" w:rsidRPr="00F1314B">
        <w:t>万亩林草（其中林地</w:t>
      </w:r>
      <w:r w:rsidR="00124CEB" w:rsidRPr="00F1314B">
        <w:t>1.5</w:t>
      </w:r>
      <w:r w:rsidR="00124CEB" w:rsidRPr="00F1314B">
        <w:t>万亩、草地</w:t>
      </w:r>
      <w:r w:rsidR="00124CEB" w:rsidRPr="00F1314B">
        <w:rPr>
          <w:rFonts w:hint="eastAsia"/>
        </w:rPr>
        <w:t>46.5</w:t>
      </w:r>
      <w:r w:rsidR="00124CEB" w:rsidRPr="00F1314B">
        <w:t>万亩）</w:t>
      </w:r>
      <w:r w:rsidR="00124CEB" w:rsidRPr="00F1314B">
        <w:rPr>
          <w:rFonts w:hint="eastAsia"/>
        </w:rPr>
        <w:t>。</w:t>
      </w:r>
    </w:p>
    <w:p w14:paraId="0E1084FD" w14:textId="77777777" w:rsidR="00054437" w:rsidRPr="000549B1" w:rsidRDefault="00000000">
      <w:pPr>
        <w:pStyle w:val="x"/>
      </w:pPr>
      <w:r w:rsidRPr="000549B1">
        <w:rPr>
          <w:rFonts w:hint="eastAsia"/>
        </w:rPr>
        <w:t>年供水量：水库多年平均供水量</w:t>
      </w:r>
      <w:r w:rsidRPr="000549B1">
        <w:t>10230</w:t>
      </w:r>
      <w:r w:rsidRPr="000549B1">
        <w:rPr>
          <w:rFonts w:hint="eastAsia"/>
        </w:rPr>
        <w:t>万</w:t>
      </w:r>
      <w:r w:rsidRPr="000549B1">
        <w:t>m³</w:t>
      </w:r>
      <w:r w:rsidRPr="000549B1">
        <w:rPr>
          <w:rFonts w:hint="eastAsia"/>
        </w:rPr>
        <w:t>。</w:t>
      </w:r>
    </w:p>
    <w:p w14:paraId="2ACAA279" w14:textId="46180511" w:rsidR="00054437" w:rsidRPr="000549B1" w:rsidRDefault="00000000">
      <w:pPr>
        <w:pStyle w:val="x"/>
      </w:pPr>
      <w:r w:rsidRPr="000549B1">
        <w:rPr>
          <w:rFonts w:hint="eastAsia"/>
        </w:rPr>
        <w:t>工程投资：静态总投资</w:t>
      </w:r>
      <w:bookmarkStart w:id="161" w:name="OLE_LINK83"/>
      <w:r w:rsidRPr="000549B1">
        <w:t>5</w:t>
      </w:r>
      <w:r w:rsidR="00124CEB" w:rsidRPr="000549B1">
        <w:rPr>
          <w:rFonts w:hint="eastAsia"/>
        </w:rPr>
        <w:t>8.3</w:t>
      </w:r>
      <w:bookmarkEnd w:id="161"/>
      <w:r w:rsidRPr="000549B1">
        <w:rPr>
          <w:rFonts w:hint="eastAsia"/>
        </w:rPr>
        <w:t>亿元。</w:t>
      </w:r>
    </w:p>
    <w:p w14:paraId="0723DC24" w14:textId="62DDDBD3" w:rsidR="00054437" w:rsidRPr="000549B1" w:rsidRDefault="00124CEB" w:rsidP="000549B1">
      <w:pPr>
        <w:pStyle w:val="x"/>
      </w:pPr>
      <w:r w:rsidRPr="000549B1">
        <w:rPr>
          <w:rFonts w:hint="eastAsia"/>
        </w:rPr>
        <w:t>（</w:t>
      </w:r>
      <w:r w:rsidRPr="000549B1">
        <w:rPr>
          <w:rFonts w:hint="eastAsia"/>
        </w:rPr>
        <w:t>3</w:t>
      </w:r>
      <w:r w:rsidRPr="000549B1">
        <w:rPr>
          <w:rFonts w:hint="eastAsia"/>
        </w:rPr>
        <w:t>）工程布置</w:t>
      </w:r>
    </w:p>
    <w:p w14:paraId="37FE14AA" w14:textId="77777777" w:rsidR="00124CEB" w:rsidRPr="000549B1" w:rsidRDefault="00124CEB" w:rsidP="000549B1">
      <w:pPr>
        <w:pStyle w:val="x"/>
      </w:pPr>
      <w:r w:rsidRPr="000549B1">
        <w:rPr>
          <w:rFonts w:hint="eastAsia"/>
        </w:rPr>
        <w:t>根据《水利水电工程等级划分及洪水标准》（</w:t>
      </w:r>
      <w:r w:rsidRPr="000549B1">
        <w:rPr>
          <w:rFonts w:hint="eastAsia"/>
        </w:rPr>
        <w:t>SL252-2017</w:t>
      </w:r>
      <w:r w:rsidRPr="000549B1">
        <w:rPr>
          <w:rFonts w:hint="eastAsia"/>
        </w:rPr>
        <w:t>）的相关规定，按灌区面积</w:t>
      </w:r>
      <w:r w:rsidRPr="000549B1">
        <w:rPr>
          <w:rFonts w:hint="eastAsia"/>
        </w:rPr>
        <w:t>59.4</w:t>
      </w:r>
      <w:r w:rsidRPr="000549B1">
        <w:rPr>
          <w:rFonts w:hint="eastAsia"/>
        </w:rPr>
        <w:t>万亩确定工程等别为Ⅱ等，工程规模为大（</w:t>
      </w:r>
      <w:r w:rsidRPr="000549B1">
        <w:rPr>
          <w:rFonts w:hint="eastAsia"/>
        </w:rPr>
        <w:t>2</w:t>
      </w:r>
      <w:r w:rsidRPr="000549B1">
        <w:rPr>
          <w:rFonts w:hint="eastAsia"/>
        </w:rPr>
        <w:t>）型。</w:t>
      </w:r>
    </w:p>
    <w:p w14:paraId="296B9640" w14:textId="118AD029" w:rsidR="00124CEB" w:rsidRPr="000549B1" w:rsidRDefault="00124CEB" w:rsidP="000549B1">
      <w:pPr>
        <w:pStyle w:val="x"/>
        <w:rPr>
          <w:szCs w:val="24"/>
        </w:rPr>
      </w:pPr>
      <w:r w:rsidRPr="000549B1">
        <w:rPr>
          <w:rFonts w:hint="eastAsia"/>
          <w:szCs w:val="24"/>
        </w:rPr>
        <w:t>①大河坝水库（干流）单库供水方案</w:t>
      </w:r>
    </w:p>
    <w:p w14:paraId="1F6FDC96" w14:textId="77777777" w:rsidR="00124CEB" w:rsidRPr="000549B1" w:rsidRDefault="00124CEB" w:rsidP="000549B1">
      <w:pPr>
        <w:pStyle w:val="x"/>
      </w:pPr>
      <w:r w:rsidRPr="000549B1">
        <w:rPr>
          <w:rFonts w:hint="eastAsia"/>
        </w:rPr>
        <w:t>本方案的水源工程为大河坝水库（干流）和输水洞，对应的供水工程为切吉供水洞、供水工程主干管及支管、供水工程主干渠及支渠。该方案为高坝大库引水，输水洞进口高程在淤沙高程以上，死水位以下，供水保证率最高，且不存在泥沙问题，工程组件较少，水源工程布置较简单。</w:t>
      </w:r>
    </w:p>
    <w:p w14:paraId="216E16F9" w14:textId="77777777" w:rsidR="00124CEB" w:rsidRPr="000549B1" w:rsidRDefault="00124CEB" w:rsidP="000549B1">
      <w:pPr>
        <w:pStyle w:val="x"/>
      </w:pPr>
      <w:r w:rsidRPr="000549B1">
        <w:rPr>
          <w:rFonts w:hint="eastAsia"/>
        </w:rPr>
        <w:t>大河坝水库（干流）总库容</w:t>
      </w:r>
      <w:r w:rsidRPr="000549B1">
        <w:rPr>
          <w:rFonts w:hint="eastAsia"/>
        </w:rPr>
        <w:t>6554</w:t>
      </w:r>
      <w:r w:rsidRPr="000549B1">
        <w:rPr>
          <w:rFonts w:hint="eastAsia"/>
        </w:rPr>
        <w:t>万</w:t>
      </w:r>
      <w:r w:rsidRPr="000549B1">
        <w:rPr>
          <w:rFonts w:hint="eastAsia"/>
        </w:rPr>
        <w:t>m</w:t>
      </w:r>
      <w:r w:rsidRPr="000549B1">
        <w:rPr>
          <w:rFonts w:hint="eastAsia"/>
          <w:vertAlign w:val="superscript"/>
        </w:rPr>
        <w:t>3</w:t>
      </w:r>
      <w:r w:rsidRPr="000549B1">
        <w:rPr>
          <w:rFonts w:hint="eastAsia"/>
        </w:rPr>
        <w:t>，主要建筑物由一座壤土心墙堆石坝、一座有闸门控制的溢洪道和一条由导流洞改建的放空洞组成。输水洞从大河坝水库引水至切吉水库上游河道，总长</w:t>
      </w:r>
      <w:r w:rsidRPr="000549B1">
        <w:rPr>
          <w:rFonts w:hint="eastAsia"/>
        </w:rPr>
        <w:t>24.32km</w:t>
      </w:r>
      <w:r w:rsidRPr="000549B1">
        <w:rPr>
          <w:rFonts w:hint="eastAsia"/>
        </w:rPr>
        <w:t>，设计取水流量</w:t>
      </w:r>
      <w:r w:rsidRPr="000549B1">
        <w:rPr>
          <w:rFonts w:hint="eastAsia"/>
        </w:rPr>
        <w:t>11.21m</w:t>
      </w:r>
      <w:r w:rsidRPr="000549B1">
        <w:rPr>
          <w:rFonts w:hint="eastAsia"/>
          <w:vertAlign w:val="superscript"/>
        </w:rPr>
        <w:t>3</w:t>
      </w:r>
      <w:r w:rsidRPr="000549B1">
        <w:rPr>
          <w:rFonts w:hint="eastAsia"/>
        </w:rPr>
        <w:t>/s</w:t>
      </w:r>
      <w:r w:rsidRPr="000549B1">
        <w:rPr>
          <w:rFonts w:hint="eastAsia"/>
        </w:rPr>
        <w:t>。供水工程包括供水洞、供水工程主干管及支管、供水工程主干渠及支渠，进水口布置在切吉水库左岸，采用岸塔式结构，进口底板高程</w:t>
      </w:r>
      <w:r w:rsidRPr="000549B1">
        <w:rPr>
          <w:rFonts w:hint="eastAsia"/>
        </w:rPr>
        <w:t>3267.60m</w:t>
      </w:r>
      <w:r w:rsidRPr="000549B1">
        <w:rPr>
          <w:rFonts w:hint="eastAsia"/>
        </w:rPr>
        <w:t>。</w:t>
      </w:r>
    </w:p>
    <w:p w14:paraId="177415F1" w14:textId="5C0F3F72" w:rsidR="00124CEB" w:rsidRPr="000549B1" w:rsidRDefault="00124CEB" w:rsidP="000549B1">
      <w:pPr>
        <w:pStyle w:val="x"/>
        <w:rPr>
          <w:szCs w:val="24"/>
        </w:rPr>
      </w:pPr>
      <w:r w:rsidRPr="000549B1">
        <w:rPr>
          <w:rFonts w:hint="eastAsia"/>
          <w:szCs w:val="24"/>
        </w:rPr>
        <w:t>②大河坝取水口</w:t>
      </w:r>
      <w:r w:rsidRPr="000549B1">
        <w:rPr>
          <w:rFonts w:hint="eastAsia"/>
          <w:szCs w:val="24"/>
        </w:rPr>
        <w:t>+</w:t>
      </w:r>
      <w:r w:rsidRPr="000549B1">
        <w:rPr>
          <w:rFonts w:hint="eastAsia"/>
          <w:szCs w:val="24"/>
        </w:rPr>
        <w:t>大河坝水库（注入式）供水方案</w:t>
      </w:r>
    </w:p>
    <w:p w14:paraId="5B7A7CF7" w14:textId="77777777" w:rsidR="00124CEB" w:rsidRPr="000549B1" w:rsidRDefault="00124CEB" w:rsidP="000549B1">
      <w:pPr>
        <w:pStyle w:val="x"/>
      </w:pPr>
      <w:r w:rsidRPr="000549B1">
        <w:rPr>
          <w:rFonts w:hint="eastAsia"/>
        </w:rPr>
        <w:t>本方案的水源工程包括大河坝取水口、输水洞、大河坝水库（注入式）。</w:t>
      </w:r>
    </w:p>
    <w:p w14:paraId="0518F556" w14:textId="77777777" w:rsidR="00124CEB" w:rsidRPr="000549B1" w:rsidRDefault="00124CEB" w:rsidP="000549B1">
      <w:pPr>
        <w:pStyle w:val="x"/>
      </w:pPr>
      <w:r w:rsidRPr="000549B1">
        <w:rPr>
          <w:rFonts w:hint="eastAsia"/>
        </w:rPr>
        <w:t>工程总布置是在水塔拉和青根河汇合口下游直线距离约</w:t>
      </w:r>
      <w:r w:rsidRPr="000549B1">
        <w:rPr>
          <w:rFonts w:hint="eastAsia"/>
        </w:rPr>
        <w:t>3.7km</w:t>
      </w:r>
      <w:r w:rsidRPr="000549B1">
        <w:rPr>
          <w:rFonts w:hint="eastAsia"/>
        </w:rPr>
        <w:t>处的大河坝河上新建大河坝取水口，在切吉水库坝址上游</w:t>
      </w:r>
      <w:r w:rsidRPr="000549B1">
        <w:rPr>
          <w:rFonts w:hint="eastAsia"/>
        </w:rPr>
        <w:t>2km</w:t>
      </w:r>
      <w:r w:rsidRPr="000549B1">
        <w:rPr>
          <w:rFonts w:hint="eastAsia"/>
        </w:rPr>
        <w:t>位置新建大河坝水库，通过大河坝取水口左岸的输水洞跨过黄清河、穿过共玉高速和</w:t>
      </w:r>
      <w:r w:rsidRPr="000549B1">
        <w:rPr>
          <w:rFonts w:hint="eastAsia"/>
        </w:rPr>
        <w:t>214</w:t>
      </w:r>
      <w:r w:rsidRPr="000549B1">
        <w:rPr>
          <w:rFonts w:hint="eastAsia"/>
        </w:rPr>
        <w:t>国道及河卡山，将水从大河坝河输送至切吉河上游，利用自然河道注入大河坝水库，调蓄后通过水库供水工程输水至下游受水区。大河坝取水口主要由取水闸、汇水池、排沙洞、排沙闸和左右岸挡墙组成。隧洞段自大河坝取水口分水池左岸工作闸开始，长</w:t>
      </w:r>
      <w:r w:rsidRPr="000549B1">
        <w:rPr>
          <w:rFonts w:hint="eastAsia"/>
        </w:rPr>
        <w:t>24.68km</w:t>
      </w:r>
      <w:r w:rsidRPr="000549B1">
        <w:rPr>
          <w:rFonts w:hint="eastAsia"/>
        </w:rPr>
        <w:t>。大河坝水库主要建筑物由一座沥青心墙堆石坝、一座无闸门控制的溢洪道、一条由导流洞改建的放空洞组成。灌区供水工程由总干管、切吉滩干管及切吉干渠，塔拉滩干管组成。</w:t>
      </w:r>
    </w:p>
    <w:p w14:paraId="596FAAF7" w14:textId="74316F8D" w:rsidR="00054437" w:rsidRPr="000549B1" w:rsidRDefault="00124CEB" w:rsidP="000549B1">
      <w:pPr>
        <w:pStyle w:val="x"/>
      </w:pPr>
      <w:r w:rsidRPr="000549B1">
        <w:rPr>
          <w:rFonts w:hint="eastAsia"/>
        </w:rPr>
        <w:t>（</w:t>
      </w:r>
      <w:r w:rsidRPr="000549B1">
        <w:rPr>
          <w:rFonts w:hint="eastAsia"/>
        </w:rPr>
        <w:t>4</w:t>
      </w:r>
      <w:r w:rsidRPr="000549B1">
        <w:rPr>
          <w:rFonts w:hint="eastAsia"/>
        </w:rPr>
        <w:t>）时序安排与近远期实施意见</w:t>
      </w:r>
    </w:p>
    <w:p w14:paraId="2BFEAE8F" w14:textId="77777777" w:rsidR="00054437" w:rsidRPr="000549B1" w:rsidRDefault="00000000">
      <w:pPr>
        <w:pStyle w:val="x"/>
      </w:pPr>
      <w:r w:rsidRPr="000549B1">
        <w:rPr>
          <w:rFonts w:hint="eastAsia"/>
        </w:rPr>
        <w:t>近期实施意见：三滩引水生态综合治理一期工程。</w:t>
      </w:r>
    </w:p>
    <w:p w14:paraId="2C652C75" w14:textId="4622FD69" w:rsidR="00054437" w:rsidRPr="000549B1" w:rsidRDefault="00000000">
      <w:pPr>
        <w:pStyle w:val="x"/>
      </w:pPr>
      <w:r w:rsidRPr="000549B1">
        <w:rPr>
          <w:rFonts w:hint="eastAsia"/>
        </w:rPr>
        <w:t>施工总工期：</w:t>
      </w:r>
      <w:r w:rsidR="00124CEB" w:rsidRPr="000549B1">
        <w:rPr>
          <w:rFonts w:hint="eastAsia"/>
        </w:rPr>
        <w:t>6</w:t>
      </w:r>
      <w:r w:rsidR="00124CEB" w:rsidRPr="000549B1">
        <w:rPr>
          <w:rFonts w:hint="eastAsia"/>
        </w:rPr>
        <w:t>年。</w:t>
      </w:r>
    </w:p>
    <w:p w14:paraId="58506B00" w14:textId="011659E2" w:rsidR="00054437" w:rsidRPr="000549B1" w:rsidRDefault="00000000">
      <w:pPr>
        <w:pStyle w:val="x"/>
      </w:pPr>
      <w:r w:rsidRPr="000549B1">
        <w:rPr>
          <w:rFonts w:hint="eastAsia"/>
        </w:rPr>
        <w:t>实施阶段：该工程目前处于初步规划方案比选阶段，文档中未明确其具体的开工和竣工时间。</w:t>
      </w:r>
    </w:p>
    <w:bookmarkEnd w:id="160"/>
    <w:p w14:paraId="309714A6" w14:textId="77777777" w:rsidR="00054437" w:rsidRPr="000549B1" w:rsidRDefault="00000000" w:rsidP="000549B1">
      <w:pPr>
        <w:pStyle w:val="Z4"/>
        <w:rPr>
          <w:color w:val="auto"/>
        </w:rPr>
      </w:pPr>
      <w:r w:rsidRPr="000549B1">
        <w:rPr>
          <w:color w:val="auto"/>
        </w:rPr>
        <w:t>流域综合规划</w:t>
      </w:r>
    </w:p>
    <w:p w14:paraId="6A5A26A7" w14:textId="49BA0983" w:rsidR="00054437" w:rsidRPr="000549B1" w:rsidRDefault="002F2485" w:rsidP="000549B1">
      <w:pPr>
        <w:pStyle w:val="x"/>
      </w:pPr>
      <w:r w:rsidRPr="000549B1">
        <w:rPr>
          <w:rFonts w:hint="eastAsia"/>
        </w:rPr>
        <w:t>（</w:t>
      </w:r>
      <w:r w:rsidRPr="000549B1">
        <w:rPr>
          <w:rFonts w:hint="eastAsia"/>
        </w:rPr>
        <w:t>1</w:t>
      </w:r>
      <w:r w:rsidRPr="000549B1">
        <w:rPr>
          <w:rFonts w:hint="eastAsia"/>
        </w:rPr>
        <w:t>）</w:t>
      </w:r>
      <w:r w:rsidRPr="000549B1">
        <w:t>规划目标与核心理念</w:t>
      </w:r>
    </w:p>
    <w:p w14:paraId="1F89B46E" w14:textId="03404756" w:rsidR="00054437" w:rsidRPr="000549B1" w:rsidRDefault="00000000">
      <w:pPr>
        <w:pStyle w:val="x"/>
      </w:pPr>
      <w:r w:rsidRPr="000549B1">
        <w:rPr>
          <w:rFonts w:hint="eastAsia"/>
        </w:rPr>
        <w:t>规划</w:t>
      </w:r>
      <w:r w:rsidRPr="000549B1">
        <w:t>的总体目标是：强化流域治理管理，推动新阶段水利高质量发展。通过推进流域统一规划、统一治理、统一调度和统一管理，建立完善的基于河（湖）长制的流域管理体制及运行机制，实现流域持续、协调、健康发展。</w:t>
      </w:r>
    </w:p>
    <w:p w14:paraId="037D3850" w14:textId="77777777" w:rsidR="00054437" w:rsidRPr="000549B1" w:rsidRDefault="00000000">
      <w:pPr>
        <w:pStyle w:val="x"/>
      </w:pPr>
      <w:r w:rsidRPr="000549B1">
        <w:t>其核心理念是：从流域整体出发，统筹上下游、左右岸、干支流，实施各项措施。</w:t>
      </w:r>
    </w:p>
    <w:p w14:paraId="75E5F428" w14:textId="5519BF10" w:rsidR="00054437" w:rsidRPr="000549B1" w:rsidRDefault="002F2485" w:rsidP="000549B1">
      <w:pPr>
        <w:pStyle w:val="x"/>
      </w:pPr>
      <w:r w:rsidRPr="000549B1">
        <w:rPr>
          <w:rFonts w:hint="eastAsia"/>
        </w:rPr>
        <w:t>（</w:t>
      </w:r>
      <w:r w:rsidRPr="000549B1">
        <w:rPr>
          <w:rFonts w:hint="eastAsia"/>
        </w:rPr>
        <w:t>2</w:t>
      </w:r>
      <w:r w:rsidRPr="000549B1">
        <w:rPr>
          <w:rFonts w:hint="eastAsia"/>
        </w:rPr>
        <w:t>）</w:t>
      </w:r>
      <w:r w:rsidRPr="000549B1">
        <w:t>管理体制与机构设置</w:t>
      </w:r>
    </w:p>
    <w:p w14:paraId="11D4967B" w14:textId="77777777" w:rsidR="00054437" w:rsidRPr="000549B1" w:rsidRDefault="00000000">
      <w:pPr>
        <w:pStyle w:val="x"/>
      </w:pPr>
      <w:r w:rsidRPr="000549B1">
        <w:t>沙珠玉河流域实行</w:t>
      </w:r>
      <w:r w:rsidRPr="000549B1">
        <w:rPr>
          <w:rFonts w:ascii="宋体" w:hAnsi="宋体"/>
        </w:rPr>
        <w:t>“</w:t>
      </w:r>
      <w:r w:rsidRPr="000549B1">
        <w:t>流域管理与区域管理相结合</w:t>
      </w:r>
      <w:r w:rsidRPr="000549B1">
        <w:rPr>
          <w:rFonts w:ascii="宋体" w:hAnsi="宋体"/>
        </w:rPr>
        <w:t>”</w:t>
      </w:r>
      <w:r w:rsidRPr="000549B1">
        <w:t>的管理体制，区域管理服从流域管理。</w:t>
      </w:r>
    </w:p>
    <w:p w14:paraId="239DAF26" w14:textId="6E7C595E" w:rsidR="00054437" w:rsidRPr="000549B1" w:rsidRDefault="00000000" w:rsidP="000549B1">
      <w:pPr>
        <w:pStyle w:val="x"/>
        <w:numPr>
          <w:ilvl w:val="0"/>
          <w:numId w:val="20"/>
        </w:numPr>
      </w:pPr>
      <w:r w:rsidRPr="000549B1">
        <w:t>管理机构架构</w:t>
      </w:r>
    </w:p>
    <w:p w14:paraId="7354FCB3" w14:textId="77777777" w:rsidR="00054437" w:rsidRPr="000549B1" w:rsidRDefault="00000000">
      <w:pPr>
        <w:pStyle w:val="x"/>
      </w:pPr>
      <w:r w:rsidRPr="000549B1">
        <w:t>核心领导部门：海南州水利局，是沙珠玉河流域水利各项业务组织管理的主要领导部门。</w:t>
      </w:r>
    </w:p>
    <w:p w14:paraId="1E6F4C33" w14:textId="77777777" w:rsidR="00054437" w:rsidRPr="000549B1" w:rsidRDefault="00000000">
      <w:pPr>
        <w:pStyle w:val="x"/>
      </w:pPr>
      <w:r w:rsidRPr="000549B1">
        <w:t>下属与执行机构：包括海南州水利综合行政执法监督局、海南州水利建设工程质量监督站、海南州三滩引水生态综合治理工程建设局等。</w:t>
      </w:r>
    </w:p>
    <w:p w14:paraId="2ECB0D08" w14:textId="77777777" w:rsidR="00054437" w:rsidRPr="000549B1" w:rsidRDefault="00000000">
      <w:pPr>
        <w:pStyle w:val="x"/>
      </w:pPr>
      <w:r w:rsidRPr="000549B1">
        <w:t>区域管理机构：共和县水利局和兴海县农牧和水利局负责县级水利事务管理。</w:t>
      </w:r>
    </w:p>
    <w:p w14:paraId="3EBFB0D7" w14:textId="77777777" w:rsidR="00054437" w:rsidRPr="000549B1" w:rsidRDefault="00000000">
      <w:pPr>
        <w:pStyle w:val="x"/>
      </w:pPr>
      <w:r w:rsidRPr="000549B1">
        <w:t>基层单位：每个乡镇设一个水管所，由所在县水利局管理。</w:t>
      </w:r>
    </w:p>
    <w:p w14:paraId="08FE0FE9" w14:textId="229142CB" w:rsidR="00054437" w:rsidRPr="000549B1" w:rsidRDefault="002F2485">
      <w:pPr>
        <w:pStyle w:val="x"/>
      </w:pPr>
      <w:r w:rsidRPr="000549B1">
        <w:rPr>
          <w:rFonts w:hint="eastAsia"/>
        </w:rPr>
        <w:t>②</w:t>
      </w:r>
      <w:r w:rsidRPr="000549B1">
        <w:t>水利规划管理</w:t>
      </w:r>
    </w:p>
    <w:p w14:paraId="15B51851" w14:textId="77777777" w:rsidR="00054437" w:rsidRPr="000549B1" w:rsidRDefault="00000000">
      <w:pPr>
        <w:pStyle w:val="x"/>
      </w:pPr>
      <w:r w:rsidRPr="000549B1">
        <w:t>规划编制：海南州水利局会同有关部门和地区人民政府组织编制沙珠玉流域规划，报州人民政府批准后负责监督实施。</w:t>
      </w:r>
    </w:p>
    <w:p w14:paraId="4A2B96B8" w14:textId="77777777" w:rsidR="00054437" w:rsidRPr="000549B1" w:rsidRDefault="00000000">
      <w:pPr>
        <w:pStyle w:val="x"/>
      </w:pPr>
      <w:r w:rsidRPr="000549B1">
        <w:t>规划层级：区域规划服从流域规划，专业规划服从综合规划。流域内其他国民经济和社会规划应与流域综合规划相衔接。</w:t>
      </w:r>
    </w:p>
    <w:p w14:paraId="0541DCAD" w14:textId="6A938611" w:rsidR="00054437" w:rsidRPr="000549B1" w:rsidRDefault="002F2485" w:rsidP="000549B1">
      <w:pPr>
        <w:pStyle w:val="x"/>
      </w:pPr>
      <w:r w:rsidRPr="000549B1">
        <w:rPr>
          <w:rFonts w:hint="eastAsia"/>
        </w:rPr>
        <w:t>（</w:t>
      </w:r>
      <w:r w:rsidRPr="000549B1">
        <w:rPr>
          <w:rFonts w:hint="eastAsia"/>
        </w:rPr>
        <w:t>3</w:t>
      </w:r>
      <w:r w:rsidRPr="000549B1">
        <w:rPr>
          <w:rFonts w:hint="eastAsia"/>
        </w:rPr>
        <w:t>）</w:t>
      </w:r>
      <w:r w:rsidRPr="000549B1">
        <w:t>核心管理领域与制度</w:t>
      </w:r>
    </w:p>
    <w:p w14:paraId="4ABB856E" w14:textId="77777777" w:rsidR="00054437" w:rsidRPr="000549B1" w:rsidRDefault="00000000">
      <w:pPr>
        <w:pStyle w:val="x"/>
      </w:pPr>
      <w:r w:rsidRPr="000549B1">
        <w:t>规划明确了以下关键领域的管理制度与措施：</w:t>
      </w:r>
    </w:p>
    <w:p w14:paraId="16FAA9BA" w14:textId="06A355EE" w:rsidR="00054437" w:rsidRPr="000549B1" w:rsidRDefault="002F2485">
      <w:pPr>
        <w:pStyle w:val="x"/>
      </w:pPr>
      <w:r w:rsidRPr="000549B1">
        <w:rPr>
          <w:rFonts w:hint="eastAsia"/>
        </w:rPr>
        <w:t>①</w:t>
      </w:r>
      <w:r w:rsidRPr="000549B1">
        <w:t>水资源管理</w:t>
      </w:r>
    </w:p>
    <w:p w14:paraId="294DF31A" w14:textId="77777777" w:rsidR="00054437" w:rsidRPr="000549B1" w:rsidRDefault="00000000">
      <w:pPr>
        <w:pStyle w:val="x"/>
      </w:pPr>
      <w:r w:rsidRPr="000549B1">
        <w:t>管理制度：实行用水总量控制、定额管理，以供定需，统一调度。</w:t>
      </w:r>
    </w:p>
    <w:p w14:paraId="2E73FE91" w14:textId="77777777" w:rsidR="00054437" w:rsidRPr="000549B1" w:rsidRDefault="00000000">
      <w:pPr>
        <w:pStyle w:val="x"/>
      </w:pPr>
      <w:r w:rsidRPr="000549B1">
        <w:t>取水许可：流域内新建、改建、扩建项目取用水，必须编制建设项目水资源论证报告。</w:t>
      </w:r>
    </w:p>
    <w:p w14:paraId="32F9DD83" w14:textId="77777777" w:rsidR="00054437" w:rsidRPr="000549B1" w:rsidRDefault="00000000">
      <w:pPr>
        <w:pStyle w:val="x"/>
      </w:pPr>
      <w:r w:rsidRPr="000549B1">
        <w:t>用水计量与收费：实行计量收费和超计划、超定额累进加价制度。</w:t>
      </w:r>
    </w:p>
    <w:p w14:paraId="36B3C674" w14:textId="47BC69AB" w:rsidR="00054437" w:rsidRPr="000549B1" w:rsidRDefault="002F2485">
      <w:pPr>
        <w:pStyle w:val="x"/>
      </w:pPr>
      <w:r w:rsidRPr="000549B1">
        <w:rPr>
          <w:rFonts w:hint="eastAsia"/>
        </w:rPr>
        <w:t>②</w:t>
      </w:r>
      <w:r w:rsidRPr="000549B1">
        <w:t>防汛抗旱管理</w:t>
      </w:r>
    </w:p>
    <w:p w14:paraId="29D11E25" w14:textId="77777777" w:rsidR="00054437" w:rsidRPr="000549B1" w:rsidRDefault="00000000">
      <w:pPr>
        <w:pStyle w:val="x"/>
      </w:pPr>
      <w:r w:rsidRPr="000549B1">
        <w:t>责任制度：实行各级人民政府行政首长负责制。</w:t>
      </w:r>
    </w:p>
    <w:p w14:paraId="567E284A" w14:textId="77777777" w:rsidR="00054437" w:rsidRPr="000549B1" w:rsidRDefault="00000000">
      <w:pPr>
        <w:pStyle w:val="x"/>
      </w:pPr>
      <w:r w:rsidRPr="000549B1">
        <w:t>机构职能：水利部门负责编制应急预案、实施防汛抗旱调度、提供技术指导服务。</w:t>
      </w:r>
    </w:p>
    <w:p w14:paraId="40DC7739" w14:textId="661EF0C3" w:rsidR="00054437" w:rsidRPr="000549B1" w:rsidRDefault="002F2485">
      <w:pPr>
        <w:pStyle w:val="x"/>
      </w:pPr>
      <w:r w:rsidRPr="000549B1">
        <w:rPr>
          <w:rFonts w:hint="eastAsia"/>
        </w:rPr>
        <w:t>③</w:t>
      </w:r>
      <w:r w:rsidRPr="000549B1">
        <w:t>河道管理</w:t>
      </w:r>
    </w:p>
    <w:p w14:paraId="64D6A577" w14:textId="77777777" w:rsidR="00054437" w:rsidRPr="000549B1" w:rsidRDefault="00000000">
      <w:pPr>
        <w:pStyle w:val="x"/>
      </w:pPr>
      <w:r w:rsidRPr="000549B1">
        <w:t>管理机构：由共和县水利局、兴海县农牧和水利局负责统一管理。</w:t>
      </w:r>
    </w:p>
    <w:p w14:paraId="1996A551" w14:textId="77777777" w:rsidR="00054437" w:rsidRPr="000549B1" w:rsidRDefault="00000000">
      <w:pPr>
        <w:pStyle w:val="x"/>
      </w:pPr>
      <w:r w:rsidRPr="000549B1">
        <w:t>管理原则：河道的整治与建设必须服从流域规划，维护堤防安全与行洪畅通。</w:t>
      </w:r>
    </w:p>
    <w:p w14:paraId="4350DB29" w14:textId="5BA5D419" w:rsidR="00054437" w:rsidRPr="000549B1" w:rsidRDefault="002F2485">
      <w:pPr>
        <w:pStyle w:val="x"/>
      </w:pPr>
      <w:r w:rsidRPr="000549B1">
        <w:rPr>
          <w:rFonts w:hint="eastAsia"/>
        </w:rPr>
        <w:t>④</w:t>
      </w:r>
      <w:r w:rsidRPr="000549B1">
        <w:t>水工程建设与运行管理</w:t>
      </w:r>
    </w:p>
    <w:p w14:paraId="0FF4795B" w14:textId="77777777" w:rsidR="00054437" w:rsidRPr="000549B1" w:rsidRDefault="00000000">
      <w:pPr>
        <w:pStyle w:val="x"/>
      </w:pPr>
      <w:r w:rsidRPr="000549B1">
        <w:t>分级管理：流域性骨干水利工程由州、县水利局协商确定管理单位；其余工程按</w:t>
      </w:r>
      <w:r w:rsidRPr="000549B1">
        <w:rPr>
          <w:rFonts w:ascii="宋体" w:hAnsi="宋体"/>
        </w:rPr>
        <w:t>“</w:t>
      </w:r>
      <w:r w:rsidRPr="000549B1">
        <w:t>谁受益、谁负担、谁建设、谁管理</w:t>
      </w:r>
      <w:r w:rsidRPr="000549B1">
        <w:rPr>
          <w:rFonts w:ascii="宋体" w:hAnsi="宋体"/>
        </w:rPr>
        <w:t>”</w:t>
      </w:r>
      <w:r w:rsidRPr="000549B1">
        <w:t>原则进行。</w:t>
      </w:r>
    </w:p>
    <w:p w14:paraId="30E05A26" w14:textId="77777777" w:rsidR="00054437" w:rsidRPr="000549B1" w:rsidRDefault="00000000">
      <w:pPr>
        <w:pStyle w:val="x"/>
      </w:pPr>
      <w:r w:rsidRPr="000549B1">
        <w:t>建设制度：所有项目建设必须实行项目法人责任制、招标投标制和建设监理制。</w:t>
      </w:r>
    </w:p>
    <w:p w14:paraId="29EF1F39" w14:textId="4DEDDA18" w:rsidR="00054437" w:rsidRPr="000549B1" w:rsidRDefault="002F2485">
      <w:pPr>
        <w:pStyle w:val="x"/>
      </w:pPr>
      <w:r w:rsidRPr="000549B1">
        <w:rPr>
          <w:rFonts w:hint="eastAsia"/>
        </w:rPr>
        <w:t>⑤</w:t>
      </w:r>
      <w:r w:rsidRPr="000549B1">
        <w:t>水土保持监督管理</w:t>
      </w:r>
    </w:p>
    <w:p w14:paraId="558DA91E" w14:textId="77777777" w:rsidR="00054437" w:rsidRPr="000549B1" w:rsidRDefault="00000000">
      <w:pPr>
        <w:pStyle w:val="x"/>
      </w:pPr>
      <w:r w:rsidRPr="000549B1">
        <w:t>统一负责：由州（县）水利局组织编制水土保持规划并监督实施。</w:t>
      </w:r>
    </w:p>
    <w:p w14:paraId="369DD4D1" w14:textId="77777777" w:rsidR="00054437" w:rsidRPr="000549B1" w:rsidRDefault="00000000">
      <w:pPr>
        <w:pStyle w:val="x"/>
      </w:pPr>
      <w:r w:rsidRPr="000549B1">
        <w:t>许可制度：实行开发建设项目水土保持方案申报和许可制度。</w:t>
      </w:r>
    </w:p>
    <w:p w14:paraId="1A7D7598" w14:textId="24DFDC7F" w:rsidR="00054437" w:rsidRPr="000549B1" w:rsidRDefault="002F2485" w:rsidP="000549B1">
      <w:pPr>
        <w:pStyle w:val="x"/>
      </w:pPr>
      <w:r w:rsidRPr="000549B1">
        <w:rPr>
          <w:rFonts w:hint="eastAsia"/>
        </w:rPr>
        <w:t>（</w:t>
      </w:r>
      <w:r w:rsidRPr="000549B1">
        <w:rPr>
          <w:rFonts w:hint="eastAsia"/>
        </w:rPr>
        <w:t>4</w:t>
      </w:r>
      <w:r w:rsidRPr="000549B1">
        <w:rPr>
          <w:rFonts w:hint="eastAsia"/>
        </w:rPr>
        <w:t>）</w:t>
      </w:r>
      <w:r w:rsidRPr="000549B1">
        <w:t>运行机制与改革</w:t>
      </w:r>
    </w:p>
    <w:p w14:paraId="5A1516BE" w14:textId="77777777" w:rsidR="00054437" w:rsidRPr="000549B1" w:rsidRDefault="00000000">
      <w:pPr>
        <w:pStyle w:val="x"/>
      </w:pPr>
      <w:r w:rsidRPr="000549B1">
        <w:t>为确保管理体系有效运转，规划提出建立以下运行机制：</w:t>
      </w:r>
    </w:p>
    <w:p w14:paraId="76165EA5" w14:textId="77777777" w:rsidR="00054437" w:rsidRPr="000549B1" w:rsidRDefault="00000000">
      <w:pPr>
        <w:pStyle w:val="x"/>
      </w:pPr>
      <w:r w:rsidRPr="000549B1">
        <w:rPr>
          <w:bCs/>
        </w:rPr>
        <w:t>全面推行实施河长制</w:t>
      </w:r>
      <w:r w:rsidRPr="000549B1">
        <w:t>：建立</w:t>
      </w:r>
      <w:r w:rsidRPr="000549B1">
        <w:rPr>
          <w:bCs/>
        </w:rPr>
        <w:t>县、乡（镇）、村三级河长制体系</w:t>
      </w:r>
      <w:r w:rsidRPr="000549B1">
        <w:t>。</w:t>
      </w:r>
    </w:p>
    <w:p w14:paraId="5339E829" w14:textId="77777777" w:rsidR="00054437" w:rsidRPr="000549B1" w:rsidRDefault="00000000">
      <w:pPr>
        <w:pStyle w:val="x"/>
      </w:pPr>
      <w:r w:rsidRPr="000549B1">
        <w:rPr>
          <w:bCs/>
        </w:rPr>
        <w:t>建立流域管理民主协商机制</w:t>
      </w:r>
    </w:p>
    <w:p w14:paraId="6F8C4F6C" w14:textId="77777777" w:rsidR="00054437" w:rsidRPr="000549B1" w:rsidRDefault="00000000">
      <w:pPr>
        <w:pStyle w:val="x"/>
      </w:pPr>
      <w:r w:rsidRPr="000549B1">
        <w:rPr>
          <w:bCs/>
        </w:rPr>
        <w:t>建立县界断面水量、水质责任监督机制</w:t>
      </w:r>
    </w:p>
    <w:p w14:paraId="74CFDCF7" w14:textId="77777777" w:rsidR="00054437" w:rsidRPr="000549B1" w:rsidRDefault="00000000">
      <w:pPr>
        <w:pStyle w:val="x"/>
      </w:pPr>
      <w:r w:rsidRPr="000549B1">
        <w:rPr>
          <w:bCs/>
        </w:rPr>
        <w:t>稳步推进水权水价水市场改革</w:t>
      </w:r>
      <w:r w:rsidRPr="000549B1">
        <w:t>：</w:t>
      </w:r>
    </w:p>
    <w:p w14:paraId="655CDDF3" w14:textId="77777777" w:rsidR="00054437" w:rsidRPr="000549B1" w:rsidRDefault="00000000">
      <w:pPr>
        <w:pStyle w:val="x"/>
      </w:pPr>
      <w:r w:rsidRPr="000549B1">
        <w:rPr>
          <w:bCs/>
        </w:rPr>
        <w:t>水价改革</w:t>
      </w:r>
      <w:r w:rsidRPr="000549B1">
        <w:t>：积极推进农业水价改革，实行</w:t>
      </w:r>
      <w:r w:rsidRPr="000549B1">
        <w:rPr>
          <w:bCs/>
        </w:rPr>
        <w:t>定额内优惠、超定额累进加价</w:t>
      </w:r>
      <w:r w:rsidRPr="000549B1">
        <w:t>。</w:t>
      </w:r>
    </w:p>
    <w:p w14:paraId="36BB949C" w14:textId="77777777" w:rsidR="00054437" w:rsidRPr="000549B1" w:rsidRDefault="00000000">
      <w:pPr>
        <w:pStyle w:val="x"/>
      </w:pPr>
      <w:r w:rsidRPr="000549B1">
        <w:rPr>
          <w:bCs/>
        </w:rPr>
        <w:t>水权改革</w:t>
      </w:r>
      <w:r w:rsidRPr="000549B1">
        <w:t>：在明晰初始水权的基础上，鼓励地区间、行业间开展</w:t>
      </w:r>
      <w:r w:rsidRPr="000549B1">
        <w:rPr>
          <w:bCs/>
        </w:rPr>
        <w:t>水权交易</w:t>
      </w:r>
      <w:r w:rsidRPr="000549B1">
        <w:t>，通过农业节水置换工业用水。</w:t>
      </w:r>
    </w:p>
    <w:p w14:paraId="42988D9C" w14:textId="77777777" w:rsidR="00361F83" w:rsidRPr="000549B1" w:rsidRDefault="00361F83" w:rsidP="00361F83">
      <w:pPr>
        <w:pStyle w:val="zhang3"/>
        <w:spacing w:before="156" w:after="156"/>
      </w:pPr>
      <w:r w:rsidRPr="000549B1">
        <w:rPr>
          <w:rFonts w:hint="eastAsia"/>
        </w:rPr>
        <w:t>近</w:t>
      </w:r>
      <w:r w:rsidRPr="000549B1">
        <w:t>时序安排与近远期实施意见</w:t>
      </w:r>
    </w:p>
    <w:p w14:paraId="44DBD5DF" w14:textId="77777777" w:rsidR="00361F83" w:rsidRPr="000549B1" w:rsidRDefault="00361F83" w:rsidP="00361F83">
      <w:pPr>
        <w:pStyle w:val="x"/>
      </w:pPr>
      <w:r w:rsidRPr="000549B1">
        <w:rPr>
          <w:rFonts w:hint="eastAsia"/>
        </w:rPr>
        <w:t>按照国家有关政策和战略部署，根据沙珠玉河流域的实际情况，结合流域经济社会发展的要求和规划工程的总体布局，针对流域治理中存在的主要问题及规划工程在流域治理中的地位和作用，考虑国家投资力度与地方经济的承受能力，按照轻重缓急的原则，突出重点，逐步实施。</w:t>
      </w:r>
    </w:p>
    <w:p w14:paraId="40A8B85C" w14:textId="77777777" w:rsidR="00361F83" w:rsidRPr="000549B1" w:rsidRDefault="00361F83" w:rsidP="00361F83">
      <w:pPr>
        <w:pStyle w:val="Z4"/>
        <w:rPr>
          <w:color w:val="auto"/>
        </w:rPr>
      </w:pPr>
      <w:r w:rsidRPr="000549B1">
        <w:rPr>
          <w:rFonts w:hint="eastAsia"/>
          <w:color w:val="auto"/>
        </w:rPr>
        <w:t>水资源开发利用</w:t>
      </w:r>
    </w:p>
    <w:p w14:paraId="23B56DED" w14:textId="77777777" w:rsidR="00361F83" w:rsidRPr="000549B1" w:rsidRDefault="00361F83" w:rsidP="00361F83">
      <w:pPr>
        <w:pStyle w:val="x"/>
      </w:pPr>
      <w:r w:rsidRPr="000549B1">
        <w:rPr>
          <w:rFonts w:hint="eastAsia"/>
        </w:rPr>
        <w:t>规划水资源工程主要包括重大引调水工程、水资源配置工程、农村供水保障工程和灌区节水配套工程，工程总体安排如下：</w:t>
      </w:r>
    </w:p>
    <w:p w14:paraId="0246E209" w14:textId="737D6825" w:rsidR="00361F83" w:rsidRPr="000549B1" w:rsidRDefault="00361F83" w:rsidP="00361F83">
      <w:pPr>
        <w:pStyle w:val="x"/>
      </w:pPr>
      <w:r w:rsidRPr="000549B1">
        <w:rPr>
          <w:rFonts w:hint="eastAsia"/>
        </w:rPr>
        <w:t>规划组织实施青海省三滩引水生态综合治理一期工程，加快推进哈干水库建设，并组织实施叉叉沟水库、鹿龙沟水库、直亥买沟水库、羊清沟水库、满丈沟水库、廿地沟水库等小型水库水源工程建设，提升流域水资源调蓄能力；对新建水库水源地配套城乡供水设施，包括水厂、蓄水池及供水干支管网建设，并对已有城乡供水工程中存在老化失修问题的管网进行更新改造，提升居民生产生活及牲畜饮用水保障率；对塔什秋水库灌区、大水水库灌区、叉叉沟灌区、切吉水库灌区、沟后水库灌区等进行续建配套与现代化改造，包括各级渠道、渠系建筑物及计量设施，相关工程及投资见</w:t>
      </w:r>
      <w:r w:rsidR="00F32CCA" w:rsidRPr="000549B1">
        <w:rPr>
          <w:rFonts w:hint="eastAsia"/>
        </w:rPr>
        <w:t>表</w:t>
      </w:r>
      <w:r w:rsidR="00F32CCA">
        <w:t>2.1</w:t>
      </w:r>
      <w:r w:rsidR="00F32CCA">
        <w:noBreakHyphen/>
        <w:t>20</w:t>
      </w:r>
      <w:r w:rsidRPr="000549B1">
        <w:rPr>
          <w:rFonts w:hint="eastAsia"/>
        </w:rPr>
        <w:t>。</w:t>
      </w:r>
    </w:p>
    <w:p w14:paraId="745A2AF0" w14:textId="77777777" w:rsidR="00361F83" w:rsidRPr="000549B1" w:rsidRDefault="00361F83" w:rsidP="00361F83">
      <w:pPr>
        <w:pStyle w:val="x"/>
      </w:pPr>
      <w:r w:rsidRPr="000549B1">
        <w:rPr>
          <w:rFonts w:hint="eastAsia"/>
        </w:rPr>
        <w:t>2</w:t>
      </w:r>
      <w:r w:rsidRPr="000549B1">
        <w:t>035</w:t>
      </w:r>
      <w:r w:rsidRPr="000549B1">
        <w:rPr>
          <w:rFonts w:hint="eastAsia"/>
        </w:rPr>
        <w:t>年前，完成三滩等重大引调水工程和相关水库水源地工程建设，解决流域范围内农田和饲草料基地灌溉需水、农牧民和牲畜饮水问题，进一步提升城乡居民生产生活用水保障水平。</w:t>
      </w:r>
    </w:p>
    <w:p w14:paraId="422E37D2" w14:textId="77777777" w:rsidR="00361F83" w:rsidRPr="000549B1" w:rsidRDefault="00361F83" w:rsidP="00361F83">
      <w:pPr>
        <w:pStyle w:val="Z4"/>
        <w:rPr>
          <w:color w:val="auto"/>
        </w:rPr>
      </w:pPr>
      <w:r w:rsidRPr="000549B1">
        <w:rPr>
          <w:rFonts w:hint="eastAsia"/>
          <w:color w:val="auto"/>
        </w:rPr>
        <w:t>防洪工程</w:t>
      </w:r>
    </w:p>
    <w:p w14:paraId="02203CCC" w14:textId="1310DE03" w:rsidR="00361F83" w:rsidRPr="000549B1" w:rsidRDefault="00361F83" w:rsidP="00361F83">
      <w:pPr>
        <w:pStyle w:val="x"/>
      </w:pPr>
      <w:r w:rsidRPr="000549B1">
        <w:rPr>
          <w:rFonts w:hint="eastAsia"/>
        </w:rPr>
        <w:t>规划期间对流域内干流及主要支流的重点河段开展治理，主要建设不具有挑流功能的护岸工程，安排新建护岸</w:t>
      </w:r>
      <w:r w:rsidRPr="000549B1">
        <w:rPr>
          <w:rFonts w:hint="eastAsia"/>
        </w:rPr>
        <w:t>21.37km</w:t>
      </w:r>
      <w:r w:rsidRPr="000549B1">
        <w:rPr>
          <w:rFonts w:hint="eastAsia"/>
        </w:rPr>
        <w:t>，包括干流护岸长度</w:t>
      </w:r>
      <w:r w:rsidRPr="000549B1">
        <w:rPr>
          <w:rFonts w:hint="eastAsia"/>
        </w:rPr>
        <w:t>5.40km</w:t>
      </w:r>
      <w:r w:rsidRPr="000549B1">
        <w:rPr>
          <w:rFonts w:hint="eastAsia"/>
        </w:rPr>
        <w:t>，重要支流护岸长度</w:t>
      </w:r>
      <w:r w:rsidRPr="000549B1">
        <w:rPr>
          <w:rFonts w:hint="eastAsia"/>
        </w:rPr>
        <w:t>15.97km</w:t>
      </w:r>
      <w:r w:rsidRPr="000549B1">
        <w:rPr>
          <w:rFonts w:hint="eastAsia"/>
        </w:rPr>
        <w:t>。通过修建护岸工程和排洪渠，提升流域山洪灾害应对能力。相关工程及投资见</w:t>
      </w:r>
      <w:r w:rsidR="00F32CCA" w:rsidRPr="000549B1">
        <w:rPr>
          <w:rFonts w:hint="eastAsia"/>
        </w:rPr>
        <w:t>表</w:t>
      </w:r>
      <w:r w:rsidR="00F32CCA">
        <w:t>2.1</w:t>
      </w:r>
      <w:r w:rsidR="00F32CCA">
        <w:noBreakHyphen/>
        <w:t>20</w:t>
      </w:r>
    </w:p>
    <w:p w14:paraId="29C918DB" w14:textId="77777777" w:rsidR="00361F83" w:rsidRPr="000549B1" w:rsidRDefault="00361F83" w:rsidP="00361F83">
      <w:pPr>
        <w:pStyle w:val="x"/>
      </w:pPr>
      <w:r w:rsidRPr="000549B1">
        <w:t>2035</w:t>
      </w:r>
      <w:r w:rsidRPr="000549B1">
        <w:rPr>
          <w:rFonts w:hint="eastAsia"/>
        </w:rPr>
        <w:t>年前，开展干支流防洪工程建设、山洪沟治理，并进一步完善非工程措施。基本完成流域防洪工程建设，配合水土保持，使流域防洪能力达到设计标准。</w:t>
      </w:r>
    </w:p>
    <w:p w14:paraId="22CB4CA0" w14:textId="77777777" w:rsidR="00361F83" w:rsidRPr="000549B1" w:rsidRDefault="00361F83" w:rsidP="00361F83">
      <w:pPr>
        <w:pStyle w:val="Z4"/>
        <w:rPr>
          <w:color w:val="auto"/>
        </w:rPr>
      </w:pPr>
      <w:r w:rsidRPr="000549B1">
        <w:rPr>
          <w:rFonts w:hint="eastAsia"/>
          <w:color w:val="auto"/>
        </w:rPr>
        <w:t>水资源保护与水生态修复</w:t>
      </w:r>
    </w:p>
    <w:p w14:paraId="6C47500B" w14:textId="77777777" w:rsidR="00361F83" w:rsidRPr="000549B1" w:rsidRDefault="00361F83" w:rsidP="00361F83">
      <w:pPr>
        <w:pStyle w:val="x"/>
      </w:pPr>
      <w:r w:rsidRPr="000549B1">
        <w:rPr>
          <w:rFonts w:hint="eastAsia"/>
        </w:rPr>
        <w:t>规划期间建设生态流量泄放设施、安装下泄生态流量在线监控和远程传输设施、实施流域水生态环境综合治理工程、开展水土保持综合治理、实施河湖生态保护修复、开展流域水生态监测等内容。</w:t>
      </w:r>
    </w:p>
    <w:p w14:paraId="06D69F80" w14:textId="77777777" w:rsidR="00361F83" w:rsidRPr="000549B1" w:rsidRDefault="00361F83" w:rsidP="00361F83">
      <w:pPr>
        <w:pStyle w:val="Z4"/>
        <w:rPr>
          <w:color w:val="auto"/>
        </w:rPr>
      </w:pPr>
      <w:r w:rsidRPr="000549B1">
        <w:rPr>
          <w:rFonts w:hint="eastAsia"/>
          <w:color w:val="auto"/>
        </w:rPr>
        <w:t>水土保持</w:t>
      </w:r>
    </w:p>
    <w:p w14:paraId="72B19B62" w14:textId="34DCEFAA" w:rsidR="00361F83" w:rsidRPr="000549B1" w:rsidRDefault="00361F83" w:rsidP="00361F83">
      <w:pPr>
        <w:pStyle w:val="x"/>
      </w:pPr>
      <w:r w:rsidRPr="000549B1">
        <w:rPr>
          <w:rFonts w:hint="eastAsia"/>
        </w:rPr>
        <w:t>规划期间开展水土流失预防保护和水土保持综合治理工程建设，其中预防保护面积</w:t>
      </w:r>
      <w:r w:rsidRPr="000549B1">
        <w:rPr>
          <w:rFonts w:hint="eastAsia"/>
        </w:rPr>
        <w:t>221.61km</w:t>
      </w:r>
      <w:r w:rsidRPr="000549B1">
        <w:rPr>
          <w:vertAlign w:val="superscript"/>
        </w:rPr>
        <w:t>2</w:t>
      </w:r>
      <w:r w:rsidRPr="000549B1">
        <w:rPr>
          <w:rFonts w:hint="eastAsia"/>
        </w:rPr>
        <w:t>，综合治理面积</w:t>
      </w:r>
      <w:r w:rsidRPr="000549B1">
        <w:rPr>
          <w:rFonts w:hint="eastAsia"/>
        </w:rPr>
        <w:t>181.32km</w:t>
      </w:r>
      <w:r w:rsidRPr="000549B1">
        <w:rPr>
          <w:vertAlign w:val="superscript"/>
        </w:rPr>
        <w:t>2</w:t>
      </w:r>
      <w:r w:rsidRPr="000549B1">
        <w:rPr>
          <w:rFonts w:hint="eastAsia"/>
        </w:rPr>
        <w:t>。</w:t>
      </w:r>
      <w:r w:rsidRPr="000549B1">
        <w:rPr>
          <w:rFonts w:hint="eastAsia"/>
        </w:rPr>
        <w:t>2035</w:t>
      </w:r>
      <w:r w:rsidRPr="000549B1">
        <w:rPr>
          <w:rFonts w:hint="eastAsia"/>
        </w:rPr>
        <w:t>年前，对新增水土流失问题开展治理，同时开展水土保持监测工程建设，并加强监督。相关工程及投资见</w:t>
      </w:r>
      <w:r w:rsidR="00F32CCA" w:rsidRPr="000549B1">
        <w:rPr>
          <w:rFonts w:hint="eastAsia"/>
        </w:rPr>
        <w:t>表</w:t>
      </w:r>
      <w:r w:rsidR="00F32CCA">
        <w:t>2.1</w:t>
      </w:r>
      <w:r w:rsidR="00F32CCA">
        <w:noBreakHyphen/>
        <w:t>20</w:t>
      </w:r>
      <w:r w:rsidRPr="000549B1">
        <w:rPr>
          <w:rFonts w:hint="eastAsia"/>
        </w:rPr>
        <w:t>。</w:t>
      </w:r>
    </w:p>
    <w:p w14:paraId="22A2ED0C" w14:textId="77777777" w:rsidR="00361F83" w:rsidRPr="000549B1" w:rsidRDefault="00361F83" w:rsidP="00361F83">
      <w:pPr>
        <w:pStyle w:val="Z4"/>
        <w:rPr>
          <w:color w:val="auto"/>
        </w:rPr>
      </w:pPr>
      <w:r w:rsidRPr="000549B1">
        <w:rPr>
          <w:rFonts w:hint="eastAsia"/>
          <w:color w:val="auto"/>
        </w:rPr>
        <w:t>水利信息化</w:t>
      </w:r>
    </w:p>
    <w:p w14:paraId="5F6CB54E" w14:textId="0E383CF2" w:rsidR="00361F83" w:rsidRPr="000549B1" w:rsidRDefault="00361F83" w:rsidP="00361F83">
      <w:pPr>
        <w:pStyle w:val="x"/>
      </w:pPr>
      <w:r w:rsidRPr="000549B1">
        <w:rPr>
          <w:rFonts w:hint="eastAsia"/>
        </w:rPr>
        <w:t>规划期间完善沙珠玉河流域信息化基础设施，构建沙珠玉河数字孪生平台，建设沙珠玉河智能业务应用，强化网络安全与保障。相关工程及投资见</w:t>
      </w:r>
      <w:r w:rsidR="00F32CCA" w:rsidRPr="000549B1">
        <w:rPr>
          <w:rFonts w:hint="eastAsia"/>
        </w:rPr>
        <w:t>表</w:t>
      </w:r>
      <w:r w:rsidR="00F32CCA">
        <w:t>2.1</w:t>
      </w:r>
      <w:r w:rsidR="00F32CCA">
        <w:noBreakHyphen/>
        <w:t>20</w:t>
      </w:r>
      <w:r w:rsidRPr="000549B1">
        <w:rPr>
          <w:rFonts w:hint="eastAsia"/>
        </w:rPr>
        <w:t>。</w:t>
      </w:r>
    </w:p>
    <w:p w14:paraId="68746A45" w14:textId="77777777" w:rsidR="00361F83" w:rsidRPr="000549B1" w:rsidRDefault="00361F83" w:rsidP="00361F83">
      <w:pPr>
        <w:pStyle w:val="x"/>
      </w:pPr>
      <w:r w:rsidRPr="000549B1">
        <w:rPr>
          <w:rFonts w:hint="eastAsia"/>
        </w:rPr>
        <w:t>2</w:t>
      </w:r>
      <w:r w:rsidRPr="000549B1">
        <w:t>035</w:t>
      </w:r>
      <w:r w:rsidRPr="000549B1">
        <w:rPr>
          <w:rFonts w:hint="eastAsia"/>
        </w:rPr>
        <w:t>年前，结合水资源、防洪、现代化灌区、重大工程等各项规划内容的逐步实施，进一步建设完善信息化感知、监控、通信、应用等各环节内容，加强对数据的挖掘利用、综合分析与共享交互，提高流域水利业务管理能力与信息服务水平，实现沙珠玉河流域的网络化、系统化与智慧化管理。</w:t>
      </w:r>
    </w:p>
    <w:p w14:paraId="551DB959" w14:textId="77777777" w:rsidR="00361F83" w:rsidRPr="000549B1" w:rsidRDefault="00361F83" w:rsidP="00361F83">
      <w:pPr>
        <w:pStyle w:val="Z4"/>
        <w:rPr>
          <w:color w:val="auto"/>
        </w:rPr>
      </w:pPr>
      <w:r w:rsidRPr="000549B1">
        <w:rPr>
          <w:rFonts w:hint="eastAsia"/>
          <w:color w:val="auto"/>
        </w:rPr>
        <w:t>流域综合管理</w:t>
      </w:r>
    </w:p>
    <w:p w14:paraId="705C74D4" w14:textId="2298B7D5" w:rsidR="00361F83" w:rsidRPr="000549B1" w:rsidRDefault="00361F83" w:rsidP="00361F83">
      <w:pPr>
        <w:pStyle w:val="x"/>
      </w:pPr>
      <w:r w:rsidRPr="000549B1">
        <w:rPr>
          <w:rFonts w:hint="eastAsia"/>
        </w:rPr>
        <w:t>规划期间完成政策法规建设，监测能力建设、信息化能力建设、水行政执法监督能力建设按照建设内容，分轻重缓急分期安排。规划投资</w:t>
      </w:r>
      <w:r w:rsidRPr="000549B1">
        <w:rPr>
          <w:rFonts w:hint="eastAsia"/>
        </w:rPr>
        <w:t>0.</w:t>
      </w:r>
      <w:r w:rsidRPr="000549B1">
        <w:t>1</w:t>
      </w:r>
      <w:r w:rsidRPr="000549B1">
        <w:rPr>
          <w:rFonts w:hint="eastAsia"/>
        </w:rPr>
        <w:t>亿元，详见</w:t>
      </w:r>
      <w:r w:rsidR="00F32CCA" w:rsidRPr="000549B1">
        <w:rPr>
          <w:rFonts w:hint="eastAsia"/>
        </w:rPr>
        <w:t>表</w:t>
      </w:r>
      <w:r w:rsidR="00F32CCA">
        <w:t>2.1</w:t>
      </w:r>
      <w:r w:rsidR="00F32CCA">
        <w:noBreakHyphen/>
        <w:t>20</w:t>
      </w:r>
      <w:r w:rsidRPr="000549B1">
        <w:rPr>
          <w:rFonts w:hint="eastAsia"/>
        </w:rPr>
        <w:t>。</w:t>
      </w:r>
    </w:p>
    <w:p w14:paraId="25FADFA1" w14:textId="77777777" w:rsidR="00361F83" w:rsidRPr="000549B1" w:rsidRDefault="00361F83" w:rsidP="00361F83">
      <w:pPr>
        <w:pStyle w:val="x"/>
      </w:pPr>
      <w:r w:rsidRPr="000549B1">
        <w:rPr>
          <w:rFonts w:hint="eastAsia"/>
        </w:rPr>
        <w:t>2035</w:t>
      </w:r>
      <w:r w:rsidRPr="000549B1">
        <w:rPr>
          <w:rFonts w:hint="eastAsia"/>
        </w:rPr>
        <w:t>年前，完成全部监测能力建设、信息化能力建设、水行政执法监督能力建设内容。</w:t>
      </w:r>
    </w:p>
    <w:p w14:paraId="00F9CC41" w14:textId="076D7C5F" w:rsidR="00361F83" w:rsidRPr="000549B1" w:rsidRDefault="00361F83" w:rsidP="00361F83">
      <w:pPr>
        <w:pStyle w:val="x"/>
      </w:pPr>
      <w:r w:rsidRPr="000549B1">
        <w:rPr>
          <w:rFonts w:hint="eastAsia"/>
        </w:rPr>
        <w:t>本规划推荐的工程由水资源开发利用、防洪、水资源保护与生态修复、水土保持、水利信息化和流域综合管理共六大部分。规划工程投资</w:t>
      </w:r>
      <w:r w:rsidRPr="000549B1">
        <w:t>80.23</w:t>
      </w:r>
      <w:r w:rsidRPr="000549B1">
        <w:rPr>
          <w:rFonts w:hint="eastAsia"/>
        </w:rPr>
        <w:t>亿元。沙珠玉河流域规划期间重点水利工程建设规划投资匡算见</w:t>
      </w:r>
      <w:r w:rsidR="00F32CCA" w:rsidRPr="000549B1">
        <w:rPr>
          <w:rFonts w:hint="eastAsia"/>
        </w:rPr>
        <w:t>表</w:t>
      </w:r>
      <w:r w:rsidR="00F32CCA">
        <w:t>2.1</w:t>
      </w:r>
      <w:r w:rsidR="00F32CCA">
        <w:noBreakHyphen/>
        <w:t>20</w:t>
      </w:r>
      <w:r w:rsidRPr="000549B1">
        <w:rPr>
          <w:rFonts w:hint="eastAsia"/>
        </w:rPr>
        <w:t>。</w:t>
      </w:r>
    </w:p>
    <w:p w14:paraId="6CBBE0FF" w14:textId="7554BD0E" w:rsidR="00361F83" w:rsidRPr="000549B1" w:rsidRDefault="00361F83" w:rsidP="00361F83">
      <w:pPr>
        <w:pStyle w:val="aff8"/>
        <w:rPr>
          <w:color w:val="auto"/>
        </w:rPr>
      </w:pPr>
      <w:bookmarkStart w:id="162" w:name="_Ref216099400"/>
      <w:r w:rsidRPr="000549B1">
        <w:rPr>
          <w:rFonts w:hint="eastAsia"/>
          <w:color w:val="auto"/>
        </w:rPr>
        <w:t>表</w:t>
      </w:r>
      <w:r w:rsidR="00372953">
        <w:rPr>
          <w:color w:val="auto"/>
        </w:rPr>
        <w:fldChar w:fldCharType="begin"/>
      </w:r>
      <w:r w:rsidR="00372953">
        <w:rPr>
          <w:color w:val="auto"/>
        </w:rPr>
        <w:instrText xml:space="preserve"> </w:instrText>
      </w:r>
      <w:r w:rsidR="00372953">
        <w:rPr>
          <w:rFonts w:hint="eastAsia"/>
          <w:color w:val="auto"/>
        </w:rPr>
        <w:instrText>STYLEREF 2 \s</w:instrText>
      </w:r>
      <w:r w:rsidR="00372953">
        <w:rPr>
          <w:color w:val="auto"/>
        </w:rPr>
        <w:instrText xml:space="preserve"> </w:instrText>
      </w:r>
      <w:r w:rsidR="00372953">
        <w:rPr>
          <w:color w:val="auto"/>
        </w:rPr>
        <w:fldChar w:fldCharType="separate"/>
      </w:r>
      <w:r w:rsidR="00372953">
        <w:rPr>
          <w:noProof/>
          <w:color w:val="auto"/>
        </w:rPr>
        <w:t>2.1</w:t>
      </w:r>
      <w:r w:rsidR="00372953">
        <w:rPr>
          <w:color w:val="auto"/>
        </w:rPr>
        <w:fldChar w:fldCharType="end"/>
      </w:r>
      <w:r w:rsidR="00372953">
        <w:rPr>
          <w:color w:val="auto"/>
        </w:rPr>
        <w:noBreakHyphen/>
      </w:r>
      <w:r w:rsidR="00372953">
        <w:rPr>
          <w:color w:val="auto"/>
        </w:rPr>
        <w:fldChar w:fldCharType="begin"/>
      </w:r>
      <w:r w:rsidR="00372953">
        <w:rPr>
          <w:color w:val="auto"/>
        </w:rPr>
        <w:instrText xml:space="preserve"> </w:instrText>
      </w:r>
      <w:r w:rsidR="00372953">
        <w:rPr>
          <w:rFonts w:hint="eastAsia"/>
          <w:color w:val="auto"/>
        </w:rPr>
        <w:instrText xml:space="preserve">SEQ </w:instrText>
      </w:r>
      <w:r w:rsidR="00372953">
        <w:rPr>
          <w:rFonts w:hint="eastAsia"/>
          <w:color w:val="auto"/>
        </w:rPr>
        <w:instrText>表</w:instrText>
      </w:r>
      <w:r w:rsidR="00372953">
        <w:rPr>
          <w:rFonts w:hint="eastAsia"/>
          <w:color w:val="auto"/>
        </w:rPr>
        <w:instrText xml:space="preserve"> \* ARABIC \s 2</w:instrText>
      </w:r>
      <w:r w:rsidR="00372953">
        <w:rPr>
          <w:color w:val="auto"/>
        </w:rPr>
        <w:instrText xml:space="preserve"> </w:instrText>
      </w:r>
      <w:r w:rsidR="00372953">
        <w:rPr>
          <w:color w:val="auto"/>
        </w:rPr>
        <w:fldChar w:fldCharType="separate"/>
      </w:r>
      <w:r w:rsidR="00372953">
        <w:rPr>
          <w:noProof/>
          <w:color w:val="auto"/>
        </w:rPr>
        <w:t>20</w:t>
      </w:r>
      <w:r w:rsidR="00372953">
        <w:rPr>
          <w:color w:val="auto"/>
        </w:rPr>
        <w:fldChar w:fldCharType="end"/>
      </w:r>
      <w:bookmarkEnd w:id="162"/>
      <w:r w:rsidRPr="000549B1">
        <w:rPr>
          <w:rFonts w:hint="eastAsia"/>
          <w:color w:val="auto"/>
        </w:rPr>
        <w:t>沙珠玉河流域规划期间重点水利工程建设规划投资匡算表单位：亿元</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4"/>
        <w:gridCol w:w="1708"/>
        <w:gridCol w:w="5247"/>
        <w:gridCol w:w="1237"/>
      </w:tblGrid>
      <w:tr w:rsidR="000549B1" w:rsidRPr="000549B1" w14:paraId="5608DF81" w14:textId="77777777" w:rsidTr="00D33EF7">
        <w:trPr>
          <w:trHeight w:val="572"/>
          <w:tblHeader/>
          <w:jc w:val="center"/>
        </w:trPr>
        <w:tc>
          <w:tcPr>
            <w:tcW w:w="2802" w:type="dxa"/>
            <w:gridSpan w:val="2"/>
            <w:noWrap/>
            <w:vAlign w:val="center"/>
          </w:tcPr>
          <w:p w14:paraId="7EB37771" w14:textId="77777777" w:rsidR="00361F83" w:rsidRPr="000549B1" w:rsidRDefault="00361F83" w:rsidP="00D33EF7">
            <w:pPr>
              <w:widowControl/>
              <w:jc w:val="center"/>
              <w:rPr>
                <w:rFonts w:eastAsiaTheme="minorEastAsia"/>
                <w:b/>
                <w:kern w:val="0"/>
                <w:sz w:val="18"/>
                <w:szCs w:val="18"/>
              </w:rPr>
            </w:pPr>
            <w:r w:rsidRPr="000549B1">
              <w:rPr>
                <w:rFonts w:eastAsiaTheme="minorEastAsia"/>
                <w:b/>
                <w:kern w:val="0"/>
                <w:sz w:val="18"/>
                <w:szCs w:val="18"/>
              </w:rPr>
              <w:t>分项</w:t>
            </w:r>
          </w:p>
        </w:tc>
        <w:tc>
          <w:tcPr>
            <w:tcW w:w="5247" w:type="dxa"/>
            <w:noWrap/>
            <w:vAlign w:val="center"/>
          </w:tcPr>
          <w:p w14:paraId="45FA1DF7" w14:textId="77777777" w:rsidR="00361F83" w:rsidRPr="000549B1" w:rsidRDefault="00361F83" w:rsidP="00D33EF7">
            <w:pPr>
              <w:widowControl/>
              <w:jc w:val="center"/>
              <w:rPr>
                <w:rFonts w:eastAsiaTheme="minorEastAsia"/>
                <w:b/>
                <w:kern w:val="0"/>
                <w:sz w:val="18"/>
                <w:szCs w:val="18"/>
              </w:rPr>
            </w:pPr>
            <w:r w:rsidRPr="000549B1">
              <w:rPr>
                <w:rFonts w:eastAsiaTheme="minorEastAsia"/>
                <w:b/>
                <w:kern w:val="0"/>
                <w:sz w:val="18"/>
                <w:szCs w:val="18"/>
              </w:rPr>
              <w:t>建设内容</w:t>
            </w:r>
          </w:p>
        </w:tc>
        <w:tc>
          <w:tcPr>
            <w:tcW w:w="1237" w:type="dxa"/>
            <w:noWrap/>
            <w:vAlign w:val="center"/>
          </w:tcPr>
          <w:p w14:paraId="275C6692" w14:textId="77777777" w:rsidR="00361F83" w:rsidRPr="000549B1" w:rsidRDefault="00361F83" w:rsidP="00D33EF7">
            <w:pPr>
              <w:widowControl/>
              <w:jc w:val="center"/>
              <w:rPr>
                <w:rFonts w:eastAsiaTheme="minorEastAsia"/>
                <w:b/>
                <w:kern w:val="0"/>
                <w:sz w:val="18"/>
                <w:szCs w:val="18"/>
              </w:rPr>
            </w:pPr>
            <w:r w:rsidRPr="000549B1">
              <w:rPr>
                <w:rFonts w:eastAsiaTheme="minorEastAsia"/>
                <w:b/>
                <w:kern w:val="0"/>
                <w:sz w:val="18"/>
                <w:szCs w:val="18"/>
              </w:rPr>
              <w:t>投资</w:t>
            </w:r>
          </w:p>
          <w:p w14:paraId="1ED7C0B7" w14:textId="77777777" w:rsidR="00361F83" w:rsidRPr="000549B1" w:rsidRDefault="00361F83" w:rsidP="00D33EF7">
            <w:pPr>
              <w:widowControl/>
              <w:jc w:val="center"/>
              <w:rPr>
                <w:rFonts w:eastAsiaTheme="minorEastAsia"/>
                <w:b/>
                <w:kern w:val="0"/>
                <w:sz w:val="18"/>
                <w:szCs w:val="18"/>
              </w:rPr>
            </w:pPr>
            <w:r w:rsidRPr="000549B1">
              <w:rPr>
                <w:rFonts w:eastAsiaTheme="minorEastAsia" w:hint="eastAsia"/>
                <w:b/>
                <w:kern w:val="0"/>
                <w:sz w:val="18"/>
                <w:szCs w:val="18"/>
              </w:rPr>
              <w:t>（亿元）</w:t>
            </w:r>
          </w:p>
        </w:tc>
      </w:tr>
      <w:tr w:rsidR="000549B1" w:rsidRPr="000549B1" w14:paraId="7C77561D" w14:textId="77777777" w:rsidTr="00D33EF7">
        <w:trPr>
          <w:trHeight w:val="705"/>
          <w:jc w:val="center"/>
        </w:trPr>
        <w:tc>
          <w:tcPr>
            <w:tcW w:w="1094" w:type="dxa"/>
            <w:vMerge w:val="restart"/>
            <w:noWrap/>
            <w:vAlign w:val="center"/>
          </w:tcPr>
          <w:p w14:paraId="2D734C74" w14:textId="77777777" w:rsidR="00361F83" w:rsidRPr="000549B1" w:rsidRDefault="00361F83" w:rsidP="00D33EF7">
            <w:pPr>
              <w:widowControl/>
              <w:jc w:val="center"/>
              <w:rPr>
                <w:rFonts w:eastAsiaTheme="minorEastAsia"/>
                <w:b/>
                <w:bCs/>
                <w:kern w:val="0"/>
                <w:sz w:val="18"/>
                <w:szCs w:val="18"/>
              </w:rPr>
            </w:pPr>
            <w:r w:rsidRPr="000549B1">
              <w:rPr>
                <w:rFonts w:eastAsiaTheme="minorEastAsia"/>
                <w:b/>
                <w:bCs/>
                <w:kern w:val="0"/>
                <w:sz w:val="18"/>
                <w:szCs w:val="18"/>
              </w:rPr>
              <w:t>水资源</w:t>
            </w:r>
          </w:p>
          <w:p w14:paraId="3B48C9E5" w14:textId="77777777" w:rsidR="00361F83" w:rsidRPr="000549B1" w:rsidRDefault="00361F83" w:rsidP="00D33EF7">
            <w:pPr>
              <w:widowControl/>
              <w:jc w:val="center"/>
              <w:rPr>
                <w:rFonts w:eastAsiaTheme="minorEastAsia"/>
                <w:b/>
                <w:bCs/>
                <w:kern w:val="0"/>
                <w:sz w:val="18"/>
                <w:szCs w:val="18"/>
              </w:rPr>
            </w:pPr>
            <w:r w:rsidRPr="000549B1">
              <w:rPr>
                <w:rFonts w:eastAsiaTheme="minorEastAsia"/>
                <w:b/>
                <w:bCs/>
                <w:kern w:val="0"/>
                <w:sz w:val="18"/>
                <w:szCs w:val="18"/>
              </w:rPr>
              <w:t>开发利用</w:t>
            </w:r>
          </w:p>
        </w:tc>
        <w:tc>
          <w:tcPr>
            <w:tcW w:w="1708" w:type="dxa"/>
            <w:noWrap/>
            <w:vAlign w:val="center"/>
          </w:tcPr>
          <w:p w14:paraId="7276222A" w14:textId="77777777" w:rsidR="00361F83" w:rsidRPr="000549B1" w:rsidRDefault="00361F83" w:rsidP="00D33EF7">
            <w:pPr>
              <w:widowControl/>
              <w:jc w:val="center"/>
              <w:rPr>
                <w:rFonts w:eastAsiaTheme="minorEastAsia"/>
                <w:b/>
                <w:bCs/>
                <w:kern w:val="0"/>
                <w:sz w:val="18"/>
                <w:szCs w:val="18"/>
              </w:rPr>
            </w:pPr>
            <w:r w:rsidRPr="000549B1">
              <w:rPr>
                <w:rFonts w:eastAsiaTheme="minorEastAsia"/>
                <w:b/>
                <w:bCs/>
                <w:kern w:val="0"/>
                <w:sz w:val="18"/>
                <w:szCs w:val="18"/>
              </w:rPr>
              <w:t>重大引调水工程</w:t>
            </w:r>
          </w:p>
        </w:tc>
        <w:tc>
          <w:tcPr>
            <w:tcW w:w="5247" w:type="dxa"/>
            <w:vAlign w:val="center"/>
          </w:tcPr>
          <w:p w14:paraId="3909AC81" w14:textId="370E146D" w:rsidR="00361F83" w:rsidRPr="000549B1" w:rsidRDefault="00361F83" w:rsidP="00D33EF7">
            <w:pPr>
              <w:widowControl/>
              <w:rPr>
                <w:rFonts w:eastAsiaTheme="minorEastAsia"/>
                <w:b/>
                <w:bCs/>
                <w:kern w:val="0"/>
                <w:sz w:val="18"/>
                <w:szCs w:val="18"/>
              </w:rPr>
            </w:pPr>
            <w:r w:rsidRPr="000549B1">
              <w:rPr>
                <w:rFonts w:eastAsiaTheme="minorEastAsia"/>
                <w:b/>
                <w:bCs/>
                <w:kern w:val="0"/>
                <w:sz w:val="18"/>
                <w:szCs w:val="18"/>
              </w:rPr>
              <w:t>实施青海省三滩引水生态综合治理一期工程（水库</w:t>
            </w:r>
            <w:r w:rsidRPr="000549B1">
              <w:rPr>
                <w:rFonts w:eastAsiaTheme="minorEastAsia"/>
                <w:b/>
                <w:bCs/>
                <w:kern w:val="0"/>
                <w:sz w:val="18"/>
                <w:szCs w:val="18"/>
              </w:rPr>
              <w:t>+</w:t>
            </w:r>
            <w:r w:rsidRPr="000549B1">
              <w:rPr>
                <w:rFonts w:eastAsiaTheme="minorEastAsia"/>
                <w:b/>
                <w:bCs/>
                <w:kern w:val="0"/>
                <w:sz w:val="18"/>
                <w:szCs w:val="18"/>
              </w:rPr>
              <w:t>灌区）、推进共和盆地引布调水工程</w:t>
            </w:r>
            <w:r w:rsidRPr="000549B1">
              <w:rPr>
                <w:rFonts w:eastAsiaTheme="minorEastAsia" w:hint="eastAsia"/>
                <w:b/>
                <w:bCs/>
                <w:kern w:val="0"/>
                <w:sz w:val="18"/>
                <w:szCs w:val="18"/>
              </w:rPr>
              <w:t>（投资暂不计入）</w:t>
            </w:r>
          </w:p>
        </w:tc>
        <w:tc>
          <w:tcPr>
            <w:tcW w:w="1237" w:type="dxa"/>
            <w:noWrap/>
            <w:vAlign w:val="center"/>
          </w:tcPr>
          <w:p w14:paraId="432BA575" w14:textId="77777777" w:rsidR="00361F83" w:rsidRPr="000549B1" w:rsidRDefault="00361F83" w:rsidP="00D33EF7">
            <w:pPr>
              <w:widowControl/>
              <w:jc w:val="center"/>
              <w:rPr>
                <w:rFonts w:eastAsiaTheme="minorEastAsia"/>
                <w:b/>
                <w:bCs/>
                <w:kern w:val="0"/>
                <w:sz w:val="18"/>
                <w:szCs w:val="18"/>
              </w:rPr>
            </w:pPr>
            <w:r w:rsidRPr="000549B1">
              <w:rPr>
                <w:rFonts w:eastAsiaTheme="minorEastAsia"/>
                <w:b/>
                <w:bCs/>
                <w:kern w:val="0"/>
                <w:sz w:val="18"/>
                <w:szCs w:val="18"/>
              </w:rPr>
              <w:t>58</w:t>
            </w:r>
            <w:r w:rsidRPr="000549B1">
              <w:rPr>
                <w:rFonts w:eastAsiaTheme="minorEastAsia" w:hint="eastAsia"/>
                <w:b/>
                <w:bCs/>
                <w:kern w:val="0"/>
                <w:sz w:val="18"/>
                <w:szCs w:val="18"/>
              </w:rPr>
              <w:t>（三滩不含取水口）</w:t>
            </w:r>
          </w:p>
        </w:tc>
      </w:tr>
      <w:tr w:rsidR="000549B1" w:rsidRPr="000549B1" w14:paraId="30F278F5" w14:textId="77777777" w:rsidTr="00D33EF7">
        <w:trPr>
          <w:trHeight w:val="716"/>
          <w:jc w:val="center"/>
        </w:trPr>
        <w:tc>
          <w:tcPr>
            <w:tcW w:w="1094" w:type="dxa"/>
            <w:vMerge/>
            <w:noWrap/>
            <w:vAlign w:val="center"/>
          </w:tcPr>
          <w:p w14:paraId="092F83DC" w14:textId="77777777" w:rsidR="00361F83" w:rsidRPr="000549B1" w:rsidRDefault="00361F83" w:rsidP="00D33EF7">
            <w:pPr>
              <w:widowControl/>
              <w:jc w:val="center"/>
              <w:rPr>
                <w:rFonts w:eastAsiaTheme="minorEastAsia"/>
                <w:b/>
                <w:bCs/>
                <w:kern w:val="0"/>
                <w:sz w:val="18"/>
                <w:szCs w:val="18"/>
              </w:rPr>
            </w:pPr>
          </w:p>
        </w:tc>
        <w:tc>
          <w:tcPr>
            <w:tcW w:w="1708" w:type="dxa"/>
            <w:noWrap/>
            <w:vAlign w:val="center"/>
          </w:tcPr>
          <w:p w14:paraId="7EE242FE" w14:textId="77777777" w:rsidR="00361F83" w:rsidRPr="000549B1" w:rsidRDefault="00361F83" w:rsidP="00D33EF7">
            <w:pPr>
              <w:widowControl/>
              <w:jc w:val="center"/>
              <w:rPr>
                <w:rFonts w:eastAsiaTheme="minorEastAsia"/>
                <w:b/>
                <w:bCs/>
                <w:kern w:val="0"/>
                <w:sz w:val="18"/>
                <w:szCs w:val="18"/>
              </w:rPr>
            </w:pPr>
            <w:r w:rsidRPr="000549B1">
              <w:rPr>
                <w:rFonts w:eastAsiaTheme="minorEastAsia"/>
                <w:b/>
                <w:bCs/>
                <w:kern w:val="0"/>
                <w:sz w:val="18"/>
                <w:szCs w:val="18"/>
              </w:rPr>
              <w:t>水资源配置工程</w:t>
            </w:r>
          </w:p>
        </w:tc>
        <w:tc>
          <w:tcPr>
            <w:tcW w:w="5247" w:type="dxa"/>
            <w:vAlign w:val="center"/>
          </w:tcPr>
          <w:p w14:paraId="493113B1" w14:textId="53558EF0" w:rsidR="00361F83" w:rsidRPr="000549B1" w:rsidRDefault="00361F83" w:rsidP="00D33EF7">
            <w:pPr>
              <w:widowControl/>
              <w:rPr>
                <w:rFonts w:eastAsiaTheme="minorEastAsia"/>
                <w:b/>
                <w:bCs/>
                <w:kern w:val="0"/>
                <w:sz w:val="18"/>
                <w:szCs w:val="18"/>
              </w:rPr>
            </w:pPr>
            <w:r w:rsidRPr="000549B1">
              <w:rPr>
                <w:rFonts w:eastAsiaTheme="minorEastAsia"/>
                <w:b/>
                <w:bCs/>
                <w:kern w:val="0"/>
                <w:sz w:val="18"/>
                <w:szCs w:val="18"/>
              </w:rPr>
              <w:t>加快建设哈干水库工程；实施鹿龙沟水库、直亥买水库、羊清沟水库、叉叉沟水库等工程；推进满丈沟水库、廿地沟水库等工程</w:t>
            </w:r>
          </w:p>
        </w:tc>
        <w:tc>
          <w:tcPr>
            <w:tcW w:w="1237" w:type="dxa"/>
            <w:noWrap/>
            <w:vAlign w:val="center"/>
          </w:tcPr>
          <w:p w14:paraId="7ACD4C3B" w14:textId="77777777" w:rsidR="00361F83" w:rsidRPr="000549B1" w:rsidRDefault="00361F83" w:rsidP="00D33EF7">
            <w:pPr>
              <w:widowControl/>
              <w:jc w:val="center"/>
              <w:rPr>
                <w:rFonts w:eastAsiaTheme="minorEastAsia"/>
                <w:b/>
                <w:bCs/>
                <w:kern w:val="0"/>
                <w:sz w:val="18"/>
                <w:szCs w:val="18"/>
              </w:rPr>
            </w:pPr>
            <w:r w:rsidRPr="000549B1">
              <w:rPr>
                <w:rFonts w:eastAsiaTheme="minorEastAsia"/>
                <w:b/>
                <w:bCs/>
                <w:kern w:val="0"/>
                <w:sz w:val="18"/>
                <w:szCs w:val="18"/>
              </w:rPr>
              <w:t>8.0</w:t>
            </w:r>
          </w:p>
        </w:tc>
      </w:tr>
      <w:tr w:rsidR="000549B1" w:rsidRPr="000549B1" w14:paraId="5824F400" w14:textId="77777777" w:rsidTr="00D33EF7">
        <w:trPr>
          <w:trHeight w:val="634"/>
          <w:jc w:val="center"/>
        </w:trPr>
        <w:tc>
          <w:tcPr>
            <w:tcW w:w="1094" w:type="dxa"/>
            <w:vMerge/>
            <w:vAlign w:val="center"/>
          </w:tcPr>
          <w:p w14:paraId="61171CDA" w14:textId="77777777" w:rsidR="00361F83" w:rsidRPr="000549B1" w:rsidRDefault="00361F83" w:rsidP="00D33EF7">
            <w:pPr>
              <w:widowControl/>
              <w:rPr>
                <w:rFonts w:eastAsiaTheme="minorEastAsia"/>
                <w:b/>
                <w:bCs/>
                <w:kern w:val="0"/>
                <w:sz w:val="18"/>
                <w:szCs w:val="18"/>
              </w:rPr>
            </w:pPr>
          </w:p>
        </w:tc>
        <w:tc>
          <w:tcPr>
            <w:tcW w:w="1708" w:type="dxa"/>
            <w:noWrap/>
            <w:vAlign w:val="center"/>
          </w:tcPr>
          <w:p w14:paraId="4EBACCD5" w14:textId="77777777" w:rsidR="00361F83" w:rsidRPr="000549B1" w:rsidRDefault="00361F83" w:rsidP="00D33EF7">
            <w:pPr>
              <w:widowControl/>
              <w:jc w:val="center"/>
              <w:rPr>
                <w:rFonts w:eastAsiaTheme="minorEastAsia"/>
                <w:b/>
                <w:bCs/>
                <w:kern w:val="0"/>
                <w:sz w:val="18"/>
                <w:szCs w:val="18"/>
              </w:rPr>
            </w:pPr>
            <w:r w:rsidRPr="000549B1">
              <w:rPr>
                <w:rFonts w:eastAsiaTheme="minorEastAsia"/>
                <w:b/>
                <w:bCs/>
                <w:kern w:val="0"/>
                <w:sz w:val="18"/>
                <w:szCs w:val="18"/>
              </w:rPr>
              <w:t>农村供水保障工程</w:t>
            </w:r>
          </w:p>
        </w:tc>
        <w:tc>
          <w:tcPr>
            <w:tcW w:w="5247" w:type="dxa"/>
            <w:vAlign w:val="center"/>
          </w:tcPr>
          <w:p w14:paraId="6F50E7F5" w14:textId="32326B92" w:rsidR="00361F83" w:rsidRPr="000549B1" w:rsidRDefault="00361F83" w:rsidP="00D33EF7">
            <w:pPr>
              <w:widowControl/>
              <w:rPr>
                <w:rFonts w:eastAsiaTheme="minorEastAsia"/>
                <w:b/>
                <w:bCs/>
                <w:kern w:val="0"/>
                <w:sz w:val="18"/>
                <w:szCs w:val="18"/>
              </w:rPr>
            </w:pPr>
            <w:r w:rsidRPr="000549B1">
              <w:rPr>
                <w:rFonts w:eastAsiaTheme="minorEastAsia"/>
                <w:b/>
                <w:bCs/>
                <w:kern w:val="0"/>
                <w:sz w:val="18"/>
                <w:szCs w:val="18"/>
              </w:rPr>
              <w:t>新建水库水源地配套输配水工程；并对现有集中供水工程存在老化破损的线路进行更新改造</w:t>
            </w:r>
          </w:p>
        </w:tc>
        <w:tc>
          <w:tcPr>
            <w:tcW w:w="1237" w:type="dxa"/>
            <w:noWrap/>
            <w:vAlign w:val="center"/>
          </w:tcPr>
          <w:p w14:paraId="0DDFA761" w14:textId="77777777" w:rsidR="00361F83" w:rsidRPr="000549B1" w:rsidRDefault="00361F83" w:rsidP="00D33EF7">
            <w:pPr>
              <w:widowControl/>
              <w:jc w:val="center"/>
              <w:rPr>
                <w:rFonts w:eastAsiaTheme="minorEastAsia"/>
                <w:b/>
                <w:bCs/>
                <w:kern w:val="0"/>
                <w:sz w:val="18"/>
                <w:szCs w:val="18"/>
              </w:rPr>
            </w:pPr>
            <w:r w:rsidRPr="000549B1">
              <w:rPr>
                <w:rFonts w:eastAsiaTheme="minorEastAsia"/>
                <w:b/>
                <w:bCs/>
                <w:kern w:val="0"/>
                <w:sz w:val="18"/>
                <w:szCs w:val="18"/>
              </w:rPr>
              <w:t>3.8</w:t>
            </w:r>
          </w:p>
        </w:tc>
      </w:tr>
      <w:tr w:rsidR="000549B1" w:rsidRPr="000549B1" w14:paraId="6895BA14" w14:textId="77777777" w:rsidTr="00D33EF7">
        <w:trPr>
          <w:trHeight w:val="834"/>
          <w:jc w:val="center"/>
        </w:trPr>
        <w:tc>
          <w:tcPr>
            <w:tcW w:w="1094" w:type="dxa"/>
            <w:vMerge/>
            <w:vAlign w:val="center"/>
          </w:tcPr>
          <w:p w14:paraId="1CB193F2" w14:textId="77777777" w:rsidR="00361F83" w:rsidRPr="000549B1" w:rsidRDefault="00361F83" w:rsidP="00D33EF7">
            <w:pPr>
              <w:widowControl/>
              <w:rPr>
                <w:rFonts w:eastAsiaTheme="minorEastAsia"/>
                <w:b/>
                <w:bCs/>
                <w:kern w:val="0"/>
                <w:sz w:val="18"/>
                <w:szCs w:val="18"/>
              </w:rPr>
            </w:pPr>
          </w:p>
        </w:tc>
        <w:tc>
          <w:tcPr>
            <w:tcW w:w="1708" w:type="dxa"/>
            <w:noWrap/>
            <w:vAlign w:val="center"/>
          </w:tcPr>
          <w:p w14:paraId="63856CA0" w14:textId="77777777" w:rsidR="00361F83" w:rsidRPr="000549B1" w:rsidRDefault="00361F83" w:rsidP="00D33EF7">
            <w:pPr>
              <w:widowControl/>
              <w:jc w:val="center"/>
              <w:rPr>
                <w:rFonts w:eastAsiaTheme="minorEastAsia"/>
                <w:b/>
                <w:bCs/>
                <w:kern w:val="0"/>
                <w:sz w:val="18"/>
                <w:szCs w:val="18"/>
              </w:rPr>
            </w:pPr>
            <w:r w:rsidRPr="000549B1">
              <w:rPr>
                <w:rFonts w:eastAsiaTheme="minorEastAsia"/>
                <w:b/>
                <w:bCs/>
                <w:kern w:val="0"/>
                <w:sz w:val="18"/>
                <w:szCs w:val="18"/>
              </w:rPr>
              <w:t>灌区节水配套工程</w:t>
            </w:r>
          </w:p>
        </w:tc>
        <w:tc>
          <w:tcPr>
            <w:tcW w:w="5247" w:type="dxa"/>
            <w:vAlign w:val="center"/>
          </w:tcPr>
          <w:p w14:paraId="10A51B6E" w14:textId="1459714B" w:rsidR="00361F83" w:rsidRPr="000549B1" w:rsidRDefault="00361F83" w:rsidP="00D33EF7">
            <w:pPr>
              <w:widowControl/>
              <w:rPr>
                <w:rFonts w:eastAsiaTheme="minorEastAsia"/>
                <w:b/>
                <w:bCs/>
                <w:kern w:val="0"/>
                <w:sz w:val="18"/>
                <w:szCs w:val="18"/>
              </w:rPr>
            </w:pPr>
            <w:bookmarkStart w:id="163" w:name="_Hlk214024475"/>
            <w:r w:rsidRPr="000549B1">
              <w:rPr>
                <w:rFonts w:eastAsiaTheme="minorEastAsia"/>
                <w:b/>
                <w:bCs/>
                <w:kern w:val="0"/>
                <w:sz w:val="18"/>
                <w:szCs w:val="18"/>
              </w:rPr>
              <w:t>对塔什秋水库灌区、大水水库灌区、叉叉沟灌区、切吉水库灌区、沟后水库灌区等续建配套与现代化改造，包括各级渠道、渠系建筑物及计量设施</w:t>
            </w:r>
            <w:bookmarkEnd w:id="163"/>
          </w:p>
        </w:tc>
        <w:tc>
          <w:tcPr>
            <w:tcW w:w="1237" w:type="dxa"/>
            <w:noWrap/>
            <w:vAlign w:val="center"/>
          </w:tcPr>
          <w:p w14:paraId="291A149E" w14:textId="77777777" w:rsidR="00361F83" w:rsidRPr="000549B1" w:rsidRDefault="00361F83" w:rsidP="00D33EF7">
            <w:pPr>
              <w:widowControl/>
              <w:jc w:val="center"/>
              <w:rPr>
                <w:rFonts w:eastAsiaTheme="minorEastAsia"/>
                <w:b/>
                <w:bCs/>
                <w:kern w:val="0"/>
                <w:sz w:val="18"/>
                <w:szCs w:val="18"/>
              </w:rPr>
            </w:pPr>
            <w:r w:rsidRPr="000549B1">
              <w:rPr>
                <w:rFonts w:eastAsiaTheme="minorEastAsia"/>
                <w:b/>
                <w:bCs/>
                <w:kern w:val="0"/>
                <w:sz w:val="18"/>
                <w:szCs w:val="18"/>
              </w:rPr>
              <w:t>1.3</w:t>
            </w:r>
          </w:p>
        </w:tc>
      </w:tr>
      <w:tr w:rsidR="000549B1" w:rsidRPr="000549B1" w14:paraId="0E460EE8" w14:textId="77777777" w:rsidTr="00D33EF7">
        <w:trPr>
          <w:trHeight w:val="846"/>
          <w:jc w:val="center"/>
        </w:trPr>
        <w:tc>
          <w:tcPr>
            <w:tcW w:w="1094" w:type="dxa"/>
            <w:vMerge w:val="restart"/>
            <w:vAlign w:val="center"/>
          </w:tcPr>
          <w:p w14:paraId="53107272" w14:textId="77777777" w:rsidR="00361F83" w:rsidRPr="000549B1" w:rsidRDefault="00361F83" w:rsidP="00D33EF7">
            <w:pPr>
              <w:widowControl/>
              <w:rPr>
                <w:rFonts w:eastAsiaTheme="minorEastAsia"/>
                <w:b/>
                <w:bCs/>
                <w:kern w:val="0"/>
                <w:sz w:val="18"/>
                <w:szCs w:val="18"/>
              </w:rPr>
            </w:pPr>
            <w:r w:rsidRPr="000549B1">
              <w:rPr>
                <w:rFonts w:eastAsiaTheme="minorEastAsia"/>
                <w:b/>
                <w:bCs/>
                <w:kern w:val="0"/>
                <w:sz w:val="18"/>
                <w:szCs w:val="18"/>
              </w:rPr>
              <w:t>防洪工程</w:t>
            </w:r>
          </w:p>
        </w:tc>
        <w:tc>
          <w:tcPr>
            <w:tcW w:w="1708" w:type="dxa"/>
            <w:noWrap/>
            <w:vAlign w:val="center"/>
          </w:tcPr>
          <w:p w14:paraId="39036FCF" w14:textId="77777777" w:rsidR="00361F83" w:rsidRPr="000549B1" w:rsidRDefault="00361F83" w:rsidP="00D33EF7">
            <w:pPr>
              <w:widowControl/>
              <w:jc w:val="center"/>
              <w:rPr>
                <w:rFonts w:eastAsiaTheme="minorEastAsia"/>
                <w:b/>
                <w:bCs/>
                <w:kern w:val="0"/>
                <w:sz w:val="18"/>
                <w:szCs w:val="18"/>
              </w:rPr>
            </w:pPr>
            <w:r w:rsidRPr="000549B1">
              <w:rPr>
                <w:rFonts w:eastAsiaTheme="minorEastAsia"/>
                <w:b/>
                <w:bCs/>
                <w:kern w:val="0"/>
                <w:sz w:val="18"/>
                <w:szCs w:val="18"/>
              </w:rPr>
              <w:t>护岸工程</w:t>
            </w:r>
          </w:p>
        </w:tc>
        <w:tc>
          <w:tcPr>
            <w:tcW w:w="5247" w:type="dxa"/>
            <w:vAlign w:val="center"/>
          </w:tcPr>
          <w:p w14:paraId="53E51D5B" w14:textId="465C177F" w:rsidR="00361F83" w:rsidRPr="000549B1" w:rsidRDefault="00361F83" w:rsidP="00D33EF7">
            <w:pPr>
              <w:widowControl/>
              <w:rPr>
                <w:rFonts w:eastAsiaTheme="minorEastAsia"/>
                <w:b/>
                <w:bCs/>
                <w:kern w:val="0"/>
                <w:sz w:val="18"/>
                <w:szCs w:val="18"/>
              </w:rPr>
            </w:pPr>
            <w:r w:rsidRPr="000549B1">
              <w:rPr>
                <w:rFonts w:eastAsiaTheme="minorEastAsia" w:hint="eastAsia"/>
                <w:b/>
                <w:bCs/>
                <w:kern w:val="0"/>
                <w:sz w:val="18"/>
                <w:szCs w:val="18"/>
              </w:rPr>
              <w:t>规划新建护岸工程总长度</w:t>
            </w:r>
            <w:r w:rsidRPr="000549B1">
              <w:rPr>
                <w:rFonts w:eastAsiaTheme="minorEastAsia" w:hint="eastAsia"/>
                <w:b/>
                <w:bCs/>
                <w:kern w:val="0"/>
                <w:sz w:val="18"/>
                <w:szCs w:val="18"/>
              </w:rPr>
              <w:t>16.3km</w:t>
            </w:r>
            <w:r w:rsidRPr="000549B1">
              <w:rPr>
                <w:rFonts w:eastAsiaTheme="minorEastAsia" w:hint="eastAsia"/>
                <w:b/>
                <w:bCs/>
                <w:kern w:val="0"/>
                <w:sz w:val="18"/>
                <w:szCs w:val="18"/>
              </w:rPr>
              <w:t>，其中干流护岸总长</w:t>
            </w:r>
            <w:r w:rsidRPr="000549B1">
              <w:rPr>
                <w:rFonts w:eastAsiaTheme="minorEastAsia" w:hint="eastAsia"/>
                <w:b/>
                <w:bCs/>
                <w:kern w:val="0"/>
                <w:sz w:val="18"/>
                <w:szCs w:val="18"/>
              </w:rPr>
              <w:t>3.0km</w:t>
            </w:r>
            <w:r w:rsidRPr="000549B1">
              <w:rPr>
                <w:rFonts w:eastAsiaTheme="minorEastAsia" w:hint="eastAsia"/>
                <w:b/>
                <w:bCs/>
                <w:kern w:val="0"/>
                <w:sz w:val="18"/>
                <w:szCs w:val="18"/>
              </w:rPr>
              <w:t>，左岸</w:t>
            </w:r>
            <w:r w:rsidRPr="000549B1">
              <w:rPr>
                <w:rFonts w:eastAsiaTheme="minorEastAsia" w:hint="eastAsia"/>
                <w:b/>
                <w:bCs/>
                <w:kern w:val="0"/>
                <w:sz w:val="18"/>
                <w:szCs w:val="18"/>
              </w:rPr>
              <w:t>0.9km</w:t>
            </w:r>
            <w:r w:rsidRPr="000549B1">
              <w:rPr>
                <w:rFonts w:eastAsiaTheme="minorEastAsia" w:hint="eastAsia"/>
                <w:b/>
                <w:bCs/>
                <w:kern w:val="0"/>
                <w:sz w:val="18"/>
                <w:szCs w:val="18"/>
              </w:rPr>
              <w:t>、右岸</w:t>
            </w:r>
            <w:r w:rsidRPr="000549B1">
              <w:rPr>
                <w:rFonts w:eastAsiaTheme="minorEastAsia" w:hint="eastAsia"/>
                <w:b/>
                <w:bCs/>
                <w:kern w:val="0"/>
                <w:sz w:val="18"/>
                <w:szCs w:val="18"/>
              </w:rPr>
              <w:t>2.1km</w:t>
            </w:r>
            <w:r w:rsidRPr="000549B1">
              <w:rPr>
                <w:rFonts w:eastAsiaTheme="minorEastAsia" w:hint="eastAsia"/>
                <w:b/>
                <w:bCs/>
                <w:kern w:val="0"/>
                <w:sz w:val="18"/>
                <w:szCs w:val="18"/>
              </w:rPr>
              <w:t>；重要支流护岸总长</w:t>
            </w:r>
            <w:r w:rsidRPr="000549B1">
              <w:rPr>
                <w:rFonts w:eastAsiaTheme="minorEastAsia" w:hint="eastAsia"/>
                <w:b/>
                <w:bCs/>
                <w:kern w:val="0"/>
                <w:sz w:val="18"/>
                <w:szCs w:val="18"/>
              </w:rPr>
              <w:t>13.3km</w:t>
            </w:r>
            <w:r w:rsidRPr="000549B1">
              <w:rPr>
                <w:rFonts w:eastAsiaTheme="minorEastAsia" w:hint="eastAsia"/>
                <w:b/>
                <w:bCs/>
                <w:kern w:val="0"/>
                <w:sz w:val="18"/>
                <w:szCs w:val="18"/>
              </w:rPr>
              <w:t>，左岸</w:t>
            </w:r>
            <w:r w:rsidRPr="000549B1">
              <w:rPr>
                <w:rFonts w:eastAsiaTheme="minorEastAsia" w:hint="eastAsia"/>
                <w:b/>
                <w:bCs/>
                <w:kern w:val="0"/>
                <w:sz w:val="18"/>
                <w:szCs w:val="18"/>
              </w:rPr>
              <w:t>12.1km</w:t>
            </w:r>
            <w:r w:rsidRPr="000549B1">
              <w:rPr>
                <w:rFonts w:eastAsiaTheme="minorEastAsia" w:hint="eastAsia"/>
                <w:b/>
                <w:bCs/>
                <w:kern w:val="0"/>
                <w:sz w:val="18"/>
                <w:szCs w:val="18"/>
              </w:rPr>
              <w:t>、右岸</w:t>
            </w:r>
            <w:r w:rsidRPr="000549B1">
              <w:rPr>
                <w:rFonts w:eastAsiaTheme="minorEastAsia" w:hint="eastAsia"/>
                <w:b/>
                <w:bCs/>
                <w:kern w:val="0"/>
                <w:sz w:val="18"/>
                <w:szCs w:val="18"/>
              </w:rPr>
              <w:t>1.2km</w:t>
            </w:r>
            <w:r w:rsidRPr="000549B1">
              <w:rPr>
                <w:rFonts w:eastAsiaTheme="minorEastAsia" w:hint="eastAsia"/>
                <w:b/>
                <w:bCs/>
                <w:kern w:val="0"/>
                <w:sz w:val="18"/>
                <w:szCs w:val="18"/>
              </w:rPr>
              <w:t>。重点抵御水流顶冲淘刷，保护沿岸村庄与耕地安全</w:t>
            </w:r>
          </w:p>
        </w:tc>
        <w:tc>
          <w:tcPr>
            <w:tcW w:w="1237" w:type="dxa"/>
            <w:noWrap/>
            <w:vAlign w:val="center"/>
          </w:tcPr>
          <w:p w14:paraId="17A41F00" w14:textId="77777777" w:rsidR="00361F83" w:rsidRPr="000549B1" w:rsidRDefault="00361F83" w:rsidP="00D33EF7">
            <w:pPr>
              <w:widowControl/>
              <w:jc w:val="center"/>
              <w:rPr>
                <w:rFonts w:eastAsiaTheme="minorEastAsia"/>
                <w:b/>
                <w:bCs/>
                <w:kern w:val="0"/>
                <w:sz w:val="18"/>
                <w:szCs w:val="18"/>
              </w:rPr>
            </w:pPr>
            <w:r w:rsidRPr="000549B1">
              <w:rPr>
                <w:rFonts w:eastAsiaTheme="minorEastAsia"/>
                <w:b/>
                <w:bCs/>
                <w:kern w:val="0"/>
                <w:sz w:val="18"/>
                <w:szCs w:val="18"/>
              </w:rPr>
              <w:t>0.82</w:t>
            </w:r>
          </w:p>
        </w:tc>
      </w:tr>
      <w:tr w:rsidR="000549B1" w:rsidRPr="000549B1" w14:paraId="2847EF74" w14:textId="77777777" w:rsidTr="00D33EF7">
        <w:trPr>
          <w:trHeight w:val="415"/>
          <w:jc w:val="center"/>
        </w:trPr>
        <w:tc>
          <w:tcPr>
            <w:tcW w:w="1094" w:type="dxa"/>
            <w:vMerge/>
            <w:vAlign w:val="center"/>
          </w:tcPr>
          <w:p w14:paraId="30B68DD5" w14:textId="77777777" w:rsidR="00361F83" w:rsidRPr="000549B1" w:rsidRDefault="00361F83" w:rsidP="00D33EF7">
            <w:pPr>
              <w:widowControl/>
              <w:rPr>
                <w:rFonts w:eastAsiaTheme="minorEastAsia"/>
                <w:b/>
                <w:bCs/>
                <w:kern w:val="0"/>
                <w:sz w:val="18"/>
                <w:szCs w:val="18"/>
              </w:rPr>
            </w:pPr>
          </w:p>
        </w:tc>
        <w:tc>
          <w:tcPr>
            <w:tcW w:w="1708" w:type="dxa"/>
            <w:noWrap/>
            <w:vAlign w:val="center"/>
          </w:tcPr>
          <w:p w14:paraId="666BFD04" w14:textId="77777777" w:rsidR="00361F83" w:rsidRPr="000549B1" w:rsidRDefault="00361F83" w:rsidP="00D33EF7">
            <w:pPr>
              <w:widowControl/>
              <w:jc w:val="center"/>
              <w:rPr>
                <w:rFonts w:eastAsiaTheme="minorEastAsia"/>
                <w:b/>
                <w:bCs/>
                <w:kern w:val="0"/>
                <w:sz w:val="18"/>
                <w:szCs w:val="18"/>
              </w:rPr>
            </w:pPr>
            <w:r w:rsidRPr="000549B1">
              <w:rPr>
                <w:rFonts w:eastAsiaTheme="minorEastAsia"/>
                <w:b/>
                <w:bCs/>
                <w:kern w:val="0"/>
                <w:sz w:val="18"/>
                <w:szCs w:val="18"/>
              </w:rPr>
              <w:t>山洪沟治理</w:t>
            </w:r>
          </w:p>
        </w:tc>
        <w:tc>
          <w:tcPr>
            <w:tcW w:w="5247" w:type="dxa"/>
            <w:vAlign w:val="center"/>
          </w:tcPr>
          <w:p w14:paraId="57D67E15" w14:textId="77777777" w:rsidR="00361F83" w:rsidRPr="000549B1" w:rsidRDefault="00361F83" w:rsidP="00D33EF7">
            <w:pPr>
              <w:widowControl/>
              <w:rPr>
                <w:rFonts w:eastAsiaTheme="minorEastAsia"/>
                <w:b/>
                <w:bCs/>
                <w:kern w:val="0"/>
                <w:sz w:val="18"/>
                <w:szCs w:val="18"/>
              </w:rPr>
            </w:pPr>
            <w:r w:rsidRPr="000549B1">
              <w:rPr>
                <w:rFonts w:eastAsiaTheme="minorEastAsia" w:hint="eastAsia"/>
                <w:b/>
                <w:bCs/>
                <w:kern w:val="0"/>
                <w:sz w:val="18"/>
                <w:szCs w:val="18"/>
              </w:rPr>
              <w:t>规划安排治理山洪沟道</w:t>
            </w:r>
            <w:r w:rsidRPr="000549B1">
              <w:rPr>
                <w:rFonts w:eastAsiaTheme="minorEastAsia" w:hint="eastAsia"/>
                <w:b/>
                <w:bCs/>
                <w:kern w:val="0"/>
                <w:sz w:val="18"/>
                <w:szCs w:val="18"/>
              </w:rPr>
              <w:t>4</w:t>
            </w:r>
            <w:r w:rsidRPr="000549B1">
              <w:rPr>
                <w:rFonts w:eastAsiaTheme="minorEastAsia" w:hint="eastAsia"/>
                <w:b/>
                <w:bCs/>
                <w:kern w:val="0"/>
                <w:sz w:val="18"/>
                <w:szCs w:val="18"/>
              </w:rPr>
              <w:t>条，包括护岸工程</w:t>
            </w:r>
            <w:r w:rsidRPr="000549B1">
              <w:rPr>
                <w:rFonts w:eastAsiaTheme="minorEastAsia" w:hint="eastAsia"/>
                <w:b/>
                <w:bCs/>
                <w:kern w:val="0"/>
                <w:sz w:val="18"/>
                <w:szCs w:val="18"/>
              </w:rPr>
              <w:t>6.0km</w:t>
            </w:r>
            <w:r w:rsidRPr="000549B1">
              <w:rPr>
                <w:rFonts w:eastAsiaTheme="minorEastAsia" w:hint="eastAsia"/>
                <w:b/>
                <w:bCs/>
                <w:kern w:val="0"/>
                <w:sz w:val="18"/>
                <w:szCs w:val="18"/>
              </w:rPr>
              <w:t>，排洪渠</w:t>
            </w:r>
            <w:r w:rsidRPr="000549B1">
              <w:rPr>
                <w:rFonts w:eastAsiaTheme="minorEastAsia" w:hint="eastAsia"/>
                <w:b/>
                <w:bCs/>
                <w:kern w:val="0"/>
                <w:sz w:val="18"/>
                <w:szCs w:val="18"/>
              </w:rPr>
              <w:t>8.0km</w:t>
            </w:r>
            <w:r w:rsidRPr="000549B1">
              <w:rPr>
                <w:rFonts w:eastAsiaTheme="minorEastAsia" w:hint="eastAsia"/>
                <w:b/>
                <w:bCs/>
                <w:kern w:val="0"/>
                <w:sz w:val="18"/>
                <w:szCs w:val="18"/>
              </w:rPr>
              <w:t>。</w:t>
            </w:r>
          </w:p>
        </w:tc>
        <w:tc>
          <w:tcPr>
            <w:tcW w:w="1237" w:type="dxa"/>
            <w:noWrap/>
            <w:vAlign w:val="center"/>
          </w:tcPr>
          <w:p w14:paraId="5AAFE097" w14:textId="77777777" w:rsidR="00361F83" w:rsidRPr="000549B1" w:rsidRDefault="00361F83" w:rsidP="00D33EF7">
            <w:pPr>
              <w:widowControl/>
              <w:jc w:val="center"/>
              <w:rPr>
                <w:rFonts w:eastAsiaTheme="minorEastAsia"/>
                <w:b/>
                <w:bCs/>
                <w:kern w:val="0"/>
                <w:sz w:val="18"/>
                <w:szCs w:val="18"/>
              </w:rPr>
            </w:pPr>
            <w:r w:rsidRPr="000549B1">
              <w:rPr>
                <w:rFonts w:eastAsiaTheme="minorEastAsia"/>
                <w:b/>
                <w:bCs/>
                <w:kern w:val="0"/>
                <w:sz w:val="18"/>
                <w:szCs w:val="18"/>
              </w:rPr>
              <w:t>0.62</w:t>
            </w:r>
          </w:p>
        </w:tc>
      </w:tr>
      <w:tr w:rsidR="000549B1" w:rsidRPr="000549B1" w14:paraId="7744814D" w14:textId="77777777" w:rsidTr="00D33EF7">
        <w:trPr>
          <w:trHeight w:val="845"/>
          <w:jc w:val="center"/>
        </w:trPr>
        <w:tc>
          <w:tcPr>
            <w:tcW w:w="2802" w:type="dxa"/>
            <w:gridSpan w:val="2"/>
            <w:vAlign w:val="center"/>
          </w:tcPr>
          <w:p w14:paraId="6AB9EC83" w14:textId="77777777" w:rsidR="00361F83" w:rsidRPr="000549B1" w:rsidRDefault="00361F83" w:rsidP="00D33EF7">
            <w:pPr>
              <w:widowControl/>
              <w:jc w:val="center"/>
              <w:rPr>
                <w:rFonts w:eastAsiaTheme="minorEastAsia"/>
                <w:b/>
                <w:bCs/>
                <w:kern w:val="0"/>
                <w:sz w:val="18"/>
                <w:szCs w:val="18"/>
              </w:rPr>
            </w:pPr>
            <w:r w:rsidRPr="000549B1">
              <w:rPr>
                <w:rFonts w:eastAsiaTheme="minorEastAsia"/>
                <w:b/>
                <w:bCs/>
                <w:kern w:val="0"/>
                <w:sz w:val="18"/>
                <w:szCs w:val="18"/>
              </w:rPr>
              <w:t>水资源保护与水生态修复</w:t>
            </w:r>
          </w:p>
        </w:tc>
        <w:tc>
          <w:tcPr>
            <w:tcW w:w="5247" w:type="dxa"/>
            <w:vAlign w:val="center"/>
          </w:tcPr>
          <w:p w14:paraId="79B34058" w14:textId="55FE4764" w:rsidR="00361F83" w:rsidRPr="000549B1" w:rsidRDefault="00361F83" w:rsidP="00D33EF7">
            <w:pPr>
              <w:widowControl/>
              <w:rPr>
                <w:rFonts w:eastAsiaTheme="minorEastAsia"/>
                <w:b/>
                <w:bCs/>
                <w:kern w:val="0"/>
                <w:sz w:val="18"/>
                <w:szCs w:val="18"/>
              </w:rPr>
            </w:pPr>
            <w:r w:rsidRPr="000549B1">
              <w:rPr>
                <w:rFonts w:eastAsiaTheme="minorEastAsia" w:hint="eastAsia"/>
                <w:b/>
                <w:bCs/>
                <w:kern w:val="0"/>
                <w:sz w:val="18"/>
                <w:szCs w:val="18"/>
              </w:rPr>
              <w:t>建设生态流量泄放设施、安装下泄生态流量在线监控和远程传输设施、实施流域水生态环境综合治理工程、开展水土保持综合治理、实施河湖生态保护修复、开展流域水生态监测等内容</w:t>
            </w:r>
          </w:p>
        </w:tc>
        <w:tc>
          <w:tcPr>
            <w:tcW w:w="1237" w:type="dxa"/>
            <w:noWrap/>
            <w:vAlign w:val="center"/>
          </w:tcPr>
          <w:p w14:paraId="6CB8593E" w14:textId="77777777" w:rsidR="00361F83" w:rsidRPr="000549B1" w:rsidRDefault="00361F83" w:rsidP="00D33EF7">
            <w:pPr>
              <w:widowControl/>
              <w:jc w:val="center"/>
              <w:rPr>
                <w:rFonts w:eastAsiaTheme="minorEastAsia"/>
                <w:b/>
                <w:bCs/>
                <w:kern w:val="0"/>
                <w:sz w:val="18"/>
                <w:szCs w:val="18"/>
              </w:rPr>
            </w:pPr>
            <w:r w:rsidRPr="000549B1">
              <w:rPr>
                <w:rFonts w:eastAsiaTheme="minorEastAsia" w:hint="eastAsia"/>
                <w:b/>
                <w:bCs/>
                <w:kern w:val="0"/>
                <w:sz w:val="18"/>
                <w:szCs w:val="18"/>
              </w:rPr>
              <w:t>2</w:t>
            </w:r>
            <w:r w:rsidRPr="000549B1">
              <w:rPr>
                <w:rFonts w:eastAsiaTheme="minorEastAsia"/>
                <w:b/>
                <w:bCs/>
                <w:kern w:val="0"/>
                <w:sz w:val="18"/>
                <w:szCs w:val="18"/>
              </w:rPr>
              <w:t>.0</w:t>
            </w:r>
          </w:p>
        </w:tc>
      </w:tr>
      <w:tr w:rsidR="000549B1" w:rsidRPr="000549B1" w14:paraId="2F5B77C2" w14:textId="77777777" w:rsidTr="00D33EF7">
        <w:trPr>
          <w:trHeight w:val="634"/>
          <w:jc w:val="center"/>
        </w:trPr>
        <w:tc>
          <w:tcPr>
            <w:tcW w:w="1094" w:type="dxa"/>
            <w:vMerge w:val="restart"/>
            <w:vAlign w:val="center"/>
          </w:tcPr>
          <w:p w14:paraId="1A2168D3" w14:textId="77777777" w:rsidR="00361F83" w:rsidRPr="000549B1" w:rsidRDefault="00361F83" w:rsidP="00D33EF7">
            <w:pPr>
              <w:widowControl/>
              <w:rPr>
                <w:rFonts w:eastAsiaTheme="minorEastAsia"/>
                <w:b/>
                <w:bCs/>
                <w:kern w:val="0"/>
                <w:sz w:val="18"/>
                <w:szCs w:val="18"/>
              </w:rPr>
            </w:pPr>
            <w:bookmarkStart w:id="164" w:name="_Hlk214026629"/>
            <w:r w:rsidRPr="000549B1">
              <w:rPr>
                <w:rFonts w:eastAsiaTheme="minorEastAsia"/>
                <w:b/>
                <w:bCs/>
                <w:kern w:val="0"/>
                <w:sz w:val="18"/>
                <w:szCs w:val="18"/>
              </w:rPr>
              <w:t>水土保持</w:t>
            </w:r>
            <w:bookmarkEnd w:id="164"/>
          </w:p>
        </w:tc>
        <w:tc>
          <w:tcPr>
            <w:tcW w:w="1708" w:type="dxa"/>
            <w:noWrap/>
            <w:vAlign w:val="center"/>
          </w:tcPr>
          <w:p w14:paraId="0EBF3841" w14:textId="77777777" w:rsidR="00361F83" w:rsidRPr="000549B1" w:rsidRDefault="00361F83" w:rsidP="00D33EF7">
            <w:pPr>
              <w:widowControl/>
              <w:rPr>
                <w:rFonts w:eastAsiaTheme="minorEastAsia"/>
                <w:b/>
                <w:bCs/>
                <w:kern w:val="0"/>
                <w:sz w:val="18"/>
                <w:szCs w:val="18"/>
              </w:rPr>
            </w:pPr>
            <w:r w:rsidRPr="000549B1">
              <w:rPr>
                <w:rFonts w:eastAsiaTheme="minorEastAsia"/>
                <w:b/>
                <w:bCs/>
                <w:kern w:val="0"/>
                <w:sz w:val="18"/>
                <w:szCs w:val="18"/>
              </w:rPr>
              <w:t>水土流失预防保护工程</w:t>
            </w:r>
          </w:p>
        </w:tc>
        <w:tc>
          <w:tcPr>
            <w:tcW w:w="5247" w:type="dxa"/>
            <w:vAlign w:val="center"/>
          </w:tcPr>
          <w:p w14:paraId="58DDC1AC" w14:textId="1705A285" w:rsidR="00361F83" w:rsidRPr="000549B1" w:rsidRDefault="00361F83" w:rsidP="00D33EF7">
            <w:pPr>
              <w:widowControl/>
              <w:rPr>
                <w:rFonts w:eastAsiaTheme="minorEastAsia"/>
                <w:b/>
                <w:bCs/>
                <w:kern w:val="0"/>
                <w:sz w:val="18"/>
                <w:szCs w:val="18"/>
              </w:rPr>
            </w:pPr>
            <w:r w:rsidRPr="000549B1">
              <w:rPr>
                <w:rFonts w:eastAsiaTheme="minorEastAsia" w:hint="eastAsia"/>
                <w:b/>
                <w:bCs/>
                <w:kern w:val="0"/>
                <w:sz w:val="18"/>
                <w:szCs w:val="18"/>
              </w:rPr>
              <w:t>规划期内预防保护面积</w:t>
            </w:r>
            <w:r w:rsidRPr="000549B1">
              <w:rPr>
                <w:rFonts w:eastAsiaTheme="minorEastAsia" w:hint="eastAsia"/>
                <w:b/>
                <w:bCs/>
                <w:kern w:val="0"/>
                <w:sz w:val="18"/>
                <w:szCs w:val="18"/>
              </w:rPr>
              <w:t>473.22km</w:t>
            </w:r>
            <w:r w:rsidRPr="000549B1">
              <w:rPr>
                <w:rFonts w:eastAsiaTheme="minorEastAsia" w:hint="eastAsia"/>
                <w:b/>
                <w:bCs/>
                <w:kern w:val="0"/>
                <w:sz w:val="18"/>
                <w:szCs w:val="18"/>
                <w:vertAlign w:val="superscript"/>
              </w:rPr>
              <w:t>2</w:t>
            </w:r>
            <w:r w:rsidRPr="000549B1">
              <w:rPr>
                <w:rFonts w:eastAsiaTheme="minorEastAsia" w:hint="eastAsia"/>
                <w:b/>
                <w:bCs/>
                <w:kern w:val="0"/>
                <w:sz w:val="18"/>
                <w:szCs w:val="18"/>
              </w:rPr>
              <w:t>，其中封禁面积</w:t>
            </w:r>
            <w:r w:rsidRPr="000549B1">
              <w:rPr>
                <w:rFonts w:eastAsiaTheme="minorEastAsia" w:hint="eastAsia"/>
                <w:b/>
                <w:bCs/>
                <w:kern w:val="0"/>
                <w:sz w:val="18"/>
                <w:szCs w:val="18"/>
              </w:rPr>
              <w:t>418.52km</w:t>
            </w:r>
            <w:r w:rsidRPr="000549B1">
              <w:rPr>
                <w:rFonts w:eastAsiaTheme="minorEastAsia" w:hint="eastAsia"/>
                <w:b/>
                <w:bCs/>
                <w:kern w:val="0"/>
                <w:sz w:val="18"/>
                <w:szCs w:val="18"/>
                <w:vertAlign w:val="superscript"/>
              </w:rPr>
              <w:t>2</w:t>
            </w:r>
            <w:r w:rsidRPr="000549B1">
              <w:rPr>
                <w:rFonts w:eastAsiaTheme="minorEastAsia" w:hint="eastAsia"/>
                <w:b/>
                <w:bCs/>
                <w:kern w:val="0"/>
                <w:sz w:val="18"/>
                <w:szCs w:val="18"/>
              </w:rPr>
              <w:t>，修复（补植）</w:t>
            </w:r>
            <w:r w:rsidRPr="000549B1">
              <w:rPr>
                <w:rFonts w:eastAsiaTheme="minorEastAsia" w:hint="eastAsia"/>
                <w:b/>
                <w:bCs/>
                <w:kern w:val="0"/>
                <w:sz w:val="18"/>
                <w:szCs w:val="18"/>
              </w:rPr>
              <w:t>54.70km</w:t>
            </w:r>
            <w:r w:rsidRPr="000549B1">
              <w:rPr>
                <w:rFonts w:eastAsiaTheme="minorEastAsia" w:hint="eastAsia"/>
                <w:b/>
                <w:bCs/>
                <w:kern w:val="0"/>
                <w:sz w:val="18"/>
                <w:szCs w:val="18"/>
                <w:vertAlign w:val="superscript"/>
              </w:rPr>
              <w:t>2</w:t>
            </w:r>
            <w:r w:rsidRPr="000549B1">
              <w:rPr>
                <w:rFonts w:eastAsiaTheme="minorEastAsia" w:hint="eastAsia"/>
                <w:b/>
                <w:bCs/>
                <w:kern w:val="0"/>
                <w:sz w:val="18"/>
                <w:szCs w:val="18"/>
              </w:rPr>
              <w:t>，宣传牌</w:t>
            </w:r>
            <w:r w:rsidRPr="000549B1">
              <w:rPr>
                <w:rFonts w:eastAsiaTheme="minorEastAsia" w:hint="eastAsia"/>
                <w:b/>
                <w:bCs/>
                <w:kern w:val="0"/>
                <w:sz w:val="18"/>
                <w:szCs w:val="18"/>
              </w:rPr>
              <w:t>78</w:t>
            </w:r>
            <w:r w:rsidRPr="000549B1">
              <w:rPr>
                <w:rFonts w:eastAsiaTheme="minorEastAsia" w:hint="eastAsia"/>
                <w:b/>
                <w:bCs/>
                <w:kern w:val="0"/>
                <w:sz w:val="18"/>
                <w:szCs w:val="18"/>
              </w:rPr>
              <w:t>个</w:t>
            </w:r>
          </w:p>
        </w:tc>
        <w:tc>
          <w:tcPr>
            <w:tcW w:w="1237" w:type="dxa"/>
            <w:noWrap/>
            <w:vAlign w:val="center"/>
          </w:tcPr>
          <w:p w14:paraId="4E5BB5D4" w14:textId="77777777" w:rsidR="00361F83" w:rsidRPr="000549B1" w:rsidRDefault="00361F83" w:rsidP="00D33EF7">
            <w:pPr>
              <w:widowControl/>
              <w:jc w:val="center"/>
              <w:rPr>
                <w:rFonts w:eastAsiaTheme="minorEastAsia"/>
                <w:b/>
                <w:bCs/>
                <w:kern w:val="0"/>
                <w:sz w:val="18"/>
                <w:szCs w:val="18"/>
              </w:rPr>
            </w:pPr>
            <w:r w:rsidRPr="000549B1">
              <w:rPr>
                <w:rFonts w:eastAsiaTheme="minorEastAsia"/>
                <w:b/>
                <w:bCs/>
                <w:kern w:val="0"/>
                <w:sz w:val="18"/>
                <w:szCs w:val="18"/>
              </w:rPr>
              <w:t>0.012</w:t>
            </w:r>
          </w:p>
        </w:tc>
      </w:tr>
      <w:tr w:rsidR="000549B1" w:rsidRPr="000549B1" w14:paraId="489FE5E8" w14:textId="77777777" w:rsidTr="00D33EF7">
        <w:trPr>
          <w:trHeight w:val="900"/>
          <w:jc w:val="center"/>
        </w:trPr>
        <w:tc>
          <w:tcPr>
            <w:tcW w:w="1094" w:type="dxa"/>
            <w:vMerge/>
            <w:vAlign w:val="center"/>
          </w:tcPr>
          <w:p w14:paraId="630E1CF9" w14:textId="77777777" w:rsidR="00361F83" w:rsidRPr="000549B1" w:rsidRDefault="00361F83" w:rsidP="00D33EF7">
            <w:pPr>
              <w:widowControl/>
              <w:rPr>
                <w:rFonts w:eastAsiaTheme="minorEastAsia"/>
                <w:b/>
                <w:bCs/>
                <w:kern w:val="0"/>
                <w:sz w:val="18"/>
                <w:szCs w:val="18"/>
              </w:rPr>
            </w:pPr>
          </w:p>
        </w:tc>
        <w:tc>
          <w:tcPr>
            <w:tcW w:w="1708" w:type="dxa"/>
            <w:noWrap/>
            <w:vAlign w:val="center"/>
          </w:tcPr>
          <w:p w14:paraId="2F7A71F2" w14:textId="77777777" w:rsidR="00361F83" w:rsidRPr="000549B1" w:rsidRDefault="00361F83" w:rsidP="00D33EF7">
            <w:pPr>
              <w:widowControl/>
              <w:rPr>
                <w:rFonts w:eastAsiaTheme="minorEastAsia"/>
                <w:b/>
                <w:bCs/>
                <w:kern w:val="0"/>
                <w:sz w:val="18"/>
                <w:szCs w:val="18"/>
              </w:rPr>
            </w:pPr>
            <w:r w:rsidRPr="000549B1">
              <w:rPr>
                <w:rFonts w:eastAsiaTheme="minorEastAsia"/>
                <w:b/>
                <w:bCs/>
                <w:kern w:val="0"/>
                <w:sz w:val="18"/>
                <w:szCs w:val="18"/>
              </w:rPr>
              <w:t>水土保持综合治理工程</w:t>
            </w:r>
          </w:p>
        </w:tc>
        <w:tc>
          <w:tcPr>
            <w:tcW w:w="5247" w:type="dxa"/>
            <w:vAlign w:val="center"/>
          </w:tcPr>
          <w:p w14:paraId="07722390" w14:textId="4E387DF7" w:rsidR="00361F83" w:rsidRPr="000549B1" w:rsidRDefault="00361F83" w:rsidP="00D33EF7">
            <w:pPr>
              <w:widowControl/>
              <w:rPr>
                <w:rFonts w:eastAsiaTheme="minorEastAsia"/>
                <w:b/>
                <w:bCs/>
                <w:kern w:val="0"/>
                <w:sz w:val="18"/>
                <w:szCs w:val="18"/>
              </w:rPr>
            </w:pPr>
            <w:r w:rsidRPr="000549B1">
              <w:rPr>
                <w:rFonts w:eastAsiaTheme="minorEastAsia" w:hint="eastAsia"/>
                <w:b/>
                <w:bCs/>
                <w:kern w:val="0"/>
                <w:sz w:val="18"/>
                <w:szCs w:val="18"/>
              </w:rPr>
              <w:t>综合治理</w:t>
            </w:r>
            <w:r w:rsidRPr="000549B1">
              <w:rPr>
                <w:rFonts w:eastAsiaTheme="minorEastAsia" w:hint="eastAsia"/>
                <w:b/>
                <w:bCs/>
                <w:kern w:val="0"/>
                <w:sz w:val="18"/>
                <w:szCs w:val="18"/>
              </w:rPr>
              <w:t>387.18km</w:t>
            </w:r>
            <w:r w:rsidRPr="000549B1">
              <w:rPr>
                <w:rFonts w:eastAsiaTheme="minorEastAsia" w:hint="eastAsia"/>
                <w:b/>
                <w:bCs/>
                <w:kern w:val="0"/>
                <w:sz w:val="18"/>
                <w:szCs w:val="18"/>
                <w:vertAlign w:val="superscript"/>
              </w:rPr>
              <w:t>2</w:t>
            </w:r>
            <w:r w:rsidRPr="000549B1">
              <w:rPr>
                <w:rFonts w:eastAsiaTheme="minorEastAsia" w:hint="eastAsia"/>
                <w:b/>
                <w:bCs/>
                <w:kern w:val="0"/>
                <w:sz w:val="18"/>
                <w:szCs w:val="18"/>
              </w:rPr>
              <w:t>，其中工程固沙治理</w:t>
            </w:r>
            <w:r w:rsidRPr="000549B1">
              <w:rPr>
                <w:rFonts w:eastAsiaTheme="minorEastAsia" w:hint="eastAsia"/>
                <w:b/>
                <w:bCs/>
                <w:kern w:val="0"/>
                <w:sz w:val="18"/>
                <w:szCs w:val="18"/>
              </w:rPr>
              <w:t>90.71km</w:t>
            </w:r>
            <w:r w:rsidRPr="000549B1">
              <w:rPr>
                <w:rFonts w:eastAsiaTheme="minorEastAsia" w:hint="eastAsia"/>
                <w:b/>
                <w:bCs/>
                <w:kern w:val="0"/>
                <w:sz w:val="18"/>
                <w:szCs w:val="18"/>
                <w:vertAlign w:val="superscript"/>
              </w:rPr>
              <w:t>2</w:t>
            </w:r>
            <w:r w:rsidRPr="000549B1">
              <w:rPr>
                <w:rFonts w:eastAsiaTheme="minorEastAsia" w:hint="eastAsia"/>
                <w:b/>
                <w:bCs/>
                <w:kern w:val="0"/>
                <w:sz w:val="18"/>
                <w:szCs w:val="18"/>
              </w:rPr>
              <w:t>，造林</w:t>
            </w:r>
            <w:r w:rsidRPr="000549B1">
              <w:rPr>
                <w:rFonts w:eastAsiaTheme="minorEastAsia" w:hint="eastAsia"/>
                <w:b/>
                <w:bCs/>
                <w:kern w:val="0"/>
                <w:sz w:val="18"/>
                <w:szCs w:val="18"/>
              </w:rPr>
              <w:t>29.01km</w:t>
            </w:r>
            <w:r w:rsidRPr="000549B1">
              <w:rPr>
                <w:rFonts w:eastAsiaTheme="minorEastAsia" w:hint="eastAsia"/>
                <w:b/>
                <w:bCs/>
                <w:kern w:val="0"/>
                <w:sz w:val="18"/>
                <w:szCs w:val="18"/>
                <w:vertAlign w:val="superscript"/>
              </w:rPr>
              <w:t>2</w:t>
            </w:r>
            <w:r w:rsidRPr="000549B1">
              <w:rPr>
                <w:rFonts w:eastAsiaTheme="minorEastAsia" w:hint="eastAsia"/>
                <w:b/>
                <w:bCs/>
                <w:kern w:val="0"/>
                <w:sz w:val="18"/>
                <w:szCs w:val="18"/>
              </w:rPr>
              <w:t>，种草</w:t>
            </w:r>
            <w:r w:rsidRPr="000549B1">
              <w:rPr>
                <w:rFonts w:eastAsiaTheme="minorEastAsia" w:hint="eastAsia"/>
                <w:b/>
                <w:bCs/>
                <w:kern w:val="0"/>
                <w:sz w:val="18"/>
                <w:szCs w:val="18"/>
              </w:rPr>
              <w:t>192.64km</w:t>
            </w:r>
            <w:r w:rsidRPr="000549B1">
              <w:rPr>
                <w:rFonts w:eastAsiaTheme="minorEastAsia" w:hint="eastAsia"/>
                <w:b/>
                <w:bCs/>
                <w:kern w:val="0"/>
                <w:sz w:val="18"/>
                <w:szCs w:val="18"/>
                <w:vertAlign w:val="superscript"/>
              </w:rPr>
              <w:t>2</w:t>
            </w:r>
            <w:r w:rsidRPr="000549B1">
              <w:rPr>
                <w:rFonts w:eastAsiaTheme="minorEastAsia" w:hint="eastAsia"/>
                <w:b/>
                <w:bCs/>
                <w:kern w:val="0"/>
                <w:sz w:val="18"/>
                <w:szCs w:val="18"/>
              </w:rPr>
              <w:t>，退化林修复</w:t>
            </w:r>
            <w:r w:rsidRPr="000549B1">
              <w:rPr>
                <w:rFonts w:eastAsiaTheme="minorEastAsia" w:hint="eastAsia"/>
                <w:b/>
                <w:bCs/>
                <w:kern w:val="0"/>
                <w:sz w:val="18"/>
                <w:szCs w:val="18"/>
              </w:rPr>
              <w:t>17.72km</w:t>
            </w:r>
            <w:r w:rsidRPr="000549B1">
              <w:rPr>
                <w:rFonts w:eastAsiaTheme="minorEastAsia" w:hint="eastAsia"/>
                <w:b/>
                <w:bCs/>
                <w:kern w:val="0"/>
                <w:sz w:val="18"/>
                <w:szCs w:val="18"/>
                <w:vertAlign w:val="superscript"/>
              </w:rPr>
              <w:t>2</w:t>
            </w:r>
            <w:r w:rsidRPr="000549B1">
              <w:rPr>
                <w:rFonts w:eastAsiaTheme="minorEastAsia" w:hint="eastAsia"/>
                <w:b/>
                <w:bCs/>
                <w:kern w:val="0"/>
                <w:sz w:val="18"/>
                <w:szCs w:val="18"/>
              </w:rPr>
              <w:t>，封育</w:t>
            </w:r>
            <w:r w:rsidRPr="000549B1">
              <w:rPr>
                <w:rFonts w:eastAsiaTheme="minorEastAsia" w:hint="eastAsia"/>
                <w:b/>
                <w:bCs/>
                <w:kern w:val="0"/>
                <w:sz w:val="18"/>
                <w:szCs w:val="18"/>
              </w:rPr>
              <w:t>57.11km</w:t>
            </w:r>
            <w:r w:rsidRPr="000549B1">
              <w:rPr>
                <w:rFonts w:eastAsiaTheme="minorEastAsia" w:hint="eastAsia"/>
                <w:b/>
                <w:bCs/>
                <w:kern w:val="0"/>
                <w:sz w:val="18"/>
                <w:szCs w:val="18"/>
                <w:vertAlign w:val="superscript"/>
              </w:rPr>
              <w:t>2</w:t>
            </w:r>
            <w:r w:rsidRPr="000549B1">
              <w:rPr>
                <w:rFonts w:eastAsiaTheme="minorEastAsia" w:hint="eastAsia"/>
                <w:b/>
                <w:bCs/>
                <w:kern w:val="0"/>
                <w:sz w:val="18"/>
                <w:szCs w:val="18"/>
              </w:rPr>
              <w:t>，建设网围栏</w:t>
            </w:r>
            <w:r w:rsidRPr="000549B1">
              <w:rPr>
                <w:rFonts w:eastAsiaTheme="minorEastAsia" w:hint="eastAsia"/>
                <w:b/>
                <w:bCs/>
                <w:kern w:val="0"/>
                <w:sz w:val="18"/>
                <w:szCs w:val="18"/>
              </w:rPr>
              <w:t>223km</w:t>
            </w:r>
            <w:r w:rsidRPr="000549B1">
              <w:rPr>
                <w:rFonts w:eastAsiaTheme="minorEastAsia" w:hint="eastAsia"/>
                <w:b/>
                <w:bCs/>
                <w:kern w:val="0"/>
                <w:sz w:val="18"/>
                <w:szCs w:val="18"/>
              </w:rPr>
              <w:t>，建设谷坊</w:t>
            </w:r>
            <w:r w:rsidRPr="000549B1">
              <w:rPr>
                <w:rFonts w:eastAsiaTheme="minorEastAsia" w:hint="eastAsia"/>
                <w:b/>
                <w:bCs/>
                <w:kern w:val="0"/>
                <w:sz w:val="18"/>
                <w:szCs w:val="18"/>
              </w:rPr>
              <w:t>697</w:t>
            </w:r>
            <w:r w:rsidRPr="000549B1">
              <w:rPr>
                <w:rFonts w:eastAsiaTheme="minorEastAsia" w:hint="eastAsia"/>
                <w:b/>
                <w:bCs/>
                <w:kern w:val="0"/>
                <w:sz w:val="18"/>
                <w:szCs w:val="18"/>
              </w:rPr>
              <w:t>座</w:t>
            </w:r>
          </w:p>
        </w:tc>
        <w:tc>
          <w:tcPr>
            <w:tcW w:w="1237" w:type="dxa"/>
            <w:noWrap/>
            <w:vAlign w:val="center"/>
          </w:tcPr>
          <w:p w14:paraId="40CB0C33" w14:textId="77777777" w:rsidR="00361F83" w:rsidRPr="000549B1" w:rsidRDefault="00361F83" w:rsidP="00D33EF7">
            <w:pPr>
              <w:widowControl/>
              <w:jc w:val="center"/>
              <w:rPr>
                <w:rFonts w:eastAsiaTheme="minorEastAsia"/>
                <w:b/>
                <w:bCs/>
                <w:kern w:val="0"/>
                <w:sz w:val="18"/>
                <w:szCs w:val="18"/>
              </w:rPr>
            </w:pPr>
            <w:r w:rsidRPr="000549B1">
              <w:rPr>
                <w:rFonts w:eastAsiaTheme="minorEastAsia"/>
                <w:b/>
                <w:bCs/>
                <w:kern w:val="0"/>
                <w:sz w:val="18"/>
                <w:szCs w:val="18"/>
              </w:rPr>
              <w:t>4.78</w:t>
            </w:r>
          </w:p>
        </w:tc>
      </w:tr>
      <w:tr w:rsidR="000549B1" w:rsidRPr="000549B1" w14:paraId="66BA3DFD" w14:textId="77777777" w:rsidTr="00D33EF7">
        <w:trPr>
          <w:trHeight w:val="634"/>
          <w:jc w:val="center"/>
        </w:trPr>
        <w:tc>
          <w:tcPr>
            <w:tcW w:w="1094" w:type="dxa"/>
            <w:vAlign w:val="center"/>
          </w:tcPr>
          <w:p w14:paraId="3943C5E8" w14:textId="77777777" w:rsidR="00361F83" w:rsidRPr="000549B1" w:rsidRDefault="00361F83" w:rsidP="00D33EF7">
            <w:pPr>
              <w:widowControl/>
              <w:jc w:val="center"/>
              <w:rPr>
                <w:rFonts w:eastAsiaTheme="minorEastAsia"/>
                <w:b/>
                <w:bCs/>
                <w:kern w:val="0"/>
                <w:sz w:val="18"/>
                <w:szCs w:val="18"/>
              </w:rPr>
            </w:pPr>
            <w:r w:rsidRPr="000549B1">
              <w:rPr>
                <w:rFonts w:eastAsiaTheme="minorEastAsia"/>
                <w:b/>
                <w:bCs/>
                <w:kern w:val="0"/>
                <w:sz w:val="18"/>
                <w:szCs w:val="18"/>
              </w:rPr>
              <w:t>水利</w:t>
            </w:r>
          </w:p>
          <w:p w14:paraId="780C19D6" w14:textId="77777777" w:rsidR="00361F83" w:rsidRPr="000549B1" w:rsidRDefault="00361F83" w:rsidP="00D33EF7">
            <w:pPr>
              <w:widowControl/>
              <w:jc w:val="center"/>
              <w:rPr>
                <w:rFonts w:eastAsiaTheme="minorEastAsia"/>
                <w:b/>
                <w:bCs/>
                <w:kern w:val="0"/>
                <w:sz w:val="18"/>
                <w:szCs w:val="18"/>
              </w:rPr>
            </w:pPr>
            <w:r w:rsidRPr="000549B1">
              <w:rPr>
                <w:rFonts w:eastAsiaTheme="minorEastAsia"/>
                <w:b/>
                <w:bCs/>
                <w:kern w:val="0"/>
                <w:sz w:val="18"/>
                <w:szCs w:val="18"/>
              </w:rPr>
              <w:t>信息化</w:t>
            </w:r>
          </w:p>
        </w:tc>
        <w:tc>
          <w:tcPr>
            <w:tcW w:w="1708" w:type="dxa"/>
            <w:noWrap/>
            <w:vAlign w:val="center"/>
          </w:tcPr>
          <w:p w14:paraId="03482EAB" w14:textId="77777777" w:rsidR="00361F83" w:rsidRPr="000549B1" w:rsidRDefault="00361F83" w:rsidP="00D33EF7">
            <w:pPr>
              <w:widowControl/>
              <w:rPr>
                <w:rFonts w:eastAsiaTheme="minorEastAsia"/>
                <w:b/>
                <w:bCs/>
                <w:kern w:val="0"/>
                <w:sz w:val="18"/>
                <w:szCs w:val="18"/>
              </w:rPr>
            </w:pPr>
            <w:r w:rsidRPr="000549B1">
              <w:rPr>
                <w:rFonts w:eastAsiaTheme="minorEastAsia"/>
                <w:b/>
                <w:bCs/>
                <w:kern w:val="0"/>
                <w:sz w:val="18"/>
                <w:szCs w:val="18"/>
              </w:rPr>
              <w:t>数字孪生沙珠玉河流域</w:t>
            </w:r>
          </w:p>
        </w:tc>
        <w:tc>
          <w:tcPr>
            <w:tcW w:w="5247" w:type="dxa"/>
            <w:vAlign w:val="center"/>
          </w:tcPr>
          <w:p w14:paraId="0332F66B" w14:textId="684548AA" w:rsidR="00361F83" w:rsidRPr="000549B1" w:rsidRDefault="00361F83" w:rsidP="00D33EF7">
            <w:pPr>
              <w:widowControl/>
              <w:rPr>
                <w:rFonts w:eastAsiaTheme="minorEastAsia"/>
                <w:b/>
                <w:bCs/>
                <w:kern w:val="0"/>
                <w:sz w:val="18"/>
                <w:szCs w:val="18"/>
              </w:rPr>
            </w:pPr>
            <w:r w:rsidRPr="000549B1">
              <w:rPr>
                <w:rFonts w:eastAsiaTheme="minorEastAsia"/>
                <w:b/>
                <w:bCs/>
                <w:kern w:val="0"/>
                <w:sz w:val="18"/>
                <w:szCs w:val="18"/>
              </w:rPr>
              <w:t>完善沙珠玉河流域信息化基础设施，构建沙珠玉河数字孪生平台，建设沙珠玉河智能业务应用，强化网络安全与保障</w:t>
            </w:r>
          </w:p>
        </w:tc>
        <w:tc>
          <w:tcPr>
            <w:tcW w:w="1237" w:type="dxa"/>
            <w:noWrap/>
            <w:vAlign w:val="center"/>
          </w:tcPr>
          <w:p w14:paraId="5524255D" w14:textId="77777777" w:rsidR="00361F83" w:rsidRPr="000549B1" w:rsidRDefault="00361F83" w:rsidP="00D33EF7">
            <w:pPr>
              <w:widowControl/>
              <w:jc w:val="center"/>
              <w:rPr>
                <w:rFonts w:eastAsiaTheme="minorEastAsia"/>
                <w:b/>
                <w:bCs/>
                <w:kern w:val="0"/>
                <w:sz w:val="18"/>
                <w:szCs w:val="18"/>
              </w:rPr>
            </w:pPr>
            <w:r w:rsidRPr="000549B1">
              <w:rPr>
                <w:rFonts w:eastAsiaTheme="minorEastAsia"/>
                <w:b/>
                <w:bCs/>
                <w:kern w:val="0"/>
                <w:sz w:val="18"/>
                <w:szCs w:val="18"/>
              </w:rPr>
              <w:t>0.8</w:t>
            </w:r>
          </w:p>
        </w:tc>
      </w:tr>
      <w:tr w:rsidR="000549B1" w:rsidRPr="000549B1" w14:paraId="76261043" w14:textId="77777777" w:rsidTr="00D33EF7">
        <w:trPr>
          <w:trHeight w:val="634"/>
          <w:jc w:val="center"/>
        </w:trPr>
        <w:tc>
          <w:tcPr>
            <w:tcW w:w="1094" w:type="dxa"/>
            <w:vAlign w:val="center"/>
          </w:tcPr>
          <w:p w14:paraId="11E909F9" w14:textId="77777777" w:rsidR="00361F83" w:rsidRPr="000549B1" w:rsidRDefault="00361F83" w:rsidP="00D33EF7">
            <w:pPr>
              <w:widowControl/>
              <w:jc w:val="center"/>
              <w:rPr>
                <w:rFonts w:eastAsiaTheme="minorEastAsia"/>
                <w:b/>
                <w:bCs/>
                <w:kern w:val="0"/>
                <w:sz w:val="18"/>
                <w:szCs w:val="18"/>
              </w:rPr>
            </w:pPr>
            <w:r w:rsidRPr="000549B1">
              <w:rPr>
                <w:rFonts w:eastAsiaTheme="minorEastAsia"/>
                <w:b/>
                <w:bCs/>
                <w:kern w:val="0"/>
                <w:sz w:val="18"/>
                <w:szCs w:val="18"/>
              </w:rPr>
              <w:t>流域</w:t>
            </w:r>
          </w:p>
          <w:p w14:paraId="343060FC" w14:textId="77777777" w:rsidR="00361F83" w:rsidRPr="000549B1" w:rsidRDefault="00361F83" w:rsidP="00D33EF7">
            <w:pPr>
              <w:widowControl/>
              <w:jc w:val="center"/>
              <w:rPr>
                <w:rFonts w:eastAsiaTheme="minorEastAsia"/>
                <w:b/>
                <w:bCs/>
                <w:kern w:val="0"/>
                <w:sz w:val="18"/>
                <w:szCs w:val="18"/>
              </w:rPr>
            </w:pPr>
            <w:r w:rsidRPr="000549B1">
              <w:rPr>
                <w:rFonts w:eastAsiaTheme="minorEastAsia"/>
                <w:b/>
                <w:bCs/>
                <w:kern w:val="0"/>
                <w:sz w:val="18"/>
                <w:szCs w:val="18"/>
              </w:rPr>
              <w:t>综合管理</w:t>
            </w:r>
          </w:p>
        </w:tc>
        <w:tc>
          <w:tcPr>
            <w:tcW w:w="1708" w:type="dxa"/>
            <w:noWrap/>
            <w:vAlign w:val="center"/>
          </w:tcPr>
          <w:p w14:paraId="3F0580FC" w14:textId="77777777" w:rsidR="00361F83" w:rsidRPr="000549B1" w:rsidRDefault="00361F83" w:rsidP="00D33EF7">
            <w:pPr>
              <w:widowControl/>
              <w:rPr>
                <w:rFonts w:eastAsiaTheme="minorEastAsia"/>
                <w:b/>
                <w:bCs/>
                <w:kern w:val="0"/>
                <w:sz w:val="18"/>
                <w:szCs w:val="18"/>
              </w:rPr>
            </w:pPr>
            <w:r w:rsidRPr="000549B1">
              <w:rPr>
                <w:rFonts w:eastAsiaTheme="minorEastAsia"/>
                <w:b/>
                <w:bCs/>
                <w:kern w:val="0"/>
                <w:sz w:val="18"/>
                <w:szCs w:val="18"/>
              </w:rPr>
              <w:t>水利管理能力提升</w:t>
            </w:r>
          </w:p>
        </w:tc>
        <w:tc>
          <w:tcPr>
            <w:tcW w:w="5247" w:type="dxa"/>
            <w:vAlign w:val="center"/>
          </w:tcPr>
          <w:p w14:paraId="51320A6E" w14:textId="45019D17" w:rsidR="00361F83" w:rsidRPr="000549B1" w:rsidRDefault="00361F83" w:rsidP="00D33EF7">
            <w:pPr>
              <w:widowControl/>
              <w:rPr>
                <w:rFonts w:eastAsiaTheme="minorEastAsia"/>
                <w:b/>
                <w:bCs/>
                <w:kern w:val="0"/>
                <w:sz w:val="18"/>
                <w:szCs w:val="18"/>
              </w:rPr>
            </w:pPr>
            <w:r w:rsidRPr="000549B1">
              <w:rPr>
                <w:rFonts w:eastAsiaTheme="minorEastAsia"/>
                <w:b/>
                <w:bCs/>
                <w:kern w:val="0"/>
                <w:sz w:val="18"/>
                <w:szCs w:val="18"/>
              </w:rPr>
              <w:t>行业强监管、水利改革、人才培训、水利行业能力建设、规划编制、法规修订等水利管理类项目</w:t>
            </w:r>
          </w:p>
        </w:tc>
        <w:tc>
          <w:tcPr>
            <w:tcW w:w="1237" w:type="dxa"/>
            <w:noWrap/>
            <w:vAlign w:val="center"/>
          </w:tcPr>
          <w:p w14:paraId="07C6F15C" w14:textId="77777777" w:rsidR="00361F83" w:rsidRPr="000549B1" w:rsidRDefault="00361F83" w:rsidP="00D33EF7">
            <w:pPr>
              <w:widowControl/>
              <w:jc w:val="center"/>
              <w:rPr>
                <w:rFonts w:eastAsiaTheme="minorEastAsia"/>
                <w:b/>
                <w:bCs/>
                <w:kern w:val="0"/>
                <w:sz w:val="18"/>
                <w:szCs w:val="18"/>
              </w:rPr>
            </w:pPr>
            <w:r w:rsidRPr="000549B1">
              <w:rPr>
                <w:rFonts w:eastAsiaTheme="minorEastAsia"/>
                <w:b/>
                <w:bCs/>
                <w:kern w:val="0"/>
                <w:sz w:val="18"/>
                <w:szCs w:val="18"/>
              </w:rPr>
              <w:t>0.1</w:t>
            </w:r>
          </w:p>
        </w:tc>
      </w:tr>
      <w:tr w:rsidR="000549B1" w:rsidRPr="000549B1" w14:paraId="65929E32" w14:textId="77777777" w:rsidTr="00D33EF7">
        <w:trPr>
          <w:trHeight w:val="373"/>
          <w:jc w:val="center"/>
        </w:trPr>
        <w:tc>
          <w:tcPr>
            <w:tcW w:w="8049" w:type="dxa"/>
            <w:gridSpan w:val="3"/>
            <w:vAlign w:val="center"/>
          </w:tcPr>
          <w:p w14:paraId="2D4AE33C" w14:textId="77777777" w:rsidR="00361F83" w:rsidRPr="000549B1" w:rsidRDefault="00361F83" w:rsidP="00D33EF7">
            <w:pPr>
              <w:widowControl/>
              <w:jc w:val="center"/>
              <w:rPr>
                <w:rFonts w:eastAsiaTheme="minorEastAsia"/>
                <w:b/>
                <w:bCs/>
                <w:kern w:val="0"/>
                <w:sz w:val="18"/>
                <w:szCs w:val="18"/>
              </w:rPr>
            </w:pPr>
            <w:r w:rsidRPr="000549B1">
              <w:rPr>
                <w:rFonts w:eastAsiaTheme="minorEastAsia" w:hint="eastAsia"/>
                <w:b/>
                <w:bCs/>
                <w:kern w:val="0"/>
                <w:sz w:val="18"/>
                <w:szCs w:val="18"/>
              </w:rPr>
              <w:t>合计</w:t>
            </w:r>
          </w:p>
        </w:tc>
        <w:tc>
          <w:tcPr>
            <w:tcW w:w="1237" w:type="dxa"/>
            <w:noWrap/>
            <w:vAlign w:val="center"/>
          </w:tcPr>
          <w:p w14:paraId="2CFC493E" w14:textId="77777777" w:rsidR="00361F83" w:rsidRPr="000549B1" w:rsidRDefault="00361F83" w:rsidP="00D33EF7">
            <w:pPr>
              <w:widowControl/>
              <w:jc w:val="center"/>
              <w:rPr>
                <w:rFonts w:eastAsiaTheme="minorEastAsia"/>
                <w:b/>
                <w:bCs/>
                <w:kern w:val="0"/>
                <w:sz w:val="18"/>
                <w:szCs w:val="18"/>
              </w:rPr>
            </w:pPr>
            <w:r w:rsidRPr="000549B1">
              <w:rPr>
                <w:rFonts w:eastAsiaTheme="minorEastAsia"/>
                <w:b/>
                <w:bCs/>
                <w:kern w:val="0"/>
                <w:sz w:val="18"/>
                <w:szCs w:val="18"/>
              </w:rPr>
              <w:t>80.23</w:t>
            </w:r>
          </w:p>
        </w:tc>
      </w:tr>
    </w:tbl>
    <w:p w14:paraId="4D2BD7CC" w14:textId="77777777" w:rsidR="00054437" w:rsidRPr="000549B1" w:rsidRDefault="00000000">
      <w:pPr>
        <w:pStyle w:val="2"/>
        <w:rPr>
          <w:rFonts w:ascii="Times New Roman" w:hAnsi="Times New Roman"/>
        </w:rPr>
      </w:pPr>
      <w:bookmarkStart w:id="165" w:name="_Toc208583913"/>
      <w:bookmarkStart w:id="166" w:name="_Toc9144569"/>
      <w:bookmarkStart w:id="167" w:name="_Toc13708"/>
      <w:bookmarkStart w:id="168" w:name="_Toc216107006"/>
      <w:bookmarkStart w:id="169" w:name="_Hlk216021430"/>
      <w:r w:rsidRPr="000549B1">
        <w:rPr>
          <w:rFonts w:ascii="Times New Roman" w:hAnsi="Times New Roman"/>
        </w:rPr>
        <w:t>规划协调性分析</w:t>
      </w:r>
      <w:bookmarkEnd w:id="165"/>
      <w:bookmarkEnd w:id="166"/>
      <w:bookmarkEnd w:id="167"/>
      <w:bookmarkEnd w:id="168"/>
    </w:p>
    <w:p w14:paraId="2D466496" w14:textId="77777777" w:rsidR="00054437" w:rsidRPr="000549B1" w:rsidRDefault="00000000">
      <w:pPr>
        <w:pStyle w:val="zhang3"/>
        <w:spacing w:before="156" w:after="156"/>
      </w:pPr>
      <w:r w:rsidRPr="000549B1">
        <w:t>与法律法规的符合性分析</w:t>
      </w:r>
    </w:p>
    <w:p w14:paraId="008D95AE" w14:textId="38D4A010" w:rsidR="00054437" w:rsidRPr="000549B1" w:rsidRDefault="00000000">
      <w:pPr>
        <w:pStyle w:val="x"/>
      </w:pPr>
      <w:r w:rsidRPr="000549B1">
        <w:t>沙珠玉河流域综合规划在编制过程中以国家现行的水利、水资源及生态环境相关法律法规为依据，对规划内容进行严格审查，确保不违反法律要求。</w:t>
      </w:r>
      <w:r w:rsidRPr="000549B1">
        <w:rPr>
          <w:rFonts w:hint="eastAsia"/>
        </w:rPr>
        <w:t>规划</w:t>
      </w:r>
      <w:r w:rsidRPr="000549B1">
        <w:t>总体符合相关法律法规要求，具体分析如下：</w:t>
      </w:r>
    </w:p>
    <w:p w14:paraId="52B3D6C1" w14:textId="77777777" w:rsidR="00054437" w:rsidRPr="000549B1" w:rsidRDefault="00000000">
      <w:pPr>
        <w:pStyle w:val="x"/>
        <w:rPr>
          <w:bCs/>
        </w:rPr>
      </w:pPr>
      <w:r w:rsidRPr="000549B1">
        <w:rPr>
          <w:bCs/>
        </w:rPr>
        <w:t>（一）与《中华人民共和国水法》的符合性</w:t>
      </w:r>
    </w:p>
    <w:p w14:paraId="584279D6" w14:textId="500D5B61" w:rsidR="00054437" w:rsidRPr="000549B1" w:rsidRDefault="00000000">
      <w:pPr>
        <w:pStyle w:val="x"/>
      </w:pPr>
      <w:r w:rsidRPr="000549B1">
        <w:rPr>
          <w:bCs/>
        </w:rPr>
        <w:t>水资源开发利用原则一致：</w:t>
      </w:r>
      <w:r w:rsidRPr="000549B1">
        <w:rPr>
          <w:rFonts w:hint="eastAsia"/>
          <w:bCs/>
        </w:rPr>
        <w:t>规划</w:t>
      </w:r>
      <w:r w:rsidRPr="000549B1">
        <w:rPr>
          <w:bCs/>
        </w:rPr>
        <w:t>提出的流域水资源配置原则与《水法》关于</w:t>
      </w:r>
      <w:r w:rsidRPr="000549B1">
        <w:rPr>
          <w:rFonts w:ascii="宋体" w:hAnsi="宋体"/>
          <w:bCs/>
        </w:rPr>
        <w:t>“</w:t>
      </w:r>
      <w:r w:rsidRPr="000549B1">
        <w:rPr>
          <w:bCs/>
        </w:rPr>
        <w:t>统一规划、统筹兼顾</w:t>
      </w:r>
      <w:r w:rsidRPr="000549B1">
        <w:rPr>
          <w:rFonts w:ascii="宋体" w:hAnsi="宋体"/>
          <w:bCs/>
        </w:rPr>
        <w:t>”</w:t>
      </w:r>
      <w:r w:rsidRPr="000549B1">
        <w:rPr>
          <w:bCs/>
        </w:rPr>
        <w:t>开发利用水资源的基本原则保持一致。规划充分考虑了流域内生态环境需水，确保在水资源开发利用时优先满足生态环境合理流量</w:t>
      </w:r>
      <w:r w:rsidRPr="000549B1">
        <w:t>的要求，符合水法维护河流合理流量、地下水合理水位的规定。</w:t>
      </w:r>
    </w:p>
    <w:p w14:paraId="0948F63D" w14:textId="2B7782B7" w:rsidR="00054437" w:rsidRPr="000549B1" w:rsidRDefault="00000000">
      <w:pPr>
        <w:pStyle w:val="x"/>
      </w:pPr>
      <w:r w:rsidRPr="000549B1">
        <w:t>水资源保护措施到位：规划中的水资源保护与水生态修复措施（如划定饮用水水源保护区、控制入河排污总量等）符合《水法》关于节约保护水资源的要求。</w:t>
      </w:r>
      <w:r w:rsidRPr="000549B1">
        <w:rPr>
          <w:rFonts w:hint="eastAsia"/>
        </w:rPr>
        <w:t>规划</w:t>
      </w:r>
      <w:r w:rsidRPr="000549B1">
        <w:t>通过严格的取水总量控制和水功能区管理，保障河流生态基流和水质不低于现状，整体上满足水法要求。</w:t>
      </w:r>
    </w:p>
    <w:p w14:paraId="4F1B406D" w14:textId="77777777" w:rsidR="00054437" w:rsidRPr="000549B1" w:rsidRDefault="00000000">
      <w:pPr>
        <w:pStyle w:val="x"/>
        <w:rPr>
          <w:bCs/>
        </w:rPr>
      </w:pPr>
      <w:r w:rsidRPr="000549B1">
        <w:rPr>
          <w:bCs/>
        </w:rPr>
        <w:t>（二）与《中华人民共和国防洪法》的符合性</w:t>
      </w:r>
    </w:p>
    <w:p w14:paraId="63836D43" w14:textId="22DE5E3B" w:rsidR="00054437" w:rsidRPr="000549B1" w:rsidRDefault="00000000">
      <w:pPr>
        <w:pStyle w:val="x"/>
      </w:pPr>
      <w:r w:rsidRPr="000549B1">
        <w:rPr>
          <w:bCs/>
        </w:rPr>
        <w:t>防洪规划原则贯彻：</w:t>
      </w:r>
      <w:r w:rsidRPr="000549B1">
        <w:t>《防洪法》要求编制防洪规划应确保防洪安全、统筹上下游和两岸关系，并与国土规划相协调。</w:t>
      </w:r>
      <w:r w:rsidRPr="000549B1">
        <w:rPr>
          <w:rFonts w:hint="eastAsia"/>
        </w:rPr>
        <w:t>规划</w:t>
      </w:r>
      <w:r w:rsidRPr="000549B1">
        <w:t>遵循该要求，以</w:t>
      </w:r>
      <w:r w:rsidRPr="000549B1">
        <w:rPr>
          <w:bCs/>
        </w:rPr>
        <w:t>重点河段和沿岸乡镇为防洪重点</w:t>
      </w:r>
      <w:r w:rsidRPr="000549B1">
        <w:t>，兼顾上下游区域的防洪减灾，提出了工程措施与非工程措施相结合的综合防洪方案。规划布局充分考虑了洪涝规律和上下游、左右岸的关系，与防洪法确立的原则相符。</w:t>
      </w:r>
    </w:p>
    <w:p w14:paraId="4403911C" w14:textId="47D1B64E" w:rsidR="00054437" w:rsidRPr="000549B1" w:rsidRDefault="00000000">
      <w:pPr>
        <w:pStyle w:val="x"/>
      </w:pPr>
      <w:r w:rsidRPr="000549B1">
        <w:t>防洪标准符合规范：规划所制定的防洪标准和措施符合国家防洪标准要求。例如，对主要河段防洪工程按照相应设防标准进行规划，治理方案与《防洪法》关于</w:t>
      </w:r>
      <w:r w:rsidRPr="000549B1">
        <w:rPr>
          <w:rFonts w:ascii="宋体" w:hAnsi="宋体"/>
        </w:rPr>
        <w:t>“</w:t>
      </w:r>
      <w:r w:rsidRPr="000549B1">
        <w:t>防洪规划应达到规定标准</w:t>
      </w:r>
      <w:r w:rsidRPr="000549B1">
        <w:rPr>
          <w:rFonts w:ascii="宋体" w:hAnsi="宋体"/>
        </w:rPr>
        <w:t>”</w:t>
      </w:r>
      <w:r w:rsidRPr="000549B1">
        <w:t>的要求相一致。</w:t>
      </w:r>
      <w:r w:rsidRPr="000549B1">
        <w:rPr>
          <w:rFonts w:hint="eastAsia"/>
        </w:rPr>
        <w:t>规划</w:t>
      </w:r>
      <w:r w:rsidRPr="000549B1">
        <w:t>还强调防洪与抗旱统筹，完善预警和应急预案体系，保障防洪安全，符合防洪法精神。</w:t>
      </w:r>
    </w:p>
    <w:p w14:paraId="57E2BCFB" w14:textId="77777777" w:rsidR="00054437" w:rsidRPr="000549B1" w:rsidRDefault="00000000">
      <w:pPr>
        <w:pStyle w:val="x"/>
        <w:rPr>
          <w:bCs/>
        </w:rPr>
      </w:pPr>
      <w:r w:rsidRPr="000549B1">
        <w:rPr>
          <w:bCs/>
        </w:rPr>
        <w:t>（三）与《中华人民共和国水土保持法》的符合性</w:t>
      </w:r>
    </w:p>
    <w:p w14:paraId="3078D2E9" w14:textId="534BA301" w:rsidR="00054437" w:rsidRPr="000549B1" w:rsidRDefault="00000000">
      <w:pPr>
        <w:pStyle w:val="x"/>
      </w:pPr>
      <w:r w:rsidRPr="000549B1">
        <w:rPr>
          <w:bCs/>
        </w:rPr>
        <w:t>预防为主方针落实：</w:t>
      </w:r>
      <w:r w:rsidRPr="000549B1">
        <w:t>《水土保持法》强调水土保持工作应预防保护优先、因地制宜综合治理。</w:t>
      </w:r>
      <w:r w:rsidRPr="000549B1">
        <w:rPr>
          <w:rFonts w:hint="eastAsia"/>
        </w:rPr>
        <w:t>规划</w:t>
      </w:r>
      <w:r w:rsidRPr="000549B1">
        <w:t>的水土保持专题遵循这一方针，针对沙珠玉河流域土壤沙化和水土流失现状，提出了</w:t>
      </w:r>
      <w:r w:rsidRPr="000549B1">
        <w:rPr>
          <w:bCs/>
        </w:rPr>
        <w:t>封山育林、封沙育草、退耕还草</w:t>
      </w:r>
      <w:r w:rsidRPr="000549B1">
        <w:t>等预防措施，以及重点区域水土流失综合治理工程，确保在开发利用的同时保护水源涵养林草植被。这些措施与水土保持法要求的</w:t>
      </w:r>
      <w:r w:rsidRPr="000549B1">
        <w:rPr>
          <w:rFonts w:ascii="宋体" w:hAnsi="宋体"/>
        </w:rPr>
        <w:t>“</w:t>
      </w:r>
      <w:r w:rsidRPr="000549B1">
        <w:t>以预防为主、防治结合</w:t>
      </w:r>
      <w:r w:rsidRPr="000549B1">
        <w:rPr>
          <w:rFonts w:ascii="宋体" w:hAnsi="宋体"/>
        </w:rPr>
        <w:t>”</w:t>
      </w:r>
      <w:r w:rsidRPr="000549B1">
        <w:t>原则高度一致。</w:t>
      </w:r>
    </w:p>
    <w:p w14:paraId="263FF370" w14:textId="77777777" w:rsidR="00054437" w:rsidRPr="000549B1" w:rsidRDefault="00000000">
      <w:pPr>
        <w:pStyle w:val="x"/>
      </w:pPr>
      <w:r w:rsidRPr="000549B1">
        <w:t>治理布局符合要求：规划划定了水土流失重点预防区和治理区，实施分区治理，与法律关于严格保护重点水源涵养区、生态脆弱区的要求相符。例如，在植被良好但脆弱的区域主要采取封育保护，在水土流失严重区实施梯田等治理工程，符合水土保持法对不同区域分类治理的规定。</w:t>
      </w:r>
    </w:p>
    <w:p w14:paraId="7E6ACB67" w14:textId="77777777" w:rsidR="00054437" w:rsidRPr="000549B1" w:rsidRDefault="00000000">
      <w:pPr>
        <w:pStyle w:val="x"/>
        <w:rPr>
          <w:bCs/>
        </w:rPr>
      </w:pPr>
      <w:r w:rsidRPr="000549B1">
        <w:rPr>
          <w:bCs/>
        </w:rPr>
        <w:t>（四）与生态环境保护相关法律法规的符合性</w:t>
      </w:r>
    </w:p>
    <w:p w14:paraId="620A25B4" w14:textId="17B940F2" w:rsidR="00054437" w:rsidRPr="000549B1" w:rsidRDefault="00000000">
      <w:pPr>
        <w:pStyle w:val="x"/>
      </w:pPr>
      <w:r w:rsidRPr="000549B1">
        <w:rPr>
          <w:bCs/>
        </w:rPr>
        <w:t>环境保护法：</w:t>
      </w:r>
      <w:r w:rsidRPr="000549B1">
        <w:rPr>
          <w:rFonts w:hint="eastAsia"/>
          <w:bCs/>
        </w:rPr>
        <w:t>规划</w:t>
      </w:r>
      <w:r w:rsidRPr="000549B1">
        <w:rPr>
          <w:bCs/>
        </w:rPr>
        <w:t>严格执行《中华人民共和国环境保护法》关于保护生态环境、防治污染</w:t>
      </w:r>
      <w:r w:rsidRPr="000549B1">
        <w:t>的要求。规划将流域内重要生态功能区（如天然草原湿地、沙化土地封禁区等）作为保护红线，在工程布局上尽量避让生态敏感区。通过治理水土流失、控制污染物排放总量等措施，保障流域生态环境不受损害，总体上符合环境保护法关于生态优先和可持续发展的要求。</w:t>
      </w:r>
    </w:p>
    <w:p w14:paraId="3A554AD3" w14:textId="38FD46C0" w:rsidR="00054437" w:rsidRPr="000549B1" w:rsidRDefault="00000000">
      <w:pPr>
        <w:pStyle w:val="x"/>
      </w:pPr>
      <w:r w:rsidRPr="000549B1">
        <w:rPr>
          <w:bCs/>
        </w:rPr>
        <w:t>水污染防治法：规划提出了加强水功能区水质管理、建立水源地保护区等措施，严格控制生活污水和工业污染源。这些安排契合《中华人民共和国水污染防治法》关于保护水环境和饮用水水源</w:t>
      </w:r>
      <w:r w:rsidRPr="000549B1">
        <w:t>的各项规定。</w:t>
      </w:r>
      <w:r w:rsidRPr="000549B1">
        <w:rPr>
          <w:rFonts w:hint="eastAsia"/>
        </w:rPr>
        <w:t>规划</w:t>
      </w:r>
      <w:r w:rsidRPr="000549B1">
        <w:t>在流域内推行分区治污和清洁生产，确保主要河段水质达标，饮用水水源地水质安全，符合水污染防治法要求。</w:t>
      </w:r>
    </w:p>
    <w:p w14:paraId="752451B9" w14:textId="67900E7C" w:rsidR="00054437" w:rsidRPr="000549B1" w:rsidRDefault="00000000">
      <w:pPr>
        <w:pStyle w:val="x"/>
      </w:pPr>
      <w:r w:rsidRPr="000549B1">
        <w:rPr>
          <w:bCs/>
        </w:rPr>
        <w:t>野生动物保护等法规：针对流域内可能存在的珍稀鱼类和野生水生生物栖息地，</w:t>
      </w:r>
      <w:r w:rsidRPr="000549B1">
        <w:rPr>
          <w:rFonts w:hint="eastAsia"/>
          <w:bCs/>
        </w:rPr>
        <w:t>规划</w:t>
      </w:r>
      <w:r w:rsidRPr="000549B1">
        <w:rPr>
          <w:bCs/>
        </w:rPr>
        <w:t>在水生态保护章节中将其列为重要保护对象，提出了禁止在生态敏感河段新建破坏栖息地的工程</w:t>
      </w:r>
      <w:r w:rsidRPr="000549B1">
        <w:t>等措施。这与《中华人民共和国野生动物保护法》《中华人民共和国渔业法》等法规保护生物多样性的要求一致。规划未在自然保护区等敏感区域安排不当的水利开发活动，贯彻了相关生态保护法律法规的精神。</w:t>
      </w:r>
    </w:p>
    <w:p w14:paraId="0D601494" w14:textId="77777777" w:rsidR="00054437" w:rsidRPr="000549B1" w:rsidRDefault="00000000">
      <w:pPr>
        <w:pStyle w:val="x"/>
        <w:rPr>
          <w:bCs/>
        </w:rPr>
      </w:pPr>
      <w:r w:rsidRPr="000549B1">
        <w:rPr>
          <w:bCs/>
        </w:rPr>
        <w:t>（五）与《中华人民共和国防沙治沙法》的符合性</w:t>
      </w:r>
    </w:p>
    <w:p w14:paraId="3A023AAC" w14:textId="1C88A9FA" w:rsidR="00054437" w:rsidRPr="000549B1" w:rsidRDefault="00000000">
      <w:pPr>
        <w:pStyle w:val="x"/>
      </w:pPr>
      <w:r w:rsidRPr="000549B1">
        <w:t>防沙措施符合要求：沙珠玉河流域位于高原干旱区，土地沙化问题突出。</w:t>
      </w:r>
      <w:r w:rsidRPr="000549B1">
        <w:rPr>
          <w:rFonts w:hint="eastAsia"/>
        </w:rPr>
        <w:t>规划</w:t>
      </w:r>
      <w:r w:rsidRPr="000549B1">
        <w:t>高度重视防沙治沙工作，落实了《防沙治沙法》关于</w:t>
      </w:r>
      <w:r w:rsidRPr="000549B1">
        <w:rPr>
          <w:rFonts w:ascii="宋体" w:hAnsi="宋体"/>
        </w:rPr>
        <w:t>“</w:t>
      </w:r>
      <w:r w:rsidRPr="000549B1">
        <w:t>预防为主、防治结合</w:t>
      </w:r>
      <w:r w:rsidRPr="000549B1">
        <w:rPr>
          <w:rFonts w:ascii="宋体" w:hAnsi="宋体"/>
        </w:rPr>
        <w:t>”</w:t>
      </w:r>
      <w:r w:rsidRPr="000549B1">
        <w:t>的要求。规划延续和加强了</w:t>
      </w:r>
      <w:r w:rsidRPr="000549B1">
        <w:rPr>
          <w:rFonts w:ascii="宋体" w:hAnsi="宋体"/>
        </w:rPr>
        <w:t>“</w:t>
      </w:r>
      <w:r w:rsidRPr="000549B1">
        <w:t>三北防护林</w:t>
      </w:r>
      <w:r w:rsidRPr="000549B1">
        <w:rPr>
          <w:rFonts w:ascii="宋体" w:hAnsi="宋体"/>
        </w:rPr>
        <w:t>”“</w:t>
      </w:r>
      <w:r w:rsidRPr="000549B1">
        <w:t>封禁保护区</w:t>
      </w:r>
      <w:r w:rsidRPr="000549B1">
        <w:rPr>
          <w:rFonts w:ascii="宋体" w:hAnsi="宋体"/>
        </w:rPr>
        <w:t>”</w:t>
      </w:r>
      <w:r w:rsidRPr="000549B1">
        <w:t>等治理措施，通过营造防风固沙林、防沙草方格等手段，控制风沙来源，防治土地荒漠化。这些措施与防沙治沙法规定的保护和恢复植被、遏制沙漠扩展的目标一致。</w:t>
      </w:r>
    </w:p>
    <w:p w14:paraId="0291A836" w14:textId="41EDAA1F" w:rsidR="00054437" w:rsidRPr="000549B1" w:rsidRDefault="00000000">
      <w:pPr>
        <w:pStyle w:val="x"/>
      </w:pPr>
      <w:r w:rsidRPr="000549B1">
        <w:t>区域沙害统筹治理：防沙治沙法强调保护沙区生态安全。</w:t>
      </w:r>
      <w:r w:rsidRPr="000549B1">
        <w:rPr>
          <w:rFonts w:hint="eastAsia"/>
        </w:rPr>
        <w:t>规划</w:t>
      </w:r>
      <w:r w:rsidRPr="000549B1">
        <w:t>在沙珠玉河下游和两岸沙丘区实施综合治理，减少风沙对流域及周边地区的危害。例如，规划治理措施将有效降低流域风沙向周边黄河龙羊峡水库的输送量，减少淤积危害，这体现了区域协同治沙理念，符合防沙治沙法要求。</w:t>
      </w:r>
    </w:p>
    <w:p w14:paraId="5445328B" w14:textId="77777777" w:rsidR="00054437" w:rsidRPr="000549B1" w:rsidRDefault="00054437">
      <w:pPr>
        <w:pStyle w:val="x"/>
      </w:pPr>
    </w:p>
    <w:p w14:paraId="5D015B9B" w14:textId="77777777" w:rsidR="00361F83" w:rsidRPr="000549B1" w:rsidRDefault="00361F83">
      <w:pPr>
        <w:pStyle w:val="x"/>
      </w:pPr>
    </w:p>
    <w:p w14:paraId="59FC1E06" w14:textId="77777777" w:rsidR="00361F83" w:rsidRPr="000549B1" w:rsidRDefault="00361F83">
      <w:pPr>
        <w:pStyle w:val="x"/>
      </w:pPr>
    </w:p>
    <w:p w14:paraId="640AE3BF" w14:textId="77777777" w:rsidR="00361F83" w:rsidRPr="000549B1" w:rsidRDefault="00361F83">
      <w:pPr>
        <w:pStyle w:val="x"/>
      </w:pPr>
    </w:p>
    <w:p w14:paraId="4904FED0" w14:textId="77777777" w:rsidR="00361F83" w:rsidRPr="000549B1" w:rsidRDefault="00361F83">
      <w:pPr>
        <w:pStyle w:val="x"/>
      </w:pPr>
    </w:p>
    <w:p w14:paraId="79287AAF" w14:textId="08332C8D" w:rsidR="00054437" w:rsidRPr="000549B1" w:rsidRDefault="00000000">
      <w:pPr>
        <w:pStyle w:val="aff8"/>
        <w:rPr>
          <w:color w:val="auto"/>
        </w:rPr>
      </w:pPr>
      <w:bookmarkStart w:id="170" w:name="_Hlk216033126"/>
      <w:r w:rsidRPr="000549B1">
        <w:rPr>
          <w:color w:val="auto"/>
        </w:rPr>
        <w:t>表</w:t>
      </w:r>
      <w:r w:rsidR="00372953">
        <w:rPr>
          <w:color w:val="auto"/>
        </w:rPr>
        <w:fldChar w:fldCharType="begin"/>
      </w:r>
      <w:r w:rsidR="00372953">
        <w:rPr>
          <w:color w:val="auto"/>
        </w:rPr>
        <w:instrText xml:space="preserve"> STYLEREF 2 \s </w:instrText>
      </w:r>
      <w:r w:rsidR="00372953">
        <w:rPr>
          <w:color w:val="auto"/>
        </w:rPr>
        <w:fldChar w:fldCharType="separate"/>
      </w:r>
      <w:r w:rsidR="00372953">
        <w:rPr>
          <w:noProof/>
          <w:color w:val="auto"/>
        </w:rPr>
        <w:t>2.2</w:t>
      </w:r>
      <w:r w:rsidR="00372953">
        <w:rPr>
          <w:color w:val="auto"/>
        </w:rPr>
        <w:fldChar w:fldCharType="end"/>
      </w:r>
      <w:r w:rsidR="00372953">
        <w:rPr>
          <w:color w:val="auto"/>
        </w:rPr>
        <w:noBreakHyphen/>
      </w:r>
      <w:r w:rsidR="00372953">
        <w:rPr>
          <w:color w:val="auto"/>
        </w:rPr>
        <w:fldChar w:fldCharType="begin"/>
      </w:r>
      <w:r w:rsidR="00372953">
        <w:rPr>
          <w:color w:val="auto"/>
        </w:rPr>
        <w:instrText xml:space="preserve"> SEQ </w:instrText>
      </w:r>
      <w:r w:rsidR="00372953">
        <w:rPr>
          <w:color w:val="auto"/>
        </w:rPr>
        <w:instrText>表</w:instrText>
      </w:r>
      <w:r w:rsidR="00372953">
        <w:rPr>
          <w:color w:val="auto"/>
        </w:rPr>
        <w:instrText xml:space="preserve"> \* ARABIC \s 2 </w:instrText>
      </w:r>
      <w:r w:rsidR="00372953">
        <w:rPr>
          <w:color w:val="auto"/>
        </w:rPr>
        <w:fldChar w:fldCharType="separate"/>
      </w:r>
      <w:r w:rsidR="00372953">
        <w:rPr>
          <w:noProof/>
          <w:color w:val="auto"/>
        </w:rPr>
        <w:t>1</w:t>
      </w:r>
      <w:r w:rsidR="00372953">
        <w:rPr>
          <w:color w:val="auto"/>
        </w:rPr>
        <w:fldChar w:fldCharType="end"/>
      </w:r>
      <w:r w:rsidRPr="000549B1">
        <w:rPr>
          <w:rFonts w:hint="eastAsia"/>
          <w:color w:val="auto"/>
        </w:rPr>
        <w:t>与相关法律法规</w:t>
      </w:r>
      <w:r w:rsidRPr="000549B1">
        <w:rPr>
          <w:color w:val="auto"/>
        </w:rPr>
        <w:t>符合性分析</w:t>
      </w:r>
      <w:r w:rsidRPr="000549B1">
        <w:rPr>
          <w:rFonts w:hint="eastAsia"/>
          <w:color w:val="auto"/>
        </w:rPr>
        <w:t>清单</w:t>
      </w:r>
    </w:p>
    <w:tbl>
      <w:tblPr>
        <w:tblW w:w="8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6"/>
        <w:gridCol w:w="4668"/>
        <w:gridCol w:w="718"/>
      </w:tblGrid>
      <w:tr w:rsidR="000549B1" w:rsidRPr="000549B1" w14:paraId="1BD62E24" w14:textId="77777777">
        <w:trPr>
          <w:trHeight w:val="810"/>
          <w:tblHeader/>
          <w:jc w:val="center"/>
        </w:trPr>
        <w:tc>
          <w:tcPr>
            <w:tcW w:w="2846" w:type="dxa"/>
            <w:vAlign w:val="center"/>
          </w:tcPr>
          <w:p w14:paraId="2F5756DF" w14:textId="77777777" w:rsidR="00054437" w:rsidRPr="000549B1" w:rsidRDefault="00000000">
            <w:pPr>
              <w:widowControl/>
              <w:jc w:val="center"/>
              <w:rPr>
                <w:b/>
                <w:bCs/>
                <w:kern w:val="0"/>
                <w:szCs w:val="21"/>
              </w:rPr>
            </w:pPr>
            <w:r w:rsidRPr="000549B1">
              <w:rPr>
                <w:b/>
                <w:bCs/>
                <w:kern w:val="0"/>
                <w:szCs w:val="21"/>
              </w:rPr>
              <w:t>法律</w:t>
            </w:r>
            <w:r w:rsidRPr="000549B1">
              <w:rPr>
                <w:rFonts w:hint="eastAsia"/>
                <w:b/>
                <w:bCs/>
                <w:kern w:val="0"/>
                <w:szCs w:val="21"/>
              </w:rPr>
              <w:t>法规及相关</w:t>
            </w:r>
            <w:r w:rsidRPr="000549B1">
              <w:rPr>
                <w:b/>
                <w:bCs/>
                <w:kern w:val="0"/>
                <w:szCs w:val="21"/>
              </w:rPr>
              <w:t>要求</w:t>
            </w:r>
          </w:p>
        </w:tc>
        <w:tc>
          <w:tcPr>
            <w:tcW w:w="4668" w:type="dxa"/>
            <w:vAlign w:val="center"/>
          </w:tcPr>
          <w:p w14:paraId="0EF7AD40" w14:textId="77777777" w:rsidR="00054437" w:rsidRPr="000549B1" w:rsidRDefault="00000000">
            <w:pPr>
              <w:widowControl/>
              <w:jc w:val="center"/>
              <w:rPr>
                <w:b/>
                <w:bCs/>
                <w:kern w:val="0"/>
                <w:szCs w:val="21"/>
              </w:rPr>
            </w:pPr>
            <w:r w:rsidRPr="000549B1">
              <w:rPr>
                <w:b/>
                <w:bCs/>
                <w:kern w:val="0"/>
                <w:szCs w:val="21"/>
              </w:rPr>
              <w:t>规划</w:t>
            </w:r>
            <w:r w:rsidRPr="000549B1">
              <w:rPr>
                <w:rFonts w:hint="eastAsia"/>
                <w:b/>
                <w:bCs/>
                <w:kern w:val="0"/>
                <w:szCs w:val="21"/>
              </w:rPr>
              <w:t>相关</w:t>
            </w:r>
            <w:r w:rsidRPr="000549B1">
              <w:rPr>
                <w:b/>
                <w:bCs/>
                <w:kern w:val="0"/>
                <w:szCs w:val="21"/>
              </w:rPr>
              <w:t>内容</w:t>
            </w:r>
          </w:p>
        </w:tc>
        <w:tc>
          <w:tcPr>
            <w:tcW w:w="718" w:type="dxa"/>
            <w:vAlign w:val="center"/>
          </w:tcPr>
          <w:p w14:paraId="67D00DFD" w14:textId="77777777" w:rsidR="00054437" w:rsidRPr="000549B1" w:rsidRDefault="00000000">
            <w:pPr>
              <w:widowControl/>
              <w:jc w:val="center"/>
              <w:rPr>
                <w:b/>
                <w:bCs/>
                <w:kern w:val="0"/>
                <w:szCs w:val="21"/>
              </w:rPr>
            </w:pPr>
            <w:r w:rsidRPr="000549B1">
              <w:rPr>
                <w:b/>
                <w:bCs/>
                <w:kern w:val="0"/>
                <w:szCs w:val="21"/>
              </w:rPr>
              <w:t>是否符合</w:t>
            </w:r>
          </w:p>
        </w:tc>
      </w:tr>
      <w:tr w:rsidR="000549B1" w:rsidRPr="000549B1" w14:paraId="5F05E21F" w14:textId="77777777">
        <w:trPr>
          <w:trHeight w:val="1565"/>
          <w:jc w:val="center"/>
        </w:trPr>
        <w:tc>
          <w:tcPr>
            <w:tcW w:w="2846" w:type="dxa"/>
            <w:vAlign w:val="center"/>
          </w:tcPr>
          <w:p w14:paraId="43A96442" w14:textId="2524AD65" w:rsidR="00054437" w:rsidRPr="000549B1" w:rsidRDefault="00000000">
            <w:pPr>
              <w:widowControl/>
              <w:rPr>
                <w:kern w:val="0"/>
                <w:szCs w:val="21"/>
              </w:rPr>
            </w:pPr>
            <w:r w:rsidRPr="000549B1">
              <w:rPr>
                <w:kern w:val="0"/>
                <w:szCs w:val="21"/>
              </w:rPr>
              <w:t>《中华人民共和国水法》：统筹水资源开发利用，维护江河合理流量，保障生态需水</w:t>
            </w:r>
          </w:p>
        </w:tc>
        <w:tc>
          <w:tcPr>
            <w:tcW w:w="4668" w:type="dxa"/>
            <w:vAlign w:val="center"/>
          </w:tcPr>
          <w:p w14:paraId="5AD6D839" w14:textId="60A31CA1" w:rsidR="00054437" w:rsidRPr="000549B1" w:rsidRDefault="00000000">
            <w:pPr>
              <w:widowControl/>
              <w:rPr>
                <w:kern w:val="0"/>
                <w:szCs w:val="21"/>
              </w:rPr>
            </w:pPr>
            <w:r w:rsidRPr="000549B1">
              <w:rPr>
                <w:kern w:val="0"/>
                <w:szCs w:val="21"/>
              </w:rPr>
              <w:t>制定统一的流域水资源配置方案，控制取用水总量；考虑河道基本生态需水，确保不停留干涸；实行水源地保护和水功能区管理，维护河流健康流量</w:t>
            </w:r>
          </w:p>
        </w:tc>
        <w:tc>
          <w:tcPr>
            <w:tcW w:w="718" w:type="dxa"/>
            <w:vAlign w:val="center"/>
          </w:tcPr>
          <w:p w14:paraId="511556FA" w14:textId="77777777" w:rsidR="00054437" w:rsidRPr="000549B1" w:rsidRDefault="00000000">
            <w:pPr>
              <w:widowControl/>
              <w:rPr>
                <w:kern w:val="0"/>
                <w:szCs w:val="21"/>
              </w:rPr>
            </w:pPr>
            <w:r w:rsidRPr="000549B1">
              <w:rPr>
                <w:kern w:val="0"/>
                <w:szCs w:val="21"/>
              </w:rPr>
              <w:t>符合</w:t>
            </w:r>
          </w:p>
        </w:tc>
      </w:tr>
      <w:tr w:rsidR="000549B1" w:rsidRPr="000549B1" w14:paraId="6AF1B659" w14:textId="77777777">
        <w:trPr>
          <w:trHeight w:val="1711"/>
          <w:jc w:val="center"/>
        </w:trPr>
        <w:tc>
          <w:tcPr>
            <w:tcW w:w="2846" w:type="dxa"/>
            <w:vAlign w:val="center"/>
          </w:tcPr>
          <w:p w14:paraId="7DD3F942" w14:textId="0B1CC98C" w:rsidR="00054437" w:rsidRPr="000549B1" w:rsidRDefault="00000000">
            <w:pPr>
              <w:widowControl/>
              <w:rPr>
                <w:kern w:val="0"/>
                <w:szCs w:val="21"/>
              </w:rPr>
            </w:pPr>
            <w:r w:rsidRPr="000549B1">
              <w:rPr>
                <w:kern w:val="0"/>
                <w:szCs w:val="21"/>
              </w:rPr>
              <w:t>《中华人民共和国防洪法》：突出防洪重点，统筹上下游和左右岸，工程与非工程措施结合，并与土地规划协调</w:t>
            </w:r>
          </w:p>
        </w:tc>
        <w:tc>
          <w:tcPr>
            <w:tcW w:w="4668" w:type="dxa"/>
            <w:vAlign w:val="center"/>
          </w:tcPr>
          <w:p w14:paraId="47A67C7E" w14:textId="6C8E2B6C" w:rsidR="00054437" w:rsidRPr="000549B1" w:rsidRDefault="00000000">
            <w:pPr>
              <w:widowControl/>
              <w:rPr>
                <w:kern w:val="0"/>
                <w:szCs w:val="21"/>
              </w:rPr>
            </w:pPr>
            <w:r w:rsidRPr="000549B1">
              <w:rPr>
                <w:kern w:val="0"/>
                <w:szCs w:val="21"/>
              </w:rPr>
              <w:t>明确以沿河乡镇等人口经济集中区为防洪重点；规划上下游综合治理</w:t>
            </w:r>
            <w:r w:rsidRPr="000549B1">
              <w:rPr>
                <w:kern w:val="0"/>
                <w:szCs w:val="21"/>
              </w:rPr>
              <w:t>8</w:t>
            </w:r>
            <w:r w:rsidRPr="000549B1">
              <w:rPr>
                <w:kern w:val="0"/>
                <w:szCs w:val="21"/>
              </w:rPr>
              <w:t>条山洪沟，实施堤防和疏浚工程并完善监测预警体系；防洪布局充分考虑国土空间规划限制</w:t>
            </w:r>
          </w:p>
        </w:tc>
        <w:tc>
          <w:tcPr>
            <w:tcW w:w="718" w:type="dxa"/>
            <w:vAlign w:val="center"/>
          </w:tcPr>
          <w:p w14:paraId="6F3D8295" w14:textId="77777777" w:rsidR="00054437" w:rsidRPr="000549B1" w:rsidRDefault="00000000">
            <w:pPr>
              <w:widowControl/>
              <w:rPr>
                <w:kern w:val="0"/>
                <w:szCs w:val="21"/>
              </w:rPr>
            </w:pPr>
            <w:r w:rsidRPr="000549B1">
              <w:rPr>
                <w:kern w:val="0"/>
                <w:szCs w:val="21"/>
              </w:rPr>
              <w:t>符合</w:t>
            </w:r>
          </w:p>
        </w:tc>
      </w:tr>
      <w:tr w:rsidR="000549B1" w:rsidRPr="000549B1" w14:paraId="1B09DF90" w14:textId="77777777">
        <w:trPr>
          <w:trHeight w:val="1654"/>
          <w:jc w:val="center"/>
        </w:trPr>
        <w:tc>
          <w:tcPr>
            <w:tcW w:w="2846" w:type="dxa"/>
            <w:vAlign w:val="center"/>
          </w:tcPr>
          <w:p w14:paraId="4C596C3C" w14:textId="6A6CA8C5" w:rsidR="00054437" w:rsidRPr="000549B1" w:rsidRDefault="00000000">
            <w:pPr>
              <w:widowControl/>
              <w:rPr>
                <w:kern w:val="0"/>
                <w:szCs w:val="21"/>
              </w:rPr>
            </w:pPr>
            <w:r w:rsidRPr="000549B1">
              <w:rPr>
                <w:kern w:val="0"/>
                <w:szCs w:val="21"/>
              </w:rPr>
              <w:t>《中华人民共和国水土保持法》：以预防保护为主，因地制宜治理水土流失，保护水源涵养林草</w:t>
            </w:r>
          </w:p>
        </w:tc>
        <w:tc>
          <w:tcPr>
            <w:tcW w:w="4668" w:type="dxa"/>
            <w:vAlign w:val="center"/>
          </w:tcPr>
          <w:p w14:paraId="6B4B466B" w14:textId="65936E26" w:rsidR="00054437" w:rsidRPr="000549B1" w:rsidRDefault="00000000">
            <w:pPr>
              <w:widowControl/>
              <w:rPr>
                <w:kern w:val="0"/>
                <w:szCs w:val="21"/>
              </w:rPr>
            </w:pPr>
            <w:r w:rsidRPr="000549B1">
              <w:rPr>
                <w:kern w:val="0"/>
                <w:szCs w:val="21"/>
              </w:rPr>
              <w:t>划定水土流失预防区并实行封育保护，严禁陡坡开荒和过度放牧；规划实施坡耕地治理和植树种草工程治理沙化水土流失，加强林草植被恢复，涵养水源</w:t>
            </w:r>
          </w:p>
        </w:tc>
        <w:tc>
          <w:tcPr>
            <w:tcW w:w="718" w:type="dxa"/>
            <w:vAlign w:val="center"/>
          </w:tcPr>
          <w:p w14:paraId="0314A43F" w14:textId="77777777" w:rsidR="00054437" w:rsidRPr="000549B1" w:rsidRDefault="00000000">
            <w:pPr>
              <w:widowControl/>
              <w:rPr>
                <w:kern w:val="0"/>
                <w:szCs w:val="21"/>
              </w:rPr>
            </w:pPr>
            <w:r w:rsidRPr="000549B1">
              <w:rPr>
                <w:kern w:val="0"/>
                <w:szCs w:val="21"/>
              </w:rPr>
              <w:t>符合</w:t>
            </w:r>
          </w:p>
        </w:tc>
      </w:tr>
      <w:tr w:rsidR="000549B1" w:rsidRPr="000549B1" w14:paraId="2FF5DB6E" w14:textId="77777777">
        <w:trPr>
          <w:trHeight w:val="1678"/>
          <w:jc w:val="center"/>
        </w:trPr>
        <w:tc>
          <w:tcPr>
            <w:tcW w:w="2846" w:type="dxa"/>
            <w:vAlign w:val="center"/>
          </w:tcPr>
          <w:p w14:paraId="11AE61BE" w14:textId="63F586D0" w:rsidR="00054437" w:rsidRPr="000549B1" w:rsidRDefault="00000000">
            <w:pPr>
              <w:widowControl/>
              <w:rPr>
                <w:kern w:val="0"/>
                <w:szCs w:val="21"/>
              </w:rPr>
            </w:pPr>
            <w:r w:rsidRPr="000549B1">
              <w:rPr>
                <w:kern w:val="0"/>
                <w:szCs w:val="21"/>
              </w:rPr>
              <w:t>《中华人民共和国环境保护法》：优先保护生态环境，防止污染，保护生物多样性和生态敏感区</w:t>
            </w:r>
          </w:p>
        </w:tc>
        <w:tc>
          <w:tcPr>
            <w:tcW w:w="4668" w:type="dxa"/>
            <w:vAlign w:val="center"/>
          </w:tcPr>
          <w:p w14:paraId="582E754F" w14:textId="3E63B2E1" w:rsidR="00054437" w:rsidRPr="000549B1" w:rsidRDefault="00000000">
            <w:pPr>
              <w:widowControl/>
              <w:rPr>
                <w:kern w:val="0"/>
                <w:szCs w:val="21"/>
              </w:rPr>
            </w:pPr>
            <w:r w:rsidRPr="000549B1">
              <w:rPr>
                <w:kern w:val="0"/>
                <w:szCs w:val="21"/>
              </w:rPr>
              <w:t>将天然草原湿地等生态功能区列为保护红线，避让自然保护区和重要栖息地；规划控制入河污染负荷，所有拟建工程配套环保措施；不开展破坏生态的开发活动</w:t>
            </w:r>
          </w:p>
        </w:tc>
        <w:tc>
          <w:tcPr>
            <w:tcW w:w="718" w:type="dxa"/>
            <w:vAlign w:val="center"/>
          </w:tcPr>
          <w:p w14:paraId="5D8D12C7" w14:textId="77777777" w:rsidR="00054437" w:rsidRPr="000549B1" w:rsidRDefault="00000000">
            <w:pPr>
              <w:widowControl/>
              <w:rPr>
                <w:kern w:val="0"/>
                <w:szCs w:val="21"/>
              </w:rPr>
            </w:pPr>
            <w:r w:rsidRPr="000549B1">
              <w:rPr>
                <w:kern w:val="0"/>
                <w:szCs w:val="21"/>
              </w:rPr>
              <w:t>符合</w:t>
            </w:r>
          </w:p>
        </w:tc>
      </w:tr>
      <w:tr w:rsidR="000549B1" w:rsidRPr="000549B1" w14:paraId="67F3F9B2" w14:textId="77777777">
        <w:trPr>
          <w:trHeight w:val="1679"/>
          <w:jc w:val="center"/>
        </w:trPr>
        <w:tc>
          <w:tcPr>
            <w:tcW w:w="2846" w:type="dxa"/>
            <w:vAlign w:val="center"/>
          </w:tcPr>
          <w:p w14:paraId="691DA1E5" w14:textId="5D41BFB0" w:rsidR="00054437" w:rsidRPr="000549B1" w:rsidRDefault="00000000">
            <w:pPr>
              <w:widowControl/>
              <w:rPr>
                <w:kern w:val="0"/>
                <w:szCs w:val="21"/>
              </w:rPr>
            </w:pPr>
            <w:r w:rsidRPr="000549B1">
              <w:rPr>
                <w:kern w:val="0"/>
                <w:szCs w:val="21"/>
              </w:rPr>
              <w:t>《中华人民共和国水污染防治法》：防治水体污染，保护水源水质，落实饮用水水源保护制度</w:t>
            </w:r>
          </w:p>
        </w:tc>
        <w:tc>
          <w:tcPr>
            <w:tcW w:w="4668" w:type="dxa"/>
            <w:vAlign w:val="center"/>
          </w:tcPr>
          <w:p w14:paraId="53145281" w14:textId="11D249D1" w:rsidR="00054437" w:rsidRPr="000549B1" w:rsidRDefault="00000000">
            <w:pPr>
              <w:widowControl/>
              <w:rPr>
                <w:kern w:val="0"/>
                <w:szCs w:val="21"/>
              </w:rPr>
            </w:pPr>
            <w:r w:rsidRPr="000549B1">
              <w:rPr>
                <w:kern w:val="0"/>
                <w:szCs w:val="21"/>
              </w:rPr>
              <w:t>建立沙珠玉河流域饮用水水源地保护区并完善监管机制；规划新建和改造污水处理设施，严格控制农业面源和畜牧污染；确保出水水质和水源地水质达标稳定</w:t>
            </w:r>
          </w:p>
        </w:tc>
        <w:tc>
          <w:tcPr>
            <w:tcW w:w="718" w:type="dxa"/>
            <w:vAlign w:val="center"/>
          </w:tcPr>
          <w:p w14:paraId="4505793F" w14:textId="77777777" w:rsidR="00054437" w:rsidRPr="000549B1" w:rsidRDefault="00000000">
            <w:pPr>
              <w:widowControl/>
              <w:rPr>
                <w:kern w:val="0"/>
                <w:szCs w:val="21"/>
              </w:rPr>
            </w:pPr>
            <w:r w:rsidRPr="000549B1">
              <w:rPr>
                <w:kern w:val="0"/>
                <w:szCs w:val="21"/>
              </w:rPr>
              <w:t>符合</w:t>
            </w:r>
          </w:p>
        </w:tc>
      </w:tr>
      <w:tr w:rsidR="000549B1" w:rsidRPr="000549B1" w14:paraId="52AC177E" w14:textId="77777777">
        <w:trPr>
          <w:trHeight w:val="1826"/>
          <w:jc w:val="center"/>
        </w:trPr>
        <w:tc>
          <w:tcPr>
            <w:tcW w:w="2846" w:type="dxa"/>
            <w:vAlign w:val="center"/>
          </w:tcPr>
          <w:p w14:paraId="08958DA2" w14:textId="4B6695DD" w:rsidR="00054437" w:rsidRPr="000549B1" w:rsidRDefault="00000000">
            <w:pPr>
              <w:widowControl/>
              <w:rPr>
                <w:kern w:val="0"/>
                <w:szCs w:val="21"/>
              </w:rPr>
            </w:pPr>
            <w:r w:rsidRPr="000549B1">
              <w:rPr>
                <w:kern w:val="0"/>
                <w:szCs w:val="21"/>
              </w:rPr>
              <w:t>《中华人民共和国防沙治沙法》：预防土地沙漠化，治理沙化源头，保护沙区生态安全</w:t>
            </w:r>
          </w:p>
        </w:tc>
        <w:tc>
          <w:tcPr>
            <w:tcW w:w="4668" w:type="dxa"/>
            <w:vAlign w:val="center"/>
          </w:tcPr>
          <w:p w14:paraId="5D6E3FDF" w14:textId="39902F4E" w:rsidR="00054437" w:rsidRPr="000549B1" w:rsidRDefault="00000000">
            <w:pPr>
              <w:widowControl/>
              <w:rPr>
                <w:kern w:val="0"/>
                <w:szCs w:val="21"/>
              </w:rPr>
            </w:pPr>
            <w:r w:rsidRPr="000549B1">
              <w:rPr>
                <w:kern w:val="0"/>
                <w:szCs w:val="21"/>
              </w:rPr>
              <w:t>在流域下游沙化严重区实施防沙治沙工程，营造防风固沙林带和草方格，减少风沙危害；巩固已有沙化土地封禁保护区成效，遏制沙丘扩展，改善沙区生态</w:t>
            </w:r>
          </w:p>
        </w:tc>
        <w:tc>
          <w:tcPr>
            <w:tcW w:w="718" w:type="dxa"/>
            <w:vAlign w:val="center"/>
          </w:tcPr>
          <w:p w14:paraId="385D7611" w14:textId="77777777" w:rsidR="00054437" w:rsidRPr="000549B1" w:rsidRDefault="00000000">
            <w:pPr>
              <w:widowControl/>
              <w:rPr>
                <w:kern w:val="0"/>
                <w:szCs w:val="21"/>
              </w:rPr>
            </w:pPr>
            <w:r w:rsidRPr="000549B1">
              <w:rPr>
                <w:kern w:val="0"/>
                <w:szCs w:val="21"/>
              </w:rPr>
              <w:t>符合</w:t>
            </w:r>
          </w:p>
        </w:tc>
      </w:tr>
    </w:tbl>
    <w:p w14:paraId="28EEDD49" w14:textId="55A439FB" w:rsidR="00054437" w:rsidRPr="000549B1" w:rsidRDefault="00000000">
      <w:pPr>
        <w:pStyle w:val="x"/>
      </w:pPr>
      <w:r w:rsidRPr="000549B1">
        <w:t>综上所述，</w:t>
      </w:r>
      <w:r w:rsidRPr="000549B1">
        <w:rPr>
          <w:rFonts w:hint="eastAsia"/>
        </w:rPr>
        <w:t>规划</w:t>
      </w:r>
      <w:r w:rsidRPr="000549B1">
        <w:t>全面贯彻了水利、水资源和环境保护等相关法律法规的要求，在水资源配置、防洪减灾、水土保持、生态环境保护和防沙治沙等方面均与法律法规精神相符，未发现有违反法律强制性要求的情形。</w:t>
      </w:r>
    </w:p>
    <w:p w14:paraId="2032AECF" w14:textId="217EC9DA" w:rsidR="00054437" w:rsidRPr="000549B1" w:rsidRDefault="00000000">
      <w:pPr>
        <w:pStyle w:val="zhang3"/>
        <w:spacing w:before="156" w:after="156"/>
      </w:pPr>
      <w:bookmarkStart w:id="171" w:name="_Hlk216033155"/>
      <w:bookmarkEnd w:id="170"/>
      <w:r w:rsidRPr="000549B1">
        <w:t>与</w:t>
      </w:r>
      <w:r w:rsidRPr="000549B1">
        <w:rPr>
          <w:rFonts w:hint="eastAsia"/>
        </w:rPr>
        <w:t>相关</w:t>
      </w:r>
      <w:r w:rsidRPr="000549B1">
        <w:t>规划</w:t>
      </w:r>
      <w:r w:rsidRPr="000549B1">
        <w:rPr>
          <w:rFonts w:hint="eastAsia"/>
        </w:rPr>
        <w:t>和功能区划</w:t>
      </w:r>
      <w:r w:rsidRPr="000549B1">
        <w:t>的协调性分析</w:t>
      </w:r>
    </w:p>
    <w:bookmarkEnd w:id="171"/>
    <w:p w14:paraId="48FD3E65" w14:textId="2DE327FF" w:rsidR="002F2485" w:rsidRPr="000549B1" w:rsidRDefault="002F2485" w:rsidP="000549B1">
      <w:pPr>
        <w:pStyle w:val="Z4"/>
        <w:rPr>
          <w:color w:val="auto"/>
        </w:rPr>
      </w:pPr>
      <w:r w:rsidRPr="000549B1">
        <w:rPr>
          <w:color w:val="auto"/>
        </w:rPr>
        <w:t>与上位规划的协调性分析</w:t>
      </w:r>
    </w:p>
    <w:p w14:paraId="2C116187" w14:textId="77777777" w:rsidR="002F2485" w:rsidRPr="000549B1" w:rsidRDefault="002F2485" w:rsidP="002F2485">
      <w:pPr>
        <w:pStyle w:val="x"/>
      </w:pPr>
      <w:r w:rsidRPr="000549B1">
        <w:t>沙珠玉河流域综合规划注重与国家和省级相关划的衔接，确保规划定位和目标符合上位规划对本区域的功能定位和发展要求。过对比分析，</w:t>
      </w:r>
      <w:r w:rsidRPr="000549B1">
        <w:rPr>
          <w:rFonts w:hint="eastAsia"/>
        </w:rPr>
        <w:t>规划</w:t>
      </w:r>
      <w:r w:rsidRPr="000549B1">
        <w:t>与相关上位规划总体协调一致。</w:t>
      </w:r>
    </w:p>
    <w:p w14:paraId="31D733B0" w14:textId="77777777" w:rsidR="002F2485" w:rsidRPr="000549B1" w:rsidRDefault="002F2485" w:rsidP="002F2485">
      <w:pPr>
        <w:pStyle w:val="x"/>
        <w:rPr>
          <w:bCs/>
        </w:rPr>
      </w:pPr>
      <w:r w:rsidRPr="000549B1">
        <w:rPr>
          <w:bCs/>
        </w:rPr>
        <w:t>（一）与《青海省主体功能区规划》的协调性</w:t>
      </w:r>
    </w:p>
    <w:p w14:paraId="27E6B0E5" w14:textId="77777777" w:rsidR="002F2485" w:rsidRPr="000549B1" w:rsidRDefault="002F2485" w:rsidP="002F2485">
      <w:pPr>
        <w:pStyle w:val="x"/>
      </w:pPr>
      <w:r w:rsidRPr="000549B1">
        <w:rPr>
          <w:bCs/>
        </w:rPr>
        <w:t>功能定位一致：根据《青海省主体功能区规划》，沙珠玉河流域所在的海南州共和县属于以生态功能为主的限制开发区域，强调强化生态修复功能和建设生态安全屏障。对此，</w:t>
      </w:r>
      <w:r w:rsidRPr="000549B1">
        <w:rPr>
          <w:rFonts w:hint="eastAsia"/>
          <w:bCs/>
        </w:rPr>
        <w:t>规划</w:t>
      </w:r>
      <w:r w:rsidRPr="000549B1">
        <w:rPr>
          <w:bCs/>
        </w:rPr>
        <w:t>在流域总体布局中突出生态优先和水源涵养</w:t>
      </w:r>
      <w:r w:rsidRPr="000549B1">
        <w:t>，主要任务以水生态环境保护和草原湿地修复为主。这与主体功能区规划对该区域</w:t>
      </w:r>
      <w:r w:rsidRPr="000549B1">
        <w:rPr>
          <w:rFonts w:ascii="宋体" w:hAnsi="宋体"/>
        </w:rPr>
        <w:t>“</w:t>
      </w:r>
      <w:r w:rsidRPr="000549B1">
        <w:t>加强生态保护、适度有序发展</w:t>
      </w:r>
      <w:r w:rsidRPr="000549B1">
        <w:rPr>
          <w:rFonts w:ascii="宋体" w:hAnsi="宋体"/>
        </w:rPr>
        <w:t>”</w:t>
      </w:r>
      <w:r w:rsidRPr="000549B1">
        <w:t>的定位相吻合。</w:t>
      </w:r>
    </w:p>
    <w:p w14:paraId="581CFF61" w14:textId="77777777" w:rsidR="002F2485" w:rsidRPr="000549B1" w:rsidRDefault="002F2485" w:rsidP="002F2485">
      <w:pPr>
        <w:pStyle w:val="x"/>
      </w:pPr>
      <w:r w:rsidRPr="000549B1">
        <w:t>发展方向相协调：主体功能区规划要求共和县地区积极发展生态畜牧业、高原生态旅游等绿色产业。</w:t>
      </w:r>
      <w:r w:rsidRPr="000549B1">
        <w:rPr>
          <w:rFonts w:hint="eastAsia"/>
        </w:rPr>
        <w:t>规划</w:t>
      </w:r>
      <w:r w:rsidRPr="000549B1">
        <w:t>通过水资源配置和水利工程布局，改善牧区供水条件，保障防洪安全，为畜牧业和生态旅游提供水利支撑。例如，规划提出的农村牧区供水提升和灌溉工程，可促进牧业稳步发展，契合主体功能区规划的产业导向，二者在发展方向上协调一致。</w:t>
      </w:r>
    </w:p>
    <w:p w14:paraId="6B7E234C" w14:textId="77777777" w:rsidR="002F2485" w:rsidRPr="000549B1" w:rsidRDefault="002F2485" w:rsidP="002F2485">
      <w:pPr>
        <w:pStyle w:val="x"/>
        <w:rPr>
          <w:bCs/>
        </w:rPr>
      </w:pPr>
      <w:r w:rsidRPr="000549B1">
        <w:rPr>
          <w:bCs/>
        </w:rPr>
        <w:t>（二）与《青海省</w:t>
      </w:r>
      <w:r w:rsidRPr="000549B1">
        <w:rPr>
          <w:rFonts w:ascii="宋体" w:hAnsi="宋体"/>
          <w:bCs/>
        </w:rPr>
        <w:t>“</w:t>
      </w:r>
      <w:r w:rsidRPr="000549B1">
        <w:rPr>
          <w:bCs/>
        </w:rPr>
        <w:t>十四五</w:t>
      </w:r>
      <w:r w:rsidRPr="000549B1">
        <w:rPr>
          <w:rFonts w:ascii="宋体" w:hAnsi="宋体"/>
          <w:bCs/>
        </w:rPr>
        <w:t>”</w:t>
      </w:r>
      <w:r w:rsidRPr="000549B1">
        <w:rPr>
          <w:bCs/>
        </w:rPr>
        <w:t>水安全保障规划》的协调性</w:t>
      </w:r>
    </w:p>
    <w:p w14:paraId="611D0C80" w14:textId="77777777" w:rsidR="002F2485" w:rsidRPr="000549B1" w:rsidRDefault="002F2485" w:rsidP="002F2485">
      <w:pPr>
        <w:pStyle w:val="x"/>
      </w:pPr>
      <w:r w:rsidRPr="000549B1">
        <w:t>《青海省</w:t>
      </w:r>
      <w:r w:rsidRPr="000549B1">
        <w:rPr>
          <w:rFonts w:ascii="宋体" w:hAnsi="宋体"/>
        </w:rPr>
        <w:t>“</w:t>
      </w:r>
      <w:r w:rsidRPr="000549B1">
        <w:t>十四五</w:t>
      </w:r>
      <w:r w:rsidRPr="000549B1">
        <w:rPr>
          <w:rFonts w:ascii="宋体" w:hAnsi="宋体"/>
        </w:rPr>
        <w:t>”</w:t>
      </w:r>
      <w:r w:rsidRPr="000549B1">
        <w:t>水安全保障规划》是指导全省水利改革发展的纲领性文件，对流域综合规划具有重要指导作用。将沙珠玉河流域综合规划与该省级规划进行对照，可见二者在总体思路和具体布局上高度契合：</w:t>
      </w:r>
    </w:p>
    <w:p w14:paraId="327567F0" w14:textId="77777777" w:rsidR="002F2485" w:rsidRPr="000549B1" w:rsidRDefault="002F2485" w:rsidP="002F2485">
      <w:pPr>
        <w:pStyle w:val="x"/>
      </w:pPr>
      <w:r w:rsidRPr="000549B1">
        <w:t>总体基调一致：省水安全保障规划强调以水资源安全支撑经济社会高质量发展，要求加强农牧区饮水安全、防洪减灾和水生态保护。</w:t>
      </w:r>
      <w:r w:rsidRPr="000549B1">
        <w:rPr>
          <w:rFonts w:hint="eastAsia"/>
        </w:rPr>
        <w:t>规划</w:t>
      </w:r>
      <w:r w:rsidRPr="000549B1">
        <w:t>的编制正是落实这一基调在沙珠玉河流域的具体体现</w:t>
      </w:r>
      <w:r w:rsidRPr="000549B1">
        <w:t>——</w:t>
      </w:r>
      <w:r w:rsidRPr="000549B1">
        <w:t>通过建设农村安全供水工程，巩固提高农牧区自来水普及率；实施山洪沟治理和防洪工程，提升流域防灾减灾能力；开展河道生态修复和水源地保护，维护流域水生态安全。这些与省规划确定的重点方向完全一致，体现出</w:t>
      </w:r>
      <w:r w:rsidRPr="000549B1">
        <w:rPr>
          <w:rFonts w:ascii="宋体" w:hAnsi="宋体"/>
        </w:rPr>
        <w:t>“</w:t>
      </w:r>
      <w:r w:rsidRPr="000549B1">
        <w:t>上下联动、目标一致</w:t>
      </w:r>
      <w:r w:rsidRPr="000549B1">
        <w:rPr>
          <w:rFonts w:ascii="宋体" w:hAnsi="宋体"/>
        </w:rPr>
        <w:t>”</w:t>
      </w:r>
      <w:r w:rsidRPr="000549B1">
        <w:t>的特点。</w:t>
      </w:r>
    </w:p>
    <w:p w14:paraId="5D212911" w14:textId="77777777" w:rsidR="002F2485" w:rsidRPr="000549B1" w:rsidRDefault="002F2485" w:rsidP="002F2485">
      <w:pPr>
        <w:pStyle w:val="x"/>
      </w:pPr>
      <w:r w:rsidRPr="000549B1">
        <w:t>指标与任务衔接：省级规划提出了</w:t>
      </w:r>
      <w:r w:rsidRPr="000549B1">
        <w:rPr>
          <w:rFonts w:ascii="宋体" w:hAnsi="宋体"/>
        </w:rPr>
        <w:t>“</w:t>
      </w:r>
      <w:r w:rsidRPr="000549B1">
        <w:t>十四五</w:t>
      </w:r>
      <w:r w:rsidRPr="000549B1">
        <w:rPr>
          <w:rFonts w:ascii="宋体" w:hAnsi="宋体"/>
        </w:rPr>
        <w:t>”</w:t>
      </w:r>
      <w:r w:rsidRPr="000549B1">
        <w:t>时期青海省水安全的具体指标和任务，例如农村自来水普及率、供水保证率、重要江河湖泊水功能区水质达标率等目标数值。</w:t>
      </w:r>
      <w:r w:rsidRPr="000549B1">
        <w:rPr>
          <w:rFonts w:hint="eastAsia"/>
        </w:rPr>
        <w:t>规划</w:t>
      </w:r>
      <w:r w:rsidRPr="000549B1">
        <w:t>在沙珠玉流域相应地制定了阶段性目标：到</w:t>
      </w:r>
      <w:r w:rsidRPr="000549B1">
        <w:t>2025</w:t>
      </w:r>
      <w:r w:rsidRPr="000549B1">
        <w:t>年流域集中供水率和供水保证率显著提升，主要水功能区水质全面达标，与省规划指标衔接良好。同时，省规划部署的重大水利工程中，涉及海南州的项目（如病险水库除险加固、中型灌区续建配套等），也反映在</w:t>
      </w:r>
      <w:r w:rsidRPr="000549B1">
        <w:rPr>
          <w:rFonts w:hint="eastAsia"/>
        </w:rPr>
        <w:t>规划</w:t>
      </w:r>
      <w:r w:rsidRPr="000549B1">
        <w:t>工程安排中，确保省里下达的任务在本流域得到落实。</w:t>
      </w:r>
    </w:p>
    <w:p w14:paraId="5C316AEF" w14:textId="77777777" w:rsidR="002F2485" w:rsidRPr="000549B1" w:rsidRDefault="002F2485" w:rsidP="002F2485">
      <w:pPr>
        <w:pStyle w:val="x"/>
      </w:pPr>
      <w:r w:rsidRPr="000549B1">
        <w:t>区域协调发展：省水安全规划强调统筹区域水资源配置和跨流域调水以缓解用水矛盾。</w:t>
      </w:r>
      <w:r w:rsidRPr="000549B1">
        <w:rPr>
          <w:rFonts w:hint="eastAsia"/>
        </w:rPr>
        <w:t>规划</w:t>
      </w:r>
      <w:r w:rsidRPr="000549B1">
        <w:t>积极响应，结合沙珠玉河流域自身水资源匮乏的实际，提出了从周边流域引水的方案论证，以弥补本流域水源不足。这与省规划倡导的区域协同保障水安全的思想高度吻合，体现了流域规划对省级战略的呼应和支持。</w:t>
      </w:r>
    </w:p>
    <w:p w14:paraId="6EE03308" w14:textId="77777777" w:rsidR="002F2485" w:rsidRPr="000549B1" w:rsidRDefault="002F2485" w:rsidP="002F2485">
      <w:pPr>
        <w:pStyle w:val="x"/>
      </w:pPr>
      <w:r w:rsidRPr="000549B1">
        <w:t>通过以上分析可以看出，沙珠玉河流域综合规划与《青海省</w:t>
      </w:r>
      <w:r w:rsidRPr="000549B1">
        <w:rPr>
          <w:rFonts w:ascii="宋体" w:hAnsi="宋体"/>
        </w:rPr>
        <w:t>“</w:t>
      </w:r>
      <w:r w:rsidRPr="000549B1">
        <w:t>十四五</w:t>
      </w:r>
      <w:r w:rsidRPr="000549B1">
        <w:rPr>
          <w:rFonts w:ascii="宋体" w:hAnsi="宋体"/>
        </w:rPr>
        <w:t>”</w:t>
      </w:r>
      <w:r w:rsidRPr="000549B1">
        <w:t>水安全保障规划》在规划目标、主要任务和实施路径上保持了高度一致。</w:t>
      </w:r>
      <w:r w:rsidRPr="000549B1">
        <w:rPr>
          <w:rFonts w:hint="eastAsia"/>
        </w:rPr>
        <w:t>规划</w:t>
      </w:r>
      <w:r w:rsidRPr="000549B1">
        <w:t>既是对省级水安全规划在流域层面的细化和补充，同时其实施效果也将为全省水安全目标的实现做出贡献。两者规划协调联动、相互支撑，无任何冲突矛盾。</w:t>
      </w:r>
    </w:p>
    <w:p w14:paraId="2A129C70" w14:textId="77777777" w:rsidR="002F2485" w:rsidRPr="000549B1" w:rsidRDefault="002F2485" w:rsidP="002F2485">
      <w:pPr>
        <w:pStyle w:val="x"/>
        <w:rPr>
          <w:bCs/>
        </w:rPr>
      </w:pPr>
      <w:r w:rsidRPr="000549B1">
        <w:rPr>
          <w:bCs/>
        </w:rPr>
        <w:t>（三）与《青海省水资源综合规划》的协调性</w:t>
      </w:r>
    </w:p>
    <w:p w14:paraId="27084922" w14:textId="77777777" w:rsidR="002F2485" w:rsidRPr="000549B1" w:rsidRDefault="002F2485" w:rsidP="002F2485">
      <w:pPr>
        <w:pStyle w:val="x"/>
      </w:pPr>
      <w:r w:rsidRPr="000549B1">
        <w:rPr>
          <w:bCs/>
        </w:rPr>
        <w:t>总体布局协调：</w:t>
      </w:r>
      <w:r w:rsidRPr="000549B1">
        <w:t>《青海省水资源综合规划》（</w:t>
      </w:r>
      <w:r w:rsidRPr="000549B1">
        <w:t>2017</w:t>
      </w:r>
      <w:r w:rsidRPr="000549B1">
        <w:t>年）从全省层面统筹水资源配置、利用和保护。本次沙珠玉河流域规划作为该综合规划在区域层面的细化和落实，其提出的水资源开发利用方案、用水总量控制指标均在省综合规划框架内。规划确定的流域用水指标、灌溉发展规模等没有超出省级规划给海南州的控制目标，保证了上下规划的一致性。</w:t>
      </w:r>
    </w:p>
    <w:p w14:paraId="03EA6C08" w14:textId="403DDB75" w:rsidR="002F2485" w:rsidRPr="000549B1" w:rsidRDefault="002F2485" w:rsidP="002F2485">
      <w:pPr>
        <w:pStyle w:val="x"/>
      </w:pPr>
      <w:r w:rsidRPr="000549B1">
        <w:t>措施衔接良好：省综合规划强调区域水资源的可持续利用和跨流域调水论证。</w:t>
      </w:r>
      <w:r w:rsidRPr="000549B1">
        <w:rPr>
          <w:rFonts w:hint="eastAsia"/>
        </w:rPr>
        <w:t>规划</w:t>
      </w:r>
      <w:r w:rsidRPr="000549B1">
        <w:t>在利用本流域水资源的同时，充分论证了流域引调水方案作为补充，体现了与省规划</w:t>
      </w:r>
      <w:r w:rsidRPr="000549B1">
        <w:rPr>
          <w:rFonts w:ascii="宋体" w:hAnsi="宋体"/>
        </w:rPr>
        <w:t>“</w:t>
      </w:r>
      <w:r w:rsidRPr="000549B1">
        <w:t>区域协同、优化配置</w:t>
      </w:r>
      <w:r w:rsidRPr="000549B1">
        <w:rPr>
          <w:rFonts w:ascii="宋体" w:hAnsi="宋体"/>
        </w:rPr>
        <w:t>”</w:t>
      </w:r>
      <w:r w:rsidRPr="000549B1">
        <w:t>思路的一致。此外，</w:t>
      </w:r>
      <w:r w:rsidRPr="000549B1">
        <w:rPr>
          <w:rFonts w:hint="eastAsia"/>
        </w:rPr>
        <w:t>规划</w:t>
      </w:r>
      <w:r w:rsidRPr="000549B1">
        <w:t>在节水灌溉、水资源保护等措施上承接了省综合规划提出的要求（如提高灌溉水利用系数、控制地下水开采），两者措施方向一致。</w:t>
      </w:r>
    </w:p>
    <w:p w14:paraId="4997774A" w14:textId="77777777" w:rsidR="002F2485" w:rsidRPr="000549B1" w:rsidRDefault="002F2485" w:rsidP="000549B1">
      <w:pPr>
        <w:pStyle w:val="Z4"/>
        <w:rPr>
          <w:color w:val="auto"/>
        </w:rPr>
      </w:pPr>
      <w:r w:rsidRPr="000549B1">
        <w:rPr>
          <w:color w:val="auto"/>
        </w:rPr>
        <w:t>与同层级规划的协调性分析</w:t>
      </w:r>
    </w:p>
    <w:p w14:paraId="52C834F0" w14:textId="77777777" w:rsidR="002F2485" w:rsidRPr="000549B1" w:rsidRDefault="002F2485" w:rsidP="002F2485">
      <w:pPr>
        <w:pStyle w:val="x"/>
      </w:pPr>
      <w:r w:rsidRPr="000549B1">
        <w:rPr>
          <w:rFonts w:hint="eastAsia"/>
        </w:rPr>
        <w:t>规划</w:t>
      </w:r>
      <w:r w:rsidRPr="000549B1">
        <w:t>编制时同步衔接了海南藏族自治州及共和县、兴海县等同层级相关规划，包括经济社会发展规划、国土空间规划以及相关专业规划，确保规划方案与区域发展和布局相互协调、无矛盾冲突。</w:t>
      </w:r>
    </w:p>
    <w:p w14:paraId="65A3B9F8" w14:textId="581A411A" w:rsidR="002F2485" w:rsidRPr="000549B1" w:rsidRDefault="002F2485" w:rsidP="002F2485">
      <w:pPr>
        <w:pStyle w:val="x"/>
        <w:rPr>
          <w:bCs/>
        </w:rPr>
      </w:pPr>
      <w:r w:rsidRPr="000549B1">
        <w:rPr>
          <w:rFonts w:hint="eastAsia"/>
          <w:bCs/>
        </w:rPr>
        <w:t>（一）与</w:t>
      </w:r>
      <w:r w:rsidR="0091596C" w:rsidRPr="000549B1">
        <w:rPr>
          <w:rFonts w:hint="eastAsia"/>
          <w:bCs/>
        </w:rPr>
        <w:t>《</w:t>
      </w:r>
      <w:r w:rsidRPr="000549B1">
        <w:rPr>
          <w:rFonts w:hint="eastAsia"/>
          <w:bCs/>
        </w:rPr>
        <w:t>海南州国民经济和社会发展规划</w:t>
      </w:r>
      <w:r w:rsidR="0091596C" w:rsidRPr="000549B1">
        <w:rPr>
          <w:rFonts w:hint="eastAsia"/>
          <w:bCs/>
        </w:rPr>
        <w:t>》</w:t>
      </w:r>
      <w:r w:rsidRPr="000549B1">
        <w:rPr>
          <w:rFonts w:hint="eastAsia"/>
          <w:bCs/>
        </w:rPr>
        <w:t>的协调性</w:t>
      </w:r>
    </w:p>
    <w:p w14:paraId="552256AE" w14:textId="77777777" w:rsidR="002F2485" w:rsidRPr="000549B1" w:rsidRDefault="002F2485" w:rsidP="002F2485">
      <w:pPr>
        <w:pStyle w:val="x"/>
      </w:pPr>
      <w:r w:rsidRPr="000549B1">
        <w:rPr>
          <w:bCs/>
        </w:rPr>
        <w:t>服务区域发展目标：</w:t>
      </w:r>
      <w:r w:rsidRPr="000549B1">
        <w:t>《海南州国民经济和社会发展第十四个五年规划和</w:t>
      </w:r>
      <w:r w:rsidRPr="000549B1">
        <w:t>2035</w:t>
      </w:r>
      <w:r w:rsidRPr="000549B1">
        <w:t>年远景目标纲要》明确了全州经济社会发展的目标，包括提高城镇化水平、发展特色产业等。</w:t>
      </w:r>
      <w:r w:rsidRPr="000549B1">
        <w:rPr>
          <w:rFonts w:hint="eastAsia"/>
        </w:rPr>
        <w:t>规划</w:t>
      </w:r>
      <w:r w:rsidRPr="000549B1">
        <w:t>根据该纲要预测的人口、产业发展趋势进行水资源供需分析，确保规划的供水规模和用水安排满足经济社会发展需求。例如，规划在人口集中增长的共和县城镇周边布局供水及防洪工程，以支撑城镇化和产业园区发展，保障纲要提出的各项目标实现。</w:t>
      </w:r>
    </w:p>
    <w:p w14:paraId="21642728" w14:textId="77777777" w:rsidR="002F2485" w:rsidRPr="000549B1" w:rsidRDefault="002F2485" w:rsidP="002F2485">
      <w:pPr>
        <w:pStyle w:val="x"/>
      </w:pPr>
      <w:r w:rsidRPr="000549B1">
        <w:rPr>
          <w:bCs/>
        </w:rPr>
        <w:t>支撑产业布局：海南州</w:t>
      </w:r>
      <w:r w:rsidRPr="000549B1">
        <w:rPr>
          <w:rFonts w:ascii="宋体" w:hAnsi="宋体"/>
          <w:bCs/>
        </w:rPr>
        <w:t>“</w:t>
      </w:r>
      <w:r w:rsidRPr="000549B1">
        <w:rPr>
          <w:bCs/>
        </w:rPr>
        <w:t>十四五</w:t>
      </w:r>
      <w:r w:rsidRPr="000549B1">
        <w:rPr>
          <w:rFonts w:ascii="宋体" w:hAnsi="宋体"/>
          <w:bCs/>
        </w:rPr>
        <w:t>”</w:t>
      </w:r>
      <w:r w:rsidRPr="000549B1">
        <w:rPr>
          <w:bCs/>
        </w:rPr>
        <w:t>发展规划提出大力发展清洁能源、特色农牧等产业。</w:t>
      </w:r>
      <w:r w:rsidRPr="000549B1">
        <w:rPr>
          <w:rFonts w:hint="eastAsia"/>
          <w:bCs/>
        </w:rPr>
        <w:t>规划</w:t>
      </w:r>
      <w:r w:rsidRPr="000549B1">
        <w:rPr>
          <w:bCs/>
        </w:rPr>
        <w:t>充分考虑这些产业的用水需求和区位布局：针对光伏产业园区</w:t>
      </w:r>
      <w:r w:rsidRPr="000549B1">
        <w:t>等清洁能源项目，规划优化水源配置方案，满足建设和运行期间必要的用水要求；针对农牧业发展，规划实施灌区节水改造和新增高效灌溉面积，助力提高农牧业生产效率。由此，</w:t>
      </w:r>
      <w:r w:rsidRPr="000549B1">
        <w:rPr>
          <w:rFonts w:hint="eastAsia"/>
        </w:rPr>
        <w:t>规划</w:t>
      </w:r>
      <w:r w:rsidRPr="000549B1">
        <w:t>在水利条件上保障了区域主导产业的发展方向，与经济社会发展规划紧密衔接。</w:t>
      </w:r>
    </w:p>
    <w:p w14:paraId="1A3EEA1F" w14:textId="7D4BC9B8" w:rsidR="002F2485" w:rsidRPr="000549B1" w:rsidRDefault="002F2485" w:rsidP="002F2485">
      <w:pPr>
        <w:pStyle w:val="x"/>
        <w:rPr>
          <w:bCs/>
        </w:rPr>
      </w:pPr>
      <w:r w:rsidRPr="000549B1">
        <w:rPr>
          <w:bCs/>
        </w:rPr>
        <w:t>（二）与</w:t>
      </w:r>
      <w:r w:rsidR="0091596C" w:rsidRPr="000549B1">
        <w:rPr>
          <w:rFonts w:hint="eastAsia"/>
          <w:bCs/>
        </w:rPr>
        <w:t>《</w:t>
      </w:r>
      <w:r w:rsidRPr="000549B1">
        <w:rPr>
          <w:rFonts w:hint="eastAsia"/>
          <w:bCs/>
        </w:rPr>
        <w:t>海南州国土空间总体规划</w:t>
      </w:r>
      <w:r w:rsidR="0091596C" w:rsidRPr="000549B1">
        <w:rPr>
          <w:rFonts w:hint="eastAsia"/>
          <w:bCs/>
        </w:rPr>
        <w:t>》</w:t>
      </w:r>
      <w:r w:rsidRPr="000549B1">
        <w:rPr>
          <w:bCs/>
        </w:rPr>
        <w:t>的协调性</w:t>
      </w:r>
    </w:p>
    <w:p w14:paraId="7AA870C3" w14:textId="77777777" w:rsidR="002F2485" w:rsidRPr="000549B1" w:rsidRDefault="002F2485" w:rsidP="002F2485">
      <w:pPr>
        <w:pStyle w:val="x"/>
      </w:pPr>
      <w:r w:rsidRPr="000549B1">
        <w:rPr>
          <w:bCs/>
        </w:rPr>
        <w:t>布局空间协调：</w:t>
      </w:r>
      <w:r w:rsidRPr="000549B1">
        <w:t>《海南州国土空间总体规划（</w:t>
      </w:r>
      <w:r w:rsidRPr="000549B1">
        <w:t>2021-2035</w:t>
      </w:r>
      <w:r w:rsidRPr="000549B1">
        <w:t>年）》对全州土地利用、生态保护红线和城镇空间作出了统筹安排。</w:t>
      </w:r>
      <w:r w:rsidRPr="000549B1">
        <w:rPr>
          <w:rFonts w:hint="eastAsia"/>
        </w:rPr>
        <w:t>规划</w:t>
      </w:r>
      <w:r w:rsidRPr="000549B1">
        <w:t>在制定水利工程布局时严格遵循国土空间规划的管制要求。例如，规划选定灌区和水库地址时</w:t>
      </w:r>
      <w:r w:rsidRPr="000549B1">
        <w:rPr>
          <w:bCs/>
        </w:rPr>
        <w:t>避开了永久基本农田、生态保护红线和沙化土地封禁保护区</w:t>
      </w:r>
      <w:r w:rsidRPr="000549B1">
        <w:t>等受限区域，确保水利工程建设不与空间规划的土地用途管制相冲突。</w:t>
      </w:r>
    </w:p>
    <w:p w14:paraId="2AFAF050" w14:textId="77777777" w:rsidR="002F2485" w:rsidRPr="000549B1" w:rsidRDefault="002F2485" w:rsidP="002F2485">
      <w:pPr>
        <w:pStyle w:val="x"/>
      </w:pPr>
      <w:r w:rsidRPr="000549B1">
        <w:t>设施选址融合：</w:t>
      </w:r>
      <w:r w:rsidRPr="000549B1">
        <w:rPr>
          <w:rFonts w:hint="eastAsia"/>
        </w:rPr>
        <w:t>规划</w:t>
      </w:r>
      <w:r w:rsidRPr="000549B1">
        <w:t>充分吸收了共和县、兴海县各级国土空间规划的成果。例如，在农村供水工程方案中，参考了《共和县国土空间总体规划（</w:t>
      </w:r>
      <w:r w:rsidRPr="000549B1">
        <w:t>2021-2035</w:t>
      </w:r>
      <w:r w:rsidRPr="000549B1">
        <w:t>年）》提供的村镇分布和用地预留情况，合理确定供水厂站和管网走向。又如，针对光伏发电园区集中区域，规划在灌溉用地布局上进行了回避和调整，防止与能源项目用地重叠。这些措施确保</w:t>
      </w:r>
      <w:r w:rsidRPr="000549B1">
        <w:rPr>
          <w:rFonts w:hint="eastAsia"/>
        </w:rPr>
        <w:t>规划</w:t>
      </w:r>
      <w:r w:rsidRPr="000549B1">
        <w:t>与国土空间规划各专项布局协调统一。</w:t>
      </w:r>
    </w:p>
    <w:p w14:paraId="77E1F01F" w14:textId="47C38135" w:rsidR="002F2485" w:rsidRPr="000549B1" w:rsidRDefault="002F2485" w:rsidP="002F2485">
      <w:pPr>
        <w:pStyle w:val="x"/>
        <w:rPr>
          <w:bCs/>
        </w:rPr>
      </w:pPr>
      <w:r w:rsidRPr="000549B1">
        <w:rPr>
          <w:bCs/>
        </w:rPr>
        <w:t>（三）与</w:t>
      </w:r>
      <w:r w:rsidR="0091596C" w:rsidRPr="000549B1">
        <w:rPr>
          <w:rFonts w:hint="eastAsia"/>
          <w:bCs/>
        </w:rPr>
        <w:t>《</w:t>
      </w:r>
      <w:r w:rsidRPr="000549B1">
        <w:rPr>
          <w:rFonts w:hint="eastAsia"/>
          <w:bCs/>
        </w:rPr>
        <w:t>海南州水利专项规划</w:t>
      </w:r>
      <w:r w:rsidR="0091596C" w:rsidRPr="000549B1">
        <w:rPr>
          <w:rFonts w:hint="eastAsia"/>
          <w:bCs/>
        </w:rPr>
        <w:t>》</w:t>
      </w:r>
      <w:r w:rsidRPr="000549B1">
        <w:rPr>
          <w:bCs/>
        </w:rPr>
        <w:t>的协调性</w:t>
      </w:r>
    </w:p>
    <w:p w14:paraId="31C5C4E8" w14:textId="77777777" w:rsidR="002F2485" w:rsidRPr="000549B1" w:rsidRDefault="002F2485" w:rsidP="002F2485">
      <w:pPr>
        <w:pStyle w:val="x"/>
      </w:pPr>
      <w:r w:rsidRPr="000549B1">
        <w:rPr>
          <w:bCs/>
        </w:rPr>
        <w:t>水安全保障规划：</w:t>
      </w:r>
      <w:r w:rsidRPr="000549B1">
        <w:t>《海南州</w:t>
      </w:r>
      <w:r w:rsidRPr="000549B1">
        <w:rPr>
          <w:rFonts w:ascii="宋体" w:hAnsi="宋体"/>
        </w:rPr>
        <w:t>“</w:t>
      </w:r>
      <w:r w:rsidRPr="000549B1">
        <w:t>十四五</w:t>
      </w:r>
      <w:r w:rsidRPr="000549B1">
        <w:rPr>
          <w:rFonts w:ascii="宋体" w:hAnsi="宋体"/>
        </w:rPr>
        <w:t>”</w:t>
      </w:r>
      <w:r w:rsidRPr="000549B1">
        <w:t>水安全保障规划》从全州层面部署了农村供水、水生态治理等任务。</w:t>
      </w:r>
      <w:r w:rsidRPr="000549B1">
        <w:rPr>
          <w:rFonts w:hint="eastAsia"/>
        </w:rPr>
        <w:t>规划</w:t>
      </w:r>
      <w:r w:rsidRPr="000549B1">
        <w:t>作为沙珠玉河流域的具体落实方案，所提出的各项工程与措施（如兴建集中供水工程、防洪治理重点河段、实施生态清淤等）正是对州级水安全规划在本流域的细化落实。通过这些项目的实施，可有力保障海南州整体水安全目标的实现，二者在目标和工程安排上高度一致。</w:t>
      </w:r>
    </w:p>
    <w:p w14:paraId="0B1FC4A3" w14:textId="77777777" w:rsidR="002F2485" w:rsidRPr="000549B1" w:rsidRDefault="002F2485" w:rsidP="002F2485">
      <w:pPr>
        <w:pStyle w:val="x"/>
      </w:pPr>
      <w:r w:rsidRPr="000549B1">
        <w:rPr>
          <w:bCs/>
        </w:rPr>
        <w:t>水资源综合规划：</w:t>
      </w:r>
      <w:r w:rsidRPr="000549B1">
        <w:t>《青海省海南州水资源综合规划》为全州水资源配置和利用提供了指导。</w:t>
      </w:r>
      <w:r w:rsidRPr="000549B1">
        <w:rPr>
          <w:rFonts w:hint="eastAsia"/>
        </w:rPr>
        <w:t>规划</w:t>
      </w:r>
      <w:r w:rsidRPr="000549B1">
        <w:t>在制定沙珠玉流域用水布局时，与该综合规划保持一致：统筹考虑全州用水总量控制指标和分配方案，沙珠玉流域的用水规模和结构符合综合规划的统一安排；同时，</w:t>
      </w:r>
      <w:r w:rsidRPr="000549B1">
        <w:rPr>
          <w:rFonts w:hint="eastAsia"/>
        </w:rPr>
        <w:t>规划</w:t>
      </w:r>
      <w:r w:rsidRPr="000549B1">
        <w:t>提出的非常规水源利用、节水措施等亦与综合规划中提高用水效率、实现</w:t>
      </w:r>
      <w:r w:rsidRPr="000549B1">
        <w:rPr>
          <w:rFonts w:ascii="宋体" w:hAnsi="宋体"/>
        </w:rPr>
        <w:t>“</w:t>
      </w:r>
      <w:r w:rsidRPr="000549B1">
        <w:t>三条红线</w:t>
      </w:r>
      <w:r w:rsidRPr="000549B1">
        <w:rPr>
          <w:rFonts w:ascii="宋体" w:hAnsi="宋体"/>
        </w:rPr>
        <w:t>”</w:t>
      </w:r>
      <w:r w:rsidRPr="000549B1">
        <w:t>管理的思路相契合，确保流域规划不偏离全州水资源管理的大框架。</w:t>
      </w:r>
    </w:p>
    <w:p w14:paraId="5CC75836" w14:textId="77777777" w:rsidR="002F2485" w:rsidRPr="000549B1" w:rsidRDefault="002F2485" w:rsidP="002F2485">
      <w:pPr>
        <w:pStyle w:val="x"/>
        <w:rPr>
          <w:bCs/>
        </w:rPr>
      </w:pPr>
      <w:r w:rsidRPr="000549B1">
        <w:rPr>
          <w:bCs/>
        </w:rPr>
        <w:t>（四）与相关行业规划的协调性</w:t>
      </w:r>
    </w:p>
    <w:p w14:paraId="668FF5E4" w14:textId="77777777" w:rsidR="002F2485" w:rsidRPr="000549B1" w:rsidRDefault="002F2485" w:rsidP="002F2485">
      <w:pPr>
        <w:pStyle w:val="x"/>
      </w:pPr>
      <w:r w:rsidRPr="000549B1">
        <w:rPr>
          <w:bCs/>
        </w:rPr>
        <w:t>清洁能源发展规划：</w:t>
      </w:r>
      <w:r w:rsidRPr="000549B1">
        <w:t>《海南州十四五清洁能源发展规划》提出大规模发展光伏、风能等新能源产业。</w:t>
      </w:r>
      <w:r w:rsidRPr="000549B1">
        <w:rPr>
          <w:rFonts w:hint="eastAsia"/>
        </w:rPr>
        <w:t>规划</w:t>
      </w:r>
      <w:r w:rsidRPr="000549B1">
        <w:t>充分考虑清洁能源基地建设对水资源的需求和对生态环境的影响。一方面，在水资源配置上优先保障光伏产业基地施工及运营期必要的用水，通过调配现有水源和非常规水源，满足清洁能源项目的水需求；另一方面，</w:t>
      </w:r>
      <w:r w:rsidRPr="000549B1">
        <w:rPr>
          <w:rFonts w:hint="eastAsia"/>
        </w:rPr>
        <w:t>规划</w:t>
      </w:r>
      <w:r w:rsidRPr="000549B1">
        <w:t>的生态保护措施（如防风固沙和水土保持工程）将改善新能源基地周边的生态环境，减少风沙对光伏场区的危害，间接支持了清洁能源项目的顺利实施。因此，</w:t>
      </w:r>
      <w:r w:rsidRPr="000549B1">
        <w:rPr>
          <w:rFonts w:hint="eastAsia"/>
        </w:rPr>
        <w:t>规划</w:t>
      </w:r>
      <w:r w:rsidRPr="000549B1">
        <w:t>与清洁能源规划在资源利用和生态保护方面相互促进、协调一致。</w:t>
      </w:r>
    </w:p>
    <w:p w14:paraId="3BD929B5" w14:textId="77777777" w:rsidR="002F2485" w:rsidRPr="000549B1" w:rsidRDefault="002F2485" w:rsidP="002F2485">
      <w:pPr>
        <w:pStyle w:val="x"/>
      </w:pPr>
      <w:r w:rsidRPr="000549B1">
        <w:t>农业发展规划：结合海南州及共和县相关农业发展规划要求（例如推进青稞、高原油菜等高产优质农作物种植），</w:t>
      </w:r>
      <w:r w:rsidRPr="000549B1">
        <w:rPr>
          <w:rFonts w:hint="eastAsia"/>
        </w:rPr>
        <w:t>规划</w:t>
      </w:r>
      <w:r w:rsidRPr="000549B1">
        <w:t>通过新增灌溉面积和改造中低产田等措施，为优化农业种植结构提供了水利支撑。规划明确到</w:t>
      </w:r>
      <w:r w:rsidRPr="000549B1">
        <w:t>2035</w:t>
      </w:r>
      <w:r w:rsidRPr="000549B1">
        <w:t>年流域新增高效灌溉面积，并提高灌溉水利用系数，有利于农业节水增产。这些内容很好地契合了当地农业规划</w:t>
      </w:r>
      <w:r w:rsidRPr="000549B1">
        <w:rPr>
          <w:rFonts w:ascii="宋体" w:hAnsi="宋体"/>
        </w:rPr>
        <w:t>“</w:t>
      </w:r>
      <w:r w:rsidRPr="000549B1">
        <w:t>保障粮食安全、发展特色种植</w:t>
      </w:r>
      <w:r w:rsidRPr="000549B1">
        <w:rPr>
          <w:rFonts w:ascii="宋体" w:hAnsi="宋体"/>
        </w:rPr>
        <w:t>”</w:t>
      </w:r>
      <w:r w:rsidRPr="000549B1">
        <w:t>的目标。</w:t>
      </w:r>
    </w:p>
    <w:p w14:paraId="1521E497" w14:textId="77777777" w:rsidR="002F2485" w:rsidRPr="000549B1" w:rsidRDefault="002F2485" w:rsidP="002F2485">
      <w:pPr>
        <w:pStyle w:val="x"/>
      </w:pPr>
      <w:r w:rsidRPr="000549B1">
        <w:t>综上，在同层级的各项规划层面，</w:t>
      </w:r>
      <w:r w:rsidRPr="000549B1">
        <w:rPr>
          <w:rFonts w:hint="eastAsia"/>
        </w:rPr>
        <w:t>规划</w:t>
      </w:r>
      <w:r w:rsidRPr="000549B1">
        <w:t>与海南州的社会经济发展、国土空间、以及水利相关专项规划均保持了总体协调。一方面，</w:t>
      </w:r>
      <w:r w:rsidRPr="000549B1">
        <w:rPr>
          <w:rFonts w:hint="eastAsia"/>
        </w:rPr>
        <w:t>规划</w:t>
      </w:r>
      <w:r w:rsidRPr="000549B1">
        <w:t>为相关规划的实施提供了必要的水利条件支撑；另一方面，各规划提出的约束与需求（如用水控制指标、生态保护红线等）也充分反映在</w:t>
      </w:r>
      <w:r w:rsidRPr="000549B1">
        <w:rPr>
          <w:rFonts w:hint="eastAsia"/>
        </w:rPr>
        <w:t>规划</w:t>
      </w:r>
      <w:r w:rsidRPr="000549B1">
        <w:t>方案中。各规划之间未发现明显冲突，</w:t>
      </w:r>
      <w:r w:rsidRPr="000549B1">
        <w:rPr>
          <w:rFonts w:hint="eastAsia"/>
        </w:rPr>
        <w:t>规划</w:t>
      </w:r>
      <w:r w:rsidRPr="000549B1">
        <w:t>的实施将与相关规划形成合力，推动区域可持续发展。</w:t>
      </w:r>
    </w:p>
    <w:p w14:paraId="2C575FED" w14:textId="77777777" w:rsidR="00054437" w:rsidRPr="000549B1" w:rsidRDefault="00054437">
      <w:pPr>
        <w:pStyle w:val="x"/>
      </w:pPr>
    </w:p>
    <w:p w14:paraId="011FE922" w14:textId="77777777" w:rsidR="00361F83" w:rsidRPr="000549B1" w:rsidRDefault="00361F83">
      <w:pPr>
        <w:pStyle w:val="x"/>
      </w:pPr>
    </w:p>
    <w:p w14:paraId="4981463F" w14:textId="77777777" w:rsidR="00361F83" w:rsidRPr="000549B1" w:rsidRDefault="00361F83">
      <w:pPr>
        <w:pStyle w:val="x"/>
      </w:pPr>
    </w:p>
    <w:p w14:paraId="245CD2DF" w14:textId="77777777" w:rsidR="00361F83" w:rsidRPr="000549B1" w:rsidRDefault="00361F83">
      <w:pPr>
        <w:pStyle w:val="x"/>
      </w:pPr>
    </w:p>
    <w:p w14:paraId="17953A2F" w14:textId="77777777" w:rsidR="00361F83" w:rsidRPr="000549B1" w:rsidRDefault="00361F83">
      <w:pPr>
        <w:pStyle w:val="x"/>
      </w:pPr>
    </w:p>
    <w:p w14:paraId="59331837" w14:textId="77777777" w:rsidR="00361F83" w:rsidRPr="000549B1" w:rsidRDefault="00361F83">
      <w:pPr>
        <w:pStyle w:val="x"/>
      </w:pPr>
    </w:p>
    <w:p w14:paraId="281B600B" w14:textId="1A2DD71C" w:rsidR="00054437" w:rsidRPr="000549B1" w:rsidRDefault="00000000">
      <w:pPr>
        <w:pStyle w:val="aff8"/>
        <w:rPr>
          <w:color w:val="auto"/>
        </w:rPr>
      </w:pPr>
      <w:r w:rsidRPr="000549B1">
        <w:rPr>
          <w:color w:val="auto"/>
        </w:rPr>
        <w:t>表</w:t>
      </w:r>
      <w:r w:rsidR="00372953">
        <w:rPr>
          <w:color w:val="auto"/>
        </w:rPr>
        <w:fldChar w:fldCharType="begin"/>
      </w:r>
      <w:r w:rsidR="00372953">
        <w:rPr>
          <w:color w:val="auto"/>
        </w:rPr>
        <w:instrText xml:space="preserve"> STYLEREF 2 \s </w:instrText>
      </w:r>
      <w:r w:rsidR="00372953">
        <w:rPr>
          <w:color w:val="auto"/>
        </w:rPr>
        <w:fldChar w:fldCharType="separate"/>
      </w:r>
      <w:r w:rsidR="00372953">
        <w:rPr>
          <w:noProof/>
          <w:color w:val="auto"/>
        </w:rPr>
        <w:t>2.2</w:t>
      </w:r>
      <w:r w:rsidR="00372953">
        <w:rPr>
          <w:color w:val="auto"/>
        </w:rPr>
        <w:fldChar w:fldCharType="end"/>
      </w:r>
      <w:r w:rsidR="00372953">
        <w:rPr>
          <w:color w:val="auto"/>
        </w:rPr>
        <w:noBreakHyphen/>
      </w:r>
      <w:r w:rsidR="00372953">
        <w:rPr>
          <w:color w:val="auto"/>
        </w:rPr>
        <w:fldChar w:fldCharType="begin"/>
      </w:r>
      <w:r w:rsidR="00372953">
        <w:rPr>
          <w:color w:val="auto"/>
        </w:rPr>
        <w:instrText xml:space="preserve"> SEQ </w:instrText>
      </w:r>
      <w:r w:rsidR="00372953">
        <w:rPr>
          <w:color w:val="auto"/>
        </w:rPr>
        <w:instrText>表</w:instrText>
      </w:r>
      <w:r w:rsidR="00372953">
        <w:rPr>
          <w:color w:val="auto"/>
        </w:rPr>
        <w:instrText xml:space="preserve"> \* ARABIC \s 2 </w:instrText>
      </w:r>
      <w:r w:rsidR="00372953">
        <w:rPr>
          <w:color w:val="auto"/>
        </w:rPr>
        <w:fldChar w:fldCharType="separate"/>
      </w:r>
      <w:r w:rsidR="00372953">
        <w:rPr>
          <w:noProof/>
          <w:color w:val="auto"/>
        </w:rPr>
        <w:t>2</w:t>
      </w:r>
      <w:r w:rsidR="00372953">
        <w:rPr>
          <w:color w:val="auto"/>
        </w:rPr>
        <w:fldChar w:fldCharType="end"/>
      </w:r>
      <w:r w:rsidRPr="000549B1">
        <w:rPr>
          <w:color w:val="auto"/>
        </w:rPr>
        <w:t>规划符合性分析对照表</w:t>
      </w:r>
    </w:p>
    <w:tbl>
      <w:tblPr>
        <w:tblW w:w="8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6"/>
        <w:gridCol w:w="4668"/>
        <w:gridCol w:w="718"/>
      </w:tblGrid>
      <w:tr w:rsidR="000549B1" w:rsidRPr="000549B1" w14:paraId="1A6F7089" w14:textId="77777777">
        <w:trPr>
          <w:trHeight w:val="810"/>
          <w:tblHeader/>
          <w:jc w:val="center"/>
        </w:trPr>
        <w:tc>
          <w:tcPr>
            <w:tcW w:w="2846" w:type="dxa"/>
            <w:vAlign w:val="center"/>
          </w:tcPr>
          <w:p w14:paraId="08EE43D9" w14:textId="77777777" w:rsidR="00054437" w:rsidRPr="000549B1" w:rsidRDefault="00000000">
            <w:pPr>
              <w:widowControl/>
              <w:jc w:val="center"/>
              <w:rPr>
                <w:b/>
                <w:bCs/>
                <w:kern w:val="0"/>
                <w:szCs w:val="21"/>
              </w:rPr>
            </w:pPr>
            <w:r w:rsidRPr="000549B1">
              <w:rPr>
                <w:b/>
                <w:bCs/>
                <w:kern w:val="0"/>
                <w:szCs w:val="21"/>
              </w:rPr>
              <w:t>法律</w:t>
            </w:r>
            <w:r w:rsidRPr="000549B1">
              <w:rPr>
                <w:b/>
                <w:bCs/>
                <w:kern w:val="0"/>
                <w:szCs w:val="21"/>
              </w:rPr>
              <w:t>/</w:t>
            </w:r>
            <w:r w:rsidRPr="000549B1">
              <w:rPr>
                <w:b/>
                <w:bCs/>
                <w:kern w:val="0"/>
                <w:szCs w:val="21"/>
              </w:rPr>
              <w:t>规划及主要目标要求</w:t>
            </w:r>
          </w:p>
        </w:tc>
        <w:tc>
          <w:tcPr>
            <w:tcW w:w="4668" w:type="dxa"/>
            <w:vAlign w:val="center"/>
          </w:tcPr>
          <w:p w14:paraId="13628043" w14:textId="77777777" w:rsidR="00054437" w:rsidRPr="000549B1" w:rsidRDefault="00000000">
            <w:pPr>
              <w:widowControl/>
              <w:jc w:val="center"/>
              <w:rPr>
                <w:b/>
                <w:bCs/>
                <w:kern w:val="0"/>
                <w:szCs w:val="21"/>
              </w:rPr>
            </w:pPr>
            <w:r w:rsidRPr="000549B1">
              <w:rPr>
                <w:rFonts w:hint="eastAsia"/>
                <w:b/>
                <w:bCs/>
                <w:kern w:val="0"/>
                <w:szCs w:val="21"/>
              </w:rPr>
              <w:t>规划</w:t>
            </w:r>
            <w:r w:rsidRPr="000549B1">
              <w:rPr>
                <w:b/>
                <w:bCs/>
                <w:kern w:val="0"/>
                <w:szCs w:val="21"/>
              </w:rPr>
              <w:t>对应的具体内容</w:t>
            </w:r>
          </w:p>
        </w:tc>
        <w:tc>
          <w:tcPr>
            <w:tcW w:w="718" w:type="dxa"/>
            <w:vAlign w:val="center"/>
          </w:tcPr>
          <w:p w14:paraId="7F487D83" w14:textId="77777777" w:rsidR="00054437" w:rsidRPr="000549B1" w:rsidRDefault="00000000">
            <w:pPr>
              <w:widowControl/>
              <w:jc w:val="center"/>
              <w:rPr>
                <w:b/>
                <w:bCs/>
                <w:kern w:val="0"/>
                <w:szCs w:val="21"/>
              </w:rPr>
            </w:pPr>
            <w:r w:rsidRPr="000549B1">
              <w:rPr>
                <w:b/>
                <w:bCs/>
                <w:kern w:val="0"/>
                <w:szCs w:val="21"/>
              </w:rPr>
              <w:t>是否符合</w:t>
            </w:r>
          </w:p>
        </w:tc>
      </w:tr>
      <w:tr w:rsidR="000549B1" w:rsidRPr="000549B1" w14:paraId="349234EC" w14:textId="77777777">
        <w:trPr>
          <w:trHeight w:val="1565"/>
          <w:jc w:val="center"/>
        </w:trPr>
        <w:tc>
          <w:tcPr>
            <w:tcW w:w="2846" w:type="dxa"/>
            <w:vAlign w:val="center"/>
          </w:tcPr>
          <w:p w14:paraId="138C3AEC" w14:textId="77777777" w:rsidR="00054437" w:rsidRPr="000549B1" w:rsidRDefault="00000000">
            <w:pPr>
              <w:widowControl/>
              <w:rPr>
                <w:kern w:val="0"/>
                <w:szCs w:val="21"/>
              </w:rPr>
            </w:pPr>
            <w:r w:rsidRPr="000549B1">
              <w:rPr>
                <w:kern w:val="0"/>
                <w:szCs w:val="21"/>
              </w:rPr>
              <w:t>《中华人民共和国水法》：统筹水资源开发利用，维护江河合理流量，保障生态需水。</w:t>
            </w:r>
          </w:p>
        </w:tc>
        <w:tc>
          <w:tcPr>
            <w:tcW w:w="4668" w:type="dxa"/>
            <w:vAlign w:val="center"/>
          </w:tcPr>
          <w:p w14:paraId="5CF6DB3F" w14:textId="77777777" w:rsidR="00054437" w:rsidRPr="000549B1" w:rsidRDefault="00000000">
            <w:pPr>
              <w:widowControl/>
              <w:rPr>
                <w:kern w:val="0"/>
                <w:szCs w:val="21"/>
              </w:rPr>
            </w:pPr>
            <w:r w:rsidRPr="000549B1">
              <w:rPr>
                <w:kern w:val="0"/>
                <w:szCs w:val="21"/>
              </w:rPr>
              <w:t>制定统一的流域水资源配置方案，控制取用水总量；考虑河道基本生态需水，确保不停留干涸；实行水源地保护和水功能区管理，维护河流健康流量。</w:t>
            </w:r>
          </w:p>
        </w:tc>
        <w:tc>
          <w:tcPr>
            <w:tcW w:w="718" w:type="dxa"/>
            <w:vAlign w:val="center"/>
          </w:tcPr>
          <w:p w14:paraId="53A13CC1" w14:textId="77777777" w:rsidR="00054437" w:rsidRPr="000549B1" w:rsidRDefault="00000000">
            <w:pPr>
              <w:widowControl/>
              <w:rPr>
                <w:kern w:val="0"/>
                <w:szCs w:val="21"/>
              </w:rPr>
            </w:pPr>
            <w:r w:rsidRPr="000549B1">
              <w:rPr>
                <w:kern w:val="0"/>
                <w:szCs w:val="21"/>
              </w:rPr>
              <w:t>符合</w:t>
            </w:r>
          </w:p>
        </w:tc>
      </w:tr>
      <w:tr w:rsidR="000549B1" w:rsidRPr="000549B1" w14:paraId="6C400C03" w14:textId="77777777">
        <w:trPr>
          <w:trHeight w:val="1711"/>
          <w:jc w:val="center"/>
        </w:trPr>
        <w:tc>
          <w:tcPr>
            <w:tcW w:w="2846" w:type="dxa"/>
            <w:vAlign w:val="center"/>
          </w:tcPr>
          <w:p w14:paraId="69084979" w14:textId="77777777" w:rsidR="00054437" w:rsidRPr="000549B1" w:rsidRDefault="00000000">
            <w:pPr>
              <w:widowControl/>
              <w:rPr>
                <w:kern w:val="0"/>
                <w:szCs w:val="21"/>
              </w:rPr>
            </w:pPr>
            <w:r w:rsidRPr="000549B1">
              <w:rPr>
                <w:kern w:val="0"/>
                <w:szCs w:val="21"/>
              </w:rPr>
              <w:t>《中华人民共和国防洪法》：突出防洪重点，统筹上下游和左右岸，工程与非工程措施结合，并与土地规划协调。</w:t>
            </w:r>
          </w:p>
        </w:tc>
        <w:tc>
          <w:tcPr>
            <w:tcW w:w="4668" w:type="dxa"/>
            <w:vAlign w:val="center"/>
          </w:tcPr>
          <w:p w14:paraId="2BEF1225" w14:textId="77777777" w:rsidR="00054437" w:rsidRPr="000549B1" w:rsidRDefault="00000000">
            <w:pPr>
              <w:widowControl/>
              <w:rPr>
                <w:kern w:val="0"/>
                <w:szCs w:val="21"/>
              </w:rPr>
            </w:pPr>
            <w:r w:rsidRPr="000549B1">
              <w:rPr>
                <w:kern w:val="0"/>
                <w:szCs w:val="21"/>
              </w:rPr>
              <w:t>明确以沿河乡镇等人口经济集中区为防洪重点；规划上下游综合治理</w:t>
            </w:r>
            <w:r w:rsidRPr="000549B1">
              <w:rPr>
                <w:kern w:val="0"/>
                <w:szCs w:val="21"/>
              </w:rPr>
              <w:t>8</w:t>
            </w:r>
            <w:r w:rsidRPr="000549B1">
              <w:rPr>
                <w:kern w:val="0"/>
                <w:szCs w:val="21"/>
              </w:rPr>
              <w:t>条山洪沟，实施堤防和疏浚工程并完善监测预警体系；防洪布局充分考虑国土空间规划限制。</w:t>
            </w:r>
          </w:p>
        </w:tc>
        <w:tc>
          <w:tcPr>
            <w:tcW w:w="718" w:type="dxa"/>
            <w:vAlign w:val="center"/>
          </w:tcPr>
          <w:p w14:paraId="2EAE133A" w14:textId="77777777" w:rsidR="00054437" w:rsidRPr="000549B1" w:rsidRDefault="00000000">
            <w:pPr>
              <w:widowControl/>
              <w:rPr>
                <w:kern w:val="0"/>
                <w:szCs w:val="21"/>
              </w:rPr>
            </w:pPr>
            <w:r w:rsidRPr="000549B1">
              <w:rPr>
                <w:kern w:val="0"/>
                <w:szCs w:val="21"/>
              </w:rPr>
              <w:t>符合</w:t>
            </w:r>
          </w:p>
        </w:tc>
      </w:tr>
      <w:tr w:rsidR="000549B1" w:rsidRPr="000549B1" w14:paraId="18F8022C" w14:textId="77777777">
        <w:trPr>
          <w:trHeight w:val="1654"/>
          <w:jc w:val="center"/>
        </w:trPr>
        <w:tc>
          <w:tcPr>
            <w:tcW w:w="2846" w:type="dxa"/>
            <w:vAlign w:val="center"/>
          </w:tcPr>
          <w:p w14:paraId="3B26BEBD" w14:textId="77777777" w:rsidR="00054437" w:rsidRPr="000549B1" w:rsidRDefault="00000000">
            <w:pPr>
              <w:widowControl/>
              <w:rPr>
                <w:kern w:val="0"/>
                <w:szCs w:val="21"/>
              </w:rPr>
            </w:pPr>
            <w:r w:rsidRPr="000549B1">
              <w:rPr>
                <w:kern w:val="0"/>
                <w:szCs w:val="21"/>
              </w:rPr>
              <w:t>《中华人民共和国水土保持法》：以预防保护为主，因地制宜治理水土流失，保护水源涵养林草。</w:t>
            </w:r>
          </w:p>
        </w:tc>
        <w:tc>
          <w:tcPr>
            <w:tcW w:w="4668" w:type="dxa"/>
            <w:vAlign w:val="center"/>
          </w:tcPr>
          <w:p w14:paraId="64B55F06" w14:textId="77777777" w:rsidR="00054437" w:rsidRPr="000549B1" w:rsidRDefault="00000000">
            <w:pPr>
              <w:widowControl/>
              <w:rPr>
                <w:kern w:val="0"/>
                <w:szCs w:val="21"/>
              </w:rPr>
            </w:pPr>
            <w:r w:rsidRPr="000549B1">
              <w:rPr>
                <w:kern w:val="0"/>
                <w:szCs w:val="21"/>
              </w:rPr>
              <w:t>划定水土流失预防区并实行封育保护，严禁陡坡开荒和过度放牧；规划实施坡耕地治理和植树种草工程治理沙化水土流失，加强林草植被恢复，涵养水源。</w:t>
            </w:r>
          </w:p>
        </w:tc>
        <w:tc>
          <w:tcPr>
            <w:tcW w:w="718" w:type="dxa"/>
            <w:vAlign w:val="center"/>
          </w:tcPr>
          <w:p w14:paraId="5AC8587F" w14:textId="77777777" w:rsidR="00054437" w:rsidRPr="000549B1" w:rsidRDefault="00000000">
            <w:pPr>
              <w:widowControl/>
              <w:rPr>
                <w:kern w:val="0"/>
                <w:szCs w:val="21"/>
              </w:rPr>
            </w:pPr>
            <w:r w:rsidRPr="000549B1">
              <w:rPr>
                <w:kern w:val="0"/>
                <w:szCs w:val="21"/>
              </w:rPr>
              <w:t>符合</w:t>
            </w:r>
          </w:p>
        </w:tc>
      </w:tr>
      <w:tr w:rsidR="000549B1" w:rsidRPr="000549B1" w14:paraId="28D127CF" w14:textId="77777777">
        <w:trPr>
          <w:trHeight w:val="1678"/>
          <w:jc w:val="center"/>
        </w:trPr>
        <w:tc>
          <w:tcPr>
            <w:tcW w:w="2846" w:type="dxa"/>
            <w:vAlign w:val="center"/>
          </w:tcPr>
          <w:p w14:paraId="227BF7AA" w14:textId="77777777" w:rsidR="00054437" w:rsidRPr="000549B1" w:rsidRDefault="00000000">
            <w:pPr>
              <w:widowControl/>
              <w:rPr>
                <w:kern w:val="0"/>
                <w:szCs w:val="21"/>
              </w:rPr>
            </w:pPr>
            <w:r w:rsidRPr="000549B1">
              <w:rPr>
                <w:kern w:val="0"/>
                <w:szCs w:val="21"/>
              </w:rPr>
              <w:t>《中华人民共和国环境保护法》：优先保护生态环境，防止污染，保护生物多样性和生态敏感区。</w:t>
            </w:r>
          </w:p>
        </w:tc>
        <w:tc>
          <w:tcPr>
            <w:tcW w:w="4668" w:type="dxa"/>
            <w:vAlign w:val="center"/>
          </w:tcPr>
          <w:p w14:paraId="793DF57C" w14:textId="77777777" w:rsidR="00054437" w:rsidRPr="000549B1" w:rsidRDefault="00000000">
            <w:pPr>
              <w:widowControl/>
              <w:rPr>
                <w:kern w:val="0"/>
                <w:szCs w:val="21"/>
              </w:rPr>
            </w:pPr>
            <w:r w:rsidRPr="000549B1">
              <w:rPr>
                <w:kern w:val="0"/>
                <w:szCs w:val="21"/>
              </w:rPr>
              <w:t>将天然草原湿地等生态功能区列为保护红线，避让自然保护区和重要栖息地；规划控制入河污染负荷，所有拟建工程配套环保措施；不开展破坏生态的开发活动。</w:t>
            </w:r>
          </w:p>
        </w:tc>
        <w:tc>
          <w:tcPr>
            <w:tcW w:w="718" w:type="dxa"/>
            <w:vAlign w:val="center"/>
          </w:tcPr>
          <w:p w14:paraId="730A731A" w14:textId="77777777" w:rsidR="00054437" w:rsidRPr="000549B1" w:rsidRDefault="00000000">
            <w:pPr>
              <w:widowControl/>
              <w:rPr>
                <w:kern w:val="0"/>
                <w:szCs w:val="21"/>
              </w:rPr>
            </w:pPr>
            <w:r w:rsidRPr="000549B1">
              <w:rPr>
                <w:kern w:val="0"/>
                <w:szCs w:val="21"/>
              </w:rPr>
              <w:t>符合</w:t>
            </w:r>
          </w:p>
        </w:tc>
      </w:tr>
      <w:tr w:rsidR="000549B1" w:rsidRPr="000549B1" w14:paraId="0FE20F01" w14:textId="77777777">
        <w:trPr>
          <w:trHeight w:val="1679"/>
          <w:jc w:val="center"/>
        </w:trPr>
        <w:tc>
          <w:tcPr>
            <w:tcW w:w="2846" w:type="dxa"/>
            <w:vAlign w:val="center"/>
          </w:tcPr>
          <w:p w14:paraId="3FA36722" w14:textId="77777777" w:rsidR="00054437" w:rsidRPr="000549B1" w:rsidRDefault="00000000">
            <w:pPr>
              <w:widowControl/>
              <w:rPr>
                <w:kern w:val="0"/>
                <w:szCs w:val="21"/>
              </w:rPr>
            </w:pPr>
            <w:r w:rsidRPr="000549B1">
              <w:rPr>
                <w:kern w:val="0"/>
                <w:szCs w:val="21"/>
              </w:rPr>
              <w:t>《中华人民共和国水污染防治法》：防治水体污染，保护水源水质，落实饮用水水源保护制度。</w:t>
            </w:r>
          </w:p>
        </w:tc>
        <w:tc>
          <w:tcPr>
            <w:tcW w:w="4668" w:type="dxa"/>
            <w:vAlign w:val="center"/>
          </w:tcPr>
          <w:p w14:paraId="0768B6D3" w14:textId="77777777" w:rsidR="00054437" w:rsidRPr="000549B1" w:rsidRDefault="00000000">
            <w:pPr>
              <w:widowControl/>
              <w:rPr>
                <w:kern w:val="0"/>
                <w:szCs w:val="21"/>
              </w:rPr>
            </w:pPr>
            <w:r w:rsidRPr="000549B1">
              <w:rPr>
                <w:kern w:val="0"/>
                <w:szCs w:val="21"/>
              </w:rPr>
              <w:t>建立沙珠玉河流域饮用水水源地保护区并完善监管机制；规划新建和改造污水处理设施，严格控制农业面源和畜牧污染；确保出水水质和水源地水质达标稳定。</w:t>
            </w:r>
          </w:p>
        </w:tc>
        <w:tc>
          <w:tcPr>
            <w:tcW w:w="718" w:type="dxa"/>
            <w:vAlign w:val="center"/>
          </w:tcPr>
          <w:p w14:paraId="6A903A5E" w14:textId="77777777" w:rsidR="00054437" w:rsidRPr="000549B1" w:rsidRDefault="00000000">
            <w:pPr>
              <w:widowControl/>
              <w:rPr>
                <w:kern w:val="0"/>
                <w:szCs w:val="21"/>
              </w:rPr>
            </w:pPr>
            <w:r w:rsidRPr="000549B1">
              <w:rPr>
                <w:kern w:val="0"/>
                <w:szCs w:val="21"/>
              </w:rPr>
              <w:t>符合</w:t>
            </w:r>
          </w:p>
        </w:tc>
      </w:tr>
      <w:tr w:rsidR="000549B1" w:rsidRPr="000549B1" w14:paraId="3B771BE1" w14:textId="77777777">
        <w:trPr>
          <w:trHeight w:val="1826"/>
          <w:jc w:val="center"/>
        </w:trPr>
        <w:tc>
          <w:tcPr>
            <w:tcW w:w="2846" w:type="dxa"/>
            <w:vAlign w:val="center"/>
          </w:tcPr>
          <w:p w14:paraId="614D7565" w14:textId="77777777" w:rsidR="00054437" w:rsidRPr="000549B1" w:rsidRDefault="00000000">
            <w:pPr>
              <w:widowControl/>
              <w:rPr>
                <w:kern w:val="0"/>
                <w:szCs w:val="21"/>
              </w:rPr>
            </w:pPr>
            <w:r w:rsidRPr="000549B1">
              <w:rPr>
                <w:kern w:val="0"/>
                <w:szCs w:val="21"/>
              </w:rPr>
              <w:t>《中华人民共和国防沙治沙法》：预防土地沙漠化，治理沙化源头，保护沙区生态安全。</w:t>
            </w:r>
          </w:p>
        </w:tc>
        <w:tc>
          <w:tcPr>
            <w:tcW w:w="4668" w:type="dxa"/>
            <w:vAlign w:val="center"/>
          </w:tcPr>
          <w:p w14:paraId="006C6309" w14:textId="77777777" w:rsidR="00054437" w:rsidRPr="000549B1" w:rsidRDefault="00000000">
            <w:pPr>
              <w:widowControl/>
              <w:rPr>
                <w:kern w:val="0"/>
                <w:szCs w:val="21"/>
              </w:rPr>
            </w:pPr>
            <w:r w:rsidRPr="000549B1">
              <w:rPr>
                <w:kern w:val="0"/>
                <w:szCs w:val="21"/>
              </w:rPr>
              <w:t>在流域下游沙化严重区实施防沙治沙工程，营造防风固沙林带和草方格，减少风沙危害；巩固已有沙化土地封禁保护区成效，遏制沙丘扩展，改善沙区生态。</w:t>
            </w:r>
          </w:p>
        </w:tc>
        <w:tc>
          <w:tcPr>
            <w:tcW w:w="718" w:type="dxa"/>
            <w:vAlign w:val="center"/>
          </w:tcPr>
          <w:p w14:paraId="509A71BB" w14:textId="77777777" w:rsidR="00054437" w:rsidRPr="000549B1" w:rsidRDefault="00000000">
            <w:pPr>
              <w:widowControl/>
              <w:rPr>
                <w:kern w:val="0"/>
                <w:szCs w:val="21"/>
              </w:rPr>
            </w:pPr>
            <w:r w:rsidRPr="000549B1">
              <w:rPr>
                <w:kern w:val="0"/>
                <w:szCs w:val="21"/>
              </w:rPr>
              <w:t>符合</w:t>
            </w:r>
          </w:p>
        </w:tc>
      </w:tr>
      <w:tr w:rsidR="000549B1" w:rsidRPr="000549B1" w14:paraId="2CE38528" w14:textId="77777777">
        <w:trPr>
          <w:trHeight w:val="1526"/>
          <w:jc w:val="center"/>
        </w:trPr>
        <w:tc>
          <w:tcPr>
            <w:tcW w:w="2846" w:type="dxa"/>
            <w:vAlign w:val="center"/>
          </w:tcPr>
          <w:p w14:paraId="73B45AA6" w14:textId="77777777" w:rsidR="00054437" w:rsidRPr="000549B1" w:rsidRDefault="00000000">
            <w:pPr>
              <w:widowControl/>
              <w:rPr>
                <w:kern w:val="0"/>
                <w:szCs w:val="21"/>
              </w:rPr>
            </w:pPr>
            <w:r w:rsidRPr="000549B1">
              <w:rPr>
                <w:kern w:val="0"/>
                <w:szCs w:val="21"/>
              </w:rPr>
              <w:t>《青海省主体功能区规划》：共和县属限制开发的生态功能区，应强化生态保护，适度发展。</w:t>
            </w:r>
          </w:p>
        </w:tc>
        <w:tc>
          <w:tcPr>
            <w:tcW w:w="4668" w:type="dxa"/>
            <w:vAlign w:val="center"/>
          </w:tcPr>
          <w:p w14:paraId="749B4EC5" w14:textId="77777777" w:rsidR="00054437" w:rsidRPr="000549B1" w:rsidRDefault="00000000">
            <w:pPr>
              <w:widowControl/>
              <w:rPr>
                <w:kern w:val="0"/>
                <w:szCs w:val="21"/>
              </w:rPr>
            </w:pPr>
            <w:r w:rsidRPr="000549B1">
              <w:rPr>
                <w:rFonts w:hint="eastAsia"/>
                <w:kern w:val="0"/>
                <w:szCs w:val="21"/>
              </w:rPr>
              <w:t>规划</w:t>
            </w:r>
            <w:r w:rsidRPr="000549B1">
              <w:rPr>
                <w:kern w:val="0"/>
                <w:szCs w:val="21"/>
              </w:rPr>
              <w:t>定位流域为生态优先区，以水源涵养和环境保护为主要任务；严格控制高强度水利开发，仅适度建设民生水利工程，确保生态功能不受破坏。</w:t>
            </w:r>
          </w:p>
        </w:tc>
        <w:tc>
          <w:tcPr>
            <w:tcW w:w="718" w:type="dxa"/>
            <w:vAlign w:val="center"/>
          </w:tcPr>
          <w:p w14:paraId="5A3C2C75" w14:textId="77777777" w:rsidR="00054437" w:rsidRPr="000549B1" w:rsidRDefault="00000000">
            <w:pPr>
              <w:widowControl/>
              <w:rPr>
                <w:kern w:val="0"/>
                <w:szCs w:val="21"/>
              </w:rPr>
            </w:pPr>
            <w:r w:rsidRPr="000549B1">
              <w:rPr>
                <w:kern w:val="0"/>
                <w:szCs w:val="21"/>
              </w:rPr>
              <w:t>符合</w:t>
            </w:r>
          </w:p>
        </w:tc>
      </w:tr>
      <w:tr w:rsidR="000549B1" w:rsidRPr="000549B1" w14:paraId="239B21C1" w14:textId="77777777">
        <w:trPr>
          <w:trHeight w:val="1565"/>
          <w:jc w:val="center"/>
        </w:trPr>
        <w:tc>
          <w:tcPr>
            <w:tcW w:w="2846" w:type="dxa"/>
            <w:vAlign w:val="center"/>
          </w:tcPr>
          <w:p w14:paraId="2B6A62F6" w14:textId="77777777" w:rsidR="00054437" w:rsidRPr="000549B1" w:rsidRDefault="00000000">
            <w:pPr>
              <w:widowControl/>
              <w:rPr>
                <w:kern w:val="0"/>
                <w:szCs w:val="21"/>
              </w:rPr>
            </w:pPr>
            <w:r w:rsidRPr="000549B1">
              <w:rPr>
                <w:kern w:val="0"/>
                <w:szCs w:val="21"/>
              </w:rPr>
              <w:t>《青海省</w:t>
            </w:r>
            <w:r w:rsidRPr="000549B1">
              <w:rPr>
                <w:rFonts w:ascii="宋体" w:hAnsi="宋体"/>
                <w:kern w:val="0"/>
                <w:szCs w:val="21"/>
              </w:rPr>
              <w:t>“</w:t>
            </w:r>
            <w:r w:rsidRPr="000549B1">
              <w:rPr>
                <w:kern w:val="0"/>
                <w:szCs w:val="21"/>
              </w:rPr>
              <w:t>十四五</w:t>
            </w:r>
            <w:r w:rsidRPr="000549B1">
              <w:rPr>
                <w:rFonts w:ascii="宋体" w:hAnsi="宋体"/>
                <w:kern w:val="0"/>
                <w:szCs w:val="21"/>
              </w:rPr>
              <w:t>”</w:t>
            </w:r>
            <w:r w:rsidRPr="000549B1">
              <w:rPr>
                <w:kern w:val="0"/>
                <w:szCs w:val="21"/>
              </w:rPr>
              <w:t>水安全保障规划》：提升全省水利基础设施，</w:t>
            </w:r>
            <w:r w:rsidRPr="000549B1">
              <w:rPr>
                <w:kern w:val="0"/>
                <w:szCs w:val="21"/>
              </w:rPr>
              <w:t>2025</w:t>
            </w:r>
            <w:r w:rsidRPr="000549B1">
              <w:rPr>
                <w:kern w:val="0"/>
                <w:szCs w:val="21"/>
              </w:rPr>
              <w:t>年前显著增强供水、防洪和水生态保障能力。</w:t>
            </w:r>
          </w:p>
        </w:tc>
        <w:tc>
          <w:tcPr>
            <w:tcW w:w="4668" w:type="dxa"/>
            <w:vAlign w:val="center"/>
          </w:tcPr>
          <w:p w14:paraId="5BA0A602" w14:textId="77777777" w:rsidR="00054437" w:rsidRPr="000549B1" w:rsidRDefault="00000000">
            <w:pPr>
              <w:widowControl/>
              <w:rPr>
                <w:kern w:val="0"/>
                <w:szCs w:val="21"/>
              </w:rPr>
            </w:pPr>
            <w:r w:rsidRPr="000549B1">
              <w:rPr>
                <w:kern w:val="0"/>
                <w:szCs w:val="21"/>
              </w:rPr>
              <w:t>布局流域内供水、水资源调配、防洪和水生态修复工程，如农村供水巩固提升、重点河段治理和河道生态补水等，补齐本区域水利短板，直接服务于全省水安全目标。</w:t>
            </w:r>
          </w:p>
        </w:tc>
        <w:tc>
          <w:tcPr>
            <w:tcW w:w="718" w:type="dxa"/>
            <w:vAlign w:val="center"/>
          </w:tcPr>
          <w:p w14:paraId="73963A8D" w14:textId="77777777" w:rsidR="00054437" w:rsidRPr="000549B1" w:rsidRDefault="00000000">
            <w:pPr>
              <w:widowControl/>
              <w:rPr>
                <w:kern w:val="0"/>
                <w:szCs w:val="21"/>
              </w:rPr>
            </w:pPr>
            <w:r w:rsidRPr="000549B1">
              <w:rPr>
                <w:kern w:val="0"/>
                <w:szCs w:val="21"/>
              </w:rPr>
              <w:t>符合</w:t>
            </w:r>
          </w:p>
        </w:tc>
      </w:tr>
      <w:tr w:rsidR="000549B1" w:rsidRPr="000549B1" w14:paraId="66C52675" w14:textId="77777777">
        <w:trPr>
          <w:trHeight w:val="2132"/>
          <w:jc w:val="center"/>
        </w:trPr>
        <w:tc>
          <w:tcPr>
            <w:tcW w:w="2846" w:type="dxa"/>
            <w:vAlign w:val="center"/>
          </w:tcPr>
          <w:p w14:paraId="71799FD4" w14:textId="77777777" w:rsidR="00054437" w:rsidRPr="000549B1" w:rsidRDefault="00000000">
            <w:pPr>
              <w:widowControl/>
              <w:rPr>
                <w:kern w:val="0"/>
                <w:szCs w:val="21"/>
              </w:rPr>
            </w:pPr>
            <w:r w:rsidRPr="000549B1">
              <w:rPr>
                <w:kern w:val="0"/>
                <w:szCs w:val="21"/>
              </w:rPr>
              <w:t>《海南州国民经济和社会发展第十四个五年规划纲要》：经济发展与资源环境协调，提高城镇化率，发展清洁能源和特色农牧业。</w:t>
            </w:r>
          </w:p>
        </w:tc>
        <w:tc>
          <w:tcPr>
            <w:tcW w:w="4668" w:type="dxa"/>
            <w:vAlign w:val="center"/>
          </w:tcPr>
          <w:p w14:paraId="6B645708" w14:textId="77777777" w:rsidR="00054437" w:rsidRPr="000549B1" w:rsidRDefault="00000000">
            <w:pPr>
              <w:widowControl/>
              <w:rPr>
                <w:kern w:val="0"/>
                <w:szCs w:val="21"/>
              </w:rPr>
            </w:pPr>
            <w:r w:rsidRPr="000549B1">
              <w:rPr>
                <w:kern w:val="0"/>
                <w:szCs w:val="21"/>
              </w:rPr>
              <w:t>依据纲要的人口和产业布局预测用水需求；规划加强城镇供水、防洪基础设施以支撑城镇化；保障新能源基地和特色农牧业用水需求，水利建设与产业布局同步推进。</w:t>
            </w:r>
          </w:p>
        </w:tc>
        <w:tc>
          <w:tcPr>
            <w:tcW w:w="718" w:type="dxa"/>
            <w:vAlign w:val="center"/>
          </w:tcPr>
          <w:p w14:paraId="3746F82D" w14:textId="77777777" w:rsidR="00054437" w:rsidRPr="000549B1" w:rsidRDefault="00000000">
            <w:pPr>
              <w:widowControl/>
              <w:rPr>
                <w:kern w:val="0"/>
                <w:szCs w:val="21"/>
              </w:rPr>
            </w:pPr>
            <w:r w:rsidRPr="000549B1">
              <w:rPr>
                <w:kern w:val="0"/>
                <w:szCs w:val="21"/>
              </w:rPr>
              <w:t>符合</w:t>
            </w:r>
          </w:p>
        </w:tc>
      </w:tr>
      <w:tr w:rsidR="000549B1" w:rsidRPr="000549B1" w14:paraId="3F08066A" w14:textId="77777777">
        <w:trPr>
          <w:trHeight w:val="1675"/>
          <w:jc w:val="center"/>
        </w:trPr>
        <w:tc>
          <w:tcPr>
            <w:tcW w:w="2846" w:type="dxa"/>
            <w:vAlign w:val="center"/>
          </w:tcPr>
          <w:p w14:paraId="45277848" w14:textId="77777777" w:rsidR="00054437" w:rsidRPr="000549B1" w:rsidRDefault="00000000">
            <w:pPr>
              <w:widowControl/>
              <w:rPr>
                <w:kern w:val="0"/>
                <w:szCs w:val="21"/>
              </w:rPr>
            </w:pPr>
            <w:r w:rsidRPr="000549B1">
              <w:rPr>
                <w:kern w:val="0"/>
                <w:szCs w:val="21"/>
              </w:rPr>
              <w:t>《海南州国土空间总体规划（</w:t>
            </w:r>
            <w:r w:rsidRPr="000549B1">
              <w:rPr>
                <w:kern w:val="0"/>
                <w:szCs w:val="21"/>
              </w:rPr>
              <w:t>2021-2035</w:t>
            </w:r>
            <w:r w:rsidRPr="000549B1">
              <w:rPr>
                <w:kern w:val="0"/>
                <w:szCs w:val="21"/>
              </w:rPr>
              <w:t>年）》：科学布局生产、生活、生态空间，严守生态保护红线和耕地红线。</w:t>
            </w:r>
          </w:p>
        </w:tc>
        <w:tc>
          <w:tcPr>
            <w:tcW w:w="4668" w:type="dxa"/>
            <w:vAlign w:val="center"/>
          </w:tcPr>
          <w:p w14:paraId="2BAB1376" w14:textId="77777777" w:rsidR="00054437" w:rsidRPr="000549B1" w:rsidRDefault="00000000">
            <w:pPr>
              <w:widowControl/>
              <w:rPr>
                <w:kern w:val="0"/>
                <w:szCs w:val="21"/>
              </w:rPr>
            </w:pPr>
            <w:r w:rsidRPr="000549B1">
              <w:rPr>
                <w:kern w:val="0"/>
                <w:szCs w:val="21"/>
              </w:rPr>
              <w:t>流域水利工程选址与土地规划充分衔接：供水管线走廊、灌区范围避让基本农田和生态红线；水库淹没影响区均在允许范围内，无违规占用受保护空间，实现规划用地协调。</w:t>
            </w:r>
          </w:p>
        </w:tc>
        <w:tc>
          <w:tcPr>
            <w:tcW w:w="718" w:type="dxa"/>
            <w:vAlign w:val="center"/>
          </w:tcPr>
          <w:p w14:paraId="1BBA7BC8" w14:textId="77777777" w:rsidR="00054437" w:rsidRPr="000549B1" w:rsidRDefault="00000000">
            <w:pPr>
              <w:widowControl/>
              <w:rPr>
                <w:kern w:val="0"/>
                <w:szCs w:val="21"/>
              </w:rPr>
            </w:pPr>
            <w:r w:rsidRPr="000549B1">
              <w:rPr>
                <w:kern w:val="0"/>
                <w:szCs w:val="21"/>
              </w:rPr>
              <w:t>符合</w:t>
            </w:r>
          </w:p>
        </w:tc>
      </w:tr>
      <w:tr w:rsidR="000549B1" w:rsidRPr="000549B1" w14:paraId="0CE663E5" w14:textId="77777777">
        <w:trPr>
          <w:trHeight w:val="1690"/>
          <w:jc w:val="center"/>
        </w:trPr>
        <w:tc>
          <w:tcPr>
            <w:tcW w:w="2846" w:type="dxa"/>
            <w:vAlign w:val="center"/>
          </w:tcPr>
          <w:p w14:paraId="4A65BB9B" w14:textId="77777777" w:rsidR="00054437" w:rsidRPr="000549B1" w:rsidRDefault="00000000">
            <w:pPr>
              <w:widowControl/>
              <w:rPr>
                <w:kern w:val="0"/>
                <w:szCs w:val="21"/>
              </w:rPr>
            </w:pPr>
            <w:r w:rsidRPr="000549B1">
              <w:rPr>
                <w:kern w:val="0"/>
                <w:szCs w:val="21"/>
              </w:rPr>
              <w:t>《海南州</w:t>
            </w:r>
            <w:r w:rsidRPr="000549B1">
              <w:rPr>
                <w:rFonts w:ascii="宋体" w:hAnsi="宋体"/>
                <w:kern w:val="0"/>
                <w:szCs w:val="21"/>
              </w:rPr>
              <w:t>“</w:t>
            </w:r>
            <w:r w:rsidRPr="000549B1">
              <w:rPr>
                <w:kern w:val="0"/>
                <w:szCs w:val="21"/>
              </w:rPr>
              <w:t>十四五</w:t>
            </w:r>
            <w:r w:rsidRPr="000549B1">
              <w:rPr>
                <w:rFonts w:ascii="宋体" w:hAnsi="宋体"/>
                <w:kern w:val="0"/>
                <w:szCs w:val="21"/>
              </w:rPr>
              <w:t>”</w:t>
            </w:r>
            <w:r w:rsidRPr="000549B1">
              <w:rPr>
                <w:kern w:val="0"/>
                <w:szCs w:val="21"/>
              </w:rPr>
              <w:t>水安全保障规划》：巩固提升农村饮水安全，完善防洪减灾体系，推进水生态治理。</w:t>
            </w:r>
          </w:p>
        </w:tc>
        <w:tc>
          <w:tcPr>
            <w:tcW w:w="4668" w:type="dxa"/>
            <w:vAlign w:val="center"/>
          </w:tcPr>
          <w:p w14:paraId="704E687D" w14:textId="77777777" w:rsidR="00054437" w:rsidRPr="000549B1" w:rsidRDefault="00000000">
            <w:pPr>
              <w:widowControl/>
              <w:rPr>
                <w:kern w:val="0"/>
                <w:szCs w:val="21"/>
              </w:rPr>
            </w:pPr>
            <w:r w:rsidRPr="000549B1">
              <w:rPr>
                <w:kern w:val="0"/>
                <w:szCs w:val="21"/>
              </w:rPr>
              <w:t>提出了与州规划一致的措施：新建集中供水工程提高农村自来水普及率；治理山洪沟道和病险水库，构建流域防洪体系；实施河湖生态治理工程，改善水生态环境。</w:t>
            </w:r>
          </w:p>
        </w:tc>
        <w:tc>
          <w:tcPr>
            <w:tcW w:w="718" w:type="dxa"/>
            <w:vAlign w:val="center"/>
          </w:tcPr>
          <w:p w14:paraId="22E7C199" w14:textId="77777777" w:rsidR="00054437" w:rsidRPr="000549B1" w:rsidRDefault="00000000">
            <w:pPr>
              <w:widowControl/>
              <w:rPr>
                <w:kern w:val="0"/>
                <w:szCs w:val="21"/>
              </w:rPr>
            </w:pPr>
            <w:r w:rsidRPr="000549B1">
              <w:rPr>
                <w:kern w:val="0"/>
                <w:szCs w:val="21"/>
              </w:rPr>
              <w:t>符合</w:t>
            </w:r>
          </w:p>
        </w:tc>
      </w:tr>
      <w:tr w:rsidR="00054437" w:rsidRPr="000549B1" w14:paraId="496DB256" w14:textId="77777777">
        <w:trPr>
          <w:trHeight w:val="1686"/>
          <w:jc w:val="center"/>
        </w:trPr>
        <w:tc>
          <w:tcPr>
            <w:tcW w:w="2846" w:type="dxa"/>
            <w:vAlign w:val="center"/>
          </w:tcPr>
          <w:p w14:paraId="788B5460" w14:textId="77777777" w:rsidR="00054437" w:rsidRPr="000549B1" w:rsidRDefault="00000000">
            <w:pPr>
              <w:widowControl/>
              <w:rPr>
                <w:kern w:val="0"/>
                <w:szCs w:val="21"/>
              </w:rPr>
            </w:pPr>
            <w:r w:rsidRPr="000549B1">
              <w:rPr>
                <w:kern w:val="0"/>
                <w:szCs w:val="21"/>
              </w:rPr>
              <w:t>《青海省海南州水资源综合规划》：全州水资源开发利用总体布局，控制用水总量，优化配置水资源。</w:t>
            </w:r>
          </w:p>
        </w:tc>
        <w:tc>
          <w:tcPr>
            <w:tcW w:w="4668" w:type="dxa"/>
            <w:vAlign w:val="center"/>
          </w:tcPr>
          <w:p w14:paraId="4582E8B2" w14:textId="77777777" w:rsidR="00054437" w:rsidRPr="000549B1" w:rsidRDefault="00000000">
            <w:pPr>
              <w:widowControl/>
              <w:rPr>
                <w:kern w:val="0"/>
                <w:szCs w:val="21"/>
              </w:rPr>
            </w:pPr>
            <w:r w:rsidRPr="000549B1">
              <w:rPr>
                <w:rFonts w:hint="eastAsia"/>
                <w:kern w:val="0"/>
                <w:szCs w:val="21"/>
              </w:rPr>
              <w:t>规划</w:t>
            </w:r>
            <w:r w:rsidRPr="000549B1">
              <w:rPr>
                <w:kern w:val="0"/>
                <w:szCs w:val="21"/>
              </w:rPr>
              <w:t>用水方案在全州水资源格局下统筹制定，</w:t>
            </w:r>
            <w:r w:rsidRPr="000549B1">
              <w:rPr>
                <w:kern w:val="0"/>
                <w:szCs w:val="21"/>
              </w:rPr>
              <w:t>2035</w:t>
            </w:r>
            <w:r w:rsidRPr="000549B1">
              <w:rPr>
                <w:kern w:val="0"/>
                <w:szCs w:val="21"/>
              </w:rPr>
              <w:t>年流域用水量和指标控制在综合规划限定范围内；通过外流域适量引水和节水措施，优化区域水资源配置，符合综合规划意图。</w:t>
            </w:r>
          </w:p>
        </w:tc>
        <w:tc>
          <w:tcPr>
            <w:tcW w:w="718" w:type="dxa"/>
            <w:vAlign w:val="center"/>
          </w:tcPr>
          <w:p w14:paraId="3439321A" w14:textId="77777777" w:rsidR="00054437" w:rsidRPr="000549B1" w:rsidRDefault="00000000">
            <w:pPr>
              <w:widowControl/>
              <w:rPr>
                <w:kern w:val="0"/>
                <w:szCs w:val="21"/>
              </w:rPr>
            </w:pPr>
            <w:r w:rsidRPr="000549B1">
              <w:rPr>
                <w:kern w:val="0"/>
                <w:szCs w:val="21"/>
              </w:rPr>
              <w:t>符合</w:t>
            </w:r>
          </w:p>
        </w:tc>
      </w:tr>
    </w:tbl>
    <w:p w14:paraId="20CE4674" w14:textId="70DC9AF8" w:rsidR="00054437" w:rsidRPr="000549B1" w:rsidRDefault="00000000">
      <w:pPr>
        <w:pStyle w:val="zhang3"/>
        <w:spacing w:before="156" w:after="156"/>
      </w:pPr>
      <w:bookmarkStart w:id="172" w:name="_Hlk216033274"/>
      <w:r w:rsidRPr="000549B1">
        <w:t>与</w:t>
      </w:r>
      <w:r w:rsidRPr="000549B1">
        <w:rPr>
          <w:rFonts w:hint="eastAsia"/>
        </w:rPr>
        <w:t>生态环境分区管控要求</w:t>
      </w:r>
      <w:r w:rsidRPr="000549B1">
        <w:t>的</w:t>
      </w:r>
      <w:r w:rsidRPr="000549B1">
        <w:rPr>
          <w:rFonts w:hint="eastAsia"/>
        </w:rPr>
        <w:t>符合性</w:t>
      </w:r>
      <w:r w:rsidRPr="000549B1">
        <w:t>分析</w:t>
      </w:r>
    </w:p>
    <w:p w14:paraId="59EE0337" w14:textId="77777777" w:rsidR="00054437" w:rsidRPr="000549B1" w:rsidRDefault="00000000">
      <w:pPr>
        <w:pStyle w:val="4"/>
        <w:rPr>
          <w:rFonts w:ascii="Times New Roman" w:hAnsi="Times New Roman"/>
        </w:rPr>
      </w:pPr>
      <w:r w:rsidRPr="000549B1">
        <w:rPr>
          <w:rFonts w:ascii="Times New Roman" w:hAnsi="Times New Roman" w:hint="eastAsia"/>
        </w:rPr>
        <w:t>生态保护红线</w:t>
      </w:r>
    </w:p>
    <w:p w14:paraId="50BAE5E2" w14:textId="1B20E2AC" w:rsidR="005861F1" w:rsidRPr="000549B1" w:rsidRDefault="005861F1" w:rsidP="005861F1">
      <w:pPr>
        <w:pStyle w:val="x"/>
      </w:pPr>
      <w:r w:rsidRPr="000549B1">
        <w:t>根据沙珠玉河流域生态保护红线划定成果，流域内共划定</w:t>
      </w:r>
      <w:r w:rsidRPr="000549B1">
        <w:rPr>
          <w:rStyle w:val="aff0"/>
          <w:b w:val="0"/>
          <w:bCs w:val="0"/>
        </w:rPr>
        <w:t>2</w:t>
      </w:r>
      <w:r w:rsidRPr="000549B1">
        <w:t>处生态保护红线区域，主要类型涵盖水源涵养和水土保持功能，并均以生物多样性保护为重要目标。一处为</w:t>
      </w:r>
      <w:r w:rsidRPr="000549B1">
        <w:rPr>
          <w:rFonts w:ascii="宋体" w:hAnsi="宋体"/>
        </w:rPr>
        <w:t>“</w:t>
      </w:r>
      <w:r w:rsidRPr="000549B1">
        <w:t>柴达木盆地土地沙化防控与生物多样维护生态保护红线</w:t>
      </w:r>
      <w:r w:rsidRPr="000549B1">
        <w:rPr>
          <w:rFonts w:ascii="宋体" w:hAnsi="宋体"/>
        </w:rPr>
        <w:t>”</w:t>
      </w:r>
      <w:r w:rsidRPr="000549B1">
        <w:t>，位于共和县切吉乡，功能侧重于防风固沙、水土保持；另一处为</w:t>
      </w:r>
      <w:r w:rsidRPr="000549B1">
        <w:rPr>
          <w:rFonts w:ascii="宋体" w:hAnsi="宋体"/>
        </w:rPr>
        <w:t>“</w:t>
      </w:r>
      <w:r w:rsidRPr="000549B1">
        <w:t>青海湖水源涵养与生物多样性维护生态保护红线</w:t>
      </w:r>
      <w:r w:rsidRPr="000549B1">
        <w:rPr>
          <w:rFonts w:ascii="宋体" w:hAnsi="宋体"/>
        </w:rPr>
        <w:t>”</w:t>
      </w:r>
      <w:r w:rsidRPr="000549B1">
        <w:t>，位于共和县廿地乡，功能侧重于水源涵养。上述红线区的划定数量和类型表明，沙珠玉河流域在空间生态管控上被严格约束：既保障了有限水源涵养区的水源补给安全，也维护了荒漠生态系统和珍稀物种栖息地不受扰动。这些生态红线的严守对于防止水源过度开发、遏制土地沙化扩展、保护生物多样性具有关键作用，构成了本流域规划必须遵循的生态空间底线。各拟建水利工程在选址时已充分考虑红线避让，确保不触碰流域内的生态保护红线约束。总体而言，沙珠玉河流域的生态保护红线体系以水源涵养、生物多样性维护和水土保持三类功能为主，数量为</w:t>
      </w:r>
      <w:r w:rsidRPr="000549B1">
        <w:t>2</w:t>
      </w:r>
      <w:r w:rsidRPr="000549B1">
        <w:t>处，为流域生态安全提供了</w:t>
      </w:r>
      <w:r w:rsidRPr="000549B1">
        <w:rPr>
          <w:rStyle w:val="aff0"/>
          <w:b w:val="0"/>
          <w:bCs w:val="0"/>
        </w:rPr>
        <w:t>刚性约束</w:t>
      </w:r>
      <w:r w:rsidRPr="000549B1">
        <w:t>基础。</w:t>
      </w:r>
      <w:r w:rsidR="00124CEB" w:rsidRPr="000549B1">
        <w:rPr>
          <w:rFonts w:hint="eastAsia"/>
        </w:rPr>
        <w:t>如图所示：</w:t>
      </w:r>
    </w:p>
    <w:p w14:paraId="3CCC5FAC" w14:textId="6051EC94" w:rsidR="00124CEB" w:rsidRDefault="00361F83" w:rsidP="000549B1">
      <w:pPr>
        <w:pStyle w:val="x"/>
        <w:ind w:firstLine="0"/>
      </w:pPr>
      <w:r w:rsidRPr="000549B1">
        <w:rPr>
          <w:noProof/>
        </w:rPr>
        <w:drawing>
          <wp:inline distT="0" distB="0" distL="0" distR="0" wp14:anchorId="41EDD2AA" wp14:editId="4CF491D4">
            <wp:extent cx="5245100" cy="5575300"/>
            <wp:effectExtent l="0" t="0" r="0" b="6350"/>
            <wp:docPr id="53165914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659141" name="图片 531659141"/>
                    <pic:cNvPicPr/>
                  </pic:nvPicPr>
                  <pic:blipFill rotWithShape="1">
                    <a:blip r:embed="rId16" cstate="email">
                      <a:extLst>
                        <a:ext uri="{28A0092B-C50C-407E-A947-70E740481C1C}">
                          <a14:useLocalDpi xmlns:a14="http://schemas.microsoft.com/office/drawing/2010/main"/>
                        </a:ext>
                      </a:extLst>
                    </a:blip>
                    <a:srcRect/>
                    <a:stretch>
                      <a:fillRect/>
                    </a:stretch>
                  </pic:blipFill>
                  <pic:spPr bwMode="auto">
                    <a:xfrm>
                      <a:off x="0" y="0"/>
                      <a:ext cx="5245100" cy="5575300"/>
                    </a:xfrm>
                    <a:prstGeom prst="rect">
                      <a:avLst/>
                    </a:prstGeom>
                    <a:ln>
                      <a:noFill/>
                    </a:ln>
                    <a:extLst>
                      <a:ext uri="{53640926-AAD7-44D8-BBD7-CCE9431645EC}">
                        <a14:shadowObscured xmlns:a14="http://schemas.microsoft.com/office/drawing/2010/main"/>
                      </a:ext>
                    </a:extLst>
                  </pic:spPr>
                </pic:pic>
              </a:graphicData>
            </a:graphic>
          </wp:inline>
        </w:drawing>
      </w:r>
    </w:p>
    <w:p w14:paraId="7BFD6F98" w14:textId="4C2F791B" w:rsidR="00F1314B" w:rsidRPr="00F1314B" w:rsidRDefault="00F1314B" w:rsidP="00F1314B">
      <w:pPr>
        <w:pStyle w:val="aff8"/>
      </w:pPr>
      <w:bookmarkStart w:id="173" w:name="_Hlk216110134"/>
      <w:r w:rsidRPr="00F1314B">
        <w:rPr>
          <w:rFonts w:hint="eastAsia"/>
        </w:rPr>
        <w:t>图</w:t>
      </w:r>
      <w:r w:rsidRPr="00F1314B">
        <w:fldChar w:fldCharType="begin"/>
      </w:r>
      <w:r w:rsidRPr="00F1314B">
        <w:instrText xml:space="preserve"> </w:instrText>
      </w:r>
      <w:r w:rsidRPr="00F1314B">
        <w:rPr>
          <w:rFonts w:hint="eastAsia"/>
        </w:rPr>
        <w:instrText>STYLEREF 2 \s</w:instrText>
      </w:r>
      <w:r w:rsidRPr="00F1314B">
        <w:instrText xml:space="preserve"> </w:instrText>
      </w:r>
      <w:r w:rsidRPr="00F1314B">
        <w:fldChar w:fldCharType="separate"/>
      </w:r>
      <w:r w:rsidR="00F32CCA">
        <w:rPr>
          <w:noProof/>
        </w:rPr>
        <w:t>2.2</w:t>
      </w:r>
      <w:r w:rsidRPr="00F1314B">
        <w:fldChar w:fldCharType="end"/>
      </w:r>
      <w:r w:rsidRPr="00F1314B">
        <w:noBreakHyphen/>
      </w:r>
      <w:r w:rsidRPr="00F1314B">
        <w:fldChar w:fldCharType="begin"/>
      </w:r>
      <w:r w:rsidRPr="00F1314B">
        <w:instrText xml:space="preserve"> </w:instrText>
      </w:r>
      <w:r w:rsidRPr="00F1314B">
        <w:rPr>
          <w:rFonts w:hint="eastAsia"/>
        </w:rPr>
        <w:instrText xml:space="preserve">SEQ </w:instrText>
      </w:r>
      <w:r w:rsidRPr="00F1314B">
        <w:rPr>
          <w:rFonts w:hint="eastAsia"/>
        </w:rPr>
        <w:instrText>图</w:instrText>
      </w:r>
      <w:r w:rsidRPr="00F1314B">
        <w:rPr>
          <w:rFonts w:hint="eastAsia"/>
        </w:rPr>
        <w:instrText xml:space="preserve"> \* ARABIC \s 2</w:instrText>
      </w:r>
      <w:r w:rsidRPr="00F1314B">
        <w:instrText xml:space="preserve"> </w:instrText>
      </w:r>
      <w:r w:rsidRPr="00F1314B">
        <w:fldChar w:fldCharType="separate"/>
      </w:r>
      <w:r w:rsidR="00F32CCA">
        <w:rPr>
          <w:noProof/>
        </w:rPr>
        <w:t>1</w:t>
      </w:r>
      <w:r w:rsidRPr="00F1314B">
        <w:fldChar w:fldCharType="end"/>
      </w:r>
      <w:r w:rsidRPr="00F1314B">
        <w:t>规划范围与生态敏感区位置图</w:t>
      </w:r>
    </w:p>
    <w:bookmarkEnd w:id="173"/>
    <w:p w14:paraId="78B67683" w14:textId="77777777" w:rsidR="00054437" w:rsidRPr="000549B1" w:rsidRDefault="00000000" w:rsidP="00661C34">
      <w:pPr>
        <w:pStyle w:val="4"/>
      </w:pPr>
      <w:r w:rsidRPr="000549B1">
        <w:rPr>
          <w:rFonts w:hint="eastAsia"/>
        </w:rPr>
        <w:t>环境质量底线</w:t>
      </w:r>
    </w:p>
    <w:p w14:paraId="1B87098E" w14:textId="77777777" w:rsidR="00661C34" w:rsidRPr="000549B1" w:rsidRDefault="00661C34" w:rsidP="00661C34">
      <w:pPr>
        <w:pStyle w:val="x"/>
      </w:pPr>
      <w:r w:rsidRPr="000549B1">
        <w:rPr>
          <w:rStyle w:val="aff0"/>
          <w:b w:val="0"/>
          <w:bCs w:val="0"/>
        </w:rPr>
        <w:t>水环境功能目标</w:t>
      </w:r>
      <w:r w:rsidRPr="000549B1">
        <w:t>方面，沙珠玉河被划定为农业用水区（水功能区二级区为</w:t>
      </w:r>
      <w:r w:rsidRPr="000549B1">
        <w:rPr>
          <w:rFonts w:ascii="宋体" w:hAnsi="宋体"/>
        </w:rPr>
        <w:t>“</w:t>
      </w:r>
      <w:r w:rsidRPr="000549B1">
        <w:t>沙珠玉共和农业用水区</w:t>
      </w:r>
      <w:r w:rsidRPr="000549B1">
        <w:rPr>
          <w:rFonts w:ascii="宋体" w:hAnsi="宋体"/>
        </w:rPr>
        <w:t>”</w:t>
      </w:r>
      <w:r w:rsidRPr="000549B1">
        <w:t>），要求河流水质达到</w:t>
      </w:r>
      <w:r w:rsidRPr="000549B1">
        <w:t>Ⅲ</w:t>
      </w:r>
      <w:r w:rsidRPr="000549B1">
        <w:t>类标准。现状监测显示流域主要河段水质基本满足</w:t>
      </w:r>
      <w:r w:rsidRPr="000549B1">
        <w:t>Ⅱ</w:t>
      </w:r>
      <w:r w:rsidRPr="000549B1">
        <w:t>～</w:t>
      </w:r>
      <w:r w:rsidRPr="000549B1">
        <w:t>Ⅲ</w:t>
      </w:r>
      <w:r w:rsidRPr="000549B1">
        <w:t>类标准</w:t>
      </w:r>
      <w:r w:rsidRPr="000549B1">
        <w:rPr>
          <w:rFonts w:hint="eastAsia"/>
        </w:rPr>
        <w:t>。其中：</w:t>
      </w:r>
      <w:r w:rsidRPr="000549B1">
        <w:t>切吉河及直亥买沟等典型断面在枯水期和丰水期的水质类别介于</w:t>
      </w:r>
      <w:r w:rsidRPr="000549B1">
        <w:t>Ⅱ</w:t>
      </w:r>
      <w:r w:rsidRPr="000549B1">
        <w:t>类和</w:t>
      </w:r>
      <w:r w:rsidRPr="000549B1">
        <w:t>Ⅲ</w:t>
      </w:r>
      <w:r w:rsidRPr="000549B1">
        <w:t>类之间。全流域地表水环境质量达标率为</w:t>
      </w:r>
      <w:r w:rsidRPr="000549B1">
        <w:t>100%</w:t>
      </w:r>
      <w:r w:rsidRPr="000549B1">
        <w:t>，集中式饮用水水源地水质亦全部达到</w:t>
      </w:r>
      <w:r w:rsidRPr="000549B1">
        <w:t>Ⅲ</w:t>
      </w:r>
      <w:r w:rsidRPr="000549B1">
        <w:t>类及以上标准。因此，在水质方面，</w:t>
      </w:r>
      <w:r w:rsidRPr="000549B1">
        <w:rPr>
          <w:rStyle w:val="aff0"/>
          <w:b w:val="0"/>
          <w:bCs w:val="0"/>
        </w:rPr>
        <w:t>流域目前未触及环境质量底线</w:t>
      </w:r>
      <w:r w:rsidRPr="000549B1">
        <w:t>：河流水质总体达到功能区目标要求，饮用水源地水质安全</w:t>
      </w:r>
      <w:r w:rsidRPr="000549B1">
        <w:rPr>
          <w:rStyle w:val="aff0"/>
          <w:b w:val="0"/>
          <w:bCs w:val="0"/>
        </w:rPr>
        <w:t>全面达标</w:t>
      </w:r>
      <w:r w:rsidRPr="000549B1">
        <w:t>。然而，</w:t>
      </w:r>
      <w:r w:rsidRPr="000549B1">
        <w:rPr>
          <w:rStyle w:val="aff0"/>
          <w:b w:val="0"/>
          <w:bCs w:val="0"/>
        </w:rPr>
        <w:t>水量和生态基流底线</w:t>
      </w:r>
      <w:r w:rsidRPr="000549B1">
        <w:t>方面存在明显制约。沙珠玉河属于高寒半干旱区季节性河流，枯水期河道经常断流，生态基流难以有效保障。下游尾闾湖泊（如达连海等）一度出现萎缩干涸趋势，表明河道最低生态流水量未能长期维持。这一现状说明，沙珠玉河</w:t>
      </w:r>
      <w:r w:rsidRPr="000549B1">
        <w:rPr>
          <w:rStyle w:val="aff0"/>
          <w:b w:val="0"/>
          <w:bCs w:val="0"/>
        </w:rPr>
        <w:t>部分突破了河流生态流量的底线要求</w:t>
      </w:r>
      <w:r w:rsidRPr="000549B1">
        <w:t>：基本生态用水尚不足，河流连通性和水生生境受到影响。针对该问题，规划已提出通过河道综合整治、增加生态补水等措施保障下泄生态流量。综合来看，沙珠玉河流域在水环境质量方面尚能维持国家和地方既定底线，但在水资源</w:t>
      </w:r>
      <w:r w:rsidRPr="000549B1">
        <w:rPr>
          <w:rStyle w:val="aff0"/>
          <w:b w:val="0"/>
          <w:bCs w:val="0"/>
        </w:rPr>
        <w:t>数量</w:t>
      </w:r>
      <w:r w:rsidRPr="000549B1">
        <w:t>（生态流量）底线方面存在短板，需要严格管控来确保不断流和生态需水得到满足。</w:t>
      </w:r>
    </w:p>
    <w:p w14:paraId="6B16DF32" w14:textId="77777777" w:rsidR="00054437" w:rsidRPr="000549B1" w:rsidRDefault="00000000">
      <w:pPr>
        <w:pStyle w:val="4"/>
        <w:rPr>
          <w:rFonts w:ascii="Times New Roman" w:hAnsi="Times New Roman"/>
        </w:rPr>
      </w:pPr>
      <w:r w:rsidRPr="000549B1">
        <w:rPr>
          <w:rFonts w:ascii="Times New Roman" w:hAnsi="Times New Roman" w:hint="eastAsia"/>
        </w:rPr>
        <w:t>资源利用上线</w:t>
      </w:r>
    </w:p>
    <w:p w14:paraId="518E59F5" w14:textId="7F504CB4" w:rsidR="00661C34" w:rsidRPr="000549B1" w:rsidRDefault="00661C34" w:rsidP="00661C34">
      <w:pPr>
        <w:pStyle w:val="x"/>
      </w:pPr>
      <w:bookmarkStart w:id="174" w:name="OLE_LINK44"/>
      <w:r w:rsidRPr="000549B1">
        <w:t>沙珠玉河流域水资源开发利用已接近或局部超过资源利用</w:t>
      </w:r>
      <w:r w:rsidRPr="000549B1">
        <w:rPr>
          <w:rFonts w:hint="eastAsia"/>
        </w:rPr>
        <w:t>上限</w:t>
      </w:r>
      <w:r w:rsidRPr="000549B1">
        <w:t>约束。</w:t>
      </w:r>
      <w:r w:rsidRPr="000549B1">
        <w:rPr>
          <w:rFonts w:hint="eastAsia"/>
        </w:rPr>
        <w:t>用水总量方面</w:t>
      </w:r>
      <w:r w:rsidRPr="000549B1">
        <w:t>，</w:t>
      </w:r>
      <w:bookmarkStart w:id="175" w:name="OLE_LINK10"/>
      <w:r w:rsidR="007C1492" w:rsidRPr="000549B1">
        <w:rPr>
          <w:rFonts w:hint="eastAsia"/>
        </w:rPr>
        <w:t>沙珠玉河流域多年平均地表水河川径流量为</w:t>
      </w:r>
      <w:r w:rsidR="007C1492" w:rsidRPr="000549B1">
        <w:t>13811</w:t>
      </w:r>
      <w:r w:rsidR="007C1492" w:rsidRPr="000549B1">
        <w:rPr>
          <w:rFonts w:hint="eastAsia"/>
        </w:rPr>
        <w:t>亿</w:t>
      </w:r>
      <w:r w:rsidR="007C1492" w:rsidRPr="000549B1">
        <w:t>m</w:t>
      </w:r>
      <w:r w:rsidR="007C1492" w:rsidRPr="000549B1">
        <w:rPr>
          <w:vertAlign w:val="superscript"/>
        </w:rPr>
        <w:t>3</w:t>
      </w:r>
      <w:r w:rsidR="007C1492" w:rsidRPr="000549B1">
        <w:rPr>
          <w:rFonts w:hint="eastAsia"/>
        </w:rPr>
        <w:t>，扣除下泄生态水量及河道基流量，可利用量为</w:t>
      </w:r>
      <w:r w:rsidR="007C1492" w:rsidRPr="000549B1">
        <w:t>11049</w:t>
      </w:r>
      <w:r w:rsidR="007C1492" w:rsidRPr="000549B1">
        <w:rPr>
          <w:rFonts w:hint="eastAsia"/>
        </w:rPr>
        <w:t>亿</w:t>
      </w:r>
      <w:r w:rsidR="007C1492" w:rsidRPr="000549B1">
        <w:t>m</w:t>
      </w:r>
      <w:r w:rsidR="007C1492" w:rsidRPr="000549B1">
        <w:rPr>
          <w:vertAlign w:val="superscript"/>
        </w:rPr>
        <w:t>3</w:t>
      </w:r>
      <w:r w:rsidR="007C1492" w:rsidRPr="000549B1">
        <w:rPr>
          <w:rFonts w:hint="eastAsia"/>
        </w:rPr>
        <w:t>，沙珠玉河流域</w:t>
      </w:r>
      <w:r w:rsidR="007C1492" w:rsidRPr="000549B1">
        <w:t>2024</w:t>
      </w:r>
      <w:r w:rsidR="007C1492" w:rsidRPr="000549B1">
        <w:rPr>
          <w:rFonts w:hint="eastAsia"/>
        </w:rPr>
        <w:t>年地表水实际供水量</w:t>
      </w:r>
      <w:r w:rsidR="007C1492" w:rsidRPr="000549B1">
        <w:t>6520</w:t>
      </w:r>
      <w:r w:rsidR="007C1492" w:rsidRPr="000549B1">
        <w:rPr>
          <w:rFonts w:hint="eastAsia"/>
        </w:rPr>
        <w:t>万</w:t>
      </w:r>
      <w:r w:rsidR="007C1492" w:rsidRPr="000549B1">
        <w:t>m</w:t>
      </w:r>
      <w:r w:rsidR="007C1492" w:rsidRPr="000549B1">
        <w:rPr>
          <w:vertAlign w:val="superscript"/>
        </w:rPr>
        <w:t>3</w:t>
      </w:r>
      <w:r w:rsidR="007C1492" w:rsidRPr="000549B1">
        <w:rPr>
          <w:rFonts w:hint="eastAsia"/>
        </w:rPr>
        <w:t>，按地表水河川径流量计算的地表水开发利用率为</w:t>
      </w:r>
      <w:r w:rsidR="007C1492" w:rsidRPr="000549B1">
        <w:t>47%</w:t>
      </w:r>
      <w:r w:rsidR="007C1492" w:rsidRPr="000549B1">
        <w:rPr>
          <w:rFonts w:hint="eastAsia"/>
        </w:rPr>
        <w:t>，按可利用量计算的地表水开发利用率为</w:t>
      </w:r>
      <w:r w:rsidR="007C1492" w:rsidRPr="000549B1">
        <w:t>59%</w:t>
      </w:r>
      <w:r w:rsidR="007C1492" w:rsidRPr="000549B1">
        <w:rPr>
          <w:rFonts w:hint="eastAsia"/>
        </w:rPr>
        <w:t>，地表水开发利用程度较高</w:t>
      </w:r>
      <w:r w:rsidRPr="000549B1">
        <w:rPr>
          <w:rFonts w:hint="eastAsia"/>
        </w:rPr>
        <w:t>。</w:t>
      </w:r>
      <w:bookmarkEnd w:id="175"/>
      <w:r w:rsidRPr="000549B1">
        <w:rPr>
          <w:rFonts w:hint="eastAsia"/>
        </w:rPr>
        <w:t>这一开发利用强度明显高于国家倡导的水资源开发利用率红线（一般控制在</w:t>
      </w:r>
      <w:r w:rsidRPr="000549B1">
        <w:rPr>
          <w:rFonts w:hint="eastAsia"/>
        </w:rPr>
        <w:t>40%</w:t>
      </w:r>
      <w:r w:rsidRPr="000549B1">
        <w:rPr>
          <w:rFonts w:hint="eastAsia"/>
        </w:rPr>
        <w:t>以内）。同时，地下水年开采量约</w:t>
      </w:r>
      <w:r w:rsidRPr="000549B1">
        <w:rPr>
          <w:rFonts w:hint="eastAsia"/>
        </w:rPr>
        <w:t>0.0753</w:t>
      </w:r>
      <w:r w:rsidRPr="000549B1">
        <w:rPr>
          <w:rFonts w:hint="eastAsia"/>
        </w:rPr>
        <w:t>亿</w:t>
      </w:r>
      <w:r w:rsidRPr="000549B1">
        <w:rPr>
          <w:rFonts w:hint="eastAsia"/>
        </w:rPr>
        <w:t>m</w:t>
      </w:r>
      <w:r w:rsidRPr="000549B1">
        <w:rPr>
          <w:rFonts w:hint="eastAsia"/>
        </w:rPr>
        <w:t>³，占可开采量的</w:t>
      </w:r>
      <w:r w:rsidRPr="000549B1">
        <w:rPr>
          <w:rFonts w:hint="eastAsia"/>
        </w:rPr>
        <w:t>58%</w:t>
      </w:r>
      <w:r w:rsidRPr="000549B1">
        <w:rPr>
          <w:rFonts w:hint="eastAsia"/>
        </w:rPr>
        <w:t>。</w:t>
      </w:r>
      <w:r w:rsidRPr="000549B1">
        <w:t>流域水资源</w:t>
      </w:r>
      <w:r w:rsidRPr="000549B1">
        <w:rPr>
          <w:rStyle w:val="aff0"/>
          <w:b w:val="0"/>
          <w:bCs w:val="0"/>
        </w:rPr>
        <w:t>总体开发率</w:t>
      </w:r>
      <w:r w:rsidRPr="000549B1">
        <w:t>偏高，已接近海南州下达的控制指标上限，存在突破区域用水总量红线的风险。</w:t>
      </w:r>
      <w:r w:rsidRPr="000549B1">
        <w:rPr>
          <w:rStyle w:val="aff0"/>
          <w:b w:val="0"/>
          <w:bCs w:val="0"/>
        </w:rPr>
        <w:t>用水效率方面</w:t>
      </w:r>
      <w:r w:rsidRPr="000549B1">
        <w:t>，虽然流域工业以清洁能源产业为主，工业万元增加值用水量约</w:t>
      </w:r>
      <w:r w:rsidRPr="000549B1">
        <w:t>7.9m³/</w:t>
      </w:r>
      <w:r w:rsidRPr="000549B1">
        <w:t>万元，仅略高于海南州平均水平</w:t>
      </w:r>
      <w:r w:rsidRPr="000549B1">
        <w:t>7m³/</w:t>
      </w:r>
      <w:r w:rsidRPr="000549B1">
        <w:t>万元，远低于青海省平均</w:t>
      </w:r>
      <w:r w:rsidRPr="000549B1">
        <w:t>25m³/</w:t>
      </w:r>
      <w:r w:rsidRPr="000549B1">
        <w:t>万元。这表明工业用水效率相对较好，未超出全省用水强度控制上线。但</w:t>
      </w:r>
      <w:r w:rsidRPr="000549B1">
        <w:rPr>
          <w:rStyle w:val="aff0"/>
          <w:b w:val="0"/>
          <w:bCs w:val="0"/>
        </w:rPr>
        <w:t>农业用水效率</w:t>
      </w:r>
      <w:r w:rsidRPr="000549B1">
        <w:t>相对滞后：农田灌溉亩均用水量约</w:t>
      </w:r>
      <w:r w:rsidRPr="000549B1">
        <w:t>300m³/</w:t>
      </w:r>
      <w:r w:rsidRPr="000549B1">
        <w:t>亩，低于州平均水平，反映出因水源不足实施了非充分灌溉；现状灌溉水利用系数仅为</w:t>
      </w:r>
      <w:r w:rsidRPr="000549B1">
        <w:t>0.467</w:t>
      </w:r>
      <w:r w:rsidRPr="000549B1">
        <w:t>，低于海南州平均</w:t>
      </w:r>
      <w:r w:rsidRPr="000549B1">
        <w:t>0.474</w:t>
      </w:r>
      <w:r w:rsidRPr="000549B1">
        <w:t>和青海省平均</w:t>
      </w:r>
      <w:r w:rsidRPr="000549B1">
        <w:t>0.509</w:t>
      </w:r>
      <w:r w:rsidRPr="000549B1">
        <w:t>，也低于青海省下达的</w:t>
      </w:r>
      <w:r w:rsidRPr="000549B1">
        <w:t>2025</w:t>
      </w:r>
      <w:r w:rsidRPr="000549B1">
        <w:t>年目标值</w:t>
      </w:r>
      <w:r w:rsidRPr="000549B1">
        <w:t>0.488</w:t>
      </w:r>
      <w:r w:rsidRPr="000549B1">
        <w:t>。灌溉低效意味着单位农业产出耗水偏高，表明</w:t>
      </w:r>
      <w:r w:rsidRPr="000549B1">
        <w:rPr>
          <w:rStyle w:val="aff0"/>
          <w:b w:val="0"/>
          <w:bCs w:val="0"/>
        </w:rPr>
        <w:t>用水效率红线</w:t>
      </w:r>
      <w:r w:rsidRPr="000549B1">
        <w:t>尚未达标。</w:t>
      </w:r>
    </w:p>
    <w:p w14:paraId="5D1DE8EA" w14:textId="77777777" w:rsidR="00661C34" w:rsidRPr="000549B1" w:rsidRDefault="00661C34" w:rsidP="00661C34">
      <w:pPr>
        <w:pStyle w:val="x"/>
      </w:pPr>
      <w:r w:rsidRPr="000549B1">
        <w:t>综上，沙珠玉河流域总用水量及水资源开发强度处于偏高水平，灌溉用水效率未达到控制要求</w:t>
      </w:r>
      <w:r w:rsidRPr="000549B1">
        <w:rPr>
          <w:rFonts w:hint="eastAsia"/>
        </w:rPr>
        <w:t>，需</w:t>
      </w:r>
      <w:r w:rsidRPr="000549B1">
        <w:t>通过总量控制、节水增效等措施加以严控。规划流域用水方案已与海南州水资源综合规划指标衔接，确保</w:t>
      </w:r>
      <w:r w:rsidRPr="000549B1">
        <w:t>2035</w:t>
      </w:r>
      <w:r w:rsidRPr="000549B1">
        <w:t>年总用水规模不超出州级下达的用水上限；同时强化节水灌溉和非常规水源利用，以提升灌溉系数和用水效率，将各项指标控制在国家及地方规定的上线以内。</w:t>
      </w:r>
    </w:p>
    <w:bookmarkEnd w:id="174"/>
    <w:p w14:paraId="65079A7E" w14:textId="52C591E9" w:rsidR="00054437" w:rsidRPr="000549B1" w:rsidRDefault="00D719CD">
      <w:pPr>
        <w:pStyle w:val="4"/>
        <w:rPr>
          <w:rFonts w:ascii="Times New Roman" w:hAnsi="Times New Roman"/>
        </w:rPr>
      </w:pPr>
      <w:r w:rsidRPr="000549B1">
        <w:rPr>
          <w:rFonts w:ascii="Times New Roman" w:hAnsi="Times New Roman"/>
        </w:rPr>
        <w:t>生态环境准入清单</w:t>
      </w:r>
    </w:p>
    <w:p w14:paraId="1CF19B2C" w14:textId="77777777" w:rsidR="00AE42B3" w:rsidRPr="000549B1" w:rsidRDefault="00AE42B3" w:rsidP="00AE42B3">
      <w:pPr>
        <w:pStyle w:val="x"/>
      </w:pPr>
      <w:r w:rsidRPr="000549B1">
        <w:t>1</w:t>
      </w:r>
      <w:r w:rsidRPr="000549B1">
        <w:rPr>
          <w:rFonts w:hint="eastAsia"/>
        </w:rPr>
        <w:t>）优先保护单元</w:t>
      </w:r>
    </w:p>
    <w:p w14:paraId="7BDAB967" w14:textId="77777777" w:rsidR="00AE42B3" w:rsidRPr="000549B1" w:rsidRDefault="00AE42B3" w:rsidP="00AE42B3">
      <w:pPr>
        <w:pStyle w:val="x"/>
      </w:pPr>
      <w:r w:rsidRPr="000549B1">
        <w:rPr>
          <w:rFonts w:hint="eastAsia"/>
        </w:rPr>
        <w:t>优先保护单元主要包括生态保护红线、各类自然保护地、饮用水水源保护区、生态功能极重要与生态环境极敏感区域等。依据青海省“三线一单”生态环境准入清单，该类单元应严格执行以下管控要求（对应全省清单第</w:t>
      </w:r>
      <w:r w:rsidRPr="000549B1">
        <w:t>5-17</w:t>
      </w:r>
      <w:r w:rsidRPr="000549B1">
        <w:rPr>
          <w:rFonts w:hint="eastAsia"/>
        </w:rPr>
        <w:t>条）：严禁任意改变生态保护红线空间格局；自然保护地核心保护区原则上禁止人为活动；禁止在二十五度以上陡坡地开垦、过度放牧、毁林开荒；禁止在湿地、河湖管理范围内进行开垦、填埋、非法采砂等破坏活动；禁止新建高耗水、重污染的工业项目。</w:t>
      </w:r>
    </w:p>
    <w:p w14:paraId="11079D21" w14:textId="191DA4FE" w:rsidR="00AE42B3" w:rsidRPr="000549B1" w:rsidRDefault="00AE42B3" w:rsidP="00AE42B3">
      <w:pPr>
        <w:pStyle w:val="x"/>
      </w:pPr>
      <w:r w:rsidRPr="000549B1">
        <w:rPr>
          <w:rFonts w:hint="eastAsia"/>
        </w:rPr>
        <w:t>经核查，本次沙珠玉河流域规划工程均不涉及上述生态保护红线、自然保护地、饮用水水源保护区等优先保护单元。因此，规划从空间布局上已完全避免了与最严格保护要求的冲突，符合优先保护单元的准入前提。</w:t>
      </w:r>
    </w:p>
    <w:p w14:paraId="3380B385" w14:textId="77777777" w:rsidR="00AE42B3" w:rsidRPr="000549B1" w:rsidRDefault="00AE42B3" w:rsidP="00AE42B3">
      <w:pPr>
        <w:pStyle w:val="x"/>
      </w:pPr>
      <w:r w:rsidRPr="000549B1">
        <w:t>2</w:t>
      </w:r>
      <w:r w:rsidRPr="000549B1">
        <w:rPr>
          <w:rFonts w:hint="eastAsia"/>
        </w:rPr>
        <w:t>）重点管控单元</w:t>
      </w:r>
    </w:p>
    <w:p w14:paraId="6B73C078" w14:textId="77777777" w:rsidR="00AE42B3" w:rsidRPr="000549B1" w:rsidRDefault="00AE42B3" w:rsidP="00AE42B3">
      <w:pPr>
        <w:pStyle w:val="x"/>
      </w:pPr>
      <w:r w:rsidRPr="000549B1">
        <w:rPr>
          <w:rFonts w:hint="eastAsia"/>
        </w:rPr>
        <w:t>重点管控单元主要包括流域内城镇建成区、产业园区及农业发展区等，以推动产业布局优化、提升资源利用效率、严控污染物排放、防范环境风险为核心目标。其准入要求包括：新建项目实行主要污染物排放总量等量或倍量削减替代；重点行业执行大气污染物特别排放限值；工业废水需达标排放或满足纳管要求；严格落实区域用水总量和效率控制指标。</w:t>
      </w:r>
    </w:p>
    <w:p w14:paraId="52AB9C8D" w14:textId="214F629E" w:rsidR="00AE42B3" w:rsidRPr="000549B1" w:rsidRDefault="00AE42B3" w:rsidP="00AE42B3">
      <w:pPr>
        <w:pStyle w:val="x"/>
      </w:pPr>
      <w:r w:rsidRPr="000549B1">
        <w:rPr>
          <w:rFonts w:hint="eastAsia"/>
        </w:rPr>
        <w:t>本次规划工程主要为流域综合治理、生态修复及水利调蓄等公益性项目，不属于重点管控单元中严格限制的“两高”产业或工业类别。规划实施将严格遵守污染物排放总量控制与资源利用上限要求，符合重点管控单元的导向。</w:t>
      </w:r>
    </w:p>
    <w:p w14:paraId="00D7DF62" w14:textId="77777777" w:rsidR="00AE42B3" w:rsidRPr="000549B1" w:rsidRDefault="00AE42B3" w:rsidP="00AE42B3">
      <w:pPr>
        <w:pStyle w:val="x"/>
      </w:pPr>
      <w:r w:rsidRPr="000549B1">
        <w:t>3</w:t>
      </w:r>
      <w:r w:rsidRPr="000549B1">
        <w:rPr>
          <w:rFonts w:hint="eastAsia"/>
        </w:rPr>
        <w:t>）一般管控单元</w:t>
      </w:r>
    </w:p>
    <w:p w14:paraId="74A175CF" w14:textId="77777777" w:rsidR="00AE42B3" w:rsidRPr="000549B1" w:rsidRDefault="00AE42B3" w:rsidP="00AE42B3">
      <w:pPr>
        <w:pStyle w:val="x"/>
      </w:pPr>
      <w:r w:rsidRPr="000549B1">
        <w:rPr>
          <w:rFonts w:hint="eastAsia"/>
        </w:rPr>
        <w:t>一般管控单元为优先保护、重点管控单元以外的区域，执行生态环境保护的基本要求。主要包括：原则上禁止新建、扩建三类工业项目及排放有毒有害污染物的二类工业项目；新改扩建项目需落实污染物排放总量控制；规模化畜禽养殖需合理布局并控制规模；禁止在生态脆弱区从事可能造成水土流失的活动。</w:t>
      </w:r>
    </w:p>
    <w:p w14:paraId="6C78E932" w14:textId="7D86FFAB" w:rsidR="00054437" w:rsidRPr="000549B1" w:rsidRDefault="00AE42B3" w:rsidP="00AE42B3">
      <w:pPr>
        <w:pStyle w:val="x"/>
      </w:pPr>
      <w:r w:rsidRPr="000549B1">
        <w:rPr>
          <w:rFonts w:hint="eastAsia"/>
        </w:rPr>
        <w:t>本次规划工程性质不属于上述禁止或限制的工业与养殖业类别。规划方案将采取有效的水土保持和生态保护措施，确保活动影响可控，符合一般管控单元的管理要求。</w:t>
      </w:r>
      <w:bookmarkEnd w:id="169"/>
    </w:p>
    <w:p w14:paraId="2E0FAF98" w14:textId="007E2B51" w:rsidR="00054437" w:rsidRPr="000549B1" w:rsidRDefault="00000000">
      <w:pPr>
        <w:pStyle w:val="zhang3"/>
        <w:spacing w:before="156" w:after="156"/>
      </w:pPr>
      <w:bookmarkStart w:id="176" w:name="OLE_LINK42"/>
      <w:bookmarkEnd w:id="172"/>
      <w:r w:rsidRPr="000549B1">
        <w:t>小结</w:t>
      </w:r>
    </w:p>
    <w:p w14:paraId="69DE3D74" w14:textId="1BC9DC49" w:rsidR="00054437" w:rsidRPr="000549B1" w:rsidRDefault="00AB2A7B" w:rsidP="00AB2A7B">
      <w:pPr>
        <w:pStyle w:val="x"/>
      </w:pPr>
      <w:r w:rsidRPr="000549B1">
        <w:t>规划编制过程系统遵循了国家与地方的法律法规框架，全面对接并融入了各级各类上位、同层级的规划要求，严格遵循了流域所在区域的</w:t>
      </w:r>
      <w:r w:rsidRPr="000549B1">
        <w:t>“</w:t>
      </w:r>
      <w:r w:rsidRPr="000549B1">
        <w:t>三线一单</w:t>
      </w:r>
      <w:r w:rsidRPr="000549B1">
        <w:t>”</w:t>
      </w:r>
      <w:r w:rsidRPr="000549B1">
        <w:t>生态环境分区管控体系。在规划目标、功能定位、空间布局、管控指标和具体措施等方面，均体现了高度的协调性与一致性，未发现原则性冲突</w:t>
      </w:r>
      <w:r w:rsidRPr="000549B1">
        <w:rPr>
          <w:rFonts w:hint="eastAsia"/>
        </w:rPr>
        <w:t>。梳理</w:t>
      </w:r>
      <w:r w:rsidRPr="000549B1">
        <w:t>规划与主要法律法规</w:t>
      </w:r>
      <w:r w:rsidRPr="000549B1">
        <w:rPr>
          <w:rFonts w:hint="eastAsia"/>
        </w:rPr>
        <w:t>、</w:t>
      </w:r>
      <w:r w:rsidRPr="000549B1">
        <w:t>相关规划</w:t>
      </w:r>
      <w:r w:rsidRPr="000549B1">
        <w:rPr>
          <w:rFonts w:hint="eastAsia"/>
        </w:rPr>
        <w:t>、功能区划、“三线一单”等</w:t>
      </w:r>
      <w:r w:rsidRPr="000549B1">
        <w:t>要求的</w:t>
      </w:r>
      <w:r w:rsidRPr="000549B1">
        <w:rPr>
          <w:rFonts w:hint="eastAsia"/>
        </w:rPr>
        <w:t>符合性和协调性可知</w:t>
      </w:r>
      <w:r w:rsidRPr="000549B1">
        <w:t>：</w:t>
      </w:r>
    </w:p>
    <w:p w14:paraId="1A96D25C" w14:textId="550E146B" w:rsidR="00AB2A7B" w:rsidRPr="000549B1" w:rsidRDefault="00AB2A7B" w:rsidP="00AB2A7B">
      <w:pPr>
        <w:pStyle w:val="x"/>
      </w:pPr>
      <w:r w:rsidRPr="000549B1">
        <w:rPr>
          <w:rFonts w:hint="eastAsia"/>
        </w:rPr>
        <w:t>（</w:t>
      </w:r>
      <w:r w:rsidRPr="000549B1">
        <w:rPr>
          <w:rFonts w:hint="eastAsia"/>
        </w:rPr>
        <w:t>1</w:t>
      </w:r>
      <w:r w:rsidRPr="000549B1">
        <w:rPr>
          <w:rFonts w:hint="eastAsia"/>
        </w:rPr>
        <w:t>）</w:t>
      </w:r>
      <w:r w:rsidRPr="000549B1">
        <w:t>与法律法规的符合性结论</w:t>
      </w:r>
    </w:p>
    <w:p w14:paraId="2710D3B6" w14:textId="77777777" w:rsidR="00AB2A7B" w:rsidRPr="000549B1" w:rsidRDefault="00AB2A7B" w:rsidP="00AB2A7B">
      <w:pPr>
        <w:pStyle w:val="x"/>
      </w:pPr>
      <w:r w:rsidRPr="000549B1">
        <w:t>规划全面贯彻了国家在水利、水资源、生态环境保护等领域的根本大法。在水资源配置、开发利用与节约保护方面，严格遵守《水法》关于维护河流合理流量和生态需水的规定；在防灾减灾方面，落实了《防洪法》关于统筹上下游、工程与非工程措施结合的原则；在生态保护方面，严守《水土保持法》《环境保护法》《水污染防治法》及《防沙治沙法》确立的预防为主、保护优先方针，其提出的生态修复、污染防治、防风固沙等系列措施，是相关法律要求在流域层面的具体化方案，完全符合国家法律要求。</w:t>
      </w:r>
    </w:p>
    <w:p w14:paraId="4B96C11D" w14:textId="61C61933" w:rsidR="00AB2A7B" w:rsidRPr="000549B1" w:rsidRDefault="00AB2A7B" w:rsidP="00AB2A7B">
      <w:pPr>
        <w:pStyle w:val="x"/>
      </w:pPr>
      <w:r w:rsidRPr="000549B1">
        <w:rPr>
          <w:rFonts w:hint="eastAsia"/>
        </w:rPr>
        <w:t>（</w:t>
      </w:r>
      <w:r w:rsidRPr="000549B1">
        <w:rPr>
          <w:rFonts w:hint="eastAsia"/>
        </w:rPr>
        <w:t>2</w:t>
      </w:r>
      <w:r w:rsidRPr="000549B1">
        <w:rPr>
          <w:rFonts w:hint="eastAsia"/>
        </w:rPr>
        <w:t>）</w:t>
      </w:r>
      <w:r w:rsidRPr="000549B1">
        <w:t>与相关规划和功能区划的协调性结论</w:t>
      </w:r>
    </w:p>
    <w:p w14:paraId="717B40C3" w14:textId="77777777" w:rsidR="00AB2A7B" w:rsidRPr="000549B1" w:rsidRDefault="00AB2A7B" w:rsidP="00AB2A7B">
      <w:pPr>
        <w:pStyle w:val="x"/>
      </w:pPr>
      <w:r w:rsidRPr="000549B1">
        <w:t>与上位规划协调一致：规划精准落实了《青海省主体功能区规划》对本流域</w:t>
      </w:r>
      <w:r w:rsidRPr="000549B1">
        <w:t>“</w:t>
      </w:r>
      <w:r w:rsidRPr="000549B1">
        <w:t>限制开发、强化生态</w:t>
      </w:r>
      <w:r w:rsidRPr="000549B1">
        <w:t>”</w:t>
      </w:r>
      <w:r w:rsidRPr="000549B1">
        <w:t>的功能定位，以生态保护和水源涵养为核心任务。作为《青海省</w:t>
      </w:r>
      <w:r w:rsidRPr="000549B1">
        <w:t>“</w:t>
      </w:r>
      <w:r w:rsidRPr="000549B1">
        <w:t>十四五</w:t>
      </w:r>
      <w:r w:rsidRPr="000549B1">
        <w:t>”</w:t>
      </w:r>
      <w:r w:rsidRPr="000549B1">
        <w:t>水安全保障规划》与《青海省水资源综合规划》在流域层面的细化和延伸，规划在供水安全、防洪减灾、水生态修复等具体目标、指标和工程布局上实现了无缝衔接与任务承接。</w:t>
      </w:r>
    </w:p>
    <w:p w14:paraId="207060C5" w14:textId="77777777" w:rsidR="00AB2A7B" w:rsidRPr="000549B1" w:rsidRDefault="00AB2A7B" w:rsidP="00AB2A7B">
      <w:pPr>
        <w:pStyle w:val="x"/>
      </w:pPr>
      <w:r w:rsidRPr="000549B1">
        <w:t>与同层级规划协同互补：规划方案与《海南州国民经济和社会发展</w:t>
      </w:r>
      <w:r w:rsidRPr="000549B1">
        <w:t>“</w:t>
      </w:r>
      <w:r w:rsidRPr="000549B1">
        <w:t>十四五</w:t>
      </w:r>
      <w:r w:rsidRPr="000549B1">
        <w:t>”</w:t>
      </w:r>
      <w:r w:rsidRPr="000549B1">
        <w:t>规划纲要》中关于发展清洁能源、特色农牧业等产业导向紧密配套，提供了坚实的水利支撑。在空间布局上，规划严格遵循《海南州国土空间总体规划》划定的</w:t>
      </w:r>
      <w:r w:rsidRPr="000549B1">
        <w:t>“</w:t>
      </w:r>
      <w:r w:rsidRPr="000549B1">
        <w:t>三区三线</w:t>
      </w:r>
      <w:r w:rsidRPr="000549B1">
        <w:t>”</w:t>
      </w:r>
      <w:r w:rsidRPr="000549B1">
        <w:t>，所有工程选址均有效避让了永久基本农田和生态保护红线，实现了与国土空间用途管制的协调统一。同时，规划也是海南州级各项水利专项规划在沙珠玉河流域的具体行动方案，共同构成了支撑区域高质量发展的规划合力。</w:t>
      </w:r>
    </w:p>
    <w:p w14:paraId="123D16A6" w14:textId="7C5AEF2A" w:rsidR="00AB2A7B" w:rsidRPr="000549B1" w:rsidRDefault="00AB2A7B" w:rsidP="00AB2A7B">
      <w:pPr>
        <w:pStyle w:val="x"/>
      </w:pPr>
      <w:r w:rsidRPr="000549B1">
        <w:rPr>
          <w:rFonts w:hint="eastAsia"/>
        </w:rPr>
        <w:t>（</w:t>
      </w:r>
      <w:r w:rsidRPr="000549B1">
        <w:rPr>
          <w:rFonts w:hint="eastAsia"/>
        </w:rPr>
        <w:t>3</w:t>
      </w:r>
      <w:r w:rsidRPr="000549B1">
        <w:rPr>
          <w:rFonts w:hint="eastAsia"/>
        </w:rPr>
        <w:t>）</w:t>
      </w:r>
      <w:r w:rsidRPr="000549B1">
        <w:t>与</w:t>
      </w:r>
      <w:r w:rsidRPr="000549B1">
        <w:t>“</w:t>
      </w:r>
      <w:r w:rsidRPr="000549B1">
        <w:t>三线一单</w:t>
      </w:r>
      <w:r w:rsidRPr="000549B1">
        <w:t>”</w:t>
      </w:r>
      <w:r w:rsidRPr="000549B1">
        <w:t>管控要求的符合性结论</w:t>
      </w:r>
    </w:p>
    <w:p w14:paraId="4C9A90CE" w14:textId="77777777" w:rsidR="00AB2A7B" w:rsidRPr="000549B1" w:rsidRDefault="00AB2A7B" w:rsidP="00AB2A7B">
      <w:pPr>
        <w:pStyle w:val="x"/>
      </w:pPr>
      <w:r w:rsidRPr="000549B1">
        <w:t>规划在编制中严格落实了生态保护红线、环境质量底线、资源利用上线和生态环境准入清单的刚性约束。</w:t>
      </w:r>
    </w:p>
    <w:p w14:paraId="60B21902" w14:textId="77777777" w:rsidR="00AB2A7B" w:rsidRPr="000549B1" w:rsidRDefault="00AB2A7B" w:rsidP="00AB2A7B">
      <w:pPr>
        <w:pStyle w:val="x"/>
      </w:pPr>
      <w:r w:rsidRPr="000549B1">
        <w:t>严守生态保护红线：规划充分识别并尊重流域内划定的</w:t>
      </w:r>
      <w:r w:rsidRPr="000549B1">
        <w:t>2</w:t>
      </w:r>
      <w:r w:rsidRPr="000549B1">
        <w:t>处生态保护红线（柴达木盆地土地沙化防控区、青海湖水源涵养区），所有规划工程均不涉及红线范围，从源头上保障了区域核心生态功能安全。</w:t>
      </w:r>
    </w:p>
    <w:p w14:paraId="2B764A54" w14:textId="77777777" w:rsidR="00AB2A7B" w:rsidRPr="000549B1" w:rsidRDefault="00AB2A7B" w:rsidP="00AB2A7B">
      <w:pPr>
        <w:pStyle w:val="x"/>
      </w:pPr>
      <w:r w:rsidRPr="000549B1">
        <w:t>对接环境质量底线与资源利用上线：规划正视流域目前存在的生态基流保障不足、水资源开发强度偏高、农业用水效率偏低等挑战，针对性提出了保障生态流量、强化节水增效、控制用水总量等一系列措施，旨在修复水生态、提升用水效率，确保未来不突破水环境质量与水资源消耗的上限。</w:t>
      </w:r>
    </w:p>
    <w:p w14:paraId="740E41DE" w14:textId="77777777" w:rsidR="00AB2A7B" w:rsidRPr="000549B1" w:rsidRDefault="00AB2A7B" w:rsidP="00AB2A7B">
      <w:pPr>
        <w:pStyle w:val="x"/>
      </w:pPr>
      <w:r w:rsidRPr="000549B1">
        <w:t>符合生态环境准入清单：经逐一比对，本次规划所包含的流域综合治理、生态修复及水利调蓄等公益性工程，其性质、选址和活动均不涉及优先保护单元的禁止性条款，也不属于重点管控和一般管控单元中限制或禁止的产业类别，完全满足青海省及所在区域生态环境分区准入管理要求。</w:t>
      </w:r>
    </w:p>
    <w:p w14:paraId="6201DB2E" w14:textId="72EEB720" w:rsidR="00AB2A7B" w:rsidRPr="000549B1" w:rsidRDefault="00AB2A7B" w:rsidP="00AB2A7B">
      <w:pPr>
        <w:pStyle w:val="x"/>
      </w:pPr>
      <w:r w:rsidRPr="000549B1">
        <w:rPr>
          <w:rFonts w:hint="eastAsia"/>
        </w:rPr>
        <w:t>（</w:t>
      </w:r>
      <w:r w:rsidRPr="000549B1">
        <w:rPr>
          <w:rFonts w:hint="eastAsia"/>
        </w:rPr>
        <w:t>4</w:t>
      </w:r>
      <w:r w:rsidRPr="000549B1">
        <w:rPr>
          <w:rFonts w:hint="eastAsia"/>
        </w:rPr>
        <w:t>）</w:t>
      </w:r>
      <w:r w:rsidRPr="000549B1">
        <w:t>总结</w:t>
      </w:r>
    </w:p>
    <w:p w14:paraId="2738C133" w14:textId="7E60CCB1" w:rsidR="00054437" w:rsidRPr="000549B1" w:rsidRDefault="00000000">
      <w:pPr>
        <w:spacing w:line="360" w:lineRule="auto"/>
        <w:ind w:firstLineChars="200" w:firstLine="480"/>
        <w:rPr>
          <w:kern w:val="0"/>
          <w:sz w:val="24"/>
          <w:szCs w:val="20"/>
        </w:rPr>
      </w:pPr>
      <w:r w:rsidRPr="000549B1">
        <w:rPr>
          <w:kern w:val="0"/>
          <w:sz w:val="24"/>
          <w:szCs w:val="20"/>
        </w:rPr>
        <w:t>沙珠玉河流域综合规划与相关法律法规及各级规划在目标定位、指标要求和具体措施上总体协调、一致。</w:t>
      </w:r>
      <w:r w:rsidRPr="000549B1">
        <w:rPr>
          <w:rFonts w:hint="eastAsia"/>
          <w:kern w:val="0"/>
          <w:sz w:val="24"/>
          <w:szCs w:val="20"/>
        </w:rPr>
        <w:t>规划</w:t>
      </w:r>
      <w:r w:rsidRPr="000549B1">
        <w:rPr>
          <w:kern w:val="0"/>
          <w:sz w:val="24"/>
          <w:szCs w:val="20"/>
        </w:rPr>
        <w:t>充分落实了上位规划和法律的各项要求，同时又根据流域实际进行了优化创新，未发现任何显著矛盾或冲突之处。规划的实施将与相关规划协同增效，共同促进流域乃至区域的可持续发展。</w:t>
      </w:r>
    </w:p>
    <w:bookmarkEnd w:id="176"/>
    <w:p w14:paraId="6046CD76" w14:textId="77777777" w:rsidR="00054437" w:rsidRPr="000549B1" w:rsidRDefault="00054437">
      <w:pPr>
        <w:spacing w:line="360" w:lineRule="auto"/>
        <w:ind w:firstLineChars="200" w:firstLine="420"/>
      </w:pPr>
    </w:p>
    <w:p w14:paraId="1BD742D0" w14:textId="77777777" w:rsidR="00054437" w:rsidRPr="000549B1" w:rsidRDefault="00054437">
      <w:pPr>
        <w:sectPr w:rsidR="00054437" w:rsidRPr="000549B1">
          <w:headerReference w:type="default" r:id="rId17"/>
          <w:footerReference w:type="default" r:id="rId18"/>
          <w:pgSz w:w="11906" w:h="16838"/>
          <w:pgMar w:top="1440" w:right="1800" w:bottom="1440" w:left="1800" w:header="851" w:footer="992" w:gutter="0"/>
          <w:pgNumType w:start="1"/>
          <w:cols w:space="425"/>
          <w:docGrid w:type="lines" w:linePitch="312"/>
        </w:sectPr>
      </w:pPr>
    </w:p>
    <w:p w14:paraId="128E6E98" w14:textId="10BEF422" w:rsidR="00054437" w:rsidRPr="000549B1" w:rsidRDefault="00000000">
      <w:pPr>
        <w:pStyle w:val="1"/>
      </w:pPr>
      <w:bookmarkStart w:id="179" w:name="_Toc216107007"/>
      <w:bookmarkStart w:id="180" w:name="_Hlk531336048"/>
      <w:r w:rsidRPr="000549B1">
        <w:t>现状</w:t>
      </w:r>
      <w:r w:rsidRPr="000549B1">
        <w:rPr>
          <w:rFonts w:hint="eastAsia"/>
        </w:rPr>
        <w:t>调查与</w:t>
      </w:r>
      <w:r w:rsidRPr="000549B1">
        <w:t>评价</w:t>
      </w:r>
      <w:bookmarkEnd w:id="179"/>
    </w:p>
    <w:p w14:paraId="7D356FA4" w14:textId="77777777" w:rsidR="00054437" w:rsidRPr="000549B1" w:rsidRDefault="00000000">
      <w:pPr>
        <w:pStyle w:val="2"/>
        <w:rPr>
          <w:rFonts w:ascii="Times New Roman" w:hAnsi="Times New Roman"/>
        </w:rPr>
      </w:pPr>
      <w:bookmarkStart w:id="181" w:name="_Toc529456893"/>
      <w:bookmarkStart w:id="182" w:name="_Toc29944"/>
      <w:bookmarkStart w:id="183" w:name="_Toc208583886"/>
      <w:bookmarkStart w:id="184" w:name="_Toc9144529"/>
      <w:bookmarkStart w:id="185" w:name="_Toc216107008"/>
      <w:r w:rsidRPr="000549B1">
        <w:rPr>
          <w:rFonts w:ascii="Times New Roman" w:hAnsi="Times New Roman"/>
        </w:rPr>
        <w:t>自然环境概况</w:t>
      </w:r>
      <w:bookmarkEnd w:id="181"/>
      <w:bookmarkEnd w:id="182"/>
      <w:bookmarkEnd w:id="183"/>
      <w:bookmarkEnd w:id="184"/>
      <w:bookmarkEnd w:id="185"/>
    </w:p>
    <w:p w14:paraId="1FF1A82A" w14:textId="77777777" w:rsidR="00054437" w:rsidRPr="000549B1" w:rsidRDefault="00000000">
      <w:pPr>
        <w:pStyle w:val="zhang3"/>
        <w:spacing w:before="156" w:after="156"/>
      </w:pPr>
      <w:r w:rsidRPr="000549B1">
        <w:t>地理位置</w:t>
      </w:r>
    </w:p>
    <w:p w14:paraId="14CD1C3E" w14:textId="77777777" w:rsidR="00054437" w:rsidRPr="000549B1" w:rsidRDefault="00000000">
      <w:pPr>
        <w:pStyle w:val="x"/>
      </w:pPr>
      <w:r w:rsidRPr="000549B1">
        <w:t>沙珠玉河流域位于青海省海南藏族自治州共和县西部及兴海县北部，地处共和盆地中西部。规划范围涵盖共和县的石乃亥镇、黑马河镇、廿地乡、沙珠玉乡、切吉乡、塘格木镇，以及兴海县河卡镇，共</w:t>
      </w:r>
      <w:r w:rsidRPr="000549B1">
        <w:t>7</w:t>
      </w:r>
      <w:r w:rsidRPr="000549B1">
        <w:t>个乡镇，流域总面积约</w:t>
      </w:r>
      <w:r w:rsidRPr="000549B1">
        <w:t>8263.7km</w:t>
      </w:r>
      <w:r w:rsidRPr="000549B1">
        <w:rPr>
          <w:vertAlign w:val="superscript"/>
        </w:rPr>
        <w:t>2</w:t>
      </w:r>
      <w:r w:rsidRPr="000549B1">
        <w:t>。流域北临青海湖及其南岸的高原平原，南界鄂拉山脉和黄河龙羊峡库区，整体位于青海南山与鄂拉山之间的共和盆地内。区域距省会西宁约</w:t>
      </w:r>
      <w:r w:rsidRPr="000549B1">
        <w:t>180km</w:t>
      </w:r>
      <w:r w:rsidRPr="000549B1">
        <w:t>，周边包括塔拉滩沙漠等地理单元，是黄河上游有名的风沙危害区之一。</w:t>
      </w:r>
    </w:p>
    <w:p w14:paraId="1BC126DB" w14:textId="77777777" w:rsidR="00054437" w:rsidRPr="000549B1" w:rsidRDefault="00000000">
      <w:pPr>
        <w:pStyle w:val="zhang3"/>
        <w:spacing w:before="156" w:after="156"/>
      </w:pPr>
      <w:r w:rsidRPr="000549B1">
        <w:t>地形地貌</w:t>
      </w:r>
    </w:p>
    <w:p w14:paraId="5BFC591A" w14:textId="77777777" w:rsidR="00054437" w:rsidRPr="000549B1" w:rsidRDefault="00000000">
      <w:pPr>
        <w:pStyle w:val="x"/>
      </w:pPr>
      <w:r w:rsidRPr="000549B1">
        <w:t>流域所在的共和盆地属于高原山间断陷盆地，地形以高原荒漠草原和沙地为主，间以山地丘陵。盆地内部地势较为平坦开阔，分布有大面积沙漠化土地（如塔拉滩沙地），沙珠玉乡平均海拔约</w:t>
      </w:r>
      <w:r w:rsidRPr="000549B1">
        <w:t>2910m</w:t>
      </w:r>
      <w:r w:rsidRPr="000549B1">
        <w:t>。四周为高山环绕，北侧有青海南山，南侧为鄂拉山等山脉，最高峰切龙岗海拔达</w:t>
      </w:r>
      <w:r w:rsidRPr="000549B1">
        <w:t>5290m</w:t>
      </w:r>
      <w:r w:rsidRPr="000549B1">
        <w:t>。盆地中央地势低洼，海拔多在</w:t>
      </w:r>
      <w:r w:rsidRPr="000549B1">
        <w:t>2800</w:t>
      </w:r>
      <w:r w:rsidRPr="000549B1">
        <w:t>～</w:t>
      </w:r>
      <w:r w:rsidRPr="000549B1">
        <w:t>3000m</w:t>
      </w:r>
      <w:r w:rsidRPr="000549B1">
        <w:t>左右，县域东南部黄河谷地最低处海拔约</w:t>
      </w:r>
      <w:r w:rsidRPr="000549B1">
        <w:t>2460m</w:t>
      </w:r>
      <w:r w:rsidRPr="000549B1">
        <w:t>。总体地貌特征为盆地、中低山与沙丘荒漠相间，境内广袤的干旱荒漠草原曾被称为</w:t>
      </w:r>
      <w:r w:rsidRPr="000549B1">
        <w:rPr>
          <w:rFonts w:ascii="宋体" w:hAnsi="宋体"/>
        </w:rPr>
        <w:t>“</w:t>
      </w:r>
      <w:r w:rsidRPr="000549B1">
        <w:t>风窝窝</w:t>
      </w:r>
      <w:r w:rsidRPr="000549B1">
        <w:rPr>
          <w:rFonts w:ascii="宋体" w:hAnsi="宋体"/>
        </w:rPr>
        <w:t>”“</w:t>
      </w:r>
      <w:r w:rsidRPr="000549B1">
        <w:t>沙窝窝</w:t>
      </w:r>
      <w:r w:rsidRPr="000549B1">
        <w:rPr>
          <w:rFonts w:ascii="宋体" w:hAnsi="宋体"/>
        </w:rPr>
        <w:t>”</w:t>
      </w:r>
      <w:r w:rsidRPr="000549B1">
        <w:t>。经过多年治沙，部分沙漠区已形成绿洲景观，但整体地形起伏仍较平缓，沙丘、冲积扇等地貌广布。</w:t>
      </w:r>
    </w:p>
    <w:p w14:paraId="7AF32776" w14:textId="77777777" w:rsidR="00054437" w:rsidRPr="000549B1" w:rsidRDefault="00000000">
      <w:pPr>
        <w:pStyle w:val="zhang3"/>
        <w:spacing w:before="156" w:after="156"/>
      </w:pPr>
      <w:r w:rsidRPr="000549B1">
        <w:t>河流水系</w:t>
      </w:r>
    </w:p>
    <w:p w14:paraId="5D3DE515" w14:textId="77777777" w:rsidR="00054437" w:rsidRPr="000549B1" w:rsidRDefault="00000000">
      <w:pPr>
        <w:pStyle w:val="x"/>
      </w:pPr>
      <w:r w:rsidRPr="000549B1">
        <w:t>沙珠玉河为共和盆地内最大的河流，属于内流河水系。历史上沙珠玉河原为黄河一级支流，但受新构造运动（</w:t>
      </w:r>
      <w:r w:rsidRPr="000549B1">
        <w:rPr>
          <w:rFonts w:ascii="宋体" w:hAnsi="宋体"/>
        </w:rPr>
        <w:t>“</w:t>
      </w:r>
      <w:r w:rsidRPr="000549B1">
        <w:t>恰卜恰运动</w:t>
      </w:r>
      <w:r w:rsidRPr="000549B1">
        <w:rPr>
          <w:rFonts w:ascii="宋体" w:hAnsi="宋体"/>
        </w:rPr>
        <w:t>”</w:t>
      </w:r>
      <w:r w:rsidRPr="000549B1">
        <w:t>）影响，地壳抬升使其改道封闭，演变为如今的内陆河。沙珠玉河干流自西向东横贯共和盆地中央，最终汇入盆地东部的终端湖泊</w:t>
      </w:r>
      <w:r w:rsidRPr="000549B1">
        <w:t>——</w:t>
      </w:r>
      <w:r w:rsidRPr="000549B1">
        <w:t>达连海（包括南、北达连海）。流域内河网主要由沙珠玉河干流及右岸来水组成，右岸支流发源于青海南山南麓及鄂拉山北麓山前地带。主要支流有大水河、瓦洪沟、切吉沟等，兴海县河卡镇的操什达河亦自南侧汇入沙珠玉河流域。沙珠玉河全长约</w:t>
      </w:r>
      <w:r w:rsidRPr="000549B1">
        <w:t>134km</w:t>
      </w:r>
      <w:r w:rsidRPr="000549B1">
        <w:t>，流域面积约</w:t>
      </w:r>
      <w:r w:rsidRPr="000549B1">
        <w:t>4552km</w:t>
      </w:r>
      <w:r w:rsidRPr="000549B1">
        <w:rPr>
          <w:vertAlign w:val="superscript"/>
        </w:rPr>
        <w:t>2</w:t>
      </w:r>
      <w:r w:rsidRPr="000549B1">
        <w:t>（不含附属支流区）。河川补给以高原降水和周边冰雪融水为主，属季节性河流，夏季雨季径流丰沛，冬春枯水明显。根据沙珠玉水文站多年观测，夏季汛期径流量占全年约</w:t>
      </w:r>
      <w:r w:rsidRPr="000549B1">
        <w:t>32.6%</w:t>
      </w:r>
      <w:r w:rsidRPr="000549B1">
        <w:t>，而冬季枯水期仅占</w:t>
      </w:r>
      <w:r w:rsidRPr="000549B1">
        <w:t>14.5%</w:t>
      </w:r>
      <w:r w:rsidRPr="000549B1">
        <w:t>。由于上游兴建水库较多，自</w:t>
      </w:r>
      <w:r w:rsidRPr="000549B1">
        <w:t>20</w:t>
      </w:r>
      <w:r w:rsidRPr="000549B1">
        <w:t>世纪中后期以来下游来水锐减，北达连海于</w:t>
      </w:r>
      <w:r w:rsidRPr="000549B1">
        <w:t>1930</w:t>
      </w:r>
      <w:r w:rsidRPr="000549B1">
        <w:t>年代干涸，南达连海也于</w:t>
      </w:r>
      <w:r w:rsidRPr="000549B1">
        <w:t>1994</w:t>
      </w:r>
      <w:r w:rsidRPr="000549B1">
        <w:t>年完全干涸。总体而言，沙珠玉河水系为封闭式内流水系，河道比降平缓，中下游多渗漏散失，水流易于季节性断流。</w:t>
      </w:r>
    </w:p>
    <w:p w14:paraId="2A8A435A" w14:textId="77777777" w:rsidR="00054437" w:rsidRPr="000549B1" w:rsidRDefault="00000000">
      <w:pPr>
        <w:pStyle w:val="zhang3"/>
        <w:spacing w:before="156" w:after="156"/>
      </w:pPr>
      <w:r w:rsidRPr="000549B1">
        <w:t>水文气象</w:t>
      </w:r>
    </w:p>
    <w:p w14:paraId="15469CAE" w14:textId="77777777" w:rsidR="00054437" w:rsidRPr="000549B1" w:rsidRDefault="00000000">
      <w:pPr>
        <w:pStyle w:val="x"/>
      </w:pPr>
      <w:r w:rsidRPr="000549B1">
        <w:t>沙珠玉河流域属高原大陆性干旱气候。多年平均气温在约</w:t>
      </w:r>
      <w:r w:rsidRPr="000549B1">
        <w:t>3</w:t>
      </w:r>
      <w:r w:rsidRPr="000549B1">
        <w:t>～</w:t>
      </w:r>
      <w:r w:rsidRPr="000549B1">
        <w:t>5℃</w:t>
      </w:r>
      <w:r w:rsidRPr="000549B1">
        <w:t>左右（共和县年均气温</w:t>
      </w:r>
      <w:r w:rsidRPr="000549B1">
        <w:t>4.6℃</w:t>
      </w:r>
      <w:r w:rsidRPr="000549B1">
        <w:t>），冬季漫长寒冷，夏季凉爽短暂。年均降水量约为</w:t>
      </w:r>
      <w:r w:rsidRPr="000549B1">
        <w:t>300</w:t>
      </w:r>
      <w:r w:rsidRPr="000549B1">
        <w:t>～</w:t>
      </w:r>
      <w:r w:rsidRPr="000549B1">
        <w:t>400mm</w:t>
      </w:r>
      <w:r w:rsidRPr="000549B1">
        <w:t>，大部分降水集中在</w:t>
      </w:r>
      <w:r w:rsidRPr="000549B1">
        <w:t>5</w:t>
      </w:r>
      <w:r w:rsidRPr="000549B1">
        <w:t>～</w:t>
      </w:r>
      <w:r w:rsidRPr="000549B1">
        <w:t>9</w:t>
      </w:r>
      <w:r w:rsidRPr="000549B1">
        <w:t>月的夏秋季（占全年八成以上）。年蒸发量远高于降水量，盆地年蒸发量达</w:t>
      </w:r>
      <w:r w:rsidRPr="000549B1">
        <w:t>1360</w:t>
      </w:r>
      <w:r w:rsidRPr="000549B1">
        <w:t>～</w:t>
      </w:r>
      <w:r w:rsidRPr="000549B1">
        <w:t>1680mm</w:t>
      </w:r>
      <w:r w:rsidRPr="000549B1">
        <w:t>，约为降水的</w:t>
      </w:r>
      <w:r w:rsidRPr="000549B1">
        <w:t>5</w:t>
      </w:r>
      <w:r w:rsidRPr="000549B1">
        <w:t>～</w:t>
      </w:r>
      <w:r w:rsidRPr="000549B1">
        <w:t>7</w:t>
      </w:r>
      <w:r w:rsidRPr="000549B1">
        <w:t>倍之多。这种降水蒸发反差导致区域极度干旱，</w:t>
      </w:r>
      <w:r w:rsidRPr="000549B1">
        <w:rPr>
          <w:rFonts w:ascii="宋体" w:hAnsi="宋体"/>
        </w:rPr>
        <w:t>“</w:t>
      </w:r>
      <w:r w:rsidRPr="000549B1">
        <w:t>一年刮风半年沙</w:t>
      </w:r>
      <w:r w:rsidRPr="000549B1">
        <w:rPr>
          <w:rFonts w:ascii="宋体" w:hAnsi="宋体"/>
        </w:rPr>
        <w:t>”</w:t>
      </w:r>
      <w:r w:rsidRPr="000549B1">
        <w:t>的现象过去十分突出。冬春季盛行偏北大风，沙尘天气频繁，年大风日数超过</w:t>
      </w:r>
      <w:r w:rsidRPr="000549B1">
        <w:t>50</w:t>
      </w:r>
      <w:r w:rsidRPr="000549B1">
        <w:t>天。高海拔山区常年积雪覆盖，冬季地表土壤冻结深厚，高寒地带存在多年冻土现象。例如，共玉高速公路（共和至玉树）穿越本区即属于多年冻土区修建的首条高速公路。随着海拔升高，气候更趋严寒，兴海县河卡一带冬季极端最低气温可达</w:t>
      </w:r>
      <w:r w:rsidRPr="000549B1">
        <w:t>-30℃</w:t>
      </w:r>
      <w:r w:rsidRPr="000549B1">
        <w:t>左右。流域内无永久性冰川，但春夏季山顶融雪和季节性冻土融水是河川的重要补给。总的来说，沙珠玉河流域气候干燥寒冷，降水稀少且时空分布不均，水文情势以夏汛冬枯为主要特征，生态环境脆弱。</w:t>
      </w:r>
    </w:p>
    <w:p w14:paraId="50F56F8A" w14:textId="77777777" w:rsidR="00054437" w:rsidRPr="000549B1" w:rsidRDefault="00000000">
      <w:pPr>
        <w:pStyle w:val="zhang3"/>
        <w:spacing w:before="156" w:after="156"/>
      </w:pPr>
      <w:bookmarkStart w:id="186" w:name="_Toc529456895"/>
      <w:bookmarkStart w:id="187" w:name="_Toc19870"/>
      <w:bookmarkStart w:id="188" w:name="_Toc9144531"/>
      <w:bookmarkStart w:id="189" w:name="_Toc208583888"/>
      <w:r w:rsidRPr="000549B1">
        <w:t>社会经济概况</w:t>
      </w:r>
      <w:bookmarkEnd w:id="186"/>
      <w:bookmarkEnd w:id="187"/>
      <w:bookmarkEnd w:id="188"/>
      <w:bookmarkEnd w:id="189"/>
    </w:p>
    <w:p w14:paraId="72C4E10A" w14:textId="77777777" w:rsidR="00054437" w:rsidRPr="000549B1" w:rsidRDefault="00000000">
      <w:pPr>
        <w:pStyle w:val="4"/>
        <w:rPr>
          <w:rFonts w:ascii="Times New Roman" w:hAnsi="Times New Roman"/>
        </w:rPr>
      </w:pPr>
      <w:r w:rsidRPr="000549B1">
        <w:rPr>
          <w:rFonts w:ascii="Times New Roman" w:hAnsi="Times New Roman"/>
        </w:rPr>
        <w:t>区划人口</w:t>
      </w:r>
    </w:p>
    <w:p w14:paraId="05FA29A8" w14:textId="77777777" w:rsidR="00054437" w:rsidRPr="000549B1" w:rsidRDefault="00000000">
      <w:pPr>
        <w:pStyle w:val="x"/>
      </w:pPr>
      <w:r w:rsidRPr="000549B1">
        <w:t>沙珠玉河流域涉及共和县</w:t>
      </w:r>
      <w:r w:rsidRPr="000549B1">
        <w:t>7</w:t>
      </w:r>
      <w:r w:rsidRPr="000549B1">
        <w:t>个乡镇及兴海县</w:t>
      </w:r>
      <w:r w:rsidRPr="000549B1">
        <w:t>1</w:t>
      </w:r>
      <w:r w:rsidRPr="000549B1">
        <w:t>个镇，区域内人口稀少而以牧业人口为主。根据第七次人口普查数据统计，上述</w:t>
      </w:r>
      <w:r w:rsidRPr="000549B1">
        <w:t>7</w:t>
      </w:r>
      <w:r w:rsidRPr="000549B1">
        <w:t>乡镇（含兴海县河卡镇）总人口约</w:t>
      </w:r>
      <w:r w:rsidRPr="000549B1">
        <w:t>5.15</w:t>
      </w:r>
      <w:r w:rsidRPr="000549B1">
        <w:t>万人。其中共和县境内</w:t>
      </w:r>
      <w:r w:rsidRPr="000549B1">
        <w:t>6</w:t>
      </w:r>
      <w:r w:rsidRPr="000549B1">
        <w:t>个乡镇人口合计约</w:t>
      </w:r>
      <w:r w:rsidRPr="000549B1">
        <w:t>3.76</w:t>
      </w:r>
      <w:r w:rsidRPr="000549B1">
        <w:t>万人，兴海县河卡镇常住人口约</w:t>
      </w:r>
      <w:r w:rsidRPr="000549B1">
        <w:t>1.39</w:t>
      </w:r>
      <w:r w:rsidRPr="000549B1">
        <w:t>万人。全流域人口密度不足</w:t>
      </w:r>
      <w:r w:rsidRPr="000549B1">
        <w:t>6</w:t>
      </w:r>
      <w:r w:rsidRPr="000549B1">
        <w:t>人</w:t>
      </w:r>
      <w:r w:rsidRPr="000549B1">
        <w:t>/km</w:t>
      </w:r>
      <w:r w:rsidRPr="000549B1">
        <w:rPr>
          <w:vertAlign w:val="superscript"/>
        </w:rPr>
        <w:t>2</w:t>
      </w:r>
      <w:r w:rsidRPr="000549B1">
        <w:t>，在乡镇驻地和沿交通干线形成小型聚落，其余居民分散居住于农牧村落。民族构成以藏族为主体，兼有汉族、回族、蒙古族、撒拉族等共</w:t>
      </w:r>
      <w:r w:rsidRPr="000549B1">
        <w:t>20</w:t>
      </w:r>
      <w:r w:rsidRPr="000549B1">
        <w:t>余个民族。少数民族人口约占总人口的</w:t>
      </w:r>
      <w:r w:rsidRPr="000549B1">
        <w:t>73%</w:t>
      </w:r>
      <w:r w:rsidRPr="000549B1">
        <w:t>，其中藏族约占</w:t>
      </w:r>
      <w:r w:rsidRPr="000549B1">
        <w:t>64%</w:t>
      </w:r>
      <w:r w:rsidRPr="000549B1">
        <w:t>。各族居民以藏族传统文化为主导，聚居形式上以牧业定居点和半定居游牧相结合。多数农村人口从事农牧业生产，逐水草而居的游牧习俗在高寒草原地带仍有保留，但定居点逐步增多，近年来部分居民也搬迁至集中安置的新村镇。总体来看，流域人口规模较小，分布零星，农牧民生产生活方式保有鲜明的高原民族特色。</w:t>
      </w:r>
    </w:p>
    <w:p w14:paraId="691CD098" w14:textId="77777777" w:rsidR="00054437" w:rsidRPr="000549B1" w:rsidRDefault="00000000">
      <w:pPr>
        <w:pStyle w:val="Z4"/>
        <w:rPr>
          <w:color w:val="auto"/>
        </w:rPr>
      </w:pPr>
      <w:r w:rsidRPr="000549B1">
        <w:rPr>
          <w:color w:val="auto"/>
        </w:rPr>
        <w:t>社会经济</w:t>
      </w:r>
    </w:p>
    <w:p w14:paraId="117B4AC3" w14:textId="77777777" w:rsidR="00054437" w:rsidRPr="000549B1" w:rsidRDefault="00000000">
      <w:pPr>
        <w:pStyle w:val="x"/>
      </w:pPr>
      <w:r w:rsidRPr="000549B1">
        <w:t>沙珠玉河流域所在区域经济以农牧业为基础，是典型的以牧为主、农牧结合地区。畜牧业在全州占有重要地位：共和县是海南州首要的畜牧业基地，牛羊存栏和畜产品产量长期居全省前列。当地盛产牦牛、藏系羊等畜产品，加工产业有传统的毛纺（羊绒羊毛）、皮革制作、乳肉食品加工等。农业方面，流域内可耕地有限，人均耕地约</w:t>
      </w:r>
      <w:r w:rsidRPr="000549B1">
        <w:t>1.6</w:t>
      </w:r>
      <w:r w:rsidRPr="000549B1">
        <w:t>亩。主要农作物包括小麦、青稞（高原大麦）、蚕豆、油菜（青油菜籽）和马铃薯等。由于气候严酷、风沙危害严重，过去农作物单位产量较低、品质不佳。</w:t>
      </w:r>
      <w:r w:rsidRPr="000549B1">
        <w:t>20</w:t>
      </w:r>
      <w:r w:rsidRPr="000549B1">
        <w:t>世纪中叶，沙珠玉乡九成以上草场曾沙化为不毛之地，</w:t>
      </w:r>
      <w:r w:rsidRPr="000549B1">
        <w:rPr>
          <w:rFonts w:ascii="宋体" w:hAnsi="宋体"/>
        </w:rPr>
        <w:t>“</w:t>
      </w:r>
      <w:r w:rsidRPr="000549B1">
        <w:t>庄稼年年种、年年沙埋</w:t>
      </w:r>
      <w:r w:rsidRPr="000549B1">
        <w:rPr>
          <w:rFonts w:ascii="宋体" w:hAnsi="宋体"/>
        </w:rPr>
        <w:t>”</w:t>
      </w:r>
      <w:r w:rsidRPr="000549B1">
        <w:t>的情况突出。然而，经过</w:t>
      </w:r>
      <w:r w:rsidRPr="000549B1">
        <w:t>50</w:t>
      </w:r>
      <w:r w:rsidRPr="000549B1">
        <w:t>多年的水土保持和防沙治理，如今沙珠玉河谷两岸防护林带纵横，农田得到庇护，部分昔日沙地变为高产田，被誉为共和县的</w:t>
      </w:r>
      <w:r w:rsidRPr="000549B1">
        <w:rPr>
          <w:rFonts w:ascii="宋体" w:hAnsi="宋体"/>
        </w:rPr>
        <w:t>“</w:t>
      </w:r>
      <w:r w:rsidRPr="000549B1">
        <w:t>粮仓</w:t>
      </w:r>
      <w:r w:rsidRPr="000549B1">
        <w:rPr>
          <w:rFonts w:ascii="宋体" w:hAnsi="宋体"/>
        </w:rPr>
        <w:t>”</w:t>
      </w:r>
      <w:r w:rsidRPr="000549B1">
        <w:t>与</w:t>
      </w:r>
      <w:r w:rsidRPr="000549B1">
        <w:rPr>
          <w:rFonts w:ascii="宋体" w:hAnsi="宋体"/>
        </w:rPr>
        <w:t>“</w:t>
      </w:r>
      <w:r w:rsidRPr="000549B1">
        <w:t>绿海</w:t>
      </w:r>
      <w:r w:rsidRPr="000549B1">
        <w:rPr>
          <w:rFonts w:ascii="宋体" w:hAnsi="宋体"/>
        </w:rPr>
        <w:t>”</w:t>
      </w:r>
      <w:r w:rsidRPr="000549B1">
        <w:t>。流域内建有沙珠玉灌区等农业灌溉工程，水利设施改善了农田灌溉条件。农牧民收入结构中，牛羊养殖、青稞种植及采集冬虫夏草等依然是主要来源。例如，黑马河镇常住人口约</w:t>
      </w:r>
      <w:r w:rsidRPr="000549B1">
        <w:t>5200</w:t>
      </w:r>
      <w:r w:rsidRPr="000549B1">
        <w:t>人，人均年收入约</w:t>
      </w:r>
      <w:r w:rsidRPr="000549B1">
        <w:t>1.6</w:t>
      </w:r>
      <w:r w:rsidRPr="000549B1">
        <w:t>万元，收入以传统畜牧业和采挖虫草为主。</w:t>
      </w:r>
    </w:p>
    <w:p w14:paraId="41EFD1C3" w14:textId="77777777" w:rsidR="00054437" w:rsidRPr="000549B1" w:rsidRDefault="00000000">
      <w:pPr>
        <w:pStyle w:val="x"/>
      </w:pPr>
      <w:r w:rsidRPr="000549B1">
        <w:t>近年，随着生态环境改善和区位优势发挥，第三产业和特色产业在沙珠玉河流域逐步兴起。</w:t>
      </w:r>
      <w:r w:rsidRPr="000549B1">
        <w:rPr>
          <w:bCs/>
        </w:rPr>
        <w:t>旅游业</w:t>
      </w:r>
      <w:r w:rsidRPr="000549B1">
        <w:t>方面，黑马河镇和石乃亥镇依托青海湖景区发展旅游服务业，每年夏季大批游客前来观赏日出、油菜花海和候鸟迁徙，</w:t>
      </w:r>
      <w:r w:rsidRPr="000549B1">
        <w:t>2023</w:t>
      </w:r>
      <w:r w:rsidRPr="000549B1">
        <w:t>年仅</w:t>
      </w:r>
      <w:r w:rsidRPr="000549B1">
        <w:t>7</w:t>
      </w:r>
      <w:r w:rsidRPr="000549B1">
        <w:t>月至</w:t>
      </w:r>
      <w:r w:rsidRPr="000549B1">
        <w:t>8</w:t>
      </w:r>
      <w:r w:rsidRPr="000549B1">
        <w:t>月黑马河景区接待游客已超过</w:t>
      </w:r>
      <w:r w:rsidRPr="000549B1">
        <w:t>20</w:t>
      </w:r>
      <w:r w:rsidRPr="000549B1">
        <w:t>万人次。旅游热带动了民宿、餐饮等就业，周边村集体通过参股景区获得分红收益。沙珠玉乡等地也在发展沙漠生态旅游，上卡力岗村建设了游客接待中心，打造治沙成果观光点，以绿洲和沙产业为卖点吸引游客。</w:t>
      </w:r>
      <w:r w:rsidRPr="000549B1">
        <w:rPr>
          <w:bCs/>
        </w:rPr>
        <w:t>新能源产业</w:t>
      </w:r>
      <w:r w:rsidRPr="000549B1">
        <w:t>方面，塔拉滩光伏产业园区位于塘格木镇境内沙漠边缘，属于国家大型光伏发电基地。共和盆地塔拉滩曾经荒漠化率高达</w:t>
      </w:r>
      <w:r w:rsidRPr="000549B1">
        <w:t>98.5%</w:t>
      </w:r>
      <w:r w:rsidRPr="000549B1">
        <w:t>，近年来通过</w:t>
      </w:r>
      <w:r w:rsidRPr="000549B1">
        <w:rPr>
          <w:rFonts w:ascii="宋体" w:hAnsi="宋体"/>
        </w:rPr>
        <w:t>“</w:t>
      </w:r>
      <w:r w:rsidRPr="000549B1">
        <w:t>光伏</w:t>
      </w:r>
      <w:r w:rsidRPr="000549B1">
        <w:t>+</w:t>
      </w:r>
      <w:r w:rsidRPr="000549B1">
        <w:t>治沙</w:t>
      </w:r>
      <w:r w:rsidRPr="000549B1">
        <w:t>+</w:t>
      </w:r>
      <w:r w:rsidRPr="000549B1">
        <w:t>生态牧业</w:t>
      </w:r>
      <w:r w:rsidRPr="000549B1">
        <w:rPr>
          <w:rFonts w:ascii="宋体" w:hAnsi="宋体"/>
        </w:rPr>
        <w:t>”</w:t>
      </w:r>
      <w:r w:rsidRPr="000549B1">
        <w:t>模式，成片光伏板下种草、植树，有效压制了流沙并为当地创造了经济收益。光伏治沙工程使昔日的</w:t>
      </w:r>
      <w:r w:rsidRPr="000549B1">
        <w:rPr>
          <w:rFonts w:ascii="宋体" w:hAnsi="宋体"/>
        </w:rPr>
        <w:t>“</w:t>
      </w:r>
      <w:r w:rsidRPr="000549B1">
        <w:t>沙戈荒</w:t>
      </w:r>
      <w:r w:rsidRPr="000549B1">
        <w:rPr>
          <w:rFonts w:ascii="宋体" w:hAnsi="宋体"/>
        </w:rPr>
        <w:t>”</w:t>
      </w:r>
      <w:r w:rsidRPr="000549B1">
        <w:t>变成了清洁能源</w:t>
      </w:r>
      <w:r w:rsidRPr="000549B1">
        <w:rPr>
          <w:rFonts w:ascii="宋体" w:hAnsi="宋体"/>
        </w:rPr>
        <w:t>“</w:t>
      </w:r>
      <w:r w:rsidRPr="000549B1">
        <w:t>聚宝盆</w:t>
      </w:r>
      <w:r w:rsidRPr="000549B1">
        <w:rPr>
          <w:rFonts w:ascii="宋体" w:hAnsi="宋体"/>
        </w:rPr>
        <w:t>”</w:t>
      </w:r>
      <w:r w:rsidRPr="000549B1">
        <w:t>，海南州已将共和盆地列为治沙和新能源融合发展的示范区。此外，基础设施建设不断完善，</w:t>
      </w:r>
      <w:r w:rsidRPr="000549B1">
        <w:rPr>
          <w:bCs/>
        </w:rPr>
        <w:t>交通</w:t>
      </w:r>
      <w:r w:rsidRPr="000549B1">
        <w:t>上有</w:t>
      </w:r>
      <w:r w:rsidRPr="000549B1">
        <w:t>G109</w:t>
      </w:r>
      <w:r w:rsidRPr="000549B1">
        <w:t>国道沿青海湖经黑马河镇贯通东西，</w:t>
      </w:r>
      <w:r w:rsidRPr="000549B1">
        <w:t>G214</w:t>
      </w:r>
      <w:r w:rsidRPr="000549B1">
        <w:t>国道纵贯南北连接河卡镇，京藏高速和共玉高速公路也穿行区域，提高了对外交通便捷度。</w:t>
      </w:r>
      <w:r w:rsidRPr="000549B1">
        <w:rPr>
          <w:bCs/>
        </w:rPr>
        <w:t>民生基础</w:t>
      </w:r>
      <w:r w:rsidRPr="000549B1">
        <w:t>方面，区域内乡镇已通电通网，沙珠玉乡等地建有光伏提水工程保障人畜饮水，乡村道路和通信逐步改善。总体而言，沙珠玉河流域社会经济正处于由传统农牧业向多元产业转型阶段。一方面农牧经济仍是根基，另一方面依托生态治理和资源优势的新兴产业（旅游、光伏等）为区域经济注入了新的活力，城乡居民收入水平稳步提高（海南州农村居民人均可支配收入已达</w:t>
      </w:r>
      <w:r w:rsidRPr="000549B1">
        <w:t>1.7</w:t>
      </w:r>
      <w:r w:rsidRPr="000549B1">
        <w:t>万元左右）。流域经济发展基础相对薄弱，但在各类规划支持下，公共基础设施和生产条件正不断改善，为后续绿色发展奠定了良好基础。</w:t>
      </w:r>
    </w:p>
    <w:p w14:paraId="692A4F7E" w14:textId="17794CA2" w:rsidR="00054437" w:rsidRPr="000549B1" w:rsidRDefault="00000000">
      <w:pPr>
        <w:pStyle w:val="2"/>
        <w:rPr>
          <w:rFonts w:ascii="Times New Roman" w:hAnsi="Times New Roman"/>
        </w:rPr>
      </w:pPr>
      <w:bookmarkStart w:id="190" w:name="_Toc216107009"/>
      <w:bookmarkEnd w:id="180"/>
      <w:r w:rsidRPr="000549B1">
        <w:rPr>
          <w:rFonts w:ascii="Times New Roman" w:hAnsi="Times New Roman" w:hint="eastAsia"/>
        </w:rPr>
        <w:t>水文</w:t>
      </w:r>
      <w:r w:rsidRPr="000549B1">
        <w:rPr>
          <w:rFonts w:ascii="Times New Roman" w:hAnsi="Times New Roman"/>
        </w:rPr>
        <w:t>水资源现状调查与评价</w:t>
      </w:r>
      <w:bookmarkEnd w:id="190"/>
    </w:p>
    <w:p w14:paraId="29E66855" w14:textId="77777777" w:rsidR="00054437" w:rsidRPr="000549B1" w:rsidRDefault="00000000">
      <w:pPr>
        <w:pStyle w:val="3"/>
      </w:pPr>
      <w:bookmarkStart w:id="191" w:name="_Toc216107010"/>
      <w:r w:rsidRPr="000549B1">
        <w:t>水资源量及其时空分布</w:t>
      </w:r>
      <w:bookmarkEnd w:id="191"/>
    </w:p>
    <w:p w14:paraId="173875F5" w14:textId="77777777" w:rsidR="00054437" w:rsidRPr="000549B1" w:rsidRDefault="00000000">
      <w:pPr>
        <w:pStyle w:val="4"/>
        <w:adjustRightInd w:val="0"/>
        <w:snapToGrid w:val="0"/>
        <w:spacing w:before="0" w:after="0" w:line="360" w:lineRule="auto"/>
        <w:rPr>
          <w:rFonts w:ascii="Times New Roman" w:eastAsia="黑体" w:hAnsi="Times New Roman"/>
          <w:bCs w:val="0"/>
        </w:rPr>
      </w:pPr>
      <w:r w:rsidRPr="000549B1">
        <w:rPr>
          <w:rFonts w:ascii="Times New Roman" w:eastAsia="黑体" w:hAnsi="Times New Roman"/>
          <w:bCs w:val="0"/>
        </w:rPr>
        <w:t>地表水资源量</w:t>
      </w:r>
    </w:p>
    <w:p w14:paraId="7F8C478D" w14:textId="57FB08FF" w:rsidR="00FD127F" w:rsidRPr="000549B1" w:rsidRDefault="00FD127F" w:rsidP="00FD127F">
      <w:pPr>
        <w:pStyle w:val="x"/>
      </w:pPr>
      <w:r w:rsidRPr="000549B1">
        <w:rPr>
          <w:rFonts w:hint="eastAsia"/>
        </w:rPr>
        <w:t>结合《青海省海南州水资源综合规划》《海南州共和县水资源调查评价》成果，沙珠玉河流域</w:t>
      </w:r>
      <w:r w:rsidRPr="000549B1">
        <w:t>1956~2000</w:t>
      </w:r>
      <w:r w:rsidRPr="000549B1">
        <w:rPr>
          <w:rFonts w:hint="eastAsia"/>
        </w:rPr>
        <w:t>年多年平均径流深为</w:t>
      </w:r>
      <w:r w:rsidRPr="000549B1">
        <w:t>15.9mm</w:t>
      </w:r>
      <w:r w:rsidRPr="000549B1">
        <w:rPr>
          <w:rFonts w:hint="eastAsia"/>
        </w:rPr>
        <w:t>，折合水量</w:t>
      </w:r>
      <w:r w:rsidRPr="000549B1">
        <w:t>13811</w:t>
      </w:r>
      <w:r w:rsidRPr="000549B1">
        <w:rPr>
          <w:rFonts w:hint="eastAsia"/>
        </w:rPr>
        <w:t>万</w:t>
      </w:r>
      <w:r w:rsidRPr="000549B1">
        <w:t>m</w:t>
      </w:r>
      <w:r w:rsidRPr="000549B1">
        <w:rPr>
          <w:rFonts w:hint="eastAsia"/>
        </w:rPr>
        <w:t>³。其中沙珠玉区地表水资源量为</w:t>
      </w:r>
      <w:r w:rsidRPr="000549B1">
        <w:t>9721</w:t>
      </w:r>
      <w:r w:rsidRPr="000549B1">
        <w:rPr>
          <w:rFonts w:hint="eastAsia"/>
        </w:rPr>
        <w:t>万</w:t>
      </w:r>
      <w:r w:rsidRPr="000549B1">
        <w:t>m</w:t>
      </w:r>
      <w:r w:rsidRPr="000549B1">
        <w:rPr>
          <w:rFonts w:hint="eastAsia"/>
        </w:rPr>
        <w:t>³，河卡区地表水资源量为</w:t>
      </w:r>
      <w:r w:rsidRPr="000549B1">
        <w:t>4090</w:t>
      </w:r>
      <w:r w:rsidRPr="000549B1">
        <w:rPr>
          <w:rFonts w:hint="eastAsia"/>
        </w:rPr>
        <w:t>万</w:t>
      </w:r>
      <w:r w:rsidRPr="000549B1">
        <w:t>m</w:t>
      </w:r>
      <w:r w:rsidRPr="000549B1">
        <w:rPr>
          <w:rFonts w:hint="eastAsia"/>
        </w:rPr>
        <w:t>³。</w:t>
      </w:r>
    </w:p>
    <w:p w14:paraId="09E4D86F" w14:textId="4787211D" w:rsidR="00054437" w:rsidRPr="000549B1" w:rsidRDefault="00000000">
      <w:pPr>
        <w:pStyle w:val="x"/>
      </w:pPr>
      <w:r w:rsidRPr="000549B1">
        <w:t>对于不同频率地表水资源量而言，丰水年（</w:t>
      </w:r>
      <w:r w:rsidRPr="000549B1">
        <w:t>P=20%</w:t>
      </w:r>
      <w:r w:rsidRPr="000549B1">
        <w:t>）来水条件下，沙珠玉河流域地表水资源量为</w:t>
      </w:r>
      <w:r w:rsidRPr="000549B1">
        <w:t>24053</w:t>
      </w:r>
      <w:r w:rsidRPr="000549B1">
        <w:t>万</w:t>
      </w:r>
      <w:r w:rsidRPr="000549B1">
        <w:t>m³</w:t>
      </w:r>
      <w:r w:rsidRPr="000549B1">
        <w:t>；平水年（</w:t>
      </w:r>
      <w:r w:rsidRPr="000549B1">
        <w:t>P=50%</w:t>
      </w:r>
      <w:r w:rsidRPr="000549B1">
        <w:t>）来水条件下，沙珠玉河流域地表水资源量为</w:t>
      </w:r>
      <w:r w:rsidRPr="000549B1">
        <w:t>17227</w:t>
      </w:r>
      <w:r w:rsidRPr="000549B1">
        <w:t>万</w:t>
      </w:r>
      <w:r w:rsidRPr="000549B1">
        <w:t>m³</w:t>
      </w:r>
      <w:r w:rsidRPr="000549B1">
        <w:t>；偏枯年（</w:t>
      </w:r>
      <w:r w:rsidRPr="000549B1">
        <w:t>P=75%</w:t>
      </w:r>
      <w:r w:rsidRPr="000549B1">
        <w:t>）来水条件下，沙珠玉河流域地表水资源量为</w:t>
      </w:r>
      <w:r w:rsidRPr="000549B1">
        <w:t>13288</w:t>
      </w:r>
      <w:r w:rsidRPr="000549B1">
        <w:t>万</w:t>
      </w:r>
      <w:r w:rsidRPr="000549B1">
        <w:t>m³</w:t>
      </w:r>
      <w:r w:rsidRPr="000549B1">
        <w:t>；枯水年（</w:t>
      </w:r>
      <w:r w:rsidRPr="000549B1">
        <w:t>P=90%</w:t>
      </w:r>
      <w:r w:rsidRPr="000549B1">
        <w:t>）来水条件下，沙珠玉河流域地表水资源量为</w:t>
      </w:r>
      <w:r w:rsidRPr="000549B1">
        <w:t>9603</w:t>
      </w:r>
      <w:r w:rsidRPr="000549B1">
        <w:t>万</w:t>
      </w:r>
      <w:r w:rsidRPr="000549B1">
        <w:t>m³</w:t>
      </w:r>
      <w:r w:rsidRPr="000549B1">
        <w:t>，详见</w:t>
      </w:r>
      <w:r w:rsidR="00F32CCA" w:rsidRPr="000549B1">
        <w:t>表</w:t>
      </w:r>
      <w:r w:rsidR="00F32CCA">
        <w:t>3.2</w:t>
      </w:r>
      <w:r w:rsidR="00F32CCA">
        <w:noBreakHyphen/>
        <w:t>1</w:t>
      </w:r>
      <w:r w:rsidRPr="000549B1">
        <w:t>。</w:t>
      </w:r>
    </w:p>
    <w:p w14:paraId="4D6ADB8D" w14:textId="77777777" w:rsidR="00054437" w:rsidRPr="000549B1" w:rsidRDefault="00054437">
      <w:pPr>
        <w:pStyle w:val="x"/>
      </w:pPr>
    </w:p>
    <w:p w14:paraId="771096EA" w14:textId="77777777" w:rsidR="004910CC" w:rsidRPr="000549B1" w:rsidRDefault="004910CC">
      <w:pPr>
        <w:pStyle w:val="x"/>
      </w:pPr>
    </w:p>
    <w:p w14:paraId="2B4FC09D" w14:textId="6E92DEA8" w:rsidR="00054437" w:rsidRPr="000549B1" w:rsidRDefault="00000000">
      <w:pPr>
        <w:pStyle w:val="aff8"/>
        <w:rPr>
          <w:color w:val="auto"/>
        </w:rPr>
      </w:pPr>
      <w:bookmarkStart w:id="192" w:name="_Ref214977248"/>
      <w:r w:rsidRPr="000549B1">
        <w:rPr>
          <w:color w:val="auto"/>
        </w:rPr>
        <w:t>表</w:t>
      </w:r>
      <w:r w:rsidR="00372953">
        <w:rPr>
          <w:color w:val="auto"/>
        </w:rPr>
        <w:fldChar w:fldCharType="begin"/>
      </w:r>
      <w:r w:rsidR="00372953">
        <w:rPr>
          <w:color w:val="auto"/>
        </w:rPr>
        <w:instrText xml:space="preserve"> STYLEREF 2 \s </w:instrText>
      </w:r>
      <w:r w:rsidR="00372953">
        <w:rPr>
          <w:color w:val="auto"/>
        </w:rPr>
        <w:fldChar w:fldCharType="separate"/>
      </w:r>
      <w:r w:rsidR="00372953">
        <w:rPr>
          <w:noProof/>
          <w:color w:val="auto"/>
        </w:rPr>
        <w:t>3.2</w:t>
      </w:r>
      <w:r w:rsidR="00372953">
        <w:rPr>
          <w:color w:val="auto"/>
        </w:rPr>
        <w:fldChar w:fldCharType="end"/>
      </w:r>
      <w:r w:rsidR="00372953">
        <w:rPr>
          <w:color w:val="auto"/>
        </w:rPr>
        <w:noBreakHyphen/>
      </w:r>
      <w:r w:rsidR="00372953">
        <w:rPr>
          <w:color w:val="auto"/>
        </w:rPr>
        <w:fldChar w:fldCharType="begin"/>
      </w:r>
      <w:r w:rsidR="00372953">
        <w:rPr>
          <w:color w:val="auto"/>
        </w:rPr>
        <w:instrText xml:space="preserve"> SEQ </w:instrText>
      </w:r>
      <w:r w:rsidR="00372953">
        <w:rPr>
          <w:color w:val="auto"/>
        </w:rPr>
        <w:instrText>表</w:instrText>
      </w:r>
      <w:r w:rsidR="00372953">
        <w:rPr>
          <w:color w:val="auto"/>
        </w:rPr>
        <w:instrText xml:space="preserve"> \* ARABIC \s 2 </w:instrText>
      </w:r>
      <w:r w:rsidR="00372953">
        <w:rPr>
          <w:color w:val="auto"/>
        </w:rPr>
        <w:fldChar w:fldCharType="separate"/>
      </w:r>
      <w:r w:rsidR="00372953">
        <w:rPr>
          <w:noProof/>
          <w:color w:val="auto"/>
        </w:rPr>
        <w:t>1</w:t>
      </w:r>
      <w:r w:rsidR="00372953">
        <w:rPr>
          <w:color w:val="auto"/>
        </w:rPr>
        <w:fldChar w:fldCharType="end"/>
      </w:r>
      <w:bookmarkEnd w:id="192"/>
      <w:r w:rsidRPr="000549B1">
        <w:rPr>
          <w:color w:val="auto"/>
        </w:rPr>
        <w:t>沙珠玉河流域地表水资源量成果单位：万</w:t>
      </w:r>
      <w:r w:rsidRPr="000549B1">
        <w:rPr>
          <w:color w:val="auto"/>
        </w:rPr>
        <w:t>m³</w:t>
      </w:r>
    </w:p>
    <w:tbl>
      <w:tblPr>
        <w:tblStyle w:val="aff"/>
        <w:tblW w:w="0" w:type="auto"/>
        <w:tblLook w:val="04A0" w:firstRow="1" w:lastRow="0" w:firstColumn="1" w:lastColumn="0" w:noHBand="0" w:noVBand="1"/>
      </w:tblPr>
      <w:tblGrid>
        <w:gridCol w:w="544"/>
        <w:gridCol w:w="544"/>
        <w:gridCol w:w="544"/>
        <w:gridCol w:w="568"/>
        <w:gridCol w:w="1047"/>
        <w:gridCol w:w="841"/>
        <w:gridCol w:w="584"/>
        <w:gridCol w:w="765"/>
        <w:gridCol w:w="741"/>
        <w:gridCol w:w="741"/>
        <w:gridCol w:w="741"/>
        <w:gridCol w:w="636"/>
      </w:tblGrid>
      <w:tr w:rsidR="000549B1" w:rsidRPr="000549B1" w14:paraId="23937E23" w14:textId="77777777">
        <w:trPr>
          <w:trHeight w:val="495"/>
        </w:trPr>
        <w:tc>
          <w:tcPr>
            <w:tcW w:w="0" w:type="auto"/>
            <w:vMerge w:val="restart"/>
            <w:vAlign w:val="center"/>
          </w:tcPr>
          <w:p w14:paraId="2D9D19E8" w14:textId="77777777" w:rsidR="00054437" w:rsidRPr="000549B1" w:rsidRDefault="00000000">
            <w:pPr>
              <w:pStyle w:val="CharCharCharCharChar"/>
              <w:rPr>
                <w:b/>
                <w:bCs/>
                <w:color w:val="auto"/>
              </w:rPr>
            </w:pPr>
            <w:r w:rsidRPr="000549B1">
              <w:rPr>
                <w:b/>
                <w:bCs/>
                <w:color w:val="auto"/>
              </w:rPr>
              <w:t>本次规划范围</w:t>
            </w:r>
          </w:p>
        </w:tc>
        <w:tc>
          <w:tcPr>
            <w:tcW w:w="0" w:type="auto"/>
            <w:gridSpan w:val="2"/>
            <w:vAlign w:val="center"/>
          </w:tcPr>
          <w:p w14:paraId="7EF7AF12" w14:textId="77777777" w:rsidR="00054437" w:rsidRPr="000549B1" w:rsidRDefault="00000000">
            <w:pPr>
              <w:pStyle w:val="CharCharCharCharChar"/>
              <w:rPr>
                <w:b/>
                <w:bCs/>
                <w:color w:val="auto"/>
              </w:rPr>
            </w:pPr>
            <w:r w:rsidRPr="000549B1">
              <w:rPr>
                <w:b/>
                <w:bCs/>
                <w:color w:val="auto"/>
              </w:rPr>
              <w:t>流域分区</w:t>
            </w:r>
          </w:p>
        </w:tc>
        <w:tc>
          <w:tcPr>
            <w:tcW w:w="0" w:type="auto"/>
            <w:vMerge w:val="restart"/>
            <w:vAlign w:val="center"/>
          </w:tcPr>
          <w:p w14:paraId="7F0444EA" w14:textId="77777777" w:rsidR="00054437" w:rsidRPr="000549B1" w:rsidRDefault="00000000">
            <w:pPr>
              <w:pStyle w:val="CharCharCharCharChar"/>
              <w:rPr>
                <w:b/>
                <w:bCs/>
                <w:color w:val="auto"/>
              </w:rPr>
            </w:pPr>
            <w:r w:rsidRPr="000549B1">
              <w:rPr>
                <w:b/>
                <w:bCs/>
                <w:color w:val="auto"/>
              </w:rPr>
              <w:t>所在县级行政区</w:t>
            </w:r>
          </w:p>
        </w:tc>
        <w:tc>
          <w:tcPr>
            <w:tcW w:w="0" w:type="auto"/>
            <w:vMerge w:val="restart"/>
            <w:vAlign w:val="center"/>
          </w:tcPr>
          <w:p w14:paraId="61D4BD1E" w14:textId="77777777" w:rsidR="00054437" w:rsidRPr="000549B1" w:rsidRDefault="00000000">
            <w:pPr>
              <w:pStyle w:val="CharCharCharCharChar"/>
              <w:rPr>
                <w:b/>
                <w:bCs/>
                <w:color w:val="auto"/>
              </w:rPr>
            </w:pPr>
            <w:r w:rsidRPr="000549B1">
              <w:rPr>
                <w:b/>
                <w:bCs/>
                <w:color w:val="auto"/>
              </w:rPr>
              <w:t>面积（</w:t>
            </w:r>
            <w:r w:rsidRPr="000549B1">
              <w:rPr>
                <w:b/>
                <w:bCs/>
                <w:color w:val="auto"/>
              </w:rPr>
              <w:t>km</w:t>
            </w:r>
            <w:r w:rsidRPr="000549B1">
              <w:rPr>
                <w:b/>
                <w:bCs/>
                <w:color w:val="auto"/>
                <w:vertAlign w:val="superscript"/>
              </w:rPr>
              <w:t>2</w:t>
            </w:r>
            <w:r w:rsidRPr="000549B1">
              <w:rPr>
                <w:b/>
                <w:bCs/>
                <w:color w:val="auto"/>
              </w:rPr>
              <w:t>）</w:t>
            </w:r>
          </w:p>
        </w:tc>
        <w:tc>
          <w:tcPr>
            <w:tcW w:w="0" w:type="auto"/>
            <w:vMerge w:val="restart"/>
            <w:vAlign w:val="center"/>
          </w:tcPr>
          <w:p w14:paraId="39680855" w14:textId="77777777" w:rsidR="00054437" w:rsidRPr="000549B1" w:rsidRDefault="00000000">
            <w:pPr>
              <w:pStyle w:val="CharCharCharCharChar"/>
              <w:rPr>
                <w:b/>
                <w:bCs/>
                <w:color w:val="auto"/>
              </w:rPr>
            </w:pPr>
            <w:r w:rsidRPr="000549B1">
              <w:rPr>
                <w:b/>
                <w:bCs/>
                <w:color w:val="auto"/>
              </w:rPr>
              <w:t>多年平均径流量</w:t>
            </w:r>
          </w:p>
        </w:tc>
        <w:tc>
          <w:tcPr>
            <w:tcW w:w="0" w:type="auto"/>
            <w:gridSpan w:val="2"/>
            <w:vAlign w:val="center"/>
          </w:tcPr>
          <w:p w14:paraId="671475F3" w14:textId="77777777" w:rsidR="00054437" w:rsidRPr="000549B1" w:rsidRDefault="00000000">
            <w:pPr>
              <w:pStyle w:val="CharCharCharCharChar"/>
              <w:rPr>
                <w:b/>
                <w:bCs/>
                <w:color w:val="auto"/>
              </w:rPr>
            </w:pPr>
            <w:r w:rsidRPr="000549B1">
              <w:rPr>
                <w:b/>
                <w:bCs/>
                <w:color w:val="auto"/>
              </w:rPr>
              <w:t>统计参数</w:t>
            </w:r>
          </w:p>
        </w:tc>
        <w:tc>
          <w:tcPr>
            <w:tcW w:w="0" w:type="auto"/>
            <w:gridSpan w:val="4"/>
            <w:vAlign w:val="center"/>
          </w:tcPr>
          <w:p w14:paraId="16FDD9A6" w14:textId="77777777" w:rsidR="00054437" w:rsidRPr="000549B1" w:rsidRDefault="00000000">
            <w:pPr>
              <w:pStyle w:val="CharCharCharCharChar"/>
              <w:rPr>
                <w:b/>
                <w:bCs/>
                <w:color w:val="auto"/>
              </w:rPr>
            </w:pPr>
            <w:r w:rsidRPr="000549B1">
              <w:rPr>
                <w:b/>
                <w:bCs/>
                <w:color w:val="auto"/>
              </w:rPr>
              <w:t>不同频率年</w:t>
            </w:r>
          </w:p>
        </w:tc>
      </w:tr>
      <w:tr w:rsidR="000549B1" w:rsidRPr="000549B1" w14:paraId="27FE607B" w14:textId="77777777">
        <w:tc>
          <w:tcPr>
            <w:tcW w:w="0" w:type="auto"/>
            <w:vMerge/>
            <w:vAlign w:val="center"/>
          </w:tcPr>
          <w:p w14:paraId="6C5ACD78" w14:textId="77777777" w:rsidR="00054437" w:rsidRPr="000549B1" w:rsidRDefault="00054437">
            <w:pPr>
              <w:pStyle w:val="CharCharCharCharChar"/>
              <w:rPr>
                <w:b/>
                <w:bCs/>
                <w:color w:val="auto"/>
              </w:rPr>
            </w:pPr>
          </w:p>
        </w:tc>
        <w:tc>
          <w:tcPr>
            <w:tcW w:w="0" w:type="auto"/>
            <w:vAlign w:val="center"/>
          </w:tcPr>
          <w:p w14:paraId="72895CBE" w14:textId="77777777" w:rsidR="00054437" w:rsidRPr="000549B1" w:rsidRDefault="00000000">
            <w:pPr>
              <w:pStyle w:val="CharCharCharCharChar"/>
              <w:rPr>
                <w:b/>
                <w:bCs/>
                <w:color w:val="auto"/>
              </w:rPr>
            </w:pPr>
            <w:r w:rsidRPr="000549B1">
              <w:rPr>
                <w:b/>
                <w:bCs/>
                <w:color w:val="auto"/>
              </w:rPr>
              <w:t>三级水资源区</w:t>
            </w:r>
          </w:p>
        </w:tc>
        <w:tc>
          <w:tcPr>
            <w:tcW w:w="0" w:type="auto"/>
            <w:vAlign w:val="center"/>
          </w:tcPr>
          <w:p w14:paraId="1AB7D173" w14:textId="77777777" w:rsidR="00054437" w:rsidRPr="000549B1" w:rsidRDefault="00000000">
            <w:pPr>
              <w:pStyle w:val="CharCharCharCharChar"/>
              <w:rPr>
                <w:b/>
                <w:bCs/>
                <w:color w:val="auto"/>
              </w:rPr>
            </w:pPr>
            <w:r w:rsidRPr="000549B1">
              <w:rPr>
                <w:b/>
                <w:bCs/>
                <w:color w:val="auto"/>
              </w:rPr>
              <w:t>四级水资源区</w:t>
            </w:r>
          </w:p>
        </w:tc>
        <w:tc>
          <w:tcPr>
            <w:tcW w:w="0" w:type="auto"/>
            <w:vMerge/>
            <w:vAlign w:val="center"/>
          </w:tcPr>
          <w:p w14:paraId="18EAD5F6" w14:textId="77777777" w:rsidR="00054437" w:rsidRPr="000549B1" w:rsidRDefault="00054437">
            <w:pPr>
              <w:pStyle w:val="CharCharCharCharChar"/>
              <w:rPr>
                <w:b/>
                <w:bCs/>
                <w:color w:val="auto"/>
              </w:rPr>
            </w:pPr>
          </w:p>
        </w:tc>
        <w:tc>
          <w:tcPr>
            <w:tcW w:w="0" w:type="auto"/>
            <w:vMerge/>
            <w:vAlign w:val="center"/>
          </w:tcPr>
          <w:p w14:paraId="041F0627" w14:textId="77777777" w:rsidR="00054437" w:rsidRPr="000549B1" w:rsidRDefault="00054437">
            <w:pPr>
              <w:pStyle w:val="CharCharCharCharChar"/>
              <w:rPr>
                <w:b/>
                <w:bCs/>
                <w:color w:val="auto"/>
              </w:rPr>
            </w:pPr>
          </w:p>
        </w:tc>
        <w:tc>
          <w:tcPr>
            <w:tcW w:w="0" w:type="auto"/>
            <w:vMerge/>
            <w:vAlign w:val="center"/>
          </w:tcPr>
          <w:p w14:paraId="353BBA18" w14:textId="77777777" w:rsidR="00054437" w:rsidRPr="000549B1" w:rsidRDefault="00054437">
            <w:pPr>
              <w:pStyle w:val="CharCharCharCharChar"/>
              <w:rPr>
                <w:b/>
                <w:bCs/>
                <w:color w:val="auto"/>
              </w:rPr>
            </w:pPr>
          </w:p>
        </w:tc>
        <w:tc>
          <w:tcPr>
            <w:tcW w:w="0" w:type="auto"/>
            <w:vAlign w:val="center"/>
          </w:tcPr>
          <w:p w14:paraId="4F5EFFD6" w14:textId="77777777" w:rsidR="00054437" w:rsidRPr="000549B1" w:rsidRDefault="00000000">
            <w:pPr>
              <w:pStyle w:val="CharCharCharCharChar"/>
              <w:rPr>
                <w:b/>
                <w:bCs/>
                <w:color w:val="auto"/>
              </w:rPr>
            </w:pPr>
            <w:r w:rsidRPr="000549B1">
              <w:rPr>
                <w:b/>
                <w:bCs/>
                <w:color w:val="auto"/>
              </w:rPr>
              <w:t>Cv</w:t>
            </w:r>
          </w:p>
        </w:tc>
        <w:tc>
          <w:tcPr>
            <w:tcW w:w="0" w:type="auto"/>
            <w:vAlign w:val="center"/>
          </w:tcPr>
          <w:p w14:paraId="0A899BC6" w14:textId="77777777" w:rsidR="00054437" w:rsidRPr="000549B1" w:rsidRDefault="00000000">
            <w:pPr>
              <w:pStyle w:val="CharCharCharCharChar"/>
              <w:rPr>
                <w:b/>
                <w:bCs/>
                <w:color w:val="auto"/>
              </w:rPr>
            </w:pPr>
            <w:r w:rsidRPr="000549B1">
              <w:rPr>
                <w:b/>
                <w:bCs/>
                <w:color w:val="auto"/>
              </w:rPr>
              <w:t>Cs/Cv</w:t>
            </w:r>
          </w:p>
        </w:tc>
        <w:tc>
          <w:tcPr>
            <w:tcW w:w="0" w:type="auto"/>
            <w:vAlign w:val="center"/>
          </w:tcPr>
          <w:p w14:paraId="5C29A50A" w14:textId="77777777" w:rsidR="00054437" w:rsidRPr="000549B1" w:rsidRDefault="00000000">
            <w:pPr>
              <w:pStyle w:val="CharCharCharCharChar"/>
              <w:rPr>
                <w:b/>
                <w:bCs/>
                <w:color w:val="auto"/>
              </w:rPr>
            </w:pPr>
            <w:r w:rsidRPr="000549B1">
              <w:rPr>
                <w:b/>
                <w:bCs/>
                <w:color w:val="auto"/>
              </w:rPr>
              <w:t>20%</w:t>
            </w:r>
          </w:p>
        </w:tc>
        <w:tc>
          <w:tcPr>
            <w:tcW w:w="0" w:type="auto"/>
            <w:vAlign w:val="center"/>
          </w:tcPr>
          <w:p w14:paraId="44AD4D9E" w14:textId="77777777" w:rsidR="00054437" w:rsidRPr="000549B1" w:rsidRDefault="00000000">
            <w:pPr>
              <w:pStyle w:val="CharCharCharCharChar"/>
              <w:rPr>
                <w:b/>
                <w:bCs/>
                <w:color w:val="auto"/>
              </w:rPr>
            </w:pPr>
            <w:r w:rsidRPr="000549B1">
              <w:rPr>
                <w:b/>
                <w:bCs/>
                <w:color w:val="auto"/>
              </w:rPr>
              <w:t>50%</w:t>
            </w:r>
          </w:p>
        </w:tc>
        <w:tc>
          <w:tcPr>
            <w:tcW w:w="0" w:type="auto"/>
            <w:vAlign w:val="center"/>
          </w:tcPr>
          <w:p w14:paraId="47879032" w14:textId="77777777" w:rsidR="00054437" w:rsidRPr="000549B1" w:rsidRDefault="00000000">
            <w:pPr>
              <w:pStyle w:val="CharCharCharCharChar"/>
              <w:rPr>
                <w:b/>
                <w:bCs/>
                <w:color w:val="auto"/>
              </w:rPr>
            </w:pPr>
            <w:r w:rsidRPr="000549B1">
              <w:rPr>
                <w:b/>
                <w:bCs/>
                <w:color w:val="auto"/>
              </w:rPr>
              <w:t>75%</w:t>
            </w:r>
          </w:p>
        </w:tc>
        <w:tc>
          <w:tcPr>
            <w:tcW w:w="0" w:type="auto"/>
            <w:vAlign w:val="center"/>
          </w:tcPr>
          <w:p w14:paraId="36B3BA49" w14:textId="77777777" w:rsidR="00054437" w:rsidRPr="000549B1" w:rsidRDefault="00000000">
            <w:pPr>
              <w:pStyle w:val="CharCharCharCharChar"/>
              <w:rPr>
                <w:b/>
                <w:bCs/>
                <w:color w:val="auto"/>
              </w:rPr>
            </w:pPr>
            <w:r w:rsidRPr="000549B1">
              <w:rPr>
                <w:b/>
                <w:bCs/>
                <w:color w:val="auto"/>
              </w:rPr>
              <w:t>90%</w:t>
            </w:r>
          </w:p>
        </w:tc>
      </w:tr>
      <w:tr w:rsidR="000549B1" w:rsidRPr="000549B1" w14:paraId="618F7426" w14:textId="77777777">
        <w:tc>
          <w:tcPr>
            <w:tcW w:w="0" w:type="auto"/>
            <w:vMerge w:val="restart"/>
            <w:vAlign w:val="center"/>
          </w:tcPr>
          <w:p w14:paraId="64C81FFB" w14:textId="77777777" w:rsidR="00054437" w:rsidRPr="000549B1" w:rsidRDefault="00000000">
            <w:pPr>
              <w:pStyle w:val="CharCharCharCharChar"/>
              <w:rPr>
                <w:color w:val="auto"/>
              </w:rPr>
            </w:pPr>
            <w:r w:rsidRPr="000549B1">
              <w:rPr>
                <w:color w:val="auto"/>
              </w:rPr>
              <w:t>沙珠玉河流域</w:t>
            </w:r>
          </w:p>
        </w:tc>
        <w:tc>
          <w:tcPr>
            <w:tcW w:w="0" w:type="auto"/>
            <w:vMerge w:val="restart"/>
            <w:vAlign w:val="center"/>
          </w:tcPr>
          <w:p w14:paraId="6C7FBD18" w14:textId="77777777" w:rsidR="00054437" w:rsidRPr="000549B1" w:rsidRDefault="00000000">
            <w:pPr>
              <w:pStyle w:val="CharCharCharCharChar"/>
              <w:rPr>
                <w:color w:val="auto"/>
              </w:rPr>
            </w:pPr>
            <w:r w:rsidRPr="000549B1">
              <w:rPr>
                <w:color w:val="auto"/>
              </w:rPr>
              <w:t>青海湖水系</w:t>
            </w:r>
          </w:p>
        </w:tc>
        <w:tc>
          <w:tcPr>
            <w:tcW w:w="0" w:type="auto"/>
            <w:vAlign w:val="center"/>
          </w:tcPr>
          <w:p w14:paraId="7B86248C" w14:textId="77777777" w:rsidR="00054437" w:rsidRPr="000549B1" w:rsidRDefault="00000000">
            <w:pPr>
              <w:pStyle w:val="CharCharCharCharChar"/>
              <w:rPr>
                <w:color w:val="auto"/>
              </w:rPr>
            </w:pPr>
            <w:r w:rsidRPr="000549B1">
              <w:rPr>
                <w:color w:val="auto"/>
              </w:rPr>
              <w:t>沙珠玉区</w:t>
            </w:r>
          </w:p>
        </w:tc>
        <w:tc>
          <w:tcPr>
            <w:tcW w:w="0" w:type="auto"/>
            <w:vAlign w:val="center"/>
          </w:tcPr>
          <w:p w14:paraId="6434FF2D" w14:textId="77777777" w:rsidR="00054437" w:rsidRPr="000549B1" w:rsidRDefault="00000000">
            <w:pPr>
              <w:pStyle w:val="CharCharCharCharChar"/>
              <w:rPr>
                <w:color w:val="auto"/>
              </w:rPr>
            </w:pPr>
            <w:r w:rsidRPr="000549B1">
              <w:rPr>
                <w:color w:val="auto"/>
              </w:rPr>
              <w:t>共和县</w:t>
            </w:r>
          </w:p>
        </w:tc>
        <w:tc>
          <w:tcPr>
            <w:tcW w:w="0" w:type="auto"/>
            <w:vAlign w:val="center"/>
          </w:tcPr>
          <w:p w14:paraId="602E45FA" w14:textId="77777777" w:rsidR="00054437" w:rsidRPr="000549B1" w:rsidRDefault="00000000">
            <w:pPr>
              <w:pStyle w:val="CharCharCharCharChar"/>
              <w:rPr>
                <w:color w:val="auto"/>
              </w:rPr>
            </w:pPr>
            <w:r w:rsidRPr="000549B1">
              <w:rPr>
                <w:color w:val="auto"/>
              </w:rPr>
              <w:t>7302</w:t>
            </w:r>
          </w:p>
        </w:tc>
        <w:tc>
          <w:tcPr>
            <w:tcW w:w="0" w:type="auto"/>
            <w:vAlign w:val="center"/>
          </w:tcPr>
          <w:p w14:paraId="6A3F5F7C" w14:textId="77777777" w:rsidR="00054437" w:rsidRPr="000549B1" w:rsidRDefault="00000000">
            <w:pPr>
              <w:pStyle w:val="CharCharCharCharChar"/>
              <w:rPr>
                <w:color w:val="auto"/>
              </w:rPr>
            </w:pPr>
            <w:r w:rsidRPr="000549B1">
              <w:rPr>
                <w:color w:val="auto"/>
              </w:rPr>
              <w:t>9721</w:t>
            </w:r>
          </w:p>
        </w:tc>
        <w:tc>
          <w:tcPr>
            <w:tcW w:w="0" w:type="auto"/>
            <w:vAlign w:val="center"/>
          </w:tcPr>
          <w:p w14:paraId="1C3F05D2" w14:textId="77777777" w:rsidR="00054437" w:rsidRPr="000549B1" w:rsidRDefault="00000000">
            <w:pPr>
              <w:pStyle w:val="CharCharCharCharChar"/>
              <w:rPr>
                <w:color w:val="auto"/>
              </w:rPr>
            </w:pPr>
            <w:r w:rsidRPr="000549B1">
              <w:rPr>
                <w:color w:val="auto"/>
              </w:rPr>
              <w:t>0.40</w:t>
            </w:r>
          </w:p>
        </w:tc>
        <w:tc>
          <w:tcPr>
            <w:tcW w:w="0" w:type="auto"/>
            <w:vAlign w:val="center"/>
          </w:tcPr>
          <w:p w14:paraId="38CF00BD" w14:textId="77777777" w:rsidR="00054437" w:rsidRPr="000549B1" w:rsidRDefault="00000000">
            <w:pPr>
              <w:pStyle w:val="CharCharCharCharChar"/>
              <w:rPr>
                <w:color w:val="auto"/>
              </w:rPr>
            </w:pPr>
            <w:r w:rsidRPr="000549B1">
              <w:rPr>
                <w:color w:val="auto"/>
              </w:rPr>
              <w:t>3.0</w:t>
            </w:r>
          </w:p>
        </w:tc>
        <w:tc>
          <w:tcPr>
            <w:tcW w:w="0" w:type="auto"/>
            <w:vAlign w:val="center"/>
          </w:tcPr>
          <w:p w14:paraId="785C1605" w14:textId="77777777" w:rsidR="00054437" w:rsidRPr="000549B1" w:rsidRDefault="00000000">
            <w:pPr>
              <w:pStyle w:val="CharCharCharCharChar"/>
              <w:rPr>
                <w:color w:val="auto"/>
              </w:rPr>
            </w:pPr>
            <w:r w:rsidRPr="000549B1">
              <w:rPr>
                <w:color w:val="auto"/>
              </w:rPr>
              <w:t>18873</w:t>
            </w:r>
          </w:p>
        </w:tc>
        <w:tc>
          <w:tcPr>
            <w:tcW w:w="0" w:type="auto"/>
            <w:vAlign w:val="center"/>
          </w:tcPr>
          <w:p w14:paraId="7FC5A2F7" w14:textId="77777777" w:rsidR="00054437" w:rsidRPr="000549B1" w:rsidRDefault="00000000">
            <w:pPr>
              <w:pStyle w:val="CharCharCharCharChar"/>
              <w:rPr>
                <w:color w:val="auto"/>
              </w:rPr>
            </w:pPr>
            <w:r w:rsidRPr="000549B1">
              <w:rPr>
                <w:color w:val="auto"/>
              </w:rPr>
              <w:t>13457</w:t>
            </w:r>
          </w:p>
        </w:tc>
        <w:tc>
          <w:tcPr>
            <w:tcW w:w="0" w:type="auto"/>
            <w:vAlign w:val="center"/>
          </w:tcPr>
          <w:p w14:paraId="5C09E653" w14:textId="77777777" w:rsidR="00054437" w:rsidRPr="000549B1" w:rsidRDefault="00000000">
            <w:pPr>
              <w:pStyle w:val="CharCharCharCharChar"/>
              <w:rPr>
                <w:color w:val="auto"/>
              </w:rPr>
            </w:pPr>
            <w:r w:rsidRPr="000549B1">
              <w:rPr>
                <w:color w:val="auto"/>
              </w:rPr>
              <w:t>10308</w:t>
            </w:r>
          </w:p>
        </w:tc>
        <w:tc>
          <w:tcPr>
            <w:tcW w:w="0" w:type="auto"/>
            <w:vAlign w:val="center"/>
          </w:tcPr>
          <w:p w14:paraId="02D5DD17" w14:textId="77777777" w:rsidR="00054437" w:rsidRPr="000549B1" w:rsidRDefault="00000000">
            <w:pPr>
              <w:pStyle w:val="CharCharCharCharChar"/>
              <w:rPr>
                <w:color w:val="auto"/>
              </w:rPr>
            </w:pPr>
            <w:r w:rsidRPr="000549B1">
              <w:rPr>
                <w:color w:val="auto"/>
              </w:rPr>
              <w:t>7343</w:t>
            </w:r>
          </w:p>
        </w:tc>
      </w:tr>
      <w:tr w:rsidR="000549B1" w:rsidRPr="000549B1" w14:paraId="64A0C3F2" w14:textId="77777777">
        <w:tc>
          <w:tcPr>
            <w:tcW w:w="0" w:type="auto"/>
            <w:vMerge/>
            <w:vAlign w:val="center"/>
          </w:tcPr>
          <w:p w14:paraId="5767C9DF" w14:textId="77777777" w:rsidR="00054437" w:rsidRPr="000549B1" w:rsidRDefault="00054437">
            <w:pPr>
              <w:pStyle w:val="CharCharCharCharChar"/>
              <w:rPr>
                <w:color w:val="auto"/>
              </w:rPr>
            </w:pPr>
          </w:p>
        </w:tc>
        <w:tc>
          <w:tcPr>
            <w:tcW w:w="0" w:type="auto"/>
            <w:vMerge/>
            <w:vAlign w:val="center"/>
          </w:tcPr>
          <w:p w14:paraId="43B8485A" w14:textId="77777777" w:rsidR="00054437" w:rsidRPr="000549B1" w:rsidRDefault="00054437">
            <w:pPr>
              <w:pStyle w:val="CharCharCharCharChar"/>
              <w:rPr>
                <w:color w:val="auto"/>
              </w:rPr>
            </w:pPr>
          </w:p>
        </w:tc>
        <w:tc>
          <w:tcPr>
            <w:tcW w:w="0" w:type="auto"/>
            <w:vAlign w:val="center"/>
          </w:tcPr>
          <w:p w14:paraId="0FBC8475" w14:textId="77777777" w:rsidR="00054437" w:rsidRPr="000549B1" w:rsidRDefault="00000000">
            <w:pPr>
              <w:pStyle w:val="CharCharCharCharChar"/>
              <w:rPr>
                <w:color w:val="auto"/>
              </w:rPr>
            </w:pPr>
            <w:r w:rsidRPr="000549B1">
              <w:rPr>
                <w:color w:val="auto"/>
              </w:rPr>
              <w:t>河卡区</w:t>
            </w:r>
          </w:p>
        </w:tc>
        <w:tc>
          <w:tcPr>
            <w:tcW w:w="0" w:type="auto"/>
            <w:vAlign w:val="center"/>
          </w:tcPr>
          <w:p w14:paraId="4E323539" w14:textId="77777777" w:rsidR="00054437" w:rsidRPr="000549B1" w:rsidRDefault="00000000">
            <w:pPr>
              <w:pStyle w:val="CharCharCharCharChar"/>
              <w:rPr>
                <w:color w:val="auto"/>
              </w:rPr>
            </w:pPr>
            <w:r w:rsidRPr="000549B1">
              <w:rPr>
                <w:color w:val="auto"/>
              </w:rPr>
              <w:t>兴海县</w:t>
            </w:r>
          </w:p>
        </w:tc>
        <w:tc>
          <w:tcPr>
            <w:tcW w:w="0" w:type="auto"/>
            <w:vAlign w:val="center"/>
          </w:tcPr>
          <w:p w14:paraId="7730B8CD" w14:textId="77777777" w:rsidR="00054437" w:rsidRPr="000549B1" w:rsidRDefault="00000000">
            <w:pPr>
              <w:pStyle w:val="CharCharCharCharChar"/>
              <w:rPr>
                <w:color w:val="auto"/>
              </w:rPr>
            </w:pPr>
            <w:r w:rsidRPr="000549B1">
              <w:rPr>
                <w:color w:val="auto"/>
              </w:rPr>
              <w:t>1358</w:t>
            </w:r>
          </w:p>
        </w:tc>
        <w:tc>
          <w:tcPr>
            <w:tcW w:w="0" w:type="auto"/>
            <w:vAlign w:val="center"/>
          </w:tcPr>
          <w:p w14:paraId="232E7C4C" w14:textId="77777777" w:rsidR="00054437" w:rsidRPr="000549B1" w:rsidRDefault="00000000">
            <w:pPr>
              <w:pStyle w:val="CharCharCharCharChar"/>
              <w:rPr>
                <w:color w:val="auto"/>
              </w:rPr>
            </w:pPr>
            <w:r w:rsidRPr="000549B1">
              <w:rPr>
                <w:color w:val="auto"/>
              </w:rPr>
              <w:t>4090</w:t>
            </w:r>
          </w:p>
        </w:tc>
        <w:tc>
          <w:tcPr>
            <w:tcW w:w="0" w:type="auto"/>
            <w:vAlign w:val="center"/>
          </w:tcPr>
          <w:p w14:paraId="496331C5" w14:textId="77777777" w:rsidR="00054437" w:rsidRPr="000549B1" w:rsidRDefault="00000000">
            <w:pPr>
              <w:pStyle w:val="CharCharCharCharChar"/>
              <w:rPr>
                <w:color w:val="auto"/>
              </w:rPr>
            </w:pPr>
            <w:r w:rsidRPr="000549B1">
              <w:rPr>
                <w:color w:val="auto"/>
              </w:rPr>
              <w:t>0.37</w:t>
            </w:r>
          </w:p>
        </w:tc>
        <w:tc>
          <w:tcPr>
            <w:tcW w:w="0" w:type="auto"/>
            <w:vAlign w:val="center"/>
          </w:tcPr>
          <w:p w14:paraId="7D793B50" w14:textId="77777777" w:rsidR="00054437" w:rsidRPr="000549B1" w:rsidRDefault="00000000">
            <w:pPr>
              <w:pStyle w:val="CharCharCharCharChar"/>
              <w:rPr>
                <w:color w:val="auto"/>
              </w:rPr>
            </w:pPr>
            <w:r w:rsidRPr="000549B1">
              <w:rPr>
                <w:color w:val="auto"/>
              </w:rPr>
              <w:t>3.5</w:t>
            </w:r>
          </w:p>
        </w:tc>
        <w:tc>
          <w:tcPr>
            <w:tcW w:w="0" w:type="auto"/>
            <w:vAlign w:val="center"/>
          </w:tcPr>
          <w:p w14:paraId="2EE569B8" w14:textId="77777777" w:rsidR="00054437" w:rsidRPr="000549B1" w:rsidRDefault="00000000">
            <w:pPr>
              <w:pStyle w:val="CharCharCharCharChar"/>
              <w:rPr>
                <w:color w:val="auto"/>
              </w:rPr>
            </w:pPr>
            <w:r w:rsidRPr="000549B1">
              <w:rPr>
                <w:color w:val="auto"/>
              </w:rPr>
              <w:t>5180</w:t>
            </w:r>
          </w:p>
        </w:tc>
        <w:tc>
          <w:tcPr>
            <w:tcW w:w="0" w:type="auto"/>
            <w:vAlign w:val="center"/>
          </w:tcPr>
          <w:p w14:paraId="321582D9" w14:textId="77777777" w:rsidR="00054437" w:rsidRPr="000549B1" w:rsidRDefault="00000000">
            <w:pPr>
              <w:pStyle w:val="CharCharCharCharChar"/>
              <w:rPr>
                <w:color w:val="auto"/>
              </w:rPr>
            </w:pPr>
            <w:r w:rsidRPr="000549B1">
              <w:rPr>
                <w:color w:val="auto"/>
              </w:rPr>
              <w:t>3770</w:t>
            </w:r>
          </w:p>
        </w:tc>
        <w:tc>
          <w:tcPr>
            <w:tcW w:w="0" w:type="auto"/>
            <w:vAlign w:val="center"/>
          </w:tcPr>
          <w:p w14:paraId="7E4991D9" w14:textId="77777777" w:rsidR="00054437" w:rsidRPr="000549B1" w:rsidRDefault="00000000">
            <w:pPr>
              <w:pStyle w:val="CharCharCharCharChar"/>
              <w:rPr>
                <w:color w:val="auto"/>
              </w:rPr>
            </w:pPr>
            <w:r w:rsidRPr="000549B1">
              <w:rPr>
                <w:color w:val="auto"/>
              </w:rPr>
              <w:t>2980</w:t>
            </w:r>
          </w:p>
        </w:tc>
        <w:tc>
          <w:tcPr>
            <w:tcW w:w="0" w:type="auto"/>
            <w:vAlign w:val="center"/>
          </w:tcPr>
          <w:p w14:paraId="676D3BEC" w14:textId="77777777" w:rsidR="00054437" w:rsidRPr="000549B1" w:rsidRDefault="00000000">
            <w:pPr>
              <w:pStyle w:val="CharCharCharCharChar"/>
              <w:rPr>
                <w:color w:val="auto"/>
              </w:rPr>
            </w:pPr>
            <w:r w:rsidRPr="000549B1">
              <w:rPr>
                <w:color w:val="auto"/>
              </w:rPr>
              <w:t>2260</w:t>
            </w:r>
          </w:p>
        </w:tc>
      </w:tr>
      <w:tr w:rsidR="000549B1" w:rsidRPr="000549B1" w14:paraId="4C9D702C" w14:textId="77777777">
        <w:trPr>
          <w:trHeight w:val="476"/>
        </w:trPr>
        <w:tc>
          <w:tcPr>
            <w:tcW w:w="0" w:type="auto"/>
            <w:vMerge/>
            <w:vAlign w:val="center"/>
          </w:tcPr>
          <w:p w14:paraId="0689F462" w14:textId="77777777" w:rsidR="00054437" w:rsidRPr="000549B1" w:rsidRDefault="00054437">
            <w:pPr>
              <w:pStyle w:val="CharCharCharCharChar"/>
              <w:rPr>
                <w:color w:val="auto"/>
              </w:rPr>
            </w:pPr>
          </w:p>
        </w:tc>
        <w:tc>
          <w:tcPr>
            <w:tcW w:w="0" w:type="auto"/>
            <w:vMerge/>
            <w:vAlign w:val="center"/>
          </w:tcPr>
          <w:p w14:paraId="7571026E" w14:textId="77777777" w:rsidR="00054437" w:rsidRPr="000549B1" w:rsidRDefault="00054437">
            <w:pPr>
              <w:pStyle w:val="CharCharCharCharChar"/>
              <w:rPr>
                <w:color w:val="auto"/>
              </w:rPr>
            </w:pPr>
          </w:p>
        </w:tc>
        <w:tc>
          <w:tcPr>
            <w:tcW w:w="0" w:type="auto"/>
            <w:gridSpan w:val="2"/>
            <w:vAlign w:val="center"/>
          </w:tcPr>
          <w:p w14:paraId="0B7723F6" w14:textId="77777777" w:rsidR="00054437" w:rsidRPr="000549B1" w:rsidRDefault="00000000">
            <w:pPr>
              <w:pStyle w:val="CharCharCharCharChar"/>
              <w:rPr>
                <w:color w:val="auto"/>
              </w:rPr>
            </w:pPr>
            <w:r w:rsidRPr="000549B1">
              <w:rPr>
                <w:color w:val="auto"/>
              </w:rPr>
              <w:t>小计</w:t>
            </w:r>
          </w:p>
        </w:tc>
        <w:tc>
          <w:tcPr>
            <w:tcW w:w="0" w:type="auto"/>
            <w:vAlign w:val="center"/>
          </w:tcPr>
          <w:p w14:paraId="74AB3A5A" w14:textId="77777777" w:rsidR="00054437" w:rsidRPr="000549B1" w:rsidRDefault="00000000">
            <w:pPr>
              <w:pStyle w:val="CharCharCharCharChar"/>
              <w:rPr>
                <w:color w:val="auto"/>
              </w:rPr>
            </w:pPr>
            <w:r w:rsidRPr="000549B1">
              <w:rPr>
                <w:color w:val="auto"/>
              </w:rPr>
              <w:t>8660</w:t>
            </w:r>
          </w:p>
        </w:tc>
        <w:tc>
          <w:tcPr>
            <w:tcW w:w="0" w:type="auto"/>
            <w:vAlign w:val="center"/>
          </w:tcPr>
          <w:p w14:paraId="67EA926B" w14:textId="77777777" w:rsidR="00054437" w:rsidRPr="000549B1" w:rsidRDefault="00000000">
            <w:pPr>
              <w:pStyle w:val="CharCharCharCharChar"/>
              <w:rPr>
                <w:color w:val="auto"/>
              </w:rPr>
            </w:pPr>
            <w:r w:rsidRPr="000549B1">
              <w:rPr>
                <w:color w:val="auto"/>
              </w:rPr>
              <w:t>13811</w:t>
            </w:r>
          </w:p>
        </w:tc>
        <w:tc>
          <w:tcPr>
            <w:tcW w:w="0" w:type="auto"/>
            <w:vAlign w:val="center"/>
          </w:tcPr>
          <w:p w14:paraId="2CFFF94D" w14:textId="77777777" w:rsidR="00054437" w:rsidRPr="000549B1" w:rsidRDefault="00000000">
            <w:pPr>
              <w:pStyle w:val="CharCharCharCharChar"/>
              <w:rPr>
                <w:color w:val="auto"/>
              </w:rPr>
            </w:pPr>
            <w:r w:rsidRPr="000549B1">
              <w:rPr>
                <w:color w:val="auto"/>
              </w:rPr>
              <w:t>0.40</w:t>
            </w:r>
          </w:p>
        </w:tc>
        <w:tc>
          <w:tcPr>
            <w:tcW w:w="0" w:type="auto"/>
            <w:vAlign w:val="center"/>
          </w:tcPr>
          <w:p w14:paraId="730BBE0F" w14:textId="77777777" w:rsidR="00054437" w:rsidRPr="000549B1" w:rsidRDefault="00000000">
            <w:pPr>
              <w:pStyle w:val="CharCharCharCharChar"/>
              <w:rPr>
                <w:color w:val="auto"/>
              </w:rPr>
            </w:pPr>
            <w:r w:rsidRPr="000549B1">
              <w:rPr>
                <w:color w:val="auto"/>
              </w:rPr>
              <w:t>3.1</w:t>
            </w:r>
          </w:p>
        </w:tc>
        <w:tc>
          <w:tcPr>
            <w:tcW w:w="0" w:type="auto"/>
            <w:vAlign w:val="center"/>
          </w:tcPr>
          <w:p w14:paraId="24874368" w14:textId="77777777" w:rsidR="00054437" w:rsidRPr="000549B1" w:rsidRDefault="00000000">
            <w:pPr>
              <w:pStyle w:val="CharCharCharCharChar"/>
              <w:rPr>
                <w:color w:val="auto"/>
              </w:rPr>
            </w:pPr>
            <w:r w:rsidRPr="000549B1">
              <w:rPr>
                <w:color w:val="auto"/>
              </w:rPr>
              <w:t>24053</w:t>
            </w:r>
          </w:p>
        </w:tc>
        <w:tc>
          <w:tcPr>
            <w:tcW w:w="0" w:type="auto"/>
            <w:vAlign w:val="center"/>
          </w:tcPr>
          <w:p w14:paraId="7431AD4B" w14:textId="77777777" w:rsidR="00054437" w:rsidRPr="000549B1" w:rsidRDefault="00000000">
            <w:pPr>
              <w:pStyle w:val="CharCharCharCharChar"/>
              <w:rPr>
                <w:color w:val="auto"/>
              </w:rPr>
            </w:pPr>
            <w:r w:rsidRPr="000549B1">
              <w:rPr>
                <w:color w:val="auto"/>
              </w:rPr>
              <w:t>17227</w:t>
            </w:r>
          </w:p>
        </w:tc>
        <w:tc>
          <w:tcPr>
            <w:tcW w:w="0" w:type="auto"/>
            <w:vAlign w:val="center"/>
          </w:tcPr>
          <w:p w14:paraId="30D1FF26" w14:textId="77777777" w:rsidR="00054437" w:rsidRPr="000549B1" w:rsidRDefault="00000000">
            <w:pPr>
              <w:pStyle w:val="CharCharCharCharChar"/>
              <w:rPr>
                <w:color w:val="auto"/>
              </w:rPr>
            </w:pPr>
            <w:r w:rsidRPr="000549B1">
              <w:rPr>
                <w:color w:val="auto"/>
              </w:rPr>
              <w:t>13288</w:t>
            </w:r>
          </w:p>
        </w:tc>
        <w:tc>
          <w:tcPr>
            <w:tcW w:w="0" w:type="auto"/>
            <w:vAlign w:val="center"/>
          </w:tcPr>
          <w:p w14:paraId="033613AC" w14:textId="77777777" w:rsidR="00054437" w:rsidRPr="000549B1" w:rsidRDefault="00000000">
            <w:pPr>
              <w:pStyle w:val="CharCharCharCharChar"/>
              <w:rPr>
                <w:color w:val="auto"/>
              </w:rPr>
            </w:pPr>
            <w:r w:rsidRPr="000549B1">
              <w:rPr>
                <w:color w:val="auto"/>
              </w:rPr>
              <w:t>9603</w:t>
            </w:r>
          </w:p>
        </w:tc>
      </w:tr>
    </w:tbl>
    <w:p w14:paraId="455B5AD4" w14:textId="77777777" w:rsidR="00054437" w:rsidRPr="000549B1" w:rsidRDefault="00000000">
      <w:pPr>
        <w:pStyle w:val="Z4"/>
        <w:rPr>
          <w:color w:val="auto"/>
        </w:rPr>
      </w:pPr>
      <w:r w:rsidRPr="000549B1">
        <w:rPr>
          <w:color w:val="auto"/>
        </w:rPr>
        <w:t>地下水资源量</w:t>
      </w:r>
    </w:p>
    <w:p w14:paraId="288F35E0" w14:textId="44ECFC0F" w:rsidR="00054437" w:rsidRPr="000549B1" w:rsidRDefault="00000000">
      <w:pPr>
        <w:pStyle w:val="x"/>
      </w:pPr>
      <w:r w:rsidRPr="000549B1">
        <w:t>结合《青海省海南州水资源综合规划》、《海南州共和县水资源调查评价》成果，山丘区按照排泄法进行地下水资源量计算，平原区按照补给法进行地下水资源量计算。本次规划沙珠玉河流域地下水资源总量为</w:t>
      </w:r>
      <w:r w:rsidRPr="000549B1">
        <w:t>25256</w:t>
      </w:r>
      <w:r w:rsidRPr="000549B1">
        <w:t>万</w:t>
      </w:r>
      <w:r w:rsidRPr="000549B1">
        <w:t>m³</w:t>
      </w:r>
      <w:r w:rsidRPr="000549B1">
        <w:t>，其中山丘区地下水资源量为</w:t>
      </w:r>
      <w:r w:rsidRPr="000549B1">
        <w:t>17993</w:t>
      </w:r>
      <w:r w:rsidRPr="000549B1">
        <w:t>万</w:t>
      </w:r>
      <w:r w:rsidRPr="000549B1">
        <w:t>m³</w:t>
      </w:r>
      <w:r w:rsidRPr="000549B1">
        <w:t>，平原区地下水资源量为</w:t>
      </w:r>
      <w:r w:rsidRPr="000549B1">
        <w:t>15853</w:t>
      </w:r>
      <w:r w:rsidRPr="000549B1">
        <w:t>万</w:t>
      </w:r>
      <w:r w:rsidRPr="000549B1">
        <w:t>m³</w:t>
      </w:r>
      <w:r w:rsidRPr="000549B1">
        <w:t>，山丘区与平原区地下水资源重复计算量为</w:t>
      </w:r>
      <w:r w:rsidRPr="000549B1">
        <w:t>8590</w:t>
      </w:r>
      <w:r w:rsidRPr="000549B1">
        <w:t>万</w:t>
      </w:r>
      <w:r w:rsidRPr="000549B1">
        <w:t>m³</w:t>
      </w:r>
      <w:r w:rsidRPr="000549B1">
        <w:t>，详见</w:t>
      </w:r>
      <w:r w:rsidR="00F32CCA" w:rsidRPr="000549B1">
        <w:t>表</w:t>
      </w:r>
      <w:r w:rsidR="00F32CCA">
        <w:t>3.2</w:t>
      </w:r>
      <w:r w:rsidR="00F32CCA">
        <w:noBreakHyphen/>
        <w:t>2</w:t>
      </w:r>
      <w:r w:rsidRPr="000549B1">
        <w:t>。</w:t>
      </w:r>
    </w:p>
    <w:p w14:paraId="19129D02" w14:textId="77777777" w:rsidR="00054437" w:rsidRPr="000549B1" w:rsidRDefault="00054437">
      <w:pPr>
        <w:ind w:firstLine="480"/>
        <w:rPr>
          <w:b/>
        </w:rPr>
      </w:pPr>
    </w:p>
    <w:p w14:paraId="7A1E05E7" w14:textId="77777777" w:rsidR="00054437" w:rsidRPr="000549B1" w:rsidRDefault="00054437">
      <w:pPr>
        <w:ind w:firstLine="480"/>
        <w:rPr>
          <w:b/>
        </w:rPr>
        <w:sectPr w:rsidR="00054437" w:rsidRPr="000549B1">
          <w:footerReference w:type="default" r:id="rId19"/>
          <w:pgSz w:w="11906" w:h="16838"/>
          <w:pgMar w:top="1440" w:right="1800" w:bottom="1440" w:left="1800" w:header="851" w:footer="992" w:gutter="0"/>
          <w:cols w:space="425"/>
          <w:docGrid w:type="lines" w:linePitch="312"/>
        </w:sectPr>
      </w:pPr>
    </w:p>
    <w:p w14:paraId="6CD56740" w14:textId="007CDE4F" w:rsidR="00054437" w:rsidRPr="000549B1" w:rsidRDefault="00000000">
      <w:pPr>
        <w:pStyle w:val="aff8"/>
        <w:rPr>
          <w:color w:val="auto"/>
        </w:rPr>
      </w:pPr>
      <w:bookmarkStart w:id="193" w:name="_Ref214977364"/>
      <w:bookmarkStart w:id="194" w:name="_Hlk213153616"/>
      <w:r w:rsidRPr="000549B1">
        <w:rPr>
          <w:color w:val="auto"/>
        </w:rPr>
        <w:t>表</w:t>
      </w:r>
      <w:r w:rsidR="00372953">
        <w:rPr>
          <w:color w:val="auto"/>
        </w:rPr>
        <w:fldChar w:fldCharType="begin"/>
      </w:r>
      <w:r w:rsidR="00372953">
        <w:rPr>
          <w:color w:val="auto"/>
        </w:rPr>
        <w:instrText xml:space="preserve"> STYLEREF 2 \s </w:instrText>
      </w:r>
      <w:r w:rsidR="00372953">
        <w:rPr>
          <w:color w:val="auto"/>
        </w:rPr>
        <w:fldChar w:fldCharType="separate"/>
      </w:r>
      <w:r w:rsidR="00372953">
        <w:rPr>
          <w:noProof/>
          <w:color w:val="auto"/>
        </w:rPr>
        <w:t>3.2</w:t>
      </w:r>
      <w:r w:rsidR="00372953">
        <w:rPr>
          <w:color w:val="auto"/>
        </w:rPr>
        <w:fldChar w:fldCharType="end"/>
      </w:r>
      <w:r w:rsidR="00372953">
        <w:rPr>
          <w:color w:val="auto"/>
        </w:rPr>
        <w:noBreakHyphen/>
      </w:r>
      <w:r w:rsidR="00372953">
        <w:rPr>
          <w:color w:val="auto"/>
        </w:rPr>
        <w:fldChar w:fldCharType="begin"/>
      </w:r>
      <w:r w:rsidR="00372953">
        <w:rPr>
          <w:color w:val="auto"/>
        </w:rPr>
        <w:instrText xml:space="preserve"> SEQ </w:instrText>
      </w:r>
      <w:r w:rsidR="00372953">
        <w:rPr>
          <w:color w:val="auto"/>
        </w:rPr>
        <w:instrText>表</w:instrText>
      </w:r>
      <w:r w:rsidR="00372953">
        <w:rPr>
          <w:color w:val="auto"/>
        </w:rPr>
        <w:instrText xml:space="preserve"> \* ARABIC \s 2 </w:instrText>
      </w:r>
      <w:r w:rsidR="00372953">
        <w:rPr>
          <w:color w:val="auto"/>
        </w:rPr>
        <w:fldChar w:fldCharType="separate"/>
      </w:r>
      <w:r w:rsidR="00372953">
        <w:rPr>
          <w:noProof/>
          <w:color w:val="auto"/>
        </w:rPr>
        <w:t>2</w:t>
      </w:r>
      <w:r w:rsidR="00372953">
        <w:rPr>
          <w:color w:val="auto"/>
        </w:rPr>
        <w:fldChar w:fldCharType="end"/>
      </w:r>
      <w:bookmarkEnd w:id="193"/>
      <w:r w:rsidRPr="000549B1">
        <w:rPr>
          <w:color w:val="auto"/>
        </w:rPr>
        <w:t>沙珠玉河流域地下水资源量成果单位：万</w:t>
      </w:r>
      <w:r w:rsidRPr="000549B1">
        <w:rPr>
          <w:color w:val="auto"/>
        </w:rPr>
        <w:t>m³</w:t>
      </w:r>
    </w:p>
    <w:tbl>
      <w:tblPr>
        <w:tblStyle w:val="aff"/>
        <w:tblW w:w="14884" w:type="dxa"/>
        <w:jc w:val="center"/>
        <w:tblLayout w:type="fixed"/>
        <w:tblLook w:val="04A0" w:firstRow="1" w:lastRow="0" w:firstColumn="1" w:lastColumn="0" w:noHBand="0" w:noVBand="1"/>
      </w:tblPr>
      <w:tblGrid>
        <w:gridCol w:w="881"/>
        <w:gridCol w:w="508"/>
        <w:gridCol w:w="454"/>
        <w:gridCol w:w="851"/>
        <w:gridCol w:w="708"/>
        <w:gridCol w:w="709"/>
        <w:gridCol w:w="709"/>
        <w:gridCol w:w="567"/>
        <w:gridCol w:w="850"/>
        <w:gridCol w:w="851"/>
        <w:gridCol w:w="709"/>
        <w:gridCol w:w="708"/>
        <w:gridCol w:w="567"/>
        <w:gridCol w:w="709"/>
        <w:gridCol w:w="709"/>
        <w:gridCol w:w="567"/>
        <w:gridCol w:w="700"/>
        <w:gridCol w:w="771"/>
        <w:gridCol w:w="797"/>
        <w:gridCol w:w="709"/>
        <w:gridCol w:w="850"/>
      </w:tblGrid>
      <w:tr w:rsidR="000549B1" w:rsidRPr="000549B1" w14:paraId="57879969" w14:textId="77777777">
        <w:trPr>
          <w:trHeight w:val="470"/>
          <w:jc w:val="center"/>
        </w:trPr>
        <w:tc>
          <w:tcPr>
            <w:tcW w:w="881" w:type="dxa"/>
            <w:vMerge w:val="restart"/>
            <w:vAlign w:val="center"/>
          </w:tcPr>
          <w:bookmarkEnd w:id="194"/>
          <w:p w14:paraId="51E6F7A9" w14:textId="77777777" w:rsidR="00054437" w:rsidRPr="000549B1" w:rsidRDefault="00000000">
            <w:pPr>
              <w:pStyle w:val="CharCharCharCharChar"/>
              <w:rPr>
                <w:b/>
                <w:bCs/>
                <w:color w:val="auto"/>
              </w:rPr>
            </w:pPr>
            <w:r w:rsidRPr="000549B1">
              <w:rPr>
                <w:b/>
                <w:bCs/>
                <w:color w:val="auto"/>
              </w:rPr>
              <w:t>本次规划范围</w:t>
            </w:r>
          </w:p>
        </w:tc>
        <w:tc>
          <w:tcPr>
            <w:tcW w:w="962" w:type="dxa"/>
            <w:gridSpan w:val="2"/>
            <w:vMerge w:val="restart"/>
            <w:vAlign w:val="center"/>
          </w:tcPr>
          <w:p w14:paraId="24B80083" w14:textId="77777777" w:rsidR="00054437" w:rsidRPr="000549B1" w:rsidRDefault="00000000">
            <w:pPr>
              <w:pStyle w:val="CharCharCharCharChar"/>
              <w:rPr>
                <w:b/>
                <w:bCs/>
                <w:color w:val="auto"/>
              </w:rPr>
            </w:pPr>
            <w:r w:rsidRPr="000549B1">
              <w:rPr>
                <w:b/>
                <w:bCs/>
                <w:color w:val="auto"/>
              </w:rPr>
              <w:t>流域分区</w:t>
            </w:r>
          </w:p>
        </w:tc>
        <w:tc>
          <w:tcPr>
            <w:tcW w:w="851" w:type="dxa"/>
            <w:vMerge w:val="restart"/>
            <w:vAlign w:val="center"/>
          </w:tcPr>
          <w:p w14:paraId="41F86D91" w14:textId="77777777" w:rsidR="00054437" w:rsidRPr="000549B1" w:rsidRDefault="00000000">
            <w:pPr>
              <w:pStyle w:val="CharCharCharCharChar"/>
              <w:rPr>
                <w:b/>
                <w:bCs/>
                <w:color w:val="auto"/>
              </w:rPr>
            </w:pPr>
            <w:r w:rsidRPr="000549B1">
              <w:rPr>
                <w:b/>
                <w:bCs/>
                <w:color w:val="auto"/>
              </w:rPr>
              <w:t>所在县级行政区</w:t>
            </w:r>
          </w:p>
        </w:tc>
        <w:tc>
          <w:tcPr>
            <w:tcW w:w="708" w:type="dxa"/>
            <w:vMerge w:val="restart"/>
            <w:vAlign w:val="center"/>
          </w:tcPr>
          <w:p w14:paraId="7290348E" w14:textId="77777777" w:rsidR="00054437" w:rsidRPr="000549B1" w:rsidRDefault="00000000">
            <w:pPr>
              <w:pStyle w:val="CharCharCharCharChar"/>
              <w:rPr>
                <w:b/>
                <w:bCs/>
                <w:color w:val="auto"/>
              </w:rPr>
            </w:pPr>
            <w:r w:rsidRPr="000549B1">
              <w:rPr>
                <w:b/>
                <w:bCs/>
                <w:color w:val="auto"/>
              </w:rPr>
              <w:t>面积（</w:t>
            </w:r>
            <w:r w:rsidRPr="000549B1">
              <w:rPr>
                <w:b/>
                <w:bCs/>
                <w:color w:val="auto"/>
              </w:rPr>
              <w:t>km</w:t>
            </w:r>
            <w:r w:rsidRPr="000549B1">
              <w:rPr>
                <w:b/>
                <w:bCs/>
                <w:color w:val="auto"/>
                <w:vertAlign w:val="superscript"/>
              </w:rPr>
              <w:t>2</w:t>
            </w:r>
            <w:r w:rsidRPr="000549B1">
              <w:rPr>
                <w:b/>
                <w:bCs/>
                <w:color w:val="auto"/>
              </w:rPr>
              <w:t>）</w:t>
            </w:r>
          </w:p>
        </w:tc>
        <w:tc>
          <w:tcPr>
            <w:tcW w:w="3686" w:type="dxa"/>
            <w:gridSpan w:val="5"/>
            <w:vAlign w:val="center"/>
          </w:tcPr>
          <w:p w14:paraId="213D2678" w14:textId="77777777" w:rsidR="00054437" w:rsidRPr="000549B1" w:rsidRDefault="00000000">
            <w:pPr>
              <w:pStyle w:val="CharCharCharCharChar"/>
              <w:rPr>
                <w:b/>
                <w:bCs/>
                <w:color w:val="auto"/>
              </w:rPr>
            </w:pPr>
            <w:r w:rsidRPr="000549B1">
              <w:rPr>
                <w:b/>
                <w:bCs/>
                <w:color w:val="auto"/>
              </w:rPr>
              <w:t>山丘区</w:t>
            </w:r>
          </w:p>
        </w:tc>
        <w:tc>
          <w:tcPr>
            <w:tcW w:w="6237" w:type="dxa"/>
            <w:gridSpan w:val="9"/>
            <w:vAlign w:val="center"/>
          </w:tcPr>
          <w:p w14:paraId="41F99F3D" w14:textId="77777777" w:rsidR="00054437" w:rsidRPr="000549B1" w:rsidRDefault="00000000">
            <w:pPr>
              <w:pStyle w:val="CharCharCharCharChar"/>
              <w:rPr>
                <w:b/>
                <w:bCs/>
                <w:color w:val="auto"/>
              </w:rPr>
            </w:pPr>
            <w:r w:rsidRPr="000549B1">
              <w:rPr>
                <w:b/>
                <w:bCs/>
                <w:color w:val="auto"/>
              </w:rPr>
              <w:t>平原区</w:t>
            </w:r>
          </w:p>
        </w:tc>
        <w:tc>
          <w:tcPr>
            <w:tcW w:w="709" w:type="dxa"/>
            <w:vMerge w:val="restart"/>
            <w:vAlign w:val="center"/>
          </w:tcPr>
          <w:p w14:paraId="205EB23E" w14:textId="77777777" w:rsidR="00054437" w:rsidRPr="000549B1" w:rsidRDefault="00000000">
            <w:pPr>
              <w:pStyle w:val="CharCharCharCharChar"/>
              <w:rPr>
                <w:b/>
                <w:bCs/>
                <w:color w:val="auto"/>
              </w:rPr>
            </w:pPr>
            <w:r w:rsidRPr="000549B1">
              <w:rPr>
                <w:b/>
                <w:bCs/>
                <w:color w:val="auto"/>
              </w:rPr>
              <w:t>山丘区与平原区重复计算量</w:t>
            </w:r>
          </w:p>
        </w:tc>
        <w:tc>
          <w:tcPr>
            <w:tcW w:w="850" w:type="dxa"/>
            <w:vMerge w:val="restart"/>
            <w:vAlign w:val="center"/>
          </w:tcPr>
          <w:p w14:paraId="6BE8A826" w14:textId="77777777" w:rsidR="00054437" w:rsidRPr="000549B1" w:rsidRDefault="00000000">
            <w:pPr>
              <w:pStyle w:val="CharCharCharCharChar"/>
              <w:rPr>
                <w:b/>
                <w:bCs/>
                <w:color w:val="auto"/>
              </w:rPr>
            </w:pPr>
            <w:r w:rsidRPr="000549B1">
              <w:rPr>
                <w:b/>
                <w:bCs/>
                <w:color w:val="auto"/>
              </w:rPr>
              <w:t>计算分区地下水资源量</w:t>
            </w:r>
          </w:p>
        </w:tc>
      </w:tr>
      <w:tr w:rsidR="000549B1" w:rsidRPr="000549B1" w14:paraId="1F6E945F" w14:textId="77777777">
        <w:trPr>
          <w:trHeight w:val="421"/>
          <w:jc w:val="center"/>
        </w:trPr>
        <w:tc>
          <w:tcPr>
            <w:tcW w:w="881" w:type="dxa"/>
            <w:vMerge/>
            <w:vAlign w:val="center"/>
          </w:tcPr>
          <w:p w14:paraId="081548A9" w14:textId="77777777" w:rsidR="00054437" w:rsidRPr="000549B1" w:rsidRDefault="00054437">
            <w:pPr>
              <w:pStyle w:val="CharCharCharCharChar"/>
              <w:rPr>
                <w:b/>
                <w:bCs/>
                <w:color w:val="auto"/>
              </w:rPr>
            </w:pPr>
          </w:p>
        </w:tc>
        <w:tc>
          <w:tcPr>
            <w:tcW w:w="962" w:type="dxa"/>
            <w:gridSpan w:val="2"/>
            <w:vMerge/>
            <w:vAlign w:val="center"/>
          </w:tcPr>
          <w:p w14:paraId="33912402" w14:textId="77777777" w:rsidR="00054437" w:rsidRPr="000549B1" w:rsidRDefault="00054437">
            <w:pPr>
              <w:pStyle w:val="CharCharCharCharChar"/>
              <w:rPr>
                <w:b/>
                <w:bCs/>
                <w:color w:val="auto"/>
              </w:rPr>
            </w:pPr>
          </w:p>
        </w:tc>
        <w:tc>
          <w:tcPr>
            <w:tcW w:w="851" w:type="dxa"/>
            <w:vMerge/>
            <w:vAlign w:val="center"/>
          </w:tcPr>
          <w:p w14:paraId="621F256F" w14:textId="77777777" w:rsidR="00054437" w:rsidRPr="000549B1" w:rsidRDefault="00054437">
            <w:pPr>
              <w:pStyle w:val="CharCharCharCharChar"/>
              <w:rPr>
                <w:b/>
                <w:bCs/>
                <w:color w:val="auto"/>
              </w:rPr>
            </w:pPr>
          </w:p>
        </w:tc>
        <w:tc>
          <w:tcPr>
            <w:tcW w:w="708" w:type="dxa"/>
            <w:vMerge/>
            <w:vAlign w:val="center"/>
          </w:tcPr>
          <w:p w14:paraId="5FEC02D1" w14:textId="77777777" w:rsidR="00054437" w:rsidRPr="000549B1" w:rsidRDefault="00054437">
            <w:pPr>
              <w:pStyle w:val="CharCharCharCharChar"/>
              <w:rPr>
                <w:b/>
                <w:bCs/>
                <w:color w:val="auto"/>
              </w:rPr>
            </w:pPr>
          </w:p>
        </w:tc>
        <w:tc>
          <w:tcPr>
            <w:tcW w:w="709" w:type="dxa"/>
            <w:vMerge w:val="restart"/>
            <w:vAlign w:val="center"/>
          </w:tcPr>
          <w:p w14:paraId="7C34F08D" w14:textId="77777777" w:rsidR="00054437" w:rsidRPr="000549B1" w:rsidRDefault="00000000">
            <w:pPr>
              <w:pStyle w:val="CharCharCharCharChar"/>
              <w:rPr>
                <w:b/>
                <w:bCs/>
                <w:color w:val="auto"/>
              </w:rPr>
            </w:pPr>
            <w:r w:rsidRPr="000549B1">
              <w:rPr>
                <w:b/>
                <w:bCs/>
                <w:color w:val="auto"/>
              </w:rPr>
              <w:t>计算面积（</w:t>
            </w:r>
            <w:r w:rsidRPr="000549B1">
              <w:rPr>
                <w:b/>
                <w:bCs/>
                <w:color w:val="auto"/>
              </w:rPr>
              <w:t>km</w:t>
            </w:r>
            <w:r w:rsidRPr="000549B1">
              <w:rPr>
                <w:b/>
                <w:bCs/>
                <w:color w:val="auto"/>
                <w:vertAlign w:val="superscript"/>
              </w:rPr>
              <w:t>2</w:t>
            </w:r>
            <w:r w:rsidRPr="000549B1">
              <w:rPr>
                <w:b/>
                <w:bCs/>
                <w:color w:val="auto"/>
              </w:rPr>
              <w:t>）</w:t>
            </w:r>
          </w:p>
        </w:tc>
        <w:tc>
          <w:tcPr>
            <w:tcW w:w="2977" w:type="dxa"/>
            <w:gridSpan w:val="4"/>
            <w:vAlign w:val="center"/>
          </w:tcPr>
          <w:p w14:paraId="15FD4F41" w14:textId="77777777" w:rsidR="00054437" w:rsidRPr="000549B1" w:rsidRDefault="00000000">
            <w:pPr>
              <w:pStyle w:val="CharCharCharCharChar"/>
              <w:rPr>
                <w:b/>
                <w:bCs/>
                <w:color w:val="auto"/>
              </w:rPr>
            </w:pPr>
            <w:r w:rsidRPr="000549B1">
              <w:rPr>
                <w:b/>
                <w:bCs/>
                <w:color w:val="auto"/>
              </w:rPr>
              <w:t>排泄量</w:t>
            </w:r>
          </w:p>
        </w:tc>
        <w:tc>
          <w:tcPr>
            <w:tcW w:w="709" w:type="dxa"/>
            <w:vMerge w:val="restart"/>
            <w:vAlign w:val="center"/>
          </w:tcPr>
          <w:p w14:paraId="31D6382C" w14:textId="77777777" w:rsidR="00054437" w:rsidRPr="000549B1" w:rsidRDefault="00000000">
            <w:pPr>
              <w:pStyle w:val="CharCharCharCharChar"/>
              <w:rPr>
                <w:b/>
                <w:bCs/>
                <w:color w:val="auto"/>
              </w:rPr>
            </w:pPr>
            <w:r w:rsidRPr="000549B1">
              <w:rPr>
                <w:b/>
                <w:bCs/>
                <w:color w:val="auto"/>
              </w:rPr>
              <w:t>计算面积（</w:t>
            </w:r>
            <w:r w:rsidRPr="000549B1">
              <w:rPr>
                <w:b/>
                <w:bCs/>
                <w:color w:val="auto"/>
              </w:rPr>
              <w:t>km</w:t>
            </w:r>
            <w:r w:rsidRPr="000549B1">
              <w:rPr>
                <w:b/>
                <w:bCs/>
                <w:color w:val="auto"/>
                <w:vertAlign w:val="superscript"/>
              </w:rPr>
              <w:t>2</w:t>
            </w:r>
            <w:r w:rsidRPr="000549B1">
              <w:rPr>
                <w:b/>
                <w:bCs/>
                <w:color w:val="auto"/>
              </w:rPr>
              <w:t>）</w:t>
            </w:r>
          </w:p>
        </w:tc>
        <w:tc>
          <w:tcPr>
            <w:tcW w:w="5528" w:type="dxa"/>
            <w:gridSpan w:val="8"/>
            <w:vAlign w:val="center"/>
          </w:tcPr>
          <w:p w14:paraId="0235B55F" w14:textId="77777777" w:rsidR="00054437" w:rsidRPr="000549B1" w:rsidRDefault="00000000">
            <w:pPr>
              <w:pStyle w:val="CharCharCharCharChar"/>
              <w:rPr>
                <w:b/>
                <w:bCs/>
                <w:color w:val="auto"/>
              </w:rPr>
            </w:pPr>
            <w:r w:rsidRPr="000549B1">
              <w:rPr>
                <w:b/>
                <w:bCs/>
                <w:color w:val="auto"/>
              </w:rPr>
              <w:t>补给量</w:t>
            </w:r>
          </w:p>
        </w:tc>
        <w:tc>
          <w:tcPr>
            <w:tcW w:w="709" w:type="dxa"/>
            <w:vMerge/>
            <w:vAlign w:val="center"/>
          </w:tcPr>
          <w:p w14:paraId="617BB8A1" w14:textId="77777777" w:rsidR="00054437" w:rsidRPr="000549B1" w:rsidRDefault="00054437">
            <w:pPr>
              <w:pStyle w:val="CharCharCharCharChar"/>
              <w:rPr>
                <w:b/>
                <w:bCs/>
                <w:color w:val="auto"/>
              </w:rPr>
            </w:pPr>
          </w:p>
        </w:tc>
        <w:tc>
          <w:tcPr>
            <w:tcW w:w="850" w:type="dxa"/>
            <w:vMerge/>
            <w:vAlign w:val="center"/>
          </w:tcPr>
          <w:p w14:paraId="6266DE64" w14:textId="77777777" w:rsidR="00054437" w:rsidRPr="000549B1" w:rsidRDefault="00054437">
            <w:pPr>
              <w:pStyle w:val="CharCharCharCharChar"/>
              <w:rPr>
                <w:b/>
                <w:bCs/>
                <w:color w:val="auto"/>
              </w:rPr>
            </w:pPr>
          </w:p>
        </w:tc>
      </w:tr>
      <w:tr w:rsidR="000549B1" w:rsidRPr="000549B1" w14:paraId="0B42C4E4" w14:textId="77777777">
        <w:trPr>
          <w:trHeight w:val="413"/>
          <w:jc w:val="center"/>
        </w:trPr>
        <w:tc>
          <w:tcPr>
            <w:tcW w:w="881" w:type="dxa"/>
            <w:vMerge/>
            <w:vAlign w:val="center"/>
          </w:tcPr>
          <w:p w14:paraId="703EC585" w14:textId="77777777" w:rsidR="00054437" w:rsidRPr="000549B1" w:rsidRDefault="00054437">
            <w:pPr>
              <w:pStyle w:val="CharCharCharCharChar"/>
              <w:rPr>
                <w:b/>
                <w:bCs/>
                <w:color w:val="auto"/>
              </w:rPr>
            </w:pPr>
          </w:p>
        </w:tc>
        <w:tc>
          <w:tcPr>
            <w:tcW w:w="508" w:type="dxa"/>
            <w:vMerge w:val="restart"/>
            <w:vAlign w:val="center"/>
          </w:tcPr>
          <w:p w14:paraId="332C6452" w14:textId="77777777" w:rsidR="00054437" w:rsidRPr="000549B1" w:rsidRDefault="00000000">
            <w:pPr>
              <w:pStyle w:val="CharCharCharCharChar"/>
              <w:rPr>
                <w:b/>
                <w:bCs/>
                <w:color w:val="auto"/>
              </w:rPr>
            </w:pPr>
            <w:r w:rsidRPr="000549B1">
              <w:rPr>
                <w:b/>
                <w:bCs/>
                <w:color w:val="auto"/>
              </w:rPr>
              <w:t>水资源三级区</w:t>
            </w:r>
          </w:p>
        </w:tc>
        <w:tc>
          <w:tcPr>
            <w:tcW w:w="454" w:type="dxa"/>
            <w:vMerge w:val="restart"/>
            <w:vAlign w:val="center"/>
          </w:tcPr>
          <w:p w14:paraId="491171EF" w14:textId="77777777" w:rsidR="00054437" w:rsidRPr="000549B1" w:rsidRDefault="00000000">
            <w:pPr>
              <w:pStyle w:val="CharCharCharCharChar"/>
              <w:rPr>
                <w:b/>
                <w:bCs/>
                <w:color w:val="auto"/>
              </w:rPr>
            </w:pPr>
            <w:r w:rsidRPr="000549B1">
              <w:rPr>
                <w:b/>
                <w:bCs/>
                <w:color w:val="auto"/>
              </w:rPr>
              <w:t>水资源四级区</w:t>
            </w:r>
          </w:p>
        </w:tc>
        <w:tc>
          <w:tcPr>
            <w:tcW w:w="851" w:type="dxa"/>
            <w:vMerge/>
            <w:vAlign w:val="center"/>
          </w:tcPr>
          <w:p w14:paraId="3D4CB6FD" w14:textId="77777777" w:rsidR="00054437" w:rsidRPr="000549B1" w:rsidRDefault="00054437">
            <w:pPr>
              <w:pStyle w:val="CharCharCharCharChar"/>
              <w:rPr>
                <w:b/>
                <w:bCs/>
                <w:color w:val="auto"/>
              </w:rPr>
            </w:pPr>
          </w:p>
        </w:tc>
        <w:tc>
          <w:tcPr>
            <w:tcW w:w="708" w:type="dxa"/>
            <w:vMerge/>
            <w:vAlign w:val="center"/>
          </w:tcPr>
          <w:p w14:paraId="4314E798" w14:textId="77777777" w:rsidR="00054437" w:rsidRPr="000549B1" w:rsidRDefault="00054437">
            <w:pPr>
              <w:pStyle w:val="CharCharCharCharChar"/>
              <w:rPr>
                <w:b/>
                <w:bCs/>
                <w:color w:val="auto"/>
              </w:rPr>
            </w:pPr>
          </w:p>
        </w:tc>
        <w:tc>
          <w:tcPr>
            <w:tcW w:w="709" w:type="dxa"/>
            <w:vMerge/>
            <w:vAlign w:val="center"/>
          </w:tcPr>
          <w:p w14:paraId="14058A56" w14:textId="77777777" w:rsidR="00054437" w:rsidRPr="000549B1" w:rsidRDefault="00054437">
            <w:pPr>
              <w:pStyle w:val="CharCharCharCharChar"/>
              <w:rPr>
                <w:b/>
                <w:bCs/>
                <w:color w:val="auto"/>
              </w:rPr>
            </w:pPr>
          </w:p>
        </w:tc>
        <w:tc>
          <w:tcPr>
            <w:tcW w:w="709" w:type="dxa"/>
            <w:vMerge w:val="restart"/>
            <w:vAlign w:val="center"/>
          </w:tcPr>
          <w:p w14:paraId="3398D019" w14:textId="77777777" w:rsidR="00054437" w:rsidRPr="000549B1" w:rsidRDefault="00000000">
            <w:pPr>
              <w:pStyle w:val="CharCharCharCharChar"/>
              <w:rPr>
                <w:b/>
                <w:bCs/>
                <w:color w:val="auto"/>
              </w:rPr>
            </w:pPr>
            <w:r w:rsidRPr="000549B1">
              <w:rPr>
                <w:b/>
                <w:bCs/>
                <w:color w:val="auto"/>
              </w:rPr>
              <w:t>基岩裂隙侧渗量</w:t>
            </w:r>
          </w:p>
        </w:tc>
        <w:tc>
          <w:tcPr>
            <w:tcW w:w="567" w:type="dxa"/>
            <w:vMerge w:val="restart"/>
            <w:vAlign w:val="center"/>
          </w:tcPr>
          <w:p w14:paraId="0874142B" w14:textId="77777777" w:rsidR="00054437" w:rsidRPr="000549B1" w:rsidRDefault="00000000">
            <w:pPr>
              <w:pStyle w:val="CharCharCharCharChar"/>
              <w:rPr>
                <w:b/>
                <w:bCs/>
                <w:color w:val="auto"/>
              </w:rPr>
            </w:pPr>
            <w:r w:rsidRPr="000549B1">
              <w:rPr>
                <w:b/>
                <w:bCs/>
                <w:color w:val="auto"/>
              </w:rPr>
              <w:t>河床潜流量</w:t>
            </w:r>
          </w:p>
        </w:tc>
        <w:tc>
          <w:tcPr>
            <w:tcW w:w="850" w:type="dxa"/>
            <w:vMerge w:val="restart"/>
            <w:vAlign w:val="center"/>
          </w:tcPr>
          <w:p w14:paraId="68367B3A" w14:textId="77777777" w:rsidR="00054437" w:rsidRPr="000549B1" w:rsidRDefault="00000000">
            <w:pPr>
              <w:pStyle w:val="CharCharCharCharChar"/>
              <w:rPr>
                <w:b/>
                <w:bCs/>
                <w:color w:val="auto"/>
              </w:rPr>
            </w:pPr>
            <w:r w:rsidRPr="000549B1">
              <w:rPr>
                <w:b/>
                <w:bCs/>
                <w:color w:val="auto"/>
              </w:rPr>
              <w:t>河川基流量</w:t>
            </w:r>
          </w:p>
        </w:tc>
        <w:tc>
          <w:tcPr>
            <w:tcW w:w="851" w:type="dxa"/>
            <w:vMerge w:val="restart"/>
            <w:vAlign w:val="center"/>
          </w:tcPr>
          <w:p w14:paraId="0D225676" w14:textId="77777777" w:rsidR="00054437" w:rsidRPr="000549B1" w:rsidRDefault="00000000">
            <w:pPr>
              <w:pStyle w:val="CharCharCharCharChar"/>
              <w:rPr>
                <w:b/>
                <w:bCs/>
                <w:color w:val="auto"/>
              </w:rPr>
            </w:pPr>
            <w:r w:rsidRPr="000549B1">
              <w:rPr>
                <w:b/>
                <w:bCs/>
                <w:color w:val="auto"/>
              </w:rPr>
              <w:t>合计</w:t>
            </w:r>
          </w:p>
        </w:tc>
        <w:tc>
          <w:tcPr>
            <w:tcW w:w="709" w:type="dxa"/>
            <w:vMerge/>
            <w:vAlign w:val="center"/>
          </w:tcPr>
          <w:p w14:paraId="795BA00A" w14:textId="77777777" w:rsidR="00054437" w:rsidRPr="000549B1" w:rsidRDefault="00054437">
            <w:pPr>
              <w:pStyle w:val="CharCharCharCharChar"/>
              <w:rPr>
                <w:b/>
                <w:bCs/>
                <w:color w:val="auto"/>
              </w:rPr>
            </w:pPr>
          </w:p>
        </w:tc>
        <w:tc>
          <w:tcPr>
            <w:tcW w:w="708" w:type="dxa"/>
            <w:vMerge w:val="restart"/>
            <w:vAlign w:val="center"/>
          </w:tcPr>
          <w:p w14:paraId="4B17A228" w14:textId="77777777" w:rsidR="00054437" w:rsidRPr="000549B1" w:rsidRDefault="00000000">
            <w:pPr>
              <w:pStyle w:val="CharCharCharCharChar"/>
              <w:rPr>
                <w:b/>
                <w:bCs/>
                <w:color w:val="auto"/>
              </w:rPr>
            </w:pPr>
            <w:r w:rsidRPr="000549B1">
              <w:rPr>
                <w:b/>
                <w:bCs/>
                <w:color w:val="auto"/>
              </w:rPr>
              <w:t>降水入渗补给量</w:t>
            </w:r>
          </w:p>
        </w:tc>
        <w:tc>
          <w:tcPr>
            <w:tcW w:w="567" w:type="dxa"/>
            <w:vMerge w:val="restart"/>
            <w:vAlign w:val="center"/>
          </w:tcPr>
          <w:p w14:paraId="64B4C28E" w14:textId="77777777" w:rsidR="00054437" w:rsidRPr="000549B1" w:rsidRDefault="00000000">
            <w:pPr>
              <w:pStyle w:val="CharCharCharCharChar"/>
              <w:rPr>
                <w:b/>
                <w:bCs/>
                <w:color w:val="auto"/>
              </w:rPr>
            </w:pPr>
            <w:r w:rsidRPr="000549B1">
              <w:rPr>
                <w:b/>
                <w:bCs/>
                <w:color w:val="auto"/>
              </w:rPr>
              <w:t>河床潜流量</w:t>
            </w:r>
          </w:p>
        </w:tc>
        <w:tc>
          <w:tcPr>
            <w:tcW w:w="709" w:type="dxa"/>
            <w:vMerge w:val="restart"/>
            <w:vAlign w:val="center"/>
          </w:tcPr>
          <w:p w14:paraId="05989C41" w14:textId="77777777" w:rsidR="00054437" w:rsidRPr="000549B1" w:rsidRDefault="00000000">
            <w:pPr>
              <w:pStyle w:val="CharCharCharCharChar"/>
              <w:rPr>
                <w:b/>
                <w:bCs/>
                <w:color w:val="auto"/>
              </w:rPr>
            </w:pPr>
            <w:r w:rsidRPr="000549B1">
              <w:rPr>
                <w:b/>
                <w:bCs/>
                <w:color w:val="auto"/>
              </w:rPr>
              <w:t>基岩裂隙补给量</w:t>
            </w:r>
          </w:p>
        </w:tc>
        <w:tc>
          <w:tcPr>
            <w:tcW w:w="2747" w:type="dxa"/>
            <w:gridSpan w:val="4"/>
            <w:vAlign w:val="center"/>
          </w:tcPr>
          <w:p w14:paraId="4AAF14D9" w14:textId="77777777" w:rsidR="00054437" w:rsidRPr="000549B1" w:rsidRDefault="00000000">
            <w:pPr>
              <w:pStyle w:val="CharCharCharCharChar"/>
              <w:rPr>
                <w:b/>
                <w:bCs/>
                <w:color w:val="auto"/>
              </w:rPr>
            </w:pPr>
            <w:r w:rsidRPr="000549B1">
              <w:rPr>
                <w:b/>
                <w:bCs/>
                <w:color w:val="auto"/>
              </w:rPr>
              <w:t>地表水体补给量</w:t>
            </w:r>
          </w:p>
        </w:tc>
        <w:tc>
          <w:tcPr>
            <w:tcW w:w="797" w:type="dxa"/>
            <w:vMerge w:val="restart"/>
            <w:vAlign w:val="center"/>
          </w:tcPr>
          <w:p w14:paraId="39BF9B41" w14:textId="77777777" w:rsidR="00054437" w:rsidRPr="000549B1" w:rsidRDefault="00000000">
            <w:pPr>
              <w:pStyle w:val="CharCharCharCharChar"/>
              <w:rPr>
                <w:b/>
                <w:bCs/>
                <w:color w:val="auto"/>
              </w:rPr>
            </w:pPr>
            <w:r w:rsidRPr="000549B1">
              <w:rPr>
                <w:b/>
                <w:bCs/>
                <w:color w:val="auto"/>
              </w:rPr>
              <w:t>合计</w:t>
            </w:r>
          </w:p>
        </w:tc>
        <w:tc>
          <w:tcPr>
            <w:tcW w:w="709" w:type="dxa"/>
            <w:vMerge/>
            <w:vAlign w:val="center"/>
          </w:tcPr>
          <w:p w14:paraId="06B3DEF7" w14:textId="77777777" w:rsidR="00054437" w:rsidRPr="000549B1" w:rsidRDefault="00054437">
            <w:pPr>
              <w:pStyle w:val="CharCharCharCharChar"/>
              <w:rPr>
                <w:b/>
                <w:bCs/>
                <w:color w:val="auto"/>
              </w:rPr>
            </w:pPr>
          </w:p>
        </w:tc>
        <w:tc>
          <w:tcPr>
            <w:tcW w:w="850" w:type="dxa"/>
            <w:vMerge/>
            <w:vAlign w:val="center"/>
          </w:tcPr>
          <w:p w14:paraId="3D7D4EBF" w14:textId="77777777" w:rsidR="00054437" w:rsidRPr="000549B1" w:rsidRDefault="00054437">
            <w:pPr>
              <w:pStyle w:val="CharCharCharCharChar"/>
              <w:rPr>
                <w:b/>
                <w:bCs/>
                <w:color w:val="auto"/>
              </w:rPr>
            </w:pPr>
          </w:p>
        </w:tc>
      </w:tr>
      <w:tr w:rsidR="000549B1" w:rsidRPr="000549B1" w14:paraId="5149AA87" w14:textId="77777777">
        <w:trPr>
          <w:jc w:val="center"/>
        </w:trPr>
        <w:tc>
          <w:tcPr>
            <w:tcW w:w="881" w:type="dxa"/>
            <w:vMerge/>
            <w:vAlign w:val="center"/>
          </w:tcPr>
          <w:p w14:paraId="1B880797" w14:textId="77777777" w:rsidR="00054437" w:rsidRPr="000549B1" w:rsidRDefault="00054437">
            <w:pPr>
              <w:pStyle w:val="CharCharCharCharChar"/>
              <w:rPr>
                <w:color w:val="auto"/>
              </w:rPr>
            </w:pPr>
          </w:p>
        </w:tc>
        <w:tc>
          <w:tcPr>
            <w:tcW w:w="508" w:type="dxa"/>
            <w:vMerge/>
            <w:vAlign w:val="center"/>
          </w:tcPr>
          <w:p w14:paraId="4C97FE80" w14:textId="77777777" w:rsidR="00054437" w:rsidRPr="000549B1" w:rsidRDefault="00054437">
            <w:pPr>
              <w:pStyle w:val="CharCharCharCharChar"/>
              <w:rPr>
                <w:color w:val="auto"/>
              </w:rPr>
            </w:pPr>
          </w:p>
        </w:tc>
        <w:tc>
          <w:tcPr>
            <w:tcW w:w="454" w:type="dxa"/>
            <w:vMerge/>
            <w:vAlign w:val="center"/>
          </w:tcPr>
          <w:p w14:paraId="7E0B5BBF" w14:textId="77777777" w:rsidR="00054437" w:rsidRPr="000549B1" w:rsidRDefault="00054437">
            <w:pPr>
              <w:pStyle w:val="CharCharCharCharChar"/>
              <w:rPr>
                <w:color w:val="auto"/>
              </w:rPr>
            </w:pPr>
          </w:p>
        </w:tc>
        <w:tc>
          <w:tcPr>
            <w:tcW w:w="851" w:type="dxa"/>
            <w:vMerge/>
            <w:vAlign w:val="center"/>
          </w:tcPr>
          <w:p w14:paraId="14CBBA22" w14:textId="77777777" w:rsidR="00054437" w:rsidRPr="000549B1" w:rsidRDefault="00054437">
            <w:pPr>
              <w:pStyle w:val="CharCharCharCharChar"/>
              <w:rPr>
                <w:color w:val="auto"/>
              </w:rPr>
            </w:pPr>
          </w:p>
        </w:tc>
        <w:tc>
          <w:tcPr>
            <w:tcW w:w="708" w:type="dxa"/>
            <w:vMerge/>
            <w:vAlign w:val="center"/>
          </w:tcPr>
          <w:p w14:paraId="66B054AF" w14:textId="77777777" w:rsidR="00054437" w:rsidRPr="000549B1" w:rsidRDefault="00054437">
            <w:pPr>
              <w:pStyle w:val="CharCharCharCharChar"/>
              <w:rPr>
                <w:color w:val="auto"/>
              </w:rPr>
            </w:pPr>
          </w:p>
        </w:tc>
        <w:tc>
          <w:tcPr>
            <w:tcW w:w="709" w:type="dxa"/>
            <w:vMerge/>
            <w:vAlign w:val="center"/>
          </w:tcPr>
          <w:p w14:paraId="15ADAF78" w14:textId="77777777" w:rsidR="00054437" w:rsidRPr="000549B1" w:rsidRDefault="00054437">
            <w:pPr>
              <w:pStyle w:val="CharCharCharCharChar"/>
              <w:rPr>
                <w:color w:val="auto"/>
              </w:rPr>
            </w:pPr>
          </w:p>
        </w:tc>
        <w:tc>
          <w:tcPr>
            <w:tcW w:w="709" w:type="dxa"/>
            <w:vMerge/>
            <w:vAlign w:val="center"/>
          </w:tcPr>
          <w:p w14:paraId="433145AB" w14:textId="77777777" w:rsidR="00054437" w:rsidRPr="000549B1" w:rsidRDefault="00054437">
            <w:pPr>
              <w:pStyle w:val="CharCharCharCharChar"/>
              <w:rPr>
                <w:color w:val="auto"/>
              </w:rPr>
            </w:pPr>
          </w:p>
        </w:tc>
        <w:tc>
          <w:tcPr>
            <w:tcW w:w="567" w:type="dxa"/>
            <w:vMerge/>
            <w:vAlign w:val="center"/>
          </w:tcPr>
          <w:p w14:paraId="544A7801" w14:textId="77777777" w:rsidR="00054437" w:rsidRPr="000549B1" w:rsidRDefault="00054437">
            <w:pPr>
              <w:pStyle w:val="CharCharCharCharChar"/>
              <w:rPr>
                <w:color w:val="auto"/>
              </w:rPr>
            </w:pPr>
          </w:p>
        </w:tc>
        <w:tc>
          <w:tcPr>
            <w:tcW w:w="850" w:type="dxa"/>
            <w:vMerge/>
            <w:vAlign w:val="center"/>
          </w:tcPr>
          <w:p w14:paraId="47EA91C2" w14:textId="77777777" w:rsidR="00054437" w:rsidRPr="000549B1" w:rsidRDefault="00054437">
            <w:pPr>
              <w:pStyle w:val="CharCharCharCharChar"/>
              <w:rPr>
                <w:color w:val="auto"/>
              </w:rPr>
            </w:pPr>
          </w:p>
        </w:tc>
        <w:tc>
          <w:tcPr>
            <w:tcW w:w="851" w:type="dxa"/>
            <w:vMerge/>
            <w:vAlign w:val="center"/>
          </w:tcPr>
          <w:p w14:paraId="0CE69FB0" w14:textId="77777777" w:rsidR="00054437" w:rsidRPr="000549B1" w:rsidRDefault="00054437">
            <w:pPr>
              <w:pStyle w:val="CharCharCharCharChar"/>
              <w:rPr>
                <w:color w:val="auto"/>
              </w:rPr>
            </w:pPr>
          </w:p>
        </w:tc>
        <w:tc>
          <w:tcPr>
            <w:tcW w:w="709" w:type="dxa"/>
            <w:vMerge/>
            <w:vAlign w:val="center"/>
          </w:tcPr>
          <w:p w14:paraId="0688DF1C" w14:textId="77777777" w:rsidR="00054437" w:rsidRPr="000549B1" w:rsidRDefault="00054437">
            <w:pPr>
              <w:pStyle w:val="CharCharCharCharChar"/>
              <w:rPr>
                <w:color w:val="auto"/>
              </w:rPr>
            </w:pPr>
          </w:p>
        </w:tc>
        <w:tc>
          <w:tcPr>
            <w:tcW w:w="708" w:type="dxa"/>
            <w:vMerge/>
            <w:vAlign w:val="center"/>
          </w:tcPr>
          <w:p w14:paraId="4BE3E32D" w14:textId="77777777" w:rsidR="00054437" w:rsidRPr="000549B1" w:rsidRDefault="00054437">
            <w:pPr>
              <w:pStyle w:val="CharCharCharCharChar"/>
              <w:rPr>
                <w:color w:val="auto"/>
              </w:rPr>
            </w:pPr>
          </w:p>
        </w:tc>
        <w:tc>
          <w:tcPr>
            <w:tcW w:w="567" w:type="dxa"/>
            <w:vMerge/>
            <w:vAlign w:val="center"/>
          </w:tcPr>
          <w:p w14:paraId="008F236C" w14:textId="77777777" w:rsidR="00054437" w:rsidRPr="000549B1" w:rsidRDefault="00054437">
            <w:pPr>
              <w:pStyle w:val="CharCharCharCharChar"/>
              <w:rPr>
                <w:color w:val="auto"/>
              </w:rPr>
            </w:pPr>
          </w:p>
        </w:tc>
        <w:tc>
          <w:tcPr>
            <w:tcW w:w="709" w:type="dxa"/>
            <w:vMerge/>
            <w:vAlign w:val="center"/>
          </w:tcPr>
          <w:p w14:paraId="0E4E9332" w14:textId="77777777" w:rsidR="00054437" w:rsidRPr="000549B1" w:rsidRDefault="00054437">
            <w:pPr>
              <w:pStyle w:val="CharCharCharCharChar"/>
              <w:rPr>
                <w:color w:val="auto"/>
              </w:rPr>
            </w:pPr>
          </w:p>
        </w:tc>
        <w:tc>
          <w:tcPr>
            <w:tcW w:w="709" w:type="dxa"/>
            <w:vAlign w:val="center"/>
          </w:tcPr>
          <w:p w14:paraId="7771980A" w14:textId="77777777" w:rsidR="00054437" w:rsidRPr="000549B1" w:rsidRDefault="00000000">
            <w:pPr>
              <w:pStyle w:val="CharCharCharCharChar"/>
              <w:rPr>
                <w:b/>
                <w:bCs/>
                <w:color w:val="auto"/>
              </w:rPr>
            </w:pPr>
            <w:r w:rsidRPr="000549B1">
              <w:rPr>
                <w:b/>
                <w:bCs/>
                <w:color w:val="auto"/>
              </w:rPr>
              <w:t>河道渗漏补给量</w:t>
            </w:r>
          </w:p>
        </w:tc>
        <w:tc>
          <w:tcPr>
            <w:tcW w:w="567" w:type="dxa"/>
            <w:vAlign w:val="center"/>
          </w:tcPr>
          <w:p w14:paraId="5BE2A9C9" w14:textId="77777777" w:rsidR="00054437" w:rsidRPr="000549B1" w:rsidRDefault="00000000">
            <w:pPr>
              <w:pStyle w:val="CharCharCharCharChar"/>
              <w:rPr>
                <w:b/>
                <w:bCs/>
                <w:color w:val="auto"/>
              </w:rPr>
            </w:pPr>
            <w:r w:rsidRPr="000549B1">
              <w:rPr>
                <w:b/>
                <w:bCs/>
                <w:color w:val="auto"/>
              </w:rPr>
              <w:t>灌溉入渗补给量</w:t>
            </w:r>
          </w:p>
        </w:tc>
        <w:tc>
          <w:tcPr>
            <w:tcW w:w="700" w:type="dxa"/>
            <w:vAlign w:val="center"/>
          </w:tcPr>
          <w:p w14:paraId="219866B4" w14:textId="77777777" w:rsidR="00054437" w:rsidRPr="000549B1" w:rsidRDefault="00000000">
            <w:pPr>
              <w:pStyle w:val="CharCharCharCharChar"/>
              <w:rPr>
                <w:b/>
                <w:bCs/>
                <w:color w:val="auto"/>
              </w:rPr>
            </w:pPr>
            <w:r w:rsidRPr="000549B1">
              <w:rPr>
                <w:b/>
                <w:bCs/>
                <w:color w:val="auto"/>
              </w:rPr>
              <w:t>小计</w:t>
            </w:r>
          </w:p>
        </w:tc>
        <w:tc>
          <w:tcPr>
            <w:tcW w:w="771" w:type="dxa"/>
            <w:vAlign w:val="center"/>
          </w:tcPr>
          <w:p w14:paraId="6EA8C355" w14:textId="77777777" w:rsidR="00054437" w:rsidRPr="000549B1" w:rsidRDefault="00000000">
            <w:pPr>
              <w:pStyle w:val="CharCharCharCharChar"/>
              <w:rPr>
                <w:b/>
                <w:bCs/>
                <w:color w:val="auto"/>
              </w:rPr>
            </w:pPr>
            <w:r w:rsidRPr="000549B1">
              <w:rPr>
                <w:b/>
                <w:bCs/>
                <w:color w:val="auto"/>
              </w:rPr>
              <w:t>其中：河川基流形成的补给量</w:t>
            </w:r>
          </w:p>
        </w:tc>
        <w:tc>
          <w:tcPr>
            <w:tcW w:w="797" w:type="dxa"/>
            <w:vMerge/>
            <w:vAlign w:val="center"/>
          </w:tcPr>
          <w:p w14:paraId="5B5A79B5" w14:textId="77777777" w:rsidR="00054437" w:rsidRPr="000549B1" w:rsidRDefault="00054437">
            <w:pPr>
              <w:pStyle w:val="CharCharCharCharChar"/>
              <w:rPr>
                <w:b/>
                <w:bCs/>
                <w:color w:val="auto"/>
              </w:rPr>
            </w:pPr>
          </w:p>
        </w:tc>
        <w:tc>
          <w:tcPr>
            <w:tcW w:w="709" w:type="dxa"/>
            <w:vMerge/>
            <w:vAlign w:val="center"/>
          </w:tcPr>
          <w:p w14:paraId="38FBE8E6" w14:textId="77777777" w:rsidR="00054437" w:rsidRPr="000549B1" w:rsidRDefault="00054437">
            <w:pPr>
              <w:pStyle w:val="CharCharCharCharChar"/>
              <w:rPr>
                <w:b/>
                <w:bCs/>
                <w:color w:val="auto"/>
              </w:rPr>
            </w:pPr>
          </w:p>
        </w:tc>
        <w:tc>
          <w:tcPr>
            <w:tcW w:w="850" w:type="dxa"/>
            <w:vMerge/>
            <w:vAlign w:val="center"/>
          </w:tcPr>
          <w:p w14:paraId="332298B8" w14:textId="77777777" w:rsidR="00054437" w:rsidRPr="000549B1" w:rsidRDefault="00054437">
            <w:pPr>
              <w:pStyle w:val="CharCharCharCharChar"/>
              <w:rPr>
                <w:b/>
                <w:bCs/>
                <w:color w:val="auto"/>
              </w:rPr>
            </w:pPr>
          </w:p>
        </w:tc>
      </w:tr>
      <w:tr w:rsidR="000549B1" w:rsidRPr="000549B1" w14:paraId="2DD690E0" w14:textId="77777777">
        <w:trPr>
          <w:trHeight w:val="548"/>
          <w:jc w:val="center"/>
        </w:trPr>
        <w:tc>
          <w:tcPr>
            <w:tcW w:w="881" w:type="dxa"/>
            <w:vMerge w:val="restart"/>
            <w:vAlign w:val="center"/>
          </w:tcPr>
          <w:p w14:paraId="121FD529" w14:textId="77777777" w:rsidR="00054437" w:rsidRPr="000549B1" w:rsidRDefault="00000000">
            <w:pPr>
              <w:pStyle w:val="CharCharCharCharChar"/>
              <w:rPr>
                <w:color w:val="auto"/>
              </w:rPr>
            </w:pPr>
            <w:r w:rsidRPr="000549B1">
              <w:rPr>
                <w:color w:val="auto"/>
              </w:rPr>
              <w:t>沙珠玉河流域</w:t>
            </w:r>
          </w:p>
        </w:tc>
        <w:tc>
          <w:tcPr>
            <w:tcW w:w="508" w:type="dxa"/>
            <w:vMerge w:val="restart"/>
            <w:vAlign w:val="center"/>
          </w:tcPr>
          <w:p w14:paraId="6A4150BF" w14:textId="77777777" w:rsidR="00054437" w:rsidRPr="000549B1" w:rsidRDefault="00000000">
            <w:pPr>
              <w:pStyle w:val="CharCharCharCharChar"/>
              <w:rPr>
                <w:color w:val="auto"/>
              </w:rPr>
            </w:pPr>
            <w:r w:rsidRPr="000549B1">
              <w:rPr>
                <w:color w:val="auto"/>
              </w:rPr>
              <w:t>青海湖水系</w:t>
            </w:r>
          </w:p>
        </w:tc>
        <w:tc>
          <w:tcPr>
            <w:tcW w:w="454" w:type="dxa"/>
            <w:vAlign w:val="center"/>
          </w:tcPr>
          <w:p w14:paraId="66C39AD5" w14:textId="77777777" w:rsidR="00054437" w:rsidRPr="000549B1" w:rsidRDefault="00000000">
            <w:pPr>
              <w:pStyle w:val="CharCharCharCharChar"/>
              <w:rPr>
                <w:color w:val="auto"/>
              </w:rPr>
            </w:pPr>
            <w:r w:rsidRPr="000549B1">
              <w:rPr>
                <w:color w:val="auto"/>
              </w:rPr>
              <w:t>沙珠玉区</w:t>
            </w:r>
          </w:p>
        </w:tc>
        <w:tc>
          <w:tcPr>
            <w:tcW w:w="851" w:type="dxa"/>
            <w:vAlign w:val="center"/>
          </w:tcPr>
          <w:p w14:paraId="7917C959" w14:textId="77777777" w:rsidR="00054437" w:rsidRPr="000549B1" w:rsidRDefault="00000000">
            <w:pPr>
              <w:pStyle w:val="CharCharCharCharChar"/>
              <w:rPr>
                <w:color w:val="auto"/>
              </w:rPr>
            </w:pPr>
            <w:r w:rsidRPr="000549B1">
              <w:rPr>
                <w:color w:val="auto"/>
              </w:rPr>
              <w:t>共和县</w:t>
            </w:r>
          </w:p>
        </w:tc>
        <w:tc>
          <w:tcPr>
            <w:tcW w:w="708" w:type="dxa"/>
            <w:vAlign w:val="center"/>
          </w:tcPr>
          <w:p w14:paraId="209451B9" w14:textId="77777777" w:rsidR="00054437" w:rsidRPr="000549B1" w:rsidRDefault="00000000">
            <w:pPr>
              <w:pStyle w:val="CharCharCharCharChar"/>
              <w:rPr>
                <w:color w:val="auto"/>
              </w:rPr>
            </w:pPr>
            <w:r w:rsidRPr="000549B1">
              <w:rPr>
                <w:color w:val="auto"/>
              </w:rPr>
              <w:t>7302</w:t>
            </w:r>
          </w:p>
        </w:tc>
        <w:tc>
          <w:tcPr>
            <w:tcW w:w="709" w:type="dxa"/>
            <w:vAlign w:val="center"/>
          </w:tcPr>
          <w:p w14:paraId="750FD961" w14:textId="77777777" w:rsidR="00054437" w:rsidRPr="000549B1" w:rsidRDefault="00000000">
            <w:pPr>
              <w:pStyle w:val="CharCharCharCharChar"/>
              <w:rPr>
                <w:color w:val="auto"/>
              </w:rPr>
            </w:pPr>
            <w:r w:rsidRPr="000549B1">
              <w:rPr>
                <w:color w:val="auto"/>
              </w:rPr>
              <w:t>2991</w:t>
            </w:r>
          </w:p>
        </w:tc>
        <w:tc>
          <w:tcPr>
            <w:tcW w:w="709" w:type="dxa"/>
            <w:vAlign w:val="center"/>
          </w:tcPr>
          <w:p w14:paraId="7C1360C3" w14:textId="77777777" w:rsidR="00054437" w:rsidRPr="000549B1" w:rsidRDefault="00000000">
            <w:pPr>
              <w:pStyle w:val="CharCharCharCharChar"/>
              <w:rPr>
                <w:color w:val="auto"/>
              </w:rPr>
            </w:pPr>
            <w:r w:rsidRPr="000549B1">
              <w:rPr>
                <w:color w:val="auto"/>
              </w:rPr>
              <w:t>3988</w:t>
            </w:r>
          </w:p>
        </w:tc>
        <w:tc>
          <w:tcPr>
            <w:tcW w:w="567" w:type="dxa"/>
            <w:vAlign w:val="center"/>
          </w:tcPr>
          <w:p w14:paraId="0E7402DE" w14:textId="77777777" w:rsidR="00054437" w:rsidRPr="000549B1" w:rsidRDefault="00000000">
            <w:pPr>
              <w:pStyle w:val="CharCharCharCharChar"/>
              <w:rPr>
                <w:color w:val="auto"/>
              </w:rPr>
            </w:pPr>
            <w:r w:rsidRPr="000549B1">
              <w:rPr>
                <w:color w:val="auto"/>
              </w:rPr>
              <w:t>930</w:t>
            </w:r>
          </w:p>
        </w:tc>
        <w:tc>
          <w:tcPr>
            <w:tcW w:w="850" w:type="dxa"/>
            <w:vAlign w:val="center"/>
          </w:tcPr>
          <w:p w14:paraId="139EB307" w14:textId="77777777" w:rsidR="00054437" w:rsidRPr="000549B1" w:rsidRDefault="00000000">
            <w:pPr>
              <w:pStyle w:val="CharCharCharCharChar"/>
              <w:rPr>
                <w:color w:val="auto"/>
              </w:rPr>
            </w:pPr>
            <w:r w:rsidRPr="000549B1">
              <w:rPr>
                <w:color w:val="auto"/>
              </w:rPr>
              <w:t>11500</w:t>
            </w:r>
          </w:p>
        </w:tc>
        <w:tc>
          <w:tcPr>
            <w:tcW w:w="851" w:type="dxa"/>
            <w:vAlign w:val="center"/>
          </w:tcPr>
          <w:p w14:paraId="4A46C5BF" w14:textId="77777777" w:rsidR="00054437" w:rsidRPr="000549B1" w:rsidRDefault="00000000">
            <w:pPr>
              <w:pStyle w:val="CharCharCharCharChar"/>
              <w:rPr>
                <w:color w:val="auto"/>
              </w:rPr>
            </w:pPr>
            <w:r w:rsidRPr="000549B1">
              <w:rPr>
                <w:color w:val="auto"/>
              </w:rPr>
              <w:t>16418</w:t>
            </w:r>
          </w:p>
        </w:tc>
        <w:tc>
          <w:tcPr>
            <w:tcW w:w="709" w:type="dxa"/>
            <w:vAlign w:val="center"/>
          </w:tcPr>
          <w:p w14:paraId="181CFEB1" w14:textId="77777777" w:rsidR="00054437" w:rsidRPr="000549B1" w:rsidRDefault="00000000">
            <w:pPr>
              <w:pStyle w:val="CharCharCharCharChar"/>
              <w:rPr>
                <w:color w:val="auto"/>
              </w:rPr>
            </w:pPr>
            <w:r w:rsidRPr="000549B1">
              <w:rPr>
                <w:color w:val="auto"/>
              </w:rPr>
              <w:t>4311</w:t>
            </w:r>
          </w:p>
        </w:tc>
        <w:tc>
          <w:tcPr>
            <w:tcW w:w="708" w:type="dxa"/>
            <w:vAlign w:val="center"/>
          </w:tcPr>
          <w:p w14:paraId="2B6378A9" w14:textId="77777777" w:rsidR="00054437" w:rsidRPr="000549B1" w:rsidRDefault="00000000">
            <w:pPr>
              <w:pStyle w:val="CharCharCharCharChar"/>
              <w:rPr>
                <w:color w:val="auto"/>
              </w:rPr>
            </w:pPr>
            <w:r w:rsidRPr="000549B1">
              <w:rPr>
                <w:color w:val="auto"/>
              </w:rPr>
              <w:t>5390</w:t>
            </w:r>
          </w:p>
        </w:tc>
        <w:tc>
          <w:tcPr>
            <w:tcW w:w="567" w:type="dxa"/>
            <w:vAlign w:val="center"/>
          </w:tcPr>
          <w:p w14:paraId="2218B341" w14:textId="77777777" w:rsidR="00054437" w:rsidRPr="000549B1" w:rsidRDefault="00000000">
            <w:pPr>
              <w:pStyle w:val="CharCharCharCharChar"/>
              <w:rPr>
                <w:color w:val="auto"/>
              </w:rPr>
            </w:pPr>
            <w:r w:rsidRPr="000549B1">
              <w:rPr>
                <w:color w:val="auto"/>
              </w:rPr>
              <w:t>930</w:t>
            </w:r>
          </w:p>
        </w:tc>
        <w:tc>
          <w:tcPr>
            <w:tcW w:w="709" w:type="dxa"/>
            <w:vAlign w:val="center"/>
          </w:tcPr>
          <w:p w14:paraId="28A17F82" w14:textId="77777777" w:rsidR="00054437" w:rsidRPr="000549B1" w:rsidRDefault="00000000">
            <w:pPr>
              <w:pStyle w:val="CharCharCharCharChar"/>
              <w:rPr>
                <w:color w:val="auto"/>
              </w:rPr>
            </w:pPr>
            <w:r w:rsidRPr="000549B1">
              <w:rPr>
                <w:color w:val="auto"/>
              </w:rPr>
              <w:t>3988</w:t>
            </w:r>
          </w:p>
        </w:tc>
        <w:tc>
          <w:tcPr>
            <w:tcW w:w="709" w:type="dxa"/>
            <w:vAlign w:val="center"/>
          </w:tcPr>
          <w:p w14:paraId="56A56F39" w14:textId="77777777" w:rsidR="00054437" w:rsidRPr="000549B1" w:rsidRDefault="00000000">
            <w:pPr>
              <w:pStyle w:val="CharCharCharCharChar"/>
              <w:rPr>
                <w:color w:val="auto"/>
              </w:rPr>
            </w:pPr>
            <w:r w:rsidRPr="000549B1">
              <w:rPr>
                <w:color w:val="auto"/>
              </w:rPr>
              <w:t>4659</w:t>
            </w:r>
          </w:p>
        </w:tc>
        <w:tc>
          <w:tcPr>
            <w:tcW w:w="567" w:type="dxa"/>
            <w:vAlign w:val="center"/>
          </w:tcPr>
          <w:p w14:paraId="23A8C51C" w14:textId="77777777" w:rsidR="00054437" w:rsidRPr="000549B1" w:rsidRDefault="00000000">
            <w:pPr>
              <w:pStyle w:val="CharCharCharCharChar"/>
              <w:rPr>
                <w:color w:val="auto"/>
              </w:rPr>
            </w:pPr>
            <w:r w:rsidRPr="000549B1">
              <w:rPr>
                <w:color w:val="auto"/>
              </w:rPr>
              <w:t>885</w:t>
            </w:r>
          </w:p>
        </w:tc>
        <w:tc>
          <w:tcPr>
            <w:tcW w:w="700" w:type="dxa"/>
            <w:vAlign w:val="center"/>
          </w:tcPr>
          <w:p w14:paraId="1C9E9020" w14:textId="77777777" w:rsidR="00054437" w:rsidRPr="000549B1" w:rsidRDefault="00000000">
            <w:pPr>
              <w:pStyle w:val="CharCharCharCharChar"/>
              <w:rPr>
                <w:color w:val="auto"/>
              </w:rPr>
            </w:pPr>
            <w:r w:rsidRPr="000549B1">
              <w:rPr>
                <w:color w:val="auto"/>
              </w:rPr>
              <w:t>5544</w:t>
            </w:r>
          </w:p>
        </w:tc>
        <w:tc>
          <w:tcPr>
            <w:tcW w:w="771" w:type="dxa"/>
            <w:vAlign w:val="center"/>
          </w:tcPr>
          <w:p w14:paraId="0A0BE402" w14:textId="77777777" w:rsidR="00054437" w:rsidRPr="000549B1" w:rsidRDefault="00000000">
            <w:pPr>
              <w:pStyle w:val="CharCharCharCharChar"/>
              <w:rPr>
                <w:color w:val="auto"/>
              </w:rPr>
            </w:pPr>
            <w:r w:rsidRPr="000549B1">
              <w:rPr>
                <w:color w:val="auto"/>
              </w:rPr>
              <w:t>3672</w:t>
            </w:r>
          </w:p>
        </w:tc>
        <w:tc>
          <w:tcPr>
            <w:tcW w:w="797" w:type="dxa"/>
            <w:vAlign w:val="center"/>
          </w:tcPr>
          <w:p w14:paraId="0536E60A" w14:textId="77777777" w:rsidR="00054437" w:rsidRPr="000549B1" w:rsidRDefault="00000000">
            <w:pPr>
              <w:pStyle w:val="CharCharCharCharChar"/>
              <w:rPr>
                <w:color w:val="auto"/>
              </w:rPr>
            </w:pPr>
            <w:r w:rsidRPr="000549B1">
              <w:rPr>
                <w:color w:val="auto"/>
              </w:rPr>
              <w:t>15853</w:t>
            </w:r>
          </w:p>
        </w:tc>
        <w:tc>
          <w:tcPr>
            <w:tcW w:w="709" w:type="dxa"/>
            <w:vAlign w:val="center"/>
          </w:tcPr>
          <w:p w14:paraId="2623C1C9" w14:textId="77777777" w:rsidR="00054437" w:rsidRPr="000549B1" w:rsidRDefault="00000000">
            <w:pPr>
              <w:pStyle w:val="CharCharCharCharChar"/>
              <w:rPr>
                <w:color w:val="auto"/>
              </w:rPr>
            </w:pPr>
            <w:r w:rsidRPr="000549B1">
              <w:rPr>
                <w:color w:val="auto"/>
              </w:rPr>
              <w:t>8590</w:t>
            </w:r>
          </w:p>
        </w:tc>
        <w:tc>
          <w:tcPr>
            <w:tcW w:w="850" w:type="dxa"/>
            <w:vAlign w:val="center"/>
          </w:tcPr>
          <w:p w14:paraId="44CDFFAE" w14:textId="77777777" w:rsidR="00054437" w:rsidRPr="000549B1" w:rsidRDefault="00000000">
            <w:pPr>
              <w:pStyle w:val="CharCharCharCharChar"/>
              <w:rPr>
                <w:color w:val="auto"/>
              </w:rPr>
            </w:pPr>
            <w:r w:rsidRPr="000549B1">
              <w:rPr>
                <w:color w:val="auto"/>
              </w:rPr>
              <w:t>23681</w:t>
            </w:r>
          </w:p>
        </w:tc>
      </w:tr>
      <w:tr w:rsidR="000549B1" w:rsidRPr="000549B1" w14:paraId="4C1197BC" w14:textId="77777777">
        <w:trPr>
          <w:trHeight w:val="496"/>
          <w:jc w:val="center"/>
        </w:trPr>
        <w:tc>
          <w:tcPr>
            <w:tcW w:w="881" w:type="dxa"/>
            <w:vMerge/>
            <w:vAlign w:val="center"/>
          </w:tcPr>
          <w:p w14:paraId="1B80B2F9" w14:textId="77777777" w:rsidR="00054437" w:rsidRPr="000549B1" w:rsidRDefault="00054437">
            <w:pPr>
              <w:pStyle w:val="CharCharCharCharChar"/>
              <w:rPr>
                <w:color w:val="auto"/>
              </w:rPr>
            </w:pPr>
          </w:p>
        </w:tc>
        <w:tc>
          <w:tcPr>
            <w:tcW w:w="508" w:type="dxa"/>
            <w:vMerge/>
            <w:vAlign w:val="center"/>
          </w:tcPr>
          <w:p w14:paraId="335ECCE1" w14:textId="77777777" w:rsidR="00054437" w:rsidRPr="000549B1" w:rsidRDefault="00054437">
            <w:pPr>
              <w:pStyle w:val="CharCharCharCharChar"/>
              <w:rPr>
                <w:color w:val="auto"/>
              </w:rPr>
            </w:pPr>
          </w:p>
        </w:tc>
        <w:tc>
          <w:tcPr>
            <w:tcW w:w="454" w:type="dxa"/>
            <w:vAlign w:val="center"/>
          </w:tcPr>
          <w:p w14:paraId="56E6A615" w14:textId="77777777" w:rsidR="00054437" w:rsidRPr="000549B1" w:rsidRDefault="00000000">
            <w:pPr>
              <w:pStyle w:val="CharCharCharCharChar"/>
              <w:rPr>
                <w:color w:val="auto"/>
              </w:rPr>
            </w:pPr>
            <w:r w:rsidRPr="000549B1">
              <w:rPr>
                <w:color w:val="auto"/>
              </w:rPr>
              <w:t>河卡区</w:t>
            </w:r>
          </w:p>
        </w:tc>
        <w:tc>
          <w:tcPr>
            <w:tcW w:w="851" w:type="dxa"/>
            <w:vAlign w:val="center"/>
          </w:tcPr>
          <w:p w14:paraId="697E655E" w14:textId="77777777" w:rsidR="00054437" w:rsidRPr="000549B1" w:rsidRDefault="00000000">
            <w:pPr>
              <w:pStyle w:val="CharCharCharCharChar"/>
              <w:rPr>
                <w:color w:val="auto"/>
              </w:rPr>
            </w:pPr>
            <w:r w:rsidRPr="000549B1">
              <w:rPr>
                <w:color w:val="auto"/>
              </w:rPr>
              <w:t>兴海县</w:t>
            </w:r>
          </w:p>
        </w:tc>
        <w:tc>
          <w:tcPr>
            <w:tcW w:w="708" w:type="dxa"/>
            <w:vAlign w:val="center"/>
          </w:tcPr>
          <w:p w14:paraId="3103BD03" w14:textId="77777777" w:rsidR="00054437" w:rsidRPr="000549B1" w:rsidRDefault="00000000">
            <w:pPr>
              <w:pStyle w:val="CharCharCharCharChar"/>
              <w:rPr>
                <w:color w:val="auto"/>
              </w:rPr>
            </w:pPr>
            <w:r w:rsidRPr="000549B1">
              <w:rPr>
                <w:color w:val="auto"/>
              </w:rPr>
              <w:t>1358</w:t>
            </w:r>
          </w:p>
        </w:tc>
        <w:tc>
          <w:tcPr>
            <w:tcW w:w="709" w:type="dxa"/>
            <w:vAlign w:val="center"/>
          </w:tcPr>
          <w:p w14:paraId="7776EB36" w14:textId="77777777" w:rsidR="00054437" w:rsidRPr="000549B1" w:rsidRDefault="00000000">
            <w:pPr>
              <w:pStyle w:val="CharCharCharCharChar"/>
              <w:rPr>
                <w:color w:val="auto"/>
              </w:rPr>
            </w:pPr>
            <w:r w:rsidRPr="000549B1">
              <w:rPr>
                <w:color w:val="auto"/>
              </w:rPr>
              <w:t>1358</w:t>
            </w:r>
          </w:p>
        </w:tc>
        <w:tc>
          <w:tcPr>
            <w:tcW w:w="709" w:type="dxa"/>
            <w:vAlign w:val="center"/>
          </w:tcPr>
          <w:p w14:paraId="282A6FA1" w14:textId="77777777" w:rsidR="00054437" w:rsidRPr="000549B1" w:rsidRDefault="00000000">
            <w:pPr>
              <w:pStyle w:val="CharCharCharCharChar"/>
              <w:rPr>
                <w:color w:val="auto"/>
              </w:rPr>
            </w:pPr>
            <w:r w:rsidRPr="000549B1">
              <w:rPr>
                <w:color w:val="auto"/>
              </w:rPr>
              <w:t>0</w:t>
            </w:r>
          </w:p>
        </w:tc>
        <w:tc>
          <w:tcPr>
            <w:tcW w:w="567" w:type="dxa"/>
            <w:vAlign w:val="center"/>
          </w:tcPr>
          <w:p w14:paraId="7F093473" w14:textId="77777777" w:rsidR="00054437" w:rsidRPr="000549B1" w:rsidRDefault="00000000">
            <w:pPr>
              <w:pStyle w:val="CharCharCharCharChar"/>
              <w:rPr>
                <w:color w:val="auto"/>
              </w:rPr>
            </w:pPr>
            <w:r w:rsidRPr="000549B1">
              <w:rPr>
                <w:color w:val="auto"/>
              </w:rPr>
              <w:t>0</w:t>
            </w:r>
          </w:p>
        </w:tc>
        <w:tc>
          <w:tcPr>
            <w:tcW w:w="850" w:type="dxa"/>
            <w:vAlign w:val="center"/>
          </w:tcPr>
          <w:p w14:paraId="1F2E0C20" w14:textId="77777777" w:rsidR="00054437" w:rsidRPr="000549B1" w:rsidRDefault="00000000">
            <w:pPr>
              <w:pStyle w:val="CharCharCharCharChar"/>
              <w:rPr>
                <w:color w:val="auto"/>
              </w:rPr>
            </w:pPr>
            <w:r w:rsidRPr="000549B1">
              <w:rPr>
                <w:color w:val="auto"/>
              </w:rPr>
              <w:t>1575</w:t>
            </w:r>
          </w:p>
        </w:tc>
        <w:tc>
          <w:tcPr>
            <w:tcW w:w="851" w:type="dxa"/>
            <w:vAlign w:val="center"/>
          </w:tcPr>
          <w:p w14:paraId="4493F447" w14:textId="77777777" w:rsidR="00054437" w:rsidRPr="000549B1" w:rsidRDefault="00000000">
            <w:pPr>
              <w:pStyle w:val="CharCharCharCharChar"/>
              <w:rPr>
                <w:color w:val="auto"/>
              </w:rPr>
            </w:pPr>
            <w:r w:rsidRPr="000549B1">
              <w:rPr>
                <w:color w:val="auto"/>
              </w:rPr>
              <w:t>1575</w:t>
            </w:r>
          </w:p>
        </w:tc>
        <w:tc>
          <w:tcPr>
            <w:tcW w:w="709" w:type="dxa"/>
            <w:vAlign w:val="center"/>
          </w:tcPr>
          <w:p w14:paraId="7B0F1AA9" w14:textId="77777777" w:rsidR="00054437" w:rsidRPr="000549B1" w:rsidRDefault="00000000">
            <w:pPr>
              <w:pStyle w:val="CharCharCharCharChar"/>
              <w:rPr>
                <w:color w:val="auto"/>
              </w:rPr>
            </w:pPr>
            <w:r w:rsidRPr="000549B1">
              <w:rPr>
                <w:color w:val="auto"/>
              </w:rPr>
              <w:t>0</w:t>
            </w:r>
          </w:p>
        </w:tc>
        <w:tc>
          <w:tcPr>
            <w:tcW w:w="708" w:type="dxa"/>
            <w:vAlign w:val="center"/>
          </w:tcPr>
          <w:p w14:paraId="0D7EC18E" w14:textId="77777777" w:rsidR="00054437" w:rsidRPr="000549B1" w:rsidRDefault="00000000">
            <w:pPr>
              <w:pStyle w:val="CharCharCharCharChar"/>
              <w:rPr>
                <w:color w:val="auto"/>
              </w:rPr>
            </w:pPr>
            <w:r w:rsidRPr="000549B1">
              <w:rPr>
                <w:color w:val="auto"/>
              </w:rPr>
              <w:t>0</w:t>
            </w:r>
          </w:p>
        </w:tc>
        <w:tc>
          <w:tcPr>
            <w:tcW w:w="567" w:type="dxa"/>
            <w:vAlign w:val="center"/>
          </w:tcPr>
          <w:p w14:paraId="52D41750" w14:textId="77777777" w:rsidR="00054437" w:rsidRPr="000549B1" w:rsidRDefault="00000000">
            <w:pPr>
              <w:pStyle w:val="CharCharCharCharChar"/>
              <w:rPr>
                <w:color w:val="auto"/>
              </w:rPr>
            </w:pPr>
            <w:r w:rsidRPr="000549B1">
              <w:rPr>
                <w:color w:val="auto"/>
              </w:rPr>
              <w:t>0</w:t>
            </w:r>
          </w:p>
        </w:tc>
        <w:tc>
          <w:tcPr>
            <w:tcW w:w="709" w:type="dxa"/>
            <w:vAlign w:val="center"/>
          </w:tcPr>
          <w:p w14:paraId="2D8F30C7" w14:textId="77777777" w:rsidR="00054437" w:rsidRPr="000549B1" w:rsidRDefault="00000000">
            <w:pPr>
              <w:pStyle w:val="CharCharCharCharChar"/>
              <w:rPr>
                <w:color w:val="auto"/>
              </w:rPr>
            </w:pPr>
            <w:r w:rsidRPr="000549B1">
              <w:rPr>
                <w:color w:val="auto"/>
              </w:rPr>
              <w:t>0</w:t>
            </w:r>
          </w:p>
        </w:tc>
        <w:tc>
          <w:tcPr>
            <w:tcW w:w="709" w:type="dxa"/>
            <w:vAlign w:val="center"/>
          </w:tcPr>
          <w:p w14:paraId="694F1E87" w14:textId="77777777" w:rsidR="00054437" w:rsidRPr="000549B1" w:rsidRDefault="00000000">
            <w:pPr>
              <w:pStyle w:val="CharCharCharCharChar"/>
              <w:rPr>
                <w:color w:val="auto"/>
              </w:rPr>
            </w:pPr>
            <w:r w:rsidRPr="000549B1">
              <w:rPr>
                <w:color w:val="auto"/>
              </w:rPr>
              <w:t>0</w:t>
            </w:r>
          </w:p>
        </w:tc>
        <w:tc>
          <w:tcPr>
            <w:tcW w:w="567" w:type="dxa"/>
            <w:vAlign w:val="center"/>
          </w:tcPr>
          <w:p w14:paraId="1B5311E3" w14:textId="77777777" w:rsidR="00054437" w:rsidRPr="000549B1" w:rsidRDefault="00000000">
            <w:pPr>
              <w:pStyle w:val="CharCharCharCharChar"/>
              <w:rPr>
                <w:color w:val="auto"/>
              </w:rPr>
            </w:pPr>
            <w:r w:rsidRPr="000549B1">
              <w:rPr>
                <w:color w:val="auto"/>
              </w:rPr>
              <w:t>0</w:t>
            </w:r>
          </w:p>
        </w:tc>
        <w:tc>
          <w:tcPr>
            <w:tcW w:w="700" w:type="dxa"/>
            <w:vAlign w:val="center"/>
          </w:tcPr>
          <w:p w14:paraId="5CE1FA12" w14:textId="77777777" w:rsidR="00054437" w:rsidRPr="000549B1" w:rsidRDefault="00000000">
            <w:pPr>
              <w:pStyle w:val="CharCharCharCharChar"/>
              <w:rPr>
                <w:color w:val="auto"/>
              </w:rPr>
            </w:pPr>
            <w:r w:rsidRPr="000549B1">
              <w:rPr>
                <w:color w:val="auto"/>
              </w:rPr>
              <w:t>0</w:t>
            </w:r>
          </w:p>
        </w:tc>
        <w:tc>
          <w:tcPr>
            <w:tcW w:w="771" w:type="dxa"/>
            <w:vAlign w:val="center"/>
          </w:tcPr>
          <w:p w14:paraId="64435EC0" w14:textId="77777777" w:rsidR="00054437" w:rsidRPr="000549B1" w:rsidRDefault="00000000">
            <w:pPr>
              <w:pStyle w:val="CharCharCharCharChar"/>
              <w:rPr>
                <w:color w:val="auto"/>
              </w:rPr>
            </w:pPr>
            <w:r w:rsidRPr="000549B1">
              <w:rPr>
                <w:color w:val="auto"/>
              </w:rPr>
              <w:t>0</w:t>
            </w:r>
          </w:p>
        </w:tc>
        <w:tc>
          <w:tcPr>
            <w:tcW w:w="797" w:type="dxa"/>
            <w:vAlign w:val="center"/>
          </w:tcPr>
          <w:p w14:paraId="0796E044" w14:textId="77777777" w:rsidR="00054437" w:rsidRPr="000549B1" w:rsidRDefault="00000000">
            <w:pPr>
              <w:pStyle w:val="CharCharCharCharChar"/>
              <w:rPr>
                <w:color w:val="auto"/>
              </w:rPr>
            </w:pPr>
            <w:r w:rsidRPr="000549B1">
              <w:rPr>
                <w:color w:val="auto"/>
              </w:rPr>
              <w:t>0</w:t>
            </w:r>
          </w:p>
        </w:tc>
        <w:tc>
          <w:tcPr>
            <w:tcW w:w="709" w:type="dxa"/>
            <w:vAlign w:val="center"/>
          </w:tcPr>
          <w:p w14:paraId="4226557D" w14:textId="77777777" w:rsidR="00054437" w:rsidRPr="000549B1" w:rsidRDefault="00000000">
            <w:pPr>
              <w:pStyle w:val="CharCharCharCharChar"/>
              <w:rPr>
                <w:color w:val="auto"/>
              </w:rPr>
            </w:pPr>
            <w:r w:rsidRPr="000549B1">
              <w:rPr>
                <w:color w:val="auto"/>
              </w:rPr>
              <w:t>0</w:t>
            </w:r>
          </w:p>
        </w:tc>
        <w:tc>
          <w:tcPr>
            <w:tcW w:w="850" w:type="dxa"/>
            <w:vAlign w:val="center"/>
          </w:tcPr>
          <w:p w14:paraId="53AA6C82" w14:textId="77777777" w:rsidR="00054437" w:rsidRPr="000549B1" w:rsidRDefault="00000000">
            <w:pPr>
              <w:pStyle w:val="CharCharCharCharChar"/>
              <w:rPr>
                <w:color w:val="auto"/>
              </w:rPr>
            </w:pPr>
            <w:r w:rsidRPr="000549B1">
              <w:rPr>
                <w:color w:val="auto"/>
              </w:rPr>
              <w:t>1575</w:t>
            </w:r>
          </w:p>
        </w:tc>
      </w:tr>
      <w:tr w:rsidR="00054437" w:rsidRPr="000549B1" w14:paraId="3FA34FD2" w14:textId="77777777">
        <w:trPr>
          <w:trHeight w:val="496"/>
          <w:jc w:val="center"/>
        </w:trPr>
        <w:tc>
          <w:tcPr>
            <w:tcW w:w="881" w:type="dxa"/>
            <w:vMerge/>
            <w:vAlign w:val="center"/>
          </w:tcPr>
          <w:p w14:paraId="59F6DF56" w14:textId="77777777" w:rsidR="00054437" w:rsidRPr="000549B1" w:rsidRDefault="00054437">
            <w:pPr>
              <w:pStyle w:val="CharCharCharCharChar"/>
              <w:rPr>
                <w:color w:val="auto"/>
              </w:rPr>
            </w:pPr>
          </w:p>
        </w:tc>
        <w:tc>
          <w:tcPr>
            <w:tcW w:w="508" w:type="dxa"/>
            <w:vMerge/>
            <w:vAlign w:val="center"/>
          </w:tcPr>
          <w:p w14:paraId="6EE2D07D" w14:textId="77777777" w:rsidR="00054437" w:rsidRPr="000549B1" w:rsidRDefault="00054437">
            <w:pPr>
              <w:pStyle w:val="CharCharCharCharChar"/>
              <w:rPr>
                <w:color w:val="auto"/>
              </w:rPr>
            </w:pPr>
          </w:p>
        </w:tc>
        <w:tc>
          <w:tcPr>
            <w:tcW w:w="1305" w:type="dxa"/>
            <w:gridSpan w:val="2"/>
            <w:vAlign w:val="center"/>
          </w:tcPr>
          <w:p w14:paraId="0E653AFB" w14:textId="77777777" w:rsidR="00054437" w:rsidRPr="000549B1" w:rsidRDefault="00000000">
            <w:pPr>
              <w:pStyle w:val="CharCharCharCharChar"/>
              <w:rPr>
                <w:color w:val="auto"/>
              </w:rPr>
            </w:pPr>
            <w:r w:rsidRPr="000549B1">
              <w:rPr>
                <w:color w:val="auto"/>
              </w:rPr>
              <w:t>小计</w:t>
            </w:r>
          </w:p>
        </w:tc>
        <w:tc>
          <w:tcPr>
            <w:tcW w:w="708" w:type="dxa"/>
            <w:vAlign w:val="center"/>
          </w:tcPr>
          <w:p w14:paraId="5C94747E" w14:textId="77777777" w:rsidR="00054437" w:rsidRPr="000549B1" w:rsidRDefault="00000000">
            <w:pPr>
              <w:pStyle w:val="CharCharCharCharChar"/>
              <w:rPr>
                <w:color w:val="auto"/>
              </w:rPr>
            </w:pPr>
            <w:r w:rsidRPr="000549B1">
              <w:rPr>
                <w:color w:val="auto"/>
              </w:rPr>
              <w:t>8660</w:t>
            </w:r>
          </w:p>
        </w:tc>
        <w:tc>
          <w:tcPr>
            <w:tcW w:w="709" w:type="dxa"/>
            <w:vAlign w:val="center"/>
          </w:tcPr>
          <w:p w14:paraId="4645E049" w14:textId="77777777" w:rsidR="00054437" w:rsidRPr="000549B1" w:rsidRDefault="00000000">
            <w:pPr>
              <w:pStyle w:val="CharCharCharCharChar"/>
              <w:rPr>
                <w:color w:val="auto"/>
              </w:rPr>
            </w:pPr>
            <w:r w:rsidRPr="000549B1">
              <w:rPr>
                <w:color w:val="auto"/>
              </w:rPr>
              <w:t>4350</w:t>
            </w:r>
          </w:p>
        </w:tc>
        <w:tc>
          <w:tcPr>
            <w:tcW w:w="709" w:type="dxa"/>
            <w:vAlign w:val="center"/>
          </w:tcPr>
          <w:p w14:paraId="01BA3A8C" w14:textId="77777777" w:rsidR="00054437" w:rsidRPr="000549B1" w:rsidRDefault="00000000">
            <w:pPr>
              <w:pStyle w:val="CharCharCharCharChar"/>
              <w:rPr>
                <w:color w:val="auto"/>
              </w:rPr>
            </w:pPr>
            <w:r w:rsidRPr="000549B1">
              <w:rPr>
                <w:color w:val="auto"/>
              </w:rPr>
              <w:t>3988</w:t>
            </w:r>
          </w:p>
        </w:tc>
        <w:tc>
          <w:tcPr>
            <w:tcW w:w="567" w:type="dxa"/>
            <w:vAlign w:val="center"/>
          </w:tcPr>
          <w:p w14:paraId="6064C128" w14:textId="77777777" w:rsidR="00054437" w:rsidRPr="000549B1" w:rsidRDefault="00000000">
            <w:pPr>
              <w:pStyle w:val="CharCharCharCharChar"/>
              <w:rPr>
                <w:color w:val="auto"/>
              </w:rPr>
            </w:pPr>
            <w:r w:rsidRPr="000549B1">
              <w:rPr>
                <w:color w:val="auto"/>
              </w:rPr>
              <w:t>930</w:t>
            </w:r>
          </w:p>
        </w:tc>
        <w:tc>
          <w:tcPr>
            <w:tcW w:w="850" w:type="dxa"/>
            <w:vAlign w:val="center"/>
          </w:tcPr>
          <w:p w14:paraId="1453137F" w14:textId="77777777" w:rsidR="00054437" w:rsidRPr="000549B1" w:rsidRDefault="00000000">
            <w:pPr>
              <w:pStyle w:val="CharCharCharCharChar"/>
              <w:rPr>
                <w:color w:val="auto"/>
              </w:rPr>
            </w:pPr>
            <w:r w:rsidRPr="000549B1">
              <w:rPr>
                <w:color w:val="auto"/>
              </w:rPr>
              <w:t>13075</w:t>
            </w:r>
          </w:p>
        </w:tc>
        <w:tc>
          <w:tcPr>
            <w:tcW w:w="851" w:type="dxa"/>
            <w:vAlign w:val="center"/>
          </w:tcPr>
          <w:p w14:paraId="521FB232" w14:textId="77777777" w:rsidR="00054437" w:rsidRPr="000549B1" w:rsidRDefault="00000000">
            <w:pPr>
              <w:pStyle w:val="CharCharCharCharChar"/>
              <w:rPr>
                <w:color w:val="auto"/>
              </w:rPr>
            </w:pPr>
            <w:r w:rsidRPr="000549B1">
              <w:rPr>
                <w:color w:val="auto"/>
              </w:rPr>
              <w:t>17993</w:t>
            </w:r>
          </w:p>
        </w:tc>
        <w:tc>
          <w:tcPr>
            <w:tcW w:w="709" w:type="dxa"/>
            <w:vAlign w:val="center"/>
          </w:tcPr>
          <w:p w14:paraId="250417CF" w14:textId="77777777" w:rsidR="00054437" w:rsidRPr="000549B1" w:rsidRDefault="00000000">
            <w:pPr>
              <w:pStyle w:val="CharCharCharCharChar"/>
              <w:rPr>
                <w:color w:val="auto"/>
              </w:rPr>
            </w:pPr>
            <w:r w:rsidRPr="000549B1">
              <w:rPr>
                <w:color w:val="auto"/>
              </w:rPr>
              <w:t>4311</w:t>
            </w:r>
          </w:p>
        </w:tc>
        <w:tc>
          <w:tcPr>
            <w:tcW w:w="708" w:type="dxa"/>
            <w:vAlign w:val="center"/>
          </w:tcPr>
          <w:p w14:paraId="29122C67" w14:textId="77777777" w:rsidR="00054437" w:rsidRPr="000549B1" w:rsidRDefault="00000000">
            <w:pPr>
              <w:pStyle w:val="CharCharCharCharChar"/>
              <w:rPr>
                <w:color w:val="auto"/>
              </w:rPr>
            </w:pPr>
            <w:r w:rsidRPr="000549B1">
              <w:rPr>
                <w:color w:val="auto"/>
              </w:rPr>
              <w:t>5390</w:t>
            </w:r>
          </w:p>
        </w:tc>
        <w:tc>
          <w:tcPr>
            <w:tcW w:w="567" w:type="dxa"/>
            <w:vAlign w:val="center"/>
          </w:tcPr>
          <w:p w14:paraId="393E3AD8" w14:textId="77777777" w:rsidR="00054437" w:rsidRPr="000549B1" w:rsidRDefault="00000000">
            <w:pPr>
              <w:pStyle w:val="CharCharCharCharChar"/>
              <w:rPr>
                <w:color w:val="auto"/>
              </w:rPr>
            </w:pPr>
            <w:r w:rsidRPr="000549B1">
              <w:rPr>
                <w:color w:val="auto"/>
              </w:rPr>
              <w:t>930</w:t>
            </w:r>
          </w:p>
        </w:tc>
        <w:tc>
          <w:tcPr>
            <w:tcW w:w="709" w:type="dxa"/>
            <w:vAlign w:val="center"/>
          </w:tcPr>
          <w:p w14:paraId="236438A0" w14:textId="77777777" w:rsidR="00054437" w:rsidRPr="000549B1" w:rsidRDefault="00000000">
            <w:pPr>
              <w:pStyle w:val="CharCharCharCharChar"/>
              <w:rPr>
                <w:color w:val="auto"/>
              </w:rPr>
            </w:pPr>
            <w:r w:rsidRPr="000549B1">
              <w:rPr>
                <w:color w:val="auto"/>
              </w:rPr>
              <w:t>3988</w:t>
            </w:r>
          </w:p>
        </w:tc>
        <w:tc>
          <w:tcPr>
            <w:tcW w:w="709" w:type="dxa"/>
            <w:vAlign w:val="center"/>
          </w:tcPr>
          <w:p w14:paraId="56DD28E4" w14:textId="77777777" w:rsidR="00054437" w:rsidRPr="000549B1" w:rsidRDefault="00000000">
            <w:pPr>
              <w:pStyle w:val="CharCharCharCharChar"/>
              <w:rPr>
                <w:color w:val="auto"/>
              </w:rPr>
            </w:pPr>
            <w:r w:rsidRPr="000549B1">
              <w:rPr>
                <w:color w:val="auto"/>
              </w:rPr>
              <w:t>4659</w:t>
            </w:r>
          </w:p>
        </w:tc>
        <w:tc>
          <w:tcPr>
            <w:tcW w:w="567" w:type="dxa"/>
            <w:vAlign w:val="center"/>
          </w:tcPr>
          <w:p w14:paraId="7D7699B4" w14:textId="77777777" w:rsidR="00054437" w:rsidRPr="000549B1" w:rsidRDefault="00000000">
            <w:pPr>
              <w:pStyle w:val="CharCharCharCharChar"/>
              <w:rPr>
                <w:color w:val="auto"/>
              </w:rPr>
            </w:pPr>
            <w:r w:rsidRPr="000549B1">
              <w:rPr>
                <w:color w:val="auto"/>
              </w:rPr>
              <w:t>885</w:t>
            </w:r>
          </w:p>
        </w:tc>
        <w:tc>
          <w:tcPr>
            <w:tcW w:w="700" w:type="dxa"/>
            <w:vAlign w:val="center"/>
          </w:tcPr>
          <w:p w14:paraId="49F3774A" w14:textId="77777777" w:rsidR="00054437" w:rsidRPr="000549B1" w:rsidRDefault="00000000">
            <w:pPr>
              <w:pStyle w:val="CharCharCharCharChar"/>
              <w:rPr>
                <w:color w:val="auto"/>
              </w:rPr>
            </w:pPr>
            <w:r w:rsidRPr="000549B1">
              <w:rPr>
                <w:color w:val="auto"/>
              </w:rPr>
              <w:t>5544</w:t>
            </w:r>
          </w:p>
        </w:tc>
        <w:tc>
          <w:tcPr>
            <w:tcW w:w="771" w:type="dxa"/>
            <w:vAlign w:val="center"/>
          </w:tcPr>
          <w:p w14:paraId="1C34371D" w14:textId="77777777" w:rsidR="00054437" w:rsidRPr="000549B1" w:rsidRDefault="00000000">
            <w:pPr>
              <w:pStyle w:val="CharCharCharCharChar"/>
              <w:rPr>
                <w:color w:val="auto"/>
              </w:rPr>
            </w:pPr>
            <w:r w:rsidRPr="000549B1">
              <w:rPr>
                <w:color w:val="auto"/>
              </w:rPr>
              <w:t>3672</w:t>
            </w:r>
          </w:p>
        </w:tc>
        <w:tc>
          <w:tcPr>
            <w:tcW w:w="797" w:type="dxa"/>
            <w:vAlign w:val="center"/>
          </w:tcPr>
          <w:p w14:paraId="1A331639" w14:textId="77777777" w:rsidR="00054437" w:rsidRPr="000549B1" w:rsidRDefault="00000000">
            <w:pPr>
              <w:pStyle w:val="CharCharCharCharChar"/>
              <w:rPr>
                <w:color w:val="auto"/>
              </w:rPr>
            </w:pPr>
            <w:r w:rsidRPr="000549B1">
              <w:rPr>
                <w:color w:val="auto"/>
              </w:rPr>
              <w:t>15853</w:t>
            </w:r>
          </w:p>
        </w:tc>
        <w:tc>
          <w:tcPr>
            <w:tcW w:w="709" w:type="dxa"/>
            <w:vAlign w:val="center"/>
          </w:tcPr>
          <w:p w14:paraId="34E85582" w14:textId="77777777" w:rsidR="00054437" w:rsidRPr="000549B1" w:rsidRDefault="00000000">
            <w:pPr>
              <w:pStyle w:val="CharCharCharCharChar"/>
              <w:rPr>
                <w:color w:val="auto"/>
              </w:rPr>
            </w:pPr>
            <w:r w:rsidRPr="000549B1">
              <w:rPr>
                <w:color w:val="auto"/>
              </w:rPr>
              <w:t>8590</w:t>
            </w:r>
          </w:p>
        </w:tc>
        <w:tc>
          <w:tcPr>
            <w:tcW w:w="850" w:type="dxa"/>
            <w:vAlign w:val="center"/>
          </w:tcPr>
          <w:p w14:paraId="50253D09" w14:textId="77777777" w:rsidR="00054437" w:rsidRPr="000549B1" w:rsidRDefault="00000000">
            <w:pPr>
              <w:pStyle w:val="CharCharCharCharChar"/>
              <w:rPr>
                <w:color w:val="auto"/>
              </w:rPr>
            </w:pPr>
            <w:r w:rsidRPr="000549B1">
              <w:rPr>
                <w:color w:val="auto"/>
              </w:rPr>
              <w:t>25256</w:t>
            </w:r>
          </w:p>
        </w:tc>
      </w:tr>
    </w:tbl>
    <w:p w14:paraId="773A050D" w14:textId="77777777" w:rsidR="00054437" w:rsidRPr="000549B1" w:rsidRDefault="00054437">
      <w:pPr>
        <w:rPr>
          <w:b/>
        </w:rPr>
        <w:sectPr w:rsidR="00054437" w:rsidRPr="000549B1">
          <w:pgSz w:w="16838" w:h="11906" w:orient="landscape"/>
          <w:pgMar w:top="1800" w:right="1440" w:bottom="1800" w:left="1440" w:header="851" w:footer="992" w:gutter="0"/>
          <w:cols w:space="425"/>
          <w:docGrid w:type="lines" w:linePitch="326"/>
        </w:sectPr>
      </w:pPr>
    </w:p>
    <w:p w14:paraId="07E0B4CB" w14:textId="77777777" w:rsidR="00054437" w:rsidRPr="000549B1" w:rsidRDefault="00000000">
      <w:pPr>
        <w:pStyle w:val="4"/>
        <w:adjustRightInd w:val="0"/>
        <w:snapToGrid w:val="0"/>
        <w:spacing w:before="0" w:after="0" w:line="360" w:lineRule="auto"/>
        <w:rPr>
          <w:rFonts w:ascii="Times New Roman" w:eastAsia="黑体" w:hAnsi="Times New Roman"/>
          <w:bCs w:val="0"/>
        </w:rPr>
      </w:pPr>
      <w:r w:rsidRPr="000549B1">
        <w:rPr>
          <w:rFonts w:ascii="Times New Roman" w:eastAsia="黑体" w:hAnsi="Times New Roman"/>
          <w:bCs w:val="0"/>
        </w:rPr>
        <w:t>水资源总量</w:t>
      </w:r>
    </w:p>
    <w:p w14:paraId="528486F8" w14:textId="77777777" w:rsidR="00054437" w:rsidRPr="000549B1" w:rsidRDefault="00000000">
      <w:pPr>
        <w:pStyle w:val="x"/>
      </w:pPr>
      <w:bookmarkStart w:id="195" w:name="_Hlk213179022"/>
      <w:r w:rsidRPr="000549B1">
        <w:t>水资源总量是指由当地降水形成的地表和地下产水量，即地表径流量与降水入渗补给量之和。可由地表水资源量加上地下水与地表水资源的不重复量求得。</w:t>
      </w:r>
    </w:p>
    <w:p w14:paraId="413AACEA" w14:textId="2297F819" w:rsidR="00054437" w:rsidRPr="000549B1" w:rsidRDefault="00000000">
      <w:pPr>
        <w:pStyle w:val="x"/>
      </w:pPr>
      <w:r w:rsidRPr="000549B1">
        <w:t>结合《青海省海南州水资源综合规划》、《海南州共和县水资源调查评价》成果，本次规划分山丘区和平原区分别汇总，求和得到水资源总量。经计算，沙珠玉河流域水资源总量为</w:t>
      </w:r>
      <w:r w:rsidRPr="000549B1">
        <w:t>28993</w:t>
      </w:r>
      <w:r w:rsidRPr="000549B1">
        <w:t>万</w:t>
      </w:r>
      <w:r w:rsidRPr="000549B1">
        <w:t>m³</w:t>
      </w:r>
      <w:r w:rsidRPr="000549B1">
        <w:t>，其中山丘区水资源总量为</w:t>
      </w:r>
      <w:r w:rsidRPr="000549B1">
        <w:t>14152</w:t>
      </w:r>
      <w:r w:rsidRPr="000549B1">
        <w:t>万</w:t>
      </w:r>
      <w:r w:rsidRPr="000549B1">
        <w:t>m³</w:t>
      </w:r>
      <w:r w:rsidRPr="000549B1">
        <w:t>，平原区水资源总量为</w:t>
      </w:r>
      <w:r w:rsidRPr="000549B1">
        <w:t>14841</w:t>
      </w:r>
      <w:r w:rsidRPr="000549B1">
        <w:t>万</w:t>
      </w:r>
      <w:r w:rsidRPr="000549B1">
        <w:t>m³</w:t>
      </w:r>
      <w:r w:rsidRPr="000549B1">
        <w:t>。详见</w:t>
      </w:r>
      <w:bookmarkEnd w:id="195"/>
      <w:r w:rsidR="00F32CCA" w:rsidRPr="000549B1">
        <w:t>表</w:t>
      </w:r>
      <w:r w:rsidR="00F32CCA">
        <w:t>3.2</w:t>
      </w:r>
      <w:r w:rsidR="00F32CCA">
        <w:noBreakHyphen/>
        <w:t>3</w:t>
      </w:r>
      <w:r w:rsidRPr="000549B1">
        <w:t>。</w:t>
      </w:r>
    </w:p>
    <w:p w14:paraId="0308582A" w14:textId="77777777" w:rsidR="00054437" w:rsidRPr="000549B1" w:rsidRDefault="00000000">
      <w:pPr>
        <w:pStyle w:val="x"/>
      </w:pPr>
      <w:r w:rsidRPr="000549B1">
        <w:t>在优先满足河道内最小生态环境需水要求的基础上，通常国际和国内以水资源量的</w:t>
      </w:r>
      <w:r w:rsidRPr="000549B1">
        <w:t>40%</w:t>
      </w:r>
      <w:r w:rsidRPr="000549B1">
        <w:t>作为水资源可利用量的上限，以此计算得到本次规划沙珠玉河流域水资源可利用量为</w:t>
      </w:r>
      <w:r w:rsidRPr="000549B1">
        <w:t>11597</w:t>
      </w:r>
      <w:r w:rsidRPr="000549B1">
        <w:t>万</w:t>
      </w:r>
      <w:r w:rsidRPr="000549B1">
        <w:t>m³</w:t>
      </w:r>
      <w:r w:rsidRPr="000549B1">
        <w:t>。</w:t>
      </w:r>
    </w:p>
    <w:p w14:paraId="722AFDD9" w14:textId="77777777" w:rsidR="00054437" w:rsidRPr="000549B1" w:rsidRDefault="00054437">
      <w:pPr>
        <w:ind w:firstLine="480"/>
        <w:rPr>
          <w:b/>
        </w:rPr>
        <w:sectPr w:rsidR="00054437" w:rsidRPr="000549B1">
          <w:pgSz w:w="11906" w:h="16838"/>
          <w:pgMar w:top="1440" w:right="1800" w:bottom="1440" w:left="1800" w:header="851" w:footer="992" w:gutter="0"/>
          <w:cols w:space="425"/>
          <w:docGrid w:type="lines" w:linePitch="312"/>
        </w:sectPr>
      </w:pPr>
    </w:p>
    <w:p w14:paraId="76596FAF" w14:textId="222BE5F7" w:rsidR="00054437" w:rsidRPr="000549B1" w:rsidRDefault="00000000">
      <w:pPr>
        <w:pStyle w:val="aff8"/>
        <w:rPr>
          <w:color w:val="auto"/>
        </w:rPr>
      </w:pPr>
      <w:bookmarkStart w:id="196" w:name="_Ref214977439"/>
      <w:bookmarkStart w:id="197" w:name="_Hlk213179113"/>
      <w:r w:rsidRPr="000549B1">
        <w:rPr>
          <w:color w:val="auto"/>
        </w:rPr>
        <w:t>表</w:t>
      </w:r>
      <w:r w:rsidR="00372953">
        <w:rPr>
          <w:color w:val="auto"/>
        </w:rPr>
        <w:fldChar w:fldCharType="begin"/>
      </w:r>
      <w:r w:rsidR="00372953">
        <w:rPr>
          <w:color w:val="auto"/>
        </w:rPr>
        <w:instrText xml:space="preserve"> STYLEREF 2 \s </w:instrText>
      </w:r>
      <w:r w:rsidR="00372953">
        <w:rPr>
          <w:color w:val="auto"/>
        </w:rPr>
        <w:fldChar w:fldCharType="separate"/>
      </w:r>
      <w:r w:rsidR="00372953">
        <w:rPr>
          <w:noProof/>
          <w:color w:val="auto"/>
        </w:rPr>
        <w:t>3.2</w:t>
      </w:r>
      <w:r w:rsidR="00372953">
        <w:rPr>
          <w:color w:val="auto"/>
        </w:rPr>
        <w:fldChar w:fldCharType="end"/>
      </w:r>
      <w:r w:rsidR="00372953">
        <w:rPr>
          <w:color w:val="auto"/>
        </w:rPr>
        <w:noBreakHyphen/>
      </w:r>
      <w:r w:rsidR="00372953">
        <w:rPr>
          <w:color w:val="auto"/>
        </w:rPr>
        <w:fldChar w:fldCharType="begin"/>
      </w:r>
      <w:r w:rsidR="00372953">
        <w:rPr>
          <w:color w:val="auto"/>
        </w:rPr>
        <w:instrText xml:space="preserve"> SEQ </w:instrText>
      </w:r>
      <w:r w:rsidR="00372953">
        <w:rPr>
          <w:color w:val="auto"/>
        </w:rPr>
        <w:instrText>表</w:instrText>
      </w:r>
      <w:r w:rsidR="00372953">
        <w:rPr>
          <w:color w:val="auto"/>
        </w:rPr>
        <w:instrText xml:space="preserve"> \* ARABIC \s 2 </w:instrText>
      </w:r>
      <w:r w:rsidR="00372953">
        <w:rPr>
          <w:color w:val="auto"/>
        </w:rPr>
        <w:fldChar w:fldCharType="separate"/>
      </w:r>
      <w:r w:rsidR="00372953">
        <w:rPr>
          <w:noProof/>
          <w:color w:val="auto"/>
        </w:rPr>
        <w:t>3</w:t>
      </w:r>
      <w:r w:rsidR="00372953">
        <w:rPr>
          <w:color w:val="auto"/>
        </w:rPr>
        <w:fldChar w:fldCharType="end"/>
      </w:r>
      <w:bookmarkEnd w:id="196"/>
      <w:r w:rsidRPr="000549B1">
        <w:rPr>
          <w:color w:val="auto"/>
        </w:rPr>
        <w:t>沙珠玉河流域水资源总量成果单位：万</w:t>
      </w:r>
      <w:bookmarkEnd w:id="197"/>
      <w:r w:rsidRPr="000549B1">
        <w:rPr>
          <w:color w:val="auto"/>
        </w:rPr>
        <w:t>m³</w:t>
      </w:r>
    </w:p>
    <w:tbl>
      <w:tblPr>
        <w:tblStyle w:val="aff"/>
        <w:tblW w:w="0" w:type="auto"/>
        <w:tblLook w:val="04A0" w:firstRow="1" w:lastRow="0" w:firstColumn="1" w:lastColumn="0" w:noHBand="0" w:noVBand="1"/>
      </w:tblPr>
      <w:tblGrid>
        <w:gridCol w:w="547"/>
        <w:gridCol w:w="547"/>
        <w:gridCol w:w="547"/>
        <w:gridCol w:w="571"/>
        <w:gridCol w:w="1048"/>
        <w:gridCol w:w="1097"/>
        <w:gridCol w:w="804"/>
        <w:gridCol w:w="852"/>
        <w:gridCol w:w="804"/>
        <w:gridCol w:w="960"/>
        <w:gridCol w:w="1097"/>
        <w:gridCol w:w="804"/>
        <w:gridCol w:w="852"/>
        <w:gridCol w:w="1021"/>
        <w:gridCol w:w="960"/>
        <w:gridCol w:w="891"/>
        <w:gridCol w:w="546"/>
      </w:tblGrid>
      <w:tr w:rsidR="000549B1" w:rsidRPr="000549B1" w14:paraId="6A9C3A75" w14:textId="77777777">
        <w:trPr>
          <w:trHeight w:val="470"/>
        </w:trPr>
        <w:tc>
          <w:tcPr>
            <w:tcW w:w="0" w:type="auto"/>
            <w:vMerge w:val="restart"/>
            <w:vAlign w:val="center"/>
          </w:tcPr>
          <w:p w14:paraId="601E7519" w14:textId="77777777" w:rsidR="00054437" w:rsidRPr="000549B1" w:rsidRDefault="00000000">
            <w:pPr>
              <w:jc w:val="center"/>
              <w:rPr>
                <w:b/>
                <w:szCs w:val="21"/>
              </w:rPr>
            </w:pPr>
            <w:bookmarkStart w:id="198" w:name="_Hlk213179056"/>
            <w:r w:rsidRPr="000549B1">
              <w:rPr>
                <w:b/>
                <w:szCs w:val="21"/>
              </w:rPr>
              <w:t>本次规划范围</w:t>
            </w:r>
          </w:p>
        </w:tc>
        <w:tc>
          <w:tcPr>
            <w:tcW w:w="0" w:type="auto"/>
            <w:gridSpan w:val="2"/>
            <w:vAlign w:val="center"/>
          </w:tcPr>
          <w:p w14:paraId="0B7F28E9" w14:textId="77777777" w:rsidR="00054437" w:rsidRPr="000549B1" w:rsidRDefault="00000000">
            <w:pPr>
              <w:jc w:val="center"/>
              <w:rPr>
                <w:b/>
                <w:szCs w:val="21"/>
              </w:rPr>
            </w:pPr>
            <w:r w:rsidRPr="000549B1">
              <w:rPr>
                <w:b/>
                <w:szCs w:val="21"/>
              </w:rPr>
              <w:t>流域分区</w:t>
            </w:r>
          </w:p>
        </w:tc>
        <w:tc>
          <w:tcPr>
            <w:tcW w:w="0" w:type="auto"/>
            <w:vMerge w:val="restart"/>
            <w:vAlign w:val="center"/>
          </w:tcPr>
          <w:p w14:paraId="28512A8B" w14:textId="77777777" w:rsidR="00054437" w:rsidRPr="000549B1" w:rsidRDefault="00000000">
            <w:pPr>
              <w:jc w:val="center"/>
              <w:rPr>
                <w:b/>
                <w:szCs w:val="21"/>
              </w:rPr>
            </w:pPr>
            <w:r w:rsidRPr="000549B1">
              <w:rPr>
                <w:b/>
                <w:szCs w:val="21"/>
              </w:rPr>
              <w:t>所在县级行政区</w:t>
            </w:r>
          </w:p>
        </w:tc>
        <w:tc>
          <w:tcPr>
            <w:tcW w:w="0" w:type="auto"/>
            <w:vMerge w:val="restart"/>
            <w:vAlign w:val="center"/>
          </w:tcPr>
          <w:p w14:paraId="4CD9DD4E" w14:textId="77777777" w:rsidR="00054437" w:rsidRPr="000549B1" w:rsidRDefault="00000000">
            <w:pPr>
              <w:jc w:val="center"/>
              <w:rPr>
                <w:b/>
                <w:szCs w:val="21"/>
              </w:rPr>
            </w:pPr>
            <w:r w:rsidRPr="000549B1">
              <w:rPr>
                <w:b/>
                <w:szCs w:val="21"/>
              </w:rPr>
              <w:t>面积（</w:t>
            </w:r>
            <w:r w:rsidRPr="000549B1">
              <w:rPr>
                <w:b/>
                <w:szCs w:val="21"/>
              </w:rPr>
              <w:t>km</w:t>
            </w:r>
            <w:r w:rsidRPr="000549B1">
              <w:rPr>
                <w:b/>
                <w:szCs w:val="21"/>
                <w:vertAlign w:val="superscript"/>
              </w:rPr>
              <w:t>2</w:t>
            </w:r>
            <w:r w:rsidRPr="000549B1">
              <w:rPr>
                <w:b/>
                <w:szCs w:val="21"/>
              </w:rPr>
              <w:t>）</w:t>
            </w:r>
          </w:p>
        </w:tc>
        <w:tc>
          <w:tcPr>
            <w:tcW w:w="0" w:type="auto"/>
            <w:gridSpan w:val="5"/>
            <w:vAlign w:val="center"/>
          </w:tcPr>
          <w:p w14:paraId="5D0BC5C3" w14:textId="77777777" w:rsidR="00054437" w:rsidRPr="000549B1" w:rsidRDefault="00000000">
            <w:pPr>
              <w:jc w:val="center"/>
              <w:rPr>
                <w:b/>
                <w:szCs w:val="21"/>
              </w:rPr>
            </w:pPr>
            <w:r w:rsidRPr="000549B1">
              <w:rPr>
                <w:b/>
                <w:szCs w:val="21"/>
              </w:rPr>
              <w:t>山丘区</w:t>
            </w:r>
          </w:p>
        </w:tc>
        <w:tc>
          <w:tcPr>
            <w:tcW w:w="0" w:type="auto"/>
            <w:gridSpan w:val="5"/>
            <w:vAlign w:val="center"/>
          </w:tcPr>
          <w:p w14:paraId="27AEAE2C" w14:textId="77777777" w:rsidR="00054437" w:rsidRPr="000549B1" w:rsidRDefault="00000000">
            <w:pPr>
              <w:jc w:val="center"/>
              <w:rPr>
                <w:b/>
                <w:szCs w:val="21"/>
              </w:rPr>
            </w:pPr>
            <w:r w:rsidRPr="000549B1">
              <w:rPr>
                <w:b/>
                <w:szCs w:val="21"/>
              </w:rPr>
              <w:t>平原区</w:t>
            </w:r>
          </w:p>
        </w:tc>
        <w:tc>
          <w:tcPr>
            <w:tcW w:w="0" w:type="auto"/>
            <w:vMerge w:val="restart"/>
            <w:vAlign w:val="center"/>
          </w:tcPr>
          <w:p w14:paraId="735C89C6" w14:textId="77777777" w:rsidR="00054437" w:rsidRPr="000549B1" w:rsidRDefault="00000000">
            <w:pPr>
              <w:jc w:val="center"/>
              <w:rPr>
                <w:b/>
                <w:szCs w:val="21"/>
              </w:rPr>
            </w:pPr>
            <w:r w:rsidRPr="000549B1">
              <w:rPr>
                <w:b/>
                <w:szCs w:val="21"/>
              </w:rPr>
              <w:t>水资源总量</w:t>
            </w:r>
          </w:p>
        </w:tc>
        <w:tc>
          <w:tcPr>
            <w:tcW w:w="0" w:type="auto"/>
            <w:vMerge w:val="restart"/>
            <w:vAlign w:val="center"/>
          </w:tcPr>
          <w:p w14:paraId="401E6F2F" w14:textId="77777777" w:rsidR="00054437" w:rsidRPr="000549B1" w:rsidRDefault="00000000">
            <w:pPr>
              <w:jc w:val="center"/>
              <w:rPr>
                <w:b/>
                <w:szCs w:val="21"/>
              </w:rPr>
            </w:pPr>
            <w:r w:rsidRPr="000549B1">
              <w:rPr>
                <w:b/>
                <w:szCs w:val="21"/>
              </w:rPr>
              <w:t>产水模数</w:t>
            </w:r>
          </w:p>
        </w:tc>
      </w:tr>
      <w:tr w:rsidR="000549B1" w:rsidRPr="000549B1" w14:paraId="41108B92" w14:textId="77777777">
        <w:tc>
          <w:tcPr>
            <w:tcW w:w="0" w:type="auto"/>
            <w:vMerge/>
            <w:vAlign w:val="center"/>
          </w:tcPr>
          <w:p w14:paraId="067B9949" w14:textId="77777777" w:rsidR="00054437" w:rsidRPr="000549B1" w:rsidRDefault="00054437">
            <w:pPr>
              <w:jc w:val="center"/>
              <w:rPr>
                <w:b/>
                <w:szCs w:val="21"/>
              </w:rPr>
            </w:pPr>
          </w:p>
        </w:tc>
        <w:tc>
          <w:tcPr>
            <w:tcW w:w="0" w:type="auto"/>
            <w:vMerge w:val="restart"/>
            <w:vAlign w:val="center"/>
          </w:tcPr>
          <w:p w14:paraId="4EB445E2" w14:textId="77777777" w:rsidR="00054437" w:rsidRPr="000549B1" w:rsidRDefault="00000000">
            <w:pPr>
              <w:jc w:val="center"/>
              <w:rPr>
                <w:b/>
                <w:szCs w:val="21"/>
              </w:rPr>
            </w:pPr>
            <w:r w:rsidRPr="000549B1">
              <w:rPr>
                <w:b/>
                <w:szCs w:val="21"/>
              </w:rPr>
              <w:t>水资源三级区</w:t>
            </w:r>
          </w:p>
        </w:tc>
        <w:tc>
          <w:tcPr>
            <w:tcW w:w="0" w:type="auto"/>
            <w:vMerge w:val="restart"/>
            <w:vAlign w:val="center"/>
          </w:tcPr>
          <w:p w14:paraId="74E9CA10" w14:textId="77777777" w:rsidR="00054437" w:rsidRPr="000549B1" w:rsidRDefault="00000000">
            <w:pPr>
              <w:jc w:val="center"/>
              <w:rPr>
                <w:b/>
                <w:szCs w:val="21"/>
              </w:rPr>
            </w:pPr>
            <w:r w:rsidRPr="000549B1">
              <w:rPr>
                <w:b/>
                <w:szCs w:val="21"/>
              </w:rPr>
              <w:t>水资源四级区</w:t>
            </w:r>
          </w:p>
        </w:tc>
        <w:tc>
          <w:tcPr>
            <w:tcW w:w="0" w:type="auto"/>
            <w:vMerge/>
            <w:vAlign w:val="center"/>
          </w:tcPr>
          <w:p w14:paraId="47F9B548" w14:textId="77777777" w:rsidR="00054437" w:rsidRPr="000549B1" w:rsidRDefault="00054437">
            <w:pPr>
              <w:jc w:val="center"/>
              <w:rPr>
                <w:b/>
                <w:szCs w:val="21"/>
              </w:rPr>
            </w:pPr>
          </w:p>
        </w:tc>
        <w:tc>
          <w:tcPr>
            <w:tcW w:w="0" w:type="auto"/>
            <w:vMerge/>
            <w:vAlign w:val="center"/>
          </w:tcPr>
          <w:p w14:paraId="51AC7388" w14:textId="77777777" w:rsidR="00054437" w:rsidRPr="000549B1" w:rsidRDefault="00054437">
            <w:pPr>
              <w:jc w:val="center"/>
              <w:rPr>
                <w:b/>
                <w:szCs w:val="21"/>
              </w:rPr>
            </w:pPr>
          </w:p>
        </w:tc>
        <w:tc>
          <w:tcPr>
            <w:tcW w:w="0" w:type="auto"/>
            <w:vMerge w:val="restart"/>
            <w:vAlign w:val="center"/>
          </w:tcPr>
          <w:p w14:paraId="5FD90338" w14:textId="77777777" w:rsidR="00054437" w:rsidRPr="000549B1" w:rsidRDefault="00000000">
            <w:pPr>
              <w:jc w:val="center"/>
              <w:rPr>
                <w:b/>
                <w:szCs w:val="21"/>
              </w:rPr>
            </w:pPr>
            <w:r w:rsidRPr="000549B1">
              <w:rPr>
                <w:b/>
                <w:szCs w:val="21"/>
              </w:rPr>
              <w:t>计算面积（</w:t>
            </w:r>
            <w:r w:rsidRPr="000549B1">
              <w:rPr>
                <w:b/>
                <w:szCs w:val="21"/>
              </w:rPr>
              <w:t>km</w:t>
            </w:r>
            <w:r w:rsidRPr="000549B1">
              <w:rPr>
                <w:b/>
                <w:szCs w:val="21"/>
                <w:vertAlign w:val="superscript"/>
              </w:rPr>
              <w:t>2</w:t>
            </w:r>
            <w:r w:rsidRPr="000549B1">
              <w:rPr>
                <w:b/>
                <w:szCs w:val="21"/>
              </w:rPr>
              <w:t>）</w:t>
            </w:r>
          </w:p>
        </w:tc>
        <w:tc>
          <w:tcPr>
            <w:tcW w:w="0" w:type="auto"/>
            <w:vAlign w:val="center"/>
          </w:tcPr>
          <w:p w14:paraId="235D5AE1" w14:textId="77777777" w:rsidR="00054437" w:rsidRPr="000549B1" w:rsidRDefault="00000000">
            <w:pPr>
              <w:jc w:val="center"/>
              <w:rPr>
                <w:b/>
                <w:szCs w:val="21"/>
              </w:rPr>
            </w:pPr>
            <w:r w:rsidRPr="000549B1">
              <w:rPr>
                <w:b/>
                <w:szCs w:val="21"/>
              </w:rPr>
              <w:t>河川径流量</w:t>
            </w:r>
          </w:p>
        </w:tc>
        <w:tc>
          <w:tcPr>
            <w:tcW w:w="0" w:type="auto"/>
            <w:vAlign w:val="center"/>
          </w:tcPr>
          <w:p w14:paraId="4F7433EB" w14:textId="77777777" w:rsidR="00054437" w:rsidRPr="000549B1" w:rsidRDefault="00000000">
            <w:pPr>
              <w:jc w:val="center"/>
              <w:rPr>
                <w:b/>
                <w:szCs w:val="21"/>
              </w:rPr>
            </w:pPr>
            <w:r w:rsidRPr="000549B1">
              <w:rPr>
                <w:b/>
                <w:szCs w:val="21"/>
              </w:rPr>
              <w:t>地下水总排泄量</w:t>
            </w:r>
          </w:p>
        </w:tc>
        <w:tc>
          <w:tcPr>
            <w:tcW w:w="0" w:type="auto"/>
            <w:vAlign w:val="center"/>
          </w:tcPr>
          <w:p w14:paraId="37F89178" w14:textId="77777777" w:rsidR="00054437" w:rsidRPr="000549B1" w:rsidRDefault="00000000">
            <w:pPr>
              <w:jc w:val="center"/>
              <w:rPr>
                <w:b/>
                <w:szCs w:val="21"/>
              </w:rPr>
            </w:pPr>
            <w:r w:rsidRPr="000549B1">
              <w:rPr>
                <w:b/>
                <w:szCs w:val="21"/>
              </w:rPr>
              <w:t>河川基流量</w:t>
            </w:r>
          </w:p>
        </w:tc>
        <w:tc>
          <w:tcPr>
            <w:tcW w:w="0" w:type="auto"/>
            <w:vAlign w:val="center"/>
          </w:tcPr>
          <w:p w14:paraId="55F16CED" w14:textId="77777777" w:rsidR="00054437" w:rsidRPr="000549B1" w:rsidRDefault="00000000">
            <w:pPr>
              <w:jc w:val="center"/>
              <w:rPr>
                <w:b/>
                <w:szCs w:val="21"/>
              </w:rPr>
            </w:pPr>
            <w:r w:rsidRPr="000549B1">
              <w:rPr>
                <w:b/>
                <w:szCs w:val="21"/>
              </w:rPr>
              <w:t>合计</w:t>
            </w:r>
          </w:p>
        </w:tc>
        <w:tc>
          <w:tcPr>
            <w:tcW w:w="0" w:type="auto"/>
            <w:vMerge w:val="restart"/>
            <w:vAlign w:val="center"/>
          </w:tcPr>
          <w:p w14:paraId="29ECB31D" w14:textId="77777777" w:rsidR="00054437" w:rsidRPr="000549B1" w:rsidRDefault="00000000">
            <w:pPr>
              <w:jc w:val="center"/>
              <w:rPr>
                <w:b/>
                <w:szCs w:val="21"/>
              </w:rPr>
            </w:pPr>
            <w:r w:rsidRPr="000549B1">
              <w:rPr>
                <w:b/>
                <w:szCs w:val="21"/>
              </w:rPr>
              <w:t>计算面积（</w:t>
            </w:r>
            <w:r w:rsidRPr="000549B1">
              <w:rPr>
                <w:b/>
                <w:szCs w:val="21"/>
              </w:rPr>
              <w:t>km</w:t>
            </w:r>
            <w:r w:rsidRPr="000549B1">
              <w:rPr>
                <w:b/>
                <w:szCs w:val="21"/>
                <w:vertAlign w:val="superscript"/>
              </w:rPr>
              <w:t>2</w:t>
            </w:r>
            <w:r w:rsidRPr="000549B1">
              <w:rPr>
                <w:b/>
                <w:szCs w:val="21"/>
              </w:rPr>
              <w:t>）</w:t>
            </w:r>
          </w:p>
        </w:tc>
        <w:tc>
          <w:tcPr>
            <w:tcW w:w="0" w:type="auto"/>
            <w:vAlign w:val="center"/>
          </w:tcPr>
          <w:p w14:paraId="78A03267" w14:textId="77777777" w:rsidR="00054437" w:rsidRPr="000549B1" w:rsidRDefault="00000000">
            <w:pPr>
              <w:jc w:val="center"/>
              <w:rPr>
                <w:b/>
                <w:szCs w:val="21"/>
              </w:rPr>
            </w:pPr>
            <w:r w:rsidRPr="000549B1">
              <w:rPr>
                <w:b/>
                <w:szCs w:val="21"/>
              </w:rPr>
              <w:t>河川径流量</w:t>
            </w:r>
          </w:p>
        </w:tc>
        <w:tc>
          <w:tcPr>
            <w:tcW w:w="0" w:type="auto"/>
            <w:vAlign w:val="center"/>
          </w:tcPr>
          <w:p w14:paraId="34BA9593" w14:textId="77777777" w:rsidR="00054437" w:rsidRPr="000549B1" w:rsidRDefault="00000000">
            <w:pPr>
              <w:jc w:val="center"/>
              <w:rPr>
                <w:b/>
                <w:szCs w:val="21"/>
              </w:rPr>
            </w:pPr>
            <w:r w:rsidRPr="000549B1">
              <w:rPr>
                <w:b/>
                <w:szCs w:val="21"/>
              </w:rPr>
              <w:t>降水入渗补给量</w:t>
            </w:r>
          </w:p>
        </w:tc>
        <w:tc>
          <w:tcPr>
            <w:tcW w:w="0" w:type="auto"/>
            <w:vAlign w:val="center"/>
          </w:tcPr>
          <w:p w14:paraId="7509017D" w14:textId="77777777" w:rsidR="00054437" w:rsidRPr="000549B1" w:rsidRDefault="00000000">
            <w:pPr>
              <w:jc w:val="center"/>
              <w:rPr>
                <w:b/>
                <w:szCs w:val="21"/>
              </w:rPr>
            </w:pPr>
            <w:r w:rsidRPr="000549B1">
              <w:rPr>
                <w:b/>
                <w:szCs w:val="21"/>
              </w:rPr>
              <w:t>降水入渗补给形成的河道排泄量</w:t>
            </w:r>
          </w:p>
        </w:tc>
        <w:tc>
          <w:tcPr>
            <w:tcW w:w="0" w:type="auto"/>
            <w:vAlign w:val="center"/>
          </w:tcPr>
          <w:p w14:paraId="758B177C" w14:textId="77777777" w:rsidR="00054437" w:rsidRPr="000549B1" w:rsidRDefault="00000000">
            <w:pPr>
              <w:jc w:val="center"/>
              <w:rPr>
                <w:b/>
                <w:szCs w:val="21"/>
              </w:rPr>
            </w:pPr>
            <w:r w:rsidRPr="000549B1">
              <w:rPr>
                <w:b/>
                <w:szCs w:val="21"/>
              </w:rPr>
              <w:t>合计</w:t>
            </w:r>
          </w:p>
        </w:tc>
        <w:tc>
          <w:tcPr>
            <w:tcW w:w="0" w:type="auto"/>
            <w:vMerge/>
            <w:vAlign w:val="center"/>
          </w:tcPr>
          <w:p w14:paraId="7410F2A5" w14:textId="77777777" w:rsidR="00054437" w:rsidRPr="000549B1" w:rsidRDefault="00054437">
            <w:pPr>
              <w:jc w:val="center"/>
              <w:rPr>
                <w:b/>
                <w:szCs w:val="21"/>
              </w:rPr>
            </w:pPr>
          </w:p>
        </w:tc>
        <w:tc>
          <w:tcPr>
            <w:tcW w:w="0" w:type="auto"/>
            <w:vMerge/>
            <w:vAlign w:val="center"/>
          </w:tcPr>
          <w:p w14:paraId="493994DC" w14:textId="77777777" w:rsidR="00054437" w:rsidRPr="000549B1" w:rsidRDefault="00054437">
            <w:pPr>
              <w:jc w:val="center"/>
              <w:rPr>
                <w:b/>
                <w:szCs w:val="21"/>
              </w:rPr>
            </w:pPr>
          </w:p>
        </w:tc>
      </w:tr>
      <w:tr w:rsidR="000549B1" w:rsidRPr="000549B1" w14:paraId="2487738A" w14:textId="77777777">
        <w:tc>
          <w:tcPr>
            <w:tcW w:w="0" w:type="auto"/>
            <w:vMerge/>
            <w:vAlign w:val="center"/>
          </w:tcPr>
          <w:p w14:paraId="32C73D1A" w14:textId="77777777" w:rsidR="00054437" w:rsidRPr="000549B1" w:rsidRDefault="00054437">
            <w:pPr>
              <w:jc w:val="center"/>
              <w:rPr>
                <w:b/>
                <w:szCs w:val="21"/>
              </w:rPr>
            </w:pPr>
          </w:p>
        </w:tc>
        <w:tc>
          <w:tcPr>
            <w:tcW w:w="0" w:type="auto"/>
            <w:vMerge/>
            <w:vAlign w:val="center"/>
          </w:tcPr>
          <w:p w14:paraId="207FD8DA" w14:textId="77777777" w:rsidR="00054437" w:rsidRPr="000549B1" w:rsidRDefault="00054437">
            <w:pPr>
              <w:jc w:val="center"/>
              <w:rPr>
                <w:b/>
                <w:szCs w:val="21"/>
              </w:rPr>
            </w:pPr>
          </w:p>
        </w:tc>
        <w:tc>
          <w:tcPr>
            <w:tcW w:w="0" w:type="auto"/>
            <w:vMerge/>
            <w:vAlign w:val="center"/>
          </w:tcPr>
          <w:p w14:paraId="63AEE4D5" w14:textId="77777777" w:rsidR="00054437" w:rsidRPr="000549B1" w:rsidRDefault="00054437">
            <w:pPr>
              <w:jc w:val="center"/>
              <w:rPr>
                <w:b/>
                <w:szCs w:val="21"/>
              </w:rPr>
            </w:pPr>
          </w:p>
        </w:tc>
        <w:tc>
          <w:tcPr>
            <w:tcW w:w="0" w:type="auto"/>
            <w:vMerge/>
            <w:vAlign w:val="center"/>
          </w:tcPr>
          <w:p w14:paraId="478D9DB7" w14:textId="77777777" w:rsidR="00054437" w:rsidRPr="000549B1" w:rsidRDefault="00054437">
            <w:pPr>
              <w:jc w:val="center"/>
              <w:rPr>
                <w:b/>
                <w:szCs w:val="21"/>
              </w:rPr>
            </w:pPr>
          </w:p>
        </w:tc>
        <w:tc>
          <w:tcPr>
            <w:tcW w:w="0" w:type="auto"/>
            <w:vMerge/>
            <w:vAlign w:val="center"/>
          </w:tcPr>
          <w:p w14:paraId="1EE84342" w14:textId="77777777" w:rsidR="00054437" w:rsidRPr="000549B1" w:rsidRDefault="00054437">
            <w:pPr>
              <w:jc w:val="center"/>
              <w:rPr>
                <w:b/>
                <w:szCs w:val="21"/>
              </w:rPr>
            </w:pPr>
          </w:p>
        </w:tc>
        <w:tc>
          <w:tcPr>
            <w:tcW w:w="0" w:type="auto"/>
            <w:vMerge/>
            <w:vAlign w:val="center"/>
          </w:tcPr>
          <w:p w14:paraId="4F690348" w14:textId="77777777" w:rsidR="00054437" w:rsidRPr="000549B1" w:rsidRDefault="00054437">
            <w:pPr>
              <w:jc w:val="center"/>
              <w:rPr>
                <w:b/>
                <w:szCs w:val="21"/>
              </w:rPr>
            </w:pPr>
          </w:p>
        </w:tc>
        <w:tc>
          <w:tcPr>
            <w:tcW w:w="0" w:type="auto"/>
            <w:vAlign w:val="center"/>
          </w:tcPr>
          <w:p w14:paraId="0AAFC5DD" w14:textId="77777777" w:rsidR="00054437" w:rsidRPr="000549B1" w:rsidRDefault="00000000">
            <w:pPr>
              <w:jc w:val="center"/>
              <w:rPr>
                <w:b/>
                <w:szCs w:val="21"/>
              </w:rPr>
            </w:pPr>
            <w:r w:rsidRPr="000549B1">
              <w:rPr>
                <w:b/>
                <w:szCs w:val="21"/>
              </w:rPr>
              <w:t>（</w:t>
            </w:r>
            <w:r w:rsidRPr="000549B1">
              <w:rPr>
                <w:b/>
                <w:szCs w:val="21"/>
              </w:rPr>
              <w:t>1</w:t>
            </w:r>
            <w:r w:rsidRPr="000549B1">
              <w:rPr>
                <w:b/>
                <w:szCs w:val="21"/>
              </w:rPr>
              <w:t>）</w:t>
            </w:r>
          </w:p>
        </w:tc>
        <w:tc>
          <w:tcPr>
            <w:tcW w:w="0" w:type="auto"/>
            <w:vAlign w:val="center"/>
          </w:tcPr>
          <w:p w14:paraId="1446678F" w14:textId="77777777" w:rsidR="00054437" w:rsidRPr="000549B1" w:rsidRDefault="00000000">
            <w:pPr>
              <w:jc w:val="center"/>
              <w:rPr>
                <w:b/>
                <w:szCs w:val="21"/>
              </w:rPr>
            </w:pPr>
            <w:r w:rsidRPr="000549B1">
              <w:rPr>
                <w:b/>
                <w:szCs w:val="21"/>
              </w:rPr>
              <w:t>（</w:t>
            </w:r>
            <w:r w:rsidRPr="000549B1">
              <w:rPr>
                <w:b/>
                <w:szCs w:val="21"/>
              </w:rPr>
              <w:t>2</w:t>
            </w:r>
            <w:r w:rsidRPr="000549B1">
              <w:rPr>
                <w:b/>
                <w:szCs w:val="21"/>
              </w:rPr>
              <w:t>）</w:t>
            </w:r>
          </w:p>
        </w:tc>
        <w:tc>
          <w:tcPr>
            <w:tcW w:w="0" w:type="auto"/>
            <w:vAlign w:val="center"/>
          </w:tcPr>
          <w:p w14:paraId="6BFF9C3C" w14:textId="77777777" w:rsidR="00054437" w:rsidRPr="000549B1" w:rsidRDefault="00000000">
            <w:pPr>
              <w:jc w:val="center"/>
              <w:rPr>
                <w:b/>
                <w:szCs w:val="21"/>
              </w:rPr>
            </w:pPr>
            <w:r w:rsidRPr="000549B1">
              <w:rPr>
                <w:b/>
                <w:szCs w:val="21"/>
              </w:rPr>
              <w:t>（</w:t>
            </w:r>
            <w:r w:rsidRPr="000549B1">
              <w:rPr>
                <w:b/>
                <w:szCs w:val="21"/>
              </w:rPr>
              <w:t>3</w:t>
            </w:r>
            <w:r w:rsidRPr="000549B1">
              <w:rPr>
                <w:b/>
                <w:szCs w:val="21"/>
              </w:rPr>
              <w:t>）</w:t>
            </w:r>
          </w:p>
        </w:tc>
        <w:tc>
          <w:tcPr>
            <w:tcW w:w="0" w:type="auto"/>
            <w:vAlign w:val="center"/>
          </w:tcPr>
          <w:p w14:paraId="481987FB" w14:textId="77777777" w:rsidR="00054437" w:rsidRPr="000549B1" w:rsidRDefault="00000000">
            <w:pPr>
              <w:jc w:val="center"/>
              <w:rPr>
                <w:b/>
                <w:szCs w:val="21"/>
              </w:rPr>
            </w:pPr>
            <w:r w:rsidRPr="000549B1">
              <w:rPr>
                <w:b/>
                <w:szCs w:val="21"/>
              </w:rPr>
              <w:t>（</w:t>
            </w:r>
            <w:r w:rsidRPr="000549B1">
              <w:rPr>
                <w:b/>
                <w:szCs w:val="21"/>
              </w:rPr>
              <w:t>4</w:t>
            </w:r>
            <w:r w:rsidRPr="000549B1">
              <w:rPr>
                <w:b/>
                <w:szCs w:val="21"/>
              </w:rPr>
              <w:t>）</w:t>
            </w:r>
            <w:r w:rsidRPr="000549B1">
              <w:rPr>
                <w:b/>
                <w:szCs w:val="21"/>
              </w:rPr>
              <w:t>=</w:t>
            </w:r>
            <w:r w:rsidRPr="000549B1">
              <w:rPr>
                <w:b/>
                <w:szCs w:val="21"/>
              </w:rPr>
              <w:t>（</w:t>
            </w:r>
            <w:r w:rsidRPr="000549B1">
              <w:rPr>
                <w:b/>
                <w:szCs w:val="21"/>
              </w:rPr>
              <w:t>1</w:t>
            </w:r>
            <w:r w:rsidRPr="000549B1">
              <w:rPr>
                <w:b/>
                <w:szCs w:val="21"/>
              </w:rPr>
              <w:t>）</w:t>
            </w:r>
            <w:r w:rsidRPr="000549B1">
              <w:rPr>
                <w:b/>
                <w:szCs w:val="21"/>
              </w:rPr>
              <w:t>+</w:t>
            </w:r>
            <w:r w:rsidRPr="000549B1">
              <w:rPr>
                <w:b/>
                <w:szCs w:val="21"/>
              </w:rPr>
              <w:t>（</w:t>
            </w:r>
            <w:r w:rsidRPr="000549B1">
              <w:rPr>
                <w:b/>
                <w:szCs w:val="21"/>
              </w:rPr>
              <w:t>2</w:t>
            </w:r>
            <w:r w:rsidRPr="000549B1">
              <w:rPr>
                <w:b/>
                <w:szCs w:val="21"/>
              </w:rPr>
              <w:t>）</w:t>
            </w:r>
            <w:r w:rsidRPr="000549B1">
              <w:rPr>
                <w:b/>
                <w:szCs w:val="21"/>
              </w:rPr>
              <w:t>-</w:t>
            </w:r>
            <w:r w:rsidRPr="000549B1">
              <w:rPr>
                <w:b/>
                <w:szCs w:val="21"/>
              </w:rPr>
              <w:t>（</w:t>
            </w:r>
            <w:r w:rsidRPr="000549B1">
              <w:rPr>
                <w:b/>
                <w:szCs w:val="21"/>
              </w:rPr>
              <w:t>3</w:t>
            </w:r>
            <w:r w:rsidRPr="000549B1">
              <w:rPr>
                <w:b/>
                <w:szCs w:val="21"/>
              </w:rPr>
              <w:t>）</w:t>
            </w:r>
          </w:p>
        </w:tc>
        <w:tc>
          <w:tcPr>
            <w:tcW w:w="0" w:type="auto"/>
            <w:vMerge/>
            <w:vAlign w:val="center"/>
          </w:tcPr>
          <w:p w14:paraId="16828E77" w14:textId="77777777" w:rsidR="00054437" w:rsidRPr="000549B1" w:rsidRDefault="00054437">
            <w:pPr>
              <w:jc w:val="center"/>
              <w:rPr>
                <w:b/>
                <w:szCs w:val="21"/>
              </w:rPr>
            </w:pPr>
          </w:p>
        </w:tc>
        <w:tc>
          <w:tcPr>
            <w:tcW w:w="0" w:type="auto"/>
            <w:vAlign w:val="center"/>
          </w:tcPr>
          <w:p w14:paraId="29A01C63" w14:textId="77777777" w:rsidR="00054437" w:rsidRPr="000549B1" w:rsidRDefault="00000000">
            <w:pPr>
              <w:jc w:val="center"/>
              <w:rPr>
                <w:b/>
                <w:szCs w:val="21"/>
              </w:rPr>
            </w:pPr>
            <w:r w:rsidRPr="000549B1">
              <w:rPr>
                <w:b/>
                <w:szCs w:val="21"/>
              </w:rPr>
              <w:t>（</w:t>
            </w:r>
            <w:r w:rsidRPr="000549B1">
              <w:rPr>
                <w:b/>
                <w:szCs w:val="21"/>
              </w:rPr>
              <w:t>5</w:t>
            </w:r>
            <w:r w:rsidRPr="000549B1">
              <w:rPr>
                <w:b/>
                <w:szCs w:val="21"/>
              </w:rPr>
              <w:t>）</w:t>
            </w:r>
          </w:p>
        </w:tc>
        <w:tc>
          <w:tcPr>
            <w:tcW w:w="0" w:type="auto"/>
            <w:vAlign w:val="center"/>
          </w:tcPr>
          <w:p w14:paraId="7E6DBB6E" w14:textId="77777777" w:rsidR="00054437" w:rsidRPr="000549B1" w:rsidRDefault="00000000">
            <w:pPr>
              <w:jc w:val="center"/>
              <w:rPr>
                <w:b/>
                <w:szCs w:val="21"/>
              </w:rPr>
            </w:pPr>
            <w:r w:rsidRPr="000549B1">
              <w:rPr>
                <w:b/>
                <w:szCs w:val="21"/>
              </w:rPr>
              <w:t>（</w:t>
            </w:r>
            <w:r w:rsidRPr="000549B1">
              <w:rPr>
                <w:b/>
                <w:szCs w:val="21"/>
              </w:rPr>
              <w:t>6</w:t>
            </w:r>
            <w:r w:rsidRPr="000549B1">
              <w:rPr>
                <w:b/>
                <w:szCs w:val="21"/>
              </w:rPr>
              <w:t>）</w:t>
            </w:r>
          </w:p>
        </w:tc>
        <w:tc>
          <w:tcPr>
            <w:tcW w:w="0" w:type="auto"/>
            <w:vAlign w:val="center"/>
          </w:tcPr>
          <w:p w14:paraId="52BC7760" w14:textId="77777777" w:rsidR="00054437" w:rsidRPr="000549B1" w:rsidRDefault="00000000">
            <w:pPr>
              <w:jc w:val="center"/>
              <w:rPr>
                <w:b/>
                <w:szCs w:val="21"/>
              </w:rPr>
            </w:pPr>
            <w:r w:rsidRPr="000549B1">
              <w:rPr>
                <w:b/>
                <w:szCs w:val="21"/>
              </w:rPr>
              <w:t>（</w:t>
            </w:r>
            <w:r w:rsidRPr="000549B1">
              <w:rPr>
                <w:b/>
                <w:szCs w:val="21"/>
              </w:rPr>
              <w:t>7</w:t>
            </w:r>
            <w:r w:rsidRPr="000549B1">
              <w:rPr>
                <w:b/>
                <w:szCs w:val="21"/>
              </w:rPr>
              <w:t>）</w:t>
            </w:r>
          </w:p>
        </w:tc>
        <w:tc>
          <w:tcPr>
            <w:tcW w:w="0" w:type="auto"/>
            <w:vAlign w:val="center"/>
          </w:tcPr>
          <w:p w14:paraId="233C8700" w14:textId="77777777" w:rsidR="00054437" w:rsidRPr="000549B1" w:rsidRDefault="00000000">
            <w:pPr>
              <w:jc w:val="center"/>
              <w:rPr>
                <w:b/>
                <w:szCs w:val="21"/>
              </w:rPr>
            </w:pPr>
            <w:r w:rsidRPr="000549B1">
              <w:rPr>
                <w:b/>
                <w:szCs w:val="21"/>
              </w:rPr>
              <w:t>（</w:t>
            </w:r>
            <w:r w:rsidRPr="000549B1">
              <w:rPr>
                <w:b/>
                <w:szCs w:val="21"/>
              </w:rPr>
              <w:t>8</w:t>
            </w:r>
            <w:r w:rsidRPr="000549B1">
              <w:rPr>
                <w:b/>
                <w:szCs w:val="21"/>
              </w:rPr>
              <w:t>）</w:t>
            </w:r>
            <w:r w:rsidRPr="000549B1">
              <w:rPr>
                <w:b/>
                <w:szCs w:val="21"/>
              </w:rPr>
              <w:t>=</w:t>
            </w:r>
            <w:r w:rsidRPr="000549B1">
              <w:rPr>
                <w:b/>
                <w:szCs w:val="21"/>
              </w:rPr>
              <w:t>（</w:t>
            </w:r>
            <w:r w:rsidRPr="000549B1">
              <w:rPr>
                <w:b/>
                <w:szCs w:val="21"/>
              </w:rPr>
              <w:t>5</w:t>
            </w:r>
            <w:r w:rsidRPr="000549B1">
              <w:rPr>
                <w:b/>
                <w:szCs w:val="21"/>
              </w:rPr>
              <w:t>）</w:t>
            </w:r>
            <w:r w:rsidRPr="000549B1">
              <w:rPr>
                <w:b/>
                <w:szCs w:val="21"/>
              </w:rPr>
              <w:t>+</w:t>
            </w:r>
            <w:r w:rsidRPr="000549B1">
              <w:rPr>
                <w:b/>
                <w:szCs w:val="21"/>
              </w:rPr>
              <w:t>（</w:t>
            </w:r>
            <w:r w:rsidRPr="000549B1">
              <w:rPr>
                <w:b/>
                <w:szCs w:val="21"/>
              </w:rPr>
              <w:t>6</w:t>
            </w:r>
            <w:r w:rsidRPr="000549B1">
              <w:rPr>
                <w:b/>
                <w:szCs w:val="21"/>
              </w:rPr>
              <w:t>）</w:t>
            </w:r>
            <w:r w:rsidRPr="000549B1">
              <w:rPr>
                <w:b/>
                <w:szCs w:val="21"/>
              </w:rPr>
              <w:t>-</w:t>
            </w:r>
            <w:r w:rsidRPr="000549B1">
              <w:rPr>
                <w:b/>
                <w:szCs w:val="21"/>
              </w:rPr>
              <w:t>（</w:t>
            </w:r>
            <w:r w:rsidRPr="000549B1">
              <w:rPr>
                <w:b/>
                <w:szCs w:val="21"/>
              </w:rPr>
              <w:t>7</w:t>
            </w:r>
            <w:r w:rsidRPr="000549B1">
              <w:rPr>
                <w:b/>
                <w:szCs w:val="21"/>
              </w:rPr>
              <w:t>）</w:t>
            </w:r>
          </w:p>
        </w:tc>
        <w:tc>
          <w:tcPr>
            <w:tcW w:w="0" w:type="auto"/>
            <w:vAlign w:val="center"/>
          </w:tcPr>
          <w:p w14:paraId="6413DEC5" w14:textId="77777777" w:rsidR="00054437" w:rsidRPr="000549B1" w:rsidRDefault="00000000">
            <w:pPr>
              <w:jc w:val="center"/>
              <w:rPr>
                <w:b/>
                <w:szCs w:val="21"/>
              </w:rPr>
            </w:pPr>
            <w:r w:rsidRPr="000549B1">
              <w:rPr>
                <w:b/>
                <w:szCs w:val="21"/>
              </w:rPr>
              <w:t>（</w:t>
            </w:r>
            <w:r w:rsidRPr="000549B1">
              <w:rPr>
                <w:b/>
                <w:szCs w:val="21"/>
              </w:rPr>
              <w:t>9</w:t>
            </w:r>
            <w:r w:rsidRPr="000549B1">
              <w:rPr>
                <w:b/>
                <w:szCs w:val="21"/>
              </w:rPr>
              <w:t>）</w:t>
            </w:r>
            <w:r w:rsidRPr="000549B1">
              <w:rPr>
                <w:b/>
                <w:szCs w:val="21"/>
              </w:rPr>
              <w:t>=</w:t>
            </w:r>
            <w:r w:rsidRPr="000549B1">
              <w:rPr>
                <w:b/>
                <w:szCs w:val="21"/>
              </w:rPr>
              <w:t>（</w:t>
            </w:r>
            <w:r w:rsidRPr="000549B1">
              <w:rPr>
                <w:b/>
                <w:szCs w:val="21"/>
              </w:rPr>
              <w:t>4</w:t>
            </w:r>
            <w:r w:rsidRPr="000549B1">
              <w:rPr>
                <w:b/>
                <w:szCs w:val="21"/>
              </w:rPr>
              <w:t>）</w:t>
            </w:r>
            <w:r w:rsidRPr="000549B1">
              <w:rPr>
                <w:b/>
                <w:szCs w:val="21"/>
              </w:rPr>
              <w:t>+</w:t>
            </w:r>
            <w:r w:rsidRPr="000549B1">
              <w:rPr>
                <w:b/>
                <w:szCs w:val="21"/>
              </w:rPr>
              <w:t>（</w:t>
            </w:r>
            <w:r w:rsidRPr="000549B1">
              <w:rPr>
                <w:b/>
                <w:szCs w:val="21"/>
              </w:rPr>
              <w:t>8</w:t>
            </w:r>
            <w:r w:rsidRPr="000549B1">
              <w:rPr>
                <w:b/>
                <w:szCs w:val="21"/>
              </w:rPr>
              <w:t>）</w:t>
            </w:r>
          </w:p>
        </w:tc>
        <w:tc>
          <w:tcPr>
            <w:tcW w:w="0" w:type="auto"/>
            <w:vMerge/>
            <w:vAlign w:val="center"/>
          </w:tcPr>
          <w:p w14:paraId="69560840" w14:textId="77777777" w:rsidR="00054437" w:rsidRPr="000549B1" w:rsidRDefault="00054437">
            <w:pPr>
              <w:jc w:val="center"/>
              <w:rPr>
                <w:b/>
                <w:szCs w:val="21"/>
              </w:rPr>
            </w:pPr>
          </w:p>
        </w:tc>
      </w:tr>
      <w:tr w:rsidR="000549B1" w:rsidRPr="000549B1" w14:paraId="69BA78C4" w14:textId="77777777">
        <w:tc>
          <w:tcPr>
            <w:tcW w:w="0" w:type="auto"/>
            <w:vMerge w:val="restart"/>
            <w:vAlign w:val="center"/>
          </w:tcPr>
          <w:p w14:paraId="7B684B5F" w14:textId="77777777" w:rsidR="00054437" w:rsidRPr="000549B1" w:rsidRDefault="00000000">
            <w:pPr>
              <w:jc w:val="center"/>
              <w:rPr>
                <w:bCs/>
                <w:szCs w:val="21"/>
              </w:rPr>
            </w:pPr>
            <w:r w:rsidRPr="000549B1">
              <w:rPr>
                <w:bCs/>
                <w:szCs w:val="21"/>
              </w:rPr>
              <w:t>沙珠玉河流域</w:t>
            </w:r>
          </w:p>
        </w:tc>
        <w:tc>
          <w:tcPr>
            <w:tcW w:w="0" w:type="auto"/>
            <w:vMerge w:val="restart"/>
            <w:vAlign w:val="center"/>
          </w:tcPr>
          <w:p w14:paraId="6B207E56" w14:textId="77777777" w:rsidR="00054437" w:rsidRPr="000549B1" w:rsidRDefault="00000000">
            <w:pPr>
              <w:jc w:val="center"/>
              <w:rPr>
                <w:bCs/>
                <w:szCs w:val="21"/>
              </w:rPr>
            </w:pPr>
            <w:r w:rsidRPr="000549B1">
              <w:rPr>
                <w:bCs/>
                <w:szCs w:val="21"/>
              </w:rPr>
              <w:t>青海湖水系</w:t>
            </w:r>
          </w:p>
        </w:tc>
        <w:tc>
          <w:tcPr>
            <w:tcW w:w="0" w:type="auto"/>
            <w:vAlign w:val="center"/>
          </w:tcPr>
          <w:p w14:paraId="589B88C6" w14:textId="77777777" w:rsidR="00054437" w:rsidRPr="000549B1" w:rsidRDefault="00000000">
            <w:pPr>
              <w:jc w:val="center"/>
              <w:rPr>
                <w:bCs/>
                <w:szCs w:val="21"/>
              </w:rPr>
            </w:pPr>
            <w:r w:rsidRPr="000549B1">
              <w:rPr>
                <w:bCs/>
                <w:szCs w:val="21"/>
              </w:rPr>
              <w:t>沙珠玉区</w:t>
            </w:r>
          </w:p>
        </w:tc>
        <w:tc>
          <w:tcPr>
            <w:tcW w:w="0" w:type="auto"/>
            <w:vAlign w:val="center"/>
          </w:tcPr>
          <w:p w14:paraId="61DB048C" w14:textId="77777777" w:rsidR="00054437" w:rsidRPr="000549B1" w:rsidRDefault="00000000">
            <w:pPr>
              <w:jc w:val="center"/>
              <w:rPr>
                <w:bCs/>
                <w:szCs w:val="21"/>
              </w:rPr>
            </w:pPr>
            <w:r w:rsidRPr="000549B1">
              <w:rPr>
                <w:bCs/>
                <w:szCs w:val="21"/>
              </w:rPr>
              <w:t>共和县</w:t>
            </w:r>
          </w:p>
        </w:tc>
        <w:tc>
          <w:tcPr>
            <w:tcW w:w="0" w:type="auto"/>
            <w:vAlign w:val="center"/>
          </w:tcPr>
          <w:p w14:paraId="2A4A48ED" w14:textId="77777777" w:rsidR="00054437" w:rsidRPr="000549B1" w:rsidRDefault="00000000">
            <w:pPr>
              <w:jc w:val="center"/>
              <w:rPr>
                <w:bCs/>
                <w:szCs w:val="21"/>
              </w:rPr>
            </w:pPr>
            <w:r w:rsidRPr="000549B1">
              <w:rPr>
                <w:bCs/>
                <w:szCs w:val="21"/>
              </w:rPr>
              <w:t>7302</w:t>
            </w:r>
          </w:p>
        </w:tc>
        <w:tc>
          <w:tcPr>
            <w:tcW w:w="0" w:type="auto"/>
            <w:vAlign w:val="center"/>
          </w:tcPr>
          <w:p w14:paraId="7EDC6C4F" w14:textId="77777777" w:rsidR="00054437" w:rsidRPr="000549B1" w:rsidRDefault="00000000">
            <w:pPr>
              <w:jc w:val="center"/>
              <w:rPr>
                <w:bCs/>
                <w:szCs w:val="21"/>
              </w:rPr>
            </w:pPr>
            <w:r w:rsidRPr="000549B1">
              <w:rPr>
                <w:bCs/>
                <w:szCs w:val="21"/>
              </w:rPr>
              <w:t>2991</w:t>
            </w:r>
          </w:p>
        </w:tc>
        <w:tc>
          <w:tcPr>
            <w:tcW w:w="0" w:type="auto"/>
            <w:vAlign w:val="center"/>
          </w:tcPr>
          <w:p w14:paraId="69340616" w14:textId="77777777" w:rsidR="00054437" w:rsidRPr="000549B1" w:rsidRDefault="00000000">
            <w:pPr>
              <w:jc w:val="center"/>
              <w:rPr>
                <w:bCs/>
                <w:szCs w:val="21"/>
              </w:rPr>
            </w:pPr>
            <w:r w:rsidRPr="000549B1">
              <w:rPr>
                <w:bCs/>
                <w:szCs w:val="21"/>
              </w:rPr>
              <w:t>5142</w:t>
            </w:r>
          </w:p>
        </w:tc>
        <w:tc>
          <w:tcPr>
            <w:tcW w:w="0" w:type="auto"/>
            <w:vAlign w:val="center"/>
          </w:tcPr>
          <w:p w14:paraId="0BDA6FB5" w14:textId="77777777" w:rsidR="00054437" w:rsidRPr="000549B1" w:rsidRDefault="00000000">
            <w:pPr>
              <w:jc w:val="center"/>
              <w:rPr>
                <w:bCs/>
                <w:szCs w:val="21"/>
              </w:rPr>
            </w:pPr>
            <w:r w:rsidRPr="000549B1">
              <w:rPr>
                <w:bCs/>
                <w:szCs w:val="21"/>
              </w:rPr>
              <w:t>16418</w:t>
            </w:r>
          </w:p>
        </w:tc>
        <w:tc>
          <w:tcPr>
            <w:tcW w:w="0" w:type="auto"/>
            <w:vAlign w:val="center"/>
          </w:tcPr>
          <w:p w14:paraId="55FC33F1" w14:textId="77777777" w:rsidR="00054437" w:rsidRPr="000549B1" w:rsidRDefault="00000000">
            <w:pPr>
              <w:jc w:val="center"/>
              <w:rPr>
                <w:bCs/>
                <w:szCs w:val="21"/>
              </w:rPr>
            </w:pPr>
            <w:r w:rsidRPr="000549B1">
              <w:rPr>
                <w:bCs/>
                <w:szCs w:val="21"/>
              </w:rPr>
              <w:t>11500</w:t>
            </w:r>
          </w:p>
        </w:tc>
        <w:tc>
          <w:tcPr>
            <w:tcW w:w="0" w:type="auto"/>
            <w:vAlign w:val="center"/>
          </w:tcPr>
          <w:p w14:paraId="47617F70" w14:textId="77777777" w:rsidR="00054437" w:rsidRPr="000549B1" w:rsidRDefault="00000000">
            <w:pPr>
              <w:jc w:val="center"/>
              <w:rPr>
                <w:bCs/>
                <w:szCs w:val="21"/>
              </w:rPr>
            </w:pPr>
            <w:r w:rsidRPr="000549B1">
              <w:rPr>
                <w:bCs/>
                <w:szCs w:val="21"/>
              </w:rPr>
              <w:t>10061</w:t>
            </w:r>
          </w:p>
        </w:tc>
        <w:tc>
          <w:tcPr>
            <w:tcW w:w="0" w:type="auto"/>
            <w:vAlign w:val="center"/>
          </w:tcPr>
          <w:p w14:paraId="0262D232" w14:textId="77777777" w:rsidR="00054437" w:rsidRPr="000549B1" w:rsidRDefault="00000000">
            <w:pPr>
              <w:jc w:val="center"/>
              <w:rPr>
                <w:bCs/>
                <w:szCs w:val="21"/>
              </w:rPr>
            </w:pPr>
            <w:r w:rsidRPr="000549B1">
              <w:rPr>
                <w:bCs/>
                <w:szCs w:val="21"/>
              </w:rPr>
              <w:t>4311</w:t>
            </w:r>
          </w:p>
        </w:tc>
        <w:tc>
          <w:tcPr>
            <w:tcW w:w="0" w:type="auto"/>
            <w:vAlign w:val="center"/>
          </w:tcPr>
          <w:p w14:paraId="242667DC" w14:textId="77777777" w:rsidR="00054437" w:rsidRPr="000549B1" w:rsidRDefault="00000000">
            <w:pPr>
              <w:jc w:val="center"/>
              <w:rPr>
                <w:bCs/>
                <w:szCs w:val="21"/>
              </w:rPr>
            </w:pPr>
            <w:r w:rsidRPr="000549B1">
              <w:rPr>
                <w:bCs/>
                <w:szCs w:val="21"/>
              </w:rPr>
              <w:t>9451</w:t>
            </w:r>
          </w:p>
        </w:tc>
        <w:tc>
          <w:tcPr>
            <w:tcW w:w="0" w:type="auto"/>
            <w:vAlign w:val="center"/>
          </w:tcPr>
          <w:p w14:paraId="706B3664" w14:textId="77777777" w:rsidR="00054437" w:rsidRPr="000549B1" w:rsidRDefault="00000000">
            <w:pPr>
              <w:jc w:val="center"/>
              <w:rPr>
                <w:bCs/>
                <w:szCs w:val="21"/>
              </w:rPr>
            </w:pPr>
            <w:r w:rsidRPr="000549B1">
              <w:rPr>
                <w:bCs/>
                <w:szCs w:val="21"/>
              </w:rPr>
              <w:t>5390</w:t>
            </w:r>
          </w:p>
        </w:tc>
        <w:tc>
          <w:tcPr>
            <w:tcW w:w="0" w:type="auto"/>
            <w:vAlign w:val="center"/>
          </w:tcPr>
          <w:p w14:paraId="5C129882" w14:textId="77777777" w:rsidR="00054437" w:rsidRPr="000549B1" w:rsidRDefault="00000000">
            <w:pPr>
              <w:jc w:val="center"/>
              <w:rPr>
                <w:bCs/>
                <w:szCs w:val="21"/>
              </w:rPr>
            </w:pPr>
            <w:r w:rsidRPr="000549B1">
              <w:rPr>
                <w:bCs/>
                <w:szCs w:val="21"/>
              </w:rPr>
              <w:t>0</w:t>
            </w:r>
          </w:p>
        </w:tc>
        <w:tc>
          <w:tcPr>
            <w:tcW w:w="0" w:type="auto"/>
            <w:vAlign w:val="center"/>
          </w:tcPr>
          <w:p w14:paraId="50718892" w14:textId="77777777" w:rsidR="00054437" w:rsidRPr="000549B1" w:rsidRDefault="00000000">
            <w:pPr>
              <w:jc w:val="center"/>
              <w:rPr>
                <w:bCs/>
                <w:szCs w:val="21"/>
              </w:rPr>
            </w:pPr>
            <w:r w:rsidRPr="000549B1">
              <w:rPr>
                <w:bCs/>
                <w:szCs w:val="21"/>
              </w:rPr>
              <w:t>14841</w:t>
            </w:r>
          </w:p>
        </w:tc>
        <w:tc>
          <w:tcPr>
            <w:tcW w:w="0" w:type="auto"/>
            <w:vAlign w:val="center"/>
          </w:tcPr>
          <w:p w14:paraId="2E911E9C" w14:textId="77777777" w:rsidR="00054437" w:rsidRPr="000549B1" w:rsidRDefault="00000000">
            <w:pPr>
              <w:jc w:val="center"/>
              <w:rPr>
                <w:bCs/>
                <w:szCs w:val="21"/>
              </w:rPr>
            </w:pPr>
            <w:r w:rsidRPr="000549B1">
              <w:rPr>
                <w:bCs/>
                <w:szCs w:val="21"/>
              </w:rPr>
              <w:t>24902</w:t>
            </w:r>
          </w:p>
        </w:tc>
        <w:tc>
          <w:tcPr>
            <w:tcW w:w="0" w:type="auto"/>
            <w:vAlign w:val="center"/>
          </w:tcPr>
          <w:p w14:paraId="10500AC9" w14:textId="77777777" w:rsidR="00054437" w:rsidRPr="000549B1" w:rsidRDefault="00000000">
            <w:pPr>
              <w:jc w:val="center"/>
              <w:rPr>
                <w:bCs/>
                <w:szCs w:val="21"/>
              </w:rPr>
            </w:pPr>
            <w:r w:rsidRPr="000549B1">
              <w:rPr>
                <w:bCs/>
                <w:szCs w:val="21"/>
              </w:rPr>
              <w:t>3.4</w:t>
            </w:r>
          </w:p>
        </w:tc>
      </w:tr>
      <w:tr w:rsidR="000549B1" w:rsidRPr="000549B1" w14:paraId="2198C8D0" w14:textId="77777777">
        <w:tc>
          <w:tcPr>
            <w:tcW w:w="0" w:type="auto"/>
            <w:vMerge/>
            <w:vAlign w:val="center"/>
          </w:tcPr>
          <w:p w14:paraId="31B7D670" w14:textId="77777777" w:rsidR="00054437" w:rsidRPr="000549B1" w:rsidRDefault="00054437">
            <w:pPr>
              <w:jc w:val="center"/>
              <w:rPr>
                <w:bCs/>
                <w:szCs w:val="21"/>
              </w:rPr>
            </w:pPr>
          </w:p>
        </w:tc>
        <w:tc>
          <w:tcPr>
            <w:tcW w:w="0" w:type="auto"/>
            <w:vMerge/>
            <w:vAlign w:val="center"/>
          </w:tcPr>
          <w:p w14:paraId="74AA5B5B" w14:textId="77777777" w:rsidR="00054437" w:rsidRPr="000549B1" w:rsidRDefault="00054437">
            <w:pPr>
              <w:jc w:val="center"/>
              <w:rPr>
                <w:bCs/>
                <w:szCs w:val="21"/>
              </w:rPr>
            </w:pPr>
          </w:p>
        </w:tc>
        <w:tc>
          <w:tcPr>
            <w:tcW w:w="0" w:type="auto"/>
            <w:vAlign w:val="center"/>
          </w:tcPr>
          <w:p w14:paraId="467F95A3" w14:textId="77777777" w:rsidR="00054437" w:rsidRPr="000549B1" w:rsidRDefault="00000000">
            <w:pPr>
              <w:jc w:val="center"/>
              <w:rPr>
                <w:bCs/>
                <w:szCs w:val="21"/>
              </w:rPr>
            </w:pPr>
            <w:r w:rsidRPr="000549B1">
              <w:rPr>
                <w:bCs/>
                <w:szCs w:val="21"/>
              </w:rPr>
              <w:t>河卡区</w:t>
            </w:r>
          </w:p>
        </w:tc>
        <w:tc>
          <w:tcPr>
            <w:tcW w:w="0" w:type="auto"/>
            <w:vAlign w:val="center"/>
          </w:tcPr>
          <w:p w14:paraId="279C777E" w14:textId="77777777" w:rsidR="00054437" w:rsidRPr="000549B1" w:rsidRDefault="00000000">
            <w:pPr>
              <w:jc w:val="center"/>
              <w:rPr>
                <w:bCs/>
                <w:szCs w:val="21"/>
              </w:rPr>
            </w:pPr>
            <w:r w:rsidRPr="000549B1">
              <w:rPr>
                <w:bCs/>
                <w:szCs w:val="21"/>
              </w:rPr>
              <w:t>兴海县</w:t>
            </w:r>
          </w:p>
        </w:tc>
        <w:tc>
          <w:tcPr>
            <w:tcW w:w="0" w:type="auto"/>
            <w:vAlign w:val="center"/>
          </w:tcPr>
          <w:p w14:paraId="38A0D81E" w14:textId="77777777" w:rsidR="00054437" w:rsidRPr="000549B1" w:rsidRDefault="00000000">
            <w:pPr>
              <w:jc w:val="center"/>
              <w:rPr>
                <w:bCs/>
                <w:szCs w:val="21"/>
              </w:rPr>
            </w:pPr>
            <w:r w:rsidRPr="000549B1">
              <w:rPr>
                <w:bCs/>
                <w:szCs w:val="21"/>
              </w:rPr>
              <w:t>1358</w:t>
            </w:r>
          </w:p>
        </w:tc>
        <w:tc>
          <w:tcPr>
            <w:tcW w:w="0" w:type="auto"/>
            <w:vAlign w:val="center"/>
          </w:tcPr>
          <w:p w14:paraId="0D8FCB59" w14:textId="77777777" w:rsidR="00054437" w:rsidRPr="000549B1" w:rsidRDefault="00000000">
            <w:pPr>
              <w:jc w:val="center"/>
              <w:rPr>
                <w:bCs/>
                <w:szCs w:val="21"/>
              </w:rPr>
            </w:pPr>
            <w:r w:rsidRPr="000549B1">
              <w:rPr>
                <w:bCs/>
                <w:szCs w:val="21"/>
              </w:rPr>
              <w:t>1358</w:t>
            </w:r>
          </w:p>
        </w:tc>
        <w:tc>
          <w:tcPr>
            <w:tcW w:w="0" w:type="auto"/>
            <w:vAlign w:val="center"/>
          </w:tcPr>
          <w:p w14:paraId="6078BDA4" w14:textId="77777777" w:rsidR="00054437" w:rsidRPr="000549B1" w:rsidRDefault="00000000">
            <w:pPr>
              <w:jc w:val="center"/>
              <w:rPr>
                <w:bCs/>
                <w:szCs w:val="21"/>
              </w:rPr>
            </w:pPr>
            <w:r w:rsidRPr="000549B1">
              <w:rPr>
                <w:bCs/>
                <w:szCs w:val="21"/>
              </w:rPr>
              <w:t>4091</w:t>
            </w:r>
          </w:p>
        </w:tc>
        <w:tc>
          <w:tcPr>
            <w:tcW w:w="0" w:type="auto"/>
            <w:vAlign w:val="center"/>
          </w:tcPr>
          <w:p w14:paraId="13103225" w14:textId="77777777" w:rsidR="00054437" w:rsidRPr="000549B1" w:rsidRDefault="00000000">
            <w:pPr>
              <w:jc w:val="center"/>
              <w:rPr>
                <w:bCs/>
                <w:szCs w:val="21"/>
              </w:rPr>
            </w:pPr>
            <w:r w:rsidRPr="000549B1">
              <w:rPr>
                <w:bCs/>
                <w:szCs w:val="21"/>
              </w:rPr>
              <w:t>1575</w:t>
            </w:r>
          </w:p>
        </w:tc>
        <w:tc>
          <w:tcPr>
            <w:tcW w:w="0" w:type="auto"/>
            <w:vAlign w:val="center"/>
          </w:tcPr>
          <w:p w14:paraId="6F6068B1" w14:textId="77777777" w:rsidR="00054437" w:rsidRPr="000549B1" w:rsidRDefault="00000000">
            <w:pPr>
              <w:jc w:val="center"/>
              <w:rPr>
                <w:bCs/>
                <w:szCs w:val="21"/>
              </w:rPr>
            </w:pPr>
            <w:r w:rsidRPr="000549B1">
              <w:rPr>
                <w:bCs/>
                <w:szCs w:val="21"/>
              </w:rPr>
              <w:t>1575</w:t>
            </w:r>
          </w:p>
        </w:tc>
        <w:tc>
          <w:tcPr>
            <w:tcW w:w="0" w:type="auto"/>
            <w:vAlign w:val="center"/>
          </w:tcPr>
          <w:p w14:paraId="609D316E" w14:textId="77777777" w:rsidR="00054437" w:rsidRPr="000549B1" w:rsidRDefault="00000000">
            <w:pPr>
              <w:jc w:val="center"/>
              <w:rPr>
                <w:bCs/>
                <w:szCs w:val="21"/>
              </w:rPr>
            </w:pPr>
            <w:r w:rsidRPr="000549B1">
              <w:rPr>
                <w:bCs/>
                <w:szCs w:val="21"/>
              </w:rPr>
              <w:t>4091</w:t>
            </w:r>
          </w:p>
        </w:tc>
        <w:tc>
          <w:tcPr>
            <w:tcW w:w="0" w:type="auto"/>
            <w:vAlign w:val="center"/>
          </w:tcPr>
          <w:p w14:paraId="097E2ECB" w14:textId="77777777" w:rsidR="00054437" w:rsidRPr="000549B1" w:rsidRDefault="00000000">
            <w:pPr>
              <w:jc w:val="center"/>
              <w:rPr>
                <w:bCs/>
                <w:szCs w:val="21"/>
              </w:rPr>
            </w:pPr>
            <w:r w:rsidRPr="000549B1">
              <w:rPr>
                <w:bCs/>
                <w:szCs w:val="21"/>
              </w:rPr>
              <w:t>0</w:t>
            </w:r>
          </w:p>
        </w:tc>
        <w:tc>
          <w:tcPr>
            <w:tcW w:w="0" w:type="auto"/>
            <w:vAlign w:val="center"/>
          </w:tcPr>
          <w:p w14:paraId="48D5CF74" w14:textId="77777777" w:rsidR="00054437" w:rsidRPr="000549B1" w:rsidRDefault="00000000">
            <w:pPr>
              <w:jc w:val="center"/>
              <w:rPr>
                <w:bCs/>
                <w:szCs w:val="21"/>
              </w:rPr>
            </w:pPr>
            <w:r w:rsidRPr="000549B1">
              <w:rPr>
                <w:bCs/>
                <w:szCs w:val="21"/>
              </w:rPr>
              <w:t>0</w:t>
            </w:r>
          </w:p>
        </w:tc>
        <w:tc>
          <w:tcPr>
            <w:tcW w:w="0" w:type="auto"/>
            <w:vAlign w:val="center"/>
          </w:tcPr>
          <w:p w14:paraId="4D846756" w14:textId="77777777" w:rsidR="00054437" w:rsidRPr="000549B1" w:rsidRDefault="00000000">
            <w:pPr>
              <w:jc w:val="center"/>
              <w:rPr>
                <w:bCs/>
                <w:szCs w:val="21"/>
              </w:rPr>
            </w:pPr>
            <w:r w:rsidRPr="000549B1">
              <w:rPr>
                <w:bCs/>
                <w:szCs w:val="21"/>
              </w:rPr>
              <w:t>0</w:t>
            </w:r>
          </w:p>
        </w:tc>
        <w:tc>
          <w:tcPr>
            <w:tcW w:w="0" w:type="auto"/>
            <w:vAlign w:val="center"/>
          </w:tcPr>
          <w:p w14:paraId="6B7D320B" w14:textId="77777777" w:rsidR="00054437" w:rsidRPr="000549B1" w:rsidRDefault="00000000">
            <w:pPr>
              <w:jc w:val="center"/>
              <w:rPr>
                <w:bCs/>
                <w:szCs w:val="21"/>
              </w:rPr>
            </w:pPr>
            <w:r w:rsidRPr="000549B1">
              <w:rPr>
                <w:bCs/>
                <w:szCs w:val="21"/>
              </w:rPr>
              <w:t>0</w:t>
            </w:r>
          </w:p>
        </w:tc>
        <w:tc>
          <w:tcPr>
            <w:tcW w:w="0" w:type="auto"/>
            <w:vAlign w:val="center"/>
          </w:tcPr>
          <w:p w14:paraId="3CF5CE1A" w14:textId="77777777" w:rsidR="00054437" w:rsidRPr="000549B1" w:rsidRDefault="00000000">
            <w:pPr>
              <w:jc w:val="center"/>
              <w:rPr>
                <w:bCs/>
                <w:szCs w:val="21"/>
              </w:rPr>
            </w:pPr>
            <w:r w:rsidRPr="000549B1">
              <w:rPr>
                <w:bCs/>
                <w:szCs w:val="21"/>
              </w:rPr>
              <w:t>0</w:t>
            </w:r>
          </w:p>
        </w:tc>
        <w:tc>
          <w:tcPr>
            <w:tcW w:w="0" w:type="auto"/>
            <w:vAlign w:val="center"/>
          </w:tcPr>
          <w:p w14:paraId="3CF089E5" w14:textId="77777777" w:rsidR="00054437" w:rsidRPr="000549B1" w:rsidRDefault="00000000">
            <w:pPr>
              <w:jc w:val="center"/>
              <w:rPr>
                <w:bCs/>
                <w:szCs w:val="21"/>
              </w:rPr>
            </w:pPr>
            <w:r w:rsidRPr="000549B1">
              <w:rPr>
                <w:bCs/>
                <w:szCs w:val="21"/>
              </w:rPr>
              <w:t>4091</w:t>
            </w:r>
          </w:p>
        </w:tc>
        <w:tc>
          <w:tcPr>
            <w:tcW w:w="0" w:type="auto"/>
            <w:vAlign w:val="center"/>
          </w:tcPr>
          <w:p w14:paraId="72E6F6D9" w14:textId="77777777" w:rsidR="00054437" w:rsidRPr="000549B1" w:rsidRDefault="00000000">
            <w:pPr>
              <w:jc w:val="center"/>
              <w:rPr>
                <w:bCs/>
                <w:szCs w:val="21"/>
              </w:rPr>
            </w:pPr>
            <w:r w:rsidRPr="000549B1">
              <w:rPr>
                <w:bCs/>
                <w:szCs w:val="21"/>
              </w:rPr>
              <w:t>3.0</w:t>
            </w:r>
          </w:p>
        </w:tc>
      </w:tr>
      <w:tr w:rsidR="000549B1" w:rsidRPr="000549B1" w14:paraId="578122CF" w14:textId="77777777">
        <w:trPr>
          <w:trHeight w:val="524"/>
        </w:trPr>
        <w:tc>
          <w:tcPr>
            <w:tcW w:w="0" w:type="auto"/>
            <w:vMerge/>
            <w:vAlign w:val="center"/>
          </w:tcPr>
          <w:p w14:paraId="7D5C8F47" w14:textId="77777777" w:rsidR="00054437" w:rsidRPr="000549B1" w:rsidRDefault="00054437">
            <w:pPr>
              <w:jc w:val="center"/>
              <w:rPr>
                <w:bCs/>
                <w:szCs w:val="21"/>
              </w:rPr>
            </w:pPr>
          </w:p>
        </w:tc>
        <w:tc>
          <w:tcPr>
            <w:tcW w:w="0" w:type="auto"/>
            <w:vMerge/>
            <w:vAlign w:val="center"/>
          </w:tcPr>
          <w:p w14:paraId="62F18E14" w14:textId="77777777" w:rsidR="00054437" w:rsidRPr="000549B1" w:rsidRDefault="00054437">
            <w:pPr>
              <w:jc w:val="center"/>
              <w:rPr>
                <w:bCs/>
                <w:szCs w:val="21"/>
              </w:rPr>
            </w:pPr>
          </w:p>
        </w:tc>
        <w:tc>
          <w:tcPr>
            <w:tcW w:w="0" w:type="auto"/>
            <w:gridSpan w:val="2"/>
            <w:vAlign w:val="center"/>
          </w:tcPr>
          <w:p w14:paraId="67E475B2" w14:textId="77777777" w:rsidR="00054437" w:rsidRPr="000549B1" w:rsidRDefault="00000000">
            <w:pPr>
              <w:jc w:val="center"/>
              <w:rPr>
                <w:bCs/>
                <w:szCs w:val="21"/>
              </w:rPr>
            </w:pPr>
            <w:r w:rsidRPr="000549B1">
              <w:rPr>
                <w:bCs/>
                <w:szCs w:val="21"/>
              </w:rPr>
              <w:t>小计</w:t>
            </w:r>
          </w:p>
        </w:tc>
        <w:tc>
          <w:tcPr>
            <w:tcW w:w="0" w:type="auto"/>
            <w:vAlign w:val="center"/>
          </w:tcPr>
          <w:p w14:paraId="4284251A" w14:textId="77777777" w:rsidR="00054437" w:rsidRPr="000549B1" w:rsidRDefault="00000000">
            <w:pPr>
              <w:jc w:val="center"/>
              <w:rPr>
                <w:bCs/>
                <w:szCs w:val="21"/>
              </w:rPr>
            </w:pPr>
            <w:r w:rsidRPr="000549B1">
              <w:rPr>
                <w:bCs/>
                <w:szCs w:val="21"/>
              </w:rPr>
              <w:t>8660</w:t>
            </w:r>
          </w:p>
        </w:tc>
        <w:tc>
          <w:tcPr>
            <w:tcW w:w="0" w:type="auto"/>
            <w:vAlign w:val="center"/>
          </w:tcPr>
          <w:p w14:paraId="62901E73" w14:textId="77777777" w:rsidR="00054437" w:rsidRPr="000549B1" w:rsidRDefault="00000000">
            <w:pPr>
              <w:jc w:val="center"/>
              <w:rPr>
                <w:bCs/>
                <w:szCs w:val="21"/>
              </w:rPr>
            </w:pPr>
            <w:r w:rsidRPr="000549B1">
              <w:rPr>
                <w:bCs/>
                <w:szCs w:val="21"/>
              </w:rPr>
              <w:t>4350</w:t>
            </w:r>
          </w:p>
        </w:tc>
        <w:tc>
          <w:tcPr>
            <w:tcW w:w="0" w:type="auto"/>
            <w:vAlign w:val="center"/>
          </w:tcPr>
          <w:p w14:paraId="4DED10F8" w14:textId="77777777" w:rsidR="00054437" w:rsidRPr="000549B1" w:rsidRDefault="00000000">
            <w:pPr>
              <w:jc w:val="center"/>
              <w:rPr>
                <w:bCs/>
                <w:szCs w:val="21"/>
              </w:rPr>
            </w:pPr>
            <w:r w:rsidRPr="000549B1">
              <w:rPr>
                <w:bCs/>
                <w:szCs w:val="21"/>
              </w:rPr>
              <w:t>9233</w:t>
            </w:r>
          </w:p>
        </w:tc>
        <w:tc>
          <w:tcPr>
            <w:tcW w:w="0" w:type="auto"/>
            <w:vAlign w:val="center"/>
          </w:tcPr>
          <w:p w14:paraId="1AB0E937" w14:textId="77777777" w:rsidR="00054437" w:rsidRPr="000549B1" w:rsidRDefault="00000000">
            <w:pPr>
              <w:jc w:val="center"/>
              <w:rPr>
                <w:bCs/>
                <w:szCs w:val="21"/>
              </w:rPr>
            </w:pPr>
            <w:r w:rsidRPr="000549B1">
              <w:rPr>
                <w:bCs/>
                <w:szCs w:val="21"/>
              </w:rPr>
              <w:t>17993</w:t>
            </w:r>
          </w:p>
        </w:tc>
        <w:tc>
          <w:tcPr>
            <w:tcW w:w="0" w:type="auto"/>
            <w:vAlign w:val="center"/>
          </w:tcPr>
          <w:p w14:paraId="0FEFA4C5" w14:textId="77777777" w:rsidR="00054437" w:rsidRPr="000549B1" w:rsidRDefault="00000000">
            <w:pPr>
              <w:jc w:val="center"/>
              <w:rPr>
                <w:bCs/>
                <w:szCs w:val="21"/>
              </w:rPr>
            </w:pPr>
            <w:r w:rsidRPr="000549B1">
              <w:rPr>
                <w:bCs/>
                <w:szCs w:val="21"/>
              </w:rPr>
              <w:t>13075</w:t>
            </w:r>
          </w:p>
        </w:tc>
        <w:tc>
          <w:tcPr>
            <w:tcW w:w="0" w:type="auto"/>
            <w:vAlign w:val="center"/>
          </w:tcPr>
          <w:p w14:paraId="7790DF79" w14:textId="77777777" w:rsidR="00054437" w:rsidRPr="000549B1" w:rsidRDefault="00000000">
            <w:pPr>
              <w:jc w:val="center"/>
              <w:rPr>
                <w:bCs/>
                <w:szCs w:val="21"/>
              </w:rPr>
            </w:pPr>
            <w:r w:rsidRPr="000549B1">
              <w:rPr>
                <w:bCs/>
                <w:szCs w:val="21"/>
              </w:rPr>
              <w:t>14152</w:t>
            </w:r>
          </w:p>
        </w:tc>
        <w:tc>
          <w:tcPr>
            <w:tcW w:w="0" w:type="auto"/>
            <w:vAlign w:val="center"/>
          </w:tcPr>
          <w:p w14:paraId="0BDA10DB" w14:textId="77777777" w:rsidR="00054437" w:rsidRPr="000549B1" w:rsidRDefault="00000000">
            <w:pPr>
              <w:jc w:val="center"/>
              <w:rPr>
                <w:bCs/>
                <w:szCs w:val="21"/>
              </w:rPr>
            </w:pPr>
            <w:r w:rsidRPr="000549B1">
              <w:rPr>
                <w:bCs/>
                <w:szCs w:val="21"/>
              </w:rPr>
              <w:t>4311</w:t>
            </w:r>
          </w:p>
        </w:tc>
        <w:tc>
          <w:tcPr>
            <w:tcW w:w="0" w:type="auto"/>
            <w:vAlign w:val="center"/>
          </w:tcPr>
          <w:p w14:paraId="47C56A9D" w14:textId="77777777" w:rsidR="00054437" w:rsidRPr="000549B1" w:rsidRDefault="00000000">
            <w:pPr>
              <w:jc w:val="center"/>
              <w:rPr>
                <w:bCs/>
                <w:szCs w:val="21"/>
              </w:rPr>
            </w:pPr>
            <w:r w:rsidRPr="000549B1">
              <w:rPr>
                <w:bCs/>
                <w:szCs w:val="21"/>
              </w:rPr>
              <w:t>9451</w:t>
            </w:r>
          </w:p>
        </w:tc>
        <w:tc>
          <w:tcPr>
            <w:tcW w:w="0" w:type="auto"/>
            <w:vAlign w:val="center"/>
          </w:tcPr>
          <w:p w14:paraId="7B97E6B1" w14:textId="77777777" w:rsidR="00054437" w:rsidRPr="000549B1" w:rsidRDefault="00000000">
            <w:pPr>
              <w:jc w:val="center"/>
              <w:rPr>
                <w:bCs/>
                <w:szCs w:val="21"/>
              </w:rPr>
            </w:pPr>
            <w:r w:rsidRPr="000549B1">
              <w:rPr>
                <w:bCs/>
                <w:szCs w:val="21"/>
              </w:rPr>
              <w:t>5390</w:t>
            </w:r>
          </w:p>
        </w:tc>
        <w:tc>
          <w:tcPr>
            <w:tcW w:w="0" w:type="auto"/>
            <w:vAlign w:val="center"/>
          </w:tcPr>
          <w:p w14:paraId="0D7A1674" w14:textId="77777777" w:rsidR="00054437" w:rsidRPr="000549B1" w:rsidRDefault="00000000">
            <w:pPr>
              <w:jc w:val="center"/>
              <w:rPr>
                <w:bCs/>
                <w:szCs w:val="21"/>
              </w:rPr>
            </w:pPr>
            <w:r w:rsidRPr="000549B1">
              <w:rPr>
                <w:bCs/>
                <w:szCs w:val="21"/>
              </w:rPr>
              <w:t>0</w:t>
            </w:r>
          </w:p>
        </w:tc>
        <w:tc>
          <w:tcPr>
            <w:tcW w:w="0" w:type="auto"/>
            <w:vAlign w:val="center"/>
          </w:tcPr>
          <w:p w14:paraId="1FBC2740" w14:textId="77777777" w:rsidR="00054437" w:rsidRPr="000549B1" w:rsidRDefault="00000000">
            <w:pPr>
              <w:jc w:val="center"/>
              <w:rPr>
                <w:bCs/>
                <w:szCs w:val="21"/>
              </w:rPr>
            </w:pPr>
            <w:r w:rsidRPr="000549B1">
              <w:rPr>
                <w:bCs/>
                <w:szCs w:val="21"/>
              </w:rPr>
              <w:t>14841</w:t>
            </w:r>
          </w:p>
        </w:tc>
        <w:tc>
          <w:tcPr>
            <w:tcW w:w="0" w:type="auto"/>
            <w:vAlign w:val="center"/>
          </w:tcPr>
          <w:p w14:paraId="103A8431" w14:textId="77777777" w:rsidR="00054437" w:rsidRPr="000549B1" w:rsidRDefault="00000000">
            <w:pPr>
              <w:jc w:val="center"/>
              <w:rPr>
                <w:bCs/>
                <w:szCs w:val="21"/>
              </w:rPr>
            </w:pPr>
            <w:r w:rsidRPr="000549B1">
              <w:rPr>
                <w:bCs/>
                <w:szCs w:val="21"/>
              </w:rPr>
              <w:t>28993</w:t>
            </w:r>
          </w:p>
        </w:tc>
        <w:tc>
          <w:tcPr>
            <w:tcW w:w="0" w:type="auto"/>
            <w:vAlign w:val="center"/>
          </w:tcPr>
          <w:p w14:paraId="2FEDF949" w14:textId="77777777" w:rsidR="00054437" w:rsidRPr="000549B1" w:rsidRDefault="00000000">
            <w:pPr>
              <w:jc w:val="center"/>
              <w:rPr>
                <w:bCs/>
                <w:szCs w:val="21"/>
              </w:rPr>
            </w:pPr>
            <w:r w:rsidRPr="000549B1">
              <w:rPr>
                <w:bCs/>
                <w:szCs w:val="21"/>
              </w:rPr>
              <w:t>3.3</w:t>
            </w:r>
          </w:p>
        </w:tc>
      </w:tr>
      <w:bookmarkEnd w:id="198"/>
    </w:tbl>
    <w:p w14:paraId="10214F5F" w14:textId="77777777" w:rsidR="00054437" w:rsidRPr="000549B1" w:rsidRDefault="00054437">
      <w:pPr>
        <w:rPr>
          <w:b/>
        </w:rPr>
        <w:sectPr w:rsidR="00054437" w:rsidRPr="000549B1">
          <w:footerReference w:type="default" r:id="rId20"/>
          <w:pgSz w:w="16838" w:h="11906" w:orient="landscape"/>
          <w:pgMar w:top="1803" w:right="1440" w:bottom="1803" w:left="1440" w:header="851" w:footer="992" w:gutter="0"/>
          <w:cols w:space="0"/>
          <w:docGrid w:type="lines" w:linePitch="319"/>
        </w:sectPr>
      </w:pPr>
    </w:p>
    <w:p w14:paraId="68EE9FC3" w14:textId="77777777" w:rsidR="00054437" w:rsidRPr="000549B1" w:rsidRDefault="00000000">
      <w:pPr>
        <w:pStyle w:val="zhang3"/>
        <w:spacing w:before="156" w:after="156"/>
      </w:pPr>
      <w:r w:rsidRPr="000549B1">
        <w:t>水资源开发利用与现状</w:t>
      </w:r>
    </w:p>
    <w:p w14:paraId="2573FB25" w14:textId="77777777" w:rsidR="00054437" w:rsidRPr="000549B1" w:rsidRDefault="00000000">
      <w:pPr>
        <w:pStyle w:val="4"/>
        <w:adjustRightInd w:val="0"/>
        <w:snapToGrid w:val="0"/>
        <w:spacing w:before="0" w:after="0" w:line="360" w:lineRule="auto"/>
        <w:rPr>
          <w:rFonts w:ascii="Times New Roman" w:eastAsia="黑体" w:hAnsi="Times New Roman"/>
          <w:bCs w:val="0"/>
        </w:rPr>
      </w:pPr>
      <w:r w:rsidRPr="000549B1">
        <w:rPr>
          <w:rFonts w:ascii="Times New Roman" w:eastAsia="黑体" w:hAnsi="Times New Roman"/>
          <w:bCs w:val="0"/>
        </w:rPr>
        <w:t>现状水利工程</w:t>
      </w:r>
    </w:p>
    <w:p w14:paraId="6D768538" w14:textId="77777777" w:rsidR="00054437" w:rsidRPr="000549B1" w:rsidRDefault="00000000">
      <w:pPr>
        <w:pStyle w:val="x"/>
      </w:pPr>
      <w:r w:rsidRPr="000549B1">
        <w:t>（</w:t>
      </w:r>
      <w:r w:rsidRPr="000549B1">
        <w:t>1</w:t>
      </w:r>
      <w:r w:rsidRPr="000549B1">
        <w:t>）蓄水工程</w:t>
      </w:r>
    </w:p>
    <w:p w14:paraId="76E199D2" w14:textId="37E4B6EB" w:rsidR="00054437" w:rsidRPr="000549B1" w:rsidRDefault="00000000">
      <w:pPr>
        <w:pStyle w:val="x"/>
      </w:pPr>
      <w:r w:rsidRPr="000549B1">
        <w:t>近年来，随着经济社会的可持续发展，沙珠玉河流域新建了以供水、灌溉、防洪等为主要任务的水利工程。截至</w:t>
      </w:r>
      <w:r w:rsidRPr="000549B1">
        <w:t>2024</w:t>
      </w:r>
      <w:r w:rsidRPr="000549B1">
        <w:t>年，沙珠玉河流域已建成各类蓄水工程</w:t>
      </w:r>
      <w:r w:rsidRPr="000549B1">
        <w:t>11</w:t>
      </w:r>
      <w:r w:rsidRPr="000549B1">
        <w:t>座，其中包括</w:t>
      </w:r>
      <w:r w:rsidRPr="000549B1">
        <w:t>2</w:t>
      </w:r>
      <w:r w:rsidRPr="000549B1">
        <w:t>座中型水库和</w:t>
      </w:r>
      <w:r w:rsidRPr="000549B1">
        <w:t>9</w:t>
      </w:r>
      <w:r w:rsidRPr="000549B1">
        <w:t>座小型水库，总库容</w:t>
      </w:r>
      <w:r w:rsidRPr="000549B1">
        <w:t>4497</w:t>
      </w:r>
      <w:r w:rsidRPr="000549B1">
        <w:t>万</w:t>
      </w:r>
      <w:r w:rsidRPr="000549B1">
        <w:t>m</w:t>
      </w:r>
      <w:r w:rsidRPr="000549B1">
        <w:rPr>
          <w:vertAlign w:val="superscript"/>
        </w:rPr>
        <w:t>3</w:t>
      </w:r>
      <w:r w:rsidRPr="000549B1">
        <w:t>，兴利库容</w:t>
      </w:r>
      <w:r w:rsidRPr="000549B1">
        <w:t>3693</w:t>
      </w:r>
      <w:r w:rsidRPr="000549B1">
        <w:t>万</w:t>
      </w:r>
      <w:r w:rsidRPr="000549B1">
        <w:t>m</w:t>
      </w:r>
      <w:r w:rsidRPr="000549B1">
        <w:rPr>
          <w:vertAlign w:val="superscript"/>
        </w:rPr>
        <w:t>3</w:t>
      </w:r>
      <w:r w:rsidRPr="000549B1">
        <w:t>。流域内现状蓄水工程基本情况见</w:t>
      </w:r>
      <w:r w:rsidR="00F32CCA" w:rsidRPr="000549B1">
        <w:t>表</w:t>
      </w:r>
      <w:r w:rsidR="00F32CCA">
        <w:t>3.2</w:t>
      </w:r>
      <w:r w:rsidR="00F32CCA">
        <w:noBreakHyphen/>
        <w:t>4</w:t>
      </w:r>
      <w:r w:rsidRPr="000549B1">
        <w:t>。</w:t>
      </w:r>
    </w:p>
    <w:p w14:paraId="47D6FD75" w14:textId="046D1F8B" w:rsidR="00054437" w:rsidRPr="000549B1" w:rsidRDefault="00000000">
      <w:pPr>
        <w:pStyle w:val="aff8"/>
        <w:rPr>
          <w:color w:val="auto"/>
        </w:rPr>
      </w:pPr>
      <w:bookmarkStart w:id="199" w:name="_Ref214977609"/>
      <w:r w:rsidRPr="000549B1">
        <w:rPr>
          <w:color w:val="auto"/>
        </w:rPr>
        <w:t>表</w:t>
      </w:r>
      <w:r w:rsidR="00372953">
        <w:rPr>
          <w:color w:val="auto"/>
        </w:rPr>
        <w:fldChar w:fldCharType="begin"/>
      </w:r>
      <w:r w:rsidR="00372953">
        <w:rPr>
          <w:color w:val="auto"/>
        </w:rPr>
        <w:instrText xml:space="preserve"> STYLEREF 2 \s </w:instrText>
      </w:r>
      <w:r w:rsidR="00372953">
        <w:rPr>
          <w:color w:val="auto"/>
        </w:rPr>
        <w:fldChar w:fldCharType="separate"/>
      </w:r>
      <w:r w:rsidR="00372953">
        <w:rPr>
          <w:noProof/>
          <w:color w:val="auto"/>
        </w:rPr>
        <w:t>3.2</w:t>
      </w:r>
      <w:r w:rsidR="00372953">
        <w:rPr>
          <w:color w:val="auto"/>
        </w:rPr>
        <w:fldChar w:fldCharType="end"/>
      </w:r>
      <w:r w:rsidR="00372953">
        <w:rPr>
          <w:color w:val="auto"/>
        </w:rPr>
        <w:noBreakHyphen/>
      </w:r>
      <w:r w:rsidR="00372953">
        <w:rPr>
          <w:color w:val="auto"/>
        </w:rPr>
        <w:fldChar w:fldCharType="begin"/>
      </w:r>
      <w:r w:rsidR="00372953">
        <w:rPr>
          <w:color w:val="auto"/>
        </w:rPr>
        <w:instrText xml:space="preserve"> SEQ </w:instrText>
      </w:r>
      <w:r w:rsidR="00372953">
        <w:rPr>
          <w:color w:val="auto"/>
        </w:rPr>
        <w:instrText>表</w:instrText>
      </w:r>
      <w:r w:rsidR="00372953">
        <w:rPr>
          <w:color w:val="auto"/>
        </w:rPr>
        <w:instrText xml:space="preserve"> \* ARABIC \s 2 </w:instrText>
      </w:r>
      <w:r w:rsidR="00372953">
        <w:rPr>
          <w:color w:val="auto"/>
        </w:rPr>
        <w:fldChar w:fldCharType="separate"/>
      </w:r>
      <w:r w:rsidR="00372953">
        <w:rPr>
          <w:noProof/>
          <w:color w:val="auto"/>
        </w:rPr>
        <w:t>4</w:t>
      </w:r>
      <w:r w:rsidR="00372953">
        <w:rPr>
          <w:color w:val="auto"/>
        </w:rPr>
        <w:fldChar w:fldCharType="end"/>
      </w:r>
      <w:bookmarkEnd w:id="199"/>
      <w:r w:rsidRPr="000549B1">
        <w:rPr>
          <w:color w:val="auto"/>
        </w:rPr>
        <w:t>沙珠玉流域现状蓄水工程基本情况表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
        <w:gridCol w:w="1402"/>
        <w:gridCol w:w="1284"/>
        <w:gridCol w:w="1284"/>
        <w:gridCol w:w="1284"/>
        <w:gridCol w:w="1065"/>
        <w:gridCol w:w="1069"/>
      </w:tblGrid>
      <w:tr w:rsidR="000549B1" w:rsidRPr="000549B1" w14:paraId="00CAF8FA" w14:textId="77777777">
        <w:trPr>
          <w:trHeight w:val="340"/>
          <w:tblHeader/>
        </w:trPr>
        <w:tc>
          <w:tcPr>
            <w:tcW w:w="547" w:type="pct"/>
            <w:vAlign w:val="center"/>
          </w:tcPr>
          <w:p w14:paraId="1DC64833" w14:textId="77777777" w:rsidR="00054437" w:rsidRPr="000549B1" w:rsidRDefault="00000000">
            <w:pPr>
              <w:pStyle w:val="CharCharCharCharChar"/>
              <w:rPr>
                <w:b/>
                <w:bCs/>
                <w:color w:val="auto"/>
              </w:rPr>
            </w:pPr>
            <w:r w:rsidRPr="000549B1">
              <w:rPr>
                <w:b/>
                <w:bCs/>
                <w:color w:val="auto"/>
              </w:rPr>
              <w:t>序号</w:t>
            </w:r>
          </w:p>
        </w:tc>
        <w:tc>
          <w:tcPr>
            <w:tcW w:w="845" w:type="pct"/>
            <w:vAlign w:val="center"/>
          </w:tcPr>
          <w:p w14:paraId="5ACC8612" w14:textId="77777777" w:rsidR="00054437" w:rsidRPr="000549B1" w:rsidRDefault="00000000">
            <w:pPr>
              <w:pStyle w:val="CharCharCharCharChar"/>
              <w:rPr>
                <w:b/>
                <w:bCs/>
                <w:color w:val="auto"/>
              </w:rPr>
            </w:pPr>
            <w:r w:rsidRPr="000549B1">
              <w:rPr>
                <w:b/>
                <w:bCs/>
                <w:color w:val="auto"/>
              </w:rPr>
              <w:t>水库名称</w:t>
            </w:r>
          </w:p>
        </w:tc>
        <w:tc>
          <w:tcPr>
            <w:tcW w:w="774" w:type="pct"/>
            <w:vAlign w:val="center"/>
          </w:tcPr>
          <w:p w14:paraId="73404D8F" w14:textId="77777777" w:rsidR="00054437" w:rsidRPr="000549B1" w:rsidRDefault="00000000">
            <w:pPr>
              <w:pStyle w:val="CharCharCharCharChar"/>
              <w:rPr>
                <w:b/>
                <w:bCs/>
                <w:color w:val="auto"/>
              </w:rPr>
            </w:pPr>
            <w:r w:rsidRPr="000549B1">
              <w:rPr>
                <w:b/>
                <w:bCs/>
                <w:color w:val="auto"/>
              </w:rPr>
              <w:t>所在乡镇</w:t>
            </w:r>
          </w:p>
        </w:tc>
        <w:tc>
          <w:tcPr>
            <w:tcW w:w="774" w:type="pct"/>
            <w:vAlign w:val="center"/>
          </w:tcPr>
          <w:p w14:paraId="04EC4BCF" w14:textId="77777777" w:rsidR="00054437" w:rsidRPr="000549B1" w:rsidRDefault="00000000">
            <w:pPr>
              <w:pStyle w:val="CharCharCharCharChar"/>
              <w:rPr>
                <w:b/>
                <w:bCs/>
                <w:color w:val="auto"/>
              </w:rPr>
            </w:pPr>
            <w:r w:rsidRPr="000549B1">
              <w:rPr>
                <w:b/>
                <w:bCs/>
                <w:color w:val="auto"/>
              </w:rPr>
              <w:t>水源</w:t>
            </w:r>
          </w:p>
        </w:tc>
        <w:tc>
          <w:tcPr>
            <w:tcW w:w="774" w:type="pct"/>
            <w:vAlign w:val="center"/>
          </w:tcPr>
          <w:p w14:paraId="7824E431" w14:textId="77777777" w:rsidR="00054437" w:rsidRPr="000549B1" w:rsidRDefault="00000000">
            <w:pPr>
              <w:pStyle w:val="CharCharCharCharChar"/>
              <w:rPr>
                <w:b/>
                <w:bCs/>
                <w:color w:val="auto"/>
              </w:rPr>
            </w:pPr>
            <w:r w:rsidRPr="000549B1">
              <w:rPr>
                <w:b/>
                <w:bCs/>
                <w:color w:val="auto"/>
              </w:rPr>
              <w:t>工程规模</w:t>
            </w:r>
          </w:p>
        </w:tc>
        <w:tc>
          <w:tcPr>
            <w:tcW w:w="642" w:type="pct"/>
            <w:vAlign w:val="center"/>
          </w:tcPr>
          <w:p w14:paraId="3A531B25" w14:textId="77777777" w:rsidR="00054437" w:rsidRPr="000549B1" w:rsidRDefault="00000000">
            <w:pPr>
              <w:pStyle w:val="CharCharCharCharChar"/>
              <w:rPr>
                <w:b/>
                <w:bCs/>
                <w:color w:val="auto"/>
              </w:rPr>
            </w:pPr>
            <w:r w:rsidRPr="000549B1">
              <w:rPr>
                <w:b/>
                <w:bCs/>
                <w:color w:val="auto"/>
              </w:rPr>
              <w:t>总库容</w:t>
            </w:r>
          </w:p>
          <w:p w14:paraId="21453149" w14:textId="77777777" w:rsidR="00054437" w:rsidRPr="000549B1" w:rsidRDefault="00000000">
            <w:pPr>
              <w:pStyle w:val="CharCharCharCharChar"/>
              <w:rPr>
                <w:b/>
                <w:bCs/>
                <w:color w:val="auto"/>
              </w:rPr>
            </w:pPr>
            <w:r w:rsidRPr="000549B1">
              <w:rPr>
                <w:b/>
                <w:bCs/>
                <w:color w:val="auto"/>
              </w:rPr>
              <w:t>（万</w:t>
            </w:r>
            <w:r w:rsidRPr="000549B1">
              <w:rPr>
                <w:b/>
                <w:bCs/>
                <w:color w:val="auto"/>
              </w:rPr>
              <w:t>m³</w:t>
            </w:r>
            <w:r w:rsidRPr="000549B1">
              <w:rPr>
                <w:b/>
                <w:bCs/>
                <w:color w:val="auto"/>
              </w:rPr>
              <w:t>）</w:t>
            </w:r>
          </w:p>
        </w:tc>
        <w:tc>
          <w:tcPr>
            <w:tcW w:w="645" w:type="pct"/>
            <w:vAlign w:val="center"/>
          </w:tcPr>
          <w:p w14:paraId="76808500" w14:textId="77777777" w:rsidR="00054437" w:rsidRPr="000549B1" w:rsidRDefault="00000000">
            <w:pPr>
              <w:pStyle w:val="CharCharCharCharChar"/>
              <w:rPr>
                <w:b/>
                <w:bCs/>
                <w:color w:val="auto"/>
              </w:rPr>
            </w:pPr>
            <w:r w:rsidRPr="000549B1">
              <w:rPr>
                <w:b/>
                <w:bCs/>
                <w:color w:val="auto"/>
              </w:rPr>
              <w:t>兴利库容</w:t>
            </w:r>
          </w:p>
          <w:p w14:paraId="3B7B35C7" w14:textId="77777777" w:rsidR="00054437" w:rsidRPr="000549B1" w:rsidRDefault="00000000">
            <w:pPr>
              <w:pStyle w:val="CharCharCharCharChar"/>
              <w:rPr>
                <w:b/>
                <w:bCs/>
                <w:color w:val="auto"/>
              </w:rPr>
            </w:pPr>
            <w:r w:rsidRPr="000549B1">
              <w:rPr>
                <w:b/>
                <w:bCs/>
                <w:color w:val="auto"/>
              </w:rPr>
              <w:t>（万</w:t>
            </w:r>
            <w:r w:rsidRPr="000549B1">
              <w:rPr>
                <w:b/>
                <w:bCs/>
                <w:color w:val="auto"/>
              </w:rPr>
              <w:t>m³</w:t>
            </w:r>
            <w:r w:rsidRPr="000549B1">
              <w:rPr>
                <w:b/>
                <w:bCs/>
                <w:color w:val="auto"/>
              </w:rPr>
              <w:t>）</w:t>
            </w:r>
          </w:p>
        </w:tc>
      </w:tr>
      <w:tr w:rsidR="000549B1" w:rsidRPr="000549B1" w14:paraId="480FB854" w14:textId="77777777">
        <w:trPr>
          <w:trHeight w:val="340"/>
        </w:trPr>
        <w:tc>
          <w:tcPr>
            <w:tcW w:w="547" w:type="pct"/>
            <w:noWrap/>
            <w:vAlign w:val="center"/>
          </w:tcPr>
          <w:p w14:paraId="05BE2E98" w14:textId="77777777" w:rsidR="00054437" w:rsidRPr="000549B1" w:rsidRDefault="00000000">
            <w:pPr>
              <w:pStyle w:val="CharCharCharCharChar"/>
              <w:rPr>
                <w:color w:val="auto"/>
              </w:rPr>
            </w:pPr>
            <w:r w:rsidRPr="000549B1">
              <w:rPr>
                <w:color w:val="auto"/>
              </w:rPr>
              <w:t>1</w:t>
            </w:r>
          </w:p>
        </w:tc>
        <w:tc>
          <w:tcPr>
            <w:tcW w:w="845" w:type="pct"/>
            <w:noWrap/>
            <w:vAlign w:val="center"/>
          </w:tcPr>
          <w:p w14:paraId="6C0E314B" w14:textId="77777777" w:rsidR="00054437" w:rsidRPr="000549B1" w:rsidRDefault="00000000">
            <w:pPr>
              <w:pStyle w:val="CharCharCharCharChar"/>
              <w:rPr>
                <w:color w:val="auto"/>
              </w:rPr>
            </w:pPr>
            <w:r w:rsidRPr="000549B1">
              <w:rPr>
                <w:color w:val="auto"/>
              </w:rPr>
              <w:t>娘堂水库</w:t>
            </w:r>
          </w:p>
        </w:tc>
        <w:tc>
          <w:tcPr>
            <w:tcW w:w="774" w:type="pct"/>
            <w:noWrap/>
            <w:vAlign w:val="center"/>
          </w:tcPr>
          <w:p w14:paraId="7785F8CC" w14:textId="77777777" w:rsidR="00054437" w:rsidRPr="000549B1" w:rsidRDefault="00000000">
            <w:pPr>
              <w:pStyle w:val="CharCharCharCharChar"/>
              <w:rPr>
                <w:color w:val="auto"/>
              </w:rPr>
            </w:pPr>
            <w:r w:rsidRPr="000549B1">
              <w:rPr>
                <w:color w:val="auto"/>
              </w:rPr>
              <w:t>沙珠玉乡</w:t>
            </w:r>
          </w:p>
        </w:tc>
        <w:tc>
          <w:tcPr>
            <w:tcW w:w="774" w:type="pct"/>
            <w:vAlign w:val="center"/>
          </w:tcPr>
          <w:p w14:paraId="69A68FEF" w14:textId="77777777" w:rsidR="00054437" w:rsidRPr="000549B1" w:rsidRDefault="00000000">
            <w:pPr>
              <w:pStyle w:val="CharCharCharCharChar"/>
              <w:rPr>
                <w:color w:val="auto"/>
              </w:rPr>
            </w:pPr>
            <w:r w:rsidRPr="000549B1">
              <w:rPr>
                <w:color w:val="auto"/>
              </w:rPr>
              <w:t>沙珠玉河</w:t>
            </w:r>
          </w:p>
        </w:tc>
        <w:tc>
          <w:tcPr>
            <w:tcW w:w="774" w:type="pct"/>
            <w:noWrap/>
            <w:vAlign w:val="center"/>
          </w:tcPr>
          <w:p w14:paraId="35ECBE55" w14:textId="77777777" w:rsidR="00054437" w:rsidRPr="000549B1" w:rsidRDefault="00000000">
            <w:pPr>
              <w:pStyle w:val="CharCharCharCharChar"/>
              <w:rPr>
                <w:color w:val="auto"/>
              </w:rPr>
            </w:pPr>
            <w:r w:rsidRPr="000549B1">
              <w:rPr>
                <w:color w:val="auto"/>
              </w:rPr>
              <w:t>中型</w:t>
            </w:r>
          </w:p>
        </w:tc>
        <w:tc>
          <w:tcPr>
            <w:tcW w:w="642" w:type="pct"/>
            <w:noWrap/>
            <w:vAlign w:val="center"/>
          </w:tcPr>
          <w:p w14:paraId="564E9C0B" w14:textId="77777777" w:rsidR="00054437" w:rsidRPr="000549B1" w:rsidRDefault="00000000">
            <w:pPr>
              <w:pStyle w:val="CharCharCharCharChar"/>
              <w:rPr>
                <w:color w:val="auto"/>
              </w:rPr>
            </w:pPr>
            <w:r w:rsidRPr="000549B1">
              <w:rPr>
                <w:color w:val="auto"/>
              </w:rPr>
              <w:t>1080</w:t>
            </w:r>
          </w:p>
        </w:tc>
        <w:tc>
          <w:tcPr>
            <w:tcW w:w="645" w:type="pct"/>
            <w:noWrap/>
            <w:vAlign w:val="center"/>
          </w:tcPr>
          <w:p w14:paraId="20C531AF" w14:textId="77777777" w:rsidR="00054437" w:rsidRPr="000549B1" w:rsidRDefault="00000000">
            <w:pPr>
              <w:pStyle w:val="CharCharCharCharChar"/>
              <w:rPr>
                <w:color w:val="auto"/>
              </w:rPr>
            </w:pPr>
            <w:r w:rsidRPr="000549B1">
              <w:rPr>
                <w:color w:val="auto"/>
              </w:rPr>
              <w:t>880</w:t>
            </w:r>
          </w:p>
        </w:tc>
      </w:tr>
      <w:tr w:rsidR="000549B1" w:rsidRPr="000549B1" w14:paraId="16161954" w14:textId="77777777">
        <w:trPr>
          <w:trHeight w:val="340"/>
        </w:trPr>
        <w:tc>
          <w:tcPr>
            <w:tcW w:w="547" w:type="pct"/>
            <w:noWrap/>
            <w:vAlign w:val="center"/>
          </w:tcPr>
          <w:p w14:paraId="1E1F395F" w14:textId="77777777" w:rsidR="00054437" w:rsidRPr="000549B1" w:rsidRDefault="00000000">
            <w:pPr>
              <w:pStyle w:val="CharCharCharCharChar"/>
              <w:rPr>
                <w:color w:val="auto"/>
              </w:rPr>
            </w:pPr>
            <w:r w:rsidRPr="000549B1">
              <w:rPr>
                <w:color w:val="auto"/>
              </w:rPr>
              <w:t>2</w:t>
            </w:r>
          </w:p>
        </w:tc>
        <w:tc>
          <w:tcPr>
            <w:tcW w:w="845" w:type="pct"/>
            <w:noWrap/>
            <w:vAlign w:val="center"/>
          </w:tcPr>
          <w:p w14:paraId="2EE8B699" w14:textId="77777777" w:rsidR="00054437" w:rsidRPr="000549B1" w:rsidRDefault="00000000">
            <w:pPr>
              <w:pStyle w:val="CharCharCharCharChar"/>
              <w:rPr>
                <w:color w:val="auto"/>
              </w:rPr>
            </w:pPr>
            <w:r w:rsidRPr="000549B1">
              <w:rPr>
                <w:color w:val="auto"/>
              </w:rPr>
              <w:t>哇洪水库</w:t>
            </w:r>
          </w:p>
        </w:tc>
        <w:tc>
          <w:tcPr>
            <w:tcW w:w="774" w:type="pct"/>
            <w:noWrap/>
            <w:vAlign w:val="center"/>
          </w:tcPr>
          <w:p w14:paraId="30B1D131" w14:textId="77777777" w:rsidR="00054437" w:rsidRPr="000549B1" w:rsidRDefault="00000000">
            <w:pPr>
              <w:pStyle w:val="CharCharCharCharChar"/>
              <w:rPr>
                <w:color w:val="auto"/>
              </w:rPr>
            </w:pPr>
            <w:r w:rsidRPr="000549B1">
              <w:rPr>
                <w:color w:val="auto"/>
              </w:rPr>
              <w:t>切吉乡</w:t>
            </w:r>
          </w:p>
        </w:tc>
        <w:tc>
          <w:tcPr>
            <w:tcW w:w="774" w:type="pct"/>
            <w:vAlign w:val="center"/>
          </w:tcPr>
          <w:p w14:paraId="30B314D3" w14:textId="77777777" w:rsidR="00054437" w:rsidRPr="000549B1" w:rsidRDefault="00000000">
            <w:pPr>
              <w:pStyle w:val="CharCharCharCharChar"/>
              <w:rPr>
                <w:color w:val="auto"/>
              </w:rPr>
            </w:pPr>
            <w:r w:rsidRPr="000549B1">
              <w:rPr>
                <w:color w:val="auto"/>
              </w:rPr>
              <w:t>哇洪沟</w:t>
            </w:r>
          </w:p>
        </w:tc>
        <w:tc>
          <w:tcPr>
            <w:tcW w:w="774" w:type="pct"/>
            <w:noWrap/>
            <w:vAlign w:val="center"/>
          </w:tcPr>
          <w:p w14:paraId="6132BC31" w14:textId="77777777" w:rsidR="00054437" w:rsidRPr="000549B1" w:rsidRDefault="00000000">
            <w:pPr>
              <w:pStyle w:val="CharCharCharCharChar"/>
              <w:rPr>
                <w:color w:val="auto"/>
              </w:rPr>
            </w:pPr>
            <w:r w:rsidRPr="000549B1">
              <w:rPr>
                <w:color w:val="auto"/>
              </w:rPr>
              <w:t>中型</w:t>
            </w:r>
          </w:p>
        </w:tc>
        <w:tc>
          <w:tcPr>
            <w:tcW w:w="642" w:type="pct"/>
            <w:noWrap/>
            <w:vAlign w:val="center"/>
          </w:tcPr>
          <w:p w14:paraId="726A7FF6" w14:textId="77777777" w:rsidR="00054437" w:rsidRPr="000549B1" w:rsidRDefault="00000000">
            <w:pPr>
              <w:pStyle w:val="CharCharCharCharChar"/>
              <w:rPr>
                <w:color w:val="auto"/>
              </w:rPr>
            </w:pPr>
            <w:r w:rsidRPr="000549B1">
              <w:rPr>
                <w:color w:val="auto"/>
              </w:rPr>
              <w:t>1961</w:t>
            </w:r>
          </w:p>
        </w:tc>
        <w:tc>
          <w:tcPr>
            <w:tcW w:w="645" w:type="pct"/>
            <w:noWrap/>
            <w:vAlign w:val="center"/>
          </w:tcPr>
          <w:p w14:paraId="7ABBEA3D" w14:textId="77777777" w:rsidR="00054437" w:rsidRPr="000549B1" w:rsidRDefault="00000000">
            <w:pPr>
              <w:pStyle w:val="CharCharCharCharChar"/>
              <w:rPr>
                <w:color w:val="auto"/>
              </w:rPr>
            </w:pPr>
            <w:r w:rsidRPr="000549B1">
              <w:rPr>
                <w:color w:val="auto"/>
              </w:rPr>
              <w:t>1664</w:t>
            </w:r>
          </w:p>
        </w:tc>
      </w:tr>
      <w:tr w:rsidR="000549B1" w:rsidRPr="000549B1" w14:paraId="5797D916" w14:textId="77777777">
        <w:trPr>
          <w:trHeight w:val="340"/>
        </w:trPr>
        <w:tc>
          <w:tcPr>
            <w:tcW w:w="547" w:type="pct"/>
            <w:noWrap/>
            <w:vAlign w:val="center"/>
          </w:tcPr>
          <w:p w14:paraId="68D66608" w14:textId="77777777" w:rsidR="00054437" w:rsidRPr="000549B1" w:rsidRDefault="00000000">
            <w:pPr>
              <w:pStyle w:val="CharCharCharCharChar"/>
              <w:rPr>
                <w:color w:val="auto"/>
              </w:rPr>
            </w:pPr>
            <w:r w:rsidRPr="000549B1">
              <w:rPr>
                <w:color w:val="auto"/>
              </w:rPr>
              <w:t>3</w:t>
            </w:r>
          </w:p>
        </w:tc>
        <w:tc>
          <w:tcPr>
            <w:tcW w:w="845" w:type="pct"/>
            <w:noWrap/>
            <w:vAlign w:val="center"/>
          </w:tcPr>
          <w:p w14:paraId="04153BCB" w14:textId="77777777" w:rsidR="00054437" w:rsidRPr="000549B1" w:rsidRDefault="00000000">
            <w:pPr>
              <w:pStyle w:val="CharCharCharCharChar"/>
              <w:rPr>
                <w:color w:val="auto"/>
              </w:rPr>
            </w:pPr>
            <w:r w:rsidRPr="000549B1">
              <w:rPr>
                <w:color w:val="auto"/>
              </w:rPr>
              <w:t>大水水库</w:t>
            </w:r>
          </w:p>
        </w:tc>
        <w:tc>
          <w:tcPr>
            <w:tcW w:w="774" w:type="pct"/>
            <w:noWrap/>
            <w:vAlign w:val="center"/>
          </w:tcPr>
          <w:p w14:paraId="3DA38A07" w14:textId="77777777" w:rsidR="00054437" w:rsidRPr="000549B1" w:rsidRDefault="00000000">
            <w:pPr>
              <w:pStyle w:val="CharCharCharCharChar"/>
              <w:rPr>
                <w:color w:val="auto"/>
              </w:rPr>
            </w:pPr>
            <w:r w:rsidRPr="000549B1">
              <w:rPr>
                <w:color w:val="auto"/>
              </w:rPr>
              <w:t>切吉乡</w:t>
            </w:r>
          </w:p>
        </w:tc>
        <w:tc>
          <w:tcPr>
            <w:tcW w:w="774" w:type="pct"/>
            <w:vAlign w:val="center"/>
          </w:tcPr>
          <w:p w14:paraId="45F2F99F" w14:textId="77777777" w:rsidR="00054437" w:rsidRPr="000549B1" w:rsidRDefault="00000000">
            <w:pPr>
              <w:pStyle w:val="CharCharCharCharChar"/>
              <w:rPr>
                <w:color w:val="auto"/>
              </w:rPr>
            </w:pPr>
            <w:r w:rsidRPr="000549B1">
              <w:rPr>
                <w:color w:val="auto"/>
              </w:rPr>
              <w:t>大水河</w:t>
            </w:r>
          </w:p>
        </w:tc>
        <w:tc>
          <w:tcPr>
            <w:tcW w:w="774" w:type="pct"/>
            <w:noWrap/>
            <w:vAlign w:val="center"/>
          </w:tcPr>
          <w:p w14:paraId="155F22C1" w14:textId="77777777" w:rsidR="00054437" w:rsidRPr="000549B1" w:rsidRDefault="00000000">
            <w:pPr>
              <w:pStyle w:val="CharCharCharCharChar"/>
              <w:rPr>
                <w:color w:val="auto"/>
              </w:rPr>
            </w:pPr>
            <w:r w:rsidRPr="000549B1">
              <w:rPr>
                <w:color w:val="auto"/>
              </w:rPr>
              <w:t>小（</w:t>
            </w:r>
            <w:r w:rsidRPr="000549B1">
              <w:rPr>
                <w:color w:val="auto"/>
              </w:rPr>
              <w:t>1</w:t>
            </w:r>
            <w:r w:rsidRPr="000549B1">
              <w:rPr>
                <w:color w:val="auto"/>
              </w:rPr>
              <w:t>）型</w:t>
            </w:r>
          </w:p>
        </w:tc>
        <w:tc>
          <w:tcPr>
            <w:tcW w:w="642" w:type="pct"/>
            <w:noWrap/>
            <w:vAlign w:val="center"/>
          </w:tcPr>
          <w:p w14:paraId="7DC4FF5B" w14:textId="77777777" w:rsidR="00054437" w:rsidRPr="000549B1" w:rsidRDefault="00000000">
            <w:pPr>
              <w:pStyle w:val="CharCharCharCharChar"/>
              <w:rPr>
                <w:color w:val="auto"/>
              </w:rPr>
            </w:pPr>
            <w:r w:rsidRPr="000549B1">
              <w:rPr>
                <w:color w:val="auto"/>
              </w:rPr>
              <w:t>485</w:t>
            </w:r>
          </w:p>
        </w:tc>
        <w:tc>
          <w:tcPr>
            <w:tcW w:w="645" w:type="pct"/>
            <w:noWrap/>
            <w:vAlign w:val="center"/>
          </w:tcPr>
          <w:p w14:paraId="09853D93" w14:textId="77777777" w:rsidR="00054437" w:rsidRPr="000549B1" w:rsidRDefault="00000000">
            <w:pPr>
              <w:pStyle w:val="CharCharCharCharChar"/>
              <w:rPr>
                <w:color w:val="auto"/>
              </w:rPr>
            </w:pPr>
            <w:r w:rsidRPr="000549B1">
              <w:rPr>
                <w:color w:val="auto"/>
              </w:rPr>
              <w:t>387</w:t>
            </w:r>
          </w:p>
        </w:tc>
      </w:tr>
      <w:tr w:rsidR="000549B1" w:rsidRPr="000549B1" w14:paraId="3934ECF3" w14:textId="77777777">
        <w:trPr>
          <w:trHeight w:val="340"/>
        </w:trPr>
        <w:tc>
          <w:tcPr>
            <w:tcW w:w="547" w:type="pct"/>
            <w:noWrap/>
            <w:vAlign w:val="center"/>
          </w:tcPr>
          <w:p w14:paraId="77701308" w14:textId="77777777" w:rsidR="00054437" w:rsidRPr="000549B1" w:rsidRDefault="00000000">
            <w:pPr>
              <w:pStyle w:val="CharCharCharCharChar"/>
              <w:rPr>
                <w:color w:val="auto"/>
              </w:rPr>
            </w:pPr>
            <w:r w:rsidRPr="000549B1">
              <w:rPr>
                <w:color w:val="auto"/>
              </w:rPr>
              <w:t>4</w:t>
            </w:r>
          </w:p>
        </w:tc>
        <w:tc>
          <w:tcPr>
            <w:tcW w:w="845" w:type="pct"/>
            <w:noWrap/>
            <w:vAlign w:val="center"/>
          </w:tcPr>
          <w:p w14:paraId="21970548" w14:textId="77777777" w:rsidR="00054437" w:rsidRPr="000549B1" w:rsidRDefault="00000000">
            <w:pPr>
              <w:pStyle w:val="CharCharCharCharChar"/>
              <w:rPr>
                <w:color w:val="auto"/>
              </w:rPr>
            </w:pPr>
            <w:r w:rsidRPr="000549B1">
              <w:rPr>
                <w:color w:val="auto"/>
              </w:rPr>
              <w:t>切吉水库</w:t>
            </w:r>
          </w:p>
        </w:tc>
        <w:tc>
          <w:tcPr>
            <w:tcW w:w="774" w:type="pct"/>
            <w:noWrap/>
            <w:vAlign w:val="center"/>
          </w:tcPr>
          <w:p w14:paraId="39B259DF" w14:textId="77777777" w:rsidR="00054437" w:rsidRPr="000549B1" w:rsidRDefault="00000000">
            <w:pPr>
              <w:pStyle w:val="CharCharCharCharChar"/>
              <w:rPr>
                <w:color w:val="auto"/>
              </w:rPr>
            </w:pPr>
            <w:r w:rsidRPr="000549B1">
              <w:rPr>
                <w:color w:val="auto"/>
              </w:rPr>
              <w:t>塘格木镇</w:t>
            </w:r>
          </w:p>
        </w:tc>
        <w:tc>
          <w:tcPr>
            <w:tcW w:w="774" w:type="pct"/>
            <w:vAlign w:val="center"/>
          </w:tcPr>
          <w:p w14:paraId="0A2E9B21" w14:textId="77777777" w:rsidR="00054437" w:rsidRPr="000549B1" w:rsidRDefault="00000000">
            <w:pPr>
              <w:pStyle w:val="CharCharCharCharChar"/>
              <w:rPr>
                <w:color w:val="auto"/>
              </w:rPr>
            </w:pPr>
            <w:r w:rsidRPr="000549B1">
              <w:rPr>
                <w:color w:val="auto"/>
              </w:rPr>
              <w:t>切吉河</w:t>
            </w:r>
          </w:p>
        </w:tc>
        <w:tc>
          <w:tcPr>
            <w:tcW w:w="774" w:type="pct"/>
            <w:noWrap/>
            <w:vAlign w:val="center"/>
          </w:tcPr>
          <w:p w14:paraId="3901EFAB" w14:textId="77777777" w:rsidR="00054437" w:rsidRPr="000549B1" w:rsidRDefault="00000000">
            <w:pPr>
              <w:pStyle w:val="CharCharCharCharChar"/>
              <w:rPr>
                <w:color w:val="auto"/>
              </w:rPr>
            </w:pPr>
            <w:r w:rsidRPr="000549B1">
              <w:rPr>
                <w:color w:val="auto"/>
              </w:rPr>
              <w:t>小（</w:t>
            </w:r>
            <w:r w:rsidRPr="000549B1">
              <w:rPr>
                <w:color w:val="auto"/>
              </w:rPr>
              <w:t>1</w:t>
            </w:r>
            <w:r w:rsidRPr="000549B1">
              <w:rPr>
                <w:color w:val="auto"/>
              </w:rPr>
              <w:t>）型</w:t>
            </w:r>
          </w:p>
        </w:tc>
        <w:tc>
          <w:tcPr>
            <w:tcW w:w="642" w:type="pct"/>
            <w:noWrap/>
            <w:vAlign w:val="center"/>
          </w:tcPr>
          <w:p w14:paraId="1A54532F" w14:textId="77777777" w:rsidR="00054437" w:rsidRPr="000549B1" w:rsidRDefault="00000000">
            <w:pPr>
              <w:pStyle w:val="CharCharCharCharChar"/>
              <w:rPr>
                <w:color w:val="auto"/>
              </w:rPr>
            </w:pPr>
            <w:r w:rsidRPr="000549B1">
              <w:rPr>
                <w:color w:val="auto"/>
              </w:rPr>
              <w:t>462</w:t>
            </w:r>
          </w:p>
        </w:tc>
        <w:tc>
          <w:tcPr>
            <w:tcW w:w="645" w:type="pct"/>
            <w:noWrap/>
            <w:vAlign w:val="center"/>
          </w:tcPr>
          <w:p w14:paraId="3007E04E" w14:textId="77777777" w:rsidR="00054437" w:rsidRPr="000549B1" w:rsidRDefault="00000000">
            <w:pPr>
              <w:pStyle w:val="CharCharCharCharChar"/>
              <w:rPr>
                <w:color w:val="auto"/>
              </w:rPr>
            </w:pPr>
            <w:r w:rsidRPr="000549B1">
              <w:rPr>
                <w:color w:val="auto"/>
              </w:rPr>
              <w:t>333</w:t>
            </w:r>
          </w:p>
        </w:tc>
      </w:tr>
      <w:tr w:rsidR="000549B1" w:rsidRPr="000549B1" w14:paraId="6FFA393E" w14:textId="77777777">
        <w:trPr>
          <w:trHeight w:val="340"/>
        </w:trPr>
        <w:tc>
          <w:tcPr>
            <w:tcW w:w="547" w:type="pct"/>
            <w:noWrap/>
            <w:vAlign w:val="center"/>
          </w:tcPr>
          <w:p w14:paraId="3E72ED3C" w14:textId="77777777" w:rsidR="00054437" w:rsidRPr="000549B1" w:rsidRDefault="00000000">
            <w:pPr>
              <w:pStyle w:val="CharCharCharCharChar"/>
              <w:rPr>
                <w:color w:val="auto"/>
              </w:rPr>
            </w:pPr>
            <w:r w:rsidRPr="000549B1">
              <w:rPr>
                <w:color w:val="auto"/>
              </w:rPr>
              <w:t>5</w:t>
            </w:r>
          </w:p>
        </w:tc>
        <w:tc>
          <w:tcPr>
            <w:tcW w:w="845" w:type="pct"/>
            <w:noWrap/>
            <w:vAlign w:val="center"/>
          </w:tcPr>
          <w:p w14:paraId="5A03F129" w14:textId="77777777" w:rsidR="00054437" w:rsidRPr="000549B1" w:rsidRDefault="00000000">
            <w:pPr>
              <w:pStyle w:val="CharCharCharCharChar"/>
              <w:rPr>
                <w:color w:val="auto"/>
              </w:rPr>
            </w:pPr>
            <w:r w:rsidRPr="000549B1">
              <w:rPr>
                <w:color w:val="auto"/>
              </w:rPr>
              <w:t>塔什秋水库</w:t>
            </w:r>
          </w:p>
        </w:tc>
        <w:tc>
          <w:tcPr>
            <w:tcW w:w="774" w:type="pct"/>
            <w:noWrap/>
            <w:vAlign w:val="center"/>
          </w:tcPr>
          <w:p w14:paraId="64478DFB" w14:textId="77777777" w:rsidR="00054437" w:rsidRPr="000549B1" w:rsidRDefault="00000000">
            <w:pPr>
              <w:pStyle w:val="CharCharCharCharChar"/>
              <w:rPr>
                <w:color w:val="auto"/>
              </w:rPr>
            </w:pPr>
            <w:r w:rsidRPr="000549B1">
              <w:rPr>
                <w:color w:val="auto"/>
              </w:rPr>
              <w:t>塘格木镇</w:t>
            </w:r>
          </w:p>
        </w:tc>
        <w:tc>
          <w:tcPr>
            <w:tcW w:w="774" w:type="pct"/>
            <w:vAlign w:val="center"/>
          </w:tcPr>
          <w:p w14:paraId="281EB917" w14:textId="77777777" w:rsidR="00054437" w:rsidRPr="000549B1" w:rsidRDefault="00000000">
            <w:pPr>
              <w:pStyle w:val="CharCharCharCharChar"/>
              <w:rPr>
                <w:color w:val="auto"/>
              </w:rPr>
            </w:pPr>
            <w:r w:rsidRPr="000549B1">
              <w:rPr>
                <w:color w:val="auto"/>
              </w:rPr>
              <w:t>直亥买沟</w:t>
            </w:r>
          </w:p>
        </w:tc>
        <w:tc>
          <w:tcPr>
            <w:tcW w:w="774" w:type="pct"/>
            <w:noWrap/>
            <w:vAlign w:val="center"/>
          </w:tcPr>
          <w:p w14:paraId="3DAF7834" w14:textId="77777777" w:rsidR="00054437" w:rsidRPr="000549B1" w:rsidRDefault="00000000">
            <w:pPr>
              <w:pStyle w:val="CharCharCharCharChar"/>
              <w:rPr>
                <w:color w:val="auto"/>
              </w:rPr>
            </w:pPr>
            <w:r w:rsidRPr="000549B1">
              <w:rPr>
                <w:color w:val="auto"/>
              </w:rPr>
              <w:t>小（</w:t>
            </w:r>
            <w:r w:rsidRPr="000549B1">
              <w:rPr>
                <w:color w:val="auto"/>
              </w:rPr>
              <w:t>1</w:t>
            </w:r>
            <w:r w:rsidRPr="000549B1">
              <w:rPr>
                <w:color w:val="auto"/>
              </w:rPr>
              <w:t>）型</w:t>
            </w:r>
          </w:p>
        </w:tc>
        <w:tc>
          <w:tcPr>
            <w:tcW w:w="642" w:type="pct"/>
            <w:noWrap/>
            <w:vAlign w:val="center"/>
          </w:tcPr>
          <w:p w14:paraId="0FA33C5C" w14:textId="77777777" w:rsidR="00054437" w:rsidRPr="000549B1" w:rsidRDefault="00000000">
            <w:pPr>
              <w:pStyle w:val="CharCharCharCharChar"/>
              <w:rPr>
                <w:color w:val="auto"/>
              </w:rPr>
            </w:pPr>
            <w:r w:rsidRPr="000549B1">
              <w:rPr>
                <w:color w:val="auto"/>
              </w:rPr>
              <w:t>115</w:t>
            </w:r>
          </w:p>
        </w:tc>
        <w:tc>
          <w:tcPr>
            <w:tcW w:w="645" w:type="pct"/>
            <w:noWrap/>
            <w:vAlign w:val="center"/>
          </w:tcPr>
          <w:p w14:paraId="044F4442" w14:textId="77777777" w:rsidR="00054437" w:rsidRPr="000549B1" w:rsidRDefault="00000000">
            <w:pPr>
              <w:pStyle w:val="CharCharCharCharChar"/>
              <w:rPr>
                <w:color w:val="auto"/>
              </w:rPr>
            </w:pPr>
            <w:r w:rsidRPr="000549B1">
              <w:rPr>
                <w:color w:val="auto"/>
              </w:rPr>
              <w:t>100</w:t>
            </w:r>
          </w:p>
        </w:tc>
      </w:tr>
      <w:tr w:rsidR="000549B1" w:rsidRPr="000549B1" w14:paraId="57ECA5B7" w14:textId="77777777">
        <w:trPr>
          <w:trHeight w:val="340"/>
        </w:trPr>
        <w:tc>
          <w:tcPr>
            <w:tcW w:w="547" w:type="pct"/>
            <w:noWrap/>
            <w:vAlign w:val="center"/>
          </w:tcPr>
          <w:p w14:paraId="6D72F23C" w14:textId="77777777" w:rsidR="00054437" w:rsidRPr="000549B1" w:rsidRDefault="00000000">
            <w:pPr>
              <w:pStyle w:val="CharCharCharCharChar"/>
              <w:rPr>
                <w:color w:val="auto"/>
              </w:rPr>
            </w:pPr>
            <w:r w:rsidRPr="000549B1">
              <w:rPr>
                <w:color w:val="auto"/>
              </w:rPr>
              <w:t>6</w:t>
            </w:r>
          </w:p>
        </w:tc>
        <w:tc>
          <w:tcPr>
            <w:tcW w:w="845" w:type="pct"/>
            <w:noWrap/>
            <w:vAlign w:val="center"/>
          </w:tcPr>
          <w:p w14:paraId="6DC3EB98" w14:textId="77777777" w:rsidR="00054437" w:rsidRPr="000549B1" w:rsidRDefault="00000000">
            <w:pPr>
              <w:pStyle w:val="CharCharCharCharChar"/>
              <w:rPr>
                <w:color w:val="auto"/>
              </w:rPr>
            </w:pPr>
            <w:r w:rsidRPr="000549B1">
              <w:rPr>
                <w:color w:val="auto"/>
              </w:rPr>
              <w:t>恰让水库</w:t>
            </w:r>
          </w:p>
        </w:tc>
        <w:tc>
          <w:tcPr>
            <w:tcW w:w="774" w:type="pct"/>
            <w:noWrap/>
            <w:vAlign w:val="center"/>
          </w:tcPr>
          <w:p w14:paraId="1032138B" w14:textId="77777777" w:rsidR="00054437" w:rsidRPr="000549B1" w:rsidRDefault="00000000">
            <w:pPr>
              <w:pStyle w:val="CharCharCharCharChar"/>
              <w:rPr>
                <w:color w:val="auto"/>
              </w:rPr>
            </w:pPr>
            <w:r w:rsidRPr="000549B1">
              <w:rPr>
                <w:color w:val="auto"/>
              </w:rPr>
              <w:t>甘地乡</w:t>
            </w:r>
          </w:p>
        </w:tc>
        <w:tc>
          <w:tcPr>
            <w:tcW w:w="774" w:type="pct"/>
            <w:vAlign w:val="center"/>
          </w:tcPr>
          <w:p w14:paraId="6C246F92" w14:textId="77777777" w:rsidR="00054437" w:rsidRPr="000549B1" w:rsidRDefault="00000000">
            <w:pPr>
              <w:pStyle w:val="CharCharCharCharChar"/>
              <w:rPr>
                <w:color w:val="auto"/>
              </w:rPr>
            </w:pPr>
            <w:r w:rsidRPr="000549B1">
              <w:rPr>
                <w:color w:val="auto"/>
              </w:rPr>
              <w:t>恰让沟</w:t>
            </w:r>
          </w:p>
        </w:tc>
        <w:tc>
          <w:tcPr>
            <w:tcW w:w="774" w:type="pct"/>
            <w:noWrap/>
            <w:vAlign w:val="center"/>
          </w:tcPr>
          <w:p w14:paraId="4CD91718" w14:textId="77777777" w:rsidR="00054437" w:rsidRPr="000549B1" w:rsidRDefault="00000000">
            <w:pPr>
              <w:pStyle w:val="CharCharCharCharChar"/>
              <w:rPr>
                <w:color w:val="auto"/>
              </w:rPr>
            </w:pPr>
            <w:r w:rsidRPr="000549B1">
              <w:rPr>
                <w:color w:val="auto"/>
              </w:rPr>
              <w:t>小（</w:t>
            </w:r>
            <w:r w:rsidRPr="000549B1">
              <w:rPr>
                <w:color w:val="auto"/>
              </w:rPr>
              <w:t>1</w:t>
            </w:r>
            <w:r w:rsidRPr="000549B1">
              <w:rPr>
                <w:color w:val="auto"/>
              </w:rPr>
              <w:t>）型</w:t>
            </w:r>
          </w:p>
        </w:tc>
        <w:tc>
          <w:tcPr>
            <w:tcW w:w="642" w:type="pct"/>
            <w:noWrap/>
            <w:vAlign w:val="center"/>
          </w:tcPr>
          <w:p w14:paraId="3F57D2A7" w14:textId="77777777" w:rsidR="00054437" w:rsidRPr="000549B1" w:rsidRDefault="00000000">
            <w:pPr>
              <w:pStyle w:val="CharCharCharCharChar"/>
              <w:rPr>
                <w:color w:val="auto"/>
              </w:rPr>
            </w:pPr>
            <w:r w:rsidRPr="000549B1">
              <w:rPr>
                <w:color w:val="auto"/>
              </w:rPr>
              <w:t>307</w:t>
            </w:r>
          </w:p>
        </w:tc>
        <w:tc>
          <w:tcPr>
            <w:tcW w:w="645" w:type="pct"/>
            <w:noWrap/>
            <w:vAlign w:val="center"/>
          </w:tcPr>
          <w:p w14:paraId="27392FD4" w14:textId="77777777" w:rsidR="00054437" w:rsidRPr="000549B1" w:rsidRDefault="00000000">
            <w:pPr>
              <w:pStyle w:val="CharCharCharCharChar"/>
              <w:rPr>
                <w:color w:val="auto"/>
              </w:rPr>
            </w:pPr>
            <w:r w:rsidRPr="000549B1">
              <w:rPr>
                <w:color w:val="auto"/>
              </w:rPr>
              <w:t>255</w:t>
            </w:r>
          </w:p>
        </w:tc>
      </w:tr>
      <w:tr w:rsidR="000549B1" w:rsidRPr="000549B1" w14:paraId="5F50FBE8" w14:textId="77777777">
        <w:trPr>
          <w:trHeight w:val="340"/>
        </w:trPr>
        <w:tc>
          <w:tcPr>
            <w:tcW w:w="547" w:type="pct"/>
            <w:noWrap/>
            <w:vAlign w:val="center"/>
          </w:tcPr>
          <w:p w14:paraId="2C9E452F" w14:textId="77777777" w:rsidR="00054437" w:rsidRPr="000549B1" w:rsidRDefault="00000000">
            <w:pPr>
              <w:pStyle w:val="CharCharCharCharChar"/>
              <w:rPr>
                <w:color w:val="auto"/>
              </w:rPr>
            </w:pPr>
            <w:r w:rsidRPr="000549B1">
              <w:rPr>
                <w:color w:val="auto"/>
              </w:rPr>
              <w:t>7</w:t>
            </w:r>
          </w:p>
        </w:tc>
        <w:tc>
          <w:tcPr>
            <w:tcW w:w="845" w:type="pct"/>
            <w:noWrap/>
            <w:vAlign w:val="center"/>
          </w:tcPr>
          <w:p w14:paraId="4ED0DE89" w14:textId="77777777" w:rsidR="00054437" w:rsidRPr="000549B1" w:rsidRDefault="00000000">
            <w:pPr>
              <w:pStyle w:val="CharCharCharCharChar"/>
              <w:rPr>
                <w:color w:val="auto"/>
              </w:rPr>
            </w:pPr>
            <w:r w:rsidRPr="000549B1">
              <w:rPr>
                <w:color w:val="auto"/>
              </w:rPr>
              <w:t>塘曲水库</w:t>
            </w:r>
          </w:p>
        </w:tc>
        <w:tc>
          <w:tcPr>
            <w:tcW w:w="774" w:type="pct"/>
            <w:noWrap/>
            <w:vAlign w:val="center"/>
          </w:tcPr>
          <w:p w14:paraId="3DF60C08" w14:textId="77777777" w:rsidR="00054437" w:rsidRPr="000549B1" w:rsidRDefault="00000000">
            <w:pPr>
              <w:pStyle w:val="CharCharCharCharChar"/>
              <w:rPr>
                <w:color w:val="auto"/>
              </w:rPr>
            </w:pPr>
            <w:r w:rsidRPr="000549B1">
              <w:rPr>
                <w:color w:val="auto"/>
              </w:rPr>
              <w:t>切吉乡</w:t>
            </w:r>
          </w:p>
        </w:tc>
        <w:tc>
          <w:tcPr>
            <w:tcW w:w="774" w:type="pct"/>
            <w:vAlign w:val="center"/>
          </w:tcPr>
          <w:p w14:paraId="233855B7" w14:textId="77777777" w:rsidR="00054437" w:rsidRPr="000549B1" w:rsidRDefault="00000000">
            <w:pPr>
              <w:pStyle w:val="CharCharCharCharChar"/>
              <w:rPr>
                <w:color w:val="auto"/>
              </w:rPr>
            </w:pPr>
            <w:r w:rsidRPr="000549B1">
              <w:rPr>
                <w:color w:val="auto"/>
              </w:rPr>
              <w:t>塘曲沟</w:t>
            </w:r>
          </w:p>
        </w:tc>
        <w:tc>
          <w:tcPr>
            <w:tcW w:w="774" w:type="pct"/>
            <w:noWrap/>
            <w:vAlign w:val="center"/>
          </w:tcPr>
          <w:p w14:paraId="433D19E8" w14:textId="77777777" w:rsidR="00054437" w:rsidRPr="000549B1" w:rsidRDefault="00000000">
            <w:pPr>
              <w:pStyle w:val="CharCharCharCharChar"/>
              <w:rPr>
                <w:color w:val="auto"/>
              </w:rPr>
            </w:pPr>
            <w:r w:rsidRPr="000549B1">
              <w:rPr>
                <w:color w:val="auto"/>
              </w:rPr>
              <w:t>小（</w:t>
            </w:r>
            <w:r w:rsidRPr="000549B1">
              <w:rPr>
                <w:color w:val="auto"/>
              </w:rPr>
              <w:t>2</w:t>
            </w:r>
            <w:r w:rsidRPr="000549B1">
              <w:rPr>
                <w:color w:val="auto"/>
              </w:rPr>
              <w:t>）型</w:t>
            </w:r>
          </w:p>
        </w:tc>
        <w:tc>
          <w:tcPr>
            <w:tcW w:w="642" w:type="pct"/>
            <w:noWrap/>
            <w:vAlign w:val="center"/>
          </w:tcPr>
          <w:p w14:paraId="1A17BD9D" w14:textId="77777777" w:rsidR="00054437" w:rsidRPr="000549B1" w:rsidRDefault="00000000">
            <w:pPr>
              <w:pStyle w:val="CharCharCharCharChar"/>
              <w:rPr>
                <w:color w:val="auto"/>
              </w:rPr>
            </w:pPr>
            <w:r w:rsidRPr="000549B1">
              <w:rPr>
                <w:color w:val="auto"/>
              </w:rPr>
              <w:t>10</w:t>
            </w:r>
          </w:p>
        </w:tc>
        <w:tc>
          <w:tcPr>
            <w:tcW w:w="645" w:type="pct"/>
            <w:noWrap/>
            <w:vAlign w:val="center"/>
          </w:tcPr>
          <w:p w14:paraId="1BD1EBD5" w14:textId="77777777" w:rsidR="00054437" w:rsidRPr="000549B1" w:rsidRDefault="00000000">
            <w:pPr>
              <w:pStyle w:val="CharCharCharCharChar"/>
              <w:rPr>
                <w:color w:val="auto"/>
              </w:rPr>
            </w:pPr>
            <w:r w:rsidRPr="000549B1">
              <w:rPr>
                <w:color w:val="auto"/>
              </w:rPr>
              <w:t>8</w:t>
            </w:r>
          </w:p>
        </w:tc>
      </w:tr>
      <w:tr w:rsidR="000549B1" w:rsidRPr="000549B1" w14:paraId="10208B27" w14:textId="77777777">
        <w:trPr>
          <w:trHeight w:val="340"/>
        </w:trPr>
        <w:tc>
          <w:tcPr>
            <w:tcW w:w="547" w:type="pct"/>
            <w:noWrap/>
            <w:vAlign w:val="center"/>
          </w:tcPr>
          <w:p w14:paraId="40DCCF98" w14:textId="77777777" w:rsidR="00054437" w:rsidRPr="000549B1" w:rsidRDefault="00000000">
            <w:pPr>
              <w:pStyle w:val="CharCharCharCharChar"/>
              <w:rPr>
                <w:color w:val="auto"/>
              </w:rPr>
            </w:pPr>
            <w:r w:rsidRPr="000549B1">
              <w:rPr>
                <w:color w:val="auto"/>
              </w:rPr>
              <w:t>8</w:t>
            </w:r>
          </w:p>
        </w:tc>
        <w:tc>
          <w:tcPr>
            <w:tcW w:w="845" w:type="pct"/>
            <w:noWrap/>
            <w:vAlign w:val="center"/>
          </w:tcPr>
          <w:p w14:paraId="7214CBAA" w14:textId="77777777" w:rsidR="00054437" w:rsidRPr="000549B1" w:rsidRDefault="00000000">
            <w:pPr>
              <w:pStyle w:val="CharCharCharCharChar"/>
              <w:rPr>
                <w:color w:val="auto"/>
              </w:rPr>
            </w:pPr>
            <w:r w:rsidRPr="000549B1">
              <w:rPr>
                <w:color w:val="auto"/>
              </w:rPr>
              <w:t>塔勒水库</w:t>
            </w:r>
          </w:p>
        </w:tc>
        <w:tc>
          <w:tcPr>
            <w:tcW w:w="774" w:type="pct"/>
            <w:noWrap/>
            <w:vAlign w:val="center"/>
          </w:tcPr>
          <w:p w14:paraId="22D6239C" w14:textId="77777777" w:rsidR="00054437" w:rsidRPr="000549B1" w:rsidRDefault="00000000">
            <w:pPr>
              <w:pStyle w:val="CharCharCharCharChar"/>
              <w:rPr>
                <w:color w:val="auto"/>
              </w:rPr>
            </w:pPr>
            <w:r w:rsidRPr="000549B1">
              <w:rPr>
                <w:color w:val="auto"/>
              </w:rPr>
              <w:t>切吉乡</w:t>
            </w:r>
          </w:p>
        </w:tc>
        <w:tc>
          <w:tcPr>
            <w:tcW w:w="774" w:type="pct"/>
            <w:vAlign w:val="center"/>
          </w:tcPr>
          <w:p w14:paraId="0C20CC0D" w14:textId="77777777" w:rsidR="00054437" w:rsidRPr="000549B1" w:rsidRDefault="00000000">
            <w:pPr>
              <w:pStyle w:val="CharCharCharCharChar"/>
              <w:rPr>
                <w:color w:val="auto"/>
              </w:rPr>
            </w:pPr>
            <w:r w:rsidRPr="000549B1">
              <w:rPr>
                <w:color w:val="auto"/>
              </w:rPr>
              <w:t>塔勒沟</w:t>
            </w:r>
          </w:p>
        </w:tc>
        <w:tc>
          <w:tcPr>
            <w:tcW w:w="774" w:type="pct"/>
            <w:noWrap/>
            <w:vAlign w:val="center"/>
          </w:tcPr>
          <w:p w14:paraId="6140C0EC" w14:textId="77777777" w:rsidR="00054437" w:rsidRPr="000549B1" w:rsidRDefault="00000000">
            <w:pPr>
              <w:pStyle w:val="CharCharCharCharChar"/>
              <w:rPr>
                <w:color w:val="auto"/>
              </w:rPr>
            </w:pPr>
            <w:r w:rsidRPr="000549B1">
              <w:rPr>
                <w:color w:val="auto"/>
              </w:rPr>
              <w:t>小（</w:t>
            </w:r>
            <w:r w:rsidRPr="000549B1">
              <w:rPr>
                <w:color w:val="auto"/>
              </w:rPr>
              <w:t>2</w:t>
            </w:r>
            <w:r w:rsidRPr="000549B1">
              <w:rPr>
                <w:color w:val="auto"/>
              </w:rPr>
              <w:t>）型</w:t>
            </w:r>
          </w:p>
        </w:tc>
        <w:tc>
          <w:tcPr>
            <w:tcW w:w="642" w:type="pct"/>
            <w:noWrap/>
            <w:vAlign w:val="center"/>
          </w:tcPr>
          <w:p w14:paraId="0C361267" w14:textId="77777777" w:rsidR="00054437" w:rsidRPr="000549B1" w:rsidRDefault="00000000">
            <w:pPr>
              <w:pStyle w:val="CharCharCharCharChar"/>
              <w:rPr>
                <w:color w:val="auto"/>
              </w:rPr>
            </w:pPr>
            <w:r w:rsidRPr="000549B1">
              <w:rPr>
                <w:color w:val="auto"/>
              </w:rPr>
              <w:t>17</w:t>
            </w:r>
          </w:p>
        </w:tc>
        <w:tc>
          <w:tcPr>
            <w:tcW w:w="645" w:type="pct"/>
            <w:noWrap/>
            <w:vAlign w:val="center"/>
          </w:tcPr>
          <w:p w14:paraId="116CA5C7" w14:textId="77777777" w:rsidR="00054437" w:rsidRPr="000549B1" w:rsidRDefault="00000000">
            <w:pPr>
              <w:pStyle w:val="CharCharCharCharChar"/>
              <w:rPr>
                <w:color w:val="auto"/>
              </w:rPr>
            </w:pPr>
            <w:r w:rsidRPr="000549B1">
              <w:rPr>
                <w:color w:val="auto"/>
              </w:rPr>
              <w:t>9</w:t>
            </w:r>
          </w:p>
        </w:tc>
      </w:tr>
      <w:tr w:rsidR="000549B1" w:rsidRPr="000549B1" w14:paraId="7EDCD753" w14:textId="77777777">
        <w:trPr>
          <w:trHeight w:val="340"/>
        </w:trPr>
        <w:tc>
          <w:tcPr>
            <w:tcW w:w="547" w:type="pct"/>
            <w:noWrap/>
            <w:vAlign w:val="center"/>
          </w:tcPr>
          <w:p w14:paraId="4B871210" w14:textId="77777777" w:rsidR="00054437" w:rsidRPr="000549B1" w:rsidRDefault="00000000">
            <w:pPr>
              <w:pStyle w:val="CharCharCharCharChar"/>
              <w:rPr>
                <w:color w:val="auto"/>
              </w:rPr>
            </w:pPr>
            <w:r w:rsidRPr="000549B1">
              <w:rPr>
                <w:color w:val="auto"/>
              </w:rPr>
              <w:t>9</w:t>
            </w:r>
          </w:p>
        </w:tc>
        <w:tc>
          <w:tcPr>
            <w:tcW w:w="845" w:type="pct"/>
            <w:noWrap/>
            <w:vAlign w:val="center"/>
          </w:tcPr>
          <w:p w14:paraId="17CCC0D0" w14:textId="77777777" w:rsidR="00054437" w:rsidRPr="000549B1" w:rsidRDefault="00000000">
            <w:pPr>
              <w:pStyle w:val="CharCharCharCharChar"/>
              <w:rPr>
                <w:color w:val="auto"/>
              </w:rPr>
            </w:pPr>
            <w:r w:rsidRPr="000549B1">
              <w:rPr>
                <w:color w:val="auto"/>
              </w:rPr>
              <w:t>曲让水库</w:t>
            </w:r>
          </w:p>
        </w:tc>
        <w:tc>
          <w:tcPr>
            <w:tcW w:w="774" w:type="pct"/>
            <w:noWrap/>
            <w:vAlign w:val="center"/>
          </w:tcPr>
          <w:p w14:paraId="250DAC9A" w14:textId="77777777" w:rsidR="00054437" w:rsidRPr="000549B1" w:rsidRDefault="00000000">
            <w:pPr>
              <w:pStyle w:val="CharCharCharCharChar"/>
              <w:rPr>
                <w:color w:val="auto"/>
              </w:rPr>
            </w:pPr>
            <w:r w:rsidRPr="000549B1">
              <w:rPr>
                <w:color w:val="auto"/>
              </w:rPr>
              <w:t>切吉乡</w:t>
            </w:r>
          </w:p>
        </w:tc>
        <w:tc>
          <w:tcPr>
            <w:tcW w:w="774" w:type="pct"/>
            <w:vAlign w:val="center"/>
          </w:tcPr>
          <w:p w14:paraId="18A35CE6" w14:textId="77777777" w:rsidR="00054437" w:rsidRPr="000549B1" w:rsidRDefault="00000000">
            <w:pPr>
              <w:pStyle w:val="CharCharCharCharChar"/>
              <w:rPr>
                <w:color w:val="auto"/>
              </w:rPr>
            </w:pPr>
            <w:r w:rsidRPr="000549B1">
              <w:rPr>
                <w:color w:val="auto"/>
              </w:rPr>
              <w:t>曲让沟</w:t>
            </w:r>
          </w:p>
        </w:tc>
        <w:tc>
          <w:tcPr>
            <w:tcW w:w="774" w:type="pct"/>
            <w:noWrap/>
            <w:vAlign w:val="center"/>
          </w:tcPr>
          <w:p w14:paraId="4E2FABEF" w14:textId="77777777" w:rsidR="00054437" w:rsidRPr="000549B1" w:rsidRDefault="00000000">
            <w:pPr>
              <w:pStyle w:val="CharCharCharCharChar"/>
              <w:rPr>
                <w:color w:val="auto"/>
              </w:rPr>
            </w:pPr>
            <w:r w:rsidRPr="000549B1">
              <w:rPr>
                <w:color w:val="auto"/>
              </w:rPr>
              <w:t>小（</w:t>
            </w:r>
            <w:r w:rsidRPr="000549B1">
              <w:rPr>
                <w:color w:val="auto"/>
              </w:rPr>
              <w:t>2</w:t>
            </w:r>
            <w:r w:rsidRPr="000549B1">
              <w:rPr>
                <w:color w:val="auto"/>
              </w:rPr>
              <w:t>）型</w:t>
            </w:r>
          </w:p>
        </w:tc>
        <w:tc>
          <w:tcPr>
            <w:tcW w:w="642" w:type="pct"/>
            <w:noWrap/>
            <w:vAlign w:val="center"/>
          </w:tcPr>
          <w:p w14:paraId="15E3DB80" w14:textId="77777777" w:rsidR="00054437" w:rsidRPr="000549B1" w:rsidRDefault="00000000">
            <w:pPr>
              <w:pStyle w:val="CharCharCharCharChar"/>
              <w:rPr>
                <w:color w:val="auto"/>
              </w:rPr>
            </w:pPr>
            <w:r w:rsidRPr="000549B1">
              <w:rPr>
                <w:color w:val="auto"/>
              </w:rPr>
              <w:t>13</w:t>
            </w:r>
          </w:p>
        </w:tc>
        <w:tc>
          <w:tcPr>
            <w:tcW w:w="645" w:type="pct"/>
            <w:noWrap/>
            <w:vAlign w:val="center"/>
          </w:tcPr>
          <w:p w14:paraId="616871A6" w14:textId="77777777" w:rsidR="00054437" w:rsidRPr="000549B1" w:rsidRDefault="00000000">
            <w:pPr>
              <w:pStyle w:val="CharCharCharCharChar"/>
              <w:rPr>
                <w:color w:val="auto"/>
              </w:rPr>
            </w:pPr>
            <w:r w:rsidRPr="000549B1">
              <w:rPr>
                <w:color w:val="auto"/>
              </w:rPr>
              <w:t>9</w:t>
            </w:r>
          </w:p>
        </w:tc>
      </w:tr>
      <w:tr w:rsidR="000549B1" w:rsidRPr="000549B1" w14:paraId="095282A6" w14:textId="77777777">
        <w:trPr>
          <w:trHeight w:val="340"/>
        </w:trPr>
        <w:tc>
          <w:tcPr>
            <w:tcW w:w="547" w:type="pct"/>
            <w:noWrap/>
            <w:vAlign w:val="center"/>
          </w:tcPr>
          <w:p w14:paraId="793D8C2D" w14:textId="77777777" w:rsidR="00054437" w:rsidRPr="000549B1" w:rsidRDefault="00000000">
            <w:pPr>
              <w:pStyle w:val="CharCharCharCharChar"/>
              <w:rPr>
                <w:color w:val="auto"/>
              </w:rPr>
            </w:pPr>
            <w:r w:rsidRPr="000549B1">
              <w:rPr>
                <w:color w:val="auto"/>
              </w:rPr>
              <w:t>10</w:t>
            </w:r>
          </w:p>
        </w:tc>
        <w:tc>
          <w:tcPr>
            <w:tcW w:w="845" w:type="pct"/>
            <w:noWrap/>
            <w:vAlign w:val="center"/>
          </w:tcPr>
          <w:p w14:paraId="49379275" w14:textId="77777777" w:rsidR="00054437" w:rsidRPr="000549B1" w:rsidRDefault="00000000">
            <w:pPr>
              <w:pStyle w:val="CharCharCharCharChar"/>
              <w:rPr>
                <w:color w:val="auto"/>
              </w:rPr>
            </w:pPr>
            <w:r w:rsidRPr="000549B1">
              <w:rPr>
                <w:color w:val="auto"/>
              </w:rPr>
              <w:t>沟台水库</w:t>
            </w:r>
          </w:p>
        </w:tc>
        <w:tc>
          <w:tcPr>
            <w:tcW w:w="774" w:type="pct"/>
            <w:noWrap/>
            <w:vAlign w:val="center"/>
          </w:tcPr>
          <w:p w14:paraId="73FA72EF" w14:textId="77777777" w:rsidR="00054437" w:rsidRPr="000549B1" w:rsidRDefault="00000000">
            <w:pPr>
              <w:pStyle w:val="CharCharCharCharChar"/>
              <w:rPr>
                <w:color w:val="auto"/>
              </w:rPr>
            </w:pPr>
            <w:r w:rsidRPr="000549B1">
              <w:rPr>
                <w:color w:val="auto"/>
              </w:rPr>
              <w:t>切吉乡</w:t>
            </w:r>
          </w:p>
        </w:tc>
        <w:tc>
          <w:tcPr>
            <w:tcW w:w="774" w:type="pct"/>
            <w:vAlign w:val="center"/>
          </w:tcPr>
          <w:p w14:paraId="6A183242" w14:textId="77777777" w:rsidR="00054437" w:rsidRPr="000549B1" w:rsidRDefault="00000000">
            <w:pPr>
              <w:pStyle w:val="CharCharCharCharChar"/>
              <w:rPr>
                <w:color w:val="auto"/>
              </w:rPr>
            </w:pPr>
            <w:r w:rsidRPr="000549B1">
              <w:rPr>
                <w:color w:val="auto"/>
              </w:rPr>
              <w:t>沟台沟</w:t>
            </w:r>
          </w:p>
        </w:tc>
        <w:tc>
          <w:tcPr>
            <w:tcW w:w="774" w:type="pct"/>
            <w:noWrap/>
            <w:vAlign w:val="center"/>
          </w:tcPr>
          <w:p w14:paraId="3D4CFC7F" w14:textId="77777777" w:rsidR="00054437" w:rsidRPr="000549B1" w:rsidRDefault="00000000">
            <w:pPr>
              <w:pStyle w:val="CharCharCharCharChar"/>
              <w:rPr>
                <w:color w:val="auto"/>
              </w:rPr>
            </w:pPr>
            <w:r w:rsidRPr="000549B1">
              <w:rPr>
                <w:color w:val="auto"/>
              </w:rPr>
              <w:t>小（</w:t>
            </w:r>
            <w:r w:rsidRPr="000549B1">
              <w:rPr>
                <w:color w:val="auto"/>
              </w:rPr>
              <w:t>2</w:t>
            </w:r>
            <w:r w:rsidRPr="000549B1">
              <w:rPr>
                <w:color w:val="auto"/>
              </w:rPr>
              <w:t>）型</w:t>
            </w:r>
          </w:p>
        </w:tc>
        <w:tc>
          <w:tcPr>
            <w:tcW w:w="642" w:type="pct"/>
            <w:noWrap/>
            <w:vAlign w:val="center"/>
          </w:tcPr>
          <w:p w14:paraId="4D7F6AE7" w14:textId="77777777" w:rsidR="00054437" w:rsidRPr="000549B1" w:rsidRDefault="00000000">
            <w:pPr>
              <w:pStyle w:val="CharCharCharCharChar"/>
              <w:rPr>
                <w:color w:val="auto"/>
              </w:rPr>
            </w:pPr>
            <w:r w:rsidRPr="000549B1">
              <w:rPr>
                <w:color w:val="auto"/>
              </w:rPr>
              <w:t>38</w:t>
            </w:r>
          </w:p>
        </w:tc>
        <w:tc>
          <w:tcPr>
            <w:tcW w:w="645" w:type="pct"/>
            <w:noWrap/>
            <w:vAlign w:val="center"/>
          </w:tcPr>
          <w:p w14:paraId="2C3506CC" w14:textId="77777777" w:rsidR="00054437" w:rsidRPr="000549B1" w:rsidRDefault="00000000">
            <w:pPr>
              <w:pStyle w:val="CharCharCharCharChar"/>
              <w:rPr>
                <w:color w:val="auto"/>
              </w:rPr>
            </w:pPr>
            <w:r w:rsidRPr="000549B1">
              <w:rPr>
                <w:color w:val="auto"/>
              </w:rPr>
              <w:t>38</w:t>
            </w:r>
          </w:p>
        </w:tc>
      </w:tr>
      <w:tr w:rsidR="000549B1" w:rsidRPr="000549B1" w14:paraId="44C8DD04" w14:textId="77777777">
        <w:trPr>
          <w:trHeight w:val="340"/>
        </w:trPr>
        <w:tc>
          <w:tcPr>
            <w:tcW w:w="547" w:type="pct"/>
            <w:noWrap/>
            <w:vAlign w:val="center"/>
          </w:tcPr>
          <w:p w14:paraId="3D6AD92C" w14:textId="77777777" w:rsidR="00054437" w:rsidRPr="000549B1" w:rsidRDefault="00000000">
            <w:pPr>
              <w:pStyle w:val="CharCharCharCharChar"/>
              <w:rPr>
                <w:color w:val="auto"/>
              </w:rPr>
            </w:pPr>
            <w:r w:rsidRPr="000549B1">
              <w:rPr>
                <w:color w:val="auto"/>
              </w:rPr>
              <w:t>11</w:t>
            </w:r>
          </w:p>
        </w:tc>
        <w:tc>
          <w:tcPr>
            <w:tcW w:w="845" w:type="pct"/>
            <w:noWrap/>
            <w:vAlign w:val="center"/>
          </w:tcPr>
          <w:p w14:paraId="471A2FAC" w14:textId="77777777" w:rsidR="00054437" w:rsidRPr="000549B1" w:rsidRDefault="00000000">
            <w:pPr>
              <w:pStyle w:val="CharCharCharCharChar"/>
              <w:rPr>
                <w:color w:val="auto"/>
              </w:rPr>
            </w:pPr>
            <w:r w:rsidRPr="000549B1">
              <w:rPr>
                <w:color w:val="auto"/>
              </w:rPr>
              <w:t>中试水库</w:t>
            </w:r>
          </w:p>
        </w:tc>
        <w:tc>
          <w:tcPr>
            <w:tcW w:w="774" w:type="pct"/>
            <w:noWrap/>
            <w:vAlign w:val="center"/>
          </w:tcPr>
          <w:p w14:paraId="52A3A649" w14:textId="77777777" w:rsidR="00054437" w:rsidRPr="000549B1" w:rsidRDefault="00000000">
            <w:pPr>
              <w:pStyle w:val="CharCharCharCharChar"/>
              <w:rPr>
                <w:color w:val="auto"/>
              </w:rPr>
            </w:pPr>
            <w:r w:rsidRPr="000549B1">
              <w:rPr>
                <w:color w:val="auto"/>
              </w:rPr>
              <w:t>切吉乡</w:t>
            </w:r>
          </w:p>
        </w:tc>
        <w:tc>
          <w:tcPr>
            <w:tcW w:w="774" w:type="pct"/>
            <w:vAlign w:val="center"/>
          </w:tcPr>
          <w:p w14:paraId="6B2F1F53" w14:textId="77777777" w:rsidR="00054437" w:rsidRPr="000549B1" w:rsidRDefault="00000000">
            <w:pPr>
              <w:pStyle w:val="CharCharCharCharChar"/>
              <w:rPr>
                <w:color w:val="auto"/>
              </w:rPr>
            </w:pPr>
            <w:r w:rsidRPr="000549B1">
              <w:rPr>
                <w:color w:val="auto"/>
              </w:rPr>
              <w:t>鹿龙沟</w:t>
            </w:r>
          </w:p>
        </w:tc>
        <w:tc>
          <w:tcPr>
            <w:tcW w:w="774" w:type="pct"/>
            <w:noWrap/>
            <w:vAlign w:val="center"/>
          </w:tcPr>
          <w:p w14:paraId="09D1A712" w14:textId="77777777" w:rsidR="00054437" w:rsidRPr="000549B1" w:rsidRDefault="00000000">
            <w:pPr>
              <w:pStyle w:val="CharCharCharCharChar"/>
              <w:rPr>
                <w:color w:val="auto"/>
              </w:rPr>
            </w:pPr>
            <w:r w:rsidRPr="000549B1">
              <w:rPr>
                <w:color w:val="auto"/>
              </w:rPr>
              <w:t>小（</w:t>
            </w:r>
            <w:r w:rsidRPr="000549B1">
              <w:rPr>
                <w:color w:val="auto"/>
              </w:rPr>
              <w:t>2</w:t>
            </w:r>
            <w:r w:rsidRPr="000549B1">
              <w:rPr>
                <w:color w:val="auto"/>
              </w:rPr>
              <w:t>）型</w:t>
            </w:r>
          </w:p>
        </w:tc>
        <w:tc>
          <w:tcPr>
            <w:tcW w:w="642" w:type="pct"/>
            <w:noWrap/>
            <w:vAlign w:val="center"/>
          </w:tcPr>
          <w:p w14:paraId="4B031104" w14:textId="77777777" w:rsidR="00054437" w:rsidRPr="000549B1" w:rsidRDefault="00000000">
            <w:pPr>
              <w:pStyle w:val="CharCharCharCharChar"/>
              <w:rPr>
                <w:color w:val="auto"/>
              </w:rPr>
            </w:pPr>
            <w:r w:rsidRPr="000549B1">
              <w:rPr>
                <w:color w:val="auto"/>
              </w:rPr>
              <w:t>10</w:t>
            </w:r>
          </w:p>
        </w:tc>
        <w:tc>
          <w:tcPr>
            <w:tcW w:w="645" w:type="pct"/>
            <w:noWrap/>
            <w:vAlign w:val="center"/>
          </w:tcPr>
          <w:p w14:paraId="4FB09820" w14:textId="77777777" w:rsidR="00054437" w:rsidRPr="000549B1" w:rsidRDefault="00000000">
            <w:pPr>
              <w:pStyle w:val="CharCharCharCharChar"/>
              <w:rPr>
                <w:color w:val="auto"/>
              </w:rPr>
            </w:pPr>
            <w:r w:rsidRPr="000549B1">
              <w:rPr>
                <w:color w:val="auto"/>
              </w:rPr>
              <w:t>10</w:t>
            </w:r>
          </w:p>
        </w:tc>
      </w:tr>
    </w:tbl>
    <w:p w14:paraId="68D3B0AD" w14:textId="77777777" w:rsidR="00054437" w:rsidRPr="000549B1" w:rsidRDefault="00000000">
      <w:pPr>
        <w:pStyle w:val="x"/>
      </w:pPr>
      <w:r w:rsidRPr="000549B1">
        <w:t>（</w:t>
      </w:r>
      <w:r w:rsidRPr="000549B1">
        <w:t>2</w:t>
      </w:r>
      <w:r w:rsidRPr="000549B1">
        <w:t>）引水工程</w:t>
      </w:r>
    </w:p>
    <w:p w14:paraId="1C2DCEF7" w14:textId="77777777" w:rsidR="00054437" w:rsidRPr="000549B1" w:rsidRDefault="00000000">
      <w:pPr>
        <w:pStyle w:val="x"/>
      </w:pPr>
      <w:r w:rsidRPr="000549B1">
        <w:t>沙珠玉河流域内现状叉叉沟灌区、英德尔灌区等部分灌区引沟道水灌溉，引水灌溉工程</w:t>
      </w:r>
      <w:r w:rsidRPr="000549B1">
        <w:t>12</w:t>
      </w:r>
      <w:r w:rsidRPr="000549B1">
        <w:t>处，其中灌溉规模较大的引水工程有叉叉沟、塔秀直亥买、英德尔灌区引水工程，有效灌溉面积分别为</w:t>
      </w:r>
      <w:r w:rsidRPr="000549B1">
        <w:t>1.71</w:t>
      </w:r>
      <w:r w:rsidRPr="000549B1">
        <w:t>万亩、</w:t>
      </w:r>
      <w:r w:rsidRPr="000549B1">
        <w:t>0.76</w:t>
      </w:r>
      <w:r w:rsidRPr="000549B1">
        <w:t>万亩和</w:t>
      </w:r>
      <w:r w:rsidRPr="000549B1">
        <w:t>0.69</w:t>
      </w:r>
      <w:r w:rsidRPr="000549B1">
        <w:t>万亩。引水工程自天然沟道引水，由于缺乏水库调节，供水的稳定性和保障率较低，特别是在干旱季节，经常出现供水不足的情况，影响了农业生产的连续性和稳定性。</w:t>
      </w:r>
    </w:p>
    <w:p w14:paraId="2469A5B6" w14:textId="77777777" w:rsidR="00054437" w:rsidRPr="000549B1" w:rsidRDefault="00000000">
      <w:pPr>
        <w:pStyle w:val="x"/>
      </w:pPr>
      <w:r w:rsidRPr="000549B1">
        <w:t>（</w:t>
      </w:r>
      <w:r w:rsidRPr="000549B1">
        <w:t>3</w:t>
      </w:r>
      <w:r w:rsidRPr="000549B1">
        <w:t>）地下水源工程</w:t>
      </w:r>
    </w:p>
    <w:p w14:paraId="0406F1A4" w14:textId="77777777" w:rsidR="00054437" w:rsidRPr="000549B1" w:rsidRDefault="00000000">
      <w:pPr>
        <w:pStyle w:val="x"/>
      </w:pPr>
      <w:r w:rsidRPr="000549B1">
        <w:t>沙珠玉河流域内现状沙珠玉乡生活用水采用地下水井解决，现状年供水量约为</w:t>
      </w:r>
      <w:r w:rsidRPr="000549B1">
        <w:t>28</w:t>
      </w:r>
      <w:r w:rsidRPr="000549B1">
        <w:t>万</w:t>
      </w:r>
      <w:r w:rsidRPr="000549B1">
        <w:t>m³</w:t>
      </w:r>
      <w:r w:rsidRPr="000549B1">
        <w:t>，流域内其他乡镇有少量人畜饮水采用地下水井解决。在切吉滩叉叉沟建设有地下水源工程，主要用于共和县恰卜恰镇城镇用水，现状年日供水量约</w:t>
      </w:r>
      <w:r w:rsidRPr="000549B1">
        <w:t>1.98</w:t>
      </w:r>
      <w:r w:rsidRPr="000549B1">
        <w:t>万</w:t>
      </w:r>
      <w:r w:rsidRPr="000549B1">
        <w:t>m³</w:t>
      </w:r>
      <w:r w:rsidRPr="000549B1">
        <w:t>。</w:t>
      </w:r>
    </w:p>
    <w:p w14:paraId="1970CEBD" w14:textId="77777777" w:rsidR="00054437" w:rsidRPr="000549B1" w:rsidRDefault="00000000">
      <w:pPr>
        <w:pStyle w:val="x"/>
      </w:pPr>
      <w:r w:rsidRPr="000549B1">
        <w:t>（</w:t>
      </w:r>
      <w:r w:rsidRPr="000549B1">
        <w:t>4</w:t>
      </w:r>
      <w:r w:rsidRPr="000549B1">
        <w:t>）农牧区人畜饮水工程</w:t>
      </w:r>
    </w:p>
    <w:p w14:paraId="17B7D7F1" w14:textId="00D6E622" w:rsidR="00054437" w:rsidRPr="000549B1" w:rsidRDefault="00FD127F">
      <w:pPr>
        <w:pStyle w:val="x"/>
      </w:pPr>
      <w:r w:rsidRPr="000549B1">
        <w:rPr>
          <w:rFonts w:hint="eastAsia"/>
        </w:rPr>
        <w:t>流域内部分农牧民生活用水依赖水库、山泉水、地下水供应。为满足城乡居民的饮水需求，流域内现已建成集中式人畜饮水工程</w:t>
      </w:r>
      <w:r w:rsidRPr="000549B1">
        <w:t>83</w:t>
      </w:r>
      <w:r w:rsidRPr="000549B1">
        <w:rPr>
          <w:rFonts w:hint="eastAsia"/>
        </w:rPr>
        <w:t>处，设计供水规模约</w:t>
      </w:r>
      <w:r w:rsidRPr="000549B1">
        <w:t>6.49</w:t>
      </w:r>
      <w:r w:rsidRPr="000549B1">
        <w:rPr>
          <w:rFonts w:hint="eastAsia"/>
        </w:rPr>
        <w:t>万</w:t>
      </w:r>
      <w:r w:rsidRPr="000549B1">
        <w:t>m</w:t>
      </w:r>
      <w:r w:rsidRPr="000549B1">
        <w:rPr>
          <w:vertAlign w:val="superscript"/>
        </w:rPr>
        <w:t>3</w:t>
      </w:r>
      <w:r w:rsidRPr="000549B1">
        <w:t>/d</w:t>
      </w:r>
      <w:r w:rsidRPr="000549B1">
        <w:rPr>
          <w:rFonts w:hint="eastAsia"/>
        </w:rPr>
        <w:t>。这些饮水工程改善了居民的饮水条件，但受限于水资源条件，部分仍存在用水高峰期供水不足的问题</w:t>
      </w:r>
      <w:r w:rsidRPr="000549B1">
        <w:t>。</w:t>
      </w:r>
    </w:p>
    <w:p w14:paraId="02E403A2" w14:textId="77777777" w:rsidR="00054437" w:rsidRPr="000549B1" w:rsidRDefault="00000000">
      <w:pPr>
        <w:pStyle w:val="4"/>
        <w:adjustRightInd w:val="0"/>
        <w:snapToGrid w:val="0"/>
        <w:spacing w:before="0" w:after="0" w:line="360" w:lineRule="auto"/>
        <w:rPr>
          <w:rFonts w:ascii="Times New Roman" w:eastAsia="黑体" w:hAnsi="Times New Roman"/>
          <w:bCs w:val="0"/>
        </w:rPr>
      </w:pPr>
      <w:r w:rsidRPr="000549B1">
        <w:rPr>
          <w:rFonts w:ascii="Times New Roman" w:eastAsia="黑体" w:hAnsi="Times New Roman"/>
          <w:bCs w:val="0"/>
        </w:rPr>
        <w:t>现状供用水量</w:t>
      </w:r>
    </w:p>
    <w:p w14:paraId="006C117B" w14:textId="77777777" w:rsidR="00054437" w:rsidRPr="000549B1" w:rsidRDefault="00000000">
      <w:pPr>
        <w:pStyle w:val="x"/>
      </w:pPr>
      <w:r w:rsidRPr="000549B1">
        <w:t>（</w:t>
      </w:r>
      <w:r w:rsidRPr="000549B1">
        <w:t>1</w:t>
      </w:r>
      <w:r w:rsidRPr="000549B1">
        <w:t>）供水量</w:t>
      </w:r>
    </w:p>
    <w:p w14:paraId="4CE754EE" w14:textId="5B2EDB7C" w:rsidR="00054437" w:rsidRPr="000549B1" w:rsidRDefault="00FD127F">
      <w:pPr>
        <w:pStyle w:val="x"/>
      </w:pPr>
      <w:r w:rsidRPr="000549B1">
        <w:t>2024</w:t>
      </w:r>
      <w:r w:rsidRPr="000549B1">
        <w:rPr>
          <w:rFonts w:hint="eastAsia"/>
        </w:rPr>
        <w:t>年沙珠玉河流域总供水量</w:t>
      </w:r>
      <w:r w:rsidRPr="000549B1">
        <w:t>6548.3</w:t>
      </w:r>
      <w:r w:rsidRPr="000549B1">
        <w:rPr>
          <w:rFonts w:hint="eastAsia"/>
        </w:rPr>
        <w:t>万</w:t>
      </w:r>
      <w:r w:rsidRPr="000549B1">
        <w:t>m</w:t>
      </w:r>
      <w:r w:rsidRPr="000549B1">
        <w:rPr>
          <w:vertAlign w:val="superscript"/>
        </w:rPr>
        <w:t>3</w:t>
      </w:r>
      <w:r w:rsidRPr="000549B1">
        <w:rPr>
          <w:rFonts w:hint="eastAsia"/>
        </w:rPr>
        <w:t>，其中地表水供水量</w:t>
      </w:r>
      <w:r w:rsidRPr="000549B1">
        <w:t>6520.1</w:t>
      </w:r>
      <w:r w:rsidRPr="000549B1">
        <w:rPr>
          <w:rFonts w:hint="eastAsia"/>
        </w:rPr>
        <w:t>万</w:t>
      </w:r>
      <w:r w:rsidRPr="000549B1">
        <w:t>m</w:t>
      </w:r>
      <w:r w:rsidRPr="000549B1">
        <w:rPr>
          <w:vertAlign w:val="superscript"/>
        </w:rPr>
        <w:t>3</w:t>
      </w:r>
      <w:r w:rsidRPr="000549B1">
        <w:rPr>
          <w:rFonts w:hint="eastAsia"/>
        </w:rPr>
        <w:t>，占总供水量的</w:t>
      </w:r>
      <w:r w:rsidRPr="000549B1">
        <w:t>99.6%</w:t>
      </w:r>
      <w:r w:rsidRPr="000549B1">
        <w:rPr>
          <w:rFonts w:hint="eastAsia"/>
        </w:rPr>
        <w:t>；地下水供水量</w:t>
      </w:r>
      <w:r w:rsidRPr="000549B1">
        <w:t>28.2</w:t>
      </w:r>
      <w:r w:rsidRPr="000549B1">
        <w:rPr>
          <w:rFonts w:hint="eastAsia"/>
        </w:rPr>
        <w:t>万</w:t>
      </w:r>
      <w:r w:rsidRPr="000549B1">
        <w:t>m</w:t>
      </w:r>
      <w:r w:rsidRPr="000549B1">
        <w:rPr>
          <w:vertAlign w:val="superscript"/>
        </w:rPr>
        <w:t>3</w:t>
      </w:r>
      <w:r w:rsidRPr="000549B1">
        <w:rPr>
          <w:rFonts w:hint="eastAsia"/>
        </w:rPr>
        <w:t>，占总供水量的</w:t>
      </w:r>
      <w:r w:rsidRPr="000549B1">
        <w:t>0.4%</w:t>
      </w:r>
      <w:r w:rsidRPr="000549B1">
        <w:rPr>
          <w:rFonts w:hint="eastAsia"/>
        </w:rPr>
        <w:t>。流域内现状无再生水利用。沙珠玉河流域现状供水量见</w:t>
      </w:r>
      <w:r w:rsidR="00F32CCA" w:rsidRPr="000549B1">
        <w:t>表</w:t>
      </w:r>
      <w:r w:rsidR="00F32CCA">
        <w:t>3.2</w:t>
      </w:r>
      <w:r w:rsidR="00F32CCA">
        <w:noBreakHyphen/>
        <w:t>5</w:t>
      </w:r>
      <w:r w:rsidRPr="000549B1">
        <w:t>。</w:t>
      </w:r>
    </w:p>
    <w:p w14:paraId="61B2169B" w14:textId="71CFE70D" w:rsidR="00054437" w:rsidRPr="000549B1" w:rsidRDefault="00000000">
      <w:pPr>
        <w:pStyle w:val="aff8"/>
        <w:rPr>
          <w:color w:val="auto"/>
        </w:rPr>
      </w:pPr>
      <w:bookmarkStart w:id="200" w:name="_Ref214977672"/>
      <w:r w:rsidRPr="000549B1">
        <w:rPr>
          <w:color w:val="auto"/>
        </w:rPr>
        <w:t>表</w:t>
      </w:r>
      <w:r w:rsidR="00372953">
        <w:rPr>
          <w:color w:val="auto"/>
        </w:rPr>
        <w:fldChar w:fldCharType="begin"/>
      </w:r>
      <w:r w:rsidR="00372953">
        <w:rPr>
          <w:color w:val="auto"/>
        </w:rPr>
        <w:instrText xml:space="preserve"> STYLEREF 2 \s </w:instrText>
      </w:r>
      <w:r w:rsidR="00372953">
        <w:rPr>
          <w:color w:val="auto"/>
        </w:rPr>
        <w:fldChar w:fldCharType="separate"/>
      </w:r>
      <w:r w:rsidR="00372953">
        <w:rPr>
          <w:noProof/>
          <w:color w:val="auto"/>
        </w:rPr>
        <w:t>3.2</w:t>
      </w:r>
      <w:r w:rsidR="00372953">
        <w:rPr>
          <w:color w:val="auto"/>
        </w:rPr>
        <w:fldChar w:fldCharType="end"/>
      </w:r>
      <w:r w:rsidR="00372953">
        <w:rPr>
          <w:color w:val="auto"/>
        </w:rPr>
        <w:noBreakHyphen/>
      </w:r>
      <w:r w:rsidR="00372953">
        <w:rPr>
          <w:color w:val="auto"/>
        </w:rPr>
        <w:fldChar w:fldCharType="begin"/>
      </w:r>
      <w:r w:rsidR="00372953">
        <w:rPr>
          <w:color w:val="auto"/>
        </w:rPr>
        <w:instrText xml:space="preserve"> SEQ </w:instrText>
      </w:r>
      <w:r w:rsidR="00372953">
        <w:rPr>
          <w:color w:val="auto"/>
        </w:rPr>
        <w:instrText>表</w:instrText>
      </w:r>
      <w:r w:rsidR="00372953">
        <w:rPr>
          <w:color w:val="auto"/>
        </w:rPr>
        <w:instrText xml:space="preserve"> \* ARABIC \s 2 </w:instrText>
      </w:r>
      <w:r w:rsidR="00372953">
        <w:rPr>
          <w:color w:val="auto"/>
        </w:rPr>
        <w:fldChar w:fldCharType="separate"/>
      </w:r>
      <w:r w:rsidR="00372953">
        <w:rPr>
          <w:noProof/>
          <w:color w:val="auto"/>
        </w:rPr>
        <w:t>5</w:t>
      </w:r>
      <w:r w:rsidR="00372953">
        <w:rPr>
          <w:color w:val="auto"/>
        </w:rPr>
        <w:fldChar w:fldCharType="end"/>
      </w:r>
      <w:bookmarkEnd w:id="200"/>
      <w:r w:rsidRPr="000549B1">
        <w:rPr>
          <w:color w:val="auto"/>
        </w:rPr>
        <w:t>沙珠玉流域现状年供水量表单位：万</w:t>
      </w:r>
      <w:r w:rsidRPr="000549B1">
        <w:rPr>
          <w:color w:val="auto"/>
        </w:rPr>
        <w:t>m³</w:t>
      </w:r>
    </w:p>
    <w:tbl>
      <w:tblPr>
        <w:tblW w:w="5000" w:type="pct"/>
        <w:tblLook w:val="04A0" w:firstRow="1" w:lastRow="0" w:firstColumn="1" w:lastColumn="0" w:noHBand="0" w:noVBand="1"/>
      </w:tblPr>
      <w:tblGrid>
        <w:gridCol w:w="893"/>
        <w:gridCol w:w="1057"/>
        <w:gridCol w:w="1201"/>
        <w:gridCol w:w="1201"/>
        <w:gridCol w:w="1374"/>
        <w:gridCol w:w="1200"/>
        <w:gridCol w:w="1370"/>
      </w:tblGrid>
      <w:tr w:rsidR="000549B1" w:rsidRPr="000549B1" w14:paraId="5EB456A6" w14:textId="77777777" w:rsidTr="00FD127F">
        <w:trPr>
          <w:trHeight w:val="340"/>
        </w:trPr>
        <w:tc>
          <w:tcPr>
            <w:tcW w:w="538" w:type="pct"/>
            <w:vMerge w:val="restart"/>
            <w:tcBorders>
              <w:top w:val="single" w:sz="4" w:space="0" w:color="auto"/>
              <w:left w:val="single" w:sz="4" w:space="0" w:color="auto"/>
              <w:bottom w:val="single" w:sz="4" w:space="0" w:color="auto"/>
              <w:right w:val="single" w:sz="4" w:space="0" w:color="auto"/>
            </w:tcBorders>
            <w:vAlign w:val="center"/>
          </w:tcPr>
          <w:p w14:paraId="11C82C1F" w14:textId="77777777" w:rsidR="00FD127F" w:rsidRPr="000549B1" w:rsidRDefault="00FD127F" w:rsidP="0050757E">
            <w:pPr>
              <w:pStyle w:val="CharCharCharCharChar"/>
              <w:rPr>
                <w:b/>
                <w:bCs/>
                <w:color w:val="auto"/>
              </w:rPr>
            </w:pPr>
            <w:r w:rsidRPr="000549B1">
              <w:rPr>
                <w:rFonts w:hint="eastAsia"/>
                <w:b/>
                <w:bCs/>
                <w:color w:val="auto"/>
              </w:rPr>
              <w:t>分区</w:t>
            </w:r>
          </w:p>
        </w:tc>
        <w:tc>
          <w:tcPr>
            <w:tcW w:w="636" w:type="pct"/>
            <w:vMerge w:val="restart"/>
            <w:tcBorders>
              <w:top w:val="single" w:sz="4" w:space="0" w:color="auto"/>
              <w:left w:val="single" w:sz="4" w:space="0" w:color="auto"/>
              <w:bottom w:val="single" w:sz="4" w:space="0" w:color="auto"/>
              <w:right w:val="single" w:sz="4" w:space="0" w:color="auto"/>
            </w:tcBorders>
            <w:vAlign w:val="center"/>
          </w:tcPr>
          <w:p w14:paraId="47514980" w14:textId="77777777" w:rsidR="00FD127F" w:rsidRPr="000549B1" w:rsidRDefault="00FD127F" w:rsidP="0050757E">
            <w:pPr>
              <w:pStyle w:val="CharCharCharCharChar"/>
              <w:rPr>
                <w:b/>
                <w:bCs/>
                <w:color w:val="auto"/>
              </w:rPr>
            </w:pPr>
            <w:r w:rsidRPr="000549B1">
              <w:rPr>
                <w:rFonts w:hint="eastAsia"/>
                <w:b/>
                <w:bCs/>
                <w:color w:val="auto"/>
              </w:rPr>
              <w:t>乡镇</w:t>
            </w:r>
          </w:p>
        </w:tc>
        <w:tc>
          <w:tcPr>
            <w:tcW w:w="2276" w:type="pct"/>
            <w:gridSpan w:val="3"/>
            <w:tcBorders>
              <w:top w:val="single" w:sz="4" w:space="0" w:color="auto"/>
              <w:left w:val="single" w:sz="4" w:space="0" w:color="auto"/>
              <w:bottom w:val="single" w:sz="4" w:space="0" w:color="auto"/>
              <w:right w:val="single" w:sz="4" w:space="0" w:color="auto"/>
            </w:tcBorders>
            <w:vAlign w:val="center"/>
          </w:tcPr>
          <w:p w14:paraId="147D7BBC" w14:textId="77777777" w:rsidR="00FD127F" w:rsidRPr="000549B1" w:rsidRDefault="00FD127F" w:rsidP="0050757E">
            <w:pPr>
              <w:pStyle w:val="CharCharCharCharChar"/>
              <w:rPr>
                <w:b/>
                <w:bCs/>
                <w:color w:val="auto"/>
              </w:rPr>
            </w:pPr>
            <w:r w:rsidRPr="000549B1">
              <w:rPr>
                <w:rFonts w:hint="eastAsia"/>
                <w:b/>
                <w:bCs/>
                <w:color w:val="auto"/>
              </w:rPr>
              <w:t>地表水工程</w:t>
            </w:r>
          </w:p>
        </w:tc>
        <w:tc>
          <w:tcPr>
            <w:tcW w:w="723" w:type="pct"/>
            <w:vMerge w:val="restart"/>
            <w:tcBorders>
              <w:top w:val="single" w:sz="4" w:space="0" w:color="auto"/>
              <w:left w:val="single" w:sz="4" w:space="0" w:color="auto"/>
              <w:bottom w:val="single" w:sz="4" w:space="0" w:color="auto"/>
              <w:right w:val="single" w:sz="4" w:space="0" w:color="auto"/>
            </w:tcBorders>
            <w:vAlign w:val="center"/>
          </w:tcPr>
          <w:p w14:paraId="2D0092AC" w14:textId="77777777" w:rsidR="00FD127F" w:rsidRPr="000549B1" w:rsidRDefault="00FD127F" w:rsidP="0050757E">
            <w:pPr>
              <w:pStyle w:val="CharCharCharCharChar"/>
              <w:rPr>
                <w:b/>
                <w:bCs/>
                <w:color w:val="auto"/>
              </w:rPr>
            </w:pPr>
            <w:r w:rsidRPr="000549B1">
              <w:rPr>
                <w:rFonts w:hint="eastAsia"/>
                <w:b/>
                <w:bCs/>
                <w:color w:val="auto"/>
              </w:rPr>
              <w:t>地下水</w:t>
            </w:r>
          </w:p>
        </w:tc>
        <w:tc>
          <w:tcPr>
            <w:tcW w:w="827" w:type="pct"/>
            <w:vMerge w:val="restart"/>
            <w:tcBorders>
              <w:top w:val="single" w:sz="4" w:space="0" w:color="auto"/>
              <w:left w:val="single" w:sz="4" w:space="0" w:color="auto"/>
              <w:bottom w:val="single" w:sz="4" w:space="0" w:color="auto"/>
              <w:right w:val="single" w:sz="4" w:space="0" w:color="auto"/>
            </w:tcBorders>
            <w:vAlign w:val="center"/>
          </w:tcPr>
          <w:p w14:paraId="0A078CE1" w14:textId="77777777" w:rsidR="00FD127F" w:rsidRPr="000549B1" w:rsidRDefault="00FD127F" w:rsidP="0050757E">
            <w:pPr>
              <w:pStyle w:val="CharCharCharCharChar"/>
              <w:rPr>
                <w:b/>
                <w:bCs/>
                <w:color w:val="auto"/>
              </w:rPr>
            </w:pPr>
            <w:r w:rsidRPr="000549B1">
              <w:rPr>
                <w:rFonts w:hint="eastAsia"/>
                <w:b/>
                <w:bCs/>
                <w:color w:val="auto"/>
              </w:rPr>
              <w:t>合计</w:t>
            </w:r>
          </w:p>
        </w:tc>
      </w:tr>
      <w:tr w:rsidR="000549B1" w:rsidRPr="000549B1" w14:paraId="10F49A77" w14:textId="77777777" w:rsidTr="00FD127F">
        <w:trPr>
          <w:trHeight w:val="340"/>
        </w:trPr>
        <w:tc>
          <w:tcPr>
            <w:tcW w:w="538" w:type="pct"/>
            <w:vMerge/>
            <w:tcBorders>
              <w:top w:val="single" w:sz="4" w:space="0" w:color="auto"/>
              <w:left w:val="single" w:sz="4" w:space="0" w:color="auto"/>
              <w:bottom w:val="single" w:sz="4" w:space="0" w:color="auto"/>
              <w:right w:val="single" w:sz="4" w:space="0" w:color="auto"/>
            </w:tcBorders>
            <w:vAlign w:val="center"/>
          </w:tcPr>
          <w:p w14:paraId="476D0003" w14:textId="77777777" w:rsidR="00FD127F" w:rsidRPr="000549B1" w:rsidRDefault="00FD127F" w:rsidP="0050757E">
            <w:pPr>
              <w:pStyle w:val="CharCharCharCharChar"/>
              <w:rPr>
                <w:color w:val="auto"/>
              </w:rPr>
            </w:pPr>
          </w:p>
        </w:tc>
        <w:tc>
          <w:tcPr>
            <w:tcW w:w="636" w:type="pct"/>
            <w:vMerge/>
            <w:tcBorders>
              <w:top w:val="single" w:sz="4" w:space="0" w:color="auto"/>
              <w:left w:val="single" w:sz="4" w:space="0" w:color="auto"/>
              <w:bottom w:val="single" w:sz="4" w:space="0" w:color="auto"/>
              <w:right w:val="single" w:sz="4" w:space="0" w:color="auto"/>
            </w:tcBorders>
            <w:vAlign w:val="center"/>
          </w:tcPr>
          <w:p w14:paraId="3BA64789" w14:textId="77777777" w:rsidR="00FD127F" w:rsidRPr="000549B1" w:rsidRDefault="00FD127F" w:rsidP="0050757E">
            <w:pPr>
              <w:pStyle w:val="CharCharCharCharChar"/>
              <w:rPr>
                <w:color w:val="auto"/>
              </w:rPr>
            </w:pPr>
          </w:p>
        </w:tc>
        <w:tc>
          <w:tcPr>
            <w:tcW w:w="724" w:type="pct"/>
            <w:tcBorders>
              <w:top w:val="single" w:sz="4" w:space="0" w:color="auto"/>
              <w:left w:val="single" w:sz="4" w:space="0" w:color="auto"/>
              <w:bottom w:val="single" w:sz="4" w:space="0" w:color="auto"/>
              <w:right w:val="single" w:sz="4" w:space="0" w:color="auto"/>
            </w:tcBorders>
            <w:vAlign w:val="center"/>
          </w:tcPr>
          <w:p w14:paraId="75132171" w14:textId="77777777" w:rsidR="00FD127F" w:rsidRPr="000549B1" w:rsidRDefault="00FD127F" w:rsidP="0050757E">
            <w:pPr>
              <w:pStyle w:val="CharCharCharCharChar"/>
              <w:rPr>
                <w:b/>
                <w:bCs/>
                <w:color w:val="auto"/>
              </w:rPr>
            </w:pPr>
            <w:r w:rsidRPr="000549B1">
              <w:rPr>
                <w:rFonts w:hint="eastAsia"/>
                <w:b/>
                <w:bCs/>
                <w:color w:val="auto"/>
              </w:rPr>
              <w:t>蓄水工程</w:t>
            </w:r>
          </w:p>
        </w:tc>
        <w:tc>
          <w:tcPr>
            <w:tcW w:w="724" w:type="pct"/>
            <w:tcBorders>
              <w:top w:val="single" w:sz="4" w:space="0" w:color="auto"/>
              <w:left w:val="single" w:sz="4" w:space="0" w:color="auto"/>
              <w:bottom w:val="single" w:sz="4" w:space="0" w:color="auto"/>
              <w:right w:val="single" w:sz="4" w:space="0" w:color="auto"/>
            </w:tcBorders>
            <w:vAlign w:val="center"/>
          </w:tcPr>
          <w:p w14:paraId="79F6E19C" w14:textId="77777777" w:rsidR="00FD127F" w:rsidRPr="000549B1" w:rsidRDefault="00FD127F" w:rsidP="0050757E">
            <w:pPr>
              <w:pStyle w:val="CharCharCharCharChar"/>
              <w:rPr>
                <w:b/>
                <w:bCs/>
                <w:color w:val="auto"/>
              </w:rPr>
            </w:pPr>
            <w:r w:rsidRPr="000549B1">
              <w:rPr>
                <w:rFonts w:hint="eastAsia"/>
                <w:b/>
                <w:bCs/>
                <w:color w:val="auto"/>
              </w:rPr>
              <w:t>引水工程</w:t>
            </w:r>
          </w:p>
        </w:tc>
        <w:tc>
          <w:tcPr>
            <w:tcW w:w="828" w:type="pct"/>
            <w:tcBorders>
              <w:top w:val="single" w:sz="4" w:space="0" w:color="auto"/>
              <w:left w:val="single" w:sz="4" w:space="0" w:color="auto"/>
              <w:bottom w:val="single" w:sz="4" w:space="0" w:color="auto"/>
              <w:right w:val="single" w:sz="4" w:space="0" w:color="auto"/>
            </w:tcBorders>
            <w:vAlign w:val="center"/>
          </w:tcPr>
          <w:p w14:paraId="0F3A1DBA" w14:textId="77777777" w:rsidR="00FD127F" w:rsidRPr="000549B1" w:rsidRDefault="00FD127F" w:rsidP="0050757E">
            <w:pPr>
              <w:pStyle w:val="CharCharCharCharChar"/>
              <w:rPr>
                <w:b/>
                <w:bCs/>
                <w:color w:val="auto"/>
              </w:rPr>
            </w:pPr>
            <w:r w:rsidRPr="000549B1">
              <w:rPr>
                <w:rFonts w:hint="eastAsia"/>
                <w:b/>
                <w:bCs/>
                <w:color w:val="auto"/>
              </w:rPr>
              <w:t>小计</w:t>
            </w:r>
          </w:p>
        </w:tc>
        <w:tc>
          <w:tcPr>
            <w:tcW w:w="723" w:type="pct"/>
            <w:vMerge/>
            <w:tcBorders>
              <w:top w:val="single" w:sz="4" w:space="0" w:color="auto"/>
              <w:left w:val="single" w:sz="4" w:space="0" w:color="auto"/>
              <w:bottom w:val="single" w:sz="4" w:space="0" w:color="auto"/>
              <w:right w:val="single" w:sz="4" w:space="0" w:color="auto"/>
            </w:tcBorders>
            <w:vAlign w:val="center"/>
          </w:tcPr>
          <w:p w14:paraId="43932C61" w14:textId="77777777" w:rsidR="00FD127F" w:rsidRPr="000549B1" w:rsidRDefault="00FD127F" w:rsidP="0050757E">
            <w:pPr>
              <w:pStyle w:val="CharCharCharCharChar"/>
              <w:rPr>
                <w:color w:val="auto"/>
              </w:rPr>
            </w:pPr>
          </w:p>
        </w:tc>
        <w:tc>
          <w:tcPr>
            <w:tcW w:w="827" w:type="pct"/>
            <w:vMerge/>
            <w:tcBorders>
              <w:top w:val="single" w:sz="4" w:space="0" w:color="auto"/>
              <w:left w:val="single" w:sz="4" w:space="0" w:color="auto"/>
              <w:bottom w:val="single" w:sz="4" w:space="0" w:color="auto"/>
              <w:right w:val="single" w:sz="4" w:space="0" w:color="auto"/>
            </w:tcBorders>
            <w:vAlign w:val="center"/>
          </w:tcPr>
          <w:p w14:paraId="001A6DD8" w14:textId="77777777" w:rsidR="00FD127F" w:rsidRPr="000549B1" w:rsidRDefault="00FD127F" w:rsidP="0050757E">
            <w:pPr>
              <w:pStyle w:val="CharCharCharCharChar"/>
              <w:rPr>
                <w:color w:val="auto"/>
              </w:rPr>
            </w:pPr>
          </w:p>
        </w:tc>
      </w:tr>
      <w:tr w:rsidR="000549B1" w:rsidRPr="000549B1" w14:paraId="46E62A05" w14:textId="77777777" w:rsidTr="00FD127F">
        <w:trPr>
          <w:trHeight w:val="340"/>
        </w:trPr>
        <w:tc>
          <w:tcPr>
            <w:tcW w:w="538" w:type="pct"/>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12D6740B" w14:textId="77777777" w:rsidR="00FD127F" w:rsidRPr="000549B1" w:rsidRDefault="00FD127F" w:rsidP="0050757E">
            <w:pPr>
              <w:pStyle w:val="CharCharCharCharChar"/>
              <w:rPr>
                <w:color w:val="auto"/>
              </w:rPr>
            </w:pPr>
            <w:bookmarkStart w:id="201" w:name="_Hlk216020644"/>
            <w:r w:rsidRPr="000549B1">
              <w:rPr>
                <w:rFonts w:hint="eastAsia"/>
                <w:color w:val="auto"/>
              </w:rPr>
              <w:t>共和县</w:t>
            </w:r>
          </w:p>
        </w:tc>
        <w:tc>
          <w:tcPr>
            <w:tcW w:w="636"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482E7D4E" w14:textId="77777777" w:rsidR="00FD127F" w:rsidRPr="000549B1" w:rsidRDefault="00FD127F" w:rsidP="0050757E">
            <w:pPr>
              <w:pStyle w:val="CharCharCharCharChar"/>
              <w:rPr>
                <w:color w:val="auto"/>
              </w:rPr>
            </w:pPr>
            <w:r w:rsidRPr="000549B1">
              <w:rPr>
                <w:rFonts w:hint="eastAsia"/>
                <w:color w:val="auto"/>
              </w:rPr>
              <w:t>塘格木镇</w:t>
            </w:r>
          </w:p>
        </w:tc>
        <w:tc>
          <w:tcPr>
            <w:tcW w:w="724" w:type="pct"/>
            <w:tcBorders>
              <w:top w:val="single" w:sz="4" w:space="0" w:color="auto"/>
              <w:left w:val="single" w:sz="4" w:space="0" w:color="auto"/>
              <w:bottom w:val="single" w:sz="4" w:space="0" w:color="auto"/>
              <w:right w:val="single" w:sz="4" w:space="0" w:color="auto"/>
            </w:tcBorders>
            <w:noWrap/>
            <w:vAlign w:val="center"/>
          </w:tcPr>
          <w:p w14:paraId="3A89E4EC" w14:textId="3A5E27CA" w:rsidR="00FD127F" w:rsidRPr="000549B1" w:rsidRDefault="00FD127F" w:rsidP="00FD127F">
            <w:pPr>
              <w:pStyle w:val="CharCharCharCharChar"/>
              <w:rPr>
                <w:color w:val="auto"/>
              </w:rPr>
            </w:pPr>
            <w:r w:rsidRPr="000549B1">
              <w:rPr>
                <w:color w:val="auto"/>
              </w:rPr>
              <w:t>2682.4</w:t>
            </w:r>
          </w:p>
        </w:tc>
        <w:tc>
          <w:tcPr>
            <w:tcW w:w="724" w:type="pct"/>
            <w:tcBorders>
              <w:top w:val="single" w:sz="4" w:space="0" w:color="auto"/>
              <w:left w:val="single" w:sz="4" w:space="0" w:color="auto"/>
              <w:bottom w:val="single" w:sz="4" w:space="0" w:color="auto"/>
              <w:right w:val="single" w:sz="4" w:space="0" w:color="auto"/>
            </w:tcBorders>
            <w:noWrap/>
            <w:vAlign w:val="center"/>
          </w:tcPr>
          <w:p w14:paraId="571FF7A4" w14:textId="49293637" w:rsidR="00FD127F" w:rsidRPr="000549B1" w:rsidRDefault="00FD127F" w:rsidP="00FD127F">
            <w:pPr>
              <w:pStyle w:val="CharCharCharCharChar"/>
              <w:rPr>
                <w:color w:val="auto"/>
              </w:rPr>
            </w:pPr>
            <w:r w:rsidRPr="000549B1">
              <w:rPr>
                <w:color w:val="auto"/>
              </w:rPr>
              <w:t>64.8</w:t>
            </w:r>
          </w:p>
        </w:tc>
        <w:tc>
          <w:tcPr>
            <w:tcW w:w="828" w:type="pct"/>
            <w:tcBorders>
              <w:top w:val="single" w:sz="4" w:space="0" w:color="auto"/>
              <w:left w:val="single" w:sz="4" w:space="0" w:color="auto"/>
              <w:bottom w:val="single" w:sz="4" w:space="0" w:color="auto"/>
              <w:right w:val="single" w:sz="4" w:space="0" w:color="auto"/>
            </w:tcBorders>
            <w:noWrap/>
            <w:vAlign w:val="center"/>
          </w:tcPr>
          <w:p w14:paraId="006C3A7B" w14:textId="4D11C0E9" w:rsidR="00FD127F" w:rsidRPr="000549B1" w:rsidRDefault="00FD127F" w:rsidP="00FD127F">
            <w:pPr>
              <w:pStyle w:val="CharCharCharCharChar"/>
              <w:rPr>
                <w:color w:val="auto"/>
              </w:rPr>
            </w:pPr>
            <w:r w:rsidRPr="000549B1">
              <w:rPr>
                <w:color w:val="auto"/>
              </w:rPr>
              <w:t>2747.2</w:t>
            </w:r>
          </w:p>
        </w:tc>
        <w:tc>
          <w:tcPr>
            <w:tcW w:w="723" w:type="pct"/>
            <w:tcBorders>
              <w:top w:val="single" w:sz="4" w:space="0" w:color="auto"/>
              <w:left w:val="single" w:sz="4" w:space="0" w:color="auto"/>
              <w:bottom w:val="single" w:sz="4" w:space="0" w:color="auto"/>
              <w:right w:val="single" w:sz="4" w:space="0" w:color="auto"/>
            </w:tcBorders>
            <w:noWrap/>
            <w:vAlign w:val="center"/>
          </w:tcPr>
          <w:p w14:paraId="530C2360" w14:textId="3D2277D2" w:rsidR="00FD127F" w:rsidRPr="000549B1" w:rsidRDefault="00FD127F" w:rsidP="00FD127F">
            <w:pPr>
              <w:pStyle w:val="CharCharCharCharChar"/>
              <w:rPr>
                <w:color w:val="auto"/>
              </w:rPr>
            </w:pPr>
            <w:r w:rsidRPr="000549B1">
              <w:rPr>
                <w:color w:val="auto"/>
              </w:rPr>
              <w:t>0.0</w:t>
            </w:r>
          </w:p>
        </w:tc>
        <w:tc>
          <w:tcPr>
            <w:tcW w:w="827" w:type="pct"/>
            <w:tcBorders>
              <w:top w:val="single" w:sz="4" w:space="0" w:color="auto"/>
              <w:left w:val="single" w:sz="4" w:space="0" w:color="auto"/>
              <w:bottom w:val="single" w:sz="4" w:space="0" w:color="auto"/>
              <w:right w:val="single" w:sz="4" w:space="0" w:color="auto"/>
            </w:tcBorders>
            <w:noWrap/>
            <w:vAlign w:val="center"/>
          </w:tcPr>
          <w:p w14:paraId="13B5F78A" w14:textId="6E5B9093" w:rsidR="00FD127F" w:rsidRPr="000549B1" w:rsidRDefault="00FD127F" w:rsidP="00FD127F">
            <w:pPr>
              <w:pStyle w:val="CharCharCharCharChar"/>
              <w:rPr>
                <w:color w:val="auto"/>
              </w:rPr>
            </w:pPr>
            <w:r w:rsidRPr="000549B1">
              <w:rPr>
                <w:color w:val="auto"/>
              </w:rPr>
              <w:t>2747.2</w:t>
            </w:r>
          </w:p>
        </w:tc>
      </w:tr>
      <w:tr w:rsidR="000549B1" w:rsidRPr="000549B1" w14:paraId="0C171059" w14:textId="77777777" w:rsidTr="00FD127F">
        <w:trPr>
          <w:trHeight w:val="340"/>
        </w:trPr>
        <w:tc>
          <w:tcPr>
            <w:tcW w:w="538" w:type="pct"/>
            <w:vMerge/>
            <w:tcBorders>
              <w:top w:val="single" w:sz="4" w:space="0" w:color="auto"/>
              <w:left w:val="single" w:sz="4" w:space="0" w:color="auto"/>
              <w:bottom w:val="single" w:sz="4" w:space="0" w:color="auto"/>
              <w:right w:val="single" w:sz="4" w:space="0" w:color="auto"/>
            </w:tcBorders>
            <w:shd w:val="clear" w:color="000000" w:fill="FFFFFF"/>
            <w:vAlign w:val="center"/>
          </w:tcPr>
          <w:p w14:paraId="06E6E733" w14:textId="77777777" w:rsidR="00FD127F" w:rsidRPr="000549B1" w:rsidRDefault="00FD127F" w:rsidP="0050757E">
            <w:pPr>
              <w:pStyle w:val="CharCharCharCharChar"/>
              <w:rPr>
                <w:color w:val="auto"/>
              </w:rPr>
            </w:pPr>
          </w:p>
        </w:tc>
        <w:tc>
          <w:tcPr>
            <w:tcW w:w="636"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634039C9" w14:textId="77777777" w:rsidR="00FD127F" w:rsidRPr="000549B1" w:rsidRDefault="00FD127F" w:rsidP="0050757E">
            <w:pPr>
              <w:pStyle w:val="CharCharCharCharChar"/>
              <w:rPr>
                <w:color w:val="auto"/>
              </w:rPr>
            </w:pPr>
            <w:r w:rsidRPr="000549B1">
              <w:rPr>
                <w:rFonts w:hint="eastAsia"/>
                <w:color w:val="auto"/>
              </w:rPr>
              <w:t>切吉乡</w:t>
            </w:r>
          </w:p>
        </w:tc>
        <w:tc>
          <w:tcPr>
            <w:tcW w:w="724" w:type="pct"/>
            <w:tcBorders>
              <w:top w:val="single" w:sz="4" w:space="0" w:color="auto"/>
              <w:left w:val="single" w:sz="4" w:space="0" w:color="auto"/>
              <w:bottom w:val="single" w:sz="4" w:space="0" w:color="auto"/>
              <w:right w:val="single" w:sz="4" w:space="0" w:color="auto"/>
            </w:tcBorders>
            <w:noWrap/>
            <w:vAlign w:val="center"/>
          </w:tcPr>
          <w:p w14:paraId="31F5BEF2" w14:textId="49C636B6" w:rsidR="00FD127F" w:rsidRPr="000549B1" w:rsidRDefault="00FD127F" w:rsidP="00FD127F">
            <w:pPr>
              <w:pStyle w:val="CharCharCharCharChar"/>
              <w:rPr>
                <w:color w:val="auto"/>
              </w:rPr>
            </w:pPr>
            <w:r w:rsidRPr="000549B1">
              <w:rPr>
                <w:color w:val="auto"/>
              </w:rPr>
              <w:t>1437.7</w:t>
            </w:r>
          </w:p>
        </w:tc>
        <w:tc>
          <w:tcPr>
            <w:tcW w:w="724" w:type="pct"/>
            <w:tcBorders>
              <w:top w:val="single" w:sz="4" w:space="0" w:color="auto"/>
              <w:left w:val="single" w:sz="4" w:space="0" w:color="auto"/>
              <w:bottom w:val="single" w:sz="4" w:space="0" w:color="auto"/>
              <w:right w:val="single" w:sz="4" w:space="0" w:color="auto"/>
            </w:tcBorders>
            <w:noWrap/>
            <w:vAlign w:val="center"/>
          </w:tcPr>
          <w:p w14:paraId="3BAB051C" w14:textId="542DBFC1" w:rsidR="00FD127F" w:rsidRPr="000549B1" w:rsidRDefault="00FD127F" w:rsidP="00FD127F">
            <w:pPr>
              <w:pStyle w:val="CharCharCharCharChar"/>
              <w:rPr>
                <w:color w:val="auto"/>
              </w:rPr>
            </w:pPr>
            <w:r w:rsidRPr="000549B1">
              <w:rPr>
                <w:color w:val="auto"/>
              </w:rPr>
              <w:t>541.7</w:t>
            </w:r>
          </w:p>
        </w:tc>
        <w:tc>
          <w:tcPr>
            <w:tcW w:w="828" w:type="pct"/>
            <w:tcBorders>
              <w:top w:val="single" w:sz="4" w:space="0" w:color="auto"/>
              <w:left w:val="single" w:sz="4" w:space="0" w:color="auto"/>
              <w:bottom w:val="single" w:sz="4" w:space="0" w:color="auto"/>
              <w:right w:val="single" w:sz="4" w:space="0" w:color="auto"/>
            </w:tcBorders>
            <w:noWrap/>
            <w:vAlign w:val="center"/>
          </w:tcPr>
          <w:p w14:paraId="2AEFC9AE" w14:textId="7A222E92" w:rsidR="00FD127F" w:rsidRPr="000549B1" w:rsidRDefault="00FD127F" w:rsidP="00FD127F">
            <w:pPr>
              <w:pStyle w:val="CharCharCharCharChar"/>
              <w:rPr>
                <w:color w:val="auto"/>
              </w:rPr>
            </w:pPr>
            <w:r w:rsidRPr="000549B1">
              <w:rPr>
                <w:color w:val="auto"/>
              </w:rPr>
              <w:t>1979.3</w:t>
            </w:r>
          </w:p>
        </w:tc>
        <w:tc>
          <w:tcPr>
            <w:tcW w:w="723" w:type="pct"/>
            <w:tcBorders>
              <w:top w:val="single" w:sz="4" w:space="0" w:color="auto"/>
              <w:left w:val="single" w:sz="4" w:space="0" w:color="auto"/>
              <w:bottom w:val="single" w:sz="4" w:space="0" w:color="auto"/>
              <w:right w:val="single" w:sz="4" w:space="0" w:color="auto"/>
            </w:tcBorders>
            <w:noWrap/>
            <w:vAlign w:val="center"/>
          </w:tcPr>
          <w:p w14:paraId="4C18EF21" w14:textId="0C61809E" w:rsidR="00FD127F" w:rsidRPr="000549B1" w:rsidRDefault="00FD127F" w:rsidP="00FD127F">
            <w:pPr>
              <w:pStyle w:val="CharCharCharCharChar"/>
              <w:rPr>
                <w:color w:val="auto"/>
              </w:rPr>
            </w:pPr>
            <w:r w:rsidRPr="000549B1">
              <w:rPr>
                <w:color w:val="auto"/>
              </w:rPr>
              <w:t>0.0</w:t>
            </w:r>
          </w:p>
        </w:tc>
        <w:tc>
          <w:tcPr>
            <w:tcW w:w="827" w:type="pct"/>
            <w:tcBorders>
              <w:top w:val="single" w:sz="4" w:space="0" w:color="auto"/>
              <w:left w:val="single" w:sz="4" w:space="0" w:color="auto"/>
              <w:bottom w:val="single" w:sz="4" w:space="0" w:color="auto"/>
              <w:right w:val="single" w:sz="4" w:space="0" w:color="auto"/>
            </w:tcBorders>
            <w:noWrap/>
            <w:vAlign w:val="center"/>
          </w:tcPr>
          <w:p w14:paraId="739A936F" w14:textId="138FDE54" w:rsidR="00FD127F" w:rsidRPr="000549B1" w:rsidRDefault="00FD127F" w:rsidP="00FD127F">
            <w:pPr>
              <w:pStyle w:val="CharCharCharCharChar"/>
              <w:rPr>
                <w:color w:val="auto"/>
              </w:rPr>
            </w:pPr>
            <w:r w:rsidRPr="000549B1">
              <w:rPr>
                <w:color w:val="auto"/>
              </w:rPr>
              <w:t>1979.3</w:t>
            </w:r>
          </w:p>
        </w:tc>
      </w:tr>
      <w:tr w:rsidR="000549B1" w:rsidRPr="000549B1" w14:paraId="717239A9" w14:textId="77777777" w:rsidTr="00FD127F">
        <w:trPr>
          <w:trHeight w:val="340"/>
        </w:trPr>
        <w:tc>
          <w:tcPr>
            <w:tcW w:w="538" w:type="pct"/>
            <w:vMerge/>
            <w:tcBorders>
              <w:top w:val="single" w:sz="4" w:space="0" w:color="auto"/>
              <w:left w:val="single" w:sz="4" w:space="0" w:color="auto"/>
              <w:bottom w:val="single" w:sz="4" w:space="0" w:color="auto"/>
              <w:right w:val="single" w:sz="4" w:space="0" w:color="auto"/>
            </w:tcBorders>
            <w:shd w:val="clear" w:color="000000" w:fill="FFFFFF"/>
            <w:vAlign w:val="center"/>
          </w:tcPr>
          <w:p w14:paraId="6BDAE618" w14:textId="77777777" w:rsidR="00FD127F" w:rsidRPr="000549B1" w:rsidRDefault="00FD127F" w:rsidP="0050757E">
            <w:pPr>
              <w:pStyle w:val="CharCharCharCharChar"/>
              <w:rPr>
                <w:color w:val="auto"/>
              </w:rPr>
            </w:pPr>
          </w:p>
        </w:tc>
        <w:tc>
          <w:tcPr>
            <w:tcW w:w="636"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47BA16A9" w14:textId="77777777" w:rsidR="00FD127F" w:rsidRPr="000549B1" w:rsidRDefault="00FD127F" w:rsidP="0050757E">
            <w:pPr>
              <w:pStyle w:val="CharCharCharCharChar"/>
              <w:rPr>
                <w:color w:val="auto"/>
              </w:rPr>
            </w:pPr>
            <w:r w:rsidRPr="000549B1">
              <w:rPr>
                <w:rFonts w:hint="eastAsia"/>
                <w:color w:val="auto"/>
              </w:rPr>
              <w:t>廿地乡</w:t>
            </w:r>
          </w:p>
        </w:tc>
        <w:tc>
          <w:tcPr>
            <w:tcW w:w="724" w:type="pct"/>
            <w:tcBorders>
              <w:top w:val="single" w:sz="4" w:space="0" w:color="auto"/>
              <w:left w:val="single" w:sz="4" w:space="0" w:color="auto"/>
              <w:bottom w:val="single" w:sz="4" w:space="0" w:color="auto"/>
              <w:right w:val="single" w:sz="4" w:space="0" w:color="auto"/>
            </w:tcBorders>
            <w:noWrap/>
            <w:vAlign w:val="center"/>
          </w:tcPr>
          <w:p w14:paraId="4904399F" w14:textId="11510772" w:rsidR="00FD127F" w:rsidRPr="000549B1" w:rsidRDefault="00FD127F" w:rsidP="00FD127F">
            <w:pPr>
              <w:pStyle w:val="CharCharCharCharChar"/>
              <w:rPr>
                <w:color w:val="auto"/>
              </w:rPr>
            </w:pPr>
            <w:r w:rsidRPr="000549B1">
              <w:rPr>
                <w:color w:val="auto"/>
              </w:rPr>
              <w:t>106.0</w:t>
            </w:r>
          </w:p>
        </w:tc>
        <w:tc>
          <w:tcPr>
            <w:tcW w:w="724" w:type="pct"/>
            <w:tcBorders>
              <w:top w:val="single" w:sz="4" w:space="0" w:color="auto"/>
              <w:left w:val="single" w:sz="4" w:space="0" w:color="auto"/>
              <w:bottom w:val="single" w:sz="4" w:space="0" w:color="auto"/>
              <w:right w:val="single" w:sz="4" w:space="0" w:color="auto"/>
            </w:tcBorders>
            <w:noWrap/>
            <w:vAlign w:val="center"/>
          </w:tcPr>
          <w:p w14:paraId="422355A3" w14:textId="6C976C77" w:rsidR="00FD127F" w:rsidRPr="000549B1" w:rsidRDefault="00FD127F" w:rsidP="00FD127F">
            <w:pPr>
              <w:pStyle w:val="CharCharCharCharChar"/>
              <w:rPr>
                <w:color w:val="auto"/>
              </w:rPr>
            </w:pPr>
            <w:r w:rsidRPr="000549B1">
              <w:rPr>
                <w:color w:val="auto"/>
              </w:rPr>
              <w:t>74.0</w:t>
            </w:r>
          </w:p>
        </w:tc>
        <w:tc>
          <w:tcPr>
            <w:tcW w:w="828" w:type="pct"/>
            <w:tcBorders>
              <w:top w:val="single" w:sz="4" w:space="0" w:color="auto"/>
              <w:left w:val="single" w:sz="4" w:space="0" w:color="auto"/>
              <w:bottom w:val="single" w:sz="4" w:space="0" w:color="auto"/>
              <w:right w:val="single" w:sz="4" w:space="0" w:color="auto"/>
            </w:tcBorders>
            <w:noWrap/>
            <w:vAlign w:val="center"/>
          </w:tcPr>
          <w:p w14:paraId="609935FD" w14:textId="0828F916" w:rsidR="00FD127F" w:rsidRPr="000549B1" w:rsidRDefault="00FD127F" w:rsidP="00FD127F">
            <w:pPr>
              <w:pStyle w:val="CharCharCharCharChar"/>
              <w:rPr>
                <w:color w:val="auto"/>
              </w:rPr>
            </w:pPr>
            <w:r w:rsidRPr="000549B1">
              <w:rPr>
                <w:color w:val="auto"/>
              </w:rPr>
              <w:t>179.9</w:t>
            </w:r>
          </w:p>
        </w:tc>
        <w:tc>
          <w:tcPr>
            <w:tcW w:w="723" w:type="pct"/>
            <w:tcBorders>
              <w:top w:val="single" w:sz="4" w:space="0" w:color="auto"/>
              <w:left w:val="single" w:sz="4" w:space="0" w:color="auto"/>
              <w:bottom w:val="single" w:sz="4" w:space="0" w:color="auto"/>
              <w:right w:val="single" w:sz="4" w:space="0" w:color="auto"/>
            </w:tcBorders>
            <w:noWrap/>
            <w:vAlign w:val="center"/>
          </w:tcPr>
          <w:p w14:paraId="70B91AB3" w14:textId="26E86B2E" w:rsidR="00FD127F" w:rsidRPr="000549B1" w:rsidRDefault="00FD127F" w:rsidP="00FD127F">
            <w:pPr>
              <w:pStyle w:val="CharCharCharCharChar"/>
              <w:rPr>
                <w:color w:val="auto"/>
              </w:rPr>
            </w:pPr>
            <w:r w:rsidRPr="000549B1">
              <w:rPr>
                <w:color w:val="auto"/>
              </w:rPr>
              <w:t>0.0</w:t>
            </w:r>
          </w:p>
        </w:tc>
        <w:tc>
          <w:tcPr>
            <w:tcW w:w="827" w:type="pct"/>
            <w:tcBorders>
              <w:top w:val="single" w:sz="4" w:space="0" w:color="auto"/>
              <w:left w:val="single" w:sz="4" w:space="0" w:color="auto"/>
              <w:bottom w:val="single" w:sz="4" w:space="0" w:color="auto"/>
              <w:right w:val="single" w:sz="4" w:space="0" w:color="auto"/>
            </w:tcBorders>
            <w:noWrap/>
            <w:vAlign w:val="center"/>
          </w:tcPr>
          <w:p w14:paraId="08424588" w14:textId="3D64814D" w:rsidR="00FD127F" w:rsidRPr="000549B1" w:rsidRDefault="00FD127F" w:rsidP="00FD127F">
            <w:pPr>
              <w:pStyle w:val="CharCharCharCharChar"/>
              <w:rPr>
                <w:color w:val="auto"/>
              </w:rPr>
            </w:pPr>
            <w:r w:rsidRPr="000549B1">
              <w:rPr>
                <w:color w:val="auto"/>
              </w:rPr>
              <w:t>179.9</w:t>
            </w:r>
          </w:p>
        </w:tc>
      </w:tr>
      <w:tr w:rsidR="000549B1" w:rsidRPr="000549B1" w14:paraId="39A012B2" w14:textId="77777777" w:rsidTr="00FD127F">
        <w:trPr>
          <w:trHeight w:val="340"/>
        </w:trPr>
        <w:tc>
          <w:tcPr>
            <w:tcW w:w="538" w:type="pct"/>
            <w:vMerge/>
            <w:tcBorders>
              <w:top w:val="single" w:sz="4" w:space="0" w:color="auto"/>
              <w:left w:val="single" w:sz="4" w:space="0" w:color="auto"/>
              <w:bottom w:val="single" w:sz="4" w:space="0" w:color="auto"/>
              <w:right w:val="single" w:sz="4" w:space="0" w:color="auto"/>
            </w:tcBorders>
            <w:shd w:val="clear" w:color="000000" w:fill="FFFFFF"/>
            <w:vAlign w:val="center"/>
          </w:tcPr>
          <w:p w14:paraId="461AFEA2" w14:textId="77777777" w:rsidR="00FD127F" w:rsidRPr="000549B1" w:rsidRDefault="00FD127F" w:rsidP="0050757E">
            <w:pPr>
              <w:pStyle w:val="CharCharCharCharChar"/>
              <w:rPr>
                <w:color w:val="auto"/>
              </w:rPr>
            </w:pPr>
          </w:p>
        </w:tc>
        <w:tc>
          <w:tcPr>
            <w:tcW w:w="636"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14A7589B" w14:textId="77777777" w:rsidR="00FD127F" w:rsidRPr="000549B1" w:rsidRDefault="00FD127F" w:rsidP="0050757E">
            <w:pPr>
              <w:pStyle w:val="CharCharCharCharChar"/>
              <w:rPr>
                <w:color w:val="auto"/>
              </w:rPr>
            </w:pPr>
            <w:r w:rsidRPr="000549B1">
              <w:rPr>
                <w:rFonts w:hint="eastAsia"/>
                <w:color w:val="auto"/>
              </w:rPr>
              <w:t>沙珠玉乡</w:t>
            </w:r>
          </w:p>
        </w:tc>
        <w:tc>
          <w:tcPr>
            <w:tcW w:w="724" w:type="pct"/>
            <w:tcBorders>
              <w:top w:val="single" w:sz="4" w:space="0" w:color="auto"/>
              <w:left w:val="single" w:sz="4" w:space="0" w:color="auto"/>
              <w:bottom w:val="single" w:sz="4" w:space="0" w:color="auto"/>
              <w:right w:val="single" w:sz="4" w:space="0" w:color="auto"/>
            </w:tcBorders>
            <w:noWrap/>
            <w:vAlign w:val="center"/>
          </w:tcPr>
          <w:p w14:paraId="72FEFE48" w14:textId="53C14CA6" w:rsidR="00FD127F" w:rsidRPr="000549B1" w:rsidRDefault="00FD127F" w:rsidP="00FD127F">
            <w:pPr>
              <w:pStyle w:val="CharCharCharCharChar"/>
              <w:rPr>
                <w:color w:val="auto"/>
              </w:rPr>
            </w:pPr>
            <w:r w:rsidRPr="000549B1">
              <w:rPr>
                <w:color w:val="auto"/>
              </w:rPr>
              <w:t>1210.9</w:t>
            </w:r>
          </w:p>
        </w:tc>
        <w:tc>
          <w:tcPr>
            <w:tcW w:w="724" w:type="pct"/>
            <w:tcBorders>
              <w:top w:val="single" w:sz="4" w:space="0" w:color="auto"/>
              <w:left w:val="single" w:sz="4" w:space="0" w:color="auto"/>
              <w:bottom w:val="single" w:sz="4" w:space="0" w:color="auto"/>
              <w:right w:val="single" w:sz="4" w:space="0" w:color="auto"/>
            </w:tcBorders>
            <w:noWrap/>
            <w:vAlign w:val="center"/>
          </w:tcPr>
          <w:p w14:paraId="3B6E1767" w14:textId="39A668CD" w:rsidR="00FD127F" w:rsidRPr="000549B1" w:rsidRDefault="00FD127F" w:rsidP="00FD127F">
            <w:pPr>
              <w:pStyle w:val="CharCharCharCharChar"/>
              <w:rPr>
                <w:color w:val="auto"/>
              </w:rPr>
            </w:pPr>
            <w:r w:rsidRPr="000549B1">
              <w:rPr>
                <w:color w:val="auto"/>
              </w:rPr>
              <w:t>0.0</w:t>
            </w:r>
          </w:p>
        </w:tc>
        <w:tc>
          <w:tcPr>
            <w:tcW w:w="828" w:type="pct"/>
            <w:tcBorders>
              <w:top w:val="single" w:sz="4" w:space="0" w:color="auto"/>
              <w:left w:val="single" w:sz="4" w:space="0" w:color="auto"/>
              <w:bottom w:val="single" w:sz="4" w:space="0" w:color="auto"/>
              <w:right w:val="single" w:sz="4" w:space="0" w:color="auto"/>
            </w:tcBorders>
            <w:noWrap/>
            <w:vAlign w:val="center"/>
          </w:tcPr>
          <w:p w14:paraId="09849F04" w14:textId="400F5AE9" w:rsidR="00FD127F" w:rsidRPr="000549B1" w:rsidRDefault="00FD127F" w:rsidP="00FD127F">
            <w:pPr>
              <w:pStyle w:val="CharCharCharCharChar"/>
              <w:rPr>
                <w:color w:val="auto"/>
              </w:rPr>
            </w:pPr>
            <w:r w:rsidRPr="000549B1">
              <w:rPr>
                <w:color w:val="auto"/>
              </w:rPr>
              <w:t>1210.9</w:t>
            </w:r>
          </w:p>
        </w:tc>
        <w:tc>
          <w:tcPr>
            <w:tcW w:w="723" w:type="pct"/>
            <w:tcBorders>
              <w:top w:val="single" w:sz="4" w:space="0" w:color="auto"/>
              <w:left w:val="single" w:sz="4" w:space="0" w:color="auto"/>
              <w:bottom w:val="single" w:sz="4" w:space="0" w:color="auto"/>
              <w:right w:val="single" w:sz="4" w:space="0" w:color="auto"/>
            </w:tcBorders>
            <w:noWrap/>
            <w:vAlign w:val="center"/>
          </w:tcPr>
          <w:p w14:paraId="3FD512B4" w14:textId="281F7FB4" w:rsidR="00FD127F" w:rsidRPr="000549B1" w:rsidRDefault="00FD127F" w:rsidP="00FD127F">
            <w:pPr>
              <w:pStyle w:val="CharCharCharCharChar"/>
              <w:rPr>
                <w:color w:val="auto"/>
              </w:rPr>
            </w:pPr>
            <w:r w:rsidRPr="000549B1">
              <w:rPr>
                <w:color w:val="auto"/>
              </w:rPr>
              <w:t>28.2</w:t>
            </w:r>
          </w:p>
        </w:tc>
        <w:tc>
          <w:tcPr>
            <w:tcW w:w="827" w:type="pct"/>
            <w:tcBorders>
              <w:top w:val="single" w:sz="4" w:space="0" w:color="auto"/>
              <w:left w:val="single" w:sz="4" w:space="0" w:color="auto"/>
              <w:bottom w:val="single" w:sz="4" w:space="0" w:color="auto"/>
              <w:right w:val="single" w:sz="4" w:space="0" w:color="auto"/>
            </w:tcBorders>
            <w:noWrap/>
            <w:vAlign w:val="center"/>
          </w:tcPr>
          <w:p w14:paraId="6C3B4A58" w14:textId="5B72D4CF" w:rsidR="00FD127F" w:rsidRPr="000549B1" w:rsidRDefault="00FD127F" w:rsidP="00FD127F">
            <w:pPr>
              <w:pStyle w:val="CharCharCharCharChar"/>
              <w:rPr>
                <w:color w:val="auto"/>
              </w:rPr>
            </w:pPr>
            <w:r w:rsidRPr="000549B1">
              <w:rPr>
                <w:color w:val="auto"/>
              </w:rPr>
              <w:t>1239.1</w:t>
            </w:r>
          </w:p>
        </w:tc>
      </w:tr>
      <w:tr w:rsidR="000549B1" w:rsidRPr="000549B1" w14:paraId="5F71F0F6" w14:textId="77777777" w:rsidTr="00FD127F">
        <w:trPr>
          <w:trHeight w:val="340"/>
        </w:trPr>
        <w:tc>
          <w:tcPr>
            <w:tcW w:w="538" w:type="pct"/>
            <w:vMerge/>
            <w:tcBorders>
              <w:top w:val="single" w:sz="4" w:space="0" w:color="auto"/>
              <w:left w:val="single" w:sz="4" w:space="0" w:color="auto"/>
              <w:bottom w:val="single" w:sz="4" w:space="0" w:color="auto"/>
              <w:right w:val="single" w:sz="4" w:space="0" w:color="auto"/>
            </w:tcBorders>
            <w:shd w:val="clear" w:color="000000" w:fill="FFFFFF"/>
            <w:vAlign w:val="center"/>
          </w:tcPr>
          <w:p w14:paraId="4CFA12E6" w14:textId="77777777" w:rsidR="00FD127F" w:rsidRPr="000549B1" w:rsidRDefault="00FD127F" w:rsidP="0050757E">
            <w:pPr>
              <w:pStyle w:val="CharCharCharCharChar"/>
              <w:rPr>
                <w:color w:val="auto"/>
              </w:rPr>
            </w:pPr>
          </w:p>
        </w:tc>
        <w:tc>
          <w:tcPr>
            <w:tcW w:w="636"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30B3F266" w14:textId="77777777" w:rsidR="00FD127F" w:rsidRPr="000549B1" w:rsidRDefault="00FD127F" w:rsidP="0050757E">
            <w:pPr>
              <w:pStyle w:val="CharCharCharCharChar"/>
              <w:rPr>
                <w:color w:val="auto"/>
              </w:rPr>
            </w:pPr>
            <w:r w:rsidRPr="000549B1">
              <w:rPr>
                <w:rFonts w:hint="eastAsia"/>
                <w:color w:val="auto"/>
              </w:rPr>
              <w:t>黑马河镇</w:t>
            </w:r>
          </w:p>
        </w:tc>
        <w:tc>
          <w:tcPr>
            <w:tcW w:w="724" w:type="pct"/>
            <w:tcBorders>
              <w:top w:val="single" w:sz="4" w:space="0" w:color="auto"/>
              <w:left w:val="single" w:sz="4" w:space="0" w:color="auto"/>
              <w:bottom w:val="single" w:sz="4" w:space="0" w:color="auto"/>
              <w:right w:val="single" w:sz="4" w:space="0" w:color="auto"/>
            </w:tcBorders>
            <w:noWrap/>
            <w:vAlign w:val="center"/>
          </w:tcPr>
          <w:p w14:paraId="0266FBAA" w14:textId="5F5B00C8" w:rsidR="00FD127F" w:rsidRPr="000549B1" w:rsidRDefault="00FD127F" w:rsidP="00FD127F">
            <w:pPr>
              <w:pStyle w:val="CharCharCharCharChar"/>
              <w:rPr>
                <w:color w:val="auto"/>
              </w:rPr>
            </w:pPr>
            <w:r w:rsidRPr="000549B1">
              <w:rPr>
                <w:color w:val="auto"/>
              </w:rPr>
              <w:t>0.0</w:t>
            </w:r>
          </w:p>
        </w:tc>
        <w:tc>
          <w:tcPr>
            <w:tcW w:w="724" w:type="pct"/>
            <w:tcBorders>
              <w:top w:val="single" w:sz="4" w:space="0" w:color="auto"/>
              <w:left w:val="single" w:sz="4" w:space="0" w:color="auto"/>
              <w:bottom w:val="single" w:sz="4" w:space="0" w:color="auto"/>
              <w:right w:val="single" w:sz="4" w:space="0" w:color="auto"/>
            </w:tcBorders>
            <w:noWrap/>
            <w:vAlign w:val="center"/>
          </w:tcPr>
          <w:p w14:paraId="43D15C9C" w14:textId="4139F4F6" w:rsidR="00FD127F" w:rsidRPr="000549B1" w:rsidRDefault="00FD127F" w:rsidP="00FD127F">
            <w:pPr>
              <w:pStyle w:val="CharCharCharCharChar"/>
              <w:rPr>
                <w:color w:val="auto"/>
              </w:rPr>
            </w:pPr>
            <w:r w:rsidRPr="000549B1">
              <w:rPr>
                <w:color w:val="auto"/>
              </w:rPr>
              <w:t>117.5</w:t>
            </w:r>
          </w:p>
        </w:tc>
        <w:tc>
          <w:tcPr>
            <w:tcW w:w="828" w:type="pct"/>
            <w:tcBorders>
              <w:top w:val="single" w:sz="4" w:space="0" w:color="auto"/>
              <w:left w:val="single" w:sz="4" w:space="0" w:color="auto"/>
              <w:bottom w:val="single" w:sz="4" w:space="0" w:color="auto"/>
              <w:right w:val="single" w:sz="4" w:space="0" w:color="auto"/>
            </w:tcBorders>
            <w:noWrap/>
            <w:vAlign w:val="center"/>
          </w:tcPr>
          <w:p w14:paraId="51DA9AD3" w14:textId="67776851" w:rsidR="00FD127F" w:rsidRPr="000549B1" w:rsidRDefault="00FD127F" w:rsidP="00FD127F">
            <w:pPr>
              <w:pStyle w:val="CharCharCharCharChar"/>
              <w:rPr>
                <w:color w:val="auto"/>
              </w:rPr>
            </w:pPr>
            <w:r w:rsidRPr="000549B1">
              <w:rPr>
                <w:color w:val="auto"/>
              </w:rPr>
              <w:t>117.5</w:t>
            </w:r>
          </w:p>
        </w:tc>
        <w:tc>
          <w:tcPr>
            <w:tcW w:w="723" w:type="pct"/>
            <w:tcBorders>
              <w:top w:val="single" w:sz="4" w:space="0" w:color="auto"/>
              <w:left w:val="single" w:sz="4" w:space="0" w:color="auto"/>
              <w:bottom w:val="single" w:sz="4" w:space="0" w:color="auto"/>
              <w:right w:val="single" w:sz="4" w:space="0" w:color="auto"/>
            </w:tcBorders>
            <w:noWrap/>
            <w:vAlign w:val="center"/>
          </w:tcPr>
          <w:p w14:paraId="4A726C70" w14:textId="6AE9DB4B" w:rsidR="00FD127F" w:rsidRPr="000549B1" w:rsidRDefault="00FD127F" w:rsidP="00FD127F">
            <w:pPr>
              <w:pStyle w:val="CharCharCharCharChar"/>
              <w:rPr>
                <w:color w:val="auto"/>
              </w:rPr>
            </w:pPr>
            <w:r w:rsidRPr="000549B1">
              <w:rPr>
                <w:color w:val="auto"/>
              </w:rPr>
              <w:t>0.0</w:t>
            </w:r>
          </w:p>
        </w:tc>
        <w:tc>
          <w:tcPr>
            <w:tcW w:w="827" w:type="pct"/>
            <w:tcBorders>
              <w:top w:val="single" w:sz="4" w:space="0" w:color="auto"/>
              <w:left w:val="single" w:sz="4" w:space="0" w:color="auto"/>
              <w:bottom w:val="single" w:sz="4" w:space="0" w:color="auto"/>
              <w:right w:val="single" w:sz="4" w:space="0" w:color="auto"/>
            </w:tcBorders>
            <w:noWrap/>
            <w:vAlign w:val="center"/>
          </w:tcPr>
          <w:p w14:paraId="22B6F216" w14:textId="288EAD5B" w:rsidR="00FD127F" w:rsidRPr="000549B1" w:rsidRDefault="00FD127F" w:rsidP="00FD127F">
            <w:pPr>
              <w:pStyle w:val="CharCharCharCharChar"/>
              <w:rPr>
                <w:color w:val="auto"/>
              </w:rPr>
            </w:pPr>
            <w:r w:rsidRPr="000549B1">
              <w:rPr>
                <w:color w:val="auto"/>
              </w:rPr>
              <w:t>117.5</w:t>
            </w:r>
          </w:p>
        </w:tc>
      </w:tr>
      <w:tr w:rsidR="000549B1" w:rsidRPr="000549B1" w14:paraId="48AD9CAD" w14:textId="77777777" w:rsidTr="00FD127F">
        <w:trPr>
          <w:trHeight w:val="340"/>
        </w:trPr>
        <w:tc>
          <w:tcPr>
            <w:tcW w:w="538" w:type="pct"/>
            <w:vMerge/>
            <w:tcBorders>
              <w:top w:val="single" w:sz="4" w:space="0" w:color="auto"/>
              <w:left w:val="single" w:sz="4" w:space="0" w:color="auto"/>
              <w:bottom w:val="single" w:sz="4" w:space="0" w:color="auto"/>
              <w:right w:val="single" w:sz="4" w:space="0" w:color="auto"/>
            </w:tcBorders>
            <w:shd w:val="clear" w:color="000000" w:fill="FFFFFF"/>
            <w:vAlign w:val="center"/>
          </w:tcPr>
          <w:p w14:paraId="3135E556" w14:textId="77777777" w:rsidR="00FD127F" w:rsidRPr="000549B1" w:rsidRDefault="00FD127F" w:rsidP="0050757E">
            <w:pPr>
              <w:pStyle w:val="CharCharCharCharChar"/>
              <w:rPr>
                <w:color w:val="auto"/>
              </w:rPr>
            </w:pPr>
          </w:p>
        </w:tc>
        <w:tc>
          <w:tcPr>
            <w:tcW w:w="636"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7BABD128" w14:textId="77777777" w:rsidR="00FD127F" w:rsidRPr="000549B1" w:rsidRDefault="00FD127F" w:rsidP="0050757E">
            <w:pPr>
              <w:pStyle w:val="CharCharCharCharChar"/>
              <w:rPr>
                <w:color w:val="auto"/>
              </w:rPr>
            </w:pPr>
            <w:r w:rsidRPr="000549B1">
              <w:rPr>
                <w:rFonts w:hint="eastAsia"/>
                <w:color w:val="auto"/>
              </w:rPr>
              <w:t>石乃亥镇</w:t>
            </w:r>
          </w:p>
        </w:tc>
        <w:tc>
          <w:tcPr>
            <w:tcW w:w="724" w:type="pct"/>
            <w:tcBorders>
              <w:top w:val="single" w:sz="4" w:space="0" w:color="auto"/>
              <w:left w:val="single" w:sz="4" w:space="0" w:color="auto"/>
              <w:bottom w:val="single" w:sz="4" w:space="0" w:color="auto"/>
              <w:right w:val="single" w:sz="4" w:space="0" w:color="auto"/>
            </w:tcBorders>
            <w:noWrap/>
            <w:vAlign w:val="center"/>
          </w:tcPr>
          <w:p w14:paraId="0983DF39" w14:textId="049D3F20" w:rsidR="00FD127F" w:rsidRPr="000549B1" w:rsidRDefault="00FD127F" w:rsidP="00FD127F">
            <w:pPr>
              <w:pStyle w:val="CharCharCharCharChar"/>
              <w:rPr>
                <w:color w:val="auto"/>
              </w:rPr>
            </w:pPr>
            <w:r w:rsidRPr="000549B1">
              <w:rPr>
                <w:color w:val="auto"/>
              </w:rPr>
              <w:t>0.0</w:t>
            </w:r>
          </w:p>
        </w:tc>
        <w:tc>
          <w:tcPr>
            <w:tcW w:w="724" w:type="pct"/>
            <w:tcBorders>
              <w:top w:val="single" w:sz="4" w:space="0" w:color="auto"/>
              <w:left w:val="single" w:sz="4" w:space="0" w:color="auto"/>
              <w:bottom w:val="single" w:sz="4" w:space="0" w:color="auto"/>
              <w:right w:val="single" w:sz="4" w:space="0" w:color="auto"/>
            </w:tcBorders>
            <w:noWrap/>
            <w:vAlign w:val="center"/>
          </w:tcPr>
          <w:p w14:paraId="23175291" w14:textId="1F8B518B" w:rsidR="00FD127F" w:rsidRPr="000549B1" w:rsidRDefault="00FD127F" w:rsidP="00FD127F">
            <w:pPr>
              <w:pStyle w:val="CharCharCharCharChar"/>
              <w:rPr>
                <w:color w:val="auto"/>
              </w:rPr>
            </w:pPr>
            <w:r w:rsidRPr="000549B1">
              <w:rPr>
                <w:color w:val="auto"/>
              </w:rPr>
              <w:t>19.2</w:t>
            </w:r>
          </w:p>
        </w:tc>
        <w:tc>
          <w:tcPr>
            <w:tcW w:w="828" w:type="pct"/>
            <w:tcBorders>
              <w:top w:val="single" w:sz="4" w:space="0" w:color="auto"/>
              <w:left w:val="single" w:sz="4" w:space="0" w:color="auto"/>
              <w:bottom w:val="single" w:sz="4" w:space="0" w:color="auto"/>
              <w:right w:val="single" w:sz="4" w:space="0" w:color="auto"/>
            </w:tcBorders>
            <w:noWrap/>
            <w:vAlign w:val="center"/>
          </w:tcPr>
          <w:p w14:paraId="50C75BBE" w14:textId="3EC40DB3" w:rsidR="00FD127F" w:rsidRPr="000549B1" w:rsidRDefault="00FD127F" w:rsidP="00FD127F">
            <w:pPr>
              <w:pStyle w:val="CharCharCharCharChar"/>
              <w:rPr>
                <w:color w:val="auto"/>
              </w:rPr>
            </w:pPr>
            <w:r w:rsidRPr="000549B1">
              <w:rPr>
                <w:color w:val="auto"/>
              </w:rPr>
              <w:t>19.2</w:t>
            </w:r>
          </w:p>
        </w:tc>
        <w:tc>
          <w:tcPr>
            <w:tcW w:w="723" w:type="pct"/>
            <w:tcBorders>
              <w:top w:val="single" w:sz="4" w:space="0" w:color="auto"/>
              <w:left w:val="single" w:sz="4" w:space="0" w:color="auto"/>
              <w:bottom w:val="single" w:sz="4" w:space="0" w:color="auto"/>
              <w:right w:val="single" w:sz="4" w:space="0" w:color="auto"/>
            </w:tcBorders>
            <w:noWrap/>
            <w:vAlign w:val="center"/>
          </w:tcPr>
          <w:p w14:paraId="0B17646A" w14:textId="024E5B75" w:rsidR="00FD127F" w:rsidRPr="000549B1" w:rsidRDefault="00FD127F" w:rsidP="00FD127F">
            <w:pPr>
              <w:pStyle w:val="CharCharCharCharChar"/>
              <w:rPr>
                <w:color w:val="auto"/>
              </w:rPr>
            </w:pPr>
            <w:r w:rsidRPr="000549B1">
              <w:rPr>
                <w:color w:val="auto"/>
              </w:rPr>
              <w:t>0.0</w:t>
            </w:r>
          </w:p>
        </w:tc>
        <w:tc>
          <w:tcPr>
            <w:tcW w:w="827" w:type="pct"/>
            <w:tcBorders>
              <w:top w:val="single" w:sz="4" w:space="0" w:color="auto"/>
              <w:left w:val="single" w:sz="4" w:space="0" w:color="auto"/>
              <w:bottom w:val="single" w:sz="4" w:space="0" w:color="auto"/>
              <w:right w:val="single" w:sz="4" w:space="0" w:color="auto"/>
            </w:tcBorders>
            <w:noWrap/>
            <w:vAlign w:val="center"/>
          </w:tcPr>
          <w:p w14:paraId="1B73E890" w14:textId="1317394D" w:rsidR="00FD127F" w:rsidRPr="000549B1" w:rsidRDefault="00FD127F" w:rsidP="00FD127F">
            <w:pPr>
              <w:pStyle w:val="CharCharCharCharChar"/>
              <w:rPr>
                <w:color w:val="auto"/>
              </w:rPr>
            </w:pPr>
            <w:r w:rsidRPr="000549B1">
              <w:rPr>
                <w:color w:val="auto"/>
              </w:rPr>
              <w:t>19.2</w:t>
            </w:r>
          </w:p>
        </w:tc>
      </w:tr>
      <w:tr w:rsidR="000549B1" w:rsidRPr="000549B1" w14:paraId="662907B0" w14:textId="77777777" w:rsidTr="00FD127F">
        <w:trPr>
          <w:trHeight w:val="340"/>
        </w:trPr>
        <w:tc>
          <w:tcPr>
            <w:tcW w:w="538" w:type="pct"/>
            <w:tcBorders>
              <w:top w:val="single" w:sz="4" w:space="0" w:color="auto"/>
              <w:left w:val="single" w:sz="4" w:space="0" w:color="auto"/>
              <w:bottom w:val="single" w:sz="4" w:space="0" w:color="auto"/>
              <w:right w:val="single" w:sz="4" w:space="0" w:color="auto"/>
            </w:tcBorders>
            <w:shd w:val="clear" w:color="000000" w:fill="FFFFFF"/>
            <w:vAlign w:val="center"/>
          </w:tcPr>
          <w:p w14:paraId="476073CF" w14:textId="77777777" w:rsidR="00FD127F" w:rsidRPr="000549B1" w:rsidRDefault="00FD127F" w:rsidP="0050757E">
            <w:pPr>
              <w:pStyle w:val="CharCharCharCharChar"/>
              <w:rPr>
                <w:color w:val="auto"/>
              </w:rPr>
            </w:pPr>
            <w:r w:rsidRPr="000549B1">
              <w:rPr>
                <w:rFonts w:hint="eastAsia"/>
                <w:color w:val="auto"/>
              </w:rPr>
              <w:t>兴海县</w:t>
            </w:r>
          </w:p>
        </w:tc>
        <w:tc>
          <w:tcPr>
            <w:tcW w:w="636"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5A47B9AB" w14:textId="77777777" w:rsidR="00FD127F" w:rsidRPr="000549B1" w:rsidRDefault="00FD127F" w:rsidP="0050757E">
            <w:pPr>
              <w:pStyle w:val="CharCharCharCharChar"/>
              <w:rPr>
                <w:color w:val="auto"/>
              </w:rPr>
            </w:pPr>
            <w:r w:rsidRPr="000549B1">
              <w:rPr>
                <w:rFonts w:hint="eastAsia"/>
                <w:color w:val="auto"/>
              </w:rPr>
              <w:t>河卡镇</w:t>
            </w:r>
          </w:p>
        </w:tc>
        <w:tc>
          <w:tcPr>
            <w:tcW w:w="724" w:type="pct"/>
            <w:tcBorders>
              <w:top w:val="single" w:sz="4" w:space="0" w:color="auto"/>
              <w:left w:val="single" w:sz="4" w:space="0" w:color="auto"/>
              <w:bottom w:val="single" w:sz="4" w:space="0" w:color="auto"/>
              <w:right w:val="single" w:sz="4" w:space="0" w:color="auto"/>
            </w:tcBorders>
            <w:noWrap/>
            <w:vAlign w:val="center"/>
          </w:tcPr>
          <w:p w14:paraId="0CAABD6D" w14:textId="7CFDEF60" w:rsidR="00FD127F" w:rsidRPr="000549B1" w:rsidRDefault="00FD127F" w:rsidP="00FD127F">
            <w:pPr>
              <w:pStyle w:val="CharCharCharCharChar"/>
              <w:rPr>
                <w:color w:val="auto"/>
              </w:rPr>
            </w:pPr>
            <w:r w:rsidRPr="000549B1">
              <w:rPr>
                <w:color w:val="auto"/>
              </w:rPr>
              <w:t>0.0</w:t>
            </w:r>
          </w:p>
        </w:tc>
        <w:tc>
          <w:tcPr>
            <w:tcW w:w="724" w:type="pct"/>
            <w:tcBorders>
              <w:top w:val="single" w:sz="4" w:space="0" w:color="auto"/>
              <w:left w:val="single" w:sz="4" w:space="0" w:color="auto"/>
              <w:bottom w:val="single" w:sz="4" w:space="0" w:color="auto"/>
              <w:right w:val="single" w:sz="4" w:space="0" w:color="auto"/>
            </w:tcBorders>
            <w:noWrap/>
            <w:vAlign w:val="center"/>
          </w:tcPr>
          <w:p w14:paraId="0D31AC15" w14:textId="34D533C1" w:rsidR="00FD127F" w:rsidRPr="000549B1" w:rsidRDefault="00FD127F" w:rsidP="00FD127F">
            <w:pPr>
              <w:pStyle w:val="CharCharCharCharChar"/>
              <w:rPr>
                <w:color w:val="auto"/>
              </w:rPr>
            </w:pPr>
            <w:r w:rsidRPr="000549B1">
              <w:rPr>
                <w:color w:val="auto"/>
              </w:rPr>
              <w:t>266.0</w:t>
            </w:r>
          </w:p>
        </w:tc>
        <w:tc>
          <w:tcPr>
            <w:tcW w:w="828" w:type="pct"/>
            <w:tcBorders>
              <w:top w:val="single" w:sz="4" w:space="0" w:color="auto"/>
              <w:left w:val="single" w:sz="4" w:space="0" w:color="auto"/>
              <w:bottom w:val="single" w:sz="4" w:space="0" w:color="auto"/>
              <w:right w:val="single" w:sz="4" w:space="0" w:color="auto"/>
            </w:tcBorders>
            <w:noWrap/>
            <w:vAlign w:val="center"/>
          </w:tcPr>
          <w:p w14:paraId="45A35EEC" w14:textId="722F52F2" w:rsidR="00FD127F" w:rsidRPr="000549B1" w:rsidRDefault="00FD127F" w:rsidP="00FD127F">
            <w:pPr>
              <w:pStyle w:val="CharCharCharCharChar"/>
              <w:rPr>
                <w:color w:val="auto"/>
              </w:rPr>
            </w:pPr>
            <w:r w:rsidRPr="000549B1">
              <w:rPr>
                <w:color w:val="auto"/>
              </w:rPr>
              <w:t>266.0</w:t>
            </w:r>
          </w:p>
        </w:tc>
        <w:tc>
          <w:tcPr>
            <w:tcW w:w="723" w:type="pct"/>
            <w:tcBorders>
              <w:top w:val="single" w:sz="4" w:space="0" w:color="auto"/>
              <w:left w:val="single" w:sz="4" w:space="0" w:color="auto"/>
              <w:bottom w:val="single" w:sz="4" w:space="0" w:color="auto"/>
              <w:right w:val="single" w:sz="4" w:space="0" w:color="auto"/>
            </w:tcBorders>
            <w:noWrap/>
            <w:vAlign w:val="center"/>
          </w:tcPr>
          <w:p w14:paraId="277D4D8A" w14:textId="1C8DF3F8" w:rsidR="00FD127F" w:rsidRPr="000549B1" w:rsidRDefault="00FD127F" w:rsidP="00FD127F">
            <w:pPr>
              <w:pStyle w:val="CharCharCharCharChar"/>
              <w:rPr>
                <w:color w:val="auto"/>
              </w:rPr>
            </w:pPr>
            <w:r w:rsidRPr="000549B1">
              <w:rPr>
                <w:color w:val="auto"/>
              </w:rPr>
              <w:t>0.0</w:t>
            </w:r>
          </w:p>
        </w:tc>
        <w:tc>
          <w:tcPr>
            <w:tcW w:w="827" w:type="pct"/>
            <w:tcBorders>
              <w:top w:val="single" w:sz="4" w:space="0" w:color="auto"/>
              <w:left w:val="single" w:sz="4" w:space="0" w:color="auto"/>
              <w:bottom w:val="single" w:sz="4" w:space="0" w:color="auto"/>
              <w:right w:val="single" w:sz="4" w:space="0" w:color="auto"/>
            </w:tcBorders>
            <w:noWrap/>
            <w:vAlign w:val="center"/>
          </w:tcPr>
          <w:p w14:paraId="0D147DC1" w14:textId="0CD533DC" w:rsidR="00FD127F" w:rsidRPr="000549B1" w:rsidRDefault="00FD127F" w:rsidP="00FD127F">
            <w:pPr>
              <w:pStyle w:val="CharCharCharCharChar"/>
              <w:rPr>
                <w:color w:val="auto"/>
              </w:rPr>
            </w:pPr>
            <w:r w:rsidRPr="000549B1">
              <w:rPr>
                <w:color w:val="auto"/>
              </w:rPr>
              <w:t>266.0</w:t>
            </w:r>
          </w:p>
        </w:tc>
      </w:tr>
      <w:tr w:rsidR="000549B1" w:rsidRPr="000549B1" w14:paraId="5AB85FB7" w14:textId="77777777" w:rsidTr="00FD127F">
        <w:trPr>
          <w:trHeight w:val="340"/>
        </w:trPr>
        <w:tc>
          <w:tcPr>
            <w:tcW w:w="1175" w:type="pct"/>
            <w:gridSpan w:val="2"/>
            <w:tcBorders>
              <w:top w:val="single" w:sz="4" w:space="0" w:color="auto"/>
              <w:left w:val="single" w:sz="4" w:space="0" w:color="auto"/>
              <w:bottom w:val="single" w:sz="4" w:space="0" w:color="auto"/>
              <w:right w:val="single" w:sz="4" w:space="0" w:color="auto"/>
            </w:tcBorders>
            <w:shd w:val="clear" w:color="000000" w:fill="FFFFFF"/>
          </w:tcPr>
          <w:p w14:paraId="4F18DC14" w14:textId="77777777" w:rsidR="00FD127F" w:rsidRPr="000549B1" w:rsidRDefault="00FD127F" w:rsidP="0050757E">
            <w:pPr>
              <w:pStyle w:val="CharCharCharCharChar"/>
              <w:rPr>
                <w:color w:val="auto"/>
              </w:rPr>
            </w:pPr>
            <w:r w:rsidRPr="000549B1">
              <w:rPr>
                <w:rFonts w:hint="eastAsia"/>
                <w:color w:val="auto"/>
              </w:rPr>
              <w:t>合计</w:t>
            </w:r>
          </w:p>
        </w:tc>
        <w:tc>
          <w:tcPr>
            <w:tcW w:w="724" w:type="pct"/>
            <w:tcBorders>
              <w:top w:val="single" w:sz="4" w:space="0" w:color="auto"/>
              <w:left w:val="single" w:sz="4" w:space="0" w:color="auto"/>
              <w:bottom w:val="single" w:sz="4" w:space="0" w:color="auto"/>
              <w:right w:val="single" w:sz="4" w:space="0" w:color="auto"/>
            </w:tcBorders>
            <w:noWrap/>
            <w:vAlign w:val="center"/>
          </w:tcPr>
          <w:p w14:paraId="07BFCFC0" w14:textId="6A332C54" w:rsidR="00FD127F" w:rsidRPr="000549B1" w:rsidRDefault="00FD127F" w:rsidP="00FD127F">
            <w:pPr>
              <w:pStyle w:val="CharCharCharCharChar"/>
              <w:rPr>
                <w:color w:val="auto"/>
              </w:rPr>
            </w:pPr>
            <w:r w:rsidRPr="000549B1">
              <w:rPr>
                <w:color w:val="auto"/>
              </w:rPr>
              <w:t>5437.0</w:t>
            </w:r>
          </w:p>
        </w:tc>
        <w:tc>
          <w:tcPr>
            <w:tcW w:w="724" w:type="pct"/>
            <w:tcBorders>
              <w:top w:val="single" w:sz="4" w:space="0" w:color="auto"/>
              <w:left w:val="single" w:sz="4" w:space="0" w:color="auto"/>
              <w:bottom w:val="single" w:sz="4" w:space="0" w:color="auto"/>
              <w:right w:val="single" w:sz="4" w:space="0" w:color="auto"/>
            </w:tcBorders>
            <w:noWrap/>
            <w:vAlign w:val="center"/>
          </w:tcPr>
          <w:p w14:paraId="64919C1D" w14:textId="48386F34" w:rsidR="00FD127F" w:rsidRPr="000549B1" w:rsidRDefault="00FD127F" w:rsidP="00FD127F">
            <w:pPr>
              <w:pStyle w:val="CharCharCharCharChar"/>
              <w:rPr>
                <w:color w:val="auto"/>
              </w:rPr>
            </w:pPr>
            <w:r w:rsidRPr="000549B1">
              <w:rPr>
                <w:color w:val="auto"/>
              </w:rPr>
              <w:t>1083.1</w:t>
            </w:r>
          </w:p>
        </w:tc>
        <w:tc>
          <w:tcPr>
            <w:tcW w:w="828" w:type="pct"/>
            <w:tcBorders>
              <w:top w:val="single" w:sz="4" w:space="0" w:color="auto"/>
              <w:left w:val="single" w:sz="4" w:space="0" w:color="auto"/>
              <w:bottom w:val="single" w:sz="4" w:space="0" w:color="auto"/>
              <w:right w:val="single" w:sz="4" w:space="0" w:color="auto"/>
            </w:tcBorders>
            <w:noWrap/>
            <w:vAlign w:val="center"/>
          </w:tcPr>
          <w:p w14:paraId="411EFA8C" w14:textId="439FAE91" w:rsidR="00FD127F" w:rsidRPr="000549B1" w:rsidRDefault="00FD127F" w:rsidP="00FD127F">
            <w:pPr>
              <w:pStyle w:val="CharCharCharCharChar"/>
              <w:rPr>
                <w:color w:val="auto"/>
              </w:rPr>
            </w:pPr>
            <w:r w:rsidRPr="000549B1">
              <w:rPr>
                <w:color w:val="auto"/>
              </w:rPr>
              <w:t>6520.1</w:t>
            </w:r>
          </w:p>
        </w:tc>
        <w:tc>
          <w:tcPr>
            <w:tcW w:w="723" w:type="pct"/>
            <w:tcBorders>
              <w:top w:val="single" w:sz="4" w:space="0" w:color="auto"/>
              <w:left w:val="single" w:sz="4" w:space="0" w:color="auto"/>
              <w:bottom w:val="single" w:sz="4" w:space="0" w:color="auto"/>
              <w:right w:val="single" w:sz="4" w:space="0" w:color="auto"/>
            </w:tcBorders>
            <w:noWrap/>
            <w:vAlign w:val="center"/>
          </w:tcPr>
          <w:p w14:paraId="5C7EA9EB" w14:textId="380EEBD1" w:rsidR="00FD127F" w:rsidRPr="000549B1" w:rsidRDefault="00FD127F" w:rsidP="00FD127F">
            <w:pPr>
              <w:pStyle w:val="CharCharCharCharChar"/>
              <w:rPr>
                <w:color w:val="auto"/>
              </w:rPr>
            </w:pPr>
            <w:r w:rsidRPr="000549B1">
              <w:rPr>
                <w:color w:val="auto"/>
              </w:rPr>
              <w:t>28.2</w:t>
            </w:r>
          </w:p>
        </w:tc>
        <w:tc>
          <w:tcPr>
            <w:tcW w:w="827" w:type="pct"/>
            <w:tcBorders>
              <w:top w:val="single" w:sz="4" w:space="0" w:color="auto"/>
              <w:left w:val="single" w:sz="4" w:space="0" w:color="auto"/>
              <w:bottom w:val="single" w:sz="4" w:space="0" w:color="auto"/>
              <w:right w:val="single" w:sz="4" w:space="0" w:color="auto"/>
            </w:tcBorders>
            <w:noWrap/>
            <w:vAlign w:val="center"/>
          </w:tcPr>
          <w:p w14:paraId="02498D24" w14:textId="67838FDB" w:rsidR="00FD127F" w:rsidRPr="000549B1" w:rsidRDefault="00FD127F" w:rsidP="00FD127F">
            <w:pPr>
              <w:pStyle w:val="CharCharCharCharChar"/>
              <w:rPr>
                <w:color w:val="auto"/>
              </w:rPr>
            </w:pPr>
            <w:r w:rsidRPr="000549B1">
              <w:rPr>
                <w:color w:val="auto"/>
              </w:rPr>
              <w:t>6548.3</w:t>
            </w:r>
          </w:p>
        </w:tc>
      </w:tr>
    </w:tbl>
    <w:bookmarkEnd w:id="201"/>
    <w:p w14:paraId="3B8EBC10" w14:textId="77777777" w:rsidR="00054437" w:rsidRPr="000549B1" w:rsidRDefault="00000000">
      <w:pPr>
        <w:pStyle w:val="x"/>
      </w:pPr>
      <w:r w:rsidRPr="000549B1">
        <w:t>（</w:t>
      </w:r>
      <w:r w:rsidRPr="000549B1">
        <w:t>2</w:t>
      </w:r>
      <w:r w:rsidRPr="000549B1">
        <w:t>）用水量</w:t>
      </w:r>
    </w:p>
    <w:p w14:paraId="6DD184C1" w14:textId="6D3678F5" w:rsidR="00054437" w:rsidRPr="000549B1" w:rsidRDefault="00FD127F">
      <w:pPr>
        <w:pStyle w:val="x"/>
      </w:pPr>
      <w:r w:rsidRPr="000549B1">
        <w:rPr>
          <w:bCs/>
        </w:rPr>
        <w:t>2024</w:t>
      </w:r>
      <w:r w:rsidRPr="000549B1">
        <w:rPr>
          <w:rFonts w:hint="eastAsia"/>
          <w:bCs/>
        </w:rPr>
        <w:t>年沙珠玉河流域国民经济总用水量</w:t>
      </w:r>
      <w:r w:rsidRPr="000549B1">
        <w:rPr>
          <w:bCs/>
        </w:rPr>
        <w:t>6548.3</w:t>
      </w:r>
      <w:r w:rsidRPr="000549B1">
        <w:rPr>
          <w:rFonts w:hint="eastAsia"/>
          <w:bCs/>
        </w:rPr>
        <w:t>万</w:t>
      </w:r>
      <w:r w:rsidRPr="000549B1">
        <w:rPr>
          <w:bCs/>
        </w:rPr>
        <w:t>m</w:t>
      </w:r>
      <w:r w:rsidRPr="000549B1">
        <w:rPr>
          <w:bCs/>
          <w:vertAlign w:val="superscript"/>
        </w:rPr>
        <w:t>3</w:t>
      </w:r>
      <w:r w:rsidRPr="000549B1">
        <w:rPr>
          <w:rFonts w:hint="eastAsia"/>
          <w:bCs/>
        </w:rPr>
        <w:t>，其中农业灌溉用水量</w:t>
      </w:r>
      <w:r w:rsidRPr="000549B1">
        <w:rPr>
          <w:bCs/>
        </w:rPr>
        <w:t>6046.3</w:t>
      </w:r>
      <w:r w:rsidRPr="000549B1">
        <w:rPr>
          <w:rFonts w:hint="eastAsia"/>
          <w:bCs/>
        </w:rPr>
        <w:t>万</w:t>
      </w:r>
      <w:r w:rsidRPr="000549B1">
        <w:rPr>
          <w:bCs/>
        </w:rPr>
        <w:t>m</w:t>
      </w:r>
      <w:r w:rsidRPr="000549B1">
        <w:rPr>
          <w:bCs/>
          <w:vertAlign w:val="superscript"/>
        </w:rPr>
        <w:t>3</w:t>
      </w:r>
      <w:r w:rsidRPr="000549B1">
        <w:rPr>
          <w:rFonts w:hint="eastAsia"/>
          <w:bCs/>
        </w:rPr>
        <w:t>，占总用水量的</w:t>
      </w:r>
      <w:r w:rsidRPr="000549B1">
        <w:rPr>
          <w:bCs/>
        </w:rPr>
        <w:t>92.3%</w:t>
      </w:r>
      <w:r w:rsidRPr="000549B1">
        <w:rPr>
          <w:rFonts w:hint="eastAsia"/>
          <w:bCs/>
        </w:rPr>
        <w:t>，为第一用水大户；牲畜用水量</w:t>
      </w:r>
      <w:r w:rsidRPr="000549B1">
        <w:rPr>
          <w:bCs/>
        </w:rPr>
        <w:t>371.2</w:t>
      </w:r>
      <w:r w:rsidRPr="000549B1">
        <w:rPr>
          <w:rFonts w:hint="eastAsia"/>
          <w:bCs/>
        </w:rPr>
        <w:t>万</w:t>
      </w:r>
      <w:r w:rsidRPr="000549B1">
        <w:rPr>
          <w:bCs/>
        </w:rPr>
        <w:t>m</w:t>
      </w:r>
      <w:r w:rsidRPr="000549B1">
        <w:rPr>
          <w:bCs/>
          <w:vertAlign w:val="superscript"/>
        </w:rPr>
        <w:t>3</w:t>
      </w:r>
      <w:r w:rsidRPr="000549B1">
        <w:rPr>
          <w:rFonts w:hint="eastAsia"/>
          <w:bCs/>
        </w:rPr>
        <w:t>，占总用水量的</w:t>
      </w:r>
      <w:r w:rsidRPr="000549B1">
        <w:rPr>
          <w:bCs/>
        </w:rPr>
        <w:t>5.7%</w:t>
      </w:r>
      <w:r w:rsidRPr="000549B1">
        <w:rPr>
          <w:rFonts w:hint="eastAsia"/>
          <w:bCs/>
        </w:rPr>
        <w:t>；居民生活用水量</w:t>
      </w:r>
      <w:r w:rsidRPr="000549B1">
        <w:rPr>
          <w:bCs/>
        </w:rPr>
        <w:t>87.5</w:t>
      </w:r>
      <w:r w:rsidRPr="000549B1">
        <w:rPr>
          <w:rFonts w:hint="eastAsia"/>
          <w:bCs/>
        </w:rPr>
        <w:t>万</w:t>
      </w:r>
      <w:r w:rsidRPr="000549B1">
        <w:rPr>
          <w:bCs/>
        </w:rPr>
        <w:t>m</w:t>
      </w:r>
      <w:r w:rsidRPr="000549B1">
        <w:rPr>
          <w:bCs/>
          <w:vertAlign w:val="superscript"/>
        </w:rPr>
        <w:t>3</w:t>
      </w:r>
      <w:r w:rsidRPr="000549B1">
        <w:rPr>
          <w:rFonts w:hint="eastAsia"/>
          <w:bCs/>
        </w:rPr>
        <w:t>，占总用水量的</w:t>
      </w:r>
      <w:r w:rsidRPr="000549B1">
        <w:rPr>
          <w:bCs/>
        </w:rPr>
        <w:t>1.3%</w:t>
      </w:r>
      <w:r w:rsidRPr="000549B1">
        <w:rPr>
          <w:rFonts w:hint="eastAsia"/>
          <w:bCs/>
        </w:rPr>
        <w:t>；工业、建筑业及第三产业用水量</w:t>
      </w:r>
      <w:r w:rsidRPr="000549B1">
        <w:rPr>
          <w:bCs/>
        </w:rPr>
        <w:t>43.3</w:t>
      </w:r>
      <w:r w:rsidRPr="000549B1">
        <w:rPr>
          <w:rFonts w:hint="eastAsia"/>
          <w:bCs/>
        </w:rPr>
        <w:t>万</w:t>
      </w:r>
      <w:r w:rsidRPr="000549B1">
        <w:rPr>
          <w:bCs/>
        </w:rPr>
        <w:t>m</w:t>
      </w:r>
      <w:r w:rsidRPr="000549B1">
        <w:rPr>
          <w:bCs/>
          <w:vertAlign w:val="superscript"/>
        </w:rPr>
        <w:t>3</w:t>
      </w:r>
      <w:r w:rsidRPr="000549B1">
        <w:rPr>
          <w:rFonts w:hint="eastAsia"/>
          <w:bCs/>
        </w:rPr>
        <w:t>，占总用水量的</w:t>
      </w:r>
      <w:r w:rsidRPr="000549B1">
        <w:rPr>
          <w:bCs/>
        </w:rPr>
        <w:t>0.6%</w:t>
      </w:r>
      <w:r w:rsidRPr="000549B1">
        <w:t>。流域内现状用水量见</w:t>
      </w:r>
      <w:r w:rsidR="00F32CCA" w:rsidRPr="000549B1">
        <w:t>表</w:t>
      </w:r>
      <w:r w:rsidR="00F32CCA">
        <w:t>3.2</w:t>
      </w:r>
      <w:r w:rsidR="00F32CCA">
        <w:noBreakHyphen/>
        <w:t>6</w:t>
      </w:r>
      <w:r w:rsidRPr="000549B1">
        <w:t>。</w:t>
      </w:r>
    </w:p>
    <w:p w14:paraId="58C0A360" w14:textId="77777777" w:rsidR="00054437" w:rsidRPr="000549B1" w:rsidRDefault="00054437">
      <w:pPr>
        <w:pStyle w:val="x"/>
      </w:pPr>
    </w:p>
    <w:p w14:paraId="03A8C3DD" w14:textId="77777777" w:rsidR="00054437" w:rsidRPr="000549B1" w:rsidRDefault="00054437">
      <w:pPr>
        <w:pStyle w:val="x"/>
      </w:pPr>
    </w:p>
    <w:p w14:paraId="19DEE33E" w14:textId="1F47D904" w:rsidR="00054437" w:rsidRPr="000549B1" w:rsidRDefault="00000000">
      <w:pPr>
        <w:pStyle w:val="aff8"/>
        <w:rPr>
          <w:color w:val="auto"/>
        </w:rPr>
      </w:pPr>
      <w:bookmarkStart w:id="202" w:name="_Ref214977721"/>
      <w:r w:rsidRPr="000549B1">
        <w:rPr>
          <w:color w:val="auto"/>
        </w:rPr>
        <w:t>表</w:t>
      </w:r>
      <w:r w:rsidR="00372953">
        <w:rPr>
          <w:color w:val="auto"/>
        </w:rPr>
        <w:fldChar w:fldCharType="begin"/>
      </w:r>
      <w:r w:rsidR="00372953">
        <w:rPr>
          <w:color w:val="auto"/>
        </w:rPr>
        <w:instrText xml:space="preserve"> STYLEREF 2 \s </w:instrText>
      </w:r>
      <w:r w:rsidR="00372953">
        <w:rPr>
          <w:color w:val="auto"/>
        </w:rPr>
        <w:fldChar w:fldCharType="separate"/>
      </w:r>
      <w:r w:rsidR="00372953">
        <w:rPr>
          <w:noProof/>
          <w:color w:val="auto"/>
        </w:rPr>
        <w:t>3.2</w:t>
      </w:r>
      <w:r w:rsidR="00372953">
        <w:rPr>
          <w:color w:val="auto"/>
        </w:rPr>
        <w:fldChar w:fldCharType="end"/>
      </w:r>
      <w:r w:rsidR="00372953">
        <w:rPr>
          <w:color w:val="auto"/>
        </w:rPr>
        <w:noBreakHyphen/>
      </w:r>
      <w:r w:rsidR="00372953">
        <w:rPr>
          <w:color w:val="auto"/>
        </w:rPr>
        <w:fldChar w:fldCharType="begin"/>
      </w:r>
      <w:r w:rsidR="00372953">
        <w:rPr>
          <w:color w:val="auto"/>
        </w:rPr>
        <w:instrText xml:space="preserve"> SEQ </w:instrText>
      </w:r>
      <w:r w:rsidR="00372953">
        <w:rPr>
          <w:color w:val="auto"/>
        </w:rPr>
        <w:instrText>表</w:instrText>
      </w:r>
      <w:r w:rsidR="00372953">
        <w:rPr>
          <w:color w:val="auto"/>
        </w:rPr>
        <w:instrText xml:space="preserve"> \* ARABIC \s 2 </w:instrText>
      </w:r>
      <w:r w:rsidR="00372953">
        <w:rPr>
          <w:color w:val="auto"/>
        </w:rPr>
        <w:fldChar w:fldCharType="separate"/>
      </w:r>
      <w:r w:rsidR="00372953">
        <w:rPr>
          <w:noProof/>
          <w:color w:val="auto"/>
        </w:rPr>
        <w:t>6</w:t>
      </w:r>
      <w:r w:rsidR="00372953">
        <w:rPr>
          <w:color w:val="auto"/>
        </w:rPr>
        <w:fldChar w:fldCharType="end"/>
      </w:r>
      <w:bookmarkEnd w:id="202"/>
      <w:r w:rsidRPr="000549B1">
        <w:rPr>
          <w:color w:val="auto"/>
        </w:rPr>
        <w:t>沙珠玉流域现状年用水量表单位：万</w:t>
      </w:r>
      <w:r w:rsidRPr="000549B1">
        <w:rPr>
          <w:color w:val="auto"/>
        </w:rPr>
        <w:t>m³</w:t>
      </w:r>
    </w:p>
    <w:tbl>
      <w:tblPr>
        <w:tblW w:w="5000" w:type="pct"/>
        <w:tblLook w:val="04A0" w:firstRow="1" w:lastRow="0" w:firstColumn="1" w:lastColumn="0" w:noHBand="0" w:noVBand="1"/>
      </w:tblPr>
      <w:tblGrid>
        <w:gridCol w:w="628"/>
        <w:gridCol w:w="1058"/>
        <w:gridCol w:w="816"/>
        <w:gridCol w:w="816"/>
        <w:gridCol w:w="821"/>
        <w:gridCol w:w="816"/>
        <w:gridCol w:w="816"/>
        <w:gridCol w:w="816"/>
        <w:gridCol w:w="904"/>
        <w:gridCol w:w="805"/>
      </w:tblGrid>
      <w:tr w:rsidR="000549B1" w:rsidRPr="000549B1" w14:paraId="6B196333" w14:textId="77777777" w:rsidTr="00FD127F">
        <w:trPr>
          <w:trHeight w:val="340"/>
        </w:trPr>
        <w:tc>
          <w:tcPr>
            <w:tcW w:w="378" w:type="pct"/>
            <w:vMerge w:val="restart"/>
            <w:tcBorders>
              <w:top w:val="single" w:sz="4" w:space="0" w:color="auto"/>
              <w:left w:val="single" w:sz="4" w:space="0" w:color="auto"/>
              <w:right w:val="single" w:sz="4" w:space="0" w:color="auto"/>
            </w:tcBorders>
            <w:vAlign w:val="center"/>
          </w:tcPr>
          <w:p w14:paraId="1E79124D" w14:textId="77777777" w:rsidR="00FD127F" w:rsidRPr="000549B1" w:rsidRDefault="00FD127F" w:rsidP="0050757E">
            <w:pPr>
              <w:pStyle w:val="afff2"/>
              <w:rPr>
                <w:rFonts w:cs="Times New Roman"/>
                <w:b/>
              </w:rPr>
            </w:pPr>
            <w:r w:rsidRPr="000549B1">
              <w:rPr>
                <w:rFonts w:cs="Times New Roman" w:hint="eastAsia"/>
                <w:b/>
              </w:rPr>
              <w:t>分区</w:t>
            </w:r>
          </w:p>
        </w:tc>
        <w:tc>
          <w:tcPr>
            <w:tcW w:w="637" w:type="pct"/>
            <w:vMerge w:val="restart"/>
            <w:tcBorders>
              <w:top w:val="single" w:sz="4" w:space="0" w:color="auto"/>
              <w:left w:val="single" w:sz="4" w:space="0" w:color="auto"/>
              <w:bottom w:val="single" w:sz="4" w:space="0" w:color="000000"/>
              <w:right w:val="single" w:sz="4" w:space="0" w:color="auto"/>
            </w:tcBorders>
            <w:vAlign w:val="center"/>
          </w:tcPr>
          <w:p w14:paraId="25BFE62C" w14:textId="77777777" w:rsidR="00FD127F" w:rsidRPr="000549B1" w:rsidRDefault="00FD127F" w:rsidP="0050757E">
            <w:pPr>
              <w:pStyle w:val="afff2"/>
              <w:rPr>
                <w:rFonts w:cs="Times New Roman"/>
                <w:b/>
              </w:rPr>
            </w:pPr>
            <w:r w:rsidRPr="000549B1">
              <w:rPr>
                <w:rFonts w:cs="Times New Roman" w:hint="eastAsia"/>
                <w:b/>
              </w:rPr>
              <w:t>乡镇</w:t>
            </w:r>
          </w:p>
        </w:tc>
        <w:tc>
          <w:tcPr>
            <w:tcW w:w="1479" w:type="pct"/>
            <w:gridSpan w:val="3"/>
            <w:tcBorders>
              <w:top w:val="single" w:sz="4" w:space="0" w:color="auto"/>
              <w:left w:val="nil"/>
              <w:bottom w:val="single" w:sz="4" w:space="0" w:color="auto"/>
              <w:right w:val="single" w:sz="4" w:space="0" w:color="auto"/>
            </w:tcBorders>
            <w:vAlign w:val="center"/>
          </w:tcPr>
          <w:p w14:paraId="4DEDE36D" w14:textId="77777777" w:rsidR="00FD127F" w:rsidRPr="000549B1" w:rsidRDefault="00FD127F" w:rsidP="0050757E">
            <w:pPr>
              <w:pStyle w:val="afff2"/>
              <w:rPr>
                <w:rFonts w:cs="Times New Roman"/>
                <w:b/>
              </w:rPr>
            </w:pPr>
            <w:r w:rsidRPr="000549B1">
              <w:rPr>
                <w:rFonts w:cs="Times New Roman" w:hint="eastAsia"/>
                <w:b/>
              </w:rPr>
              <w:t>生活</w:t>
            </w:r>
          </w:p>
        </w:tc>
        <w:tc>
          <w:tcPr>
            <w:tcW w:w="492" w:type="pct"/>
            <w:vMerge w:val="restart"/>
            <w:tcBorders>
              <w:top w:val="single" w:sz="4" w:space="0" w:color="auto"/>
              <w:left w:val="single" w:sz="4" w:space="0" w:color="auto"/>
              <w:bottom w:val="single" w:sz="4" w:space="0" w:color="auto"/>
              <w:right w:val="single" w:sz="4" w:space="0" w:color="auto"/>
            </w:tcBorders>
            <w:vAlign w:val="center"/>
          </w:tcPr>
          <w:p w14:paraId="3A3AA457" w14:textId="77777777" w:rsidR="00FD127F" w:rsidRPr="000549B1" w:rsidRDefault="00FD127F" w:rsidP="0050757E">
            <w:pPr>
              <w:pStyle w:val="afff2"/>
              <w:rPr>
                <w:rFonts w:cs="Times New Roman"/>
                <w:b/>
              </w:rPr>
            </w:pPr>
            <w:r w:rsidRPr="000549B1">
              <w:rPr>
                <w:rFonts w:cs="Times New Roman" w:hint="eastAsia"/>
                <w:b/>
              </w:rPr>
              <w:t>工业</w:t>
            </w:r>
          </w:p>
        </w:tc>
        <w:tc>
          <w:tcPr>
            <w:tcW w:w="492" w:type="pct"/>
            <w:vMerge w:val="restart"/>
            <w:tcBorders>
              <w:top w:val="single" w:sz="4" w:space="0" w:color="auto"/>
              <w:left w:val="single" w:sz="4" w:space="0" w:color="auto"/>
              <w:bottom w:val="single" w:sz="4" w:space="0" w:color="auto"/>
              <w:right w:val="single" w:sz="4" w:space="0" w:color="auto"/>
            </w:tcBorders>
            <w:vAlign w:val="center"/>
          </w:tcPr>
          <w:p w14:paraId="76BF6BFA" w14:textId="77777777" w:rsidR="00FD127F" w:rsidRPr="000549B1" w:rsidRDefault="00FD127F" w:rsidP="0050757E">
            <w:pPr>
              <w:pStyle w:val="afff2"/>
              <w:rPr>
                <w:rFonts w:cs="Times New Roman"/>
                <w:b/>
              </w:rPr>
            </w:pPr>
            <w:r w:rsidRPr="000549B1">
              <w:rPr>
                <w:rFonts w:cs="Times New Roman" w:hint="eastAsia"/>
                <w:b/>
              </w:rPr>
              <w:t>建筑、三产</w:t>
            </w:r>
          </w:p>
        </w:tc>
        <w:tc>
          <w:tcPr>
            <w:tcW w:w="492" w:type="pct"/>
            <w:vMerge w:val="restart"/>
            <w:tcBorders>
              <w:top w:val="single" w:sz="4" w:space="0" w:color="auto"/>
              <w:left w:val="single" w:sz="4" w:space="0" w:color="auto"/>
              <w:bottom w:val="single" w:sz="4" w:space="0" w:color="auto"/>
              <w:right w:val="single" w:sz="4" w:space="0" w:color="auto"/>
            </w:tcBorders>
            <w:vAlign w:val="center"/>
          </w:tcPr>
          <w:p w14:paraId="289E55E0" w14:textId="77777777" w:rsidR="00FD127F" w:rsidRPr="000549B1" w:rsidRDefault="00FD127F" w:rsidP="0050757E">
            <w:pPr>
              <w:pStyle w:val="afff2"/>
              <w:rPr>
                <w:rFonts w:cs="Times New Roman"/>
                <w:b/>
              </w:rPr>
            </w:pPr>
            <w:r w:rsidRPr="000549B1">
              <w:rPr>
                <w:rFonts w:cs="Times New Roman" w:hint="eastAsia"/>
                <w:b/>
              </w:rPr>
              <w:t>农业灌溉</w:t>
            </w:r>
          </w:p>
        </w:tc>
        <w:tc>
          <w:tcPr>
            <w:tcW w:w="545" w:type="pct"/>
            <w:vMerge w:val="restart"/>
            <w:tcBorders>
              <w:top w:val="single" w:sz="4" w:space="0" w:color="auto"/>
              <w:left w:val="single" w:sz="4" w:space="0" w:color="auto"/>
              <w:bottom w:val="single" w:sz="4" w:space="0" w:color="auto"/>
              <w:right w:val="single" w:sz="4" w:space="0" w:color="auto"/>
            </w:tcBorders>
            <w:vAlign w:val="center"/>
          </w:tcPr>
          <w:p w14:paraId="5D51362F" w14:textId="77777777" w:rsidR="00FD127F" w:rsidRPr="000549B1" w:rsidRDefault="00FD127F" w:rsidP="0050757E">
            <w:pPr>
              <w:pStyle w:val="afff2"/>
              <w:rPr>
                <w:rFonts w:cs="Times New Roman"/>
                <w:b/>
              </w:rPr>
            </w:pPr>
            <w:r w:rsidRPr="000549B1">
              <w:rPr>
                <w:rFonts w:cs="Times New Roman" w:hint="eastAsia"/>
                <w:b/>
              </w:rPr>
              <w:t>牲畜</w:t>
            </w:r>
          </w:p>
        </w:tc>
        <w:tc>
          <w:tcPr>
            <w:tcW w:w="486" w:type="pct"/>
            <w:vMerge w:val="restart"/>
            <w:tcBorders>
              <w:top w:val="single" w:sz="4" w:space="0" w:color="auto"/>
              <w:left w:val="single" w:sz="4" w:space="0" w:color="auto"/>
              <w:bottom w:val="single" w:sz="4" w:space="0" w:color="auto"/>
              <w:right w:val="single" w:sz="4" w:space="0" w:color="auto"/>
            </w:tcBorders>
            <w:vAlign w:val="center"/>
          </w:tcPr>
          <w:p w14:paraId="0F9891AD" w14:textId="77777777" w:rsidR="00FD127F" w:rsidRPr="000549B1" w:rsidRDefault="00FD127F" w:rsidP="0050757E">
            <w:pPr>
              <w:pStyle w:val="afff2"/>
              <w:rPr>
                <w:rFonts w:cs="Times New Roman"/>
                <w:b/>
              </w:rPr>
            </w:pPr>
            <w:r w:rsidRPr="000549B1">
              <w:rPr>
                <w:rFonts w:cs="Times New Roman" w:hint="eastAsia"/>
                <w:b/>
              </w:rPr>
              <w:t>合计</w:t>
            </w:r>
          </w:p>
        </w:tc>
      </w:tr>
      <w:tr w:rsidR="000549B1" w:rsidRPr="000549B1" w14:paraId="56CAF358" w14:textId="77777777" w:rsidTr="00FD127F">
        <w:trPr>
          <w:trHeight w:val="340"/>
        </w:trPr>
        <w:tc>
          <w:tcPr>
            <w:tcW w:w="378" w:type="pct"/>
            <w:vMerge/>
            <w:tcBorders>
              <w:left w:val="single" w:sz="4" w:space="0" w:color="auto"/>
              <w:bottom w:val="single" w:sz="4" w:space="0" w:color="000000"/>
              <w:right w:val="single" w:sz="4" w:space="0" w:color="auto"/>
            </w:tcBorders>
            <w:vAlign w:val="center"/>
          </w:tcPr>
          <w:p w14:paraId="47FF9510" w14:textId="77777777" w:rsidR="00FD127F" w:rsidRPr="000549B1" w:rsidRDefault="00FD127F" w:rsidP="0050757E">
            <w:pPr>
              <w:pStyle w:val="afff2"/>
              <w:rPr>
                <w:rFonts w:cs="Times New Roman"/>
                <w:b/>
              </w:rPr>
            </w:pPr>
          </w:p>
        </w:tc>
        <w:tc>
          <w:tcPr>
            <w:tcW w:w="637" w:type="pct"/>
            <w:vMerge/>
            <w:tcBorders>
              <w:top w:val="single" w:sz="4" w:space="0" w:color="auto"/>
              <w:left w:val="single" w:sz="4" w:space="0" w:color="auto"/>
              <w:bottom w:val="single" w:sz="4" w:space="0" w:color="000000"/>
              <w:right w:val="single" w:sz="4" w:space="0" w:color="auto"/>
            </w:tcBorders>
            <w:vAlign w:val="center"/>
          </w:tcPr>
          <w:p w14:paraId="33065244" w14:textId="77777777" w:rsidR="00FD127F" w:rsidRPr="000549B1" w:rsidRDefault="00FD127F" w:rsidP="0050757E">
            <w:pPr>
              <w:pStyle w:val="afff2"/>
              <w:rPr>
                <w:rFonts w:cs="Times New Roman"/>
                <w:b/>
              </w:rPr>
            </w:pPr>
          </w:p>
        </w:tc>
        <w:tc>
          <w:tcPr>
            <w:tcW w:w="492" w:type="pct"/>
            <w:tcBorders>
              <w:top w:val="nil"/>
              <w:left w:val="nil"/>
              <w:bottom w:val="single" w:sz="4" w:space="0" w:color="auto"/>
              <w:right w:val="single" w:sz="4" w:space="0" w:color="auto"/>
            </w:tcBorders>
            <w:vAlign w:val="center"/>
          </w:tcPr>
          <w:p w14:paraId="148ED12C" w14:textId="77777777" w:rsidR="00FD127F" w:rsidRPr="000549B1" w:rsidRDefault="00FD127F" w:rsidP="0050757E">
            <w:pPr>
              <w:pStyle w:val="afff2"/>
              <w:rPr>
                <w:rFonts w:cs="Times New Roman"/>
                <w:b/>
              </w:rPr>
            </w:pPr>
            <w:r w:rsidRPr="000549B1">
              <w:rPr>
                <w:rFonts w:cs="Times New Roman" w:hint="eastAsia"/>
                <w:b/>
              </w:rPr>
              <w:t>城镇生活</w:t>
            </w:r>
          </w:p>
        </w:tc>
        <w:tc>
          <w:tcPr>
            <w:tcW w:w="492" w:type="pct"/>
            <w:tcBorders>
              <w:top w:val="nil"/>
              <w:left w:val="nil"/>
              <w:bottom w:val="single" w:sz="4" w:space="0" w:color="auto"/>
              <w:right w:val="single" w:sz="4" w:space="0" w:color="auto"/>
            </w:tcBorders>
            <w:vAlign w:val="center"/>
          </w:tcPr>
          <w:p w14:paraId="45FB4FFD" w14:textId="77777777" w:rsidR="00FD127F" w:rsidRPr="000549B1" w:rsidRDefault="00FD127F" w:rsidP="0050757E">
            <w:pPr>
              <w:pStyle w:val="afff2"/>
              <w:rPr>
                <w:rFonts w:cs="Times New Roman"/>
                <w:b/>
              </w:rPr>
            </w:pPr>
            <w:r w:rsidRPr="000549B1">
              <w:rPr>
                <w:rFonts w:cs="Times New Roman" w:hint="eastAsia"/>
                <w:b/>
              </w:rPr>
              <w:t>农村生活</w:t>
            </w:r>
          </w:p>
        </w:tc>
        <w:tc>
          <w:tcPr>
            <w:tcW w:w="494" w:type="pct"/>
            <w:tcBorders>
              <w:top w:val="nil"/>
              <w:left w:val="nil"/>
              <w:bottom w:val="single" w:sz="4" w:space="0" w:color="auto"/>
              <w:right w:val="single" w:sz="4" w:space="0" w:color="auto"/>
            </w:tcBorders>
            <w:vAlign w:val="center"/>
          </w:tcPr>
          <w:p w14:paraId="55386FEE" w14:textId="77777777" w:rsidR="00FD127F" w:rsidRPr="000549B1" w:rsidRDefault="00FD127F" w:rsidP="0050757E">
            <w:pPr>
              <w:pStyle w:val="afff2"/>
              <w:rPr>
                <w:rFonts w:cs="Times New Roman"/>
                <w:b/>
              </w:rPr>
            </w:pPr>
            <w:r w:rsidRPr="000549B1">
              <w:rPr>
                <w:rFonts w:cs="Times New Roman" w:hint="eastAsia"/>
                <w:b/>
              </w:rPr>
              <w:t>合计</w:t>
            </w:r>
          </w:p>
        </w:tc>
        <w:tc>
          <w:tcPr>
            <w:tcW w:w="492" w:type="pct"/>
            <w:vMerge/>
            <w:tcBorders>
              <w:top w:val="single" w:sz="4" w:space="0" w:color="auto"/>
              <w:left w:val="single" w:sz="4" w:space="0" w:color="auto"/>
              <w:bottom w:val="single" w:sz="4" w:space="0" w:color="auto"/>
              <w:right w:val="single" w:sz="4" w:space="0" w:color="auto"/>
            </w:tcBorders>
            <w:vAlign w:val="center"/>
          </w:tcPr>
          <w:p w14:paraId="712AE130" w14:textId="77777777" w:rsidR="00FD127F" w:rsidRPr="000549B1" w:rsidRDefault="00FD127F" w:rsidP="0050757E">
            <w:pPr>
              <w:pStyle w:val="afff2"/>
              <w:rPr>
                <w:rFonts w:cs="Times New Roman"/>
                <w:b/>
              </w:rPr>
            </w:pPr>
          </w:p>
        </w:tc>
        <w:tc>
          <w:tcPr>
            <w:tcW w:w="492" w:type="pct"/>
            <w:vMerge/>
            <w:tcBorders>
              <w:top w:val="single" w:sz="4" w:space="0" w:color="auto"/>
              <w:left w:val="single" w:sz="4" w:space="0" w:color="auto"/>
              <w:bottom w:val="single" w:sz="4" w:space="0" w:color="auto"/>
              <w:right w:val="single" w:sz="4" w:space="0" w:color="auto"/>
            </w:tcBorders>
            <w:vAlign w:val="center"/>
          </w:tcPr>
          <w:p w14:paraId="150DE594" w14:textId="77777777" w:rsidR="00FD127F" w:rsidRPr="000549B1" w:rsidRDefault="00FD127F" w:rsidP="0050757E">
            <w:pPr>
              <w:pStyle w:val="afff2"/>
              <w:rPr>
                <w:rFonts w:cs="Times New Roman"/>
                <w:b/>
              </w:rPr>
            </w:pPr>
          </w:p>
        </w:tc>
        <w:tc>
          <w:tcPr>
            <w:tcW w:w="492" w:type="pct"/>
            <w:vMerge/>
            <w:tcBorders>
              <w:top w:val="single" w:sz="4" w:space="0" w:color="auto"/>
              <w:left w:val="single" w:sz="4" w:space="0" w:color="auto"/>
              <w:bottom w:val="single" w:sz="4" w:space="0" w:color="auto"/>
              <w:right w:val="single" w:sz="4" w:space="0" w:color="auto"/>
            </w:tcBorders>
            <w:vAlign w:val="center"/>
          </w:tcPr>
          <w:p w14:paraId="512D0B0C" w14:textId="77777777" w:rsidR="00FD127F" w:rsidRPr="000549B1" w:rsidRDefault="00FD127F" w:rsidP="0050757E">
            <w:pPr>
              <w:pStyle w:val="afff2"/>
              <w:rPr>
                <w:rFonts w:cs="Times New Roman"/>
                <w:b/>
              </w:rPr>
            </w:pPr>
          </w:p>
        </w:tc>
        <w:tc>
          <w:tcPr>
            <w:tcW w:w="545" w:type="pct"/>
            <w:vMerge/>
            <w:tcBorders>
              <w:top w:val="single" w:sz="4" w:space="0" w:color="auto"/>
              <w:left w:val="single" w:sz="4" w:space="0" w:color="auto"/>
              <w:bottom w:val="single" w:sz="4" w:space="0" w:color="auto"/>
              <w:right w:val="single" w:sz="4" w:space="0" w:color="auto"/>
            </w:tcBorders>
            <w:vAlign w:val="center"/>
          </w:tcPr>
          <w:p w14:paraId="480DB29C" w14:textId="77777777" w:rsidR="00FD127F" w:rsidRPr="000549B1" w:rsidRDefault="00FD127F" w:rsidP="0050757E">
            <w:pPr>
              <w:pStyle w:val="afff2"/>
              <w:rPr>
                <w:rFonts w:cs="Times New Roman"/>
                <w:b/>
              </w:rPr>
            </w:pPr>
          </w:p>
        </w:tc>
        <w:tc>
          <w:tcPr>
            <w:tcW w:w="486" w:type="pct"/>
            <w:vMerge/>
            <w:tcBorders>
              <w:top w:val="single" w:sz="4" w:space="0" w:color="auto"/>
              <w:left w:val="single" w:sz="4" w:space="0" w:color="auto"/>
              <w:bottom w:val="single" w:sz="4" w:space="0" w:color="auto"/>
              <w:right w:val="single" w:sz="4" w:space="0" w:color="auto"/>
            </w:tcBorders>
            <w:vAlign w:val="center"/>
          </w:tcPr>
          <w:p w14:paraId="5089F00D" w14:textId="77777777" w:rsidR="00FD127F" w:rsidRPr="000549B1" w:rsidRDefault="00FD127F" w:rsidP="0050757E">
            <w:pPr>
              <w:pStyle w:val="afff2"/>
              <w:rPr>
                <w:rFonts w:cs="Times New Roman"/>
                <w:b/>
              </w:rPr>
            </w:pPr>
          </w:p>
        </w:tc>
      </w:tr>
      <w:tr w:rsidR="000549B1" w:rsidRPr="000549B1" w14:paraId="49723224" w14:textId="77777777" w:rsidTr="00FD127F">
        <w:trPr>
          <w:trHeight w:val="340"/>
        </w:trPr>
        <w:tc>
          <w:tcPr>
            <w:tcW w:w="378" w:type="pct"/>
            <w:vMerge w:val="restart"/>
            <w:tcBorders>
              <w:top w:val="nil"/>
              <w:left w:val="single" w:sz="4" w:space="0" w:color="auto"/>
              <w:right w:val="single" w:sz="4" w:space="0" w:color="auto"/>
            </w:tcBorders>
            <w:shd w:val="clear" w:color="000000" w:fill="FFFFFF"/>
            <w:vAlign w:val="center"/>
          </w:tcPr>
          <w:p w14:paraId="42E661E4" w14:textId="77777777" w:rsidR="00FD127F" w:rsidRPr="000549B1" w:rsidRDefault="00FD127F" w:rsidP="0050757E">
            <w:pPr>
              <w:pStyle w:val="afff2"/>
              <w:rPr>
                <w:rFonts w:cs="Times New Roman"/>
                <w:bCs/>
              </w:rPr>
            </w:pPr>
            <w:r w:rsidRPr="000549B1">
              <w:rPr>
                <w:rFonts w:cs="Times New Roman" w:hint="eastAsia"/>
                <w:bCs/>
              </w:rPr>
              <w:t>共和县</w:t>
            </w:r>
          </w:p>
        </w:tc>
        <w:tc>
          <w:tcPr>
            <w:tcW w:w="637" w:type="pct"/>
            <w:tcBorders>
              <w:top w:val="nil"/>
              <w:left w:val="single" w:sz="4" w:space="0" w:color="auto"/>
              <w:bottom w:val="single" w:sz="4" w:space="0" w:color="auto"/>
              <w:right w:val="single" w:sz="4" w:space="0" w:color="auto"/>
            </w:tcBorders>
            <w:shd w:val="clear" w:color="000000" w:fill="FFFFFF"/>
            <w:noWrap/>
            <w:vAlign w:val="center"/>
          </w:tcPr>
          <w:p w14:paraId="1B464963" w14:textId="77777777" w:rsidR="00FD127F" w:rsidRPr="000549B1" w:rsidRDefault="00FD127F" w:rsidP="0050757E">
            <w:pPr>
              <w:pStyle w:val="afff2"/>
              <w:rPr>
                <w:rFonts w:cs="Times New Roman"/>
                <w:bCs/>
              </w:rPr>
            </w:pPr>
            <w:r w:rsidRPr="000549B1">
              <w:rPr>
                <w:rFonts w:cs="Times New Roman" w:hint="eastAsia"/>
                <w:bCs/>
              </w:rPr>
              <w:t>塘格木镇</w:t>
            </w:r>
          </w:p>
        </w:tc>
        <w:tc>
          <w:tcPr>
            <w:tcW w:w="492" w:type="pct"/>
            <w:tcBorders>
              <w:top w:val="nil"/>
              <w:left w:val="nil"/>
              <w:bottom w:val="single" w:sz="4" w:space="0" w:color="auto"/>
              <w:right w:val="single" w:sz="4" w:space="0" w:color="auto"/>
            </w:tcBorders>
            <w:noWrap/>
            <w:vAlign w:val="center"/>
          </w:tcPr>
          <w:p w14:paraId="727A2178" w14:textId="1EE2A275" w:rsidR="00FD127F" w:rsidRPr="000549B1" w:rsidRDefault="00FD127F" w:rsidP="0050757E">
            <w:pPr>
              <w:pStyle w:val="afff2"/>
              <w:rPr>
                <w:rFonts w:cs="Times New Roman"/>
                <w:bCs/>
              </w:rPr>
            </w:pPr>
            <w:r w:rsidRPr="000549B1">
              <w:rPr>
                <w:rFonts w:cs="Times New Roman"/>
                <w:bCs/>
              </w:rPr>
              <w:t>1.5</w:t>
            </w:r>
          </w:p>
        </w:tc>
        <w:tc>
          <w:tcPr>
            <w:tcW w:w="492" w:type="pct"/>
            <w:tcBorders>
              <w:top w:val="nil"/>
              <w:left w:val="nil"/>
              <w:bottom w:val="single" w:sz="4" w:space="0" w:color="auto"/>
              <w:right w:val="single" w:sz="4" w:space="0" w:color="auto"/>
            </w:tcBorders>
            <w:noWrap/>
            <w:vAlign w:val="center"/>
          </w:tcPr>
          <w:p w14:paraId="5262F5E0" w14:textId="777F1D52" w:rsidR="00FD127F" w:rsidRPr="000549B1" w:rsidRDefault="00FD127F" w:rsidP="0050757E">
            <w:pPr>
              <w:pStyle w:val="afff2"/>
              <w:rPr>
                <w:rFonts w:cs="Times New Roman"/>
                <w:bCs/>
              </w:rPr>
            </w:pPr>
            <w:r w:rsidRPr="000549B1">
              <w:rPr>
                <w:rFonts w:cs="Times New Roman"/>
                <w:bCs/>
              </w:rPr>
              <w:t>20.2</w:t>
            </w:r>
          </w:p>
        </w:tc>
        <w:tc>
          <w:tcPr>
            <w:tcW w:w="494" w:type="pct"/>
            <w:tcBorders>
              <w:top w:val="nil"/>
              <w:left w:val="nil"/>
              <w:bottom w:val="single" w:sz="4" w:space="0" w:color="auto"/>
              <w:right w:val="single" w:sz="4" w:space="0" w:color="auto"/>
            </w:tcBorders>
            <w:noWrap/>
            <w:vAlign w:val="center"/>
          </w:tcPr>
          <w:p w14:paraId="397F60D3" w14:textId="6294C32E" w:rsidR="00FD127F" w:rsidRPr="000549B1" w:rsidRDefault="00FD127F" w:rsidP="0050757E">
            <w:pPr>
              <w:pStyle w:val="afff2"/>
              <w:rPr>
                <w:rFonts w:cs="Times New Roman"/>
                <w:bCs/>
              </w:rPr>
            </w:pPr>
            <w:r w:rsidRPr="000549B1">
              <w:rPr>
                <w:rFonts w:cs="Times New Roman"/>
                <w:bCs/>
              </w:rPr>
              <w:t>21.8</w:t>
            </w:r>
          </w:p>
        </w:tc>
        <w:tc>
          <w:tcPr>
            <w:tcW w:w="492" w:type="pct"/>
            <w:tcBorders>
              <w:top w:val="nil"/>
              <w:left w:val="nil"/>
              <w:bottom w:val="single" w:sz="4" w:space="0" w:color="auto"/>
              <w:right w:val="single" w:sz="4" w:space="0" w:color="auto"/>
            </w:tcBorders>
            <w:noWrap/>
            <w:vAlign w:val="center"/>
          </w:tcPr>
          <w:p w14:paraId="66B25F4F" w14:textId="0010A73D" w:rsidR="00FD127F" w:rsidRPr="000549B1" w:rsidRDefault="00FD127F" w:rsidP="0050757E">
            <w:pPr>
              <w:pStyle w:val="afff2"/>
              <w:rPr>
                <w:rFonts w:cs="Times New Roman"/>
                <w:bCs/>
              </w:rPr>
            </w:pPr>
            <w:r w:rsidRPr="000549B1">
              <w:rPr>
                <w:rFonts w:cs="Times New Roman"/>
                <w:bCs/>
              </w:rPr>
              <w:t>8.1</w:t>
            </w:r>
          </w:p>
        </w:tc>
        <w:tc>
          <w:tcPr>
            <w:tcW w:w="492" w:type="pct"/>
            <w:tcBorders>
              <w:top w:val="nil"/>
              <w:left w:val="nil"/>
              <w:bottom w:val="single" w:sz="4" w:space="0" w:color="auto"/>
              <w:right w:val="single" w:sz="4" w:space="0" w:color="auto"/>
            </w:tcBorders>
            <w:noWrap/>
            <w:vAlign w:val="center"/>
          </w:tcPr>
          <w:p w14:paraId="63FF3FAD" w14:textId="19EC7560" w:rsidR="00FD127F" w:rsidRPr="000549B1" w:rsidRDefault="00FD127F" w:rsidP="0050757E">
            <w:pPr>
              <w:pStyle w:val="afff2"/>
              <w:rPr>
                <w:rFonts w:cs="Times New Roman"/>
                <w:bCs/>
              </w:rPr>
            </w:pPr>
            <w:r w:rsidRPr="000549B1">
              <w:rPr>
                <w:rFonts w:cs="Times New Roman"/>
                <w:bCs/>
              </w:rPr>
              <w:t>3.7</w:t>
            </w:r>
          </w:p>
        </w:tc>
        <w:tc>
          <w:tcPr>
            <w:tcW w:w="492" w:type="pct"/>
            <w:tcBorders>
              <w:top w:val="nil"/>
              <w:left w:val="nil"/>
              <w:bottom w:val="single" w:sz="4" w:space="0" w:color="auto"/>
              <w:right w:val="single" w:sz="4" w:space="0" w:color="auto"/>
            </w:tcBorders>
            <w:noWrap/>
            <w:vAlign w:val="center"/>
          </w:tcPr>
          <w:p w14:paraId="523AB1DA" w14:textId="1F5FAFC8" w:rsidR="00FD127F" w:rsidRPr="000549B1" w:rsidRDefault="00FD127F" w:rsidP="0050757E">
            <w:pPr>
              <w:pStyle w:val="afff2"/>
              <w:rPr>
                <w:rFonts w:cs="Times New Roman"/>
                <w:bCs/>
              </w:rPr>
            </w:pPr>
            <w:r w:rsidRPr="000549B1">
              <w:rPr>
                <w:rFonts w:cs="Times New Roman"/>
                <w:bCs/>
              </w:rPr>
              <w:t>2662.1</w:t>
            </w:r>
          </w:p>
        </w:tc>
        <w:tc>
          <w:tcPr>
            <w:tcW w:w="545" w:type="pct"/>
            <w:tcBorders>
              <w:top w:val="nil"/>
              <w:left w:val="nil"/>
              <w:bottom w:val="single" w:sz="4" w:space="0" w:color="auto"/>
              <w:right w:val="single" w:sz="4" w:space="0" w:color="auto"/>
            </w:tcBorders>
            <w:noWrap/>
            <w:vAlign w:val="center"/>
          </w:tcPr>
          <w:p w14:paraId="30C5E884" w14:textId="77777777" w:rsidR="00FD127F" w:rsidRPr="000549B1" w:rsidRDefault="00FD127F" w:rsidP="0050757E">
            <w:pPr>
              <w:pStyle w:val="afff2"/>
              <w:rPr>
                <w:rFonts w:cs="Times New Roman"/>
                <w:bCs/>
              </w:rPr>
            </w:pPr>
            <w:r w:rsidRPr="000549B1">
              <w:rPr>
                <w:rFonts w:cs="Times New Roman"/>
                <w:bCs/>
              </w:rPr>
              <w:t>51.5</w:t>
            </w:r>
          </w:p>
        </w:tc>
        <w:tc>
          <w:tcPr>
            <w:tcW w:w="486" w:type="pct"/>
            <w:tcBorders>
              <w:top w:val="nil"/>
              <w:left w:val="nil"/>
              <w:bottom w:val="single" w:sz="4" w:space="0" w:color="auto"/>
              <w:right w:val="single" w:sz="4" w:space="0" w:color="auto"/>
            </w:tcBorders>
            <w:noWrap/>
            <w:vAlign w:val="center"/>
          </w:tcPr>
          <w:p w14:paraId="3375CE25" w14:textId="34E74CDD" w:rsidR="00FD127F" w:rsidRPr="000549B1" w:rsidRDefault="00FD127F" w:rsidP="0050757E">
            <w:pPr>
              <w:pStyle w:val="afff2"/>
              <w:rPr>
                <w:rFonts w:cs="Times New Roman"/>
                <w:bCs/>
              </w:rPr>
            </w:pPr>
            <w:r w:rsidRPr="000549B1">
              <w:rPr>
                <w:rFonts w:cs="Times New Roman"/>
                <w:bCs/>
              </w:rPr>
              <w:t>2747.2</w:t>
            </w:r>
          </w:p>
        </w:tc>
      </w:tr>
      <w:tr w:rsidR="000549B1" w:rsidRPr="000549B1" w14:paraId="304755E6" w14:textId="77777777" w:rsidTr="00FD127F">
        <w:trPr>
          <w:trHeight w:val="340"/>
        </w:trPr>
        <w:tc>
          <w:tcPr>
            <w:tcW w:w="378" w:type="pct"/>
            <w:vMerge/>
            <w:tcBorders>
              <w:left w:val="single" w:sz="4" w:space="0" w:color="auto"/>
              <w:right w:val="single" w:sz="4" w:space="0" w:color="auto"/>
            </w:tcBorders>
            <w:shd w:val="clear" w:color="000000" w:fill="FFFFFF"/>
            <w:vAlign w:val="center"/>
          </w:tcPr>
          <w:p w14:paraId="3CFA5A9B" w14:textId="77777777" w:rsidR="00FD127F" w:rsidRPr="000549B1" w:rsidRDefault="00FD127F" w:rsidP="0050757E">
            <w:pPr>
              <w:pStyle w:val="afff2"/>
              <w:rPr>
                <w:rFonts w:cs="Times New Roman"/>
                <w:bCs/>
              </w:rPr>
            </w:pPr>
          </w:p>
        </w:tc>
        <w:tc>
          <w:tcPr>
            <w:tcW w:w="637" w:type="pct"/>
            <w:tcBorders>
              <w:top w:val="nil"/>
              <w:left w:val="single" w:sz="4" w:space="0" w:color="auto"/>
              <w:bottom w:val="single" w:sz="4" w:space="0" w:color="auto"/>
              <w:right w:val="single" w:sz="4" w:space="0" w:color="auto"/>
            </w:tcBorders>
            <w:shd w:val="clear" w:color="000000" w:fill="FFFFFF"/>
            <w:noWrap/>
            <w:vAlign w:val="center"/>
          </w:tcPr>
          <w:p w14:paraId="6B72C9BE" w14:textId="77777777" w:rsidR="00FD127F" w:rsidRPr="000549B1" w:rsidRDefault="00FD127F" w:rsidP="0050757E">
            <w:pPr>
              <w:pStyle w:val="afff2"/>
              <w:rPr>
                <w:rFonts w:cs="Times New Roman"/>
                <w:bCs/>
              </w:rPr>
            </w:pPr>
            <w:r w:rsidRPr="000549B1">
              <w:rPr>
                <w:rFonts w:cs="Times New Roman" w:hint="eastAsia"/>
                <w:bCs/>
              </w:rPr>
              <w:t>切吉乡</w:t>
            </w:r>
          </w:p>
        </w:tc>
        <w:tc>
          <w:tcPr>
            <w:tcW w:w="492" w:type="pct"/>
            <w:tcBorders>
              <w:top w:val="nil"/>
              <w:left w:val="nil"/>
              <w:bottom w:val="single" w:sz="4" w:space="0" w:color="auto"/>
              <w:right w:val="single" w:sz="4" w:space="0" w:color="auto"/>
            </w:tcBorders>
            <w:noWrap/>
            <w:vAlign w:val="center"/>
          </w:tcPr>
          <w:p w14:paraId="2DB26B45" w14:textId="287C8D4F" w:rsidR="00FD127F" w:rsidRPr="000549B1" w:rsidRDefault="00FD127F" w:rsidP="0050757E">
            <w:pPr>
              <w:pStyle w:val="afff2"/>
              <w:rPr>
                <w:rFonts w:cs="Times New Roman"/>
                <w:bCs/>
              </w:rPr>
            </w:pPr>
            <w:r w:rsidRPr="000549B1">
              <w:rPr>
                <w:rFonts w:cs="Times New Roman"/>
                <w:bCs/>
              </w:rPr>
              <w:t>0.8</w:t>
            </w:r>
          </w:p>
        </w:tc>
        <w:tc>
          <w:tcPr>
            <w:tcW w:w="492" w:type="pct"/>
            <w:tcBorders>
              <w:top w:val="nil"/>
              <w:left w:val="nil"/>
              <w:bottom w:val="single" w:sz="4" w:space="0" w:color="auto"/>
              <w:right w:val="single" w:sz="4" w:space="0" w:color="auto"/>
            </w:tcBorders>
            <w:noWrap/>
            <w:vAlign w:val="center"/>
          </w:tcPr>
          <w:p w14:paraId="30CA099D" w14:textId="4D45CD11" w:rsidR="00FD127F" w:rsidRPr="000549B1" w:rsidRDefault="00FD127F" w:rsidP="0050757E">
            <w:pPr>
              <w:pStyle w:val="afff2"/>
              <w:rPr>
                <w:rFonts w:cs="Times New Roman"/>
                <w:bCs/>
              </w:rPr>
            </w:pPr>
            <w:r w:rsidRPr="000549B1">
              <w:rPr>
                <w:rFonts w:cs="Times New Roman"/>
                <w:bCs/>
              </w:rPr>
              <w:t>14.8</w:t>
            </w:r>
          </w:p>
        </w:tc>
        <w:tc>
          <w:tcPr>
            <w:tcW w:w="494" w:type="pct"/>
            <w:tcBorders>
              <w:top w:val="nil"/>
              <w:left w:val="nil"/>
              <w:bottom w:val="single" w:sz="4" w:space="0" w:color="auto"/>
              <w:right w:val="single" w:sz="4" w:space="0" w:color="auto"/>
            </w:tcBorders>
            <w:noWrap/>
            <w:vAlign w:val="center"/>
          </w:tcPr>
          <w:p w14:paraId="51DF93D1" w14:textId="09D8D5F4" w:rsidR="00FD127F" w:rsidRPr="000549B1" w:rsidRDefault="00FD127F" w:rsidP="0050757E">
            <w:pPr>
              <w:pStyle w:val="afff2"/>
              <w:rPr>
                <w:rFonts w:cs="Times New Roman"/>
                <w:bCs/>
              </w:rPr>
            </w:pPr>
            <w:r w:rsidRPr="000549B1">
              <w:rPr>
                <w:rFonts w:cs="Times New Roman"/>
                <w:bCs/>
              </w:rPr>
              <w:t>15.7</w:t>
            </w:r>
          </w:p>
        </w:tc>
        <w:tc>
          <w:tcPr>
            <w:tcW w:w="492" w:type="pct"/>
            <w:tcBorders>
              <w:top w:val="nil"/>
              <w:left w:val="nil"/>
              <w:bottom w:val="single" w:sz="4" w:space="0" w:color="auto"/>
              <w:right w:val="single" w:sz="4" w:space="0" w:color="auto"/>
            </w:tcBorders>
            <w:noWrap/>
            <w:vAlign w:val="center"/>
          </w:tcPr>
          <w:p w14:paraId="09369338" w14:textId="5E949DC6" w:rsidR="00FD127F" w:rsidRPr="000549B1" w:rsidRDefault="00FD127F" w:rsidP="0050757E">
            <w:pPr>
              <w:pStyle w:val="afff2"/>
              <w:rPr>
                <w:rFonts w:cs="Times New Roman"/>
                <w:bCs/>
              </w:rPr>
            </w:pPr>
            <w:r w:rsidRPr="000549B1">
              <w:rPr>
                <w:rFonts w:cs="Times New Roman"/>
                <w:bCs/>
              </w:rPr>
              <w:t>4.3</w:t>
            </w:r>
          </w:p>
        </w:tc>
        <w:tc>
          <w:tcPr>
            <w:tcW w:w="492" w:type="pct"/>
            <w:tcBorders>
              <w:top w:val="nil"/>
              <w:left w:val="nil"/>
              <w:bottom w:val="single" w:sz="4" w:space="0" w:color="auto"/>
              <w:right w:val="single" w:sz="4" w:space="0" w:color="auto"/>
            </w:tcBorders>
            <w:noWrap/>
            <w:vAlign w:val="center"/>
          </w:tcPr>
          <w:p w14:paraId="0DBA7A1A" w14:textId="06758E40" w:rsidR="00FD127F" w:rsidRPr="000549B1" w:rsidRDefault="00FD127F" w:rsidP="0050757E">
            <w:pPr>
              <w:pStyle w:val="afff2"/>
              <w:rPr>
                <w:rFonts w:cs="Times New Roman"/>
                <w:bCs/>
              </w:rPr>
            </w:pPr>
            <w:r w:rsidRPr="000549B1">
              <w:rPr>
                <w:rFonts w:cs="Times New Roman"/>
                <w:bCs/>
              </w:rPr>
              <w:t>2.0</w:t>
            </w:r>
          </w:p>
        </w:tc>
        <w:tc>
          <w:tcPr>
            <w:tcW w:w="492" w:type="pct"/>
            <w:tcBorders>
              <w:top w:val="nil"/>
              <w:left w:val="nil"/>
              <w:bottom w:val="single" w:sz="4" w:space="0" w:color="auto"/>
              <w:right w:val="single" w:sz="4" w:space="0" w:color="auto"/>
            </w:tcBorders>
            <w:noWrap/>
            <w:vAlign w:val="center"/>
          </w:tcPr>
          <w:p w14:paraId="45EAF81C" w14:textId="66DECE24" w:rsidR="00FD127F" w:rsidRPr="000549B1" w:rsidRDefault="00FD127F" w:rsidP="0050757E">
            <w:pPr>
              <w:pStyle w:val="afff2"/>
              <w:rPr>
                <w:rFonts w:cs="Times New Roman"/>
                <w:bCs/>
              </w:rPr>
            </w:pPr>
            <w:r w:rsidRPr="000549B1">
              <w:rPr>
                <w:rFonts w:cs="Times New Roman"/>
                <w:bCs/>
              </w:rPr>
              <w:t>1806.5</w:t>
            </w:r>
          </w:p>
        </w:tc>
        <w:tc>
          <w:tcPr>
            <w:tcW w:w="545" w:type="pct"/>
            <w:tcBorders>
              <w:top w:val="nil"/>
              <w:left w:val="nil"/>
              <w:bottom w:val="single" w:sz="4" w:space="0" w:color="auto"/>
              <w:right w:val="single" w:sz="4" w:space="0" w:color="auto"/>
            </w:tcBorders>
            <w:noWrap/>
            <w:vAlign w:val="center"/>
          </w:tcPr>
          <w:p w14:paraId="623D1AA5" w14:textId="77777777" w:rsidR="00FD127F" w:rsidRPr="000549B1" w:rsidRDefault="00FD127F" w:rsidP="0050757E">
            <w:pPr>
              <w:pStyle w:val="afff2"/>
              <w:rPr>
                <w:rFonts w:cs="Times New Roman"/>
                <w:bCs/>
              </w:rPr>
            </w:pPr>
            <w:r w:rsidRPr="000549B1">
              <w:rPr>
                <w:rFonts w:cs="Times New Roman"/>
                <w:bCs/>
              </w:rPr>
              <w:t>150.9</w:t>
            </w:r>
          </w:p>
        </w:tc>
        <w:tc>
          <w:tcPr>
            <w:tcW w:w="486" w:type="pct"/>
            <w:tcBorders>
              <w:top w:val="nil"/>
              <w:left w:val="nil"/>
              <w:bottom w:val="single" w:sz="4" w:space="0" w:color="auto"/>
              <w:right w:val="single" w:sz="4" w:space="0" w:color="auto"/>
            </w:tcBorders>
            <w:noWrap/>
            <w:vAlign w:val="center"/>
          </w:tcPr>
          <w:p w14:paraId="5D3408ED" w14:textId="0C973152" w:rsidR="00FD127F" w:rsidRPr="000549B1" w:rsidRDefault="00FD127F" w:rsidP="0050757E">
            <w:pPr>
              <w:pStyle w:val="afff2"/>
              <w:rPr>
                <w:rFonts w:cs="Times New Roman"/>
                <w:bCs/>
              </w:rPr>
            </w:pPr>
            <w:r w:rsidRPr="000549B1">
              <w:rPr>
                <w:rFonts w:cs="Times New Roman"/>
                <w:bCs/>
              </w:rPr>
              <w:t>1979.3</w:t>
            </w:r>
          </w:p>
        </w:tc>
      </w:tr>
      <w:tr w:rsidR="000549B1" w:rsidRPr="000549B1" w14:paraId="1FE3548B" w14:textId="77777777" w:rsidTr="00FD127F">
        <w:trPr>
          <w:trHeight w:val="340"/>
        </w:trPr>
        <w:tc>
          <w:tcPr>
            <w:tcW w:w="378" w:type="pct"/>
            <w:vMerge/>
            <w:tcBorders>
              <w:left w:val="single" w:sz="4" w:space="0" w:color="auto"/>
              <w:right w:val="single" w:sz="4" w:space="0" w:color="auto"/>
            </w:tcBorders>
            <w:shd w:val="clear" w:color="000000" w:fill="FFFFFF"/>
            <w:vAlign w:val="center"/>
          </w:tcPr>
          <w:p w14:paraId="3BB71E50" w14:textId="77777777" w:rsidR="00FD127F" w:rsidRPr="000549B1" w:rsidRDefault="00FD127F" w:rsidP="0050757E">
            <w:pPr>
              <w:pStyle w:val="afff2"/>
              <w:rPr>
                <w:rFonts w:cs="Times New Roman"/>
                <w:bCs/>
              </w:rPr>
            </w:pPr>
          </w:p>
        </w:tc>
        <w:tc>
          <w:tcPr>
            <w:tcW w:w="637" w:type="pct"/>
            <w:tcBorders>
              <w:top w:val="nil"/>
              <w:left w:val="single" w:sz="4" w:space="0" w:color="auto"/>
              <w:bottom w:val="single" w:sz="4" w:space="0" w:color="auto"/>
              <w:right w:val="single" w:sz="4" w:space="0" w:color="auto"/>
            </w:tcBorders>
            <w:shd w:val="clear" w:color="000000" w:fill="FFFFFF"/>
            <w:noWrap/>
            <w:vAlign w:val="center"/>
          </w:tcPr>
          <w:p w14:paraId="7B12C105" w14:textId="77777777" w:rsidR="00FD127F" w:rsidRPr="000549B1" w:rsidRDefault="00FD127F" w:rsidP="0050757E">
            <w:pPr>
              <w:pStyle w:val="afff2"/>
              <w:rPr>
                <w:rFonts w:cs="Times New Roman"/>
                <w:bCs/>
              </w:rPr>
            </w:pPr>
            <w:r w:rsidRPr="000549B1">
              <w:rPr>
                <w:rFonts w:cs="Times New Roman" w:hint="eastAsia"/>
                <w:bCs/>
              </w:rPr>
              <w:t>廿地乡</w:t>
            </w:r>
          </w:p>
        </w:tc>
        <w:tc>
          <w:tcPr>
            <w:tcW w:w="492" w:type="pct"/>
            <w:tcBorders>
              <w:top w:val="nil"/>
              <w:left w:val="nil"/>
              <w:bottom w:val="single" w:sz="4" w:space="0" w:color="auto"/>
              <w:right w:val="single" w:sz="4" w:space="0" w:color="auto"/>
            </w:tcBorders>
            <w:noWrap/>
            <w:vAlign w:val="center"/>
          </w:tcPr>
          <w:p w14:paraId="1983D47B" w14:textId="1F4BBC08" w:rsidR="00FD127F" w:rsidRPr="000549B1" w:rsidRDefault="00FD127F" w:rsidP="0050757E">
            <w:pPr>
              <w:pStyle w:val="afff2"/>
              <w:rPr>
                <w:rFonts w:cs="Times New Roman"/>
                <w:bCs/>
              </w:rPr>
            </w:pPr>
            <w:r w:rsidRPr="000549B1">
              <w:rPr>
                <w:rFonts w:cs="Times New Roman"/>
                <w:bCs/>
              </w:rPr>
              <w:t>0.5</w:t>
            </w:r>
          </w:p>
        </w:tc>
        <w:tc>
          <w:tcPr>
            <w:tcW w:w="492" w:type="pct"/>
            <w:tcBorders>
              <w:top w:val="nil"/>
              <w:left w:val="nil"/>
              <w:bottom w:val="single" w:sz="4" w:space="0" w:color="auto"/>
              <w:right w:val="single" w:sz="4" w:space="0" w:color="auto"/>
            </w:tcBorders>
            <w:noWrap/>
            <w:vAlign w:val="center"/>
          </w:tcPr>
          <w:p w14:paraId="717B294E" w14:textId="37793CF3" w:rsidR="00FD127F" w:rsidRPr="000549B1" w:rsidRDefault="00FD127F" w:rsidP="0050757E">
            <w:pPr>
              <w:pStyle w:val="afff2"/>
              <w:rPr>
                <w:rFonts w:cs="Times New Roman"/>
                <w:bCs/>
              </w:rPr>
            </w:pPr>
            <w:r w:rsidRPr="000549B1">
              <w:rPr>
                <w:rFonts w:cs="Times New Roman"/>
                <w:bCs/>
              </w:rPr>
              <w:t>6.9</w:t>
            </w:r>
          </w:p>
        </w:tc>
        <w:tc>
          <w:tcPr>
            <w:tcW w:w="494" w:type="pct"/>
            <w:tcBorders>
              <w:top w:val="nil"/>
              <w:left w:val="nil"/>
              <w:bottom w:val="single" w:sz="4" w:space="0" w:color="auto"/>
              <w:right w:val="single" w:sz="4" w:space="0" w:color="auto"/>
            </w:tcBorders>
            <w:noWrap/>
            <w:vAlign w:val="center"/>
          </w:tcPr>
          <w:p w14:paraId="1CEC7F23" w14:textId="4123F90A" w:rsidR="00FD127F" w:rsidRPr="000549B1" w:rsidRDefault="00FD127F" w:rsidP="0050757E">
            <w:pPr>
              <w:pStyle w:val="afff2"/>
              <w:rPr>
                <w:rFonts w:cs="Times New Roman"/>
                <w:bCs/>
              </w:rPr>
            </w:pPr>
            <w:r w:rsidRPr="000549B1">
              <w:rPr>
                <w:rFonts w:cs="Times New Roman"/>
                <w:bCs/>
              </w:rPr>
              <w:t>7.4</w:t>
            </w:r>
          </w:p>
        </w:tc>
        <w:tc>
          <w:tcPr>
            <w:tcW w:w="492" w:type="pct"/>
            <w:tcBorders>
              <w:top w:val="nil"/>
              <w:left w:val="nil"/>
              <w:bottom w:val="single" w:sz="4" w:space="0" w:color="auto"/>
              <w:right w:val="single" w:sz="4" w:space="0" w:color="auto"/>
            </w:tcBorders>
            <w:noWrap/>
            <w:vAlign w:val="center"/>
          </w:tcPr>
          <w:p w14:paraId="37D62779" w14:textId="1C15C868" w:rsidR="00FD127F" w:rsidRPr="000549B1" w:rsidRDefault="00FD127F" w:rsidP="0050757E">
            <w:pPr>
              <w:pStyle w:val="afff2"/>
              <w:rPr>
                <w:rFonts w:cs="Times New Roman"/>
                <w:bCs/>
              </w:rPr>
            </w:pPr>
            <w:r w:rsidRPr="000549B1">
              <w:rPr>
                <w:rFonts w:cs="Times New Roman"/>
                <w:bCs/>
              </w:rPr>
              <w:t>2.6</w:t>
            </w:r>
          </w:p>
        </w:tc>
        <w:tc>
          <w:tcPr>
            <w:tcW w:w="492" w:type="pct"/>
            <w:tcBorders>
              <w:top w:val="nil"/>
              <w:left w:val="nil"/>
              <w:bottom w:val="single" w:sz="4" w:space="0" w:color="auto"/>
              <w:right w:val="single" w:sz="4" w:space="0" w:color="auto"/>
            </w:tcBorders>
            <w:noWrap/>
            <w:vAlign w:val="center"/>
          </w:tcPr>
          <w:p w14:paraId="2DB52AEB" w14:textId="0AB5F41C" w:rsidR="00FD127F" w:rsidRPr="000549B1" w:rsidRDefault="00FD127F" w:rsidP="0050757E">
            <w:pPr>
              <w:pStyle w:val="afff2"/>
              <w:rPr>
                <w:rFonts w:cs="Times New Roman"/>
                <w:bCs/>
              </w:rPr>
            </w:pPr>
            <w:r w:rsidRPr="000549B1">
              <w:rPr>
                <w:rFonts w:cs="Times New Roman"/>
                <w:bCs/>
              </w:rPr>
              <w:t>1.2</w:t>
            </w:r>
          </w:p>
        </w:tc>
        <w:tc>
          <w:tcPr>
            <w:tcW w:w="492" w:type="pct"/>
            <w:tcBorders>
              <w:top w:val="nil"/>
              <w:left w:val="nil"/>
              <w:bottom w:val="single" w:sz="4" w:space="0" w:color="auto"/>
              <w:right w:val="single" w:sz="4" w:space="0" w:color="auto"/>
            </w:tcBorders>
            <w:noWrap/>
            <w:vAlign w:val="center"/>
          </w:tcPr>
          <w:p w14:paraId="1A3C4AAC" w14:textId="01627DBD" w:rsidR="00FD127F" w:rsidRPr="000549B1" w:rsidRDefault="00FD127F" w:rsidP="0050757E">
            <w:pPr>
              <w:pStyle w:val="afff2"/>
              <w:rPr>
                <w:rFonts w:cs="Times New Roman"/>
                <w:bCs/>
              </w:rPr>
            </w:pPr>
            <w:r w:rsidRPr="000549B1">
              <w:rPr>
                <w:rFonts w:cs="Times New Roman"/>
                <w:bCs/>
              </w:rPr>
              <w:t>127.3</w:t>
            </w:r>
          </w:p>
        </w:tc>
        <w:tc>
          <w:tcPr>
            <w:tcW w:w="545" w:type="pct"/>
            <w:tcBorders>
              <w:top w:val="nil"/>
              <w:left w:val="nil"/>
              <w:bottom w:val="single" w:sz="4" w:space="0" w:color="auto"/>
              <w:right w:val="single" w:sz="4" w:space="0" w:color="auto"/>
            </w:tcBorders>
            <w:noWrap/>
            <w:vAlign w:val="center"/>
          </w:tcPr>
          <w:p w14:paraId="16095F09" w14:textId="77777777" w:rsidR="00FD127F" w:rsidRPr="000549B1" w:rsidRDefault="00FD127F" w:rsidP="0050757E">
            <w:pPr>
              <w:pStyle w:val="afff2"/>
              <w:rPr>
                <w:rFonts w:cs="Times New Roman"/>
                <w:bCs/>
              </w:rPr>
            </w:pPr>
            <w:r w:rsidRPr="000549B1">
              <w:rPr>
                <w:rFonts w:cs="Times New Roman"/>
                <w:bCs/>
              </w:rPr>
              <w:t>41.4</w:t>
            </w:r>
          </w:p>
        </w:tc>
        <w:tc>
          <w:tcPr>
            <w:tcW w:w="486" w:type="pct"/>
            <w:tcBorders>
              <w:top w:val="nil"/>
              <w:left w:val="nil"/>
              <w:bottom w:val="single" w:sz="4" w:space="0" w:color="auto"/>
              <w:right w:val="single" w:sz="4" w:space="0" w:color="auto"/>
            </w:tcBorders>
            <w:noWrap/>
            <w:vAlign w:val="center"/>
          </w:tcPr>
          <w:p w14:paraId="008F98BE" w14:textId="3A7E6B8A" w:rsidR="00FD127F" w:rsidRPr="000549B1" w:rsidRDefault="00FD127F" w:rsidP="0050757E">
            <w:pPr>
              <w:pStyle w:val="afff2"/>
              <w:rPr>
                <w:rFonts w:cs="Times New Roman"/>
                <w:bCs/>
              </w:rPr>
            </w:pPr>
            <w:r w:rsidRPr="000549B1">
              <w:rPr>
                <w:rFonts w:cs="Times New Roman"/>
                <w:bCs/>
              </w:rPr>
              <w:t>179.9</w:t>
            </w:r>
          </w:p>
        </w:tc>
      </w:tr>
      <w:tr w:rsidR="000549B1" w:rsidRPr="000549B1" w14:paraId="38290860" w14:textId="77777777" w:rsidTr="00FD127F">
        <w:trPr>
          <w:trHeight w:val="340"/>
        </w:trPr>
        <w:tc>
          <w:tcPr>
            <w:tcW w:w="378" w:type="pct"/>
            <w:vMerge/>
            <w:tcBorders>
              <w:left w:val="single" w:sz="4" w:space="0" w:color="auto"/>
              <w:right w:val="single" w:sz="4" w:space="0" w:color="auto"/>
            </w:tcBorders>
            <w:shd w:val="clear" w:color="000000" w:fill="FFFFFF"/>
            <w:vAlign w:val="center"/>
          </w:tcPr>
          <w:p w14:paraId="6F2F0FB8" w14:textId="77777777" w:rsidR="00FD127F" w:rsidRPr="000549B1" w:rsidRDefault="00FD127F" w:rsidP="0050757E">
            <w:pPr>
              <w:pStyle w:val="afff2"/>
              <w:rPr>
                <w:rFonts w:cs="Times New Roman"/>
                <w:bCs/>
              </w:rPr>
            </w:pPr>
          </w:p>
        </w:tc>
        <w:tc>
          <w:tcPr>
            <w:tcW w:w="637" w:type="pct"/>
            <w:tcBorders>
              <w:top w:val="nil"/>
              <w:left w:val="single" w:sz="4" w:space="0" w:color="auto"/>
              <w:bottom w:val="single" w:sz="4" w:space="0" w:color="auto"/>
              <w:right w:val="single" w:sz="4" w:space="0" w:color="auto"/>
            </w:tcBorders>
            <w:shd w:val="clear" w:color="000000" w:fill="FFFFFF"/>
            <w:noWrap/>
            <w:vAlign w:val="center"/>
          </w:tcPr>
          <w:p w14:paraId="7B7AE629" w14:textId="77777777" w:rsidR="00FD127F" w:rsidRPr="000549B1" w:rsidRDefault="00FD127F" w:rsidP="0050757E">
            <w:pPr>
              <w:pStyle w:val="afff2"/>
              <w:rPr>
                <w:rFonts w:cs="Times New Roman"/>
                <w:bCs/>
              </w:rPr>
            </w:pPr>
            <w:r w:rsidRPr="000549B1">
              <w:rPr>
                <w:rFonts w:cs="Times New Roman" w:hint="eastAsia"/>
                <w:bCs/>
              </w:rPr>
              <w:t>沙珠玉乡</w:t>
            </w:r>
          </w:p>
        </w:tc>
        <w:tc>
          <w:tcPr>
            <w:tcW w:w="492" w:type="pct"/>
            <w:tcBorders>
              <w:top w:val="nil"/>
              <w:left w:val="nil"/>
              <w:bottom w:val="single" w:sz="4" w:space="0" w:color="auto"/>
              <w:right w:val="single" w:sz="4" w:space="0" w:color="auto"/>
            </w:tcBorders>
            <w:noWrap/>
            <w:vAlign w:val="center"/>
          </w:tcPr>
          <w:p w14:paraId="34DCB319" w14:textId="1EF06999" w:rsidR="00FD127F" w:rsidRPr="000549B1" w:rsidRDefault="00FD127F" w:rsidP="0050757E">
            <w:pPr>
              <w:pStyle w:val="afff2"/>
              <w:rPr>
                <w:rFonts w:cs="Times New Roman"/>
                <w:bCs/>
              </w:rPr>
            </w:pPr>
            <w:r w:rsidRPr="000549B1">
              <w:rPr>
                <w:rFonts w:cs="Times New Roman"/>
                <w:bCs/>
              </w:rPr>
              <w:t>0.4</w:t>
            </w:r>
          </w:p>
        </w:tc>
        <w:tc>
          <w:tcPr>
            <w:tcW w:w="492" w:type="pct"/>
            <w:tcBorders>
              <w:top w:val="nil"/>
              <w:left w:val="nil"/>
              <w:bottom w:val="single" w:sz="4" w:space="0" w:color="auto"/>
              <w:right w:val="single" w:sz="4" w:space="0" w:color="auto"/>
            </w:tcBorders>
            <w:noWrap/>
            <w:vAlign w:val="center"/>
          </w:tcPr>
          <w:p w14:paraId="11CF97D5" w14:textId="080FD712" w:rsidR="00FD127F" w:rsidRPr="000549B1" w:rsidRDefault="00FD127F" w:rsidP="0050757E">
            <w:pPr>
              <w:pStyle w:val="afff2"/>
              <w:rPr>
                <w:rFonts w:cs="Times New Roman"/>
                <w:bCs/>
              </w:rPr>
            </w:pPr>
            <w:r w:rsidRPr="000549B1">
              <w:rPr>
                <w:rFonts w:cs="Times New Roman"/>
                <w:bCs/>
              </w:rPr>
              <w:t>10.6</w:t>
            </w:r>
          </w:p>
        </w:tc>
        <w:tc>
          <w:tcPr>
            <w:tcW w:w="494" w:type="pct"/>
            <w:tcBorders>
              <w:top w:val="nil"/>
              <w:left w:val="nil"/>
              <w:bottom w:val="single" w:sz="4" w:space="0" w:color="auto"/>
              <w:right w:val="single" w:sz="4" w:space="0" w:color="auto"/>
            </w:tcBorders>
            <w:noWrap/>
            <w:vAlign w:val="center"/>
          </w:tcPr>
          <w:p w14:paraId="6400805F" w14:textId="62BA81C3" w:rsidR="00FD127F" w:rsidRPr="000549B1" w:rsidRDefault="00FD127F" w:rsidP="0050757E">
            <w:pPr>
              <w:pStyle w:val="afff2"/>
              <w:rPr>
                <w:rFonts w:cs="Times New Roman"/>
                <w:bCs/>
              </w:rPr>
            </w:pPr>
            <w:r w:rsidRPr="000549B1">
              <w:rPr>
                <w:rFonts w:cs="Times New Roman"/>
                <w:bCs/>
              </w:rPr>
              <w:t>10.9</w:t>
            </w:r>
          </w:p>
        </w:tc>
        <w:tc>
          <w:tcPr>
            <w:tcW w:w="492" w:type="pct"/>
            <w:tcBorders>
              <w:top w:val="nil"/>
              <w:left w:val="nil"/>
              <w:bottom w:val="single" w:sz="4" w:space="0" w:color="auto"/>
              <w:right w:val="single" w:sz="4" w:space="0" w:color="auto"/>
            </w:tcBorders>
            <w:noWrap/>
            <w:vAlign w:val="center"/>
          </w:tcPr>
          <w:p w14:paraId="0249ACFC" w14:textId="281106D5" w:rsidR="00FD127F" w:rsidRPr="000549B1" w:rsidRDefault="00FD127F" w:rsidP="0050757E">
            <w:pPr>
              <w:pStyle w:val="afff2"/>
              <w:rPr>
                <w:rFonts w:cs="Times New Roman"/>
                <w:bCs/>
              </w:rPr>
            </w:pPr>
            <w:r w:rsidRPr="000549B1">
              <w:rPr>
                <w:rFonts w:cs="Times New Roman"/>
                <w:bCs/>
              </w:rPr>
              <w:t>1.9</w:t>
            </w:r>
          </w:p>
        </w:tc>
        <w:tc>
          <w:tcPr>
            <w:tcW w:w="492" w:type="pct"/>
            <w:tcBorders>
              <w:top w:val="nil"/>
              <w:left w:val="nil"/>
              <w:bottom w:val="single" w:sz="4" w:space="0" w:color="auto"/>
              <w:right w:val="single" w:sz="4" w:space="0" w:color="auto"/>
            </w:tcBorders>
            <w:noWrap/>
            <w:vAlign w:val="center"/>
          </w:tcPr>
          <w:p w14:paraId="5F7DE54F" w14:textId="303FEFEC" w:rsidR="00FD127F" w:rsidRPr="000549B1" w:rsidRDefault="00FD127F" w:rsidP="0050757E">
            <w:pPr>
              <w:pStyle w:val="afff2"/>
              <w:rPr>
                <w:rFonts w:cs="Times New Roman"/>
                <w:bCs/>
              </w:rPr>
            </w:pPr>
            <w:r w:rsidRPr="000549B1">
              <w:rPr>
                <w:rFonts w:cs="Times New Roman"/>
                <w:bCs/>
              </w:rPr>
              <w:t>0.9</w:t>
            </w:r>
          </w:p>
        </w:tc>
        <w:tc>
          <w:tcPr>
            <w:tcW w:w="492" w:type="pct"/>
            <w:tcBorders>
              <w:top w:val="nil"/>
              <w:left w:val="nil"/>
              <w:bottom w:val="single" w:sz="4" w:space="0" w:color="auto"/>
              <w:right w:val="single" w:sz="4" w:space="0" w:color="auto"/>
            </w:tcBorders>
            <w:noWrap/>
            <w:vAlign w:val="center"/>
          </w:tcPr>
          <w:p w14:paraId="7BD2F684" w14:textId="1FE402B5" w:rsidR="00FD127F" w:rsidRPr="000549B1" w:rsidRDefault="00FD127F" w:rsidP="0050757E">
            <w:pPr>
              <w:pStyle w:val="afff2"/>
              <w:rPr>
                <w:rFonts w:cs="Times New Roman"/>
                <w:bCs/>
              </w:rPr>
            </w:pPr>
            <w:r w:rsidRPr="000549B1">
              <w:rPr>
                <w:rFonts w:cs="Times New Roman"/>
                <w:bCs/>
              </w:rPr>
              <w:t>1210.9</w:t>
            </w:r>
          </w:p>
        </w:tc>
        <w:tc>
          <w:tcPr>
            <w:tcW w:w="545" w:type="pct"/>
            <w:tcBorders>
              <w:top w:val="nil"/>
              <w:left w:val="nil"/>
              <w:bottom w:val="single" w:sz="4" w:space="0" w:color="auto"/>
              <w:right w:val="single" w:sz="4" w:space="0" w:color="auto"/>
            </w:tcBorders>
            <w:noWrap/>
            <w:vAlign w:val="center"/>
          </w:tcPr>
          <w:p w14:paraId="67482F98" w14:textId="77777777" w:rsidR="00FD127F" w:rsidRPr="000549B1" w:rsidRDefault="00FD127F" w:rsidP="0050757E">
            <w:pPr>
              <w:pStyle w:val="afff2"/>
              <w:rPr>
                <w:rFonts w:cs="Times New Roman"/>
                <w:bCs/>
              </w:rPr>
            </w:pPr>
            <w:r w:rsidRPr="000549B1">
              <w:rPr>
                <w:rFonts w:cs="Times New Roman"/>
                <w:bCs/>
              </w:rPr>
              <w:t>14.6</w:t>
            </w:r>
          </w:p>
        </w:tc>
        <w:tc>
          <w:tcPr>
            <w:tcW w:w="486" w:type="pct"/>
            <w:tcBorders>
              <w:top w:val="nil"/>
              <w:left w:val="nil"/>
              <w:bottom w:val="single" w:sz="4" w:space="0" w:color="auto"/>
              <w:right w:val="single" w:sz="4" w:space="0" w:color="auto"/>
            </w:tcBorders>
            <w:noWrap/>
            <w:vAlign w:val="center"/>
          </w:tcPr>
          <w:p w14:paraId="5756CDFB" w14:textId="0948A8A8" w:rsidR="00FD127F" w:rsidRPr="000549B1" w:rsidRDefault="00FD127F" w:rsidP="0050757E">
            <w:pPr>
              <w:pStyle w:val="afff2"/>
              <w:rPr>
                <w:rFonts w:cs="Times New Roman"/>
                <w:bCs/>
              </w:rPr>
            </w:pPr>
            <w:r w:rsidRPr="000549B1">
              <w:rPr>
                <w:rFonts w:cs="Times New Roman"/>
                <w:bCs/>
              </w:rPr>
              <w:t>1239.1</w:t>
            </w:r>
          </w:p>
        </w:tc>
      </w:tr>
      <w:tr w:rsidR="000549B1" w:rsidRPr="000549B1" w14:paraId="14B22C9C" w14:textId="77777777" w:rsidTr="00FD127F">
        <w:trPr>
          <w:trHeight w:val="340"/>
        </w:trPr>
        <w:tc>
          <w:tcPr>
            <w:tcW w:w="378" w:type="pct"/>
            <w:vMerge/>
            <w:tcBorders>
              <w:left w:val="single" w:sz="4" w:space="0" w:color="auto"/>
              <w:right w:val="single" w:sz="4" w:space="0" w:color="auto"/>
            </w:tcBorders>
            <w:shd w:val="clear" w:color="000000" w:fill="FFFFFF"/>
            <w:vAlign w:val="center"/>
          </w:tcPr>
          <w:p w14:paraId="19331DD3" w14:textId="77777777" w:rsidR="00FD127F" w:rsidRPr="000549B1" w:rsidRDefault="00FD127F" w:rsidP="0050757E">
            <w:pPr>
              <w:pStyle w:val="afff2"/>
              <w:rPr>
                <w:rFonts w:cs="Times New Roman"/>
                <w:bCs/>
              </w:rPr>
            </w:pPr>
          </w:p>
        </w:tc>
        <w:tc>
          <w:tcPr>
            <w:tcW w:w="637" w:type="pct"/>
            <w:tcBorders>
              <w:top w:val="nil"/>
              <w:left w:val="single" w:sz="4" w:space="0" w:color="auto"/>
              <w:bottom w:val="single" w:sz="4" w:space="0" w:color="auto"/>
              <w:right w:val="single" w:sz="4" w:space="0" w:color="auto"/>
            </w:tcBorders>
            <w:shd w:val="clear" w:color="000000" w:fill="FFFFFF"/>
            <w:noWrap/>
            <w:vAlign w:val="center"/>
          </w:tcPr>
          <w:p w14:paraId="590BDE0D" w14:textId="77777777" w:rsidR="00FD127F" w:rsidRPr="000549B1" w:rsidRDefault="00FD127F" w:rsidP="0050757E">
            <w:pPr>
              <w:pStyle w:val="afff2"/>
              <w:rPr>
                <w:rFonts w:cs="Times New Roman"/>
                <w:bCs/>
              </w:rPr>
            </w:pPr>
            <w:r w:rsidRPr="000549B1">
              <w:rPr>
                <w:rFonts w:cs="Times New Roman" w:hint="eastAsia"/>
                <w:bCs/>
              </w:rPr>
              <w:t>黑马河镇</w:t>
            </w:r>
          </w:p>
        </w:tc>
        <w:tc>
          <w:tcPr>
            <w:tcW w:w="492" w:type="pct"/>
            <w:tcBorders>
              <w:top w:val="nil"/>
              <w:left w:val="nil"/>
              <w:bottom w:val="single" w:sz="4" w:space="0" w:color="auto"/>
              <w:right w:val="single" w:sz="4" w:space="0" w:color="auto"/>
            </w:tcBorders>
            <w:noWrap/>
            <w:vAlign w:val="center"/>
          </w:tcPr>
          <w:p w14:paraId="37526D9E" w14:textId="437AF2C6" w:rsidR="00FD127F" w:rsidRPr="000549B1" w:rsidRDefault="00FD127F" w:rsidP="0050757E">
            <w:pPr>
              <w:pStyle w:val="afff2"/>
              <w:rPr>
                <w:rFonts w:cs="Times New Roman"/>
                <w:bCs/>
              </w:rPr>
            </w:pPr>
            <w:r w:rsidRPr="000549B1">
              <w:rPr>
                <w:rFonts w:cs="Times New Roman"/>
                <w:bCs/>
              </w:rPr>
              <w:t>0.0</w:t>
            </w:r>
          </w:p>
        </w:tc>
        <w:tc>
          <w:tcPr>
            <w:tcW w:w="492" w:type="pct"/>
            <w:tcBorders>
              <w:top w:val="nil"/>
              <w:left w:val="nil"/>
              <w:bottom w:val="single" w:sz="4" w:space="0" w:color="auto"/>
              <w:right w:val="single" w:sz="4" w:space="0" w:color="auto"/>
            </w:tcBorders>
            <w:noWrap/>
            <w:vAlign w:val="center"/>
          </w:tcPr>
          <w:p w14:paraId="70441884" w14:textId="5EC0632E" w:rsidR="00FD127F" w:rsidRPr="000549B1" w:rsidRDefault="00FD127F" w:rsidP="0050757E">
            <w:pPr>
              <w:pStyle w:val="afff2"/>
              <w:rPr>
                <w:rFonts w:cs="Times New Roman"/>
                <w:bCs/>
              </w:rPr>
            </w:pPr>
            <w:r w:rsidRPr="000549B1">
              <w:rPr>
                <w:rFonts w:cs="Times New Roman"/>
                <w:bCs/>
              </w:rPr>
              <w:t>0.4</w:t>
            </w:r>
          </w:p>
        </w:tc>
        <w:tc>
          <w:tcPr>
            <w:tcW w:w="494" w:type="pct"/>
            <w:tcBorders>
              <w:top w:val="nil"/>
              <w:left w:val="nil"/>
              <w:bottom w:val="single" w:sz="4" w:space="0" w:color="auto"/>
              <w:right w:val="single" w:sz="4" w:space="0" w:color="auto"/>
            </w:tcBorders>
            <w:noWrap/>
            <w:vAlign w:val="center"/>
          </w:tcPr>
          <w:p w14:paraId="7F6D8326" w14:textId="15A9BFF8" w:rsidR="00FD127F" w:rsidRPr="000549B1" w:rsidRDefault="00FD127F" w:rsidP="0050757E">
            <w:pPr>
              <w:pStyle w:val="afff2"/>
              <w:rPr>
                <w:rFonts w:cs="Times New Roman"/>
                <w:bCs/>
              </w:rPr>
            </w:pPr>
            <w:r w:rsidRPr="000549B1">
              <w:rPr>
                <w:rFonts w:cs="Times New Roman"/>
                <w:bCs/>
              </w:rPr>
              <w:t>0.4</w:t>
            </w:r>
          </w:p>
        </w:tc>
        <w:tc>
          <w:tcPr>
            <w:tcW w:w="492" w:type="pct"/>
            <w:tcBorders>
              <w:top w:val="nil"/>
              <w:left w:val="nil"/>
              <w:bottom w:val="single" w:sz="4" w:space="0" w:color="auto"/>
              <w:right w:val="single" w:sz="4" w:space="0" w:color="auto"/>
            </w:tcBorders>
            <w:noWrap/>
            <w:vAlign w:val="center"/>
          </w:tcPr>
          <w:p w14:paraId="274D4B1B" w14:textId="2C3641EB" w:rsidR="00FD127F" w:rsidRPr="000549B1" w:rsidRDefault="00FD127F" w:rsidP="0050757E">
            <w:pPr>
              <w:pStyle w:val="afff2"/>
              <w:rPr>
                <w:rFonts w:cs="Times New Roman"/>
                <w:bCs/>
              </w:rPr>
            </w:pPr>
            <w:r w:rsidRPr="000549B1">
              <w:rPr>
                <w:rFonts w:cs="Times New Roman"/>
                <w:bCs/>
              </w:rPr>
              <w:t>0.0</w:t>
            </w:r>
          </w:p>
        </w:tc>
        <w:tc>
          <w:tcPr>
            <w:tcW w:w="492" w:type="pct"/>
            <w:tcBorders>
              <w:top w:val="nil"/>
              <w:left w:val="nil"/>
              <w:bottom w:val="single" w:sz="4" w:space="0" w:color="auto"/>
              <w:right w:val="single" w:sz="4" w:space="0" w:color="auto"/>
            </w:tcBorders>
            <w:noWrap/>
            <w:vAlign w:val="center"/>
          </w:tcPr>
          <w:p w14:paraId="5B471FDA" w14:textId="388BB062" w:rsidR="00FD127F" w:rsidRPr="000549B1" w:rsidRDefault="00FD127F" w:rsidP="0050757E">
            <w:pPr>
              <w:pStyle w:val="afff2"/>
              <w:rPr>
                <w:rFonts w:cs="Times New Roman"/>
                <w:bCs/>
              </w:rPr>
            </w:pPr>
            <w:r w:rsidRPr="000549B1">
              <w:rPr>
                <w:rFonts w:cs="Times New Roman"/>
                <w:bCs/>
              </w:rPr>
              <w:t>1.3</w:t>
            </w:r>
          </w:p>
        </w:tc>
        <w:tc>
          <w:tcPr>
            <w:tcW w:w="492" w:type="pct"/>
            <w:tcBorders>
              <w:top w:val="nil"/>
              <w:left w:val="nil"/>
              <w:bottom w:val="single" w:sz="4" w:space="0" w:color="auto"/>
              <w:right w:val="single" w:sz="4" w:space="0" w:color="auto"/>
            </w:tcBorders>
            <w:noWrap/>
            <w:vAlign w:val="center"/>
          </w:tcPr>
          <w:p w14:paraId="529DCE41" w14:textId="61FA7B89" w:rsidR="00FD127F" w:rsidRPr="000549B1" w:rsidRDefault="00FD127F" w:rsidP="0050757E">
            <w:pPr>
              <w:pStyle w:val="afff2"/>
              <w:rPr>
                <w:rFonts w:cs="Times New Roman"/>
                <w:bCs/>
              </w:rPr>
            </w:pPr>
            <w:r w:rsidRPr="000549B1">
              <w:rPr>
                <w:rFonts w:cs="Times New Roman"/>
                <w:bCs/>
              </w:rPr>
              <w:t>112.4</w:t>
            </w:r>
          </w:p>
        </w:tc>
        <w:tc>
          <w:tcPr>
            <w:tcW w:w="545" w:type="pct"/>
            <w:tcBorders>
              <w:top w:val="nil"/>
              <w:left w:val="nil"/>
              <w:bottom w:val="single" w:sz="4" w:space="0" w:color="auto"/>
              <w:right w:val="single" w:sz="4" w:space="0" w:color="auto"/>
            </w:tcBorders>
            <w:noWrap/>
            <w:vAlign w:val="center"/>
          </w:tcPr>
          <w:p w14:paraId="0AFE6836" w14:textId="77777777" w:rsidR="00FD127F" w:rsidRPr="000549B1" w:rsidRDefault="00FD127F" w:rsidP="0050757E">
            <w:pPr>
              <w:pStyle w:val="afff2"/>
              <w:rPr>
                <w:rFonts w:cs="Times New Roman"/>
                <w:bCs/>
              </w:rPr>
            </w:pPr>
            <w:r w:rsidRPr="000549B1">
              <w:rPr>
                <w:rFonts w:cs="Times New Roman"/>
                <w:bCs/>
              </w:rPr>
              <w:t>3.5</w:t>
            </w:r>
          </w:p>
        </w:tc>
        <w:tc>
          <w:tcPr>
            <w:tcW w:w="486" w:type="pct"/>
            <w:tcBorders>
              <w:top w:val="nil"/>
              <w:left w:val="nil"/>
              <w:bottom w:val="single" w:sz="4" w:space="0" w:color="auto"/>
              <w:right w:val="single" w:sz="4" w:space="0" w:color="auto"/>
            </w:tcBorders>
            <w:noWrap/>
            <w:vAlign w:val="center"/>
          </w:tcPr>
          <w:p w14:paraId="5CF095DD" w14:textId="6162321A" w:rsidR="00FD127F" w:rsidRPr="000549B1" w:rsidRDefault="00FD127F" w:rsidP="0050757E">
            <w:pPr>
              <w:pStyle w:val="afff2"/>
              <w:rPr>
                <w:rFonts w:cs="Times New Roman"/>
                <w:bCs/>
              </w:rPr>
            </w:pPr>
            <w:r w:rsidRPr="000549B1">
              <w:rPr>
                <w:rFonts w:cs="Times New Roman"/>
                <w:bCs/>
              </w:rPr>
              <w:t>117.5</w:t>
            </w:r>
          </w:p>
        </w:tc>
      </w:tr>
      <w:tr w:rsidR="000549B1" w:rsidRPr="000549B1" w14:paraId="1B2C7BD3" w14:textId="77777777" w:rsidTr="00FD127F">
        <w:trPr>
          <w:trHeight w:val="340"/>
        </w:trPr>
        <w:tc>
          <w:tcPr>
            <w:tcW w:w="378" w:type="pct"/>
            <w:vMerge/>
            <w:tcBorders>
              <w:left w:val="single" w:sz="4" w:space="0" w:color="auto"/>
              <w:bottom w:val="single" w:sz="4" w:space="0" w:color="auto"/>
              <w:right w:val="single" w:sz="4" w:space="0" w:color="auto"/>
            </w:tcBorders>
            <w:shd w:val="clear" w:color="000000" w:fill="FFFFFF"/>
            <w:vAlign w:val="center"/>
          </w:tcPr>
          <w:p w14:paraId="126610AD" w14:textId="77777777" w:rsidR="00FD127F" w:rsidRPr="000549B1" w:rsidRDefault="00FD127F" w:rsidP="0050757E">
            <w:pPr>
              <w:pStyle w:val="afff2"/>
              <w:rPr>
                <w:rFonts w:cs="Times New Roman"/>
                <w:bCs/>
              </w:rPr>
            </w:pPr>
          </w:p>
        </w:tc>
        <w:tc>
          <w:tcPr>
            <w:tcW w:w="637" w:type="pct"/>
            <w:tcBorders>
              <w:top w:val="nil"/>
              <w:left w:val="single" w:sz="4" w:space="0" w:color="auto"/>
              <w:bottom w:val="single" w:sz="4" w:space="0" w:color="auto"/>
              <w:right w:val="single" w:sz="4" w:space="0" w:color="auto"/>
            </w:tcBorders>
            <w:shd w:val="clear" w:color="000000" w:fill="FFFFFF"/>
            <w:noWrap/>
            <w:vAlign w:val="center"/>
          </w:tcPr>
          <w:p w14:paraId="709A7292" w14:textId="77777777" w:rsidR="00FD127F" w:rsidRPr="000549B1" w:rsidRDefault="00FD127F" w:rsidP="0050757E">
            <w:pPr>
              <w:pStyle w:val="afff2"/>
              <w:rPr>
                <w:rFonts w:cs="Times New Roman"/>
                <w:bCs/>
              </w:rPr>
            </w:pPr>
            <w:r w:rsidRPr="000549B1">
              <w:rPr>
                <w:rFonts w:cs="Times New Roman" w:hint="eastAsia"/>
                <w:bCs/>
              </w:rPr>
              <w:t>石乃亥镇</w:t>
            </w:r>
          </w:p>
        </w:tc>
        <w:tc>
          <w:tcPr>
            <w:tcW w:w="492" w:type="pct"/>
            <w:tcBorders>
              <w:top w:val="nil"/>
              <w:left w:val="nil"/>
              <w:bottom w:val="single" w:sz="4" w:space="0" w:color="auto"/>
              <w:right w:val="single" w:sz="4" w:space="0" w:color="auto"/>
            </w:tcBorders>
            <w:noWrap/>
            <w:vAlign w:val="center"/>
          </w:tcPr>
          <w:p w14:paraId="702A2DF1" w14:textId="0F28E88A" w:rsidR="00FD127F" w:rsidRPr="000549B1" w:rsidRDefault="00FD127F" w:rsidP="0050757E">
            <w:pPr>
              <w:pStyle w:val="afff2"/>
              <w:rPr>
                <w:rFonts w:cs="Times New Roman"/>
                <w:bCs/>
              </w:rPr>
            </w:pPr>
            <w:r w:rsidRPr="000549B1">
              <w:rPr>
                <w:rFonts w:cs="Times New Roman"/>
                <w:bCs/>
              </w:rPr>
              <w:t>0.0</w:t>
            </w:r>
          </w:p>
        </w:tc>
        <w:tc>
          <w:tcPr>
            <w:tcW w:w="492" w:type="pct"/>
            <w:tcBorders>
              <w:top w:val="nil"/>
              <w:left w:val="nil"/>
              <w:bottom w:val="single" w:sz="4" w:space="0" w:color="auto"/>
              <w:right w:val="single" w:sz="4" w:space="0" w:color="auto"/>
            </w:tcBorders>
            <w:noWrap/>
            <w:vAlign w:val="center"/>
          </w:tcPr>
          <w:p w14:paraId="1D316DC4" w14:textId="2F6DA87C" w:rsidR="00FD127F" w:rsidRPr="000549B1" w:rsidRDefault="00FD127F" w:rsidP="0050757E">
            <w:pPr>
              <w:pStyle w:val="afff2"/>
              <w:rPr>
                <w:rFonts w:cs="Times New Roman"/>
                <w:bCs/>
              </w:rPr>
            </w:pPr>
            <w:r w:rsidRPr="000549B1">
              <w:rPr>
                <w:rFonts w:cs="Times New Roman"/>
                <w:bCs/>
              </w:rPr>
              <w:t>2.2</w:t>
            </w:r>
          </w:p>
        </w:tc>
        <w:tc>
          <w:tcPr>
            <w:tcW w:w="494" w:type="pct"/>
            <w:tcBorders>
              <w:top w:val="nil"/>
              <w:left w:val="nil"/>
              <w:bottom w:val="single" w:sz="4" w:space="0" w:color="auto"/>
              <w:right w:val="single" w:sz="4" w:space="0" w:color="auto"/>
            </w:tcBorders>
            <w:noWrap/>
            <w:vAlign w:val="center"/>
          </w:tcPr>
          <w:p w14:paraId="0C4CAB62" w14:textId="1CE57949" w:rsidR="00FD127F" w:rsidRPr="000549B1" w:rsidRDefault="00FD127F" w:rsidP="0050757E">
            <w:pPr>
              <w:pStyle w:val="afff2"/>
              <w:rPr>
                <w:rFonts w:cs="Times New Roman"/>
                <w:bCs/>
              </w:rPr>
            </w:pPr>
            <w:r w:rsidRPr="000549B1">
              <w:rPr>
                <w:rFonts w:cs="Times New Roman"/>
                <w:bCs/>
              </w:rPr>
              <w:t>2.2</w:t>
            </w:r>
          </w:p>
        </w:tc>
        <w:tc>
          <w:tcPr>
            <w:tcW w:w="492" w:type="pct"/>
            <w:tcBorders>
              <w:top w:val="nil"/>
              <w:left w:val="nil"/>
              <w:bottom w:val="single" w:sz="4" w:space="0" w:color="auto"/>
              <w:right w:val="single" w:sz="4" w:space="0" w:color="auto"/>
            </w:tcBorders>
            <w:noWrap/>
            <w:vAlign w:val="center"/>
          </w:tcPr>
          <w:p w14:paraId="74578466" w14:textId="2A6AB000" w:rsidR="00FD127F" w:rsidRPr="000549B1" w:rsidRDefault="00FD127F" w:rsidP="0050757E">
            <w:pPr>
              <w:pStyle w:val="afff2"/>
              <w:rPr>
                <w:rFonts w:cs="Times New Roman"/>
                <w:bCs/>
              </w:rPr>
            </w:pPr>
            <w:r w:rsidRPr="000549B1">
              <w:rPr>
                <w:rFonts w:cs="Times New Roman"/>
                <w:bCs/>
              </w:rPr>
              <w:t>0.0</w:t>
            </w:r>
          </w:p>
        </w:tc>
        <w:tc>
          <w:tcPr>
            <w:tcW w:w="492" w:type="pct"/>
            <w:tcBorders>
              <w:top w:val="nil"/>
              <w:left w:val="nil"/>
              <w:bottom w:val="single" w:sz="4" w:space="0" w:color="auto"/>
              <w:right w:val="single" w:sz="4" w:space="0" w:color="auto"/>
            </w:tcBorders>
            <w:noWrap/>
            <w:vAlign w:val="center"/>
          </w:tcPr>
          <w:p w14:paraId="5C7F26ED" w14:textId="59EEB89B" w:rsidR="00FD127F" w:rsidRPr="000549B1" w:rsidRDefault="00FD127F" w:rsidP="0050757E">
            <w:pPr>
              <w:pStyle w:val="afff2"/>
              <w:rPr>
                <w:rFonts w:cs="Times New Roman"/>
                <w:bCs/>
              </w:rPr>
            </w:pPr>
            <w:r w:rsidRPr="000549B1">
              <w:rPr>
                <w:rFonts w:cs="Times New Roman"/>
                <w:bCs/>
              </w:rPr>
              <w:t>0.0</w:t>
            </w:r>
          </w:p>
        </w:tc>
        <w:tc>
          <w:tcPr>
            <w:tcW w:w="492" w:type="pct"/>
            <w:tcBorders>
              <w:top w:val="nil"/>
              <w:left w:val="nil"/>
              <w:bottom w:val="single" w:sz="4" w:space="0" w:color="auto"/>
              <w:right w:val="single" w:sz="4" w:space="0" w:color="auto"/>
            </w:tcBorders>
            <w:noWrap/>
            <w:vAlign w:val="center"/>
          </w:tcPr>
          <w:p w14:paraId="15054544" w14:textId="362CEC86" w:rsidR="00FD127F" w:rsidRPr="000549B1" w:rsidRDefault="00FD127F" w:rsidP="0050757E">
            <w:pPr>
              <w:pStyle w:val="afff2"/>
              <w:rPr>
                <w:rFonts w:cs="Times New Roman"/>
                <w:bCs/>
              </w:rPr>
            </w:pPr>
            <w:r w:rsidRPr="000549B1">
              <w:rPr>
                <w:rFonts w:cs="Times New Roman"/>
                <w:bCs/>
              </w:rPr>
              <w:t>0.0</w:t>
            </w:r>
          </w:p>
        </w:tc>
        <w:tc>
          <w:tcPr>
            <w:tcW w:w="545" w:type="pct"/>
            <w:tcBorders>
              <w:top w:val="nil"/>
              <w:left w:val="nil"/>
              <w:bottom w:val="single" w:sz="4" w:space="0" w:color="auto"/>
              <w:right w:val="single" w:sz="4" w:space="0" w:color="auto"/>
            </w:tcBorders>
            <w:noWrap/>
            <w:vAlign w:val="center"/>
          </w:tcPr>
          <w:p w14:paraId="063EFC27" w14:textId="77777777" w:rsidR="00FD127F" w:rsidRPr="000549B1" w:rsidRDefault="00FD127F" w:rsidP="0050757E">
            <w:pPr>
              <w:pStyle w:val="afff2"/>
              <w:rPr>
                <w:rFonts w:cs="Times New Roman"/>
                <w:bCs/>
              </w:rPr>
            </w:pPr>
            <w:r w:rsidRPr="000549B1">
              <w:rPr>
                <w:rFonts w:cs="Times New Roman"/>
                <w:bCs/>
              </w:rPr>
              <w:t>17.0</w:t>
            </w:r>
          </w:p>
        </w:tc>
        <w:tc>
          <w:tcPr>
            <w:tcW w:w="486" w:type="pct"/>
            <w:tcBorders>
              <w:top w:val="nil"/>
              <w:left w:val="nil"/>
              <w:bottom w:val="single" w:sz="4" w:space="0" w:color="auto"/>
              <w:right w:val="single" w:sz="4" w:space="0" w:color="auto"/>
            </w:tcBorders>
            <w:noWrap/>
            <w:vAlign w:val="center"/>
          </w:tcPr>
          <w:p w14:paraId="395C0B5B" w14:textId="747A9ED4" w:rsidR="00FD127F" w:rsidRPr="000549B1" w:rsidRDefault="00FD127F" w:rsidP="0050757E">
            <w:pPr>
              <w:pStyle w:val="afff2"/>
              <w:rPr>
                <w:rFonts w:cs="Times New Roman"/>
                <w:bCs/>
              </w:rPr>
            </w:pPr>
            <w:r w:rsidRPr="000549B1">
              <w:rPr>
                <w:rFonts w:cs="Times New Roman"/>
                <w:bCs/>
              </w:rPr>
              <w:t>19.2</w:t>
            </w:r>
          </w:p>
        </w:tc>
      </w:tr>
      <w:tr w:rsidR="000549B1" w:rsidRPr="000549B1" w14:paraId="320D188E" w14:textId="77777777" w:rsidTr="00FD127F">
        <w:trPr>
          <w:trHeight w:val="340"/>
        </w:trPr>
        <w:tc>
          <w:tcPr>
            <w:tcW w:w="378" w:type="pct"/>
            <w:tcBorders>
              <w:top w:val="nil"/>
              <w:left w:val="single" w:sz="4" w:space="0" w:color="auto"/>
              <w:bottom w:val="single" w:sz="4" w:space="0" w:color="auto"/>
              <w:right w:val="single" w:sz="4" w:space="0" w:color="auto"/>
            </w:tcBorders>
            <w:shd w:val="clear" w:color="000000" w:fill="FFFFFF"/>
            <w:vAlign w:val="center"/>
          </w:tcPr>
          <w:p w14:paraId="1497185C" w14:textId="77777777" w:rsidR="00FD127F" w:rsidRPr="000549B1" w:rsidRDefault="00FD127F" w:rsidP="0050757E">
            <w:pPr>
              <w:pStyle w:val="afff2"/>
              <w:rPr>
                <w:rFonts w:cs="Times New Roman"/>
                <w:bCs/>
              </w:rPr>
            </w:pPr>
            <w:r w:rsidRPr="000549B1">
              <w:rPr>
                <w:rFonts w:cs="Times New Roman" w:hint="eastAsia"/>
                <w:bCs/>
              </w:rPr>
              <w:t>兴海县</w:t>
            </w:r>
          </w:p>
        </w:tc>
        <w:tc>
          <w:tcPr>
            <w:tcW w:w="637" w:type="pct"/>
            <w:tcBorders>
              <w:top w:val="nil"/>
              <w:left w:val="single" w:sz="4" w:space="0" w:color="auto"/>
              <w:bottom w:val="single" w:sz="4" w:space="0" w:color="auto"/>
              <w:right w:val="single" w:sz="4" w:space="0" w:color="auto"/>
            </w:tcBorders>
            <w:shd w:val="clear" w:color="000000" w:fill="FFFFFF"/>
            <w:noWrap/>
            <w:vAlign w:val="center"/>
          </w:tcPr>
          <w:p w14:paraId="038E3893" w14:textId="77777777" w:rsidR="00FD127F" w:rsidRPr="000549B1" w:rsidRDefault="00FD127F" w:rsidP="0050757E">
            <w:pPr>
              <w:pStyle w:val="afff2"/>
              <w:rPr>
                <w:rFonts w:cs="Times New Roman"/>
                <w:bCs/>
              </w:rPr>
            </w:pPr>
            <w:r w:rsidRPr="000549B1">
              <w:rPr>
                <w:rFonts w:cs="Times New Roman" w:hint="eastAsia"/>
                <w:bCs/>
              </w:rPr>
              <w:t>河卡镇</w:t>
            </w:r>
          </w:p>
        </w:tc>
        <w:tc>
          <w:tcPr>
            <w:tcW w:w="492" w:type="pct"/>
            <w:tcBorders>
              <w:top w:val="nil"/>
              <w:left w:val="nil"/>
              <w:bottom w:val="single" w:sz="4" w:space="0" w:color="auto"/>
              <w:right w:val="single" w:sz="4" w:space="0" w:color="auto"/>
            </w:tcBorders>
            <w:noWrap/>
            <w:vAlign w:val="center"/>
          </w:tcPr>
          <w:p w14:paraId="021D06E5" w14:textId="1F2C162A" w:rsidR="00FD127F" w:rsidRPr="000549B1" w:rsidRDefault="00FD127F" w:rsidP="0050757E">
            <w:pPr>
              <w:pStyle w:val="afff2"/>
              <w:rPr>
                <w:rFonts w:cs="Times New Roman"/>
                <w:bCs/>
              </w:rPr>
            </w:pPr>
            <w:r w:rsidRPr="000549B1">
              <w:rPr>
                <w:rFonts w:cs="Times New Roman"/>
                <w:bCs/>
              </w:rPr>
              <w:t>8.2</w:t>
            </w:r>
          </w:p>
        </w:tc>
        <w:tc>
          <w:tcPr>
            <w:tcW w:w="492" w:type="pct"/>
            <w:tcBorders>
              <w:top w:val="nil"/>
              <w:left w:val="nil"/>
              <w:bottom w:val="single" w:sz="4" w:space="0" w:color="auto"/>
              <w:right w:val="single" w:sz="4" w:space="0" w:color="auto"/>
            </w:tcBorders>
            <w:noWrap/>
            <w:vAlign w:val="center"/>
          </w:tcPr>
          <w:p w14:paraId="2E9E281B" w14:textId="795B1981" w:rsidR="00FD127F" w:rsidRPr="000549B1" w:rsidRDefault="00FD127F" w:rsidP="0050757E">
            <w:pPr>
              <w:pStyle w:val="afff2"/>
              <w:rPr>
                <w:rFonts w:cs="Times New Roman"/>
                <w:bCs/>
              </w:rPr>
            </w:pPr>
            <w:r w:rsidRPr="000549B1">
              <w:rPr>
                <w:rFonts w:cs="Times New Roman"/>
                <w:bCs/>
              </w:rPr>
              <w:t>21.0</w:t>
            </w:r>
          </w:p>
        </w:tc>
        <w:tc>
          <w:tcPr>
            <w:tcW w:w="494" w:type="pct"/>
            <w:tcBorders>
              <w:top w:val="nil"/>
              <w:left w:val="nil"/>
              <w:bottom w:val="single" w:sz="4" w:space="0" w:color="auto"/>
              <w:right w:val="single" w:sz="4" w:space="0" w:color="auto"/>
            </w:tcBorders>
            <w:noWrap/>
            <w:vAlign w:val="center"/>
          </w:tcPr>
          <w:p w14:paraId="04754E09" w14:textId="36EE584F" w:rsidR="00FD127F" w:rsidRPr="000549B1" w:rsidRDefault="00FD127F" w:rsidP="0050757E">
            <w:pPr>
              <w:pStyle w:val="afff2"/>
              <w:rPr>
                <w:rFonts w:cs="Times New Roman"/>
                <w:bCs/>
              </w:rPr>
            </w:pPr>
            <w:r w:rsidRPr="000549B1">
              <w:rPr>
                <w:rFonts w:cs="Times New Roman"/>
                <w:bCs/>
              </w:rPr>
              <w:t>29.2</w:t>
            </w:r>
          </w:p>
        </w:tc>
        <w:tc>
          <w:tcPr>
            <w:tcW w:w="492" w:type="pct"/>
            <w:tcBorders>
              <w:top w:val="nil"/>
              <w:left w:val="nil"/>
              <w:bottom w:val="single" w:sz="4" w:space="0" w:color="auto"/>
              <w:right w:val="single" w:sz="4" w:space="0" w:color="auto"/>
            </w:tcBorders>
            <w:noWrap/>
            <w:vAlign w:val="center"/>
          </w:tcPr>
          <w:p w14:paraId="233F588F" w14:textId="70BE9EA5" w:rsidR="00FD127F" w:rsidRPr="000549B1" w:rsidRDefault="00FD127F" w:rsidP="0050757E">
            <w:pPr>
              <w:pStyle w:val="afff2"/>
              <w:rPr>
                <w:rFonts w:cs="Times New Roman"/>
                <w:bCs/>
              </w:rPr>
            </w:pPr>
            <w:r w:rsidRPr="000549B1">
              <w:rPr>
                <w:rFonts w:cs="Times New Roman"/>
                <w:bCs/>
              </w:rPr>
              <w:t>5.1</w:t>
            </w:r>
          </w:p>
        </w:tc>
        <w:tc>
          <w:tcPr>
            <w:tcW w:w="492" w:type="pct"/>
            <w:tcBorders>
              <w:top w:val="nil"/>
              <w:left w:val="nil"/>
              <w:bottom w:val="single" w:sz="4" w:space="0" w:color="auto"/>
              <w:right w:val="single" w:sz="4" w:space="0" w:color="auto"/>
            </w:tcBorders>
            <w:noWrap/>
            <w:vAlign w:val="center"/>
          </w:tcPr>
          <w:p w14:paraId="50351CA5" w14:textId="5BD918E0" w:rsidR="00FD127F" w:rsidRPr="000549B1" w:rsidRDefault="00FD127F" w:rsidP="0050757E">
            <w:pPr>
              <w:pStyle w:val="afff2"/>
              <w:rPr>
                <w:rFonts w:cs="Times New Roman"/>
                <w:bCs/>
              </w:rPr>
            </w:pPr>
            <w:r w:rsidRPr="000549B1">
              <w:rPr>
                <w:rFonts w:cs="Times New Roman"/>
                <w:bCs/>
              </w:rPr>
              <w:t>12.2</w:t>
            </w:r>
          </w:p>
        </w:tc>
        <w:tc>
          <w:tcPr>
            <w:tcW w:w="492" w:type="pct"/>
            <w:tcBorders>
              <w:top w:val="nil"/>
              <w:left w:val="nil"/>
              <w:bottom w:val="single" w:sz="4" w:space="0" w:color="auto"/>
              <w:right w:val="single" w:sz="4" w:space="0" w:color="auto"/>
            </w:tcBorders>
            <w:noWrap/>
            <w:vAlign w:val="center"/>
          </w:tcPr>
          <w:p w14:paraId="2098D6B6" w14:textId="329C29CF" w:rsidR="00FD127F" w:rsidRPr="000549B1" w:rsidRDefault="00FD127F" w:rsidP="0050757E">
            <w:pPr>
              <w:pStyle w:val="afff2"/>
              <w:rPr>
                <w:rFonts w:cs="Times New Roman"/>
                <w:bCs/>
              </w:rPr>
            </w:pPr>
            <w:r w:rsidRPr="000549B1">
              <w:rPr>
                <w:rFonts w:cs="Times New Roman"/>
                <w:bCs/>
              </w:rPr>
              <w:t>127.2</w:t>
            </w:r>
          </w:p>
        </w:tc>
        <w:tc>
          <w:tcPr>
            <w:tcW w:w="545" w:type="pct"/>
            <w:tcBorders>
              <w:top w:val="nil"/>
              <w:left w:val="nil"/>
              <w:bottom w:val="single" w:sz="4" w:space="0" w:color="auto"/>
              <w:right w:val="single" w:sz="4" w:space="0" w:color="auto"/>
            </w:tcBorders>
            <w:noWrap/>
            <w:vAlign w:val="center"/>
          </w:tcPr>
          <w:p w14:paraId="2271C5C2" w14:textId="77777777" w:rsidR="00FD127F" w:rsidRPr="000549B1" w:rsidRDefault="00FD127F" w:rsidP="0050757E">
            <w:pPr>
              <w:pStyle w:val="afff2"/>
              <w:rPr>
                <w:rFonts w:cs="Times New Roman"/>
                <w:bCs/>
              </w:rPr>
            </w:pPr>
            <w:r w:rsidRPr="000549B1">
              <w:rPr>
                <w:rFonts w:cs="Times New Roman"/>
                <w:bCs/>
              </w:rPr>
              <w:t>92.3</w:t>
            </w:r>
          </w:p>
        </w:tc>
        <w:tc>
          <w:tcPr>
            <w:tcW w:w="486" w:type="pct"/>
            <w:tcBorders>
              <w:top w:val="nil"/>
              <w:left w:val="nil"/>
              <w:bottom w:val="single" w:sz="4" w:space="0" w:color="auto"/>
              <w:right w:val="single" w:sz="4" w:space="0" w:color="auto"/>
            </w:tcBorders>
            <w:noWrap/>
            <w:vAlign w:val="center"/>
          </w:tcPr>
          <w:p w14:paraId="01BC5B74" w14:textId="2BFCBB46" w:rsidR="00FD127F" w:rsidRPr="000549B1" w:rsidRDefault="00FD127F" w:rsidP="0050757E">
            <w:pPr>
              <w:pStyle w:val="afff2"/>
              <w:rPr>
                <w:rFonts w:cs="Times New Roman"/>
                <w:bCs/>
              </w:rPr>
            </w:pPr>
            <w:r w:rsidRPr="000549B1">
              <w:rPr>
                <w:rFonts w:cs="Times New Roman"/>
                <w:bCs/>
              </w:rPr>
              <w:t>266.0</w:t>
            </w:r>
          </w:p>
        </w:tc>
      </w:tr>
      <w:tr w:rsidR="00FD127F" w:rsidRPr="000549B1" w14:paraId="1DB5E397" w14:textId="77777777" w:rsidTr="00FD127F">
        <w:trPr>
          <w:trHeight w:val="340"/>
        </w:trPr>
        <w:tc>
          <w:tcPr>
            <w:tcW w:w="1015" w:type="pct"/>
            <w:gridSpan w:val="2"/>
            <w:tcBorders>
              <w:top w:val="nil"/>
              <w:left w:val="single" w:sz="4" w:space="0" w:color="auto"/>
              <w:bottom w:val="single" w:sz="4" w:space="0" w:color="auto"/>
              <w:right w:val="single" w:sz="4" w:space="0" w:color="auto"/>
            </w:tcBorders>
            <w:shd w:val="clear" w:color="000000" w:fill="FFFFFF"/>
          </w:tcPr>
          <w:p w14:paraId="3B73C7E5" w14:textId="77777777" w:rsidR="00FD127F" w:rsidRPr="000549B1" w:rsidRDefault="00FD127F" w:rsidP="0050757E">
            <w:pPr>
              <w:pStyle w:val="afff2"/>
              <w:rPr>
                <w:rFonts w:cs="Times New Roman"/>
                <w:bCs/>
              </w:rPr>
            </w:pPr>
            <w:r w:rsidRPr="000549B1">
              <w:rPr>
                <w:rFonts w:cs="Times New Roman" w:hint="eastAsia"/>
                <w:bCs/>
              </w:rPr>
              <w:t>合计</w:t>
            </w:r>
          </w:p>
        </w:tc>
        <w:tc>
          <w:tcPr>
            <w:tcW w:w="492" w:type="pct"/>
            <w:tcBorders>
              <w:top w:val="nil"/>
              <w:left w:val="nil"/>
              <w:bottom w:val="single" w:sz="4" w:space="0" w:color="auto"/>
              <w:right w:val="single" w:sz="4" w:space="0" w:color="auto"/>
            </w:tcBorders>
            <w:noWrap/>
            <w:vAlign w:val="center"/>
          </w:tcPr>
          <w:p w14:paraId="63C87188" w14:textId="19A93470" w:rsidR="00FD127F" w:rsidRPr="000549B1" w:rsidRDefault="00FD127F" w:rsidP="0050757E">
            <w:pPr>
              <w:pStyle w:val="afff2"/>
              <w:rPr>
                <w:rFonts w:cs="Times New Roman"/>
                <w:bCs/>
              </w:rPr>
            </w:pPr>
            <w:r w:rsidRPr="000549B1">
              <w:rPr>
                <w:rFonts w:cs="Times New Roman"/>
                <w:bCs/>
              </w:rPr>
              <w:t>11.5</w:t>
            </w:r>
          </w:p>
        </w:tc>
        <w:tc>
          <w:tcPr>
            <w:tcW w:w="492" w:type="pct"/>
            <w:tcBorders>
              <w:top w:val="nil"/>
              <w:left w:val="nil"/>
              <w:bottom w:val="single" w:sz="4" w:space="0" w:color="auto"/>
              <w:right w:val="single" w:sz="4" w:space="0" w:color="auto"/>
            </w:tcBorders>
            <w:noWrap/>
            <w:vAlign w:val="center"/>
          </w:tcPr>
          <w:p w14:paraId="1BB86A57" w14:textId="0B4D7585" w:rsidR="00FD127F" w:rsidRPr="000549B1" w:rsidRDefault="00FD127F" w:rsidP="0050757E">
            <w:pPr>
              <w:pStyle w:val="afff2"/>
              <w:rPr>
                <w:rFonts w:cs="Times New Roman"/>
                <w:bCs/>
              </w:rPr>
            </w:pPr>
            <w:r w:rsidRPr="000549B1">
              <w:rPr>
                <w:rFonts w:cs="Times New Roman"/>
                <w:bCs/>
              </w:rPr>
              <w:t>76.0</w:t>
            </w:r>
          </w:p>
        </w:tc>
        <w:tc>
          <w:tcPr>
            <w:tcW w:w="494" w:type="pct"/>
            <w:tcBorders>
              <w:top w:val="nil"/>
              <w:left w:val="nil"/>
              <w:bottom w:val="single" w:sz="4" w:space="0" w:color="auto"/>
              <w:right w:val="single" w:sz="4" w:space="0" w:color="auto"/>
            </w:tcBorders>
            <w:noWrap/>
            <w:vAlign w:val="center"/>
          </w:tcPr>
          <w:p w14:paraId="0CD44FB8" w14:textId="35A23813" w:rsidR="00FD127F" w:rsidRPr="000549B1" w:rsidRDefault="00FD127F" w:rsidP="0050757E">
            <w:pPr>
              <w:pStyle w:val="afff2"/>
              <w:rPr>
                <w:rFonts w:cs="Times New Roman"/>
                <w:bCs/>
              </w:rPr>
            </w:pPr>
            <w:r w:rsidRPr="000549B1">
              <w:rPr>
                <w:rFonts w:cs="Times New Roman"/>
                <w:bCs/>
              </w:rPr>
              <w:t>87.5</w:t>
            </w:r>
          </w:p>
        </w:tc>
        <w:tc>
          <w:tcPr>
            <w:tcW w:w="492" w:type="pct"/>
            <w:tcBorders>
              <w:top w:val="nil"/>
              <w:left w:val="nil"/>
              <w:bottom w:val="single" w:sz="4" w:space="0" w:color="auto"/>
              <w:right w:val="single" w:sz="4" w:space="0" w:color="auto"/>
            </w:tcBorders>
            <w:noWrap/>
            <w:vAlign w:val="center"/>
          </w:tcPr>
          <w:p w14:paraId="4802FD97" w14:textId="2B4DF2B1" w:rsidR="00FD127F" w:rsidRPr="000549B1" w:rsidRDefault="00FD127F" w:rsidP="0050757E">
            <w:pPr>
              <w:pStyle w:val="afff2"/>
              <w:rPr>
                <w:rFonts w:cs="Times New Roman"/>
                <w:bCs/>
              </w:rPr>
            </w:pPr>
            <w:r w:rsidRPr="000549B1">
              <w:rPr>
                <w:rFonts w:cs="Times New Roman"/>
                <w:bCs/>
              </w:rPr>
              <w:t>22.1</w:t>
            </w:r>
          </w:p>
        </w:tc>
        <w:tc>
          <w:tcPr>
            <w:tcW w:w="492" w:type="pct"/>
            <w:tcBorders>
              <w:top w:val="nil"/>
              <w:left w:val="nil"/>
              <w:bottom w:val="single" w:sz="4" w:space="0" w:color="auto"/>
              <w:right w:val="single" w:sz="4" w:space="0" w:color="auto"/>
            </w:tcBorders>
            <w:noWrap/>
            <w:vAlign w:val="center"/>
          </w:tcPr>
          <w:p w14:paraId="35C76917" w14:textId="68643635" w:rsidR="00FD127F" w:rsidRPr="000549B1" w:rsidRDefault="00FD127F" w:rsidP="0050757E">
            <w:pPr>
              <w:pStyle w:val="afff2"/>
              <w:rPr>
                <w:rFonts w:cs="Times New Roman"/>
                <w:bCs/>
              </w:rPr>
            </w:pPr>
            <w:r w:rsidRPr="000549B1">
              <w:rPr>
                <w:rFonts w:cs="Times New Roman"/>
                <w:bCs/>
              </w:rPr>
              <w:t>21.2</w:t>
            </w:r>
          </w:p>
        </w:tc>
        <w:tc>
          <w:tcPr>
            <w:tcW w:w="492" w:type="pct"/>
            <w:tcBorders>
              <w:top w:val="nil"/>
              <w:left w:val="nil"/>
              <w:bottom w:val="single" w:sz="4" w:space="0" w:color="auto"/>
              <w:right w:val="single" w:sz="4" w:space="0" w:color="auto"/>
            </w:tcBorders>
            <w:noWrap/>
            <w:vAlign w:val="center"/>
          </w:tcPr>
          <w:p w14:paraId="3E176C06" w14:textId="67807B26" w:rsidR="00FD127F" w:rsidRPr="000549B1" w:rsidRDefault="00FD127F" w:rsidP="0050757E">
            <w:pPr>
              <w:pStyle w:val="afff2"/>
              <w:rPr>
                <w:rFonts w:cs="Times New Roman"/>
                <w:bCs/>
              </w:rPr>
            </w:pPr>
            <w:r w:rsidRPr="000549B1">
              <w:rPr>
                <w:rFonts w:cs="Times New Roman"/>
                <w:bCs/>
              </w:rPr>
              <w:t>6046.3</w:t>
            </w:r>
          </w:p>
        </w:tc>
        <w:tc>
          <w:tcPr>
            <w:tcW w:w="545" w:type="pct"/>
            <w:tcBorders>
              <w:top w:val="nil"/>
              <w:left w:val="nil"/>
              <w:bottom w:val="single" w:sz="4" w:space="0" w:color="auto"/>
              <w:right w:val="single" w:sz="4" w:space="0" w:color="auto"/>
            </w:tcBorders>
            <w:noWrap/>
            <w:vAlign w:val="center"/>
          </w:tcPr>
          <w:p w14:paraId="239805C3" w14:textId="47015039" w:rsidR="00FD127F" w:rsidRPr="000549B1" w:rsidRDefault="00FD127F" w:rsidP="0050757E">
            <w:pPr>
              <w:pStyle w:val="afff2"/>
              <w:rPr>
                <w:rFonts w:cs="Times New Roman"/>
                <w:bCs/>
              </w:rPr>
            </w:pPr>
            <w:r w:rsidRPr="000549B1">
              <w:rPr>
                <w:rFonts w:cs="Times New Roman"/>
                <w:bCs/>
              </w:rPr>
              <w:t>371.2</w:t>
            </w:r>
          </w:p>
        </w:tc>
        <w:tc>
          <w:tcPr>
            <w:tcW w:w="486" w:type="pct"/>
            <w:tcBorders>
              <w:top w:val="nil"/>
              <w:left w:val="nil"/>
              <w:bottom w:val="single" w:sz="4" w:space="0" w:color="auto"/>
              <w:right w:val="single" w:sz="4" w:space="0" w:color="auto"/>
            </w:tcBorders>
            <w:noWrap/>
            <w:vAlign w:val="center"/>
          </w:tcPr>
          <w:p w14:paraId="1A21CCAE" w14:textId="77777777" w:rsidR="00FD127F" w:rsidRPr="000549B1" w:rsidRDefault="00FD127F" w:rsidP="0050757E">
            <w:pPr>
              <w:pStyle w:val="afff2"/>
              <w:rPr>
                <w:rFonts w:cs="Times New Roman"/>
                <w:bCs/>
              </w:rPr>
            </w:pPr>
            <w:r w:rsidRPr="000549B1">
              <w:rPr>
                <w:rFonts w:cs="Times New Roman"/>
                <w:bCs/>
              </w:rPr>
              <w:t>6548.3</w:t>
            </w:r>
          </w:p>
        </w:tc>
      </w:tr>
    </w:tbl>
    <w:p w14:paraId="077D7983" w14:textId="77777777" w:rsidR="00054437" w:rsidRPr="000549B1" w:rsidRDefault="00054437">
      <w:pPr>
        <w:ind w:firstLine="480"/>
        <w:rPr>
          <w:b/>
        </w:rPr>
      </w:pPr>
    </w:p>
    <w:p w14:paraId="73AB5706" w14:textId="77777777" w:rsidR="00054437" w:rsidRPr="000549B1" w:rsidRDefault="00000000">
      <w:pPr>
        <w:pStyle w:val="4"/>
        <w:adjustRightInd w:val="0"/>
        <w:snapToGrid w:val="0"/>
        <w:spacing w:before="0" w:after="0" w:line="360" w:lineRule="auto"/>
        <w:rPr>
          <w:rFonts w:ascii="Times New Roman" w:eastAsia="黑体" w:hAnsi="Times New Roman"/>
          <w:bCs w:val="0"/>
        </w:rPr>
      </w:pPr>
      <w:r w:rsidRPr="000549B1">
        <w:rPr>
          <w:rFonts w:ascii="Times New Roman" w:eastAsia="黑体" w:hAnsi="Times New Roman"/>
          <w:bCs w:val="0"/>
        </w:rPr>
        <w:t>用水水平及用水效率分析</w:t>
      </w:r>
    </w:p>
    <w:p w14:paraId="0E937860" w14:textId="77777777" w:rsidR="00FD127F" w:rsidRPr="000549B1" w:rsidRDefault="00FD127F" w:rsidP="00FD127F">
      <w:pPr>
        <w:pStyle w:val="x"/>
      </w:pPr>
      <w:r w:rsidRPr="000549B1">
        <w:rPr>
          <w:rFonts w:hint="eastAsia"/>
        </w:rPr>
        <w:t>（</w:t>
      </w:r>
      <w:r w:rsidRPr="000549B1">
        <w:t>1</w:t>
      </w:r>
      <w:r w:rsidRPr="000549B1">
        <w:rPr>
          <w:rFonts w:hint="eastAsia"/>
        </w:rPr>
        <w:t>）人均用水量</w:t>
      </w:r>
    </w:p>
    <w:p w14:paraId="4A7DA2A9" w14:textId="6067FF8F" w:rsidR="00FD127F" w:rsidRPr="000549B1" w:rsidRDefault="00FD127F" w:rsidP="00FD127F">
      <w:pPr>
        <w:pStyle w:val="x"/>
      </w:pPr>
      <w:r w:rsidRPr="000549B1">
        <w:t>2024</w:t>
      </w:r>
      <w:r w:rsidRPr="000549B1">
        <w:rPr>
          <w:rFonts w:hint="eastAsia"/>
        </w:rPr>
        <w:t>年沙珠玉河流域总人口</w:t>
      </w:r>
      <w:r w:rsidRPr="000549B1">
        <w:t>5.6</w:t>
      </w:r>
      <w:r w:rsidRPr="000549B1">
        <w:rPr>
          <w:rFonts w:hint="eastAsia"/>
        </w:rPr>
        <w:t>万人，总用水量</w:t>
      </w:r>
      <w:r w:rsidRPr="000549B1">
        <w:t>6548</w:t>
      </w:r>
      <w:r w:rsidRPr="000549B1">
        <w:rPr>
          <w:rFonts w:hint="eastAsia"/>
        </w:rPr>
        <w:t>万</w:t>
      </w:r>
      <w:r w:rsidRPr="000549B1">
        <w:t>m</w:t>
      </w:r>
      <w:r w:rsidRPr="000549B1">
        <w:rPr>
          <w:vertAlign w:val="superscript"/>
        </w:rPr>
        <w:t>3</w:t>
      </w:r>
      <w:r w:rsidRPr="000549B1">
        <w:rPr>
          <w:rFonts w:hint="eastAsia"/>
        </w:rPr>
        <w:t>，人均用水量</w:t>
      </w:r>
      <w:r w:rsidRPr="000549B1">
        <w:t>1164m</w:t>
      </w:r>
      <w:r w:rsidRPr="000549B1">
        <w:rPr>
          <w:vertAlign w:val="superscript"/>
        </w:rPr>
        <w:t>3</w:t>
      </w:r>
      <w:r w:rsidRPr="000549B1">
        <w:t>/</w:t>
      </w:r>
      <w:r w:rsidRPr="000549B1">
        <w:rPr>
          <w:rFonts w:hint="eastAsia"/>
        </w:rPr>
        <w:t>人，高于海南州人均用水量</w:t>
      </w:r>
      <w:r w:rsidRPr="000549B1">
        <w:t>549m</w:t>
      </w:r>
      <w:r w:rsidRPr="000549B1">
        <w:rPr>
          <w:vertAlign w:val="superscript"/>
        </w:rPr>
        <w:t>3</w:t>
      </w:r>
      <w:r w:rsidRPr="000549B1">
        <w:t>/</w:t>
      </w:r>
      <w:r w:rsidRPr="000549B1">
        <w:rPr>
          <w:rFonts w:hint="eastAsia"/>
        </w:rPr>
        <w:t>人和青海省人均用水量</w:t>
      </w:r>
      <w:r w:rsidRPr="000549B1">
        <w:t>391m</w:t>
      </w:r>
      <w:r w:rsidRPr="000549B1">
        <w:rPr>
          <w:vertAlign w:val="superscript"/>
        </w:rPr>
        <w:t>3</w:t>
      </w:r>
      <w:r w:rsidRPr="000549B1">
        <w:t>/</w:t>
      </w:r>
      <w:r w:rsidRPr="000549B1">
        <w:rPr>
          <w:rFonts w:hint="eastAsia"/>
        </w:rPr>
        <w:t>人。</w:t>
      </w:r>
    </w:p>
    <w:p w14:paraId="7CFB08E1" w14:textId="77777777" w:rsidR="00054437" w:rsidRPr="000549B1" w:rsidRDefault="00000000">
      <w:pPr>
        <w:pStyle w:val="x"/>
      </w:pPr>
      <w:r w:rsidRPr="000549B1">
        <w:t>（</w:t>
      </w:r>
      <w:r w:rsidRPr="000549B1">
        <w:t>2</w:t>
      </w:r>
      <w:r w:rsidRPr="000549B1">
        <w:t>）生活用水指标</w:t>
      </w:r>
    </w:p>
    <w:p w14:paraId="4590924E" w14:textId="77777777" w:rsidR="00054437" w:rsidRPr="000549B1" w:rsidRDefault="00000000">
      <w:pPr>
        <w:pStyle w:val="x"/>
      </w:pPr>
      <w:r w:rsidRPr="000549B1">
        <w:t>沙珠玉河流域城镇生活用水定额</w:t>
      </w:r>
      <w:r w:rsidRPr="000549B1">
        <w:t>75L/</w:t>
      </w:r>
      <w:r w:rsidRPr="000549B1">
        <w:t>（人</w:t>
      </w:r>
      <w:r w:rsidRPr="000549B1">
        <w:t>·d</w:t>
      </w:r>
      <w:r w:rsidRPr="000549B1">
        <w:t>），城镇人均生活用水量低于海南州</w:t>
      </w:r>
      <w:r w:rsidRPr="000549B1">
        <w:t>100L/</w:t>
      </w:r>
      <w:r w:rsidRPr="000549B1">
        <w:t>（人</w:t>
      </w:r>
      <w:r w:rsidRPr="000549B1">
        <w:t>·d</w:t>
      </w:r>
      <w:r w:rsidRPr="000549B1">
        <w:t>）和青海省</w:t>
      </w:r>
      <w:r w:rsidRPr="000549B1">
        <w:t>105L/</w:t>
      </w:r>
      <w:r w:rsidRPr="000549B1">
        <w:t>（人</w:t>
      </w:r>
      <w:r w:rsidRPr="000549B1">
        <w:t>·d</w:t>
      </w:r>
      <w:r w:rsidRPr="000549B1">
        <w:t>）；流域内农村居民用水定额为</w:t>
      </w:r>
      <w:r w:rsidRPr="000549B1">
        <w:t>40L/</w:t>
      </w:r>
      <w:r w:rsidRPr="000549B1">
        <w:t>（人</w:t>
      </w:r>
      <w:r w:rsidRPr="000549B1">
        <w:t>·d</w:t>
      </w:r>
      <w:r w:rsidRPr="000549B1">
        <w:t>），农村人均生活用水量低于海南州的</w:t>
      </w:r>
      <w:r w:rsidRPr="000549B1">
        <w:t>55L/</w:t>
      </w:r>
      <w:r w:rsidRPr="000549B1">
        <w:t>（人</w:t>
      </w:r>
      <w:r w:rsidRPr="000549B1">
        <w:t>·d</w:t>
      </w:r>
      <w:r w:rsidRPr="000549B1">
        <w:t>）和青海省的</w:t>
      </w:r>
      <w:r w:rsidRPr="000549B1">
        <w:t>69L/</w:t>
      </w:r>
      <w:r w:rsidRPr="000549B1">
        <w:t>（人</w:t>
      </w:r>
      <w:r w:rsidRPr="000549B1">
        <w:t>·d</w:t>
      </w:r>
      <w:r w:rsidRPr="000549B1">
        <w:t>）。</w:t>
      </w:r>
    </w:p>
    <w:p w14:paraId="564989D5" w14:textId="77777777" w:rsidR="00054437" w:rsidRPr="000549B1" w:rsidRDefault="00000000">
      <w:pPr>
        <w:pStyle w:val="x"/>
      </w:pPr>
      <w:r w:rsidRPr="000549B1">
        <w:t>（</w:t>
      </w:r>
      <w:r w:rsidRPr="000549B1">
        <w:t>3</w:t>
      </w:r>
      <w:r w:rsidRPr="000549B1">
        <w:t>）万元工业增加值用水量</w:t>
      </w:r>
    </w:p>
    <w:p w14:paraId="5E39A5DD" w14:textId="77777777" w:rsidR="00054437" w:rsidRPr="000549B1" w:rsidRDefault="00000000">
      <w:pPr>
        <w:pStyle w:val="x"/>
      </w:pPr>
      <w:r w:rsidRPr="000549B1">
        <w:t>沙珠玉河流域工业以风电、光伏等为主，近年来发展迅速。由于光伏板冲洗等用水量较小，流域内工业万元增加值用水量为</w:t>
      </w:r>
      <w:r w:rsidRPr="000549B1">
        <w:t>7.9m</w:t>
      </w:r>
      <w:r w:rsidRPr="000549B1">
        <w:rPr>
          <w:vertAlign w:val="superscript"/>
        </w:rPr>
        <w:t>3</w:t>
      </w:r>
      <w:r w:rsidRPr="000549B1">
        <w:t>，略大于海南州的平均水平</w:t>
      </w:r>
      <w:r w:rsidRPr="000549B1">
        <w:t>7m</w:t>
      </w:r>
      <w:r w:rsidRPr="000549B1">
        <w:rPr>
          <w:vertAlign w:val="superscript"/>
        </w:rPr>
        <w:t>3</w:t>
      </w:r>
      <w:r w:rsidRPr="000549B1">
        <w:t>，小于青海省的平均水平</w:t>
      </w:r>
      <w:r w:rsidRPr="000549B1">
        <w:t>25m</w:t>
      </w:r>
      <w:r w:rsidRPr="000549B1">
        <w:rPr>
          <w:vertAlign w:val="superscript"/>
        </w:rPr>
        <w:t>3</w:t>
      </w:r>
      <w:r w:rsidRPr="000549B1">
        <w:t>。</w:t>
      </w:r>
    </w:p>
    <w:p w14:paraId="649D084B" w14:textId="77777777" w:rsidR="00054437" w:rsidRPr="000549B1" w:rsidRDefault="00000000">
      <w:pPr>
        <w:pStyle w:val="x"/>
      </w:pPr>
      <w:r w:rsidRPr="000549B1">
        <w:t>（</w:t>
      </w:r>
      <w:r w:rsidRPr="000549B1">
        <w:t>4</w:t>
      </w:r>
      <w:r w:rsidRPr="000549B1">
        <w:t>）农业灌溉定额</w:t>
      </w:r>
    </w:p>
    <w:p w14:paraId="77540C7F" w14:textId="77777777" w:rsidR="00054437" w:rsidRPr="000549B1" w:rsidRDefault="00000000">
      <w:pPr>
        <w:pStyle w:val="x"/>
      </w:pPr>
      <w:r w:rsidRPr="000549B1">
        <w:t>流域内农田主要种植青稞、油菜、小麦、豆类等，由于当地水可供水量不足，灌溉保证率不高，部分灌区只能进行非充分灌溉，现状农田灌溉亩均用水量</w:t>
      </w:r>
      <w:r w:rsidRPr="000549B1">
        <w:t>300m</w:t>
      </w:r>
      <w:r w:rsidRPr="000549B1">
        <w:rPr>
          <w:vertAlign w:val="superscript"/>
        </w:rPr>
        <w:t>3</w:t>
      </w:r>
      <w:r w:rsidRPr="000549B1">
        <w:t>/</w:t>
      </w:r>
      <w:r w:rsidRPr="000549B1">
        <w:t>亩，低于海南州的亩均灌溉水量</w:t>
      </w:r>
      <w:r w:rsidRPr="000549B1">
        <w:t>357m</w:t>
      </w:r>
      <w:r w:rsidRPr="000549B1">
        <w:rPr>
          <w:vertAlign w:val="superscript"/>
        </w:rPr>
        <w:t>3</w:t>
      </w:r>
      <w:r w:rsidRPr="000549B1">
        <w:t>/</w:t>
      </w:r>
      <w:r w:rsidRPr="000549B1">
        <w:t>亩和青海省的亩均灌溉水量</w:t>
      </w:r>
      <w:r w:rsidRPr="000549B1">
        <w:t>431m</w:t>
      </w:r>
      <w:r w:rsidRPr="000549B1">
        <w:rPr>
          <w:vertAlign w:val="superscript"/>
        </w:rPr>
        <w:t>3</w:t>
      </w:r>
      <w:r w:rsidRPr="000549B1">
        <w:t>/</w:t>
      </w:r>
      <w:r w:rsidRPr="000549B1">
        <w:t>亩。</w:t>
      </w:r>
    </w:p>
    <w:p w14:paraId="6E704983" w14:textId="77777777" w:rsidR="00054437" w:rsidRPr="000549B1" w:rsidRDefault="00000000">
      <w:pPr>
        <w:pStyle w:val="x"/>
      </w:pPr>
      <w:r w:rsidRPr="000549B1">
        <w:t>（</w:t>
      </w:r>
      <w:r w:rsidRPr="000549B1">
        <w:t>5</w:t>
      </w:r>
      <w:r w:rsidRPr="000549B1">
        <w:t>）灌溉水利用系数</w:t>
      </w:r>
    </w:p>
    <w:p w14:paraId="64C11DA6" w14:textId="77777777" w:rsidR="00054437" w:rsidRPr="000549B1" w:rsidRDefault="00000000">
      <w:pPr>
        <w:pStyle w:val="x"/>
      </w:pPr>
      <w:r w:rsidRPr="000549B1">
        <w:t>流域内灌区农田灌溉水利用系数为</w:t>
      </w:r>
      <w:r w:rsidRPr="000549B1">
        <w:t>0.467</w:t>
      </w:r>
      <w:r w:rsidRPr="000549B1">
        <w:t>，略低于海南州平均水平</w:t>
      </w:r>
      <w:r w:rsidRPr="000549B1">
        <w:t>0.474</w:t>
      </w:r>
      <w:r w:rsidRPr="000549B1">
        <w:t>，低于青海省平均水平</w:t>
      </w:r>
      <w:r w:rsidRPr="000549B1">
        <w:t>0.509</w:t>
      </w:r>
      <w:r w:rsidRPr="000549B1">
        <w:t>，低于青海省发布的</w:t>
      </w:r>
      <w:r w:rsidRPr="000549B1">
        <w:t>2025</w:t>
      </w:r>
      <w:r w:rsidRPr="000549B1">
        <w:t>年海南州用水总量及用水强度控制指标</w:t>
      </w:r>
      <w:r w:rsidRPr="000549B1">
        <w:t>0.488</w:t>
      </w:r>
      <w:r w:rsidRPr="000549B1">
        <w:t>。</w:t>
      </w:r>
    </w:p>
    <w:p w14:paraId="5F9B5B45" w14:textId="40DF1FD8" w:rsidR="00054437" w:rsidRPr="000549B1" w:rsidRDefault="00000000">
      <w:pPr>
        <w:pStyle w:val="4"/>
        <w:adjustRightInd w:val="0"/>
        <w:snapToGrid w:val="0"/>
        <w:spacing w:before="0" w:after="0" w:line="360" w:lineRule="auto"/>
        <w:rPr>
          <w:rFonts w:ascii="Times New Roman" w:eastAsia="黑体" w:hAnsi="Times New Roman"/>
          <w:bCs w:val="0"/>
        </w:rPr>
      </w:pPr>
      <w:r w:rsidRPr="000549B1">
        <w:rPr>
          <w:rFonts w:ascii="Times New Roman" w:eastAsia="黑体" w:hAnsi="Times New Roman"/>
          <w:bCs w:val="0"/>
        </w:rPr>
        <w:t>现状水资源开发利用程度</w:t>
      </w:r>
    </w:p>
    <w:p w14:paraId="66094A78" w14:textId="77777777" w:rsidR="00054437" w:rsidRPr="000549B1" w:rsidRDefault="00000000">
      <w:pPr>
        <w:pStyle w:val="x"/>
      </w:pPr>
      <w:r w:rsidRPr="000549B1">
        <w:t>沙珠玉河流域范围内现状以地表水供水为主，水源为沙珠玉河干支流。近年来随着水利投资力度的加大，使流域区内的水利工程得到维修、改善，并新建了一些保障民生的水利工程，形成了以蓄水、引水工程为主的农灌供水系统；引水管道、蓄水池、机井相结合的农牧区人畜饮水供水系统。现状流域内的部分水库工程已做除险加固工作，但仍有部分工程淤积较为严重，在灌溉期也无法保证下游农业灌溉用水需求。引水工程由于无水库进行调节，供水保证率不高，经常出现干旱缺水的情况。</w:t>
      </w:r>
    </w:p>
    <w:p w14:paraId="348E62BE" w14:textId="7B867D6E" w:rsidR="00FD127F" w:rsidRPr="000549B1" w:rsidRDefault="00FD127F" w:rsidP="00FD127F">
      <w:pPr>
        <w:pStyle w:val="x"/>
      </w:pPr>
      <w:r w:rsidRPr="000549B1">
        <w:rPr>
          <w:rFonts w:hint="eastAsia"/>
        </w:rPr>
        <w:t>水资源开发利用程度通常以当地地表水开发利用率、地下水开采率和水资源综合开发利用率三个指标来衡量。沙珠玉河流域多年平均地表水河川径流量为</w:t>
      </w:r>
      <w:r w:rsidRPr="000549B1">
        <w:t>13811</w:t>
      </w:r>
      <w:r w:rsidRPr="000549B1">
        <w:rPr>
          <w:rFonts w:hint="eastAsia"/>
        </w:rPr>
        <w:t>万</w:t>
      </w:r>
      <w:r w:rsidRPr="000549B1">
        <w:t>m</w:t>
      </w:r>
      <w:r w:rsidRPr="000549B1">
        <w:rPr>
          <w:vertAlign w:val="superscript"/>
        </w:rPr>
        <w:t>3</w:t>
      </w:r>
      <w:r w:rsidRPr="000549B1">
        <w:rPr>
          <w:rFonts w:hint="eastAsia"/>
        </w:rPr>
        <w:t>，扣除下泄生态水量及河道基流量，可利用量为</w:t>
      </w:r>
      <w:r w:rsidRPr="000549B1">
        <w:t>11049</w:t>
      </w:r>
      <w:r w:rsidRPr="000549B1">
        <w:rPr>
          <w:rFonts w:hint="eastAsia"/>
        </w:rPr>
        <w:t>万</w:t>
      </w:r>
      <w:r w:rsidRPr="000549B1">
        <w:t>m</w:t>
      </w:r>
      <w:r w:rsidRPr="000549B1">
        <w:rPr>
          <w:vertAlign w:val="superscript"/>
        </w:rPr>
        <w:t>3</w:t>
      </w:r>
      <w:r w:rsidRPr="000549B1">
        <w:rPr>
          <w:rFonts w:hint="eastAsia"/>
        </w:rPr>
        <w:t>，沙珠玉河流域</w:t>
      </w:r>
      <w:r w:rsidRPr="000549B1">
        <w:t>2024</w:t>
      </w:r>
      <w:r w:rsidRPr="000549B1">
        <w:rPr>
          <w:rFonts w:hint="eastAsia"/>
        </w:rPr>
        <w:t>年地表水实际供水量</w:t>
      </w:r>
      <w:r w:rsidRPr="000549B1">
        <w:t>6520</w:t>
      </w:r>
      <w:r w:rsidRPr="000549B1">
        <w:rPr>
          <w:rFonts w:hint="eastAsia"/>
        </w:rPr>
        <w:t>万</w:t>
      </w:r>
      <w:r w:rsidRPr="000549B1">
        <w:t>m</w:t>
      </w:r>
      <w:r w:rsidRPr="000549B1">
        <w:rPr>
          <w:vertAlign w:val="superscript"/>
        </w:rPr>
        <w:t>3</w:t>
      </w:r>
      <w:r w:rsidRPr="000549B1">
        <w:rPr>
          <w:rFonts w:hint="eastAsia"/>
        </w:rPr>
        <w:t>，按地表水河川径流量计算的地表水开发利用率为</w:t>
      </w:r>
      <w:r w:rsidRPr="000549B1">
        <w:t>47%</w:t>
      </w:r>
      <w:r w:rsidRPr="000549B1">
        <w:rPr>
          <w:rFonts w:hint="eastAsia"/>
        </w:rPr>
        <w:t>，按可利用量计算的地表水开发利用率为</w:t>
      </w:r>
      <w:r w:rsidRPr="000549B1">
        <w:t>59%</w:t>
      </w:r>
      <w:r w:rsidRPr="000549B1">
        <w:rPr>
          <w:rFonts w:hint="eastAsia"/>
        </w:rPr>
        <w:t>，地表水开发利用程度较高。</w:t>
      </w:r>
    </w:p>
    <w:p w14:paraId="556EF122" w14:textId="5DF5BABB" w:rsidR="00FD127F" w:rsidRPr="000549B1" w:rsidRDefault="00FD127F" w:rsidP="00FD127F">
      <w:pPr>
        <w:pStyle w:val="x"/>
      </w:pPr>
      <w:r w:rsidRPr="000549B1">
        <w:rPr>
          <w:rFonts w:hint="eastAsia"/>
        </w:rPr>
        <w:t>根据《海南州共和县水资源调查评价》《共和县地下水保护利用规划》等成果，沙珠玉河流域地下水可开采量及可利用量约为</w:t>
      </w:r>
      <w:r w:rsidRPr="000549B1">
        <w:t>1300</w:t>
      </w:r>
      <w:r w:rsidRPr="000549B1">
        <w:rPr>
          <w:rFonts w:hint="eastAsia"/>
        </w:rPr>
        <w:t>万</w:t>
      </w:r>
      <w:r w:rsidRPr="000549B1">
        <w:t>m</w:t>
      </w:r>
      <w:r w:rsidRPr="000549B1">
        <w:rPr>
          <w:vertAlign w:val="superscript"/>
        </w:rPr>
        <w:t>3</w:t>
      </w:r>
      <w:r w:rsidRPr="000549B1">
        <w:rPr>
          <w:rFonts w:hint="eastAsia"/>
        </w:rPr>
        <w:t>，</w:t>
      </w:r>
      <w:r w:rsidRPr="000549B1">
        <w:t>2024</w:t>
      </w:r>
      <w:r w:rsidRPr="000549B1">
        <w:rPr>
          <w:rFonts w:hint="eastAsia"/>
        </w:rPr>
        <w:t>年地下水实际开采量为</w:t>
      </w:r>
      <w:r w:rsidRPr="000549B1">
        <w:t>753</w:t>
      </w:r>
      <w:r w:rsidRPr="000549B1">
        <w:rPr>
          <w:rFonts w:hint="eastAsia"/>
        </w:rPr>
        <w:t>万</w:t>
      </w:r>
      <w:r w:rsidRPr="000549B1">
        <w:t>m</w:t>
      </w:r>
      <w:r w:rsidRPr="000549B1">
        <w:rPr>
          <w:vertAlign w:val="superscript"/>
        </w:rPr>
        <w:t>3</w:t>
      </w:r>
      <w:r w:rsidRPr="000549B1">
        <w:rPr>
          <w:rFonts w:hint="eastAsia"/>
        </w:rPr>
        <w:t>（含向流域外共和县城供水量</w:t>
      </w:r>
      <w:r w:rsidRPr="000549B1">
        <w:t>725</w:t>
      </w:r>
      <w:r w:rsidRPr="000549B1">
        <w:rPr>
          <w:rFonts w:hint="eastAsia"/>
        </w:rPr>
        <w:t>万</w:t>
      </w:r>
      <w:r w:rsidRPr="000549B1">
        <w:t>m</w:t>
      </w:r>
      <w:r w:rsidRPr="000549B1">
        <w:rPr>
          <w:vertAlign w:val="superscript"/>
        </w:rPr>
        <w:t>3</w:t>
      </w:r>
      <w:r w:rsidRPr="000549B1">
        <w:rPr>
          <w:rFonts w:hint="eastAsia"/>
        </w:rPr>
        <w:t>），地下水开采率为</w:t>
      </w:r>
      <w:r w:rsidRPr="000549B1">
        <w:t>58%</w:t>
      </w:r>
      <w:r w:rsidRPr="000549B1">
        <w:rPr>
          <w:rFonts w:hint="eastAsia"/>
        </w:rPr>
        <w:t>。</w:t>
      </w:r>
    </w:p>
    <w:p w14:paraId="6B88E7B8" w14:textId="77777777" w:rsidR="00054437" w:rsidRPr="000549B1" w:rsidRDefault="00000000">
      <w:pPr>
        <w:pStyle w:val="4"/>
        <w:adjustRightInd w:val="0"/>
        <w:snapToGrid w:val="0"/>
        <w:spacing w:before="0" w:after="0" w:line="360" w:lineRule="auto"/>
        <w:rPr>
          <w:rFonts w:ascii="Times New Roman" w:eastAsia="黑体" w:hAnsi="Times New Roman"/>
          <w:bCs w:val="0"/>
        </w:rPr>
      </w:pPr>
      <w:r w:rsidRPr="000549B1">
        <w:rPr>
          <w:rFonts w:ascii="Times New Roman" w:eastAsia="黑体" w:hAnsi="Times New Roman"/>
          <w:bCs w:val="0"/>
        </w:rPr>
        <w:t>水资源开发利用存在问题</w:t>
      </w:r>
    </w:p>
    <w:p w14:paraId="7E2E7221" w14:textId="77777777" w:rsidR="00054437" w:rsidRPr="000549B1" w:rsidRDefault="00000000">
      <w:pPr>
        <w:pStyle w:val="x"/>
      </w:pPr>
      <w:r w:rsidRPr="000549B1">
        <w:t>（</w:t>
      </w:r>
      <w:r w:rsidRPr="000549B1">
        <w:t>1</w:t>
      </w:r>
      <w:r w:rsidRPr="000549B1">
        <w:t>）当地水资源不足以支撑国民经济用水需求</w:t>
      </w:r>
    </w:p>
    <w:p w14:paraId="56DD5898" w14:textId="77777777" w:rsidR="00054437" w:rsidRPr="000549B1" w:rsidRDefault="00000000">
      <w:pPr>
        <w:pStyle w:val="x"/>
      </w:pPr>
      <w:r w:rsidRPr="000549B1">
        <w:t>根据《青海省人民政府关于进一步加强地下水管理工作的意见》（青政〔</w:t>
      </w:r>
      <w:r w:rsidRPr="000549B1">
        <w:t>2024</w:t>
      </w:r>
      <w:r w:rsidRPr="000549B1">
        <w:t>〕</w:t>
      </w:r>
      <w:r w:rsidRPr="000549B1">
        <w:t>17</w:t>
      </w:r>
      <w:r w:rsidRPr="000549B1">
        <w:t>号），</w:t>
      </w:r>
      <w:r w:rsidRPr="000549B1">
        <w:t>2030</w:t>
      </w:r>
      <w:r w:rsidRPr="000549B1">
        <w:t>年共和县、兴海县地下水取水总量分别控制在</w:t>
      </w:r>
      <w:r w:rsidRPr="000549B1">
        <w:t>2100</w:t>
      </w:r>
      <w:r w:rsidRPr="000549B1">
        <w:t>万</w:t>
      </w:r>
      <w:r w:rsidRPr="000549B1">
        <w:t>m</w:t>
      </w:r>
      <w:r w:rsidRPr="000549B1">
        <w:rPr>
          <w:vertAlign w:val="superscript"/>
        </w:rPr>
        <w:t>3</w:t>
      </w:r>
      <w:r w:rsidRPr="000549B1">
        <w:t>、</w:t>
      </w:r>
      <w:r w:rsidRPr="000549B1">
        <w:t>550</w:t>
      </w:r>
      <w:r w:rsidRPr="000549B1">
        <w:t>万</w:t>
      </w:r>
      <w:r w:rsidRPr="000549B1">
        <w:t>m</w:t>
      </w:r>
      <w:r w:rsidRPr="000549B1">
        <w:rPr>
          <w:vertAlign w:val="superscript"/>
        </w:rPr>
        <w:t>3</w:t>
      </w:r>
      <w:r w:rsidRPr="000549B1">
        <w:t>，其中平原区分别控制在</w:t>
      </w:r>
      <w:r w:rsidRPr="000549B1">
        <w:t>1750</w:t>
      </w:r>
      <w:r w:rsidRPr="000549B1">
        <w:t>万</w:t>
      </w:r>
      <w:r w:rsidRPr="000549B1">
        <w:t>m</w:t>
      </w:r>
      <w:r w:rsidRPr="000549B1">
        <w:rPr>
          <w:vertAlign w:val="superscript"/>
        </w:rPr>
        <w:t>3</w:t>
      </w:r>
      <w:r w:rsidRPr="000549B1">
        <w:t>、</w:t>
      </w:r>
      <w:r w:rsidRPr="000549B1">
        <w:t>30</w:t>
      </w:r>
      <w:r w:rsidRPr="000549B1">
        <w:t>万</w:t>
      </w:r>
      <w:r w:rsidRPr="000549B1">
        <w:t>m</w:t>
      </w:r>
      <w:r w:rsidRPr="000549B1">
        <w:rPr>
          <w:vertAlign w:val="superscript"/>
        </w:rPr>
        <w:t>3</w:t>
      </w:r>
      <w:r w:rsidRPr="000549B1">
        <w:t>，沙珠玉河流域内地下水可开采量约</w:t>
      </w:r>
      <w:r w:rsidRPr="000549B1">
        <w:t>1300</w:t>
      </w:r>
      <w:r w:rsidRPr="000549B1">
        <w:t>万</w:t>
      </w:r>
      <w:r w:rsidRPr="000549B1">
        <w:t>m</w:t>
      </w:r>
      <w:r w:rsidRPr="000549B1">
        <w:rPr>
          <w:vertAlign w:val="superscript"/>
        </w:rPr>
        <w:t>3</w:t>
      </w:r>
      <w:r w:rsidRPr="000549B1">
        <w:t>。沙珠玉河年平均流量</w:t>
      </w:r>
      <w:r w:rsidRPr="000549B1">
        <w:t>1.33m</w:t>
      </w:r>
      <w:r w:rsidRPr="000549B1">
        <w:rPr>
          <w:vertAlign w:val="superscript"/>
        </w:rPr>
        <w:t>3</w:t>
      </w:r>
      <w:r w:rsidRPr="000549B1">
        <w:t>/s</w:t>
      </w:r>
      <w:r w:rsidRPr="000549B1">
        <w:t>，平均径流量</w:t>
      </w:r>
      <w:r w:rsidRPr="000549B1">
        <w:t>0.42</w:t>
      </w:r>
      <w:r w:rsidRPr="000549B1">
        <w:t>亿</w:t>
      </w:r>
      <w:r w:rsidRPr="000549B1">
        <w:t>m</w:t>
      </w:r>
      <w:r w:rsidRPr="000549B1">
        <w:rPr>
          <w:vertAlign w:val="superscript"/>
        </w:rPr>
        <w:t>3</w:t>
      </w:r>
      <w:r w:rsidRPr="000549B1">
        <w:t>，沙珠玉河流域地表水资源总量</w:t>
      </w:r>
      <w:r w:rsidRPr="000549B1">
        <w:t>1.38</w:t>
      </w:r>
      <w:r w:rsidRPr="000549B1">
        <w:t>亿</w:t>
      </w:r>
      <w:r w:rsidRPr="000549B1">
        <w:t>m</w:t>
      </w:r>
      <w:r w:rsidRPr="000549B1">
        <w:rPr>
          <w:vertAlign w:val="superscript"/>
        </w:rPr>
        <w:t>3</w:t>
      </w:r>
      <w:r w:rsidRPr="000549B1">
        <w:t>。规划水平年流域内总需水量</w:t>
      </w:r>
      <w:r w:rsidRPr="000549B1">
        <w:t>1.7</w:t>
      </w:r>
      <w:r w:rsidRPr="000549B1">
        <w:t>亿</w:t>
      </w:r>
      <w:r w:rsidRPr="000549B1">
        <w:t>m</w:t>
      </w:r>
      <w:r w:rsidRPr="000549B1">
        <w:rPr>
          <w:vertAlign w:val="superscript"/>
        </w:rPr>
        <w:t>3</w:t>
      </w:r>
      <w:r w:rsidRPr="000549B1">
        <w:t>，当地水资源矛盾较为突出，不足以支撑国民经济用水需求。</w:t>
      </w:r>
    </w:p>
    <w:p w14:paraId="4BF9951B" w14:textId="30FF5DB8" w:rsidR="00FD127F" w:rsidRPr="000549B1" w:rsidRDefault="00FD127F" w:rsidP="00FD127F">
      <w:pPr>
        <w:pStyle w:val="x"/>
      </w:pPr>
      <w:r w:rsidRPr="000549B1">
        <w:rPr>
          <w:rFonts w:hint="eastAsia"/>
        </w:rPr>
        <w:t>（</w:t>
      </w:r>
      <w:r w:rsidRPr="000549B1">
        <w:t>2</w:t>
      </w:r>
      <w:r w:rsidRPr="000549B1">
        <w:rPr>
          <w:rFonts w:hint="eastAsia"/>
        </w:rPr>
        <w:t>）灌溉供水水源不足，灌溉保证率低</w:t>
      </w:r>
    </w:p>
    <w:p w14:paraId="40D9FE55" w14:textId="370989C0" w:rsidR="00FD127F" w:rsidRPr="000549B1" w:rsidRDefault="00FD127F" w:rsidP="00FD127F">
      <w:pPr>
        <w:pStyle w:val="x"/>
      </w:pPr>
      <w:r w:rsidRPr="000549B1">
        <w:rPr>
          <w:rFonts w:hint="eastAsia"/>
        </w:rPr>
        <w:t>沙珠玉河流域以传统畜牧业和种植业为主，有统计数据的灌区</w:t>
      </w:r>
      <w:r w:rsidRPr="000549B1">
        <w:t>22</w:t>
      </w:r>
      <w:r w:rsidRPr="000549B1">
        <w:rPr>
          <w:rFonts w:hint="eastAsia"/>
        </w:rPr>
        <w:t>处，现状有效灌溉面积</w:t>
      </w:r>
      <w:r w:rsidRPr="000549B1">
        <w:t>40.6</w:t>
      </w:r>
      <w:r w:rsidRPr="000549B1">
        <w:rPr>
          <w:rFonts w:hint="eastAsia"/>
        </w:rPr>
        <w:t>万亩，其中耕地有效灌溉面积</w:t>
      </w:r>
      <w:r w:rsidRPr="000549B1">
        <w:t>34.5</w:t>
      </w:r>
      <w:r w:rsidRPr="000549B1">
        <w:rPr>
          <w:rFonts w:hint="eastAsia"/>
        </w:rPr>
        <w:t>万亩，林地</w:t>
      </w:r>
      <w:r w:rsidRPr="000549B1">
        <w:t>6.1</w:t>
      </w:r>
      <w:r w:rsidRPr="000549B1">
        <w:rPr>
          <w:rFonts w:hint="eastAsia"/>
        </w:rPr>
        <w:t>万亩。由于自然条件及经济条件的限制，流域内灌区存在田间配套差、渠道冲毁、冻损破坏、渗漏严重等问题，且大部分灌区采用大水漫灌方式，灌溉方式落后，管理粗放，现状农田灌溉水利用系数仅</w:t>
      </w:r>
      <w:r w:rsidRPr="000549B1">
        <w:t>0.467</w:t>
      </w:r>
      <w:r w:rsidRPr="000549B1">
        <w:rPr>
          <w:rFonts w:hint="eastAsia"/>
        </w:rPr>
        <w:t>左右。</w:t>
      </w:r>
    </w:p>
    <w:p w14:paraId="05FECE56" w14:textId="77777777" w:rsidR="00FD127F" w:rsidRPr="000549B1" w:rsidRDefault="00FD127F" w:rsidP="00FD127F">
      <w:pPr>
        <w:pStyle w:val="x"/>
      </w:pPr>
      <w:r w:rsidRPr="000549B1">
        <w:rPr>
          <w:rFonts w:hint="eastAsia"/>
        </w:rPr>
        <w:t>流域内现状实灌面积约</w:t>
      </w:r>
      <w:r w:rsidRPr="000549B1">
        <w:t>21</w:t>
      </w:r>
      <w:r w:rsidRPr="000549B1">
        <w:rPr>
          <w:rFonts w:hint="eastAsia"/>
        </w:rPr>
        <w:t>万亩，实灌率仅</w:t>
      </w:r>
      <w:r w:rsidRPr="000549B1">
        <w:t>52%</w:t>
      </w:r>
      <w:r w:rsidRPr="000549B1">
        <w:rPr>
          <w:rFonts w:hint="eastAsia"/>
        </w:rPr>
        <w:t>。部分灌溉供水工程供水保证率较低，供水能力不足，尤其在旱季供水矛盾十分突出。如切吉水库位于切吉河上，是一座以灌溉为主、兼顾当地人畜供水的小（</w:t>
      </w:r>
      <w:r w:rsidRPr="000549B1">
        <w:t>1</w:t>
      </w:r>
      <w:r w:rsidRPr="000549B1">
        <w:rPr>
          <w:rFonts w:hint="eastAsia"/>
        </w:rPr>
        <w:t>）型水库，主要为塘格木镇的切吉灌区提供灌溉水源。切吉灌区有效灌溉面积</w:t>
      </w:r>
      <w:r w:rsidRPr="000549B1">
        <w:t>16.85</w:t>
      </w:r>
      <w:r w:rsidRPr="000549B1">
        <w:rPr>
          <w:rFonts w:hint="eastAsia"/>
        </w:rPr>
        <w:t>万亩，由于水量不足且调节能力有限，现状年实际灌溉面积仅约</w:t>
      </w:r>
      <w:r w:rsidRPr="000549B1">
        <w:t>6</w:t>
      </w:r>
      <w:r w:rsidRPr="000549B1">
        <w:rPr>
          <w:rFonts w:hint="eastAsia"/>
        </w:rPr>
        <w:t>万亩，属于资源型缺水和工程型缺水并存，远不能满足灌区灌溉需求。</w:t>
      </w:r>
    </w:p>
    <w:p w14:paraId="16E83832" w14:textId="77777777" w:rsidR="00054437" w:rsidRPr="000549B1" w:rsidRDefault="00000000">
      <w:pPr>
        <w:pStyle w:val="x"/>
      </w:pPr>
      <w:r w:rsidRPr="000549B1">
        <w:t>（</w:t>
      </w:r>
      <w:r w:rsidRPr="000549B1">
        <w:t>3</w:t>
      </w:r>
      <w:r w:rsidRPr="000549B1">
        <w:t>）部分村镇供水工程水源不稳定，人畜饮水存在薄弱环节</w:t>
      </w:r>
    </w:p>
    <w:p w14:paraId="65C0963A" w14:textId="77777777" w:rsidR="00054437" w:rsidRPr="000549B1" w:rsidRDefault="00000000">
      <w:pPr>
        <w:pStyle w:val="x"/>
      </w:pPr>
      <w:r w:rsidRPr="000549B1">
        <w:t>沙珠玉河流域内人畜饮水主要依赖小型水库、山泉水和地下水。流域内河流均为季节性河流，沙珠玉河、切吉河等水库供水水源调蓄能力小，枯水期供水量不足。如塘格木镇的主要供水来源是切吉水库，灌溉用水高峰期农业灌溉需求量剧增，导致部分农户和居民无法及时获得用水保障；河卡镇引水工程受制于季节性河流的水量波动，尤其在枯水期供水保证率较低，难以满足农村居民的持续性用水需求。</w:t>
      </w:r>
    </w:p>
    <w:p w14:paraId="28501486" w14:textId="77777777" w:rsidR="00054437" w:rsidRPr="000549B1" w:rsidRDefault="00000000">
      <w:pPr>
        <w:pStyle w:val="x"/>
      </w:pPr>
      <w:r w:rsidRPr="000549B1">
        <w:t>（</w:t>
      </w:r>
      <w:r w:rsidRPr="000549B1">
        <w:t>4</w:t>
      </w:r>
      <w:r w:rsidRPr="000549B1">
        <w:t>）用水管理水平有待进一步提高</w:t>
      </w:r>
    </w:p>
    <w:p w14:paraId="23303046" w14:textId="77777777" w:rsidR="00054437" w:rsidRPr="000549B1" w:rsidRDefault="00000000">
      <w:pPr>
        <w:pStyle w:val="x"/>
      </w:pPr>
      <w:r w:rsidRPr="000549B1">
        <w:t>沙珠玉河流域各乡镇虽然建立了管理机构，但缺乏科学的管理机制。管理设施配套不够完善，管理机构不够健全，灌溉管理比较薄弱，仅限于测、配水工作，与先进灌区相比差距较大。目前部分渠道及管道均无量水设施，仅按照灌溉面积收取水费。同时灌溉管理人员专业水平参差不齐，缺乏管理技术，缺少灌溉计划，不能按各灌区需水适量灌溉，造成水资源利用不充分。</w:t>
      </w:r>
    </w:p>
    <w:p w14:paraId="0AB8ADDF" w14:textId="77777777" w:rsidR="00054437" w:rsidRPr="000549B1" w:rsidRDefault="00000000">
      <w:pPr>
        <w:pStyle w:val="zhang3"/>
        <w:spacing w:before="156" w:after="156"/>
      </w:pPr>
      <w:r w:rsidRPr="000549B1">
        <w:t>生态流量保障程度</w:t>
      </w:r>
    </w:p>
    <w:p w14:paraId="69F2FF94" w14:textId="77777777" w:rsidR="00054437" w:rsidRPr="000549B1" w:rsidRDefault="00000000">
      <w:pPr>
        <w:pStyle w:val="x"/>
      </w:pPr>
      <w:r w:rsidRPr="000549B1">
        <w:t>现状沙珠玉河流域范围内已建蓄水工程共有中小型水库</w:t>
      </w:r>
      <w:r w:rsidRPr="000549B1">
        <w:t>11</w:t>
      </w:r>
      <w:r w:rsidRPr="000549B1">
        <w:t>座，其中中型水库</w:t>
      </w:r>
      <w:r w:rsidRPr="000549B1">
        <w:t>2</w:t>
      </w:r>
      <w:r w:rsidRPr="000549B1">
        <w:t>座，小（</w:t>
      </w:r>
      <w:r w:rsidRPr="000549B1">
        <w:t>1</w:t>
      </w:r>
      <w:r w:rsidRPr="000549B1">
        <w:t>）型水库</w:t>
      </w:r>
      <w:r w:rsidRPr="000549B1">
        <w:t>4</w:t>
      </w:r>
      <w:r w:rsidRPr="000549B1">
        <w:t>座，小（</w:t>
      </w:r>
      <w:r w:rsidRPr="000549B1">
        <w:t>2</w:t>
      </w:r>
      <w:r w:rsidRPr="000549B1">
        <w:t>）型水库</w:t>
      </w:r>
      <w:r w:rsidRPr="000549B1">
        <w:t>5</w:t>
      </w:r>
      <w:r w:rsidRPr="000549B1">
        <w:t>座。根据《青海省小型水库建设规划（修编报告）》，沙珠玉河流域范围内规划建设</w:t>
      </w:r>
      <w:r w:rsidRPr="000549B1">
        <w:t>5</w:t>
      </w:r>
      <w:r w:rsidRPr="000549B1">
        <w:t>座小型水库，分别为切吉乡的羊清沟、鹿龙沟、叉叉沟、直亥买水库和塘格木镇的哈干水库，规划水平年水库建成后可替代现状保证率不高的引水灌溉工程，目前哈干水库已完成可研报告，其他水库正在开展前期工作。另外流域内规划建设三滩引水生态治理一期工程，建设大河坝取水口、输水洞和大河坝水库，联合调节后向流域内供水。</w:t>
      </w:r>
    </w:p>
    <w:p w14:paraId="39A121F7" w14:textId="509E116D" w:rsidR="00FD127F" w:rsidRPr="000549B1" w:rsidRDefault="00FD127F" w:rsidP="00FD127F">
      <w:pPr>
        <w:pStyle w:val="x"/>
      </w:pPr>
      <w:bookmarkStart w:id="203" w:name="OLE_LINK38"/>
      <w:bookmarkStart w:id="204" w:name="_Toc534383289"/>
      <w:bookmarkStart w:id="205" w:name="_Toc14831"/>
      <w:bookmarkStart w:id="206" w:name="_Toc9144586"/>
      <w:bookmarkStart w:id="207" w:name="_Toc208583917"/>
      <w:r w:rsidRPr="000549B1">
        <w:rPr>
          <w:rFonts w:hint="eastAsia"/>
        </w:rPr>
        <w:t>现状已建水库由于建设年代较早，大部分水库未留专门的生态水量泄水通道，考虑到未来对水生态环境保护要求的提高，本次进行水库可供水量分析计算时考虑预留坝下生态流量。根据各水库来水情况，水库全年生态流量按多年平均流量的</w:t>
      </w:r>
      <w:r w:rsidRPr="000549B1">
        <w:t>20%</w:t>
      </w:r>
      <w:r w:rsidRPr="000549B1">
        <w:rPr>
          <w:rFonts w:hint="eastAsia"/>
        </w:rPr>
        <w:t>考虑。</w:t>
      </w:r>
      <w:bookmarkStart w:id="208" w:name="_Toc9144581"/>
      <w:bookmarkStart w:id="209" w:name="_Toc28060"/>
      <w:bookmarkStart w:id="210" w:name="_Toc208583916"/>
      <w:bookmarkStart w:id="211" w:name="_Hlk527062330"/>
    </w:p>
    <w:p w14:paraId="35B79F00" w14:textId="77777777" w:rsidR="00054437" w:rsidRPr="000549B1" w:rsidRDefault="00000000">
      <w:pPr>
        <w:pStyle w:val="2"/>
        <w:rPr>
          <w:rFonts w:ascii="Times New Roman" w:hAnsi="Times New Roman"/>
        </w:rPr>
      </w:pPr>
      <w:bookmarkStart w:id="212" w:name="_Toc216107011"/>
      <w:bookmarkEnd w:id="203"/>
      <w:bookmarkEnd w:id="208"/>
      <w:bookmarkEnd w:id="209"/>
      <w:bookmarkEnd w:id="210"/>
      <w:bookmarkEnd w:id="211"/>
      <w:r w:rsidRPr="000549B1">
        <w:rPr>
          <w:rFonts w:ascii="Times New Roman" w:hAnsi="Times New Roman"/>
        </w:rPr>
        <w:t>水环境现状调查与评价</w:t>
      </w:r>
      <w:bookmarkEnd w:id="212"/>
    </w:p>
    <w:p w14:paraId="605B83A9" w14:textId="77777777" w:rsidR="00054437" w:rsidRPr="000549B1" w:rsidRDefault="00000000">
      <w:pPr>
        <w:pStyle w:val="zhang3"/>
        <w:spacing w:before="156" w:after="156"/>
      </w:pPr>
      <w:r w:rsidRPr="000549B1">
        <w:t>水功能区划</w:t>
      </w:r>
    </w:p>
    <w:p w14:paraId="31D6E13B" w14:textId="6F8CD131" w:rsidR="00054437" w:rsidRPr="000549B1" w:rsidRDefault="00000000">
      <w:pPr>
        <w:spacing w:line="360" w:lineRule="auto"/>
        <w:ind w:firstLineChars="200" w:firstLine="480"/>
        <w:rPr>
          <w:kern w:val="0"/>
          <w:sz w:val="24"/>
          <w:szCs w:val="24"/>
        </w:rPr>
      </w:pPr>
      <w:r w:rsidRPr="000549B1">
        <w:rPr>
          <w:kern w:val="0"/>
          <w:sz w:val="24"/>
          <w:szCs w:val="24"/>
        </w:rPr>
        <w:t>根据《青海省水功能区划（</w:t>
      </w:r>
      <w:r w:rsidRPr="000549B1">
        <w:rPr>
          <w:kern w:val="0"/>
          <w:sz w:val="24"/>
          <w:szCs w:val="24"/>
        </w:rPr>
        <w:t>2015-2020</w:t>
      </w:r>
      <w:r w:rsidRPr="000549B1">
        <w:rPr>
          <w:kern w:val="0"/>
          <w:sz w:val="24"/>
          <w:szCs w:val="24"/>
        </w:rPr>
        <w:t>年）》，沙珠玉河划分的一级水功能区为沙珠玉共和开发利用区，对应二级水功能区为沙珠玉共和农业用水区，起止断面为源头至达连海湖，水质目标为</w:t>
      </w:r>
      <w:r w:rsidRPr="000549B1">
        <w:rPr>
          <w:kern w:val="0"/>
          <w:sz w:val="24"/>
          <w:szCs w:val="24"/>
        </w:rPr>
        <w:t>Ⅲ</w:t>
      </w:r>
      <w:r w:rsidRPr="000549B1">
        <w:rPr>
          <w:kern w:val="0"/>
          <w:sz w:val="24"/>
          <w:szCs w:val="24"/>
        </w:rPr>
        <w:t>类。水质执行《地表水环境质量标准》（</w:t>
      </w:r>
      <w:r w:rsidRPr="000549B1">
        <w:rPr>
          <w:kern w:val="0"/>
          <w:sz w:val="24"/>
          <w:szCs w:val="24"/>
        </w:rPr>
        <w:t>GB3838-2002</w:t>
      </w:r>
      <w:r w:rsidRPr="000549B1">
        <w:rPr>
          <w:kern w:val="0"/>
          <w:sz w:val="24"/>
          <w:szCs w:val="24"/>
        </w:rPr>
        <w:t>）中的</w:t>
      </w:r>
      <w:r w:rsidRPr="000549B1">
        <w:rPr>
          <w:kern w:val="0"/>
          <w:sz w:val="24"/>
          <w:szCs w:val="24"/>
        </w:rPr>
        <w:t>Ⅲ</w:t>
      </w:r>
      <w:r w:rsidRPr="000549B1">
        <w:rPr>
          <w:kern w:val="0"/>
          <w:sz w:val="24"/>
          <w:szCs w:val="24"/>
        </w:rPr>
        <w:t>类水质标准。沙珠玉河的主要支流切吉河、直亥买沟等均未划分水功能区。沙珠玉河流域水功能区划成果详见</w:t>
      </w:r>
      <w:r w:rsidR="00372953" w:rsidRPr="00372953">
        <w:rPr>
          <w:kern w:val="0"/>
          <w:sz w:val="24"/>
          <w:szCs w:val="24"/>
        </w:rPr>
        <w:t>表</w:t>
      </w:r>
      <w:r w:rsidR="00372953" w:rsidRPr="00372953">
        <w:rPr>
          <w:kern w:val="0"/>
          <w:sz w:val="24"/>
          <w:szCs w:val="24"/>
        </w:rPr>
        <w:t>3.3</w:t>
      </w:r>
      <w:r w:rsidR="00372953" w:rsidRPr="00372953">
        <w:rPr>
          <w:kern w:val="0"/>
          <w:sz w:val="24"/>
          <w:szCs w:val="24"/>
        </w:rPr>
        <w:noBreakHyphen/>
        <w:t>1</w:t>
      </w:r>
      <w:r w:rsidRPr="000549B1">
        <w:rPr>
          <w:kern w:val="0"/>
          <w:sz w:val="24"/>
          <w:szCs w:val="24"/>
        </w:rPr>
        <w:t>和</w:t>
      </w:r>
      <w:r w:rsidR="00372953" w:rsidRPr="00372953">
        <w:rPr>
          <w:kern w:val="0"/>
          <w:sz w:val="24"/>
          <w:szCs w:val="24"/>
        </w:rPr>
        <w:t>图</w:t>
      </w:r>
      <w:r w:rsidR="00372953" w:rsidRPr="00372953">
        <w:rPr>
          <w:kern w:val="0"/>
          <w:sz w:val="24"/>
          <w:szCs w:val="24"/>
        </w:rPr>
        <w:t>3.3</w:t>
      </w:r>
      <w:r w:rsidR="00372953" w:rsidRPr="00372953">
        <w:rPr>
          <w:kern w:val="0"/>
          <w:sz w:val="24"/>
          <w:szCs w:val="24"/>
        </w:rPr>
        <w:noBreakHyphen/>
        <w:t>1</w:t>
      </w:r>
      <w:r w:rsidRPr="000549B1">
        <w:rPr>
          <w:kern w:val="0"/>
          <w:sz w:val="24"/>
          <w:szCs w:val="24"/>
        </w:rPr>
        <w:t>。</w:t>
      </w:r>
    </w:p>
    <w:p w14:paraId="1B8B716C" w14:textId="2CD7B2BD" w:rsidR="00054437" w:rsidRPr="000549B1" w:rsidRDefault="00000000">
      <w:pPr>
        <w:pStyle w:val="aff8"/>
        <w:rPr>
          <w:color w:val="auto"/>
        </w:rPr>
      </w:pPr>
      <w:bookmarkStart w:id="213" w:name="_Ref214977800"/>
      <w:r w:rsidRPr="000549B1">
        <w:rPr>
          <w:color w:val="auto"/>
        </w:rPr>
        <w:t>表</w:t>
      </w:r>
      <w:r w:rsidR="00372953">
        <w:rPr>
          <w:color w:val="auto"/>
        </w:rPr>
        <w:fldChar w:fldCharType="begin"/>
      </w:r>
      <w:r w:rsidR="00372953">
        <w:rPr>
          <w:color w:val="auto"/>
        </w:rPr>
        <w:instrText xml:space="preserve"> STYLEREF 2 \s </w:instrText>
      </w:r>
      <w:r w:rsidR="00372953">
        <w:rPr>
          <w:color w:val="auto"/>
        </w:rPr>
        <w:fldChar w:fldCharType="separate"/>
      </w:r>
      <w:r w:rsidR="00372953">
        <w:rPr>
          <w:noProof/>
          <w:color w:val="auto"/>
        </w:rPr>
        <w:t>3.3</w:t>
      </w:r>
      <w:r w:rsidR="00372953">
        <w:rPr>
          <w:color w:val="auto"/>
        </w:rPr>
        <w:fldChar w:fldCharType="end"/>
      </w:r>
      <w:r w:rsidR="00372953">
        <w:rPr>
          <w:color w:val="auto"/>
        </w:rPr>
        <w:noBreakHyphen/>
      </w:r>
      <w:r w:rsidR="00372953">
        <w:rPr>
          <w:color w:val="auto"/>
        </w:rPr>
        <w:fldChar w:fldCharType="begin"/>
      </w:r>
      <w:r w:rsidR="00372953">
        <w:rPr>
          <w:color w:val="auto"/>
        </w:rPr>
        <w:instrText xml:space="preserve"> SEQ </w:instrText>
      </w:r>
      <w:r w:rsidR="00372953">
        <w:rPr>
          <w:color w:val="auto"/>
        </w:rPr>
        <w:instrText>表</w:instrText>
      </w:r>
      <w:r w:rsidR="00372953">
        <w:rPr>
          <w:color w:val="auto"/>
        </w:rPr>
        <w:instrText xml:space="preserve"> \* ARABIC \s 2 </w:instrText>
      </w:r>
      <w:r w:rsidR="00372953">
        <w:rPr>
          <w:color w:val="auto"/>
        </w:rPr>
        <w:fldChar w:fldCharType="separate"/>
      </w:r>
      <w:r w:rsidR="00372953">
        <w:rPr>
          <w:noProof/>
          <w:color w:val="auto"/>
        </w:rPr>
        <w:t>1</w:t>
      </w:r>
      <w:r w:rsidR="00372953">
        <w:rPr>
          <w:color w:val="auto"/>
        </w:rPr>
        <w:fldChar w:fldCharType="end"/>
      </w:r>
      <w:bookmarkEnd w:id="213"/>
      <w:r w:rsidRPr="000549B1">
        <w:rPr>
          <w:color w:val="auto"/>
        </w:rPr>
        <w:t>沙珠玉河流域水功能区划成果表</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3"/>
        <w:gridCol w:w="1472"/>
        <w:gridCol w:w="659"/>
        <w:gridCol w:w="1104"/>
        <w:gridCol w:w="777"/>
        <w:gridCol w:w="777"/>
        <w:gridCol w:w="1164"/>
        <w:gridCol w:w="777"/>
      </w:tblGrid>
      <w:tr w:rsidR="000549B1" w:rsidRPr="000549B1" w14:paraId="3559E1F5" w14:textId="77777777">
        <w:trPr>
          <w:trHeight w:val="520"/>
        </w:trPr>
        <w:tc>
          <w:tcPr>
            <w:tcW w:w="0" w:type="auto"/>
            <w:vMerge w:val="restart"/>
            <w:vAlign w:val="center"/>
          </w:tcPr>
          <w:p w14:paraId="4F8AFFAB" w14:textId="77777777" w:rsidR="00054437" w:rsidRPr="000549B1" w:rsidRDefault="00000000">
            <w:pPr>
              <w:widowControl/>
              <w:jc w:val="center"/>
              <w:textAlignment w:val="center"/>
              <w:rPr>
                <w:b/>
                <w:bCs/>
                <w:szCs w:val="21"/>
              </w:rPr>
            </w:pPr>
            <w:r w:rsidRPr="000549B1">
              <w:rPr>
                <w:b/>
                <w:bCs/>
                <w:kern w:val="0"/>
                <w:szCs w:val="21"/>
                <w:lang w:bidi="ar"/>
              </w:rPr>
              <w:t>一级水功能区</w:t>
            </w:r>
          </w:p>
        </w:tc>
        <w:tc>
          <w:tcPr>
            <w:tcW w:w="0" w:type="auto"/>
            <w:vMerge w:val="restart"/>
            <w:vAlign w:val="center"/>
          </w:tcPr>
          <w:p w14:paraId="227F2F3F" w14:textId="77777777" w:rsidR="00054437" w:rsidRPr="000549B1" w:rsidRDefault="00000000">
            <w:pPr>
              <w:widowControl/>
              <w:jc w:val="center"/>
              <w:textAlignment w:val="center"/>
              <w:rPr>
                <w:b/>
                <w:bCs/>
                <w:szCs w:val="21"/>
              </w:rPr>
            </w:pPr>
            <w:r w:rsidRPr="000549B1">
              <w:rPr>
                <w:b/>
                <w:bCs/>
                <w:kern w:val="0"/>
                <w:szCs w:val="21"/>
                <w:lang w:bidi="ar"/>
              </w:rPr>
              <w:t>二级水功能区</w:t>
            </w:r>
          </w:p>
        </w:tc>
        <w:tc>
          <w:tcPr>
            <w:tcW w:w="0" w:type="auto"/>
            <w:vMerge w:val="restart"/>
            <w:vAlign w:val="center"/>
          </w:tcPr>
          <w:p w14:paraId="04443B7D" w14:textId="77777777" w:rsidR="00054437" w:rsidRPr="000549B1" w:rsidRDefault="00000000">
            <w:pPr>
              <w:widowControl/>
              <w:jc w:val="center"/>
              <w:textAlignment w:val="center"/>
              <w:rPr>
                <w:b/>
                <w:bCs/>
                <w:szCs w:val="21"/>
              </w:rPr>
            </w:pPr>
            <w:r w:rsidRPr="000549B1">
              <w:rPr>
                <w:b/>
                <w:bCs/>
                <w:kern w:val="0"/>
                <w:szCs w:val="21"/>
                <w:lang w:bidi="ar"/>
              </w:rPr>
              <w:t>水系</w:t>
            </w:r>
          </w:p>
        </w:tc>
        <w:tc>
          <w:tcPr>
            <w:tcW w:w="0" w:type="auto"/>
            <w:vMerge w:val="restart"/>
            <w:vAlign w:val="center"/>
          </w:tcPr>
          <w:p w14:paraId="48AAD558" w14:textId="77777777" w:rsidR="00054437" w:rsidRPr="000549B1" w:rsidRDefault="00000000">
            <w:pPr>
              <w:widowControl/>
              <w:jc w:val="center"/>
              <w:textAlignment w:val="center"/>
              <w:rPr>
                <w:b/>
                <w:bCs/>
                <w:szCs w:val="21"/>
              </w:rPr>
            </w:pPr>
            <w:r w:rsidRPr="000549B1">
              <w:rPr>
                <w:b/>
                <w:bCs/>
                <w:kern w:val="0"/>
                <w:szCs w:val="21"/>
                <w:lang w:bidi="ar"/>
              </w:rPr>
              <w:t>河流（湖库）</w:t>
            </w:r>
          </w:p>
        </w:tc>
        <w:tc>
          <w:tcPr>
            <w:tcW w:w="0" w:type="auto"/>
            <w:gridSpan w:val="2"/>
            <w:vAlign w:val="center"/>
          </w:tcPr>
          <w:p w14:paraId="5CC76DE1" w14:textId="77777777" w:rsidR="00054437" w:rsidRPr="000549B1" w:rsidRDefault="00000000">
            <w:pPr>
              <w:widowControl/>
              <w:jc w:val="center"/>
              <w:textAlignment w:val="center"/>
              <w:rPr>
                <w:b/>
                <w:bCs/>
                <w:szCs w:val="21"/>
              </w:rPr>
            </w:pPr>
            <w:r w:rsidRPr="000549B1">
              <w:rPr>
                <w:b/>
                <w:bCs/>
                <w:kern w:val="0"/>
                <w:szCs w:val="21"/>
                <w:lang w:bidi="ar"/>
              </w:rPr>
              <w:t>范围</w:t>
            </w:r>
          </w:p>
        </w:tc>
        <w:tc>
          <w:tcPr>
            <w:tcW w:w="0" w:type="auto"/>
            <w:vMerge w:val="restart"/>
            <w:vAlign w:val="center"/>
          </w:tcPr>
          <w:p w14:paraId="69CF3391" w14:textId="77777777" w:rsidR="00054437" w:rsidRPr="000549B1" w:rsidRDefault="00000000">
            <w:pPr>
              <w:widowControl/>
              <w:jc w:val="center"/>
              <w:textAlignment w:val="center"/>
              <w:rPr>
                <w:b/>
                <w:bCs/>
                <w:szCs w:val="21"/>
              </w:rPr>
            </w:pPr>
            <w:r w:rsidRPr="000549B1">
              <w:rPr>
                <w:b/>
                <w:bCs/>
                <w:kern w:val="0"/>
                <w:szCs w:val="21"/>
                <w:lang w:bidi="ar"/>
              </w:rPr>
              <w:t>长度（</w:t>
            </w:r>
            <w:r w:rsidRPr="000549B1">
              <w:rPr>
                <w:b/>
                <w:bCs/>
                <w:kern w:val="0"/>
                <w:szCs w:val="21"/>
                <w:lang w:bidi="ar"/>
              </w:rPr>
              <w:t>km</w:t>
            </w:r>
            <w:r w:rsidRPr="000549B1">
              <w:rPr>
                <w:b/>
                <w:bCs/>
                <w:kern w:val="0"/>
                <w:szCs w:val="21"/>
                <w:lang w:bidi="ar"/>
              </w:rPr>
              <w:t>）</w:t>
            </w:r>
          </w:p>
        </w:tc>
        <w:tc>
          <w:tcPr>
            <w:tcW w:w="0" w:type="auto"/>
            <w:vMerge w:val="restart"/>
            <w:vAlign w:val="center"/>
          </w:tcPr>
          <w:p w14:paraId="4CFA31EB" w14:textId="77777777" w:rsidR="00054437" w:rsidRPr="000549B1" w:rsidRDefault="00000000">
            <w:pPr>
              <w:widowControl/>
              <w:jc w:val="center"/>
              <w:textAlignment w:val="center"/>
              <w:rPr>
                <w:b/>
                <w:bCs/>
                <w:szCs w:val="21"/>
              </w:rPr>
            </w:pPr>
            <w:r w:rsidRPr="000549B1">
              <w:rPr>
                <w:b/>
                <w:bCs/>
                <w:kern w:val="0"/>
                <w:szCs w:val="21"/>
                <w:lang w:bidi="ar"/>
              </w:rPr>
              <w:t>水质目标</w:t>
            </w:r>
          </w:p>
        </w:tc>
      </w:tr>
      <w:tr w:rsidR="000549B1" w:rsidRPr="000549B1" w14:paraId="637C5AA0" w14:textId="77777777">
        <w:trPr>
          <w:trHeight w:val="480"/>
        </w:trPr>
        <w:tc>
          <w:tcPr>
            <w:tcW w:w="0" w:type="auto"/>
            <w:vMerge/>
            <w:vAlign w:val="center"/>
          </w:tcPr>
          <w:p w14:paraId="543E48D2" w14:textId="77777777" w:rsidR="00054437" w:rsidRPr="000549B1" w:rsidRDefault="00054437">
            <w:pPr>
              <w:jc w:val="center"/>
              <w:rPr>
                <w:b/>
                <w:bCs/>
                <w:szCs w:val="21"/>
              </w:rPr>
            </w:pPr>
          </w:p>
        </w:tc>
        <w:tc>
          <w:tcPr>
            <w:tcW w:w="0" w:type="auto"/>
            <w:vMerge/>
            <w:vAlign w:val="center"/>
          </w:tcPr>
          <w:p w14:paraId="747C91CD" w14:textId="77777777" w:rsidR="00054437" w:rsidRPr="000549B1" w:rsidRDefault="00054437">
            <w:pPr>
              <w:jc w:val="center"/>
              <w:rPr>
                <w:b/>
                <w:bCs/>
                <w:szCs w:val="21"/>
              </w:rPr>
            </w:pPr>
          </w:p>
        </w:tc>
        <w:tc>
          <w:tcPr>
            <w:tcW w:w="0" w:type="auto"/>
            <w:vMerge/>
            <w:vAlign w:val="center"/>
          </w:tcPr>
          <w:p w14:paraId="69F26CCA" w14:textId="77777777" w:rsidR="00054437" w:rsidRPr="000549B1" w:rsidRDefault="00054437">
            <w:pPr>
              <w:jc w:val="center"/>
              <w:rPr>
                <w:b/>
                <w:bCs/>
                <w:szCs w:val="21"/>
              </w:rPr>
            </w:pPr>
          </w:p>
        </w:tc>
        <w:tc>
          <w:tcPr>
            <w:tcW w:w="0" w:type="auto"/>
            <w:vMerge/>
            <w:vAlign w:val="center"/>
          </w:tcPr>
          <w:p w14:paraId="14448363" w14:textId="77777777" w:rsidR="00054437" w:rsidRPr="000549B1" w:rsidRDefault="00054437">
            <w:pPr>
              <w:jc w:val="center"/>
              <w:rPr>
                <w:b/>
                <w:bCs/>
                <w:szCs w:val="21"/>
              </w:rPr>
            </w:pPr>
          </w:p>
        </w:tc>
        <w:tc>
          <w:tcPr>
            <w:tcW w:w="0" w:type="auto"/>
            <w:vAlign w:val="center"/>
          </w:tcPr>
          <w:p w14:paraId="23712610" w14:textId="77777777" w:rsidR="00054437" w:rsidRPr="000549B1" w:rsidRDefault="00000000">
            <w:pPr>
              <w:widowControl/>
              <w:jc w:val="center"/>
              <w:textAlignment w:val="center"/>
              <w:rPr>
                <w:b/>
                <w:bCs/>
                <w:szCs w:val="21"/>
              </w:rPr>
            </w:pPr>
            <w:r w:rsidRPr="000549B1">
              <w:rPr>
                <w:b/>
                <w:bCs/>
                <w:kern w:val="0"/>
                <w:szCs w:val="21"/>
                <w:lang w:bidi="ar"/>
              </w:rPr>
              <w:t>起始断面</w:t>
            </w:r>
          </w:p>
        </w:tc>
        <w:tc>
          <w:tcPr>
            <w:tcW w:w="0" w:type="auto"/>
            <w:vAlign w:val="center"/>
          </w:tcPr>
          <w:p w14:paraId="46CDF706" w14:textId="77777777" w:rsidR="00054437" w:rsidRPr="000549B1" w:rsidRDefault="00000000">
            <w:pPr>
              <w:widowControl/>
              <w:jc w:val="center"/>
              <w:textAlignment w:val="center"/>
              <w:rPr>
                <w:b/>
                <w:bCs/>
                <w:szCs w:val="21"/>
              </w:rPr>
            </w:pPr>
            <w:r w:rsidRPr="000549B1">
              <w:rPr>
                <w:b/>
                <w:bCs/>
                <w:kern w:val="0"/>
                <w:szCs w:val="21"/>
                <w:lang w:bidi="ar"/>
              </w:rPr>
              <w:t>终止断面</w:t>
            </w:r>
          </w:p>
        </w:tc>
        <w:tc>
          <w:tcPr>
            <w:tcW w:w="0" w:type="auto"/>
            <w:vMerge/>
            <w:vAlign w:val="center"/>
          </w:tcPr>
          <w:p w14:paraId="668A7865" w14:textId="77777777" w:rsidR="00054437" w:rsidRPr="000549B1" w:rsidRDefault="00054437">
            <w:pPr>
              <w:jc w:val="center"/>
              <w:rPr>
                <w:b/>
                <w:bCs/>
                <w:szCs w:val="21"/>
              </w:rPr>
            </w:pPr>
          </w:p>
        </w:tc>
        <w:tc>
          <w:tcPr>
            <w:tcW w:w="0" w:type="auto"/>
            <w:vMerge/>
            <w:vAlign w:val="center"/>
          </w:tcPr>
          <w:p w14:paraId="6939A503" w14:textId="77777777" w:rsidR="00054437" w:rsidRPr="000549B1" w:rsidRDefault="00054437">
            <w:pPr>
              <w:jc w:val="center"/>
              <w:rPr>
                <w:b/>
                <w:bCs/>
                <w:szCs w:val="21"/>
              </w:rPr>
            </w:pPr>
          </w:p>
        </w:tc>
      </w:tr>
      <w:tr w:rsidR="00054437" w:rsidRPr="000549B1" w14:paraId="3FA1E99F" w14:textId="77777777">
        <w:trPr>
          <w:trHeight w:val="480"/>
        </w:trPr>
        <w:tc>
          <w:tcPr>
            <w:tcW w:w="0" w:type="auto"/>
            <w:vAlign w:val="center"/>
          </w:tcPr>
          <w:p w14:paraId="34AD939A" w14:textId="77777777" w:rsidR="00054437" w:rsidRPr="000549B1" w:rsidRDefault="00000000">
            <w:pPr>
              <w:widowControl/>
              <w:jc w:val="center"/>
              <w:textAlignment w:val="center"/>
              <w:rPr>
                <w:szCs w:val="21"/>
              </w:rPr>
            </w:pPr>
            <w:r w:rsidRPr="000549B1">
              <w:rPr>
                <w:kern w:val="0"/>
                <w:szCs w:val="21"/>
                <w:lang w:bidi="ar"/>
              </w:rPr>
              <w:t>沙珠玉共和开发利用区</w:t>
            </w:r>
          </w:p>
        </w:tc>
        <w:tc>
          <w:tcPr>
            <w:tcW w:w="0" w:type="auto"/>
            <w:vAlign w:val="center"/>
          </w:tcPr>
          <w:p w14:paraId="02044EDE" w14:textId="77777777" w:rsidR="00054437" w:rsidRPr="000549B1" w:rsidRDefault="00000000">
            <w:pPr>
              <w:widowControl/>
              <w:jc w:val="left"/>
              <w:textAlignment w:val="center"/>
              <w:rPr>
                <w:szCs w:val="21"/>
              </w:rPr>
            </w:pPr>
            <w:r w:rsidRPr="000549B1">
              <w:rPr>
                <w:kern w:val="0"/>
                <w:szCs w:val="21"/>
                <w:lang w:bidi="ar"/>
              </w:rPr>
              <w:t>沙珠玉共和农业用水区</w:t>
            </w:r>
          </w:p>
        </w:tc>
        <w:tc>
          <w:tcPr>
            <w:tcW w:w="0" w:type="auto"/>
            <w:vAlign w:val="center"/>
          </w:tcPr>
          <w:p w14:paraId="7A525EE8" w14:textId="77777777" w:rsidR="00054437" w:rsidRPr="000549B1" w:rsidRDefault="00000000">
            <w:pPr>
              <w:widowControl/>
              <w:jc w:val="center"/>
              <w:textAlignment w:val="center"/>
              <w:rPr>
                <w:szCs w:val="21"/>
              </w:rPr>
            </w:pPr>
            <w:r w:rsidRPr="000549B1">
              <w:rPr>
                <w:kern w:val="0"/>
                <w:szCs w:val="21"/>
                <w:lang w:bidi="ar"/>
              </w:rPr>
              <w:t>青海湖</w:t>
            </w:r>
          </w:p>
        </w:tc>
        <w:tc>
          <w:tcPr>
            <w:tcW w:w="0" w:type="auto"/>
            <w:vAlign w:val="center"/>
          </w:tcPr>
          <w:p w14:paraId="450FD655" w14:textId="77777777" w:rsidR="00054437" w:rsidRPr="000549B1" w:rsidRDefault="00000000">
            <w:pPr>
              <w:widowControl/>
              <w:jc w:val="center"/>
              <w:textAlignment w:val="center"/>
              <w:rPr>
                <w:szCs w:val="21"/>
              </w:rPr>
            </w:pPr>
            <w:r w:rsidRPr="000549B1">
              <w:rPr>
                <w:kern w:val="0"/>
                <w:szCs w:val="21"/>
                <w:lang w:bidi="ar"/>
              </w:rPr>
              <w:t>沙珠玉河</w:t>
            </w:r>
          </w:p>
        </w:tc>
        <w:tc>
          <w:tcPr>
            <w:tcW w:w="0" w:type="auto"/>
            <w:vAlign w:val="center"/>
          </w:tcPr>
          <w:p w14:paraId="0B9E4297" w14:textId="77777777" w:rsidR="00054437" w:rsidRPr="000549B1" w:rsidRDefault="00000000">
            <w:pPr>
              <w:widowControl/>
              <w:jc w:val="center"/>
              <w:textAlignment w:val="center"/>
              <w:rPr>
                <w:szCs w:val="21"/>
              </w:rPr>
            </w:pPr>
            <w:r w:rsidRPr="000549B1">
              <w:rPr>
                <w:kern w:val="0"/>
                <w:szCs w:val="21"/>
                <w:lang w:bidi="ar"/>
              </w:rPr>
              <w:t>源头</w:t>
            </w:r>
          </w:p>
        </w:tc>
        <w:tc>
          <w:tcPr>
            <w:tcW w:w="0" w:type="auto"/>
            <w:vAlign w:val="center"/>
          </w:tcPr>
          <w:p w14:paraId="516D47D0" w14:textId="77777777" w:rsidR="00054437" w:rsidRPr="000549B1" w:rsidRDefault="00000000">
            <w:pPr>
              <w:widowControl/>
              <w:jc w:val="center"/>
              <w:textAlignment w:val="center"/>
              <w:rPr>
                <w:szCs w:val="21"/>
              </w:rPr>
            </w:pPr>
            <w:r w:rsidRPr="000549B1">
              <w:rPr>
                <w:kern w:val="0"/>
                <w:szCs w:val="21"/>
                <w:lang w:bidi="ar"/>
              </w:rPr>
              <w:t>达连海湖</w:t>
            </w:r>
          </w:p>
        </w:tc>
        <w:tc>
          <w:tcPr>
            <w:tcW w:w="0" w:type="auto"/>
            <w:vAlign w:val="center"/>
          </w:tcPr>
          <w:p w14:paraId="6868CFCD" w14:textId="77777777" w:rsidR="00054437" w:rsidRPr="000549B1" w:rsidRDefault="00000000">
            <w:pPr>
              <w:widowControl/>
              <w:jc w:val="center"/>
              <w:textAlignment w:val="center"/>
              <w:rPr>
                <w:szCs w:val="21"/>
              </w:rPr>
            </w:pPr>
            <w:r w:rsidRPr="000549B1">
              <w:rPr>
                <w:kern w:val="0"/>
                <w:szCs w:val="21"/>
                <w:lang w:bidi="ar"/>
              </w:rPr>
              <w:t>188.0</w:t>
            </w:r>
          </w:p>
        </w:tc>
        <w:tc>
          <w:tcPr>
            <w:tcW w:w="0" w:type="auto"/>
            <w:vAlign w:val="center"/>
          </w:tcPr>
          <w:p w14:paraId="17F8D221" w14:textId="77777777" w:rsidR="00054437" w:rsidRPr="000549B1" w:rsidRDefault="00000000">
            <w:pPr>
              <w:widowControl/>
              <w:jc w:val="center"/>
              <w:textAlignment w:val="center"/>
              <w:rPr>
                <w:szCs w:val="21"/>
              </w:rPr>
            </w:pPr>
            <w:r w:rsidRPr="000549B1">
              <w:rPr>
                <w:kern w:val="0"/>
                <w:szCs w:val="21"/>
                <w:lang w:bidi="ar"/>
              </w:rPr>
              <w:t>Ⅲ</w:t>
            </w:r>
          </w:p>
        </w:tc>
      </w:tr>
    </w:tbl>
    <w:p w14:paraId="418C43FD" w14:textId="77777777" w:rsidR="00054437" w:rsidRPr="000549B1" w:rsidRDefault="00054437"/>
    <w:p w14:paraId="3D1928D6" w14:textId="77777777" w:rsidR="00054437" w:rsidRPr="000549B1" w:rsidRDefault="00000000">
      <w:pPr>
        <w:adjustRightInd w:val="0"/>
        <w:snapToGrid w:val="0"/>
        <w:spacing w:line="360" w:lineRule="auto"/>
        <w:jc w:val="center"/>
        <w:rPr>
          <w:b/>
          <w:kern w:val="0"/>
          <w:sz w:val="24"/>
          <w:szCs w:val="24"/>
        </w:rPr>
      </w:pPr>
      <w:r w:rsidRPr="000549B1">
        <w:rPr>
          <w:b/>
          <w:noProof/>
          <w:sz w:val="28"/>
          <w:szCs w:val="28"/>
        </w:rPr>
        <w:drawing>
          <wp:inline distT="0" distB="0" distL="114300" distR="114300" wp14:anchorId="60407ADC" wp14:editId="6441D77C">
            <wp:extent cx="5263515" cy="3721735"/>
            <wp:effectExtent l="0" t="0" r="13335" b="12065"/>
            <wp:docPr id="3" name="图片 3" descr="沙珠玉河流域-水功能区划图 20251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沙珠玉河流域-水功能区划图 20251113"/>
                    <pic:cNvPicPr>
                      <a:picLocks noChangeAspect="1"/>
                    </pic:cNvPicPr>
                  </pic:nvPicPr>
                  <pic:blipFill>
                    <a:blip r:embed="rId21" cstate="email">
                      <a:extLst>
                        <a:ext uri="{28A0092B-C50C-407E-A947-70E740481C1C}">
                          <a14:useLocalDpi xmlns:a14="http://schemas.microsoft.com/office/drawing/2010/main"/>
                        </a:ext>
                      </a:extLst>
                    </a:blip>
                    <a:stretch>
                      <a:fillRect/>
                    </a:stretch>
                  </pic:blipFill>
                  <pic:spPr>
                    <a:xfrm>
                      <a:off x="0" y="0"/>
                      <a:ext cx="5263515" cy="3721735"/>
                    </a:xfrm>
                    <a:prstGeom prst="rect">
                      <a:avLst/>
                    </a:prstGeom>
                  </pic:spPr>
                </pic:pic>
              </a:graphicData>
            </a:graphic>
          </wp:inline>
        </w:drawing>
      </w:r>
    </w:p>
    <w:p w14:paraId="0940711D" w14:textId="24C59749" w:rsidR="00054437" w:rsidRPr="000549B1" w:rsidRDefault="00000000">
      <w:pPr>
        <w:pStyle w:val="aff8"/>
        <w:rPr>
          <w:rFonts w:eastAsiaTheme="minorEastAsia"/>
          <w:bCs/>
          <w:color w:val="auto"/>
        </w:rPr>
      </w:pPr>
      <w:bookmarkStart w:id="214" w:name="_Ref214977846"/>
      <w:r w:rsidRPr="000549B1">
        <w:rPr>
          <w:color w:val="auto"/>
        </w:rPr>
        <w:t>图</w:t>
      </w:r>
      <w:r w:rsidR="00F1314B">
        <w:rPr>
          <w:color w:val="auto"/>
        </w:rPr>
        <w:fldChar w:fldCharType="begin"/>
      </w:r>
      <w:r w:rsidR="00F1314B">
        <w:rPr>
          <w:color w:val="auto"/>
        </w:rPr>
        <w:instrText xml:space="preserve"> STYLEREF 2 \s </w:instrText>
      </w:r>
      <w:r w:rsidR="00F1314B">
        <w:rPr>
          <w:color w:val="auto"/>
        </w:rPr>
        <w:fldChar w:fldCharType="separate"/>
      </w:r>
      <w:r w:rsidR="00372953">
        <w:rPr>
          <w:noProof/>
          <w:color w:val="auto"/>
        </w:rPr>
        <w:t>3.3</w:t>
      </w:r>
      <w:r w:rsidR="00F1314B">
        <w:rPr>
          <w:color w:val="auto"/>
        </w:rPr>
        <w:fldChar w:fldCharType="end"/>
      </w:r>
      <w:r w:rsidR="00F1314B">
        <w:rPr>
          <w:color w:val="auto"/>
        </w:rPr>
        <w:noBreakHyphen/>
      </w:r>
      <w:r w:rsidR="00F1314B">
        <w:rPr>
          <w:color w:val="auto"/>
        </w:rPr>
        <w:fldChar w:fldCharType="begin"/>
      </w:r>
      <w:r w:rsidR="00F1314B">
        <w:rPr>
          <w:color w:val="auto"/>
        </w:rPr>
        <w:instrText xml:space="preserve"> SEQ </w:instrText>
      </w:r>
      <w:r w:rsidR="00F1314B">
        <w:rPr>
          <w:color w:val="auto"/>
        </w:rPr>
        <w:instrText>图</w:instrText>
      </w:r>
      <w:r w:rsidR="00F1314B">
        <w:rPr>
          <w:color w:val="auto"/>
        </w:rPr>
        <w:instrText xml:space="preserve"> \* ARABIC \s 2 </w:instrText>
      </w:r>
      <w:r w:rsidR="00F1314B">
        <w:rPr>
          <w:color w:val="auto"/>
        </w:rPr>
        <w:fldChar w:fldCharType="separate"/>
      </w:r>
      <w:r w:rsidR="00372953">
        <w:rPr>
          <w:noProof/>
          <w:color w:val="auto"/>
        </w:rPr>
        <w:t>1</w:t>
      </w:r>
      <w:r w:rsidR="00F1314B">
        <w:rPr>
          <w:color w:val="auto"/>
        </w:rPr>
        <w:fldChar w:fldCharType="end"/>
      </w:r>
      <w:bookmarkEnd w:id="214"/>
      <w:r w:rsidRPr="000549B1">
        <w:rPr>
          <w:rFonts w:eastAsiaTheme="minorEastAsia"/>
          <w:bCs/>
          <w:color w:val="auto"/>
        </w:rPr>
        <w:t>沙珠河流域水功能区划图</w:t>
      </w:r>
    </w:p>
    <w:p w14:paraId="1CDBA779" w14:textId="77777777" w:rsidR="00054437" w:rsidRPr="000549B1" w:rsidRDefault="00000000">
      <w:pPr>
        <w:pStyle w:val="3"/>
      </w:pPr>
      <w:bookmarkStart w:id="215" w:name="_Toc216107012"/>
      <w:r w:rsidRPr="000549B1">
        <w:t>污染源现状</w:t>
      </w:r>
      <w:bookmarkEnd w:id="215"/>
    </w:p>
    <w:p w14:paraId="31B48ED2" w14:textId="28BA7679" w:rsidR="00054437" w:rsidRPr="000549B1" w:rsidRDefault="00000000">
      <w:pPr>
        <w:spacing w:line="360" w:lineRule="auto"/>
        <w:ind w:firstLineChars="200" w:firstLine="480"/>
        <w:rPr>
          <w:kern w:val="0"/>
          <w:sz w:val="24"/>
          <w:szCs w:val="24"/>
        </w:rPr>
      </w:pPr>
      <w:r w:rsidRPr="000549B1">
        <w:rPr>
          <w:kern w:val="0"/>
          <w:sz w:val="24"/>
          <w:szCs w:val="24"/>
        </w:rPr>
        <w:t>本次污染源调查以青海省第二次污染源普查成果为主，充分利用水资源公报、统计年鉴，以区县为调查单元，调查内容包括污水排放量、主要污染物排放量，污染源类型包括工业污染源、城镇生活污染源、农村生活污染源、畜禽养殖源和农业面源。调查项目包括</w:t>
      </w:r>
      <w:r w:rsidRPr="000549B1">
        <w:rPr>
          <w:kern w:val="0"/>
          <w:sz w:val="24"/>
          <w:szCs w:val="24"/>
        </w:rPr>
        <w:t>COD</w:t>
      </w:r>
      <w:r w:rsidRPr="000549B1">
        <w:rPr>
          <w:kern w:val="0"/>
          <w:sz w:val="24"/>
          <w:szCs w:val="24"/>
        </w:rPr>
        <w:t>、氨氮、总氮、总磷。污染源现状调查照片见</w:t>
      </w:r>
      <w:r w:rsidR="00372953" w:rsidRPr="00372953">
        <w:rPr>
          <w:kern w:val="0"/>
          <w:sz w:val="24"/>
          <w:szCs w:val="24"/>
        </w:rPr>
        <w:t>图</w:t>
      </w:r>
      <w:r w:rsidR="00372953" w:rsidRPr="00372953">
        <w:rPr>
          <w:kern w:val="0"/>
          <w:sz w:val="24"/>
          <w:szCs w:val="24"/>
        </w:rPr>
        <w:t>3.3</w:t>
      </w:r>
      <w:r w:rsidR="00372953" w:rsidRPr="00372953">
        <w:rPr>
          <w:kern w:val="0"/>
          <w:sz w:val="24"/>
          <w:szCs w:val="24"/>
        </w:rPr>
        <w:noBreakHyphen/>
        <w:t>2</w:t>
      </w:r>
      <w:r w:rsidRPr="000549B1">
        <w:rPr>
          <w:kern w:val="0"/>
          <w:sz w:val="24"/>
          <w:szCs w:val="24"/>
        </w:rPr>
        <w:t>。</w:t>
      </w:r>
    </w:p>
    <w:tbl>
      <w:tblPr>
        <w:tblW w:w="5000" w:type="pct"/>
        <w:jc w:val="center"/>
        <w:tblLook w:val="04A0" w:firstRow="1" w:lastRow="0" w:firstColumn="1" w:lastColumn="0" w:noHBand="0" w:noVBand="1"/>
      </w:tblPr>
      <w:tblGrid>
        <w:gridCol w:w="4153"/>
        <w:gridCol w:w="4153"/>
      </w:tblGrid>
      <w:tr w:rsidR="000549B1" w:rsidRPr="000549B1" w14:paraId="7A623909" w14:textId="77777777">
        <w:trPr>
          <w:trHeight w:val="90"/>
          <w:jc w:val="center"/>
        </w:trPr>
        <w:tc>
          <w:tcPr>
            <w:tcW w:w="2500" w:type="pct"/>
          </w:tcPr>
          <w:p w14:paraId="76D7DB2A" w14:textId="77777777" w:rsidR="00054437" w:rsidRPr="000549B1" w:rsidRDefault="00000000">
            <w:pPr>
              <w:snapToGrid w:val="0"/>
              <w:jc w:val="left"/>
              <w:rPr>
                <w:b/>
                <w:sz w:val="24"/>
                <w:szCs w:val="24"/>
              </w:rPr>
            </w:pPr>
            <w:r w:rsidRPr="000549B1">
              <w:rPr>
                <w:b/>
                <w:noProof/>
                <w:sz w:val="24"/>
                <w:szCs w:val="24"/>
              </w:rPr>
              <w:drawing>
                <wp:inline distT="0" distB="0" distL="114300" distR="114300" wp14:anchorId="7BDFB1FD" wp14:editId="43EC889D">
                  <wp:extent cx="2879725" cy="2160270"/>
                  <wp:effectExtent l="0" t="0" r="15875" b="11430"/>
                  <wp:docPr id="4"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IMG_256"/>
                          <pic:cNvPicPr>
                            <a:picLocks noChangeAspect="1"/>
                          </pic:cNvPicPr>
                        </pic:nvPicPr>
                        <pic:blipFill>
                          <a:blip r:embed="rId22" cstate="email">
                            <a:extLst>
                              <a:ext uri="{28A0092B-C50C-407E-A947-70E740481C1C}">
                                <a14:useLocalDpi xmlns:a14="http://schemas.microsoft.com/office/drawing/2010/main"/>
                              </a:ext>
                            </a:extLst>
                          </a:blip>
                          <a:stretch>
                            <a:fillRect/>
                          </a:stretch>
                        </pic:blipFill>
                        <pic:spPr>
                          <a:xfrm>
                            <a:off x="0" y="0"/>
                            <a:ext cx="2879725" cy="2160270"/>
                          </a:xfrm>
                          <a:prstGeom prst="rect">
                            <a:avLst/>
                          </a:prstGeom>
                          <a:noFill/>
                          <a:ln w="9525">
                            <a:noFill/>
                          </a:ln>
                        </pic:spPr>
                      </pic:pic>
                    </a:graphicData>
                  </a:graphic>
                </wp:inline>
              </w:drawing>
            </w:r>
          </w:p>
          <w:p w14:paraId="51FFC208" w14:textId="77777777" w:rsidR="00054437" w:rsidRPr="000549B1" w:rsidRDefault="00054437">
            <w:pPr>
              <w:snapToGrid w:val="0"/>
              <w:jc w:val="left"/>
              <w:rPr>
                <w:b/>
                <w:sz w:val="24"/>
                <w:szCs w:val="24"/>
                <w:lang w:val="zh-CN"/>
              </w:rPr>
            </w:pPr>
          </w:p>
        </w:tc>
        <w:tc>
          <w:tcPr>
            <w:tcW w:w="2500" w:type="pct"/>
          </w:tcPr>
          <w:p w14:paraId="5BC39CC6" w14:textId="77777777" w:rsidR="00054437" w:rsidRPr="000549B1" w:rsidRDefault="00000000">
            <w:pPr>
              <w:snapToGrid w:val="0"/>
              <w:jc w:val="left"/>
              <w:rPr>
                <w:b/>
                <w:sz w:val="28"/>
                <w:szCs w:val="28"/>
                <w:lang w:val="zh-CN"/>
              </w:rPr>
            </w:pPr>
            <w:r w:rsidRPr="000549B1">
              <w:rPr>
                <w:b/>
                <w:noProof/>
                <w:sz w:val="24"/>
                <w:szCs w:val="24"/>
              </w:rPr>
              <w:drawing>
                <wp:inline distT="0" distB="0" distL="114300" distR="114300" wp14:anchorId="032ADED2" wp14:editId="595C45BF">
                  <wp:extent cx="2879725" cy="2160270"/>
                  <wp:effectExtent l="0" t="0" r="15875" b="11430"/>
                  <wp:docPr id="23"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5" descr="IMG_256"/>
                          <pic:cNvPicPr>
                            <a:picLocks noChangeAspect="1"/>
                          </pic:cNvPicPr>
                        </pic:nvPicPr>
                        <pic:blipFill>
                          <a:blip r:embed="rId23" cstate="email">
                            <a:extLst>
                              <a:ext uri="{28A0092B-C50C-407E-A947-70E740481C1C}">
                                <a14:useLocalDpi xmlns:a14="http://schemas.microsoft.com/office/drawing/2010/main"/>
                              </a:ext>
                            </a:extLst>
                          </a:blip>
                          <a:stretch>
                            <a:fillRect/>
                          </a:stretch>
                        </pic:blipFill>
                        <pic:spPr>
                          <a:xfrm>
                            <a:off x="0" y="0"/>
                            <a:ext cx="2879725" cy="2160270"/>
                          </a:xfrm>
                          <a:prstGeom prst="rect">
                            <a:avLst/>
                          </a:prstGeom>
                          <a:noFill/>
                          <a:ln w="9525">
                            <a:noFill/>
                          </a:ln>
                        </pic:spPr>
                      </pic:pic>
                    </a:graphicData>
                  </a:graphic>
                </wp:inline>
              </w:drawing>
            </w:r>
          </w:p>
        </w:tc>
      </w:tr>
    </w:tbl>
    <w:p w14:paraId="2532F7B2" w14:textId="7CF9A189" w:rsidR="00054437" w:rsidRPr="000549B1" w:rsidRDefault="00000000">
      <w:pPr>
        <w:pStyle w:val="aff8"/>
        <w:rPr>
          <w:color w:val="auto"/>
        </w:rPr>
      </w:pPr>
      <w:bookmarkStart w:id="216" w:name="_Ref214977884"/>
      <w:r w:rsidRPr="000549B1">
        <w:rPr>
          <w:color w:val="auto"/>
        </w:rPr>
        <w:t>图</w:t>
      </w:r>
      <w:r w:rsidR="00F1314B">
        <w:rPr>
          <w:color w:val="auto"/>
        </w:rPr>
        <w:fldChar w:fldCharType="begin"/>
      </w:r>
      <w:r w:rsidR="00F1314B">
        <w:rPr>
          <w:color w:val="auto"/>
        </w:rPr>
        <w:instrText xml:space="preserve"> STYLEREF 2 \s </w:instrText>
      </w:r>
      <w:r w:rsidR="00F1314B">
        <w:rPr>
          <w:color w:val="auto"/>
        </w:rPr>
        <w:fldChar w:fldCharType="separate"/>
      </w:r>
      <w:r w:rsidR="00372953">
        <w:rPr>
          <w:noProof/>
          <w:color w:val="auto"/>
        </w:rPr>
        <w:t>3.3</w:t>
      </w:r>
      <w:r w:rsidR="00F1314B">
        <w:rPr>
          <w:color w:val="auto"/>
        </w:rPr>
        <w:fldChar w:fldCharType="end"/>
      </w:r>
      <w:r w:rsidR="00F1314B">
        <w:rPr>
          <w:color w:val="auto"/>
        </w:rPr>
        <w:noBreakHyphen/>
      </w:r>
      <w:r w:rsidR="00F1314B">
        <w:rPr>
          <w:color w:val="auto"/>
        </w:rPr>
        <w:fldChar w:fldCharType="begin"/>
      </w:r>
      <w:r w:rsidR="00F1314B">
        <w:rPr>
          <w:color w:val="auto"/>
        </w:rPr>
        <w:instrText xml:space="preserve"> SEQ </w:instrText>
      </w:r>
      <w:r w:rsidR="00F1314B">
        <w:rPr>
          <w:color w:val="auto"/>
        </w:rPr>
        <w:instrText>图</w:instrText>
      </w:r>
      <w:r w:rsidR="00F1314B">
        <w:rPr>
          <w:color w:val="auto"/>
        </w:rPr>
        <w:instrText xml:space="preserve"> \* ARABIC \s 2 </w:instrText>
      </w:r>
      <w:r w:rsidR="00F1314B">
        <w:rPr>
          <w:color w:val="auto"/>
        </w:rPr>
        <w:fldChar w:fldCharType="separate"/>
      </w:r>
      <w:r w:rsidR="00372953">
        <w:rPr>
          <w:noProof/>
          <w:color w:val="auto"/>
        </w:rPr>
        <w:t>2</w:t>
      </w:r>
      <w:r w:rsidR="00F1314B">
        <w:rPr>
          <w:color w:val="auto"/>
        </w:rPr>
        <w:fldChar w:fldCharType="end"/>
      </w:r>
      <w:bookmarkEnd w:id="216"/>
      <w:r w:rsidRPr="000549B1">
        <w:rPr>
          <w:color w:val="auto"/>
        </w:rPr>
        <w:t>污染源现状调查现场照片</w:t>
      </w:r>
    </w:p>
    <w:p w14:paraId="72465FFC" w14:textId="77777777" w:rsidR="00054437" w:rsidRPr="000549B1" w:rsidRDefault="00000000">
      <w:pPr>
        <w:pStyle w:val="4"/>
        <w:rPr>
          <w:rFonts w:ascii="Times New Roman" w:hAnsi="Times New Roman"/>
        </w:rPr>
      </w:pPr>
      <w:r w:rsidRPr="000549B1">
        <w:rPr>
          <w:rFonts w:ascii="Times New Roman" w:hAnsi="Times New Roman"/>
        </w:rPr>
        <w:t>点污染源</w:t>
      </w:r>
    </w:p>
    <w:p w14:paraId="10DD3837" w14:textId="77777777" w:rsidR="00054437" w:rsidRPr="000549B1" w:rsidRDefault="00000000">
      <w:pPr>
        <w:snapToGrid w:val="0"/>
        <w:spacing w:line="360" w:lineRule="auto"/>
        <w:ind w:firstLineChars="200" w:firstLine="480"/>
        <w:rPr>
          <w:bCs/>
          <w:sz w:val="24"/>
          <w:szCs w:val="24"/>
        </w:rPr>
      </w:pPr>
      <w:r w:rsidRPr="000549B1">
        <w:rPr>
          <w:bCs/>
          <w:sz w:val="24"/>
          <w:szCs w:val="24"/>
        </w:rPr>
        <w:t>点源污染指大、中企业和大、中居民点在小范围内的大量水污染的集中排放。截至</w:t>
      </w:r>
      <w:r w:rsidRPr="000549B1">
        <w:rPr>
          <w:bCs/>
          <w:sz w:val="24"/>
          <w:szCs w:val="24"/>
        </w:rPr>
        <w:t>2024</w:t>
      </w:r>
      <w:r w:rsidRPr="000549B1">
        <w:rPr>
          <w:bCs/>
          <w:sz w:val="24"/>
          <w:szCs w:val="24"/>
        </w:rPr>
        <w:t>年末，沙珠玉河流域共涉及共和县、兴海县，两县除污水处理厂外，无其他点源存在，因此本次点源污染物调查评价对象为污水处理厂。</w:t>
      </w:r>
    </w:p>
    <w:p w14:paraId="11C25E97" w14:textId="77777777" w:rsidR="00054437" w:rsidRPr="000549B1" w:rsidRDefault="00000000">
      <w:pPr>
        <w:snapToGrid w:val="0"/>
        <w:spacing w:line="360" w:lineRule="auto"/>
        <w:ind w:firstLineChars="200" w:firstLine="480"/>
        <w:rPr>
          <w:bCs/>
          <w:sz w:val="24"/>
          <w:szCs w:val="24"/>
        </w:rPr>
      </w:pPr>
      <w:r w:rsidRPr="000549B1">
        <w:rPr>
          <w:bCs/>
          <w:sz w:val="24"/>
          <w:szCs w:val="24"/>
        </w:rPr>
        <w:t>（一）污水处理设施情况</w:t>
      </w:r>
    </w:p>
    <w:p w14:paraId="68B37AB4" w14:textId="77777777" w:rsidR="00054437" w:rsidRPr="000549B1" w:rsidRDefault="00000000">
      <w:pPr>
        <w:tabs>
          <w:tab w:val="left" w:pos="5670"/>
        </w:tabs>
        <w:snapToGrid w:val="0"/>
        <w:spacing w:line="360" w:lineRule="auto"/>
        <w:ind w:firstLineChars="200" w:firstLine="480"/>
        <w:jc w:val="left"/>
        <w:rPr>
          <w:bCs/>
          <w:sz w:val="24"/>
          <w:szCs w:val="24"/>
        </w:rPr>
        <w:sectPr w:rsidR="00054437" w:rsidRPr="000549B1">
          <w:pgSz w:w="11906" w:h="16838"/>
          <w:pgMar w:top="1440" w:right="1800" w:bottom="1440" w:left="1800" w:header="851" w:footer="992" w:gutter="0"/>
          <w:cols w:space="425"/>
          <w:docGrid w:type="lines" w:linePitch="312"/>
        </w:sectPr>
      </w:pPr>
      <w:r w:rsidRPr="000549B1">
        <w:rPr>
          <w:bCs/>
          <w:sz w:val="24"/>
          <w:szCs w:val="24"/>
        </w:rPr>
        <w:t>共和县、兴海县内现有</w:t>
      </w:r>
      <w:r w:rsidRPr="000549B1">
        <w:rPr>
          <w:bCs/>
          <w:sz w:val="24"/>
          <w:szCs w:val="24"/>
        </w:rPr>
        <w:t>10</w:t>
      </w:r>
      <w:r w:rsidRPr="000549B1">
        <w:rPr>
          <w:bCs/>
          <w:sz w:val="24"/>
          <w:szCs w:val="24"/>
        </w:rPr>
        <w:t>座污水处理厂，相应情况见表</w:t>
      </w:r>
      <w:r w:rsidRPr="000549B1">
        <w:rPr>
          <w:bCs/>
          <w:sz w:val="24"/>
          <w:szCs w:val="24"/>
        </w:rPr>
        <w:t>3.3-2~</w:t>
      </w:r>
      <w:r w:rsidRPr="000549B1">
        <w:rPr>
          <w:bCs/>
          <w:sz w:val="24"/>
          <w:szCs w:val="24"/>
        </w:rPr>
        <w:t>表</w:t>
      </w:r>
      <w:r w:rsidRPr="000549B1">
        <w:rPr>
          <w:bCs/>
          <w:sz w:val="24"/>
          <w:szCs w:val="24"/>
        </w:rPr>
        <w:t>3.3-4</w:t>
      </w:r>
      <w:r w:rsidRPr="000549B1">
        <w:rPr>
          <w:bCs/>
          <w:sz w:val="24"/>
          <w:szCs w:val="24"/>
        </w:rPr>
        <w:t>、图</w:t>
      </w:r>
      <w:r w:rsidRPr="000549B1">
        <w:rPr>
          <w:bCs/>
          <w:sz w:val="24"/>
          <w:szCs w:val="24"/>
        </w:rPr>
        <w:t>3.3-3~</w:t>
      </w:r>
      <w:r w:rsidRPr="000549B1">
        <w:rPr>
          <w:bCs/>
          <w:sz w:val="24"/>
          <w:szCs w:val="24"/>
        </w:rPr>
        <w:t>图</w:t>
      </w:r>
      <w:r w:rsidRPr="000549B1">
        <w:rPr>
          <w:bCs/>
          <w:sz w:val="24"/>
          <w:szCs w:val="24"/>
        </w:rPr>
        <w:t>3.3-4</w:t>
      </w:r>
      <w:r w:rsidRPr="000549B1">
        <w:rPr>
          <w:bCs/>
          <w:sz w:val="24"/>
          <w:szCs w:val="24"/>
        </w:rPr>
        <w:t>。其中，沙珠玉河流域内仅涉及</w:t>
      </w:r>
      <w:r w:rsidRPr="000549B1">
        <w:rPr>
          <w:bCs/>
          <w:sz w:val="24"/>
          <w:szCs w:val="24"/>
        </w:rPr>
        <w:t>1</w:t>
      </w:r>
      <w:r w:rsidRPr="000549B1">
        <w:rPr>
          <w:bCs/>
          <w:sz w:val="24"/>
          <w:szCs w:val="24"/>
        </w:rPr>
        <w:t>座污水处理厂，即兴海县河卡镇污水处理厂。</w:t>
      </w:r>
    </w:p>
    <w:p w14:paraId="48773FE7" w14:textId="77DCE986" w:rsidR="00054437" w:rsidRPr="000549B1" w:rsidRDefault="00000000">
      <w:pPr>
        <w:pStyle w:val="aff8"/>
        <w:rPr>
          <w:color w:val="auto"/>
        </w:rPr>
      </w:pPr>
      <w:r w:rsidRPr="000549B1">
        <w:rPr>
          <w:color w:val="auto"/>
        </w:rPr>
        <w:t>表</w:t>
      </w:r>
      <w:r w:rsidR="00372953">
        <w:rPr>
          <w:color w:val="auto"/>
        </w:rPr>
        <w:fldChar w:fldCharType="begin"/>
      </w:r>
      <w:r w:rsidR="00372953">
        <w:rPr>
          <w:color w:val="auto"/>
        </w:rPr>
        <w:instrText xml:space="preserve"> STYLEREF 2 \s </w:instrText>
      </w:r>
      <w:r w:rsidR="00372953">
        <w:rPr>
          <w:color w:val="auto"/>
        </w:rPr>
        <w:fldChar w:fldCharType="separate"/>
      </w:r>
      <w:r w:rsidR="00372953">
        <w:rPr>
          <w:noProof/>
          <w:color w:val="auto"/>
        </w:rPr>
        <w:t>3.3</w:t>
      </w:r>
      <w:r w:rsidR="00372953">
        <w:rPr>
          <w:color w:val="auto"/>
        </w:rPr>
        <w:fldChar w:fldCharType="end"/>
      </w:r>
      <w:r w:rsidR="00372953">
        <w:rPr>
          <w:color w:val="auto"/>
        </w:rPr>
        <w:noBreakHyphen/>
      </w:r>
      <w:r w:rsidR="00372953">
        <w:rPr>
          <w:color w:val="auto"/>
        </w:rPr>
        <w:fldChar w:fldCharType="begin"/>
      </w:r>
      <w:r w:rsidR="00372953">
        <w:rPr>
          <w:color w:val="auto"/>
        </w:rPr>
        <w:instrText xml:space="preserve"> SEQ </w:instrText>
      </w:r>
      <w:r w:rsidR="00372953">
        <w:rPr>
          <w:color w:val="auto"/>
        </w:rPr>
        <w:instrText>表</w:instrText>
      </w:r>
      <w:r w:rsidR="00372953">
        <w:rPr>
          <w:color w:val="auto"/>
        </w:rPr>
        <w:instrText xml:space="preserve"> \* ARABIC \s 2 </w:instrText>
      </w:r>
      <w:r w:rsidR="00372953">
        <w:rPr>
          <w:color w:val="auto"/>
        </w:rPr>
        <w:fldChar w:fldCharType="separate"/>
      </w:r>
      <w:r w:rsidR="00372953">
        <w:rPr>
          <w:noProof/>
          <w:color w:val="auto"/>
        </w:rPr>
        <w:t>2</w:t>
      </w:r>
      <w:r w:rsidR="00372953">
        <w:rPr>
          <w:color w:val="auto"/>
        </w:rPr>
        <w:fldChar w:fldCharType="end"/>
      </w:r>
      <w:r w:rsidRPr="000549B1">
        <w:rPr>
          <w:color w:val="auto"/>
        </w:rPr>
        <w:t>沙珠玉河涉及的共和县、兴海县污水处理厂建设现状</w:t>
      </w:r>
    </w:p>
    <w:tbl>
      <w:tblPr>
        <w:tblW w:w="4978" w:type="pct"/>
        <w:tblLayout w:type="fixed"/>
        <w:tblLook w:val="04A0" w:firstRow="1" w:lastRow="0" w:firstColumn="1" w:lastColumn="0" w:noHBand="0" w:noVBand="1"/>
      </w:tblPr>
      <w:tblGrid>
        <w:gridCol w:w="420"/>
        <w:gridCol w:w="851"/>
        <w:gridCol w:w="1987"/>
        <w:gridCol w:w="1276"/>
        <w:gridCol w:w="2128"/>
        <w:gridCol w:w="1701"/>
        <w:gridCol w:w="1416"/>
        <w:gridCol w:w="2550"/>
        <w:gridCol w:w="1558"/>
      </w:tblGrid>
      <w:tr w:rsidR="000549B1" w:rsidRPr="000549B1" w14:paraId="79486E37" w14:textId="77777777">
        <w:trPr>
          <w:trHeight w:val="283"/>
        </w:trPr>
        <w:tc>
          <w:tcPr>
            <w:tcW w:w="151" w:type="pct"/>
            <w:tcBorders>
              <w:top w:val="single" w:sz="4" w:space="0" w:color="000000"/>
              <w:left w:val="single" w:sz="4" w:space="0" w:color="000000"/>
              <w:bottom w:val="single" w:sz="4" w:space="0" w:color="000000"/>
              <w:right w:val="single" w:sz="4" w:space="0" w:color="000000"/>
            </w:tcBorders>
            <w:vAlign w:val="center"/>
          </w:tcPr>
          <w:p w14:paraId="21DB6C11" w14:textId="77777777" w:rsidR="00054437" w:rsidRPr="000549B1" w:rsidRDefault="00000000">
            <w:pPr>
              <w:widowControl/>
              <w:spacing w:line="240" w:lineRule="atLeast"/>
              <w:jc w:val="center"/>
              <w:textAlignment w:val="center"/>
              <w:rPr>
                <w:rFonts w:eastAsiaTheme="minorEastAsia"/>
                <w:bCs/>
                <w:szCs w:val="21"/>
              </w:rPr>
            </w:pPr>
            <w:r w:rsidRPr="000549B1">
              <w:rPr>
                <w:rFonts w:eastAsiaTheme="minorEastAsia"/>
                <w:bCs/>
                <w:kern w:val="0"/>
                <w:szCs w:val="21"/>
                <w:lang w:bidi="ar"/>
              </w:rPr>
              <w:t>序号</w:t>
            </w:r>
          </w:p>
        </w:tc>
        <w:tc>
          <w:tcPr>
            <w:tcW w:w="306" w:type="pct"/>
            <w:tcBorders>
              <w:top w:val="single" w:sz="4" w:space="0" w:color="000000"/>
              <w:left w:val="single" w:sz="4" w:space="0" w:color="000000"/>
              <w:bottom w:val="single" w:sz="4" w:space="0" w:color="000000"/>
              <w:right w:val="single" w:sz="4" w:space="0" w:color="000000"/>
            </w:tcBorders>
            <w:vAlign w:val="center"/>
          </w:tcPr>
          <w:p w14:paraId="79CD9845" w14:textId="77777777" w:rsidR="00054437" w:rsidRPr="000549B1" w:rsidRDefault="00000000">
            <w:pPr>
              <w:widowControl/>
              <w:spacing w:line="240" w:lineRule="atLeast"/>
              <w:jc w:val="center"/>
              <w:textAlignment w:val="center"/>
              <w:rPr>
                <w:rFonts w:eastAsiaTheme="minorEastAsia"/>
                <w:bCs/>
                <w:szCs w:val="21"/>
              </w:rPr>
            </w:pPr>
            <w:r w:rsidRPr="000549B1">
              <w:rPr>
                <w:rFonts w:eastAsiaTheme="minorEastAsia"/>
                <w:bCs/>
                <w:kern w:val="0"/>
                <w:szCs w:val="21"/>
                <w:lang w:bidi="ar"/>
              </w:rPr>
              <w:t>区县</w:t>
            </w:r>
          </w:p>
        </w:tc>
        <w:tc>
          <w:tcPr>
            <w:tcW w:w="715" w:type="pct"/>
            <w:tcBorders>
              <w:top w:val="single" w:sz="4" w:space="0" w:color="000000"/>
              <w:left w:val="single" w:sz="4" w:space="0" w:color="000000"/>
              <w:bottom w:val="single" w:sz="4" w:space="0" w:color="000000"/>
              <w:right w:val="single" w:sz="4" w:space="0" w:color="000000"/>
            </w:tcBorders>
            <w:vAlign w:val="center"/>
          </w:tcPr>
          <w:p w14:paraId="5F5795F0" w14:textId="77777777" w:rsidR="00054437" w:rsidRPr="000549B1" w:rsidRDefault="00000000">
            <w:pPr>
              <w:widowControl/>
              <w:spacing w:line="240" w:lineRule="atLeast"/>
              <w:jc w:val="center"/>
              <w:textAlignment w:val="center"/>
              <w:rPr>
                <w:rFonts w:eastAsiaTheme="minorEastAsia"/>
                <w:bCs/>
                <w:szCs w:val="21"/>
              </w:rPr>
            </w:pPr>
            <w:r w:rsidRPr="000549B1">
              <w:rPr>
                <w:rFonts w:eastAsiaTheme="minorEastAsia"/>
                <w:bCs/>
                <w:kern w:val="0"/>
                <w:szCs w:val="21"/>
                <w:lang w:bidi="ar"/>
              </w:rPr>
              <w:t>污水处理厂名称</w:t>
            </w:r>
          </w:p>
        </w:tc>
        <w:tc>
          <w:tcPr>
            <w:tcW w:w="459" w:type="pct"/>
            <w:tcBorders>
              <w:top w:val="single" w:sz="4" w:space="0" w:color="000000"/>
              <w:left w:val="single" w:sz="4" w:space="0" w:color="000000"/>
              <w:bottom w:val="single" w:sz="4" w:space="0" w:color="000000"/>
              <w:right w:val="single" w:sz="4" w:space="0" w:color="000000"/>
            </w:tcBorders>
            <w:vAlign w:val="center"/>
          </w:tcPr>
          <w:p w14:paraId="3E1FF03B" w14:textId="77777777" w:rsidR="00054437" w:rsidRPr="000549B1" w:rsidRDefault="00000000">
            <w:pPr>
              <w:widowControl/>
              <w:spacing w:line="240" w:lineRule="atLeast"/>
              <w:jc w:val="center"/>
              <w:textAlignment w:val="center"/>
              <w:rPr>
                <w:rFonts w:eastAsiaTheme="minorEastAsia"/>
                <w:bCs/>
                <w:szCs w:val="21"/>
              </w:rPr>
            </w:pPr>
            <w:r w:rsidRPr="000549B1">
              <w:rPr>
                <w:rFonts w:eastAsiaTheme="minorEastAsia"/>
                <w:bCs/>
                <w:kern w:val="0"/>
                <w:szCs w:val="21"/>
                <w:lang w:bidi="ar"/>
              </w:rPr>
              <w:t>设计处理能力（万</w:t>
            </w:r>
            <w:r w:rsidRPr="000549B1">
              <w:rPr>
                <w:rFonts w:eastAsiaTheme="minorEastAsia"/>
                <w:bCs/>
                <w:kern w:val="0"/>
                <w:szCs w:val="21"/>
                <w:lang w:bidi="ar"/>
              </w:rPr>
              <w:t>t/d</w:t>
            </w:r>
            <w:r w:rsidRPr="000549B1">
              <w:rPr>
                <w:rFonts w:eastAsiaTheme="minorEastAsia"/>
                <w:bCs/>
                <w:kern w:val="0"/>
                <w:szCs w:val="21"/>
                <w:lang w:bidi="ar"/>
              </w:rPr>
              <w:t>）</w:t>
            </w:r>
          </w:p>
        </w:tc>
        <w:tc>
          <w:tcPr>
            <w:tcW w:w="766" w:type="pct"/>
            <w:tcBorders>
              <w:top w:val="single" w:sz="4" w:space="0" w:color="000000"/>
              <w:left w:val="single" w:sz="4" w:space="0" w:color="000000"/>
              <w:bottom w:val="single" w:sz="4" w:space="0" w:color="000000"/>
              <w:right w:val="single" w:sz="4" w:space="0" w:color="000000"/>
            </w:tcBorders>
            <w:vAlign w:val="center"/>
          </w:tcPr>
          <w:p w14:paraId="6A4FCB51" w14:textId="77777777" w:rsidR="00054437" w:rsidRPr="000549B1" w:rsidRDefault="00000000">
            <w:pPr>
              <w:widowControl/>
              <w:spacing w:line="240" w:lineRule="atLeast"/>
              <w:jc w:val="center"/>
              <w:textAlignment w:val="center"/>
              <w:rPr>
                <w:rFonts w:eastAsiaTheme="minorEastAsia"/>
                <w:bCs/>
                <w:szCs w:val="21"/>
              </w:rPr>
            </w:pPr>
            <w:r w:rsidRPr="000549B1">
              <w:rPr>
                <w:rFonts w:eastAsiaTheme="minorEastAsia"/>
                <w:bCs/>
                <w:kern w:val="0"/>
                <w:szCs w:val="21"/>
                <w:lang w:bidi="ar"/>
              </w:rPr>
              <w:t>实际处理量（万</w:t>
            </w:r>
            <w:r w:rsidRPr="000549B1">
              <w:rPr>
                <w:rFonts w:eastAsiaTheme="minorEastAsia"/>
                <w:bCs/>
                <w:kern w:val="0"/>
                <w:szCs w:val="21"/>
                <w:lang w:bidi="ar"/>
              </w:rPr>
              <w:t>t/d</w:t>
            </w:r>
            <w:r w:rsidRPr="000549B1">
              <w:rPr>
                <w:rFonts w:eastAsiaTheme="minorEastAsia"/>
                <w:bCs/>
                <w:kern w:val="0"/>
                <w:szCs w:val="21"/>
                <w:lang w:bidi="ar"/>
              </w:rPr>
              <w:t>）</w:t>
            </w:r>
          </w:p>
        </w:tc>
        <w:tc>
          <w:tcPr>
            <w:tcW w:w="612" w:type="pct"/>
            <w:tcBorders>
              <w:top w:val="single" w:sz="4" w:space="0" w:color="000000"/>
              <w:left w:val="single" w:sz="4" w:space="0" w:color="000000"/>
              <w:bottom w:val="single" w:sz="4" w:space="0" w:color="000000"/>
              <w:right w:val="single" w:sz="4" w:space="0" w:color="000000"/>
            </w:tcBorders>
            <w:vAlign w:val="center"/>
          </w:tcPr>
          <w:p w14:paraId="1237D1FF" w14:textId="77777777" w:rsidR="00054437" w:rsidRPr="000549B1" w:rsidRDefault="00000000">
            <w:pPr>
              <w:widowControl/>
              <w:spacing w:line="240" w:lineRule="atLeast"/>
              <w:jc w:val="center"/>
              <w:textAlignment w:val="center"/>
              <w:rPr>
                <w:rFonts w:eastAsiaTheme="minorEastAsia"/>
                <w:bCs/>
                <w:szCs w:val="21"/>
              </w:rPr>
            </w:pPr>
            <w:r w:rsidRPr="000549B1">
              <w:rPr>
                <w:rFonts w:eastAsiaTheme="minorEastAsia"/>
                <w:bCs/>
                <w:kern w:val="0"/>
                <w:szCs w:val="21"/>
                <w:lang w:bidi="ar"/>
              </w:rPr>
              <w:t>处理工艺</w:t>
            </w:r>
          </w:p>
        </w:tc>
        <w:tc>
          <w:tcPr>
            <w:tcW w:w="510" w:type="pct"/>
            <w:tcBorders>
              <w:top w:val="single" w:sz="4" w:space="0" w:color="000000"/>
              <w:left w:val="single" w:sz="4" w:space="0" w:color="000000"/>
              <w:bottom w:val="single" w:sz="4" w:space="0" w:color="000000"/>
              <w:right w:val="single" w:sz="4" w:space="0" w:color="000000"/>
            </w:tcBorders>
            <w:vAlign w:val="center"/>
          </w:tcPr>
          <w:p w14:paraId="027FE8E0" w14:textId="77777777" w:rsidR="00054437" w:rsidRPr="000549B1" w:rsidRDefault="00000000">
            <w:pPr>
              <w:widowControl/>
              <w:spacing w:line="240" w:lineRule="atLeast"/>
              <w:jc w:val="center"/>
              <w:textAlignment w:val="center"/>
              <w:rPr>
                <w:rFonts w:eastAsiaTheme="minorEastAsia"/>
                <w:bCs/>
                <w:szCs w:val="21"/>
              </w:rPr>
            </w:pPr>
            <w:r w:rsidRPr="000549B1">
              <w:rPr>
                <w:rFonts w:eastAsiaTheme="minorEastAsia"/>
                <w:bCs/>
                <w:kern w:val="0"/>
                <w:szCs w:val="21"/>
                <w:lang w:bidi="ar"/>
              </w:rPr>
              <w:t>排放标准</w:t>
            </w:r>
          </w:p>
        </w:tc>
        <w:tc>
          <w:tcPr>
            <w:tcW w:w="918" w:type="pct"/>
            <w:tcBorders>
              <w:top w:val="single" w:sz="4" w:space="0" w:color="000000"/>
              <w:left w:val="single" w:sz="4" w:space="0" w:color="000000"/>
              <w:bottom w:val="single" w:sz="4" w:space="0" w:color="000000"/>
              <w:right w:val="single" w:sz="4" w:space="0" w:color="000000"/>
            </w:tcBorders>
            <w:vAlign w:val="center"/>
          </w:tcPr>
          <w:p w14:paraId="00158690" w14:textId="77777777" w:rsidR="00054437" w:rsidRPr="000549B1" w:rsidRDefault="00000000">
            <w:pPr>
              <w:widowControl/>
              <w:spacing w:line="240" w:lineRule="atLeast"/>
              <w:jc w:val="center"/>
              <w:textAlignment w:val="center"/>
              <w:rPr>
                <w:rFonts w:eastAsiaTheme="minorEastAsia"/>
                <w:bCs/>
                <w:szCs w:val="21"/>
              </w:rPr>
            </w:pPr>
            <w:r w:rsidRPr="000549B1">
              <w:rPr>
                <w:rFonts w:eastAsiaTheme="minorEastAsia"/>
                <w:bCs/>
                <w:kern w:val="0"/>
                <w:szCs w:val="21"/>
                <w:lang w:bidi="ar"/>
              </w:rPr>
              <w:t>排放去向（受纳水体）</w:t>
            </w:r>
          </w:p>
        </w:tc>
        <w:tc>
          <w:tcPr>
            <w:tcW w:w="561" w:type="pct"/>
            <w:tcBorders>
              <w:top w:val="single" w:sz="4" w:space="0" w:color="000000"/>
              <w:left w:val="single" w:sz="4" w:space="0" w:color="000000"/>
              <w:bottom w:val="single" w:sz="4" w:space="0" w:color="000000"/>
              <w:right w:val="single" w:sz="4" w:space="0" w:color="000000"/>
            </w:tcBorders>
            <w:vAlign w:val="center"/>
          </w:tcPr>
          <w:p w14:paraId="54D7E3BB" w14:textId="77777777" w:rsidR="00054437" w:rsidRPr="000549B1" w:rsidRDefault="00000000">
            <w:pPr>
              <w:widowControl/>
              <w:spacing w:line="240" w:lineRule="atLeast"/>
              <w:jc w:val="center"/>
              <w:textAlignment w:val="center"/>
              <w:rPr>
                <w:rFonts w:eastAsiaTheme="minorEastAsia"/>
                <w:bCs/>
                <w:kern w:val="0"/>
                <w:szCs w:val="21"/>
                <w:lang w:bidi="ar"/>
              </w:rPr>
            </w:pPr>
            <w:r w:rsidRPr="000549B1">
              <w:rPr>
                <w:rFonts w:eastAsiaTheme="minorEastAsia"/>
                <w:bCs/>
                <w:kern w:val="0"/>
                <w:szCs w:val="21"/>
                <w:lang w:bidi="ar"/>
              </w:rPr>
              <w:t>是否位于沙珠玉河流域</w:t>
            </w:r>
          </w:p>
        </w:tc>
      </w:tr>
      <w:tr w:rsidR="000549B1" w:rsidRPr="000549B1" w14:paraId="6D53AFE0" w14:textId="77777777">
        <w:trPr>
          <w:trHeight w:val="283"/>
        </w:trPr>
        <w:tc>
          <w:tcPr>
            <w:tcW w:w="151" w:type="pct"/>
            <w:tcBorders>
              <w:top w:val="single" w:sz="4" w:space="0" w:color="000000"/>
              <w:left w:val="single" w:sz="4" w:space="0" w:color="000000"/>
              <w:bottom w:val="single" w:sz="4" w:space="0" w:color="000000"/>
              <w:right w:val="single" w:sz="4" w:space="0" w:color="000000"/>
            </w:tcBorders>
            <w:vAlign w:val="center"/>
          </w:tcPr>
          <w:p w14:paraId="6AB93BD3" w14:textId="77777777" w:rsidR="00054437" w:rsidRPr="000549B1" w:rsidRDefault="00000000">
            <w:pPr>
              <w:widowControl/>
              <w:spacing w:line="240" w:lineRule="atLeast"/>
              <w:jc w:val="center"/>
              <w:textAlignment w:val="center"/>
              <w:rPr>
                <w:rFonts w:eastAsiaTheme="minorEastAsia"/>
                <w:bCs/>
                <w:szCs w:val="21"/>
              </w:rPr>
            </w:pPr>
            <w:r w:rsidRPr="000549B1">
              <w:rPr>
                <w:rFonts w:eastAsiaTheme="minorEastAsia"/>
                <w:bCs/>
                <w:kern w:val="0"/>
                <w:szCs w:val="21"/>
                <w:lang w:bidi="ar"/>
              </w:rPr>
              <w:t>1</w:t>
            </w:r>
          </w:p>
        </w:tc>
        <w:tc>
          <w:tcPr>
            <w:tcW w:w="306" w:type="pct"/>
            <w:tcBorders>
              <w:top w:val="single" w:sz="4" w:space="0" w:color="000000"/>
              <w:left w:val="single" w:sz="4" w:space="0" w:color="000000"/>
              <w:bottom w:val="single" w:sz="4" w:space="0" w:color="000000"/>
              <w:right w:val="single" w:sz="4" w:space="0" w:color="000000"/>
            </w:tcBorders>
            <w:vAlign w:val="center"/>
          </w:tcPr>
          <w:p w14:paraId="5F38F3A1" w14:textId="77777777" w:rsidR="00054437" w:rsidRPr="000549B1" w:rsidRDefault="00000000">
            <w:pPr>
              <w:widowControl/>
              <w:spacing w:line="240" w:lineRule="atLeast"/>
              <w:jc w:val="center"/>
              <w:textAlignment w:val="center"/>
              <w:rPr>
                <w:rFonts w:eastAsiaTheme="minorEastAsia"/>
                <w:bCs/>
                <w:szCs w:val="21"/>
              </w:rPr>
            </w:pPr>
            <w:r w:rsidRPr="000549B1">
              <w:rPr>
                <w:rFonts w:eastAsiaTheme="minorEastAsia"/>
                <w:bCs/>
                <w:kern w:val="0"/>
                <w:szCs w:val="21"/>
                <w:lang w:bidi="ar"/>
              </w:rPr>
              <w:t>共和县</w:t>
            </w:r>
          </w:p>
        </w:tc>
        <w:tc>
          <w:tcPr>
            <w:tcW w:w="715" w:type="pct"/>
            <w:tcBorders>
              <w:top w:val="single" w:sz="4" w:space="0" w:color="000000"/>
              <w:left w:val="single" w:sz="4" w:space="0" w:color="000000"/>
              <w:bottom w:val="single" w:sz="4" w:space="0" w:color="000000"/>
              <w:right w:val="single" w:sz="4" w:space="0" w:color="000000"/>
            </w:tcBorders>
            <w:vAlign w:val="center"/>
          </w:tcPr>
          <w:p w14:paraId="26E7497F" w14:textId="77777777" w:rsidR="00054437" w:rsidRPr="000549B1" w:rsidRDefault="00000000">
            <w:pPr>
              <w:widowControl/>
              <w:spacing w:line="240" w:lineRule="atLeast"/>
              <w:jc w:val="center"/>
              <w:textAlignment w:val="center"/>
              <w:rPr>
                <w:rFonts w:eastAsiaTheme="minorEastAsia"/>
                <w:bCs/>
                <w:szCs w:val="21"/>
              </w:rPr>
            </w:pPr>
            <w:r w:rsidRPr="000549B1">
              <w:rPr>
                <w:rFonts w:eastAsiaTheme="minorEastAsia"/>
                <w:bCs/>
                <w:kern w:val="0"/>
                <w:szCs w:val="21"/>
                <w:lang w:bidi="ar"/>
              </w:rPr>
              <w:t>县城污水处理厂</w:t>
            </w:r>
          </w:p>
        </w:tc>
        <w:tc>
          <w:tcPr>
            <w:tcW w:w="459" w:type="pct"/>
            <w:tcBorders>
              <w:top w:val="single" w:sz="4" w:space="0" w:color="000000"/>
              <w:left w:val="single" w:sz="4" w:space="0" w:color="000000"/>
              <w:bottom w:val="single" w:sz="4" w:space="0" w:color="000000"/>
              <w:right w:val="single" w:sz="4" w:space="0" w:color="000000"/>
            </w:tcBorders>
            <w:vAlign w:val="center"/>
          </w:tcPr>
          <w:p w14:paraId="11FB5718" w14:textId="77777777" w:rsidR="00054437" w:rsidRPr="000549B1" w:rsidRDefault="00000000">
            <w:pPr>
              <w:widowControl/>
              <w:spacing w:line="240" w:lineRule="atLeast"/>
              <w:jc w:val="center"/>
              <w:textAlignment w:val="center"/>
              <w:rPr>
                <w:rFonts w:eastAsiaTheme="minorEastAsia"/>
                <w:bCs/>
                <w:szCs w:val="21"/>
              </w:rPr>
            </w:pPr>
            <w:r w:rsidRPr="000549B1">
              <w:rPr>
                <w:rFonts w:eastAsiaTheme="minorEastAsia"/>
                <w:bCs/>
                <w:kern w:val="0"/>
                <w:szCs w:val="21"/>
                <w:lang w:bidi="ar"/>
              </w:rPr>
              <w:t>3</w:t>
            </w:r>
          </w:p>
        </w:tc>
        <w:tc>
          <w:tcPr>
            <w:tcW w:w="766" w:type="pct"/>
            <w:tcBorders>
              <w:top w:val="single" w:sz="4" w:space="0" w:color="000000"/>
              <w:left w:val="single" w:sz="4" w:space="0" w:color="000000"/>
              <w:bottom w:val="single" w:sz="4" w:space="0" w:color="000000"/>
              <w:right w:val="single" w:sz="4" w:space="0" w:color="000000"/>
            </w:tcBorders>
            <w:vAlign w:val="center"/>
          </w:tcPr>
          <w:p w14:paraId="7248F1E8" w14:textId="77777777" w:rsidR="00054437" w:rsidRPr="000549B1" w:rsidRDefault="00000000">
            <w:pPr>
              <w:widowControl/>
              <w:spacing w:line="240" w:lineRule="atLeast"/>
              <w:jc w:val="center"/>
              <w:textAlignment w:val="center"/>
              <w:rPr>
                <w:rFonts w:eastAsiaTheme="minorEastAsia"/>
                <w:bCs/>
                <w:szCs w:val="21"/>
              </w:rPr>
            </w:pPr>
            <w:r w:rsidRPr="000549B1">
              <w:rPr>
                <w:rFonts w:eastAsiaTheme="minorEastAsia"/>
                <w:bCs/>
                <w:kern w:val="0"/>
                <w:szCs w:val="21"/>
                <w:lang w:bidi="ar"/>
              </w:rPr>
              <w:t>1.6~2.7</w:t>
            </w:r>
          </w:p>
        </w:tc>
        <w:tc>
          <w:tcPr>
            <w:tcW w:w="612" w:type="pct"/>
            <w:tcBorders>
              <w:top w:val="single" w:sz="4" w:space="0" w:color="000000"/>
              <w:left w:val="single" w:sz="4" w:space="0" w:color="000000"/>
              <w:bottom w:val="single" w:sz="4" w:space="0" w:color="000000"/>
              <w:right w:val="single" w:sz="4" w:space="0" w:color="000000"/>
            </w:tcBorders>
            <w:vAlign w:val="center"/>
          </w:tcPr>
          <w:p w14:paraId="73754857" w14:textId="77777777" w:rsidR="00054437" w:rsidRPr="000549B1" w:rsidRDefault="00000000">
            <w:pPr>
              <w:widowControl/>
              <w:spacing w:line="240" w:lineRule="atLeast"/>
              <w:jc w:val="center"/>
              <w:textAlignment w:val="center"/>
              <w:rPr>
                <w:rFonts w:eastAsiaTheme="minorEastAsia"/>
                <w:bCs/>
                <w:szCs w:val="21"/>
              </w:rPr>
            </w:pPr>
            <w:r w:rsidRPr="000549B1">
              <w:rPr>
                <w:rFonts w:eastAsiaTheme="minorEastAsia"/>
                <w:bCs/>
                <w:kern w:val="0"/>
                <w:szCs w:val="21"/>
                <w:lang w:bidi="ar"/>
              </w:rPr>
              <w:t>氧化沟工艺</w:t>
            </w:r>
          </w:p>
        </w:tc>
        <w:tc>
          <w:tcPr>
            <w:tcW w:w="510" w:type="pct"/>
            <w:tcBorders>
              <w:top w:val="single" w:sz="4" w:space="0" w:color="000000"/>
              <w:left w:val="single" w:sz="4" w:space="0" w:color="000000"/>
              <w:bottom w:val="single" w:sz="4" w:space="0" w:color="000000"/>
              <w:right w:val="single" w:sz="4" w:space="0" w:color="000000"/>
            </w:tcBorders>
            <w:vAlign w:val="center"/>
          </w:tcPr>
          <w:p w14:paraId="75652392" w14:textId="77777777" w:rsidR="00054437" w:rsidRPr="000549B1" w:rsidRDefault="00000000">
            <w:pPr>
              <w:widowControl/>
              <w:spacing w:line="240" w:lineRule="atLeast"/>
              <w:jc w:val="center"/>
              <w:textAlignment w:val="center"/>
              <w:rPr>
                <w:rFonts w:eastAsiaTheme="minorEastAsia"/>
                <w:bCs/>
                <w:szCs w:val="21"/>
              </w:rPr>
            </w:pPr>
            <w:r w:rsidRPr="000549B1">
              <w:rPr>
                <w:rFonts w:eastAsiaTheme="minorEastAsia"/>
                <w:bCs/>
                <w:kern w:val="0"/>
                <w:szCs w:val="21"/>
                <w:lang w:bidi="ar"/>
              </w:rPr>
              <w:t>一级</w:t>
            </w:r>
            <w:r w:rsidRPr="000549B1">
              <w:rPr>
                <w:rFonts w:eastAsiaTheme="minorEastAsia"/>
                <w:bCs/>
                <w:kern w:val="0"/>
                <w:szCs w:val="21"/>
                <w:lang w:bidi="ar"/>
              </w:rPr>
              <w:t>A</w:t>
            </w:r>
            <w:r w:rsidRPr="000549B1">
              <w:rPr>
                <w:rFonts w:eastAsiaTheme="minorEastAsia"/>
                <w:bCs/>
                <w:kern w:val="0"/>
                <w:szCs w:val="21"/>
                <w:lang w:bidi="ar"/>
              </w:rPr>
              <w:t>标准</w:t>
            </w:r>
          </w:p>
        </w:tc>
        <w:tc>
          <w:tcPr>
            <w:tcW w:w="918" w:type="pct"/>
            <w:tcBorders>
              <w:top w:val="single" w:sz="4" w:space="0" w:color="000000"/>
              <w:left w:val="single" w:sz="4" w:space="0" w:color="000000"/>
              <w:bottom w:val="single" w:sz="4" w:space="0" w:color="000000"/>
              <w:right w:val="single" w:sz="4" w:space="0" w:color="000000"/>
            </w:tcBorders>
            <w:vAlign w:val="center"/>
          </w:tcPr>
          <w:p w14:paraId="44127C85" w14:textId="77777777" w:rsidR="00054437" w:rsidRPr="000549B1" w:rsidRDefault="00000000">
            <w:pPr>
              <w:widowControl/>
              <w:spacing w:line="240" w:lineRule="atLeast"/>
              <w:jc w:val="center"/>
              <w:textAlignment w:val="center"/>
              <w:rPr>
                <w:rFonts w:eastAsiaTheme="minorEastAsia"/>
                <w:bCs/>
                <w:szCs w:val="21"/>
              </w:rPr>
            </w:pPr>
            <w:r w:rsidRPr="000549B1">
              <w:rPr>
                <w:rFonts w:eastAsiaTheme="minorEastAsia"/>
                <w:bCs/>
                <w:kern w:val="0"/>
                <w:szCs w:val="21"/>
                <w:lang w:bidi="ar"/>
              </w:rPr>
              <w:t>排入收纳水井之后恰卜恰河、龙羊峡库区</w:t>
            </w:r>
          </w:p>
        </w:tc>
        <w:tc>
          <w:tcPr>
            <w:tcW w:w="561" w:type="pct"/>
            <w:tcBorders>
              <w:top w:val="single" w:sz="4" w:space="0" w:color="000000"/>
              <w:left w:val="single" w:sz="4" w:space="0" w:color="000000"/>
              <w:bottom w:val="single" w:sz="4" w:space="0" w:color="000000"/>
              <w:right w:val="single" w:sz="4" w:space="0" w:color="000000"/>
            </w:tcBorders>
            <w:vAlign w:val="center"/>
          </w:tcPr>
          <w:p w14:paraId="143FC420" w14:textId="77777777" w:rsidR="00054437" w:rsidRPr="000549B1" w:rsidRDefault="00000000">
            <w:pPr>
              <w:widowControl/>
              <w:spacing w:line="240" w:lineRule="atLeast"/>
              <w:jc w:val="center"/>
              <w:textAlignment w:val="center"/>
              <w:rPr>
                <w:rFonts w:eastAsiaTheme="minorEastAsia"/>
                <w:bCs/>
                <w:kern w:val="0"/>
                <w:szCs w:val="21"/>
                <w:lang w:bidi="ar"/>
              </w:rPr>
            </w:pPr>
            <w:r w:rsidRPr="000549B1">
              <w:rPr>
                <w:rFonts w:eastAsiaTheme="minorEastAsia"/>
                <w:bCs/>
                <w:kern w:val="0"/>
                <w:szCs w:val="21"/>
                <w:lang w:bidi="ar"/>
              </w:rPr>
              <w:t>否</w:t>
            </w:r>
          </w:p>
        </w:tc>
      </w:tr>
      <w:tr w:rsidR="000549B1" w:rsidRPr="000549B1" w14:paraId="73B334D0" w14:textId="77777777">
        <w:trPr>
          <w:trHeight w:val="283"/>
        </w:trPr>
        <w:tc>
          <w:tcPr>
            <w:tcW w:w="151" w:type="pct"/>
            <w:tcBorders>
              <w:top w:val="single" w:sz="4" w:space="0" w:color="000000"/>
              <w:left w:val="single" w:sz="4" w:space="0" w:color="000000"/>
              <w:bottom w:val="single" w:sz="4" w:space="0" w:color="000000"/>
              <w:right w:val="single" w:sz="4" w:space="0" w:color="000000"/>
            </w:tcBorders>
            <w:vAlign w:val="center"/>
          </w:tcPr>
          <w:p w14:paraId="3E8F23AE" w14:textId="77777777" w:rsidR="00054437" w:rsidRPr="000549B1" w:rsidRDefault="00000000">
            <w:pPr>
              <w:widowControl/>
              <w:spacing w:line="240" w:lineRule="atLeast"/>
              <w:jc w:val="center"/>
              <w:textAlignment w:val="center"/>
              <w:rPr>
                <w:rFonts w:eastAsiaTheme="minorEastAsia"/>
                <w:bCs/>
                <w:szCs w:val="21"/>
              </w:rPr>
            </w:pPr>
            <w:r w:rsidRPr="000549B1">
              <w:rPr>
                <w:rFonts w:eastAsiaTheme="minorEastAsia"/>
                <w:bCs/>
                <w:kern w:val="0"/>
                <w:szCs w:val="21"/>
                <w:lang w:bidi="ar"/>
              </w:rPr>
              <w:t>2</w:t>
            </w:r>
          </w:p>
        </w:tc>
        <w:tc>
          <w:tcPr>
            <w:tcW w:w="306" w:type="pct"/>
            <w:tcBorders>
              <w:top w:val="single" w:sz="4" w:space="0" w:color="000000"/>
              <w:left w:val="single" w:sz="4" w:space="0" w:color="000000"/>
              <w:bottom w:val="single" w:sz="4" w:space="0" w:color="000000"/>
              <w:right w:val="single" w:sz="4" w:space="0" w:color="000000"/>
            </w:tcBorders>
            <w:vAlign w:val="center"/>
          </w:tcPr>
          <w:p w14:paraId="14589511" w14:textId="77777777" w:rsidR="00054437" w:rsidRPr="000549B1" w:rsidRDefault="00000000">
            <w:pPr>
              <w:widowControl/>
              <w:spacing w:line="240" w:lineRule="atLeast"/>
              <w:jc w:val="center"/>
              <w:textAlignment w:val="center"/>
              <w:rPr>
                <w:rFonts w:eastAsiaTheme="minorEastAsia"/>
                <w:bCs/>
                <w:szCs w:val="21"/>
              </w:rPr>
            </w:pPr>
            <w:r w:rsidRPr="000549B1">
              <w:rPr>
                <w:rFonts w:eastAsiaTheme="minorEastAsia"/>
                <w:bCs/>
                <w:kern w:val="0"/>
                <w:szCs w:val="21"/>
                <w:lang w:bidi="ar"/>
              </w:rPr>
              <w:t>共和县</w:t>
            </w:r>
          </w:p>
        </w:tc>
        <w:tc>
          <w:tcPr>
            <w:tcW w:w="715" w:type="pct"/>
            <w:tcBorders>
              <w:top w:val="single" w:sz="4" w:space="0" w:color="000000"/>
              <w:left w:val="single" w:sz="4" w:space="0" w:color="000000"/>
              <w:bottom w:val="single" w:sz="4" w:space="0" w:color="000000"/>
              <w:right w:val="single" w:sz="4" w:space="0" w:color="000000"/>
            </w:tcBorders>
            <w:vAlign w:val="center"/>
          </w:tcPr>
          <w:p w14:paraId="255B7243" w14:textId="77777777" w:rsidR="00054437" w:rsidRPr="000549B1" w:rsidRDefault="00000000">
            <w:pPr>
              <w:widowControl/>
              <w:spacing w:line="240" w:lineRule="atLeast"/>
              <w:jc w:val="center"/>
              <w:textAlignment w:val="center"/>
              <w:rPr>
                <w:rFonts w:eastAsiaTheme="minorEastAsia"/>
                <w:bCs/>
                <w:szCs w:val="21"/>
              </w:rPr>
            </w:pPr>
            <w:r w:rsidRPr="000549B1">
              <w:rPr>
                <w:rFonts w:eastAsiaTheme="minorEastAsia"/>
                <w:bCs/>
                <w:kern w:val="0"/>
                <w:szCs w:val="21"/>
                <w:lang w:bidi="ar"/>
              </w:rPr>
              <w:t>龙羊峡污水处理厂</w:t>
            </w:r>
          </w:p>
        </w:tc>
        <w:tc>
          <w:tcPr>
            <w:tcW w:w="459" w:type="pct"/>
            <w:tcBorders>
              <w:top w:val="single" w:sz="4" w:space="0" w:color="000000"/>
              <w:left w:val="single" w:sz="4" w:space="0" w:color="000000"/>
              <w:bottom w:val="single" w:sz="4" w:space="0" w:color="000000"/>
              <w:right w:val="single" w:sz="4" w:space="0" w:color="000000"/>
            </w:tcBorders>
            <w:vAlign w:val="center"/>
          </w:tcPr>
          <w:p w14:paraId="403B39F3" w14:textId="77777777" w:rsidR="00054437" w:rsidRPr="000549B1" w:rsidRDefault="00000000">
            <w:pPr>
              <w:widowControl/>
              <w:spacing w:line="240" w:lineRule="atLeast"/>
              <w:jc w:val="center"/>
              <w:textAlignment w:val="center"/>
              <w:rPr>
                <w:rFonts w:eastAsiaTheme="minorEastAsia"/>
                <w:bCs/>
                <w:szCs w:val="21"/>
              </w:rPr>
            </w:pPr>
            <w:r w:rsidRPr="000549B1">
              <w:rPr>
                <w:rFonts w:eastAsiaTheme="minorEastAsia"/>
                <w:bCs/>
                <w:kern w:val="0"/>
                <w:szCs w:val="21"/>
                <w:lang w:bidi="ar"/>
              </w:rPr>
              <w:t>0.2</w:t>
            </w:r>
          </w:p>
        </w:tc>
        <w:tc>
          <w:tcPr>
            <w:tcW w:w="766" w:type="pct"/>
            <w:tcBorders>
              <w:top w:val="single" w:sz="4" w:space="0" w:color="000000"/>
              <w:left w:val="single" w:sz="4" w:space="0" w:color="000000"/>
              <w:bottom w:val="single" w:sz="4" w:space="0" w:color="000000"/>
              <w:right w:val="single" w:sz="4" w:space="0" w:color="000000"/>
            </w:tcBorders>
            <w:vAlign w:val="center"/>
          </w:tcPr>
          <w:p w14:paraId="3B2AEF4D" w14:textId="77777777" w:rsidR="00054437" w:rsidRPr="000549B1" w:rsidRDefault="00000000">
            <w:pPr>
              <w:widowControl/>
              <w:spacing w:line="240" w:lineRule="atLeast"/>
              <w:jc w:val="center"/>
              <w:textAlignment w:val="center"/>
              <w:rPr>
                <w:rFonts w:eastAsiaTheme="minorEastAsia"/>
                <w:bCs/>
                <w:szCs w:val="21"/>
              </w:rPr>
            </w:pPr>
            <w:r w:rsidRPr="000549B1">
              <w:rPr>
                <w:rFonts w:eastAsiaTheme="minorEastAsia"/>
                <w:bCs/>
                <w:kern w:val="0"/>
                <w:szCs w:val="21"/>
                <w:lang w:bidi="ar"/>
              </w:rPr>
              <w:t>0.08~0.15</w:t>
            </w:r>
          </w:p>
        </w:tc>
        <w:tc>
          <w:tcPr>
            <w:tcW w:w="612" w:type="pct"/>
            <w:tcBorders>
              <w:top w:val="single" w:sz="4" w:space="0" w:color="000000"/>
              <w:left w:val="single" w:sz="4" w:space="0" w:color="000000"/>
              <w:bottom w:val="single" w:sz="4" w:space="0" w:color="000000"/>
              <w:right w:val="single" w:sz="4" w:space="0" w:color="000000"/>
            </w:tcBorders>
            <w:vAlign w:val="center"/>
          </w:tcPr>
          <w:p w14:paraId="792B3682" w14:textId="77777777" w:rsidR="00054437" w:rsidRPr="000549B1" w:rsidRDefault="00000000">
            <w:pPr>
              <w:widowControl/>
              <w:spacing w:line="240" w:lineRule="atLeast"/>
              <w:jc w:val="center"/>
              <w:textAlignment w:val="center"/>
              <w:rPr>
                <w:rFonts w:eastAsiaTheme="minorEastAsia"/>
                <w:bCs/>
                <w:szCs w:val="21"/>
              </w:rPr>
            </w:pPr>
            <w:r w:rsidRPr="000549B1">
              <w:rPr>
                <w:rFonts w:eastAsiaTheme="minorEastAsia"/>
                <w:bCs/>
                <w:kern w:val="0"/>
                <w:szCs w:val="21"/>
                <w:lang w:bidi="ar"/>
              </w:rPr>
              <w:t>AA/O</w:t>
            </w:r>
            <w:r w:rsidRPr="000549B1">
              <w:rPr>
                <w:rFonts w:eastAsiaTheme="minorEastAsia"/>
                <w:bCs/>
                <w:kern w:val="0"/>
                <w:szCs w:val="21"/>
                <w:lang w:bidi="ar"/>
              </w:rPr>
              <w:t>工艺</w:t>
            </w:r>
          </w:p>
        </w:tc>
        <w:tc>
          <w:tcPr>
            <w:tcW w:w="510" w:type="pct"/>
            <w:tcBorders>
              <w:top w:val="single" w:sz="4" w:space="0" w:color="000000"/>
              <w:left w:val="single" w:sz="4" w:space="0" w:color="000000"/>
              <w:bottom w:val="single" w:sz="4" w:space="0" w:color="000000"/>
              <w:right w:val="single" w:sz="4" w:space="0" w:color="000000"/>
            </w:tcBorders>
            <w:vAlign w:val="center"/>
          </w:tcPr>
          <w:p w14:paraId="09D71BC1" w14:textId="77777777" w:rsidR="00054437" w:rsidRPr="000549B1" w:rsidRDefault="00000000">
            <w:pPr>
              <w:widowControl/>
              <w:spacing w:line="240" w:lineRule="atLeast"/>
              <w:jc w:val="center"/>
              <w:textAlignment w:val="center"/>
              <w:rPr>
                <w:rFonts w:eastAsiaTheme="minorEastAsia"/>
                <w:bCs/>
                <w:szCs w:val="21"/>
              </w:rPr>
            </w:pPr>
            <w:r w:rsidRPr="000549B1">
              <w:rPr>
                <w:rFonts w:eastAsiaTheme="minorEastAsia"/>
                <w:bCs/>
                <w:kern w:val="0"/>
                <w:szCs w:val="21"/>
                <w:lang w:bidi="ar"/>
              </w:rPr>
              <w:t>一级</w:t>
            </w:r>
            <w:r w:rsidRPr="000549B1">
              <w:rPr>
                <w:rStyle w:val="font91"/>
                <w:rFonts w:eastAsiaTheme="minorEastAsia"/>
                <w:bCs w:val="0"/>
                <w:color w:val="auto"/>
                <w:sz w:val="21"/>
                <w:szCs w:val="21"/>
                <w:lang w:bidi="ar"/>
              </w:rPr>
              <w:t>A</w:t>
            </w:r>
            <w:r w:rsidRPr="000549B1">
              <w:rPr>
                <w:rFonts w:eastAsiaTheme="minorEastAsia"/>
                <w:bCs/>
                <w:kern w:val="0"/>
                <w:szCs w:val="21"/>
                <w:lang w:bidi="ar"/>
              </w:rPr>
              <w:t>标准</w:t>
            </w:r>
          </w:p>
        </w:tc>
        <w:tc>
          <w:tcPr>
            <w:tcW w:w="918" w:type="pct"/>
            <w:tcBorders>
              <w:top w:val="single" w:sz="4" w:space="0" w:color="000000"/>
              <w:left w:val="single" w:sz="4" w:space="0" w:color="000000"/>
              <w:bottom w:val="single" w:sz="4" w:space="0" w:color="000000"/>
              <w:right w:val="single" w:sz="4" w:space="0" w:color="000000"/>
            </w:tcBorders>
            <w:vAlign w:val="center"/>
          </w:tcPr>
          <w:p w14:paraId="1C507EC7" w14:textId="77777777" w:rsidR="00054437" w:rsidRPr="000549B1" w:rsidRDefault="00000000">
            <w:pPr>
              <w:widowControl/>
              <w:spacing w:line="240" w:lineRule="atLeast"/>
              <w:jc w:val="center"/>
              <w:textAlignment w:val="center"/>
              <w:rPr>
                <w:rFonts w:eastAsiaTheme="minorEastAsia"/>
                <w:bCs/>
                <w:szCs w:val="21"/>
              </w:rPr>
            </w:pPr>
            <w:r w:rsidRPr="000549B1">
              <w:rPr>
                <w:rFonts w:eastAsiaTheme="minorEastAsia"/>
                <w:bCs/>
                <w:kern w:val="0"/>
                <w:szCs w:val="21"/>
                <w:lang w:bidi="ar"/>
              </w:rPr>
              <w:t>农业灌溉、道路喷洒</w:t>
            </w:r>
          </w:p>
        </w:tc>
        <w:tc>
          <w:tcPr>
            <w:tcW w:w="561" w:type="pct"/>
            <w:tcBorders>
              <w:top w:val="single" w:sz="4" w:space="0" w:color="000000"/>
              <w:left w:val="single" w:sz="4" w:space="0" w:color="000000"/>
              <w:bottom w:val="single" w:sz="4" w:space="0" w:color="000000"/>
              <w:right w:val="single" w:sz="4" w:space="0" w:color="000000"/>
            </w:tcBorders>
            <w:vAlign w:val="center"/>
          </w:tcPr>
          <w:p w14:paraId="571C4C98" w14:textId="77777777" w:rsidR="00054437" w:rsidRPr="000549B1" w:rsidRDefault="00000000">
            <w:pPr>
              <w:widowControl/>
              <w:spacing w:line="240" w:lineRule="atLeast"/>
              <w:jc w:val="center"/>
              <w:textAlignment w:val="center"/>
              <w:rPr>
                <w:rFonts w:eastAsiaTheme="minorEastAsia"/>
                <w:bCs/>
                <w:kern w:val="0"/>
                <w:szCs w:val="21"/>
                <w:lang w:bidi="ar"/>
              </w:rPr>
            </w:pPr>
            <w:r w:rsidRPr="000549B1">
              <w:rPr>
                <w:rFonts w:eastAsiaTheme="minorEastAsia"/>
                <w:bCs/>
                <w:kern w:val="0"/>
                <w:szCs w:val="21"/>
                <w:lang w:bidi="ar"/>
              </w:rPr>
              <w:t>否</w:t>
            </w:r>
          </w:p>
        </w:tc>
      </w:tr>
      <w:tr w:rsidR="000549B1" w:rsidRPr="000549B1" w14:paraId="195F835D" w14:textId="77777777">
        <w:trPr>
          <w:trHeight w:val="283"/>
        </w:trPr>
        <w:tc>
          <w:tcPr>
            <w:tcW w:w="151" w:type="pct"/>
            <w:tcBorders>
              <w:top w:val="single" w:sz="4" w:space="0" w:color="000000"/>
              <w:left w:val="single" w:sz="4" w:space="0" w:color="000000"/>
              <w:bottom w:val="single" w:sz="4" w:space="0" w:color="000000"/>
              <w:right w:val="single" w:sz="4" w:space="0" w:color="000000"/>
            </w:tcBorders>
            <w:vAlign w:val="center"/>
          </w:tcPr>
          <w:p w14:paraId="3CFE0859" w14:textId="77777777" w:rsidR="00054437" w:rsidRPr="000549B1" w:rsidRDefault="00000000">
            <w:pPr>
              <w:widowControl/>
              <w:spacing w:line="240" w:lineRule="atLeast"/>
              <w:jc w:val="center"/>
              <w:textAlignment w:val="center"/>
              <w:rPr>
                <w:rFonts w:eastAsiaTheme="minorEastAsia"/>
                <w:bCs/>
                <w:szCs w:val="21"/>
              </w:rPr>
            </w:pPr>
            <w:r w:rsidRPr="000549B1">
              <w:rPr>
                <w:rFonts w:eastAsiaTheme="minorEastAsia"/>
                <w:bCs/>
                <w:kern w:val="0"/>
                <w:szCs w:val="21"/>
                <w:lang w:bidi="ar"/>
              </w:rPr>
              <w:t>3</w:t>
            </w:r>
          </w:p>
        </w:tc>
        <w:tc>
          <w:tcPr>
            <w:tcW w:w="306" w:type="pct"/>
            <w:tcBorders>
              <w:top w:val="single" w:sz="4" w:space="0" w:color="000000"/>
              <w:left w:val="single" w:sz="4" w:space="0" w:color="000000"/>
              <w:bottom w:val="single" w:sz="4" w:space="0" w:color="000000"/>
              <w:right w:val="single" w:sz="4" w:space="0" w:color="000000"/>
            </w:tcBorders>
            <w:vAlign w:val="center"/>
          </w:tcPr>
          <w:p w14:paraId="789310AD" w14:textId="77777777" w:rsidR="00054437" w:rsidRPr="000549B1" w:rsidRDefault="00000000">
            <w:pPr>
              <w:widowControl/>
              <w:spacing w:line="240" w:lineRule="atLeast"/>
              <w:jc w:val="center"/>
              <w:textAlignment w:val="center"/>
              <w:rPr>
                <w:rFonts w:eastAsiaTheme="minorEastAsia"/>
                <w:bCs/>
                <w:szCs w:val="21"/>
              </w:rPr>
            </w:pPr>
            <w:r w:rsidRPr="000549B1">
              <w:rPr>
                <w:rFonts w:eastAsiaTheme="minorEastAsia"/>
                <w:bCs/>
                <w:kern w:val="0"/>
                <w:szCs w:val="21"/>
                <w:lang w:bidi="ar"/>
              </w:rPr>
              <w:t>共和县</w:t>
            </w:r>
          </w:p>
        </w:tc>
        <w:tc>
          <w:tcPr>
            <w:tcW w:w="715" w:type="pct"/>
            <w:tcBorders>
              <w:top w:val="single" w:sz="4" w:space="0" w:color="000000"/>
              <w:left w:val="single" w:sz="4" w:space="0" w:color="000000"/>
              <w:bottom w:val="single" w:sz="4" w:space="0" w:color="000000"/>
              <w:right w:val="single" w:sz="4" w:space="0" w:color="000000"/>
            </w:tcBorders>
            <w:vAlign w:val="center"/>
          </w:tcPr>
          <w:p w14:paraId="3CF3AE97" w14:textId="77777777" w:rsidR="00054437" w:rsidRPr="000549B1" w:rsidRDefault="00000000">
            <w:pPr>
              <w:widowControl/>
              <w:spacing w:line="240" w:lineRule="atLeast"/>
              <w:jc w:val="center"/>
              <w:textAlignment w:val="center"/>
              <w:rPr>
                <w:rFonts w:eastAsiaTheme="minorEastAsia"/>
                <w:bCs/>
                <w:szCs w:val="21"/>
              </w:rPr>
            </w:pPr>
            <w:r w:rsidRPr="000549B1">
              <w:rPr>
                <w:rFonts w:eastAsiaTheme="minorEastAsia"/>
                <w:bCs/>
                <w:kern w:val="0"/>
                <w:szCs w:val="21"/>
                <w:lang w:bidi="ar"/>
              </w:rPr>
              <w:t>石乃亥污水处理厂</w:t>
            </w:r>
          </w:p>
        </w:tc>
        <w:tc>
          <w:tcPr>
            <w:tcW w:w="459" w:type="pct"/>
            <w:tcBorders>
              <w:top w:val="single" w:sz="4" w:space="0" w:color="000000"/>
              <w:left w:val="single" w:sz="4" w:space="0" w:color="000000"/>
              <w:bottom w:val="single" w:sz="4" w:space="0" w:color="000000"/>
              <w:right w:val="single" w:sz="4" w:space="0" w:color="000000"/>
            </w:tcBorders>
            <w:vAlign w:val="center"/>
          </w:tcPr>
          <w:p w14:paraId="6B7DA680" w14:textId="77777777" w:rsidR="00054437" w:rsidRPr="000549B1" w:rsidRDefault="00000000">
            <w:pPr>
              <w:widowControl/>
              <w:spacing w:line="240" w:lineRule="atLeast"/>
              <w:jc w:val="center"/>
              <w:textAlignment w:val="center"/>
              <w:rPr>
                <w:rFonts w:eastAsiaTheme="minorEastAsia"/>
                <w:bCs/>
                <w:szCs w:val="21"/>
              </w:rPr>
            </w:pPr>
            <w:r w:rsidRPr="000549B1">
              <w:rPr>
                <w:rFonts w:eastAsiaTheme="minorEastAsia"/>
                <w:bCs/>
                <w:kern w:val="0"/>
                <w:szCs w:val="21"/>
                <w:lang w:bidi="ar"/>
              </w:rPr>
              <w:t>0.04</w:t>
            </w:r>
          </w:p>
        </w:tc>
        <w:tc>
          <w:tcPr>
            <w:tcW w:w="766" w:type="pct"/>
            <w:tcBorders>
              <w:top w:val="single" w:sz="4" w:space="0" w:color="000000"/>
              <w:left w:val="single" w:sz="4" w:space="0" w:color="000000"/>
              <w:bottom w:val="single" w:sz="4" w:space="0" w:color="000000"/>
              <w:right w:val="single" w:sz="4" w:space="0" w:color="000000"/>
            </w:tcBorders>
            <w:vAlign w:val="center"/>
          </w:tcPr>
          <w:p w14:paraId="4E697FEC" w14:textId="77777777" w:rsidR="00054437" w:rsidRPr="000549B1" w:rsidRDefault="00000000">
            <w:pPr>
              <w:widowControl/>
              <w:spacing w:line="240" w:lineRule="atLeast"/>
              <w:jc w:val="center"/>
              <w:textAlignment w:val="center"/>
              <w:rPr>
                <w:rFonts w:eastAsiaTheme="minorEastAsia"/>
                <w:bCs/>
                <w:szCs w:val="21"/>
              </w:rPr>
            </w:pPr>
            <w:r w:rsidRPr="000549B1">
              <w:rPr>
                <w:rFonts w:eastAsiaTheme="minorEastAsia"/>
                <w:bCs/>
                <w:kern w:val="0"/>
                <w:szCs w:val="21"/>
                <w:lang w:bidi="ar"/>
              </w:rPr>
              <w:t>0.006~0.015</w:t>
            </w:r>
          </w:p>
        </w:tc>
        <w:tc>
          <w:tcPr>
            <w:tcW w:w="612" w:type="pct"/>
            <w:tcBorders>
              <w:top w:val="single" w:sz="4" w:space="0" w:color="000000"/>
              <w:left w:val="single" w:sz="4" w:space="0" w:color="000000"/>
              <w:bottom w:val="single" w:sz="4" w:space="0" w:color="000000"/>
              <w:right w:val="single" w:sz="4" w:space="0" w:color="000000"/>
            </w:tcBorders>
            <w:vAlign w:val="center"/>
          </w:tcPr>
          <w:p w14:paraId="405D71A7" w14:textId="77777777" w:rsidR="00054437" w:rsidRPr="000549B1" w:rsidRDefault="00000000">
            <w:pPr>
              <w:widowControl/>
              <w:spacing w:line="240" w:lineRule="atLeast"/>
              <w:jc w:val="center"/>
              <w:textAlignment w:val="center"/>
              <w:rPr>
                <w:rFonts w:eastAsiaTheme="minorEastAsia"/>
                <w:bCs/>
                <w:szCs w:val="21"/>
              </w:rPr>
            </w:pPr>
            <w:r w:rsidRPr="000549B1">
              <w:rPr>
                <w:rFonts w:eastAsiaTheme="minorEastAsia"/>
                <w:bCs/>
                <w:kern w:val="0"/>
                <w:szCs w:val="21"/>
                <w:lang w:bidi="ar"/>
              </w:rPr>
              <w:t>AA/O</w:t>
            </w:r>
            <w:r w:rsidRPr="000549B1">
              <w:rPr>
                <w:rFonts w:eastAsiaTheme="minorEastAsia"/>
                <w:bCs/>
                <w:kern w:val="0"/>
                <w:szCs w:val="21"/>
                <w:lang w:bidi="ar"/>
              </w:rPr>
              <w:t>工艺</w:t>
            </w:r>
          </w:p>
        </w:tc>
        <w:tc>
          <w:tcPr>
            <w:tcW w:w="510" w:type="pct"/>
            <w:tcBorders>
              <w:top w:val="single" w:sz="4" w:space="0" w:color="000000"/>
              <w:left w:val="single" w:sz="4" w:space="0" w:color="000000"/>
              <w:bottom w:val="single" w:sz="4" w:space="0" w:color="000000"/>
              <w:right w:val="single" w:sz="4" w:space="0" w:color="000000"/>
            </w:tcBorders>
            <w:vAlign w:val="center"/>
          </w:tcPr>
          <w:p w14:paraId="5BDDE33E" w14:textId="77777777" w:rsidR="00054437" w:rsidRPr="000549B1" w:rsidRDefault="00000000">
            <w:pPr>
              <w:widowControl/>
              <w:spacing w:line="240" w:lineRule="atLeast"/>
              <w:jc w:val="center"/>
              <w:textAlignment w:val="center"/>
              <w:rPr>
                <w:rFonts w:eastAsiaTheme="minorEastAsia"/>
                <w:bCs/>
                <w:szCs w:val="21"/>
              </w:rPr>
            </w:pPr>
            <w:r w:rsidRPr="000549B1">
              <w:rPr>
                <w:rFonts w:eastAsiaTheme="minorEastAsia"/>
                <w:bCs/>
                <w:kern w:val="0"/>
                <w:szCs w:val="21"/>
                <w:lang w:bidi="ar"/>
              </w:rPr>
              <w:t>一级</w:t>
            </w:r>
            <w:r w:rsidRPr="000549B1">
              <w:rPr>
                <w:rFonts w:eastAsiaTheme="minorEastAsia"/>
                <w:bCs/>
                <w:kern w:val="0"/>
                <w:szCs w:val="21"/>
                <w:lang w:bidi="ar"/>
              </w:rPr>
              <w:t>A</w:t>
            </w:r>
            <w:r w:rsidRPr="000549B1">
              <w:rPr>
                <w:rFonts w:eastAsiaTheme="minorEastAsia"/>
                <w:bCs/>
                <w:kern w:val="0"/>
                <w:szCs w:val="21"/>
                <w:lang w:bidi="ar"/>
              </w:rPr>
              <w:t>标准</w:t>
            </w:r>
          </w:p>
        </w:tc>
        <w:tc>
          <w:tcPr>
            <w:tcW w:w="918" w:type="pct"/>
            <w:tcBorders>
              <w:top w:val="single" w:sz="4" w:space="0" w:color="000000"/>
              <w:left w:val="single" w:sz="4" w:space="0" w:color="000000"/>
              <w:bottom w:val="single" w:sz="4" w:space="0" w:color="000000"/>
              <w:right w:val="single" w:sz="4" w:space="0" w:color="000000"/>
            </w:tcBorders>
            <w:vAlign w:val="center"/>
          </w:tcPr>
          <w:p w14:paraId="6A63979D" w14:textId="77777777" w:rsidR="00054437" w:rsidRPr="000549B1" w:rsidRDefault="00000000">
            <w:pPr>
              <w:widowControl/>
              <w:spacing w:line="240" w:lineRule="atLeast"/>
              <w:jc w:val="center"/>
              <w:textAlignment w:val="center"/>
              <w:rPr>
                <w:rFonts w:eastAsiaTheme="minorEastAsia"/>
                <w:bCs/>
                <w:szCs w:val="21"/>
              </w:rPr>
            </w:pPr>
            <w:r w:rsidRPr="000549B1">
              <w:rPr>
                <w:rFonts w:eastAsiaTheme="minorEastAsia"/>
                <w:bCs/>
                <w:kern w:val="0"/>
                <w:szCs w:val="21"/>
                <w:lang w:bidi="ar"/>
              </w:rPr>
              <w:t>人工湿地</w:t>
            </w:r>
          </w:p>
        </w:tc>
        <w:tc>
          <w:tcPr>
            <w:tcW w:w="561" w:type="pct"/>
            <w:tcBorders>
              <w:top w:val="single" w:sz="4" w:space="0" w:color="000000"/>
              <w:left w:val="single" w:sz="4" w:space="0" w:color="000000"/>
              <w:bottom w:val="single" w:sz="4" w:space="0" w:color="000000"/>
              <w:right w:val="single" w:sz="4" w:space="0" w:color="000000"/>
            </w:tcBorders>
            <w:vAlign w:val="center"/>
          </w:tcPr>
          <w:p w14:paraId="09BC56ED" w14:textId="77777777" w:rsidR="00054437" w:rsidRPr="000549B1" w:rsidRDefault="00000000">
            <w:pPr>
              <w:widowControl/>
              <w:spacing w:line="240" w:lineRule="atLeast"/>
              <w:jc w:val="center"/>
              <w:textAlignment w:val="center"/>
              <w:rPr>
                <w:rFonts w:eastAsiaTheme="minorEastAsia"/>
                <w:bCs/>
                <w:kern w:val="0"/>
                <w:szCs w:val="21"/>
                <w:lang w:bidi="ar"/>
              </w:rPr>
            </w:pPr>
            <w:r w:rsidRPr="000549B1">
              <w:rPr>
                <w:rFonts w:eastAsiaTheme="minorEastAsia"/>
                <w:bCs/>
                <w:kern w:val="0"/>
                <w:szCs w:val="21"/>
                <w:lang w:bidi="ar"/>
              </w:rPr>
              <w:t>否</w:t>
            </w:r>
          </w:p>
        </w:tc>
      </w:tr>
      <w:tr w:rsidR="000549B1" w:rsidRPr="000549B1" w14:paraId="4194FDA6" w14:textId="77777777">
        <w:trPr>
          <w:trHeight w:val="283"/>
        </w:trPr>
        <w:tc>
          <w:tcPr>
            <w:tcW w:w="151" w:type="pct"/>
            <w:tcBorders>
              <w:top w:val="single" w:sz="4" w:space="0" w:color="000000"/>
              <w:left w:val="single" w:sz="4" w:space="0" w:color="000000"/>
              <w:bottom w:val="single" w:sz="4" w:space="0" w:color="000000"/>
              <w:right w:val="single" w:sz="4" w:space="0" w:color="000000"/>
            </w:tcBorders>
            <w:vAlign w:val="center"/>
          </w:tcPr>
          <w:p w14:paraId="003F4248" w14:textId="77777777" w:rsidR="00054437" w:rsidRPr="000549B1" w:rsidRDefault="00000000">
            <w:pPr>
              <w:widowControl/>
              <w:spacing w:line="240" w:lineRule="atLeast"/>
              <w:jc w:val="center"/>
              <w:textAlignment w:val="center"/>
              <w:rPr>
                <w:rFonts w:eastAsiaTheme="minorEastAsia"/>
                <w:bCs/>
                <w:szCs w:val="21"/>
              </w:rPr>
            </w:pPr>
            <w:r w:rsidRPr="000549B1">
              <w:rPr>
                <w:rFonts w:eastAsiaTheme="minorEastAsia"/>
                <w:bCs/>
                <w:kern w:val="0"/>
                <w:szCs w:val="21"/>
                <w:lang w:bidi="ar"/>
              </w:rPr>
              <w:t>4</w:t>
            </w:r>
          </w:p>
        </w:tc>
        <w:tc>
          <w:tcPr>
            <w:tcW w:w="306" w:type="pct"/>
            <w:tcBorders>
              <w:top w:val="single" w:sz="4" w:space="0" w:color="000000"/>
              <w:left w:val="single" w:sz="4" w:space="0" w:color="000000"/>
              <w:bottom w:val="single" w:sz="4" w:space="0" w:color="000000"/>
              <w:right w:val="single" w:sz="4" w:space="0" w:color="000000"/>
            </w:tcBorders>
            <w:vAlign w:val="center"/>
          </w:tcPr>
          <w:p w14:paraId="15DE802D" w14:textId="77777777" w:rsidR="00054437" w:rsidRPr="000549B1" w:rsidRDefault="00000000">
            <w:pPr>
              <w:widowControl/>
              <w:spacing w:line="240" w:lineRule="atLeast"/>
              <w:jc w:val="center"/>
              <w:textAlignment w:val="center"/>
              <w:rPr>
                <w:rFonts w:eastAsiaTheme="minorEastAsia"/>
                <w:bCs/>
                <w:szCs w:val="21"/>
              </w:rPr>
            </w:pPr>
            <w:r w:rsidRPr="000549B1">
              <w:rPr>
                <w:rFonts w:eastAsiaTheme="minorEastAsia"/>
                <w:bCs/>
                <w:kern w:val="0"/>
                <w:szCs w:val="21"/>
                <w:lang w:bidi="ar"/>
              </w:rPr>
              <w:t>共和县</w:t>
            </w:r>
          </w:p>
        </w:tc>
        <w:tc>
          <w:tcPr>
            <w:tcW w:w="715" w:type="pct"/>
            <w:tcBorders>
              <w:top w:val="single" w:sz="4" w:space="0" w:color="000000"/>
              <w:left w:val="single" w:sz="4" w:space="0" w:color="000000"/>
              <w:bottom w:val="single" w:sz="4" w:space="0" w:color="000000"/>
              <w:right w:val="single" w:sz="4" w:space="0" w:color="000000"/>
            </w:tcBorders>
            <w:vAlign w:val="center"/>
          </w:tcPr>
          <w:p w14:paraId="13E804C9" w14:textId="77777777" w:rsidR="00054437" w:rsidRPr="000549B1" w:rsidRDefault="00000000">
            <w:pPr>
              <w:widowControl/>
              <w:spacing w:line="240" w:lineRule="atLeast"/>
              <w:jc w:val="center"/>
              <w:textAlignment w:val="center"/>
              <w:rPr>
                <w:rFonts w:eastAsiaTheme="minorEastAsia"/>
                <w:bCs/>
                <w:szCs w:val="21"/>
              </w:rPr>
            </w:pPr>
            <w:r w:rsidRPr="000549B1">
              <w:rPr>
                <w:rFonts w:eastAsiaTheme="minorEastAsia"/>
                <w:bCs/>
                <w:kern w:val="0"/>
                <w:szCs w:val="21"/>
                <w:lang w:bidi="ar"/>
              </w:rPr>
              <w:t>江西沟污水处理厂</w:t>
            </w:r>
          </w:p>
        </w:tc>
        <w:tc>
          <w:tcPr>
            <w:tcW w:w="459" w:type="pct"/>
            <w:tcBorders>
              <w:top w:val="single" w:sz="4" w:space="0" w:color="000000"/>
              <w:left w:val="single" w:sz="4" w:space="0" w:color="000000"/>
              <w:bottom w:val="single" w:sz="4" w:space="0" w:color="000000"/>
              <w:right w:val="single" w:sz="4" w:space="0" w:color="000000"/>
            </w:tcBorders>
            <w:vAlign w:val="center"/>
          </w:tcPr>
          <w:p w14:paraId="470C4AF9" w14:textId="77777777" w:rsidR="00054437" w:rsidRPr="000549B1" w:rsidRDefault="00000000">
            <w:pPr>
              <w:widowControl/>
              <w:spacing w:line="240" w:lineRule="atLeast"/>
              <w:jc w:val="center"/>
              <w:textAlignment w:val="center"/>
              <w:rPr>
                <w:rFonts w:eastAsiaTheme="minorEastAsia"/>
                <w:bCs/>
                <w:szCs w:val="21"/>
              </w:rPr>
            </w:pPr>
            <w:r w:rsidRPr="000549B1">
              <w:rPr>
                <w:rFonts w:eastAsiaTheme="minorEastAsia"/>
                <w:bCs/>
                <w:kern w:val="0"/>
                <w:szCs w:val="21"/>
                <w:lang w:bidi="ar"/>
              </w:rPr>
              <w:t>0.04</w:t>
            </w:r>
          </w:p>
        </w:tc>
        <w:tc>
          <w:tcPr>
            <w:tcW w:w="766" w:type="pct"/>
            <w:tcBorders>
              <w:top w:val="single" w:sz="4" w:space="0" w:color="000000"/>
              <w:left w:val="single" w:sz="4" w:space="0" w:color="000000"/>
              <w:bottom w:val="single" w:sz="4" w:space="0" w:color="000000"/>
              <w:right w:val="single" w:sz="4" w:space="0" w:color="000000"/>
            </w:tcBorders>
            <w:vAlign w:val="center"/>
          </w:tcPr>
          <w:p w14:paraId="3DA50815" w14:textId="77777777" w:rsidR="00054437" w:rsidRPr="000549B1" w:rsidRDefault="00000000">
            <w:pPr>
              <w:widowControl/>
              <w:spacing w:line="240" w:lineRule="atLeast"/>
              <w:jc w:val="center"/>
              <w:textAlignment w:val="center"/>
              <w:rPr>
                <w:rFonts w:eastAsiaTheme="minorEastAsia"/>
                <w:bCs/>
                <w:szCs w:val="21"/>
              </w:rPr>
            </w:pPr>
            <w:r w:rsidRPr="000549B1">
              <w:rPr>
                <w:rFonts w:eastAsiaTheme="minorEastAsia"/>
                <w:bCs/>
                <w:kern w:val="0"/>
                <w:szCs w:val="21"/>
                <w:lang w:bidi="ar"/>
              </w:rPr>
              <w:t>0.006~0.0108</w:t>
            </w:r>
          </w:p>
        </w:tc>
        <w:tc>
          <w:tcPr>
            <w:tcW w:w="612" w:type="pct"/>
            <w:tcBorders>
              <w:top w:val="single" w:sz="4" w:space="0" w:color="000000"/>
              <w:left w:val="single" w:sz="4" w:space="0" w:color="000000"/>
              <w:bottom w:val="single" w:sz="4" w:space="0" w:color="000000"/>
              <w:right w:val="single" w:sz="4" w:space="0" w:color="000000"/>
            </w:tcBorders>
            <w:vAlign w:val="center"/>
          </w:tcPr>
          <w:p w14:paraId="7F33E092" w14:textId="77777777" w:rsidR="00054437" w:rsidRPr="000549B1" w:rsidRDefault="00000000">
            <w:pPr>
              <w:widowControl/>
              <w:spacing w:line="240" w:lineRule="atLeast"/>
              <w:jc w:val="center"/>
              <w:textAlignment w:val="center"/>
              <w:rPr>
                <w:rFonts w:eastAsiaTheme="minorEastAsia"/>
                <w:bCs/>
                <w:szCs w:val="21"/>
              </w:rPr>
            </w:pPr>
            <w:r w:rsidRPr="000549B1">
              <w:rPr>
                <w:rFonts w:eastAsiaTheme="minorEastAsia"/>
                <w:bCs/>
                <w:kern w:val="0"/>
                <w:szCs w:val="21"/>
                <w:lang w:bidi="ar"/>
              </w:rPr>
              <w:t>AA/O</w:t>
            </w:r>
            <w:r w:rsidRPr="000549B1">
              <w:rPr>
                <w:rFonts w:eastAsiaTheme="minorEastAsia"/>
                <w:bCs/>
                <w:kern w:val="0"/>
                <w:szCs w:val="21"/>
                <w:lang w:bidi="ar"/>
              </w:rPr>
              <w:t>工艺</w:t>
            </w:r>
          </w:p>
        </w:tc>
        <w:tc>
          <w:tcPr>
            <w:tcW w:w="510" w:type="pct"/>
            <w:tcBorders>
              <w:top w:val="single" w:sz="4" w:space="0" w:color="000000"/>
              <w:left w:val="single" w:sz="4" w:space="0" w:color="000000"/>
              <w:bottom w:val="single" w:sz="4" w:space="0" w:color="000000"/>
              <w:right w:val="single" w:sz="4" w:space="0" w:color="000000"/>
            </w:tcBorders>
            <w:vAlign w:val="center"/>
          </w:tcPr>
          <w:p w14:paraId="043B442B" w14:textId="77777777" w:rsidR="00054437" w:rsidRPr="000549B1" w:rsidRDefault="00000000">
            <w:pPr>
              <w:widowControl/>
              <w:spacing w:line="240" w:lineRule="atLeast"/>
              <w:jc w:val="center"/>
              <w:textAlignment w:val="center"/>
              <w:rPr>
                <w:rFonts w:eastAsiaTheme="minorEastAsia"/>
                <w:bCs/>
                <w:szCs w:val="21"/>
              </w:rPr>
            </w:pPr>
            <w:r w:rsidRPr="000549B1">
              <w:rPr>
                <w:rFonts w:eastAsiaTheme="minorEastAsia"/>
                <w:bCs/>
                <w:kern w:val="0"/>
                <w:szCs w:val="21"/>
                <w:lang w:bidi="ar"/>
              </w:rPr>
              <w:t>一级</w:t>
            </w:r>
            <w:r w:rsidRPr="000549B1">
              <w:rPr>
                <w:rFonts w:eastAsiaTheme="minorEastAsia"/>
                <w:bCs/>
                <w:kern w:val="0"/>
                <w:szCs w:val="21"/>
                <w:lang w:bidi="ar"/>
              </w:rPr>
              <w:t>A</w:t>
            </w:r>
            <w:r w:rsidRPr="000549B1">
              <w:rPr>
                <w:rFonts w:eastAsiaTheme="minorEastAsia"/>
                <w:bCs/>
                <w:kern w:val="0"/>
                <w:szCs w:val="21"/>
                <w:lang w:bidi="ar"/>
              </w:rPr>
              <w:t>标准</w:t>
            </w:r>
          </w:p>
        </w:tc>
        <w:tc>
          <w:tcPr>
            <w:tcW w:w="918" w:type="pct"/>
            <w:tcBorders>
              <w:top w:val="single" w:sz="4" w:space="0" w:color="000000"/>
              <w:left w:val="single" w:sz="4" w:space="0" w:color="000000"/>
              <w:bottom w:val="single" w:sz="4" w:space="0" w:color="000000"/>
              <w:right w:val="single" w:sz="4" w:space="0" w:color="000000"/>
            </w:tcBorders>
            <w:vAlign w:val="center"/>
          </w:tcPr>
          <w:p w14:paraId="70B2D44C" w14:textId="77777777" w:rsidR="00054437" w:rsidRPr="000549B1" w:rsidRDefault="00000000">
            <w:pPr>
              <w:widowControl/>
              <w:spacing w:line="240" w:lineRule="atLeast"/>
              <w:jc w:val="center"/>
              <w:textAlignment w:val="center"/>
              <w:rPr>
                <w:rFonts w:eastAsiaTheme="minorEastAsia"/>
                <w:bCs/>
                <w:szCs w:val="21"/>
              </w:rPr>
            </w:pPr>
            <w:r w:rsidRPr="000549B1">
              <w:rPr>
                <w:rFonts w:eastAsiaTheme="minorEastAsia"/>
                <w:bCs/>
                <w:kern w:val="0"/>
                <w:szCs w:val="21"/>
                <w:lang w:bidi="ar"/>
              </w:rPr>
              <w:t>人工湿地</w:t>
            </w:r>
          </w:p>
        </w:tc>
        <w:tc>
          <w:tcPr>
            <w:tcW w:w="561" w:type="pct"/>
            <w:tcBorders>
              <w:top w:val="single" w:sz="4" w:space="0" w:color="000000"/>
              <w:left w:val="single" w:sz="4" w:space="0" w:color="000000"/>
              <w:bottom w:val="single" w:sz="4" w:space="0" w:color="000000"/>
              <w:right w:val="single" w:sz="4" w:space="0" w:color="000000"/>
            </w:tcBorders>
            <w:vAlign w:val="center"/>
          </w:tcPr>
          <w:p w14:paraId="17876E09" w14:textId="77777777" w:rsidR="00054437" w:rsidRPr="000549B1" w:rsidRDefault="00000000">
            <w:pPr>
              <w:widowControl/>
              <w:spacing w:line="240" w:lineRule="atLeast"/>
              <w:jc w:val="center"/>
              <w:textAlignment w:val="center"/>
              <w:rPr>
                <w:rFonts w:eastAsiaTheme="minorEastAsia"/>
                <w:bCs/>
                <w:kern w:val="0"/>
                <w:szCs w:val="21"/>
                <w:lang w:bidi="ar"/>
              </w:rPr>
            </w:pPr>
            <w:r w:rsidRPr="000549B1">
              <w:rPr>
                <w:rFonts w:eastAsiaTheme="minorEastAsia"/>
                <w:bCs/>
                <w:kern w:val="0"/>
                <w:szCs w:val="21"/>
                <w:lang w:bidi="ar"/>
              </w:rPr>
              <w:t>否</w:t>
            </w:r>
          </w:p>
        </w:tc>
      </w:tr>
      <w:tr w:rsidR="000549B1" w:rsidRPr="000549B1" w14:paraId="0262C280" w14:textId="77777777">
        <w:trPr>
          <w:trHeight w:val="283"/>
        </w:trPr>
        <w:tc>
          <w:tcPr>
            <w:tcW w:w="151" w:type="pct"/>
            <w:tcBorders>
              <w:top w:val="single" w:sz="4" w:space="0" w:color="000000"/>
              <w:left w:val="single" w:sz="4" w:space="0" w:color="000000"/>
              <w:bottom w:val="single" w:sz="4" w:space="0" w:color="000000"/>
              <w:right w:val="single" w:sz="4" w:space="0" w:color="000000"/>
            </w:tcBorders>
            <w:vAlign w:val="center"/>
          </w:tcPr>
          <w:p w14:paraId="0BD3B3DB" w14:textId="77777777" w:rsidR="00054437" w:rsidRPr="000549B1" w:rsidRDefault="00000000">
            <w:pPr>
              <w:widowControl/>
              <w:spacing w:line="240" w:lineRule="atLeast"/>
              <w:jc w:val="center"/>
              <w:textAlignment w:val="center"/>
              <w:rPr>
                <w:rFonts w:eastAsiaTheme="minorEastAsia"/>
                <w:bCs/>
                <w:szCs w:val="21"/>
              </w:rPr>
            </w:pPr>
            <w:r w:rsidRPr="000549B1">
              <w:rPr>
                <w:rFonts w:eastAsiaTheme="minorEastAsia"/>
                <w:bCs/>
                <w:kern w:val="0"/>
                <w:szCs w:val="21"/>
                <w:lang w:bidi="ar"/>
              </w:rPr>
              <w:t>5</w:t>
            </w:r>
          </w:p>
        </w:tc>
        <w:tc>
          <w:tcPr>
            <w:tcW w:w="306" w:type="pct"/>
            <w:tcBorders>
              <w:top w:val="single" w:sz="4" w:space="0" w:color="000000"/>
              <w:left w:val="single" w:sz="4" w:space="0" w:color="000000"/>
              <w:bottom w:val="single" w:sz="4" w:space="0" w:color="000000"/>
              <w:right w:val="single" w:sz="4" w:space="0" w:color="000000"/>
            </w:tcBorders>
            <w:vAlign w:val="center"/>
          </w:tcPr>
          <w:p w14:paraId="53A79746" w14:textId="77777777" w:rsidR="00054437" w:rsidRPr="000549B1" w:rsidRDefault="00000000">
            <w:pPr>
              <w:widowControl/>
              <w:spacing w:line="240" w:lineRule="atLeast"/>
              <w:jc w:val="center"/>
              <w:textAlignment w:val="center"/>
              <w:rPr>
                <w:rFonts w:eastAsiaTheme="minorEastAsia"/>
                <w:bCs/>
                <w:szCs w:val="21"/>
              </w:rPr>
            </w:pPr>
            <w:r w:rsidRPr="000549B1">
              <w:rPr>
                <w:rFonts w:eastAsiaTheme="minorEastAsia"/>
                <w:bCs/>
                <w:kern w:val="0"/>
                <w:szCs w:val="21"/>
                <w:lang w:bidi="ar"/>
              </w:rPr>
              <w:t>共和县</w:t>
            </w:r>
          </w:p>
        </w:tc>
        <w:tc>
          <w:tcPr>
            <w:tcW w:w="715" w:type="pct"/>
            <w:tcBorders>
              <w:top w:val="single" w:sz="4" w:space="0" w:color="000000"/>
              <w:left w:val="single" w:sz="4" w:space="0" w:color="000000"/>
              <w:bottom w:val="single" w:sz="4" w:space="0" w:color="000000"/>
              <w:right w:val="single" w:sz="4" w:space="0" w:color="000000"/>
            </w:tcBorders>
            <w:vAlign w:val="center"/>
          </w:tcPr>
          <w:p w14:paraId="5F63338A" w14:textId="77777777" w:rsidR="00054437" w:rsidRPr="000549B1" w:rsidRDefault="00000000">
            <w:pPr>
              <w:widowControl/>
              <w:spacing w:line="240" w:lineRule="atLeast"/>
              <w:jc w:val="center"/>
              <w:textAlignment w:val="center"/>
              <w:rPr>
                <w:rFonts w:eastAsiaTheme="minorEastAsia"/>
                <w:bCs/>
                <w:szCs w:val="21"/>
              </w:rPr>
            </w:pPr>
            <w:r w:rsidRPr="000549B1">
              <w:rPr>
                <w:rFonts w:eastAsiaTheme="minorEastAsia"/>
                <w:bCs/>
                <w:kern w:val="0"/>
                <w:szCs w:val="21"/>
                <w:lang w:bidi="ar"/>
              </w:rPr>
              <w:t>黑马河污水处理厂</w:t>
            </w:r>
          </w:p>
        </w:tc>
        <w:tc>
          <w:tcPr>
            <w:tcW w:w="459" w:type="pct"/>
            <w:tcBorders>
              <w:top w:val="single" w:sz="4" w:space="0" w:color="000000"/>
              <w:left w:val="single" w:sz="4" w:space="0" w:color="000000"/>
              <w:bottom w:val="single" w:sz="4" w:space="0" w:color="000000"/>
              <w:right w:val="single" w:sz="4" w:space="0" w:color="000000"/>
            </w:tcBorders>
            <w:vAlign w:val="center"/>
          </w:tcPr>
          <w:p w14:paraId="7BBD3089" w14:textId="77777777" w:rsidR="00054437" w:rsidRPr="000549B1" w:rsidRDefault="00000000">
            <w:pPr>
              <w:widowControl/>
              <w:spacing w:line="240" w:lineRule="atLeast"/>
              <w:jc w:val="center"/>
              <w:textAlignment w:val="center"/>
              <w:rPr>
                <w:rFonts w:eastAsiaTheme="minorEastAsia"/>
                <w:bCs/>
                <w:szCs w:val="21"/>
              </w:rPr>
            </w:pPr>
            <w:r w:rsidRPr="000549B1">
              <w:rPr>
                <w:rFonts w:eastAsiaTheme="minorEastAsia"/>
                <w:bCs/>
                <w:kern w:val="0"/>
                <w:szCs w:val="21"/>
                <w:lang w:bidi="ar"/>
              </w:rPr>
              <w:t>0.1</w:t>
            </w:r>
          </w:p>
        </w:tc>
        <w:tc>
          <w:tcPr>
            <w:tcW w:w="766" w:type="pct"/>
            <w:tcBorders>
              <w:top w:val="single" w:sz="4" w:space="0" w:color="000000"/>
              <w:left w:val="single" w:sz="4" w:space="0" w:color="000000"/>
              <w:bottom w:val="single" w:sz="4" w:space="0" w:color="000000"/>
              <w:right w:val="single" w:sz="4" w:space="0" w:color="000000"/>
            </w:tcBorders>
            <w:vAlign w:val="center"/>
          </w:tcPr>
          <w:p w14:paraId="23FBFE31" w14:textId="77777777" w:rsidR="00054437" w:rsidRPr="000549B1" w:rsidRDefault="00000000">
            <w:pPr>
              <w:widowControl/>
              <w:spacing w:line="240" w:lineRule="atLeast"/>
              <w:jc w:val="center"/>
              <w:textAlignment w:val="center"/>
              <w:rPr>
                <w:rFonts w:eastAsiaTheme="minorEastAsia"/>
                <w:bCs/>
                <w:szCs w:val="21"/>
              </w:rPr>
            </w:pPr>
            <w:r w:rsidRPr="000549B1">
              <w:rPr>
                <w:rFonts w:eastAsiaTheme="minorEastAsia"/>
                <w:bCs/>
                <w:kern w:val="0"/>
                <w:szCs w:val="21"/>
                <w:lang w:bidi="ar"/>
              </w:rPr>
              <w:t>0.02~0.08</w:t>
            </w:r>
          </w:p>
        </w:tc>
        <w:tc>
          <w:tcPr>
            <w:tcW w:w="612" w:type="pct"/>
            <w:tcBorders>
              <w:top w:val="single" w:sz="4" w:space="0" w:color="000000"/>
              <w:left w:val="single" w:sz="4" w:space="0" w:color="000000"/>
              <w:bottom w:val="single" w:sz="4" w:space="0" w:color="000000"/>
              <w:right w:val="single" w:sz="4" w:space="0" w:color="000000"/>
            </w:tcBorders>
            <w:vAlign w:val="center"/>
          </w:tcPr>
          <w:p w14:paraId="1553728C" w14:textId="77777777" w:rsidR="00054437" w:rsidRPr="000549B1" w:rsidRDefault="00000000">
            <w:pPr>
              <w:widowControl/>
              <w:spacing w:line="240" w:lineRule="atLeast"/>
              <w:jc w:val="center"/>
              <w:textAlignment w:val="center"/>
              <w:rPr>
                <w:rFonts w:eastAsiaTheme="minorEastAsia"/>
                <w:bCs/>
                <w:szCs w:val="21"/>
              </w:rPr>
            </w:pPr>
            <w:r w:rsidRPr="000549B1">
              <w:rPr>
                <w:rFonts w:eastAsiaTheme="minorEastAsia"/>
                <w:bCs/>
                <w:kern w:val="0"/>
                <w:szCs w:val="21"/>
                <w:lang w:bidi="ar"/>
              </w:rPr>
              <w:t>AA/O</w:t>
            </w:r>
            <w:r w:rsidRPr="000549B1">
              <w:rPr>
                <w:rFonts w:eastAsiaTheme="minorEastAsia"/>
                <w:bCs/>
                <w:kern w:val="0"/>
                <w:szCs w:val="21"/>
                <w:lang w:bidi="ar"/>
              </w:rPr>
              <w:t>工艺</w:t>
            </w:r>
          </w:p>
        </w:tc>
        <w:tc>
          <w:tcPr>
            <w:tcW w:w="510" w:type="pct"/>
            <w:tcBorders>
              <w:top w:val="single" w:sz="4" w:space="0" w:color="000000"/>
              <w:left w:val="single" w:sz="4" w:space="0" w:color="000000"/>
              <w:bottom w:val="single" w:sz="4" w:space="0" w:color="000000"/>
              <w:right w:val="single" w:sz="4" w:space="0" w:color="000000"/>
            </w:tcBorders>
            <w:vAlign w:val="center"/>
          </w:tcPr>
          <w:p w14:paraId="3D5E290B" w14:textId="77777777" w:rsidR="00054437" w:rsidRPr="000549B1" w:rsidRDefault="00000000">
            <w:pPr>
              <w:widowControl/>
              <w:spacing w:line="240" w:lineRule="atLeast"/>
              <w:jc w:val="center"/>
              <w:textAlignment w:val="center"/>
              <w:rPr>
                <w:rFonts w:eastAsiaTheme="minorEastAsia"/>
                <w:bCs/>
                <w:szCs w:val="21"/>
              </w:rPr>
            </w:pPr>
            <w:r w:rsidRPr="000549B1">
              <w:rPr>
                <w:rFonts w:eastAsiaTheme="minorEastAsia"/>
                <w:bCs/>
                <w:kern w:val="0"/>
                <w:szCs w:val="21"/>
                <w:lang w:bidi="ar"/>
              </w:rPr>
              <w:t>一级</w:t>
            </w:r>
            <w:r w:rsidRPr="000549B1">
              <w:rPr>
                <w:rFonts w:eastAsiaTheme="minorEastAsia"/>
                <w:bCs/>
                <w:kern w:val="0"/>
                <w:szCs w:val="21"/>
                <w:lang w:bidi="ar"/>
              </w:rPr>
              <w:t>A</w:t>
            </w:r>
            <w:r w:rsidRPr="000549B1">
              <w:rPr>
                <w:rFonts w:eastAsiaTheme="minorEastAsia"/>
                <w:bCs/>
                <w:kern w:val="0"/>
                <w:szCs w:val="21"/>
                <w:lang w:bidi="ar"/>
              </w:rPr>
              <w:t>标准</w:t>
            </w:r>
          </w:p>
        </w:tc>
        <w:tc>
          <w:tcPr>
            <w:tcW w:w="918" w:type="pct"/>
            <w:tcBorders>
              <w:top w:val="single" w:sz="4" w:space="0" w:color="000000"/>
              <w:left w:val="single" w:sz="4" w:space="0" w:color="000000"/>
              <w:bottom w:val="single" w:sz="4" w:space="0" w:color="000000"/>
              <w:right w:val="single" w:sz="4" w:space="0" w:color="000000"/>
            </w:tcBorders>
            <w:vAlign w:val="center"/>
          </w:tcPr>
          <w:p w14:paraId="60597013" w14:textId="77777777" w:rsidR="00054437" w:rsidRPr="000549B1" w:rsidRDefault="00000000">
            <w:pPr>
              <w:widowControl/>
              <w:spacing w:line="240" w:lineRule="atLeast"/>
              <w:jc w:val="center"/>
              <w:textAlignment w:val="center"/>
              <w:rPr>
                <w:rFonts w:eastAsiaTheme="minorEastAsia"/>
                <w:bCs/>
                <w:szCs w:val="21"/>
              </w:rPr>
            </w:pPr>
            <w:r w:rsidRPr="000549B1">
              <w:rPr>
                <w:rFonts w:eastAsiaTheme="minorEastAsia"/>
                <w:bCs/>
                <w:kern w:val="0"/>
                <w:szCs w:val="21"/>
                <w:lang w:bidi="ar"/>
              </w:rPr>
              <w:t>人工湿地</w:t>
            </w:r>
          </w:p>
        </w:tc>
        <w:tc>
          <w:tcPr>
            <w:tcW w:w="561" w:type="pct"/>
            <w:tcBorders>
              <w:top w:val="single" w:sz="4" w:space="0" w:color="000000"/>
              <w:left w:val="single" w:sz="4" w:space="0" w:color="000000"/>
              <w:bottom w:val="single" w:sz="4" w:space="0" w:color="000000"/>
              <w:right w:val="single" w:sz="4" w:space="0" w:color="000000"/>
            </w:tcBorders>
            <w:vAlign w:val="center"/>
          </w:tcPr>
          <w:p w14:paraId="622D6403" w14:textId="77777777" w:rsidR="00054437" w:rsidRPr="000549B1" w:rsidRDefault="00000000">
            <w:pPr>
              <w:widowControl/>
              <w:spacing w:line="240" w:lineRule="atLeast"/>
              <w:jc w:val="center"/>
              <w:textAlignment w:val="center"/>
              <w:rPr>
                <w:rFonts w:eastAsiaTheme="minorEastAsia"/>
                <w:bCs/>
                <w:kern w:val="0"/>
                <w:szCs w:val="21"/>
                <w:lang w:bidi="ar"/>
              </w:rPr>
            </w:pPr>
            <w:r w:rsidRPr="000549B1">
              <w:rPr>
                <w:rFonts w:eastAsiaTheme="minorEastAsia"/>
                <w:bCs/>
                <w:kern w:val="0"/>
                <w:szCs w:val="21"/>
                <w:lang w:bidi="ar"/>
              </w:rPr>
              <w:t>否</w:t>
            </w:r>
          </w:p>
        </w:tc>
      </w:tr>
      <w:tr w:rsidR="000549B1" w:rsidRPr="000549B1" w14:paraId="38F2100E" w14:textId="77777777">
        <w:trPr>
          <w:trHeight w:val="283"/>
        </w:trPr>
        <w:tc>
          <w:tcPr>
            <w:tcW w:w="151" w:type="pct"/>
            <w:tcBorders>
              <w:top w:val="single" w:sz="4" w:space="0" w:color="000000"/>
              <w:left w:val="single" w:sz="4" w:space="0" w:color="000000"/>
              <w:bottom w:val="single" w:sz="4" w:space="0" w:color="000000"/>
              <w:right w:val="single" w:sz="4" w:space="0" w:color="000000"/>
            </w:tcBorders>
            <w:vAlign w:val="center"/>
          </w:tcPr>
          <w:p w14:paraId="21CC6232" w14:textId="77777777" w:rsidR="00054437" w:rsidRPr="000549B1" w:rsidRDefault="00000000">
            <w:pPr>
              <w:widowControl/>
              <w:spacing w:line="240" w:lineRule="atLeast"/>
              <w:jc w:val="center"/>
              <w:textAlignment w:val="center"/>
              <w:rPr>
                <w:rFonts w:eastAsiaTheme="minorEastAsia"/>
                <w:bCs/>
                <w:szCs w:val="21"/>
              </w:rPr>
            </w:pPr>
            <w:r w:rsidRPr="000549B1">
              <w:rPr>
                <w:rFonts w:eastAsiaTheme="minorEastAsia"/>
                <w:bCs/>
                <w:kern w:val="0"/>
                <w:szCs w:val="21"/>
                <w:lang w:bidi="ar"/>
              </w:rPr>
              <w:t>6</w:t>
            </w:r>
          </w:p>
        </w:tc>
        <w:tc>
          <w:tcPr>
            <w:tcW w:w="306" w:type="pct"/>
            <w:tcBorders>
              <w:top w:val="single" w:sz="4" w:space="0" w:color="000000"/>
              <w:left w:val="single" w:sz="4" w:space="0" w:color="000000"/>
              <w:bottom w:val="single" w:sz="4" w:space="0" w:color="000000"/>
              <w:right w:val="single" w:sz="4" w:space="0" w:color="000000"/>
            </w:tcBorders>
            <w:vAlign w:val="center"/>
          </w:tcPr>
          <w:p w14:paraId="38DFECC3" w14:textId="77777777" w:rsidR="00054437" w:rsidRPr="000549B1" w:rsidRDefault="00000000">
            <w:pPr>
              <w:widowControl/>
              <w:spacing w:line="240" w:lineRule="atLeast"/>
              <w:jc w:val="center"/>
              <w:textAlignment w:val="center"/>
              <w:rPr>
                <w:rFonts w:eastAsiaTheme="minorEastAsia"/>
                <w:bCs/>
                <w:szCs w:val="21"/>
              </w:rPr>
            </w:pPr>
            <w:r w:rsidRPr="000549B1">
              <w:rPr>
                <w:rFonts w:eastAsiaTheme="minorEastAsia"/>
                <w:bCs/>
                <w:kern w:val="0"/>
                <w:szCs w:val="21"/>
                <w:lang w:bidi="ar"/>
              </w:rPr>
              <w:t>共和县</w:t>
            </w:r>
          </w:p>
        </w:tc>
        <w:tc>
          <w:tcPr>
            <w:tcW w:w="715" w:type="pct"/>
            <w:tcBorders>
              <w:top w:val="single" w:sz="4" w:space="0" w:color="000000"/>
              <w:left w:val="single" w:sz="4" w:space="0" w:color="000000"/>
              <w:bottom w:val="single" w:sz="4" w:space="0" w:color="000000"/>
              <w:right w:val="single" w:sz="4" w:space="0" w:color="000000"/>
            </w:tcBorders>
            <w:vAlign w:val="center"/>
          </w:tcPr>
          <w:p w14:paraId="018AC218" w14:textId="77777777" w:rsidR="00054437" w:rsidRPr="000549B1" w:rsidRDefault="00000000">
            <w:pPr>
              <w:widowControl/>
              <w:spacing w:line="240" w:lineRule="atLeast"/>
              <w:jc w:val="center"/>
              <w:textAlignment w:val="center"/>
              <w:rPr>
                <w:rFonts w:eastAsiaTheme="minorEastAsia"/>
                <w:bCs/>
                <w:szCs w:val="21"/>
              </w:rPr>
            </w:pPr>
            <w:r w:rsidRPr="000549B1">
              <w:rPr>
                <w:rFonts w:eastAsiaTheme="minorEastAsia"/>
                <w:bCs/>
                <w:kern w:val="0"/>
                <w:szCs w:val="21"/>
                <w:lang w:bidi="ar"/>
              </w:rPr>
              <w:t>二郎剑污水处理厂</w:t>
            </w:r>
          </w:p>
        </w:tc>
        <w:tc>
          <w:tcPr>
            <w:tcW w:w="459" w:type="pct"/>
            <w:tcBorders>
              <w:top w:val="single" w:sz="4" w:space="0" w:color="000000"/>
              <w:left w:val="single" w:sz="4" w:space="0" w:color="000000"/>
              <w:bottom w:val="single" w:sz="4" w:space="0" w:color="000000"/>
              <w:right w:val="single" w:sz="4" w:space="0" w:color="000000"/>
            </w:tcBorders>
            <w:vAlign w:val="center"/>
          </w:tcPr>
          <w:p w14:paraId="4344D09C" w14:textId="77777777" w:rsidR="00054437" w:rsidRPr="000549B1" w:rsidRDefault="00000000">
            <w:pPr>
              <w:widowControl/>
              <w:spacing w:line="240" w:lineRule="atLeast"/>
              <w:jc w:val="center"/>
              <w:textAlignment w:val="center"/>
              <w:rPr>
                <w:rFonts w:eastAsiaTheme="minorEastAsia"/>
                <w:bCs/>
                <w:szCs w:val="21"/>
              </w:rPr>
            </w:pPr>
            <w:r w:rsidRPr="000549B1">
              <w:rPr>
                <w:rFonts w:eastAsiaTheme="minorEastAsia"/>
                <w:bCs/>
                <w:kern w:val="0"/>
                <w:szCs w:val="21"/>
                <w:lang w:bidi="ar"/>
              </w:rPr>
              <w:t>0.3</w:t>
            </w:r>
          </w:p>
        </w:tc>
        <w:tc>
          <w:tcPr>
            <w:tcW w:w="766" w:type="pct"/>
            <w:tcBorders>
              <w:top w:val="single" w:sz="4" w:space="0" w:color="000000"/>
              <w:left w:val="single" w:sz="4" w:space="0" w:color="000000"/>
              <w:bottom w:val="single" w:sz="4" w:space="0" w:color="000000"/>
              <w:right w:val="single" w:sz="4" w:space="0" w:color="000000"/>
            </w:tcBorders>
            <w:vAlign w:val="center"/>
          </w:tcPr>
          <w:p w14:paraId="4203CBDC" w14:textId="77777777" w:rsidR="00054437" w:rsidRPr="000549B1" w:rsidRDefault="00000000">
            <w:pPr>
              <w:widowControl/>
              <w:spacing w:line="240" w:lineRule="atLeast"/>
              <w:jc w:val="center"/>
              <w:textAlignment w:val="center"/>
              <w:rPr>
                <w:rFonts w:eastAsiaTheme="minorEastAsia"/>
                <w:bCs/>
                <w:szCs w:val="21"/>
              </w:rPr>
            </w:pPr>
            <w:r w:rsidRPr="000549B1">
              <w:rPr>
                <w:rFonts w:eastAsiaTheme="minorEastAsia"/>
                <w:bCs/>
                <w:kern w:val="0"/>
                <w:szCs w:val="21"/>
                <w:lang w:bidi="ar"/>
              </w:rPr>
              <w:t>0.09~0.15</w:t>
            </w:r>
          </w:p>
        </w:tc>
        <w:tc>
          <w:tcPr>
            <w:tcW w:w="612" w:type="pct"/>
            <w:tcBorders>
              <w:top w:val="single" w:sz="4" w:space="0" w:color="000000"/>
              <w:left w:val="single" w:sz="4" w:space="0" w:color="000000"/>
              <w:bottom w:val="single" w:sz="4" w:space="0" w:color="000000"/>
              <w:right w:val="single" w:sz="4" w:space="0" w:color="000000"/>
            </w:tcBorders>
            <w:vAlign w:val="center"/>
          </w:tcPr>
          <w:p w14:paraId="26B09E66" w14:textId="77777777" w:rsidR="00054437" w:rsidRPr="000549B1" w:rsidRDefault="00000000">
            <w:pPr>
              <w:widowControl/>
              <w:spacing w:line="240" w:lineRule="atLeast"/>
              <w:jc w:val="center"/>
              <w:textAlignment w:val="center"/>
              <w:rPr>
                <w:rFonts w:eastAsiaTheme="minorEastAsia"/>
                <w:bCs/>
                <w:szCs w:val="21"/>
              </w:rPr>
            </w:pPr>
            <w:r w:rsidRPr="000549B1">
              <w:rPr>
                <w:rFonts w:eastAsiaTheme="minorEastAsia"/>
                <w:bCs/>
                <w:kern w:val="0"/>
                <w:szCs w:val="21"/>
                <w:lang w:bidi="ar"/>
              </w:rPr>
              <w:t>膜工艺</w:t>
            </w:r>
            <w:r w:rsidRPr="000549B1">
              <w:rPr>
                <w:rFonts w:eastAsiaTheme="minorEastAsia"/>
                <w:bCs/>
                <w:kern w:val="0"/>
                <w:szCs w:val="21"/>
                <w:lang w:bidi="ar"/>
              </w:rPr>
              <w:t>+AO</w:t>
            </w:r>
            <w:r w:rsidRPr="000549B1">
              <w:rPr>
                <w:rFonts w:eastAsiaTheme="minorEastAsia"/>
                <w:bCs/>
                <w:kern w:val="0"/>
                <w:szCs w:val="21"/>
                <w:lang w:bidi="ar"/>
              </w:rPr>
              <w:t>工艺</w:t>
            </w:r>
          </w:p>
        </w:tc>
        <w:tc>
          <w:tcPr>
            <w:tcW w:w="510" w:type="pct"/>
            <w:tcBorders>
              <w:top w:val="single" w:sz="4" w:space="0" w:color="000000"/>
              <w:left w:val="single" w:sz="4" w:space="0" w:color="000000"/>
              <w:bottom w:val="single" w:sz="4" w:space="0" w:color="000000"/>
              <w:right w:val="single" w:sz="4" w:space="0" w:color="000000"/>
            </w:tcBorders>
            <w:vAlign w:val="center"/>
          </w:tcPr>
          <w:p w14:paraId="60B982F9" w14:textId="77777777" w:rsidR="00054437" w:rsidRPr="000549B1" w:rsidRDefault="00000000">
            <w:pPr>
              <w:widowControl/>
              <w:spacing w:line="240" w:lineRule="atLeast"/>
              <w:jc w:val="center"/>
              <w:textAlignment w:val="center"/>
              <w:rPr>
                <w:rFonts w:eastAsiaTheme="minorEastAsia"/>
                <w:bCs/>
                <w:szCs w:val="21"/>
              </w:rPr>
            </w:pPr>
            <w:r w:rsidRPr="000549B1">
              <w:rPr>
                <w:rFonts w:eastAsiaTheme="minorEastAsia"/>
                <w:bCs/>
                <w:kern w:val="0"/>
                <w:szCs w:val="21"/>
                <w:lang w:bidi="ar"/>
              </w:rPr>
              <w:t>一级</w:t>
            </w:r>
            <w:r w:rsidRPr="000549B1">
              <w:rPr>
                <w:rFonts w:eastAsiaTheme="minorEastAsia"/>
                <w:bCs/>
                <w:kern w:val="0"/>
                <w:szCs w:val="21"/>
                <w:lang w:bidi="ar"/>
              </w:rPr>
              <w:t>A</w:t>
            </w:r>
            <w:r w:rsidRPr="000549B1">
              <w:rPr>
                <w:rFonts w:eastAsiaTheme="minorEastAsia"/>
                <w:bCs/>
                <w:kern w:val="0"/>
                <w:szCs w:val="21"/>
                <w:lang w:bidi="ar"/>
              </w:rPr>
              <w:t>标准</w:t>
            </w:r>
          </w:p>
        </w:tc>
        <w:tc>
          <w:tcPr>
            <w:tcW w:w="918" w:type="pct"/>
            <w:tcBorders>
              <w:top w:val="single" w:sz="4" w:space="0" w:color="000000"/>
              <w:left w:val="single" w:sz="4" w:space="0" w:color="000000"/>
              <w:bottom w:val="single" w:sz="4" w:space="0" w:color="000000"/>
              <w:right w:val="single" w:sz="4" w:space="0" w:color="000000"/>
            </w:tcBorders>
            <w:vAlign w:val="center"/>
          </w:tcPr>
          <w:p w14:paraId="47E27514" w14:textId="77777777" w:rsidR="00054437" w:rsidRPr="000549B1" w:rsidRDefault="00000000">
            <w:pPr>
              <w:widowControl/>
              <w:spacing w:line="240" w:lineRule="atLeast"/>
              <w:jc w:val="center"/>
              <w:textAlignment w:val="center"/>
              <w:rPr>
                <w:rFonts w:eastAsiaTheme="minorEastAsia"/>
                <w:bCs/>
                <w:szCs w:val="21"/>
              </w:rPr>
            </w:pPr>
            <w:r w:rsidRPr="000549B1">
              <w:rPr>
                <w:rFonts w:eastAsiaTheme="minorEastAsia"/>
                <w:bCs/>
                <w:kern w:val="0"/>
                <w:szCs w:val="21"/>
                <w:lang w:bidi="ar"/>
              </w:rPr>
              <w:t>草场灌溉</w:t>
            </w:r>
          </w:p>
        </w:tc>
        <w:tc>
          <w:tcPr>
            <w:tcW w:w="561" w:type="pct"/>
            <w:tcBorders>
              <w:top w:val="single" w:sz="4" w:space="0" w:color="000000"/>
              <w:left w:val="single" w:sz="4" w:space="0" w:color="000000"/>
              <w:bottom w:val="single" w:sz="4" w:space="0" w:color="000000"/>
              <w:right w:val="single" w:sz="4" w:space="0" w:color="000000"/>
            </w:tcBorders>
            <w:vAlign w:val="center"/>
          </w:tcPr>
          <w:p w14:paraId="55B26C50" w14:textId="77777777" w:rsidR="00054437" w:rsidRPr="000549B1" w:rsidRDefault="00000000">
            <w:pPr>
              <w:widowControl/>
              <w:spacing w:line="240" w:lineRule="atLeast"/>
              <w:jc w:val="center"/>
              <w:textAlignment w:val="center"/>
              <w:rPr>
                <w:rFonts w:eastAsiaTheme="minorEastAsia"/>
                <w:bCs/>
                <w:kern w:val="0"/>
                <w:szCs w:val="21"/>
                <w:lang w:bidi="ar"/>
              </w:rPr>
            </w:pPr>
            <w:r w:rsidRPr="000549B1">
              <w:rPr>
                <w:rFonts w:eastAsiaTheme="minorEastAsia"/>
                <w:bCs/>
                <w:kern w:val="0"/>
                <w:szCs w:val="21"/>
                <w:lang w:bidi="ar"/>
              </w:rPr>
              <w:t>否</w:t>
            </w:r>
          </w:p>
        </w:tc>
      </w:tr>
      <w:tr w:rsidR="000549B1" w:rsidRPr="000549B1" w14:paraId="334A5B88" w14:textId="77777777">
        <w:trPr>
          <w:trHeight w:val="283"/>
        </w:trPr>
        <w:tc>
          <w:tcPr>
            <w:tcW w:w="151" w:type="pct"/>
            <w:tcBorders>
              <w:top w:val="single" w:sz="4" w:space="0" w:color="000000"/>
              <w:left w:val="single" w:sz="4" w:space="0" w:color="000000"/>
              <w:bottom w:val="single" w:sz="4" w:space="0" w:color="000000"/>
              <w:right w:val="single" w:sz="4" w:space="0" w:color="000000"/>
            </w:tcBorders>
            <w:vAlign w:val="center"/>
          </w:tcPr>
          <w:p w14:paraId="395EBE81" w14:textId="77777777" w:rsidR="00054437" w:rsidRPr="000549B1" w:rsidRDefault="00000000">
            <w:pPr>
              <w:widowControl/>
              <w:spacing w:line="240" w:lineRule="atLeast"/>
              <w:jc w:val="center"/>
              <w:textAlignment w:val="center"/>
              <w:rPr>
                <w:rFonts w:eastAsiaTheme="minorEastAsia"/>
                <w:bCs/>
                <w:szCs w:val="21"/>
              </w:rPr>
            </w:pPr>
            <w:r w:rsidRPr="000549B1">
              <w:rPr>
                <w:rFonts w:eastAsiaTheme="minorEastAsia"/>
                <w:bCs/>
                <w:kern w:val="0"/>
                <w:szCs w:val="21"/>
                <w:lang w:bidi="ar"/>
              </w:rPr>
              <w:t>7</w:t>
            </w:r>
          </w:p>
        </w:tc>
        <w:tc>
          <w:tcPr>
            <w:tcW w:w="306" w:type="pct"/>
            <w:tcBorders>
              <w:top w:val="single" w:sz="4" w:space="0" w:color="000000"/>
              <w:left w:val="single" w:sz="4" w:space="0" w:color="000000"/>
              <w:bottom w:val="single" w:sz="4" w:space="0" w:color="000000"/>
              <w:right w:val="single" w:sz="4" w:space="0" w:color="000000"/>
            </w:tcBorders>
            <w:vAlign w:val="center"/>
          </w:tcPr>
          <w:p w14:paraId="02BF3767" w14:textId="77777777" w:rsidR="00054437" w:rsidRPr="000549B1" w:rsidRDefault="00000000">
            <w:pPr>
              <w:widowControl/>
              <w:spacing w:line="240" w:lineRule="atLeast"/>
              <w:jc w:val="center"/>
              <w:textAlignment w:val="center"/>
              <w:rPr>
                <w:rFonts w:eastAsiaTheme="minorEastAsia"/>
                <w:bCs/>
                <w:szCs w:val="21"/>
              </w:rPr>
            </w:pPr>
            <w:r w:rsidRPr="000549B1">
              <w:rPr>
                <w:rFonts w:eastAsiaTheme="minorEastAsia"/>
                <w:bCs/>
                <w:kern w:val="0"/>
                <w:szCs w:val="21"/>
                <w:lang w:bidi="ar"/>
              </w:rPr>
              <w:t>共和县</w:t>
            </w:r>
          </w:p>
        </w:tc>
        <w:tc>
          <w:tcPr>
            <w:tcW w:w="715" w:type="pct"/>
            <w:tcBorders>
              <w:top w:val="single" w:sz="4" w:space="0" w:color="000000"/>
              <w:left w:val="single" w:sz="4" w:space="0" w:color="000000"/>
              <w:bottom w:val="single" w:sz="4" w:space="0" w:color="000000"/>
              <w:right w:val="single" w:sz="4" w:space="0" w:color="000000"/>
            </w:tcBorders>
            <w:vAlign w:val="center"/>
          </w:tcPr>
          <w:p w14:paraId="7CBD2A67" w14:textId="77777777" w:rsidR="00054437" w:rsidRPr="000549B1" w:rsidRDefault="00000000">
            <w:pPr>
              <w:widowControl/>
              <w:spacing w:line="240" w:lineRule="atLeast"/>
              <w:jc w:val="center"/>
              <w:textAlignment w:val="center"/>
              <w:rPr>
                <w:rFonts w:eastAsiaTheme="minorEastAsia"/>
                <w:bCs/>
                <w:szCs w:val="21"/>
              </w:rPr>
            </w:pPr>
            <w:r w:rsidRPr="000549B1">
              <w:rPr>
                <w:rFonts w:eastAsiaTheme="minorEastAsia"/>
                <w:bCs/>
                <w:kern w:val="0"/>
                <w:szCs w:val="21"/>
                <w:lang w:bidi="ar"/>
              </w:rPr>
              <w:t>倒淌河污水处理厂</w:t>
            </w:r>
          </w:p>
        </w:tc>
        <w:tc>
          <w:tcPr>
            <w:tcW w:w="459" w:type="pct"/>
            <w:tcBorders>
              <w:top w:val="single" w:sz="4" w:space="0" w:color="000000"/>
              <w:left w:val="single" w:sz="4" w:space="0" w:color="000000"/>
              <w:bottom w:val="single" w:sz="4" w:space="0" w:color="000000"/>
              <w:right w:val="single" w:sz="4" w:space="0" w:color="000000"/>
            </w:tcBorders>
            <w:vAlign w:val="center"/>
          </w:tcPr>
          <w:p w14:paraId="0010B646" w14:textId="77777777" w:rsidR="00054437" w:rsidRPr="000549B1" w:rsidRDefault="00000000">
            <w:pPr>
              <w:widowControl/>
              <w:spacing w:line="240" w:lineRule="atLeast"/>
              <w:jc w:val="center"/>
              <w:textAlignment w:val="center"/>
              <w:rPr>
                <w:rFonts w:eastAsiaTheme="minorEastAsia"/>
                <w:bCs/>
                <w:szCs w:val="21"/>
              </w:rPr>
            </w:pPr>
            <w:r w:rsidRPr="000549B1">
              <w:rPr>
                <w:rFonts w:eastAsiaTheme="minorEastAsia"/>
                <w:bCs/>
                <w:kern w:val="0"/>
                <w:szCs w:val="21"/>
                <w:lang w:bidi="ar"/>
              </w:rPr>
              <w:t>0.1</w:t>
            </w:r>
          </w:p>
        </w:tc>
        <w:tc>
          <w:tcPr>
            <w:tcW w:w="766" w:type="pct"/>
            <w:tcBorders>
              <w:top w:val="single" w:sz="4" w:space="0" w:color="000000"/>
              <w:left w:val="single" w:sz="4" w:space="0" w:color="000000"/>
              <w:bottom w:val="single" w:sz="4" w:space="0" w:color="000000"/>
              <w:right w:val="single" w:sz="4" w:space="0" w:color="000000"/>
            </w:tcBorders>
            <w:vAlign w:val="center"/>
          </w:tcPr>
          <w:p w14:paraId="1C2D416C" w14:textId="77777777" w:rsidR="00054437" w:rsidRPr="000549B1" w:rsidRDefault="00000000">
            <w:pPr>
              <w:widowControl/>
              <w:spacing w:line="240" w:lineRule="atLeast"/>
              <w:jc w:val="center"/>
              <w:textAlignment w:val="center"/>
              <w:rPr>
                <w:rFonts w:eastAsiaTheme="minorEastAsia"/>
                <w:bCs/>
                <w:szCs w:val="21"/>
              </w:rPr>
            </w:pPr>
            <w:r w:rsidRPr="000549B1">
              <w:rPr>
                <w:rFonts w:eastAsiaTheme="minorEastAsia"/>
                <w:bCs/>
                <w:kern w:val="0"/>
                <w:szCs w:val="21"/>
                <w:lang w:bidi="ar"/>
              </w:rPr>
              <w:t>0.02~0.0996</w:t>
            </w:r>
          </w:p>
        </w:tc>
        <w:tc>
          <w:tcPr>
            <w:tcW w:w="612" w:type="pct"/>
            <w:tcBorders>
              <w:top w:val="single" w:sz="4" w:space="0" w:color="000000"/>
              <w:left w:val="single" w:sz="4" w:space="0" w:color="000000"/>
              <w:bottom w:val="single" w:sz="4" w:space="0" w:color="000000"/>
              <w:right w:val="single" w:sz="4" w:space="0" w:color="000000"/>
            </w:tcBorders>
            <w:vAlign w:val="center"/>
          </w:tcPr>
          <w:p w14:paraId="0F33833D" w14:textId="77777777" w:rsidR="00054437" w:rsidRPr="000549B1" w:rsidRDefault="00000000">
            <w:pPr>
              <w:widowControl/>
              <w:spacing w:line="240" w:lineRule="atLeast"/>
              <w:jc w:val="center"/>
              <w:textAlignment w:val="center"/>
              <w:rPr>
                <w:rFonts w:eastAsiaTheme="minorEastAsia"/>
                <w:bCs/>
                <w:szCs w:val="21"/>
              </w:rPr>
            </w:pPr>
            <w:r w:rsidRPr="000549B1">
              <w:rPr>
                <w:rFonts w:eastAsiaTheme="minorEastAsia"/>
                <w:bCs/>
                <w:kern w:val="0"/>
                <w:szCs w:val="21"/>
                <w:lang w:bidi="ar"/>
              </w:rPr>
              <w:t>CAST</w:t>
            </w:r>
            <w:r w:rsidRPr="000549B1">
              <w:rPr>
                <w:rFonts w:eastAsiaTheme="minorEastAsia"/>
                <w:bCs/>
                <w:kern w:val="0"/>
                <w:szCs w:val="21"/>
                <w:lang w:bidi="ar"/>
              </w:rPr>
              <w:t>工艺</w:t>
            </w:r>
          </w:p>
        </w:tc>
        <w:tc>
          <w:tcPr>
            <w:tcW w:w="510" w:type="pct"/>
            <w:tcBorders>
              <w:top w:val="single" w:sz="4" w:space="0" w:color="000000"/>
              <w:left w:val="single" w:sz="4" w:space="0" w:color="000000"/>
              <w:bottom w:val="single" w:sz="4" w:space="0" w:color="000000"/>
              <w:right w:val="single" w:sz="4" w:space="0" w:color="000000"/>
            </w:tcBorders>
            <w:vAlign w:val="center"/>
          </w:tcPr>
          <w:p w14:paraId="463E6259" w14:textId="77777777" w:rsidR="00054437" w:rsidRPr="000549B1" w:rsidRDefault="00000000">
            <w:pPr>
              <w:widowControl/>
              <w:spacing w:line="240" w:lineRule="atLeast"/>
              <w:jc w:val="center"/>
              <w:textAlignment w:val="center"/>
              <w:rPr>
                <w:rFonts w:eastAsiaTheme="minorEastAsia"/>
                <w:bCs/>
                <w:szCs w:val="21"/>
              </w:rPr>
            </w:pPr>
            <w:r w:rsidRPr="000549B1">
              <w:rPr>
                <w:rFonts w:eastAsiaTheme="minorEastAsia"/>
                <w:bCs/>
                <w:kern w:val="0"/>
                <w:szCs w:val="21"/>
                <w:lang w:bidi="ar"/>
              </w:rPr>
              <w:t>一级</w:t>
            </w:r>
            <w:r w:rsidRPr="000549B1">
              <w:rPr>
                <w:rFonts w:eastAsiaTheme="minorEastAsia"/>
                <w:bCs/>
                <w:kern w:val="0"/>
                <w:szCs w:val="21"/>
                <w:lang w:bidi="ar"/>
              </w:rPr>
              <w:t>A</w:t>
            </w:r>
            <w:r w:rsidRPr="000549B1">
              <w:rPr>
                <w:rFonts w:eastAsiaTheme="minorEastAsia"/>
                <w:bCs/>
                <w:kern w:val="0"/>
                <w:szCs w:val="21"/>
                <w:lang w:bidi="ar"/>
              </w:rPr>
              <w:t>标准</w:t>
            </w:r>
          </w:p>
        </w:tc>
        <w:tc>
          <w:tcPr>
            <w:tcW w:w="918" w:type="pct"/>
            <w:tcBorders>
              <w:top w:val="single" w:sz="4" w:space="0" w:color="000000"/>
              <w:left w:val="single" w:sz="4" w:space="0" w:color="000000"/>
              <w:bottom w:val="single" w:sz="4" w:space="0" w:color="000000"/>
              <w:right w:val="single" w:sz="4" w:space="0" w:color="000000"/>
            </w:tcBorders>
            <w:vAlign w:val="center"/>
          </w:tcPr>
          <w:p w14:paraId="624FCA18" w14:textId="77777777" w:rsidR="00054437" w:rsidRPr="000549B1" w:rsidRDefault="00000000">
            <w:pPr>
              <w:widowControl/>
              <w:spacing w:line="240" w:lineRule="atLeast"/>
              <w:jc w:val="center"/>
              <w:textAlignment w:val="center"/>
              <w:rPr>
                <w:rFonts w:eastAsiaTheme="minorEastAsia"/>
                <w:bCs/>
                <w:szCs w:val="21"/>
              </w:rPr>
            </w:pPr>
            <w:bookmarkStart w:id="217" w:name="OLE_LINK86"/>
            <w:r w:rsidRPr="000549B1">
              <w:rPr>
                <w:rFonts w:eastAsiaTheme="minorEastAsia"/>
                <w:bCs/>
                <w:kern w:val="0"/>
                <w:szCs w:val="21"/>
                <w:lang w:bidi="ar"/>
              </w:rPr>
              <w:t>排入草地</w:t>
            </w:r>
            <w:bookmarkEnd w:id="217"/>
            <w:r w:rsidRPr="000549B1">
              <w:rPr>
                <w:rFonts w:eastAsiaTheme="minorEastAsia"/>
                <w:bCs/>
                <w:kern w:val="0"/>
                <w:szCs w:val="21"/>
                <w:lang w:bidi="ar"/>
              </w:rPr>
              <w:t>，自然渗透</w:t>
            </w:r>
          </w:p>
        </w:tc>
        <w:tc>
          <w:tcPr>
            <w:tcW w:w="561" w:type="pct"/>
            <w:tcBorders>
              <w:top w:val="single" w:sz="4" w:space="0" w:color="000000"/>
              <w:left w:val="single" w:sz="4" w:space="0" w:color="000000"/>
              <w:bottom w:val="single" w:sz="4" w:space="0" w:color="000000"/>
              <w:right w:val="single" w:sz="4" w:space="0" w:color="000000"/>
            </w:tcBorders>
            <w:vAlign w:val="center"/>
          </w:tcPr>
          <w:p w14:paraId="2A08EBCA" w14:textId="77777777" w:rsidR="00054437" w:rsidRPr="000549B1" w:rsidRDefault="00000000">
            <w:pPr>
              <w:widowControl/>
              <w:spacing w:line="240" w:lineRule="atLeast"/>
              <w:jc w:val="center"/>
              <w:textAlignment w:val="center"/>
              <w:rPr>
                <w:rFonts w:eastAsiaTheme="minorEastAsia"/>
                <w:bCs/>
                <w:kern w:val="0"/>
                <w:szCs w:val="21"/>
                <w:lang w:bidi="ar"/>
              </w:rPr>
            </w:pPr>
            <w:r w:rsidRPr="000549B1">
              <w:rPr>
                <w:rFonts w:eastAsiaTheme="minorEastAsia"/>
                <w:bCs/>
                <w:kern w:val="0"/>
                <w:szCs w:val="21"/>
                <w:lang w:bidi="ar"/>
              </w:rPr>
              <w:t>否</w:t>
            </w:r>
          </w:p>
        </w:tc>
      </w:tr>
      <w:tr w:rsidR="000549B1" w:rsidRPr="000549B1" w14:paraId="620FF186" w14:textId="77777777">
        <w:trPr>
          <w:trHeight w:val="283"/>
        </w:trPr>
        <w:tc>
          <w:tcPr>
            <w:tcW w:w="151" w:type="pct"/>
            <w:tcBorders>
              <w:top w:val="single" w:sz="4" w:space="0" w:color="000000"/>
              <w:left w:val="single" w:sz="4" w:space="0" w:color="000000"/>
              <w:bottom w:val="single" w:sz="4" w:space="0" w:color="000000"/>
              <w:right w:val="single" w:sz="4" w:space="0" w:color="000000"/>
            </w:tcBorders>
            <w:vAlign w:val="center"/>
          </w:tcPr>
          <w:p w14:paraId="46A63E42" w14:textId="77777777" w:rsidR="00054437" w:rsidRPr="000549B1" w:rsidRDefault="00000000">
            <w:pPr>
              <w:widowControl/>
              <w:spacing w:line="240" w:lineRule="atLeast"/>
              <w:jc w:val="center"/>
              <w:textAlignment w:val="center"/>
              <w:rPr>
                <w:rFonts w:eastAsiaTheme="minorEastAsia"/>
                <w:bCs/>
                <w:szCs w:val="21"/>
              </w:rPr>
            </w:pPr>
            <w:r w:rsidRPr="000549B1">
              <w:rPr>
                <w:rFonts w:eastAsiaTheme="minorEastAsia"/>
                <w:bCs/>
                <w:kern w:val="0"/>
                <w:szCs w:val="21"/>
                <w:lang w:bidi="ar"/>
              </w:rPr>
              <w:t>8</w:t>
            </w:r>
          </w:p>
        </w:tc>
        <w:tc>
          <w:tcPr>
            <w:tcW w:w="306" w:type="pct"/>
            <w:tcBorders>
              <w:top w:val="single" w:sz="4" w:space="0" w:color="000000"/>
              <w:left w:val="single" w:sz="4" w:space="0" w:color="000000"/>
              <w:bottom w:val="single" w:sz="4" w:space="0" w:color="000000"/>
              <w:right w:val="single" w:sz="4" w:space="0" w:color="000000"/>
            </w:tcBorders>
            <w:vAlign w:val="center"/>
          </w:tcPr>
          <w:p w14:paraId="72AF393F" w14:textId="77777777" w:rsidR="00054437" w:rsidRPr="000549B1" w:rsidRDefault="00000000">
            <w:pPr>
              <w:widowControl/>
              <w:spacing w:line="240" w:lineRule="atLeast"/>
              <w:jc w:val="center"/>
              <w:textAlignment w:val="center"/>
              <w:rPr>
                <w:rFonts w:eastAsiaTheme="minorEastAsia"/>
                <w:bCs/>
                <w:szCs w:val="21"/>
              </w:rPr>
            </w:pPr>
            <w:r w:rsidRPr="000549B1">
              <w:rPr>
                <w:rFonts w:eastAsiaTheme="minorEastAsia"/>
                <w:bCs/>
                <w:kern w:val="0"/>
                <w:szCs w:val="21"/>
                <w:lang w:bidi="ar"/>
              </w:rPr>
              <w:t>共和县</w:t>
            </w:r>
          </w:p>
        </w:tc>
        <w:tc>
          <w:tcPr>
            <w:tcW w:w="715" w:type="pct"/>
            <w:tcBorders>
              <w:top w:val="single" w:sz="4" w:space="0" w:color="000000"/>
              <w:left w:val="single" w:sz="4" w:space="0" w:color="000000"/>
              <w:bottom w:val="single" w:sz="4" w:space="0" w:color="000000"/>
              <w:right w:val="single" w:sz="4" w:space="0" w:color="000000"/>
            </w:tcBorders>
            <w:vAlign w:val="center"/>
          </w:tcPr>
          <w:p w14:paraId="47342CD5" w14:textId="77777777" w:rsidR="00054437" w:rsidRPr="000549B1" w:rsidRDefault="00000000">
            <w:pPr>
              <w:widowControl/>
              <w:spacing w:line="240" w:lineRule="atLeast"/>
              <w:jc w:val="center"/>
              <w:textAlignment w:val="center"/>
              <w:rPr>
                <w:rFonts w:eastAsiaTheme="minorEastAsia"/>
                <w:bCs/>
                <w:szCs w:val="21"/>
              </w:rPr>
            </w:pPr>
            <w:r w:rsidRPr="000549B1">
              <w:rPr>
                <w:rFonts w:eastAsiaTheme="minorEastAsia"/>
                <w:bCs/>
                <w:kern w:val="0"/>
                <w:szCs w:val="21"/>
                <w:lang w:bidi="ar"/>
              </w:rPr>
              <w:t>湖东种羊场污水处理厂</w:t>
            </w:r>
          </w:p>
        </w:tc>
        <w:tc>
          <w:tcPr>
            <w:tcW w:w="459" w:type="pct"/>
            <w:tcBorders>
              <w:top w:val="single" w:sz="4" w:space="0" w:color="000000"/>
              <w:left w:val="single" w:sz="4" w:space="0" w:color="000000"/>
              <w:bottom w:val="single" w:sz="4" w:space="0" w:color="000000"/>
              <w:right w:val="single" w:sz="4" w:space="0" w:color="000000"/>
            </w:tcBorders>
            <w:vAlign w:val="center"/>
          </w:tcPr>
          <w:p w14:paraId="37A8C677" w14:textId="77777777" w:rsidR="00054437" w:rsidRPr="000549B1" w:rsidRDefault="00000000">
            <w:pPr>
              <w:widowControl/>
              <w:spacing w:line="240" w:lineRule="atLeast"/>
              <w:jc w:val="center"/>
              <w:textAlignment w:val="center"/>
              <w:rPr>
                <w:rFonts w:eastAsiaTheme="minorEastAsia"/>
                <w:bCs/>
                <w:szCs w:val="21"/>
              </w:rPr>
            </w:pPr>
            <w:r w:rsidRPr="000549B1">
              <w:rPr>
                <w:rFonts w:eastAsiaTheme="minorEastAsia"/>
                <w:bCs/>
                <w:kern w:val="0"/>
                <w:szCs w:val="21"/>
                <w:lang w:bidi="ar"/>
              </w:rPr>
              <w:t>0.02</w:t>
            </w:r>
          </w:p>
        </w:tc>
        <w:tc>
          <w:tcPr>
            <w:tcW w:w="766" w:type="pct"/>
            <w:tcBorders>
              <w:top w:val="single" w:sz="4" w:space="0" w:color="000000"/>
              <w:left w:val="single" w:sz="4" w:space="0" w:color="000000"/>
              <w:bottom w:val="single" w:sz="4" w:space="0" w:color="000000"/>
              <w:right w:val="single" w:sz="4" w:space="0" w:color="000000"/>
            </w:tcBorders>
            <w:vAlign w:val="center"/>
          </w:tcPr>
          <w:p w14:paraId="60D289F6" w14:textId="77777777" w:rsidR="00054437" w:rsidRPr="000549B1" w:rsidRDefault="00000000">
            <w:pPr>
              <w:widowControl/>
              <w:spacing w:line="240" w:lineRule="atLeast"/>
              <w:jc w:val="center"/>
              <w:textAlignment w:val="center"/>
              <w:rPr>
                <w:rFonts w:eastAsiaTheme="minorEastAsia"/>
                <w:bCs/>
                <w:szCs w:val="21"/>
              </w:rPr>
            </w:pPr>
            <w:r w:rsidRPr="000549B1">
              <w:rPr>
                <w:rFonts w:eastAsiaTheme="minorEastAsia"/>
                <w:bCs/>
                <w:kern w:val="0"/>
                <w:szCs w:val="21"/>
                <w:lang w:bidi="ar"/>
              </w:rPr>
              <w:t>0.0063~0.0102</w:t>
            </w:r>
          </w:p>
        </w:tc>
        <w:tc>
          <w:tcPr>
            <w:tcW w:w="612" w:type="pct"/>
            <w:tcBorders>
              <w:top w:val="single" w:sz="4" w:space="0" w:color="000000"/>
              <w:left w:val="single" w:sz="4" w:space="0" w:color="000000"/>
              <w:bottom w:val="single" w:sz="4" w:space="0" w:color="000000"/>
              <w:right w:val="single" w:sz="4" w:space="0" w:color="000000"/>
            </w:tcBorders>
            <w:vAlign w:val="center"/>
          </w:tcPr>
          <w:p w14:paraId="08038E31" w14:textId="77777777" w:rsidR="00054437" w:rsidRPr="000549B1" w:rsidRDefault="00000000">
            <w:pPr>
              <w:widowControl/>
              <w:spacing w:line="240" w:lineRule="atLeast"/>
              <w:jc w:val="center"/>
              <w:textAlignment w:val="center"/>
              <w:rPr>
                <w:rFonts w:eastAsiaTheme="minorEastAsia"/>
                <w:bCs/>
                <w:szCs w:val="21"/>
              </w:rPr>
            </w:pPr>
            <w:r w:rsidRPr="000549B1">
              <w:rPr>
                <w:rFonts w:eastAsiaTheme="minorEastAsia"/>
                <w:bCs/>
                <w:kern w:val="0"/>
                <w:szCs w:val="21"/>
                <w:lang w:bidi="ar"/>
              </w:rPr>
              <w:t>AA/O</w:t>
            </w:r>
            <w:r w:rsidRPr="000549B1">
              <w:rPr>
                <w:rFonts w:eastAsiaTheme="minorEastAsia"/>
                <w:bCs/>
                <w:kern w:val="0"/>
                <w:szCs w:val="21"/>
                <w:lang w:bidi="ar"/>
              </w:rPr>
              <w:t>工艺</w:t>
            </w:r>
          </w:p>
        </w:tc>
        <w:tc>
          <w:tcPr>
            <w:tcW w:w="510" w:type="pct"/>
            <w:tcBorders>
              <w:top w:val="single" w:sz="4" w:space="0" w:color="000000"/>
              <w:left w:val="single" w:sz="4" w:space="0" w:color="000000"/>
              <w:bottom w:val="single" w:sz="4" w:space="0" w:color="000000"/>
              <w:right w:val="single" w:sz="4" w:space="0" w:color="000000"/>
            </w:tcBorders>
            <w:vAlign w:val="center"/>
          </w:tcPr>
          <w:p w14:paraId="0B72AFE4" w14:textId="77777777" w:rsidR="00054437" w:rsidRPr="000549B1" w:rsidRDefault="00000000">
            <w:pPr>
              <w:widowControl/>
              <w:spacing w:line="240" w:lineRule="atLeast"/>
              <w:jc w:val="center"/>
              <w:textAlignment w:val="center"/>
              <w:rPr>
                <w:rFonts w:eastAsiaTheme="minorEastAsia"/>
                <w:bCs/>
                <w:szCs w:val="21"/>
              </w:rPr>
            </w:pPr>
            <w:r w:rsidRPr="000549B1">
              <w:rPr>
                <w:rFonts w:eastAsiaTheme="minorEastAsia"/>
                <w:bCs/>
                <w:kern w:val="0"/>
                <w:szCs w:val="21"/>
                <w:lang w:bidi="ar"/>
              </w:rPr>
              <w:t>一级</w:t>
            </w:r>
            <w:r w:rsidRPr="000549B1">
              <w:rPr>
                <w:rFonts w:eastAsiaTheme="minorEastAsia"/>
                <w:bCs/>
                <w:kern w:val="0"/>
                <w:szCs w:val="21"/>
                <w:lang w:bidi="ar"/>
              </w:rPr>
              <w:t>A</w:t>
            </w:r>
            <w:r w:rsidRPr="000549B1">
              <w:rPr>
                <w:rFonts w:eastAsiaTheme="minorEastAsia"/>
                <w:bCs/>
                <w:kern w:val="0"/>
                <w:szCs w:val="21"/>
                <w:lang w:bidi="ar"/>
              </w:rPr>
              <w:t>标准</w:t>
            </w:r>
          </w:p>
        </w:tc>
        <w:tc>
          <w:tcPr>
            <w:tcW w:w="918" w:type="pct"/>
            <w:tcBorders>
              <w:top w:val="single" w:sz="4" w:space="0" w:color="000000"/>
              <w:left w:val="single" w:sz="4" w:space="0" w:color="000000"/>
              <w:bottom w:val="single" w:sz="4" w:space="0" w:color="000000"/>
              <w:right w:val="single" w:sz="4" w:space="0" w:color="000000"/>
            </w:tcBorders>
            <w:vAlign w:val="center"/>
          </w:tcPr>
          <w:p w14:paraId="49D2793F" w14:textId="77777777" w:rsidR="00054437" w:rsidRPr="000549B1" w:rsidRDefault="00000000">
            <w:pPr>
              <w:widowControl/>
              <w:spacing w:line="240" w:lineRule="atLeast"/>
              <w:jc w:val="center"/>
              <w:textAlignment w:val="center"/>
              <w:rPr>
                <w:rFonts w:eastAsiaTheme="minorEastAsia"/>
                <w:bCs/>
                <w:szCs w:val="21"/>
              </w:rPr>
            </w:pPr>
            <w:r w:rsidRPr="000549B1">
              <w:rPr>
                <w:rFonts w:eastAsiaTheme="minorEastAsia"/>
                <w:bCs/>
                <w:kern w:val="0"/>
                <w:szCs w:val="21"/>
                <w:lang w:bidi="ar"/>
              </w:rPr>
              <w:t>排水林场、自然渗透</w:t>
            </w:r>
          </w:p>
        </w:tc>
        <w:tc>
          <w:tcPr>
            <w:tcW w:w="561" w:type="pct"/>
            <w:tcBorders>
              <w:top w:val="single" w:sz="4" w:space="0" w:color="000000"/>
              <w:left w:val="single" w:sz="4" w:space="0" w:color="000000"/>
              <w:bottom w:val="single" w:sz="4" w:space="0" w:color="000000"/>
              <w:right w:val="single" w:sz="4" w:space="0" w:color="000000"/>
            </w:tcBorders>
            <w:vAlign w:val="center"/>
          </w:tcPr>
          <w:p w14:paraId="2A82414D" w14:textId="77777777" w:rsidR="00054437" w:rsidRPr="000549B1" w:rsidRDefault="00000000">
            <w:pPr>
              <w:widowControl/>
              <w:spacing w:line="240" w:lineRule="atLeast"/>
              <w:jc w:val="center"/>
              <w:textAlignment w:val="center"/>
              <w:rPr>
                <w:rFonts w:eastAsiaTheme="minorEastAsia"/>
                <w:bCs/>
                <w:kern w:val="0"/>
                <w:szCs w:val="21"/>
                <w:lang w:bidi="ar"/>
              </w:rPr>
            </w:pPr>
            <w:r w:rsidRPr="000549B1">
              <w:rPr>
                <w:rFonts w:eastAsiaTheme="minorEastAsia"/>
                <w:bCs/>
                <w:kern w:val="0"/>
                <w:szCs w:val="21"/>
                <w:lang w:bidi="ar"/>
              </w:rPr>
              <w:t>否</w:t>
            </w:r>
          </w:p>
        </w:tc>
      </w:tr>
      <w:tr w:rsidR="000549B1" w:rsidRPr="000549B1" w14:paraId="348E22E6" w14:textId="77777777">
        <w:trPr>
          <w:trHeight w:val="283"/>
        </w:trPr>
        <w:tc>
          <w:tcPr>
            <w:tcW w:w="151" w:type="pct"/>
            <w:tcBorders>
              <w:top w:val="single" w:sz="4" w:space="0" w:color="000000"/>
              <w:left w:val="single" w:sz="4" w:space="0" w:color="000000"/>
              <w:bottom w:val="single" w:sz="4" w:space="0" w:color="000000"/>
              <w:right w:val="single" w:sz="4" w:space="0" w:color="000000"/>
            </w:tcBorders>
            <w:vAlign w:val="center"/>
          </w:tcPr>
          <w:p w14:paraId="18B1979F" w14:textId="77777777" w:rsidR="00054437" w:rsidRPr="000549B1" w:rsidRDefault="00000000">
            <w:pPr>
              <w:widowControl/>
              <w:spacing w:line="240" w:lineRule="atLeast"/>
              <w:jc w:val="center"/>
              <w:textAlignment w:val="center"/>
              <w:rPr>
                <w:rFonts w:eastAsiaTheme="minorEastAsia"/>
                <w:bCs/>
                <w:kern w:val="0"/>
                <w:szCs w:val="21"/>
                <w:lang w:bidi="ar"/>
              </w:rPr>
            </w:pPr>
            <w:r w:rsidRPr="000549B1">
              <w:rPr>
                <w:rFonts w:eastAsiaTheme="minorEastAsia"/>
                <w:bCs/>
                <w:kern w:val="0"/>
                <w:szCs w:val="21"/>
                <w:lang w:bidi="ar"/>
              </w:rPr>
              <w:t>9</w:t>
            </w:r>
          </w:p>
        </w:tc>
        <w:tc>
          <w:tcPr>
            <w:tcW w:w="306" w:type="pct"/>
            <w:tcBorders>
              <w:top w:val="single" w:sz="4" w:space="0" w:color="000000"/>
              <w:left w:val="single" w:sz="4" w:space="0" w:color="000000"/>
              <w:bottom w:val="single" w:sz="4" w:space="0" w:color="000000"/>
              <w:right w:val="single" w:sz="4" w:space="0" w:color="000000"/>
            </w:tcBorders>
            <w:vAlign w:val="center"/>
          </w:tcPr>
          <w:p w14:paraId="70125E7D" w14:textId="77777777" w:rsidR="00054437" w:rsidRPr="000549B1" w:rsidRDefault="00000000">
            <w:pPr>
              <w:widowControl/>
              <w:spacing w:line="240" w:lineRule="atLeast"/>
              <w:jc w:val="center"/>
              <w:textAlignment w:val="center"/>
              <w:rPr>
                <w:rFonts w:eastAsiaTheme="minorEastAsia"/>
                <w:bCs/>
                <w:kern w:val="0"/>
                <w:szCs w:val="21"/>
                <w:lang w:bidi="ar"/>
              </w:rPr>
            </w:pPr>
            <w:r w:rsidRPr="000549B1">
              <w:rPr>
                <w:rFonts w:eastAsiaTheme="minorEastAsia"/>
                <w:bCs/>
                <w:kern w:val="0"/>
                <w:szCs w:val="21"/>
                <w:lang w:bidi="ar"/>
              </w:rPr>
              <w:t>兴海县</w:t>
            </w:r>
          </w:p>
        </w:tc>
        <w:tc>
          <w:tcPr>
            <w:tcW w:w="715" w:type="pct"/>
            <w:tcBorders>
              <w:top w:val="single" w:sz="4" w:space="0" w:color="000000"/>
              <w:left w:val="single" w:sz="4" w:space="0" w:color="000000"/>
              <w:bottom w:val="single" w:sz="4" w:space="0" w:color="000000"/>
              <w:right w:val="single" w:sz="4" w:space="0" w:color="000000"/>
            </w:tcBorders>
            <w:vAlign w:val="center"/>
          </w:tcPr>
          <w:p w14:paraId="0BBFD64D" w14:textId="77777777" w:rsidR="00054437" w:rsidRPr="000549B1" w:rsidRDefault="00000000">
            <w:pPr>
              <w:widowControl/>
              <w:spacing w:line="240" w:lineRule="atLeast"/>
              <w:jc w:val="center"/>
              <w:textAlignment w:val="center"/>
              <w:rPr>
                <w:rFonts w:eastAsiaTheme="minorEastAsia"/>
                <w:bCs/>
                <w:kern w:val="0"/>
                <w:szCs w:val="21"/>
                <w:lang w:bidi="ar"/>
              </w:rPr>
            </w:pPr>
            <w:r w:rsidRPr="000549B1">
              <w:rPr>
                <w:rFonts w:eastAsiaTheme="minorEastAsia"/>
                <w:bCs/>
                <w:kern w:val="0"/>
                <w:szCs w:val="21"/>
                <w:lang w:bidi="ar"/>
              </w:rPr>
              <w:t>兴海县污水处理厂</w:t>
            </w:r>
          </w:p>
        </w:tc>
        <w:tc>
          <w:tcPr>
            <w:tcW w:w="459" w:type="pct"/>
            <w:tcBorders>
              <w:top w:val="single" w:sz="4" w:space="0" w:color="000000"/>
              <w:left w:val="single" w:sz="4" w:space="0" w:color="000000"/>
              <w:bottom w:val="single" w:sz="4" w:space="0" w:color="000000"/>
              <w:right w:val="single" w:sz="4" w:space="0" w:color="000000"/>
            </w:tcBorders>
            <w:vAlign w:val="center"/>
          </w:tcPr>
          <w:p w14:paraId="598D093C" w14:textId="77777777" w:rsidR="00054437" w:rsidRPr="000549B1" w:rsidRDefault="00000000">
            <w:pPr>
              <w:widowControl/>
              <w:spacing w:line="240" w:lineRule="atLeast"/>
              <w:jc w:val="center"/>
              <w:textAlignment w:val="center"/>
              <w:rPr>
                <w:rFonts w:eastAsiaTheme="minorEastAsia"/>
                <w:bCs/>
                <w:kern w:val="0"/>
                <w:szCs w:val="21"/>
                <w:lang w:bidi="ar"/>
              </w:rPr>
            </w:pPr>
            <w:r w:rsidRPr="000549B1">
              <w:rPr>
                <w:rFonts w:eastAsiaTheme="minorEastAsia"/>
                <w:bCs/>
                <w:kern w:val="0"/>
                <w:szCs w:val="21"/>
                <w:lang w:bidi="ar"/>
              </w:rPr>
              <w:t>0.4</w:t>
            </w:r>
          </w:p>
        </w:tc>
        <w:tc>
          <w:tcPr>
            <w:tcW w:w="766" w:type="pct"/>
            <w:tcBorders>
              <w:top w:val="single" w:sz="4" w:space="0" w:color="000000"/>
              <w:left w:val="single" w:sz="4" w:space="0" w:color="000000"/>
              <w:bottom w:val="single" w:sz="4" w:space="0" w:color="000000"/>
              <w:right w:val="single" w:sz="4" w:space="0" w:color="000000"/>
            </w:tcBorders>
            <w:vAlign w:val="center"/>
          </w:tcPr>
          <w:p w14:paraId="12A824A8" w14:textId="77777777" w:rsidR="00054437" w:rsidRPr="000549B1" w:rsidRDefault="00000000">
            <w:pPr>
              <w:widowControl/>
              <w:spacing w:line="240" w:lineRule="atLeast"/>
              <w:jc w:val="center"/>
              <w:textAlignment w:val="center"/>
              <w:rPr>
                <w:rFonts w:eastAsiaTheme="minorEastAsia"/>
                <w:bCs/>
                <w:kern w:val="0"/>
                <w:szCs w:val="21"/>
                <w:lang w:bidi="ar"/>
              </w:rPr>
            </w:pPr>
            <w:r w:rsidRPr="000549B1">
              <w:rPr>
                <w:rFonts w:eastAsiaTheme="minorEastAsia"/>
                <w:bCs/>
                <w:kern w:val="0"/>
                <w:szCs w:val="21"/>
                <w:lang w:bidi="ar"/>
              </w:rPr>
              <w:t>0.5</w:t>
            </w:r>
          </w:p>
        </w:tc>
        <w:tc>
          <w:tcPr>
            <w:tcW w:w="612" w:type="pct"/>
            <w:tcBorders>
              <w:top w:val="single" w:sz="4" w:space="0" w:color="000000"/>
              <w:left w:val="single" w:sz="4" w:space="0" w:color="000000"/>
              <w:bottom w:val="single" w:sz="4" w:space="0" w:color="000000"/>
              <w:right w:val="single" w:sz="4" w:space="0" w:color="000000"/>
            </w:tcBorders>
            <w:vAlign w:val="center"/>
          </w:tcPr>
          <w:p w14:paraId="5792FD0C" w14:textId="77777777" w:rsidR="00054437" w:rsidRPr="000549B1" w:rsidRDefault="00000000">
            <w:pPr>
              <w:widowControl/>
              <w:spacing w:line="240" w:lineRule="atLeast"/>
              <w:jc w:val="center"/>
              <w:textAlignment w:val="center"/>
              <w:rPr>
                <w:rFonts w:eastAsiaTheme="minorEastAsia"/>
                <w:bCs/>
                <w:kern w:val="0"/>
                <w:szCs w:val="21"/>
                <w:lang w:bidi="ar"/>
              </w:rPr>
            </w:pPr>
            <w:r w:rsidRPr="000549B1">
              <w:rPr>
                <w:rFonts w:eastAsiaTheme="minorEastAsia"/>
                <w:bCs/>
                <w:kern w:val="0"/>
                <w:szCs w:val="21"/>
                <w:lang w:bidi="ar"/>
              </w:rPr>
              <w:t>氧化沟工艺</w:t>
            </w:r>
          </w:p>
        </w:tc>
        <w:tc>
          <w:tcPr>
            <w:tcW w:w="510" w:type="pct"/>
            <w:tcBorders>
              <w:top w:val="single" w:sz="4" w:space="0" w:color="000000"/>
              <w:left w:val="single" w:sz="4" w:space="0" w:color="000000"/>
              <w:bottom w:val="single" w:sz="4" w:space="0" w:color="000000"/>
              <w:right w:val="single" w:sz="4" w:space="0" w:color="000000"/>
            </w:tcBorders>
            <w:vAlign w:val="center"/>
          </w:tcPr>
          <w:p w14:paraId="3D02A228" w14:textId="77777777" w:rsidR="00054437" w:rsidRPr="000549B1" w:rsidRDefault="00000000">
            <w:pPr>
              <w:widowControl/>
              <w:spacing w:line="240" w:lineRule="atLeast"/>
              <w:jc w:val="center"/>
              <w:textAlignment w:val="center"/>
              <w:rPr>
                <w:rFonts w:eastAsiaTheme="minorEastAsia"/>
                <w:bCs/>
                <w:kern w:val="0"/>
                <w:szCs w:val="21"/>
                <w:lang w:bidi="ar"/>
              </w:rPr>
            </w:pPr>
            <w:r w:rsidRPr="000549B1">
              <w:rPr>
                <w:rFonts w:eastAsiaTheme="minorEastAsia"/>
                <w:bCs/>
                <w:kern w:val="0"/>
                <w:szCs w:val="21"/>
                <w:lang w:bidi="ar"/>
              </w:rPr>
              <w:t>一级</w:t>
            </w:r>
            <w:r w:rsidRPr="000549B1">
              <w:rPr>
                <w:rFonts w:eastAsiaTheme="minorEastAsia"/>
                <w:bCs/>
                <w:kern w:val="0"/>
                <w:szCs w:val="21"/>
                <w:lang w:bidi="ar"/>
              </w:rPr>
              <w:t>A</w:t>
            </w:r>
            <w:r w:rsidRPr="000549B1">
              <w:rPr>
                <w:rFonts w:eastAsiaTheme="minorEastAsia"/>
                <w:bCs/>
                <w:kern w:val="0"/>
                <w:szCs w:val="21"/>
                <w:lang w:bidi="ar"/>
              </w:rPr>
              <w:t>标准</w:t>
            </w:r>
          </w:p>
        </w:tc>
        <w:tc>
          <w:tcPr>
            <w:tcW w:w="918" w:type="pct"/>
            <w:tcBorders>
              <w:top w:val="single" w:sz="4" w:space="0" w:color="000000"/>
              <w:left w:val="single" w:sz="4" w:space="0" w:color="000000"/>
              <w:bottom w:val="single" w:sz="4" w:space="0" w:color="000000"/>
              <w:right w:val="single" w:sz="4" w:space="0" w:color="000000"/>
            </w:tcBorders>
            <w:vAlign w:val="center"/>
          </w:tcPr>
          <w:p w14:paraId="2913A87B" w14:textId="77777777" w:rsidR="00054437" w:rsidRPr="000549B1" w:rsidRDefault="00000000">
            <w:pPr>
              <w:widowControl/>
              <w:spacing w:line="240" w:lineRule="atLeast"/>
              <w:jc w:val="center"/>
              <w:textAlignment w:val="center"/>
              <w:rPr>
                <w:rFonts w:eastAsiaTheme="minorEastAsia"/>
                <w:bCs/>
                <w:kern w:val="0"/>
                <w:szCs w:val="21"/>
                <w:lang w:bidi="ar"/>
              </w:rPr>
            </w:pPr>
            <w:r w:rsidRPr="000549B1">
              <w:rPr>
                <w:rFonts w:eastAsiaTheme="minorEastAsia"/>
                <w:bCs/>
                <w:kern w:val="0"/>
                <w:szCs w:val="21"/>
                <w:lang w:bidi="ar"/>
              </w:rPr>
              <w:t>龙曲沟</w:t>
            </w:r>
          </w:p>
        </w:tc>
        <w:tc>
          <w:tcPr>
            <w:tcW w:w="561" w:type="pct"/>
            <w:tcBorders>
              <w:top w:val="single" w:sz="4" w:space="0" w:color="000000"/>
              <w:left w:val="single" w:sz="4" w:space="0" w:color="000000"/>
              <w:bottom w:val="single" w:sz="4" w:space="0" w:color="000000"/>
              <w:right w:val="single" w:sz="4" w:space="0" w:color="000000"/>
            </w:tcBorders>
            <w:vAlign w:val="center"/>
          </w:tcPr>
          <w:p w14:paraId="72334940" w14:textId="77777777" w:rsidR="00054437" w:rsidRPr="000549B1" w:rsidRDefault="00000000">
            <w:pPr>
              <w:widowControl/>
              <w:spacing w:line="240" w:lineRule="atLeast"/>
              <w:jc w:val="center"/>
              <w:textAlignment w:val="center"/>
              <w:rPr>
                <w:rFonts w:eastAsiaTheme="minorEastAsia"/>
                <w:bCs/>
                <w:kern w:val="0"/>
                <w:szCs w:val="21"/>
                <w:lang w:bidi="ar"/>
              </w:rPr>
            </w:pPr>
            <w:r w:rsidRPr="000549B1">
              <w:rPr>
                <w:rFonts w:eastAsiaTheme="minorEastAsia"/>
                <w:bCs/>
                <w:kern w:val="0"/>
                <w:szCs w:val="21"/>
                <w:lang w:bidi="ar"/>
              </w:rPr>
              <w:t>否</w:t>
            </w:r>
          </w:p>
        </w:tc>
      </w:tr>
      <w:tr w:rsidR="000549B1" w:rsidRPr="000549B1" w14:paraId="6FEAC56A" w14:textId="77777777">
        <w:trPr>
          <w:trHeight w:val="283"/>
        </w:trPr>
        <w:tc>
          <w:tcPr>
            <w:tcW w:w="151" w:type="pct"/>
            <w:tcBorders>
              <w:top w:val="single" w:sz="4" w:space="0" w:color="000000"/>
              <w:left w:val="single" w:sz="4" w:space="0" w:color="000000"/>
              <w:bottom w:val="single" w:sz="4" w:space="0" w:color="000000"/>
              <w:right w:val="single" w:sz="4" w:space="0" w:color="000000"/>
            </w:tcBorders>
            <w:vAlign w:val="center"/>
          </w:tcPr>
          <w:p w14:paraId="4BDD94C4" w14:textId="77777777" w:rsidR="00054437" w:rsidRPr="000549B1" w:rsidRDefault="00000000">
            <w:pPr>
              <w:widowControl/>
              <w:spacing w:line="240" w:lineRule="atLeast"/>
              <w:jc w:val="center"/>
              <w:textAlignment w:val="center"/>
              <w:rPr>
                <w:rFonts w:eastAsiaTheme="minorEastAsia"/>
                <w:bCs/>
                <w:kern w:val="0"/>
                <w:szCs w:val="21"/>
                <w:lang w:bidi="ar"/>
              </w:rPr>
            </w:pPr>
            <w:r w:rsidRPr="000549B1">
              <w:rPr>
                <w:rFonts w:eastAsiaTheme="minorEastAsia"/>
                <w:bCs/>
                <w:kern w:val="0"/>
                <w:szCs w:val="21"/>
                <w:lang w:bidi="ar"/>
              </w:rPr>
              <w:t>10</w:t>
            </w:r>
          </w:p>
        </w:tc>
        <w:tc>
          <w:tcPr>
            <w:tcW w:w="306" w:type="pct"/>
            <w:tcBorders>
              <w:top w:val="single" w:sz="4" w:space="0" w:color="000000"/>
              <w:left w:val="single" w:sz="4" w:space="0" w:color="000000"/>
              <w:bottom w:val="single" w:sz="4" w:space="0" w:color="000000"/>
              <w:right w:val="single" w:sz="4" w:space="0" w:color="000000"/>
            </w:tcBorders>
            <w:vAlign w:val="center"/>
          </w:tcPr>
          <w:p w14:paraId="0EA0FA6C" w14:textId="77777777" w:rsidR="00054437" w:rsidRPr="000549B1" w:rsidRDefault="00000000">
            <w:pPr>
              <w:widowControl/>
              <w:spacing w:line="240" w:lineRule="atLeast"/>
              <w:jc w:val="center"/>
              <w:textAlignment w:val="center"/>
              <w:rPr>
                <w:rFonts w:eastAsiaTheme="minorEastAsia"/>
                <w:bCs/>
                <w:kern w:val="0"/>
                <w:szCs w:val="21"/>
                <w:lang w:bidi="ar"/>
              </w:rPr>
            </w:pPr>
            <w:r w:rsidRPr="000549B1">
              <w:rPr>
                <w:rFonts w:eastAsiaTheme="minorEastAsia"/>
                <w:bCs/>
                <w:kern w:val="0"/>
                <w:szCs w:val="21"/>
                <w:lang w:bidi="ar"/>
              </w:rPr>
              <w:t>兴海县</w:t>
            </w:r>
          </w:p>
        </w:tc>
        <w:tc>
          <w:tcPr>
            <w:tcW w:w="715" w:type="pct"/>
            <w:tcBorders>
              <w:top w:val="single" w:sz="4" w:space="0" w:color="000000"/>
              <w:left w:val="single" w:sz="4" w:space="0" w:color="000000"/>
              <w:bottom w:val="single" w:sz="4" w:space="0" w:color="000000"/>
              <w:right w:val="single" w:sz="4" w:space="0" w:color="000000"/>
            </w:tcBorders>
            <w:vAlign w:val="center"/>
          </w:tcPr>
          <w:p w14:paraId="50B3C532" w14:textId="77777777" w:rsidR="00054437" w:rsidRPr="000549B1" w:rsidRDefault="00000000">
            <w:pPr>
              <w:widowControl/>
              <w:spacing w:line="240" w:lineRule="atLeast"/>
              <w:jc w:val="center"/>
              <w:textAlignment w:val="center"/>
              <w:rPr>
                <w:rFonts w:eastAsiaTheme="minorEastAsia"/>
                <w:bCs/>
                <w:kern w:val="0"/>
                <w:szCs w:val="21"/>
                <w:lang w:bidi="ar"/>
              </w:rPr>
            </w:pPr>
            <w:r w:rsidRPr="000549B1">
              <w:rPr>
                <w:rFonts w:eastAsiaTheme="minorEastAsia"/>
                <w:bCs/>
                <w:kern w:val="0"/>
                <w:szCs w:val="21"/>
                <w:lang w:bidi="ar"/>
              </w:rPr>
              <w:t>河卡镇污水处理厂</w:t>
            </w:r>
          </w:p>
        </w:tc>
        <w:tc>
          <w:tcPr>
            <w:tcW w:w="459" w:type="pct"/>
            <w:tcBorders>
              <w:top w:val="single" w:sz="4" w:space="0" w:color="000000"/>
              <w:left w:val="single" w:sz="4" w:space="0" w:color="000000"/>
              <w:bottom w:val="single" w:sz="4" w:space="0" w:color="000000"/>
              <w:right w:val="single" w:sz="4" w:space="0" w:color="000000"/>
            </w:tcBorders>
            <w:vAlign w:val="center"/>
          </w:tcPr>
          <w:p w14:paraId="1BA0DF57" w14:textId="77777777" w:rsidR="00054437" w:rsidRPr="000549B1" w:rsidRDefault="00000000">
            <w:pPr>
              <w:widowControl/>
              <w:spacing w:line="240" w:lineRule="atLeast"/>
              <w:jc w:val="center"/>
              <w:textAlignment w:val="center"/>
              <w:rPr>
                <w:rFonts w:eastAsiaTheme="minorEastAsia"/>
                <w:bCs/>
                <w:kern w:val="0"/>
                <w:szCs w:val="21"/>
                <w:lang w:bidi="ar"/>
              </w:rPr>
            </w:pPr>
            <w:r w:rsidRPr="000549B1">
              <w:rPr>
                <w:rFonts w:eastAsiaTheme="minorEastAsia"/>
                <w:bCs/>
                <w:kern w:val="0"/>
                <w:szCs w:val="21"/>
                <w:lang w:bidi="ar"/>
              </w:rPr>
              <w:t>0.075</w:t>
            </w:r>
          </w:p>
        </w:tc>
        <w:tc>
          <w:tcPr>
            <w:tcW w:w="766" w:type="pct"/>
            <w:tcBorders>
              <w:top w:val="single" w:sz="4" w:space="0" w:color="000000"/>
              <w:left w:val="single" w:sz="4" w:space="0" w:color="000000"/>
              <w:bottom w:val="single" w:sz="4" w:space="0" w:color="000000"/>
              <w:right w:val="single" w:sz="4" w:space="0" w:color="000000"/>
            </w:tcBorders>
            <w:vAlign w:val="center"/>
          </w:tcPr>
          <w:p w14:paraId="05A4CDB9" w14:textId="77777777" w:rsidR="00054437" w:rsidRPr="000549B1" w:rsidRDefault="00000000">
            <w:pPr>
              <w:widowControl/>
              <w:spacing w:line="240" w:lineRule="atLeast"/>
              <w:jc w:val="center"/>
              <w:textAlignment w:val="center"/>
              <w:rPr>
                <w:rFonts w:eastAsiaTheme="minorEastAsia"/>
                <w:bCs/>
                <w:kern w:val="0"/>
                <w:szCs w:val="21"/>
                <w:lang w:bidi="ar"/>
              </w:rPr>
            </w:pPr>
            <w:r w:rsidRPr="000549B1">
              <w:rPr>
                <w:rFonts w:eastAsiaTheme="minorEastAsia"/>
                <w:bCs/>
                <w:kern w:val="0"/>
                <w:szCs w:val="21"/>
                <w:lang w:bidi="ar"/>
              </w:rPr>
              <w:t>0.065~0.075</w:t>
            </w:r>
          </w:p>
        </w:tc>
        <w:tc>
          <w:tcPr>
            <w:tcW w:w="612" w:type="pct"/>
            <w:tcBorders>
              <w:top w:val="single" w:sz="4" w:space="0" w:color="000000"/>
              <w:left w:val="single" w:sz="4" w:space="0" w:color="000000"/>
              <w:bottom w:val="single" w:sz="4" w:space="0" w:color="000000"/>
              <w:right w:val="single" w:sz="4" w:space="0" w:color="000000"/>
            </w:tcBorders>
            <w:vAlign w:val="center"/>
          </w:tcPr>
          <w:p w14:paraId="1E74DFC4" w14:textId="77777777" w:rsidR="00054437" w:rsidRPr="000549B1" w:rsidRDefault="00000000">
            <w:pPr>
              <w:widowControl/>
              <w:spacing w:line="240" w:lineRule="atLeast"/>
              <w:jc w:val="center"/>
              <w:textAlignment w:val="center"/>
              <w:rPr>
                <w:rFonts w:eastAsiaTheme="minorEastAsia"/>
                <w:bCs/>
                <w:kern w:val="0"/>
                <w:szCs w:val="21"/>
                <w:lang w:bidi="ar"/>
              </w:rPr>
            </w:pPr>
            <w:r w:rsidRPr="000549B1">
              <w:rPr>
                <w:rFonts w:eastAsiaTheme="minorEastAsia"/>
                <w:bCs/>
                <w:kern w:val="0"/>
                <w:szCs w:val="21"/>
                <w:lang w:bidi="ar"/>
              </w:rPr>
              <w:t>CAST</w:t>
            </w:r>
            <w:r w:rsidRPr="000549B1">
              <w:rPr>
                <w:rFonts w:eastAsiaTheme="minorEastAsia"/>
                <w:bCs/>
                <w:kern w:val="0"/>
                <w:szCs w:val="21"/>
                <w:lang w:bidi="ar"/>
              </w:rPr>
              <w:t>工艺</w:t>
            </w:r>
          </w:p>
        </w:tc>
        <w:tc>
          <w:tcPr>
            <w:tcW w:w="510" w:type="pct"/>
            <w:tcBorders>
              <w:top w:val="single" w:sz="4" w:space="0" w:color="000000"/>
              <w:left w:val="single" w:sz="4" w:space="0" w:color="000000"/>
              <w:bottom w:val="single" w:sz="4" w:space="0" w:color="000000"/>
              <w:right w:val="single" w:sz="4" w:space="0" w:color="000000"/>
            </w:tcBorders>
            <w:vAlign w:val="center"/>
          </w:tcPr>
          <w:p w14:paraId="04B92677" w14:textId="77777777" w:rsidR="00054437" w:rsidRPr="000549B1" w:rsidRDefault="00000000">
            <w:pPr>
              <w:widowControl/>
              <w:spacing w:line="240" w:lineRule="atLeast"/>
              <w:jc w:val="center"/>
              <w:textAlignment w:val="center"/>
              <w:rPr>
                <w:rFonts w:eastAsiaTheme="minorEastAsia"/>
                <w:bCs/>
                <w:kern w:val="0"/>
                <w:szCs w:val="21"/>
                <w:lang w:bidi="ar"/>
              </w:rPr>
            </w:pPr>
            <w:r w:rsidRPr="000549B1">
              <w:rPr>
                <w:rFonts w:eastAsiaTheme="minorEastAsia"/>
                <w:bCs/>
                <w:kern w:val="0"/>
                <w:szCs w:val="21"/>
                <w:lang w:bidi="ar"/>
              </w:rPr>
              <w:t>一级</w:t>
            </w:r>
            <w:r w:rsidRPr="000549B1">
              <w:rPr>
                <w:rFonts w:eastAsiaTheme="minorEastAsia"/>
                <w:bCs/>
                <w:kern w:val="0"/>
                <w:szCs w:val="21"/>
                <w:lang w:bidi="ar"/>
              </w:rPr>
              <w:t>B</w:t>
            </w:r>
            <w:r w:rsidRPr="000549B1">
              <w:rPr>
                <w:rFonts w:eastAsiaTheme="minorEastAsia"/>
                <w:bCs/>
                <w:kern w:val="0"/>
                <w:szCs w:val="21"/>
                <w:lang w:bidi="ar"/>
              </w:rPr>
              <w:t>标准</w:t>
            </w:r>
          </w:p>
        </w:tc>
        <w:tc>
          <w:tcPr>
            <w:tcW w:w="918" w:type="pct"/>
            <w:tcBorders>
              <w:top w:val="single" w:sz="4" w:space="0" w:color="000000"/>
              <w:left w:val="single" w:sz="4" w:space="0" w:color="000000"/>
              <w:bottom w:val="single" w:sz="4" w:space="0" w:color="000000"/>
              <w:right w:val="single" w:sz="4" w:space="0" w:color="000000"/>
            </w:tcBorders>
            <w:vAlign w:val="center"/>
          </w:tcPr>
          <w:p w14:paraId="4E0568EA" w14:textId="77777777" w:rsidR="00054437" w:rsidRPr="000549B1" w:rsidRDefault="00000000">
            <w:pPr>
              <w:widowControl/>
              <w:spacing w:line="240" w:lineRule="atLeast"/>
              <w:jc w:val="center"/>
              <w:textAlignment w:val="center"/>
              <w:rPr>
                <w:rFonts w:eastAsiaTheme="minorEastAsia"/>
                <w:bCs/>
                <w:kern w:val="0"/>
                <w:szCs w:val="21"/>
                <w:lang w:bidi="ar"/>
              </w:rPr>
            </w:pPr>
            <w:r w:rsidRPr="000549B1">
              <w:rPr>
                <w:rFonts w:eastAsiaTheme="minorEastAsia"/>
                <w:bCs/>
                <w:kern w:val="0"/>
                <w:szCs w:val="21"/>
                <w:lang w:bidi="ar"/>
              </w:rPr>
              <w:t>排入草地，自然渗透</w:t>
            </w:r>
          </w:p>
        </w:tc>
        <w:tc>
          <w:tcPr>
            <w:tcW w:w="561" w:type="pct"/>
            <w:tcBorders>
              <w:top w:val="single" w:sz="4" w:space="0" w:color="000000"/>
              <w:left w:val="single" w:sz="4" w:space="0" w:color="000000"/>
              <w:bottom w:val="single" w:sz="4" w:space="0" w:color="000000"/>
              <w:right w:val="single" w:sz="4" w:space="0" w:color="000000"/>
            </w:tcBorders>
            <w:vAlign w:val="center"/>
          </w:tcPr>
          <w:p w14:paraId="4096B000" w14:textId="77777777" w:rsidR="00054437" w:rsidRPr="000549B1" w:rsidRDefault="00000000">
            <w:pPr>
              <w:widowControl/>
              <w:spacing w:line="240" w:lineRule="atLeast"/>
              <w:jc w:val="center"/>
              <w:textAlignment w:val="center"/>
              <w:rPr>
                <w:rFonts w:eastAsiaTheme="minorEastAsia"/>
                <w:bCs/>
                <w:kern w:val="0"/>
                <w:szCs w:val="21"/>
                <w:lang w:bidi="ar"/>
              </w:rPr>
            </w:pPr>
            <w:r w:rsidRPr="000549B1">
              <w:rPr>
                <w:rFonts w:eastAsiaTheme="minorEastAsia"/>
                <w:bCs/>
                <w:kern w:val="0"/>
                <w:szCs w:val="21"/>
                <w:lang w:bidi="ar"/>
              </w:rPr>
              <w:t>是</w:t>
            </w:r>
          </w:p>
        </w:tc>
      </w:tr>
    </w:tbl>
    <w:p w14:paraId="1CA47669" w14:textId="5B0F5372" w:rsidR="00054437" w:rsidRPr="000549B1" w:rsidRDefault="005861F1">
      <w:pPr>
        <w:pStyle w:val="0A50"/>
        <w:outlineLvl w:val="9"/>
      </w:pPr>
      <w:r w:rsidRPr="000549B1">
        <w:rPr>
          <w:noProof/>
          <w:snapToGrid/>
        </w:rPr>
        <w:drawing>
          <wp:inline distT="0" distB="0" distL="0" distR="0" wp14:anchorId="33CF7B0D" wp14:editId="30416F6C">
            <wp:extent cx="6662057" cy="4711370"/>
            <wp:effectExtent l="0" t="0" r="5715" b="0"/>
            <wp:docPr id="169419847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198470" name="图片 1694198470"/>
                    <pic:cNvPicPr/>
                  </pic:nvPicPr>
                  <pic:blipFill>
                    <a:blip r:embed="rId24" cstate="email">
                      <a:extLst>
                        <a:ext uri="{28A0092B-C50C-407E-A947-70E740481C1C}">
                          <a14:useLocalDpi xmlns:a14="http://schemas.microsoft.com/office/drawing/2010/main"/>
                        </a:ext>
                      </a:extLst>
                    </a:blip>
                    <a:stretch>
                      <a:fillRect/>
                    </a:stretch>
                  </pic:blipFill>
                  <pic:spPr>
                    <a:xfrm>
                      <a:off x="0" y="0"/>
                      <a:ext cx="6663444" cy="4712351"/>
                    </a:xfrm>
                    <a:prstGeom prst="rect">
                      <a:avLst/>
                    </a:prstGeom>
                  </pic:spPr>
                </pic:pic>
              </a:graphicData>
            </a:graphic>
          </wp:inline>
        </w:drawing>
      </w:r>
    </w:p>
    <w:p w14:paraId="6C5F5A35" w14:textId="4483945E" w:rsidR="00054437" w:rsidRPr="000549B1" w:rsidRDefault="00000000">
      <w:pPr>
        <w:pStyle w:val="aff8"/>
        <w:rPr>
          <w:rFonts w:eastAsiaTheme="minorEastAsia"/>
          <w:bCs/>
          <w:color w:val="auto"/>
        </w:rPr>
      </w:pPr>
      <w:r w:rsidRPr="000549B1">
        <w:rPr>
          <w:color w:val="auto"/>
        </w:rPr>
        <w:t>图</w:t>
      </w:r>
      <w:r w:rsidR="00F1314B">
        <w:rPr>
          <w:color w:val="auto"/>
        </w:rPr>
        <w:fldChar w:fldCharType="begin"/>
      </w:r>
      <w:r w:rsidR="00F1314B">
        <w:rPr>
          <w:color w:val="auto"/>
        </w:rPr>
        <w:instrText xml:space="preserve"> STYLEREF 2 \s </w:instrText>
      </w:r>
      <w:r w:rsidR="00F1314B">
        <w:rPr>
          <w:color w:val="auto"/>
        </w:rPr>
        <w:fldChar w:fldCharType="separate"/>
      </w:r>
      <w:r w:rsidR="00372953">
        <w:rPr>
          <w:noProof/>
          <w:color w:val="auto"/>
        </w:rPr>
        <w:t>3.3</w:t>
      </w:r>
      <w:r w:rsidR="00F1314B">
        <w:rPr>
          <w:color w:val="auto"/>
        </w:rPr>
        <w:fldChar w:fldCharType="end"/>
      </w:r>
      <w:r w:rsidR="00F1314B">
        <w:rPr>
          <w:color w:val="auto"/>
        </w:rPr>
        <w:noBreakHyphen/>
      </w:r>
      <w:r w:rsidR="00F1314B">
        <w:rPr>
          <w:color w:val="auto"/>
        </w:rPr>
        <w:fldChar w:fldCharType="begin"/>
      </w:r>
      <w:r w:rsidR="00F1314B">
        <w:rPr>
          <w:color w:val="auto"/>
        </w:rPr>
        <w:instrText xml:space="preserve"> SEQ </w:instrText>
      </w:r>
      <w:r w:rsidR="00F1314B">
        <w:rPr>
          <w:color w:val="auto"/>
        </w:rPr>
        <w:instrText>图</w:instrText>
      </w:r>
      <w:r w:rsidR="00F1314B">
        <w:rPr>
          <w:color w:val="auto"/>
        </w:rPr>
        <w:instrText xml:space="preserve"> \* ARABIC \s 2 </w:instrText>
      </w:r>
      <w:r w:rsidR="00F1314B">
        <w:rPr>
          <w:color w:val="auto"/>
        </w:rPr>
        <w:fldChar w:fldCharType="separate"/>
      </w:r>
      <w:r w:rsidR="00372953">
        <w:rPr>
          <w:noProof/>
          <w:color w:val="auto"/>
        </w:rPr>
        <w:t>3</w:t>
      </w:r>
      <w:r w:rsidR="00F1314B">
        <w:rPr>
          <w:color w:val="auto"/>
        </w:rPr>
        <w:fldChar w:fldCharType="end"/>
      </w:r>
      <w:r w:rsidRPr="000549B1">
        <w:rPr>
          <w:rFonts w:eastAsiaTheme="minorEastAsia"/>
          <w:bCs/>
          <w:color w:val="auto"/>
        </w:rPr>
        <w:t>沙珠玉河流域涉及共和县、兴海县的点污染源分布图</w:t>
      </w:r>
    </w:p>
    <w:p w14:paraId="211488B6" w14:textId="77777777" w:rsidR="00054437" w:rsidRPr="000549B1" w:rsidRDefault="00054437">
      <w:pPr>
        <w:pStyle w:val="0A50"/>
        <w:ind w:firstLine="422"/>
        <w:sectPr w:rsidR="00054437" w:rsidRPr="000549B1">
          <w:pgSz w:w="16838" w:h="11906" w:orient="landscape"/>
          <w:pgMar w:top="1800" w:right="1440" w:bottom="1800" w:left="1440" w:header="851" w:footer="992" w:gutter="0"/>
          <w:cols w:space="425"/>
          <w:docGrid w:type="lines" w:linePitch="312"/>
        </w:sectPr>
      </w:pPr>
    </w:p>
    <w:p w14:paraId="2BCD5F7F" w14:textId="2E42310B" w:rsidR="00054437" w:rsidRPr="00407DFF" w:rsidRDefault="00000000">
      <w:pPr>
        <w:pStyle w:val="aff8"/>
        <w:rPr>
          <w:color w:val="auto"/>
        </w:rPr>
      </w:pPr>
      <w:r w:rsidRPr="00407DFF">
        <w:rPr>
          <w:color w:val="auto"/>
        </w:rPr>
        <w:t>表</w:t>
      </w:r>
      <w:r w:rsidR="00372953">
        <w:rPr>
          <w:color w:val="auto"/>
        </w:rPr>
        <w:fldChar w:fldCharType="begin"/>
      </w:r>
      <w:r w:rsidR="00372953">
        <w:rPr>
          <w:color w:val="auto"/>
        </w:rPr>
        <w:instrText xml:space="preserve"> STYLEREF 2 \s </w:instrText>
      </w:r>
      <w:r w:rsidR="00372953">
        <w:rPr>
          <w:color w:val="auto"/>
        </w:rPr>
        <w:fldChar w:fldCharType="separate"/>
      </w:r>
      <w:r w:rsidR="00372953">
        <w:rPr>
          <w:noProof/>
          <w:color w:val="auto"/>
        </w:rPr>
        <w:t>3.3</w:t>
      </w:r>
      <w:r w:rsidR="00372953">
        <w:rPr>
          <w:color w:val="auto"/>
        </w:rPr>
        <w:fldChar w:fldCharType="end"/>
      </w:r>
      <w:r w:rsidR="00372953">
        <w:rPr>
          <w:color w:val="auto"/>
        </w:rPr>
        <w:noBreakHyphen/>
      </w:r>
      <w:r w:rsidR="00372953">
        <w:rPr>
          <w:color w:val="auto"/>
        </w:rPr>
        <w:fldChar w:fldCharType="begin"/>
      </w:r>
      <w:r w:rsidR="00372953">
        <w:rPr>
          <w:color w:val="auto"/>
        </w:rPr>
        <w:instrText xml:space="preserve"> SEQ </w:instrText>
      </w:r>
      <w:r w:rsidR="00372953">
        <w:rPr>
          <w:color w:val="auto"/>
        </w:rPr>
        <w:instrText>表</w:instrText>
      </w:r>
      <w:r w:rsidR="00372953">
        <w:rPr>
          <w:color w:val="auto"/>
        </w:rPr>
        <w:instrText xml:space="preserve"> \* ARABIC \s 2 </w:instrText>
      </w:r>
      <w:r w:rsidR="00372953">
        <w:rPr>
          <w:color w:val="auto"/>
        </w:rPr>
        <w:fldChar w:fldCharType="separate"/>
      </w:r>
      <w:r w:rsidR="00372953">
        <w:rPr>
          <w:noProof/>
          <w:color w:val="auto"/>
        </w:rPr>
        <w:t>3</w:t>
      </w:r>
      <w:r w:rsidR="00372953">
        <w:rPr>
          <w:color w:val="auto"/>
        </w:rPr>
        <w:fldChar w:fldCharType="end"/>
      </w:r>
      <w:r w:rsidR="00407DFF" w:rsidRPr="00407DFF">
        <w:rPr>
          <w:rFonts w:hint="eastAsia"/>
          <w:color w:val="auto"/>
          <w:szCs w:val="24"/>
        </w:rPr>
        <w:t>共和县、兴海县</w:t>
      </w:r>
      <w:r w:rsidR="00407DFF" w:rsidRPr="00407DFF">
        <w:rPr>
          <w:color w:val="auto"/>
        </w:rPr>
        <w:t>城镇污水处理厂</w:t>
      </w:r>
      <w:r w:rsidR="00407DFF" w:rsidRPr="00407DFF">
        <w:rPr>
          <w:color w:val="auto"/>
        </w:rPr>
        <w:t>2020~2024</w:t>
      </w:r>
      <w:r w:rsidR="00407DFF" w:rsidRPr="00407DFF">
        <w:rPr>
          <w:color w:val="auto"/>
        </w:rPr>
        <w:t>年污水处理量</w:t>
      </w:r>
    </w:p>
    <w:tbl>
      <w:tblPr>
        <w:tblW w:w="4998" w:type="pct"/>
        <w:tblLook w:val="04A0" w:firstRow="1" w:lastRow="0" w:firstColumn="1" w:lastColumn="0" w:noHBand="0" w:noVBand="1"/>
      </w:tblPr>
      <w:tblGrid>
        <w:gridCol w:w="1475"/>
        <w:gridCol w:w="899"/>
        <w:gridCol w:w="1158"/>
        <w:gridCol w:w="1226"/>
        <w:gridCol w:w="1027"/>
        <w:gridCol w:w="1367"/>
        <w:gridCol w:w="1141"/>
      </w:tblGrid>
      <w:tr w:rsidR="000549B1" w:rsidRPr="000549B1" w14:paraId="2B538DEC" w14:textId="77777777" w:rsidTr="00407DFF">
        <w:trPr>
          <w:trHeight w:val="405"/>
        </w:trPr>
        <w:tc>
          <w:tcPr>
            <w:tcW w:w="890" w:type="pct"/>
            <w:tcBorders>
              <w:top w:val="single" w:sz="4" w:space="0" w:color="000000"/>
              <w:left w:val="single" w:sz="4" w:space="0" w:color="000000"/>
              <w:bottom w:val="single" w:sz="4" w:space="0" w:color="000000"/>
              <w:right w:val="single" w:sz="4" w:space="0" w:color="000000"/>
            </w:tcBorders>
            <w:vAlign w:val="center"/>
          </w:tcPr>
          <w:p w14:paraId="00D55984" w14:textId="77777777" w:rsidR="00054437" w:rsidRPr="000549B1" w:rsidRDefault="00000000">
            <w:pPr>
              <w:widowControl/>
              <w:jc w:val="center"/>
              <w:textAlignment w:val="center"/>
              <w:rPr>
                <w:rFonts w:eastAsiaTheme="minorEastAsia"/>
                <w:b/>
                <w:bCs/>
                <w:szCs w:val="21"/>
              </w:rPr>
            </w:pPr>
            <w:r w:rsidRPr="000549B1">
              <w:rPr>
                <w:rFonts w:eastAsiaTheme="minorEastAsia"/>
                <w:b/>
                <w:bCs/>
                <w:kern w:val="0"/>
                <w:szCs w:val="21"/>
                <w:lang w:bidi="ar"/>
              </w:rPr>
              <w:t>区县</w:t>
            </w:r>
          </w:p>
        </w:tc>
        <w:tc>
          <w:tcPr>
            <w:tcW w:w="542" w:type="pct"/>
            <w:tcBorders>
              <w:top w:val="single" w:sz="4" w:space="0" w:color="000000"/>
              <w:left w:val="single" w:sz="4" w:space="0" w:color="000000"/>
              <w:bottom w:val="single" w:sz="4" w:space="0" w:color="000000"/>
              <w:right w:val="single" w:sz="4" w:space="0" w:color="000000"/>
            </w:tcBorders>
            <w:vAlign w:val="center"/>
          </w:tcPr>
          <w:p w14:paraId="13D7D048" w14:textId="77777777" w:rsidR="00054437" w:rsidRPr="000549B1" w:rsidRDefault="00000000">
            <w:pPr>
              <w:widowControl/>
              <w:jc w:val="center"/>
              <w:textAlignment w:val="center"/>
              <w:rPr>
                <w:rFonts w:eastAsiaTheme="minorEastAsia"/>
                <w:b/>
                <w:bCs/>
                <w:szCs w:val="21"/>
              </w:rPr>
            </w:pPr>
            <w:r w:rsidRPr="000549B1">
              <w:rPr>
                <w:rFonts w:eastAsiaTheme="minorEastAsia"/>
                <w:b/>
                <w:bCs/>
                <w:kern w:val="0"/>
                <w:szCs w:val="21"/>
                <w:lang w:bidi="ar"/>
              </w:rPr>
              <w:t>年份</w:t>
            </w:r>
          </w:p>
        </w:tc>
        <w:tc>
          <w:tcPr>
            <w:tcW w:w="698" w:type="pct"/>
            <w:tcBorders>
              <w:top w:val="single" w:sz="4" w:space="0" w:color="000000"/>
              <w:left w:val="single" w:sz="4" w:space="0" w:color="000000"/>
              <w:bottom w:val="single" w:sz="4" w:space="0" w:color="000000"/>
              <w:right w:val="single" w:sz="4" w:space="0" w:color="000000"/>
            </w:tcBorders>
            <w:vAlign w:val="center"/>
          </w:tcPr>
          <w:p w14:paraId="595E1DE4" w14:textId="77777777" w:rsidR="00054437" w:rsidRPr="000549B1" w:rsidRDefault="00000000">
            <w:pPr>
              <w:widowControl/>
              <w:jc w:val="center"/>
              <w:textAlignment w:val="center"/>
              <w:rPr>
                <w:rFonts w:eastAsiaTheme="minorEastAsia"/>
                <w:b/>
                <w:bCs/>
                <w:szCs w:val="21"/>
              </w:rPr>
            </w:pPr>
            <w:r w:rsidRPr="000549B1">
              <w:rPr>
                <w:rFonts w:eastAsiaTheme="minorEastAsia"/>
                <w:b/>
                <w:bCs/>
                <w:kern w:val="0"/>
                <w:szCs w:val="21"/>
                <w:lang w:bidi="ar"/>
              </w:rPr>
              <w:t>污水排放量（万</w:t>
            </w:r>
            <w:r w:rsidRPr="000549B1">
              <w:rPr>
                <w:rStyle w:val="font31"/>
                <w:rFonts w:eastAsiaTheme="minorEastAsia"/>
                <w:b/>
                <w:bCs/>
                <w:color w:val="auto"/>
                <w:sz w:val="21"/>
                <w:szCs w:val="21"/>
                <w:lang w:bidi="ar"/>
              </w:rPr>
              <w:t>m</w:t>
            </w:r>
            <w:r w:rsidRPr="000549B1">
              <w:rPr>
                <w:rFonts w:eastAsiaTheme="minorEastAsia"/>
                <w:b/>
                <w:bCs/>
                <w:kern w:val="0"/>
                <w:szCs w:val="21"/>
                <w:vertAlign w:val="superscript"/>
                <w:lang w:bidi="ar"/>
              </w:rPr>
              <w:t>3</w:t>
            </w:r>
            <w:r w:rsidRPr="000549B1">
              <w:rPr>
                <w:rStyle w:val="font21"/>
                <w:rFonts w:ascii="Times New Roman" w:eastAsiaTheme="minorEastAsia" w:hAnsi="Times New Roman" w:cs="Times New Roman" w:hint="default"/>
                <w:b/>
                <w:bCs/>
                <w:color w:val="auto"/>
                <w:sz w:val="21"/>
                <w:szCs w:val="21"/>
                <w:lang w:bidi="ar"/>
              </w:rPr>
              <w:t>）</w:t>
            </w:r>
          </w:p>
        </w:tc>
        <w:tc>
          <w:tcPr>
            <w:tcW w:w="739" w:type="pct"/>
            <w:tcBorders>
              <w:top w:val="single" w:sz="4" w:space="0" w:color="000000"/>
              <w:left w:val="single" w:sz="4" w:space="0" w:color="000000"/>
              <w:bottom w:val="single" w:sz="4" w:space="0" w:color="000000"/>
              <w:right w:val="single" w:sz="4" w:space="0" w:color="000000"/>
            </w:tcBorders>
            <w:vAlign w:val="center"/>
          </w:tcPr>
          <w:p w14:paraId="0AADA0F7" w14:textId="77777777" w:rsidR="00054437" w:rsidRPr="000549B1" w:rsidRDefault="00000000">
            <w:pPr>
              <w:widowControl/>
              <w:jc w:val="center"/>
              <w:textAlignment w:val="center"/>
              <w:rPr>
                <w:rFonts w:eastAsiaTheme="minorEastAsia"/>
                <w:b/>
                <w:bCs/>
                <w:szCs w:val="21"/>
              </w:rPr>
            </w:pPr>
            <w:r w:rsidRPr="000549B1">
              <w:rPr>
                <w:rFonts w:eastAsiaTheme="minorEastAsia"/>
                <w:b/>
                <w:bCs/>
                <w:kern w:val="0"/>
                <w:szCs w:val="21"/>
                <w:lang w:bidi="ar"/>
              </w:rPr>
              <w:t>日处理能力</w:t>
            </w:r>
            <w:r w:rsidRPr="000549B1">
              <w:rPr>
                <w:rStyle w:val="font21"/>
                <w:rFonts w:ascii="Times New Roman" w:eastAsiaTheme="minorEastAsia" w:hAnsi="Times New Roman" w:cs="Times New Roman" w:hint="default"/>
                <w:b/>
                <w:bCs/>
                <w:color w:val="auto"/>
                <w:sz w:val="21"/>
                <w:szCs w:val="21"/>
                <w:lang w:bidi="ar"/>
              </w:rPr>
              <w:t>（万</w:t>
            </w:r>
            <w:r w:rsidRPr="000549B1">
              <w:rPr>
                <w:rStyle w:val="font31"/>
                <w:rFonts w:eastAsiaTheme="minorEastAsia"/>
                <w:b/>
                <w:bCs/>
                <w:color w:val="auto"/>
                <w:sz w:val="21"/>
                <w:szCs w:val="21"/>
                <w:lang w:bidi="ar"/>
              </w:rPr>
              <w:t>m</w:t>
            </w:r>
            <w:r w:rsidRPr="000549B1">
              <w:rPr>
                <w:rFonts w:eastAsiaTheme="minorEastAsia"/>
                <w:b/>
                <w:bCs/>
                <w:kern w:val="0"/>
                <w:szCs w:val="21"/>
                <w:vertAlign w:val="superscript"/>
                <w:lang w:bidi="ar"/>
              </w:rPr>
              <w:t>3</w:t>
            </w:r>
            <w:r w:rsidRPr="000549B1">
              <w:rPr>
                <w:rStyle w:val="font31"/>
                <w:rFonts w:eastAsiaTheme="minorEastAsia"/>
                <w:b/>
                <w:bCs/>
                <w:color w:val="auto"/>
                <w:sz w:val="21"/>
                <w:szCs w:val="21"/>
                <w:lang w:bidi="ar"/>
              </w:rPr>
              <w:t>/d</w:t>
            </w:r>
            <w:r w:rsidRPr="000549B1">
              <w:rPr>
                <w:rStyle w:val="font21"/>
                <w:rFonts w:ascii="Times New Roman" w:eastAsiaTheme="minorEastAsia" w:hAnsi="Times New Roman" w:cs="Times New Roman" w:hint="default"/>
                <w:b/>
                <w:bCs/>
                <w:color w:val="auto"/>
                <w:sz w:val="21"/>
                <w:szCs w:val="21"/>
                <w:lang w:bidi="ar"/>
              </w:rPr>
              <w:t>）</w:t>
            </w:r>
          </w:p>
        </w:tc>
        <w:tc>
          <w:tcPr>
            <w:tcW w:w="619" w:type="pct"/>
            <w:tcBorders>
              <w:top w:val="single" w:sz="4" w:space="0" w:color="000000"/>
              <w:left w:val="single" w:sz="4" w:space="0" w:color="000000"/>
              <w:bottom w:val="single" w:sz="4" w:space="0" w:color="000000"/>
              <w:right w:val="single" w:sz="4" w:space="0" w:color="000000"/>
            </w:tcBorders>
            <w:vAlign w:val="center"/>
          </w:tcPr>
          <w:p w14:paraId="4204D987" w14:textId="77777777" w:rsidR="00054437" w:rsidRPr="000549B1" w:rsidRDefault="00000000">
            <w:pPr>
              <w:widowControl/>
              <w:jc w:val="center"/>
              <w:textAlignment w:val="center"/>
              <w:rPr>
                <w:rFonts w:eastAsiaTheme="minorEastAsia"/>
                <w:b/>
                <w:bCs/>
                <w:szCs w:val="21"/>
              </w:rPr>
            </w:pPr>
            <w:r w:rsidRPr="000549B1">
              <w:rPr>
                <w:rFonts w:eastAsiaTheme="minorEastAsia"/>
                <w:b/>
                <w:bCs/>
                <w:kern w:val="0"/>
                <w:szCs w:val="21"/>
                <w:lang w:bidi="ar"/>
              </w:rPr>
              <w:t>处理量（万</w:t>
            </w:r>
            <w:r w:rsidRPr="000549B1">
              <w:rPr>
                <w:rStyle w:val="font31"/>
                <w:rFonts w:eastAsiaTheme="minorEastAsia"/>
                <w:b/>
                <w:bCs/>
                <w:color w:val="auto"/>
                <w:sz w:val="21"/>
                <w:szCs w:val="21"/>
                <w:lang w:bidi="ar"/>
              </w:rPr>
              <w:t>m</w:t>
            </w:r>
            <w:r w:rsidRPr="000549B1">
              <w:rPr>
                <w:rFonts w:eastAsiaTheme="minorEastAsia"/>
                <w:b/>
                <w:bCs/>
                <w:kern w:val="0"/>
                <w:szCs w:val="21"/>
                <w:vertAlign w:val="superscript"/>
                <w:lang w:bidi="ar"/>
              </w:rPr>
              <w:t>3</w:t>
            </w:r>
            <w:r w:rsidRPr="000549B1">
              <w:rPr>
                <w:rStyle w:val="font21"/>
                <w:rFonts w:ascii="Times New Roman" w:eastAsiaTheme="minorEastAsia" w:hAnsi="Times New Roman" w:cs="Times New Roman" w:hint="default"/>
                <w:b/>
                <w:bCs/>
                <w:color w:val="auto"/>
                <w:sz w:val="21"/>
                <w:szCs w:val="21"/>
                <w:lang w:bidi="ar"/>
              </w:rPr>
              <w:t>）</w:t>
            </w:r>
          </w:p>
        </w:tc>
        <w:tc>
          <w:tcPr>
            <w:tcW w:w="824" w:type="pct"/>
            <w:tcBorders>
              <w:top w:val="single" w:sz="4" w:space="0" w:color="000000"/>
              <w:left w:val="single" w:sz="4" w:space="0" w:color="000000"/>
              <w:bottom w:val="single" w:sz="4" w:space="0" w:color="000000"/>
              <w:right w:val="single" w:sz="4" w:space="0" w:color="000000"/>
            </w:tcBorders>
            <w:vAlign w:val="center"/>
          </w:tcPr>
          <w:p w14:paraId="4F19F9EB" w14:textId="77777777" w:rsidR="00054437" w:rsidRPr="000549B1" w:rsidRDefault="00000000">
            <w:pPr>
              <w:widowControl/>
              <w:jc w:val="center"/>
              <w:textAlignment w:val="center"/>
              <w:rPr>
                <w:rFonts w:eastAsiaTheme="minorEastAsia"/>
                <w:b/>
                <w:bCs/>
                <w:szCs w:val="21"/>
              </w:rPr>
            </w:pPr>
            <w:r w:rsidRPr="000549B1">
              <w:rPr>
                <w:rFonts w:eastAsiaTheme="minorEastAsia"/>
                <w:b/>
                <w:bCs/>
                <w:kern w:val="0"/>
                <w:szCs w:val="21"/>
                <w:lang w:bidi="ar"/>
              </w:rPr>
              <w:t>干污泥产生及处置量（吨）</w:t>
            </w:r>
          </w:p>
        </w:tc>
        <w:tc>
          <w:tcPr>
            <w:tcW w:w="688" w:type="pct"/>
            <w:tcBorders>
              <w:top w:val="single" w:sz="4" w:space="0" w:color="000000"/>
              <w:left w:val="single" w:sz="4" w:space="0" w:color="000000"/>
              <w:bottom w:val="single" w:sz="4" w:space="0" w:color="000000"/>
              <w:right w:val="single" w:sz="4" w:space="0" w:color="000000"/>
            </w:tcBorders>
            <w:vAlign w:val="center"/>
          </w:tcPr>
          <w:p w14:paraId="32957919" w14:textId="77777777" w:rsidR="00054437" w:rsidRPr="000549B1" w:rsidRDefault="00000000">
            <w:pPr>
              <w:widowControl/>
              <w:jc w:val="center"/>
              <w:textAlignment w:val="center"/>
              <w:rPr>
                <w:rFonts w:eastAsiaTheme="minorEastAsia"/>
                <w:b/>
                <w:bCs/>
                <w:szCs w:val="21"/>
              </w:rPr>
            </w:pPr>
            <w:r w:rsidRPr="000549B1">
              <w:rPr>
                <w:rFonts w:eastAsiaTheme="minorEastAsia"/>
                <w:b/>
                <w:bCs/>
                <w:kern w:val="0"/>
                <w:szCs w:val="21"/>
                <w:lang w:bidi="ar"/>
              </w:rPr>
              <w:t>再生水利用量（万</w:t>
            </w:r>
            <w:r w:rsidRPr="000549B1">
              <w:rPr>
                <w:rStyle w:val="font31"/>
                <w:rFonts w:eastAsiaTheme="minorEastAsia"/>
                <w:b/>
                <w:bCs/>
                <w:color w:val="auto"/>
                <w:sz w:val="21"/>
                <w:szCs w:val="21"/>
                <w:lang w:bidi="ar"/>
              </w:rPr>
              <w:t>m</w:t>
            </w:r>
            <w:r w:rsidRPr="000549B1">
              <w:rPr>
                <w:rFonts w:eastAsiaTheme="minorEastAsia"/>
                <w:b/>
                <w:bCs/>
                <w:kern w:val="0"/>
                <w:szCs w:val="21"/>
                <w:vertAlign w:val="superscript"/>
                <w:lang w:bidi="ar"/>
              </w:rPr>
              <w:t>3</w:t>
            </w:r>
            <w:r w:rsidRPr="000549B1">
              <w:rPr>
                <w:rFonts w:eastAsiaTheme="minorEastAsia"/>
                <w:b/>
                <w:bCs/>
                <w:kern w:val="0"/>
                <w:szCs w:val="21"/>
                <w:lang w:bidi="ar"/>
              </w:rPr>
              <w:t>）</w:t>
            </w:r>
          </w:p>
        </w:tc>
      </w:tr>
      <w:tr w:rsidR="000549B1" w:rsidRPr="000549B1" w14:paraId="09F4DFF1" w14:textId="77777777" w:rsidTr="00407DFF">
        <w:trPr>
          <w:trHeight w:val="270"/>
        </w:trPr>
        <w:tc>
          <w:tcPr>
            <w:tcW w:w="890" w:type="pct"/>
            <w:vMerge w:val="restart"/>
            <w:tcBorders>
              <w:top w:val="single" w:sz="4" w:space="0" w:color="000000"/>
              <w:left w:val="single" w:sz="4" w:space="0" w:color="000000"/>
              <w:bottom w:val="single" w:sz="4" w:space="0" w:color="000000"/>
              <w:right w:val="single" w:sz="4" w:space="0" w:color="000000"/>
            </w:tcBorders>
            <w:noWrap/>
            <w:vAlign w:val="center"/>
          </w:tcPr>
          <w:p w14:paraId="3F786868" w14:textId="77777777" w:rsidR="00054437" w:rsidRPr="000549B1" w:rsidRDefault="00000000">
            <w:pPr>
              <w:widowControl/>
              <w:jc w:val="center"/>
              <w:textAlignment w:val="center"/>
              <w:rPr>
                <w:rFonts w:eastAsiaTheme="minorEastAsia"/>
                <w:szCs w:val="21"/>
              </w:rPr>
            </w:pPr>
            <w:r w:rsidRPr="000549B1">
              <w:rPr>
                <w:rFonts w:eastAsiaTheme="minorEastAsia"/>
                <w:kern w:val="0"/>
                <w:szCs w:val="21"/>
                <w:lang w:bidi="ar"/>
              </w:rPr>
              <w:t>共和县</w:t>
            </w:r>
          </w:p>
        </w:tc>
        <w:tc>
          <w:tcPr>
            <w:tcW w:w="542" w:type="pct"/>
            <w:tcBorders>
              <w:top w:val="single" w:sz="4" w:space="0" w:color="000000"/>
              <w:left w:val="single" w:sz="4" w:space="0" w:color="000000"/>
              <w:bottom w:val="single" w:sz="4" w:space="0" w:color="000000"/>
              <w:right w:val="single" w:sz="4" w:space="0" w:color="000000"/>
            </w:tcBorders>
            <w:noWrap/>
            <w:vAlign w:val="center"/>
          </w:tcPr>
          <w:p w14:paraId="094A372D" w14:textId="77777777" w:rsidR="00054437" w:rsidRPr="000549B1" w:rsidRDefault="00000000">
            <w:pPr>
              <w:widowControl/>
              <w:jc w:val="center"/>
              <w:textAlignment w:val="center"/>
              <w:rPr>
                <w:rFonts w:eastAsiaTheme="minorEastAsia"/>
                <w:szCs w:val="21"/>
              </w:rPr>
            </w:pPr>
            <w:r w:rsidRPr="000549B1">
              <w:rPr>
                <w:rFonts w:eastAsiaTheme="minorEastAsia"/>
                <w:kern w:val="0"/>
                <w:szCs w:val="21"/>
                <w:lang w:bidi="ar"/>
              </w:rPr>
              <w:t>2020</w:t>
            </w:r>
            <w:r w:rsidRPr="000549B1">
              <w:rPr>
                <w:rFonts w:eastAsiaTheme="minorEastAsia"/>
                <w:kern w:val="0"/>
                <w:szCs w:val="21"/>
                <w:lang w:bidi="ar"/>
              </w:rPr>
              <w:t>年</w:t>
            </w:r>
          </w:p>
        </w:tc>
        <w:tc>
          <w:tcPr>
            <w:tcW w:w="698" w:type="pct"/>
            <w:tcBorders>
              <w:top w:val="single" w:sz="4" w:space="0" w:color="000000"/>
              <w:left w:val="single" w:sz="4" w:space="0" w:color="000000"/>
              <w:bottom w:val="single" w:sz="4" w:space="0" w:color="000000"/>
              <w:right w:val="single" w:sz="4" w:space="0" w:color="000000"/>
            </w:tcBorders>
            <w:noWrap/>
            <w:vAlign w:val="center"/>
          </w:tcPr>
          <w:p w14:paraId="7F336135" w14:textId="77777777" w:rsidR="00054437" w:rsidRPr="000549B1" w:rsidRDefault="00000000">
            <w:pPr>
              <w:widowControl/>
              <w:jc w:val="center"/>
              <w:textAlignment w:val="center"/>
              <w:rPr>
                <w:rFonts w:eastAsiaTheme="minorEastAsia"/>
                <w:szCs w:val="21"/>
              </w:rPr>
            </w:pPr>
            <w:r w:rsidRPr="000549B1">
              <w:rPr>
                <w:rFonts w:eastAsiaTheme="minorEastAsia"/>
                <w:kern w:val="0"/>
                <w:szCs w:val="21"/>
                <w:lang w:bidi="ar"/>
              </w:rPr>
              <w:t>398</w:t>
            </w:r>
          </w:p>
        </w:tc>
        <w:tc>
          <w:tcPr>
            <w:tcW w:w="739" w:type="pct"/>
            <w:tcBorders>
              <w:top w:val="single" w:sz="4" w:space="0" w:color="000000"/>
              <w:left w:val="single" w:sz="4" w:space="0" w:color="000000"/>
              <w:bottom w:val="single" w:sz="4" w:space="0" w:color="000000"/>
              <w:right w:val="single" w:sz="4" w:space="0" w:color="000000"/>
            </w:tcBorders>
            <w:noWrap/>
            <w:vAlign w:val="center"/>
          </w:tcPr>
          <w:p w14:paraId="7125205E" w14:textId="77777777" w:rsidR="00054437" w:rsidRPr="000549B1" w:rsidRDefault="00000000">
            <w:pPr>
              <w:widowControl/>
              <w:jc w:val="center"/>
              <w:textAlignment w:val="center"/>
              <w:rPr>
                <w:rFonts w:eastAsiaTheme="minorEastAsia"/>
                <w:szCs w:val="21"/>
              </w:rPr>
            </w:pPr>
            <w:r w:rsidRPr="000549B1">
              <w:rPr>
                <w:rFonts w:eastAsiaTheme="minorEastAsia"/>
                <w:kern w:val="0"/>
                <w:szCs w:val="21"/>
                <w:lang w:bidi="ar"/>
              </w:rPr>
              <w:t>1</w:t>
            </w:r>
          </w:p>
        </w:tc>
        <w:tc>
          <w:tcPr>
            <w:tcW w:w="619" w:type="pct"/>
            <w:tcBorders>
              <w:top w:val="single" w:sz="4" w:space="0" w:color="000000"/>
              <w:left w:val="single" w:sz="4" w:space="0" w:color="000000"/>
              <w:bottom w:val="single" w:sz="4" w:space="0" w:color="000000"/>
              <w:right w:val="single" w:sz="4" w:space="0" w:color="000000"/>
            </w:tcBorders>
            <w:noWrap/>
            <w:vAlign w:val="center"/>
          </w:tcPr>
          <w:p w14:paraId="3857A891" w14:textId="77777777" w:rsidR="00054437" w:rsidRPr="000549B1" w:rsidRDefault="00000000">
            <w:pPr>
              <w:widowControl/>
              <w:jc w:val="center"/>
              <w:textAlignment w:val="center"/>
              <w:rPr>
                <w:rFonts w:eastAsiaTheme="minorEastAsia"/>
                <w:szCs w:val="21"/>
              </w:rPr>
            </w:pPr>
            <w:r w:rsidRPr="000549B1">
              <w:rPr>
                <w:rFonts w:eastAsiaTheme="minorEastAsia"/>
                <w:kern w:val="0"/>
                <w:szCs w:val="21"/>
                <w:lang w:bidi="ar"/>
              </w:rPr>
              <w:t>388.03</w:t>
            </w:r>
          </w:p>
        </w:tc>
        <w:tc>
          <w:tcPr>
            <w:tcW w:w="824" w:type="pct"/>
            <w:tcBorders>
              <w:top w:val="single" w:sz="4" w:space="0" w:color="000000"/>
              <w:left w:val="single" w:sz="4" w:space="0" w:color="000000"/>
              <w:bottom w:val="single" w:sz="4" w:space="0" w:color="000000"/>
              <w:right w:val="single" w:sz="4" w:space="0" w:color="000000"/>
            </w:tcBorders>
            <w:vAlign w:val="center"/>
          </w:tcPr>
          <w:p w14:paraId="15EA843E" w14:textId="77777777" w:rsidR="00054437" w:rsidRPr="000549B1" w:rsidRDefault="00000000">
            <w:pPr>
              <w:widowControl/>
              <w:jc w:val="center"/>
              <w:textAlignment w:val="center"/>
              <w:rPr>
                <w:rFonts w:eastAsiaTheme="minorEastAsia"/>
                <w:szCs w:val="21"/>
              </w:rPr>
            </w:pPr>
            <w:r w:rsidRPr="000549B1">
              <w:rPr>
                <w:rFonts w:eastAsiaTheme="minorEastAsia"/>
                <w:kern w:val="0"/>
                <w:szCs w:val="21"/>
                <w:lang w:bidi="ar"/>
              </w:rPr>
              <w:t>388.03</w:t>
            </w:r>
          </w:p>
        </w:tc>
        <w:tc>
          <w:tcPr>
            <w:tcW w:w="688" w:type="pct"/>
            <w:tcBorders>
              <w:top w:val="single" w:sz="4" w:space="0" w:color="000000"/>
              <w:left w:val="single" w:sz="4" w:space="0" w:color="000000"/>
              <w:bottom w:val="single" w:sz="4" w:space="0" w:color="000000"/>
              <w:right w:val="single" w:sz="4" w:space="0" w:color="000000"/>
            </w:tcBorders>
            <w:vAlign w:val="center"/>
          </w:tcPr>
          <w:p w14:paraId="60DFEF86" w14:textId="77777777" w:rsidR="00054437" w:rsidRPr="000549B1" w:rsidRDefault="00000000">
            <w:pPr>
              <w:widowControl/>
              <w:jc w:val="center"/>
              <w:textAlignment w:val="center"/>
              <w:rPr>
                <w:rFonts w:eastAsiaTheme="minorEastAsia"/>
                <w:szCs w:val="21"/>
              </w:rPr>
            </w:pPr>
            <w:r w:rsidRPr="000549B1">
              <w:rPr>
                <w:rFonts w:eastAsiaTheme="minorEastAsia"/>
                <w:kern w:val="0"/>
                <w:szCs w:val="21"/>
                <w:lang w:bidi="ar"/>
              </w:rPr>
              <w:t>0</w:t>
            </w:r>
          </w:p>
        </w:tc>
      </w:tr>
      <w:tr w:rsidR="000549B1" w:rsidRPr="000549B1" w14:paraId="39D502DC" w14:textId="77777777" w:rsidTr="00407DFF">
        <w:trPr>
          <w:trHeight w:val="270"/>
        </w:trPr>
        <w:tc>
          <w:tcPr>
            <w:tcW w:w="890" w:type="pct"/>
            <w:vMerge/>
            <w:tcBorders>
              <w:top w:val="single" w:sz="4" w:space="0" w:color="000000"/>
              <w:left w:val="single" w:sz="4" w:space="0" w:color="000000"/>
              <w:bottom w:val="single" w:sz="4" w:space="0" w:color="000000"/>
              <w:right w:val="single" w:sz="4" w:space="0" w:color="000000"/>
            </w:tcBorders>
            <w:noWrap/>
            <w:vAlign w:val="center"/>
          </w:tcPr>
          <w:p w14:paraId="123FE87C" w14:textId="77777777" w:rsidR="00054437" w:rsidRPr="000549B1" w:rsidRDefault="00054437">
            <w:pPr>
              <w:jc w:val="center"/>
              <w:rPr>
                <w:rFonts w:eastAsiaTheme="minorEastAsia"/>
                <w:szCs w:val="21"/>
              </w:rPr>
            </w:pPr>
          </w:p>
        </w:tc>
        <w:tc>
          <w:tcPr>
            <w:tcW w:w="542" w:type="pct"/>
            <w:tcBorders>
              <w:top w:val="single" w:sz="4" w:space="0" w:color="000000"/>
              <w:left w:val="single" w:sz="4" w:space="0" w:color="000000"/>
              <w:bottom w:val="single" w:sz="4" w:space="0" w:color="000000"/>
              <w:right w:val="single" w:sz="4" w:space="0" w:color="000000"/>
            </w:tcBorders>
            <w:noWrap/>
            <w:vAlign w:val="center"/>
          </w:tcPr>
          <w:p w14:paraId="38C69EE9" w14:textId="77777777" w:rsidR="00054437" w:rsidRPr="000549B1" w:rsidRDefault="00000000">
            <w:pPr>
              <w:widowControl/>
              <w:jc w:val="center"/>
              <w:textAlignment w:val="center"/>
              <w:rPr>
                <w:rFonts w:eastAsiaTheme="minorEastAsia"/>
                <w:szCs w:val="21"/>
              </w:rPr>
            </w:pPr>
            <w:r w:rsidRPr="000549B1">
              <w:rPr>
                <w:rFonts w:eastAsiaTheme="minorEastAsia"/>
                <w:kern w:val="0"/>
                <w:szCs w:val="21"/>
                <w:lang w:bidi="ar"/>
              </w:rPr>
              <w:t>2021</w:t>
            </w:r>
            <w:r w:rsidRPr="000549B1">
              <w:rPr>
                <w:rFonts w:eastAsiaTheme="minorEastAsia"/>
                <w:kern w:val="0"/>
                <w:szCs w:val="21"/>
                <w:lang w:bidi="ar"/>
              </w:rPr>
              <w:t>年</w:t>
            </w:r>
          </w:p>
        </w:tc>
        <w:tc>
          <w:tcPr>
            <w:tcW w:w="698" w:type="pct"/>
            <w:tcBorders>
              <w:top w:val="single" w:sz="4" w:space="0" w:color="000000"/>
              <w:left w:val="single" w:sz="4" w:space="0" w:color="000000"/>
              <w:bottom w:val="single" w:sz="4" w:space="0" w:color="000000"/>
              <w:right w:val="single" w:sz="4" w:space="0" w:color="000000"/>
            </w:tcBorders>
            <w:noWrap/>
            <w:vAlign w:val="center"/>
          </w:tcPr>
          <w:p w14:paraId="36CB1D86" w14:textId="77777777" w:rsidR="00054437" w:rsidRPr="000549B1" w:rsidRDefault="00000000">
            <w:pPr>
              <w:widowControl/>
              <w:jc w:val="center"/>
              <w:textAlignment w:val="center"/>
              <w:rPr>
                <w:rFonts w:eastAsiaTheme="minorEastAsia"/>
                <w:szCs w:val="21"/>
              </w:rPr>
            </w:pPr>
            <w:r w:rsidRPr="000549B1">
              <w:rPr>
                <w:rFonts w:eastAsiaTheme="minorEastAsia"/>
                <w:kern w:val="0"/>
                <w:szCs w:val="21"/>
                <w:lang w:bidi="ar"/>
              </w:rPr>
              <w:t>396.8</w:t>
            </w:r>
          </w:p>
        </w:tc>
        <w:tc>
          <w:tcPr>
            <w:tcW w:w="739" w:type="pct"/>
            <w:tcBorders>
              <w:top w:val="single" w:sz="4" w:space="0" w:color="000000"/>
              <w:left w:val="single" w:sz="4" w:space="0" w:color="000000"/>
              <w:bottom w:val="single" w:sz="4" w:space="0" w:color="000000"/>
              <w:right w:val="single" w:sz="4" w:space="0" w:color="000000"/>
            </w:tcBorders>
            <w:noWrap/>
            <w:vAlign w:val="center"/>
          </w:tcPr>
          <w:p w14:paraId="29385F18" w14:textId="77777777" w:rsidR="00054437" w:rsidRPr="000549B1" w:rsidRDefault="00000000">
            <w:pPr>
              <w:widowControl/>
              <w:jc w:val="center"/>
              <w:textAlignment w:val="center"/>
              <w:rPr>
                <w:rFonts w:eastAsiaTheme="minorEastAsia"/>
                <w:szCs w:val="21"/>
              </w:rPr>
            </w:pPr>
            <w:r w:rsidRPr="000549B1">
              <w:rPr>
                <w:rFonts w:eastAsiaTheme="minorEastAsia"/>
                <w:kern w:val="0"/>
                <w:szCs w:val="21"/>
                <w:lang w:bidi="ar"/>
              </w:rPr>
              <w:t>1</w:t>
            </w:r>
          </w:p>
        </w:tc>
        <w:tc>
          <w:tcPr>
            <w:tcW w:w="619" w:type="pct"/>
            <w:tcBorders>
              <w:top w:val="single" w:sz="4" w:space="0" w:color="000000"/>
              <w:left w:val="single" w:sz="4" w:space="0" w:color="000000"/>
              <w:bottom w:val="single" w:sz="4" w:space="0" w:color="000000"/>
              <w:right w:val="single" w:sz="4" w:space="0" w:color="000000"/>
            </w:tcBorders>
            <w:noWrap/>
            <w:vAlign w:val="center"/>
          </w:tcPr>
          <w:p w14:paraId="72A4E525" w14:textId="77777777" w:rsidR="00054437" w:rsidRPr="000549B1" w:rsidRDefault="00000000">
            <w:pPr>
              <w:widowControl/>
              <w:jc w:val="center"/>
              <w:textAlignment w:val="center"/>
              <w:rPr>
                <w:rFonts w:eastAsiaTheme="minorEastAsia"/>
                <w:szCs w:val="21"/>
              </w:rPr>
            </w:pPr>
            <w:r w:rsidRPr="000549B1">
              <w:rPr>
                <w:rFonts w:eastAsiaTheme="minorEastAsia"/>
                <w:kern w:val="0"/>
                <w:szCs w:val="21"/>
                <w:lang w:bidi="ar"/>
              </w:rPr>
              <w:t>377.31</w:t>
            </w:r>
          </w:p>
        </w:tc>
        <w:tc>
          <w:tcPr>
            <w:tcW w:w="824" w:type="pct"/>
            <w:tcBorders>
              <w:top w:val="single" w:sz="4" w:space="0" w:color="000000"/>
              <w:left w:val="single" w:sz="4" w:space="0" w:color="000000"/>
              <w:bottom w:val="single" w:sz="4" w:space="0" w:color="000000"/>
              <w:right w:val="single" w:sz="4" w:space="0" w:color="000000"/>
            </w:tcBorders>
            <w:noWrap/>
            <w:vAlign w:val="center"/>
          </w:tcPr>
          <w:p w14:paraId="3AF7BCF2" w14:textId="77777777" w:rsidR="00054437" w:rsidRPr="000549B1" w:rsidRDefault="00000000">
            <w:pPr>
              <w:widowControl/>
              <w:jc w:val="center"/>
              <w:textAlignment w:val="center"/>
              <w:rPr>
                <w:rFonts w:eastAsiaTheme="minorEastAsia"/>
                <w:szCs w:val="21"/>
              </w:rPr>
            </w:pPr>
            <w:r w:rsidRPr="000549B1">
              <w:rPr>
                <w:rFonts w:eastAsiaTheme="minorEastAsia"/>
                <w:kern w:val="0"/>
                <w:szCs w:val="21"/>
                <w:lang w:bidi="ar"/>
              </w:rPr>
              <w:t>258.02</w:t>
            </w:r>
          </w:p>
        </w:tc>
        <w:tc>
          <w:tcPr>
            <w:tcW w:w="688" w:type="pct"/>
            <w:tcBorders>
              <w:top w:val="single" w:sz="4" w:space="0" w:color="000000"/>
              <w:left w:val="single" w:sz="4" w:space="0" w:color="000000"/>
              <w:bottom w:val="single" w:sz="4" w:space="0" w:color="000000"/>
              <w:right w:val="single" w:sz="4" w:space="0" w:color="000000"/>
            </w:tcBorders>
            <w:noWrap/>
            <w:vAlign w:val="center"/>
          </w:tcPr>
          <w:p w14:paraId="4D18572C" w14:textId="77777777" w:rsidR="00054437" w:rsidRPr="000549B1" w:rsidRDefault="00000000">
            <w:pPr>
              <w:widowControl/>
              <w:jc w:val="center"/>
              <w:textAlignment w:val="center"/>
              <w:rPr>
                <w:rFonts w:eastAsiaTheme="minorEastAsia"/>
                <w:szCs w:val="21"/>
              </w:rPr>
            </w:pPr>
            <w:r w:rsidRPr="000549B1">
              <w:rPr>
                <w:rFonts w:eastAsiaTheme="minorEastAsia"/>
                <w:kern w:val="0"/>
                <w:szCs w:val="21"/>
                <w:lang w:bidi="ar"/>
              </w:rPr>
              <w:t>0</w:t>
            </w:r>
          </w:p>
        </w:tc>
      </w:tr>
      <w:tr w:rsidR="000549B1" w:rsidRPr="000549B1" w14:paraId="70925161" w14:textId="77777777" w:rsidTr="00407DFF">
        <w:trPr>
          <w:trHeight w:val="270"/>
        </w:trPr>
        <w:tc>
          <w:tcPr>
            <w:tcW w:w="890" w:type="pct"/>
            <w:vMerge/>
            <w:tcBorders>
              <w:top w:val="single" w:sz="4" w:space="0" w:color="000000"/>
              <w:left w:val="single" w:sz="4" w:space="0" w:color="000000"/>
              <w:bottom w:val="single" w:sz="4" w:space="0" w:color="000000"/>
              <w:right w:val="single" w:sz="4" w:space="0" w:color="000000"/>
            </w:tcBorders>
            <w:noWrap/>
            <w:vAlign w:val="center"/>
          </w:tcPr>
          <w:p w14:paraId="3BDB7D86" w14:textId="77777777" w:rsidR="00054437" w:rsidRPr="000549B1" w:rsidRDefault="00054437">
            <w:pPr>
              <w:jc w:val="center"/>
              <w:rPr>
                <w:rFonts w:eastAsiaTheme="minorEastAsia"/>
                <w:szCs w:val="21"/>
              </w:rPr>
            </w:pPr>
          </w:p>
        </w:tc>
        <w:tc>
          <w:tcPr>
            <w:tcW w:w="542" w:type="pct"/>
            <w:tcBorders>
              <w:top w:val="single" w:sz="4" w:space="0" w:color="000000"/>
              <w:left w:val="single" w:sz="4" w:space="0" w:color="000000"/>
              <w:bottom w:val="single" w:sz="4" w:space="0" w:color="000000"/>
              <w:right w:val="single" w:sz="4" w:space="0" w:color="000000"/>
            </w:tcBorders>
            <w:noWrap/>
            <w:vAlign w:val="center"/>
          </w:tcPr>
          <w:p w14:paraId="6E6B6215" w14:textId="77777777" w:rsidR="00054437" w:rsidRPr="000549B1" w:rsidRDefault="00000000">
            <w:pPr>
              <w:widowControl/>
              <w:jc w:val="center"/>
              <w:textAlignment w:val="center"/>
              <w:rPr>
                <w:rFonts w:eastAsiaTheme="minorEastAsia"/>
                <w:szCs w:val="21"/>
              </w:rPr>
            </w:pPr>
            <w:r w:rsidRPr="000549B1">
              <w:rPr>
                <w:rFonts w:eastAsiaTheme="minorEastAsia"/>
                <w:kern w:val="0"/>
                <w:szCs w:val="21"/>
                <w:lang w:bidi="ar"/>
              </w:rPr>
              <w:t>2022</w:t>
            </w:r>
            <w:r w:rsidRPr="000549B1">
              <w:rPr>
                <w:rFonts w:eastAsiaTheme="minorEastAsia"/>
                <w:kern w:val="0"/>
                <w:szCs w:val="21"/>
                <w:lang w:bidi="ar"/>
              </w:rPr>
              <w:t>年</w:t>
            </w:r>
          </w:p>
        </w:tc>
        <w:tc>
          <w:tcPr>
            <w:tcW w:w="698" w:type="pct"/>
            <w:tcBorders>
              <w:top w:val="single" w:sz="4" w:space="0" w:color="000000"/>
              <w:left w:val="single" w:sz="4" w:space="0" w:color="000000"/>
              <w:bottom w:val="single" w:sz="4" w:space="0" w:color="000000"/>
              <w:right w:val="single" w:sz="4" w:space="0" w:color="000000"/>
            </w:tcBorders>
            <w:noWrap/>
            <w:vAlign w:val="center"/>
          </w:tcPr>
          <w:p w14:paraId="289EA8C1" w14:textId="77777777" w:rsidR="00054437" w:rsidRPr="000549B1" w:rsidRDefault="00000000">
            <w:pPr>
              <w:widowControl/>
              <w:jc w:val="center"/>
              <w:textAlignment w:val="center"/>
              <w:rPr>
                <w:rFonts w:eastAsiaTheme="minorEastAsia"/>
                <w:szCs w:val="21"/>
              </w:rPr>
            </w:pPr>
            <w:r w:rsidRPr="000549B1">
              <w:rPr>
                <w:rFonts w:eastAsiaTheme="minorEastAsia"/>
                <w:kern w:val="0"/>
                <w:szCs w:val="21"/>
                <w:lang w:bidi="ar"/>
              </w:rPr>
              <w:t>385.44</w:t>
            </w:r>
          </w:p>
        </w:tc>
        <w:tc>
          <w:tcPr>
            <w:tcW w:w="739" w:type="pct"/>
            <w:tcBorders>
              <w:top w:val="single" w:sz="4" w:space="0" w:color="000000"/>
              <w:left w:val="single" w:sz="4" w:space="0" w:color="000000"/>
              <w:bottom w:val="single" w:sz="4" w:space="0" w:color="000000"/>
              <w:right w:val="single" w:sz="4" w:space="0" w:color="000000"/>
            </w:tcBorders>
            <w:noWrap/>
            <w:vAlign w:val="center"/>
          </w:tcPr>
          <w:p w14:paraId="69BCC7F5" w14:textId="77777777" w:rsidR="00054437" w:rsidRPr="000549B1" w:rsidRDefault="00000000">
            <w:pPr>
              <w:widowControl/>
              <w:jc w:val="center"/>
              <w:textAlignment w:val="center"/>
              <w:rPr>
                <w:rFonts w:eastAsiaTheme="minorEastAsia"/>
                <w:szCs w:val="21"/>
              </w:rPr>
            </w:pPr>
            <w:r w:rsidRPr="000549B1">
              <w:rPr>
                <w:rFonts w:eastAsiaTheme="minorEastAsia"/>
                <w:kern w:val="0"/>
                <w:szCs w:val="21"/>
                <w:lang w:bidi="ar"/>
              </w:rPr>
              <w:t>2</w:t>
            </w:r>
          </w:p>
        </w:tc>
        <w:tc>
          <w:tcPr>
            <w:tcW w:w="619" w:type="pct"/>
            <w:tcBorders>
              <w:top w:val="single" w:sz="4" w:space="0" w:color="000000"/>
              <w:left w:val="single" w:sz="4" w:space="0" w:color="000000"/>
              <w:bottom w:val="single" w:sz="4" w:space="0" w:color="000000"/>
              <w:right w:val="single" w:sz="4" w:space="0" w:color="000000"/>
            </w:tcBorders>
            <w:noWrap/>
            <w:vAlign w:val="center"/>
          </w:tcPr>
          <w:p w14:paraId="0A4FE5AA" w14:textId="77777777" w:rsidR="00054437" w:rsidRPr="000549B1" w:rsidRDefault="00000000">
            <w:pPr>
              <w:widowControl/>
              <w:jc w:val="center"/>
              <w:textAlignment w:val="center"/>
              <w:rPr>
                <w:rFonts w:eastAsiaTheme="minorEastAsia"/>
                <w:szCs w:val="21"/>
              </w:rPr>
            </w:pPr>
            <w:r w:rsidRPr="000549B1">
              <w:rPr>
                <w:rFonts w:eastAsiaTheme="minorEastAsia"/>
                <w:kern w:val="0"/>
                <w:szCs w:val="21"/>
                <w:lang w:bidi="ar"/>
              </w:rPr>
              <w:t>366.55</w:t>
            </w:r>
          </w:p>
        </w:tc>
        <w:tc>
          <w:tcPr>
            <w:tcW w:w="824" w:type="pct"/>
            <w:tcBorders>
              <w:top w:val="single" w:sz="4" w:space="0" w:color="000000"/>
              <w:left w:val="single" w:sz="4" w:space="0" w:color="000000"/>
              <w:bottom w:val="single" w:sz="4" w:space="0" w:color="000000"/>
              <w:right w:val="single" w:sz="4" w:space="0" w:color="000000"/>
            </w:tcBorders>
            <w:noWrap/>
            <w:vAlign w:val="center"/>
          </w:tcPr>
          <w:p w14:paraId="362A4E33" w14:textId="77777777" w:rsidR="00054437" w:rsidRPr="000549B1" w:rsidRDefault="00000000">
            <w:pPr>
              <w:widowControl/>
              <w:jc w:val="center"/>
              <w:textAlignment w:val="center"/>
              <w:rPr>
                <w:rFonts w:eastAsiaTheme="minorEastAsia"/>
                <w:szCs w:val="21"/>
              </w:rPr>
            </w:pPr>
            <w:r w:rsidRPr="000549B1">
              <w:rPr>
                <w:rFonts w:eastAsiaTheme="minorEastAsia"/>
                <w:kern w:val="0"/>
                <w:szCs w:val="21"/>
                <w:lang w:bidi="ar"/>
              </w:rPr>
              <w:t>1026.8</w:t>
            </w:r>
          </w:p>
        </w:tc>
        <w:tc>
          <w:tcPr>
            <w:tcW w:w="688" w:type="pct"/>
            <w:tcBorders>
              <w:top w:val="single" w:sz="4" w:space="0" w:color="000000"/>
              <w:left w:val="single" w:sz="4" w:space="0" w:color="000000"/>
              <w:bottom w:val="single" w:sz="4" w:space="0" w:color="000000"/>
              <w:right w:val="single" w:sz="4" w:space="0" w:color="000000"/>
            </w:tcBorders>
            <w:noWrap/>
            <w:vAlign w:val="center"/>
          </w:tcPr>
          <w:p w14:paraId="1006D126" w14:textId="77777777" w:rsidR="00054437" w:rsidRPr="000549B1" w:rsidRDefault="00000000">
            <w:pPr>
              <w:widowControl/>
              <w:jc w:val="center"/>
              <w:textAlignment w:val="center"/>
              <w:rPr>
                <w:rFonts w:eastAsiaTheme="minorEastAsia"/>
                <w:szCs w:val="21"/>
              </w:rPr>
            </w:pPr>
            <w:r w:rsidRPr="000549B1">
              <w:rPr>
                <w:rFonts w:eastAsiaTheme="minorEastAsia"/>
                <w:kern w:val="0"/>
                <w:szCs w:val="21"/>
                <w:lang w:bidi="ar"/>
              </w:rPr>
              <w:t>0</w:t>
            </w:r>
          </w:p>
        </w:tc>
      </w:tr>
      <w:tr w:rsidR="000549B1" w:rsidRPr="000549B1" w14:paraId="5453FE97" w14:textId="77777777" w:rsidTr="00407DFF">
        <w:trPr>
          <w:trHeight w:val="270"/>
        </w:trPr>
        <w:tc>
          <w:tcPr>
            <w:tcW w:w="890" w:type="pct"/>
            <w:vMerge/>
            <w:tcBorders>
              <w:top w:val="single" w:sz="4" w:space="0" w:color="000000"/>
              <w:left w:val="single" w:sz="4" w:space="0" w:color="000000"/>
              <w:bottom w:val="single" w:sz="4" w:space="0" w:color="000000"/>
              <w:right w:val="single" w:sz="4" w:space="0" w:color="000000"/>
            </w:tcBorders>
            <w:noWrap/>
            <w:vAlign w:val="center"/>
          </w:tcPr>
          <w:p w14:paraId="3848E761" w14:textId="77777777" w:rsidR="00054437" w:rsidRPr="000549B1" w:rsidRDefault="00054437">
            <w:pPr>
              <w:jc w:val="center"/>
              <w:rPr>
                <w:rFonts w:eastAsiaTheme="minorEastAsia"/>
                <w:szCs w:val="21"/>
              </w:rPr>
            </w:pPr>
          </w:p>
        </w:tc>
        <w:tc>
          <w:tcPr>
            <w:tcW w:w="542" w:type="pct"/>
            <w:tcBorders>
              <w:top w:val="single" w:sz="4" w:space="0" w:color="000000"/>
              <w:left w:val="single" w:sz="4" w:space="0" w:color="000000"/>
              <w:bottom w:val="single" w:sz="4" w:space="0" w:color="000000"/>
              <w:right w:val="single" w:sz="4" w:space="0" w:color="000000"/>
            </w:tcBorders>
            <w:noWrap/>
            <w:vAlign w:val="center"/>
          </w:tcPr>
          <w:p w14:paraId="5FE158DE" w14:textId="77777777" w:rsidR="00054437" w:rsidRPr="000549B1" w:rsidRDefault="00000000">
            <w:pPr>
              <w:widowControl/>
              <w:jc w:val="center"/>
              <w:textAlignment w:val="center"/>
              <w:rPr>
                <w:rFonts w:eastAsiaTheme="minorEastAsia"/>
                <w:szCs w:val="21"/>
              </w:rPr>
            </w:pPr>
            <w:r w:rsidRPr="000549B1">
              <w:rPr>
                <w:rFonts w:eastAsiaTheme="minorEastAsia"/>
                <w:kern w:val="0"/>
                <w:szCs w:val="21"/>
                <w:lang w:bidi="ar"/>
              </w:rPr>
              <w:t>2023</w:t>
            </w:r>
            <w:r w:rsidRPr="000549B1">
              <w:rPr>
                <w:rFonts w:eastAsiaTheme="minorEastAsia"/>
                <w:kern w:val="0"/>
                <w:szCs w:val="21"/>
                <w:lang w:bidi="ar"/>
              </w:rPr>
              <w:t>年</w:t>
            </w:r>
          </w:p>
        </w:tc>
        <w:tc>
          <w:tcPr>
            <w:tcW w:w="698" w:type="pct"/>
            <w:tcBorders>
              <w:top w:val="single" w:sz="4" w:space="0" w:color="000000"/>
              <w:left w:val="single" w:sz="4" w:space="0" w:color="000000"/>
              <w:bottom w:val="single" w:sz="4" w:space="0" w:color="000000"/>
              <w:right w:val="single" w:sz="4" w:space="0" w:color="000000"/>
            </w:tcBorders>
            <w:noWrap/>
            <w:vAlign w:val="center"/>
          </w:tcPr>
          <w:p w14:paraId="631B1450" w14:textId="77777777" w:rsidR="00054437" w:rsidRPr="000549B1" w:rsidRDefault="00000000">
            <w:pPr>
              <w:widowControl/>
              <w:jc w:val="center"/>
              <w:textAlignment w:val="center"/>
              <w:rPr>
                <w:rFonts w:eastAsiaTheme="minorEastAsia"/>
                <w:szCs w:val="21"/>
              </w:rPr>
            </w:pPr>
            <w:r w:rsidRPr="000549B1">
              <w:rPr>
                <w:rFonts w:eastAsiaTheme="minorEastAsia"/>
                <w:kern w:val="0"/>
                <w:szCs w:val="21"/>
                <w:lang w:bidi="ar"/>
              </w:rPr>
              <w:t>455.06</w:t>
            </w:r>
          </w:p>
        </w:tc>
        <w:tc>
          <w:tcPr>
            <w:tcW w:w="739" w:type="pct"/>
            <w:tcBorders>
              <w:top w:val="single" w:sz="4" w:space="0" w:color="000000"/>
              <w:left w:val="single" w:sz="4" w:space="0" w:color="000000"/>
              <w:bottom w:val="single" w:sz="4" w:space="0" w:color="000000"/>
              <w:right w:val="single" w:sz="4" w:space="0" w:color="000000"/>
            </w:tcBorders>
            <w:noWrap/>
            <w:vAlign w:val="center"/>
          </w:tcPr>
          <w:p w14:paraId="20E72ED6" w14:textId="77777777" w:rsidR="00054437" w:rsidRPr="000549B1" w:rsidRDefault="00000000">
            <w:pPr>
              <w:widowControl/>
              <w:jc w:val="center"/>
              <w:textAlignment w:val="center"/>
              <w:rPr>
                <w:rFonts w:eastAsiaTheme="minorEastAsia"/>
                <w:szCs w:val="21"/>
              </w:rPr>
            </w:pPr>
            <w:r w:rsidRPr="000549B1">
              <w:rPr>
                <w:rFonts w:eastAsiaTheme="minorEastAsia"/>
                <w:kern w:val="0"/>
                <w:szCs w:val="21"/>
                <w:lang w:bidi="ar"/>
              </w:rPr>
              <w:t>2</w:t>
            </w:r>
          </w:p>
        </w:tc>
        <w:tc>
          <w:tcPr>
            <w:tcW w:w="619" w:type="pct"/>
            <w:tcBorders>
              <w:top w:val="single" w:sz="4" w:space="0" w:color="000000"/>
              <w:left w:val="single" w:sz="4" w:space="0" w:color="000000"/>
              <w:bottom w:val="single" w:sz="4" w:space="0" w:color="000000"/>
              <w:right w:val="single" w:sz="4" w:space="0" w:color="000000"/>
            </w:tcBorders>
            <w:noWrap/>
            <w:vAlign w:val="center"/>
          </w:tcPr>
          <w:p w14:paraId="5FFC7F30" w14:textId="77777777" w:rsidR="00054437" w:rsidRPr="000549B1" w:rsidRDefault="00000000">
            <w:pPr>
              <w:widowControl/>
              <w:jc w:val="center"/>
              <w:textAlignment w:val="center"/>
              <w:rPr>
                <w:rFonts w:eastAsiaTheme="minorEastAsia"/>
                <w:szCs w:val="21"/>
              </w:rPr>
            </w:pPr>
            <w:r w:rsidRPr="000549B1">
              <w:rPr>
                <w:rFonts w:eastAsiaTheme="minorEastAsia"/>
                <w:kern w:val="0"/>
                <w:szCs w:val="21"/>
                <w:lang w:bidi="ar"/>
              </w:rPr>
              <w:t>433.58</w:t>
            </w:r>
          </w:p>
        </w:tc>
        <w:tc>
          <w:tcPr>
            <w:tcW w:w="824" w:type="pct"/>
            <w:tcBorders>
              <w:top w:val="single" w:sz="4" w:space="0" w:color="000000"/>
              <w:left w:val="single" w:sz="4" w:space="0" w:color="000000"/>
              <w:bottom w:val="single" w:sz="4" w:space="0" w:color="000000"/>
              <w:right w:val="single" w:sz="4" w:space="0" w:color="000000"/>
            </w:tcBorders>
            <w:noWrap/>
            <w:vAlign w:val="center"/>
          </w:tcPr>
          <w:p w14:paraId="74A83E29" w14:textId="77777777" w:rsidR="00054437" w:rsidRPr="000549B1" w:rsidRDefault="00000000">
            <w:pPr>
              <w:widowControl/>
              <w:jc w:val="center"/>
              <w:textAlignment w:val="center"/>
              <w:rPr>
                <w:rFonts w:eastAsiaTheme="minorEastAsia"/>
                <w:szCs w:val="21"/>
              </w:rPr>
            </w:pPr>
            <w:r w:rsidRPr="000549B1">
              <w:rPr>
                <w:rFonts w:eastAsiaTheme="minorEastAsia"/>
                <w:kern w:val="0"/>
                <w:szCs w:val="21"/>
                <w:lang w:bidi="ar"/>
              </w:rPr>
              <w:t>1285.2</w:t>
            </w:r>
          </w:p>
        </w:tc>
        <w:tc>
          <w:tcPr>
            <w:tcW w:w="688" w:type="pct"/>
            <w:tcBorders>
              <w:top w:val="single" w:sz="4" w:space="0" w:color="000000"/>
              <w:left w:val="single" w:sz="4" w:space="0" w:color="000000"/>
              <w:bottom w:val="single" w:sz="4" w:space="0" w:color="000000"/>
              <w:right w:val="single" w:sz="4" w:space="0" w:color="000000"/>
            </w:tcBorders>
            <w:noWrap/>
            <w:vAlign w:val="center"/>
          </w:tcPr>
          <w:p w14:paraId="7565900B" w14:textId="77777777" w:rsidR="00054437" w:rsidRPr="000549B1" w:rsidRDefault="00000000">
            <w:pPr>
              <w:widowControl/>
              <w:jc w:val="center"/>
              <w:textAlignment w:val="center"/>
              <w:rPr>
                <w:rFonts w:eastAsiaTheme="minorEastAsia"/>
                <w:szCs w:val="21"/>
              </w:rPr>
            </w:pPr>
            <w:r w:rsidRPr="000549B1">
              <w:rPr>
                <w:rFonts w:eastAsiaTheme="minorEastAsia"/>
                <w:kern w:val="0"/>
                <w:szCs w:val="21"/>
                <w:lang w:bidi="ar"/>
              </w:rPr>
              <w:t>0</w:t>
            </w:r>
          </w:p>
        </w:tc>
      </w:tr>
      <w:tr w:rsidR="000549B1" w:rsidRPr="000549B1" w14:paraId="0DA3B027" w14:textId="77777777" w:rsidTr="00407DFF">
        <w:trPr>
          <w:trHeight w:val="270"/>
        </w:trPr>
        <w:tc>
          <w:tcPr>
            <w:tcW w:w="890" w:type="pct"/>
            <w:vMerge/>
            <w:tcBorders>
              <w:top w:val="single" w:sz="4" w:space="0" w:color="000000"/>
              <w:left w:val="single" w:sz="4" w:space="0" w:color="000000"/>
              <w:bottom w:val="single" w:sz="4" w:space="0" w:color="000000"/>
              <w:right w:val="single" w:sz="4" w:space="0" w:color="000000"/>
            </w:tcBorders>
            <w:noWrap/>
            <w:vAlign w:val="center"/>
          </w:tcPr>
          <w:p w14:paraId="355AC5CA" w14:textId="77777777" w:rsidR="00054437" w:rsidRPr="000549B1" w:rsidRDefault="00054437">
            <w:pPr>
              <w:jc w:val="center"/>
              <w:rPr>
                <w:rFonts w:eastAsiaTheme="minorEastAsia"/>
                <w:szCs w:val="21"/>
              </w:rPr>
            </w:pPr>
          </w:p>
        </w:tc>
        <w:tc>
          <w:tcPr>
            <w:tcW w:w="542" w:type="pct"/>
            <w:tcBorders>
              <w:top w:val="single" w:sz="4" w:space="0" w:color="000000"/>
              <w:left w:val="single" w:sz="4" w:space="0" w:color="000000"/>
              <w:bottom w:val="single" w:sz="4" w:space="0" w:color="000000"/>
              <w:right w:val="single" w:sz="4" w:space="0" w:color="000000"/>
            </w:tcBorders>
            <w:noWrap/>
            <w:vAlign w:val="center"/>
          </w:tcPr>
          <w:p w14:paraId="7662B58A" w14:textId="77777777" w:rsidR="00054437" w:rsidRPr="000549B1" w:rsidRDefault="00000000">
            <w:pPr>
              <w:widowControl/>
              <w:jc w:val="center"/>
              <w:textAlignment w:val="center"/>
              <w:rPr>
                <w:rFonts w:eastAsiaTheme="minorEastAsia"/>
                <w:szCs w:val="21"/>
              </w:rPr>
            </w:pPr>
            <w:r w:rsidRPr="000549B1">
              <w:rPr>
                <w:rFonts w:eastAsiaTheme="minorEastAsia"/>
                <w:kern w:val="0"/>
                <w:szCs w:val="21"/>
                <w:lang w:bidi="ar"/>
              </w:rPr>
              <w:t>2024</w:t>
            </w:r>
            <w:r w:rsidRPr="000549B1">
              <w:rPr>
                <w:rFonts w:eastAsiaTheme="minorEastAsia"/>
                <w:kern w:val="0"/>
                <w:szCs w:val="21"/>
                <w:lang w:bidi="ar"/>
              </w:rPr>
              <w:t>年</w:t>
            </w:r>
          </w:p>
        </w:tc>
        <w:tc>
          <w:tcPr>
            <w:tcW w:w="698" w:type="pct"/>
            <w:tcBorders>
              <w:top w:val="single" w:sz="4" w:space="0" w:color="000000"/>
              <w:left w:val="single" w:sz="4" w:space="0" w:color="000000"/>
              <w:bottom w:val="single" w:sz="4" w:space="0" w:color="000000"/>
              <w:right w:val="single" w:sz="4" w:space="0" w:color="000000"/>
            </w:tcBorders>
            <w:noWrap/>
            <w:vAlign w:val="center"/>
          </w:tcPr>
          <w:p w14:paraId="43DB6332" w14:textId="77777777" w:rsidR="00054437" w:rsidRPr="000549B1" w:rsidRDefault="00000000">
            <w:pPr>
              <w:widowControl/>
              <w:jc w:val="center"/>
              <w:textAlignment w:val="center"/>
              <w:rPr>
                <w:rFonts w:eastAsiaTheme="minorEastAsia"/>
                <w:szCs w:val="21"/>
              </w:rPr>
            </w:pPr>
            <w:r w:rsidRPr="000549B1">
              <w:rPr>
                <w:rFonts w:eastAsiaTheme="minorEastAsia"/>
                <w:kern w:val="0"/>
                <w:szCs w:val="21"/>
                <w:lang w:bidi="ar"/>
              </w:rPr>
              <w:t>440</w:t>
            </w:r>
          </w:p>
        </w:tc>
        <w:tc>
          <w:tcPr>
            <w:tcW w:w="739" w:type="pct"/>
            <w:tcBorders>
              <w:top w:val="single" w:sz="4" w:space="0" w:color="000000"/>
              <w:left w:val="single" w:sz="4" w:space="0" w:color="000000"/>
              <w:bottom w:val="single" w:sz="4" w:space="0" w:color="000000"/>
              <w:right w:val="single" w:sz="4" w:space="0" w:color="000000"/>
            </w:tcBorders>
            <w:noWrap/>
            <w:vAlign w:val="center"/>
          </w:tcPr>
          <w:p w14:paraId="52795CF0" w14:textId="77777777" w:rsidR="00054437" w:rsidRPr="000549B1" w:rsidRDefault="00000000">
            <w:pPr>
              <w:widowControl/>
              <w:jc w:val="center"/>
              <w:textAlignment w:val="center"/>
              <w:rPr>
                <w:rFonts w:eastAsiaTheme="minorEastAsia"/>
                <w:szCs w:val="21"/>
              </w:rPr>
            </w:pPr>
            <w:r w:rsidRPr="000549B1">
              <w:rPr>
                <w:rFonts w:eastAsiaTheme="minorEastAsia"/>
                <w:kern w:val="0"/>
                <w:szCs w:val="21"/>
                <w:lang w:bidi="ar"/>
              </w:rPr>
              <w:t>3</w:t>
            </w:r>
          </w:p>
        </w:tc>
        <w:tc>
          <w:tcPr>
            <w:tcW w:w="619" w:type="pct"/>
            <w:tcBorders>
              <w:top w:val="single" w:sz="4" w:space="0" w:color="000000"/>
              <w:left w:val="single" w:sz="4" w:space="0" w:color="000000"/>
              <w:bottom w:val="single" w:sz="4" w:space="0" w:color="000000"/>
              <w:right w:val="single" w:sz="4" w:space="0" w:color="000000"/>
            </w:tcBorders>
            <w:noWrap/>
            <w:vAlign w:val="center"/>
          </w:tcPr>
          <w:p w14:paraId="14EF52FC" w14:textId="77777777" w:rsidR="00054437" w:rsidRPr="000549B1" w:rsidRDefault="00000000">
            <w:pPr>
              <w:widowControl/>
              <w:jc w:val="center"/>
              <w:textAlignment w:val="center"/>
              <w:rPr>
                <w:rFonts w:eastAsiaTheme="minorEastAsia"/>
                <w:szCs w:val="21"/>
              </w:rPr>
            </w:pPr>
            <w:r w:rsidRPr="000549B1">
              <w:rPr>
                <w:rFonts w:eastAsiaTheme="minorEastAsia"/>
                <w:kern w:val="0"/>
                <w:szCs w:val="21"/>
                <w:lang w:bidi="ar"/>
              </w:rPr>
              <w:t>419</w:t>
            </w:r>
          </w:p>
        </w:tc>
        <w:tc>
          <w:tcPr>
            <w:tcW w:w="824" w:type="pct"/>
            <w:tcBorders>
              <w:top w:val="single" w:sz="4" w:space="0" w:color="000000"/>
              <w:left w:val="single" w:sz="4" w:space="0" w:color="000000"/>
              <w:bottom w:val="single" w:sz="4" w:space="0" w:color="000000"/>
              <w:right w:val="single" w:sz="4" w:space="0" w:color="000000"/>
            </w:tcBorders>
            <w:noWrap/>
            <w:vAlign w:val="center"/>
          </w:tcPr>
          <w:p w14:paraId="3C4F4153" w14:textId="77777777" w:rsidR="00054437" w:rsidRPr="000549B1" w:rsidRDefault="00000000">
            <w:pPr>
              <w:widowControl/>
              <w:jc w:val="center"/>
              <w:textAlignment w:val="center"/>
              <w:rPr>
                <w:rFonts w:eastAsiaTheme="minorEastAsia"/>
                <w:szCs w:val="21"/>
              </w:rPr>
            </w:pPr>
            <w:r w:rsidRPr="000549B1">
              <w:rPr>
                <w:rFonts w:eastAsiaTheme="minorEastAsia"/>
                <w:kern w:val="0"/>
                <w:szCs w:val="21"/>
                <w:lang w:bidi="ar"/>
              </w:rPr>
              <w:t>2229</w:t>
            </w:r>
          </w:p>
        </w:tc>
        <w:tc>
          <w:tcPr>
            <w:tcW w:w="688" w:type="pct"/>
            <w:tcBorders>
              <w:top w:val="single" w:sz="4" w:space="0" w:color="000000"/>
              <w:left w:val="single" w:sz="4" w:space="0" w:color="000000"/>
              <w:bottom w:val="single" w:sz="4" w:space="0" w:color="000000"/>
              <w:right w:val="single" w:sz="4" w:space="0" w:color="000000"/>
            </w:tcBorders>
            <w:noWrap/>
            <w:vAlign w:val="center"/>
          </w:tcPr>
          <w:p w14:paraId="4789D456" w14:textId="77777777" w:rsidR="00054437" w:rsidRPr="000549B1" w:rsidRDefault="00000000">
            <w:pPr>
              <w:widowControl/>
              <w:jc w:val="center"/>
              <w:textAlignment w:val="center"/>
              <w:rPr>
                <w:rFonts w:eastAsiaTheme="minorEastAsia"/>
                <w:szCs w:val="21"/>
              </w:rPr>
            </w:pPr>
            <w:r w:rsidRPr="000549B1">
              <w:rPr>
                <w:rFonts w:eastAsiaTheme="minorEastAsia"/>
                <w:kern w:val="0"/>
                <w:szCs w:val="21"/>
                <w:lang w:bidi="ar"/>
              </w:rPr>
              <w:t>0</w:t>
            </w:r>
          </w:p>
        </w:tc>
      </w:tr>
      <w:tr w:rsidR="000549B1" w:rsidRPr="000549B1" w14:paraId="563B0C79" w14:textId="77777777" w:rsidTr="00407DFF">
        <w:trPr>
          <w:trHeight w:val="270"/>
        </w:trPr>
        <w:tc>
          <w:tcPr>
            <w:tcW w:w="890" w:type="pct"/>
            <w:vMerge w:val="restart"/>
            <w:tcBorders>
              <w:top w:val="single" w:sz="4" w:space="0" w:color="000000"/>
              <w:left w:val="single" w:sz="4" w:space="0" w:color="000000"/>
              <w:bottom w:val="single" w:sz="4" w:space="0" w:color="000000"/>
              <w:right w:val="single" w:sz="4" w:space="0" w:color="000000"/>
            </w:tcBorders>
            <w:vAlign w:val="center"/>
          </w:tcPr>
          <w:p w14:paraId="5BA97187" w14:textId="77777777" w:rsidR="00054437" w:rsidRPr="000549B1" w:rsidRDefault="00000000">
            <w:pPr>
              <w:widowControl/>
              <w:jc w:val="center"/>
              <w:textAlignment w:val="center"/>
              <w:rPr>
                <w:rFonts w:eastAsiaTheme="minorEastAsia"/>
                <w:szCs w:val="21"/>
              </w:rPr>
            </w:pPr>
            <w:r w:rsidRPr="000549B1">
              <w:rPr>
                <w:rFonts w:eastAsiaTheme="minorEastAsia"/>
                <w:kern w:val="0"/>
                <w:szCs w:val="21"/>
                <w:lang w:bidi="ar"/>
              </w:rPr>
              <w:t>兴海县</w:t>
            </w:r>
          </w:p>
        </w:tc>
        <w:tc>
          <w:tcPr>
            <w:tcW w:w="542" w:type="pct"/>
            <w:tcBorders>
              <w:top w:val="single" w:sz="4" w:space="0" w:color="000000"/>
              <w:left w:val="single" w:sz="4" w:space="0" w:color="000000"/>
              <w:bottom w:val="single" w:sz="4" w:space="0" w:color="000000"/>
              <w:right w:val="single" w:sz="4" w:space="0" w:color="000000"/>
            </w:tcBorders>
            <w:noWrap/>
            <w:vAlign w:val="center"/>
          </w:tcPr>
          <w:p w14:paraId="0E752C13" w14:textId="77777777" w:rsidR="00054437" w:rsidRPr="000549B1" w:rsidRDefault="00000000">
            <w:pPr>
              <w:widowControl/>
              <w:jc w:val="center"/>
              <w:textAlignment w:val="center"/>
              <w:rPr>
                <w:rFonts w:eastAsiaTheme="minorEastAsia"/>
                <w:szCs w:val="21"/>
              </w:rPr>
            </w:pPr>
            <w:r w:rsidRPr="000549B1">
              <w:rPr>
                <w:rFonts w:eastAsiaTheme="minorEastAsia"/>
                <w:kern w:val="0"/>
                <w:szCs w:val="21"/>
                <w:lang w:bidi="ar"/>
              </w:rPr>
              <w:t>2020</w:t>
            </w:r>
            <w:r w:rsidRPr="000549B1">
              <w:rPr>
                <w:rFonts w:eastAsiaTheme="minorEastAsia"/>
                <w:kern w:val="0"/>
                <w:szCs w:val="21"/>
                <w:lang w:bidi="ar"/>
              </w:rPr>
              <w:t>年</w:t>
            </w:r>
          </w:p>
        </w:tc>
        <w:tc>
          <w:tcPr>
            <w:tcW w:w="698" w:type="pct"/>
            <w:tcBorders>
              <w:top w:val="single" w:sz="4" w:space="0" w:color="000000"/>
              <w:left w:val="single" w:sz="4" w:space="0" w:color="000000"/>
              <w:bottom w:val="single" w:sz="4" w:space="0" w:color="000000"/>
              <w:right w:val="single" w:sz="4" w:space="0" w:color="000000"/>
            </w:tcBorders>
            <w:noWrap/>
            <w:vAlign w:val="center"/>
          </w:tcPr>
          <w:p w14:paraId="40289B2F" w14:textId="77777777" w:rsidR="00054437" w:rsidRPr="000549B1" w:rsidRDefault="00000000">
            <w:pPr>
              <w:widowControl/>
              <w:jc w:val="center"/>
              <w:textAlignment w:val="center"/>
              <w:rPr>
                <w:rFonts w:eastAsiaTheme="minorEastAsia"/>
                <w:szCs w:val="21"/>
              </w:rPr>
            </w:pPr>
            <w:r w:rsidRPr="000549B1">
              <w:rPr>
                <w:rFonts w:eastAsiaTheme="minorEastAsia"/>
                <w:kern w:val="0"/>
                <w:szCs w:val="21"/>
                <w:lang w:bidi="ar"/>
              </w:rPr>
              <w:t>69.92</w:t>
            </w:r>
          </w:p>
        </w:tc>
        <w:tc>
          <w:tcPr>
            <w:tcW w:w="739" w:type="pct"/>
            <w:tcBorders>
              <w:top w:val="single" w:sz="4" w:space="0" w:color="000000"/>
              <w:left w:val="single" w:sz="4" w:space="0" w:color="000000"/>
              <w:bottom w:val="single" w:sz="4" w:space="0" w:color="000000"/>
              <w:right w:val="single" w:sz="4" w:space="0" w:color="000000"/>
            </w:tcBorders>
            <w:noWrap/>
            <w:vAlign w:val="center"/>
          </w:tcPr>
          <w:p w14:paraId="70D64272" w14:textId="77777777" w:rsidR="00054437" w:rsidRPr="000549B1" w:rsidRDefault="00000000">
            <w:pPr>
              <w:widowControl/>
              <w:jc w:val="center"/>
              <w:textAlignment w:val="center"/>
              <w:rPr>
                <w:rFonts w:eastAsiaTheme="minorEastAsia"/>
                <w:szCs w:val="21"/>
              </w:rPr>
            </w:pPr>
            <w:r w:rsidRPr="000549B1">
              <w:rPr>
                <w:rFonts w:eastAsiaTheme="minorEastAsia"/>
                <w:kern w:val="0"/>
                <w:szCs w:val="21"/>
                <w:lang w:bidi="ar"/>
              </w:rPr>
              <w:t>0.4</w:t>
            </w:r>
          </w:p>
        </w:tc>
        <w:tc>
          <w:tcPr>
            <w:tcW w:w="619" w:type="pct"/>
            <w:tcBorders>
              <w:top w:val="single" w:sz="4" w:space="0" w:color="000000"/>
              <w:left w:val="single" w:sz="4" w:space="0" w:color="000000"/>
              <w:bottom w:val="single" w:sz="4" w:space="0" w:color="000000"/>
              <w:right w:val="single" w:sz="4" w:space="0" w:color="000000"/>
            </w:tcBorders>
            <w:noWrap/>
            <w:vAlign w:val="center"/>
          </w:tcPr>
          <w:p w14:paraId="66C01097" w14:textId="77777777" w:rsidR="00054437" w:rsidRPr="000549B1" w:rsidRDefault="00000000">
            <w:pPr>
              <w:widowControl/>
              <w:jc w:val="center"/>
              <w:textAlignment w:val="center"/>
              <w:rPr>
                <w:rFonts w:eastAsiaTheme="minorEastAsia"/>
                <w:szCs w:val="21"/>
              </w:rPr>
            </w:pPr>
            <w:r w:rsidRPr="000549B1">
              <w:rPr>
                <w:rFonts w:eastAsiaTheme="minorEastAsia"/>
                <w:kern w:val="0"/>
                <w:szCs w:val="21"/>
                <w:lang w:bidi="ar"/>
              </w:rPr>
              <w:t>66.43</w:t>
            </w:r>
          </w:p>
        </w:tc>
        <w:tc>
          <w:tcPr>
            <w:tcW w:w="824" w:type="pct"/>
            <w:tcBorders>
              <w:top w:val="single" w:sz="4" w:space="0" w:color="000000"/>
              <w:left w:val="single" w:sz="4" w:space="0" w:color="000000"/>
              <w:bottom w:val="single" w:sz="4" w:space="0" w:color="000000"/>
              <w:right w:val="single" w:sz="4" w:space="0" w:color="000000"/>
            </w:tcBorders>
            <w:vAlign w:val="center"/>
          </w:tcPr>
          <w:p w14:paraId="71495063" w14:textId="77777777" w:rsidR="00054437" w:rsidRPr="000549B1" w:rsidRDefault="00000000">
            <w:pPr>
              <w:widowControl/>
              <w:jc w:val="center"/>
              <w:textAlignment w:val="center"/>
              <w:rPr>
                <w:rFonts w:eastAsiaTheme="minorEastAsia"/>
                <w:szCs w:val="21"/>
              </w:rPr>
            </w:pPr>
            <w:r w:rsidRPr="000549B1">
              <w:rPr>
                <w:rFonts w:eastAsiaTheme="minorEastAsia"/>
                <w:kern w:val="0"/>
                <w:szCs w:val="21"/>
                <w:lang w:bidi="ar"/>
              </w:rPr>
              <w:t>114.8</w:t>
            </w:r>
          </w:p>
        </w:tc>
        <w:tc>
          <w:tcPr>
            <w:tcW w:w="688" w:type="pct"/>
            <w:tcBorders>
              <w:top w:val="single" w:sz="4" w:space="0" w:color="000000"/>
              <w:left w:val="single" w:sz="4" w:space="0" w:color="000000"/>
              <w:bottom w:val="single" w:sz="4" w:space="0" w:color="000000"/>
              <w:right w:val="single" w:sz="4" w:space="0" w:color="000000"/>
            </w:tcBorders>
            <w:vAlign w:val="center"/>
          </w:tcPr>
          <w:p w14:paraId="249DD682" w14:textId="77777777" w:rsidR="00054437" w:rsidRPr="000549B1" w:rsidRDefault="00000000">
            <w:pPr>
              <w:widowControl/>
              <w:jc w:val="center"/>
              <w:textAlignment w:val="center"/>
              <w:rPr>
                <w:rFonts w:eastAsiaTheme="minorEastAsia"/>
                <w:szCs w:val="21"/>
              </w:rPr>
            </w:pPr>
            <w:r w:rsidRPr="000549B1">
              <w:rPr>
                <w:rFonts w:eastAsiaTheme="minorEastAsia"/>
                <w:kern w:val="0"/>
                <w:szCs w:val="21"/>
                <w:lang w:bidi="ar"/>
              </w:rPr>
              <w:t>0</w:t>
            </w:r>
          </w:p>
        </w:tc>
      </w:tr>
      <w:tr w:rsidR="000549B1" w:rsidRPr="000549B1" w14:paraId="5144FBC7" w14:textId="77777777" w:rsidTr="00407DFF">
        <w:trPr>
          <w:trHeight w:val="270"/>
        </w:trPr>
        <w:tc>
          <w:tcPr>
            <w:tcW w:w="890" w:type="pct"/>
            <w:vMerge/>
            <w:tcBorders>
              <w:top w:val="single" w:sz="4" w:space="0" w:color="000000"/>
              <w:left w:val="single" w:sz="4" w:space="0" w:color="000000"/>
              <w:bottom w:val="single" w:sz="4" w:space="0" w:color="000000"/>
              <w:right w:val="single" w:sz="4" w:space="0" w:color="000000"/>
            </w:tcBorders>
            <w:vAlign w:val="center"/>
          </w:tcPr>
          <w:p w14:paraId="325A503B" w14:textId="77777777" w:rsidR="00054437" w:rsidRPr="000549B1" w:rsidRDefault="00054437">
            <w:pPr>
              <w:jc w:val="center"/>
              <w:rPr>
                <w:rFonts w:eastAsiaTheme="minorEastAsia"/>
                <w:szCs w:val="21"/>
              </w:rPr>
            </w:pPr>
          </w:p>
        </w:tc>
        <w:tc>
          <w:tcPr>
            <w:tcW w:w="542" w:type="pct"/>
            <w:tcBorders>
              <w:top w:val="single" w:sz="4" w:space="0" w:color="000000"/>
              <w:left w:val="single" w:sz="4" w:space="0" w:color="000000"/>
              <w:bottom w:val="single" w:sz="4" w:space="0" w:color="000000"/>
              <w:right w:val="single" w:sz="4" w:space="0" w:color="000000"/>
            </w:tcBorders>
            <w:noWrap/>
            <w:vAlign w:val="center"/>
          </w:tcPr>
          <w:p w14:paraId="4DC4ABD8" w14:textId="77777777" w:rsidR="00054437" w:rsidRPr="000549B1" w:rsidRDefault="00000000">
            <w:pPr>
              <w:widowControl/>
              <w:jc w:val="center"/>
              <w:textAlignment w:val="center"/>
              <w:rPr>
                <w:rFonts w:eastAsiaTheme="minorEastAsia"/>
                <w:szCs w:val="21"/>
              </w:rPr>
            </w:pPr>
            <w:r w:rsidRPr="000549B1">
              <w:rPr>
                <w:rFonts w:eastAsiaTheme="minorEastAsia"/>
                <w:kern w:val="0"/>
                <w:szCs w:val="21"/>
                <w:lang w:bidi="ar"/>
              </w:rPr>
              <w:t>2021</w:t>
            </w:r>
            <w:r w:rsidRPr="000549B1">
              <w:rPr>
                <w:rFonts w:eastAsiaTheme="minorEastAsia"/>
                <w:kern w:val="0"/>
                <w:szCs w:val="21"/>
                <w:lang w:bidi="ar"/>
              </w:rPr>
              <w:t>年</w:t>
            </w:r>
          </w:p>
        </w:tc>
        <w:tc>
          <w:tcPr>
            <w:tcW w:w="698" w:type="pct"/>
            <w:tcBorders>
              <w:top w:val="single" w:sz="4" w:space="0" w:color="000000"/>
              <w:left w:val="single" w:sz="4" w:space="0" w:color="000000"/>
              <w:bottom w:val="single" w:sz="4" w:space="0" w:color="000000"/>
              <w:right w:val="single" w:sz="4" w:space="0" w:color="000000"/>
            </w:tcBorders>
            <w:noWrap/>
            <w:vAlign w:val="center"/>
          </w:tcPr>
          <w:p w14:paraId="0D015118" w14:textId="77777777" w:rsidR="00054437" w:rsidRPr="000549B1" w:rsidRDefault="00000000">
            <w:pPr>
              <w:widowControl/>
              <w:jc w:val="center"/>
              <w:textAlignment w:val="center"/>
              <w:rPr>
                <w:rFonts w:eastAsiaTheme="minorEastAsia"/>
                <w:szCs w:val="21"/>
              </w:rPr>
            </w:pPr>
            <w:r w:rsidRPr="000549B1">
              <w:rPr>
                <w:rFonts w:eastAsiaTheme="minorEastAsia"/>
                <w:kern w:val="0"/>
                <w:szCs w:val="21"/>
                <w:lang w:bidi="ar"/>
              </w:rPr>
              <w:t>89.98</w:t>
            </w:r>
          </w:p>
        </w:tc>
        <w:tc>
          <w:tcPr>
            <w:tcW w:w="739" w:type="pct"/>
            <w:tcBorders>
              <w:top w:val="single" w:sz="4" w:space="0" w:color="000000"/>
              <w:left w:val="single" w:sz="4" w:space="0" w:color="000000"/>
              <w:bottom w:val="single" w:sz="4" w:space="0" w:color="000000"/>
              <w:right w:val="single" w:sz="4" w:space="0" w:color="000000"/>
            </w:tcBorders>
            <w:noWrap/>
            <w:vAlign w:val="center"/>
          </w:tcPr>
          <w:p w14:paraId="0690AE1C" w14:textId="77777777" w:rsidR="00054437" w:rsidRPr="000549B1" w:rsidRDefault="00000000">
            <w:pPr>
              <w:widowControl/>
              <w:jc w:val="center"/>
              <w:textAlignment w:val="center"/>
              <w:rPr>
                <w:rFonts w:eastAsiaTheme="minorEastAsia"/>
                <w:szCs w:val="21"/>
              </w:rPr>
            </w:pPr>
            <w:r w:rsidRPr="000549B1">
              <w:rPr>
                <w:rFonts w:eastAsiaTheme="minorEastAsia"/>
                <w:kern w:val="0"/>
                <w:szCs w:val="21"/>
                <w:lang w:bidi="ar"/>
              </w:rPr>
              <w:t>0.4</w:t>
            </w:r>
          </w:p>
        </w:tc>
        <w:tc>
          <w:tcPr>
            <w:tcW w:w="619" w:type="pct"/>
            <w:tcBorders>
              <w:top w:val="single" w:sz="4" w:space="0" w:color="000000"/>
              <w:left w:val="single" w:sz="4" w:space="0" w:color="000000"/>
              <w:bottom w:val="single" w:sz="4" w:space="0" w:color="000000"/>
              <w:right w:val="single" w:sz="4" w:space="0" w:color="000000"/>
            </w:tcBorders>
            <w:noWrap/>
            <w:vAlign w:val="center"/>
          </w:tcPr>
          <w:p w14:paraId="777417F9" w14:textId="77777777" w:rsidR="00054437" w:rsidRPr="000549B1" w:rsidRDefault="00000000">
            <w:pPr>
              <w:widowControl/>
              <w:jc w:val="center"/>
              <w:textAlignment w:val="center"/>
              <w:rPr>
                <w:rFonts w:eastAsiaTheme="minorEastAsia"/>
                <w:szCs w:val="21"/>
              </w:rPr>
            </w:pPr>
            <w:r w:rsidRPr="000549B1">
              <w:rPr>
                <w:rFonts w:eastAsiaTheme="minorEastAsia"/>
                <w:kern w:val="0"/>
                <w:szCs w:val="21"/>
                <w:lang w:bidi="ar"/>
              </w:rPr>
              <w:t>83.68</w:t>
            </w:r>
          </w:p>
        </w:tc>
        <w:tc>
          <w:tcPr>
            <w:tcW w:w="824" w:type="pct"/>
            <w:tcBorders>
              <w:top w:val="single" w:sz="4" w:space="0" w:color="000000"/>
              <w:left w:val="single" w:sz="4" w:space="0" w:color="000000"/>
              <w:bottom w:val="single" w:sz="4" w:space="0" w:color="000000"/>
              <w:right w:val="single" w:sz="4" w:space="0" w:color="000000"/>
            </w:tcBorders>
            <w:noWrap/>
            <w:vAlign w:val="center"/>
          </w:tcPr>
          <w:p w14:paraId="3BC8A750" w14:textId="77777777" w:rsidR="00054437" w:rsidRPr="000549B1" w:rsidRDefault="00000000">
            <w:pPr>
              <w:widowControl/>
              <w:jc w:val="center"/>
              <w:textAlignment w:val="center"/>
              <w:rPr>
                <w:rFonts w:eastAsiaTheme="minorEastAsia"/>
                <w:szCs w:val="21"/>
              </w:rPr>
            </w:pPr>
            <w:r w:rsidRPr="000549B1">
              <w:rPr>
                <w:rFonts w:eastAsiaTheme="minorEastAsia"/>
                <w:kern w:val="0"/>
                <w:szCs w:val="21"/>
                <w:lang w:bidi="ar"/>
              </w:rPr>
              <w:t>156.2</w:t>
            </w:r>
          </w:p>
        </w:tc>
        <w:tc>
          <w:tcPr>
            <w:tcW w:w="688" w:type="pct"/>
            <w:tcBorders>
              <w:top w:val="single" w:sz="4" w:space="0" w:color="000000"/>
              <w:left w:val="single" w:sz="4" w:space="0" w:color="000000"/>
              <w:bottom w:val="single" w:sz="4" w:space="0" w:color="000000"/>
              <w:right w:val="single" w:sz="4" w:space="0" w:color="000000"/>
            </w:tcBorders>
            <w:noWrap/>
            <w:vAlign w:val="center"/>
          </w:tcPr>
          <w:p w14:paraId="1BC78BA5" w14:textId="77777777" w:rsidR="00054437" w:rsidRPr="000549B1" w:rsidRDefault="00000000">
            <w:pPr>
              <w:widowControl/>
              <w:jc w:val="center"/>
              <w:textAlignment w:val="center"/>
              <w:rPr>
                <w:rFonts w:eastAsiaTheme="minorEastAsia"/>
                <w:szCs w:val="21"/>
              </w:rPr>
            </w:pPr>
            <w:r w:rsidRPr="000549B1">
              <w:rPr>
                <w:rFonts w:eastAsiaTheme="minorEastAsia"/>
                <w:kern w:val="0"/>
                <w:szCs w:val="21"/>
                <w:lang w:bidi="ar"/>
              </w:rPr>
              <w:t>0</w:t>
            </w:r>
          </w:p>
        </w:tc>
      </w:tr>
      <w:tr w:rsidR="000549B1" w:rsidRPr="000549B1" w14:paraId="5A74C045" w14:textId="77777777" w:rsidTr="00407DFF">
        <w:trPr>
          <w:trHeight w:val="270"/>
        </w:trPr>
        <w:tc>
          <w:tcPr>
            <w:tcW w:w="890" w:type="pct"/>
            <w:vMerge/>
            <w:tcBorders>
              <w:top w:val="single" w:sz="4" w:space="0" w:color="000000"/>
              <w:left w:val="single" w:sz="4" w:space="0" w:color="000000"/>
              <w:bottom w:val="single" w:sz="4" w:space="0" w:color="000000"/>
              <w:right w:val="single" w:sz="4" w:space="0" w:color="000000"/>
            </w:tcBorders>
            <w:vAlign w:val="center"/>
          </w:tcPr>
          <w:p w14:paraId="5E7BDC08" w14:textId="77777777" w:rsidR="00054437" w:rsidRPr="000549B1" w:rsidRDefault="00054437">
            <w:pPr>
              <w:jc w:val="center"/>
              <w:rPr>
                <w:rFonts w:eastAsiaTheme="minorEastAsia"/>
                <w:szCs w:val="21"/>
              </w:rPr>
            </w:pPr>
          </w:p>
        </w:tc>
        <w:tc>
          <w:tcPr>
            <w:tcW w:w="542" w:type="pct"/>
            <w:tcBorders>
              <w:top w:val="single" w:sz="4" w:space="0" w:color="000000"/>
              <w:left w:val="single" w:sz="4" w:space="0" w:color="000000"/>
              <w:bottom w:val="single" w:sz="4" w:space="0" w:color="000000"/>
              <w:right w:val="single" w:sz="4" w:space="0" w:color="000000"/>
            </w:tcBorders>
            <w:noWrap/>
            <w:vAlign w:val="center"/>
          </w:tcPr>
          <w:p w14:paraId="50B4F779" w14:textId="77777777" w:rsidR="00054437" w:rsidRPr="000549B1" w:rsidRDefault="00000000">
            <w:pPr>
              <w:widowControl/>
              <w:jc w:val="center"/>
              <w:textAlignment w:val="center"/>
              <w:rPr>
                <w:rFonts w:eastAsiaTheme="minorEastAsia"/>
                <w:szCs w:val="21"/>
              </w:rPr>
            </w:pPr>
            <w:r w:rsidRPr="000549B1">
              <w:rPr>
                <w:rFonts w:eastAsiaTheme="minorEastAsia"/>
                <w:kern w:val="0"/>
                <w:szCs w:val="21"/>
                <w:lang w:bidi="ar"/>
              </w:rPr>
              <w:t>2022</w:t>
            </w:r>
            <w:r w:rsidRPr="000549B1">
              <w:rPr>
                <w:rFonts w:eastAsiaTheme="minorEastAsia"/>
                <w:kern w:val="0"/>
                <w:szCs w:val="21"/>
                <w:lang w:bidi="ar"/>
              </w:rPr>
              <w:t>年</w:t>
            </w:r>
          </w:p>
        </w:tc>
        <w:tc>
          <w:tcPr>
            <w:tcW w:w="698" w:type="pct"/>
            <w:tcBorders>
              <w:top w:val="single" w:sz="4" w:space="0" w:color="000000"/>
              <w:left w:val="single" w:sz="4" w:space="0" w:color="000000"/>
              <w:bottom w:val="single" w:sz="4" w:space="0" w:color="000000"/>
              <w:right w:val="single" w:sz="4" w:space="0" w:color="000000"/>
            </w:tcBorders>
            <w:noWrap/>
            <w:vAlign w:val="center"/>
          </w:tcPr>
          <w:p w14:paraId="4986AB42" w14:textId="77777777" w:rsidR="00054437" w:rsidRPr="000549B1" w:rsidRDefault="00000000">
            <w:pPr>
              <w:widowControl/>
              <w:jc w:val="center"/>
              <w:textAlignment w:val="center"/>
              <w:rPr>
                <w:rFonts w:eastAsiaTheme="minorEastAsia"/>
                <w:szCs w:val="21"/>
              </w:rPr>
            </w:pPr>
            <w:r w:rsidRPr="000549B1">
              <w:rPr>
                <w:rFonts w:eastAsiaTheme="minorEastAsia"/>
                <w:kern w:val="0"/>
                <w:szCs w:val="21"/>
                <w:lang w:bidi="ar"/>
              </w:rPr>
              <w:t>106.6</w:t>
            </w:r>
          </w:p>
        </w:tc>
        <w:tc>
          <w:tcPr>
            <w:tcW w:w="739" w:type="pct"/>
            <w:tcBorders>
              <w:top w:val="single" w:sz="4" w:space="0" w:color="000000"/>
              <w:left w:val="single" w:sz="4" w:space="0" w:color="000000"/>
              <w:bottom w:val="single" w:sz="4" w:space="0" w:color="000000"/>
              <w:right w:val="single" w:sz="4" w:space="0" w:color="000000"/>
            </w:tcBorders>
            <w:noWrap/>
            <w:vAlign w:val="center"/>
          </w:tcPr>
          <w:p w14:paraId="4E64D5B2" w14:textId="77777777" w:rsidR="00054437" w:rsidRPr="000549B1" w:rsidRDefault="00000000">
            <w:pPr>
              <w:widowControl/>
              <w:jc w:val="center"/>
              <w:textAlignment w:val="center"/>
              <w:rPr>
                <w:rFonts w:eastAsiaTheme="minorEastAsia"/>
                <w:szCs w:val="21"/>
              </w:rPr>
            </w:pPr>
            <w:r w:rsidRPr="000549B1">
              <w:rPr>
                <w:rFonts w:eastAsiaTheme="minorEastAsia"/>
                <w:kern w:val="0"/>
                <w:szCs w:val="21"/>
                <w:lang w:bidi="ar"/>
              </w:rPr>
              <w:t>0.4</w:t>
            </w:r>
          </w:p>
        </w:tc>
        <w:tc>
          <w:tcPr>
            <w:tcW w:w="619" w:type="pct"/>
            <w:tcBorders>
              <w:top w:val="single" w:sz="4" w:space="0" w:color="000000"/>
              <w:left w:val="single" w:sz="4" w:space="0" w:color="000000"/>
              <w:bottom w:val="single" w:sz="4" w:space="0" w:color="000000"/>
              <w:right w:val="single" w:sz="4" w:space="0" w:color="000000"/>
            </w:tcBorders>
            <w:noWrap/>
            <w:vAlign w:val="center"/>
          </w:tcPr>
          <w:p w14:paraId="0D66FBE3" w14:textId="77777777" w:rsidR="00054437" w:rsidRPr="000549B1" w:rsidRDefault="00000000">
            <w:pPr>
              <w:widowControl/>
              <w:jc w:val="center"/>
              <w:textAlignment w:val="center"/>
              <w:rPr>
                <w:rFonts w:eastAsiaTheme="minorEastAsia"/>
                <w:szCs w:val="21"/>
              </w:rPr>
            </w:pPr>
            <w:r w:rsidRPr="000549B1">
              <w:rPr>
                <w:rFonts w:eastAsiaTheme="minorEastAsia"/>
                <w:kern w:val="0"/>
                <w:szCs w:val="21"/>
                <w:lang w:bidi="ar"/>
              </w:rPr>
              <w:t>100.16</w:t>
            </w:r>
          </w:p>
        </w:tc>
        <w:tc>
          <w:tcPr>
            <w:tcW w:w="824" w:type="pct"/>
            <w:tcBorders>
              <w:top w:val="single" w:sz="4" w:space="0" w:color="000000"/>
              <w:left w:val="single" w:sz="4" w:space="0" w:color="000000"/>
              <w:bottom w:val="single" w:sz="4" w:space="0" w:color="000000"/>
              <w:right w:val="single" w:sz="4" w:space="0" w:color="000000"/>
            </w:tcBorders>
            <w:noWrap/>
            <w:vAlign w:val="center"/>
          </w:tcPr>
          <w:p w14:paraId="42D9EE5C" w14:textId="77777777" w:rsidR="00054437" w:rsidRPr="000549B1" w:rsidRDefault="00000000">
            <w:pPr>
              <w:widowControl/>
              <w:jc w:val="center"/>
              <w:textAlignment w:val="center"/>
              <w:rPr>
                <w:rFonts w:eastAsiaTheme="minorEastAsia"/>
                <w:szCs w:val="21"/>
              </w:rPr>
            </w:pPr>
            <w:r w:rsidRPr="000549B1">
              <w:rPr>
                <w:rFonts w:eastAsiaTheme="minorEastAsia"/>
                <w:kern w:val="0"/>
                <w:szCs w:val="21"/>
                <w:lang w:bidi="ar"/>
              </w:rPr>
              <w:t>96</w:t>
            </w:r>
          </w:p>
        </w:tc>
        <w:tc>
          <w:tcPr>
            <w:tcW w:w="688" w:type="pct"/>
            <w:tcBorders>
              <w:top w:val="single" w:sz="4" w:space="0" w:color="000000"/>
              <w:left w:val="single" w:sz="4" w:space="0" w:color="000000"/>
              <w:bottom w:val="single" w:sz="4" w:space="0" w:color="000000"/>
              <w:right w:val="single" w:sz="4" w:space="0" w:color="000000"/>
            </w:tcBorders>
            <w:noWrap/>
            <w:vAlign w:val="center"/>
          </w:tcPr>
          <w:p w14:paraId="3D9A106B" w14:textId="77777777" w:rsidR="00054437" w:rsidRPr="000549B1" w:rsidRDefault="00000000">
            <w:pPr>
              <w:widowControl/>
              <w:jc w:val="center"/>
              <w:textAlignment w:val="center"/>
              <w:rPr>
                <w:rFonts w:eastAsiaTheme="minorEastAsia"/>
                <w:szCs w:val="21"/>
              </w:rPr>
            </w:pPr>
            <w:r w:rsidRPr="000549B1">
              <w:rPr>
                <w:rFonts w:eastAsiaTheme="minorEastAsia"/>
                <w:kern w:val="0"/>
                <w:szCs w:val="21"/>
                <w:lang w:bidi="ar"/>
              </w:rPr>
              <w:t>0</w:t>
            </w:r>
          </w:p>
        </w:tc>
      </w:tr>
      <w:tr w:rsidR="000549B1" w:rsidRPr="000549B1" w14:paraId="2D2D324B" w14:textId="77777777" w:rsidTr="00407DFF">
        <w:trPr>
          <w:trHeight w:val="270"/>
        </w:trPr>
        <w:tc>
          <w:tcPr>
            <w:tcW w:w="890" w:type="pct"/>
            <w:vMerge/>
            <w:tcBorders>
              <w:top w:val="single" w:sz="4" w:space="0" w:color="000000"/>
              <w:left w:val="single" w:sz="4" w:space="0" w:color="000000"/>
              <w:bottom w:val="single" w:sz="4" w:space="0" w:color="000000"/>
              <w:right w:val="single" w:sz="4" w:space="0" w:color="000000"/>
            </w:tcBorders>
            <w:vAlign w:val="center"/>
          </w:tcPr>
          <w:p w14:paraId="4C010A61" w14:textId="77777777" w:rsidR="00054437" w:rsidRPr="000549B1" w:rsidRDefault="00054437">
            <w:pPr>
              <w:jc w:val="center"/>
              <w:rPr>
                <w:rFonts w:eastAsiaTheme="minorEastAsia"/>
                <w:szCs w:val="21"/>
              </w:rPr>
            </w:pPr>
          </w:p>
        </w:tc>
        <w:tc>
          <w:tcPr>
            <w:tcW w:w="542" w:type="pct"/>
            <w:tcBorders>
              <w:top w:val="single" w:sz="4" w:space="0" w:color="000000"/>
              <w:left w:val="single" w:sz="4" w:space="0" w:color="000000"/>
              <w:bottom w:val="single" w:sz="4" w:space="0" w:color="000000"/>
              <w:right w:val="single" w:sz="4" w:space="0" w:color="000000"/>
            </w:tcBorders>
            <w:noWrap/>
            <w:vAlign w:val="center"/>
          </w:tcPr>
          <w:p w14:paraId="5EF819FB" w14:textId="77777777" w:rsidR="00054437" w:rsidRPr="000549B1" w:rsidRDefault="00000000">
            <w:pPr>
              <w:widowControl/>
              <w:jc w:val="center"/>
              <w:textAlignment w:val="center"/>
              <w:rPr>
                <w:rFonts w:eastAsiaTheme="minorEastAsia"/>
                <w:szCs w:val="21"/>
              </w:rPr>
            </w:pPr>
            <w:r w:rsidRPr="000549B1">
              <w:rPr>
                <w:rFonts w:eastAsiaTheme="minorEastAsia"/>
                <w:kern w:val="0"/>
                <w:szCs w:val="21"/>
                <w:lang w:bidi="ar"/>
              </w:rPr>
              <w:t>2023</w:t>
            </w:r>
            <w:r w:rsidRPr="000549B1">
              <w:rPr>
                <w:rFonts w:eastAsiaTheme="minorEastAsia"/>
                <w:kern w:val="0"/>
                <w:szCs w:val="21"/>
                <w:lang w:bidi="ar"/>
              </w:rPr>
              <w:t>年</w:t>
            </w:r>
          </w:p>
        </w:tc>
        <w:tc>
          <w:tcPr>
            <w:tcW w:w="698" w:type="pct"/>
            <w:tcBorders>
              <w:top w:val="single" w:sz="4" w:space="0" w:color="000000"/>
              <w:left w:val="single" w:sz="4" w:space="0" w:color="000000"/>
              <w:bottom w:val="single" w:sz="4" w:space="0" w:color="000000"/>
              <w:right w:val="single" w:sz="4" w:space="0" w:color="000000"/>
            </w:tcBorders>
            <w:noWrap/>
            <w:vAlign w:val="center"/>
          </w:tcPr>
          <w:p w14:paraId="6F099DDA" w14:textId="77777777" w:rsidR="00054437" w:rsidRPr="000549B1" w:rsidRDefault="00000000">
            <w:pPr>
              <w:widowControl/>
              <w:jc w:val="center"/>
              <w:textAlignment w:val="center"/>
              <w:rPr>
                <w:rFonts w:eastAsiaTheme="minorEastAsia"/>
                <w:szCs w:val="21"/>
              </w:rPr>
            </w:pPr>
            <w:r w:rsidRPr="000549B1">
              <w:rPr>
                <w:rFonts w:eastAsiaTheme="minorEastAsia"/>
                <w:kern w:val="0"/>
                <w:szCs w:val="21"/>
                <w:lang w:bidi="ar"/>
              </w:rPr>
              <w:t>99.55</w:t>
            </w:r>
          </w:p>
        </w:tc>
        <w:tc>
          <w:tcPr>
            <w:tcW w:w="739" w:type="pct"/>
            <w:tcBorders>
              <w:top w:val="single" w:sz="4" w:space="0" w:color="000000"/>
              <w:left w:val="single" w:sz="4" w:space="0" w:color="000000"/>
              <w:bottom w:val="single" w:sz="4" w:space="0" w:color="000000"/>
              <w:right w:val="single" w:sz="4" w:space="0" w:color="000000"/>
            </w:tcBorders>
            <w:noWrap/>
            <w:vAlign w:val="center"/>
          </w:tcPr>
          <w:p w14:paraId="5EF9B512" w14:textId="77777777" w:rsidR="00054437" w:rsidRPr="000549B1" w:rsidRDefault="00000000">
            <w:pPr>
              <w:widowControl/>
              <w:jc w:val="center"/>
              <w:textAlignment w:val="center"/>
              <w:rPr>
                <w:rFonts w:eastAsiaTheme="minorEastAsia"/>
                <w:szCs w:val="21"/>
              </w:rPr>
            </w:pPr>
            <w:r w:rsidRPr="000549B1">
              <w:rPr>
                <w:rFonts w:eastAsiaTheme="minorEastAsia"/>
                <w:kern w:val="0"/>
                <w:szCs w:val="21"/>
                <w:lang w:bidi="ar"/>
              </w:rPr>
              <w:t>0.4</w:t>
            </w:r>
          </w:p>
        </w:tc>
        <w:tc>
          <w:tcPr>
            <w:tcW w:w="619" w:type="pct"/>
            <w:tcBorders>
              <w:top w:val="single" w:sz="4" w:space="0" w:color="000000"/>
              <w:left w:val="single" w:sz="4" w:space="0" w:color="000000"/>
              <w:bottom w:val="single" w:sz="4" w:space="0" w:color="000000"/>
              <w:right w:val="single" w:sz="4" w:space="0" w:color="000000"/>
            </w:tcBorders>
            <w:noWrap/>
            <w:vAlign w:val="center"/>
          </w:tcPr>
          <w:p w14:paraId="2CA45D90" w14:textId="77777777" w:rsidR="00054437" w:rsidRPr="000549B1" w:rsidRDefault="00000000">
            <w:pPr>
              <w:widowControl/>
              <w:jc w:val="center"/>
              <w:textAlignment w:val="center"/>
              <w:rPr>
                <w:rFonts w:eastAsiaTheme="minorEastAsia"/>
                <w:szCs w:val="21"/>
              </w:rPr>
            </w:pPr>
            <w:r w:rsidRPr="000549B1">
              <w:rPr>
                <w:rFonts w:eastAsiaTheme="minorEastAsia"/>
                <w:kern w:val="0"/>
                <w:szCs w:val="21"/>
                <w:lang w:bidi="ar"/>
              </w:rPr>
              <w:t>92.05</w:t>
            </w:r>
          </w:p>
        </w:tc>
        <w:tc>
          <w:tcPr>
            <w:tcW w:w="824" w:type="pct"/>
            <w:tcBorders>
              <w:top w:val="single" w:sz="4" w:space="0" w:color="000000"/>
              <w:left w:val="single" w:sz="4" w:space="0" w:color="000000"/>
              <w:bottom w:val="single" w:sz="4" w:space="0" w:color="000000"/>
              <w:right w:val="single" w:sz="4" w:space="0" w:color="000000"/>
            </w:tcBorders>
            <w:noWrap/>
            <w:vAlign w:val="center"/>
          </w:tcPr>
          <w:p w14:paraId="38A637FA" w14:textId="77777777" w:rsidR="00054437" w:rsidRPr="000549B1" w:rsidRDefault="00000000">
            <w:pPr>
              <w:widowControl/>
              <w:jc w:val="center"/>
              <w:textAlignment w:val="center"/>
              <w:rPr>
                <w:rFonts w:eastAsiaTheme="minorEastAsia"/>
                <w:szCs w:val="21"/>
              </w:rPr>
            </w:pPr>
            <w:r w:rsidRPr="000549B1">
              <w:rPr>
                <w:rFonts w:eastAsiaTheme="minorEastAsia"/>
                <w:kern w:val="0"/>
                <w:szCs w:val="21"/>
                <w:lang w:bidi="ar"/>
              </w:rPr>
              <w:t>98</w:t>
            </w:r>
          </w:p>
        </w:tc>
        <w:tc>
          <w:tcPr>
            <w:tcW w:w="688" w:type="pct"/>
            <w:tcBorders>
              <w:top w:val="single" w:sz="4" w:space="0" w:color="000000"/>
              <w:left w:val="single" w:sz="4" w:space="0" w:color="000000"/>
              <w:bottom w:val="single" w:sz="4" w:space="0" w:color="000000"/>
              <w:right w:val="single" w:sz="4" w:space="0" w:color="000000"/>
            </w:tcBorders>
            <w:noWrap/>
            <w:vAlign w:val="center"/>
          </w:tcPr>
          <w:p w14:paraId="5BBE436A" w14:textId="77777777" w:rsidR="00054437" w:rsidRPr="000549B1" w:rsidRDefault="00000000">
            <w:pPr>
              <w:widowControl/>
              <w:jc w:val="center"/>
              <w:textAlignment w:val="center"/>
              <w:rPr>
                <w:rFonts w:eastAsiaTheme="minorEastAsia"/>
                <w:szCs w:val="21"/>
              </w:rPr>
            </w:pPr>
            <w:r w:rsidRPr="000549B1">
              <w:rPr>
                <w:rFonts w:eastAsiaTheme="minorEastAsia"/>
                <w:kern w:val="0"/>
                <w:szCs w:val="21"/>
                <w:lang w:bidi="ar"/>
              </w:rPr>
              <w:t>0</w:t>
            </w:r>
          </w:p>
        </w:tc>
      </w:tr>
      <w:tr w:rsidR="000549B1" w:rsidRPr="000549B1" w14:paraId="2E86C1E7" w14:textId="77777777" w:rsidTr="00407DFF">
        <w:trPr>
          <w:trHeight w:val="270"/>
        </w:trPr>
        <w:tc>
          <w:tcPr>
            <w:tcW w:w="890" w:type="pct"/>
            <w:vMerge/>
            <w:tcBorders>
              <w:top w:val="single" w:sz="4" w:space="0" w:color="000000"/>
              <w:left w:val="single" w:sz="4" w:space="0" w:color="000000"/>
              <w:bottom w:val="single" w:sz="4" w:space="0" w:color="000000"/>
              <w:right w:val="single" w:sz="4" w:space="0" w:color="000000"/>
            </w:tcBorders>
            <w:vAlign w:val="center"/>
          </w:tcPr>
          <w:p w14:paraId="39EF3998" w14:textId="77777777" w:rsidR="00054437" w:rsidRPr="000549B1" w:rsidRDefault="00054437">
            <w:pPr>
              <w:jc w:val="center"/>
              <w:rPr>
                <w:rFonts w:eastAsiaTheme="minorEastAsia"/>
                <w:szCs w:val="21"/>
              </w:rPr>
            </w:pPr>
          </w:p>
        </w:tc>
        <w:tc>
          <w:tcPr>
            <w:tcW w:w="542" w:type="pct"/>
            <w:tcBorders>
              <w:top w:val="single" w:sz="4" w:space="0" w:color="000000"/>
              <w:left w:val="single" w:sz="4" w:space="0" w:color="000000"/>
              <w:bottom w:val="single" w:sz="4" w:space="0" w:color="000000"/>
              <w:right w:val="single" w:sz="4" w:space="0" w:color="000000"/>
            </w:tcBorders>
            <w:noWrap/>
            <w:vAlign w:val="center"/>
          </w:tcPr>
          <w:p w14:paraId="29814799" w14:textId="77777777" w:rsidR="00054437" w:rsidRPr="000549B1" w:rsidRDefault="00000000">
            <w:pPr>
              <w:widowControl/>
              <w:jc w:val="center"/>
              <w:textAlignment w:val="center"/>
              <w:rPr>
                <w:rFonts w:eastAsiaTheme="minorEastAsia"/>
                <w:szCs w:val="21"/>
              </w:rPr>
            </w:pPr>
            <w:r w:rsidRPr="000549B1">
              <w:rPr>
                <w:rFonts w:eastAsiaTheme="minorEastAsia"/>
                <w:kern w:val="0"/>
                <w:szCs w:val="21"/>
                <w:lang w:bidi="ar"/>
              </w:rPr>
              <w:t>2024</w:t>
            </w:r>
            <w:r w:rsidRPr="000549B1">
              <w:rPr>
                <w:rFonts w:eastAsiaTheme="minorEastAsia"/>
                <w:kern w:val="0"/>
                <w:szCs w:val="21"/>
                <w:lang w:bidi="ar"/>
              </w:rPr>
              <w:t>年</w:t>
            </w:r>
          </w:p>
        </w:tc>
        <w:tc>
          <w:tcPr>
            <w:tcW w:w="698" w:type="pct"/>
            <w:tcBorders>
              <w:top w:val="single" w:sz="4" w:space="0" w:color="000000"/>
              <w:left w:val="single" w:sz="4" w:space="0" w:color="000000"/>
              <w:bottom w:val="single" w:sz="4" w:space="0" w:color="000000"/>
              <w:right w:val="single" w:sz="4" w:space="0" w:color="000000"/>
            </w:tcBorders>
            <w:noWrap/>
            <w:vAlign w:val="center"/>
          </w:tcPr>
          <w:p w14:paraId="5FA48814" w14:textId="77777777" w:rsidR="00054437" w:rsidRPr="000549B1" w:rsidRDefault="00000000">
            <w:pPr>
              <w:widowControl/>
              <w:jc w:val="center"/>
              <w:textAlignment w:val="center"/>
              <w:rPr>
                <w:rFonts w:eastAsiaTheme="minorEastAsia"/>
                <w:szCs w:val="21"/>
              </w:rPr>
            </w:pPr>
            <w:r w:rsidRPr="000549B1">
              <w:rPr>
                <w:rFonts w:eastAsiaTheme="minorEastAsia"/>
                <w:kern w:val="0"/>
                <w:szCs w:val="21"/>
                <w:lang w:bidi="ar"/>
              </w:rPr>
              <w:t>112</w:t>
            </w:r>
          </w:p>
        </w:tc>
        <w:tc>
          <w:tcPr>
            <w:tcW w:w="739" w:type="pct"/>
            <w:tcBorders>
              <w:top w:val="single" w:sz="4" w:space="0" w:color="000000"/>
              <w:left w:val="single" w:sz="4" w:space="0" w:color="000000"/>
              <w:bottom w:val="single" w:sz="4" w:space="0" w:color="000000"/>
              <w:right w:val="single" w:sz="4" w:space="0" w:color="000000"/>
            </w:tcBorders>
            <w:noWrap/>
            <w:vAlign w:val="center"/>
          </w:tcPr>
          <w:p w14:paraId="46055CC1" w14:textId="77777777" w:rsidR="00054437" w:rsidRPr="000549B1" w:rsidRDefault="00000000">
            <w:pPr>
              <w:widowControl/>
              <w:jc w:val="center"/>
              <w:textAlignment w:val="center"/>
              <w:rPr>
                <w:rFonts w:eastAsiaTheme="minorEastAsia"/>
                <w:szCs w:val="21"/>
              </w:rPr>
            </w:pPr>
            <w:r w:rsidRPr="000549B1">
              <w:rPr>
                <w:rFonts w:eastAsiaTheme="minorEastAsia"/>
                <w:kern w:val="0"/>
                <w:szCs w:val="21"/>
                <w:lang w:bidi="ar"/>
              </w:rPr>
              <w:t>0.4</w:t>
            </w:r>
          </w:p>
        </w:tc>
        <w:tc>
          <w:tcPr>
            <w:tcW w:w="619" w:type="pct"/>
            <w:tcBorders>
              <w:top w:val="single" w:sz="4" w:space="0" w:color="000000"/>
              <w:left w:val="single" w:sz="4" w:space="0" w:color="000000"/>
              <w:bottom w:val="single" w:sz="4" w:space="0" w:color="000000"/>
              <w:right w:val="single" w:sz="4" w:space="0" w:color="000000"/>
            </w:tcBorders>
            <w:noWrap/>
            <w:vAlign w:val="center"/>
          </w:tcPr>
          <w:p w14:paraId="56C42AC2" w14:textId="77777777" w:rsidR="00054437" w:rsidRPr="000549B1" w:rsidRDefault="00000000">
            <w:pPr>
              <w:widowControl/>
              <w:jc w:val="center"/>
              <w:textAlignment w:val="center"/>
              <w:rPr>
                <w:rFonts w:eastAsiaTheme="minorEastAsia"/>
                <w:szCs w:val="21"/>
              </w:rPr>
            </w:pPr>
            <w:r w:rsidRPr="000549B1">
              <w:rPr>
                <w:rFonts w:eastAsiaTheme="minorEastAsia"/>
                <w:kern w:val="0"/>
                <w:szCs w:val="21"/>
                <w:lang w:bidi="ar"/>
              </w:rPr>
              <w:t>105</w:t>
            </w:r>
          </w:p>
        </w:tc>
        <w:tc>
          <w:tcPr>
            <w:tcW w:w="824" w:type="pct"/>
            <w:tcBorders>
              <w:top w:val="single" w:sz="4" w:space="0" w:color="000000"/>
              <w:left w:val="single" w:sz="4" w:space="0" w:color="000000"/>
              <w:bottom w:val="single" w:sz="4" w:space="0" w:color="000000"/>
              <w:right w:val="single" w:sz="4" w:space="0" w:color="000000"/>
            </w:tcBorders>
            <w:noWrap/>
            <w:vAlign w:val="center"/>
          </w:tcPr>
          <w:p w14:paraId="3EA93BBA" w14:textId="77777777" w:rsidR="00054437" w:rsidRPr="000549B1" w:rsidRDefault="00000000">
            <w:pPr>
              <w:widowControl/>
              <w:jc w:val="center"/>
              <w:textAlignment w:val="center"/>
              <w:rPr>
                <w:rFonts w:eastAsiaTheme="minorEastAsia"/>
                <w:szCs w:val="21"/>
              </w:rPr>
            </w:pPr>
            <w:r w:rsidRPr="000549B1">
              <w:rPr>
                <w:rFonts w:eastAsiaTheme="minorEastAsia"/>
                <w:kern w:val="0"/>
                <w:szCs w:val="21"/>
                <w:lang w:bidi="ar"/>
              </w:rPr>
              <w:t>164</w:t>
            </w:r>
          </w:p>
        </w:tc>
        <w:tc>
          <w:tcPr>
            <w:tcW w:w="688" w:type="pct"/>
            <w:tcBorders>
              <w:top w:val="single" w:sz="4" w:space="0" w:color="000000"/>
              <w:left w:val="single" w:sz="4" w:space="0" w:color="000000"/>
              <w:bottom w:val="single" w:sz="4" w:space="0" w:color="000000"/>
              <w:right w:val="single" w:sz="4" w:space="0" w:color="000000"/>
            </w:tcBorders>
            <w:noWrap/>
            <w:vAlign w:val="center"/>
          </w:tcPr>
          <w:p w14:paraId="7D6533F2" w14:textId="77777777" w:rsidR="00054437" w:rsidRPr="000549B1" w:rsidRDefault="00000000">
            <w:pPr>
              <w:widowControl/>
              <w:jc w:val="center"/>
              <w:textAlignment w:val="center"/>
              <w:rPr>
                <w:rFonts w:eastAsiaTheme="minorEastAsia"/>
                <w:szCs w:val="21"/>
              </w:rPr>
            </w:pPr>
            <w:r w:rsidRPr="000549B1">
              <w:rPr>
                <w:rFonts w:eastAsiaTheme="minorEastAsia"/>
                <w:kern w:val="0"/>
                <w:szCs w:val="21"/>
                <w:lang w:bidi="ar"/>
              </w:rPr>
              <w:t>0</w:t>
            </w:r>
          </w:p>
        </w:tc>
      </w:tr>
    </w:tbl>
    <w:p w14:paraId="2911CAB9" w14:textId="77777777" w:rsidR="00054437" w:rsidRPr="000549B1" w:rsidRDefault="00054437"/>
    <w:p w14:paraId="2A9AE311" w14:textId="483A2239" w:rsidR="00054437" w:rsidRPr="000549B1" w:rsidRDefault="00000000">
      <w:pPr>
        <w:pStyle w:val="aff8"/>
        <w:rPr>
          <w:color w:val="auto"/>
        </w:rPr>
      </w:pPr>
      <w:r w:rsidRPr="000549B1">
        <w:rPr>
          <w:color w:val="auto"/>
        </w:rPr>
        <w:t>表</w:t>
      </w:r>
      <w:r w:rsidR="00372953">
        <w:rPr>
          <w:color w:val="auto"/>
        </w:rPr>
        <w:fldChar w:fldCharType="begin"/>
      </w:r>
      <w:r w:rsidR="00372953">
        <w:rPr>
          <w:color w:val="auto"/>
        </w:rPr>
        <w:instrText xml:space="preserve"> STYLEREF 2 \s </w:instrText>
      </w:r>
      <w:r w:rsidR="00372953">
        <w:rPr>
          <w:color w:val="auto"/>
        </w:rPr>
        <w:fldChar w:fldCharType="separate"/>
      </w:r>
      <w:r w:rsidR="00372953">
        <w:rPr>
          <w:noProof/>
          <w:color w:val="auto"/>
        </w:rPr>
        <w:t>3.3</w:t>
      </w:r>
      <w:r w:rsidR="00372953">
        <w:rPr>
          <w:color w:val="auto"/>
        </w:rPr>
        <w:fldChar w:fldCharType="end"/>
      </w:r>
      <w:r w:rsidR="00372953">
        <w:rPr>
          <w:color w:val="auto"/>
        </w:rPr>
        <w:noBreakHyphen/>
      </w:r>
      <w:r w:rsidR="00372953">
        <w:rPr>
          <w:color w:val="auto"/>
        </w:rPr>
        <w:fldChar w:fldCharType="begin"/>
      </w:r>
      <w:r w:rsidR="00372953">
        <w:rPr>
          <w:color w:val="auto"/>
        </w:rPr>
        <w:instrText xml:space="preserve"> SEQ </w:instrText>
      </w:r>
      <w:r w:rsidR="00372953">
        <w:rPr>
          <w:color w:val="auto"/>
        </w:rPr>
        <w:instrText>表</w:instrText>
      </w:r>
      <w:r w:rsidR="00372953">
        <w:rPr>
          <w:color w:val="auto"/>
        </w:rPr>
        <w:instrText xml:space="preserve"> \* ARABIC \s 2 </w:instrText>
      </w:r>
      <w:r w:rsidR="00372953">
        <w:rPr>
          <w:color w:val="auto"/>
        </w:rPr>
        <w:fldChar w:fldCharType="separate"/>
      </w:r>
      <w:r w:rsidR="00372953">
        <w:rPr>
          <w:noProof/>
          <w:color w:val="auto"/>
        </w:rPr>
        <w:t>4</w:t>
      </w:r>
      <w:r w:rsidR="00372953">
        <w:rPr>
          <w:color w:val="auto"/>
        </w:rPr>
        <w:fldChar w:fldCharType="end"/>
      </w:r>
      <w:r w:rsidR="00407DFF" w:rsidRPr="00407DFF">
        <w:rPr>
          <w:rFonts w:hint="eastAsia"/>
          <w:color w:val="auto"/>
        </w:rPr>
        <w:t>共和县、兴海县主要污染物排放总量统计表</w:t>
      </w:r>
      <w:r w:rsidR="00407DFF" w:rsidRPr="00407DFF">
        <w:rPr>
          <w:rFonts w:hint="eastAsia"/>
          <w:color w:val="auto"/>
        </w:rPr>
        <w:t xml:space="preserve">   </w:t>
      </w:r>
      <w:r w:rsidR="00407DFF" w:rsidRPr="00407DFF">
        <w:rPr>
          <w:rFonts w:hint="eastAsia"/>
          <w:color w:val="auto"/>
        </w:rPr>
        <w:t>单位：吨</w:t>
      </w:r>
    </w:p>
    <w:tbl>
      <w:tblPr>
        <w:tblW w:w="4998" w:type="pct"/>
        <w:tblLook w:val="04A0" w:firstRow="1" w:lastRow="0" w:firstColumn="1" w:lastColumn="0" w:noHBand="0" w:noVBand="1"/>
      </w:tblPr>
      <w:tblGrid>
        <w:gridCol w:w="2189"/>
        <w:gridCol w:w="1332"/>
        <w:gridCol w:w="1878"/>
        <w:gridCol w:w="1874"/>
        <w:gridCol w:w="1020"/>
      </w:tblGrid>
      <w:tr w:rsidR="000549B1" w:rsidRPr="000549B1" w14:paraId="522448EF" w14:textId="77777777" w:rsidTr="00407DFF">
        <w:trPr>
          <w:trHeight w:val="270"/>
        </w:trPr>
        <w:tc>
          <w:tcPr>
            <w:tcW w:w="3255" w:type="pct"/>
            <w:gridSpan w:val="3"/>
            <w:tcBorders>
              <w:top w:val="single" w:sz="4" w:space="0" w:color="000000"/>
              <w:left w:val="single" w:sz="4" w:space="0" w:color="000000"/>
              <w:bottom w:val="single" w:sz="4" w:space="0" w:color="000000"/>
              <w:right w:val="single" w:sz="4" w:space="0" w:color="000000"/>
            </w:tcBorders>
            <w:noWrap/>
            <w:vAlign w:val="bottom"/>
          </w:tcPr>
          <w:p w14:paraId="1305BE13" w14:textId="77777777" w:rsidR="00054437" w:rsidRPr="000549B1" w:rsidRDefault="00000000">
            <w:pPr>
              <w:widowControl/>
              <w:jc w:val="center"/>
              <w:textAlignment w:val="bottom"/>
              <w:rPr>
                <w:b/>
                <w:bCs/>
                <w:szCs w:val="21"/>
              </w:rPr>
            </w:pPr>
            <w:r w:rsidRPr="000549B1">
              <w:rPr>
                <w:b/>
                <w:bCs/>
                <w:kern w:val="0"/>
                <w:szCs w:val="21"/>
                <w:lang w:bidi="ar"/>
              </w:rPr>
              <w:t>主要污染物排放总量</w:t>
            </w:r>
          </w:p>
        </w:tc>
        <w:tc>
          <w:tcPr>
            <w:tcW w:w="1130" w:type="pct"/>
            <w:tcBorders>
              <w:top w:val="single" w:sz="4" w:space="0" w:color="000000"/>
              <w:left w:val="single" w:sz="4" w:space="0" w:color="000000"/>
              <w:bottom w:val="single" w:sz="4" w:space="0" w:color="000000"/>
              <w:right w:val="single" w:sz="4" w:space="0" w:color="000000"/>
            </w:tcBorders>
            <w:noWrap/>
            <w:vAlign w:val="bottom"/>
          </w:tcPr>
          <w:p w14:paraId="5E598989" w14:textId="77777777" w:rsidR="00054437" w:rsidRPr="000549B1" w:rsidRDefault="00000000">
            <w:pPr>
              <w:widowControl/>
              <w:jc w:val="center"/>
              <w:textAlignment w:val="bottom"/>
              <w:rPr>
                <w:b/>
                <w:bCs/>
                <w:szCs w:val="21"/>
              </w:rPr>
            </w:pPr>
            <w:r w:rsidRPr="000549B1">
              <w:rPr>
                <w:b/>
                <w:bCs/>
                <w:kern w:val="0"/>
                <w:szCs w:val="21"/>
                <w:lang w:bidi="ar"/>
              </w:rPr>
              <w:t>COD</w:t>
            </w:r>
          </w:p>
        </w:tc>
        <w:tc>
          <w:tcPr>
            <w:tcW w:w="615" w:type="pct"/>
            <w:tcBorders>
              <w:top w:val="single" w:sz="4" w:space="0" w:color="000000"/>
              <w:left w:val="single" w:sz="4" w:space="0" w:color="000000"/>
              <w:bottom w:val="single" w:sz="4" w:space="0" w:color="000000"/>
              <w:right w:val="single" w:sz="4" w:space="0" w:color="000000"/>
            </w:tcBorders>
            <w:noWrap/>
            <w:vAlign w:val="bottom"/>
          </w:tcPr>
          <w:p w14:paraId="2BFE342C" w14:textId="77777777" w:rsidR="00054437" w:rsidRPr="000549B1" w:rsidRDefault="00000000">
            <w:pPr>
              <w:widowControl/>
              <w:jc w:val="center"/>
              <w:textAlignment w:val="bottom"/>
              <w:rPr>
                <w:b/>
                <w:bCs/>
                <w:szCs w:val="21"/>
              </w:rPr>
            </w:pPr>
            <w:r w:rsidRPr="000549B1">
              <w:rPr>
                <w:b/>
                <w:bCs/>
                <w:kern w:val="0"/>
                <w:szCs w:val="21"/>
                <w:lang w:bidi="ar"/>
              </w:rPr>
              <w:t>氨氮</w:t>
            </w:r>
          </w:p>
        </w:tc>
      </w:tr>
      <w:tr w:rsidR="000549B1" w:rsidRPr="000549B1" w14:paraId="3FC8BF49" w14:textId="77777777" w:rsidTr="00407DFF">
        <w:trPr>
          <w:trHeight w:val="270"/>
        </w:trPr>
        <w:tc>
          <w:tcPr>
            <w:tcW w:w="1320" w:type="pct"/>
            <w:vMerge w:val="restart"/>
            <w:tcBorders>
              <w:top w:val="single" w:sz="4" w:space="0" w:color="000000"/>
              <w:left w:val="single" w:sz="4" w:space="0" w:color="000000"/>
              <w:bottom w:val="single" w:sz="4" w:space="0" w:color="000000"/>
              <w:right w:val="single" w:sz="4" w:space="0" w:color="000000"/>
            </w:tcBorders>
            <w:noWrap/>
            <w:vAlign w:val="center"/>
          </w:tcPr>
          <w:p w14:paraId="550EE791" w14:textId="77777777" w:rsidR="00054437" w:rsidRPr="000549B1" w:rsidRDefault="00000000">
            <w:pPr>
              <w:widowControl/>
              <w:jc w:val="center"/>
              <w:textAlignment w:val="center"/>
              <w:rPr>
                <w:szCs w:val="21"/>
              </w:rPr>
            </w:pPr>
            <w:r w:rsidRPr="000549B1">
              <w:rPr>
                <w:kern w:val="0"/>
                <w:szCs w:val="21"/>
                <w:lang w:bidi="ar"/>
              </w:rPr>
              <w:t>共和县</w:t>
            </w:r>
          </w:p>
        </w:tc>
        <w:tc>
          <w:tcPr>
            <w:tcW w:w="803" w:type="pct"/>
            <w:vMerge w:val="restart"/>
            <w:tcBorders>
              <w:top w:val="single" w:sz="4" w:space="0" w:color="000000"/>
              <w:left w:val="single" w:sz="4" w:space="0" w:color="000000"/>
              <w:bottom w:val="single" w:sz="4" w:space="0" w:color="000000"/>
              <w:right w:val="single" w:sz="4" w:space="0" w:color="000000"/>
            </w:tcBorders>
            <w:noWrap/>
            <w:vAlign w:val="center"/>
          </w:tcPr>
          <w:p w14:paraId="37D69159" w14:textId="77777777" w:rsidR="00054437" w:rsidRPr="000549B1" w:rsidRDefault="00000000">
            <w:pPr>
              <w:widowControl/>
              <w:jc w:val="center"/>
              <w:textAlignment w:val="center"/>
              <w:rPr>
                <w:szCs w:val="21"/>
              </w:rPr>
            </w:pPr>
            <w:r w:rsidRPr="000549B1">
              <w:rPr>
                <w:kern w:val="0"/>
                <w:szCs w:val="21"/>
                <w:lang w:bidi="ar"/>
              </w:rPr>
              <w:t>2020</w:t>
            </w:r>
            <w:r w:rsidRPr="000549B1">
              <w:rPr>
                <w:kern w:val="0"/>
                <w:szCs w:val="21"/>
                <w:lang w:bidi="ar"/>
              </w:rPr>
              <w:t>年</w:t>
            </w:r>
          </w:p>
        </w:tc>
        <w:tc>
          <w:tcPr>
            <w:tcW w:w="1132" w:type="pct"/>
            <w:tcBorders>
              <w:top w:val="single" w:sz="4" w:space="0" w:color="000000"/>
              <w:left w:val="single" w:sz="4" w:space="0" w:color="000000"/>
              <w:bottom w:val="single" w:sz="4" w:space="0" w:color="000000"/>
              <w:right w:val="single" w:sz="4" w:space="0" w:color="000000"/>
            </w:tcBorders>
            <w:noWrap/>
            <w:vAlign w:val="center"/>
          </w:tcPr>
          <w:p w14:paraId="3D92DDD9" w14:textId="77777777" w:rsidR="00054437" w:rsidRPr="000549B1" w:rsidRDefault="00000000">
            <w:pPr>
              <w:widowControl/>
              <w:jc w:val="center"/>
              <w:textAlignment w:val="center"/>
              <w:rPr>
                <w:szCs w:val="21"/>
              </w:rPr>
            </w:pPr>
            <w:r w:rsidRPr="000549B1">
              <w:rPr>
                <w:kern w:val="0"/>
                <w:szCs w:val="21"/>
                <w:lang w:bidi="ar"/>
              </w:rPr>
              <w:t>合计</w:t>
            </w:r>
          </w:p>
        </w:tc>
        <w:tc>
          <w:tcPr>
            <w:tcW w:w="1130" w:type="pct"/>
            <w:tcBorders>
              <w:top w:val="single" w:sz="4" w:space="0" w:color="000000"/>
              <w:left w:val="single" w:sz="4" w:space="0" w:color="000000"/>
              <w:bottom w:val="single" w:sz="4" w:space="0" w:color="000000"/>
              <w:right w:val="single" w:sz="4" w:space="0" w:color="000000"/>
            </w:tcBorders>
            <w:noWrap/>
            <w:vAlign w:val="center"/>
          </w:tcPr>
          <w:p w14:paraId="4655917E" w14:textId="77777777" w:rsidR="00054437" w:rsidRPr="000549B1" w:rsidRDefault="00000000">
            <w:pPr>
              <w:widowControl/>
              <w:jc w:val="center"/>
              <w:textAlignment w:val="center"/>
              <w:rPr>
                <w:szCs w:val="21"/>
              </w:rPr>
            </w:pPr>
            <w:r w:rsidRPr="000549B1">
              <w:rPr>
                <w:kern w:val="0"/>
                <w:szCs w:val="21"/>
                <w:lang w:bidi="ar"/>
              </w:rPr>
              <w:t>0.811</w:t>
            </w:r>
          </w:p>
        </w:tc>
        <w:tc>
          <w:tcPr>
            <w:tcW w:w="615" w:type="pct"/>
            <w:tcBorders>
              <w:top w:val="single" w:sz="4" w:space="0" w:color="000000"/>
              <w:left w:val="single" w:sz="4" w:space="0" w:color="000000"/>
              <w:bottom w:val="single" w:sz="4" w:space="0" w:color="000000"/>
              <w:right w:val="single" w:sz="4" w:space="0" w:color="000000"/>
            </w:tcBorders>
            <w:noWrap/>
            <w:vAlign w:val="center"/>
          </w:tcPr>
          <w:p w14:paraId="5BBB696F" w14:textId="77777777" w:rsidR="00054437" w:rsidRPr="000549B1" w:rsidRDefault="00000000">
            <w:pPr>
              <w:widowControl/>
              <w:jc w:val="center"/>
              <w:textAlignment w:val="center"/>
              <w:rPr>
                <w:szCs w:val="21"/>
              </w:rPr>
            </w:pPr>
            <w:r w:rsidRPr="000549B1">
              <w:rPr>
                <w:kern w:val="0"/>
                <w:szCs w:val="21"/>
                <w:lang w:bidi="ar"/>
              </w:rPr>
              <w:t>0.521</w:t>
            </w:r>
          </w:p>
        </w:tc>
      </w:tr>
      <w:tr w:rsidR="000549B1" w:rsidRPr="000549B1" w14:paraId="62C4A370" w14:textId="77777777" w:rsidTr="00407DFF">
        <w:trPr>
          <w:trHeight w:val="270"/>
        </w:trPr>
        <w:tc>
          <w:tcPr>
            <w:tcW w:w="1320" w:type="pct"/>
            <w:vMerge/>
            <w:tcBorders>
              <w:top w:val="single" w:sz="4" w:space="0" w:color="000000"/>
              <w:left w:val="single" w:sz="4" w:space="0" w:color="000000"/>
              <w:bottom w:val="single" w:sz="4" w:space="0" w:color="000000"/>
              <w:right w:val="single" w:sz="4" w:space="0" w:color="000000"/>
            </w:tcBorders>
            <w:noWrap/>
            <w:vAlign w:val="center"/>
          </w:tcPr>
          <w:p w14:paraId="135F25F2" w14:textId="77777777" w:rsidR="00054437" w:rsidRPr="000549B1" w:rsidRDefault="00054437">
            <w:pPr>
              <w:jc w:val="center"/>
              <w:rPr>
                <w:szCs w:val="21"/>
              </w:rPr>
            </w:pPr>
          </w:p>
        </w:tc>
        <w:tc>
          <w:tcPr>
            <w:tcW w:w="803" w:type="pct"/>
            <w:vMerge/>
            <w:tcBorders>
              <w:top w:val="single" w:sz="4" w:space="0" w:color="000000"/>
              <w:left w:val="single" w:sz="4" w:space="0" w:color="000000"/>
              <w:bottom w:val="single" w:sz="4" w:space="0" w:color="000000"/>
              <w:right w:val="single" w:sz="4" w:space="0" w:color="000000"/>
            </w:tcBorders>
            <w:noWrap/>
            <w:vAlign w:val="center"/>
          </w:tcPr>
          <w:p w14:paraId="443F60E6" w14:textId="77777777" w:rsidR="00054437" w:rsidRPr="000549B1" w:rsidRDefault="00054437">
            <w:pPr>
              <w:jc w:val="center"/>
              <w:rPr>
                <w:szCs w:val="21"/>
              </w:rPr>
            </w:pPr>
          </w:p>
        </w:tc>
        <w:tc>
          <w:tcPr>
            <w:tcW w:w="1132" w:type="pct"/>
            <w:tcBorders>
              <w:top w:val="single" w:sz="4" w:space="0" w:color="000000"/>
              <w:left w:val="single" w:sz="4" w:space="0" w:color="000000"/>
              <w:bottom w:val="single" w:sz="4" w:space="0" w:color="000000"/>
              <w:right w:val="single" w:sz="4" w:space="0" w:color="000000"/>
            </w:tcBorders>
            <w:noWrap/>
            <w:vAlign w:val="bottom"/>
          </w:tcPr>
          <w:p w14:paraId="4E7522EF" w14:textId="77777777" w:rsidR="00054437" w:rsidRPr="000549B1" w:rsidRDefault="00000000">
            <w:pPr>
              <w:widowControl/>
              <w:jc w:val="center"/>
              <w:textAlignment w:val="bottom"/>
              <w:rPr>
                <w:szCs w:val="21"/>
              </w:rPr>
            </w:pPr>
            <w:r w:rsidRPr="000549B1">
              <w:rPr>
                <w:kern w:val="0"/>
                <w:szCs w:val="21"/>
                <w:lang w:bidi="ar"/>
              </w:rPr>
              <w:t>工业排放量</w:t>
            </w:r>
          </w:p>
        </w:tc>
        <w:tc>
          <w:tcPr>
            <w:tcW w:w="1130" w:type="pct"/>
            <w:tcBorders>
              <w:top w:val="single" w:sz="4" w:space="0" w:color="000000"/>
              <w:left w:val="single" w:sz="4" w:space="0" w:color="000000"/>
              <w:bottom w:val="single" w:sz="4" w:space="0" w:color="000000"/>
              <w:right w:val="single" w:sz="4" w:space="0" w:color="000000"/>
            </w:tcBorders>
            <w:noWrap/>
            <w:vAlign w:val="center"/>
          </w:tcPr>
          <w:p w14:paraId="7EC9FA52" w14:textId="77777777" w:rsidR="00054437" w:rsidRPr="000549B1" w:rsidRDefault="00000000">
            <w:pPr>
              <w:widowControl/>
              <w:jc w:val="center"/>
              <w:textAlignment w:val="center"/>
              <w:rPr>
                <w:szCs w:val="21"/>
              </w:rPr>
            </w:pPr>
            <w:r w:rsidRPr="000549B1">
              <w:rPr>
                <w:kern w:val="0"/>
                <w:szCs w:val="21"/>
                <w:lang w:bidi="ar"/>
              </w:rPr>
              <w:t>0.811</w:t>
            </w:r>
          </w:p>
        </w:tc>
        <w:tc>
          <w:tcPr>
            <w:tcW w:w="615" w:type="pct"/>
            <w:tcBorders>
              <w:top w:val="single" w:sz="4" w:space="0" w:color="000000"/>
              <w:left w:val="single" w:sz="4" w:space="0" w:color="000000"/>
              <w:bottom w:val="single" w:sz="4" w:space="0" w:color="000000"/>
              <w:right w:val="single" w:sz="4" w:space="0" w:color="000000"/>
            </w:tcBorders>
            <w:noWrap/>
            <w:vAlign w:val="center"/>
          </w:tcPr>
          <w:p w14:paraId="25951147" w14:textId="77777777" w:rsidR="00054437" w:rsidRPr="000549B1" w:rsidRDefault="00000000">
            <w:pPr>
              <w:widowControl/>
              <w:jc w:val="center"/>
              <w:textAlignment w:val="center"/>
              <w:rPr>
                <w:szCs w:val="21"/>
              </w:rPr>
            </w:pPr>
            <w:r w:rsidRPr="000549B1">
              <w:rPr>
                <w:kern w:val="0"/>
                <w:szCs w:val="21"/>
                <w:lang w:bidi="ar"/>
              </w:rPr>
              <w:t>0.521</w:t>
            </w:r>
          </w:p>
        </w:tc>
      </w:tr>
      <w:tr w:rsidR="000549B1" w:rsidRPr="000549B1" w14:paraId="320D433D" w14:textId="77777777" w:rsidTr="00407DFF">
        <w:trPr>
          <w:trHeight w:val="270"/>
        </w:trPr>
        <w:tc>
          <w:tcPr>
            <w:tcW w:w="1320" w:type="pct"/>
            <w:vMerge/>
            <w:tcBorders>
              <w:top w:val="single" w:sz="4" w:space="0" w:color="000000"/>
              <w:left w:val="single" w:sz="4" w:space="0" w:color="000000"/>
              <w:bottom w:val="single" w:sz="4" w:space="0" w:color="000000"/>
              <w:right w:val="single" w:sz="4" w:space="0" w:color="000000"/>
            </w:tcBorders>
            <w:noWrap/>
            <w:vAlign w:val="center"/>
          </w:tcPr>
          <w:p w14:paraId="2CBEE6F1" w14:textId="77777777" w:rsidR="00054437" w:rsidRPr="000549B1" w:rsidRDefault="00054437">
            <w:pPr>
              <w:jc w:val="center"/>
              <w:rPr>
                <w:szCs w:val="21"/>
              </w:rPr>
            </w:pPr>
          </w:p>
        </w:tc>
        <w:tc>
          <w:tcPr>
            <w:tcW w:w="803" w:type="pct"/>
            <w:vMerge w:val="restart"/>
            <w:tcBorders>
              <w:top w:val="single" w:sz="4" w:space="0" w:color="000000"/>
              <w:left w:val="single" w:sz="4" w:space="0" w:color="000000"/>
              <w:bottom w:val="single" w:sz="4" w:space="0" w:color="000000"/>
              <w:right w:val="single" w:sz="4" w:space="0" w:color="000000"/>
            </w:tcBorders>
            <w:noWrap/>
            <w:vAlign w:val="center"/>
          </w:tcPr>
          <w:p w14:paraId="32AE6A91" w14:textId="77777777" w:rsidR="00054437" w:rsidRPr="000549B1" w:rsidRDefault="00000000">
            <w:pPr>
              <w:widowControl/>
              <w:jc w:val="center"/>
              <w:textAlignment w:val="center"/>
              <w:rPr>
                <w:szCs w:val="21"/>
              </w:rPr>
            </w:pPr>
            <w:r w:rsidRPr="000549B1">
              <w:rPr>
                <w:kern w:val="0"/>
                <w:szCs w:val="21"/>
                <w:lang w:bidi="ar"/>
              </w:rPr>
              <w:t>2021</w:t>
            </w:r>
            <w:r w:rsidRPr="000549B1">
              <w:rPr>
                <w:kern w:val="0"/>
                <w:szCs w:val="21"/>
                <w:lang w:bidi="ar"/>
              </w:rPr>
              <w:t>年</w:t>
            </w:r>
          </w:p>
        </w:tc>
        <w:tc>
          <w:tcPr>
            <w:tcW w:w="1132" w:type="pct"/>
            <w:tcBorders>
              <w:top w:val="single" w:sz="4" w:space="0" w:color="000000"/>
              <w:left w:val="single" w:sz="4" w:space="0" w:color="000000"/>
              <w:bottom w:val="single" w:sz="4" w:space="0" w:color="000000"/>
              <w:right w:val="single" w:sz="4" w:space="0" w:color="000000"/>
            </w:tcBorders>
            <w:noWrap/>
            <w:vAlign w:val="center"/>
          </w:tcPr>
          <w:p w14:paraId="683B0D4C" w14:textId="77777777" w:rsidR="00054437" w:rsidRPr="000549B1" w:rsidRDefault="00000000">
            <w:pPr>
              <w:widowControl/>
              <w:jc w:val="center"/>
              <w:textAlignment w:val="center"/>
              <w:rPr>
                <w:szCs w:val="21"/>
              </w:rPr>
            </w:pPr>
            <w:r w:rsidRPr="000549B1">
              <w:rPr>
                <w:kern w:val="0"/>
                <w:szCs w:val="21"/>
                <w:lang w:bidi="ar"/>
              </w:rPr>
              <w:t>合计</w:t>
            </w:r>
          </w:p>
        </w:tc>
        <w:tc>
          <w:tcPr>
            <w:tcW w:w="1130" w:type="pct"/>
            <w:tcBorders>
              <w:top w:val="single" w:sz="4" w:space="0" w:color="000000"/>
              <w:left w:val="single" w:sz="4" w:space="0" w:color="000000"/>
              <w:bottom w:val="single" w:sz="4" w:space="0" w:color="000000"/>
              <w:right w:val="single" w:sz="4" w:space="0" w:color="000000"/>
            </w:tcBorders>
            <w:noWrap/>
            <w:vAlign w:val="center"/>
          </w:tcPr>
          <w:p w14:paraId="3C7A0788" w14:textId="77777777" w:rsidR="00054437" w:rsidRPr="000549B1" w:rsidRDefault="00000000">
            <w:pPr>
              <w:widowControl/>
              <w:jc w:val="center"/>
              <w:textAlignment w:val="center"/>
              <w:rPr>
                <w:szCs w:val="21"/>
              </w:rPr>
            </w:pPr>
            <w:r w:rsidRPr="000549B1">
              <w:rPr>
                <w:kern w:val="0"/>
                <w:szCs w:val="21"/>
                <w:lang w:bidi="ar"/>
              </w:rPr>
              <w:t>8.497</w:t>
            </w:r>
          </w:p>
        </w:tc>
        <w:tc>
          <w:tcPr>
            <w:tcW w:w="615" w:type="pct"/>
            <w:tcBorders>
              <w:top w:val="single" w:sz="4" w:space="0" w:color="000000"/>
              <w:left w:val="single" w:sz="4" w:space="0" w:color="000000"/>
              <w:bottom w:val="single" w:sz="4" w:space="0" w:color="000000"/>
              <w:right w:val="single" w:sz="4" w:space="0" w:color="000000"/>
            </w:tcBorders>
            <w:noWrap/>
            <w:vAlign w:val="center"/>
          </w:tcPr>
          <w:p w14:paraId="307FCDF7" w14:textId="77777777" w:rsidR="00054437" w:rsidRPr="000549B1" w:rsidRDefault="00000000">
            <w:pPr>
              <w:widowControl/>
              <w:jc w:val="center"/>
              <w:textAlignment w:val="center"/>
              <w:rPr>
                <w:szCs w:val="21"/>
              </w:rPr>
            </w:pPr>
            <w:r w:rsidRPr="000549B1">
              <w:rPr>
                <w:kern w:val="0"/>
                <w:szCs w:val="21"/>
                <w:lang w:bidi="ar"/>
              </w:rPr>
              <w:t>0.934</w:t>
            </w:r>
          </w:p>
        </w:tc>
      </w:tr>
      <w:tr w:rsidR="000549B1" w:rsidRPr="000549B1" w14:paraId="2C6774A8" w14:textId="77777777" w:rsidTr="00407DFF">
        <w:trPr>
          <w:trHeight w:val="270"/>
        </w:trPr>
        <w:tc>
          <w:tcPr>
            <w:tcW w:w="1320" w:type="pct"/>
            <w:vMerge/>
            <w:tcBorders>
              <w:top w:val="single" w:sz="4" w:space="0" w:color="000000"/>
              <w:left w:val="single" w:sz="4" w:space="0" w:color="000000"/>
              <w:bottom w:val="single" w:sz="4" w:space="0" w:color="000000"/>
              <w:right w:val="single" w:sz="4" w:space="0" w:color="000000"/>
            </w:tcBorders>
            <w:noWrap/>
            <w:vAlign w:val="center"/>
          </w:tcPr>
          <w:p w14:paraId="41D95214" w14:textId="77777777" w:rsidR="00054437" w:rsidRPr="000549B1" w:rsidRDefault="00054437">
            <w:pPr>
              <w:jc w:val="center"/>
              <w:rPr>
                <w:szCs w:val="21"/>
              </w:rPr>
            </w:pPr>
          </w:p>
        </w:tc>
        <w:tc>
          <w:tcPr>
            <w:tcW w:w="803" w:type="pct"/>
            <w:vMerge/>
            <w:tcBorders>
              <w:top w:val="single" w:sz="4" w:space="0" w:color="000000"/>
              <w:left w:val="single" w:sz="4" w:space="0" w:color="000000"/>
              <w:bottom w:val="single" w:sz="4" w:space="0" w:color="000000"/>
              <w:right w:val="single" w:sz="4" w:space="0" w:color="000000"/>
            </w:tcBorders>
            <w:noWrap/>
            <w:vAlign w:val="center"/>
          </w:tcPr>
          <w:p w14:paraId="492E97B7" w14:textId="77777777" w:rsidR="00054437" w:rsidRPr="000549B1" w:rsidRDefault="00054437">
            <w:pPr>
              <w:jc w:val="center"/>
              <w:rPr>
                <w:szCs w:val="21"/>
              </w:rPr>
            </w:pPr>
          </w:p>
        </w:tc>
        <w:tc>
          <w:tcPr>
            <w:tcW w:w="1132" w:type="pct"/>
            <w:tcBorders>
              <w:top w:val="single" w:sz="4" w:space="0" w:color="000000"/>
              <w:left w:val="single" w:sz="4" w:space="0" w:color="000000"/>
              <w:bottom w:val="single" w:sz="4" w:space="0" w:color="000000"/>
              <w:right w:val="single" w:sz="4" w:space="0" w:color="000000"/>
            </w:tcBorders>
            <w:noWrap/>
            <w:vAlign w:val="bottom"/>
          </w:tcPr>
          <w:p w14:paraId="1B7F2824" w14:textId="77777777" w:rsidR="00054437" w:rsidRPr="000549B1" w:rsidRDefault="00000000">
            <w:pPr>
              <w:widowControl/>
              <w:jc w:val="center"/>
              <w:textAlignment w:val="bottom"/>
              <w:rPr>
                <w:szCs w:val="21"/>
              </w:rPr>
            </w:pPr>
            <w:r w:rsidRPr="000549B1">
              <w:rPr>
                <w:kern w:val="0"/>
                <w:szCs w:val="21"/>
                <w:lang w:bidi="ar"/>
              </w:rPr>
              <w:t>工业排放量</w:t>
            </w:r>
          </w:p>
        </w:tc>
        <w:tc>
          <w:tcPr>
            <w:tcW w:w="1130" w:type="pct"/>
            <w:tcBorders>
              <w:top w:val="single" w:sz="4" w:space="0" w:color="000000"/>
              <w:left w:val="single" w:sz="4" w:space="0" w:color="000000"/>
              <w:bottom w:val="single" w:sz="4" w:space="0" w:color="000000"/>
              <w:right w:val="single" w:sz="4" w:space="0" w:color="000000"/>
            </w:tcBorders>
            <w:noWrap/>
            <w:vAlign w:val="center"/>
          </w:tcPr>
          <w:p w14:paraId="7833ACB0" w14:textId="77777777" w:rsidR="00054437" w:rsidRPr="000549B1" w:rsidRDefault="00000000">
            <w:pPr>
              <w:widowControl/>
              <w:jc w:val="center"/>
              <w:textAlignment w:val="center"/>
              <w:rPr>
                <w:szCs w:val="21"/>
              </w:rPr>
            </w:pPr>
            <w:r w:rsidRPr="000549B1">
              <w:rPr>
                <w:kern w:val="0"/>
                <w:szCs w:val="21"/>
                <w:lang w:bidi="ar"/>
              </w:rPr>
              <w:t>2.904</w:t>
            </w:r>
          </w:p>
        </w:tc>
        <w:tc>
          <w:tcPr>
            <w:tcW w:w="615" w:type="pct"/>
            <w:tcBorders>
              <w:top w:val="single" w:sz="4" w:space="0" w:color="000000"/>
              <w:left w:val="single" w:sz="4" w:space="0" w:color="000000"/>
              <w:bottom w:val="single" w:sz="4" w:space="0" w:color="000000"/>
              <w:right w:val="single" w:sz="4" w:space="0" w:color="000000"/>
            </w:tcBorders>
            <w:noWrap/>
            <w:vAlign w:val="center"/>
          </w:tcPr>
          <w:p w14:paraId="7174E44E" w14:textId="77777777" w:rsidR="00054437" w:rsidRPr="000549B1" w:rsidRDefault="00000000">
            <w:pPr>
              <w:widowControl/>
              <w:jc w:val="center"/>
              <w:textAlignment w:val="center"/>
              <w:rPr>
                <w:szCs w:val="21"/>
              </w:rPr>
            </w:pPr>
            <w:r w:rsidRPr="000549B1">
              <w:rPr>
                <w:kern w:val="0"/>
                <w:szCs w:val="21"/>
                <w:lang w:bidi="ar"/>
              </w:rPr>
              <w:t>0.253</w:t>
            </w:r>
          </w:p>
        </w:tc>
      </w:tr>
      <w:tr w:rsidR="000549B1" w:rsidRPr="000549B1" w14:paraId="4C883BE2" w14:textId="77777777" w:rsidTr="00407DFF">
        <w:trPr>
          <w:trHeight w:val="270"/>
        </w:trPr>
        <w:tc>
          <w:tcPr>
            <w:tcW w:w="1320" w:type="pct"/>
            <w:vMerge/>
            <w:tcBorders>
              <w:top w:val="single" w:sz="4" w:space="0" w:color="000000"/>
              <w:left w:val="single" w:sz="4" w:space="0" w:color="000000"/>
              <w:bottom w:val="single" w:sz="4" w:space="0" w:color="000000"/>
              <w:right w:val="single" w:sz="4" w:space="0" w:color="000000"/>
            </w:tcBorders>
            <w:noWrap/>
            <w:vAlign w:val="center"/>
          </w:tcPr>
          <w:p w14:paraId="17F30F4D" w14:textId="77777777" w:rsidR="00054437" w:rsidRPr="000549B1" w:rsidRDefault="00054437">
            <w:pPr>
              <w:jc w:val="center"/>
              <w:rPr>
                <w:szCs w:val="21"/>
              </w:rPr>
            </w:pPr>
          </w:p>
        </w:tc>
        <w:tc>
          <w:tcPr>
            <w:tcW w:w="803" w:type="pct"/>
            <w:vMerge w:val="restart"/>
            <w:tcBorders>
              <w:top w:val="single" w:sz="4" w:space="0" w:color="000000"/>
              <w:left w:val="single" w:sz="4" w:space="0" w:color="000000"/>
              <w:bottom w:val="single" w:sz="4" w:space="0" w:color="000000"/>
              <w:right w:val="single" w:sz="4" w:space="0" w:color="000000"/>
            </w:tcBorders>
            <w:noWrap/>
            <w:vAlign w:val="center"/>
          </w:tcPr>
          <w:p w14:paraId="629EAE46" w14:textId="77777777" w:rsidR="00054437" w:rsidRPr="000549B1" w:rsidRDefault="00000000">
            <w:pPr>
              <w:widowControl/>
              <w:jc w:val="center"/>
              <w:textAlignment w:val="center"/>
              <w:rPr>
                <w:szCs w:val="21"/>
              </w:rPr>
            </w:pPr>
            <w:r w:rsidRPr="000549B1">
              <w:rPr>
                <w:kern w:val="0"/>
                <w:szCs w:val="21"/>
                <w:lang w:bidi="ar"/>
              </w:rPr>
              <w:t>2022</w:t>
            </w:r>
            <w:r w:rsidRPr="000549B1">
              <w:rPr>
                <w:kern w:val="0"/>
                <w:szCs w:val="21"/>
                <w:lang w:bidi="ar"/>
              </w:rPr>
              <w:t>年</w:t>
            </w:r>
          </w:p>
        </w:tc>
        <w:tc>
          <w:tcPr>
            <w:tcW w:w="1132" w:type="pct"/>
            <w:tcBorders>
              <w:top w:val="single" w:sz="4" w:space="0" w:color="000000"/>
              <w:left w:val="single" w:sz="4" w:space="0" w:color="000000"/>
              <w:bottom w:val="single" w:sz="4" w:space="0" w:color="000000"/>
              <w:right w:val="single" w:sz="4" w:space="0" w:color="000000"/>
            </w:tcBorders>
            <w:noWrap/>
            <w:vAlign w:val="center"/>
          </w:tcPr>
          <w:p w14:paraId="7C90A132" w14:textId="77777777" w:rsidR="00054437" w:rsidRPr="000549B1" w:rsidRDefault="00000000">
            <w:pPr>
              <w:widowControl/>
              <w:jc w:val="center"/>
              <w:textAlignment w:val="center"/>
              <w:rPr>
                <w:szCs w:val="21"/>
              </w:rPr>
            </w:pPr>
            <w:r w:rsidRPr="000549B1">
              <w:rPr>
                <w:kern w:val="0"/>
                <w:szCs w:val="21"/>
                <w:lang w:bidi="ar"/>
              </w:rPr>
              <w:t>合计</w:t>
            </w:r>
          </w:p>
        </w:tc>
        <w:tc>
          <w:tcPr>
            <w:tcW w:w="1130" w:type="pct"/>
            <w:tcBorders>
              <w:top w:val="single" w:sz="4" w:space="0" w:color="000000"/>
              <w:left w:val="single" w:sz="4" w:space="0" w:color="000000"/>
              <w:bottom w:val="single" w:sz="4" w:space="0" w:color="000000"/>
              <w:right w:val="single" w:sz="4" w:space="0" w:color="000000"/>
            </w:tcBorders>
            <w:noWrap/>
            <w:vAlign w:val="center"/>
          </w:tcPr>
          <w:p w14:paraId="5384FF56" w14:textId="77777777" w:rsidR="00054437" w:rsidRPr="000549B1" w:rsidRDefault="00000000">
            <w:pPr>
              <w:widowControl/>
              <w:jc w:val="center"/>
              <w:textAlignment w:val="center"/>
              <w:rPr>
                <w:szCs w:val="21"/>
              </w:rPr>
            </w:pPr>
            <w:r w:rsidRPr="000549B1">
              <w:rPr>
                <w:kern w:val="0"/>
                <w:szCs w:val="21"/>
                <w:lang w:bidi="ar"/>
              </w:rPr>
              <w:t>7.146</w:t>
            </w:r>
          </w:p>
        </w:tc>
        <w:tc>
          <w:tcPr>
            <w:tcW w:w="615" w:type="pct"/>
            <w:tcBorders>
              <w:top w:val="single" w:sz="4" w:space="0" w:color="000000"/>
              <w:left w:val="single" w:sz="4" w:space="0" w:color="000000"/>
              <w:bottom w:val="single" w:sz="4" w:space="0" w:color="000000"/>
              <w:right w:val="single" w:sz="4" w:space="0" w:color="000000"/>
            </w:tcBorders>
            <w:noWrap/>
            <w:vAlign w:val="center"/>
          </w:tcPr>
          <w:p w14:paraId="30446FF8" w14:textId="77777777" w:rsidR="00054437" w:rsidRPr="000549B1" w:rsidRDefault="00000000">
            <w:pPr>
              <w:widowControl/>
              <w:jc w:val="center"/>
              <w:textAlignment w:val="center"/>
              <w:rPr>
                <w:szCs w:val="21"/>
              </w:rPr>
            </w:pPr>
            <w:r w:rsidRPr="000549B1">
              <w:rPr>
                <w:kern w:val="0"/>
                <w:szCs w:val="21"/>
                <w:lang w:bidi="ar"/>
              </w:rPr>
              <w:t>0.721</w:t>
            </w:r>
          </w:p>
        </w:tc>
      </w:tr>
      <w:tr w:rsidR="000549B1" w:rsidRPr="000549B1" w14:paraId="79ADBDD3" w14:textId="77777777" w:rsidTr="00407DFF">
        <w:trPr>
          <w:trHeight w:val="270"/>
        </w:trPr>
        <w:tc>
          <w:tcPr>
            <w:tcW w:w="1320" w:type="pct"/>
            <w:vMerge/>
            <w:tcBorders>
              <w:top w:val="single" w:sz="4" w:space="0" w:color="000000"/>
              <w:left w:val="single" w:sz="4" w:space="0" w:color="000000"/>
              <w:bottom w:val="single" w:sz="4" w:space="0" w:color="000000"/>
              <w:right w:val="single" w:sz="4" w:space="0" w:color="000000"/>
            </w:tcBorders>
            <w:noWrap/>
            <w:vAlign w:val="center"/>
          </w:tcPr>
          <w:p w14:paraId="216E2F2F" w14:textId="77777777" w:rsidR="00054437" w:rsidRPr="000549B1" w:rsidRDefault="00054437">
            <w:pPr>
              <w:jc w:val="center"/>
              <w:rPr>
                <w:szCs w:val="21"/>
              </w:rPr>
            </w:pPr>
          </w:p>
        </w:tc>
        <w:tc>
          <w:tcPr>
            <w:tcW w:w="803" w:type="pct"/>
            <w:vMerge/>
            <w:tcBorders>
              <w:top w:val="single" w:sz="4" w:space="0" w:color="000000"/>
              <w:left w:val="single" w:sz="4" w:space="0" w:color="000000"/>
              <w:bottom w:val="single" w:sz="4" w:space="0" w:color="000000"/>
              <w:right w:val="single" w:sz="4" w:space="0" w:color="000000"/>
            </w:tcBorders>
            <w:noWrap/>
            <w:vAlign w:val="center"/>
          </w:tcPr>
          <w:p w14:paraId="1B14EF00" w14:textId="77777777" w:rsidR="00054437" w:rsidRPr="000549B1" w:rsidRDefault="00054437">
            <w:pPr>
              <w:jc w:val="center"/>
              <w:rPr>
                <w:szCs w:val="21"/>
              </w:rPr>
            </w:pPr>
          </w:p>
        </w:tc>
        <w:tc>
          <w:tcPr>
            <w:tcW w:w="1132" w:type="pct"/>
            <w:tcBorders>
              <w:top w:val="single" w:sz="4" w:space="0" w:color="000000"/>
              <w:left w:val="single" w:sz="4" w:space="0" w:color="000000"/>
              <w:bottom w:val="single" w:sz="4" w:space="0" w:color="000000"/>
              <w:right w:val="single" w:sz="4" w:space="0" w:color="000000"/>
            </w:tcBorders>
            <w:noWrap/>
            <w:vAlign w:val="bottom"/>
          </w:tcPr>
          <w:p w14:paraId="0D218D13" w14:textId="77777777" w:rsidR="00054437" w:rsidRPr="000549B1" w:rsidRDefault="00000000">
            <w:pPr>
              <w:widowControl/>
              <w:jc w:val="center"/>
              <w:textAlignment w:val="bottom"/>
              <w:rPr>
                <w:szCs w:val="21"/>
              </w:rPr>
            </w:pPr>
            <w:r w:rsidRPr="000549B1">
              <w:rPr>
                <w:kern w:val="0"/>
                <w:szCs w:val="21"/>
                <w:lang w:bidi="ar"/>
              </w:rPr>
              <w:t>工业排放量</w:t>
            </w:r>
          </w:p>
        </w:tc>
        <w:tc>
          <w:tcPr>
            <w:tcW w:w="1130" w:type="pct"/>
            <w:tcBorders>
              <w:top w:val="single" w:sz="4" w:space="0" w:color="000000"/>
              <w:left w:val="single" w:sz="4" w:space="0" w:color="000000"/>
              <w:bottom w:val="single" w:sz="4" w:space="0" w:color="000000"/>
              <w:right w:val="single" w:sz="4" w:space="0" w:color="000000"/>
            </w:tcBorders>
            <w:noWrap/>
            <w:vAlign w:val="center"/>
          </w:tcPr>
          <w:p w14:paraId="5B2DBC9C" w14:textId="77777777" w:rsidR="00054437" w:rsidRPr="000549B1" w:rsidRDefault="00000000">
            <w:pPr>
              <w:widowControl/>
              <w:jc w:val="center"/>
              <w:textAlignment w:val="center"/>
              <w:rPr>
                <w:szCs w:val="21"/>
              </w:rPr>
            </w:pPr>
            <w:r w:rsidRPr="000549B1">
              <w:rPr>
                <w:kern w:val="0"/>
                <w:szCs w:val="21"/>
                <w:lang w:bidi="ar"/>
              </w:rPr>
              <w:t>1.908</w:t>
            </w:r>
          </w:p>
        </w:tc>
        <w:tc>
          <w:tcPr>
            <w:tcW w:w="615" w:type="pct"/>
            <w:tcBorders>
              <w:top w:val="single" w:sz="4" w:space="0" w:color="000000"/>
              <w:left w:val="single" w:sz="4" w:space="0" w:color="000000"/>
              <w:bottom w:val="single" w:sz="4" w:space="0" w:color="000000"/>
              <w:right w:val="single" w:sz="4" w:space="0" w:color="000000"/>
            </w:tcBorders>
            <w:noWrap/>
            <w:vAlign w:val="center"/>
          </w:tcPr>
          <w:p w14:paraId="04A99B0C" w14:textId="77777777" w:rsidR="00054437" w:rsidRPr="000549B1" w:rsidRDefault="00000000">
            <w:pPr>
              <w:widowControl/>
              <w:jc w:val="center"/>
              <w:textAlignment w:val="center"/>
              <w:rPr>
                <w:szCs w:val="21"/>
              </w:rPr>
            </w:pPr>
            <w:r w:rsidRPr="000549B1">
              <w:rPr>
                <w:kern w:val="0"/>
                <w:szCs w:val="21"/>
                <w:lang w:bidi="ar"/>
              </w:rPr>
              <w:t>0.084</w:t>
            </w:r>
          </w:p>
        </w:tc>
      </w:tr>
      <w:tr w:rsidR="000549B1" w:rsidRPr="000549B1" w14:paraId="26428F74" w14:textId="77777777" w:rsidTr="00407DFF">
        <w:trPr>
          <w:trHeight w:val="270"/>
        </w:trPr>
        <w:tc>
          <w:tcPr>
            <w:tcW w:w="1320" w:type="pct"/>
            <w:vMerge/>
            <w:tcBorders>
              <w:top w:val="single" w:sz="4" w:space="0" w:color="000000"/>
              <w:left w:val="single" w:sz="4" w:space="0" w:color="000000"/>
              <w:bottom w:val="single" w:sz="4" w:space="0" w:color="000000"/>
              <w:right w:val="single" w:sz="4" w:space="0" w:color="000000"/>
            </w:tcBorders>
            <w:noWrap/>
            <w:vAlign w:val="center"/>
          </w:tcPr>
          <w:p w14:paraId="195836C6" w14:textId="77777777" w:rsidR="00054437" w:rsidRPr="000549B1" w:rsidRDefault="00054437">
            <w:pPr>
              <w:jc w:val="center"/>
              <w:rPr>
                <w:szCs w:val="21"/>
              </w:rPr>
            </w:pPr>
          </w:p>
        </w:tc>
        <w:tc>
          <w:tcPr>
            <w:tcW w:w="803" w:type="pct"/>
            <w:vMerge w:val="restart"/>
            <w:tcBorders>
              <w:top w:val="single" w:sz="4" w:space="0" w:color="000000"/>
              <w:left w:val="single" w:sz="4" w:space="0" w:color="000000"/>
              <w:bottom w:val="single" w:sz="4" w:space="0" w:color="000000"/>
              <w:right w:val="single" w:sz="4" w:space="0" w:color="000000"/>
            </w:tcBorders>
            <w:noWrap/>
            <w:vAlign w:val="center"/>
          </w:tcPr>
          <w:p w14:paraId="683A0BCA" w14:textId="77777777" w:rsidR="00054437" w:rsidRPr="000549B1" w:rsidRDefault="00000000">
            <w:pPr>
              <w:widowControl/>
              <w:jc w:val="center"/>
              <w:textAlignment w:val="center"/>
              <w:rPr>
                <w:szCs w:val="21"/>
              </w:rPr>
            </w:pPr>
            <w:r w:rsidRPr="000549B1">
              <w:rPr>
                <w:kern w:val="0"/>
                <w:szCs w:val="21"/>
                <w:lang w:bidi="ar"/>
              </w:rPr>
              <w:t>2023</w:t>
            </w:r>
            <w:r w:rsidRPr="000549B1">
              <w:rPr>
                <w:kern w:val="0"/>
                <w:szCs w:val="21"/>
                <w:lang w:bidi="ar"/>
              </w:rPr>
              <w:t>年</w:t>
            </w:r>
          </w:p>
        </w:tc>
        <w:tc>
          <w:tcPr>
            <w:tcW w:w="1132" w:type="pct"/>
            <w:tcBorders>
              <w:top w:val="single" w:sz="4" w:space="0" w:color="000000"/>
              <w:left w:val="single" w:sz="4" w:space="0" w:color="000000"/>
              <w:bottom w:val="single" w:sz="4" w:space="0" w:color="000000"/>
              <w:right w:val="single" w:sz="4" w:space="0" w:color="000000"/>
            </w:tcBorders>
            <w:noWrap/>
            <w:vAlign w:val="center"/>
          </w:tcPr>
          <w:p w14:paraId="15E337A0" w14:textId="77777777" w:rsidR="00054437" w:rsidRPr="000549B1" w:rsidRDefault="00000000">
            <w:pPr>
              <w:widowControl/>
              <w:jc w:val="center"/>
              <w:textAlignment w:val="center"/>
              <w:rPr>
                <w:szCs w:val="21"/>
              </w:rPr>
            </w:pPr>
            <w:r w:rsidRPr="000549B1">
              <w:rPr>
                <w:kern w:val="0"/>
                <w:szCs w:val="21"/>
                <w:lang w:bidi="ar"/>
              </w:rPr>
              <w:t>合计</w:t>
            </w:r>
          </w:p>
        </w:tc>
        <w:tc>
          <w:tcPr>
            <w:tcW w:w="1130" w:type="pct"/>
            <w:tcBorders>
              <w:top w:val="single" w:sz="4" w:space="0" w:color="000000"/>
              <w:left w:val="single" w:sz="4" w:space="0" w:color="000000"/>
              <w:bottom w:val="single" w:sz="4" w:space="0" w:color="000000"/>
              <w:right w:val="single" w:sz="4" w:space="0" w:color="000000"/>
            </w:tcBorders>
            <w:noWrap/>
            <w:vAlign w:val="center"/>
          </w:tcPr>
          <w:p w14:paraId="48D9B68A" w14:textId="77777777" w:rsidR="00054437" w:rsidRPr="000549B1" w:rsidRDefault="00000000">
            <w:pPr>
              <w:widowControl/>
              <w:jc w:val="center"/>
              <w:textAlignment w:val="center"/>
              <w:rPr>
                <w:szCs w:val="21"/>
              </w:rPr>
            </w:pPr>
            <w:r w:rsidRPr="000549B1">
              <w:rPr>
                <w:kern w:val="0"/>
                <w:szCs w:val="21"/>
                <w:lang w:bidi="ar"/>
              </w:rPr>
              <w:t>7.217</w:t>
            </w:r>
          </w:p>
        </w:tc>
        <w:tc>
          <w:tcPr>
            <w:tcW w:w="615" w:type="pct"/>
            <w:tcBorders>
              <w:top w:val="single" w:sz="4" w:space="0" w:color="000000"/>
              <w:left w:val="single" w:sz="4" w:space="0" w:color="000000"/>
              <w:bottom w:val="single" w:sz="4" w:space="0" w:color="000000"/>
              <w:right w:val="single" w:sz="4" w:space="0" w:color="000000"/>
            </w:tcBorders>
            <w:noWrap/>
            <w:vAlign w:val="center"/>
          </w:tcPr>
          <w:p w14:paraId="633C9590" w14:textId="77777777" w:rsidR="00054437" w:rsidRPr="000549B1" w:rsidRDefault="00000000">
            <w:pPr>
              <w:widowControl/>
              <w:jc w:val="center"/>
              <w:textAlignment w:val="center"/>
              <w:rPr>
                <w:szCs w:val="21"/>
              </w:rPr>
            </w:pPr>
            <w:r w:rsidRPr="000549B1">
              <w:rPr>
                <w:kern w:val="0"/>
                <w:szCs w:val="21"/>
                <w:lang w:bidi="ar"/>
              </w:rPr>
              <w:t>0.751</w:t>
            </w:r>
          </w:p>
        </w:tc>
      </w:tr>
      <w:tr w:rsidR="000549B1" w:rsidRPr="000549B1" w14:paraId="5C3B938B" w14:textId="77777777" w:rsidTr="00407DFF">
        <w:trPr>
          <w:trHeight w:val="270"/>
        </w:trPr>
        <w:tc>
          <w:tcPr>
            <w:tcW w:w="1320" w:type="pct"/>
            <w:vMerge/>
            <w:tcBorders>
              <w:top w:val="single" w:sz="4" w:space="0" w:color="000000"/>
              <w:left w:val="single" w:sz="4" w:space="0" w:color="000000"/>
              <w:bottom w:val="single" w:sz="4" w:space="0" w:color="000000"/>
              <w:right w:val="single" w:sz="4" w:space="0" w:color="000000"/>
            </w:tcBorders>
            <w:noWrap/>
            <w:vAlign w:val="center"/>
          </w:tcPr>
          <w:p w14:paraId="62861C52" w14:textId="77777777" w:rsidR="00054437" w:rsidRPr="000549B1" w:rsidRDefault="00054437">
            <w:pPr>
              <w:jc w:val="center"/>
              <w:rPr>
                <w:szCs w:val="21"/>
              </w:rPr>
            </w:pPr>
          </w:p>
        </w:tc>
        <w:tc>
          <w:tcPr>
            <w:tcW w:w="803" w:type="pct"/>
            <w:vMerge/>
            <w:tcBorders>
              <w:top w:val="single" w:sz="4" w:space="0" w:color="000000"/>
              <w:left w:val="single" w:sz="4" w:space="0" w:color="000000"/>
              <w:bottom w:val="single" w:sz="4" w:space="0" w:color="000000"/>
              <w:right w:val="single" w:sz="4" w:space="0" w:color="000000"/>
            </w:tcBorders>
            <w:noWrap/>
            <w:vAlign w:val="center"/>
          </w:tcPr>
          <w:p w14:paraId="4DF9650F" w14:textId="77777777" w:rsidR="00054437" w:rsidRPr="000549B1" w:rsidRDefault="00054437">
            <w:pPr>
              <w:jc w:val="center"/>
              <w:rPr>
                <w:szCs w:val="21"/>
              </w:rPr>
            </w:pPr>
          </w:p>
        </w:tc>
        <w:tc>
          <w:tcPr>
            <w:tcW w:w="1132" w:type="pct"/>
            <w:tcBorders>
              <w:top w:val="single" w:sz="4" w:space="0" w:color="000000"/>
              <w:left w:val="single" w:sz="4" w:space="0" w:color="000000"/>
              <w:bottom w:val="single" w:sz="4" w:space="0" w:color="000000"/>
              <w:right w:val="single" w:sz="4" w:space="0" w:color="000000"/>
            </w:tcBorders>
            <w:noWrap/>
            <w:vAlign w:val="bottom"/>
          </w:tcPr>
          <w:p w14:paraId="73A6C02C" w14:textId="77777777" w:rsidR="00054437" w:rsidRPr="000549B1" w:rsidRDefault="00000000">
            <w:pPr>
              <w:widowControl/>
              <w:jc w:val="center"/>
              <w:textAlignment w:val="bottom"/>
              <w:rPr>
                <w:szCs w:val="21"/>
              </w:rPr>
            </w:pPr>
            <w:r w:rsidRPr="000549B1">
              <w:rPr>
                <w:kern w:val="0"/>
                <w:szCs w:val="21"/>
                <w:lang w:bidi="ar"/>
              </w:rPr>
              <w:t>工业排放量</w:t>
            </w:r>
          </w:p>
        </w:tc>
        <w:tc>
          <w:tcPr>
            <w:tcW w:w="1130" w:type="pct"/>
            <w:tcBorders>
              <w:top w:val="single" w:sz="4" w:space="0" w:color="000000"/>
              <w:left w:val="single" w:sz="4" w:space="0" w:color="000000"/>
              <w:bottom w:val="single" w:sz="4" w:space="0" w:color="000000"/>
              <w:right w:val="single" w:sz="4" w:space="0" w:color="000000"/>
            </w:tcBorders>
            <w:noWrap/>
            <w:vAlign w:val="center"/>
          </w:tcPr>
          <w:p w14:paraId="5F273C03" w14:textId="77777777" w:rsidR="00054437" w:rsidRPr="000549B1" w:rsidRDefault="00000000">
            <w:pPr>
              <w:widowControl/>
              <w:jc w:val="center"/>
              <w:textAlignment w:val="center"/>
              <w:rPr>
                <w:szCs w:val="21"/>
              </w:rPr>
            </w:pPr>
            <w:r w:rsidRPr="000549B1">
              <w:rPr>
                <w:kern w:val="0"/>
                <w:szCs w:val="21"/>
                <w:lang w:bidi="ar"/>
              </w:rPr>
              <w:t>1.778</w:t>
            </w:r>
          </w:p>
        </w:tc>
        <w:tc>
          <w:tcPr>
            <w:tcW w:w="615" w:type="pct"/>
            <w:tcBorders>
              <w:top w:val="single" w:sz="4" w:space="0" w:color="000000"/>
              <w:left w:val="single" w:sz="4" w:space="0" w:color="000000"/>
              <w:bottom w:val="single" w:sz="4" w:space="0" w:color="000000"/>
              <w:right w:val="single" w:sz="4" w:space="0" w:color="000000"/>
            </w:tcBorders>
            <w:noWrap/>
            <w:vAlign w:val="center"/>
          </w:tcPr>
          <w:p w14:paraId="7F362BCF" w14:textId="77777777" w:rsidR="00054437" w:rsidRPr="000549B1" w:rsidRDefault="00000000">
            <w:pPr>
              <w:widowControl/>
              <w:jc w:val="center"/>
              <w:textAlignment w:val="center"/>
              <w:rPr>
                <w:szCs w:val="21"/>
              </w:rPr>
            </w:pPr>
            <w:r w:rsidRPr="000549B1">
              <w:rPr>
                <w:kern w:val="0"/>
                <w:szCs w:val="21"/>
                <w:lang w:bidi="ar"/>
              </w:rPr>
              <w:t>0.083</w:t>
            </w:r>
          </w:p>
        </w:tc>
      </w:tr>
      <w:tr w:rsidR="000549B1" w:rsidRPr="000549B1" w14:paraId="0AE509C6" w14:textId="77777777" w:rsidTr="00407DFF">
        <w:trPr>
          <w:trHeight w:val="270"/>
        </w:trPr>
        <w:tc>
          <w:tcPr>
            <w:tcW w:w="1320" w:type="pct"/>
            <w:vMerge/>
            <w:tcBorders>
              <w:top w:val="single" w:sz="4" w:space="0" w:color="000000"/>
              <w:left w:val="single" w:sz="4" w:space="0" w:color="000000"/>
              <w:bottom w:val="single" w:sz="4" w:space="0" w:color="000000"/>
              <w:right w:val="single" w:sz="4" w:space="0" w:color="000000"/>
            </w:tcBorders>
            <w:noWrap/>
            <w:vAlign w:val="center"/>
          </w:tcPr>
          <w:p w14:paraId="74981256" w14:textId="77777777" w:rsidR="00054437" w:rsidRPr="000549B1" w:rsidRDefault="00054437">
            <w:pPr>
              <w:jc w:val="center"/>
              <w:rPr>
                <w:szCs w:val="21"/>
              </w:rPr>
            </w:pPr>
          </w:p>
        </w:tc>
        <w:tc>
          <w:tcPr>
            <w:tcW w:w="803" w:type="pct"/>
            <w:vMerge w:val="restart"/>
            <w:tcBorders>
              <w:top w:val="single" w:sz="4" w:space="0" w:color="000000"/>
              <w:left w:val="single" w:sz="4" w:space="0" w:color="000000"/>
              <w:bottom w:val="single" w:sz="4" w:space="0" w:color="000000"/>
              <w:right w:val="single" w:sz="4" w:space="0" w:color="000000"/>
            </w:tcBorders>
            <w:noWrap/>
            <w:vAlign w:val="center"/>
          </w:tcPr>
          <w:p w14:paraId="09045B17" w14:textId="77777777" w:rsidR="00054437" w:rsidRPr="000549B1" w:rsidRDefault="00000000">
            <w:pPr>
              <w:widowControl/>
              <w:jc w:val="center"/>
              <w:textAlignment w:val="center"/>
              <w:rPr>
                <w:szCs w:val="21"/>
              </w:rPr>
            </w:pPr>
            <w:r w:rsidRPr="000549B1">
              <w:rPr>
                <w:kern w:val="0"/>
                <w:szCs w:val="21"/>
                <w:lang w:bidi="ar"/>
              </w:rPr>
              <w:t>2024</w:t>
            </w:r>
            <w:r w:rsidRPr="000549B1">
              <w:rPr>
                <w:kern w:val="0"/>
                <w:szCs w:val="21"/>
                <w:lang w:bidi="ar"/>
              </w:rPr>
              <w:t>年</w:t>
            </w:r>
          </w:p>
        </w:tc>
        <w:tc>
          <w:tcPr>
            <w:tcW w:w="1132" w:type="pct"/>
            <w:tcBorders>
              <w:top w:val="single" w:sz="4" w:space="0" w:color="000000"/>
              <w:left w:val="single" w:sz="4" w:space="0" w:color="000000"/>
              <w:bottom w:val="single" w:sz="4" w:space="0" w:color="000000"/>
              <w:right w:val="single" w:sz="4" w:space="0" w:color="000000"/>
            </w:tcBorders>
            <w:noWrap/>
            <w:vAlign w:val="center"/>
          </w:tcPr>
          <w:p w14:paraId="07273FED" w14:textId="77777777" w:rsidR="00054437" w:rsidRPr="000549B1" w:rsidRDefault="00000000">
            <w:pPr>
              <w:widowControl/>
              <w:jc w:val="center"/>
              <w:textAlignment w:val="center"/>
              <w:rPr>
                <w:szCs w:val="21"/>
              </w:rPr>
            </w:pPr>
            <w:r w:rsidRPr="000549B1">
              <w:rPr>
                <w:kern w:val="0"/>
                <w:szCs w:val="21"/>
                <w:lang w:bidi="ar"/>
              </w:rPr>
              <w:t>合计</w:t>
            </w:r>
          </w:p>
        </w:tc>
        <w:tc>
          <w:tcPr>
            <w:tcW w:w="1130" w:type="pct"/>
            <w:tcBorders>
              <w:top w:val="single" w:sz="4" w:space="0" w:color="000000"/>
              <w:left w:val="single" w:sz="4" w:space="0" w:color="000000"/>
              <w:bottom w:val="single" w:sz="4" w:space="0" w:color="000000"/>
              <w:right w:val="single" w:sz="4" w:space="0" w:color="000000"/>
            </w:tcBorders>
            <w:noWrap/>
            <w:vAlign w:val="center"/>
          </w:tcPr>
          <w:p w14:paraId="07CC0DEA" w14:textId="77777777" w:rsidR="00054437" w:rsidRPr="000549B1" w:rsidRDefault="00054437">
            <w:pPr>
              <w:jc w:val="center"/>
              <w:rPr>
                <w:szCs w:val="21"/>
              </w:rPr>
            </w:pPr>
          </w:p>
        </w:tc>
        <w:tc>
          <w:tcPr>
            <w:tcW w:w="615" w:type="pct"/>
            <w:tcBorders>
              <w:top w:val="single" w:sz="4" w:space="0" w:color="000000"/>
              <w:left w:val="single" w:sz="4" w:space="0" w:color="000000"/>
              <w:bottom w:val="single" w:sz="4" w:space="0" w:color="000000"/>
              <w:right w:val="single" w:sz="4" w:space="0" w:color="000000"/>
            </w:tcBorders>
            <w:noWrap/>
            <w:vAlign w:val="center"/>
          </w:tcPr>
          <w:p w14:paraId="3A3E80EE" w14:textId="77777777" w:rsidR="00054437" w:rsidRPr="000549B1" w:rsidRDefault="00054437">
            <w:pPr>
              <w:jc w:val="center"/>
              <w:rPr>
                <w:szCs w:val="21"/>
              </w:rPr>
            </w:pPr>
          </w:p>
        </w:tc>
      </w:tr>
      <w:tr w:rsidR="000549B1" w:rsidRPr="000549B1" w14:paraId="009ACF1F" w14:textId="77777777" w:rsidTr="00407DFF">
        <w:trPr>
          <w:trHeight w:val="270"/>
        </w:trPr>
        <w:tc>
          <w:tcPr>
            <w:tcW w:w="1320" w:type="pct"/>
            <w:vMerge/>
            <w:tcBorders>
              <w:top w:val="single" w:sz="4" w:space="0" w:color="000000"/>
              <w:left w:val="single" w:sz="4" w:space="0" w:color="000000"/>
              <w:bottom w:val="single" w:sz="4" w:space="0" w:color="000000"/>
              <w:right w:val="single" w:sz="4" w:space="0" w:color="000000"/>
            </w:tcBorders>
            <w:noWrap/>
            <w:vAlign w:val="center"/>
          </w:tcPr>
          <w:p w14:paraId="0FB4A635" w14:textId="77777777" w:rsidR="00054437" w:rsidRPr="000549B1" w:rsidRDefault="00054437">
            <w:pPr>
              <w:jc w:val="center"/>
              <w:rPr>
                <w:szCs w:val="21"/>
              </w:rPr>
            </w:pPr>
          </w:p>
        </w:tc>
        <w:tc>
          <w:tcPr>
            <w:tcW w:w="803" w:type="pct"/>
            <w:vMerge/>
            <w:tcBorders>
              <w:top w:val="single" w:sz="4" w:space="0" w:color="000000"/>
              <w:left w:val="single" w:sz="4" w:space="0" w:color="000000"/>
              <w:bottom w:val="single" w:sz="4" w:space="0" w:color="000000"/>
              <w:right w:val="single" w:sz="4" w:space="0" w:color="000000"/>
            </w:tcBorders>
            <w:noWrap/>
            <w:vAlign w:val="center"/>
          </w:tcPr>
          <w:p w14:paraId="2058F85A" w14:textId="77777777" w:rsidR="00054437" w:rsidRPr="000549B1" w:rsidRDefault="00054437">
            <w:pPr>
              <w:jc w:val="center"/>
              <w:rPr>
                <w:szCs w:val="21"/>
              </w:rPr>
            </w:pPr>
          </w:p>
        </w:tc>
        <w:tc>
          <w:tcPr>
            <w:tcW w:w="1132" w:type="pct"/>
            <w:tcBorders>
              <w:top w:val="single" w:sz="4" w:space="0" w:color="000000"/>
              <w:left w:val="single" w:sz="4" w:space="0" w:color="000000"/>
              <w:bottom w:val="single" w:sz="4" w:space="0" w:color="000000"/>
              <w:right w:val="single" w:sz="4" w:space="0" w:color="000000"/>
            </w:tcBorders>
            <w:noWrap/>
            <w:vAlign w:val="bottom"/>
          </w:tcPr>
          <w:p w14:paraId="103C57E9" w14:textId="77777777" w:rsidR="00054437" w:rsidRPr="000549B1" w:rsidRDefault="00000000">
            <w:pPr>
              <w:widowControl/>
              <w:jc w:val="center"/>
              <w:textAlignment w:val="bottom"/>
              <w:rPr>
                <w:szCs w:val="21"/>
              </w:rPr>
            </w:pPr>
            <w:r w:rsidRPr="000549B1">
              <w:rPr>
                <w:kern w:val="0"/>
                <w:szCs w:val="21"/>
                <w:lang w:bidi="ar"/>
              </w:rPr>
              <w:t>工业排放量</w:t>
            </w:r>
          </w:p>
        </w:tc>
        <w:tc>
          <w:tcPr>
            <w:tcW w:w="1130" w:type="pct"/>
            <w:tcBorders>
              <w:top w:val="single" w:sz="4" w:space="0" w:color="000000"/>
              <w:left w:val="single" w:sz="4" w:space="0" w:color="000000"/>
              <w:bottom w:val="single" w:sz="4" w:space="0" w:color="000000"/>
              <w:right w:val="single" w:sz="4" w:space="0" w:color="000000"/>
            </w:tcBorders>
            <w:noWrap/>
            <w:vAlign w:val="center"/>
          </w:tcPr>
          <w:p w14:paraId="7605367F" w14:textId="77777777" w:rsidR="00054437" w:rsidRPr="000549B1" w:rsidRDefault="00054437">
            <w:pPr>
              <w:jc w:val="center"/>
              <w:rPr>
                <w:szCs w:val="21"/>
              </w:rPr>
            </w:pPr>
          </w:p>
        </w:tc>
        <w:tc>
          <w:tcPr>
            <w:tcW w:w="615" w:type="pct"/>
            <w:tcBorders>
              <w:top w:val="single" w:sz="4" w:space="0" w:color="000000"/>
              <w:left w:val="single" w:sz="4" w:space="0" w:color="000000"/>
              <w:bottom w:val="single" w:sz="4" w:space="0" w:color="000000"/>
              <w:right w:val="single" w:sz="4" w:space="0" w:color="000000"/>
            </w:tcBorders>
            <w:noWrap/>
            <w:vAlign w:val="center"/>
          </w:tcPr>
          <w:p w14:paraId="41089076" w14:textId="77777777" w:rsidR="00054437" w:rsidRPr="000549B1" w:rsidRDefault="00054437">
            <w:pPr>
              <w:jc w:val="center"/>
              <w:rPr>
                <w:szCs w:val="21"/>
              </w:rPr>
            </w:pPr>
          </w:p>
        </w:tc>
      </w:tr>
      <w:tr w:rsidR="000549B1" w:rsidRPr="000549B1" w14:paraId="4B4A1D2C" w14:textId="77777777" w:rsidTr="00407DFF">
        <w:trPr>
          <w:trHeight w:val="270"/>
        </w:trPr>
        <w:tc>
          <w:tcPr>
            <w:tcW w:w="1320" w:type="pct"/>
            <w:vMerge w:val="restart"/>
            <w:tcBorders>
              <w:top w:val="single" w:sz="4" w:space="0" w:color="000000"/>
              <w:left w:val="single" w:sz="4" w:space="0" w:color="000000"/>
              <w:bottom w:val="single" w:sz="4" w:space="0" w:color="000000"/>
              <w:right w:val="single" w:sz="4" w:space="0" w:color="000000"/>
            </w:tcBorders>
            <w:noWrap/>
            <w:vAlign w:val="center"/>
          </w:tcPr>
          <w:p w14:paraId="4E0879FB" w14:textId="77777777" w:rsidR="00054437" w:rsidRPr="000549B1" w:rsidRDefault="00000000">
            <w:pPr>
              <w:widowControl/>
              <w:jc w:val="center"/>
              <w:textAlignment w:val="center"/>
              <w:rPr>
                <w:szCs w:val="21"/>
              </w:rPr>
            </w:pPr>
            <w:r w:rsidRPr="000549B1">
              <w:rPr>
                <w:kern w:val="0"/>
                <w:szCs w:val="21"/>
                <w:lang w:bidi="ar"/>
              </w:rPr>
              <w:t>兴海县</w:t>
            </w:r>
          </w:p>
        </w:tc>
        <w:tc>
          <w:tcPr>
            <w:tcW w:w="803" w:type="pct"/>
            <w:vMerge w:val="restart"/>
            <w:tcBorders>
              <w:top w:val="single" w:sz="4" w:space="0" w:color="000000"/>
              <w:left w:val="single" w:sz="4" w:space="0" w:color="000000"/>
              <w:bottom w:val="single" w:sz="4" w:space="0" w:color="000000"/>
              <w:right w:val="single" w:sz="4" w:space="0" w:color="000000"/>
            </w:tcBorders>
            <w:noWrap/>
            <w:vAlign w:val="center"/>
          </w:tcPr>
          <w:p w14:paraId="363C61FC" w14:textId="77777777" w:rsidR="00054437" w:rsidRPr="000549B1" w:rsidRDefault="00000000">
            <w:pPr>
              <w:widowControl/>
              <w:jc w:val="center"/>
              <w:textAlignment w:val="center"/>
              <w:rPr>
                <w:szCs w:val="21"/>
              </w:rPr>
            </w:pPr>
            <w:r w:rsidRPr="000549B1">
              <w:rPr>
                <w:kern w:val="0"/>
                <w:szCs w:val="21"/>
                <w:lang w:bidi="ar"/>
              </w:rPr>
              <w:t>2020</w:t>
            </w:r>
            <w:r w:rsidRPr="000549B1">
              <w:rPr>
                <w:kern w:val="0"/>
                <w:szCs w:val="21"/>
                <w:lang w:bidi="ar"/>
              </w:rPr>
              <w:t>年</w:t>
            </w:r>
          </w:p>
        </w:tc>
        <w:tc>
          <w:tcPr>
            <w:tcW w:w="1132" w:type="pct"/>
            <w:tcBorders>
              <w:top w:val="single" w:sz="4" w:space="0" w:color="000000"/>
              <w:left w:val="single" w:sz="4" w:space="0" w:color="000000"/>
              <w:bottom w:val="single" w:sz="4" w:space="0" w:color="000000"/>
              <w:right w:val="single" w:sz="4" w:space="0" w:color="000000"/>
            </w:tcBorders>
            <w:noWrap/>
            <w:vAlign w:val="center"/>
          </w:tcPr>
          <w:p w14:paraId="4587D0A5" w14:textId="77777777" w:rsidR="00054437" w:rsidRPr="000549B1" w:rsidRDefault="00000000">
            <w:pPr>
              <w:widowControl/>
              <w:jc w:val="center"/>
              <w:textAlignment w:val="center"/>
              <w:rPr>
                <w:szCs w:val="21"/>
              </w:rPr>
            </w:pPr>
            <w:r w:rsidRPr="000549B1">
              <w:rPr>
                <w:kern w:val="0"/>
                <w:szCs w:val="21"/>
                <w:lang w:bidi="ar"/>
              </w:rPr>
              <w:t>合计</w:t>
            </w:r>
          </w:p>
        </w:tc>
        <w:tc>
          <w:tcPr>
            <w:tcW w:w="1130" w:type="pct"/>
            <w:tcBorders>
              <w:top w:val="single" w:sz="4" w:space="0" w:color="000000"/>
              <w:left w:val="single" w:sz="4" w:space="0" w:color="000000"/>
              <w:bottom w:val="single" w:sz="4" w:space="0" w:color="000000"/>
              <w:right w:val="single" w:sz="4" w:space="0" w:color="000000"/>
            </w:tcBorders>
            <w:noWrap/>
            <w:vAlign w:val="center"/>
          </w:tcPr>
          <w:p w14:paraId="065C2A74" w14:textId="77777777" w:rsidR="00054437" w:rsidRPr="000549B1" w:rsidRDefault="00000000">
            <w:pPr>
              <w:widowControl/>
              <w:jc w:val="center"/>
              <w:textAlignment w:val="center"/>
              <w:rPr>
                <w:szCs w:val="21"/>
              </w:rPr>
            </w:pPr>
            <w:r w:rsidRPr="000549B1">
              <w:rPr>
                <w:kern w:val="0"/>
                <w:szCs w:val="21"/>
                <w:lang w:bidi="ar"/>
              </w:rPr>
              <w:t>0.208</w:t>
            </w:r>
          </w:p>
        </w:tc>
        <w:tc>
          <w:tcPr>
            <w:tcW w:w="615" w:type="pct"/>
            <w:tcBorders>
              <w:top w:val="single" w:sz="4" w:space="0" w:color="000000"/>
              <w:left w:val="single" w:sz="4" w:space="0" w:color="000000"/>
              <w:bottom w:val="single" w:sz="4" w:space="0" w:color="000000"/>
              <w:right w:val="single" w:sz="4" w:space="0" w:color="000000"/>
            </w:tcBorders>
            <w:noWrap/>
            <w:vAlign w:val="center"/>
          </w:tcPr>
          <w:p w14:paraId="18D555D2" w14:textId="77777777" w:rsidR="00054437" w:rsidRPr="000549B1" w:rsidRDefault="00000000">
            <w:pPr>
              <w:widowControl/>
              <w:jc w:val="center"/>
              <w:textAlignment w:val="center"/>
              <w:rPr>
                <w:szCs w:val="21"/>
              </w:rPr>
            </w:pPr>
            <w:r w:rsidRPr="000549B1">
              <w:rPr>
                <w:kern w:val="0"/>
                <w:szCs w:val="21"/>
                <w:lang w:bidi="ar"/>
              </w:rPr>
              <w:t>0.028</w:t>
            </w:r>
          </w:p>
        </w:tc>
      </w:tr>
      <w:tr w:rsidR="000549B1" w:rsidRPr="000549B1" w14:paraId="4D01E936" w14:textId="77777777" w:rsidTr="00407DFF">
        <w:trPr>
          <w:trHeight w:val="270"/>
        </w:trPr>
        <w:tc>
          <w:tcPr>
            <w:tcW w:w="1320" w:type="pct"/>
            <w:vMerge/>
            <w:tcBorders>
              <w:top w:val="single" w:sz="4" w:space="0" w:color="000000"/>
              <w:left w:val="single" w:sz="4" w:space="0" w:color="000000"/>
              <w:bottom w:val="single" w:sz="4" w:space="0" w:color="000000"/>
              <w:right w:val="single" w:sz="4" w:space="0" w:color="000000"/>
            </w:tcBorders>
            <w:noWrap/>
            <w:vAlign w:val="center"/>
          </w:tcPr>
          <w:p w14:paraId="754E108D" w14:textId="77777777" w:rsidR="00054437" w:rsidRPr="000549B1" w:rsidRDefault="00054437">
            <w:pPr>
              <w:jc w:val="center"/>
              <w:rPr>
                <w:szCs w:val="21"/>
              </w:rPr>
            </w:pPr>
          </w:p>
        </w:tc>
        <w:tc>
          <w:tcPr>
            <w:tcW w:w="803" w:type="pct"/>
            <w:vMerge/>
            <w:tcBorders>
              <w:top w:val="single" w:sz="4" w:space="0" w:color="000000"/>
              <w:left w:val="single" w:sz="4" w:space="0" w:color="000000"/>
              <w:bottom w:val="single" w:sz="4" w:space="0" w:color="000000"/>
              <w:right w:val="single" w:sz="4" w:space="0" w:color="000000"/>
            </w:tcBorders>
            <w:noWrap/>
            <w:vAlign w:val="center"/>
          </w:tcPr>
          <w:p w14:paraId="4EDDDCD2" w14:textId="77777777" w:rsidR="00054437" w:rsidRPr="000549B1" w:rsidRDefault="00054437">
            <w:pPr>
              <w:jc w:val="center"/>
              <w:rPr>
                <w:szCs w:val="21"/>
              </w:rPr>
            </w:pPr>
          </w:p>
        </w:tc>
        <w:tc>
          <w:tcPr>
            <w:tcW w:w="1132" w:type="pct"/>
            <w:tcBorders>
              <w:top w:val="single" w:sz="4" w:space="0" w:color="000000"/>
              <w:left w:val="single" w:sz="4" w:space="0" w:color="000000"/>
              <w:bottom w:val="single" w:sz="4" w:space="0" w:color="000000"/>
              <w:right w:val="single" w:sz="4" w:space="0" w:color="000000"/>
            </w:tcBorders>
            <w:noWrap/>
            <w:vAlign w:val="bottom"/>
          </w:tcPr>
          <w:p w14:paraId="306D37D6" w14:textId="77777777" w:rsidR="00054437" w:rsidRPr="000549B1" w:rsidRDefault="00000000">
            <w:pPr>
              <w:widowControl/>
              <w:jc w:val="center"/>
              <w:textAlignment w:val="bottom"/>
              <w:rPr>
                <w:szCs w:val="21"/>
              </w:rPr>
            </w:pPr>
            <w:r w:rsidRPr="000549B1">
              <w:rPr>
                <w:kern w:val="0"/>
                <w:szCs w:val="21"/>
                <w:lang w:bidi="ar"/>
              </w:rPr>
              <w:t>工业排放量</w:t>
            </w:r>
          </w:p>
        </w:tc>
        <w:tc>
          <w:tcPr>
            <w:tcW w:w="1130" w:type="pct"/>
            <w:tcBorders>
              <w:top w:val="single" w:sz="4" w:space="0" w:color="000000"/>
              <w:left w:val="single" w:sz="4" w:space="0" w:color="000000"/>
              <w:bottom w:val="single" w:sz="4" w:space="0" w:color="000000"/>
              <w:right w:val="single" w:sz="4" w:space="0" w:color="000000"/>
            </w:tcBorders>
            <w:noWrap/>
            <w:vAlign w:val="center"/>
          </w:tcPr>
          <w:p w14:paraId="6903D485" w14:textId="77777777" w:rsidR="00054437" w:rsidRPr="000549B1" w:rsidRDefault="00000000">
            <w:pPr>
              <w:widowControl/>
              <w:jc w:val="center"/>
              <w:textAlignment w:val="center"/>
              <w:rPr>
                <w:szCs w:val="21"/>
              </w:rPr>
            </w:pPr>
            <w:r w:rsidRPr="000549B1">
              <w:rPr>
                <w:kern w:val="0"/>
                <w:szCs w:val="21"/>
                <w:lang w:bidi="ar"/>
              </w:rPr>
              <w:t>0.208</w:t>
            </w:r>
          </w:p>
        </w:tc>
        <w:tc>
          <w:tcPr>
            <w:tcW w:w="615" w:type="pct"/>
            <w:tcBorders>
              <w:top w:val="single" w:sz="4" w:space="0" w:color="000000"/>
              <w:left w:val="single" w:sz="4" w:space="0" w:color="000000"/>
              <w:bottom w:val="single" w:sz="4" w:space="0" w:color="000000"/>
              <w:right w:val="single" w:sz="4" w:space="0" w:color="000000"/>
            </w:tcBorders>
            <w:noWrap/>
            <w:vAlign w:val="center"/>
          </w:tcPr>
          <w:p w14:paraId="52FCF2F8" w14:textId="77777777" w:rsidR="00054437" w:rsidRPr="000549B1" w:rsidRDefault="00000000">
            <w:pPr>
              <w:widowControl/>
              <w:jc w:val="center"/>
              <w:textAlignment w:val="center"/>
              <w:rPr>
                <w:szCs w:val="21"/>
              </w:rPr>
            </w:pPr>
            <w:r w:rsidRPr="000549B1">
              <w:rPr>
                <w:kern w:val="0"/>
                <w:szCs w:val="21"/>
                <w:lang w:bidi="ar"/>
              </w:rPr>
              <w:t>0.028</w:t>
            </w:r>
          </w:p>
        </w:tc>
      </w:tr>
      <w:tr w:rsidR="000549B1" w:rsidRPr="000549B1" w14:paraId="09652ADC" w14:textId="77777777" w:rsidTr="00407DFF">
        <w:trPr>
          <w:trHeight w:val="270"/>
        </w:trPr>
        <w:tc>
          <w:tcPr>
            <w:tcW w:w="1320" w:type="pct"/>
            <w:vMerge/>
            <w:tcBorders>
              <w:top w:val="single" w:sz="4" w:space="0" w:color="000000"/>
              <w:left w:val="single" w:sz="4" w:space="0" w:color="000000"/>
              <w:bottom w:val="single" w:sz="4" w:space="0" w:color="000000"/>
              <w:right w:val="single" w:sz="4" w:space="0" w:color="000000"/>
            </w:tcBorders>
            <w:noWrap/>
            <w:vAlign w:val="center"/>
          </w:tcPr>
          <w:p w14:paraId="5D5CA3A4" w14:textId="77777777" w:rsidR="00054437" w:rsidRPr="000549B1" w:rsidRDefault="00054437">
            <w:pPr>
              <w:jc w:val="center"/>
              <w:rPr>
                <w:szCs w:val="21"/>
              </w:rPr>
            </w:pPr>
          </w:p>
        </w:tc>
        <w:tc>
          <w:tcPr>
            <w:tcW w:w="803" w:type="pct"/>
            <w:vMerge w:val="restart"/>
            <w:tcBorders>
              <w:top w:val="single" w:sz="4" w:space="0" w:color="000000"/>
              <w:left w:val="single" w:sz="4" w:space="0" w:color="000000"/>
              <w:bottom w:val="single" w:sz="4" w:space="0" w:color="000000"/>
              <w:right w:val="single" w:sz="4" w:space="0" w:color="000000"/>
            </w:tcBorders>
            <w:noWrap/>
            <w:vAlign w:val="center"/>
          </w:tcPr>
          <w:p w14:paraId="45FEC16A" w14:textId="77777777" w:rsidR="00054437" w:rsidRPr="000549B1" w:rsidRDefault="00000000">
            <w:pPr>
              <w:widowControl/>
              <w:jc w:val="center"/>
              <w:textAlignment w:val="center"/>
              <w:rPr>
                <w:szCs w:val="21"/>
              </w:rPr>
            </w:pPr>
            <w:r w:rsidRPr="000549B1">
              <w:rPr>
                <w:kern w:val="0"/>
                <w:szCs w:val="21"/>
                <w:lang w:bidi="ar"/>
              </w:rPr>
              <w:t>2021</w:t>
            </w:r>
            <w:r w:rsidRPr="000549B1">
              <w:rPr>
                <w:kern w:val="0"/>
                <w:szCs w:val="21"/>
                <w:lang w:bidi="ar"/>
              </w:rPr>
              <w:t>年</w:t>
            </w:r>
          </w:p>
        </w:tc>
        <w:tc>
          <w:tcPr>
            <w:tcW w:w="1132" w:type="pct"/>
            <w:tcBorders>
              <w:top w:val="single" w:sz="4" w:space="0" w:color="000000"/>
              <w:left w:val="single" w:sz="4" w:space="0" w:color="000000"/>
              <w:bottom w:val="single" w:sz="4" w:space="0" w:color="000000"/>
              <w:right w:val="single" w:sz="4" w:space="0" w:color="000000"/>
            </w:tcBorders>
            <w:noWrap/>
            <w:vAlign w:val="center"/>
          </w:tcPr>
          <w:p w14:paraId="594EDC7E" w14:textId="77777777" w:rsidR="00054437" w:rsidRPr="000549B1" w:rsidRDefault="00000000">
            <w:pPr>
              <w:widowControl/>
              <w:jc w:val="center"/>
              <w:textAlignment w:val="center"/>
              <w:rPr>
                <w:szCs w:val="21"/>
              </w:rPr>
            </w:pPr>
            <w:r w:rsidRPr="000549B1">
              <w:rPr>
                <w:kern w:val="0"/>
                <w:szCs w:val="21"/>
                <w:lang w:bidi="ar"/>
              </w:rPr>
              <w:t>合计</w:t>
            </w:r>
          </w:p>
        </w:tc>
        <w:tc>
          <w:tcPr>
            <w:tcW w:w="1130" w:type="pct"/>
            <w:tcBorders>
              <w:top w:val="single" w:sz="4" w:space="0" w:color="000000"/>
              <w:left w:val="single" w:sz="4" w:space="0" w:color="000000"/>
              <w:bottom w:val="single" w:sz="4" w:space="0" w:color="000000"/>
              <w:right w:val="single" w:sz="4" w:space="0" w:color="000000"/>
            </w:tcBorders>
            <w:noWrap/>
            <w:vAlign w:val="center"/>
          </w:tcPr>
          <w:p w14:paraId="416DB793" w14:textId="77777777" w:rsidR="00054437" w:rsidRPr="000549B1" w:rsidRDefault="00000000">
            <w:pPr>
              <w:widowControl/>
              <w:jc w:val="center"/>
              <w:textAlignment w:val="center"/>
              <w:rPr>
                <w:szCs w:val="21"/>
              </w:rPr>
            </w:pPr>
            <w:r w:rsidRPr="000549B1">
              <w:rPr>
                <w:kern w:val="0"/>
                <w:szCs w:val="21"/>
                <w:lang w:bidi="ar"/>
              </w:rPr>
              <w:t>0.174</w:t>
            </w:r>
          </w:p>
        </w:tc>
        <w:tc>
          <w:tcPr>
            <w:tcW w:w="615" w:type="pct"/>
            <w:tcBorders>
              <w:top w:val="single" w:sz="4" w:space="0" w:color="000000"/>
              <w:left w:val="single" w:sz="4" w:space="0" w:color="000000"/>
              <w:bottom w:val="single" w:sz="4" w:space="0" w:color="000000"/>
              <w:right w:val="single" w:sz="4" w:space="0" w:color="000000"/>
            </w:tcBorders>
            <w:noWrap/>
            <w:vAlign w:val="center"/>
          </w:tcPr>
          <w:p w14:paraId="2928482A" w14:textId="77777777" w:rsidR="00054437" w:rsidRPr="000549B1" w:rsidRDefault="00000000">
            <w:pPr>
              <w:widowControl/>
              <w:jc w:val="center"/>
              <w:textAlignment w:val="center"/>
              <w:rPr>
                <w:szCs w:val="21"/>
              </w:rPr>
            </w:pPr>
            <w:r w:rsidRPr="000549B1">
              <w:rPr>
                <w:kern w:val="0"/>
                <w:szCs w:val="21"/>
                <w:lang w:bidi="ar"/>
              </w:rPr>
              <w:t>0.023</w:t>
            </w:r>
          </w:p>
        </w:tc>
      </w:tr>
      <w:tr w:rsidR="000549B1" w:rsidRPr="000549B1" w14:paraId="275398D8" w14:textId="77777777" w:rsidTr="00407DFF">
        <w:trPr>
          <w:trHeight w:val="270"/>
        </w:trPr>
        <w:tc>
          <w:tcPr>
            <w:tcW w:w="1320" w:type="pct"/>
            <w:vMerge/>
            <w:tcBorders>
              <w:top w:val="single" w:sz="4" w:space="0" w:color="000000"/>
              <w:left w:val="single" w:sz="4" w:space="0" w:color="000000"/>
              <w:bottom w:val="single" w:sz="4" w:space="0" w:color="000000"/>
              <w:right w:val="single" w:sz="4" w:space="0" w:color="000000"/>
            </w:tcBorders>
            <w:noWrap/>
            <w:vAlign w:val="center"/>
          </w:tcPr>
          <w:p w14:paraId="0929E4DC" w14:textId="77777777" w:rsidR="00054437" w:rsidRPr="000549B1" w:rsidRDefault="00054437">
            <w:pPr>
              <w:jc w:val="center"/>
              <w:rPr>
                <w:szCs w:val="21"/>
              </w:rPr>
            </w:pPr>
          </w:p>
        </w:tc>
        <w:tc>
          <w:tcPr>
            <w:tcW w:w="803" w:type="pct"/>
            <w:vMerge/>
            <w:tcBorders>
              <w:top w:val="single" w:sz="4" w:space="0" w:color="000000"/>
              <w:left w:val="single" w:sz="4" w:space="0" w:color="000000"/>
              <w:bottom w:val="single" w:sz="4" w:space="0" w:color="000000"/>
              <w:right w:val="single" w:sz="4" w:space="0" w:color="000000"/>
            </w:tcBorders>
            <w:noWrap/>
            <w:vAlign w:val="center"/>
          </w:tcPr>
          <w:p w14:paraId="273D8279" w14:textId="77777777" w:rsidR="00054437" w:rsidRPr="000549B1" w:rsidRDefault="00054437">
            <w:pPr>
              <w:jc w:val="center"/>
              <w:rPr>
                <w:szCs w:val="21"/>
              </w:rPr>
            </w:pPr>
          </w:p>
        </w:tc>
        <w:tc>
          <w:tcPr>
            <w:tcW w:w="1132" w:type="pct"/>
            <w:tcBorders>
              <w:top w:val="single" w:sz="4" w:space="0" w:color="000000"/>
              <w:left w:val="single" w:sz="4" w:space="0" w:color="000000"/>
              <w:bottom w:val="single" w:sz="4" w:space="0" w:color="000000"/>
              <w:right w:val="single" w:sz="4" w:space="0" w:color="000000"/>
            </w:tcBorders>
            <w:noWrap/>
            <w:vAlign w:val="bottom"/>
          </w:tcPr>
          <w:p w14:paraId="7DC3186C" w14:textId="77777777" w:rsidR="00054437" w:rsidRPr="000549B1" w:rsidRDefault="00000000">
            <w:pPr>
              <w:widowControl/>
              <w:jc w:val="center"/>
              <w:textAlignment w:val="bottom"/>
              <w:rPr>
                <w:szCs w:val="21"/>
              </w:rPr>
            </w:pPr>
            <w:r w:rsidRPr="000549B1">
              <w:rPr>
                <w:kern w:val="0"/>
                <w:szCs w:val="21"/>
                <w:lang w:bidi="ar"/>
              </w:rPr>
              <w:t>工业排放量</w:t>
            </w:r>
          </w:p>
        </w:tc>
        <w:tc>
          <w:tcPr>
            <w:tcW w:w="1130" w:type="pct"/>
            <w:tcBorders>
              <w:top w:val="single" w:sz="4" w:space="0" w:color="000000"/>
              <w:left w:val="single" w:sz="4" w:space="0" w:color="000000"/>
              <w:bottom w:val="single" w:sz="4" w:space="0" w:color="000000"/>
              <w:right w:val="single" w:sz="4" w:space="0" w:color="000000"/>
            </w:tcBorders>
            <w:noWrap/>
            <w:vAlign w:val="center"/>
          </w:tcPr>
          <w:p w14:paraId="408CD77A" w14:textId="77777777" w:rsidR="00054437" w:rsidRPr="000549B1" w:rsidRDefault="00000000">
            <w:pPr>
              <w:widowControl/>
              <w:jc w:val="center"/>
              <w:textAlignment w:val="center"/>
              <w:rPr>
                <w:szCs w:val="21"/>
              </w:rPr>
            </w:pPr>
            <w:r w:rsidRPr="000549B1">
              <w:rPr>
                <w:kern w:val="0"/>
                <w:szCs w:val="21"/>
                <w:lang w:bidi="ar"/>
              </w:rPr>
              <w:t>0.172</w:t>
            </w:r>
          </w:p>
        </w:tc>
        <w:tc>
          <w:tcPr>
            <w:tcW w:w="615" w:type="pct"/>
            <w:tcBorders>
              <w:top w:val="single" w:sz="4" w:space="0" w:color="000000"/>
              <w:left w:val="single" w:sz="4" w:space="0" w:color="000000"/>
              <w:bottom w:val="single" w:sz="4" w:space="0" w:color="000000"/>
              <w:right w:val="single" w:sz="4" w:space="0" w:color="000000"/>
            </w:tcBorders>
            <w:noWrap/>
            <w:vAlign w:val="center"/>
          </w:tcPr>
          <w:p w14:paraId="7633410D" w14:textId="77777777" w:rsidR="00054437" w:rsidRPr="000549B1" w:rsidRDefault="00000000">
            <w:pPr>
              <w:widowControl/>
              <w:jc w:val="center"/>
              <w:textAlignment w:val="center"/>
              <w:rPr>
                <w:szCs w:val="21"/>
              </w:rPr>
            </w:pPr>
            <w:r w:rsidRPr="000549B1">
              <w:rPr>
                <w:kern w:val="0"/>
                <w:szCs w:val="21"/>
                <w:lang w:bidi="ar"/>
              </w:rPr>
              <w:t>0.023</w:t>
            </w:r>
          </w:p>
        </w:tc>
      </w:tr>
      <w:tr w:rsidR="000549B1" w:rsidRPr="000549B1" w14:paraId="517F7E95" w14:textId="77777777" w:rsidTr="00407DFF">
        <w:trPr>
          <w:trHeight w:val="270"/>
        </w:trPr>
        <w:tc>
          <w:tcPr>
            <w:tcW w:w="1320" w:type="pct"/>
            <w:vMerge/>
            <w:tcBorders>
              <w:top w:val="single" w:sz="4" w:space="0" w:color="000000"/>
              <w:left w:val="single" w:sz="4" w:space="0" w:color="000000"/>
              <w:bottom w:val="single" w:sz="4" w:space="0" w:color="000000"/>
              <w:right w:val="single" w:sz="4" w:space="0" w:color="000000"/>
            </w:tcBorders>
            <w:noWrap/>
            <w:vAlign w:val="center"/>
          </w:tcPr>
          <w:p w14:paraId="4D1B5987" w14:textId="77777777" w:rsidR="00054437" w:rsidRPr="000549B1" w:rsidRDefault="00054437">
            <w:pPr>
              <w:jc w:val="center"/>
              <w:rPr>
                <w:szCs w:val="21"/>
              </w:rPr>
            </w:pPr>
          </w:p>
        </w:tc>
        <w:tc>
          <w:tcPr>
            <w:tcW w:w="803" w:type="pct"/>
            <w:vMerge w:val="restart"/>
            <w:tcBorders>
              <w:top w:val="single" w:sz="4" w:space="0" w:color="000000"/>
              <w:left w:val="single" w:sz="4" w:space="0" w:color="000000"/>
              <w:bottom w:val="single" w:sz="4" w:space="0" w:color="000000"/>
              <w:right w:val="single" w:sz="4" w:space="0" w:color="000000"/>
            </w:tcBorders>
            <w:noWrap/>
            <w:vAlign w:val="center"/>
          </w:tcPr>
          <w:p w14:paraId="2D467FB0" w14:textId="77777777" w:rsidR="00054437" w:rsidRPr="000549B1" w:rsidRDefault="00000000">
            <w:pPr>
              <w:widowControl/>
              <w:jc w:val="center"/>
              <w:textAlignment w:val="center"/>
              <w:rPr>
                <w:szCs w:val="21"/>
              </w:rPr>
            </w:pPr>
            <w:r w:rsidRPr="000549B1">
              <w:rPr>
                <w:kern w:val="0"/>
                <w:szCs w:val="21"/>
                <w:lang w:bidi="ar"/>
              </w:rPr>
              <w:t>2022</w:t>
            </w:r>
            <w:r w:rsidRPr="000549B1">
              <w:rPr>
                <w:kern w:val="0"/>
                <w:szCs w:val="21"/>
                <w:lang w:bidi="ar"/>
              </w:rPr>
              <w:t>年</w:t>
            </w:r>
          </w:p>
        </w:tc>
        <w:tc>
          <w:tcPr>
            <w:tcW w:w="1132" w:type="pct"/>
            <w:tcBorders>
              <w:top w:val="single" w:sz="4" w:space="0" w:color="000000"/>
              <w:left w:val="single" w:sz="4" w:space="0" w:color="000000"/>
              <w:bottom w:val="single" w:sz="4" w:space="0" w:color="000000"/>
              <w:right w:val="single" w:sz="4" w:space="0" w:color="000000"/>
            </w:tcBorders>
            <w:noWrap/>
            <w:vAlign w:val="center"/>
          </w:tcPr>
          <w:p w14:paraId="049D4F25" w14:textId="77777777" w:rsidR="00054437" w:rsidRPr="000549B1" w:rsidRDefault="00000000">
            <w:pPr>
              <w:widowControl/>
              <w:jc w:val="center"/>
              <w:textAlignment w:val="center"/>
              <w:rPr>
                <w:szCs w:val="21"/>
              </w:rPr>
            </w:pPr>
            <w:r w:rsidRPr="000549B1">
              <w:rPr>
                <w:kern w:val="0"/>
                <w:szCs w:val="21"/>
                <w:lang w:bidi="ar"/>
              </w:rPr>
              <w:t>合计</w:t>
            </w:r>
          </w:p>
        </w:tc>
        <w:tc>
          <w:tcPr>
            <w:tcW w:w="1130" w:type="pct"/>
            <w:tcBorders>
              <w:top w:val="single" w:sz="4" w:space="0" w:color="000000"/>
              <w:left w:val="single" w:sz="4" w:space="0" w:color="000000"/>
              <w:bottom w:val="single" w:sz="4" w:space="0" w:color="000000"/>
              <w:right w:val="single" w:sz="4" w:space="0" w:color="000000"/>
            </w:tcBorders>
            <w:noWrap/>
            <w:vAlign w:val="center"/>
          </w:tcPr>
          <w:p w14:paraId="21F1E781" w14:textId="77777777" w:rsidR="00054437" w:rsidRPr="000549B1" w:rsidRDefault="00000000">
            <w:pPr>
              <w:widowControl/>
              <w:jc w:val="center"/>
              <w:textAlignment w:val="center"/>
              <w:rPr>
                <w:szCs w:val="21"/>
              </w:rPr>
            </w:pPr>
            <w:r w:rsidRPr="000549B1">
              <w:rPr>
                <w:kern w:val="0"/>
                <w:szCs w:val="21"/>
                <w:lang w:bidi="ar"/>
              </w:rPr>
              <w:t>1.723</w:t>
            </w:r>
          </w:p>
        </w:tc>
        <w:tc>
          <w:tcPr>
            <w:tcW w:w="615" w:type="pct"/>
            <w:tcBorders>
              <w:top w:val="single" w:sz="4" w:space="0" w:color="000000"/>
              <w:left w:val="single" w:sz="4" w:space="0" w:color="000000"/>
              <w:bottom w:val="single" w:sz="4" w:space="0" w:color="000000"/>
              <w:right w:val="single" w:sz="4" w:space="0" w:color="000000"/>
            </w:tcBorders>
            <w:noWrap/>
            <w:vAlign w:val="center"/>
          </w:tcPr>
          <w:p w14:paraId="584B0805" w14:textId="77777777" w:rsidR="00054437" w:rsidRPr="000549B1" w:rsidRDefault="00000000">
            <w:pPr>
              <w:widowControl/>
              <w:jc w:val="center"/>
              <w:textAlignment w:val="center"/>
              <w:rPr>
                <w:szCs w:val="21"/>
              </w:rPr>
            </w:pPr>
            <w:r w:rsidRPr="000549B1">
              <w:rPr>
                <w:kern w:val="0"/>
                <w:szCs w:val="21"/>
                <w:lang w:bidi="ar"/>
              </w:rPr>
              <w:t>0.206</w:t>
            </w:r>
          </w:p>
        </w:tc>
      </w:tr>
      <w:tr w:rsidR="000549B1" w:rsidRPr="000549B1" w14:paraId="40946B52" w14:textId="77777777" w:rsidTr="00407DFF">
        <w:trPr>
          <w:trHeight w:val="270"/>
        </w:trPr>
        <w:tc>
          <w:tcPr>
            <w:tcW w:w="1320" w:type="pct"/>
            <w:vMerge/>
            <w:tcBorders>
              <w:top w:val="single" w:sz="4" w:space="0" w:color="000000"/>
              <w:left w:val="single" w:sz="4" w:space="0" w:color="000000"/>
              <w:bottom w:val="single" w:sz="4" w:space="0" w:color="000000"/>
              <w:right w:val="single" w:sz="4" w:space="0" w:color="000000"/>
            </w:tcBorders>
            <w:noWrap/>
            <w:vAlign w:val="center"/>
          </w:tcPr>
          <w:p w14:paraId="23280102" w14:textId="77777777" w:rsidR="00054437" w:rsidRPr="000549B1" w:rsidRDefault="00054437">
            <w:pPr>
              <w:jc w:val="center"/>
              <w:rPr>
                <w:szCs w:val="21"/>
              </w:rPr>
            </w:pPr>
          </w:p>
        </w:tc>
        <w:tc>
          <w:tcPr>
            <w:tcW w:w="803" w:type="pct"/>
            <w:vMerge/>
            <w:tcBorders>
              <w:top w:val="single" w:sz="4" w:space="0" w:color="000000"/>
              <w:left w:val="single" w:sz="4" w:space="0" w:color="000000"/>
              <w:bottom w:val="single" w:sz="4" w:space="0" w:color="000000"/>
              <w:right w:val="single" w:sz="4" w:space="0" w:color="000000"/>
            </w:tcBorders>
            <w:noWrap/>
            <w:vAlign w:val="center"/>
          </w:tcPr>
          <w:p w14:paraId="50BB6C43" w14:textId="77777777" w:rsidR="00054437" w:rsidRPr="000549B1" w:rsidRDefault="00054437">
            <w:pPr>
              <w:jc w:val="center"/>
              <w:rPr>
                <w:szCs w:val="21"/>
              </w:rPr>
            </w:pPr>
          </w:p>
        </w:tc>
        <w:tc>
          <w:tcPr>
            <w:tcW w:w="1132" w:type="pct"/>
            <w:tcBorders>
              <w:top w:val="single" w:sz="4" w:space="0" w:color="000000"/>
              <w:left w:val="single" w:sz="4" w:space="0" w:color="000000"/>
              <w:bottom w:val="single" w:sz="4" w:space="0" w:color="000000"/>
              <w:right w:val="single" w:sz="4" w:space="0" w:color="000000"/>
            </w:tcBorders>
            <w:noWrap/>
            <w:vAlign w:val="bottom"/>
          </w:tcPr>
          <w:p w14:paraId="41352B91" w14:textId="77777777" w:rsidR="00054437" w:rsidRPr="000549B1" w:rsidRDefault="00000000">
            <w:pPr>
              <w:widowControl/>
              <w:jc w:val="center"/>
              <w:textAlignment w:val="bottom"/>
              <w:rPr>
                <w:szCs w:val="21"/>
              </w:rPr>
            </w:pPr>
            <w:r w:rsidRPr="000549B1">
              <w:rPr>
                <w:kern w:val="0"/>
                <w:szCs w:val="21"/>
                <w:lang w:bidi="ar"/>
              </w:rPr>
              <w:t>工业排放量</w:t>
            </w:r>
          </w:p>
        </w:tc>
        <w:tc>
          <w:tcPr>
            <w:tcW w:w="1130" w:type="pct"/>
            <w:tcBorders>
              <w:top w:val="single" w:sz="4" w:space="0" w:color="000000"/>
              <w:left w:val="single" w:sz="4" w:space="0" w:color="000000"/>
              <w:bottom w:val="single" w:sz="4" w:space="0" w:color="000000"/>
              <w:right w:val="single" w:sz="4" w:space="0" w:color="000000"/>
            </w:tcBorders>
            <w:noWrap/>
            <w:vAlign w:val="center"/>
          </w:tcPr>
          <w:p w14:paraId="2FD542BA" w14:textId="77777777" w:rsidR="00054437" w:rsidRPr="000549B1" w:rsidRDefault="00000000">
            <w:pPr>
              <w:widowControl/>
              <w:jc w:val="center"/>
              <w:textAlignment w:val="center"/>
              <w:rPr>
                <w:szCs w:val="21"/>
              </w:rPr>
            </w:pPr>
            <w:r w:rsidRPr="000549B1">
              <w:rPr>
                <w:kern w:val="0"/>
                <w:szCs w:val="21"/>
                <w:lang w:bidi="ar"/>
              </w:rPr>
              <w:t>0.148</w:t>
            </w:r>
          </w:p>
        </w:tc>
        <w:tc>
          <w:tcPr>
            <w:tcW w:w="615" w:type="pct"/>
            <w:tcBorders>
              <w:top w:val="single" w:sz="4" w:space="0" w:color="000000"/>
              <w:left w:val="single" w:sz="4" w:space="0" w:color="000000"/>
              <w:bottom w:val="single" w:sz="4" w:space="0" w:color="000000"/>
              <w:right w:val="single" w:sz="4" w:space="0" w:color="000000"/>
            </w:tcBorders>
            <w:noWrap/>
            <w:vAlign w:val="center"/>
          </w:tcPr>
          <w:p w14:paraId="236DA660" w14:textId="77777777" w:rsidR="00054437" w:rsidRPr="000549B1" w:rsidRDefault="00000000">
            <w:pPr>
              <w:widowControl/>
              <w:jc w:val="center"/>
              <w:textAlignment w:val="center"/>
              <w:rPr>
                <w:szCs w:val="21"/>
              </w:rPr>
            </w:pPr>
            <w:r w:rsidRPr="000549B1">
              <w:rPr>
                <w:kern w:val="0"/>
                <w:szCs w:val="21"/>
                <w:lang w:bidi="ar"/>
              </w:rPr>
              <w:t>0.014</w:t>
            </w:r>
          </w:p>
        </w:tc>
      </w:tr>
      <w:tr w:rsidR="000549B1" w:rsidRPr="000549B1" w14:paraId="1D25C367" w14:textId="77777777" w:rsidTr="00407DFF">
        <w:trPr>
          <w:trHeight w:val="270"/>
        </w:trPr>
        <w:tc>
          <w:tcPr>
            <w:tcW w:w="1320" w:type="pct"/>
            <w:vMerge/>
            <w:tcBorders>
              <w:top w:val="single" w:sz="4" w:space="0" w:color="000000"/>
              <w:left w:val="single" w:sz="4" w:space="0" w:color="000000"/>
              <w:bottom w:val="single" w:sz="4" w:space="0" w:color="000000"/>
              <w:right w:val="single" w:sz="4" w:space="0" w:color="000000"/>
            </w:tcBorders>
            <w:noWrap/>
            <w:vAlign w:val="center"/>
          </w:tcPr>
          <w:p w14:paraId="18E5F658" w14:textId="77777777" w:rsidR="00054437" w:rsidRPr="000549B1" w:rsidRDefault="00054437">
            <w:pPr>
              <w:jc w:val="center"/>
              <w:rPr>
                <w:szCs w:val="21"/>
              </w:rPr>
            </w:pPr>
          </w:p>
        </w:tc>
        <w:tc>
          <w:tcPr>
            <w:tcW w:w="803" w:type="pct"/>
            <w:vMerge w:val="restart"/>
            <w:tcBorders>
              <w:top w:val="single" w:sz="4" w:space="0" w:color="000000"/>
              <w:left w:val="single" w:sz="4" w:space="0" w:color="000000"/>
              <w:bottom w:val="single" w:sz="4" w:space="0" w:color="000000"/>
              <w:right w:val="single" w:sz="4" w:space="0" w:color="000000"/>
            </w:tcBorders>
            <w:noWrap/>
            <w:vAlign w:val="center"/>
          </w:tcPr>
          <w:p w14:paraId="4928415F" w14:textId="77777777" w:rsidR="00054437" w:rsidRPr="000549B1" w:rsidRDefault="00000000">
            <w:pPr>
              <w:widowControl/>
              <w:jc w:val="center"/>
              <w:textAlignment w:val="center"/>
              <w:rPr>
                <w:szCs w:val="21"/>
              </w:rPr>
            </w:pPr>
            <w:r w:rsidRPr="000549B1">
              <w:rPr>
                <w:kern w:val="0"/>
                <w:szCs w:val="21"/>
                <w:lang w:bidi="ar"/>
              </w:rPr>
              <w:t>2023</w:t>
            </w:r>
            <w:r w:rsidRPr="000549B1">
              <w:rPr>
                <w:kern w:val="0"/>
                <w:szCs w:val="21"/>
                <w:lang w:bidi="ar"/>
              </w:rPr>
              <w:t>年</w:t>
            </w:r>
          </w:p>
        </w:tc>
        <w:tc>
          <w:tcPr>
            <w:tcW w:w="1132" w:type="pct"/>
            <w:tcBorders>
              <w:top w:val="single" w:sz="4" w:space="0" w:color="000000"/>
              <w:left w:val="single" w:sz="4" w:space="0" w:color="000000"/>
              <w:bottom w:val="single" w:sz="4" w:space="0" w:color="000000"/>
              <w:right w:val="single" w:sz="4" w:space="0" w:color="000000"/>
            </w:tcBorders>
            <w:noWrap/>
            <w:vAlign w:val="center"/>
          </w:tcPr>
          <w:p w14:paraId="2860A438" w14:textId="77777777" w:rsidR="00054437" w:rsidRPr="000549B1" w:rsidRDefault="00000000">
            <w:pPr>
              <w:widowControl/>
              <w:jc w:val="center"/>
              <w:textAlignment w:val="center"/>
              <w:rPr>
                <w:szCs w:val="21"/>
              </w:rPr>
            </w:pPr>
            <w:r w:rsidRPr="000549B1">
              <w:rPr>
                <w:kern w:val="0"/>
                <w:szCs w:val="21"/>
                <w:lang w:bidi="ar"/>
              </w:rPr>
              <w:t>合计</w:t>
            </w:r>
          </w:p>
        </w:tc>
        <w:tc>
          <w:tcPr>
            <w:tcW w:w="1130" w:type="pct"/>
            <w:tcBorders>
              <w:top w:val="single" w:sz="4" w:space="0" w:color="000000"/>
              <w:left w:val="single" w:sz="4" w:space="0" w:color="000000"/>
              <w:bottom w:val="single" w:sz="4" w:space="0" w:color="000000"/>
              <w:right w:val="single" w:sz="4" w:space="0" w:color="000000"/>
            </w:tcBorders>
            <w:noWrap/>
            <w:vAlign w:val="center"/>
          </w:tcPr>
          <w:p w14:paraId="1E88AF7E" w14:textId="77777777" w:rsidR="00054437" w:rsidRPr="000549B1" w:rsidRDefault="00000000">
            <w:pPr>
              <w:widowControl/>
              <w:jc w:val="center"/>
              <w:textAlignment w:val="center"/>
              <w:rPr>
                <w:szCs w:val="21"/>
              </w:rPr>
            </w:pPr>
            <w:r w:rsidRPr="000549B1">
              <w:rPr>
                <w:kern w:val="0"/>
                <w:szCs w:val="21"/>
                <w:lang w:bidi="ar"/>
              </w:rPr>
              <w:t>0.908</w:t>
            </w:r>
          </w:p>
        </w:tc>
        <w:tc>
          <w:tcPr>
            <w:tcW w:w="615" w:type="pct"/>
            <w:tcBorders>
              <w:top w:val="single" w:sz="4" w:space="0" w:color="000000"/>
              <w:left w:val="single" w:sz="4" w:space="0" w:color="000000"/>
              <w:bottom w:val="single" w:sz="4" w:space="0" w:color="000000"/>
              <w:right w:val="single" w:sz="4" w:space="0" w:color="000000"/>
            </w:tcBorders>
            <w:noWrap/>
            <w:vAlign w:val="center"/>
          </w:tcPr>
          <w:p w14:paraId="7CC1429F" w14:textId="77777777" w:rsidR="00054437" w:rsidRPr="000549B1" w:rsidRDefault="00000000">
            <w:pPr>
              <w:widowControl/>
              <w:jc w:val="center"/>
              <w:textAlignment w:val="center"/>
              <w:rPr>
                <w:szCs w:val="21"/>
              </w:rPr>
            </w:pPr>
            <w:r w:rsidRPr="000549B1">
              <w:rPr>
                <w:kern w:val="0"/>
                <w:szCs w:val="21"/>
                <w:lang w:bidi="ar"/>
              </w:rPr>
              <w:t>0.114</w:t>
            </w:r>
          </w:p>
        </w:tc>
      </w:tr>
      <w:tr w:rsidR="000549B1" w:rsidRPr="000549B1" w14:paraId="578E8566" w14:textId="77777777" w:rsidTr="00407DFF">
        <w:trPr>
          <w:trHeight w:val="270"/>
        </w:trPr>
        <w:tc>
          <w:tcPr>
            <w:tcW w:w="1320" w:type="pct"/>
            <w:vMerge/>
            <w:tcBorders>
              <w:top w:val="single" w:sz="4" w:space="0" w:color="000000"/>
              <w:left w:val="single" w:sz="4" w:space="0" w:color="000000"/>
              <w:bottom w:val="single" w:sz="4" w:space="0" w:color="000000"/>
              <w:right w:val="single" w:sz="4" w:space="0" w:color="000000"/>
            </w:tcBorders>
            <w:noWrap/>
            <w:vAlign w:val="center"/>
          </w:tcPr>
          <w:p w14:paraId="4CC600C9" w14:textId="77777777" w:rsidR="00054437" w:rsidRPr="000549B1" w:rsidRDefault="00054437">
            <w:pPr>
              <w:jc w:val="center"/>
              <w:rPr>
                <w:szCs w:val="21"/>
              </w:rPr>
            </w:pPr>
          </w:p>
        </w:tc>
        <w:tc>
          <w:tcPr>
            <w:tcW w:w="803" w:type="pct"/>
            <w:vMerge/>
            <w:tcBorders>
              <w:top w:val="single" w:sz="4" w:space="0" w:color="000000"/>
              <w:left w:val="single" w:sz="4" w:space="0" w:color="000000"/>
              <w:bottom w:val="single" w:sz="4" w:space="0" w:color="000000"/>
              <w:right w:val="single" w:sz="4" w:space="0" w:color="000000"/>
            </w:tcBorders>
            <w:noWrap/>
            <w:vAlign w:val="center"/>
          </w:tcPr>
          <w:p w14:paraId="63190BF7" w14:textId="77777777" w:rsidR="00054437" w:rsidRPr="000549B1" w:rsidRDefault="00054437">
            <w:pPr>
              <w:jc w:val="center"/>
              <w:rPr>
                <w:szCs w:val="21"/>
              </w:rPr>
            </w:pPr>
          </w:p>
        </w:tc>
        <w:tc>
          <w:tcPr>
            <w:tcW w:w="1132" w:type="pct"/>
            <w:tcBorders>
              <w:top w:val="single" w:sz="4" w:space="0" w:color="000000"/>
              <w:left w:val="single" w:sz="4" w:space="0" w:color="000000"/>
              <w:bottom w:val="single" w:sz="4" w:space="0" w:color="000000"/>
              <w:right w:val="single" w:sz="4" w:space="0" w:color="000000"/>
            </w:tcBorders>
            <w:noWrap/>
            <w:vAlign w:val="bottom"/>
          </w:tcPr>
          <w:p w14:paraId="52ECE09D" w14:textId="77777777" w:rsidR="00054437" w:rsidRPr="000549B1" w:rsidRDefault="00000000">
            <w:pPr>
              <w:widowControl/>
              <w:jc w:val="center"/>
              <w:textAlignment w:val="bottom"/>
              <w:rPr>
                <w:szCs w:val="21"/>
              </w:rPr>
            </w:pPr>
            <w:r w:rsidRPr="000549B1">
              <w:rPr>
                <w:kern w:val="0"/>
                <w:szCs w:val="21"/>
                <w:lang w:bidi="ar"/>
              </w:rPr>
              <w:t>工业排放量</w:t>
            </w:r>
          </w:p>
        </w:tc>
        <w:tc>
          <w:tcPr>
            <w:tcW w:w="1130" w:type="pct"/>
            <w:tcBorders>
              <w:top w:val="single" w:sz="4" w:space="0" w:color="000000"/>
              <w:left w:val="single" w:sz="4" w:space="0" w:color="000000"/>
              <w:bottom w:val="single" w:sz="4" w:space="0" w:color="000000"/>
              <w:right w:val="single" w:sz="4" w:space="0" w:color="000000"/>
            </w:tcBorders>
            <w:noWrap/>
            <w:vAlign w:val="center"/>
          </w:tcPr>
          <w:p w14:paraId="6471D7BA" w14:textId="77777777" w:rsidR="00054437" w:rsidRPr="000549B1" w:rsidRDefault="00000000">
            <w:pPr>
              <w:widowControl/>
              <w:jc w:val="center"/>
              <w:textAlignment w:val="center"/>
              <w:rPr>
                <w:szCs w:val="21"/>
              </w:rPr>
            </w:pPr>
            <w:r w:rsidRPr="000549B1">
              <w:rPr>
                <w:kern w:val="0"/>
                <w:szCs w:val="21"/>
                <w:lang w:bidi="ar"/>
              </w:rPr>
              <w:t>0.234</w:t>
            </w:r>
          </w:p>
        </w:tc>
        <w:tc>
          <w:tcPr>
            <w:tcW w:w="615" w:type="pct"/>
            <w:tcBorders>
              <w:top w:val="single" w:sz="4" w:space="0" w:color="000000"/>
              <w:left w:val="single" w:sz="4" w:space="0" w:color="000000"/>
              <w:bottom w:val="single" w:sz="4" w:space="0" w:color="000000"/>
              <w:right w:val="single" w:sz="4" w:space="0" w:color="000000"/>
            </w:tcBorders>
            <w:noWrap/>
            <w:vAlign w:val="center"/>
          </w:tcPr>
          <w:p w14:paraId="7E6DDB99" w14:textId="77777777" w:rsidR="00054437" w:rsidRPr="000549B1" w:rsidRDefault="00000000">
            <w:pPr>
              <w:widowControl/>
              <w:jc w:val="center"/>
              <w:textAlignment w:val="center"/>
              <w:rPr>
                <w:szCs w:val="21"/>
              </w:rPr>
            </w:pPr>
            <w:r w:rsidRPr="000549B1">
              <w:rPr>
                <w:kern w:val="0"/>
                <w:szCs w:val="21"/>
                <w:lang w:bidi="ar"/>
              </w:rPr>
              <w:t>0.022</w:t>
            </w:r>
          </w:p>
        </w:tc>
      </w:tr>
      <w:tr w:rsidR="000549B1" w:rsidRPr="000549B1" w14:paraId="59AC5F73" w14:textId="77777777" w:rsidTr="00407DFF">
        <w:trPr>
          <w:trHeight w:val="270"/>
        </w:trPr>
        <w:tc>
          <w:tcPr>
            <w:tcW w:w="1320" w:type="pct"/>
            <w:vMerge/>
            <w:tcBorders>
              <w:top w:val="single" w:sz="4" w:space="0" w:color="000000"/>
              <w:left w:val="single" w:sz="4" w:space="0" w:color="000000"/>
              <w:bottom w:val="single" w:sz="4" w:space="0" w:color="000000"/>
              <w:right w:val="single" w:sz="4" w:space="0" w:color="000000"/>
            </w:tcBorders>
            <w:noWrap/>
            <w:vAlign w:val="center"/>
          </w:tcPr>
          <w:p w14:paraId="11A08DF9" w14:textId="77777777" w:rsidR="00054437" w:rsidRPr="000549B1" w:rsidRDefault="00054437">
            <w:pPr>
              <w:jc w:val="center"/>
              <w:rPr>
                <w:szCs w:val="21"/>
              </w:rPr>
            </w:pPr>
          </w:p>
        </w:tc>
        <w:tc>
          <w:tcPr>
            <w:tcW w:w="803" w:type="pct"/>
            <w:vMerge w:val="restart"/>
            <w:tcBorders>
              <w:top w:val="single" w:sz="4" w:space="0" w:color="000000"/>
              <w:left w:val="single" w:sz="4" w:space="0" w:color="000000"/>
              <w:bottom w:val="single" w:sz="4" w:space="0" w:color="000000"/>
              <w:right w:val="single" w:sz="4" w:space="0" w:color="000000"/>
            </w:tcBorders>
            <w:noWrap/>
            <w:vAlign w:val="center"/>
          </w:tcPr>
          <w:p w14:paraId="57733CDB" w14:textId="77777777" w:rsidR="00054437" w:rsidRPr="000549B1" w:rsidRDefault="00000000">
            <w:pPr>
              <w:widowControl/>
              <w:jc w:val="center"/>
              <w:textAlignment w:val="center"/>
              <w:rPr>
                <w:szCs w:val="21"/>
              </w:rPr>
            </w:pPr>
            <w:r w:rsidRPr="000549B1">
              <w:rPr>
                <w:kern w:val="0"/>
                <w:szCs w:val="21"/>
                <w:lang w:bidi="ar"/>
              </w:rPr>
              <w:t>2024</w:t>
            </w:r>
            <w:r w:rsidRPr="000549B1">
              <w:rPr>
                <w:kern w:val="0"/>
                <w:szCs w:val="21"/>
                <w:lang w:bidi="ar"/>
              </w:rPr>
              <w:t>年</w:t>
            </w:r>
          </w:p>
        </w:tc>
        <w:tc>
          <w:tcPr>
            <w:tcW w:w="1132" w:type="pct"/>
            <w:tcBorders>
              <w:top w:val="single" w:sz="4" w:space="0" w:color="000000"/>
              <w:left w:val="single" w:sz="4" w:space="0" w:color="000000"/>
              <w:bottom w:val="single" w:sz="4" w:space="0" w:color="000000"/>
              <w:right w:val="single" w:sz="4" w:space="0" w:color="000000"/>
            </w:tcBorders>
            <w:noWrap/>
            <w:vAlign w:val="center"/>
          </w:tcPr>
          <w:p w14:paraId="7AF28E9F" w14:textId="77777777" w:rsidR="00054437" w:rsidRPr="000549B1" w:rsidRDefault="00000000">
            <w:pPr>
              <w:widowControl/>
              <w:jc w:val="center"/>
              <w:textAlignment w:val="center"/>
              <w:rPr>
                <w:szCs w:val="21"/>
              </w:rPr>
            </w:pPr>
            <w:r w:rsidRPr="000549B1">
              <w:rPr>
                <w:kern w:val="0"/>
                <w:szCs w:val="21"/>
                <w:lang w:bidi="ar"/>
              </w:rPr>
              <w:t>合计</w:t>
            </w:r>
          </w:p>
        </w:tc>
        <w:tc>
          <w:tcPr>
            <w:tcW w:w="1130" w:type="pct"/>
            <w:tcBorders>
              <w:top w:val="single" w:sz="4" w:space="0" w:color="000000"/>
              <w:left w:val="single" w:sz="4" w:space="0" w:color="000000"/>
              <w:bottom w:val="single" w:sz="4" w:space="0" w:color="000000"/>
              <w:right w:val="single" w:sz="4" w:space="0" w:color="000000"/>
            </w:tcBorders>
            <w:noWrap/>
            <w:vAlign w:val="center"/>
          </w:tcPr>
          <w:p w14:paraId="46566DA3" w14:textId="77777777" w:rsidR="00054437" w:rsidRPr="000549B1" w:rsidRDefault="00054437">
            <w:pPr>
              <w:jc w:val="center"/>
              <w:rPr>
                <w:szCs w:val="21"/>
              </w:rPr>
            </w:pPr>
          </w:p>
        </w:tc>
        <w:tc>
          <w:tcPr>
            <w:tcW w:w="615" w:type="pct"/>
            <w:tcBorders>
              <w:top w:val="single" w:sz="4" w:space="0" w:color="000000"/>
              <w:left w:val="single" w:sz="4" w:space="0" w:color="000000"/>
              <w:bottom w:val="single" w:sz="4" w:space="0" w:color="000000"/>
              <w:right w:val="single" w:sz="4" w:space="0" w:color="000000"/>
            </w:tcBorders>
            <w:noWrap/>
            <w:vAlign w:val="center"/>
          </w:tcPr>
          <w:p w14:paraId="7CB8D410" w14:textId="77777777" w:rsidR="00054437" w:rsidRPr="000549B1" w:rsidRDefault="00054437">
            <w:pPr>
              <w:jc w:val="center"/>
              <w:rPr>
                <w:szCs w:val="21"/>
              </w:rPr>
            </w:pPr>
          </w:p>
        </w:tc>
      </w:tr>
      <w:tr w:rsidR="000549B1" w:rsidRPr="000549B1" w14:paraId="7C85BC8F" w14:textId="77777777" w:rsidTr="00407DFF">
        <w:trPr>
          <w:trHeight w:val="300"/>
        </w:trPr>
        <w:tc>
          <w:tcPr>
            <w:tcW w:w="1320" w:type="pct"/>
            <w:vMerge/>
            <w:tcBorders>
              <w:top w:val="single" w:sz="4" w:space="0" w:color="000000"/>
              <w:left w:val="single" w:sz="4" w:space="0" w:color="000000"/>
              <w:bottom w:val="single" w:sz="4" w:space="0" w:color="000000"/>
              <w:right w:val="single" w:sz="4" w:space="0" w:color="000000"/>
            </w:tcBorders>
            <w:noWrap/>
            <w:vAlign w:val="center"/>
          </w:tcPr>
          <w:p w14:paraId="44D69F83" w14:textId="77777777" w:rsidR="00054437" w:rsidRPr="000549B1" w:rsidRDefault="00054437">
            <w:pPr>
              <w:jc w:val="center"/>
              <w:rPr>
                <w:szCs w:val="21"/>
              </w:rPr>
            </w:pPr>
          </w:p>
        </w:tc>
        <w:tc>
          <w:tcPr>
            <w:tcW w:w="803" w:type="pct"/>
            <w:vMerge/>
            <w:tcBorders>
              <w:top w:val="single" w:sz="4" w:space="0" w:color="000000"/>
              <w:left w:val="single" w:sz="4" w:space="0" w:color="000000"/>
              <w:bottom w:val="single" w:sz="4" w:space="0" w:color="000000"/>
              <w:right w:val="single" w:sz="4" w:space="0" w:color="000000"/>
            </w:tcBorders>
            <w:noWrap/>
            <w:vAlign w:val="center"/>
          </w:tcPr>
          <w:p w14:paraId="78B22B2B" w14:textId="77777777" w:rsidR="00054437" w:rsidRPr="000549B1" w:rsidRDefault="00054437">
            <w:pPr>
              <w:jc w:val="center"/>
              <w:rPr>
                <w:szCs w:val="21"/>
              </w:rPr>
            </w:pPr>
          </w:p>
        </w:tc>
        <w:tc>
          <w:tcPr>
            <w:tcW w:w="1132" w:type="pct"/>
            <w:tcBorders>
              <w:top w:val="single" w:sz="4" w:space="0" w:color="000000"/>
              <w:left w:val="single" w:sz="4" w:space="0" w:color="000000"/>
              <w:bottom w:val="single" w:sz="4" w:space="0" w:color="000000"/>
              <w:right w:val="single" w:sz="4" w:space="0" w:color="000000"/>
            </w:tcBorders>
            <w:noWrap/>
            <w:vAlign w:val="bottom"/>
          </w:tcPr>
          <w:p w14:paraId="662F14DE" w14:textId="77777777" w:rsidR="00054437" w:rsidRPr="000549B1" w:rsidRDefault="00000000">
            <w:pPr>
              <w:widowControl/>
              <w:jc w:val="center"/>
              <w:textAlignment w:val="bottom"/>
              <w:rPr>
                <w:szCs w:val="21"/>
              </w:rPr>
            </w:pPr>
            <w:r w:rsidRPr="000549B1">
              <w:rPr>
                <w:kern w:val="0"/>
                <w:szCs w:val="21"/>
                <w:lang w:bidi="ar"/>
              </w:rPr>
              <w:t>工业排放量</w:t>
            </w:r>
          </w:p>
        </w:tc>
        <w:tc>
          <w:tcPr>
            <w:tcW w:w="1130" w:type="pct"/>
            <w:tcBorders>
              <w:top w:val="single" w:sz="4" w:space="0" w:color="000000"/>
              <w:left w:val="single" w:sz="4" w:space="0" w:color="000000"/>
              <w:bottom w:val="single" w:sz="4" w:space="0" w:color="000000"/>
              <w:right w:val="single" w:sz="4" w:space="0" w:color="000000"/>
            </w:tcBorders>
            <w:noWrap/>
            <w:vAlign w:val="center"/>
          </w:tcPr>
          <w:p w14:paraId="3740796B" w14:textId="77777777" w:rsidR="00054437" w:rsidRPr="000549B1" w:rsidRDefault="00054437">
            <w:pPr>
              <w:jc w:val="center"/>
              <w:rPr>
                <w:szCs w:val="21"/>
              </w:rPr>
            </w:pPr>
          </w:p>
        </w:tc>
        <w:tc>
          <w:tcPr>
            <w:tcW w:w="615" w:type="pct"/>
            <w:tcBorders>
              <w:top w:val="single" w:sz="4" w:space="0" w:color="000000"/>
              <w:left w:val="single" w:sz="4" w:space="0" w:color="000000"/>
              <w:bottom w:val="single" w:sz="4" w:space="0" w:color="000000"/>
              <w:right w:val="single" w:sz="4" w:space="0" w:color="000000"/>
            </w:tcBorders>
            <w:noWrap/>
            <w:vAlign w:val="center"/>
          </w:tcPr>
          <w:p w14:paraId="3F7EBF82" w14:textId="77777777" w:rsidR="00054437" w:rsidRPr="000549B1" w:rsidRDefault="00054437">
            <w:pPr>
              <w:rPr>
                <w:sz w:val="22"/>
              </w:rPr>
            </w:pPr>
          </w:p>
        </w:tc>
      </w:tr>
    </w:tbl>
    <w:p w14:paraId="2DD14E48" w14:textId="77777777" w:rsidR="00054437" w:rsidRPr="000549B1" w:rsidRDefault="00054437">
      <w:pPr>
        <w:snapToGrid w:val="0"/>
        <w:spacing w:line="360" w:lineRule="auto"/>
        <w:jc w:val="center"/>
        <w:rPr>
          <w:bCs/>
        </w:rPr>
      </w:pPr>
    </w:p>
    <w:p w14:paraId="51B4F37A" w14:textId="77777777" w:rsidR="00054437" w:rsidRPr="000549B1" w:rsidRDefault="00000000">
      <w:pPr>
        <w:rPr>
          <w:szCs w:val="24"/>
        </w:rPr>
      </w:pPr>
      <w:r w:rsidRPr="000549B1">
        <w:rPr>
          <w:noProof/>
        </w:rPr>
        <w:drawing>
          <wp:inline distT="0" distB="0" distL="114300" distR="114300" wp14:anchorId="6C007007" wp14:editId="359C6D56">
            <wp:extent cx="5376545" cy="3612515"/>
            <wp:effectExtent l="0" t="0" r="14605" b="6985"/>
            <wp:docPr id="5"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5ED6890" w14:textId="4E4935F6" w:rsidR="00054437" w:rsidRPr="00407DFF" w:rsidRDefault="00000000">
      <w:pPr>
        <w:pStyle w:val="aff8"/>
        <w:rPr>
          <w:rFonts w:eastAsiaTheme="minorEastAsia"/>
          <w:color w:val="auto"/>
        </w:rPr>
      </w:pPr>
      <w:r w:rsidRPr="00407DFF">
        <w:rPr>
          <w:color w:val="auto"/>
        </w:rPr>
        <w:t>图</w:t>
      </w:r>
      <w:r w:rsidR="00F1314B" w:rsidRPr="00407DFF">
        <w:rPr>
          <w:color w:val="auto"/>
        </w:rPr>
        <w:fldChar w:fldCharType="begin"/>
      </w:r>
      <w:r w:rsidR="00F1314B" w:rsidRPr="00407DFF">
        <w:rPr>
          <w:color w:val="auto"/>
        </w:rPr>
        <w:instrText xml:space="preserve"> STYLEREF 2 \s </w:instrText>
      </w:r>
      <w:r w:rsidR="00F1314B" w:rsidRPr="00407DFF">
        <w:rPr>
          <w:color w:val="auto"/>
        </w:rPr>
        <w:fldChar w:fldCharType="separate"/>
      </w:r>
      <w:r w:rsidR="00372953">
        <w:rPr>
          <w:noProof/>
          <w:color w:val="auto"/>
        </w:rPr>
        <w:t>3.3</w:t>
      </w:r>
      <w:r w:rsidR="00F1314B" w:rsidRPr="00407DFF">
        <w:rPr>
          <w:color w:val="auto"/>
        </w:rPr>
        <w:fldChar w:fldCharType="end"/>
      </w:r>
      <w:r w:rsidR="00F1314B" w:rsidRPr="00407DFF">
        <w:rPr>
          <w:color w:val="auto"/>
        </w:rPr>
        <w:noBreakHyphen/>
      </w:r>
      <w:r w:rsidR="00F1314B" w:rsidRPr="00407DFF">
        <w:rPr>
          <w:color w:val="auto"/>
        </w:rPr>
        <w:fldChar w:fldCharType="begin"/>
      </w:r>
      <w:r w:rsidR="00F1314B" w:rsidRPr="00407DFF">
        <w:rPr>
          <w:color w:val="auto"/>
        </w:rPr>
        <w:instrText xml:space="preserve"> SEQ </w:instrText>
      </w:r>
      <w:r w:rsidR="00F1314B" w:rsidRPr="00407DFF">
        <w:rPr>
          <w:color w:val="auto"/>
        </w:rPr>
        <w:instrText>图</w:instrText>
      </w:r>
      <w:r w:rsidR="00F1314B" w:rsidRPr="00407DFF">
        <w:rPr>
          <w:color w:val="auto"/>
        </w:rPr>
        <w:instrText xml:space="preserve"> \* ARABIC \s 2 </w:instrText>
      </w:r>
      <w:r w:rsidR="00F1314B" w:rsidRPr="00407DFF">
        <w:rPr>
          <w:color w:val="auto"/>
        </w:rPr>
        <w:fldChar w:fldCharType="separate"/>
      </w:r>
      <w:r w:rsidR="00372953">
        <w:rPr>
          <w:noProof/>
          <w:color w:val="auto"/>
        </w:rPr>
        <w:t>4</w:t>
      </w:r>
      <w:r w:rsidR="00F1314B" w:rsidRPr="00407DFF">
        <w:rPr>
          <w:color w:val="auto"/>
        </w:rPr>
        <w:fldChar w:fldCharType="end"/>
      </w:r>
      <w:r w:rsidR="00407DFF" w:rsidRPr="00407DFF">
        <w:rPr>
          <w:rFonts w:hint="eastAsia"/>
          <w:color w:val="auto"/>
        </w:rPr>
        <w:t>共和县、兴海县</w:t>
      </w:r>
      <w:r w:rsidR="00407DFF" w:rsidRPr="00407DFF">
        <w:rPr>
          <w:color w:val="auto"/>
          <w:szCs w:val="24"/>
        </w:rPr>
        <w:t>主要污染物排放量变化趋势图</w:t>
      </w:r>
    </w:p>
    <w:p w14:paraId="1FD11C9A" w14:textId="77777777" w:rsidR="00054437" w:rsidRPr="000549B1" w:rsidRDefault="00000000">
      <w:pPr>
        <w:snapToGrid w:val="0"/>
        <w:spacing w:line="360" w:lineRule="auto"/>
        <w:ind w:firstLineChars="200" w:firstLine="480"/>
        <w:rPr>
          <w:bCs/>
          <w:sz w:val="24"/>
          <w:szCs w:val="24"/>
        </w:rPr>
      </w:pPr>
      <w:r w:rsidRPr="000549B1">
        <w:rPr>
          <w:bCs/>
          <w:sz w:val="24"/>
          <w:szCs w:val="24"/>
        </w:rPr>
        <w:t>共和县恰卜恰镇污水处理厂设计处理规模为</w:t>
      </w:r>
      <w:r w:rsidRPr="000549B1">
        <w:rPr>
          <w:bCs/>
          <w:sz w:val="24"/>
          <w:szCs w:val="24"/>
        </w:rPr>
        <w:t>2.0</w:t>
      </w:r>
      <w:r w:rsidRPr="000549B1">
        <w:rPr>
          <w:bCs/>
          <w:sz w:val="24"/>
          <w:szCs w:val="24"/>
        </w:rPr>
        <w:t>万</w:t>
      </w:r>
      <w:r w:rsidRPr="000549B1">
        <w:rPr>
          <w:bCs/>
          <w:sz w:val="24"/>
          <w:szCs w:val="24"/>
        </w:rPr>
        <w:t>m</w:t>
      </w:r>
      <w:r w:rsidRPr="000549B1">
        <w:rPr>
          <w:bCs/>
          <w:sz w:val="24"/>
          <w:szCs w:val="24"/>
          <w:vertAlign w:val="superscript"/>
        </w:rPr>
        <w:t>3</w:t>
      </w:r>
      <w:r w:rsidRPr="000549B1">
        <w:rPr>
          <w:bCs/>
          <w:sz w:val="24"/>
          <w:szCs w:val="24"/>
        </w:rPr>
        <w:t>/d</w:t>
      </w:r>
      <w:r w:rsidRPr="000549B1">
        <w:rPr>
          <w:bCs/>
          <w:sz w:val="24"/>
          <w:szCs w:val="24"/>
        </w:rPr>
        <w:t>，其中一期</w:t>
      </w:r>
      <w:r w:rsidRPr="000549B1">
        <w:rPr>
          <w:bCs/>
          <w:sz w:val="24"/>
          <w:szCs w:val="24"/>
        </w:rPr>
        <w:t>1.0</w:t>
      </w:r>
      <w:r w:rsidRPr="000549B1">
        <w:rPr>
          <w:bCs/>
          <w:sz w:val="24"/>
          <w:szCs w:val="24"/>
        </w:rPr>
        <w:t>万</w:t>
      </w:r>
      <w:r w:rsidRPr="000549B1">
        <w:rPr>
          <w:bCs/>
          <w:sz w:val="24"/>
          <w:szCs w:val="24"/>
        </w:rPr>
        <w:t>m</w:t>
      </w:r>
      <w:r w:rsidRPr="000549B1">
        <w:rPr>
          <w:bCs/>
          <w:sz w:val="24"/>
          <w:szCs w:val="24"/>
          <w:vertAlign w:val="superscript"/>
        </w:rPr>
        <w:t>3</w:t>
      </w:r>
      <w:r w:rsidRPr="000549B1">
        <w:rPr>
          <w:bCs/>
          <w:sz w:val="24"/>
          <w:szCs w:val="24"/>
        </w:rPr>
        <w:t>/d</w:t>
      </w:r>
      <w:r w:rsidRPr="000549B1">
        <w:rPr>
          <w:bCs/>
          <w:sz w:val="24"/>
          <w:szCs w:val="24"/>
        </w:rPr>
        <w:t>，于</w:t>
      </w:r>
      <w:r w:rsidRPr="000549B1">
        <w:rPr>
          <w:bCs/>
          <w:sz w:val="24"/>
          <w:szCs w:val="24"/>
        </w:rPr>
        <w:t>2010</w:t>
      </w:r>
      <w:r w:rsidRPr="000549B1">
        <w:rPr>
          <w:bCs/>
          <w:sz w:val="24"/>
          <w:szCs w:val="24"/>
        </w:rPr>
        <w:t>年</w:t>
      </w:r>
      <w:r w:rsidRPr="000549B1">
        <w:rPr>
          <w:bCs/>
          <w:sz w:val="24"/>
          <w:szCs w:val="24"/>
        </w:rPr>
        <w:t>7</w:t>
      </w:r>
      <w:r w:rsidRPr="000549B1">
        <w:rPr>
          <w:bCs/>
          <w:sz w:val="24"/>
          <w:szCs w:val="24"/>
        </w:rPr>
        <w:t>月正式运行。处理后的出水执行《城镇污水处理厂污染物排放标准》（</w:t>
      </w:r>
      <w:r w:rsidRPr="000549B1">
        <w:rPr>
          <w:bCs/>
          <w:sz w:val="24"/>
          <w:szCs w:val="24"/>
        </w:rPr>
        <w:t>GB18918―2002</w:t>
      </w:r>
      <w:r w:rsidRPr="000549B1">
        <w:rPr>
          <w:bCs/>
          <w:sz w:val="24"/>
          <w:szCs w:val="24"/>
        </w:rPr>
        <w:t>）中一级</w:t>
      </w:r>
      <w:r w:rsidRPr="000549B1">
        <w:rPr>
          <w:bCs/>
          <w:sz w:val="24"/>
          <w:szCs w:val="24"/>
        </w:rPr>
        <w:t>B</w:t>
      </w:r>
      <w:r w:rsidRPr="000549B1">
        <w:rPr>
          <w:bCs/>
          <w:sz w:val="24"/>
          <w:szCs w:val="24"/>
        </w:rPr>
        <w:t>标准。</w:t>
      </w:r>
      <w:r w:rsidRPr="000549B1">
        <w:rPr>
          <w:bCs/>
          <w:sz w:val="24"/>
          <w:szCs w:val="24"/>
        </w:rPr>
        <w:t>2021</w:t>
      </w:r>
      <w:r w:rsidRPr="000549B1">
        <w:rPr>
          <w:bCs/>
          <w:sz w:val="24"/>
          <w:szCs w:val="24"/>
        </w:rPr>
        <w:t>年</w:t>
      </w:r>
      <w:r w:rsidRPr="000549B1">
        <w:rPr>
          <w:bCs/>
          <w:sz w:val="24"/>
          <w:szCs w:val="24"/>
        </w:rPr>
        <w:t>7</w:t>
      </w:r>
      <w:r w:rsidRPr="000549B1">
        <w:rPr>
          <w:bCs/>
          <w:sz w:val="24"/>
          <w:szCs w:val="24"/>
        </w:rPr>
        <w:t>月，共和县恰卜恰镇污水处理厂二期工程实施，</w:t>
      </w:r>
      <w:r w:rsidRPr="000549B1">
        <w:rPr>
          <w:bCs/>
          <w:sz w:val="24"/>
          <w:szCs w:val="24"/>
        </w:rPr>
        <w:t>2021</w:t>
      </w:r>
      <w:r w:rsidRPr="000549B1">
        <w:rPr>
          <w:bCs/>
          <w:sz w:val="24"/>
          <w:szCs w:val="24"/>
        </w:rPr>
        <w:t>年</w:t>
      </w:r>
      <w:r w:rsidRPr="000549B1">
        <w:rPr>
          <w:bCs/>
          <w:sz w:val="24"/>
          <w:szCs w:val="24"/>
        </w:rPr>
        <w:t>12</w:t>
      </w:r>
      <w:r w:rsidRPr="000549B1">
        <w:rPr>
          <w:bCs/>
          <w:sz w:val="24"/>
          <w:szCs w:val="24"/>
        </w:rPr>
        <w:t>月完成，</w:t>
      </w:r>
      <w:r w:rsidRPr="000549B1">
        <w:rPr>
          <w:bCs/>
          <w:sz w:val="24"/>
          <w:szCs w:val="24"/>
        </w:rPr>
        <w:t>2022</w:t>
      </w:r>
      <w:r w:rsidRPr="000549B1">
        <w:rPr>
          <w:bCs/>
          <w:sz w:val="24"/>
          <w:szCs w:val="24"/>
        </w:rPr>
        <w:t>年</w:t>
      </w:r>
      <w:r w:rsidRPr="000549B1">
        <w:rPr>
          <w:bCs/>
          <w:sz w:val="24"/>
          <w:szCs w:val="24"/>
        </w:rPr>
        <w:t>1</w:t>
      </w:r>
      <w:r w:rsidRPr="000549B1">
        <w:rPr>
          <w:bCs/>
          <w:sz w:val="24"/>
          <w:szCs w:val="24"/>
        </w:rPr>
        <w:t>月起正常运行，目前能够满足共和县城居民生活污水的处理需求。</w:t>
      </w:r>
    </w:p>
    <w:p w14:paraId="344313F1" w14:textId="77777777" w:rsidR="00054437" w:rsidRPr="000549B1" w:rsidRDefault="00000000">
      <w:pPr>
        <w:snapToGrid w:val="0"/>
        <w:spacing w:line="360" w:lineRule="auto"/>
        <w:ind w:firstLineChars="200" w:firstLine="480"/>
        <w:rPr>
          <w:rFonts w:eastAsiaTheme="minorEastAsia"/>
          <w:bCs/>
          <w:sz w:val="24"/>
          <w:szCs w:val="24"/>
        </w:rPr>
      </w:pPr>
      <w:r w:rsidRPr="000549B1">
        <w:rPr>
          <w:rFonts w:eastAsiaTheme="minorEastAsia"/>
          <w:bCs/>
          <w:sz w:val="24"/>
          <w:szCs w:val="24"/>
        </w:rPr>
        <w:t>2022</w:t>
      </w:r>
      <w:r w:rsidRPr="000549B1">
        <w:rPr>
          <w:rFonts w:eastAsiaTheme="minorEastAsia"/>
          <w:bCs/>
          <w:sz w:val="24"/>
          <w:szCs w:val="24"/>
        </w:rPr>
        <w:t>年</w:t>
      </w:r>
      <w:r w:rsidRPr="000549B1">
        <w:rPr>
          <w:rFonts w:eastAsiaTheme="minorEastAsia"/>
          <w:bCs/>
          <w:sz w:val="24"/>
          <w:szCs w:val="24"/>
        </w:rPr>
        <w:t>~2023</w:t>
      </w:r>
      <w:r w:rsidRPr="000549B1">
        <w:rPr>
          <w:rFonts w:eastAsiaTheme="minorEastAsia"/>
          <w:bCs/>
          <w:sz w:val="24"/>
          <w:szCs w:val="24"/>
        </w:rPr>
        <w:t>年兴海县污水处理厂对现有污水处理厂进行扩建，扩建规模为</w:t>
      </w:r>
      <w:r w:rsidRPr="000549B1">
        <w:rPr>
          <w:rFonts w:eastAsiaTheme="minorEastAsia"/>
          <w:bCs/>
          <w:sz w:val="24"/>
          <w:szCs w:val="24"/>
        </w:rPr>
        <w:t>3000m</w:t>
      </w:r>
      <w:r w:rsidRPr="000549B1">
        <w:rPr>
          <w:rFonts w:eastAsiaTheme="minorEastAsia"/>
          <w:bCs/>
          <w:sz w:val="24"/>
          <w:szCs w:val="24"/>
          <w:vertAlign w:val="superscript"/>
        </w:rPr>
        <w:t>3</w:t>
      </w:r>
      <w:r w:rsidRPr="000549B1">
        <w:rPr>
          <w:rFonts w:eastAsiaTheme="minorEastAsia"/>
          <w:bCs/>
          <w:sz w:val="24"/>
          <w:szCs w:val="24"/>
        </w:rPr>
        <w:t>/d</w:t>
      </w:r>
      <w:r w:rsidRPr="000549B1">
        <w:rPr>
          <w:rFonts w:eastAsiaTheme="minorEastAsia"/>
          <w:bCs/>
          <w:sz w:val="24"/>
          <w:szCs w:val="24"/>
        </w:rPr>
        <w:t>，新建改良型一体化氧化沟</w:t>
      </w:r>
      <w:r w:rsidRPr="000549B1">
        <w:rPr>
          <w:rFonts w:eastAsiaTheme="minorEastAsia"/>
          <w:bCs/>
          <w:sz w:val="24"/>
          <w:szCs w:val="24"/>
        </w:rPr>
        <w:t>1</w:t>
      </w:r>
      <w:r w:rsidRPr="000549B1">
        <w:rPr>
          <w:rFonts w:eastAsiaTheme="minorEastAsia"/>
          <w:bCs/>
          <w:sz w:val="24"/>
          <w:szCs w:val="24"/>
        </w:rPr>
        <w:t>座、深度处理车间</w:t>
      </w:r>
      <w:r w:rsidRPr="000549B1">
        <w:rPr>
          <w:rFonts w:eastAsiaTheme="minorEastAsia"/>
          <w:bCs/>
          <w:sz w:val="24"/>
          <w:szCs w:val="24"/>
        </w:rPr>
        <w:t>1</w:t>
      </w:r>
      <w:r w:rsidRPr="000549B1">
        <w:rPr>
          <w:rFonts w:eastAsiaTheme="minorEastAsia"/>
          <w:bCs/>
          <w:sz w:val="24"/>
          <w:szCs w:val="24"/>
        </w:rPr>
        <w:t>座及相关配套附属设施。扩建后，将原兴海县污水处理厂处理能力</w:t>
      </w:r>
      <w:r w:rsidRPr="000549B1">
        <w:rPr>
          <w:rFonts w:eastAsiaTheme="minorEastAsia"/>
          <w:bCs/>
          <w:sz w:val="24"/>
          <w:szCs w:val="24"/>
        </w:rPr>
        <w:t>4000m</w:t>
      </w:r>
      <w:r w:rsidRPr="000549B1">
        <w:rPr>
          <w:rFonts w:eastAsiaTheme="minorEastAsia"/>
          <w:bCs/>
          <w:sz w:val="24"/>
          <w:szCs w:val="24"/>
          <w:vertAlign w:val="superscript"/>
        </w:rPr>
        <w:t>3</w:t>
      </w:r>
      <w:r w:rsidRPr="000549B1">
        <w:rPr>
          <w:rFonts w:eastAsiaTheme="minorEastAsia"/>
          <w:bCs/>
          <w:sz w:val="24"/>
          <w:szCs w:val="24"/>
        </w:rPr>
        <w:t>/d</w:t>
      </w:r>
      <w:r w:rsidRPr="000549B1">
        <w:rPr>
          <w:rFonts w:eastAsiaTheme="minorEastAsia"/>
          <w:bCs/>
          <w:sz w:val="24"/>
          <w:szCs w:val="24"/>
        </w:rPr>
        <w:t>提升至</w:t>
      </w:r>
      <w:r w:rsidRPr="000549B1">
        <w:rPr>
          <w:rFonts w:eastAsiaTheme="minorEastAsia"/>
          <w:bCs/>
          <w:sz w:val="24"/>
          <w:szCs w:val="24"/>
        </w:rPr>
        <w:t>7000m</w:t>
      </w:r>
      <w:r w:rsidRPr="000549B1">
        <w:rPr>
          <w:rFonts w:eastAsiaTheme="minorEastAsia"/>
          <w:bCs/>
          <w:sz w:val="24"/>
          <w:szCs w:val="24"/>
          <w:vertAlign w:val="superscript"/>
        </w:rPr>
        <w:t>3</w:t>
      </w:r>
      <w:r w:rsidRPr="000549B1">
        <w:rPr>
          <w:rFonts w:eastAsiaTheme="minorEastAsia"/>
          <w:bCs/>
          <w:sz w:val="24"/>
          <w:szCs w:val="24"/>
        </w:rPr>
        <w:t>/d</w:t>
      </w:r>
      <w:r w:rsidRPr="000549B1">
        <w:rPr>
          <w:rFonts w:eastAsiaTheme="minorEastAsia"/>
          <w:bCs/>
          <w:sz w:val="24"/>
          <w:szCs w:val="24"/>
        </w:rPr>
        <w:t>，处理工艺采用改良型氧化沟</w:t>
      </w:r>
      <w:r w:rsidRPr="000549B1">
        <w:rPr>
          <w:rFonts w:eastAsiaTheme="minorEastAsia"/>
          <w:bCs/>
          <w:sz w:val="24"/>
          <w:szCs w:val="24"/>
        </w:rPr>
        <w:t>+</w:t>
      </w:r>
      <w:r w:rsidRPr="000549B1">
        <w:rPr>
          <w:rFonts w:eastAsiaTheme="minorEastAsia"/>
          <w:bCs/>
          <w:sz w:val="24"/>
          <w:szCs w:val="24"/>
        </w:rPr>
        <w:t>曝气生物滤池（</w:t>
      </w:r>
      <w:r w:rsidRPr="000549B1">
        <w:rPr>
          <w:rFonts w:eastAsiaTheme="minorEastAsia"/>
          <w:bCs/>
          <w:sz w:val="24"/>
          <w:szCs w:val="24"/>
        </w:rPr>
        <w:t>BAF</w:t>
      </w:r>
      <w:r w:rsidRPr="000549B1">
        <w:rPr>
          <w:rFonts w:eastAsiaTheme="minorEastAsia"/>
          <w:bCs/>
          <w:sz w:val="24"/>
          <w:szCs w:val="24"/>
        </w:rPr>
        <w:t>）处理工艺。运营期污水经处理达到《城镇污水处理厂污染物排放标准》（</w:t>
      </w:r>
      <w:r w:rsidRPr="000549B1">
        <w:rPr>
          <w:rFonts w:eastAsiaTheme="minorEastAsia"/>
          <w:bCs/>
          <w:sz w:val="24"/>
          <w:szCs w:val="24"/>
        </w:rPr>
        <w:t>GB18918—2002</w:t>
      </w:r>
      <w:r w:rsidRPr="000549B1">
        <w:rPr>
          <w:rFonts w:eastAsiaTheme="minorEastAsia"/>
          <w:bCs/>
          <w:sz w:val="24"/>
          <w:szCs w:val="24"/>
        </w:rPr>
        <w:t>）一级</w:t>
      </w:r>
      <w:r w:rsidRPr="000549B1">
        <w:rPr>
          <w:rFonts w:eastAsiaTheme="minorEastAsia"/>
          <w:bCs/>
          <w:sz w:val="24"/>
          <w:szCs w:val="24"/>
        </w:rPr>
        <w:t>A</w:t>
      </w:r>
      <w:r w:rsidRPr="000549B1">
        <w:rPr>
          <w:rFonts w:eastAsiaTheme="minorEastAsia"/>
          <w:bCs/>
          <w:sz w:val="24"/>
          <w:szCs w:val="24"/>
        </w:rPr>
        <w:t>标准后排入龙曲沟。</w:t>
      </w:r>
    </w:p>
    <w:p w14:paraId="0C60CFC8" w14:textId="77777777" w:rsidR="00054437" w:rsidRPr="000549B1" w:rsidRDefault="00000000">
      <w:pPr>
        <w:snapToGrid w:val="0"/>
        <w:spacing w:line="360" w:lineRule="auto"/>
        <w:ind w:firstLineChars="200" w:firstLine="480"/>
        <w:rPr>
          <w:rFonts w:eastAsiaTheme="minorEastAsia"/>
          <w:bCs/>
          <w:sz w:val="24"/>
          <w:szCs w:val="24"/>
        </w:rPr>
      </w:pPr>
      <w:r w:rsidRPr="000549B1">
        <w:rPr>
          <w:rFonts w:eastAsiaTheme="minorEastAsia"/>
          <w:bCs/>
          <w:sz w:val="24"/>
          <w:szCs w:val="24"/>
        </w:rPr>
        <w:t>兴海县河卡镇污水处理厂，设计处理能力</w:t>
      </w:r>
      <w:r w:rsidRPr="000549B1">
        <w:rPr>
          <w:rFonts w:eastAsiaTheme="minorEastAsia"/>
          <w:bCs/>
          <w:sz w:val="24"/>
          <w:szCs w:val="24"/>
        </w:rPr>
        <w:t>750t/d</w:t>
      </w:r>
      <w:r w:rsidRPr="000549B1">
        <w:rPr>
          <w:rFonts w:eastAsiaTheme="minorEastAsia"/>
          <w:bCs/>
          <w:sz w:val="24"/>
          <w:szCs w:val="24"/>
        </w:rPr>
        <w:t>，日处理旺季</w:t>
      </w:r>
      <w:r w:rsidRPr="000549B1">
        <w:rPr>
          <w:rFonts w:eastAsiaTheme="minorEastAsia"/>
          <w:bCs/>
          <w:sz w:val="24"/>
          <w:szCs w:val="24"/>
        </w:rPr>
        <w:t>750t/d</w:t>
      </w:r>
      <w:r w:rsidRPr="000549B1">
        <w:rPr>
          <w:rFonts w:eastAsiaTheme="minorEastAsia"/>
          <w:bCs/>
          <w:sz w:val="24"/>
          <w:szCs w:val="24"/>
        </w:rPr>
        <w:t>，淡季</w:t>
      </w:r>
      <w:r w:rsidRPr="000549B1">
        <w:rPr>
          <w:rFonts w:eastAsiaTheme="minorEastAsia"/>
          <w:bCs/>
          <w:sz w:val="24"/>
          <w:szCs w:val="24"/>
        </w:rPr>
        <w:t>650t/d</w:t>
      </w:r>
      <w:r w:rsidRPr="000549B1">
        <w:rPr>
          <w:rFonts w:eastAsiaTheme="minorEastAsia"/>
          <w:bCs/>
          <w:sz w:val="24"/>
          <w:szCs w:val="24"/>
        </w:rPr>
        <w:t>，运营方为青海天普伟业环保科技有限公司兴海分公司，采用</w:t>
      </w:r>
      <w:r w:rsidRPr="000549B1">
        <w:rPr>
          <w:rFonts w:eastAsiaTheme="minorEastAsia"/>
          <w:bCs/>
          <w:sz w:val="24"/>
          <w:szCs w:val="24"/>
        </w:rPr>
        <w:t>CAST</w:t>
      </w:r>
      <w:r w:rsidRPr="000549B1">
        <w:rPr>
          <w:rFonts w:eastAsiaTheme="minorEastAsia"/>
          <w:bCs/>
          <w:sz w:val="24"/>
          <w:szCs w:val="24"/>
        </w:rPr>
        <w:t>工艺，处理后的出水执行《城镇污水处理厂污染物排放标准》（</w:t>
      </w:r>
      <w:r w:rsidRPr="000549B1">
        <w:rPr>
          <w:rFonts w:eastAsiaTheme="minorEastAsia"/>
          <w:bCs/>
          <w:sz w:val="24"/>
          <w:szCs w:val="24"/>
        </w:rPr>
        <w:t>GB18918―2002</w:t>
      </w:r>
      <w:r w:rsidRPr="000549B1">
        <w:rPr>
          <w:rFonts w:eastAsiaTheme="minorEastAsia"/>
          <w:bCs/>
          <w:sz w:val="24"/>
          <w:szCs w:val="24"/>
        </w:rPr>
        <w:t>）中一级</w:t>
      </w:r>
      <w:r w:rsidRPr="000549B1">
        <w:rPr>
          <w:rFonts w:eastAsiaTheme="minorEastAsia"/>
          <w:bCs/>
          <w:sz w:val="24"/>
          <w:szCs w:val="24"/>
        </w:rPr>
        <w:t>B</w:t>
      </w:r>
      <w:r w:rsidRPr="000549B1">
        <w:rPr>
          <w:rFonts w:eastAsiaTheme="minorEastAsia"/>
          <w:bCs/>
          <w:sz w:val="24"/>
          <w:szCs w:val="24"/>
        </w:rPr>
        <w:t>标准，排入草地，自然渗透。</w:t>
      </w:r>
    </w:p>
    <w:p w14:paraId="790FED37" w14:textId="260FA0D5" w:rsidR="00054437" w:rsidRPr="000549B1" w:rsidRDefault="00000000">
      <w:pPr>
        <w:snapToGrid w:val="0"/>
        <w:spacing w:line="360" w:lineRule="auto"/>
        <w:ind w:firstLineChars="200" w:firstLine="480"/>
        <w:rPr>
          <w:bCs/>
          <w:sz w:val="24"/>
          <w:szCs w:val="24"/>
        </w:rPr>
      </w:pPr>
      <w:r w:rsidRPr="000549B1">
        <w:rPr>
          <w:rFonts w:eastAsiaTheme="minorEastAsia"/>
          <w:bCs/>
          <w:sz w:val="24"/>
          <w:szCs w:val="24"/>
        </w:rPr>
        <w:t>兴海县城和河卡镇污水处理厂尾水湿地深度净化项目总投资</w:t>
      </w:r>
      <w:r w:rsidRPr="000549B1">
        <w:rPr>
          <w:rFonts w:eastAsiaTheme="minorEastAsia"/>
          <w:bCs/>
          <w:sz w:val="24"/>
          <w:szCs w:val="24"/>
        </w:rPr>
        <w:t>4990</w:t>
      </w:r>
      <w:r w:rsidRPr="000549B1">
        <w:rPr>
          <w:rFonts w:eastAsiaTheme="minorEastAsia"/>
          <w:bCs/>
          <w:sz w:val="24"/>
          <w:szCs w:val="24"/>
        </w:rPr>
        <w:t>万元，于</w:t>
      </w:r>
      <w:r w:rsidRPr="000549B1">
        <w:rPr>
          <w:rFonts w:eastAsiaTheme="minorEastAsia"/>
          <w:bCs/>
          <w:sz w:val="24"/>
          <w:szCs w:val="24"/>
        </w:rPr>
        <w:t>2022</w:t>
      </w:r>
      <w:r w:rsidRPr="000549B1">
        <w:rPr>
          <w:rFonts w:eastAsiaTheme="minorEastAsia"/>
          <w:bCs/>
          <w:sz w:val="24"/>
          <w:szCs w:val="24"/>
        </w:rPr>
        <w:t>年</w:t>
      </w:r>
      <w:r w:rsidRPr="000549B1">
        <w:rPr>
          <w:rFonts w:eastAsiaTheme="minorEastAsia"/>
          <w:bCs/>
          <w:sz w:val="24"/>
          <w:szCs w:val="24"/>
        </w:rPr>
        <w:t>4</w:t>
      </w:r>
      <w:r w:rsidRPr="000549B1">
        <w:rPr>
          <w:rFonts w:eastAsiaTheme="minorEastAsia"/>
          <w:bCs/>
          <w:sz w:val="24"/>
          <w:szCs w:val="24"/>
        </w:rPr>
        <w:t>月</w:t>
      </w:r>
      <w:r w:rsidRPr="000549B1">
        <w:rPr>
          <w:rFonts w:eastAsiaTheme="minorEastAsia"/>
          <w:bCs/>
          <w:sz w:val="24"/>
          <w:szCs w:val="24"/>
        </w:rPr>
        <w:t>6</w:t>
      </w:r>
      <w:r w:rsidRPr="000549B1">
        <w:rPr>
          <w:rFonts w:eastAsiaTheme="minorEastAsia"/>
          <w:bCs/>
          <w:sz w:val="24"/>
          <w:szCs w:val="24"/>
        </w:rPr>
        <w:t>日开工建设，</w:t>
      </w:r>
      <w:r w:rsidRPr="000549B1">
        <w:rPr>
          <w:rFonts w:eastAsiaTheme="minorEastAsia"/>
          <w:bCs/>
          <w:sz w:val="24"/>
          <w:szCs w:val="24"/>
        </w:rPr>
        <w:t>10</w:t>
      </w:r>
      <w:r w:rsidRPr="000549B1">
        <w:rPr>
          <w:rFonts w:eastAsiaTheme="minorEastAsia"/>
          <w:bCs/>
          <w:sz w:val="24"/>
          <w:szCs w:val="24"/>
        </w:rPr>
        <w:t>月</w:t>
      </w:r>
      <w:r w:rsidRPr="000549B1">
        <w:rPr>
          <w:rFonts w:eastAsiaTheme="minorEastAsia"/>
          <w:bCs/>
          <w:sz w:val="24"/>
          <w:szCs w:val="24"/>
        </w:rPr>
        <w:t>20</w:t>
      </w:r>
      <w:r w:rsidRPr="000549B1">
        <w:rPr>
          <w:rFonts w:eastAsiaTheme="minorEastAsia"/>
          <w:bCs/>
          <w:sz w:val="24"/>
          <w:szCs w:val="24"/>
        </w:rPr>
        <w:t>日完成建设。项目采用</w:t>
      </w:r>
      <w:r w:rsidRPr="000549B1">
        <w:rPr>
          <w:rFonts w:ascii="宋体" w:hAnsi="宋体"/>
          <w:bCs/>
          <w:sz w:val="24"/>
          <w:szCs w:val="24"/>
        </w:rPr>
        <w:t>“</w:t>
      </w:r>
      <w:r w:rsidRPr="000549B1">
        <w:rPr>
          <w:rFonts w:eastAsiaTheme="minorEastAsia"/>
          <w:bCs/>
          <w:sz w:val="24"/>
          <w:szCs w:val="24"/>
        </w:rPr>
        <w:t>复合潜流人工湿地</w:t>
      </w:r>
      <w:r w:rsidRPr="000549B1">
        <w:rPr>
          <w:rFonts w:eastAsiaTheme="minorEastAsia"/>
          <w:bCs/>
          <w:sz w:val="24"/>
          <w:szCs w:val="24"/>
        </w:rPr>
        <w:t>+</w:t>
      </w:r>
      <w:r w:rsidRPr="000549B1">
        <w:rPr>
          <w:rFonts w:eastAsiaTheme="minorEastAsia"/>
          <w:bCs/>
          <w:sz w:val="24"/>
          <w:szCs w:val="24"/>
        </w:rPr>
        <w:t>表面流人工湿地</w:t>
      </w:r>
      <w:r w:rsidRPr="000549B1">
        <w:rPr>
          <w:rFonts w:ascii="宋体" w:hAnsi="宋体"/>
          <w:bCs/>
          <w:sz w:val="24"/>
          <w:szCs w:val="24"/>
        </w:rPr>
        <w:t>”</w:t>
      </w:r>
      <w:r w:rsidRPr="000549B1">
        <w:rPr>
          <w:rFonts w:eastAsiaTheme="minorEastAsia"/>
          <w:bCs/>
          <w:sz w:val="24"/>
          <w:szCs w:val="24"/>
        </w:rPr>
        <w:t>为主的组合工艺，新建潜流湿地面积</w:t>
      </w:r>
      <w:r w:rsidRPr="000549B1">
        <w:rPr>
          <w:rFonts w:eastAsiaTheme="minorEastAsia"/>
          <w:bCs/>
          <w:sz w:val="24"/>
          <w:szCs w:val="24"/>
        </w:rPr>
        <w:t>2.02</w:t>
      </w:r>
      <w:r w:rsidRPr="000549B1">
        <w:rPr>
          <w:rFonts w:eastAsiaTheme="minorEastAsia"/>
          <w:bCs/>
          <w:sz w:val="24"/>
          <w:szCs w:val="24"/>
        </w:rPr>
        <w:t>万</w:t>
      </w:r>
      <w:r w:rsidR="004910CC" w:rsidRPr="000549B1">
        <w:rPr>
          <w:rFonts w:eastAsiaTheme="minorEastAsia" w:hint="eastAsia"/>
          <w:bCs/>
          <w:sz w:val="24"/>
          <w:szCs w:val="24"/>
        </w:rPr>
        <w:t>m</w:t>
      </w:r>
      <w:r w:rsidR="004910CC" w:rsidRPr="000549B1">
        <w:rPr>
          <w:rFonts w:eastAsiaTheme="minorEastAsia" w:hint="eastAsia"/>
          <w:bCs/>
          <w:sz w:val="24"/>
          <w:szCs w:val="24"/>
          <w:vertAlign w:val="superscript"/>
        </w:rPr>
        <w:t>3</w:t>
      </w:r>
      <w:r w:rsidRPr="000549B1">
        <w:rPr>
          <w:rFonts w:eastAsiaTheme="minorEastAsia"/>
          <w:bCs/>
          <w:sz w:val="24"/>
          <w:szCs w:val="24"/>
        </w:rPr>
        <w:t>，表流湿地</w:t>
      </w:r>
      <w:r w:rsidRPr="000549B1">
        <w:rPr>
          <w:rFonts w:eastAsiaTheme="minorEastAsia"/>
          <w:bCs/>
          <w:sz w:val="24"/>
          <w:szCs w:val="24"/>
        </w:rPr>
        <w:t>0.84</w:t>
      </w:r>
      <w:r w:rsidR="004910CC" w:rsidRPr="000549B1">
        <w:rPr>
          <w:rFonts w:eastAsiaTheme="minorEastAsia"/>
          <w:bCs/>
          <w:sz w:val="24"/>
          <w:szCs w:val="24"/>
        </w:rPr>
        <w:t>万</w:t>
      </w:r>
      <w:r w:rsidR="004910CC" w:rsidRPr="000549B1">
        <w:rPr>
          <w:rFonts w:eastAsiaTheme="minorEastAsia" w:hint="eastAsia"/>
          <w:bCs/>
          <w:sz w:val="24"/>
          <w:szCs w:val="24"/>
        </w:rPr>
        <w:t>m</w:t>
      </w:r>
      <w:r w:rsidR="004910CC" w:rsidRPr="000549B1">
        <w:rPr>
          <w:rFonts w:eastAsiaTheme="minorEastAsia" w:hint="eastAsia"/>
          <w:bCs/>
          <w:sz w:val="24"/>
          <w:szCs w:val="24"/>
          <w:vertAlign w:val="superscript"/>
        </w:rPr>
        <w:t>3</w:t>
      </w:r>
      <w:r w:rsidRPr="000549B1">
        <w:rPr>
          <w:rFonts w:eastAsiaTheme="minorEastAsia"/>
          <w:bCs/>
          <w:sz w:val="24"/>
          <w:szCs w:val="24"/>
        </w:rPr>
        <w:t>，对兴海县城和河卡镇污水处理厂尾水进行净化处理，使其尾水优于一级</w:t>
      </w:r>
      <w:r w:rsidRPr="000549B1">
        <w:rPr>
          <w:rFonts w:eastAsiaTheme="minorEastAsia"/>
          <w:bCs/>
          <w:sz w:val="24"/>
          <w:szCs w:val="24"/>
        </w:rPr>
        <w:t>A</w:t>
      </w:r>
      <w:r w:rsidRPr="000549B1">
        <w:rPr>
          <w:rFonts w:eastAsiaTheme="minorEastAsia"/>
          <w:bCs/>
          <w:sz w:val="24"/>
          <w:szCs w:val="24"/>
        </w:rPr>
        <w:t>标准排放，消除污水处理厂尾水排放对黄河一级支流龙曲沟河水体及周边环境的污染风险。</w:t>
      </w:r>
    </w:p>
    <w:p w14:paraId="730C54B5" w14:textId="3876191A" w:rsidR="00054437" w:rsidRPr="000549B1" w:rsidRDefault="00000000">
      <w:pPr>
        <w:pStyle w:val="aff8"/>
        <w:rPr>
          <w:color w:val="auto"/>
        </w:rPr>
      </w:pPr>
      <w:r w:rsidRPr="000549B1">
        <w:rPr>
          <w:color w:val="auto"/>
        </w:rPr>
        <w:t>表</w:t>
      </w:r>
      <w:r w:rsidR="00372953">
        <w:rPr>
          <w:color w:val="auto"/>
        </w:rPr>
        <w:fldChar w:fldCharType="begin"/>
      </w:r>
      <w:r w:rsidR="00372953">
        <w:rPr>
          <w:color w:val="auto"/>
        </w:rPr>
        <w:instrText xml:space="preserve"> STYLEREF 2 \s </w:instrText>
      </w:r>
      <w:r w:rsidR="00372953">
        <w:rPr>
          <w:color w:val="auto"/>
        </w:rPr>
        <w:fldChar w:fldCharType="separate"/>
      </w:r>
      <w:r w:rsidR="00372953">
        <w:rPr>
          <w:noProof/>
          <w:color w:val="auto"/>
        </w:rPr>
        <w:t>3.3</w:t>
      </w:r>
      <w:r w:rsidR="00372953">
        <w:rPr>
          <w:color w:val="auto"/>
        </w:rPr>
        <w:fldChar w:fldCharType="end"/>
      </w:r>
      <w:r w:rsidR="00372953">
        <w:rPr>
          <w:color w:val="auto"/>
        </w:rPr>
        <w:noBreakHyphen/>
      </w:r>
      <w:r w:rsidR="00372953">
        <w:rPr>
          <w:color w:val="auto"/>
        </w:rPr>
        <w:fldChar w:fldCharType="begin"/>
      </w:r>
      <w:r w:rsidR="00372953">
        <w:rPr>
          <w:color w:val="auto"/>
        </w:rPr>
        <w:instrText xml:space="preserve"> SEQ </w:instrText>
      </w:r>
      <w:r w:rsidR="00372953">
        <w:rPr>
          <w:color w:val="auto"/>
        </w:rPr>
        <w:instrText>表</w:instrText>
      </w:r>
      <w:r w:rsidR="00372953">
        <w:rPr>
          <w:color w:val="auto"/>
        </w:rPr>
        <w:instrText xml:space="preserve"> \* ARABIC \s 2 </w:instrText>
      </w:r>
      <w:r w:rsidR="00372953">
        <w:rPr>
          <w:color w:val="auto"/>
        </w:rPr>
        <w:fldChar w:fldCharType="separate"/>
      </w:r>
      <w:r w:rsidR="00372953">
        <w:rPr>
          <w:noProof/>
          <w:color w:val="auto"/>
        </w:rPr>
        <w:t>5</w:t>
      </w:r>
      <w:r w:rsidR="00372953">
        <w:rPr>
          <w:color w:val="auto"/>
        </w:rPr>
        <w:fldChar w:fldCharType="end"/>
      </w:r>
      <w:r w:rsidRPr="000549B1">
        <w:rPr>
          <w:color w:val="auto"/>
        </w:rPr>
        <w:t>《城镇污水处理厂污染物排放标准》一级</w:t>
      </w:r>
      <w:r w:rsidRPr="000549B1">
        <w:rPr>
          <w:color w:val="auto"/>
        </w:rPr>
        <w:t>A</w:t>
      </w:r>
      <w:r w:rsidRPr="000549B1">
        <w:rPr>
          <w:color w:val="auto"/>
        </w:rPr>
        <w:t>、</w:t>
      </w:r>
      <w:r w:rsidRPr="000549B1">
        <w:rPr>
          <w:color w:val="auto"/>
        </w:rPr>
        <w:t>B</w:t>
      </w:r>
      <w:r w:rsidRPr="000549B1">
        <w:rPr>
          <w:color w:val="auto"/>
        </w:rPr>
        <w:t>标准污染物浓度</w:t>
      </w:r>
    </w:p>
    <w:tbl>
      <w:tblPr>
        <w:tblW w:w="4999" w:type="pct"/>
        <w:jc w:val="center"/>
        <w:tblLook w:val="04A0" w:firstRow="1" w:lastRow="0" w:firstColumn="1" w:lastColumn="0" w:noHBand="0" w:noVBand="1"/>
      </w:tblPr>
      <w:tblGrid>
        <w:gridCol w:w="1733"/>
        <w:gridCol w:w="1733"/>
        <w:gridCol w:w="1733"/>
        <w:gridCol w:w="1733"/>
        <w:gridCol w:w="1364"/>
      </w:tblGrid>
      <w:tr w:rsidR="000549B1" w:rsidRPr="000549B1" w14:paraId="680953EB" w14:textId="77777777">
        <w:trPr>
          <w:trHeight w:val="397"/>
          <w:jc w:val="center"/>
        </w:trPr>
        <w:tc>
          <w:tcPr>
            <w:tcW w:w="1045" w:type="pct"/>
            <w:tcBorders>
              <w:top w:val="single" w:sz="4" w:space="0" w:color="auto"/>
              <w:left w:val="single" w:sz="4" w:space="0" w:color="auto"/>
              <w:bottom w:val="single" w:sz="4" w:space="0" w:color="auto"/>
              <w:right w:val="single" w:sz="4" w:space="0" w:color="auto"/>
            </w:tcBorders>
            <w:noWrap/>
            <w:vAlign w:val="center"/>
          </w:tcPr>
          <w:p w14:paraId="3B1A9C2A" w14:textId="77777777" w:rsidR="00054437" w:rsidRPr="000549B1" w:rsidRDefault="00000000">
            <w:pPr>
              <w:widowControl/>
              <w:jc w:val="center"/>
              <w:rPr>
                <w:rFonts w:eastAsiaTheme="minorEastAsia"/>
                <w:b/>
                <w:kern w:val="0"/>
                <w:szCs w:val="21"/>
              </w:rPr>
            </w:pPr>
            <w:r w:rsidRPr="000549B1">
              <w:rPr>
                <w:rFonts w:eastAsiaTheme="minorEastAsia"/>
                <w:b/>
                <w:kern w:val="0"/>
                <w:szCs w:val="21"/>
              </w:rPr>
              <w:t>项目</w:t>
            </w:r>
          </w:p>
        </w:tc>
        <w:tc>
          <w:tcPr>
            <w:tcW w:w="1045" w:type="pct"/>
            <w:tcBorders>
              <w:top w:val="single" w:sz="4" w:space="0" w:color="auto"/>
              <w:left w:val="nil"/>
              <w:bottom w:val="single" w:sz="4" w:space="0" w:color="auto"/>
              <w:right w:val="single" w:sz="4" w:space="0" w:color="auto"/>
            </w:tcBorders>
            <w:noWrap/>
            <w:vAlign w:val="center"/>
          </w:tcPr>
          <w:p w14:paraId="06E5CD34" w14:textId="77777777" w:rsidR="00054437" w:rsidRPr="000549B1" w:rsidRDefault="00000000">
            <w:pPr>
              <w:widowControl/>
              <w:jc w:val="center"/>
              <w:rPr>
                <w:rFonts w:eastAsiaTheme="minorEastAsia"/>
                <w:b/>
                <w:kern w:val="0"/>
                <w:szCs w:val="21"/>
              </w:rPr>
            </w:pPr>
            <w:r w:rsidRPr="000549B1">
              <w:rPr>
                <w:rFonts w:eastAsiaTheme="minorEastAsia"/>
                <w:b/>
                <w:kern w:val="0"/>
                <w:szCs w:val="21"/>
              </w:rPr>
              <w:t>COD</w:t>
            </w:r>
            <w:r w:rsidRPr="000549B1">
              <w:rPr>
                <w:rFonts w:eastAsiaTheme="minorEastAsia"/>
                <w:b/>
                <w:kern w:val="0"/>
                <w:szCs w:val="21"/>
                <w:vertAlign w:val="subscript"/>
              </w:rPr>
              <w:t>Cr</w:t>
            </w:r>
          </w:p>
        </w:tc>
        <w:tc>
          <w:tcPr>
            <w:tcW w:w="1045" w:type="pct"/>
            <w:tcBorders>
              <w:top w:val="single" w:sz="4" w:space="0" w:color="auto"/>
              <w:left w:val="nil"/>
              <w:bottom w:val="single" w:sz="4" w:space="0" w:color="auto"/>
              <w:right w:val="single" w:sz="4" w:space="0" w:color="auto"/>
            </w:tcBorders>
            <w:noWrap/>
            <w:vAlign w:val="center"/>
          </w:tcPr>
          <w:p w14:paraId="38FE047B" w14:textId="77777777" w:rsidR="00054437" w:rsidRPr="000549B1" w:rsidRDefault="00000000">
            <w:pPr>
              <w:widowControl/>
              <w:jc w:val="center"/>
              <w:rPr>
                <w:rFonts w:eastAsiaTheme="minorEastAsia"/>
                <w:b/>
                <w:kern w:val="0"/>
                <w:szCs w:val="21"/>
              </w:rPr>
            </w:pPr>
            <w:r w:rsidRPr="000549B1">
              <w:rPr>
                <w:rFonts w:eastAsiaTheme="minorEastAsia"/>
                <w:b/>
                <w:kern w:val="0"/>
                <w:szCs w:val="21"/>
              </w:rPr>
              <w:t>NH</w:t>
            </w:r>
            <w:r w:rsidRPr="000549B1">
              <w:rPr>
                <w:rFonts w:eastAsiaTheme="minorEastAsia"/>
                <w:b/>
                <w:kern w:val="0"/>
                <w:szCs w:val="21"/>
                <w:vertAlign w:val="subscript"/>
              </w:rPr>
              <w:t>3</w:t>
            </w:r>
            <w:r w:rsidRPr="000549B1">
              <w:rPr>
                <w:rFonts w:eastAsiaTheme="minorEastAsia"/>
                <w:b/>
                <w:kern w:val="0"/>
                <w:szCs w:val="21"/>
              </w:rPr>
              <w:t>-N</w:t>
            </w:r>
          </w:p>
        </w:tc>
        <w:tc>
          <w:tcPr>
            <w:tcW w:w="1045" w:type="pct"/>
            <w:tcBorders>
              <w:top w:val="single" w:sz="4" w:space="0" w:color="auto"/>
              <w:left w:val="nil"/>
              <w:bottom w:val="single" w:sz="4" w:space="0" w:color="auto"/>
              <w:right w:val="single" w:sz="4" w:space="0" w:color="auto"/>
            </w:tcBorders>
            <w:noWrap/>
            <w:vAlign w:val="center"/>
          </w:tcPr>
          <w:p w14:paraId="03FEAC31" w14:textId="77777777" w:rsidR="00054437" w:rsidRPr="000549B1" w:rsidRDefault="00000000">
            <w:pPr>
              <w:widowControl/>
              <w:jc w:val="center"/>
              <w:rPr>
                <w:rFonts w:eastAsiaTheme="minorEastAsia"/>
                <w:b/>
                <w:kern w:val="0"/>
                <w:szCs w:val="21"/>
              </w:rPr>
            </w:pPr>
            <w:r w:rsidRPr="000549B1">
              <w:rPr>
                <w:rFonts w:eastAsiaTheme="minorEastAsia"/>
                <w:b/>
                <w:kern w:val="0"/>
                <w:szCs w:val="21"/>
              </w:rPr>
              <w:t>TN</w:t>
            </w:r>
          </w:p>
        </w:tc>
        <w:tc>
          <w:tcPr>
            <w:tcW w:w="819" w:type="pct"/>
            <w:tcBorders>
              <w:top w:val="single" w:sz="4" w:space="0" w:color="auto"/>
              <w:left w:val="nil"/>
              <w:bottom w:val="single" w:sz="4" w:space="0" w:color="auto"/>
              <w:right w:val="single" w:sz="4" w:space="0" w:color="auto"/>
            </w:tcBorders>
            <w:noWrap/>
            <w:vAlign w:val="center"/>
          </w:tcPr>
          <w:p w14:paraId="5C208E8B" w14:textId="77777777" w:rsidR="00054437" w:rsidRPr="000549B1" w:rsidRDefault="00000000">
            <w:pPr>
              <w:widowControl/>
              <w:jc w:val="center"/>
              <w:rPr>
                <w:rFonts w:eastAsiaTheme="minorEastAsia"/>
                <w:b/>
                <w:kern w:val="0"/>
                <w:szCs w:val="21"/>
              </w:rPr>
            </w:pPr>
            <w:r w:rsidRPr="000549B1">
              <w:rPr>
                <w:rFonts w:eastAsiaTheme="minorEastAsia"/>
                <w:b/>
                <w:kern w:val="0"/>
                <w:szCs w:val="21"/>
              </w:rPr>
              <w:t>TP</w:t>
            </w:r>
          </w:p>
        </w:tc>
      </w:tr>
      <w:tr w:rsidR="000549B1" w:rsidRPr="000549B1" w14:paraId="65CAB4EB" w14:textId="77777777">
        <w:trPr>
          <w:trHeight w:val="397"/>
          <w:jc w:val="center"/>
        </w:trPr>
        <w:tc>
          <w:tcPr>
            <w:tcW w:w="1940" w:type="dxa"/>
            <w:tcBorders>
              <w:top w:val="single" w:sz="4" w:space="0" w:color="auto"/>
              <w:left w:val="single" w:sz="4" w:space="0" w:color="auto"/>
              <w:bottom w:val="single" w:sz="4" w:space="0" w:color="auto"/>
              <w:right w:val="single" w:sz="4" w:space="0" w:color="auto"/>
            </w:tcBorders>
            <w:noWrap/>
            <w:vAlign w:val="center"/>
          </w:tcPr>
          <w:p w14:paraId="48E54E04" w14:textId="77777777" w:rsidR="00054437" w:rsidRPr="000549B1" w:rsidRDefault="00000000">
            <w:pPr>
              <w:widowControl/>
              <w:jc w:val="center"/>
              <w:rPr>
                <w:rFonts w:eastAsiaTheme="minorEastAsia"/>
                <w:bCs/>
                <w:kern w:val="0"/>
                <w:szCs w:val="21"/>
              </w:rPr>
            </w:pPr>
            <w:r w:rsidRPr="000549B1">
              <w:rPr>
                <w:rFonts w:eastAsiaTheme="minorEastAsia"/>
                <w:bCs/>
                <w:szCs w:val="21"/>
              </w:rPr>
              <w:t>一级</w:t>
            </w:r>
            <w:r w:rsidRPr="000549B1">
              <w:rPr>
                <w:rFonts w:eastAsiaTheme="minorEastAsia"/>
                <w:bCs/>
                <w:szCs w:val="21"/>
              </w:rPr>
              <w:t>A</w:t>
            </w:r>
            <w:r w:rsidRPr="000549B1">
              <w:rPr>
                <w:rFonts w:eastAsiaTheme="minorEastAsia"/>
                <w:bCs/>
                <w:kern w:val="0"/>
                <w:szCs w:val="21"/>
              </w:rPr>
              <w:t>限值</w:t>
            </w:r>
          </w:p>
        </w:tc>
        <w:tc>
          <w:tcPr>
            <w:tcW w:w="1941" w:type="dxa"/>
            <w:tcBorders>
              <w:top w:val="single" w:sz="4" w:space="0" w:color="auto"/>
              <w:left w:val="nil"/>
              <w:bottom w:val="single" w:sz="4" w:space="0" w:color="auto"/>
              <w:right w:val="single" w:sz="4" w:space="0" w:color="auto"/>
            </w:tcBorders>
            <w:noWrap/>
            <w:vAlign w:val="center"/>
          </w:tcPr>
          <w:p w14:paraId="1FEEBBA8" w14:textId="77777777" w:rsidR="00054437" w:rsidRPr="000549B1" w:rsidRDefault="00000000">
            <w:pPr>
              <w:widowControl/>
              <w:jc w:val="center"/>
              <w:rPr>
                <w:rFonts w:eastAsiaTheme="minorEastAsia"/>
                <w:bCs/>
                <w:kern w:val="0"/>
                <w:szCs w:val="21"/>
              </w:rPr>
            </w:pPr>
            <w:r w:rsidRPr="000549B1">
              <w:rPr>
                <w:rFonts w:eastAsiaTheme="minorEastAsia"/>
                <w:bCs/>
                <w:kern w:val="0"/>
                <w:szCs w:val="21"/>
              </w:rPr>
              <w:t>≤50</w:t>
            </w:r>
          </w:p>
        </w:tc>
        <w:tc>
          <w:tcPr>
            <w:tcW w:w="1941" w:type="dxa"/>
            <w:tcBorders>
              <w:top w:val="single" w:sz="4" w:space="0" w:color="auto"/>
              <w:left w:val="nil"/>
              <w:bottom w:val="single" w:sz="4" w:space="0" w:color="auto"/>
              <w:right w:val="single" w:sz="4" w:space="0" w:color="auto"/>
            </w:tcBorders>
            <w:noWrap/>
            <w:vAlign w:val="center"/>
          </w:tcPr>
          <w:p w14:paraId="24A1EB75" w14:textId="77777777" w:rsidR="00054437" w:rsidRPr="000549B1" w:rsidRDefault="00000000">
            <w:pPr>
              <w:widowControl/>
              <w:jc w:val="center"/>
              <w:rPr>
                <w:rFonts w:eastAsiaTheme="minorEastAsia"/>
                <w:bCs/>
                <w:kern w:val="0"/>
                <w:szCs w:val="21"/>
              </w:rPr>
            </w:pPr>
            <w:r w:rsidRPr="000549B1">
              <w:rPr>
                <w:rFonts w:eastAsiaTheme="minorEastAsia"/>
                <w:bCs/>
                <w:kern w:val="0"/>
                <w:szCs w:val="21"/>
              </w:rPr>
              <w:t>≤5</w:t>
            </w:r>
            <w:r w:rsidRPr="000549B1">
              <w:rPr>
                <w:rFonts w:eastAsiaTheme="minorEastAsia"/>
                <w:bCs/>
                <w:kern w:val="0"/>
                <w:szCs w:val="21"/>
              </w:rPr>
              <w:t>（</w:t>
            </w:r>
            <w:r w:rsidRPr="000549B1">
              <w:rPr>
                <w:rFonts w:eastAsiaTheme="minorEastAsia"/>
                <w:bCs/>
                <w:kern w:val="0"/>
                <w:szCs w:val="21"/>
              </w:rPr>
              <w:t>8</w:t>
            </w:r>
            <w:r w:rsidRPr="000549B1">
              <w:rPr>
                <w:rFonts w:eastAsiaTheme="minorEastAsia"/>
                <w:bCs/>
                <w:kern w:val="0"/>
                <w:szCs w:val="21"/>
              </w:rPr>
              <w:t>）</w:t>
            </w:r>
          </w:p>
        </w:tc>
        <w:tc>
          <w:tcPr>
            <w:tcW w:w="1941" w:type="dxa"/>
            <w:tcBorders>
              <w:top w:val="single" w:sz="4" w:space="0" w:color="auto"/>
              <w:left w:val="nil"/>
              <w:bottom w:val="single" w:sz="4" w:space="0" w:color="auto"/>
              <w:right w:val="single" w:sz="4" w:space="0" w:color="auto"/>
            </w:tcBorders>
            <w:noWrap/>
            <w:vAlign w:val="center"/>
          </w:tcPr>
          <w:p w14:paraId="72D2AFA8" w14:textId="77777777" w:rsidR="00054437" w:rsidRPr="000549B1" w:rsidRDefault="00000000">
            <w:pPr>
              <w:widowControl/>
              <w:jc w:val="center"/>
              <w:rPr>
                <w:rFonts w:eastAsiaTheme="minorEastAsia"/>
                <w:bCs/>
                <w:kern w:val="0"/>
                <w:szCs w:val="21"/>
              </w:rPr>
            </w:pPr>
            <w:r w:rsidRPr="000549B1">
              <w:rPr>
                <w:rFonts w:eastAsiaTheme="minorEastAsia"/>
                <w:bCs/>
                <w:kern w:val="0"/>
                <w:szCs w:val="21"/>
              </w:rPr>
              <w:t>15</w:t>
            </w:r>
          </w:p>
        </w:tc>
        <w:tc>
          <w:tcPr>
            <w:tcW w:w="1521" w:type="dxa"/>
            <w:tcBorders>
              <w:top w:val="single" w:sz="4" w:space="0" w:color="auto"/>
              <w:left w:val="nil"/>
              <w:bottom w:val="single" w:sz="4" w:space="0" w:color="auto"/>
              <w:right w:val="single" w:sz="4" w:space="0" w:color="auto"/>
            </w:tcBorders>
            <w:noWrap/>
            <w:vAlign w:val="center"/>
          </w:tcPr>
          <w:p w14:paraId="17A9BD2A" w14:textId="77777777" w:rsidR="00054437" w:rsidRPr="000549B1" w:rsidRDefault="00000000">
            <w:pPr>
              <w:widowControl/>
              <w:jc w:val="center"/>
              <w:rPr>
                <w:rFonts w:eastAsiaTheme="minorEastAsia"/>
                <w:bCs/>
                <w:kern w:val="0"/>
                <w:szCs w:val="21"/>
              </w:rPr>
            </w:pPr>
            <w:r w:rsidRPr="000549B1">
              <w:rPr>
                <w:rFonts w:eastAsiaTheme="minorEastAsia"/>
                <w:bCs/>
                <w:kern w:val="0"/>
                <w:szCs w:val="21"/>
              </w:rPr>
              <w:t>≤0.5</w:t>
            </w:r>
          </w:p>
        </w:tc>
      </w:tr>
      <w:tr w:rsidR="000549B1" w:rsidRPr="000549B1" w14:paraId="5993D0BE" w14:textId="77777777">
        <w:trPr>
          <w:trHeight w:val="397"/>
          <w:jc w:val="center"/>
        </w:trPr>
        <w:tc>
          <w:tcPr>
            <w:tcW w:w="1045" w:type="pct"/>
            <w:tcBorders>
              <w:top w:val="nil"/>
              <w:left w:val="single" w:sz="4" w:space="0" w:color="auto"/>
              <w:bottom w:val="single" w:sz="4" w:space="0" w:color="auto"/>
              <w:right w:val="single" w:sz="4" w:space="0" w:color="auto"/>
            </w:tcBorders>
            <w:noWrap/>
            <w:vAlign w:val="center"/>
          </w:tcPr>
          <w:p w14:paraId="2C8B9235" w14:textId="77777777" w:rsidR="00054437" w:rsidRPr="000549B1" w:rsidRDefault="00000000">
            <w:pPr>
              <w:widowControl/>
              <w:jc w:val="center"/>
              <w:rPr>
                <w:rFonts w:eastAsiaTheme="minorEastAsia"/>
                <w:bCs/>
                <w:kern w:val="0"/>
                <w:szCs w:val="21"/>
              </w:rPr>
            </w:pPr>
            <w:r w:rsidRPr="000549B1">
              <w:rPr>
                <w:rFonts w:eastAsiaTheme="minorEastAsia"/>
                <w:bCs/>
                <w:szCs w:val="21"/>
              </w:rPr>
              <w:t>一级</w:t>
            </w:r>
            <w:r w:rsidRPr="000549B1">
              <w:rPr>
                <w:rFonts w:eastAsiaTheme="minorEastAsia"/>
                <w:bCs/>
                <w:szCs w:val="21"/>
              </w:rPr>
              <w:t>B</w:t>
            </w:r>
            <w:r w:rsidRPr="000549B1">
              <w:rPr>
                <w:rFonts w:eastAsiaTheme="minorEastAsia"/>
                <w:bCs/>
                <w:kern w:val="0"/>
                <w:szCs w:val="21"/>
              </w:rPr>
              <w:t>限值</w:t>
            </w:r>
          </w:p>
        </w:tc>
        <w:tc>
          <w:tcPr>
            <w:tcW w:w="1045" w:type="pct"/>
            <w:tcBorders>
              <w:top w:val="nil"/>
              <w:left w:val="nil"/>
              <w:bottom w:val="single" w:sz="4" w:space="0" w:color="auto"/>
              <w:right w:val="single" w:sz="4" w:space="0" w:color="auto"/>
            </w:tcBorders>
            <w:noWrap/>
            <w:vAlign w:val="center"/>
          </w:tcPr>
          <w:p w14:paraId="0174D83E" w14:textId="77777777" w:rsidR="00054437" w:rsidRPr="000549B1" w:rsidRDefault="00000000">
            <w:pPr>
              <w:widowControl/>
              <w:jc w:val="center"/>
              <w:rPr>
                <w:rFonts w:eastAsiaTheme="minorEastAsia"/>
                <w:bCs/>
                <w:kern w:val="0"/>
                <w:szCs w:val="21"/>
              </w:rPr>
            </w:pPr>
            <w:r w:rsidRPr="000549B1">
              <w:rPr>
                <w:rFonts w:eastAsiaTheme="minorEastAsia"/>
                <w:bCs/>
                <w:kern w:val="0"/>
                <w:szCs w:val="21"/>
              </w:rPr>
              <w:t>≤60</w:t>
            </w:r>
          </w:p>
        </w:tc>
        <w:tc>
          <w:tcPr>
            <w:tcW w:w="1045" w:type="pct"/>
            <w:tcBorders>
              <w:top w:val="nil"/>
              <w:left w:val="nil"/>
              <w:bottom w:val="single" w:sz="4" w:space="0" w:color="auto"/>
              <w:right w:val="single" w:sz="4" w:space="0" w:color="auto"/>
            </w:tcBorders>
            <w:noWrap/>
            <w:vAlign w:val="center"/>
          </w:tcPr>
          <w:p w14:paraId="7A9885F5" w14:textId="77777777" w:rsidR="00054437" w:rsidRPr="000549B1" w:rsidRDefault="00000000">
            <w:pPr>
              <w:widowControl/>
              <w:jc w:val="center"/>
              <w:rPr>
                <w:rFonts w:eastAsiaTheme="minorEastAsia"/>
                <w:bCs/>
                <w:kern w:val="0"/>
                <w:szCs w:val="21"/>
              </w:rPr>
            </w:pPr>
            <w:r w:rsidRPr="000549B1">
              <w:rPr>
                <w:rFonts w:eastAsiaTheme="minorEastAsia"/>
                <w:bCs/>
                <w:kern w:val="0"/>
                <w:szCs w:val="21"/>
              </w:rPr>
              <w:t>≤8</w:t>
            </w:r>
            <w:r w:rsidRPr="000549B1">
              <w:rPr>
                <w:rFonts w:eastAsiaTheme="minorEastAsia"/>
                <w:bCs/>
                <w:kern w:val="0"/>
                <w:szCs w:val="21"/>
              </w:rPr>
              <w:t>（</w:t>
            </w:r>
            <w:r w:rsidRPr="000549B1">
              <w:rPr>
                <w:rFonts w:eastAsiaTheme="minorEastAsia"/>
                <w:bCs/>
                <w:kern w:val="0"/>
                <w:szCs w:val="21"/>
              </w:rPr>
              <w:t>15</w:t>
            </w:r>
            <w:r w:rsidRPr="000549B1">
              <w:rPr>
                <w:rFonts w:eastAsiaTheme="minorEastAsia"/>
                <w:bCs/>
                <w:kern w:val="0"/>
                <w:szCs w:val="21"/>
              </w:rPr>
              <w:t>）</w:t>
            </w:r>
          </w:p>
        </w:tc>
        <w:tc>
          <w:tcPr>
            <w:tcW w:w="1045" w:type="pct"/>
            <w:tcBorders>
              <w:top w:val="nil"/>
              <w:left w:val="nil"/>
              <w:bottom w:val="single" w:sz="4" w:space="0" w:color="auto"/>
              <w:right w:val="single" w:sz="4" w:space="0" w:color="auto"/>
            </w:tcBorders>
            <w:noWrap/>
            <w:vAlign w:val="center"/>
          </w:tcPr>
          <w:p w14:paraId="4857F420" w14:textId="77777777" w:rsidR="00054437" w:rsidRPr="000549B1" w:rsidRDefault="00000000">
            <w:pPr>
              <w:widowControl/>
              <w:jc w:val="center"/>
              <w:rPr>
                <w:rFonts w:eastAsiaTheme="minorEastAsia"/>
                <w:bCs/>
                <w:kern w:val="0"/>
                <w:szCs w:val="21"/>
              </w:rPr>
            </w:pPr>
            <w:r w:rsidRPr="000549B1">
              <w:rPr>
                <w:rFonts w:eastAsiaTheme="minorEastAsia"/>
                <w:bCs/>
                <w:kern w:val="0"/>
                <w:szCs w:val="21"/>
              </w:rPr>
              <w:t>20</w:t>
            </w:r>
          </w:p>
        </w:tc>
        <w:tc>
          <w:tcPr>
            <w:tcW w:w="819" w:type="pct"/>
            <w:tcBorders>
              <w:top w:val="nil"/>
              <w:left w:val="nil"/>
              <w:bottom w:val="single" w:sz="4" w:space="0" w:color="auto"/>
              <w:right w:val="single" w:sz="4" w:space="0" w:color="auto"/>
            </w:tcBorders>
            <w:noWrap/>
            <w:vAlign w:val="center"/>
          </w:tcPr>
          <w:p w14:paraId="713D5932" w14:textId="77777777" w:rsidR="00054437" w:rsidRPr="000549B1" w:rsidRDefault="00000000">
            <w:pPr>
              <w:widowControl/>
              <w:jc w:val="center"/>
              <w:rPr>
                <w:rFonts w:eastAsiaTheme="minorEastAsia"/>
                <w:bCs/>
                <w:kern w:val="0"/>
                <w:szCs w:val="21"/>
              </w:rPr>
            </w:pPr>
            <w:r w:rsidRPr="000549B1">
              <w:rPr>
                <w:rFonts w:eastAsiaTheme="minorEastAsia"/>
                <w:bCs/>
                <w:kern w:val="0"/>
                <w:szCs w:val="21"/>
              </w:rPr>
              <w:t>≤1</w:t>
            </w:r>
          </w:p>
        </w:tc>
      </w:tr>
    </w:tbl>
    <w:p w14:paraId="16BBF359" w14:textId="77777777" w:rsidR="00054437" w:rsidRPr="000549B1" w:rsidRDefault="00000000">
      <w:pPr>
        <w:pStyle w:val="0A50"/>
        <w:ind w:firstLine="422"/>
        <w:outlineLvl w:val="9"/>
        <w:rPr>
          <w:szCs w:val="18"/>
        </w:rPr>
      </w:pPr>
      <w:r w:rsidRPr="000549B1">
        <w:rPr>
          <w:rFonts w:ascii="宋体" w:eastAsia="宋体" w:hAnsi="宋体" w:cs="宋体" w:hint="eastAsia"/>
          <w:szCs w:val="18"/>
        </w:rPr>
        <w:t>注：括号外数值为水温</w:t>
      </w:r>
      <w:r w:rsidRPr="000549B1">
        <w:rPr>
          <w:szCs w:val="18"/>
        </w:rPr>
        <w:t>&gt;12℃</w:t>
      </w:r>
      <w:r w:rsidRPr="000549B1">
        <w:rPr>
          <w:rFonts w:ascii="宋体" w:eastAsia="宋体" w:hAnsi="宋体" w:cs="宋体" w:hint="eastAsia"/>
          <w:szCs w:val="18"/>
        </w:rPr>
        <w:t>时的控制指标，括号内数值为水温</w:t>
      </w:r>
      <w:r w:rsidRPr="000549B1">
        <w:rPr>
          <w:szCs w:val="18"/>
        </w:rPr>
        <w:t>≤12℃</w:t>
      </w:r>
      <w:r w:rsidRPr="000549B1">
        <w:rPr>
          <w:rFonts w:ascii="宋体" w:eastAsia="宋体" w:hAnsi="宋体" w:cs="宋体" w:hint="eastAsia"/>
          <w:szCs w:val="18"/>
        </w:rPr>
        <w:t>时的控制指标。</w:t>
      </w:r>
    </w:p>
    <w:p w14:paraId="43736D81" w14:textId="77777777" w:rsidR="00054437" w:rsidRPr="000549B1" w:rsidRDefault="00000000">
      <w:pPr>
        <w:snapToGrid w:val="0"/>
        <w:spacing w:line="360" w:lineRule="auto"/>
        <w:ind w:firstLineChars="200" w:firstLine="480"/>
        <w:rPr>
          <w:bCs/>
          <w:sz w:val="24"/>
          <w:szCs w:val="24"/>
        </w:rPr>
      </w:pPr>
      <w:r w:rsidRPr="000549B1">
        <w:rPr>
          <w:bCs/>
          <w:sz w:val="24"/>
          <w:szCs w:val="24"/>
        </w:rPr>
        <w:t>本次以</w:t>
      </w:r>
      <w:r w:rsidRPr="000549B1">
        <w:rPr>
          <w:bCs/>
          <w:sz w:val="24"/>
          <w:szCs w:val="24"/>
        </w:rPr>
        <w:t>COD</w:t>
      </w:r>
      <w:r w:rsidRPr="000549B1">
        <w:rPr>
          <w:bCs/>
          <w:sz w:val="24"/>
          <w:szCs w:val="24"/>
        </w:rPr>
        <w:t>、氨氮、总氮、总磷</w:t>
      </w:r>
      <w:r w:rsidRPr="000549B1">
        <w:rPr>
          <w:bCs/>
          <w:sz w:val="24"/>
          <w:szCs w:val="24"/>
        </w:rPr>
        <w:t>4</w:t>
      </w:r>
      <w:r w:rsidRPr="000549B1">
        <w:rPr>
          <w:bCs/>
          <w:sz w:val="24"/>
          <w:szCs w:val="24"/>
        </w:rPr>
        <w:t>项污染物作为评价指标，估算点源入河排污口废污水量及污染物入河量。</w:t>
      </w:r>
    </w:p>
    <w:p w14:paraId="3E3CD557" w14:textId="77777777" w:rsidR="00054437" w:rsidRPr="000549B1" w:rsidRDefault="00000000">
      <w:pPr>
        <w:snapToGrid w:val="0"/>
        <w:spacing w:line="360" w:lineRule="auto"/>
        <w:ind w:firstLineChars="200" w:firstLine="480"/>
        <w:rPr>
          <w:bCs/>
          <w:sz w:val="24"/>
          <w:szCs w:val="24"/>
        </w:rPr>
      </w:pPr>
      <w:r w:rsidRPr="000549B1">
        <w:rPr>
          <w:bCs/>
          <w:sz w:val="24"/>
          <w:szCs w:val="24"/>
        </w:rPr>
        <w:t>污水处理厂出水口的废污水量则采用在线监测数据；</w:t>
      </w:r>
    </w:p>
    <w:p w14:paraId="3ED13E87" w14:textId="77777777" w:rsidR="00054437" w:rsidRPr="000549B1" w:rsidRDefault="00000000">
      <w:pPr>
        <w:snapToGrid w:val="0"/>
        <w:spacing w:line="360" w:lineRule="auto"/>
        <w:ind w:firstLineChars="200" w:firstLine="480"/>
        <w:rPr>
          <w:rFonts w:eastAsiaTheme="minorEastAsia"/>
          <w:bCs/>
          <w:sz w:val="24"/>
          <w:szCs w:val="24"/>
        </w:rPr>
      </w:pPr>
      <w:r w:rsidRPr="000549B1">
        <w:rPr>
          <w:rFonts w:eastAsiaTheme="minorEastAsia"/>
          <w:bCs/>
          <w:sz w:val="24"/>
          <w:szCs w:val="24"/>
        </w:rPr>
        <w:t>（</w:t>
      </w:r>
      <w:r w:rsidRPr="000549B1">
        <w:rPr>
          <w:rFonts w:eastAsiaTheme="minorEastAsia"/>
          <w:bCs/>
          <w:sz w:val="24"/>
          <w:szCs w:val="24"/>
        </w:rPr>
        <w:t>1</w:t>
      </w:r>
      <w:r w:rsidRPr="000549B1">
        <w:rPr>
          <w:rFonts w:eastAsiaTheme="minorEastAsia"/>
          <w:bCs/>
          <w:sz w:val="24"/>
          <w:szCs w:val="24"/>
        </w:rPr>
        <w:t>）日废污水量计算公式：</w:t>
      </w:r>
    </w:p>
    <w:p w14:paraId="7C58854D" w14:textId="77777777" w:rsidR="00054437" w:rsidRPr="000549B1" w:rsidRDefault="00000000">
      <w:pPr>
        <w:widowControl/>
        <w:spacing w:line="360" w:lineRule="auto"/>
        <w:jc w:val="center"/>
        <w:rPr>
          <w:rFonts w:eastAsiaTheme="minorEastAsia"/>
          <w:bCs/>
          <w:sz w:val="24"/>
          <w:szCs w:val="24"/>
        </w:rPr>
      </w:pPr>
      <w:r w:rsidRPr="000549B1">
        <w:rPr>
          <w:rFonts w:eastAsiaTheme="minorEastAsia"/>
          <w:bCs/>
          <w:noProof/>
          <w:sz w:val="24"/>
          <w:szCs w:val="24"/>
        </w:rPr>
        <w:drawing>
          <wp:inline distT="0" distB="0" distL="114300" distR="114300" wp14:anchorId="30F1C124" wp14:editId="458B5A58">
            <wp:extent cx="1333500" cy="180975"/>
            <wp:effectExtent l="0" t="0" r="0" b="9525"/>
            <wp:docPr id="99" name="E657119C-6982-421D-8BA7-E74DEB70A7DA-1" descr="latexm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E657119C-6982-421D-8BA7-E74DEB70A7DA-1" descr="latexmath"/>
                    <pic:cNvPicPr>
                      <a:picLocks noChangeAspect="1"/>
                    </pic:cNvPicPr>
                  </pic:nvPicPr>
                  <pic:blipFill>
                    <a:blip r:embed="rId26">
                      <a:extLst>
                        <a:ext uri="{96DAC541-7B7A-43D3-8B79-37D633B846F1}">
                          <asvg:svgBlip xmlns:asvg="http://schemas.microsoft.com/office/drawing/2016/SVG/main" r:embed="rId27"/>
                        </a:ext>
                      </a:extLst>
                    </a:blip>
                    <a:stretch>
                      <a:fillRect/>
                    </a:stretch>
                  </pic:blipFill>
                  <pic:spPr>
                    <a:xfrm>
                      <a:off x="0" y="0"/>
                      <a:ext cx="1333500" cy="180975"/>
                    </a:xfrm>
                    <a:prstGeom prst="rect">
                      <a:avLst/>
                    </a:prstGeom>
                  </pic:spPr>
                </pic:pic>
              </a:graphicData>
            </a:graphic>
          </wp:inline>
        </w:drawing>
      </w:r>
    </w:p>
    <w:p w14:paraId="6AFEC704" w14:textId="77777777" w:rsidR="00054437" w:rsidRPr="000549B1" w:rsidRDefault="00000000">
      <w:pPr>
        <w:widowControl/>
        <w:spacing w:line="360" w:lineRule="auto"/>
        <w:ind w:firstLineChars="200" w:firstLine="480"/>
        <w:jc w:val="left"/>
        <w:rPr>
          <w:rFonts w:eastAsiaTheme="minorEastAsia"/>
          <w:bCs/>
          <w:sz w:val="24"/>
          <w:szCs w:val="24"/>
        </w:rPr>
      </w:pPr>
      <w:r w:rsidRPr="000549B1">
        <w:rPr>
          <w:rFonts w:eastAsiaTheme="minorEastAsia"/>
          <w:bCs/>
          <w:sz w:val="24"/>
          <w:szCs w:val="24"/>
        </w:rPr>
        <w:t>式中：</w:t>
      </w:r>
    </w:p>
    <w:p w14:paraId="4B25E1F5" w14:textId="77777777" w:rsidR="00054437" w:rsidRPr="000549B1" w:rsidRDefault="00000000">
      <w:pPr>
        <w:widowControl/>
        <w:spacing w:line="360" w:lineRule="auto"/>
        <w:ind w:firstLineChars="200" w:firstLine="480"/>
        <w:jc w:val="left"/>
        <w:rPr>
          <w:rFonts w:eastAsiaTheme="minorEastAsia"/>
          <w:bCs/>
          <w:sz w:val="24"/>
          <w:szCs w:val="24"/>
        </w:rPr>
      </w:pPr>
      <w:r w:rsidRPr="000549B1">
        <w:rPr>
          <w:rFonts w:eastAsiaTheme="minorEastAsia"/>
          <w:bCs/>
          <w:noProof/>
          <w:sz w:val="24"/>
          <w:szCs w:val="24"/>
        </w:rPr>
        <w:drawing>
          <wp:inline distT="0" distB="0" distL="114300" distR="114300" wp14:anchorId="0E15BAC3" wp14:editId="72AA87AE">
            <wp:extent cx="247650" cy="161925"/>
            <wp:effectExtent l="0" t="0" r="0" b="9525"/>
            <wp:docPr id="44" name="E657119C-6982-421D-8BA7-E74DEB70A7DA-2" descr="latexm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E657119C-6982-421D-8BA7-E74DEB70A7DA-2" descr="latexmath"/>
                    <pic:cNvPicPr>
                      <a:picLocks noChangeAspect="1"/>
                    </pic:cNvPicPr>
                  </pic:nvPicPr>
                  <pic:blipFill>
                    <a:blip r:embed="rId28">
                      <a:extLst>
                        <a:ext uri="{96DAC541-7B7A-43D3-8B79-37D633B846F1}">
                          <asvg:svgBlip xmlns:asvg="http://schemas.microsoft.com/office/drawing/2016/SVG/main" r:embed="rId29"/>
                        </a:ext>
                      </a:extLst>
                    </a:blip>
                    <a:stretch>
                      <a:fillRect/>
                    </a:stretch>
                  </pic:blipFill>
                  <pic:spPr>
                    <a:xfrm>
                      <a:off x="0" y="0"/>
                      <a:ext cx="247650" cy="161925"/>
                    </a:xfrm>
                    <a:prstGeom prst="rect">
                      <a:avLst/>
                    </a:prstGeom>
                  </pic:spPr>
                </pic:pic>
              </a:graphicData>
            </a:graphic>
          </wp:inline>
        </w:drawing>
      </w:r>
      <w:r w:rsidRPr="000549B1">
        <w:rPr>
          <w:rFonts w:eastAsiaTheme="minorEastAsia"/>
          <w:bCs/>
          <w:sz w:val="24"/>
          <w:szCs w:val="24"/>
        </w:rPr>
        <w:t>——</w:t>
      </w:r>
      <w:r w:rsidRPr="000549B1">
        <w:rPr>
          <w:rFonts w:eastAsiaTheme="minorEastAsia"/>
          <w:bCs/>
          <w:sz w:val="24"/>
          <w:szCs w:val="24"/>
        </w:rPr>
        <w:t>入河废污水量（</w:t>
      </w:r>
      <w:r w:rsidRPr="000549B1">
        <w:rPr>
          <w:rFonts w:eastAsiaTheme="minorEastAsia"/>
          <w:bCs/>
          <w:sz w:val="24"/>
          <w:szCs w:val="24"/>
        </w:rPr>
        <w:t>m</w:t>
      </w:r>
      <w:r w:rsidRPr="000549B1">
        <w:rPr>
          <w:bCs/>
          <w:sz w:val="24"/>
          <w:szCs w:val="24"/>
          <w:vertAlign w:val="superscript"/>
        </w:rPr>
        <w:t>3</w:t>
      </w:r>
      <w:r w:rsidRPr="000549B1">
        <w:rPr>
          <w:rFonts w:eastAsiaTheme="minorEastAsia"/>
          <w:bCs/>
          <w:sz w:val="24"/>
          <w:szCs w:val="24"/>
        </w:rPr>
        <w:t>/d</w:t>
      </w:r>
      <w:r w:rsidRPr="000549B1">
        <w:rPr>
          <w:rFonts w:eastAsiaTheme="minorEastAsia"/>
          <w:bCs/>
          <w:sz w:val="24"/>
          <w:szCs w:val="24"/>
        </w:rPr>
        <w:t>）；</w:t>
      </w:r>
    </w:p>
    <w:p w14:paraId="075A5770" w14:textId="77777777" w:rsidR="00054437" w:rsidRPr="000549B1" w:rsidRDefault="00000000">
      <w:pPr>
        <w:widowControl/>
        <w:spacing w:line="360" w:lineRule="auto"/>
        <w:ind w:firstLineChars="200" w:firstLine="480"/>
        <w:jc w:val="left"/>
        <w:rPr>
          <w:rFonts w:eastAsiaTheme="minorEastAsia"/>
          <w:bCs/>
          <w:sz w:val="24"/>
          <w:szCs w:val="24"/>
        </w:rPr>
      </w:pPr>
      <w:r w:rsidRPr="000549B1">
        <w:rPr>
          <w:rFonts w:eastAsiaTheme="minorEastAsia"/>
          <w:bCs/>
          <w:noProof/>
          <w:sz w:val="24"/>
          <w:szCs w:val="24"/>
        </w:rPr>
        <w:drawing>
          <wp:inline distT="0" distB="0" distL="114300" distR="114300" wp14:anchorId="13240AEF" wp14:editId="68C43BE1">
            <wp:extent cx="247650" cy="171450"/>
            <wp:effectExtent l="0" t="0" r="0" b="0"/>
            <wp:docPr id="101" name="E657119C-6982-421D-8BA7-E74DEB70A7DA-3" descr="latexm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E657119C-6982-421D-8BA7-E74DEB70A7DA-3" descr="latexmath"/>
                    <pic:cNvPicPr>
                      <a:picLocks noChangeAspect="1"/>
                    </pic:cNvPicPr>
                  </pic:nvPicPr>
                  <pic:blipFill>
                    <a:blip r:embed="rId30">
                      <a:extLst>
                        <a:ext uri="{96DAC541-7B7A-43D3-8B79-37D633B846F1}">
                          <asvg:svgBlip xmlns:asvg="http://schemas.microsoft.com/office/drawing/2016/SVG/main" r:embed="rId31"/>
                        </a:ext>
                      </a:extLst>
                    </a:blip>
                    <a:stretch>
                      <a:fillRect/>
                    </a:stretch>
                  </pic:blipFill>
                  <pic:spPr>
                    <a:xfrm>
                      <a:off x="0" y="0"/>
                      <a:ext cx="247650" cy="171450"/>
                    </a:xfrm>
                    <a:prstGeom prst="rect">
                      <a:avLst/>
                    </a:prstGeom>
                  </pic:spPr>
                </pic:pic>
              </a:graphicData>
            </a:graphic>
          </wp:inline>
        </w:drawing>
      </w:r>
      <w:r w:rsidRPr="000549B1">
        <w:rPr>
          <w:rFonts w:eastAsiaTheme="minorEastAsia"/>
          <w:bCs/>
          <w:sz w:val="24"/>
          <w:szCs w:val="24"/>
        </w:rPr>
        <w:t>——</w:t>
      </w:r>
      <w:r w:rsidRPr="000549B1">
        <w:rPr>
          <w:rFonts w:eastAsiaTheme="minorEastAsia"/>
          <w:bCs/>
          <w:sz w:val="24"/>
          <w:szCs w:val="24"/>
        </w:rPr>
        <w:t>实测日平均废污水流量（</w:t>
      </w:r>
      <w:r w:rsidRPr="000549B1">
        <w:rPr>
          <w:rFonts w:eastAsiaTheme="minorEastAsia"/>
          <w:bCs/>
          <w:sz w:val="24"/>
          <w:szCs w:val="24"/>
        </w:rPr>
        <w:t>m</w:t>
      </w:r>
      <w:r w:rsidRPr="000549B1">
        <w:rPr>
          <w:bCs/>
          <w:sz w:val="24"/>
          <w:szCs w:val="24"/>
          <w:vertAlign w:val="superscript"/>
        </w:rPr>
        <w:t>3</w:t>
      </w:r>
      <w:r w:rsidRPr="000549B1">
        <w:rPr>
          <w:rFonts w:eastAsiaTheme="minorEastAsia"/>
          <w:bCs/>
          <w:sz w:val="24"/>
          <w:szCs w:val="24"/>
        </w:rPr>
        <w:t>/s</w:t>
      </w:r>
      <w:r w:rsidRPr="000549B1">
        <w:rPr>
          <w:rFonts w:eastAsiaTheme="minorEastAsia"/>
          <w:bCs/>
          <w:sz w:val="24"/>
          <w:szCs w:val="24"/>
        </w:rPr>
        <w:t>）；</w:t>
      </w:r>
    </w:p>
    <w:p w14:paraId="2FD91897" w14:textId="77777777" w:rsidR="00054437" w:rsidRPr="000549B1" w:rsidRDefault="00000000">
      <w:pPr>
        <w:widowControl/>
        <w:spacing w:line="360" w:lineRule="auto"/>
        <w:ind w:firstLineChars="200" w:firstLine="480"/>
        <w:jc w:val="left"/>
        <w:rPr>
          <w:rFonts w:eastAsiaTheme="minorEastAsia"/>
          <w:bCs/>
          <w:sz w:val="24"/>
          <w:szCs w:val="24"/>
        </w:rPr>
      </w:pPr>
      <w:r w:rsidRPr="000549B1">
        <w:rPr>
          <w:rFonts w:eastAsiaTheme="minorEastAsia"/>
          <w:bCs/>
          <w:noProof/>
          <w:sz w:val="24"/>
          <w:szCs w:val="24"/>
        </w:rPr>
        <w:drawing>
          <wp:inline distT="0" distB="0" distL="114300" distR="114300" wp14:anchorId="4B3A0466" wp14:editId="0BC798D8">
            <wp:extent cx="114300" cy="142875"/>
            <wp:effectExtent l="0" t="0" r="0" b="9525"/>
            <wp:docPr id="47" name="E657119C-6982-421D-8BA7-E74DEB70A7DA-4" descr="latexm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E657119C-6982-421D-8BA7-E74DEB70A7DA-4" descr="latexmath"/>
                    <pic:cNvPicPr>
                      <a:picLocks noChangeAspect="1"/>
                    </pic:cNvPicPr>
                  </pic:nvPicPr>
                  <pic:blipFill>
                    <a:blip r:embed="rId32">
                      <a:extLst>
                        <a:ext uri="{96DAC541-7B7A-43D3-8B79-37D633B846F1}">
                          <asvg:svgBlip xmlns:asvg="http://schemas.microsoft.com/office/drawing/2016/SVG/main" r:embed="rId33"/>
                        </a:ext>
                      </a:extLst>
                    </a:blip>
                    <a:stretch>
                      <a:fillRect/>
                    </a:stretch>
                  </pic:blipFill>
                  <pic:spPr>
                    <a:xfrm>
                      <a:off x="0" y="0"/>
                      <a:ext cx="114300" cy="142875"/>
                    </a:xfrm>
                    <a:prstGeom prst="rect">
                      <a:avLst/>
                    </a:prstGeom>
                  </pic:spPr>
                </pic:pic>
              </a:graphicData>
            </a:graphic>
          </wp:inline>
        </w:drawing>
      </w:r>
      <w:r w:rsidRPr="000549B1">
        <w:rPr>
          <w:rFonts w:eastAsiaTheme="minorEastAsia"/>
          <w:bCs/>
          <w:sz w:val="24"/>
          <w:szCs w:val="24"/>
        </w:rPr>
        <w:t>——</w:t>
      </w:r>
      <w:r w:rsidRPr="000549B1">
        <w:rPr>
          <w:rFonts w:eastAsiaTheme="minorEastAsia"/>
          <w:bCs/>
          <w:sz w:val="24"/>
          <w:szCs w:val="24"/>
        </w:rPr>
        <w:t>日排污废水时间（</w:t>
      </w:r>
      <w:r w:rsidRPr="000549B1">
        <w:rPr>
          <w:rFonts w:eastAsiaTheme="minorEastAsia"/>
          <w:bCs/>
          <w:noProof/>
          <w:sz w:val="24"/>
          <w:szCs w:val="24"/>
        </w:rPr>
        <w:drawing>
          <wp:inline distT="0" distB="0" distL="114300" distR="114300" wp14:anchorId="033F5D81" wp14:editId="30F2D8D5">
            <wp:extent cx="114300" cy="142875"/>
            <wp:effectExtent l="0" t="0" r="0" b="9525"/>
            <wp:docPr id="49" name="E657119C-6982-421D-8BA7-E74DEB70A7DA-5" descr="latexm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E657119C-6982-421D-8BA7-E74DEB70A7DA-5" descr="latexmath"/>
                    <pic:cNvPicPr>
                      <a:picLocks noChangeAspect="1"/>
                    </pic:cNvPicPr>
                  </pic:nvPicPr>
                  <pic:blipFill>
                    <a:blip r:embed="rId32">
                      <a:extLst>
                        <a:ext uri="{96DAC541-7B7A-43D3-8B79-37D633B846F1}">
                          <asvg:svgBlip xmlns:asvg="http://schemas.microsoft.com/office/drawing/2016/SVG/main" r:embed="rId34"/>
                        </a:ext>
                      </a:extLst>
                    </a:blip>
                    <a:stretch>
                      <a:fillRect/>
                    </a:stretch>
                  </pic:blipFill>
                  <pic:spPr>
                    <a:xfrm>
                      <a:off x="0" y="0"/>
                      <a:ext cx="114300" cy="142875"/>
                    </a:xfrm>
                    <a:prstGeom prst="rect">
                      <a:avLst/>
                    </a:prstGeom>
                  </pic:spPr>
                </pic:pic>
              </a:graphicData>
            </a:graphic>
          </wp:inline>
        </w:drawing>
      </w:r>
      <w:r w:rsidRPr="000549B1">
        <w:rPr>
          <w:rFonts w:eastAsiaTheme="minorEastAsia"/>
          <w:bCs/>
          <w:sz w:val="24"/>
          <w:szCs w:val="24"/>
        </w:rPr>
        <w:t>），对于持续性排污口，</w:t>
      </w:r>
      <w:r w:rsidRPr="000549B1">
        <w:rPr>
          <w:rFonts w:eastAsiaTheme="minorEastAsia"/>
          <w:bCs/>
          <w:noProof/>
          <w:sz w:val="24"/>
          <w:szCs w:val="24"/>
        </w:rPr>
        <w:drawing>
          <wp:inline distT="0" distB="0" distL="114300" distR="114300" wp14:anchorId="6F753B58" wp14:editId="7F729940">
            <wp:extent cx="114300" cy="142875"/>
            <wp:effectExtent l="0" t="0" r="0" b="9525"/>
            <wp:docPr id="51" name="E657119C-6982-421D-8BA7-E74DEB70A7DA-6" descr="latexm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E657119C-6982-421D-8BA7-E74DEB70A7DA-6" descr="latexmath"/>
                    <pic:cNvPicPr>
                      <a:picLocks noChangeAspect="1"/>
                    </pic:cNvPicPr>
                  </pic:nvPicPr>
                  <pic:blipFill>
                    <a:blip r:embed="rId32">
                      <a:extLst>
                        <a:ext uri="{96DAC541-7B7A-43D3-8B79-37D633B846F1}">
                          <asvg:svgBlip xmlns:asvg="http://schemas.microsoft.com/office/drawing/2016/SVG/main" r:embed="rId34"/>
                        </a:ext>
                      </a:extLst>
                    </a:blip>
                    <a:stretch>
                      <a:fillRect/>
                    </a:stretch>
                  </pic:blipFill>
                  <pic:spPr>
                    <a:xfrm>
                      <a:off x="0" y="0"/>
                      <a:ext cx="114300" cy="142875"/>
                    </a:xfrm>
                    <a:prstGeom prst="rect">
                      <a:avLst/>
                    </a:prstGeom>
                  </pic:spPr>
                </pic:pic>
              </a:graphicData>
            </a:graphic>
          </wp:inline>
        </w:drawing>
      </w:r>
      <w:r w:rsidRPr="000549B1">
        <w:rPr>
          <w:rFonts w:eastAsiaTheme="minorEastAsia"/>
          <w:bCs/>
          <w:sz w:val="24"/>
          <w:szCs w:val="24"/>
        </w:rPr>
        <w:t>＝</w:t>
      </w:r>
      <w:r w:rsidRPr="000549B1">
        <w:rPr>
          <w:rFonts w:eastAsiaTheme="minorEastAsia"/>
          <w:bCs/>
          <w:sz w:val="24"/>
          <w:szCs w:val="24"/>
        </w:rPr>
        <w:t>24</w:t>
      </w:r>
      <w:r w:rsidRPr="000549B1">
        <w:rPr>
          <w:rFonts w:eastAsiaTheme="minorEastAsia"/>
          <w:bCs/>
          <w:sz w:val="24"/>
          <w:szCs w:val="24"/>
        </w:rPr>
        <w:t>小时；间歇性排污口，</w:t>
      </w:r>
      <w:r w:rsidRPr="000549B1">
        <w:rPr>
          <w:rFonts w:eastAsiaTheme="minorEastAsia"/>
          <w:bCs/>
          <w:noProof/>
          <w:sz w:val="24"/>
          <w:szCs w:val="24"/>
        </w:rPr>
        <w:drawing>
          <wp:inline distT="0" distB="0" distL="114300" distR="114300" wp14:anchorId="6A6E16DF" wp14:editId="1C705523">
            <wp:extent cx="114300" cy="142875"/>
            <wp:effectExtent l="0" t="0" r="0" b="9525"/>
            <wp:docPr id="6" name="E657119C-6982-421D-8BA7-E74DEB70A7DA-7" descr="latexm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657119C-6982-421D-8BA7-E74DEB70A7DA-7" descr="latexmath"/>
                    <pic:cNvPicPr>
                      <a:picLocks noChangeAspect="1"/>
                    </pic:cNvPicPr>
                  </pic:nvPicPr>
                  <pic:blipFill>
                    <a:blip r:embed="rId32">
                      <a:extLst>
                        <a:ext uri="{96DAC541-7B7A-43D3-8B79-37D633B846F1}">
                          <asvg:svgBlip xmlns:asvg="http://schemas.microsoft.com/office/drawing/2016/SVG/main" r:embed="rId34"/>
                        </a:ext>
                      </a:extLst>
                    </a:blip>
                    <a:stretch>
                      <a:fillRect/>
                    </a:stretch>
                  </pic:blipFill>
                  <pic:spPr>
                    <a:xfrm>
                      <a:off x="0" y="0"/>
                      <a:ext cx="114300" cy="142875"/>
                    </a:xfrm>
                    <a:prstGeom prst="rect">
                      <a:avLst/>
                    </a:prstGeom>
                  </pic:spPr>
                </pic:pic>
              </a:graphicData>
            </a:graphic>
          </wp:inline>
        </w:drawing>
      </w:r>
      <w:r w:rsidRPr="000549B1">
        <w:rPr>
          <w:rFonts w:eastAsiaTheme="minorEastAsia"/>
          <w:bCs/>
          <w:sz w:val="24"/>
          <w:szCs w:val="24"/>
        </w:rPr>
        <w:t>取实际排污小时数（调查）；</w:t>
      </w:r>
    </w:p>
    <w:p w14:paraId="36911579" w14:textId="77777777" w:rsidR="00054437" w:rsidRPr="000549B1" w:rsidRDefault="00000000">
      <w:pPr>
        <w:widowControl/>
        <w:spacing w:line="360" w:lineRule="auto"/>
        <w:ind w:firstLineChars="200" w:firstLine="480"/>
        <w:jc w:val="left"/>
        <w:rPr>
          <w:rFonts w:eastAsiaTheme="minorEastAsia"/>
          <w:bCs/>
          <w:sz w:val="24"/>
          <w:szCs w:val="24"/>
        </w:rPr>
      </w:pPr>
      <w:r w:rsidRPr="000549B1">
        <w:rPr>
          <w:rFonts w:eastAsiaTheme="minorEastAsia"/>
          <w:bCs/>
          <w:sz w:val="24"/>
          <w:szCs w:val="24"/>
        </w:rPr>
        <w:t>3600——</w:t>
      </w:r>
      <w:r w:rsidRPr="000549B1">
        <w:rPr>
          <w:rFonts w:eastAsiaTheme="minorEastAsia"/>
          <w:bCs/>
          <w:sz w:val="24"/>
          <w:szCs w:val="24"/>
        </w:rPr>
        <w:t>时间换算系数。</w:t>
      </w:r>
    </w:p>
    <w:p w14:paraId="76F19AC5" w14:textId="77777777" w:rsidR="00054437" w:rsidRPr="000549B1" w:rsidRDefault="00000000">
      <w:pPr>
        <w:widowControl/>
        <w:spacing w:line="360" w:lineRule="auto"/>
        <w:ind w:firstLineChars="200" w:firstLine="480"/>
        <w:jc w:val="left"/>
        <w:rPr>
          <w:rFonts w:eastAsiaTheme="minorEastAsia"/>
          <w:bCs/>
          <w:sz w:val="24"/>
          <w:szCs w:val="24"/>
        </w:rPr>
      </w:pPr>
      <w:r w:rsidRPr="000549B1">
        <w:rPr>
          <w:rFonts w:eastAsiaTheme="minorEastAsia"/>
          <w:bCs/>
          <w:sz w:val="24"/>
          <w:szCs w:val="24"/>
        </w:rPr>
        <w:t>（</w:t>
      </w:r>
      <w:r w:rsidRPr="000549B1">
        <w:rPr>
          <w:rFonts w:eastAsiaTheme="minorEastAsia"/>
          <w:bCs/>
          <w:sz w:val="24"/>
          <w:szCs w:val="24"/>
        </w:rPr>
        <w:t>2</w:t>
      </w:r>
      <w:r w:rsidRPr="000549B1">
        <w:rPr>
          <w:rFonts w:eastAsiaTheme="minorEastAsia"/>
          <w:bCs/>
          <w:sz w:val="24"/>
          <w:szCs w:val="24"/>
        </w:rPr>
        <w:t>）年废水量计算公式：</w:t>
      </w:r>
    </w:p>
    <w:p w14:paraId="2DCB7346" w14:textId="77777777" w:rsidR="00054437" w:rsidRPr="000549B1" w:rsidRDefault="00000000">
      <w:pPr>
        <w:widowControl/>
        <w:spacing w:line="360" w:lineRule="auto"/>
        <w:jc w:val="center"/>
        <w:rPr>
          <w:rFonts w:eastAsiaTheme="minorEastAsia"/>
          <w:bCs/>
          <w:sz w:val="24"/>
          <w:szCs w:val="24"/>
        </w:rPr>
      </w:pPr>
      <w:r w:rsidRPr="000549B1">
        <w:rPr>
          <w:rFonts w:eastAsiaTheme="minorEastAsia"/>
          <w:bCs/>
          <w:noProof/>
          <w:sz w:val="24"/>
          <w:szCs w:val="24"/>
        </w:rPr>
        <w:drawing>
          <wp:inline distT="0" distB="0" distL="114300" distR="114300" wp14:anchorId="1C7ED750" wp14:editId="4916E95C">
            <wp:extent cx="1457325" cy="171450"/>
            <wp:effectExtent l="0" t="0" r="9525" b="0"/>
            <wp:docPr id="100" name="E657119C-6982-421D-8BA7-E74DEB70A7DA-8" descr="latexm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E657119C-6982-421D-8BA7-E74DEB70A7DA-8" descr="latexmath"/>
                    <pic:cNvPicPr>
                      <a:picLocks noChangeAspect="1"/>
                    </pic:cNvPicPr>
                  </pic:nvPicPr>
                  <pic:blipFill>
                    <a:blip r:embed="rId35">
                      <a:extLst>
                        <a:ext uri="{96DAC541-7B7A-43D3-8B79-37D633B846F1}">
                          <asvg:svgBlip xmlns:asvg="http://schemas.microsoft.com/office/drawing/2016/SVG/main" r:embed="rId36"/>
                        </a:ext>
                      </a:extLst>
                    </a:blip>
                    <a:stretch>
                      <a:fillRect/>
                    </a:stretch>
                  </pic:blipFill>
                  <pic:spPr>
                    <a:xfrm>
                      <a:off x="0" y="0"/>
                      <a:ext cx="1457325" cy="171450"/>
                    </a:xfrm>
                    <a:prstGeom prst="rect">
                      <a:avLst/>
                    </a:prstGeom>
                  </pic:spPr>
                </pic:pic>
              </a:graphicData>
            </a:graphic>
          </wp:inline>
        </w:drawing>
      </w:r>
    </w:p>
    <w:p w14:paraId="71121A12" w14:textId="77777777" w:rsidR="00054437" w:rsidRPr="000549B1" w:rsidRDefault="00000000">
      <w:pPr>
        <w:widowControl/>
        <w:spacing w:line="360" w:lineRule="auto"/>
        <w:ind w:firstLineChars="200" w:firstLine="480"/>
        <w:jc w:val="left"/>
        <w:rPr>
          <w:rFonts w:eastAsiaTheme="minorEastAsia"/>
          <w:bCs/>
          <w:sz w:val="24"/>
          <w:szCs w:val="24"/>
        </w:rPr>
      </w:pPr>
      <w:r w:rsidRPr="000549B1">
        <w:rPr>
          <w:rFonts w:eastAsiaTheme="minorEastAsia"/>
          <w:bCs/>
          <w:sz w:val="24"/>
          <w:szCs w:val="24"/>
        </w:rPr>
        <w:t>式中：</w:t>
      </w:r>
    </w:p>
    <w:p w14:paraId="5E7F15FB" w14:textId="77777777" w:rsidR="00054437" w:rsidRPr="000549B1" w:rsidRDefault="00000000">
      <w:pPr>
        <w:widowControl/>
        <w:spacing w:line="360" w:lineRule="auto"/>
        <w:ind w:firstLineChars="200" w:firstLine="480"/>
        <w:jc w:val="left"/>
        <w:rPr>
          <w:rFonts w:eastAsiaTheme="minorEastAsia"/>
          <w:bCs/>
          <w:sz w:val="24"/>
          <w:szCs w:val="24"/>
        </w:rPr>
      </w:pPr>
      <w:r w:rsidRPr="000549B1">
        <w:rPr>
          <w:rFonts w:eastAsiaTheme="minorEastAsia"/>
          <w:bCs/>
          <w:noProof/>
          <w:sz w:val="24"/>
          <w:szCs w:val="24"/>
        </w:rPr>
        <w:drawing>
          <wp:inline distT="0" distB="0" distL="114300" distR="114300" wp14:anchorId="0F034B56" wp14:editId="0C6DDEB6">
            <wp:extent cx="247650" cy="161925"/>
            <wp:effectExtent l="0" t="0" r="0" b="9525"/>
            <wp:docPr id="7" name="E657119C-6982-421D-8BA7-E74DEB70A7DA-9" descr="latexm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657119C-6982-421D-8BA7-E74DEB70A7DA-9" descr="latexmath"/>
                    <pic:cNvPicPr>
                      <a:picLocks noChangeAspect="1"/>
                    </pic:cNvPicPr>
                  </pic:nvPicPr>
                  <pic:blipFill>
                    <a:blip r:embed="rId37">
                      <a:extLst>
                        <a:ext uri="{96DAC541-7B7A-43D3-8B79-37D633B846F1}">
                          <asvg:svgBlip xmlns:asvg="http://schemas.microsoft.com/office/drawing/2016/SVG/main" r:embed="rId38"/>
                        </a:ext>
                      </a:extLst>
                    </a:blip>
                    <a:stretch>
                      <a:fillRect/>
                    </a:stretch>
                  </pic:blipFill>
                  <pic:spPr>
                    <a:xfrm>
                      <a:off x="0" y="0"/>
                      <a:ext cx="247650" cy="161925"/>
                    </a:xfrm>
                    <a:prstGeom prst="rect">
                      <a:avLst/>
                    </a:prstGeom>
                  </pic:spPr>
                </pic:pic>
              </a:graphicData>
            </a:graphic>
          </wp:inline>
        </w:drawing>
      </w:r>
      <w:r w:rsidRPr="000549B1">
        <w:rPr>
          <w:rFonts w:eastAsiaTheme="minorEastAsia"/>
          <w:bCs/>
          <w:sz w:val="24"/>
          <w:szCs w:val="24"/>
        </w:rPr>
        <w:t>——</w:t>
      </w:r>
      <w:r w:rsidRPr="000549B1">
        <w:rPr>
          <w:rFonts w:eastAsiaTheme="minorEastAsia"/>
          <w:bCs/>
          <w:sz w:val="24"/>
          <w:szCs w:val="24"/>
        </w:rPr>
        <w:t>年入河废水量（万</w:t>
      </w:r>
      <w:r w:rsidRPr="000549B1">
        <w:rPr>
          <w:rFonts w:eastAsiaTheme="minorEastAsia"/>
          <w:bCs/>
          <w:sz w:val="24"/>
          <w:szCs w:val="24"/>
        </w:rPr>
        <w:t>m</w:t>
      </w:r>
      <w:r w:rsidRPr="000549B1">
        <w:rPr>
          <w:rFonts w:eastAsiaTheme="minorEastAsia"/>
          <w:bCs/>
          <w:sz w:val="24"/>
          <w:szCs w:val="24"/>
          <w:vertAlign w:val="superscript"/>
        </w:rPr>
        <w:t>3</w:t>
      </w:r>
      <w:r w:rsidRPr="000549B1">
        <w:rPr>
          <w:rFonts w:eastAsiaTheme="minorEastAsia"/>
          <w:bCs/>
          <w:sz w:val="24"/>
          <w:szCs w:val="24"/>
        </w:rPr>
        <w:t>/a</w:t>
      </w:r>
      <w:r w:rsidRPr="000549B1">
        <w:rPr>
          <w:rFonts w:eastAsiaTheme="minorEastAsia"/>
          <w:bCs/>
          <w:sz w:val="24"/>
          <w:szCs w:val="24"/>
        </w:rPr>
        <w:t>）；</w:t>
      </w:r>
    </w:p>
    <w:p w14:paraId="4C7B1852" w14:textId="77777777" w:rsidR="00054437" w:rsidRPr="000549B1" w:rsidRDefault="00000000">
      <w:pPr>
        <w:widowControl/>
        <w:spacing w:line="360" w:lineRule="auto"/>
        <w:ind w:firstLineChars="200" w:firstLine="480"/>
        <w:jc w:val="left"/>
        <w:rPr>
          <w:rFonts w:eastAsiaTheme="minorEastAsia"/>
          <w:bCs/>
          <w:sz w:val="24"/>
          <w:szCs w:val="24"/>
        </w:rPr>
      </w:pPr>
      <w:r w:rsidRPr="000549B1">
        <w:rPr>
          <w:rFonts w:eastAsiaTheme="minorEastAsia"/>
          <w:bCs/>
          <w:noProof/>
          <w:sz w:val="24"/>
          <w:szCs w:val="24"/>
        </w:rPr>
        <w:drawing>
          <wp:inline distT="0" distB="0" distL="114300" distR="114300" wp14:anchorId="6E05B5FE" wp14:editId="6C23D538">
            <wp:extent cx="247650" cy="161925"/>
            <wp:effectExtent l="0" t="0" r="0" b="9525"/>
            <wp:docPr id="869040272" name="E657119C-6982-421D-8BA7-E74DEB70A7DA-10" descr="latexm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040272" name="E657119C-6982-421D-8BA7-E74DEB70A7DA-10" descr="latexmath"/>
                    <pic:cNvPicPr>
                      <a:picLocks noChangeAspect="1"/>
                    </pic:cNvPicPr>
                  </pic:nvPicPr>
                  <pic:blipFill>
                    <a:blip r:embed="rId39">
                      <a:extLst>
                        <a:ext uri="{96DAC541-7B7A-43D3-8B79-37D633B846F1}">
                          <asvg:svgBlip xmlns:asvg="http://schemas.microsoft.com/office/drawing/2016/SVG/main" r:embed="rId40"/>
                        </a:ext>
                      </a:extLst>
                    </a:blip>
                    <a:stretch>
                      <a:fillRect/>
                    </a:stretch>
                  </pic:blipFill>
                  <pic:spPr>
                    <a:xfrm>
                      <a:off x="0" y="0"/>
                      <a:ext cx="247650" cy="161925"/>
                    </a:xfrm>
                    <a:prstGeom prst="rect">
                      <a:avLst/>
                    </a:prstGeom>
                  </pic:spPr>
                </pic:pic>
              </a:graphicData>
            </a:graphic>
          </wp:inline>
        </w:drawing>
      </w:r>
      <w:r w:rsidRPr="000549B1">
        <w:rPr>
          <w:rFonts w:eastAsiaTheme="minorEastAsia"/>
          <w:bCs/>
          <w:sz w:val="24"/>
          <w:szCs w:val="24"/>
        </w:rPr>
        <w:t>——</w:t>
      </w:r>
      <w:r w:rsidRPr="000549B1">
        <w:rPr>
          <w:rFonts w:eastAsiaTheme="minorEastAsia"/>
          <w:bCs/>
          <w:sz w:val="24"/>
          <w:szCs w:val="24"/>
        </w:rPr>
        <w:t>入河废水量（</w:t>
      </w:r>
      <w:r w:rsidRPr="000549B1">
        <w:rPr>
          <w:rFonts w:eastAsiaTheme="minorEastAsia"/>
          <w:bCs/>
          <w:sz w:val="24"/>
          <w:szCs w:val="24"/>
        </w:rPr>
        <w:t>m</w:t>
      </w:r>
      <w:r w:rsidRPr="000549B1">
        <w:rPr>
          <w:rFonts w:eastAsiaTheme="minorEastAsia"/>
          <w:bCs/>
          <w:sz w:val="24"/>
          <w:szCs w:val="24"/>
          <w:vertAlign w:val="superscript"/>
        </w:rPr>
        <w:t>3</w:t>
      </w:r>
      <w:r w:rsidRPr="000549B1">
        <w:rPr>
          <w:rFonts w:eastAsiaTheme="minorEastAsia"/>
          <w:bCs/>
          <w:sz w:val="24"/>
          <w:szCs w:val="24"/>
        </w:rPr>
        <w:t>/d</w:t>
      </w:r>
      <w:r w:rsidRPr="000549B1">
        <w:rPr>
          <w:rFonts w:eastAsiaTheme="minorEastAsia"/>
          <w:bCs/>
          <w:sz w:val="24"/>
          <w:szCs w:val="24"/>
        </w:rPr>
        <w:t>）；</w:t>
      </w:r>
    </w:p>
    <w:p w14:paraId="2960EF56" w14:textId="77777777" w:rsidR="00054437" w:rsidRPr="000549B1" w:rsidRDefault="00000000">
      <w:pPr>
        <w:widowControl/>
        <w:spacing w:line="360" w:lineRule="auto"/>
        <w:ind w:firstLineChars="200" w:firstLine="480"/>
        <w:jc w:val="left"/>
        <w:rPr>
          <w:rFonts w:eastAsiaTheme="minorEastAsia"/>
          <w:bCs/>
          <w:sz w:val="24"/>
          <w:szCs w:val="24"/>
        </w:rPr>
      </w:pPr>
      <w:r w:rsidRPr="000549B1">
        <w:rPr>
          <w:rFonts w:eastAsiaTheme="minorEastAsia"/>
          <w:bCs/>
          <w:noProof/>
          <w:sz w:val="24"/>
          <w:szCs w:val="24"/>
        </w:rPr>
        <w:drawing>
          <wp:inline distT="0" distB="0" distL="114300" distR="114300" wp14:anchorId="35B7C09A" wp14:editId="6564A624">
            <wp:extent cx="114300" cy="142875"/>
            <wp:effectExtent l="0" t="0" r="0" b="9525"/>
            <wp:docPr id="9" name="E657119C-6982-421D-8BA7-E74DEB70A7DA-11" descr="latexm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657119C-6982-421D-8BA7-E74DEB70A7DA-11" descr="latexmath"/>
                    <pic:cNvPicPr>
                      <a:picLocks noChangeAspect="1"/>
                    </pic:cNvPicPr>
                  </pic:nvPicPr>
                  <pic:blipFill>
                    <a:blip r:embed="rId41">
                      <a:extLst>
                        <a:ext uri="{96DAC541-7B7A-43D3-8B79-37D633B846F1}">
                          <asvg:svgBlip xmlns:asvg="http://schemas.microsoft.com/office/drawing/2016/SVG/main" r:embed="rId42"/>
                        </a:ext>
                      </a:extLst>
                    </a:blip>
                    <a:stretch>
                      <a:fillRect/>
                    </a:stretch>
                  </pic:blipFill>
                  <pic:spPr>
                    <a:xfrm>
                      <a:off x="0" y="0"/>
                      <a:ext cx="114300" cy="142875"/>
                    </a:xfrm>
                    <a:prstGeom prst="rect">
                      <a:avLst/>
                    </a:prstGeom>
                  </pic:spPr>
                </pic:pic>
              </a:graphicData>
            </a:graphic>
          </wp:inline>
        </w:drawing>
      </w:r>
      <w:r w:rsidRPr="000549B1">
        <w:rPr>
          <w:rFonts w:eastAsiaTheme="minorEastAsia"/>
          <w:bCs/>
          <w:sz w:val="24"/>
          <w:szCs w:val="24"/>
        </w:rPr>
        <w:t>——</w:t>
      </w:r>
      <w:r w:rsidRPr="000549B1">
        <w:rPr>
          <w:rFonts w:eastAsiaTheme="minorEastAsia"/>
          <w:bCs/>
          <w:sz w:val="24"/>
          <w:szCs w:val="24"/>
        </w:rPr>
        <w:t>年排污天数，对于持续性混合生活排污口按</w:t>
      </w:r>
      <w:r w:rsidRPr="000549B1">
        <w:rPr>
          <w:rFonts w:eastAsiaTheme="minorEastAsia"/>
          <w:bCs/>
          <w:sz w:val="24"/>
          <w:szCs w:val="24"/>
        </w:rPr>
        <w:t>365</w:t>
      </w:r>
      <w:r w:rsidRPr="000549B1">
        <w:rPr>
          <w:bCs/>
          <w:sz w:val="24"/>
          <w:szCs w:val="24"/>
        </w:rPr>
        <w:t>天</w:t>
      </w:r>
      <w:r w:rsidRPr="000549B1">
        <w:rPr>
          <w:rFonts w:eastAsiaTheme="minorEastAsia"/>
          <w:bCs/>
          <w:sz w:val="24"/>
          <w:szCs w:val="24"/>
        </w:rPr>
        <w:t>计，持续性工业排污口按</w:t>
      </w:r>
      <w:r w:rsidRPr="000549B1">
        <w:rPr>
          <w:rFonts w:eastAsiaTheme="minorEastAsia"/>
          <w:bCs/>
          <w:sz w:val="24"/>
          <w:szCs w:val="24"/>
        </w:rPr>
        <w:t>310</w:t>
      </w:r>
      <w:r w:rsidRPr="000549B1">
        <w:rPr>
          <w:bCs/>
          <w:sz w:val="24"/>
          <w:szCs w:val="24"/>
        </w:rPr>
        <w:t>天</w:t>
      </w:r>
      <w:r w:rsidRPr="000549B1">
        <w:rPr>
          <w:rFonts w:eastAsiaTheme="minorEastAsia"/>
          <w:bCs/>
          <w:sz w:val="24"/>
          <w:szCs w:val="24"/>
        </w:rPr>
        <w:t>计，间歇性排污口按实际排污天数计算。</w:t>
      </w:r>
    </w:p>
    <w:p w14:paraId="4B402399" w14:textId="2B9CDB11" w:rsidR="00407DFF" w:rsidRPr="00407DFF" w:rsidRDefault="00407DFF" w:rsidP="00407DFF">
      <w:pPr>
        <w:snapToGrid w:val="0"/>
        <w:spacing w:line="360" w:lineRule="auto"/>
        <w:ind w:firstLineChars="200" w:firstLine="480"/>
        <w:rPr>
          <w:bCs/>
          <w:sz w:val="24"/>
          <w:szCs w:val="24"/>
        </w:rPr>
      </w:pPr>
      <w:bookmarkStart w:id="218" w:name="_Hlk104275984"/>
      <w:r w:rsidRPr="00407DFF">
        <w:rPr>
          <w:bCs/>
          <w:sz w:val="24"/>
          <w:szCs w:val="24"/>
        </w:rPr>
        <w:t>本次评价收集</w:t>
      </w:r>
      <w:r w:rsidRPr="00407DFF">
        <w:rPr>
          <w:bCs/>
          <w:sz w:val="24"/>
          <w:szCs w:val="24"/>
        </w:rPr>
        <w:t>2024</w:t>
      </w:r>
      <w:r w:rsidRPr="00407DFF">
        <w:rPr>
          <w:bCs/>
          <w:sz w:val="24"/>
          <w:szCs w:val="24"/>
        </w:rPr>
        <w:t>年共和县恰卜恰镇污水处理厂、兴海县污水处理厂入河排污口在线监测数据，对共和县、兴海县进行点源污染物入河量核算。经统计，共和县、兴海县废污水入河量为</w:t>
      </w:r>
      <w:r w:rsidRPr="00407DFF">
        <w:rPr>
          <w:bCs/>
          <w:sz w:val="24"/>
          <w:szCs w:val="24"/>
        </w:rPr>
        <w:t>524</w:t>
      </w:r>
      <w:r w:rsidRPr="00407DFF">
        <w:rPr>
          <w:bCs/>
          <w:sz w:val="24"/>
          <w:szCs w:val="24"/>
        </w:rPr>
        <w:t>万</w:t>
      </w:r>
      <w:r w:rsidRPr="00407DFF">
        <w:rPr>
          <w:bCs/>
          <w:sz w:val="24"/>
          <w:szCs w:val="24"/>
        </w:rPr>
        <w:t>m</w:t>
      </w:r>
      <w:r w:rsidRPr="00407DFF">
        <w:rPr>
          <w:bCs/>
          <w:sz w:val="24"/>
          <w:szCs w:val="24"/>
          <w:vertAlign w:val="superscript"/>
        </w:rPr>
        <w:t>3</w:t>
      </w:r>
      <w:r w:rsidRPr="00407DFF">
        <w:rPr>
          <w:bCs/>
          <w:sz w:val="24"/>
          <w:szCs w:val="24"/>
        </w:rPr>
        <w:t>/a</w:t>
      </w:r>
      <w:r w:rsidRPr="00407DFF">
        <w:rPr>
          <w:bCs/>
          <w:sz w:val="24"/>
          <w:szCs w:val="24"/>
        </w:rPr>
        <w:t>，主要污染物入河量分别为</w:t>
      </w:r>
      <w:r w:rsidRPr="00407DFF">
        <w:rPr>
          <w:rFonts w:hint="eastAsia"/>
          <w:bCs/>
          <w:sz w:val="24"/>
          <w:szCs w:val="24"/>
        </w:rPr>
        <w:t>COD</w:t>
      </w:r>
      <w:r w:rsidRPr="00407DFF">
        <w:rPr>
          <w:bCs/>
          <w:sz w:val="24"/>
          <w:szCs w:val="24"/>
        </w:rPr>
        <w:t>94.32t</w:t>
      </w:r>
      <w:r w:rsidRPr="00407DFF">
        <w:rPr>
          <w:bCs/>
          <w:sz w:val="24"/>
          <w:szCs w:val="24"/>
        </w:rPr>
        <w:t>，氨氮</w:t>
      </w:r>
      <w:r w:rsidRPr="00407DFF">
        <w:rPr>
          <w:bCs/>
          <w:sz w:val="24"/>
          <w:szCs w:val="24"/>
        </w:rPr>
        <w:t>1.67t</w:t>
      </w:r>
      <w:r w:rsidRPr="00407DFF">
        <w:rPr>
          <w:bCs/>
          <w:sz w:val="24"/>
          <w:szCs w:val="24"/>
        </w:rPr>
        <w:t>、总氮</w:t>
      </w:r>
      <w:r w:rsidRPr="00407DFF">
        <w:rPr>
          <w:bCs/>
          <w:sz w:val="24"/>
          <w:szCs w:val="24"/>
        </w:rPr>
        <w:t>46.37t</w:t>
      </w:r>
      <w:r w:rsidRPr="00407DFF">
        <w:rPr>
          <w:bCs/>
          <w:sz w:val="24"/>
          <w:szCs w:val="24"/>
        </w:rPr>
        <w:t>、总磷</w:t>
      </w:r>
      <w:r w:rsidRPr="00407DFF">
        <w:rPr>
          <w:bCs/>
          <w:sz w:val="24"/>
          <w:szCs w:val="24"/>
        </w:rPr>
        <w:t>1.36t</w:t>
      </w:r>
      <w:r w:rsidRPr="00407DFF">
        <w:rPr>
          <w:rFonts w:hint="eastAsia"/>
          <w:bCs/>
          <w:sz w:val="24"/>
          <w:szCs w:val="24"/>
        </w:rPr>
        <w:t>。详见</w:t>
      </w:r>
      <w:r w:rsidR="00372953" w:rsidRPr="00372953">
        <w:rPr>
          <w:bCs/>
          <w:sz w:val="24"/>
          <w:szCs w:val="24"/>
        </w:rPr>
        <w:t>表</w:t>
      </w:r>
      <w:r w:rsidR="00372953" w:rsidRPr="00372953">
        <w:rPr>
          <w:bCs/>
          <w:sz w:val="24"/>
          <w:szCs w:val="24"/>
        </w:rPr>
        <w:t>3.3</w:t>
      </w:r>
      <w:r w:rsidR="00372953" w:rsidRPr="00372953">
        <w:rPr>
          <w:bCs/>
          <w:sz w:val="24"/>
          <w:szCs w:val="24"/>
        </w:rPr>
        <w:noBreakHyphen/>
        <w:t>6</w:t>
      </w:r>
      <w:r w:rsidRPr="00407DFF">
        <w:rPr>
          <w:bCs/>
          <w:sz w:val="24"/>
          <w:szCs w:val="24"/>
        </w:rPr>
        <w:t>。</w:t>
      </w:r>
      <w:r w:rsidRPr="00407DFF">
        <w:rPr>
          <w:rFonts w:hint="eastAsia"/>
          <w:bCs/>
          <w:sz w:val="24"/>
          <w:szCs w:val="24"/>
        </w:rPr>
        <w:t>其中，</w:t>
      </w:r>
      <w:r w:rsidRPr="00407DFF">
        <w:rPr>
          <w:bCs/>
          <w:sz w:val="24"/>
          <w:szCs w:val="24"/>
        </w:rPr>
        <w:t>共和县恰卜恰镇污水处理厂</w:t>
      </w:r>
      <w:r w:rsidRPr="00407DFF">
        <w:rPr>
          <w:rFonts w:hint="eastAsia"/>
          <w:bCs/>
          <w:sz w:val="24"/>
          <w:szCs w:val="24"/>
        </w:rPr>
        <w:t>排入恰卜恰河，</w:t>
      </w:r>
      <w:r w:rsidRPr="00407DFF">
        <w:rPr>
          <w:bCs/>
          <w:sz w:val="24"/>
          <w:szCs w:val="24"/>
        </w:rPr>
        <w:t>兴海县污水处理厂</w:t>
      </w:r>
      <w:r w:rsidRPr="00407DFF">
        <w:rPr>
          <w:rFonts w:hint="eastAsia"/>
          <w:bCs/>
          <w:sz w:val="24"/>
          <w:szCs w:val="24"/>
        </w:rPr>
        <w:t>排入龙曲沟，以上两条纳污河流均为黄河的一级支流，沙珠玉河流域内无入河排污口排污</w:t>
      </w:r>
      <w:r w:rsidRPr="00407DFF">
        <w:rPr>
          <w:bCs/>
          <w:sz w:val="24"/>
          <w:szCs w:val="24"/>
        </w:rPr>
        <w:t>。</w:t>
      </w:r>
    </w:p>
    <w:p w14:paraId="45C0B312" w14:textId="69FF0244" w:rsidR="00054437" w:rsidRPr="000549B1" w:rsidRDefault="00000000">
      <w:pPr>
        <w:pStyle w:val="aff8"/>
        <w:rPr>
          <w:rFonts w:eastAsiaTheme="minorEastAsia"/>
          <w:bCs/>
          <w:color w:val="auto"/>
        </w:rPr>
      </w:pPr>
      <w:bookmarkStart w:id="219" w:name="_Ref214978038"/>
      <w:bookmarkEnd w:id="218"/>
      <w:r w:rsidRPr="000549B1">
        <w:rPr>
          <w:color w:val="auto"/>
        </w:rPr>
        <w:t>表</w:t>
      </w:r>
      <w:r w:rsidR="00372953">
        <w:rPr>
          <w:color w:val="auto"/>
        </w:rPr>
        <w:fldChar w:fldCharType="begin"/>
      </w:r>
      <w:r w:rsidR="00372953">
        <w:rPr>
          <w:color w:val="auto"/>
        </w:rPr>
        <w:instrText xml:space="preserve"> STYLEREF 2 \s </w:instrText>
      </w:r>
      <w:r w:rsidR="00372953">
        <w:rPr>
          <w:color w:val="auto"/>
        </w:rPr>
        <w:fldChar w:fldCharType="separate"/>
      </w:r>
      <w:r w:rsidR="00372953">
        <w:rPr>
          <w:noProof/>
          <w:color w:val="auto"/>
        </w:rPr>
        <w:t>3.3</w:t>
      </w:r>
      <w:r w:rsidR="00372953">
        <w:rPr>
          <w:color w:val="auto"/>
        </w:rPr>
        <w:fldChar w:fldCharType="end"/>
      </w:r>
      <w:r w:rsidR="00372953">
        <w:rPr>
          <w:color w:val="auto"/>
        </w:rPr>
        <w:noBreakHyphen/>
      </w:r>
      <w:r w:rsidR="00372953">
        <w:rPr>
          <w:color w:val="auto"/>
        </w:rPr>
        <w:fldChar w:fldCharType="begin"/>
      </w:r>
      <w:r w:rsidR="00372953">
        <w:rPr>
          <w:color w:val="auto"/>
        </w:rPr>
        <w:instrText xml:space="preserve"> SEQ </w:instrText>
      </w:r>
      <w:r w:rsidR="00372953">
        <w:rPr>
          <w:color w:val="auto"/>
        </w:rPr>
        <w:instrText>表</w:instrText>
      </w:r>
      <w:r w:rsidR="00372953">
        <w:rPr>
          <w:color w:val="auto"/>
        </w:rPr>
        <w:instrText xml:space="preserve"> \* ARABIC \s 2 </w:instrText>
      </w:r>
      <w:r w:rsidR="00372953">
        <w:rPr>
          <w:color w:val="auto"/>
        </w:rPr>
        <w:fldChar w:fldCharType="separate"/>
      </w:r>
      <w:r w:rsidR="00372953">
        <w:rPr>
          <w:noProof/>
          <w:color w:val="auto"/>
        </w:rPr>
        <w:t>6</w:t>
      </w:r>
      <w:r w:rsidR="00372953">
        <w:rPr>
          <w:color w:val="auto"/>
        </w:rPr>
        <w:fldChar w:fldCharType="end"/>
      </w:r>
      <w:bookmarkEnd w:id="219"/>
      <w:r w:rsidRPr="000549B1">
        <w:rPr>
          <w:rFonts w:eastAsiaTheme="minorEastAsia"/>
          <w:bCs/>
          <w:color w:val="auto"/>
        </w:rPr>
        <w:t>2024</w:t>
      </w:r>
      <w:r w:rsidRPr="000549B1">
        <w:rPr>
          <w:rFonts w:eastAsiaTheme="minorEastAsia"/>
          <w:bCs/>
          <w:color w:val="auto"/>
        </w:rPr>
        <w:t>年沙珠玉河流域污染物入河总量</w:t>
      </w:r>
    </w:p>
    <w:tbl>
      <w:tblPr>
        <w:tblW w:w="8055" w:type="dxa"/>
        <w:tblInd w:w="93" w:type="dxa"/>
        <w:tblLook w:val="04A0" w:firstRow="1" w:lastRow="0" w:firstColumn="1" w:lastColumn="0" w:noHBand="0" w:noVBand="1"/>
      </w:tblPr>
      <w:tblGrid>
        <w:gridCol w:w="2737"/>
        <w:gridCol w:w="1062"/>
        <w:gridCol w:w="1064"/>
        <w:gridCol w:w="1064"/>
        <w:gridCol w:w="1064"/>
        <w:gridCol w:w="1064"/>
      </w:tblGrid>
      <w:tr w:rsidR="000549B1" w:rsidRPr="000549B1" w14:paraId="41B1B397" w14:textId="77777777" w:rsidTr="00407DFF">
        <w:trPr>
          <w:trHeight w:val="270"/>
        </w:trPr>
        <w:tc>
          <w:tcPr>
            <w:tcW w:w="2737" w:type="dxa"/>
            <w:vMerge w:val="restart"/>
            <w:tcBorders>
              <w:top w:val="single" w:sz="4" w:space="0" w:color="000000"/>
              <w:left w:val="single" w:sz="4" w:space="0" w:color="000000"/>
              <w:bottom w:val="single" w:sz="4" w:space="0" w:color="000000"/>
              <w:right w:val="single" w:sz="4" w:space="0" w:color="000000"/>
            </w:tcBorders>
            <w:noWrap/>
            <w:vAlign w:val="center"/>
          </w:tcPr>
          <w:p w14:paraId="0CA2A630" w14:textId="77777777" w:rsidR="00054437" w:rsidRPr="000549B1" w:rsidRDefault="00000000">
            <w:pPr>
              <w:widowControl/>
              <w:jc w:val="center"/>
              <w:textAlignment w:val="center"/>
              <w:rPr>
                <w:b/>
                <w:bCs/>
                <w:szCs w:val="21"/>
              </w:rPr>
            </w:pPr>
            <w:r w:rsidRPr="000549B1">
              <w:rPr>
                <w:b/>
                <w:bCs/>
                <w:kern w:val="0"/>
                <w:szCs w:val="21"/>
                <w:lang w:bidi="ar"/>
              </w:rPr>
              <w:t>污水处理厂名称</w:t>
            </w:r>
          </w:p>
        </w:tc>
        <w:tc>
          <w:tcPr>
            <w:tcW w:w="5318" w:type="dxa"/>
            <w:gridSpan w:val="5"/>
            <w:tcBorders>
              <w:top w:val="single" w:sz="4" w:space="0" w:color="000000"/>
              <w:left w:val="single" w:sz="4" w:space="0" w:color="000000"/>
              <w:bottom w:val="single" w:sz="4" w:space="0" w:color="000000"/>
              <w:right w:val="single" w:sz="4" w:space="0" w:color="000000"/>
            </w:tcBorders>
            <w:vAlign w:val="center"/>
          </w:tcPr>
          <w:p w14:paraId="56CE4173" w14:textId="77777777" w:rsidR="00054437" w:rsidRPr="000549B1" w:rsidRDefault="00000000">
            <w:pPr>
              <w:widowControl/>
              <w:jc w:val="center"/>
              <w:textAlignment w:val="center"/>
              <w:rPr>
                <w:b/>
                <w:bCs/>
                <w:szCs w:val="21"/>
              </w:rPr>
            </w:pPr>
            <w:r w:rsidRPr="000549B1">
              <w:rPr>
                <w:b/>
                <w:bCs/>
                <w:kern w:val="0"/>
                <w:szCs w:val="21"/>
                <w:lang w:bidi="ar"/>
              </w:rPr>
              <w:t>入河污染物总量（出口）</w:t>
            </w:r>
          </w:p>
        </w:tc>
      </w:tr>
      <w:tr w:rsidR="000549B1" w:rsidRPr="000549B1" w14:paraId="006E5E5F" w14:textId="77777777" w:rsidTr="00407DFF">
        <w:trPr>
          <w:trHeight w:val="936"/>
        </w:trPr>
        <w:tc>
          <w:tcPr>
            <w:tcW w:w="2737" w:type="dxa"/>
            <w:vMerge/>
            <w:tcBorders>
              <w:top w:val="single" w:sz="4" w:space="0" w:color="000000"/>
              <w:left w:val="single" w:sz="4" w:space="0" w:color="000000"/>
              <w:bottom w:val="single" w:sz="4" w:space="0" w:color="000000"/>
              <w:right w:val="single" w:sz="4" w:space="0" w:color="000000"/>
            </w:tcBorders>
            <w:noWrap/>
            <w:vAlign w:val="center"/>
          </w:tcPr>
          <w:p w14:paraId="59438763" w14:textId="77777777" w:rsidR="00054437" w:rsidRPr="000549B1" w:rsidRDefault="00054437">
            <w:pPr>
              <w:jc w:val="center"/>
              <w:rPr>
                <w:b/>
                <w:bCs/>
                <w:szCs w:val="21"/>
              </w:rPr>
            </w:pPr>
          </w:p>
        </w:tc>
        <w:tc>
          <w:tcPr>
            <w:tcW w:w="1062" w:type="dxa"/>
            <w:tcBorders>
              <w:top w:val="single" w:sz="4" w:space="0" w:color="000000"/>
              <w:left w:val="single" w:sz="4" w:space="0" w:color="000000"/>
              <w:bottom w:val="single" w:sz="4" w:space="0" w:color="000000"/>
              <w:right w:val="single" w:sz="4" w:space="0" w:color="000000"/>
            </w:tcBorders>
            <w:vAlign w:val="center"/>
          </w:tcPr>
          <w:p w14:paraId="0EADD183" w14:textId="77777777" w:rsidR="00054437" w:rsidRPr="000549B1" w:rsidRDefault="00000000">
            <w:pPr>
              <w:widowControl/>
              <w:jc w:val="center"/>
              <w:textAlignment w:val="center"/>
              <w:rPr>
                <w:b/>
                <w:bCs/>
                <w:szCs w:val="21"/>
              </w:rPr>
            </w:pPr>
            <w:r w:rsidRPr="000549B1">
              <w:rPr>
                <w:b/>
                <w:bCs/>
                <w:kern w:val="0"/>
                <w:szCs w:val="21"/>
                <w:lang w:bidi="ar"/>
              </w:rPr>
              <w:t>废污水量（万</w:t>
            </w:r>
            <w:r w:rsidRPr="000549B1">
              <w:rPr>
                <w:b/>
                <w:bCs/>
                <w:kern w:val="0"/>
                <w:szCs w:val="21"/>
                <w:lang w:bidi="ar"/>
              </w:rPr>
              <w:t>m</w:t>
            </w:r>
            <w:r w:rsidRPr="000549B1">
              <w:rPr>
                <w:b/>
                <w:bCs/>
                <w:kern w:val="0"/>
                <w:szCs w:val="21"/>
                <w:vertAlign w:val="superscript"/>
                <w:lang w:bidi="ar"/>
              </w:rPr>
              <w:t>3</w:t>
            </w:r>
            <w:r w:rsidRPr="000549B1">
              <w:rPr>
                <w:b/>
                <w:bCs/>
                <w:kern w:val="0"/>
                <w:szCs w:val="21"/>
                <w:lang w:bidi="ar"/>
              </w:rPr>
              <w:t>/a</w:t>
            </w:r>
            <w:r w:rsidRPr="000549B1">
              <w:rPr>
                <w:b/>
                <w:bCs/>
                <w:kern w:val="0"/>
                <w:szCs w:val="21"/>
                <w:lang w:bidi="ar"/>
              </w:rPr>
              <w:t>）</w:t>
            </w:r>
          </w:p>
        </w:tc>
        <w:tc>
          <w:tcPr>
            <w:tcW w:w="1064" w:type="dxa"/>
            <w:tcBorders>
              <w:top w:val="single" w:sz="4" w:space="0" w:color="000000"/>
              <w:left w:val="single" w:sz="4" w:space="0" w:color="000000"/>
              <w:bottom w:val="single" w:sz="4" w:space="0" w:color="000000"/>
              <w:right w:val="single" w:sz="4" w:space="0" w:color="000000"/>
            </w:tcBorders>
            <w:vAlign w:val="center"/>
          </w:tcPr>
          <w:p w14:paraId="3D4B3B53" w14:textId="77777777" w:rsidR="00054437" w:rsidRPr="000549B1" w:rsidRDefault="00000000">
            <w:pPr>
              <w:widowControl/>
              <w:jc w:val="center"/>
              <w:textAlignment w:val="center"/>
              <w:rPr>
                <w:b/>
                <w:bCs/>
                <w:szCs w:val="21"/>
              </w:rPr>
            </w:pPr>
            <w:r w:rsidRPr="000549B1">
              <w:rPr>
                <w:b/>
                <w:bCs/>
                <w:kern w:val="0"/>
                <w:szCs w:val="21"/>
                <w:lang w:bidi="ar"/>
              </w:rPr>
              <w:t>COD</w:t>
            </w:r>
            <w:r w:rsidRPr="000549B1">
              <w:rPr>
                <w:b/>
                <w:bCs/>
                <w:kern w:val="0"/>
                <w:szCs w:val="21"/>
                <w:lang w:bidi="ar"/>
              </w:rPr>
              <w:t>（</w:t>
            </w:r>
            <w:r w:rsidRPr="000549B1">
              <w:rPr>
                <w:b/>
                <w:bCs/>
                <w:kern w:val="0"/>
                <w:szCs w:val="21"/>
                <w:lang w:bidi="ar"/>
              </w:rPr>
              <w:t>t/a</w:t>
            </w:r>
            <w:r w:rsidRPr="000549B1">
              <w:rPr>
                <w:b/>
                <w:bCs/>
                <w:kern w:val="0"/>
                <w:szCs w:val="21"/>
                <w:lang w:bidi="ar"/>
              </w:rPr>
              <w:t>）</w:t>
            </w:r>
          </w:p>
        </w:tc>
        <w:tc>
          <w:tcPr>
            <w:tcW w:w="1064" w:type="dxa"/>
            <w:tcBorders>
              <w:top w:val="single" w:sz="4" w:space="0" w:color="000000"/>
              <w:left w:val="single" w:sz="4" w:space="0" w:color="000000"/>
              <w:right w:val="single" w:sz="4" w:space="0" w:color="000000"/>
            </w:tcBorders>
            <w:vAlign w:val="center"/>
          </w:tcPr>
          <w:p w14:paraId="00F810AA" w14:textId="77777777" w:rsidR="00054437" w:rsidRPr="000549B1" w:rsidRDefault="00000000">
            <w:pPr>
              <w:widowControl/>
              <w:jc w:val="center"/>
              <w:textAlignment w:val="center"/>
              <w:rPr>
                <w:b/>
                <w:bCs/>
                <w:szCs w:val="21"/>
              </w:rPr>
            </w:pPr>
            <w:r w:rsidRPr="000549B1">
              <w:rPr>
                <w:b/>
                <w:bCs/>
                <w:kern w:val="0"/>
                <w:szCs w:val="21"/>
                <w:lang w:bidi="ar"/>
              </w:rPr>
              <w:t>氨氮</w:t>
            </w:r>
          </w:p>
          <w:p w14:paraId="0A2FA37E" w14:textId="77777777" w:rsidR="00054437" w:rsidRPr="000549B1" w:rsidRDefault="00000000">
            <w:pPr>
              <w:jc w:val="center"/>
              <w:textAlignment w:val="center"/>
              <w:rPr>
                <w:b/>
                <w:bCs/>
                <w:szCs w:val="21"/>
              </w:rPr>
            </w:pPr>
            <w:r w:rsidRPr="000549B1">
              <w:rPr>
                <w:b/>
                <w:bCs/>
                <w:kern w:val="0"/>
                <w:szCs w:val="21"/>
                <w:lang w:bidi="ar"/>
              </w:rPr>
              <w:t>（</w:t>
            </w:r>
            <w:r w:rsidRPr="000549B1">
              <w:rPr>
                <w:b/>
                <w:bCs/>
                <w:kern w:val="0"/>
                <w:szCs w:val="21"/>
                <w:lang w:bidi="ar"/>
              </w:rPr>
              <w:t>t/a</w:t>
            </w:r>
            <w:r w:rsidRPr="000549B1">
              <w:rPr>
                <w:b/>
                <w:bCs/>
                <w:kern w:val="0"/>
                <w:szCs w:val="21"/>
                <w:lang w:bidi="ar"/>
              </w:rPr>
              <w:t>）</w:t>
            </w:r>
          </w:p>
        </w:tc>
        <w:tc>
          <w:tcPr>
            <w:tcW w:w="1064" w:type="dxa"/>
            <w:tcBorders>
              <w:top w:val="single" w:sz="4" w:space="0" w:color="000000"/>
              <w:left w:val="single" w:sz="4" w:space="0" w:color="000000"/>
              <w:bottom w:val="single" w:sz="4" w:space="0" w:color="000000"/>
              <w:right w:val="single" w:sz="4" w:space="0" w:color="000000"/>
            </w:tcBorders>
            <w:vAlign w:val="center"/>
          </w:tcPr>
          <w:p w14:paraId="609FBF0F" w14:textId="77777777" w:rsidR="00054437" w:rsidRPr="000549B1" w:rsidRDefault="00000000">
            <w:pPr>
              <w:widowControl/>
              <w:jc w:val="center"/>
              <w:textAlignment w:val="center"/>
              <w:rPr>
                <w:b/>
                <w:bCs/>
                <w:szCs w:val="21"/>
              </w:rPr>
            </w:pPr>
            <w:r w:rsidRPr="000549B1">
              <w:rPr>
                <w:b/>
                <w:bCs/>
                <w:kern w:val="0"/>
                <w:szCs w:val="21"/>
                <w:lang w:bidi="ar"/>
              </w:rPr>
              <w:t>总氮（</w:t>
            </w:r>
            <w:r w:rsidRPr="000549B1">
              <w:rPr>
                <w:b/>
                <w:bCs/>
                <w:kern w:val="0"/>
                <w:szCs w:val="21"/>
                <w:lang w:bidi="ar"/>
              </w:rPr>
              <w:t>t/a</w:t>
            </w:r>
            <w:r w:rsidRPr="000549B1">
              <w:rPr>
                <w:b/>
                <w:bCs/>
                <w:kern w:val="0"/>
                <w:szCs w:val="21"/>
                <w:lang w:bidi="ar"/>
              </w:rPr>
              <w:t>）</w:t>
            </w:r>
          </w:p>
        </w:tc>
        <w:tc>
          <w:tcPr>
            <w:tcW w:w="1064" w:type="dxa"/>
            <w:tcBorders>
              <w:top w:val="single" w:sz="4" w:space="0" w:color="000000"/>
              <w:left w:val="single" w:sz="4" w:space="0" w:color="000000"/>
              <w:bottom w:val="single" w:sz="4" w:space="0" w:color="000000"/>
              <w:right w:val="single" w:sz="4" w:space="0" w:color="000000"/>
            </w:tcBorders>
            <w:vAlign w:val="center"/>
          </w:tcPr>
          <w:p w14:paraId="6B719BAE" w14:textId="77777777" w:rsidR="00054437" w:rsidRPr="000549B1" w:rsidRDefault="00000000">
            <w:pPr>
              <w:widowControl/>
              <w:jc w:val="center"/>
              <w:textAlignment w:val="center"/>
              <w:rPr>
                <w:b/>
                <w:bCs/>
                <w:szCs w:val="21"/>
              </w:rPr>
            </w:pPr>
            <w:r w:rsidRPr="000549B1">
              <w:rPr>
                <w:b/>
                <w:bCs/>
                <w:kern w:val="0"/>
                <w:szCs w:val="21"/>
                <w:lang w:bidi="ar"/>
              </w:rPr>
              <w:t>总磷（</w:t>
            </w:r>
            <w:r w:rsidRPr="000549B1">
              <w:rPr>
                <w:b/>
                <w:bCs/>
                <w:kern w:val="0"/>
                <w:szCs w:val="21"/>
                <w:lang w:bidi="ar"/>
              </w:rPr>
              <w:t>t/a</w:t>
            </w:r>
            <w:r w:rsidRPr="000549B1">
              <w:rPr>
                <w:b/>
                <w:bCs/>
                <w:kern w:val="0"/>
                <w:szCs w:val="21"/>
                <w:lang w:bidi="ar"/>
              </w:rPr>
              <w:t>）</w:t>
            </w:r>
          </w:p>
        </w:tc>
      </w:tr>
      <w:tr w:rsidR="000549B1" w:rsidRPr="000549B1" w14:paraId="1F9D58A8" w14:textId="77777777">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65B957A5" w14:textId="77777777" w:rsidR="00054437" w:rsidRPr="000549B1" w:rsidRDefault="00000000">
            <w:pPr>
              <w:widowControl/>
              <w:jc w:val="center"/>
              <w:textAlignment w:val="center"/>
              <w:rPr>
                <w:szCs w:val="21"/>
              </w:rPr>
            </w:pPr>
            <w:r w:rsidRPr="000549B1">
              <w:rPr>
                <w:kern w:val="0"/>
                <w:szCs w:val="21"/>
                <w:lang w:bidi="ar"/>
              </w:rPr>
              <w:t>共和县恰卜恰镇污水处理厂</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264383A" w14:textId="77777777" w:rsidR="00054437" w:rsidRPr="000549B1" w:rsidRDefault="00000000">
            <w:pPr>
              <w:widowControl/>
              <w:jc w:val="center"/>
              <w:textAlignment w:val="center"/>
              <w:rPr>
                <w:szCs w:val="21"/>
              </w:rPr>
            </w:pPr>
            <w:r w:rsidRPr="000549B1">
              <w:rPr>
                <w:kern w:val="0"/>
                <w:szCs w:val="21"/>
                <w:lang w:bidi="ar"/>
              </w:rPr>
              <w:t>419</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9CDC70A" w14:textId="77777777" w:rsidR="00054437" w:rsidRPr="000549B1" w:rsidRDefault="00000000">
            <w:pPr>
              <w:widowControl/>
              <w:jc w:val="center"/>
              <w:textAlignment w:val="center"/>
              <w:rPr>
                <w:szCs w:val="21"/>
              </w:rPr>
            </w:pPr>
            <w:r w:rsidRPr="000549B1">
              <w:rPr>
                <w:kern w:val="0"/>
                <w:szCs w:val="21"/>
                <w:lang w:bidi="ar"/>
              </w:rPr>
              <w:t>75.42</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659866D" w14:textId="77777777" w:rsidR="00054437" w:rsidRPr="000549B1" w:rsidRDefault="00000000">
            <w:pPr>
              <w:widowControl/>
              <w:jc w:val="center"/>
              <w:textAlignment w:val="center"/>
              <w:rPr>
                <w:szCs w:val="21"/>
              </w:rPr>
            </w:pPr>
            <w:r w:rsidRPr="000549B1">
              <w:rPr>
                <w:kern w:val="0"/>
                <w:szCs w:val="21"/>
                <w:lang w:bidi="ar"/>
              </w:rPr>
              <w:t>1.33</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386DB7D" w14:textId="77777777" w:rsidR="00054437" w:rsidRPr="000549B1" w:rsidRDefault="00000000">
            <w:pPr>
              <w:widowControl/>
              <w:jc w:val="center"/>
              <w:textAlignment w:val="center"/>
              <w:rPr>
                <w:szCs w:val="21"/>
              </w:rPr>
            </w:pPr>
            <w:r w:rsidRPr="000549B1">
              <w:rPr>
                <w:kern w:val="0"/>
                <w:szCs w:val="21"/>
                <w:lang w:bidi="ar"/>
              </w:rPr>
              <w:t>37.08</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79F26B9" w14:textId="77777777" w:rsidR="00054437" w:rsidRPr="000549B1" w:rsidRDefault="00000000">
            <w:pPr>
              <w:widowControl/>
              <w:jc w:val="center"/>
              <w:textAlignment w:val="center"/>
              <w:rPr>
                <w:szCs w:val="21"/>
              </w:rPr>
            </w:pPr>
            <w:r w:rsidRPr="000549B1">
              <w:rPr>
                <w:kern w:val="0"/>
                <w:szCs w:val="21"/>
                <w:lang w:bidi="ar"/>
              </w:rPr>
              <w:t>1.09</w:t>
            </w:r>
          </w:p>
        </w:tc>
      </w:tr>
      <w:tr w:rsidR="000549B1" w:rsidRPr="000549B1" w14:paraId="24910786" w14:textId="77777777">
        <w:trPr>
          <w:trHeight w:val="285"/>
        </w:trPr>
        <w:tc>
          <w:tcPr>
            <w:tcW w:w="0" w:type="auto"/>
            <w:tcBorders>
              <w:top w:val="single" w:sz="4" w:space="0" w:color="000000"/>
              <w:left w:val="single" w:sz="4" w:space="0" w:color="000000"/>
              <w:bottom w:val="single" w:sz="4" w:space="0" w:color="000000"/>
              <w:right w:val="single" w:sz="4" w:space="0" w:color="000000"/>
            </w:tcBorders>
            <w:noWrap/>
            <w:vAlign w:val="center"/>
          </w:tcPr>
          <w:p w14:paraId="725EE983" w14:textId="77777777" w:rsidR="00054437" w:rsidRPr="000549B1" w:rsidRDefault="00000000">
            <w:pPr>
              <w:widowControl/>
              <w:jc w:val="center"/>
              <w:textAlignment w:val="center"/>
              <w:rPr>
                <w:szCs w:val="21"/>
              </w:rPr>
            </w:pPr>
            <w:r w:rsidRPr="000549B1">
              <w:rPr>
                <w:kern w:val="0"/>
                <w:szCs w:val="21"/>
                <w:lang w:bidi="ar"/>
              </w:rPr>
              <w:t>兴海县污水处理厂</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E31478B" w14:textId="77777777" w:rsidR="00054437" w:rsidRPr="000549B1" w:rsidRDefault="00000000">
            <w:pPr>
              <w:widowControl/>
              <w:jc w:val="center"/>
              <w:textAlignment w:val="center"/>
              <w:rPr>
                <w:szCs w:val="21"/>
              </w:rPr>
            </w:pPr>
            <w:r w:rsidRPr="000549B1">
              <w:rPr>
                <w:kern w:val="0"/>
                <w:szCs w:val="21"/>
                <w:lang w:bidi="ar"/>
              </w:rPr>
              <w:t>105</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3926A34" w14:textId="77777777" w:rsidR="00054437" w:rsidRPr="000549B1" w:rsidRDefault="00000000">
            <w:pPr>
              <w:widowControl/>
              <w:jc w:val="center"/>
              <w:textAlignment w:val="center"/>
              <w:rPr>
                <w:szCs w:val="21"/>
              </w:rPr>
            </w:pPr>
            <w:r w:rsidRPr="000549B1">
              <w:rPr>
                <w:kern w:val="0"/>
                <w:szCs w:val="21"/>
                <w:lang w:bidi="ar"/>
              </w:rPr>
              <w:t>18.9</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301040A" w14:textId="77777777" w:rsidR="00054437" w:rsidRPr="000549B1" w:rsidRDefault="00000000">
            <w:pPr>
              <w:widowControl/>
              <w:jc w:val="center"/>
              <w:textAlignment w:val="center"/>
              <w:rPr>
                <w:szCs w:val="21"/>
              </w:rPr>
            </w:pPr>
            <w:r w:rsidRPr="000549B1">
              <w:rPr>
                <w:kern w:val="0"/>
                <w:szCs w:val="21"/>
                <w:lang w:bidi="ar"/>
              </w:rPr>
              <w:t>0.33</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904C17B" w14:textId="77777777" w:rsidR="00054437" w:rsidRPr="000549B1" w:rsidRDefault="00000000">
            <w:pPr>
              <w:widowControl/>
              <w:jc w:val="center"/>
              <w:textAlignment w:val="center"/>
              <w:rPr>
                <w:szCs w:val="21"/>
              </w:rPr>
            </w:pPr>
            <w:r w:rsidRPr="000549B1">
              <w:rPr>
                <w:kern w:val="0"/>
                <w:szCs w:val="21"/>
                <w:lang w:bidi="ar"/>
              </w:rPr>
              <w:t>9.29</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67F8152" w14:textId="77777777" w:rsidR="00054437" w:rsidRPr="000549B1" w:rsidRDefault="00000000">
            <w:pPr>
              <w:widowControl/>
              <w:jc w:val="center"/>
              <w:textAlignment w:val="center"/>
              <w:rPr>
                <w:szCs w:val="21"/>
              </w:rPr>
            </w:pPr>
            <w:r w:rsidRPr="000549B1">
              <w:rPr>
                <w:kern w:val="0"/>
                <w:szCs w:val="21"/>
                <w:lang w:bidi="ar"/>
              </w:rPr>
              <w:t>0.27</w:t>
            </w:r>
          </w:p>
        </w:tc>
      </w:tr>
      <w:tr w:rsidR="000549B1" w:rsidRPr="000549B1" w14:paraId="1E3D62D2" w14:textId="77777777">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068B99CE" w14:textId="77777777" w:rsidR="00054437" w:rsidRPr="000549B1" w:rsidRDefault="00000000">
            <w:pPr>
              <w:widowControl/>
              <w:jc w:val="center"/>
              <w:textAlignment w:val="center"/>
              <w:rPr>
                <w:szCs w:val="21"/>
              </w:rPr>
            </w:pPr>
            <w:r w:rsidRPr="000549B1">
              <w:rPr>
                <w:kern w:val="0"/>
                <w:szCs w:val="21"/>
                <w:lang w:bidi="ar"/>
              </w:rPr>
              <w:t>合计</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4982AD6" w14:textId="77777777" w:rsidR="00054437" w:rsidRPr="000549B1" w:rsidRDefault="00000000">
            <w:pPr>
              <w:widowControl/>
              <w:jc w:val="center"/>
              <w:textAlignment w:val="center"/>
              <w:rPr>
                <w:szCs w:val="21"/>
              </w:rPr>
            </w:pPr>
            <w:r w:rsidRPr="000549B1">
              <w:rPr>
                <w:kern w:val="0"/>
                <w:szCs w:val="21"/>
                <w:lang w:bidi="ar"/>
              </w:rPr>
              <w:t>524</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CB013A8" w14:textId="77777777" w:rsidR="00054437" w:rsidRPr="000549B1" w:rsidRDefault="00000000">
            <w:pPr>
              <w:widowControl/>
              <w:jc w:val="center"/>
              <w:textAlignment w:val="center"/>
              <w:rPr>
                <w:szCs w:val="21"/>
              </w:rPr>
            </w:pPr>
            <w:r w:rsidRPr="000549B1">
              <w:rPr>
                <w:kern w:val="0"/>
                <w:szCs w:val="21"/>
                <w:lang w:bidi="ar"/>
              </w:rPr>
              <w:t>94.32</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9EEEB8D" w14:textId="77777777" w:rsidR="00054437" w:rsidRPr="000549B1" w:rsidRDefault="00000000">
            <w:pPr>
              <w:widowControl/>
              <w:jc w:val="center"/>
              <w:textAlignment w:val="center"/>
              <w:rPr>
                <w:szCs w:val="21"/>
              </w:rPr>
            </w:pPr>
            <w:r w:rsidRPr="000549B1">
              <w:rPr>
                <w:kern w:val="0"/>
                <w:szCs w:val="21"/>
                <w:lang w:bidi="ar"/>
              </w:rPr>
              <w:t>1.67</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DCF39B0" w14:textId="77777777" w:rsidR="00054437" w:rsidRPr="000549B1" w:rsidRDefault="00000000">
            <w:pPr>
              <w:widowControl/>
              <w:jc w:val="center"/>
              <w:textAlignment w:val="center"/>
              <w:rPr>
                <w:szCs w:val="21"/>
              </w:rPr>
            </w:pPr>
            <w:r w:rsidRPr="000549B1">
              <w:rPr>
                <w:kern w:val="0"/>
                <w:szCs w:val="21"/>
                <w:lang w:bidi="ar"/>
              </w:rPr>
              <w:t>46.37</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1E5215B" w14:textId="77777777" w:rsidR="00054437" w:rsidRPr="000549B1" w:rsidRDefault="00000000">
            <w:pPr>
              <w:widowControl/>
              <w:jc w:val="center"/>
              <w:textAlignment w:val="center"/>
              <w:rPr>
                <w:szCs w:val="21"/>
              </w:rPr>
            </w:pPr>
            <w:r w:rsidRPr="000549B1">
              <w:rPr>
                <w:kern w:val="0"/>
                <w:szCs w:val="21"/>
                <w:lang w:bidi="ar"/>
              </w:rPr>
              <w:t>1.36</w:t>
            </w:r>
          </w:p>
        </w:tc>
      </w:tr>
    </w:tbl>
    <w:p w14:paraId="3AFAAA23" w14:textId="77777777" w:rsidR="00054437" w:rsidRPr="000549B1" w:rsidRDefault="00000000">
      <w:pPr>
        <w:pStyle w:val="Z4"/>
        <w:rPr>
          <w:color w:val="auto"/>
        </w:rPr>
      </w:pPr>
      <w:r w:rsidRPr="000549B1">
        <w:rPr>
          <w:color w:val="auto"/>
        </w:rPr>
        <w:t>面污染源</w:t>
      </w:r>
    </w:p>
    <w:p w14:paraId="3D5DCEA4" w14:textId="77777777" w:rsidR="00054437" w:rsidRPr="000549B1" w:rsidRDefault="00000000">
      <w:pPr>
        <w:snapToGrid w:val="0"/>
        <w:spacing w:line="360" w:lineRule="auto"/>
        <w:ind w:firstLineChars="200" w:firstLine="480"/>
        <w:rPr>
          <w:bCs/>
          <w:sz w:val="24"/>
          <w:szCs w:val="24"/>
        </w:rPr>
      </w:pPr>
      <w:r w:rsidRPr="000549B1">
        <w:rPr>
          <w:bCs/>
          <w:sz w:val="24"/>
          <w:szCs w:val="24"/>
        </w:rPr>
        <w:t>面源污染是指在较大范围内，地面和土壤中的溶解性或固体污染物在降水和径流的淋洗和冲刷作用下，通过地表或地下径流汇入江河、湖泊、水库、海洋、地下水等水体而造成的污染。相对于点源污染而言，面源污染具有分散性、隐蔽性、随机性、不易监测等特征，且影响因素复杂多变。面源污染分布范围广，危害程度大，监测、管理和控制困难，已成为水体水质恶化的主要原因。</w:t>
      </w:r>
    </w:p>
    <w:p w14:paraId="52CD3FD2" w14:textId="77777777" w:rsidR="00054437" w:rsidRPr="000549B1" w:rsidRDefault="00000000">
      <w:pPr>
        <w:snapToGrid w:val="0"/>
        <w:spacing w:line="360" w:lineRule="auto"/>
        <w:ind w:firstLineChars="200" w:firstLine="480"/>
        <w:rPr>
          <w:bCs/>
          <w:sz w:val="24"/>
          <w:szCs w:val="24"/>
        </w:rPr>
      </w:pPr>
      <w:r w:rsidRPr="000549B1">
        <w:rPr>
          <w:bCs/>
          <w:sz w:val="24"/>
          <w:szCs w:val="24"/>
        </w:rPr>
        <w:t>面源污染调查估算分为三类，即农村生活面源、农田面源、分散式畜禽养殖面源。</w:t>
      </w:r>
    </w:p>
    <w:p w14:paraId="271637C1" w14:textId="77777777" w:rsidR="00054437" w:rsidRPr="000549B1" w:rsidRDefault="00000000">
      <w:pPr>
        <w:snapToGrid w:val="0"/>
        <w:spacing w:line="360" w:lineRule="auto"/>
        <w:ind w:firstLineChars="200" w:firstLine="480"/>
        <w:rPr>
          <w:bCs/>
          <w:sz w:val="24"/>
          <w:szCs w:val="24"/>
        </w:rPr>
      </w:pPr>
      <w:r w:rsidRPr="000549B1">
        <w:rPr>
          <w:bCs/>
          <w:sz w:val="24"/>
          <w:szCs w:val="24"/>
        </w:rPr>
        <w:t>（</w:t>
      </w:r>
      <w:r w:rsidRPr="000549B1">
        <w:rPr>
          <w:bCs/>
          <w:sz w:val="24"/>
          <w:szCs w:val="24"/>
        </w:rPr>
        <w:t>1</w:t>
      </w:r>
      <w:r w:rsidRPr="000549B1">
        <w:rPr>
          <w:bCs/>
          <w:sz w:val="24"/>
          <w:szCs w:val="24"/>
        </w:rPr>
        <w:t>）农村生活面源污染</w:t>
      </w:r>
    </w:p>
    <w:p w14:paraId="47BD1AF5" w14:textId="77777777" w:rsidR="00054437" w:rsidRPr="000549B1" w:rsidRDefault="00000000">
      <w:pPr>
        <w:snapToGrid w:val="0"/>
        <w:spacing w:line="360" w:lineRule="auto"/>
        <w:ind w:firstLineChars="200" w:firstLine="480"/>
        <w:rPr>
          <w:bCs/>
          <w:sz w:val="24"/>
          <w:szCs w:val="24"/>
        </w:rPr>
      </w:pPr>
      <w:r w:rsidRPr="000549B1">
        <w:rPr>
          <w:bCs/>
          <w:sz w:val="24"/>
          <w:szCs w:val="24"/>
        </w:rPr>
        <w:t>农村生活垃圾主要包括农村生活污水、农村固体废弃物。由于农民生态环境意识的淡薄和农村基础设施的落后，生活垃圾利用率极低，大部分都露天在城郊和乡村堆放，占用土地，还可能传播病毒细菌，其渗漏液污染地表水和地下水，导致农村生态环境恶化。由于农村生活污水处理设施的空白，排放的污水大部分未经处理就直接排入附近河道，生活污水对氮磷负荷的贡献率也相应增加。</w:t>
      </w:r>
    </w:p>
    <w:p w14:paraId="3CC00458" w14:textId="77777777" w:rsidR="00054437" w:rsidRPr="000549B1" w:rsidRDefault="00000000">
      <w:pPr>
        <w:snapToGrid w:val="0"/>
        <w:spacing w:line="360" w:lineRule="auto"/>
        <w:ind w:firstLineChars="200" w:firstLine="480"/>
        <w:rPr>
          <w:bCs/>
          <w:sz w:val="24"/>
          <w:szCs w:val="24"/>
        </w:rPr>
      </w:pPr>
      <w:r w:rsidRPr="000549B1">
        <w:rPr>
          <w:bCs/>
          <w:sz w:val="24"/>
          <w:szCs w:val="24"/>
        </w:rPr>
        <w:t>共和县、兴海县农业生产生活的分散性和特殊性以及农村基础设施建设的落后，普遍缺乏完善的排水和垃圾清运处理系统，目前无法对农业排污进行集中处理，农村基础设施建设滞后。农村生活污水的排放对当地地表水、地下水和土壤等质量产生一定影响，对居民的生活用水安全造成不利影响，可能影响当地农牧民生活品质的改善和生活质量的提高。</w:t>
      </w:r>
    </w:p>
    <w:p w14:paraId="2D73678E" w14:textId="77777777" w:rsidR="00054437" w:rsidRPr="000549B1" w:rsidRDefault="00000000">
      <w:pPr>
        <w:pStyle w:val="aff9"/>
        <w:numPr>
          <w:ilvl w:val="0"/>
          <w:numId w:val="5"/>
        </w:numPr>
        <w:snapToGrid w:val="0"/>
        <w:spacing w:line="360" w:lineRule="auto"/>
        <w:ind w:firstLineChars="0"/>
        <w:rPr>
          <w:bCs/>
          <w:sz w:val="24"/>
          <w:szCs w:val="24"/>
        </w:rPr>
      </w:pPr>
      <w:r w:rsidRPr="000549B1">
        <w:rPr>
          <w:bCs/>
          <w:sz w:val="24"/>
          <w:szCs w:val="24"/>
        </w:rPr>
        <w:t>农村生活污水</w:t>
      </w:r>
    </w:p>
    <w:p w14:paraId="3F588648" w14:textId="77777777" w:rsidR="00054437" w:rsidRPr="000549B1" w:rsidRDefault="00000000">
      <w:pPr>
        <w:snapToGrid w:val="0"/>
        <w:spacing w:line="360" w:lineRule="auto"/>
        <w:ind w:firstLineChars="200" w:firstLine="480"/>
        <w:rPr>
          <w:bCs/>
          <w:sz w:val="24"/>
          <w:szCs w:val="24"/>
        </w:rPr>
      </w:pPr>
      <w:r w:rsidRPr="000549B1">
        <w:rPr>
          <w:bCs/>
          <w:sz w:val="24"/>
          <w:szCs w:val="24"/>
        </w:rPr>
        <w:t>本次农村生活污水调查估算首先按照共和县、兴海县统计</w:t>
      </w:r>
      <w:r w:rsidRPr="000549B1">
        <w:rPr>
          <w:bCs/>
          <w:sz w:val="24"/>
          <w:szCs w:val="24"/>
        </w:rPr>
        <w:t>2024</w:t>
      </w:r>
      <w:r w:rsidRPr="000549B1">
        <w:rPr>
          <w:bCs/>
          <w:sz w:val="24"/>
          <w:szCs w:val="24"/>
        </w:rPr>
        <w:t>年农村人口数量，然后在此基础上根据《青海省用水定额》（</w:t>
      </w:r>
      <w:r w:rsidRPr="000549B1">
        <w:rPr>
          <w:bCs/>
          <w:sz w:val="24"/>
          <w:szCs w:val="24"/>
        </w:rPr>
        <w:t>DB63/T1429-2021</w:t>
      </w:r>
      <w:r w:rsidRPr="000549B1">
        <w:rPr>
          <w:bCs/>
          <w:sz w:val="24"/>
          <w:szCs w:val="24"/>
        </w:rPr>
        <w:t>）以及《全国水资源综合规划水资源保护技术细则》（以下简称《细则》）人均综合污水产生系数估算农村生活污水年产生量，并从中扣除点源生活污水产生量，得出农村生活污水面源产生量，再根据</w:t>
      </w:r>
      <w:r w:rsidRPr="000549B1">
        <w:rPr>
          <w:bCs/>
          <w:sz w:val="24"/>
          <w:szCs w:val="24"/>
        </w:rPr>
        <w:t>COD</w:t>
      </w:r>
      <w:r w:rsidRPr="000549B1">
        <w:rPr>
          <w:bCs/>
          <w:sz w:val="24"/>
          <w:szCs w:val="24"/>
        </w:rPr>
        <w:t>、氨氮、总氮、总磷排放浓度，计算农村生活污水面源产生量。</w:t>
      </w:r>
    </w:p>
    <w:p w14:paraId="42244DE0" w14:textId="77777777" w:rsidR="00054437" w:rsidRPr="000549B1" w:rsidRDefault="00000000">
      <w:pPr>
        <w:snapToGrid w:val="0"/>
        <w:spacing w:line="360" w:lineRule="auto"/>
        <w:ind w:firstLineChars="200" w:firstLine="480"/>
        <w:rPr>
          <w:bCs/>
          <w:sz w:val="24"/>
          <w:szCs w:val="24"/>
        </w:rPr>
      </w:pPr>
      <w:r w:rsidRPr="000549B1">
        <w:rPr>
          <w:bCs/>
          <w:sz w:val="24"/>
          <w:szCs w:val="24"/>
        </w:rPr>
        <w:t>农村生活污水年产生量与污染物年产生量用如下公式计算：</w:t>
      </w:r>
    </w:p>
    <w:p w14:paraId="05CC5C6D" w14:textId="77777777" w:rsidR="00054437" w:rsidRPr="000549B1" w:rsidRDefault="00000000">
      <w:pPr>
        <w:pStyle w:val="a2"/>
        <w:spacing w:line="360" w:lineRule="auto"/>
        <w:ind w:firstLine="200"/>
        <w:jc w:val="center"/>
        <w:rPr>
          <w:rFonts w:eastAsia="仿宋"/>
          <w:bCs/>
          <w:sz w:val="24"/>
          <w:szCs w:val="24"/>
        </w:rPr>
      </w:pPr>
      <w:r w:rsidRPr="000549B1">
        <w:rPr>
          <w:rFonts w:eastAsia="仿宋"/>
          <w:bCs/>
          <w:noProof/>
          <w:sz w:val="24"/>
          <w:szCs w:val="24"/>
        </w:rPr>
        <w:drawing>
          <wp:inline distT="0" distB="0" distL="114300" distR="114300" wp14:anchorId="614696E2" wp14:editId="6C1733D7">
            <wp:extent cx="1581150" cy="171450"/>
            <wp:effectExtent l="0" t="0" r="0" b="0"/>
            <wp:docPr id="102" name="E657119C-6982-421D-8BA7-E74DEB70A7DA-12" descr="latexm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E657119C-6982-421D-8BA7-E74DEB70A7DA-12" descr="latexmath"/>
                    <pic:cNvPicPr>
                      <a:picLocks noChangeAspect="1"/>
                    </pic:cNvPicPr>
                  </pic:nvPicPr>
                  <pic:blipFill>
                    <a:blip r:embed="rId43">
                      <a:extLst>
                        <a:ext uri="{96DAC541-7B7A-43D3-8B79-37D633B846F1}">
                          <asvg:svgBlip xmlns:asvg="http://schemas.microsoft.com/office/drawing/2016/SVG/main" r:embed="rId44"/>
                        </a:ext>
                      </a:extLst>
                    </a:blip>
                    <a:stretch>
                      <a:fillRect/>
                    </a:stretch>
                  </pic:blipFill>
                  <pic:spPr>
                    <a:xfrm>
                      <a:off x="0" y="0"/>
                      <a:ext cx="1581150" cy="171450"/>
                    </a:xfrm>
                    <a:prstGeom prst="rect">
                      <a:avLst/>
                    </a:prstGeom>
                  </pic:spPr>
                </pic:pic>
              </a:graphicData>
            </a:graphic>
          </wp:inline>
        </w:drawing>
      </w:r>
    </w:p>
    <w:p w14:paraId="0C02711B" w14:textId="77777777" w:rsidR="00054437" w:rsidRPr="000549B1" w:rsidRDefault="00000000">
      <w:pPr>
        <w:pStyle w:val="a2"/>
        <w:spacing w:line="360" w:lineRule="auto"/>
        <w:ind w:firstLine="200"/>
        <w:jc w:val="center"/>
        <w:rPr>
          <w:rFonts w:eastAsia="仿宋"/>
          <w:bCs/>
          <w:sz w:val="24"/>
          <w:szCs w:val="24"/>
        </w:rPr>
      </w:pPr>
      <w:r w:rsidRPr="000549B1">
        <w:rPr>
          <w:rFonts w:eastAsia="仿宋"/>
          <w:bCs/>
          <w:noProof/>
          <w:sz w:val="24"/>
          <w:szCs w:val="24"/>
        </w:rPr>
        <w:drawing>
          <wp:inline distT="0" distB="0" distL="114300" distR="114300" wp14:anchorId="512CB3D8" wp14:editId="3AFC3F4F">
            <wp:extent cx="1228725" cy="190500"/>
            <wp:effectExtent l="0" t="0" r="9525" b="0"/>
            <wp:docPr id="103" name="E657119C-6982-421D-8BA7-E74DEB70A7DA-13" descr="latexm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E657119C-6982-421D-8BA7-E74DEB70A7DA-13" descr="latexmath"/>
                    <pic:cNvPicPr>
                      <a:picLocks noChangeAspect="1"/>
                    </pic:cNvPicPr>
                  </pic:nvPicPr>
                  <pic:blipFill>
                    <a:blip r:embed="rId45">
                      <a:extLst>
                        <a:ext uri="{96DAC541-7B7A-43D3-8B79-37D633B846F1}">
                          <asvg:svgBlip xmlns:asvg="http://schemas.microsoft.com/office/drawing/2016/SVG/main" r:embed="rId46"/>
                        </a:ext>
                      </a:extLst>
                    </a:blip>
                    <a:stretch>
                      <a:fillRect/>
                    </a:stretch>
                  </pic:blipFill>
                  <pic:spPr>
                    <a:xfrm>
                      <a:off x="0" y="0"/>
                      <a:ext cx="1228725" cy="190500"/>
                    </a:xfrm>
                    <a:prstGeom prst="rect">
                      <a:avLst/>
                    </a:prstGeom>
                  </pic:spPr>
                </pic:pic>
              </a:graphicData>
            </a:graphic>
          </wp:inline>
        </w:drawing>
      </w:r>
    </w:p>
    <w:p w14:paraId="54B9D26D" w14:textId="77777777" w:rsidR="00054437" w:rsidRPr="000549B1" w:rsidRDefault="00000000">
      <w:pPr>
        <w:pStyle w:val="a2"/>
        <w:spacing w:line="360" w:lineRule="auto"/>
        <w:ind w:firstLine="600"/>
        <w:rPr>
          <w:rFonts w:eastAsiaTheme="minorEastAsia"/>
          <w:bCs/>
          <w:sz w:val="24"/>
          <w:szCs w:val="24"/>
        </w:rPr>
      </w:pPr>
      <w:r w:rsidRPr="000549B1">
        <w:rPr>
          <w:rFonts w:eastAsiaTheme="minorEastAsia"/>
          <w:bCs/>
          <w:sz w:val="24"/>
          <w:szCs w:val="24"/>
        </w:rPr>
        <w:t>式中：</w:t>
      </w:r>
      <w:r w:rsidRPr="000549B1">
        <w:rPr>
          <w:rFonts w:eastAsiaTheme="minorEastAsia"/>
          <w:bCs/>
          <w:noProof/>
          <w:sz w:val="24"/>
          <w:szCs w:val="24"/>
        </w:rPr>
        <w:drawing>
          <wp:inline distT="0" distB="0" distL="114300" distR="114300" wp14:anchorId="7A158B5E" wp14:editId="279094E7">
            <wp:extent cx="523875" cy="190500"/>
            <wp:effectExtent l="0" t="0" r="9525" b="0"/>
            <wp:docPr id="68" name="E657119C-6982-421D-8BA7-E74DEB70A7DA-14" descr="latexm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E657119C-6982-421D-8BA7-E74DEB70A7DA-14" descr="latexmath"/>
                    <pic:cNvPicPr>
                      <a:picLocks noChangeAspect="1"/>
                    </pic:cNvPicPr>
                  </pic:nvPicPr>
                  <pic:blipFill>
                    <a:blip r:embed="rId47">
                      <a:extLst>
                        <a:ext uri="{96DAC541-7B7A-43D3-8B79-37D633B846F1}">
                          <asvg:svgBlip xmlns:asvg="http://schemas.microsoft.com/office/drawing/2016/SVG/main" r:embed="rId48"/>
                        </a:ext>
                      </a:extLst>
                    </a:blip>
                    <a:stretch>
                      <a:fillRect/>
                    </a:stretch>
                  </pic:blipFill>
                  <pic:spPr>
                    <a:xfrm>
                      <a:off x="0" y="0"/>
                      <a:ext cx="523875" cy="190500"/>
                    </a:xfrm>
                    <a:prstGeom prst="rect">
                      <a:avLst/>
                    </a:prstGeom>
                  </pic:spPr>
                </pic:pic>
              </a:graphicData>
            </a:graphic>
          </wp:inline>
        </w:drawing>
      </w:r>
      <w:r w:rsidRPr="000549B1">
        <w:rPr>
          <w:rFonts w:eastAsiaTheme="minorEastAsia"/>
          <w:bCs/>
          <w:sz w:val="24"/>
          <w:szCs w:val="24"/>
        </w:rPr>
        <w:t>－农村生活污水及污染物年产生量，其中污水量单位：万</w:t>
      </w:r>
      <w:r w:rsidRPr="000549B1">
        <w:rPr>
          <w:rFonts w:eastAsiaTheme="minorEastAsia"/>
          <w:bCs/>
          <w:sz w:val="24"/>
          <w:szCs w:val="24"/>
        </w:rPr>
        <w:t>m</w:t>
      </w:r>
      <w:r w:rsidRPr="000549B1">
        <w:rPr>
          <w:rFonts w:eastAsiaTheme="minorEastAsia"/>
          <w:bCs/>
          <w:sz w:val="24"/>
          <w:szCs w:val="24"/>
          <w:vertAlign w:val="superscript"/>
        </w:rPr>
        <w:t>3</w:t>
      </w:r>
      <w:r w:rsidRPr="000549B1">
        <w:rPr>
          <w:rFonts w:eastAsiaTheme="minorEastAsia"/>
          <w:bCs/>
          <w:sz w:val="24"/>
          <w:szCs w:val="24"/>
        </w:rPr>
        <w:t>/a</w:t>
      </w:r>
      <w:r w:rsidRPr="000549B1">
        <w:rPr>
          <w:rFonts w:eastAsiaTheme="minorEastAsia"/>
          <w:bCs/>
          <w:sz w:val="24"/>
          <w:szCs w:val="24"/>
        </w:rPr>
        <w:t>，污染物量单位：</w:t>
      </w:r>
      <w:r w:rsidRPr="000549B1">
        <w:rPr>
          <w:rFonts w:eastAsiaTheme="minorEastAsia"/>
          <w:bCs/>
          <w:sz w:val="24"/>
          <w:szCs w:val="24"/>
        </w:rPr>
        <w:t>t/a</w:t>
      </w:r>
      <w:r w:rsidRPr="000549B1">
        <w:rPr>
          <w:rFonts w:eastAsiaTheme="minorEastAsia"/>
          <w:bCs/>
          <w:sz w:val="24"/>
          <w:szCs w:val="24"/>
        </w:rPr>
        <w:t>；</w:t>
      </w:r>
    </w:p>
    <w:p w14:paraId="77CA9395" w14:textId="77777777" w:rsidR="00054437" w:rsidRPr="000549B1" w:rsidRDefault="00000000">
      <w:pPr>
        <w:pStyle w:val="a2"/>
        <w:spacing w:line="360" w:lineRule="auto"/>
        <w:ind w:firstLine="600"/>
        <w:rPr>
          <w:rFonts w:eastAsiaTheme="minorEastAsia"/>
          <w:bCs/>
          <w:sz w:val="24"/>
          <w:szCs w:val="24"/>
        </w:rPr>
      </w:pPr>
      <w:r w:rsidRPr="000549B1">
        <w:rPr>
          <w:rFonts w:eastAsiaTheme="minorEastAsia"/>
          <w:bCs/>
          <w:noProof/>
          <w:sz w:val="24"/>
          <w:szCs w:val="24"/>
        </w:rPr>
        <w:drawing>
          <wp:inline distT="0" distB="0" distL="114300" distR="114300" wp14:anchorId="70AD3037" wp14:editId="3F1FA711">
            <wp:extent cx="190500" cy="161925"/>
            <wp:effectExtent l="0" t="0" r="0" b="9525"/>
            <wp:docPr id="69" name="E657119C-6982-421D-8BA7-E74DEB70A7DA-15" descr="latexm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E657119C-6982-421D-8BA7-E74DEB70A7DA-15" descr="latexmath"/>
                    <pic:cNvPicPr>
                      <a:picLocks noChangeAspect="1"/>
                    </pic:cNvPicPr>
                  </pic:nvPicPr>
                  <pic:blipFill>
                    <a:blip r:embed="rId49">
                      <a:extLst>
                        <a:ext uri="{96DAC541-7B7A-43D3-8B79-37D633B846F1}">
                          <asvg:svgBlip xmlns:asvg="http://schemas.microsoft.com/office/drawing/2016/SVG/main" r:embed="rId50"/>
                        </a:ext>
                      </a:extLst>
                    </a:blip>
                    <a:stretch>
                      <a:fillRect/>
                    </a:stretch>
                  </pic:blipFill>
                  <pic:spPr>
                    <a:xfrm>
                      <a:off x="0" y="0"/>
                      <a:ext cx="190500" cy="161925"/>
                    </a:xfrm>
                    <a:prstGeom prst="rect">
                      <a:avLst/>
                    </a:prstGeom>
                  </pic:spPr>
                </pic:pic>
              </a:graphicData>
            </a:graphic>
          </wp:inline>
        </w:drawing>
      </w:r>
      <w:r w:rsidRPr="000549B1">
        <w:rPr>
          <w:rFonts w:eastAsiaTheme="minorEastAsia"/>
          <w:bCs/>
          <w:sz w:val="24"/>
          <w:szCs w:val="24"/>
        </w:rPr>
        <w:t>－农村生活污水处理量，单位：万</w:t>
      </w:r>
      <w:r w:rsidRPr="000549B1">
        <w:rPr>
          <w:rFonts w:eastAsiaTheme="minorEastAsia"/>
          <w:bCs/>
          <w:sz w:val="24"/>
          <w:szCs w:val="24"/>
        </w:rPr>
        <w:t>m</w:t>
      </w:r>
      <w:r w:rsidRPr="000549B1">
        <w:rPr>
          <w:rFonts w:eastAsiaTheme="minorEastAsia"/>
          <w:bCs/>
          <w:sz w:val="24"/>
          <w:szCs w:val="24"/>
          <w:vertAlign w:val="superscript"/>
        </w:rPr>
        <w:t>3</w:t>
      </w:r>
      <w:r w:rsidRPr="000549B1">
        <w:rPr>
          <w:rFonts w:eastAsiaTheme="minorEastAsia"/>
          <w:bCs/>
          <w:sz w:val="24"/>
          <w:szCs w:val="24"/>
        </w:rPr>
        <w:t>/a</w:t>
      </w:r>
      <w:r w:rsidRPr="000549B1">
        <w:rPr>
          <w:rFonts w:eastAsiaTheme="minorEastAsia"/>
          <w:bCs/>
          <w:sz w:val="24"/>
          <w:szCs w:val="24"/>
        </w:rPr>
        <w:t>；</w:t>
      </w:r>
    </w:p>
    <w:p w14:paraId="318CC23A" w14:textId="77777777" w:rsidR="00054437" w:rsidRPr="000549B1" w:rsidRDefault="00000000">
      <w:pPr>
        <w:pStyle w:val="a2"/>
        <w:spacing w:line="360" w:lineRule="auto"/>
        <w:ind w:firstLine="600"/>
        <w:rPr>
          <w:rFonts w:eastAsiaTheme="minorEastAsia"/>
          <w:bCs/>
          <w:sz w:val="24"/>
          <w:szCs w:val="24"/>
        </w:rPr>
      </w:pPr>
      <w:r w:rsidRPr="000549B1">
        <w:rPr>
          <w:rFonts w:eastAsiaTheme="minorEastAsia"/>
          <w:bCs/>
          <w:noProof/>
          <w:sz w:val="24"/>
          <w:szCs w:val="24"/>
        </w:rPr>
        <w:drawing>
          <wp:inline distT="0" distB="0" distL="114300" distR="114300" wp14:anchorId="3C58FF08" wp14:editId="3D3CB72A">
            <wp:extent cx="142875" cy="142875"/>
            <wp:effectExtent l="0" t="0" r="9525" b="9525"/>
            <wp:docPr id="70" name="E657119C-6982-421D-8BA7-E74DEB70A7DA-16" descr="latexm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E657119C-6982-421D-8BA7-E74DEB70A7DA-16" descr="latexmath"/>
                    <pic:cNvPicPr>
                      <a:picLocks noChangeAspect="1"/>
                    </pic:cNvPicPr>
                  </pic:nvPicPr>
                  <pic:blipFill>
                    <a:blip r:embed="rId51">
                      <a:extLst>
                        <a:ext uri="{96DAC541-7B7A-43D3-8B79-37D633B846F1}">
                          <asvg:svgBlip xmlns:asvg="http://schemas.microsoft.com/office/drawing/2016/SVG/main" r:embed="rId52"/>
                        </a:ext>
                      </a:extLst>
                    </a:blip>
                    <a:stretch>
                      <a:fillRect/>
                    </a:stretch>
                  </pic:blipFill>
                  <pic:spPr>
                    <a:xfrm>
                      <a:off x="0" y="0"/>
                      <a:ext cx="142875" cy="142875"/>
                    </a:xfrm>
                    <a:prstGeom prst="rect">
                      <a:avLst/>
                    </a:prstGeom>
                  </pic:spPr>
                </pic:pic>
              </a:graphicData>
            </a:graphic>
          </wp:inline>
        </w:drawing>
      </w:r>
      <w:r w:rsidRPr="000549B1">
        <w:rPr>
          <w:rFonts w:eastAsiaTheme="minorEastAsia"/>
          <w:bCs/>
          <w:sz w:val="24"/>
          <w:szCs w:val="24"/>
        </w:rPr>
        <w:t>－农村居民常住人口，单位：万人；</w:t>
      </w:r>
    </w:p>
    <w:p w14:paraId="0003F1BB" w14:textId="77777777" w:rsidR="00054437" w:rsidRPr="000549B1" w:rsidRDefault="00000000">
      <w:pPr>
        <w:pStyle w:val="a2"/>
        <w:spacing w:line="360" w:lineRule="auto"/>
        <w:ind w:firstLine="600"/>
        <w:rPr>
          <w:rFonts w:eastAsiaTheme="minorEastAsia"/>
          <w:bCs/>
          <w:sz w:val="24"/>
          <w:szCs w:val="24"/>
        </w:rPr>
      </w:pPr>
      <w:r w:rsidRPr="000549B1">
        <w:rPr>
          <w:rFonts w:eastAsiaTheme="minorEastAsia"/>
          <w:bCs/>
          <w:noProof/>
          <w:sz w:val="24"/>
          <w:szCs w:val="24"/>
        </w:rPr>
        <w:drawing>
          <wp:inline distT="0" distB="0" distL="114300" distR="114300" wp14:anchorId="5D4B9741" wp14:editId="37F68004">
            <wp:extent cx="133350" cy="171450"/>
            <wp:effectExtent l="0" t="0" r="0" b="0"/>
            <wp:docPr id="71" name="E657119C-6982-421D-8BA7-E74DEB70A7DA-17" descr="latexm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E657119C-6982-421D-8BA7-E74DEB70A7DA-17" descr="latexmath"/>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133350" cy="171450"/>
                    </a:xfrm>
                    <a:prstGeom prst="rect">
                      <a:avLst/>
                    </a:prstGeom>
                  </pic:spPr>
                </pic:pic>
              </a:graphicData>
            </a:graphic>
          </wp:inline>
        </w:drawing>
      </w:r>
      <w:r w:rsidRPr="000549B1">
        <w:rPr>
          <w:rFonts w:eastAsiaTheme="minorEastAsia"/>
          <w:bCs/>
          <w:sz w:val="24"/>
          <w:szCs w:val="24"/>
        </w:rPr>
        <w:t>－农村人均供水定额，单位：</w:t>
      </w:r>
      <w:r w:rsidRPr="000549B1">
        <w:rPr>
          <w:rFonts w:eastAsiaTheme="minorEastAsia"/>
          <w:bCs/>
          <w:sz w:val="24"/>
          <w:szCs w:val="24"/>
        </w:rPr>
        <w:t>L/</w:t>
      </w:r>
      <w:r w:rsidRPr="000549B1">
        <w:rPr>
          <w:rFonts w:eastAsiaTheme="minorEastAsia"/>
          <w:bCs/>
          <w:sz w:val="24"/>
          <w:szCs w:val="24"/>
        </w:rPr>
        <w:t>人</w:t>
      </w:r>
      <w:r w:rsidRPr="000549B1">
        <w:rPr>
          <w:rFonts w:eastAsiaTheme="minorEastAsia"/>
          <w:bCs/>
          <w:sz w:val="24"/>
          <w:szCs w:val="24"/>
        </w:rPr>
        <w:t>·d</w:t>
      </w:r>
      <w:r w:rsidRPr="000549B1">
        <w:rPr>
          <w:rFonts w:eastAsiaTheme="minorEastAsia"/>
          <w:bCs/>
          <w:sz w:val="24"/>
          <w:szCs w:val="24"/>
        </w:rPr>
        <w:t>；</w:t>
      </w:r>
    </w:p>
    <w:p w14:paraId="325D516D" w14:textId="77777777" w:rsidR="00054437" w:rsidRPr="000549B1" w:rsidRDefault="00000000">
      <w:pPr>
        <w:pStyle w:val="a2"/>
        <w:spacing w:line="360" w:lineRule="auto"/>
        <w:ind w:firstLine="600"/>
        <w:rPr>
          <w:rFonts w:eastAsiaTheme="minorEastAsia"/>
          <w:bCs/>
          <w:sz w:val="24"/>
          <w:szCs w:val="24"/>
        </w:rPr>
      </w:pPr>
      <w:r w:rsidRPr="000549B1">
        <w:rPr>
          <w:rFonts w:eastAsiaTheme="minorEastAsia"/>
          <w:bCs/>
          <w:noProof/>
          <w:sz w:val="24"/>
          <w:szCs w:val="24"/>
        </w:rPr>
        <w:drawing>
          <wp:inline distT="0" distB="0" distL="114300" distR="114300" wp14:anchorId="0699E669" wp14:editId="5928EC29">
            <wp:extent cx="180975" cy="161925"/>
            <wp:effectExtent l="0" t="0" r="9525" b="9525"/>
            <wp:docPr id="73" name="E657119C-6982-421D-8BA7-E74DEB70A7DA-18" descr="latexm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E657119C-6982-421D-8BA7-E74DEB70A7DA-18" descr="latexmath"/>
                    <pic:cNvPicPr>
                      <a:picLocks noChangeAspect="1"/>
                    </pic:cNvPicPr>
                  </pic:nvPicPr>
                  <pic:blipFill>
                    <a:blip r:embed="rId55">
                      <a:extLst>
                        <a:ext uri="{96DAC541-7B7A-43D3-8B79-37D633B846F1}">
                          <asvg:svgBlip xmlns:asvg="http://schemas.microsoft.com/office/drawing/2016/SVG/main" r:embed="rId56"/>
                        </a:ext>
                      </a:extLst>
                    </a:blip>
                    <a:stretch>
                      <a:fillRect/>
                    </a:stretch>
                  </pic:blipFill>
                  <pic:spPr>
                    <a:xfrm>
                      <a:off x="0" y="0"/>
                      <a:ext cx="180975" cy="161925"/>
                    </a:xfrm>
                    <a:prstGeom prst="rect">
                      <a:avLst/>
                    </a:prstGeom>
                  </pic:spPr>
                </pic:pic>
              </a:graphicData>
            </a:graphic>
          </wp:inline>
        </w:drawing>
      </w:r>
      <w:r w:rsidRPr="000549B1">
        <w:rPr>
          <w:rFonts w:eastAsiaTheme="minorEastAsia"/>
          <w:bCs/>
          <w:noProof/>
          <w:sz w:val="24"/>
          <w:szCs w:val="24"/>
        </w:rPr>
        <w:drawing>
          <wp:inline distT="0" distB="0" distL="114300" distR="114300" wp14:anchorId="11F8CC92" wp14:editId="10CCB131">
            <wp:extent cx="7620" cy="6985"/>
            <wp:effectExtent l="0" t="0" r="0" b="0"/>
            <wp:docPr id="72" name="E657119C-6982-421D-8BA7-E74DEB70A7DA-19" descr="latexm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E657119C-6982-421D-8BA7-E74DEB70A7DA-19" descr="latexmath"/>
                    <pic:cNvPicPr>
                      <a:picLocks noChangeAspect="1"/>
                    </pic:cNvPicPr>
                  </pic:nvPicPr>
                  <pic:blipFill>
                    <a:blip r:embed="rId55">
                      <a:extLst>
                        <a:ext uri="{96DAC541-7B7A-43D3-8B79-37D633B846F1}">
                          <asvg:svgBlip xmlns:asvg="http://schemas.microsoft.com/office/drawing/2016/SVG/main" r:embed="rId56"/>
                        </a:ext>
                      </a:extLst>
                    </a:blip>
                    <a:stretch>
                      <a:fillRect/>
                    </a:stretch>
                  </pic:blipFill>
                  <pic:spPr>
                    <a:xfrm>
                      <a:off x="0" y="0"/>
                      <a:ext cx="7692" cy="6759"/>
                    </a:xfrm>
                    <a:prstGeom prst="rect">
                      <a:avLst/>
                    </a:prstGeom>
                  </pic:spPr>
                </pic:pic>
              </a:graphicData>
            </a:graphic>
          </wp:inline>
        </w:drawing>
      </w:r>
      <w:r w:rsidRPr="000549B1">
        <w:rPr>
          <w:rFonts w:eastAsiaTheme="minorEastAsia"/>
          <w:bCs/>
          <w:sz w:val="24"/>
          <w:szCs w:val="24"/>
        </w:rPr>
        <w:t>－农村人均综合污水产生系数，无量纲；</w:t>
      </w:r>
    </w:p>
    <w:p w14:paraId="410988CF" w14:textId="77777777" w:rsidR="00054437" w:rsidRPr="000549B1" w:rsidRDefault="00000000">
      <w:pPr>
        <w:pStyle w:val="a2"/>
        <w:spacing w:line="360" w:lineRule="auto"/>
        <w:ind w:firstLine="600"/>
        <w:rPr>
          <w:rFonts w:eastAsiaTheme="minorEastAsia"/>
          <w:bCs/>
          <w:sz w:val="24"/>
          <w:szCs w:val="24"/>
        </w:rPr>
      </w:pPr>
      <w:r w:rsidRPr="000549B1">
        <w:rPr>
          <w:rFonts w:eastAsiaTheme="minorEastAsia"/>
          <w:bCs/>
          <w:noProof/>
          <w:sz w:val="24"/>
          <w:szCs w:val="24"/>
        </w:rPr>
        <w:drawing>
          <wp:inline distT="0" distB="0" distL="114300" distR="114300" wp14:anchorId="17B66877" wp14:editId="4BD25188">
            <wp:extent cx="180975" cy="190500"/>
            <wp:effectExtent l="0" t="0" r="9525" b="0"/>
            <wp:docPr id="74" name="E657119C-6982-421D-8BA7-E74DEB70A7DA-20" descr="latexm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E657119C-6982-421D-8BA7-E74DEB70A7DA-20" descr="latexmath"/>
                    <pic:cNvPicPr>
                      <a:picLocks noChangeAspect="1"/>
                    </pic:cNvPicPr>
                  </pic:nvPicPr>
                  <pic:blipFill>
                    <a:blip r:embed="rId57">
                      <a:extLst>
                        <a:ext uri="{96DAC541-7B7A-43D3-8B79-37D633B846F1}">
                          <asvg:svgBlip xmlns:asvg="http://schemas.microsoft.com/office/drawing/2016/SVG/main" r:embed="rId58"/>
                        </a:ext>
                      </a:extLst>
                    </a:blip>
                    <a:stretch>
                      <a:fillRect/>
                    </a:stretch>
                  </pic:blipFill>
                  <pic:spPr>
                    <a:xfrm>
                      <a:off x="0" y="0"/>
                      <a:ext cx="180975" cy="190500"/>
                    </a:xfrm>
                    <a:prstGeom prst="rect">
                      <a:avLst/>
                    </a:prstGeom>
                  </pic:spPr>
                </pic:pic>
              </a:graphicData>
            </a:graphic>
          </wp:inline>
        </w:drawing>
      </w:r>
      <w:r w:rsidRPr="000549B1">
        <w:rPr>
          <w:rFonts w:eastAsiaTheme="minorEastAsia"/>
          <w:bCs/>
          <w:sz w:val="24"/>
          <w:szCs w:val="24"/>
        </w:rPr>
        <w:t>－农村生活污水中污染物的浓度，单位：</w:t>
      </w:r>
      <w:r w:rsidRPr="000549B1">
        <w:rPr>
          <w:rFonts w:eastAsiaTheme="minorEastAsia"/>
          <w:bCs/>
          <w:sz w:val="24"/>
          <w:szCs w:val="24"/>
        </w:rPr>
        <w:t>mg/L</w:t>
      </w:r>
      <w:r w:rsidRPr="000549B1">
        <w:rPr>
          <w:rFonts w:eastAsiaTheme="minorEastAsia"/>
          <w:bCs/>
          <w:sz w:val="24"/>
          <w:szCs w:val="24"/>
        </w:rPr>
        <w:t>。</w:t>
      </w:r>
    </w:p>
    <w:p w14:paraId="25D23612" w14:textId="77777777" w:rsidR="00054437" w:rsidRPr="000549B1" w:rsidRDefault="00000000">
      <w:pPr>
        <w:pStyle w:val="a2"/>
        <w:spacing w:line="360" w:lineRule="auto"/>
        <w:ind w:firstLine="600"/>
        <w:rPr>
          <w:rFonts w:eastAsiaTheme="minorEastAsia"/>
          <w:bCs/>
          <w:sz w:val="24"/>
          <w:szCs w:val="24"/>
        </w:rPr>
      </w:pPr>
      <w:r w:rsidRPr="000549B1">
        <w:rPr>
          <w:rFonts w:eastAsiaTheme="minorEastAsia"/>
          <w:bCs/>
          <w:sz w:val="24"/>
          <w:szCs w:val="24"/>
        </w:rPr>
        <w:t>共和县、兴海县农、牧地区生活污水处理设施尚不健全，根据两县农村生活污水现状处理水平，按照污水产生总量的</w:t>
      </w:r>
      <w:r w:rsidRPr="000549B1">
        <w:rPr>
          <w:rFonts w:eastAsiaTheme="minorEastAsia"/>
          <w:bCs/>
          <w:sz w:val="24"/>
          <w:szCs w:val="24"/>
        </w:rPr>
        <w:t>3%</w:t>
      </w:r>
      <w:r w:rsidRPr="000549B1">
        <w:rPr>
          <w:rFonts w:eastAsiaTheme="minorEastAsia"/>
          <w:bCs/>
          <w:sz w:val="24"/>
          <w:szCs w:val="24"/>
        </w:rPr>
        <w:t>进行估算。</w:t>
      </w:r>
    </w:p>
    <w:p w14:paraId="0C7109A3" w14:textId="359AA436" w:rsidR="00054437" w:rsidRPr="000549B1" w:rsidRDefault="00000000">
      <w:pPr>
        <w:pStyle w:val="a2"/>
        <w:spacing w:line="360" w:lineRule="auto"/>
        <w:ind w:firstLine="600"/>
        <w:rPr>
          <w:rFonts w:eastAsiaTheme="minorEastAsia"/>
          <w:bCs/>
          <w:sz w:val="24"/>
          <w:szCs w:val="24"/>
        </w:rPr>
      </w:pPr>
      <w:r w:rsidRPr="000549B1">
        <w:rPr>
          <w:rFonts w:eastAsiaTheme="minorEastAsia"/>
          <w:bCs/>
          <w:sz w:val="24"/>
          <w:szCs w:val="24"/>
        </w:rPr>
        <w:t>考虑共和县、兴海县农、牧地区河流分布状况、地貌状况及降雨和蒸发情况，选取农村生活污水入河系数为</w:t>
      </w:r>
      <w:r w:rsidRPr="000549B1">
        <w:rPr>
          <w:rFonts w:eastAsiaTheme="minorEastAsia"/>
          <w:bCs/>
          <w:sz w:val="24"/>
          <w:szCs w:val="24"/>
        </w:rPr>
        <w:t>1.0%</w:t>
      </w:r>
      <w:r w:rsidRPr="000549B1">
        <w:rPr>
          <w:rFonts w:eastAsiaTheme="minorEastAsia"/>
          <w:bCs/>
          <w:sz w:val="24"/>
          <w:szCs w:val="24"/>
        </w:rPr>
        <w:t>。农村生活污水面源估算参数取值见</w:t>
      </w:r>
      <w:r w:rsidR="00372953" w:rsidRPr="00372953">
        <w:rPr>
          <w:rFonts w:eastAsiaTheme="minorEastAsia"/>
          <w:bCs/>
          <w:sz w:val="24"/>
          <w:szCs w:val="24"/>
        </w:rPr>
        <w:t>表</w:t>
      </w:r>
      <w:r w:rsidR="00372953" w:rsidRPr="00372953">
        <w:rPr>
          <w:rFonts w:eastAsiaTheme="minorEastAsia"/>
          <w:bCs/>
          <w:sz w:val="24"/>
          <w:szCs w:val="24"/>
        </w:rPr>
        <w:t>3.3</w:t>
      </w:r>
      <w:r w:rsidR="00372953" w:rsidRPr="00372953">
        <w:rPr>
          <w:rFonts w:eastAsiaTheme="minorEastAsia"/>
          <w:bCs/>
          <w:sz w:val="24"/>
          <w:szCs w:val="24"/>
        </w:rPr>
        <w:noBreakHyphen/>
        <w:t>7</w:t>
      </w:r>
      <w:r w:rsidRPr="000549B1">
        <w:rPr>
          <w:rFonts w:eastAsiaTheme="minorEastAsia"/>
          <w:bCs/>
          <w:sz w:val="24"/>
          <w:szCs w:val="24"/>
        </w:rPr>
        <w:t>。</w:t>
      </w:r>
    </w:p>
    <w:p w14:paraId="678B756C" w14:textId="1B191DC2" w:rsidR="00054437" w:rsidRPr="000549B1" w:rsidRDefault="00000000">
      <w:pPr>
        <w:pStyle w:val="aff8"/>
        <w:rPr>
          <w:rFonts w:eastAsiaTheme="minorEastAsia"/>
          <w:bCs/>
          <w:color w:val="auto"/>
        </w:rPr>
      </w:pPr>
      <w:bookmarkStart w:id="220" w:name="_Ref214978277"/>
      <w:r w:rsidRPr="000549B1">
        <w:rPr>
          <w:color w:val="auto"/>
        </w:rPr>
        <w:t>表</w:t>
      </w:r>
      <w:r w:rsidR="00372953">
        <w:rPr>
          <w:color w:val="auto"/>
        </w:rPr>
        <w:fldChar w:fldCharType="begin"/>
      </w:r>
      <w:r w:rsidR="00372953">
        <w:rPr>
          <w:color w:val="auto"/>
        </w:rPr>
        <w:instrText xml:space="preserve"> STYLEREF 2 \s </w:instrText>
      </w:r>
      <w:r w:rsidR="00372953">
        <w:rPr>
          <w:color w:val="auto"/>
        </w:rPr>
        <w:fldChar w:fldCharType="separate"/>
      </w:r>
      <w:r w:rsidR="00372953">
        <w:rPr>
          <w:noProof/>
          <w:color w:val="auto"/>
        </w:rPr>
        <w:t>3.3</w:t>
      </w:r>
      <w:r w:rsidR="00372953">
        <w:rPr>
          <w:color w:val="auto"/>
        </w:rPr>
        <w:fldChar w:fldCharType="end"/>
      </w:r>
      <w:r w:rsidR="00372953">
        <w:rPr>
          <w:color w:val="auto"/>
        </w:rPr>
        <w:noBreakHyphen/>
      </w:r>
      <w:r w:rsidR="00372953">
        <w:rPr>
          <w:color w:val="auto"/>
        </w:rPr>
        <w:fldChar w:fldCharType="begin"/>
      </w:r>
      <w:r w:rsidR="00372953">
        <w:rPr>
          <w:color w:val="auto"/>
        </w:rPr>
        <w:instrText xml:space="preserve"> SEQ </w:instrText>
      </w:r>
      <w:r w:rsidR="00372953">
        <w:rPr>
          <w:color w:val="auto"/>
        </w:rPr>
        <w:instrText>表</w:instrText>
      </w:r>
      <w:r w:rsidR="00372953">
        <w:rPr>
          <w:color w:val="auto"/>
        </w:rPr>
        <w:instrText xml:space="preserve"> \* ARABIC \s 2 </w:instrText>
      </w:r>
      <w:r w:rsidR="00372953">
        <w:rPr>
          <w:color w:val="auto"/>
        </w:rPr>
        <w:fldChar w:fldCharType="separate"/>
      </w:r>
      <w:r w:rsidR="00372953">
        <w:rPr>
          <w:noProof/>
          <w:color w:val="auto"/>
        </w:rPr>
        <w:t>7</w:t>
      </w:r>
      <w:r w:rsidR="00372953">
        <w:rPr>
          <w:color w:val="auto"/>
        </w:rPr>
        <w:fldChar w:fldCharType="end"/>
      </w:r>
      <w:bookmarkEnd w:id="220"/>
      <w:r w:rsidRPr="000549B1">
        <w:rPr>
          <w:rFonts w:eastAsiaTheme="minorEastAsia"/>
          <w:bCs/>
          <w:color w:val="auto"/>
        </w:rPr>
        <w:t>农村生活污水面源估算参数取值</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6"/>
        <w:gridCol w:w="1329"/>
        <w:gridCol w:w="1249"/>
        <w:gridCol w:w="1120"/>
        <w:gridCol w:w="735"/>
        <w:gridCol w:w="780"/>
        <w:gridCol w:w="735"/>
        <w:gridCol w:w="929"/>
      </w:tblGrid>
      <w:tr w:rsidR="000549B1" w:rsidRPr="000549B1" w14:paraId="6656B72B" w14:textId="77777777">
        <w:trPr>
          <w:trHeight w:val="397"/>
          <w:jc w:val="center"/>
        </w:trPr>
        <w:tc>
          <w:tcPr>
            <w:tcW w:w="852" w:type="pct"/>
            <w:vMerge w:val="restart"/>
            <w:vAlign w:val="center"/>
          </w:tcPr>
          <w:p w14:paraId="6C24ADD0" w14:textId="77777777" w:rsidR="00054437" w:rsidRPr="000549B1" w:rsidRDefault="00000000">
            <w:pPr>
              <w:widowControl/>
              <w:jc w:val="center"/>
              <w:textAlignment w:val="center"/>
              <w:rPr>
                <w:rFonts w:eastAsiaTheme="minorEastAsia"/>
                <w:b/>
                <w:kern w:val="0"/>
                <w:szCs w:val="21"/>
              </w:rPr>
            </w:pPr>
            <w:r w:rsidRPr="000549B1">
              <w:rPr>
                <w:rFonts w:eastAsiaTheme="minorEastAsia"/>
                <w:b/>
                <w:kern w:val="0"/>
                <w:szCs w:val="21"/>
              </w:rPr>
              <w:t>农村人均供水定额（</w:t>
            </w:r>
            <w:r w:rsidRPr="000549B1">
              <w:rPr>
                <w:rFonts w:eastAsiaTheme="minorEastAsia"/>
                <w:b/>
                <w:kern w:val="0"/>
                <w:szCs w:val="21"/>
              </w:rPr>
              <w:t>L/</w:t>
            </w:r>
            <w:r w:rsidRPr="000549B1">
              <w:rPr>
                <w:rFonts w:eastAsiaTheme="minorEastAsia"/>
                <w:b/>
                <w:kern w:val="0"/>
                <w:szCs w:val="21"/>
              </w:rPr>
              <w:t>人</w:t>
            </w:r>
            <w:r w:rsidRPr="000549B1">
              <w:rPr>
                <w:rFonts w:eastAsiaTheme="minorEastAsia"/>
                <w:b/>
                <w:kern w:val="0"/>
                <w:szCs w:val="21"/>
              </w:rPr>
              <w:t>·d</w:t>
            </w:r>
            <w:r w:rsidRPr="000549B1">
              <w:rPr>
                <w:rFonts w:eastAsiaTheme="minorEastAsia"/>
                <w:b/>
                <w:kern w:val="0"/>
                <w:szCs w:val="21"/>
              </w:rPr>
              <w:t>）</w:t>
            </w:r>
          </w:p>
        </w:tc>
        <w:tc>
          <w:tcPr>
            <w:tcW w:w="801" w:type="pct"/>
            <w:vMerge w:val="restart"/>
            <w:vAlign w:val="center"/>
          </w:tcPr>
          <w:p w14:paraId="562CEEE2" w14:textId="77777777" w:rsidR="00054437" w:rsidRPr="000549B1" w:rsidRDefault="00000000">
            <w:pPr>
              <w:widowControl/>
              <w:jc w:val="center"/>
              <w:textAlignment w:val="center"/>
              <w:rPr>
                <w:rFonts w:eastAsiaTheme="minorEastAsia"/>
                <w:b/>
                <w:kern w:val="0"/>
                <w:szCs w:val="21"/>
              </w:rPr>
            </w:pPr>
            <w:r w:rsidRPr="000549B1">
              <w:rPr>
                <w:rFonts w:eastAsiaTheme="minorEastAsia"/>
                <w:b/>
                <w:kern w:val="0"/>
                <w:szCs w:val="21"/>
              </w:rPr>
              <w:t>污水产生系数</w:t>
            </w:r>
          </w:p>
        </w:tc>
        <w:tc>
          <w:tcPr>
            <w:tcW w:w="753" w:type="pct"/>
            <w:vMerge w:val="restart"/>
            <w:vAlign w:val="center"/>
          </w:tcPr>
          <w:p w14:paraId="14D54AB7" w14:textId="77777777" w:rsidR="00054437" w:rsidRPr="000549B1" w:rsidRDefault="00000000">
            <w:pPr>
              <w:widowControl/>
              <w:jc w:val="center"/>
              <w:textAlignment w:val="center"/>
              <w:rPr>
                <w:rFonts w:eastAsiaTheme="minorEastAsia"/>
                <w:b/>
                <w:kern w:val="0"/>
                <w:szCs w:val="21"/>
              </w:rPr>
            </w:pPr>
            <w:r w:rsidRPr="000549B1">
              <w:rPr>
                <w:rFonts w:eastAsiaTheme="minorEastAsia"/>
                <w:b/>
                <w:kern w:val="0"/>
                <w:szCs w:val="21"/>
              </w:rPr>
              <w:t>污水处理量</w:t>
            </w:r>
          </w:p>
        </w:tc>
        <w:tc>
          <w:tcPr>
            <w:tcW w:w="2031" w:type="pct"/>
            <w:gridSpan w:val="4"/>
            <w:vAlign w:val="center"/>
          </w:tcPr>
          <w:p w14:paraId="55A0168F" w14:textId="77777777" w:rsidR="00054437" w:rsidRPr="000549B1" w:rsidRDefault="00000000">
            <w:pPr>
              <w:widowControl/>
              <w:jc w:val="center"/>
              <w:textAlignment w:val="center"/>
              <w:rPr>
                <w:rFonts w:eastAsiaTheme="minorEastAsia"/>
                <w:b/>
                <w:kern w:val="0"/>
                <w:szCs w:val="21"/>
              </w:rPr>
            </w:pPr>
            <w:r w:rsidRPr="000549B1">
              <w:rPr>
                <w:rFonts w:eastAsiaTheme="minorEastAsia"/>
                <w:b/>
                <w:kern w:val="0"/>
                <w:szCs w:val="21"/>
              </w:rPr>
              <w:t>污水中污染物浓度（</w:t>
            </w:r>
            <w:r w:rsidRPr="000549B1">
              <w:rPr>
                <w:rFonts w:eastAsiaTheme="minorEastAsia"/>
                <w:b/>
                <w:kern w:val="0"/>
                <w:szCs w:val="21"/>
              </w:rPr>
              <w:t>mg/L</w:t>
            </w:r>
            <w:r w:rsidRPr="000549B1">
              <w:rPr>
                <w:rFonts w:eastAsiaTheme="minorEastAsia"/>
                <w:b/>
                <w:kern w:val="0"/>
                <w:szCs w:val="21"/>
              </w:rPr>
              <w:t>）</w:t>
            </w:r>
          </w:p>
        </w:tc>
        <w:tc>
          <w:tcPr>
            <w:tcW w:w="560" w:type="pct"/>
            <w:vMerge w:val="restart"/>
            <w:vAlign w:val="center"/>
          </w:tcPr>
          <w:p w14:paraId="798E621C" w14:textId="77777777" w:rsidR="00054437" w:rsidRPr="000549B1" w:rsidRDefault="00000000">
            <w:pPr>
              <w:widowControl/>
              <w:jc w:val="center"/>
              <w:textAlignment w:val="center"/>
              <w:rPr>
                <w:rFonts w:eastAsiaTheme="minorEastAsia"/>
                <w:b/>
                <w:kern w:val="0"/>
                <w:szCs w:val="21"/>
              </w:rPr>
            </w:pPr>
            <w:r w:rsidRPr="000549B1">
              <w:rPr>
                <w:rFonts w:eastAsiaTheme="minorEastAsia"/>
                <w:b/>
                <w:kern w:val="0"/>
                <w:szCs w:val="21"/>
              </w:rPr>
              <w:t>入河系数</w:t>
            </w:r>
          </w:p>
        </w:tc>
      </w:tr>
      <w:tr w:rsidR="000549B1" w:rsidRPr="000549B1" w14:paraId="1B38032A" w14:textId="77777777">
        <w:trPr>
          <w:trHeight w:val="397"/>
          <w:jc w:val="center"/>
        </w:trPr>
        <w:tc>
          <w:tcPr>
            <w:tcW w:w="852" w:type="pct"/>
            <w:vMerge/>
            <w:vAlign w:val="center"/>
          </w:tcPr>
          <w:p w14:paraId="27BDD526" w14:textId="77777777" w:rsidR="00054437" w:rsidRPr="000549B1" w:rsidRDefault="00054437">
            <w:pPr>
              <w:widowControl/>
              <w:jc w:val="center"/>
              <w:textAlignment w:val="center"/>
              <w:rPr>
                <w:rFonts w:eastAsiaTheme="minorEastAsia"/>
                <w:bCs/>
                <w:kern w:val="0"/>
                <w:szCs w:val="21"/>
              </w:rPr>
            </w:pPr>
          </w:p>
        </w:tc>
        <w:tc>
          <w:tcPr>
            <w:tcW w:w="801" w:type="pct"/>
            <w:vMerge/>
            <w:vAlign w:val="center"/>
          </w:tcPr>
          <w:p w14:paraId="38A6D531" w14:textId="77777777" w:rsidR="00054437" w:rsidRPr="000549B1" w:rsidRDefault="00054437">
            <w:pPr>
              <w:widowControl/>
              <w:jc w:val="center"/>
              <w:textAlignment w:val="center"/>
              <w:rPr>
                <w:rFonts w:eastAsiaTheme="minorEastAsia"/>
                <w:bCs/>
                <w:kern w:val="0"/>
                <w:szCs w:val="21"/>
              </w:rPr>
            </w:pPr>
          </w:p>
        </w:tc>
        <w:tc>
          <w:tcPr>
            <w:tcW w:w="753" w:type="pct"/>
            <w:vMerge/>
            <w:vAlign w:val="center"/>
          </w:tcPr>
          <w:p w14:paraId="734D9017" w14:textId="77777777" w:rsidR="00054437" w:rsidRPr="000549B1" w:rsidRDefault="00054437">
            <w:pPr>
              <w:widowControl/>
              <w:jc w:val="center"/>
              <w:textAlignment w:val="center"/>
              <w:rPr>
                <w:rFonts w:eastAsiaTheme="minorEastAsia"/>
                <w:bCs/>
                <w:kern w:val="0"/>
                <w:szCs w:val="21"/>
              </w:rPr>
            </w:pPr>
          </w:p>
        </w:tc>
        <w:tc>
          <w:tcPr>
            <w:tcW w:w="675" w:type="pct"/>
            <w:vAlign w:val="center"/>
          </w:tcPr>
          <w:p w14:paraId="019DB3A7" w14:textId="77777777" w:rsidR="00054437" w:rsidRPr="000549B1" w:rsidRDefault="00000000">
            <w:pPr>
              <w:widowControl/>
              <w:jc w:val="center"/>
              <w:textAlignment w:val="center"/>
              <w:rPr>
                <w:rFonts w:eastAsiaTheme="minorEastAsia"/>
                <w:b/>
                <w:kern w:val="0"/>
                <w:szCs w:val="21"/>
              </w:rPr>
            </w:pPr>
            <w:r w:rsidRPr="000549B1">
              <w:rPr>
                <w:rFonts w:eastAsiaTheme="minorEastAsia"/>
                <w:b/>
                <w:kern w:val="0"/>
                <w:szCs w:val="21"/>
              </w:rPr>
              <w:t>COD</w:t>
            </w:r>
          </w:p>
        </w:tc>
        <w:tc>
          <w:tcPr>
            <w:tcW w:w="443" w:type="pct"/>
            <w:vAlign w:val="center"/>
          </w:tcPr>
          <w:p w14:paraId="1A01B35C" w14:textId="77777777" w:rsidR="00054437" w:rsidRPr="000549B1" w:rsidRDefault="00000000">
            <w:pPr>
              <w:widowControl/>
              <w:jc w:val="center"/>
              <w:textAlignment w:val="center"/>
              <w:rPr>
                <w:rFonts w:eastAsiaTheme="minorEastAsia"/>
                <w:b/>
                <w:kern w:val="0"/>
                <w:szCs w:val="21"/>
              </w:rPr>
            </w:pPr>
            <w:r w:rsidRPr="000549B1">
              <w:rPr>
                <w:rFonts w:eastAsiaTheme="minorEastAsia"/>
                <w:b/>
                <w:kern w:val="0"/>
                <w:szCs w:val="21"/>
              </w:rPr>
              <w:t>氨氮</w:t>
            </w:r>
          </w:p>
        </w:tc>
        <w:tc>
          <w:tcPr>
            <w:tcW w:w="470" w:type="pct"/>
            <w:vAlign w:val="center"/>
          </w:tcPr>
          <w:p w14:paraId="4E4A91E9" w14:textId="77777777" w:rsidR="00054437" w:rsidRPr="000549B1" w:rsidRDefault="00000000">
            <w:pPr>
              <w:widowControl/>
              <w:jc w:val="center"/>
              <w:textAlignment w:val="center"/>
              <w:rPr>
                <w:rFonts w:eastAsiaTheme="minorEastAsia"/>
                <w:b/>
                <w:kern w:val="0"/>
                <w:szCs w:val="21"/>
              </w:rPr>
            </w:pPr>
            <w:r w:rsidRPr="000549B1">
              <w:rPr>
                <w:rFonts w:eastAsiaTheme="minorEastAsia"/>
                <w:b/>
                <w:kern w:val="0"/>
                <w:szCs w:val="21"/>
              </w:rPr>
              <w:t>总氮</w:t>
            </w:r>
          </w:p>
        </w:tc>
        <w:tc>
          <w:tcPr>
            <w:tcW w:w="442" w:type="pct"/>
            <w:vAlign w:val="center"/>
          </w:tcPr>
          <w:p w14:paraId="1DCC738C" w14:textId="77777777" w:rsidR="00054437" w:rsidRPr="000549B1" w:rsidRDefault="00000000">
            <w:pPr>
              <w:widowControl/>
              <w:jc w:val="center"/>
              <w:textAlignment w:val="center"/>
              <w:rPr>
                <w:rFonts w:eastAsiaTheme="minorEastAsia"/>
                <w:b/>
                <w:kern w:val="0"/>
                <w:szCs w:val="21"/>
              </w:rPr>
            </w:pPr>
            <w:r w:rsidRPr="000549B1">
              <w:rPr>
                <w:rFonts w:eastAsiaTheme="minorEastAsia"/>
                <w:b/>
                <w:kern w:val="0"/>
                <w:szCs w:val="21"/>
              </w:rPr>
              <w:t>总磷</w:t>
            </w:r>
          </w:p>
        </w:tc>
        <w:tc>
          <w:tcPr>
            <w:tcW w:w="560" w:type="pct"/>
            <w:vMerge/>
            <w:vAlign w:val="center"/>
          </w:tcPr>
          <w:p w14:paraId="47798033" w14:textId="77777777" w:rsidR="00054437" w:rsidRPr="000549B1" w:rsidRDefault="00054437">
            <w:pPr>
              <w:widowControl/>
              <w:jc w:val="center"/>
              <w:textAlignment w:val="center"/>
              <w:rPr>
                <w:rFonts w:eastAsiaTheme="minorEastAsia"/>
                <w:bCs/>
                <w:kern w:val="0"/>
                <w:szCs w:val="21"/>
              </w:rPr>
            </w:pPr>
          </w:p>
        </w:tc>
      </w:tr>
      <w:tr w:rsidR="000549B1" w:rsidRPr="000549B1" w14:paraId="579B4E5E" w14:textId="77777777">
        <w:trPr>
          <w:trHeight w:val="397"/>
          <w:jc w:val="center"/>
        </w:trPr>
        <w:tc>
          <w:tcPr>
            <w:tcW w:w="852" w:type="pct"/>
            <w:vAlign w:val="center"/>
          </w:tcPr>
          <w:p w14:paraId="4EDE258B" w14:textId="77777777" w:rsidR="00054437" w:rsidRPr="000549B1" w:rsidRDefault="00000000">
            <w:pPr>
              <w:widowControl/>
              <w:jc w:val="center"/>
              <w:textAlignment w:val="center"/>
              <w:rPr>
                <w:rFonts w:eastAsiaTheme="minorEastAsia"/>
                <w:bCs/>
                <w:kern w:val="0"/>
                <w:szCs w:val="21"/>
              </w:rPr>
            </w:pPr>
            <w:r w:rsidRPr="000549B1">
              <w:rPr>
                <w:rFonts w:eastAsiaTheme="minorEastAsia"/>
                <w:bCs/>
                <w:kern w:val="0"/>
                <w:szCs w:val="21"/>
              </w:rPr>
              <w:t>50</w:t>
            </w:r>
          </w:p>
        </w:tc>
        <w:tc>
          <w:tcPr>
            <w:tcW w:w="801" w:type="pct"/>
            <w:vAlign w:val="center"/>
          </w:tcPr>
          <w:p w14:paraId="3B5323AE" w14:textId="77777777" w:rsidR="00054437" w:rsidRPr="000549B1" w:rsidRDefault="00000000">
            <w:pPr>
              <w:widowControl/>
              <w:jc w:val="center"/>
              <w:textAlignment w:val="center"/>
              <w:rPr>
                <w:rFonts w:eastAsiaTheme="minorEastAsia"/>
                <w:bCs/>
                <w:kern w:val="0"/>
                <w:szCs w:val="21"/>
              </w:rPr>
            </w:pPr>
            <w:r w:rsidRPr="000549B1">
              <w:rPr>
                <w:rFonts w:eastAsiaTheme="minorEastAsia"/>
                <w:bCs/>
                <w:kern w:val="0"/>
                <w:szCs w:val="21"/>
              </w:rPr>
              <w:t>0.6</w:t>
            </w:r>
          </w:p>
        </w:tc>
        <w:tc>
          <w:tcPr>
            <w:tcW w:w="753" w:type="pct"/>
            <w:vAlign w:val="center"/>
          </w:tcPr>
          <w:p w14:paraId="7F8CB069" w14:textId="77777777" w:rsidR="00054437" w:rsidRPr="000549B1" w:rsidRDefault="00000000">
            <w:pPr>
              <w:widowControl/>
              <w:jc w:val="center"/>
              <w:textAlignment w:val="center"/>
              <w:rPr>
                <w:rFonts w:eastAsiaTheme="minorEastAsia"/>
                <w:bCs/>
                <w:kern w:val="0"/>
                <w:szCs w:val="21"/>
              </w:rPr>
            </w:pPr>
            <w:r w:rsidRPr="000549B1">
              <w:rPr>
                <w:rFonts w:eastAsiaTheme="minorEastAsia"/>
                <w:bCs/>
                <w:kern w:val="0"/>
                <w:szCs w:val="21"/>
              </w:rPr>
              <w:t>3</w:t>
            </w:r>
            <w:r w:rsidRPr="000549B1">
              <w:rPr>
                <w:bCs/>
                <w:kern w:val="0"/>
                <w:szCs w:val="21"/>
              </w:rPr>
              <w:t>%</w:t>
            </w:r>
          </w:p>
        </w:tc>
        <w:tc>
          <w:tcPr>
            <w:tcW w:w="675" w:type="pct"/>
            <w:vAlign w:val="center"/>
          </w:tcPr>
          <w:p w14:paraId="5358A30E" w14:textId="77777777" w:rsidR="00054437" w:rsidRPr="000549B1" w:rsidRDefault="00000000">
            <w:pPr>
              <w:widowControl/>
              <w:jc w:val="center"/>
              <w:textAlignment w:val="center"/>
              <w:rPr>
                <w:rFonts w:eastAsiaTheme="minorEastAsia"/>
                <w:bCs/>
                <w:kern w:val="0"/>
                <w:szCs w:val="21"/>
              </w:rPr>
            </w:pPr>
            <w:r w:rsidRPr="000549B1">
              <w:rPr>
                <w:rFonts w:eastAsiaTheme="minorEastAsia"/>
                <w:bCs/>
                <w:kern w:val="0"/>
                <w:szCs w:val="21"/>
              </w:rPr>
              <w:t>300</w:t>
            </w:r>
          </w:p>
        </w:tc>
        <w:tc>
          <w:tcPr>
            <w:tcW w:w="443" w:type="pct"/>
            <w:vAlign w:val="center"/>
          </w:tcPr>
          <w:p w14:paraId="0A74341E" w14:textId="77777777" w:rsidR="00054437" w:rsidRPr="000549B1" w:rsidRDefault="00000000">
            <w:pPr>
              <w:widowControl/>
              <w:jc w:val="center"/>
              <w:textAlignment w:val="center"/>
              <w:rPr>
                <w:rFonts w:eastAsiaTheme="minorEastAsia"/>
                <w:bCs/>
                <w:kern w:val="0"/>
                <w:szCs w:val="21"/>
              </w:rPr>
            </w:pPr>
            <w:r w:rsidRPr="000549B1">
              <w:rPr>
                <w:rFonts w:eastAsiaTheme="minorEastAsia"/>
                <w:bCs/>
                <w:kern w:val="0"/>
                <w:szCs w:val="21"/>
              </w:rPr>
              <w:t>15</w:t>
            </w:r>
          </w:p>
        </w:tc>
        <w:tc>
          <w:tcPr>
            <w:tcW w:w="470" w:type="pct"/>
            <w:vAlign w:val="center"/>
          </w:tcPr>
          <w:p w14:paraId="2700292F" w14:textId="77777777" w:rsidR="00054437" w:rsidRPr="000549B1" w:rsidRDefault="00000000">
            <w:pPr>
              <w:widowControl/>
              <w:jc w:val="center"/>
              <w:textAlignment w:val="center"/>
              <w:rPr>
                <w:rFonts w:eastAsiaTheme="minorEastAsia"/>
                <w:bCs/>
                <w:kern w:val="0"/>
                <w:szCs w:val="21"/>
              </w:rPr>
            </w:pPr>
            <w:r w:rsidRPr="000549B1">
              <w:rPr>
                <w:rFonts w:eastAsiaTheme="minorEastAsia"/>
                <w:bCs/>
                <w:kern w:val="0"/>
                <w:szCs w:val="21"/>
              </w:rPr>
              <w:t>100</w:t>
            </w:r>
          </w:p>
        </w:tc>
        <w:tc>
          <w:tcPr>
            <w:tcW w:w="442" w:type="pct"/>
            <w:vAlign w:val="center"/>
          </w:tcPr>
          <w:p w14:paraId="4C38B216" w14:textId="77777777" w:rsidR="00054437" w:rsidRPr="000549B1" w:rsidRDefault="00000000">
            <w:pPr>
              <w:widowControl/>
              <w:jc w:val="center"/>
              <w:textAlignment w:val="center"/>
              <w:rPr>
                <w:rFonts w:eastAsiaTheme="minorEastAsia"/>
                <w:bCs/>
                <w:kern w:val="0"/>
                <w:szCs w:val="21"/>
              </w:rPr>
            </w:pPr>
            <w:r w:rsidRPr="000549B1">
              <w:rPr>
                <w:rFonts w:eastAsiaTheme="minorEastAsia"/>
                <w:bCs/>
                <w:kern w:val="0"/>
                <w:szCs w:val="21"/>
              </w:rPr>
              <w:t>6</w:t>
            </w:r>
          </w:p>
        </w:tc>
        <w:tc>
          <w:tcPr>
            <w:tcW w:w="560" w:type="pct"/>
            <w:vAlign w:val="center"/>
          </w:tcPr>
          <w:p w14:paraId="3614D0CE" w14:textId="77777777" w:rsidR="00054437" w:rsidRPr="000549B1" w:rsidRDefault="00000000">
            <w:pPr>
              <w:widowControl/>
              <w:jc w:val="center"/>
              <w:textAlignment w:val="center"/>
              <w:rPr>
                <w:rFonts w:eastAsiaTheme="minorEastAsia"/>
                <w:bCs/>
                <w:kern w:val="0"/>
                <w:szCs w:val="21"/>
              </w:rPr>
            </w:pPr>
            <w:r w:rsidRPr="000549B1">
              <w:rPr>
                <w:rFonts w:eastAsiaTheme="minorEastAsia"/>
                <w:bCs/>
                <w:kern w:val="0"/>
                <w:szCs w:val="21"/>
              </w:rPr>
              <w:t>1.0</w:t>
            </w:r>
            <w:r w:rsidRPr="000549B1">
              <w:rPr>
                <w:bCs/>
                <w:kern w:val="0"/>
                <w:szCs w:val="21"/>
              </w:rPr>
              <w:t>%</w:t>
            </w:r>
          </w:p>
        </w:tc>
      </w:tr>
    </w:tbl>
    <w:p w14:paraId="7C1A5CB0" w14:textId="77777777" w:rsidR="00054437" w:rsidRPr="000549B1" w:rsidRDefault="00000000">
      <w:pPr>
        <w:pStyle w:val="a2"/>
        <w:numPr>
          <w:ilvl w:val="0"/>
          <w:numId w:val="5"/>
        </w:numPr>
        <w:spacing w:line="360" w:lineRule="auto"/>
        <w:rPr>
          <w:rFonts w:eastAsiaTheme="minorEastAsia"/>
          <w:bCs/>
          <w:sz w:val="24"/>
          <w:szCs w:val="24"/>
        </w:rPr>
      </w:pPr>
      <w:r w:rsidRPr="000549B1">
        <w:rPr>
          <w:rFonts w:eastAsiaTheme="minorEastAsia"/>
          <w:bCs/>
          <w:sz w:val="24"/>
          <w:szCs w:val="24"/>
        </w:rPr>
        <w:t>农村固体废弃物调查估算</w:t>
      </w:r>
    </w:p>
    <w:p w14:paraId="1A62C566" w14:textId="77777777" w:rsidR="00054437" w:rsidRPr="000549B1" w:rsidRDefault="00000000">
      <w:pPr>
        <w:pStyle w:val="a2"/>
        <w:spacing w:line="360" w:lineRule="auto"/>
        <w:ind w:firstLine="600"/>
        <w:rPr>
          <w:rFonts w:eastAsiaTheme="minorEastAsia"/>
          <w:bCs/>
          <w:sz w:val="24"/>
          <w:szCs w:val="24"/>
        </w:rPr>
      </w:pPr>
      <w:r w:rsidRPr="000549B1">
        <w:rPr>
          <w:rFonts w:eastAsiaTheme="minorEastAsia"/>
          <w:bCs/>
          <w:sz w:val="24"/>
          <w:szCs w:val="24"/>
        </w:rPr>
        <w:t>农村固体废弃物主要是指生活垃圾，具体调查估算方法为：以人口数据为基础，利用人均生活垃圾产生系数估算生活垃圾年产生量，然后用生活垃圾中污染物的含量比例估算生活垃圾中污染物的年产生量，并根据入河系数法估算最终进入水体的农村生活固体废弃物及污染物入河量。</w:t>
      </w:r>
    </w:p>
    <w:p w14:paraId="5A3B9E77" w14:textId="77777777" w:rsidR="00054437" w:rsidRPr="000549B1" w:rsidRDefault="00000000">
      <w:pPr>
        <w:pStyle w:val="a2"/>
        <w:spacing w:line="360" w:lineRule="auto"/>
        <w:ind w:firstLine="600"/>
        <w:rPr>
          <w:rFonts w:eastAsiaTheme="minorEastAsia"/>
          <w:bCs/>
          <w:sz w:val="24"/>
          <w:szCs w:val="24"/>
        </w:rPr>
      </w:pPr>
      <w:r w:rsidRPr="000549B1">
        <w:rPr>
          <w:rFonts w:eastAsiaTheme="minorEastAsia"/>
          <w:bCs/>
          <w:sz w:val="24"/>
          <w:szCs w:val="24"/>
        </w:rPr>
        <w:t>农村固体废弃物计算公式如下：</w:t>
      </w:r>
    </w:p>
    <w:p w14:paraId="3C3B0EDA" w14:textId="77777777" w:rsidR="00054437" w:rsidRPr="000549B1" w:rsidRDefault="00000000">
      <w:pPr>
        <w:pStyle w:val="a2"/>
        <w:spacing w:line="360" w:lineRule="auto"/>
        <w:ind w:firstLine="0"/>
        <w:jc w:val="center"/>
        <w:rPr>
          <w:rFonts w:eastAsia="仿宋"/>
          <w:bCs/>
          <w:sz w:val="24"/>
          <w:szCs w:val="24"/>
        </w:rPr>
      </w:pPr>
      <w:r w:rsidRPr="000549B1">
        <w:rPr>
          <w:rFonts w:eastAsia="仿宋"/>
          <w:bCs/>
          <w:noProof/>
          <w:sz w:val="24"/>
          <w:szCs w:val="24"/>
        </w:rPr>
        <w:drawing>
          <wp:inline distT="0" distB="0" distL="114300" distR="114300" wp14:anchorId="5E8EA000" wp14:editId="209D18C9">
            <wp:extent cx="1133475" cy="171450"/>
            <wp:effectExtent l="0" t="0" r="9525" b="0"/>
            <wp:docPr id="104" name="E657119C-6982-421D-8BA7-E74DEB70A7DA-21" descr="latexm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E657119C-6982-421D-8BA7-E74DEB70A7DA-21" descr="latexmath"/>
                    <pic:cNvPicPr>
                      <a:picLocks noChangeAspect="1"/>
                    </pic:cNvPicPr>
                  </pic:nvPicPr>
                  <pic:blipFill>
                    <a:blip r:embed="rId59">
                      <a:extLst>
                        <a:ext uri="{96DAC541-7B7A-43D3-8B79-37D633B846F1}">
                          <asvg:svgBlip xmlns:asvg="http://schemas.microsoft.com/office/drawing/2016/SVG/main" r:embed="rId60"/>
                        </a:ext>
                      </a:extLst>
                    </a:blip>
                    <a:stretch>
                      <a:fillRect/>
                    </a:stretch>
                  </pic:blipFill>
                  <pic:spPr>
                    <a:xfrm>
                      <a:off x="0" y="0"/>
                      <a:ext cx="1133475" cy="171450"/>
                    </a:xfrm>
                    <a:prstGeom prst="rect">
                      <a:avLst/>
                    </a:prstGeom>
                  </pic:spPr>
                </pic:pic>
              </a:graphicData>
            </a:graphic>
          </wp:inline>
        </w:drawing>
      </w:r>
    </w:p>
    <w:p w14:paraId="40B58FF2" w14:textId="77777777" w:rsidR="00054437" w:rsidRPr="000549B1" w:rsidRDefault="00000000">
      <w:pPr>
        <w:pStyle w:val="a2"/>
        <w:spacing w:line="360" w:lineRule="auto"/>
        <w:ind w:firstLine="0"/>
        <w:jc w:val="center"/>
        <w:rPr>
          <w:rFonts w:eastAsia="仿宋"/>
          <w:bCs/>
          <w:sz w:val="24"/>
          <w:szCs w:val="24"/>
        </w:rPr>
      </w:pPr>
      <w:r w:rsidRPr="000549B1">
        <w:rPr>
          <w:rFonts w:eastAsia="仿宋"/>
          <w:bCs/>
          <w:noProof/>
          <w:sz w:val="24"/>
          <w:szCs w:val="24"/>
        </w:rPr>
        <w:drawing>
          <wp:inline distT="0" distB="0" distL="114300" distR="114300" wp14:anchorId="45CCA95E" wp14:editId="578A4686">
            <wp:extent cx="1000125" cy="190500"/>
            <wp:effectExtent l="0" t="0" r="9525" b="0"/>
            <wp:docPr id="105" name="E657119C-6982-421D-8BA7-E74DEB70A7DA-22" descr="latexm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E657119C-6982-421D-8BA7-E74DEB70A7DA-22" descr="latexmath"/>
                    <pic:cNvPicPr>
                      <a:picLocks noChangeAspect="1"/>
                    </pic:cNvPicPr>
                  </pic:nvPicPr>
                  <pic:blipFill>
                    <a:blip r:embed="rId61">
                      <a:extLst>
                        <a:ext uri="{96DAC541-7B7A-43D3-8B79-37D633B846F1}">
                          <asvg:svgBlip xmlns:asvg="http://schemas.microsoft.com/office/drawing/2016/SVG/main" r:embed="rId62"/>
                        </a:ext>
                      </a:extLst>
                    </a:blip>
                    <a:stretch>
                      <a:fillRect/>
                    </a:stretch>
                  </pic:blipFill>
                  <pic:spPr>
                    <a:xfrm>
                      <a:off x="0" y="0"/>
                      <a:ext cx="1000125" cy="190500"/>
                    </a:xfrm>
                    <a:prstGeom prst="rect">
                      <a:avLst/>
                    </a:prstGeom>
                  </pic:spPr>
                </pic:pic>
              </a:graphicData>
            </a:graphic>
          </wp:inline>
        </w:drawing>
      </w:r>
    </w:p>
    <w:p w14:paraId="10600D16" w14:textId="77777777" w:rsidR="00054437" w:rsidRPr="000549B1" w:rsidRDefault="00000000">
      <w:pPr>
        <w:pStyle w:val="a2"/>
        <w:spacing w:line="360" w:lineRule="auto"/>
        <w:ind w:firstLine="600"/>
        <w:rPr>
          <w:rFonts w:eastAsiaTheme="minorEastAsia"/>
          <w:bCs/>
          <w:sz w:val="24"/>
          <w:szCs w:val="24"/>
        </w:rPr>
      </w:pPr>
      <w:r w:rsidRPr="000549B1">
        <w:rPr>
          <w:rFonts w:eastAsiaTheme="minorEastAsia"/>
          <w:bCs/>
          <w:sz w:val="24"/>
          <w:szCs w:val="24"/>
        </w:rPr>
        <w:t>式中：</w:t>
      </w:r>
      <w:r w:rsidRPr="000549B1">
        <w:rPr>
          <w:rFonts w:eastAsiaTheme="minorEastAsia"/>
          <w:bCs/>
          <w:noProof/>
          <w:sz w:val="24"/>
          <w:szCs w:val="24"/>
        </w:rPr>
        <w:drawing>
          <wp:inline distT="0" distB="0" distL="114300" distR="114300" wp14:anchorId="6EC0788A" wp14:editId="68DD3B9E">
            <wp:extent cx="600075" cy="161925"/>
            <wp:effectExtent l="0" t="0" r="9525" b="9525"/>
            <wp:docPr id="77" name="E657119C-6982-421D-8BA7-E74DEB70A7DA-23" descr="latexm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E657119C-6982-421D-8BA7-E74DEB70A7DA-23" descr="latexmath"/>
                    <pic:cNvPicPr>
                      <a:picLocks noChangeAspect="1"/>
                    </pic:cNvPicPr>
                  </pic:nvPicPr>
                  <pic:blipFill>
                    <a:blip r:embed="rId63">
                      <a:extLst>
                        <a:ext uri="{96DAC541-7B7A-43D3-8B79-37D633B846F1}">
                          <asvg:svgBlip xmlns:asvg="http://schemas.microsoft.com/office/drawing/2016/SVG/main" r:embed="rId64"/>
                        </a:ext>
                      </a:extLst>
                    </a:blip>
                    <a:stretch>
                      <a:fillRect/>
                    </a:stretch>
                  </pic:blipFill>
                  <pic:spPr>
                    <a:xfrm>
                      <a:off x="0" y="0"/>
                      <a:ext cx="600075" cy="161925"/>
                    </a:xfrm>
                    <a:prstGeom prst="rect">
                      <a:avLst/>
                    </a:prstGeom>
                  </pic:spPr>
                </pic:pic>
              </a:graphicData>
            </a:graphic>
          </wp:inline>
        </w:drawing>
      </w:r>
      <w:r w:rsidRPr="000549B1">
        <w:rPr>
          <w:rFonts w:eastAsiaTheme="minorEastAsia"/>
          <w:bCs/>
          <w:sz w:val="24"/>
          <w:szCs w:val="24"/>
        </w:rPr>
        <w:t>－农村居民生活垃圾或污染物年产生量，单位：</w:t>
      </w:r>
      <w:r w:rsidRPr="000549B1">
        <w:rPr>
          <w:rFonts w:eastAsiaTheme="minorEastAsia"/>
          <w:bCs/>
          <w:sz w:val="24"/>
          <w:szCs w:val="24"/>
        </w:rPr>
        <w:t>t/a</w:t>
      </w:r>
      <w:r w:rsidRPr="000549B1">
        <w:rPr>
          <w:rFonts w:eastAsiaTheme="minorEastAsia"/>
          <w:bCs/>
          <w:sz w:val="24"/>
          <w:szCs w:val="24"/>
        </w:rPr>
        <w:t>；</w:t>
      </w:r>
    </w:p>
    <w:p w14:paraId="4FE2B41F" w14:textId="77777777" w:rsidR="00054437" w:rsidRPr="000549B1" w:rsidRDefault="00000000">
      <w:pPr>
        <w:pStyle w:val="a2"/>
        <w:spacing w:line="360" w:lineRule="auto"/>
        <w:ind w:firstLine="600"/>
        <w:rPr>
          <w:rFonts w:eastAsiaTheme="minorEastAsia"/>
          <w:bCs/>
          <w:sz w:val="24"/>
          <w:szCs w:val="24"/>
        </w:rPr>
      </w:pPr>
      <w:r w:rsidRPr="000549B1">
        <w:rPr>
          <w:rFonts w:eastAsiaTheme="minorEastAsia"/>
          <w:bCs/>
          <w:noProof/>
          <w:sz w:val="24"/>
          <w:szCs w:val="24"/>
        </w:rPr>
        <w:drawing>
          <wp:inline distT="0" distB="0" distL="114300" distR="114300" wp14:anchorId="0A451569" wp14:editId="17531E09">
            <wp:extent cx="142875" cy="142875"/>
            <wp:effectExtent l="0" t="0" r="9525" b="9525"/>
            <wp:docPr id="78" name="E657119C-6982-421D-8BA7-E74DEB70A7DA-24" descr="latexm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E657119C-6982-421D-8BA7-E74DEB70A7DA-24" descr="latexmath"/>
                    <pic:cNvPicPr>
                      <a:picLocks noChangeAspect="1"/>
                    </pic:cNvPicPr>
                  </pic:nvPicPr>
                  <pic:blipFill>
                    <a:blip r:embed="rId51">
                      <a:extLst>
                        <a:ext uri="{96DAC541-7B7A-43D3-8B79-37D633B846F1}">
                          <asvg:svgBlip xmlns:asvg="http://schemas.microsoft.com/office/drawing/2016/SVG/main" r:embed="rId52"/>
                        </a:ext>
                      </a:extLst>
                    </a:blip>
                    <a:stretch>
                      <a:fillRect/>
                    </a:stretch>
                  </pic:blipFill>
                  <pic:spPr>
                    <a:xfrm>
                      <a:off x="0" y="0"/>
                      <a:ext cx="142875" cy="142875"/>
                    </a:xfrm>
                    <a:prstGeom prst="rect">
                      <a:avLst/>
                    </a:prstGeom>
                  </pic:spPr>
                </pic:pic>
              </a:graphicData>
            </a:graphic>
          </wp:inline>
        </w:drawing>
      </w:r>
      <w:r w:rsidRPr="000549B1">
        <w:rPr>
          <w:rFonts w:eastAsiaTheme="minorEastAsia"/>
          <w:bCs/>
          <w:sz w:val="24"/>
          <w:szCs w:val="24"/>
        </w:rPr>
        <w:t>－农村常住人口，单位：万人；</w:t>
      </w:r>
    </w:p>
    <w:p w14:paraId="4724ECC4" w14:textId="77777777" w:rsidR="00054437" w:rsidRPr="000549B1" w:rsidRDefault="00000000">
      <w:pPr>
        <w:pStyle w:val="a2"/>
        <w:spacing w:line="360" w:lineRule="auto"/>
        <w:ind w:firstLine="600"/>
        <w:rPr>
          <w:rFonts w:eastAsiaTheme="minorEastAsia"/>
          <w:bCs/>
          <w:sz w:val="24"/>
          <w:szCs w:val="24"/>
        </w:rPr>
      </w:pPr>
      <w:r w:rsidRPr="000549B1">
        <w:rPr>
          <w:rFonts w:eastAsiaTheme="minorEastAsia"/>
          <w:bCs/>
          <w:noProof/>
          <w:sz w:val="24"/>
          <w:szCs w:val="24"/>
        </w:rPr>
        <w:drawing>
          <wp:inline distT="0" distB="0" distL="114300" distR="114300" wp14:anchorId="6AB3FE48" wp14:editId="162F0725">
            <wp:extent cx="228600" cy="161925"/>
            <wp:effectExtent l="0" t="0" r="0" b="9525"/>
            <wp:docPr id="79" name="E657119C-6982-421D-8BA7-E74DEB70A7DA-25" descr="latexm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E657119C-6982-421D-8BA7-E74DEB70A7DA-25" descr="latexmath"/>
                    <pic:cNvPicPr>
                      <a:picLocks noChangeAspect="1"/>
                    </pic:cNvPicPr>
                  </pic:nvPicPr>
                  <pic:blipFill>
                    <a:blip r:embed="rId65">
                      <a:extLst>
                        <a:ext uri="{96DAC541-7B7A-43D3-8B79-37D633B846F1}">
                          <asvg:svgBlip xmlns:asvg="http://schemas.microsoft.com/office/drawing/2016/SVG/main" r:embed="rId66"/>
                        </a:ext>
                      </a:extLst>
                    </a:blip>
                    <a:stretch>
                      <a:fillRect/>
                    </a:stretch>
                  </pic:blipFill>
                  <pic:spPr>
                    <a:xfrm>
                      <a:off x="0" y="0"/>
                      <a:ext cx="228600" cy="161925"/>
                    </a:xfrm>
                    <a:prstGeom prst="rect">
                      <a:avLst/>
                    </a:prstGeom>
                  </pic:spPr>
                </pic:pic>
              </a:graphicData>
            </a:graphic>
          </wp:inline>
        </w:drawing>
      </w:r>
      <w:r w:rsidRPr="000549B1">
        <w:rPr>
          <w:rFonts w:eastAsiaTheme="minorEastAsia"/>
          <w:bCs/>
          <w:sz w:val="24"/>
          <w:szCs w:val="24"/>
        </w:rPr>
        <w:t>－农村居民人均生活垃圾产生系数，单位：</w:t>
      </w:r>
      <w:r w:rsidRPr="000549B1">
        <w:rPr>
          <w:rFonts w:eastAsiaTheme="minorEastAsia"/>
          <w:bCs/>
          <w:sz w:val="24"/>
          <w:szCs w:val="24"/>
        </w:rPr>
        <w:t>kg/</w:t>
      </w:r>
      <w:r w:rsidRPr="000549B1">
        <w:rPr>
          <w:rFonts w:eastAsiaTheme="minorEastAsia"/>
          <w:bCs/>
          <w:sz w:val="24"/>
          <w:szCs w:val="24"/>
        </w:rPr>
        <w:t>人</w:t>
      </w:r>
      <w:r w:rsidRPr="000549B1">
        <w:rPr>
          <w:rFonts w:eastAsiaTheme="minorEastAsia"/>
          <w:bCs/>
          <w:sz w:val="24"/>
          <w:szCs w:val="24"/>
        </w:rPr>
        <w:t>·d</w:t>
      </w:r>
      <w:r w:rsidRPr="000549B1">
        <w:rPr>
          <w:rFonts w:eastAsiaTheme="minorEastAsia"/>
          <w:bCs/>
          <w:sz w:val="24"/>
          <w:szCs w:val="24"/>
        </w:rPr>
        <w:t>。</w:t>
      </w:r>
    </w:p>
    <w:p w14:paraId="6E9BFD6E" w14:textId="77777777" w:rsidR="00054437" w:rsidRPr="000549B1" w:rsidRDefault="00000000">
      <w:pPr>
        <w:pStyle w:val="a2"/>
        <w:spacing w:line="360" w:lineRule="auto"/>
        <w:ind w:firstLine="600"/>
        <w:rPr>
          <w:rFonts w:eastAsiaTheme="minorEastAsia"/>
          <w:bCs/>
          <w:sz w:val="24"/>
          <w:szCs w:val="24"/>
        </w:rPr>
      </w:pPr>
      <w:r w:rsidRPr="000549B1">
        <w:rPr>
          <w:rFonts w:eastAsiaTheme="minorEastAsia"/>
          <w:bCs/>
          <w:noProof/>
          <w:sz w:val="24"/>
          <w:szCs w:val="24"/>
        </w:rPr>
        <w:drawing>
          <wp:inline distT="0" distB="0" distL="114300" distR="114300" wp14:anchorId="2531DB01" wp14:editId="04AB7090">
            <wp:extent cx="228600" cy="161925"/>
            <wp:effectExtent l="0" t="0" r="0" b="9525"/>
            <wp:docPr id="80" name="E657119C-6982-421D-8BA7-E74DEB70A7DA-26" descr="latexm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E657119C-6982-421D-8BA7-E74DEB70A7DA-26" descr="latexmath"/>
                    <pic:cNvPicPr>
                      <a:picLocks noChangeAspect="1"/>
                    </pic:cNvPicPr>
                  </pic:nvPicPr>
                  <pic:blipFill>
                    <a:blip r:embed="rId67">
                      <a:extLst>
                        <a:ext uri="{96DAC541-7B7A-43D3-8B79-37D633B846F1}">
                          <asvg:svgBlip xmlns:asvg="http://schemas.microsoft.com/office/drawing/2016/SVG/main" r:embed="rId68"/>
                        </a:ext>
                      </a:extLst>
                    </a:blip>
                    <a:stretch>
                      <a:fillRect/>
                    </a:stretch>
                  </pic:blipFill>
                  <pic:spPr>
                    <a:xfrm>
                      <a:off x="0" y="0"/>
                      <a:ext cx="228600" cy="161925"/>
                    </a:xfrm>
                    <a:prstGeom prst="rect">
                      <a:avLst/>
                    </a:prstGeom>
                  </pic:spPr>
                </pic:pic>
              </a:graphicData>
            </a:graphic>
          </wp:inline>
        </w:drawing>
      </w:r>
      <w:r w:rsidRPr="000549B1">
        <w:rPr>
          <w:rFonts w:eastAsiaTheme="minorEastAsia"/>
          <w:bCs/>
          <w:sz w:val="24"/>
          <w:szCs w:val="24"/>
        </w:rPr>
        <w:t>－生活垃圾中某种污染物的含量系数，无量纲。</w:t>
      </w:r>
    </w:p>
    <w:p w14:paraId="71566A2E" w14:textId="77777777" w:rsidR="00054437" w:rsidRPr="000549B1" w:rsidRDefault="00000000">
      <w:pPr>
        <w:pStyle w:val="a2"/>
        <w:spacing w:line="360" w:lineRule="auto"/>
        <w:ind w:firstLine="600"/>
        <w:rPr>
          <w:rFonts w:eastAsiaTheme="minorEastAsia"/>
          <w:bCs/>
          <w:sz w:val="24"/>
          <w:szCs w:val="24"/>
        </w:rPr>
      </w:pPr>
      <w:r w:rsidRPr="000549B1">
        <w:rPr>
          <w:rFonts w:eastAsiaTheme="minorEastAsia"/>
          <w:bCs/>
          <w:sz w:val="24"/>
          <w:szCs w:val="24"/>
        </w:rPr>
        <w:t>参考《第一次全国污染源普查城镇生活源产排污系数手册》，结合《我国农村生活垃圾的产生特征研究》文献资料，综合确定人均生活垃圾产生系数</w:t>
      </w:r>
      <w:r w:rsidRPr="000549B1">
        <w:rPr>
          <w:rFonts w:eastAsiaTheme="minorEastAsia"/>
          <w:bCs/>
          <w:sz w:val="24"/>
          <w:szCs w:val="24"/>
        </w:rPr>
        <w:t>Fw</w:t>
      </w:r>
      <w:r w:rsidRPr="000549B1">
        <w:rPr>
          <w:rFonts w:eastAsiaTheme="minorEastAsia"/>
          <w:bCs/>
          <w:sz w:val="24"/>
          <w:szCs w:val="24"/>
        </w:rPr>
        <w:t>取值为</w:t>
      </w:r>
      <w:r w:rsidRPr="000549B1">
        <w:rPr>
          <w:rFonts w:eastAsiaTheme="minorEastAsia"/>
          <w:bCs/>
          <w:sz w:val="24"/>
          <w:szCs w:val="24"/>
        </w:rPr>
        <w:t>0.5kg/</w:t>
      </w:r>
      <w:r w:rsidRPr="000549B1">
        <w:rPr>
          <w:rFonts w:eastAsiaTheme="minorEastAsia"/>
          <w:bCs/>
          <w:sz w:val="24"/>
          <w:szCs w:val="24"/>
        </w:rPr>
        <w:t>人</w:t>
      </w:r>
      <w:r w:rsidRPr="000549B1">
        <w:rPr>
          <w:rFonts w:eastAsiaTheme="minorEastAsia"/>
          <w:bCs/>
          <w:sz w:val="24"/>
          <w:szCs w:val="24"/>
        </w:rPr>
        <w:t>·d</w:t>
      </w:r>
      <w:r w:rsidRPr="000549B1">
        <w:rPr>
          <w:rFonts w:eastAsiaTheme="minorEastAsia"/>
          <w:bCs/>
          <w:sz w:val="24"/>
          <w:szCs w:val="24"/>
        </w:rPr>
        <w:t>。农村生活垃圾中污染物含量系数参考《细则》，按</w:t>
      </w:r>
      <w:r w:rsidRPr="000549B1">
        <w:rPr>
          <w:rFonts w:eastAsiaTheme="minorEastAsia"/>
          <w:bCs/>
          <w:sz w:val="24"/>
          <w:szCs w:val="24"/>
        </w:rPr>
        <w:t>COD0.25%</w:t>
      </w:r>
      <w:r w:rsidRPr="000549B1">
        <w:rPr>
          <w:rFonts w:eastAsiaTheme="minorEastAsia"/>
          <w:bCs/>
          <w:sz w:val="24"/>
          <w:szCs w:val="24"/>
        </w:rPr>
        <w:t>、总氮</w:t>
      </w:r>
      <w:r w:rsidRPr="000549B1">
        <w:rPr>
          <w:rFonts w:eastAsiaTheme="minorEastAsia"/>
          <w:bCs/>
          <w:sz w:val="24"/>
          <w:szCs w:val="24"/>
        </w:rPr>
        <w:t>0.21%</w:t>
      </w:r>
      <w:r w:rsidRPr="000549B1">
        <w:rPr>
          <w:rFonts w:eastAsiaTheme="minorEastAsia"/>
          <w:bCs/>
          <w:sz w:val="24"/>
          <w:szCs w:val="24"/>
        </w:rPr>
        <w:t>、总磷</w:t>
      </w:r>
      <w:r w:rsidRPr="000549B1">
        <w:rPr>
          <w:rFonts w:eastAsiaTheme="minorEastAsia"/>
          <w:bCs/>
          <w:sz w:val="24"/>
          <w:szCs w:val="24"/>
        </w:rPr>
        <w:t>0.022%</w:t>
      </w:r>
      <w:r w:rsidRPr="000549B1">
        <w:rPr>
          <w:rFonts w:eastAsiaTheme="minorEastAsia"/>
          <w:bCs/>
          <w:sz w:val="24"/>
          <w:szCs w:val="24"/>
        </w:rPr>
        <w:t>、氨氮</w:t>
      </w:r>
      <w:r w:rsidRPr="000549B1">
        <w:rPr>
          <w:rFonts w:eastAsiaTheme="minorEastAsia"/>
          <w:bCs/>
          <w:sz w:val="24"/>
          <w:szCs w:val="24"/>
        </w:rPr>
        <w:t>0.021%</w:t>
      </w:r>
      <w:r w:rsidRPr="000549B1">
        <w:rPr>
          <w:rFonts w:eastAsiaTheme="minorEastAsia"/>
          <w:bCs/>
          <w:sz w:val="24"/>
          <w:szCs w:val="24"/>
        </w:rPr>
        <w:t>进行估算。</w:t>
      </w:r>
    </w:p>
    <w:p w14:paraId="1B34656B" w14:textId="796069B4" w:rsidR="00054437" w:rsidRPr="000549B1" w:rsidRDefault="00000000">
      <w:pPr>
        <w:pStyle w:val="a2"/>
        <w:spacing w:line="360" w:lineRule="auto"/>
        <w:ind w:firstLine="600"/>
        <w:rPr>
          <w:rFonts w:eastAsiaTheme="minorEastAsia"/>
          <w:bCs/>
          <w:sz w:val="24"/>
          <w:szCs w:val="24"/>
        </w:rPr>
      </w:pPr>
      <w:r w:rsidRPr="000549B1">
        <w:rPr>
          <w:rFonts w:eastAsiaTheme="minorEastAsia"/>
          <w:bCs/>
          <w:sz w:val="24"/>
          <w:szCs w:val="24"/>
        </w:rPr>
        <w:t>考虑共和县、兴海县为农、牧区生活状况的前提下，选取农村生活垃圾入河系数为</w:t>
      </w:r>
      <w:r w:rsidRPr="000549B1">
        <w:rPr>
          <w:rFonts w:eastAsiaTheme="minorEastAsia"/>
          <w:bCs/>
          <w:sz w:val="24"/>
          <w:szCs w:val="24"/>
        </w:rPr>
        <w:t>0.5%</w:t>
      </w:r>
      <w:r w:rsidRPr="000549B1">
        <w:rPr>
          <w:rFonts w:eastAsiaTheme="minorEastAsia"/>
          <w:bCs/>
          <w:sz w:val="24"/>
          <w:szCs w:val="24"/>
        </w:rPr>
        <w:t>，估算生活垃圾污染物入河量。农村生活垃圾面源估算参数取值汇总情况见</w:t>
      </w:r>
      <w:r w:rsidR="00372953" w:rsidRPr="00372953">
        <w:rPr>
          <w:rFonts w:eastAsiaTheme="minorEastAsia"/>
          <w:bCs/>
          <w:sz w:val="24"/>
          <w:szCs w:val="24"/>
        </w:rPr>
        <w:t>表</w:t>
      </w:r>
      <w:r w:rsidR="00372953" w:rsidRPr="00372953">
        <w:rPr>
          <w:rFonts w:eastAsiaTheme="minorEastAsia"/>
          <w:bCs/>
          <w:sz w:val="24"/>
          <w:szCs w:val="24"/>
        </w:rPr>
        <w:t>3.3</w:t>
      </w:r>
      <w:r w:rsidR="00372953" w:rsidRPr="00372953">
        <w:rPr>
          <w:rFonts w:eastAsiaTheme="minorEastAsia"/>
          <w:bCs/>
          <w:sz w:val="24"/>
          <w:szCs w:val="24"/>
        </w:rPr>
        <w:noBreakHyphen/>
        <w:t>8</w:t>
      </w:r>
      <w:r w:rsidRPr="000549B1">
        <w:rPr>
          <w:rFonts w:eastAsiaTheme="minorEastAsia"/>
          <w:bCs/>
          <w:sz w:val="24"/>
          <w:szCs w:val="24"/>
        </w:rPr>
        <w:t>。</w:t>
      </w:r>
    </w:p>
    <w:p w14:paraId="44237357" w14:textId="7C9D3368" w:rsidR="00054437" w:rsidRPr="000549B1" w:rsidRDefault="00000000">
      <w:pPr>
        <w:pStyle w:val="aff8"/>
        <w:rPr>
          <w:color w:val="auto"/>
        </w:rPr>
      </w:pPr>
      <w:bookmarkStart w:id="221" w:name="_Ref214978338"/>
      <w:r w:rsidRPr="000549B1">
        <w:rPr>
          <w:color w:val="auto"/>
        </w:rPr>
        <w:t>表</w:t>
      </w:r>
      <w:r w:rsidR="00372953">
        <w:rPr>
          <w:color w:val="auto"/>
        </w:rPr>
        <w:fldChar w:fldCharType="begin"/>
      </w:r>
      <w:r w:rsidR="00372953">
        <w:rPr>
          <w:color w:val="auto"/>
        </w:rPr>
        <w:instrText xml:space="preserve"> STYLEREF 2 \s </w:instrText>
      </w:r>
      <w:r w:rsidR="00372953">
        <w:rPr>
          <w:color w:val="auto"/>
        </w:rPr>
        <w:fldChar w:fldCharType="separate"/>
      </w:r>
      <w:r w:rsidR="00372953">
        <w:rPr>
          <w:noProof/>
          <w:color w:val="auto"/>
        </w:rPr>
        <w:t>3.3</w:t>
      </w:r>
      <w:r w:rsidR="00372953">
        <w:rPr>
          <w:color w:val="auto"/>
        </w:rPr>
        <w:fldChar w:fldCharType="end"/>
      </w:r>
      <w:r w:rsidR="00372953">
        <w:rPr>
          <w:color w:val="auto"/>
        </w:rPr>
        <w:noBreakHyphen/>
      </w:r>
      <w:r w:rsidR="00372953">
        <w:rPr>
          <w:color w:val="auto"/>
        </w:rPr>
        <w:fldChar w:fldCharType="begin"/>
      </w:r>
      <w:r w:rsidR="00372953">
        <w:rPr>
          <w:color w:val="auto"/>
        </w:rPr>
        <w:instrText xml:space="preserve"> SEQ </w:instrText>
      </w:r>
      <w:r w:rsidR="00372953">
        <w:rPr>
          <w:color w:val="auto"/>
        </w:rPr>
        <w:instrText>表</w:instrText>
      </w:r>
      <w:r w:rsidR="00372953">
        <w:rPr>
          <w:color w:val="auto"/>
        </w:rPr>
        <w:instrText xml:space="preserve"> \* ARABIC \s 2 </w:instrText>
      </w:r>
      <w:r w:rsidR="00372953">
        <w:rPr>
          <w:color w:val="auto"/>
        </w:rPr>
        <w:fldChar w:fldCharType="separate"/>
      </w:r>
      <w:r w:rsidR="00372953">
        <w:rPr>
          <w:noProof/>
          <w:color w:val="auto"/>
        </w:rPr>
        <w:t>8</w:t>
      </w:r>
      <w:r w:rsidR="00372953">
        <w:rPr>
          <w:color w:val="auto"/>
        </w:rPr>
        <w:fldChar w:fldCharType="end"/>
      </w:r>
      <w:bookmarkEnd w:id="221"/>
      <w:r w:rsidRPr="000549B1">
        <w:rPr>
          <w:color w:val="auto"/>
        </w:rPr>
        <w:t>农村生活垃圾面源估算参数取值汇总</w:t>
      </w:r>
    </w:p>
    <w:tbl>
      <w:tblPr>
        <w:tblW w:w="4998" w:type="pct"/>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464"/>
        <w:gridCol w:w="1710"/>
        <w:gridCol w:w="1138"/>
        <w:gridCol w:w="992"/>
        <w:gridCol w:w="1138"/>
        <w:gridCol w:w="851"/>
      </w:tblGrid>
      <w:tr w:rsidR="000549B1" w:rsidRPr="000549B1" w14:paraId="4DDA124B" w14:textId="77777777" w:rsidTr="00407DFF">
        <w:trPr>
          <w:trHeight w:val="397"/>
          <w:jc w:val="center"/>
        </w:trPr>
        <w:tc>
          <w:tcPr>
            <w:tcW w:w="1486"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14:paraId="1F0CB6A9" w14:textId="77777777" w:rsidR="00054437" w:rsidRPr="000549B1" w:rsidRDefault="00000000">
            <w:pPr>
              <w:widowControl/>
              <w:jc w:val="center"/>
              <w:textAlignment w:val="center"/>
              <w:rPr>
                <w:rFonts w:eastAsiaTheme="minorEastAsia"/>
                <w:b/>
                <w:kern w:val="0"/>
                <w:szCs w:val="21"/>
              </w:rPr>
            </w:pPr>
            <w:r w:rsidRPr="000549B1">
              <w:rPr>
                <w:rFonts w:eastAsiaTheme="minorEastAsia"/>
                <w:b/>
                <w:kern w:val="0"/>
                <w:szCs w:val="21"/>
              </w:rPr>
              <w:t>人均生活垃圾产生系数</w:t>
            </w:r>
          </w:p>
          <w:p w14:paraId="45C83401" w14:textId="77777777" w:rsidR="00054437" w:rsidRPr="000549B1" w:rsidRDefault="00000000">
            <w:pPr>
              <w:widowControl/>
              <w:jc w:val="center"/>
              <w:textAlignment w:val="center"/>
              <w:rPr>
                <w:rFonts w:eastAsiaTheme="minorEastAsia"/>
                <w:b/>
                <w:kern w:val="0"/>
                <w:szCs w:val="21"/>
              </w:rPr>
            </w:pPr>
            <w:r w:rsidRPr="000549B1">
              <w:rPr>
                <w:rFonts w:eastAsiaTheme="minorEastAsia"/>
                <w:b/>
                <w:kern w:val="0"/>
                <w:szCs w:val="21"/>
              </w:rPr>
              <w:t>（</w:t>
            </w:r>
            <w:r w:rsidRPr="000549B1">
              <w:rPr>
                <w:rFonts w:eastAsiaTheme="minorEastAsia"/>
                <w:b/>
                <w:kern w:val="0"/>
                <w:szCs w:val="21"/>
              </w:rPr>
              <w:t>kg/</w:t>
            </w:r>
            <w:r w:rsidRPr="000549B1">
              <w:rPr>
                <w:rFonts w:eastAsiaTheme="minorEastAsia"/>
                <w:b/>
                <w:kern w:val="0"/>
                <w:szCs w:val="21"/>
              </w:rPr>
              <w:t>人</w:t>
            </w:r>
            <w:r w:rsidRPr="000549B1">
              <w:rPr>
                <w:rFonts w:eastAsiaTheme="minorEastAsia"/>
                <w:b/>
                <w:kern w:val="0"/>
                <w:szCs w:val="21"/>
              </w:rPr>
              <w:t>·d</w:t>
            </w:r>
            <w:r w:rsidRPr="000549B1">
              <w:rPr>
                <w:rFonts w:eastAsiaTheme="minorEastAsia"/>
                <w:b/>
                <w:kern w:val="0"/>
                <w:szCs w:val="21"/>
              </w:rPr>
              <w:t>）</w:t>
            </w:r>
          </w:p>
        </w:tc>
        <w:tc>
          <w:tcPr>
            <w:tcW w:w="3001" w:type="pct"/>
            <w:gridSpan w:val="4"/>
            <w:tcBorders>
              <w:top w:val="single" w:sz="4" w:space="0" w:color="000000"/>
              <w:left w:val="single" w:sz="4" w:space="0" w:color="000000"/>
              <w:bottom w:val="single" w:sz="4" w:space="0" w:color="000000"/>
              <w:right w:val="single" w:sz="4" w:space="0" w:color="000000"/>
            </w:tcBorders>
            <w:shd w:val="clear" w:color="FFFFFF" w:fill="FFFFFF"/>
            <w:vAlign w:val="center"/>
          </w:tcPr>
          <w:p w14:paraId="2C7FF690" w14:textId="77777777" w:rsidR="00054437" w:rsidRPr="000549B1" w:rsidRDefault="00000000">
            <w:pPr>
              <w:widowControl/>
              <w:jc w:val="center"/>
              <w:textAlignment w:val="center"/>
              <w:rPr>
                <w:rFonts w:eastAsiaTheme="minorEastAsia"/>
                <w:b/>
                <w:kern w:val="0"/>
                <w:szCs w:val="21"/>
              </w:rPr>
            </w:pPr>
            <w:r w:rsidRPr="000549B1">
              <w:rPr>
                <w:rFonts w:eastAsiaTheme="minorEastAsia"/>
                <w:b/>
                <w:kern w:val="0"/>
                <w:szCs w:val="21"/>
              </w:rPr>
              <w:t>农村生活垃圾中污染物含量</w:t>
            </w:r>
          </w:p>
        </w:tc>
        <w:tc>
          <w:tcPr>
            <w:tcW w:w="513"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14:paraId="4422B0E1" w14:textId="77777777" w:rsidR="00054437" w:rsidRPr="000549B1" w:rsidRDefault="00000000">
            <w:pPr>
              <w:widowControl/>
              <w:jc w:val="center"/>
              <w:textAlignment w:val="center"/>
              <w:rPr>
                <w:rFonts w:eastAsiaTheme="minorEastAsia"/>
                <w:b/>
                <w:kern w:val="0"/>
                <w:szCs w:val="21"/>
              </w:rPr>
            </w:pPr>
            <w:r w:rsidRPr="000549B1">
              <w:rPr>
                <w:rFonts w:eastAsiaTheme="minorEastAsia"/>
                <w:b/>
                <w:kern w:val="0"/>
                <w:szCs w:val="21"/>
              </w:rPr>
              <w:t>入河</w:t>
            </w:r>
          </w:p>
          <w:p w14:paraId="01E874EB" w14:textId="77777777" w:rsidR="00054437" w:rsidRPr="000549B1" w:rsidRDefault="00000000">
            <w:pPr>
              <w:widowControl/>
              <w:jc w:val="center"/>
              <w:textAlignment w:val="center"/>
              <w:rPr>
                <w:rFonts w:eastAsiaTheme="minorEastAsia"/>
                <w:bCs/>
                <w:kern w:val="0"/>
                <w:szCs w:val="21"/>
              </w:rPr>
            </w:pPr>
            <w:r w:rsidRPr="000549B1">
              <w:rPr>
                <w:rFonts w:eastAsiaTheme="minorEastAsia"/>
                <w:b/>
                <w:kern w:val="0"/>
                <w:szCs w:val="21"/>
              </w:rPr>
              <w:t>系数</w:t>
            </w:r>
          </w:p>
        </w:tc>
      </w:tr>
      <w:tr w:rsidR="000549B1" w:rsidRPr="000549B1" w14:paraId="045E8AD2" w14:textId="77777777" w:rsidTr="00407DFF">
        <w:trPr>
          <w:trHeight w:val="397"/>
          <w:jc w:val="center"/>
        </w:trPr>
        <w:tc>
          <w:tcPr>
            <w:tcW w:w="1486" w:type="pct"/>
            <w:vMerge/>
            <w:tcBorders>
              <w:top w:val="single" w:sz="4" w:space="0" w:color="000000"/>
              <w:left w:val="single" w:sz="4" w:space="0" w:color="000000"/>
              <w:bottom w:val="single" w:sz="4" w:space="0" w:color="000000"/>
              <w:right w:val="single" w:sz="4" w:space="0" w:color="000000"/>
            </w:tcBorders>
            <w:shd w:val="clear" w:color="FFFFFF" w:fill="FFFFFF"/>
            <w:vAlign w:val="center"/>
          </w:tcPr>
          <w:p w14:paraId="41FCA68F" w14:textId="77777777" w:rsidR="00054437" w:rsidRPr="000549B1" w:rsidRDefault="00054437">
            <w:pPr>
              <w:widowControl/>
              <w:jc w:val="center"/>
              <w:textAlignment w:val="center"/>
              <w:rPr>
                <w:rFonts w:eastAsiaTheme="minorEastAsia"/>
                <w:b/>
                <w:kern w:val="0"/>
                <w:szCs w:val="21"/>
              </w:rPr>
            </w:pPr>
          </w:p>
        </w:tc>
        <w:tc>
          <w:tcPr>
            <w:tcW w:w="1031" w:type="pct"/>
            <w:tcBorders>
              <w:top w:val="single" w:sz="4" w:space="0" w:color="000000"/>
              <w:left w:val="single" w:sz="4" w:space="0" w:color="000000"/>
              <w:bottom w:val="single" w:sz="4" w:space="0" w:color="000000"/>
              <w:right w:val="single" w:sz="4" w:space="0" w:color="000000"/>
            </w:tcBorders>
            <w:shd w:val="clear" w:color="FFFFFF" w:fill="FFFFFF"/>
            <w:vAlign w:val="center"/>
          </w:tcPr>
          <w:p w14:paraId="148E883B" w14:textId="77777777" w:rsidR="00054437" w:rsidRPr="000549B1" w:rsidRDefault="00000000">
            <w:pPr>
              <w:widowControl/>
              <w:jc w:val="center"/>
              <w:textAlignment w:val="center"/>
              <w:rPr>
                <w:rFonts w:eastAsiaTheme="minorEastAsia"/>
                <w:b/>
                <w:kern w:val="0"/>
                <w:szCs w:val="21"/>
              </w:rPr>
            </w:pPr>
            <w:r w:rsidRPr="000549B1">
              <w:rPr>
                <w:rFonts w:eastAsiaTheme="minorEastAsia"/>
                <w:b/>
                <w:kern w:val="0"/>
                <w:szCs w:val="21"/>
              </w:rPr>
              <w:t>COD</w:t>
            </w:r>
          </w:p>
        </w:tc>
        <w:tc>
          <w:tcPr>
            <w:tcW w:w="686" w:type="pct"/>
            <w:tcBorders>
              <w:top w:val="single" w:sz="4" w:space="0" w:color="000000"/>
              <w:left w:val="single" w:sz="4" w:space="0" w:color="000000"/>
              <w:bottom w:val="single" w:sz="4" w:space="0" w:color="000000"/>
              <w:right w:val="single" w:sz="4" w:space="0" w:color="000000"/>
            </w:tcBorders>
            <w:shd w:val="clear" w:color="FFFFFF" w:fill="FFFFFF"/>
            <w:vAlign w:val="center"/>
          </w:tcPr>
          <w:p w14:paraId="3B0CEF77" w14:textId="77777777" w:rsidR="00054437" w:rsidRPr="000549B1" w:rsidRDefault="00000000">
            <w:pPr>
              <w:widowControl/>
              <w:jc w:val="center"/>
              <w:textAlignment w:val="center"/>
              <w:rPr>
                <w:rFonts w:eastAsiaTheme="minorEastAsia"/>
                <w:b/>
                <w:kern w:val="0"/>
                <w:szCs w:val="21"/>
              </w:rPr>
            </w:pPr>
            <w:r w:rsidRPr="000549B1">
              <w:rPr>
                <w:rFonts w:eastAsiaTheme="minorEastAsia"/>
                <w:b/>
                <w:kern w:val="0"/>
                <w:szCs w:val="21"/>
              </w:rPr>
              <w:t>氨氮</w:t>
            </w:r>
          </w:p>
        </w:tc>
        <w:tc>
          <w:tcPr>
            <w:tcW w:w="598" w:type="pct"/>
            <w:tcBorders>
              <w:top w:val="single" w:sz="4" w:space="0" w:color="000000"/>
              <w:left w:val="single" w:sz="4" w:space="0" w:color="000000"/>
              <w:bottom w:val="single" w:sz="4" w:space="0" w:color="000000"/>
              <w:right w:val="single" w:sz="4" w:space="0" w:color="000000"/>
            </w:tcBorders>
            <w:shd w:val="clear" w:color="FFFFFF" w:fill="FFFFFF"/>
            <w:vAlign w:val="center"/>
          </w:tcPr>
          <w:p w14:paraId="7A4B6C43" w14:textId="77777777" w:rsidR="00054437" w:rsidRPr="000549B1" w:rsidRDefault="00000000">
            <w:pPr>
              <w:widowControl/>
              <w:jc w:val="center"/>
              <w:textAlignment w:val="center"/>
              <w:rPr>
                <w:rFonts w:eastAsiaTheme="minorEastAsia"/>
                <w:b/>
                <w:kern w:val="0"/>
                <w:szCs w:val="21"/>
              </w:rPr>
            </w:pPr>
            <w:r w:rsidRPr="000549B1">
              <w:rPr>
                <w:rFonts w:eastAsiaTheme="minorEastAsia"/>
                <w:b/>
                <w:kern w:val="0"/>
                <w:szCs w:val="21"/>
              </w:rPr>
              <w:t>总氮</w:t>
            </w:r>
          </w:p>
        </w:tc>
        <w:tc>
          <w:tcPr>
            <w:tcW w:w="686" w:type="pct"/>
            <w:tcBorders>
              <w:top w:val="single" w:sz="4" w:space="0" w:color="000000"/>
              <w:left w:val="single" w:sz="4" w:space="0" w:color="000000"/>
              <w:bottom w:val="single" w:sz="4" w:space="0" w:color="000000"/>
              <w:right w:val="single" w:sz="4" w:space="0" w:color="000000"/>
            </w:tcBorders>
            <w:shd w:val="clear" w:color="FFFFFF" w:fill="FFFFFF"/>
            <w:vAlign w:val="center"/>
          </w:tcPr>
          <w:p w14:paraId="3A8543D8" w14:textId="77777777" w:rsidR="00054437" w:rsidRPr="000549B1" w:rsidRDefault="00000000">
            <w:pPr>
              <w:widowControl/>
              <w:jc w:val="center"/>
              <w:textAlignment w:val="center"/>
              <w:rPr>
                <w:rFonts w:eastAsiaTheme="minorEastAsia"/>
                <w:b/>
                <w:kern w:val="0"/>
                <w:szCs w:val="21"/>
              </w:rPr>
            </w:pPr>
            <w:r w:rsidRPr="000549B1">
              <w:rPr>
                <w:rFonts w:eastAsiaTheme="minorEastAsia"/>
                <w:b/>
                <w:kern w:val="0"/>
                <w:szCs w:val="21"/>
              </w:rPr>
              <w:t>总磷</w:t>
            </w:r>
          </w:p>
        </w:tc>
        <w:tc>
          <w:tcPr>
            <w:tcW w:w="513" w:type="pct"/>
            <w:vMerge/>
            <w:tcBorders>
              <w:top w:val="single" w:sz="4" w:space="0" w:color="000000"/>
              <w:left w:val="single" w:sz="4" w:space="0" w:color="000000"/>
              <w:bottom w:val="single" w:sz="4" w:space="0" w:color="000000"/>
              <w:right w:val="single" w:sz="4" w:space="0" w:color="000000"/>
            </w:tcBorders>
            <w:shd w:val="clear" w:color="FFFFFF" w:fill="FFFFFF"/>
            <w:vAlign w:val="center"/>
          </w:tcPr>
          <w:p w14:paraId="258898E7" w14:textId="77777777" w:rsidR="00054437" w:rsidRPr="000549B1" w:rsidRDefault="00054437">
            <w:pPr>
              <w:widowControl/>
              <w:jc w:val="center"/>
              <w:textAlignment w:val="center"/>
              <w:rPr>
                <w:rFonts w:eastAsiaTheme="minorEastAsia"/>
                <w:bCs/>
                <w:kern w:val="0"/>
                <w:szCs w:val="21"/>
              </w:rPr>
            </w:pPr>
          </w:p>
        </w:tc>
      </w:tr>
      <w:tr w:rsidR="000549B1" w:rsidRPr="000549B1" w14:paraId="55E8A273" w14:textId="77777777" w:rsidTr="00407DFF">
        <w:trPr>
          <w:trHeight w:val="397"/>
          <w:jc w:val="center"/>
        </w:trPr>
        <w:tc>
          <w:tcPr>
            <w:tcW w:w="1486" w:type="pct"/>
            <w:tcBorders>
              <w:top w:val="single" w:sz="4" w:space="0" w:color="000000"/>
              <w:left w:val="single" w:sz="4" w:space="0" w:color="000000"/>
              <w:bottom w:val="single" w:sz="4" w:space="0" w:color="000000"/>
              <w:right w:val="single" w:sz="4" w:space="0" w:color="000000"/>
            </w:tcBorders>
            <w:shd w:val="clear" w:color="FFFFFF" w:fill="FFFFFF"/>
            <w:vAlign w:val="center"/>
          </w:tcPr>
          <w:p w14:paraId="3A0056E8" w14:textId="77777777" w:rsidR="00054437" w:rsidRPr="000549B1" w:rsidRDefault="00000000">
            <w:pPr>
              <w:widowControl/>
              <w:jc w:val="center"/>
              <w:textAlignment w:val="center"/>
              <w:rPr>
                <w:rFonts w:eastAsiaTheme="minorEastAsia"/>
                <w:bCs/>
                <w:kern w:val="0"/>
                <w:szCs w:val="21"/>
              </w:rPr>
            </w:pPr>
            <w:r w:rsidRPr="000549B1">
              <w:rPr>
                <w:rFonts w:eastAsiaTheme="minorEastAsia"/>
                <w:bCs/>
                <w:kern w:val="0"/>
                <w:szCs w:val="21"/>
              </w:rPr>
              <w:t>0.5</w:t>
            </w:r>
          </w:p>
        </w:tc>
        <w:tc>
          <w:tcPr>
            <w:tcW w:w="1031" w:type="pct"/>
            <w:tcBorders>
              <w:top w:val="single" w:sz="4" w:space="0" w:color="000000"/>
              <w:left w:val="single" w:sz="4" w:space="0" w:color="000000"/>
              <w:bottom w:val="single" w:sz="4" w:space="0" w:color="000000"/>
              <w:right w:val="single" w:sz="4" w:space="0" w:color="000000"/>
            </w:tcBorders>
            <w:shd w:val="clear" w:color="FFFFFF" w:fill="FFFFFF"/>
            <w:vAlign w:val="center"/>
          </w:tcPr>
          <w:p w14:paraId="3A12DA19" w14:textId="77777777" w:rsidR="00054437" w:rsidRPr="000549B1" w:rsidRDefault="00000000">
            <w:pPr>
              <w:widowControl/>
              <w:jc w:val="center"/>
              <w:textAlignment w:val="center"/>
              <w:rPr>
                <w:rFonts w:eastAsiaTheme="minorEastAsia"/>
                <w:bCs/>
                <w:kern w:val="0"/>
                <w:szCs w:val="21"/>
              </w:rPr>
            </w:pPr>
            <w:r w:rsidRPr="000549B1">
              <w:rPr>
                <w:rFonts w:eastAsiaTheme="minorEastAsia"/>
                <w:bCs/>
                <w:kern w:val="0"/>
                <w:szCs w:val="21"/>
              </w:rPr>
              <w:t>0.25</w:t>
            </w:r>
            <w:r w:rsidRPr="000549B1">
              <w:rPr>
                <w:bCs/>
                <w:kern w:val="0"/>
                <w:szCs w:val="21"/>
              </w:rPr>
              <w:t>%</w:t>
            </w:r>
          </w:p>
        </w:tc>
        <w:tc>
          <w:tcPr>
            <w:tcW w:w="686" w:type="pct"/>
            <w:tcBorders>
              <w:top w:val="single" w:sz="4" w:space="0" w:color="000000"/>
              <w:left w:val="single" w:sz="4" w:space="0" w:color="000000"/>
              <w:bottom w:val="single" w:sz="4" w:space="0" w:color="000000"/>
              <w:right w:val="single" w:sz="4" w:space="0" w:color="000000"/>
            </w:tcBorders>
            <w:shd w:val="clear" w:color="FFFFFF" w:fill="FFFFFF"/>
            <w:vAlign w:val="center"/>
          </w:tcPr>
          <w:p w14:paraId="0045C66E" w14:textId="77777777" w:rsidR="00054437" w:rsidRPr="000549B1" w:rsidRDefault="00000000">
            <w:pPr>
              <w:widowControl/>
              <w:jc w:val="center"/>
              <w:textAlignment w:val="center"/>
              <w:rPr>
                <w:rFonts w:eastAsiaTheme="minorEastAsia"/>
                <w:bCs/>
                <w:kern w:val="0"/>
                <w:szCs w:val="21"/>
              </w:rPr>
            </w:pPr>
            <w:r w:rsidRPr="000549B1">
              <w:rPr>
                <w:rFonts w:eastAsiaTheme="minorEastAsia"/>
                <w:bCs/>
                <w:kern w:val="0"/>
                <w:szCs w:val="21"/>
              </w:rPr>
              <w:t>0.021</w:t>
            </w:r>
            <w:r w:rsidRPr="000549B1">
              <w:rPr>
                <w:bCs/>
                <w:kern w:val="0"/>
                <w:szCs w:val="21"/>
              </w:rPr>
              <w:t>%</w:t>
            </w:r>
          </w:p>
        </w:tc>
        <w:tc>
          <w:tcPr>
            <w:tcW w:w="598" w:type="pct"/>
            <w:tcBorders>
              <w:top w:val="single" w:sz="4" w:space="0" w:color="000000"/>
              <w:left w:val="single" w:sz="4" w:space="0" w:color="000000"/>
              <w:bottom w:val="single" w:sz="4" w:space="0" w:color="000000"/>
              <w:right w:val="single" w:sz="4" w:space="0" w:color="000000"/>
            </w:tcBorders>
            <w:shd w:val="clear" w:color="FFFFFF" w:fill="FFFFFF"/>
            <w:vAlign w:val="center"/>
          </w:tcPr>
          <w:p w14:paraId="0FDA192B" w14:textId="77777777" w:rsidR="00054437" w:rsidRPr="000549B1" w:rsidRDefault="00000000">
            <w:pPr>
              <w:widowControl/>
              <w:jc w:val="center"/>
              <w:textAlignment w:val="center"/>
              <w:rPr>
                <w:rFonts w:eastAsiaTheme="minorEastAsia"/>
                <w:bCs/>
                <w:kern w:val="0"/>
                <w:szCs w:val="21"/>
              </w:rPr>
            </w:pPr>
            <w:r w:rsidRPr="000549B1">
              <w:rPr>
                <w:rFonts w:eastAsiaTheme="minorEastAsia"/>
                <w:bCs/>
                <w:kern w:val="0"/>
                <w:szCs w:val="21"/>
              </w:rPr>
              <w:t>0.21</w:t>
            </w:r>
            <w:r w:rsidRPr="000549B1">
              <w:rPr>
                <w:bCs/>
                <w:kern w:val="0"/>
                <w:szCs w:val="21"/>
              </w:rPr>
              <w:t>%</w:t>
            </w:r>
          </w:p>
        </w:tc>
        <w:tc>
          <w:tcPr>
            <w:tcW w:w="686" w:type="pct"/>
            <w:tcBorders>
              <w:top w:val="single" w:sz="4" w:space="0" w:color="000000"/>
              <w:left w:val="single" w:sz="4" w:space="0" w:color="000000"/>
              <w:bottom w:val="single" w:sz="4" w:space="0" w:color="000000"/>
              <w:right w:val="single" w:sz="4" w:space="0" w:color="000000"/>
            </w:tcBorders>
            <w:shd w:val="clear" w:color="FFFFFF" w:fill="FFFFFF"/>
            <w:vAlign w:val="center"/>
          </w:tcPr>
          <w:p w14:paraId="3D044ABC" w14:textId="77777777" w:rsidR="00054437" w:rsidRPr="000549B1" w:rsidRDefault="00000000">
            <w:pPr>
              <w:widowControl/>
              <w:jc w:val="center"/>
              <w:textAlignment w:val="center"/>
              <w:rPr>
                <w:rFonts w:eastAsiaTheme="minorEastAsia"/>
                <w:bCs/>
                <w:kern w:val="0"/>
                <w:szCs w:val="21"/>
              </w:rPr>
            </w:pPr>
            <w:r w:rsidRPr="000549B1">
              <w:rPr>
                <w:rFonts w:eastAsiaTheme="minorEastAsia"/>
                <w:bCs/>
                <w:kern w:val="0"/>
                <w:szCs w:val="21"/>
              </w:rPr>
              <w:t>0.022</w:t>
            </w:r>
            <w:r w:rsidRPr="000549B1">
              <w:rPr>
                <w:bCs/>
                <w:kern w:val="0"/>
                <w:szCs w:val="21"/>
              </w:rPr>
              <w:t>%</w:t>
            </w:r>
          </w:p>
        </w:tc>
        <w:tc>
          <w:tcPr>
            <w:tcW w:w="513" w:type="pct"/>
            <w:tcBorders>
              <w:top w:val="single" w:sz="4" w:space="0" w:color="000000"/>
              <w:left w:val="single" w:sz="4" w:space="0" w:color="000000"/>
              <w:bottom w:val="single" w:sz="4" w:space="0" w:color="000000"/>
              <w:right w:val="single" w:sz="4" w:space="0" w:color="000000"/>
            </w:tcBorders>
            <w:shd w:val="clear" w:color="FFFFFF" w:fill="FFFFFF"/>
            <w:vAlign w:val="center"/>
          </w:tcPr>
          <w:p w14:paraId="68B3D469" w14:textId="77777777" w:rsidR="00054437" w:rsidRPr="000549B1" w:rsidRDefault="00000000">
            <w:pPr>
              <w:widowControl/>
              <w:jc w:val="center"/>
              <w:textAlignment w:val="center"/>
              <w:rPr>
                <w:rFonts w:eastAsiaTheme="minorEastAsia"/>
                <w:bCs/>
                <w:kern w:val="0"/>
                <w:szCs w:val="21"/>
              </w:rPr>
            </w:pPr>
            <w:r w:rsidRPr="000549B1">
              <w:rPr>
                <w:rFonts w:eastAsiaTheme="minorEastAsia"/>
                <w:bCs/>
                <w:kern w:val="0"/>
                <w:szCs w:val="21"/>
              </w:rPr>
              <w:t>0.5</w:t>
            </w:r>
            <w:r w:rsidRPr="000549B1">
              <w:rPr>
                <w:bCs/>
                <w:kern w:val="0"/>
                <w:szCs w:val="21"/>
              </w:rPr>
              <w:t>%</w:t>
            </w:r>
          </w:p>
        </w:tc>
      </w:tr>
    </w:tbl>
    <w:p w14:paraId="58ACFB9B" w14:textId="60D22352" w:rsidR="00054437" w:rsidRPr="00407DFF" w:rsidRDefault="00407DFF">
      <w:pPr>
        <w:pStyle w:val="a2"/>
        <w:spacing w:line="360" w:lineRule="auto"/>
        <w:ind w:firstLine="600"/>
        <w:rPr>
          <w:rFonts w:eastAsiaTheme="minorEastAsia"/>
          <w:bCs/>
          <w:sz w:val="24"/>
          <w:szCs w:val="24"/>
        </w:rPr>
        <w:sectPr w:rsidR="00054437" w:rsidRPr="00407DFF">
          <w:pgSz w:w="11906" w:h="16838"/>
          <w:pgMar w:top="1440" w:right="1800" w:bottom="1440" w:left="1800" w:header="851" w:footer="992" w:gutter="0"/>
          <w:cols w:space="425"/>
          <w:docGrid w:type="lines" w:linePitch="312"/>
        </w:sectPr>
      </w:pPr>
      <w:r w:rsidRPr="00407DFF">
        <w:rPr>
          <w:rFonts w:eastAsiaTheme="minorEastAsia"/>
          <w:bCs/>
          <w:sz w:val="24"/>
          <w:szCs w:val="24"/>
        </w:rPr>
        <w:t>共和县、兴海县</w:t>
      </w:r>
      <w:r w:rsidRPr="00407DFF">
        <w:rPr>
          <w:rFonts w:eastAsiaTheme="minorEastAsia"/>
          <w:bCs/>
          <w:sz w:val="24"/>
          <w:szCs w:val="24"/>
        </w:rPr>
        <w:t>2023</w:t>
      </w:r>
      <w:r w:rsidRPr="00407DFF">
        <w:rPr>
          <w:rFonts w:eastAsiaTheme="minorEastAsia"/>
          <w:bCs/>
          <w:sz w:val="24"/>
          <w:szCs w:val="24"/>
        </w:rPr>
        <w:t>年农村常住人口分别为</w:t>
      </w:r>
      <w:r w:rsidRPr="00407DFF">
        <w:rPr>
          <w:rFonts w:eastAsiaTheme="minorEastAsia"/>
          <w:bCs/>
          <w:sz w:val="24"/>
          <w:szCs w:val="24"/>
        </w:rPr>
        <w:t>6.1</w:t>
      </w:r>
      <w:r w:rsidRPr="00407DFF">
        <w:rPr>
          <w:rFonts w:eastAsiaTheme="minorEastAsia"/>
          <w:bCs/>
          <w:sz w:val="24"/>
          <w:szCs w:val="24"/>
        </w:rPr>
        <w:t>万人、</w:t>
      </w:r>
      <w:r w:rsidRPr="00407DFF">
        <w:rPr>
          <w:rFonts w:eastAsiaTheme="minorEastAsia"/>
          <w:bCs/>
          <w:sz w:val="24"/>
          <w:szCs w:val="24"/>
        </w:rPr>
        <w:t>4.23</w:t>
      </w:r>
      <w:r w:rsidRPr="00407DFF">
        <w:rPr>
          <w:rFonts w:eastAsiaTheme="minorEastAsia"/>
          <w:bCs/>
          <w:sz w:val="24"/>
          <w:szCs w:val="24"/>
        </w:rPr>
        <w:t>万人，农村生活污水入河量中</w:t>
      </w:r>
      <w:r w:rsidRPr="00407DFF">
        <w:rPr>
          <w:rFonts w:eastAsiaTheme="minorEastAsia" w:hint="eastAsia"/>
          <w:bCs/>
          <w:sz w:val="24"/>
          <w:szCs w:val="24"/>
        </w:rPr>
        <w:t>COD</w:t>
      </w:r>
      <w:r w:rsidRPr="00407DFF">
        <w:rPr>
          <w:rFonts w:eastAsiaTheme="minorEastAsia"/>
          <w:bCs/>
          <w:sz w:val="24"/>
          <w:szCs w:val="24"/>
        </w:rPr>
        <w:t>3.29t/a</w:t>
      </w:r>
      <w:r w:rsidRPr="00407DFF">
        <w:rPr>
          <w:rFonts w:eastAsiaTheme="minorEastAsia"/>
          <w:bCs/>
          <w:sz w:val="24"/>
          <w:szCs w:val="24"/>
        </w:rPr>
        <w:t>、氨氮</w:t>
      </w:r>
      <w:r w:rsidRPr="00407DFF">
        <w:rPr>
          <w:rFonts w:eastAsiaTheme="minorEastAsia"/>
          <w:bCs/>
          <w:sz w:val="24"/>
          <w:szCs w:val="24"/>
        </w:rPr>
        <w:t>0.16t/a</w:t>
      </w:r>
      <w:r w:rsidRPr="00407DFF">
        <w:rPr>
          <w:rFonts w:eastAsiaTheme="minorEastAsia"/>
          <w:bCs/>
          <w:sz w:val="24"/>
          <w:szCs w:val="24"/>
        </w:rPr>
        <w:t>、总氮</w:t>
      </w:r>
      <w:r w:rsidRPr="00407DFF">
        <w:rPr>
          <w:rFonts w:eastAsiaTheme="minorEastAsia"/>
          <w:bCs/>
          <w:sz w:val="24"/>
          <w:szCs w:val="24"/>
        </w:rPr>
        <w:t>1.10t/a</w:t>
      </w:r>
      <w:r w:rsidRPr="00407DFF">
        <w:rPr>
          <w:rFonts w:eastAsiaTheme="minorEastAsia"/>
          <w:bCs/>
          <w:sz w:val="24"/>
          <w:szCs w:val="24"/>
        </w:rPr>
        <w:t>、总磷</w:t>
      </w:r>
      <w:r w:rsidRPr="00407DFF">
        <w:rPr>
          <w:rFonts w:eastAsiaTheme="minorEastAsia"/>
          <w:bCs/>
          <w:sz w:val="24"/>
          <w:szCs w:val="24"/>
        </w:rPr>
        <w:t>0.07t/a</w:t>
      </w:r>
      <w:r w:rsidRPr="00407DFF">
        <w:rPr>
          <w:rFonts w:eastAsiaTheme="minorEastAsia"/>
          <w:bCs/>
          <w:sz w:val="24"/>
          <w:szCs w:val="24"/>
        </w:rPr>
        <w:t>；固体废弃物入河量中</w:t>
      </w:r>
      <w:r w:rsidRPr="00407DFF">
        <w:rPr>
          <w:rFonts w:eastAsiaTheme="minorEastAsia" w:hint="eastAsia"/>
          <w:bCs/>
          <w:sz w:val="24"/>
          <w:szCs w:val="24"/>
        </w:rPr>
        <w:t>COD</w:t>
      </w:r>
      <w:r w:rsidRPr="00407DFF">
        <w:rPr>
          <w:rFonts w:eastAsiaTheme="minorEastAsia"/>
          <w:bCs/>
          <w:sz w:val="24"/>
          <w:szCs w:val="24"/>
        </w:rPr>
        <w:t>0.24t/a</w:t>
      </w:r>
      <w:r w:rsidRPr="00407DFF">
        <w:rPr>
          <w:rFonts w:eastAsiaTheme="minorEastAsia"/>
          <w:bCs/>
          <w:sz w:val="24"/>
          <w:szCs w:val="24"/>
        </w:rPr>
        <w:t>、氨氮</w:t>
      </w:r>
      <w:r w:rsidRPr="00407DFF">
        <w:rPr>
          <w:rFonts w:eastAsiaTheme="minorEastAsia"/>
          <w:bCs/>
          <w:sz w:val="24"/>
          <w:szCs w:val="24"/>
        </w:rPr>
        <w:t>0.02t/a</w:t>
      </w:r>
      <w:r w:rsidRPr="00407DFF">
        <w:rPr>
          <w:rFonts w:eastAsiaTheme="minorEastAsia"/>
          <w:bCs/>
          <w:sz w:val="24"/>
          <w:szCs w:val="24"/>
        </w:rPr>
        <w:t>、总氮</w:t>
      </w:r>
      <w:r w:rsidRPr="00407DFF">
        <w:rPr>
          <w:rFonts w:eastAsiaTheme="minorEastAsia"/>
          <w:bCs/>
          <w:sz w:val="24"/>
          <w:szCs w:val="24"/>
        </w:rPr>
        <w:t>0.20t/a</w:t>
      </w:r>
      <w:r w:rsidRPr="00407DFF">
        <w:rPr>
          <w:rFonts w:eastAsiaTheme="minorEastAsia"/>
          <w:bCs/>
          <w:sz w:val="24"/>
          <w:szCs w:val="24"/>
        </w:rPr>
        <w:t>、总磷</w:t>
      </w:r>
      <w:r w:rsidRPr="00407DFF">
        <w:rPr>
          <w:rFonts w:eastAsiaTheme="minorEastAsia"/>
          <w:bCs/>
          <w:sz w:val="24"/>
          <w:szCs w:val="24"/>
        </w:rPr>
        <w:t>0.02t/a</w:t>
      </w:r>
      <w:r w:rsidRPr="00407DFF">
        <w:rPr>
          <w:rFonts w:eastAsiaTheme="minorEastAsia"/>
          <w:bCs/>
          <w:sz w:val="24"/>
          <w:szCs w:val="24"/>
        </w:rPr>
        <w:t>。</w:t>
      </w:r>
      <w:r w:rsidRPr="00407DFF">
        <w:rPr>
          <w:rFonts w:eastAsiaTheme="minorEastAsia" w:hint="eastAsia"/>
          <w:bCs/>
          <w:sz w:val="24"/>
          <w:szCs w:val="24"/>
        </w:rPr>
        <w:t>其中，沙珠玉河流域</w:t>
      </w:r>
      <w:r w:rsidRPr="00407DFF">
        <w:rPr>
          <w:rFonts w:eastAsiaTheme="minorEastAsia"/>
          <w:bCs/>
          <w:sz w:val="24"/>
          <w:szCs w:val="24"/>
        </w:rPr>
        <w:t>农村生活污水入河量中</w:t>
      </w:r>
      <w:r w:rsidRPr="00407DFF">
        <w:rPr>
          <w:rFonts w:eastAsiaTheme="minorEastAsia" w:hint="eastAsia"/>
          <w:bCs/>
          <w:sz w:val="24"/>
          <w:szCs w:val="24"/>
        </w:rPr>
        <w:t>COD0.98</w:t>
      </w:r>
      <w:r w:rsidRPr="00407DFF">
        <w:rPr>
          <w:rFonts w:eastAsiaTheme="minorEastAsia"/>
          <w:bCs/>
          <w:sz w:val="24"/>
          <w:szCs w:val="24"/>
        </w:rPr>
        <w:t>t/a</w:t>
      </w:r>
      <w:r w:rsidRPr="00407DFF">
        <w:rPr>
          <w:rFonts w:eastAsiaTheme="minorEastAsia"/>
          <w:bCs/>
          <w:sz w:val="24"/>
          <w:szCs w:val="24"/>
        </w:rPr>
        <w:t>、氨氮</w:t>
      </w:r>
      <w:r w:rsidRPr="00407DFF">
        <w:rPr>
          <w:rFonts w:eastAsiaTheme="minorEastAsia" w:hint="eastAsia"/>
          <w:bCs/>
          <w:sz w:val="24"/>
          <w:szCs w:val="24"/>
        </w:rPr>
        <w:t>0.05</w:t>
      </w:r>
      <w:r w:rsidRPr="00407DFF">
        <w:rPr>
          <w:rFonts w:eastAsiaTheme="minorEastAsia"/>
          <w:bCs/>
          <w:sz w:val="24"/>
          <w:szCs w:val="24"/>
        </w:rPr>
        <w:t>t/a</w:t>
      </w:r>
      <w:r w:rsidRPr="00407DFF">
        <w:rPr>
          <w:rFonts w:eastAsiaTheme="minorEastAsia"/>
          <w:bCs/>
          <w:sz w:val="24"/>
          <w:szCs w:val="24"/>
        </w:rPr>
        <w:t>、总氮</w:t>
      </w:r>
      <w:r w:rsidRPr="00407DFF">
        <w:rPr>
          <w:rFonts w:eastAsiaTheme="minorEastAsia" w:hint="eastAsia"/>
          <w:bCs/>
          <w:sz w:val="24"/>
          <w:szCs w:val="24"/>
        </w:rPr>
        <w:t>0.33</w:t>
      </w:r>
      <w:r w:rsidRPr="00407DFF">
        <w:rPr>
          <w:rFonts w:eastAsiaTheme="minorEastAsia"/>
          <w:bCs/>
          <w:sz w:val="24"/>
          <w:szCs w:val="24"/>
        </w:rPr>
        <w:t>t/a</w:t>
      </w:r>
      <w:r w:rsidRPr="00407DFF">
        <w:rPr>
          <w:rFonts w:eastAsiaTheme="minorEastAsia"/>
          <w:bCs/>
          <w:sz w:val="24"/>
          <w:szCs w:val="24"/>
        </w:rPr>
        <w:t>、总磷</w:t>
      </w:r>
      <w:r w:rsidRPr="00407DFF">
        <w:rPr>
          <w:rFonts w:eastAsiaTheme="minorEastAsia" w:hint="eastAsia"/>
          <w:bCs/>
          <w:sz w:val="24"/>
          <w:szCs w:val="24"/>
        </w:rPr>
        <w:t>0.02</w:t>
      </w:r>
      <w:r w:rsidRPr="00407DFF">
        <w:rPr>
          <w:rFonts w:eastAsiaTheme="minorEastAsia"/>
          <w:bCs/>
          <w:sz w:val="24"/>
          <w:szCs w:val="24"/>
        </w:rPr>
        <w:t>t/a</w:t>
      </w:r>
      <w:r w:rsidRPr="00407DFF">
        <w:rPr>
          <w:rFonts w:eastAsiaTheme="minorEastAsia"/>
          <w:bCs/>
          <w:sz w:val="24"/>
          <w:szCs w:val="24"/>
        </w:rPr>
        <w:t>；固体废弃物入河量中</w:t>
      </w:r>
      <w:r w:rsidRPr="00407DFF">
        <w:rPr>
          <w:rFonts w:eastAsiaTheme="minorEastAsia" w:hint="eastAsia"/>
          <w:bCs/>
          <w:sz w:val="24"/>
          <w:szCs w:val="24"/>
        </w:rPr>
        <w:t>COD0.07</w:t>
      </w:r>
      <w:r w:rsidRPr="00407DFF">
        <w:rPr>
          <w:rFonts w:eastAsiaTheme="minorEastAsia"/>
          <w:bCs/>
          <w:sz w:val="24"/>
          <w:szCs w:val="24"/>
        </w:rPr>
        <w:t>t/a</w:t>
      </w:r>
      <w:r w:rsidRPr="00407DFF">
        <w:rPr>
          <w:rFonts w:eastAsiaTheme="minorEastAsia"/>
          <w:bCs/>
          <w:sz w:val="24"/>
          <w:szCs w:val="24"/>
        </w:rPr>
        <w:t>、氨氮</w:t>
      </w:r>
      <w:r w:rsidRPr="00407DFF">
        <w:rPr>
          <w:rFonts w:eastAsiaTheme="minorEastAsia" w:hint="eastAsia"/>
          <w:bCs/>
          <w:sz w:val="24"/>
          <w:szCs w:val="24"/>
        </w:rPr>
        <w:t>0.01</w:t>
      </w:r>
      <w:r w:rsidRPr="00407DFF">
        <w:rPr>
          <w:rFonts w:eastAsiaTheme="minorEastAsia"/>
          <w:bCs/>
          <w:sz w:val="24"/>
          <w:szCs w:val="24"/>
        </w:rPr>
        <w:t>t/a</w:t>
      </w:r>
      <w:r w:rsidRPr="00407DFF">
        <w:rPr>
          <w:rFonts w:eastAsiaTheme="minorEastAsia"/>
          <w:bCs/>
          <w:sz w:val="24"/>
          <w:szCs w:val="24"/>
        </w:rPr>
        <w:t>、总氮</w:t>
      </w:r>
      <w:r w:rsidRPr="00407DFF">
        <w:rPr>
          <w:rFonts w:eastAsiaTheme="minorEastAsia" w:hint="eastAsia"/>
          <w:bCs/>
          <w:sz w:val="24"/>
          <w:szCs w:val="24"/>
        </w:rPr>
        <w:t>0.06</w:t>
      </w:r>
      <w:r w:rsidRPr="00407DFF">
        <w:rPr>
          <w:rFonts w:eastAsiaTheme="minorEastAsia"/>
          <w:bCs/>
          <w:sz w:val="24"/>
          <w:szCs w:val="24"/>
        </w:rPr>
        <w:t>t/a</w:t>
      </w:r>
      <w:r w:rsidRPr="00407DFF">
        <w:rPr>
          <w:rFonts w:eastAsiaTheme="minorEastAsia"/>
          <w:bCs/>
          <w:sz w:val="24"/>
          <w:szCs w:val="24"/>
        </w:rPr>
        <w:t>、总磷</w:t>
      </w:r>
      <w:r w:rsidRPr="00407DFF">
        <w:rPr>
          <w:rFonts w:eastAsiaTheme="minorEastAsia" w:hint="eastAsia"/>
          <w:bCs/>
          <w:sz w:val="24"/>
          <w:szCs w:val="24"/>
        </w:rPr>
        <w:t>0.01</w:t>
      </w:r>
      <w:r w:rsidRPr="00407DFF">
        <w:rPr>
          <w:rFonts w:eastAsiaTheme="minorEastAsia"/>
          <w:bCs/>
          <w:sz w:val="24"/>
          <w:szCs w:val="24"/>
        </w:rPr>
        <w:t>t/a</w:t>
      </w:r>
      <w:r w:rsidRPr="00407DFF">
        <w:rPr>
          <w:rFonts w:eastAsiaTheme="minorEastAsia"/>
          <w:bCs/>
          <w:sz w:val="24"/>
          <w:szCs w:val="24"/>
        </w:rPr>
        <w:t>。见</w:t>
      </w:r>
      <w:r w:rsidR="00372953" w:rsidRPr="00372953">
        <w:rPr>
          <w:rFonts w:eastAsiaTheme="minorEastAsia"/>
          <w:bCs/>
          <w:sz w:val="24"/>
          <w:szCs w:val="24"/>
        </w:rPr>
        <w:t>表</w:t>
      </w:r>
      <w:r w:rsidR="00372953" w:rsidRPr="00372953">
        <w:rPr>
          <w:rFonts w:eastAsiaTheme="minorEastAsia"/>
          <w:bCs/>
          <w:sz w:val="24"/>
          <w:szCs w:val="24"/>
        </w:rPr>
        <w:t>3.3</w:t>
      </w:r>
      <w:r w:rsidR="00372953" w:rsidRPr="00372953">
        <w:rPr>
          <w:rFonts w:eastAsiaTheme="minorEastAsia"/>
          <w:bCs/>
          <w:sz w:val="24"/>
          <w:szCs w:val="24"/>
        </w:rPr>
        <w:noBreakHyphen/>
        <w:t>9</w:t>
      </w:r>
      <w:r w:rsidRPr="00407DFF">
        <w:rPr>
          <w:rFonts w:eastAsiaTheme="minorEastAsia"/>
          <w:bCs/>
          <w:sz w:val="24"/>
          <w:szCs w:val="24"/>
        </w:rPr>
        <w:t>。</w:t>
      </w:r>
    </w:p>
    <w:p w14:paraId="6B68846F" w14:textId="2408886D" w:rsidR="00054437" w:rsidRPr="000549B1" w:rsidRDefault="00000000">
      <w:pPr>
        <w:pStyle w:val="aff8"/>
        <w:rPr>
          <w:color w:val="auto"/>
        </w:rPr>
      </w:pPr>
      <w:bookmarkStart w:id="222" w:name="_Ref214978365"/>
      <w:r w:rsidRPr="000549B1">
        <w:rPr>
          <w:color w:val="auto"/>
        </w:rPr>
        <w:t>表</w:t>
      </w:r>
      <w:r w:rsidR="00372953">
        <w:rPr>
          <w:color w:val="auto"/>
        </w:rPr>
        <w:fldChar w:fldCharType="begin"/>
      </w:r>
      <w:r w:rsidR="00372953">
        <w:rPr>
          <w:color w:val="auto"/>
        </w:rPr>
        <w:instrText xml:space="preserve"> STYLEREF 2 \s </w:instrText>
      </w:r>
      <w:r w:rsidR="00372953">
        <w:rPr>
          <w:color w:val="auto"/>
        </w:rPr>
        <w:fldChar w:fldCharType="separate"/>
      </w:r>
      <w:r w:rsidR="00372953">
        <w:rPr>
          <w:noProof/>
          <w:color w:val="auto"/>
        </w:rPr>
        <w:t>3.3</w:t>
      </w:r>
      <w:r w:rsidR="00372953">
        <w:rPr>
          <w:color w:val="auto"/>
        </w:rPr>
        <w:fldChar w:fldCharType="end"/>
      </w:r>
      <w:r w:rsidR="00372953">
        <w:rPr>
          <w:color w:val="auto"/>
        </w:rPr>
        <w:noBreakHyphen/>
      </w:r>
      <w:r w:rsidR="00372953">
        <w:rPr>
          <w:color w:val="auto"/>
        </w:rPr>
        <w:fldChar w:fldCharType="begin"/>
      </w:r>
      <w:r w:rsidR="00372953">
        <w:rPr>
          <w:color w:val="auto"/>
        </w:rPr>
        <w:instrText xml:space="preserve"> SEQ </w:instrText>
      </w:r>
      <w:r w:rsidR="00372953">
        <w:rPr>
          <w:color w:val="auto"/>
        </w:rPr>
        <w:instrText>表</w:instrText>
      </w:r>
      <w:r w:rsidR="00372953">
        <w:rPr>
          <w:color w:val="auto"/>
        </w:rPr>
        <w:instrText xml:space="preserve"> \* ARABIC \s 2 </w:instrText>
      </w:r>
      <w:r w:rsidR="00372953">
        <w:rPr>
          <w:color w:val="auto"/>
        </w:rPr>
        <w:fldChar w:fldCharType="separate"/>
      </w:r>
      <w:r w:rsidR="00372953">
        <w:rPr>
          <w:noProof/>
          <w:color w:val="auto"/>
        </w:rPr>
        <w:t>9</w:t>
      </w:r>
      <w:r w:rsidR="00372953">
        <w:rPr>
          <w:color w:val="auto"/>
        </w:rPr>
        <w:fldChar w:fldCharType="end"/>
      </w:r>
      <w:bookmarkEnd w:id="222"/>
      <w:r w:rsidRPr="000549B1">
        <w:rPr>
          <w:color w:val="auto"/>
        </w:rPr>
        <w:t>2023</w:t>
      </w:r>
      <w:r w:rsidRPr="000549B1">
        <w:rPr>
          <w:color w:val="auto"/>
        </w:rPr>
        <w:t>年沙珠玉河流域农村生活面源污染物计算</w:t>
      </w:r>
    </w:p>
    <w:tbl>
      <w:tblPr>
        <w:tblW w:w="4999" w:type="pct"/>
        <w:tblLook w:val="04A0" w:firstRow="1" w:lastRow="0" w:firstColumn="1" w:lastColumn="0" w:noHBand="0" w:noVBand="1"/>
      </w:tblPr>
      <w:tblGrid>
        <w:gridCol w:w="878"/>
        <w:gridCol w:w="2189"/>
        <w:gridCol w:w="1534"/>
        <w:gridCol w:w="2420"/>
        <w:gridCol w:w="683"/>
        <w:gridCol w:w="662"/>
        <w:gridCol w:w="662"/>
        <w:gridCol w:w="726"/>
        <w:gridCol w:w="1317"/>
        <w:gridCol w:w="717"/>
        <w:gridCol w:w="717"/>
        <w:gridCol w:w="717"/>
        <w:gridCol w:w="723"/>
      </w:tblGrid>
      <w:tr w:rsidR="000549B1" w:rsidRPr="000549B1" w14:paraId="0ECAD2A3" w14:textId="77777777">
        <w:trPr>
          <w:trHeight w:val="270"/>
        </w:trPr>
        <w:tc>
          <w:tcPr>
            <w:tcW w:w="1104" w:type="pct"/>
            <w:gridSpan w:val="2"/>
            <w:vMerge w:val="restart"/>
            <w:tcBorders>
              <w:top w:val="single" w:sz="4" w:space="0" w:color="000000"/>
              <w:left w:val="single" w:sz="4" w:space="0" w:color="000000"/>
              <w:bottom w:val="single" w:sz="4" w:space="0" w:color="000000"/>
              <w:right w:val="single" w:sz="4" w:space="0" w:color="000000"/>
            </w:tcBorders>
            <w:vAlign w:val="center"/>
          </w:tcPr>
          <w:p w14:paraId="23AD7A35" w14:textId="77777777" w:rsidR="00054437" w:rsidRPr="000549B1" w:rsidRDefault="00000000">
            <w:pPr>
              <w:widowControl/>
              <w:jc w:val="center"/>
              <w:textAlignment w:val="center"/>
              <w:rPr>
                <w:b/>
                <w:bCs/>
                <w:szCs w:val="21"/>
              </w:rPr>
            </w:pPr>
            <w:r w:rsidRPr="000549B1">
              <w:rPr>
                <w:b/>
                <w:bCs/>
                <w:kern w:val="0"/>
                <w:szCs w:val="21"/>
                <w:lang w:bidi="ar"/>
              </w:rPr>
              <w:t>行政区</w:t>
            </w:r>
          </w:p>
        </w:tc>
        <w:tc>
          <w:tcPr>
            <w:tcW w:w="552" w:type="pct"/>
            <w:vMerge w:val="restart"/>
            <w:tcBorders>
              <w:top w:val="single" w:sz="4" w:space="0" w:color="000000"/>
              <w:left w:val="single" w:sz="4" w:space="0" w:color="000000"/>
              <w:bottom w:val="single" w:sz="4" w:space="0" w:color="000000"/>
              <w:right w:val="single" w:sz="4" w:space="0" w:color="000000"/>
            </w:tcBorders>
            <w:vAlign w:val="center"/>
          </w:tcPr>
          <w:p w14:paraId="5135FBAD" w14:textId="77777777" w:rsidR="00054437" w:rsidRPr="000549B1" w:rsidRDefault="00000000">
            <w:pPr>
              <w:widowControl/>
              <w:jc w:val="center"/>
              <w:textAlignment w:val="center"/>
              <w:rPr>
                <w:b/>
                <w:bCs/>
                <w:szCs w:val="21"/>
              </w:rPr>
            </w:pPr>
            <w:r w:rsidRPr="000549B1">
              <w:rPr>
                <w:b/>
                <w:bCs/>
                <w:kern w:val="0"/>
                <w:szCs w:val="21"/>
                <w:lang w:bidi="ar"/>
              </w:rPr>
              <w:t>人口（万人）</w:t>
            </w:r>
          </w:p>
        </w:tc>
        <w:tc>
          <w:tcPr>
            <w:tcW w:w="1830" w:type="pct"/>
            <w:gridSpan w:val="5"/>
            <w:tcBorders>
              <w:top w:val="single" w:sz="4" w:space="0" w:color="000000"/>
              <w:left w:val="single" w:sz="4" w:space="0" w:color="000000"/>
              <w:bottom w:val="single" w:sz="4" w:space="0" w:color="000000"/>
              <w:right w:val="single" w:sz="4" w:space="0" w:color="000000"/>
            </w:tcBorders>
            <w:vAlign w:val="center"/>
          </w:tcPr>
          <w:p w14:paraId="1F04ED12" w14:textId="77777777" w:rsidR="00054437" w:rsidRPr="000549B1" w:rsidRDefault="00000000">
            <w:pPr>
              <w:widowControl/>
              <w:jc w:val="center"/>
              <w:textAlignment w:val="center"/>
              <w:rPr>
                <w:b/>
                <w:bCs/>
                <w:szCs w:val="21"/>
              </w:rPr>
            </w:pPr>
            <w:r w:rsidRPr="000549B1">
              <w:rPr>
                <w:b/>
                <w:bCs/>
                <w:kern w:val="0"/>
                <w:szCs w:val="21"/>
                <w:lang w:bidi="ar"/>
              </w:rPr>
              <w:t>生活污水入河量（</w:t>
            </w:r>
            <w:r w:rsidRPr="000549B1">
              <w:rPr>
                <w:b/>
                <w:bCs/>
                <w:kern w:val="0"/>
                <w:szCs w:val="21"/>
                <w:lang w:bidi="ar"/>
              </w:rPr>
              <w:t>t/a</w:t>
            </w:r>
            <w:r w:rsidRPr="000549B1">
              <w:rPr>
                <w:b/>
                <w:bCs/>
                <w:kern w:val="0"/>
                <w:szCs w:val="21"/>
                <w:lang w:bidi="ar"/>
              </w:rPr>
              <w:t>）</w:t>
            </w:r>
          </w:p>
        </w:tc>
        <w:tc>
          <w:tcPr>
            <w:tcW w:w="1512" w:type="pct"/>
            <w:gridSpan w:val="5"/>
            <w:tcBorders>
              <w:top w:val="single" w:sz="4" w:space="0" w:color="000000"/>
              <w:left w:val="single" w:sz="4" w:space="0" w:color="000000"/>
              <w:bottom w:val="single" w:sz="4" w:space="0" w:color="000000"/>
              <w:right w:val="single" w:sz="4" w:space="0" w:color="000000"/>
            </w:tcBorders>
            <w:vAlign w:val="center"/>
          </w:tcPr>
          <w:p w14:paraId="1B07A17C" w14:textId="77777777" w:rsidR="00054437" w:rsidRPr="000549B1" w:rsidRDefault="00000000">
            <w:pPr>
              <w:widowControl/>
              <w:jc w:val="center"/>
              <w:textAlignment w:val="center"/>
              <w:rPr>
                <w:b/>
                <w:bCs/>
                <w:szCs w:val="21"/>
              </w:rPr>
            </w:pPr>
            <w:r w:rsidRPr="000549B1">
              <w:rPr>
                <w:b/>
                <w:bCs/>
                <w:kern w:val="0"/>
                <w:szCs w:val="21"/>
                <w:lang w:bidi="ar"/>
              </w:rPr>
              <w:t>固体废弃物入河量（</w:t>
            </w:r>
            <w:r w:rsidRPr="000549B1">
              <w:rPr>
                <w:b/>
                <w:bCs/>
                <w:kern w:val="0"/>
                <w:szCs w:val="21"/>
                <w:lang w:bidi="ar"/>
              </w:rPr>
              <w:t>t/a</w:t>
            </w:r>
            <w:r w:rsidRPr="000549B1">
              <w:rPr>
                <w:b/>
                <w:bCs/>
                <w:kern w:val="0"/>
                <w:szCs w:val="21"/>
                <w:lang w:bidi="ar"/>
              </w:rPr>
              <w:t>）</w:t>
            </w:r>
          </w:p>
        </w:tc>
      </w:tr>
      <w:tr w:rsidR="000549B1" w:rsidRPr="000549B1" w14:paraId="4602256B" w14:textId="77777777">
        <w:trPr>
          <w:trHeight w:val="495"/>
        </w:trPr>
        <w:tc>
          <w:tcPr>
            <w:tcW w:w="1104" w:type="pct"/>
            <w:gridSpan w:val="2"/>
            <w:vMerge/>
            <w:tcBorders>
              <w:top w:val="single" w:sz="4" w:space="0" w:color="000000"/>
              <w:left w:val="single" w:sz="4" w:space="0" w:color="000000"/>
              <w:bottom w:val="single" w:sz="4" w:space="0" w:color="000000"/>
              <w:right w:val="single" w:sz="4" w:space="0" w:color="000000"/>
            </w:tcBorders>
            <w:vAlign w:val="center"/>
          </w:tcPr>
          <w:p w14:paraId="15FF80B9" w14:textId="77777777" w:rsidR="00054437" w:rsidRPr="000549B1" w:rsidRDefault="00054437">
            <w:pPr>
              <w:jc w:val="center"/>
              <w:rPr>
                <w:b/>
                <w:bCs/>
                <w:szCs w:val="21"/>
              </w:rPr>
            </w:pPr>
          </w:p>
        </w:tc>
        <w:tc>
          <w:tcPr>
            <w:tcW w:w="552" w:type="pct"/>
            <w:vMerge/>
            <w:tcBorders>
              <w:top w:val="single" w:sz="4" w:space="0" w:color="000000"/>
              <w:left w:val="single" w:sz="4" w:space="0" w:color="000000"/>
              <w:bottom w:val="single" w:sz="4" w:space="0" w:color="000000"/>
              <w:right w:val="single" w:sz="4" w:space="0" w:color="000000"/>
            </w:tcBorders>
            <w:vAlign w:val="center"/>
          </w:tcPr>
          <w:p w14:paraId="05F9F3F4" w14:textId="77777777" w:rsidR="00054437" w:rsidRPr="000549B1" w:rsidRDefault="00054437">
            <w:pPr>
              <w:jc w:val="center"/>
              <w:rPr>
                <w:b/>
                <w:bCs/>
                <w:szCs w:val="21"/>
              </w:rPr>
            </w:pPr>
          </w:p>
        </w:tc>
        <w:tc>
          <w:tcPr>
            <w:tcW w:w="870" w:type="pct"/>
            <w:tcBorders>
              <w:top w:val="single" w:sz="4" w:space="0" w:color="000000"/>
              <w:left w:val="single" w:sz="4" w:space="0" w:color="000000"/>
              <w:bottom w:val="single" w:sz="4" w:space="0" w:color="000000"/>
              <w:right w:val="single" w:sz="4" w:space="0" w:color="000000"/>
            </w:tcBorders>
            <w:vAlign w:val="center"/>
          </w:tcPr>
          <w:p w14:paraId="61109AB3" w14:textId="77777777" w:rsidR="00054437" w:rsidRPr="000549B1" w:rsidRDefault="00000000">
            <w:pPr>
              <w:widowControl/>
              <w:jc w:val="center"/>
              <w:textAlignment w:val="center"/>
              <w:rPr>
                <w:b/>
                <w:bCs/>
                <w:szCs w:val="21"/>
              </w:rPr>
            </w:pPr>
            <w:r w:rsidRPr="000549B1">
              <w:rPr>
                <w:b/>
                <w:bCs/>
                <w:kern w:val="0"/>
                <w:szCs w:val="21"/>
                <w:lang w:bidi="ar"/>
              </w:rPr>
              <w:t>生活污水量（万</w:t>
            </w:r>
            <w:r w:rsidRPr="000549B1">
              <w:rPr>
                <w:b/>
                <w:bCs/>
                <w:kern w:val="0"/>
                <w:szCs w:val="21"/>
                <w:lang w:bidi="ar"/>
              </w:rPr>
              <w:t>m</w:t>
            </w:r>
            <w:r w:rsidRPr="000549B1">
              <w:rPr>
                <w:b/>
                <w:bCs/>
                <w:kern w:val="0"/>
                <w:szCs w:val="21"/>
                <w:vertAlign w:val="superscript"/>
                <w:lang w:bidi="ar"/>
              </w:rPr>
              <w:t>3</w:t>
            </w:r>
            <w:r w:rsidRPr="000549B1">
              <w:rPr>
                <w:b/>
                <w:bCs/>
                <w:kern w:val="0"/>
                <w:szCs w:val="21"/>
                <w:lang w:bidi="ar"/>
              </w:rPr>
              <w:t>/a</w:t>
            </w:r>
            <w:r w:rsidRPr="000549B1">
              <w:rPr>
                <w:b/>
                <w:bCs/>
                <w:kern w:val="0"/>
                <w:szCs w:val="21"/>
                <w:lang w:bidi="ar"/>
              </w:rPr>
              <w:t>）</w:t>
            </w:r>
          </w:p>
        </w:tc>
        <w:tc>
          <w:tcPr>
            <w:tcW w:w="220" w:type="pct"/>
            <w:tcBorders>
              <w:top w:val="single" w:sz="4" w:space="0" w:color="000000"/>
              <w:left w:val="single" w:sz="4" w:space="0" w:color="000000"/>
              <w:bottom w:val="single" w:sz="4" w:space="0" w:color="000000"/>
              <w:right w:val="single" w:sz="4" w:space="0" w:color="000000"/>
            </w:tcBorders>
            <w:vAlign w:val="center"/>
          </w:tcPr>
          <w:p w14:paraId="550BB4AB" w14:textId="77777777" w:rsidR="00054437" w:rsidRPr="000549B1" w:rsidRDefault="00000000">
            <w:pPr>
              <w:widowControl/>
              <w:jc w:val="center"/>
              <w:textAlignment w:val="center"/>
              <w:rPr>
                <w:b/>
                <w:bCs/>
                <w:szCs w:val="21"/>
              </w:rPr>
            </w:pPr>
            <w:r w:rsidRPr="000549B1">
              <w:rPr>
                <w:b/>
                <w:bCs/>
                <w:kern w:val="0"/>
                <w:szCs w:val="21"/>
                <w:lang w:bidi="ar"/>
              </w:rPr>
              <w:t>COD</w:t>
            </w:r>
          </w:p>
        </w:tc>
        <w:tc>
          <w:tcPr>
            <w:tcW w:w="239" w:type="pct"/>
            <w:tcBorders>
              <w:top w:val="single" w:sz="4" w:space="0" w:color="000000"/>
              <w:left w:val="single" w:sz="4" w:space="0" w:color="000000"/>
              <w:bottom w:val="single" w:sz="4" w:space="0" w:color="000000"/>
              <w:right w:val="single" w:sz="4" w:space="0" w:color="000000"/>
            </w:tcBorders>
            <w:vAlign w:val="center"/>
          </w:tcPr>
          <w:p w14:paraId="3D1EF6B0" w14:textId="77777777" w:rsidR="00054437" w:rsidRPr="000549B1" w:rsidRDefault="00000000">
            <w:pPr>
              <w:widowControl/>
              <w:jc w:val="center"/>
              <w:textAlignment w:val="center"/>
              <w:rPr>
                <w:b/>
                <w:bCs/>
                <w:szCs w:val="21"/>
              </w:rPr>
            </w:pPr>
            <w:r w:rsidRPr="000549B1">
              <w:rPr>
                <w:b/>
                <w:bCs/>
                <w:kern w:val="0"/>
                <w:szCs w:val="21"/>
                <w:lang w:bidi="ar"/>
              </w:rPr>
              <w:t>氨氮</w:t>
            </w:r>
          </w:p>
        </w:tc>
        <w:tc>
          <w:tcPr>
            <w:tcW w:w="239" w:type="pct"/>
            <w:tcBorders>
              <w:top w:val="single" w:sz="4" w:space="0" w:color="000000"/>
              <w:left w:val="single" w:sz="4" w:space="0" w:color="000000"/>
              <w:bottom w:val="single" w:sz="4" w:space="0" w:color="000000"/>
              <w:right w:val="single" w:sz="4" w:space="0" w:color="000000"/>
            </w:tcBorders>
            <w:vAlign w:val="center"/>
          </w:tcPr>
          <w:p w14:paraId="67EA8D5C" w14:textId="77777777" w:rsidR="00054437" w:rsidRPr="000549B1" w:rsidRDefault="00000000">
            <w:pPr>
              <w:widowControl/>
              <w:jc w:val="center"/>
              <w:textAlignment w:val="center"/>
              <w:rPr>
                <w:b/>
                <w:bCs/>
                <w:szCs w:val="21"/>
              </w:rPr>
            </w:pPr>
            <w:r w:rsidRPr="000549B1">
              <w:rPr>
                <w:b/>
                <w:bCs/>
                <w:kern w:val="0"/>
                <w:szCs w:val="21"/>
                <w:lang w:bidi="ar"/>
              </w:rPr>
              <w:t>总氮</w:t>
            </w:r>
          </w:p>
        </w:tc>
        <w:tc>
          <w:tcPr>
            <w:tcW w:w="260" w:type="pct"/>
            <w:tcBorders>
              <w:top w:val="single" w:sz="4" w:space="0" w:color="000000"/>
              <w:left w:val="single" w:sz="4" w:space="0" w:color="000000"/>
              <w:bottom w:val="single" w:sz="4" w:space="0" w:color="000000"/>
              <w:right w:val="single" w:sz="4" w:space="0" w:color="000000"/>
            </w:tcBorders>
            <w:vAlign w:val="center"/>
          </w:tcPr>
          <w:p w14:paraId="2C3DF0F1" w14:textId="77777777" w:rsidR="00054437" w:rsidRPr="000549B1" w:rsidRDefault="00000000">
            <w:pPr>
              <w:widowControl/>
              <w:jc w:val="center"/>
              <w:textAlignment w:val="center"/>
              <w:rPr>
                <w:b/>
                <w:bCs/>
                <w:szCs w:val="21"/>
              </w:rPr>
            </w:pPr>
            <w:r w:rsidRPr="000549B1">
              <w:rPr>
                <w:b/>
                <w:bCs/>
                <w:kern w:val="0"/>
                <w:szCs w:val="21"/>
                <w:lang w:bidi="ar"/>
              </w:rPr>
              <w:t>总磷</w:t>
            </w:r>
          </w:p>
        </w:tc>
        <w:tc>
          <w:tcPr>
            <w:tcW w:w="474" w:type="pct"/>
            <w:tcBorders>
              <w:top w:val="single" w:sz="4" w:space="0" w:color="000000"/>
              <w:left w:val="single" w:sz="4" w:space="0" w:color="000000"/>
              <w:bottom w:val="single" w:sz="4" w:space="0" w:color="000000"/>
              <w:right w:val="single" w:sz="4" w:space="0" w:color="000000"/>
            </w:tcBorders>
            <w:vAlign w:val="center"/>
          </w:tcPr>
          <w:p w14:paraId="5F512451" w14:textId="77777777" w:rsidR="00054437" w:rsidRPr="000549B1" w:rsidRDefault="00000000">
            <w:pPr>
              <w:widowControl/>
              <w:jc w:val="center"/>
              <w:textAlignment w:val="center"/>
              <w:rPr>
                <w:b/>
                <w:bCs/>
                <w:szCs w:val="21"/>
              </w:rPr>
            </w:pPr>
            <w:r w:rsidRPr="000549B1">
              <w:rPr>
                <w:b/>
                <w:bCs/>
                <w:kern w:val="0"/>
                <w:szCs w:val="21"/>
                <w:lang w:bidi="ar"/>
              </w:rPr>
              <w:t>固体废弃物</w:t>
            </w:r>
          </w:p>
        </w:tc>
        <w:tc>
          <w:tcPr>
            <w:tcW w:w="259" w:type="pct"/>
            <w:tcBorders>
              <w:top w:val="single" w:sz="4" w:space="0" w:color="000000"/>
              <w:left w:val="single" w:sz="4" w:space="0" w:color="000000"/>
              <w:bottom w:val="single" w:sz="4" w:space="0" w:color="000000"/>
              <w:right w:val="single" w:sz="4" w:space="0" w:color="000000"/>
            </w:tcBorders>
            <w:vAlign w:val="center"/>
          </w:tcPr>
          <w:p w14:paraId="46EB1E4D" w14:textId="77777777" w:rsidR="00054437" w:rsidRPr="000549B1" w:rsidRDefault="00000000">
            <w:pPr>
              <w:widowControl/>
              <w:jc w:val="center"/>
              <w:textAlignment w:val="center"/>
              <w:rPr>
                <w:b/>
                <w:bCs/>
                <w:szCs w:val="21"/>
              </w:rPr>
            </w:pPr>
            <w:r w:rsidRPr="000549B1">
              <w:rPr>
                <w:b/>
                <w:bCs/>
                <w:kern w:val="0"/>
                <w:szCs w:val="21"/>
                <w:lang w:bidi="ar"/>
              </w:rPr>
              <w:t>COD</w:t>
            </w:r>
          </w:p>
        </w:tc>
        <w:tc>
          <w:tcPr>
            <w:tcW w:w="259" w:type="pct"/>
            <w:tcBorders>
              <w:top w:val="single" w:sz="4" w:space="0" w:color="000000"/>
              <w:left w:val="single" w:sz="4" w:space="0" w:color="000000"/>
              <w:bottom w:val="single" w:sz="4" w:space="0" w:color="000000"/>
              <w:right w:val="single" w:sz="4" w:space="0" w:color="000000"/>
            </w:tcBorders>
            <w:vAlign w:val="center"/>
          </w:tcPr>
          <w:p w14:paraId="44F658DF" w14:textId="77777777" w:rsidR="00054437" w:rsidRPr="000549B1" w:rsidRDefault="00000000">
            <w:pPr>
              <w:widowControl/>
              <w:jc w:val="center"/>
              <w:textAlignment w:val="center"/>
              <w:rPr>
                <w:b/>
                <w:bCs/>
                <w:szCs w:val="21"/>
              </w:rPr>
            </w:pPr>
            <w:r w:rsidRPr="000549B1">
              <w:rPr>
                <w:b/>
                <w:bCs/>
                <w:kern w:val="0"/>
                <w:szCs w:val="21"/>
                <w:lang w:bidi="ar"/>
              </w:rPr>
              <w:t>氨氮</w:t>
            </w:r>
          </w:p>
        </w:tc>
        <w:tc>
          <w:tcPr>
            <w:tcW w:w="259" w:type="pct"/>
            <w:tcBorders>
              <w:top w:val="single" w:sz="4" w:space="0" w:color="000000"/>
              <w:left w:val="single" w:sz="4" w:space="0" w:color="000000"/>
              <w:bottom w:val="single" w:sz="4" w:space="0" w:color="000000"/>
              <w:right w:val="single" w:sz="4" w:space="0" w:color="000000"/>
            </w:tcBorders>
            <w:vAlign w:val="center"/>
          </w:tcPr>
          <w:p w14:paraId="39BC483E" w14:textId="77777777" w:rsidR="00054437" w:rsidRPr="000549B1" w:rsidRDefault="00000000">
            <w:pPr>
              <w:widowControl/>
              <w:jc w:val="center"/>
              <w:textAlignment w:val="center"/>
              <w:rPr>
                <w:b/>
                <w:bCs/>
                <w:szCs w:val="21"/>
              </w:rPr>
            </w:pPr>
            <w:r w:rsidRPr="000549B1">
              <w:rPr>
                <w:b/>
                <w:bCs/>
                <w:kern w:val="0"/>
                <w:szCs w:val="21"/>
                <w:lang w:bidi="ar"/>
              </w:rPr>
              <w:t>总氮</w:t>
            </w:r>
          </w:p>
        </w:tc>
        <w:tc>
          <w:tcPr>
            <w:tcW w:w="259" w:type="pct"/>
            <w:tcBorders>
              <w:top w:val="single" w:sz="4" w:space="0" w:color="000000"/>
              <w:left w:val="single" w:sz="4" w:space="0" w:color="000000"/>
              <w:bottom w:val="single" w:sz="4" w:space="0" w:color="000000"/>
              <w:right w:val="single" w:sz="4" w:space="0" w:color="000000"/>
            </w:tcBorders>
            <w:vAlign w:val="center"/>
          </w:tcPr>
          <w:p w14:paraId="072C3537" w14:textId="77777777" w:rsidR="00054437" w:rsidRPr="000549B1" w:rsidRDefault="00000000">
            <w:pPr>
              <w:widowControl/>
              <w:jc w:val="center"/>
              <w:textAlignment w:val="center"/>
              <w:rPr>
                <w:b/>
                <w:bCs/>
                <w:szCs w:val="21"/>
              </w:rPr>
            </w:pPr>
            <w:r w:rsidRPr="000549B1">
              <w:rPr>
                <w:b/>
                <w:bCs/>
                <w:kern w:val="0"/>
                <w:szCs w:val="21"/>
                <w:lang w:bidi="ar"/>
              </w:rPr>
              <w:t>总磷</w:t>
            </w:r>
          </w:p>
        </w:tc>
      </w:tr>
      <w:tr w:rsidR="000549B1" w:rsidRPr="000549B1" w14:paraId="4B77712E" w14:textId="77777777">
        <w:trPr>
          <w:trHeight w:val="270"/>
        </w:trPr>
        <w:tc>
          <w:tcPr>
            <w:tcW w:w="317" w:type="pct"/>
            <w:vMerge w:val="restart"/>
            <w:tcBorders>
              <w:top w:val="single" w:sz="4" w:space="0" w:color="000000"/>
              <w:left w:val="single" w:sz="4" w:space="0" w:color="000000"/>
              <w:bottom w:val="single" w:sz="4" w:space="0" w:color="000000"/>
              <w:right w:val="single" w:sz="4" w:space="0" w:color="000000"/>
            </w:tcBorders>
            <w:noWrap/>
            <w:vAlign w:val="center"/>
          </w:tcPr>
          <w:p w14:paraId="5B625AAD" w14:textId="77777777" w:rsidR="00054437" w:rsidRPr="000549B1" w:rsidRDefault="00000000">
            <w:pPr>
              <w:widowControl/>
              <w:jc w:val="center"/>
              <w:textAlignment w:val="center"/>
              <w:rPr>
                <w:szCs w:val="21"/>
              </w:rPr>
            </w:pPr>
            <w:r w:rsidRPr="000549B1">
              <w:rPr>
                <w:kern w:val="0"/>
                <w:szCs w:val="21"/>
                <w:lang w:bidi="ar"/>
              </w:rPr>
              <w:t>共和县</w:t>
            </w:r>
          </w:p>
        </w:tc>
        <w:tc>
          <w:tcPr>
            <w:tcW w:w="786" w:type="pct"/>
            <w:tcBorders>
              <w:top w:val="single" w:sz="4" w:space="0" w:color="000000"/>
              <w:left w:val="single" w:sz="4" w:space="0" w:color="000000"/>
              <w:bottom w:val="single" w:sz="4" w:space="0" w:color="000000"/>
              <w:right w:val="single" w:sz="4" w:space="0" w:color="000000"/>
            </w:tcBorders>
            <w:vAlign w:val="center"/>
          </w:tcPr>
          <w:p w14:paraId="673D92C2" w14:textId="77777777" w:rsidR="00054437" w:rsidRPr="000549B1" w:rsidRDefault="00000000">
            <w:pPr>
              <w:widowControl/>
              <w:jc w:val="center"/>
              <w:textAlignment w:val="center"/>
              <w:rPr>
                <w:szCs w:val="21"/>
              </w:rPr>
            </w:pPr>
            <w:r w:rsidRPr="000549B1">
              <w:rPr>
                <w:kern w:val="0"/>
                <w:szCs w:val="21"/>
                <w:lang w:bidi="ar"/>
              </w:rPr>
              <w:t>共和县</w:t>
            </w:r>
          </w:p>
        </w:tc>
        <w:tc>
          <w:tcPr>
            <w:tcW w:w="552" w:type="pct"/>
            <w:tcBorders>
              <w:top w:val="single" w:sz="4" w:space="0" w:color="000000"/>
              <w:left w:val="single" w:sz="4" w:space="0" w:color="000000"/>
              <w:bottom w:val="single" w:sz="4" w:space="0" w:color="000000"/>
              <w:right w:val="single" w:sz="4" w:space="0" w:color="000000"/>
            </w:tcBorders>
            <w:vAlign w:val="center"/>
          </w:tcPr>
          <w:p w14:paraId="40341C9B" w14:textId="77777777" w:rsidR="00054437" w:rsidRPr="000549B1" w:rsidRDefault="00000000">
            <w:pPr>
              <w:widowControl/>
              <w:jc w:val="center"/>
              <w:textAlignment w:val="center"/>
              <w:rPr>
                <w:szCs w:val="21"/>
              </w:rPr>
            </w:pPr>
            <w:r w:rsidRPr="000549B1">
              <w:rPr>
                <w:kern w:val="0"/>
                <w:szCs w:val="21"/>
                <w:lang w:bidi="ar"/>
              </w:rPr>
              <w:t>6.1</w:t>
            </w:r>
          </w:p>
        </w:tc>
        <w:tc>
          <w:tcPr>
            <w:tcW w:w="870" w:type="pct"/>
            <w:tcBorders>
              <w:top w:val="single" w:sz="4" w:space="0" w:color="000000"/>
              <w:left w:val="single" w:sz="4" w:space="0" w:color="000000"/>
              <w:bottom w:val="single" w:sz="4" w:space="0" w:color="000000"/>
              <w:right w:val="single" w:sz="4" w:space="0" w:color="000000"/>
            </w:tcBorders>
            <w:vAlign w:val="center"/>
          </w:tcPr>
          <w:p w14:paraId="2A3A3104" w14:textId="77777777" w:rsidR="00054437" w:rsidRPr="000549B1" w:rsidRDefault="00000000">
            <w:pPr>
              <w:widowControl/>
              <w:jc w:val="center"/>
              <w:textAlignment w:val="center"/>
              <w:rPr>
                <w:szCs w:val="21"/>
              </w:rPr>
            </w:pPr>
            <w:r w:rsidRPr="000549B1">
              <w:rPr>
                <w:kern w:val="0"/>
                <w:szCs w:val="21"/>
                <w:lang w:bidi="ar"/>
              </w:rPr>
              <w:t>64.79</w:t>
            </w:r>
          </w:p>
        </w:tc>
        <w:tc>
          <w:tcPr>
            <w:tcW w:w="220" w:type="pct"/>
            <w:tcBorders>
              <w:top w:val="single" w:sz="4" w:space="0" w:color="000000"/>
              <w:left w:val="single" w:sz="4" w:space="0" w:color="000000"/>
              <w:bottom w:val="single" w:sz="4" w:space="0" w:color="000000"/>
              <w:right w:val="single" w:sz="4" w:space="0" w:color="000000"/>
            </w:tcBorders>
            <w:vAlign w:val="center"/>
          </w:tcPr>
          <w:p w14:paraId="15771D9A" w14:textId="77777777" w:rsidR="00054437" w:rsidRPr="000549B1" w:rsidRDefault="00000000">
            <w:pPr>
              <w:widowControl/>
              <w:jc w:val="center"/>
              <w:textAlignment w:val="center"/>
              <w:rPr>
                <w:szCs w:val="21"/>
              </w:rPr>
            </w:pPr>
            <w:r w:rsidRPr="000549B1">
              <w:rPr>
                <w:kern w:val="0"/>
                <w:szCs w:val="21"/>
                <w:lang w:bidi="ar"/>
              </w:rPr>
              <w:t>1.94</w:t>
            </w:r>
          </w:p>
        </w:tc>
        <w:tc>
          <w:tcPr>
            <w:tcW w:w="239" w:type="pct"/>
            <w:tcBorders>
              <w:top w:val="single" w:sz="4" w:space="0" w:color="000000"/>
              <w:left w:val="single" w:sz="4" w:space="0" w:color="000000"/>
              <w:bottom w:val="single" w:sz="4" w:space="0" w:color="000000"/>
              <w:right w:val="single" w:sz="4" w:space="0" w:color="000000"/>
            </w:tcBorders>
            <w:vAlign w:val="center"/>
          </w:tcPr>
          <w:p w14:paraId="15B76ACC" w14:textId="77777777" w:rsidR="00054437" w:rsidRPr="000549B1" w:rsidRDefault="00000000">
            <w:pPr>
              <w:widowControl/>
              <w:jc w:val="center"/>
              <w:textAlignment w:val="center"/>
              <w:rPr>
                <w:szCs w:val="21"/>
              </w:rPr>
            </w:pPr>
            <w:r w:rsidRPr="000549B1">
              <w:rPr>
                <w:kern w:val="0"/>
                <w:szCs w:val="21"/>
                <w:lang w:bidi="ar"/>
              </w:rPr>
              <w:t>0.1</w:t>
            </w:r>
          </w:p>
        </w:tc>
        <w:tc>
          <w:tcPr>
            <w:tcW w:w="239" w:type="pct"/>
            <w:tcBorders>
              <w:top w:val="single" w:sz="4" w:space="0" w:color="000000"/>
              <w:left w:val="single" w:sz="4" w:space="0" w:color="000000"/>
              <w:bottom w:val="single" w:sz="4" w:space="0" w:color="000000"/>
              <w:right w:val="single" w:sz="4" w:space="0" w:color="000000"/>
            </w:tcBorders>
            <w:vAlign w:val="center"/>
          </w:tcPr>
          <w:p w14:paraId="3888E362" w14:textId="77777777" w:rsidR="00054437" w:rsidRPr="000549B1" w:rsidRDefault="00000000">
            <w:pPr>
              <w:widowControl/>
              <w:jc w:val="center"/>
              <w:textAlignment w:val="center"/>
              <w:rPr>
                <w:szCs w:val="21"/>
              </w:rPr>
            </w:pPr>
            <w:r w:rsidRPr="000549B1">
              <w:rPr>
                <w:kern w:val="0"/>
                <w:szCs w:val="21"/>
                <w:lang w:bidi="ar"/>
              </w:rPr>
              <w:t>0.65</w:t>
            </w:r>
          </w:p>
        </w:tc>
        <w:tc>
          <w:tcPr>
            <w:tcW w:w="260" w:type="pct"/>
            <w:tcBorders>
              <w:top w:val="single" w:sz="4" w:space="0" w:color="000000"/>
              <w:left w:val="single" w:sz="4" w:space="0" w:color="000000"/>
              <w:bottom w:val="single" w:sz="4" w:space="0" w:color="000000"/>
              <w:right w:val="single" w:sz="4" w:space="0" w:color="000000"/>
            </w:tcBorders>
            <w:vAlign w:val="center"/>
          </w:tcPr>
          <w:p w14:paraId="7688072E" w14:textId="77777777" w:rsidR="00054437" w:rsidRPr="000549B1" w:rsidRDefault="00000000">
            <w:pPr>
              <w:widowControl/>
              <w:jc w:val="center"/>
              <w:textAlignment w:val="center"/>
              <w:rPr>
                <w:szCs w:val="21"/>
              </w:rPr>
            </w:pPr>
            <w:r w:rsidRPr="000549B1">
              <w:rPr>
                <w:kern w:val="0"/>
                <w:szCs w:val="21"/>
                <w:lang w:bidi="ar"/>
              </w:rPr>
              <w:t>0.04</w:t>
            </w:r>
          </w:p>
        </w:tc>
        <w:tc>
          <w:tcPr>
            <w:tcW w:w="474" w:type="pct"/>
            <w:tcBorders>
              <w:top w:val="single" w:sz="4" w:space="0" w:color="000000"/>
              <w:left w:val="single" w:sz="4" w:space="0" w:color="000000"/>
              <w:bottom w:val="single" w:sz="4" w:space="0" w:color="000000"/>
              <w:right w:val="single" w:sz="4" w:space="0" w:color="000000"/>
            </w:tcBorders>
            <w:vAlign w:val="center"/>
          </w:tcPr>
          <w:p w14:paraId="5B887515" w14:textId="77777777" w:rsidR="00054437" w:rsidRPr="000549B1" w:rsidRDefault="00000000">
            <w:pPr>
              <w:widowControl/>
              <w:jc w:val="center"/>
              <w:textAlignment w:val="center"/>
              <w:rPr>
                <w:szCs w:val="21"/>
              </w:rPr>
            </w:pPr>
            <w:r w:rsidRPr="000549B1">
              <w:rPr>
                <w:kern w:val="0"/>
                <w:szCs w:val="21"/>
                <w:lang w:bidi="ar"/>
              </w:rPr>
              <w:t>55.66</w:t>
            </w:r>
          </w:p>
        </w:tc>
        <w:tc>
          <w:tcPr>
            <w:tcW w:w="259" w:type="pct"/>
            <w:tcBorders>
              <w:top w:val="single" w:sz="4" w:space="0" w:color="000000"/>
              <w:left w:val="single" w:sz="4" w:space="0" w:color="000000"/>
              <w:bottom w:val="single" w:sz="4" w:space="0" w:color="000000"/>
              <w:right w:val="single" w:sz="4" w:space="0" w:color="000000"/>
            </w:tcBorders>
            <w:vAlign w:val="center"/>
          </w:tcPr>
          <w:p w14:paraId="1D008CC2" w14:textId="77777777" w:rsidR="00054437" w:rsidRPr="000549B1" w:rsidRDefault="00000000">
            <w:pPr>
              <w:widowControl/>
              <w:jc w:val="center"/>
              <w:textAlignment w:val="center"/>
              <w:rPr>
                <w:szCs w:val="21"/>
              </w:rPr>
            </w:pPr>
            <w:r w:rsidRPr="000549B1">
              <w:rPr>
                <w:kern w:val="0"/>
                <w:szCs w:val="21"/>
                <w:lang w:bidi="ar"/>
              </w:rPr>
              <w:t>0.14</w:t>
            </w:r>
          </w:p>
        </w:tc>
        <w:tc>
          <w:tcPr>
            <w:tcW w:w="259" w:type="pct"/>
            <w:tcBorders>
              <w:top w:val="single" w:sz="4" w:space="0" w:color="000000"/>
              <w:left w:val="single" w:sz="4" w:space="0" w:color="000000"/>
              <w:bottom w:val="single" w:sz="4" w:space="0" w:color="000000"/>
              <w:right w:val="single" w:sz="4" w:space="0" w:color="000000"/>
            </w:tcBorders>
            <w:vAlign w:val="center"/>
          </w:tcPr>
          <w:p w14:paraId="3924B80F" w14:textId="77777777" w:rsidR="00054437" w:rsidRPr="000549B1" w:rsidRDefault="00000000">
            <w:pPr>
              <w:widowControl/>
              <w:jc w:val="center"/>
              <w:textAlignment w:val="center"/>
              <w:rPr>
                <w:szCs w:val="21"/>
              </w:rPr>
            </w:pPr>
            <w:r w:rsidRPr="000549B1">
              <w:rPr>
                <w:kern w:val="0"/>
                <w:szCs w:val="21"/>
                <w:lang w:bidi="ar"/>
              </w:rPr>
              <w:t>0.01</w:t>
            </w:r>
          </w:p>
        </w:tc>
        <w:tc>
          <w:tcPr>
            <w:tcW w:w="259" w:type="pct"/>
            <w:tcBorders>
              <w:top w:val="single" w:sz="4" w:space="0" w:color="000000"/>
              <w:left w:val="single" w:sz="4" w:space="0" w:color="000000"/>
              <w:bottom w:val="single" w:sz="4" w:space="0" w:color="000000"/>
              <w:right w:val="single" w:sz="4" w:space="0" w:color="000000"/>
            </w:tcBorders>
            <w:vAlign w:val="center"/>
          </w:tcPr>
          <w:p w14:paraId="50B5D929" w14:textId="77777777" w:rsidR="00054437" w:rsidRPr="000549B1" w:rsidRDefault="00000000">
            <w:pPr>
              <w:widowControl/>
              <w:jc w:val="center"/>
              <w:textAlignment w:val="center"/>
              <w:rPr>
                <w:szCs w:val="21"/>
              </w:rPr>
            </w:pPr>
            <w:r w:rsidRPr="000549B1">
              <w:rPr>
                <w:kern w:val="0"/>
                <w:szCs w:val="21"/>
                <w:lang w:bidi="ar"/>
              </w:rPr>
              <w:t>0.12</w:t>
            </w:r>
          </w:p>
        </w:tc>
        <w:tc>
          <w:tcPr>
            <w:tcW w:w="259" w:type="pct"/>
            <w:tcBorders>
              <w:top w:val="single" w:sz="4" w:space="0" w:color="000000"/>
              <w:left w:val="single" w:sz="4" w:space="0" w:color="000000"/>
              <w:bottom w:val="single" w:sz="4" w:space="0" w:color="000000"/>
              <w:right w:val="single" w:sz="4" w:space="0" w:color="000000"/>
            </w:tcBorders>
            <w:vAlign w:val="center"/>
          </w:tcPr>
          <w:p w14:paraId="6B58DF32" w14:textId="77777777" w:rsidR="00054437" w:rsidRPr="000549B1" w:rsidRDefault="00000000">
            <w:pPr>
              <w:widowControl/>
              <w:jc w:val="center"/>
              <w:textAlignment w:val="center"/>
              <w:rPr>
                <w:szCs w:val="21"/>
              </w:rPr>
            </w:pPr>
            <w:r w:rsidRPr="000549B1">
              <w:rPr>
                <w:kern w:val="0"/>
                <w:szCs w:val="21"/>
                <w:lang w:bidi="ar"/>
              </w:rPr>
              <w:t>0.01</w:t>
            </w:r>
          </w:p>
        </w:tc>
      </w:tr>
      <w:tr w:rsidR="000549B1" w:rsidRPr="000549B1" w14:paraId="1730F305" w14:textId="77777777">
        <w:trPr>
          <w:trHeight w:val="480"/>
        </w:trPr>
        <w:tc>
          <w:tcPr>
            <w:tcW w:w="317" w:type="pct"/>
            <w:vMerge/>
            <w:tcBorders>
              <w:top w:val="single" w:sz="4" w:space="0" w:color="000000"/>
              <w:left w:val="single" w:sz="4" w:space="0" w:color="000000"/>
              <w:bottom w:val="single" w:sz="4" w:space="0" w:color="000000"/>
              <w:right w:val="single" w:sz="4" w:space="0" w:color="000000"/>
            </w:tcBorders>
            <w:noWrap/>
            <w:vAlign w:val="center"/>
          </w:tcPr>
          <w:p w14:paraId="403DE0D4" w14:textId="77777777" w:rsidR="00054437" w:rsidRPr="000549B1" w:rsidRDefault="00054437">
            <w:pPr>
              <w:jc w:val="center"/>
              <w:rPr>
                <w:szCs w:val="21"/>
              </w:rPr>
            </w:pPr>
          </w:p>
        </w:tc>
        <w:tc>
          <w:tcPr>
            <w:tcW w:w="786" w:type="pct"/>
            <w:tcBorders>
              <w:top w:val="single" w:sz="4" w:space="0" w:color="000000"/>
              <w:left w:val="single" w:sz="4" w:space="0" w:color="000000"/>
              <w:bottom w:val="single" w:sz="4" w:space="0" w:color="000000"/>
              <w:right w:val="single" w:sz="4" w:space="0" w:color="000000"/>
            </w:tcBorders>
            <w:vAlign w:val="center"/>
          </w:tcPr>
          <w:p w14:paraId="20E70D2B" w14:textId="77777777" w:rsidR="00054437" w:rsidRPr="000549B1" w:rsidRDefault="00000000">
            <w:pPr>
              <w:widowControl/>
              <w:jc w:val="center"/>
              <w:textAlignment w:val="center"/>
              <w:rPr>
                <w:szCs w:val="21"/>
              </w:rPr>
            </w:pPr>
            <w:r w:rsidRPr="000549B1">
              <w:rPr>
                <w:kern w:val="0"/>
                <w:szCs w:val="21"/>
                <w:lang w:bidi="ar"/>
              </w:rPr>
              <w:t>其中：沙珠玉河流域</w:t>
            </w:r>
          </w:p>
        </w:tc>
        <w:tc>
          <w:tcPr>
            <w:tcW w:w="552" w:type="pct"/>
            <w:tcBorders>
              <w:top w:val="single" w:sz="4" w:space="0" w:color="000000"/>
              <w:left w:val="single" w:sz="4" w:space="0" w:color="000000"/>
              <w:bottom w:val="single" w:sz="4" w:space="0" w:color="000000"/>
              <w:right w:val="single" w:sz="4" w:space="0" w:color="000000"/>
            </w:tcBorders>
            <w:vAlign w:val="center"/>
          </w:tcPr>
          <w:p w14:paraId="5AF0F087" w14:textId="77777777" w:rsidR="00054437" w:rsidRPr="000549B1" w:rsidRDefault="00000000">
            <w:pPr>
              <w:widowControl/>
              <w:jc w:val="center"/>
              <w:textAlignment w:val="center"/>
              <w:rPr>
                <w:szCs w:val="21"/>
              </w:rPr>
            </w:pPr>
            <w:r w:rsidRPr="000549B1">
              <w:rPr>
                <w:kern w:val="0"/>
                <w:szCs w:val="21"/>
                <w:lang w:bidi="ar"/>
              </w:rPr>
              <w:t>2.14</w:t>
            </w:r>
          </w:p>
        </w:tc>
        <w:tc>
          <w:tcPr>
            <w:tcW w:w="870" w:type="pct"/>
            <w:tcBorders>
              <w:top w:val="single" w:sz="4" w:space="0" w:color="000000"/>
              <w:left w:val="single" w:sz="4" w:space="0" w:color="000000"/>
              <w:bottom w:val="single" w:sz="4" w:space="0" w:color="000000"/>
              <w:right w:val="single" w:sz="4" w:space="0" w:color="000000"/>
            </w:tcBorders>
            <w:vAlign w:val="center"/>
          </w:tcPr>
          <w:p w14:paraId="684856F0" w14:textId="77777777" w:rsidR="00054437" w:rsidRPr="000549B1" w:rsidRDefault="00000000">
            <w:pPr>
              <w:widowControl/>
              <w:jc w:val="center"/>
              <w:textAlignment w:val="center"/>
              <w:rPr>
                <w:szCs w:val="21"/>
              </w:rPr>
            </w:pPr>
            <w:r w:rsidRPr="000549B1">
              <w:rPr>
                <w:kern w:val="0"/>
                <w:szCs w:val="21"/>
                <w:lang w:bidi="ar"/>
              </w:rPr>
              <w:t>22.68</w:t>
            </w:r>
          </w:p>
        </w:tc>
        <w:tc>
          <w:tcPr>
            <w:tcW w:w="220" w:type="pct"/>
            <w:tcBorders>
              <w:top w:val="single" w:sz="4" w:space="0" w:color="000000"/>
              <w:left w:val="single" w:sz="4" w:space="0" w:color="000000"/>
              <w:bottom w:val="single" w:sz="4" w:space="0" w:color="000000"/>
              <w:right w:val="single" w:sz="4" w:space="0" w:color="000000"/>
            </w:tcBorders>
            <w:vAlign w:val="center"/>
          </w:tcPr>
          <w:p w14:paraId="3A3C249B" w14:textId="77777777" w:rsidR="00054437" w:rsidRPr="000549B1" w:rsidRDefault="00000000">
            <w:pPr>
              <w:widowControl/>
              <w:jc w:val="center"/>
              <w:textAlignment w:val="center"/>
              <w:rPr>
                <w:szCs w:val="21"/>
              </w:rPr>
            </w:pPr>
            <w:r w:rsidRPr="000549B1">
              <w:rPr>
                <w:kern w:val="0"/>
                <w:szCs w:val="21"/>
                <w:lang w:bidi="ar"/>
              </w:rPr>
              <w:t>0.68</w:t>
            </w:r>
          </w:p>
        </w:tc>
        <w:tc>
          <w:tcPr>
            <w:tcW w:w="239" w:type="pct"/>
            <w:tcBorders>
              <w:top w:val="single" w:sz="4" w:space="0" w:color="000000"/>
              <w:left w:val="single" w:sz="4" w:space="0" w:color="000000"/>
              <w:bottom w:val="single" w:sz="4" w:space="0" w:color="000000"/>
              <w:right w:val="single" w:sz="4" w:space="0" w:color="000000"/>
            </w:tcBorders>
            <w:vAlign w:val="center"/>
          </w:tcPr>
          <w:p w14:paraId="30552BF8" w14:textId="77777777" w:rsidR="00054437" w:rsidRPr="000549B1" w:rsidRDefault="00000000">
            <w:pPr>
              <w:widowControl/>
              <w:jc w:val="center"/>
              <w:textAlignment w:val="center"/>
              <w:rPr>
                <w:szCs w:val="21"/>
              </w:rPr>
            </w:pPr>
            <w:r w:rsidRPr="000549B1">
              <w:rPr>
                <w:kern w:val="0"/>
                <w:szCs w:val="21"/>
                <w:lang w:bidi="ar"/>
              </w:rPr>
              <w:t>0.04</w:t>
            </w:r>
          </w:p>
        </w:tc>
        <w:tc>
          <w:tcPr>
            <w:tcW w:w="239" w:type="pct"/>
            <w:tcBorders>
              <w:top w:val="single" w:sz="4" w:space="0" w:color="000000"/>
              <w:left w:val="single" w:sz="4" w:space="0" w:color="000000"/>
              <w:bottom w:val="single" w:sz="4" w:space="0" w:color="000000"/>
              <w:right w:val="single" w:sz="4" w:space="0" w:color="000000"/>
            </w:tcBorders>
            <w:vAlign w:val="center"/>
          </w:tcPr>
          <w:p w14:paraId="4E84A4E1" w14:textId="77777777" w:rsidR="00054437" w:rsidRPr="000549B1" w:rsidRDefault="00000000">
            <w:pPr>
              <w:widowControl/>
              <w:jc w:val="center"/>
              <w:textAlignment w:val="center"/>
              <w:rPr>
                <w:szCs w:val="21"/>
              </w:rPr>
            </w:pPr>
            <w:r w:rsidRPr="000549B1">
              <w:rPr>
                <w:kern w:val="0"/>
                <w:szCs w:val="21"/>
                <w:lang w:bidi="ar"/>
              </w:rPr>
              <w:t>0.23</w:t>
            </w:r>
          </w:p>
        </w:tc>
        <w:tc>
          <w:tcPr>
            <w:tcW w:w="260" w:type="pct"/>
            <w:tcBorders>
              <w:top w:val="single" w:sz="4" w:space="0" w:color="000000"/>
              <w:left w:val="single" w:sz="4" w:space="0" w:color="000000"/>
              <w:bottom w:val="single" w:sz="4" w:space="0" w:color="000000"/>
              <w:right w:val="single" w:sz="4" w:space="0" w:color="000000"/>
            </w:tcBorders>
            <w:vAlign w:val="center"/>
          </w:tcPr>
          <w:p w14:paraId="51B63922" w14:textId="77777777" w:rsidR="00054437" w:rsidRPr="000549B1" w:rsidRDefault="00000000">
            <w:pPr>
              <w:widowControl/>
              <w:jc w:val="center"/>
              <w:textAlignment w:val="center"/>
              <w:rPr>
                <w:szCs w:val="21"/>
              </w:rPr>
            </w:pPr>
            <w:r w:rsidRPr="000549B1">
              <w:rPr>
                <w:kern w:val="0"/>
                <w:szCs w:val="21"/>
                <w:lang w:bidi="ar"/>
              </w:rPr>
              <w:t>0.014</w:t>
            </w:r>
          </w:p>
        </w:tc>
        <w:tc>
          <w:tcPr>
            <w:tcW w:w="474" w:type="pct"/>
            <w:tcBorders>
              <w:top w:val="single" w:sz="4" w:space="0" w:color="000000"/>
              <w:left w:val="single" w:sz="4" w:space="0" w:color="000000"/>
              <w:bottom w:val="single" w:sz="4" w:space="0" w:color="000000"/>
              <w:right w:val="single" w:sz="4" w:space="0" w:color="000000"/>
            </w:tcBorders>
            <w:vAlign w:val="center"/>
          </w:tcPr>
          <w:p w14:paraId="56BAAEAF" w14:textId="77777777" w:rsidR="00054437" w:rsidRPr="000549B1" w:rsidRDefault="00000000">
            <w:pPr>
              <w:widowControl/>
              <w:jc w:val="center"/>
              <w:textAlignment w:val="center"/>
              <w:rPr>
                <w:szCs w:val="21"/>
              </w:rPr>
            </w:pPr>
            <w:r w:rsidRPr="000549B1">
              <w:rPr>
                <w:kern w:val="0"/>
                <w:szCs w:val="21"/>
                <w:lang w:bidi="ar"/>
              </w:rPr>
              <w:t>19.48</w:t>
            </w:r>
          </w:p>
        </w:tc>
        <w:tc>
          <w:tcPr>
            <w:tcW w:w="259" w:type="pct"/>
            <w:tcBorders>
              <w:top w:val="single" w:sz="4" w:space="0" w:color="000000"/>
              <w:left w:val="single" w:sz="4" w:space="0" w:color="000000"/>
              <w:bottom w:val="single" w:sz="4" w:space="0" w:color="000000"/>
              <w:right w:val="single" w:sz="4" w:space="0" w:color="000000"/>
            </w:tcBorders>
            <w:vAlign w:val="center"/>
          </w:tcPr>
          <w:p w14:paraId="52CC478A" w14:textId="77777777" w:rsidR="00054437" w:rsidRPr="000549B1" w:rsidRDefault="00000000">
            <w:pPr>
              <w:widowControl/>
              <w:jc w:val="center"/>
              <w:textAlignment w:val="center"/>
              <w:rPr>
                <w:szCs w:val="21"/>
              </w:rPr>
            </w:pPr>
            <w:r w:rsidRPr="000549B1">
              <w:rPr>
                <w:kern w:val="0"/>
                <w:szCs w:val="21"/>
                <w:lang w:bidi="ar"/>
              </w:rPr>
              <w:t>0.049</w:t>
            </w:r>
          </w:p>
        </w:tc>
        <w:tc>
          <w:tcPr>
            <w:tcW w:w="259" w:type="pct"/>
            <w:tcBorders>
              <w:top w:val="single" w:sz="4" w:space="0" w:color="000000"/>
              <w:left w:val="single" w:sz="4" w:space="0" w:color="000000"/>
              <w:bottom w:val="single" w:sz="4" w:space="0" w:color="000000"/>
              <w:right w:val="single" w:sz="4" w:space="0" w:color="000000"/>
            </w:tcBorders>
            <w:vAlign w:val="center"/>
          </w:tcPr>
          <w:p w14:paraId="01E15C6B" w14:textId="77777777" w:rsidR="00054437" w:rsidRPr="000549B1" w:rsidRDefault="00000000">
            <w:pPr>
              <w:widowControl/>
              <w:jc w:val="center"/>
              <w:textAlignment w:val="center"/>
              <w:rPr>
                <w:szCs w:val="21"/>
              </w:rPr>
            </w:pPr>
            <w:r w:rsidRPr="000549B1">
              <w:rPr>
                <w:kern w:val="0"/>
                <w:szCs w:val="21"/>
                <w:lang w:bidi="ar"/>
              </w:rPr>
              <w:t>0.004</w:t>
            </w:r>
          </w:p>
        </w:tc>
        <w:tc>
          <w:tcPr>
            <w:tcW w:w="259" w:type="pct"/>
            <w:tcBorders>
              <w:top w:val="single" w:sz="4" w:space="0" w:color="000000"/>
              <w:left w:val="single" w:sz="4" w:space="0" w:color="000000"/>
              <w:bottom w:val="single" w:sz="4" w:space="0" w:color="000000"/>
              <w:right w:val="single" w:sz="4" w:space="0" w:color="000000"/>
            </w:tcBorders>
            <w:vAlign w:val="center"/>
          </w:tcPr>
          <w:p w14:paraId="3DA31BD6" w14:textId="77777777" w:rsidR="00054437" w:rsidRPr="000549B1" w:rsidRDefault="00000000">
            <w:pPr>
              <w:widowControl/>
              <w:jc w:val="center"/>
              <w:textAlignment w:val="center"/>
              <w:rPr>
                <w:szCs w:val="21"/>
              </w:rPr>
            </w:pPr>
            <w:r w:rsidRPr="000549B1">
              <w:rPr>
                <w:kern w:val="0"/>
                <w:szCs w:val="21"/>
                <w:lang w:bidi="ar"/>
              </w:rPr>
              <w:t>0.042</w:t>
            </w:r>
          </w:p>
        </w:tc>
        <w:tc>
          <w:tcPr>
            <w:tcW w:w="259" w:type="pct"/>
            <w:tcBorders>
              <w:top w:val="single" w:sz="4" w:space="0" w:color="000000"/>
              <w:left w:val="single" w:sz="4" w:space="0" w:color="000000"/>
              <w:bottom w:val="single" w:sz="4" w:space="0" w:color="000000"/>
              <w:right w:val="single" w:sz="4" w:space="0" w:color="000000"/>
            </w:tcBorders>
            <w:vAlign w:val="center"/>
          </w:tcPr>
          <w:p w14:paraId="356FA59B" w14:textId="77777777" w:rsidR="00054437" w:rsidRPr="000549B1" w:rsidRDefault="00000000">
            <w:pPr>
              <w:widowControl/>
              <w:jc w:val="center"/>
              <w:textAlignment w:val="center"/>
              <w:rPr>
                <w:szCs w:val="21"/>
              </w:rPr>
            </w:pPr>
            <w:r w:rsidRPr="000549B1">
              <w:rPr>
                <w:kern w:val="0"/>
                <w:szCs w:val="21"/>
                <w:lang w:bidi="ar"/>
              </w:rPr>
              <w:t>0.004</w:t>
            </w:r>
          </w:p>
        </w:tc>
      </w:tr>
      <w:tr w:rsidR="000549B1" w:rsidRPr="000549B1" w14:paraId="644CC722" w14:textId="77777777">
        <w:trPr>
          <w:trHeight w:val="270"/>
        </w:trPr>
        <w:tc>
          <w:tcPr>
            <w:tcW w:w="317" w:type="pct"/>
            <w:vMerge w:val="restart"/>
            <w:tcBorders>
              <w:top w:val="single" w:sz="4" w:space="0" w:color="000000"/>
              <w:left w:val="single" w:sz="4" w:space="0" w:color="000000"/>
              <w:bottom w:val="single" w:sz="4" w:space="0" w:color="000000"/>
              <w:right w:val="single" w:sz="4" w:space="0" w:color="000000"/>
            </w:tcBorders>
            <w:noWrap/>
            <w:vAlign w:val="center"/>
          </w:tcPr>
          <w:p w14:paraId="4BE7B3C6" w14:textId="77777777" w:rsidR="00054437" w:rsidRPr="000549B1" w:rsidRDefault="00000000">
            <w:pPr>
              <w:widowControl/>
              <w:jc w:val="center"/>
              <w:textAlignment w:val="center"/>
              <w:rPr>
                <w:szCs w:val="21"/>
              </w:rPr>
            </w:pPr>
            <w:r w:rsidRPr="000549B1">
              <w:rPr>
                <w:kern w:val="0"/>
                <w:szCs w:val="21"/>
                <w:lang w:bidi="ar"/>
              </w:rPr>
              <w:t>兴海县</w:t>
            </w:r>
          </w:p>
        </w:tc>
        <w:tc>
          <w:tcPr>
            <w:tcW w:w="786" w:type="pct"/>
            <w:tcBorders>
              <w:top w:val="single" w:sz="4" w:space="0" w:color="000000"/>
              <w:left w:val="single" w:sz="4" w:space="0" w:color="000000"/>
              <w:bottom w:val="single" w:sz="4" w:space="0" w:color="000000"/>
              <w:right w:val="single" w:sz="4" w:space="0" w:color="000000"/>
            </w:tcBorders>
            <w:vAlign w:val="center"/>
          </w:tcPr>
          <w:p w14:paraId="12E88C2C" w14:textId="77777777" w:rsidR="00054437" w:rsidRPr="000549B1" w:rsidRDefault="00000000">
            <w:pPr>
              <w:widowControl/>
              <w:jc w:val="center"/>
              <w:textAlignment w:val="center"/>
              <w:rPr>
                <w:szCs w:val="21"/>
              </w:rPr>
            </w:pPr>
            <w:r w:rsidRPr="000549B1">
              <w:rPr>
                <w:kern w:val="0"/>
                <w:szCs w:val="21"/>
                <w:lang w:bidi="ar"/>
              </w:rPr>
              <w:t>兴海县</w:t>
            </w:r>
          </w:p>
        </w:tc>
        <w:tc>
          <w:tcPr>
            <w:tcW w:w="552" w:type="pct"/>
            <w:tcBorders>
              <w:top w:val="single" w:sz="4" w:space="0" w:color="000000"/>
              <w:left w:val="single" w:sz="4" w:space="0" w:color="000000"/>
              <w:bottom w:val="single" w:sz="4" w:space="0" w:color="000000"/>
              <w:right w:val="single" w:sz="4" w:space="0" w:color="000000"/>
            </w:tcBorders>
            <w:vAlign w:val="center"/>
          </w:tcPr>
          <w:p w14:paraId="7E563445" w14:textId="77777777" w:rsidR="00054437" w:rsidRPr="000549B1" w:rsidRDefault="00000000">
            <w:pPr>
              <w:widowControl/>
              <w:jc w:val="center"/>
              <w:textAlignment w:val="center"/>
              <w:rPr>
                <w:szCs w:val="21"/>
              </w:rPr>
            </w:pPr>
            <w:r w:rsidRPr="000549B1">
              <w:rPr>
                <w:kern w:val="0"/>
                <w:szCs w:val="21"/>
                <w:lang w:bidi="ar"/>
              </w:rPr>
              <w:t>4.23</w:t>
            </w:r>
          </w:p>
        </w:tc>
        <w:tc>
          <w:tcPr>
            <w:tcW w:w="870" w:type="pct"/>
            <w:tcBorders>
              <w:top w:val="single" w:sz="4" w:space="0" w:color="000000"/>
              <w:left w:val="single" w:sz="4" w:space="0" w:color="000000"/>
              <w:bottom w:val="single" w:sz="4" w:space="0" w:color="000000"/>
              <w:right w:val="single" w:sz="4" w:space="0" w:color="000000"/>
            </w:tcBorders>
            <w:vAlign w:val="center"/>
          </w:tcPr>
          <w:p w14:paraId="4C20356D" w14:textId="77777777" w:rsidR="00054437" w:rsidRPr="000549B1" w:rsidRDefault="00000000">
            <w:pPr>
              <w:widowControl/>
              <w:jc w:val="center"/>
              <w:textAlignment w:val="center"/>
              <w:rPr>
                <w:szCs w:val="21"/>
              </w:rPr>
            </w:pPr>
            <w:r w:rsidRPr="000549B1">
              <w:rPr>
                <w:kern w:val="0"/>
                <w:szCs w:val="21"/>
                <w:lang w:bidi="ar"/>
              </w:rPr>
              <w:t>44.93</w:t>
            </w:r>
          </w:p>
        </w:tc>
        <w:tc>
          <w:tcPr>
            <w:tcW w:w="220" w:type="pct"/>
            <w:tcBorders>
              <w:top w:val="single" w:sz="4" w:space="0" w:color="000000"/>
              <w:left w:val="single" w:sz="4" w:space="0" w:color="000000"/>
              <w:bottom w:val="single" w:sz="4" w:space="0" w:color="000000"/>
              <w:right w:val="single" w:sz="4" w:space="0" w:color="000000"/>
            </w:tcBorders>
            <w:vAlign w:val="center"/>
          </w:tcPr>
          <w:p w14:paraId="0AAE61E7" w14:textId="77777777" w:rsidR="00054437" w:rsidRPr="000549B1" w:rsidRDefault="00000000">
            <w:pPr>
              <w:widowControl/>
              <w:jc w:val="center"/>
              <w:textAlignment w:val="center"/>
              <w:rPr>
                <w:szCs w:val="21"/>
              </w:rPr>
            </w:pPr>
            <w:r w:rsidRPr="000549B1">
              <w:rPr>
                <w:kern w:val="0"/>
                <w:szCs w:val="21"/>
                <w:lang w:bidi="ar"/>
              </w:rPr>
              <w:t>1.35</w:t>
            </w:r>
          </w:p>
        </w:tc>
        <w:tc>
          <w:tcPr>
            <w:tcW w:w="239" w:type="pct"/>
            <w:tcBorders>
              <w:top w:val="single" w:sz="4" w:space="0" w:color="000000"/>
              <w:left w:val="single" w:sz="4" w:space="0" w:color="000000"/>
              <w:bottom w:val="single" w:sz="4" w:space="0" w:color="000000"/>
              <w:right w:val="single" w:sz="4" w:space="0" w:color="000000"/>
            </w:tcBorders>
            <w:vAlign w:val="center"/>
          </w:tcPr>
          <w:p w14:paraId="5EEEA372" w14:textId="77777777" w:rsidR="00054437" w:rsidRPr="000549B1" w:rsidRDefault="00000000">
            <w:pPr>
              <w:widowControl/>
              <w:jc w:val="center"/>
              <w:textAlignment w:val="center"/>
              <w:rPr>
                <w:szCs w:val="21"/>
              </w:rPr>
            </w:pPr>
            <w:r w:rsidRPr="000549B1">
              <w:rPr>
                <w:kern w:val="0"/>
                <w:szCs w:val="21"/>
                <w:lang w:bidi="ar"/>
              </w:rPr>
              <w:t>0.07</w:t>
            </w:r>
          </w:p>
        </w:tc>
        <w:tc>
          <w:tcPr>
            <w:tcW w:w="239" w:type="pct"/>
            <w:tcBorders>
              <w:top w:val="single" w:sz="4" w:space="0" w:color="000000"/>
              <w:left w:val="single" w:sz="4" w:space="0" w:color="000000"/>
              <w:bottom w:val="single" w:sz="4" w:space="0" w:color="000000"/>
              <w:right w:val="single" w:sz="4" w:space="0" w:color="000000"/>
            </w:tcBorders>
            <w:vAlign w:val="center"/>
          </w:tcPr>
          <w:p w14:paraId="04014607" w14:textId="77777777" w:rsidR="00054437" w:rsidRPr="000549B1" w:rsidRDefault="00000000">
            <w:pPr>
              <w:widowControl/>
              <w:jc w:val="center"/>
              <w:textAlignment w:val="center"/>
              <w:rPr>
                <w:szCs w:val="21"/>
              </w:rPr>
            </w:pPr>
            <w:r w:rsidRPr="000549B1">
              <w:rPr>
                <w:kern w:val="0"/>
                <w:szCs w:val="21"/>
                <w:lang w:bidi="ar"/>
              </w:rPr>
              <w:t>0.45</w:t>
            </w:r>
          </w:p>
        </w:tc>
        <w:tc>
          <w:tcPr>
            <w:tcW w:w="260" w:type="pct"/>
            <w:tcBorders>
              <w:top w:val="single" w:sz="4" w:space="0" w:color="000000"/>
              <w:left w:val="single" w:sz="4" w:space="0" w:color="000000"/>
              <w:bottom w:val="single" w:sz="4" w:space="0" w:color="000000"/>
              <w:right w:val="single" w:sz="4" w:space="0" w:color="000000"/>
            </w:tcBorders>
            <w:vAlign w:val="center"/>
          </w:tcPr>
          <w:p w14:paraId="3FE82674" w14:textId="77777777" w:rsidR="00054437" w:rsidRPr="000549B1" w:rsidRDefault="00000000">
            <w:pPr>
              <w:widowControl/>
              <w:jc w:val="center"/>
              <w:textAlignment w:val="center"/>
              <w:rPr>
                <w:szCs w:val="21"/>
              </w:rPr>
            </w:pPr>
            <w:r w:rsidRPr="000549B1">
              <w:rPr>
                <w:kern w:val="0"/>
                <w:szCs w:val="21"/>
                <w:lang w:bidi="ar"/>
              </w:rPr>
              <w:t>0.03</w:t>
            </w:r>
          </w:p>
        </w:tc>
        <w:tc>
          <w:tcPr>
            <w:tcW w:w="474" w:type="pct"/>
            <w:tcBorders>
              <w:top w:val="single" w:sz="4" w:space="0" w:color="000000"/>
              <w:left w:val="single" w:sz="4" w:space="0" w:color="000000"/>
              <w:bottom w:val="single" w:sz="4" w:space="0" w:color="000000"/>
              <w:right w:val="single" w:sz="4" w:space="0" w:color="000000"/>
            </w:tcBorders>
            <w:vAlign w:val="center"/>
          </w:tcPr>
          <w:p w14:paraId="4817F48D" w14:textId="77777777" w:rsidR="00054437" w:rsidRPr="000549B1" w:rsidRDefault="00000000">
            <w:pPr>
              <w:widowControl/>
              <w:jc w:val="center"/>
              <w:textAlignment w:val="center"/>
              <w:rPr>
                <w:szCs w:val="21"/>
              </w:rPr>
            </w:pPr>
            <w:r w:rsidRPr="000549B1">
              <w:rPr>
                <w:kern w:val="0"/>
                <w:szCs w:val="21"/>
                <w:lang w:bidi="ar"/>
              </w:rPr>
              <w:t>38.6</w:t>
            </w:r>
          </w:p>
        </w:tc>
        <w:tc>
          <w:tcPr>
            <w:tcW w:w="259" w:type="pct"/>
            <w:tcBorders>
              <w:top w:val="single" w:sz="4" w:space="0" w:color="000000"/>
              <w:left w:val="single" w:sz="4" w:space="0" w:color="000000"/>
              <w:bottom w:val="single" w:sz="4" w:space="0" w:color="000000"/>
              <w:right w:val="single" w:sz="4" w:space="0" w:color="000000"/>
            </w:tcBorders>
            <w:vAlign w:val="center"/>
          </w:tcPr>
          <w:p w14:paraId="5A0D98D7" w14:textId="77777777" w:rsidR="00054437" w:rsidRPr="000549B1" w:rsidRDefault="00000000">
            <w:pPr>
              <w:widowControl/>
              <w:jc w:val="center"/>
              <w:textAlignment w:val="center"/>
              <w:rPr>
                <w:szCs w:val="21"/>
              </w:rPr>
            </w:pPr>
            <w:r w:rsidRPr="000549B1">
              <w:rPr>
                <w:kern w:val="0"/>
                <w:szCs w:val="21"/>
                <w:lang w:bidi="ar"/>
              </w:rPr>
              <w:t>0.1</w:t>
            </w:r>
          </w:p>
        </w:tc>
        <w:tc>
          <w:tcPr>
            <w:tcW w:w="259" w:type="pct"/>
            <w:tcBorders>
              <w:top w:val="single" w:sz="4" w:space="0" w:color="000000"/>
              <w:left w:val="single" w:sz="4" w:space="0" w:color="000000"/>
              <w:bottom w:val="single" w:sz="4" w:space="0" w:color="000000"/>
              <w:right w:val="single" w:sz="4" w:space="0" w:color="000000"/>
            </w:tcBorders>
            <w:vAlign w:val="center"/>
          </w:tcPr>
          <w:p w14:paraId="56AD6538" w14:textId="77777777" w:rsidR="00054437" w:rsidRPr="000549B1" w:rsidRDefault="00000000">
            <w:pPr>
              <w:widowControl/>
              <w:jc w:val="center"/>
              <w:textAlignment w:val="center"/>
              <w:rPr>
                <w:szCs w:val="21"/>
              </w:rPr>
            </w:pPr>
            <w:r w:rsidRPr="000549B1">
              <w:rPr>
                <w:kern w:val="0"/>
                <w:szCs w:val="21"/>
                <w:lang w:bidi="ar"/>
              </w:rPr>
              <w:t>0.01</w:t>
            </w:r>
          </w:p>
        </w:tc>
        <w:tc>
          <w:tcPr>
            <w:tcW w:w="259" w:type="pct"/>
            <w:tcBorders>
              <w:top w:val="single" w:sz="4" w:space="0" w:color="000000"/>
              <w:left w:val="single" w:sz="4" w:space="0" w:color="000000"/>
              <w:bottom w:val="single" w:sz="4" w:space="0" w:color="000000"/>
              <w:right w:val="single" w:sz="4" w:space="0" w:color="000000"/>
            </w:tcBorders>
            <w:vAlign w:val="center"/>
          </w:tcPr>
          <w:p w14:paraId="5510EB83" w14:textId="77777777" w:rsidR="00054437" w:rsidRPr="000549B1" w:rsidRDefault="00000000">
            <w:pPr>
              <w:widowControl/>
              <w:jc w:val="center"/>
              <w:textAlignment w:val="center"/>
              <w:rPr>
                <w:szCs w:val="21"/>
              </w:rPr>
            </w:pPr>
            <w:r w:rsidRPr="000549B1">
              <w:rPr>
                <w:kern w:val="0"/>
                <w:szCs w:val="21"/>
                <w:lang w:bidi="ar"/>
              </w:rPr>
              <w:t>0.08</w:t>
            </w:r>
          </w:p>
        </w:tc>
        <w:tc>
          <w:tcPr>
            <w:tcW w:w="259" w:type="pct"/>
            <w:tcBorders>
              <w:top w:val="single" w:sz="4" w:space="0" w:color="000000"/>
              <w:left w:val="single" w:sz="4" w:space="0" w:color="000000"/>
              <w:bottom w:val="single" w:sz="4" w:space="0" w:color="000000"/>
              <w:right w:val="single" w:sz="4" w:space="0" w:color="000000"/>
            </w:tcBorders>
            <w:vAlign w:val="center"/>
          </w:tcPr>
          <w:p w14:paraId="0527D616" w14:textId="77777777" w:rsidR="00054437" w:rsidRPr="000549B1" w:rsidRDefault="00000000">
            <w:pPr>
              <w:widowControl/>
              <w:jc w:val="center"/>
              <w:textAlignment w:val="center"/>
              <w:rPr>
                <w:szCs w:val="21"/>
              </w:rPr>
            </w:pPr>
            <w:r w:rsidRPr="000549B1">
              <w:rPr>
                <w:kern w:val="0"/>
                <w:szCs w:val="21"/>
                <w:lang w:bidi="ar"/>
              </w:rPr>
              <w:t>0.01</w:t>
            </w:r>
          </w:p>
        </w:tc>
      </w:tr>
      <w:tr w:rsidR="000549B1" w:rsidRPr="000549B1" w14:paraId="59DB45EF" w14:textId="77777777">
        <w:trPr>
          <w:trHeight w:val="480"/>
        </w:trPr>
        <w:tc>
          <w:tcPr>
            <w:tcW w:w="317" w:type="pct"/>
            <w:vMerge/>
            <w:tcBorders>
              <w:top w:val="single" w:sz="4" w:space="0" w:color="000000"/>
              <w:left w:val="single" w:sz="4" w:space="0" w:color="000000"/>
              <w:bottom w:val="single" w:sz="4" w:space="0" w:color="000000"/>
              <w:right w:val="single" w:sz="4" w:space="0" w:color="000000"/>
            </w:tcBorders>
            <w:noWrap/>
            <w:vAlign w:val="center"/>
          </w:tcPr>
          <w:p w14:paraId="70804594" w14:textId="77777777" w:rsidR="00054437" w:rsidRPr="000549B1" w:rsidRDefault="00054437">
            <w:pPr>
              <w:jc w:val="center"/>
              <w:rPr>
                <w:szCs w:val="21"/>
              </w:rPr>
            </w:pPr>
          </w:p>
        </w:tc>
        <w:tc>
          <w:tcPr>
            <w:tcW w:w="786" w:type="pct"/>
            <w:tcBorders>
              <w:top w:val="single" w:sz="4" w:space="0" w:color="000000"/>
              <w:left w:val="single" w:sz="4" w:space="0" w:color="000000"/>
              <w:bottom w:val="single" w:sz="4" w:space="0" w:color="000000"/>
              <w:right w:val="single" w:sz="4" w:space="0" w:color="000000"/>
            </w:tcBorders>
            <w:vAlign w:val="center"/>
          </w:tcPr>
          <w:p w14:paraId="03FA43FE" w14:textId="77777777" w:rsidR="00054437" w:rsidRPr="000549B1" w:rsidRDefault="00000000">
            <w:pPr>
              <w:widowControl/>
              <w:jc w:val="center"/>
              <w:textAlignment w:val="center"/>
              <w:rPr>
                <w:szCs w:val="21"/>
              </w:rPr>
            </w:pPr>
            <w:r w:rsidRPr="000549B1">
              <w:rPr>
                <w:kern w:val="0"/>
                <w:szCs w:val="21"/>
                <w:lang w:bidi="ar"/>
              </w:rPr>
              <w:t>其中：沙珠玉河流域</w:t>
            </w:r>
          </w:p>
        </w:tc>
        <w:tc>
          <w:tcPr>
            <w:tcW w:w="552" w:type="pct"/>
            <w:tcBorders>
              <w:top w:val="single" w:sz="4" w:space="0" w:color="000000"/>
              <w:left w:val="single" w:sz="4" w:space="0" w:color="000000"/>
              <w:bottom w:val="single" w:sz="4" w:space="0" w:color="000000"/>
              <w:right w:val="single" w:sz="4" w:space="0" w:color="000000"/>
            </w:tcBorders>
            <w:vAlign w:val="center"/>
          </w:tcPr>
          <w:p w14:paraId="330F1940" w14:textId="77777777" w:rsidR="00054437" w:rsidRPr="000549B1" w:rsidRDefault="00000000">
            <w:pPr>
              <w:widowControl/>
              <w:jc w:val="center"/>
              <w:textAlignment w:val="center"/>
              <w:rPr>
                <w:szCs w:val="21"/>
              </w:rPr>
            </w:pPr>
            <w:r w:rsidRPr="000549B1">
              <w:rPr>
                <w:kern w:val="0"/>
                <w:szCs w:val="21"/>
                <w:lang w:bidi="ar"/>
              </w:rPr>
              <w:t>0.93</w:t>
            </w:r>
          </w:p>
        </w:tc>
        <w:tc>
          <w:tcPr>
            <w:tcW w:w="870" w:type="pct"/>
            <w:tcBorders>
              <w:top w:val="single" w:sz="4" w:space="0" w:color="000000"/>
              <w:left w:val="single" w:sz="4" w:space="0" w:color="000000"/>
              <w:bottom w:val="single" w:sz="4" w:space="0" w:color="000000"/>
              <w:right w:val="single" w:sz="4" w:space="0" w:color="000000"/>
            </w:tcBorders>
            <w:vAlign w:val="center"/>
          </w:tcPr>
          <w:p w14:paraId="65488C02" w14:textId="77777777" w:rsidR="00054437" w:rsidRPr="000549B1" w:rsidRDefault="00000000">
            <w:pPr>
              <w:widowControl/>
              <w:jc w:val="center"/>
              <w:textAlignment w:val="center"/>
              <w:rPr>
                <w:szCs w:val="21"/>
              </w:rPr>
            </w:pPr>
            <w:r w:rsidRPr="000549B1">
              <w:rPr>
                <w:kern w:val="0"/>
                <w:szCs w:val="21"/>
                <w:lang w:bidi="ar"/>
              </w:rPr>
              <w:t>9.88</w:t>
            </w:r>
          </w:p>
        </w:tc>
        <w:tc>
          <w:tcPr>
            <w:tcW w:w="220" w:type="pct"/>
            <w:tcBorders>
              <w:top w:val="single" w:sz="4" w:space="0" w:color="000000"/>
              <w:left w:val="single" w:sz="4" w:space="0" w:color="000000"/>
              <w:bottom w:val="single" w:sz="4" w:space="0" w:color="000000"/>
              <w:right w:val="single" w:sz="4" w:space="0" w:color="000000"/>
            </w:tcBorders>
            <w:vAlign w:val="center"/>
          </w:tcPr>
          <w:p w14:paraId="2B3007D0" w14:textId="77777777" w:rsidR="00054437" w:rsidRPr="000549B1" w:rsidRDefault="00000000">
            <w:pPr>
              <w:widowControl/>
              <w:jc w:val="center"/>
              <w:textAlignment w:val="center"/>
              <w:rPr>
                <w:szCs w:val="21"/>
              </w:rPr>
            </w:pPr>
            <w:r w:rsidRPr="000549B1">
              <w:rPr>
                <w:kern w:val="0"/>
                <w:szCs w:val="21"/>
                <w:lang w:bidi="ar"/>
              </w:rPr>
              <w:t>0.30</w:t>
            </w:r>
          </w:p>
        </w:tc>
        <w:tc>
          <w:tcPr>
            <w:tcW w:w="239" w:type="pct"/>
            <w:tcBorders>
              <w:top w:val="single" w:sz="4" w:space="0" w:color="000000"/>
              <w:left w:val="single" w:sz="4" w:space="0" w:color="000000"/>
              <w:bottom w:val="single" w:sz="4" w:space="0" w:color="000000"/>
              <w:right w:val="single" w:sz="4" w:space="0" w:color="000000"/>
            </w:tcBorders>
            <w:vAlign w:val="center"/>
          </w:tcPr>
          <w:p w14:paraId="6CA87D4B" w14:textId="77777777" w:rsidR="00054437" w:rsidRPr="000549B1" w:rsidRDefault="00000000">
            <w:pPr>
              <w:widowControl/>
              <w:jc w:val="center"/>
              <w:textAlignment w:val="center"/>
              <w:rPr>
                <w:szCs w:val="21"/>
              </w:rPr>
            </w:pPr>
            <w:r w:rsidRPr="000549B1">
              <w:rPr>
                <w:kern w:val="0"/>
                <w:szCs w:val="21"/>
                <w:lang w:bidi="ar"/>
              </w:rPr>
              <w:t>0.02</w:t>
            </w:r>
          </w:p>
        </w:tc>
        <w:tc>
          <w:tcPr>
            <w:tcW w:w="239" w:type="pct"/>
            <w:tcBorders>
              <w:top w:val="single" w:sz="4" w:space="0" w:color="000000"/>
              <w:left w:val="single" w:sz="4" w:space="0" w:color="000000"/>
              <w:bottom w:val="single" w:sz="4" w:space="0" w:color="000000"/>
              <w:right w:val="single" w:sz="4" w:space="0" w:color="000000"/>
            </w:tcBorders>
            <w:vAlign w:val="center"/>
          </w:tcPr>
          <w:p w14:paraId="16DB9212" w14:textId="77777777" w:rsidR="00054437" w:rsidRPr="000549B1" w:rsidRDefault="00000000">
            <w:pPr>
              <w:widowControl/>
              <w:jc w:val="center"/>
              <w:textAlignment w:val="center"/>
              <w:rPr>
                <w:szCs w:val="21"/>
              </w:rPr>
            </w:pPr>
            <w:r w:rsidRPr="000549B1">
              <w:rPr>
                <w:kern w:val="0"/>
                <w:szCs w:val="21"/>
                <w:lang w:bidi="ar"/>
              </w:rPr>
              <w:t>0.10</w:t>
            </w:r>
          </w:p>
        </w:tc>
        <w:tc>
          <w:tcPr>
            <w:tcW w:w="260" w:type="pct"/>
            <w:tcBorders>
              <w:top w:val="single" w:sz="4" w:space="0" w:color="000000"/>
              <w:left w:val="single" w:sz="4" w:space="0" w:color="000000"/>
              <w:bottom w:val="single" w:sz="4" w:space="0" w:color="000000"/>
              <w:right w:val="single" w:sz="4" w:space="0" w:color="000000"/>
            </w:tcBorders>
            <w:vAlign w:val="center"/>
          </w:tcPr>
          <w:p w14:paraId="007F7EB4" w14:textId="77777777" w:rsidR="00054437" w:rsidRPr="000549B1" w:rsidRDefault="00000000">
            <w:pPr>
              <w:widowControl/>
              <w:jc w:val="center"/>
              <w:textAlignment w:val="center"/>
              <w:rPr>
                <w:szCs w:val="21"/>
              </w:rPr>
            </w:pPr>
            <w:r w:rsidRPr="000549B1">
              <w:rPr>
                <w:kern w:val="0"/>
                <w:szCs w:val="21"/>
                <w:lang w:bidi="ar"/>
              </w:rPr>
              <w:t>0.01</w:t>
            </w:r>
          </w:p>
        </w:tc>
        <w:tc>
          <w:tcPr>
            <w:tcW w:w="474" w:type="pct"/>
            <w:tcBorders>
              <w:top w:val="single" w:sz="4" w:space="0" w:color="000000"/>
              <w:left w:val="single" w:sz="4" w:space="0" w:color="000000"/>
              <w:bottom w:val="single" w:sz="4" w:space="0" w:color="000000"/>
              <w:right w:val="single" w:sz="4" w:space="0" w:color="000000"/>
            </w:tcBorders>
            <w:vAlign w:val="center"/>
          </w:tcPr>
          <w:p w14:paraId="362C81C7" w14:textId="77777777" w:rsidR="00054437" w:rsidRPr="000549B1" w:rsidRDefault="00000000">
            <w:pPr>
              <w:widowControl/>
              <w:jc w:val="center"/>
              <w:textAlignment w:val="center"/>
              <w:rPr>
                <w:szCs w:val="21"/>
              </w:rPr>
            </w:pPr>
            <w:r w:rsidRPr="000549B1">
              <w:rPr>
                <w:kern w:val="0"/>
                <w:szCs w:val="21"/>
                <w:lang w:bidi="ar"/>
              </w:rPr>
              <w:t>8.49</w:t>
            </w:r>
          </w:p>
        </w:tc>
        <w:tc>
          <w:tcPr>
            <w:tcW w:w="259" w:type="pct"/>
            <w:tcBorders>
              <w:top w:val="single" w:sz="4" w:space="0" w:color="000000"/>
              <w:left w:val="single" w:sz="4" w:space="0" w:color="000000"/>
              <w:bottom w:val="single" w:sz="4" w:space="0" w:color="000000"/>
              <w:right w:val="single" w:sz="4" w:space="0" w:color="000000"/>
            </w:tcBorders>
            <w:vAlign w:val="center"/>
          </w:tcPr>
          <w:p w14:paraId="647B8695" w14:textId="77777777" w:rsidR="00054437" w:rsidRPr="000549B1" w:rsidRDefault="00000000">
            <w:pPr>
              <w:widowControl/>
              <w:jc w:val="center"/>
              <w:textAlignment w:val="center"/>
              <w:rPr>
                <w:szCs w:val="21"/>
              </w:rPr>
            </w:pPr>
            <w:r w:rsidRPr="000549B1">
              <w:rPr>
                <w:kern w:val="0"/>
                <w:szCs w:val="21"/>
                <w:lang w:bidi="ar"/>
              </w:rPr>
              <w:t>0.02</w:t>
            </w:r>
          </w:p>
        </w:tc>
        <w:tc>
          <w:tcPr>
            <w:tcW w:w="259" w:type="pct"/>
            <w:tcBorders>
              <w:top w:val="single" w:sz="4" w:space="0" w:color="000000"/>
              <w:left w:val="single" w:sz="4" w:space="0" w:color="000000"/>
              <w:bottom w:val="single" w:sz="4" w:space="0" w:color="000000"/>
              <w:right w:val="single" w:sz="4" w:space="0" w:color="000000"/>
            </w:tcBorders>
            <w:vAlign w:val="center"/>
          </w:tcPr>
          <w:p w14:paraId="71E6FEE2" w14:textId="77777777" w:rsidR="00054437" w:rsidRPr="000549B1" w:rsidRDefault="00000000">
            <w:pPr>
              <w:widowControl/>
              <w:jc w:val="center"/>
              <w:textAlignment w:val="center"/>
              <w:rPr>
                <w:szCs w:val="21"/>
              </w:rPr>
            </w:pPr>
            <w:r w:rsidRPr="000549B1">
              <w:rPr>
                <w:kern w:val="0"/>
                <w:szCs w:val="21"/>
                <w:lang w:bidi="ar"/>
              </w:rPr>
              <w:t>0.002</w:t>
            </w:r>
          </w:p>
        </w:tc>
        <w:tc>
          <w:tcPr>
            <w:tcW w:w="259" w:type="pct"/>
            <w:tcBorders>
              <w:top w:val="single" w:sz="4" w:space="0" w:color="000000"/>
              <w:left w:val="single" w:sz="4" w:space="0" w:color="000000"/>
              <w:bottom w:val="single" w:sz="4" w:space="0" w:color="000000"/>
              <w:right w:val="single" w:sz="4" w:space="0" w:color="000000"/>
            </w:tcBorders>
            <w:vAlign w:val="center"/>
          </w:tcPr>
          <w:p w14:paraId="45CD0E80" w14:textId="77777777" w:rsidR="00054437" w:rsidRPr="000549B1" w:rsidRDefault="00000000">
            <w:pPr>
              <w:widowControl/>
              <w:jc w:val="center"/>
              <w:textAlignment w:val="center"/>
              <w:rPr>
                <w:szCs w:val="21"/>
              </w:rPr>
            </w:pPr>
            <w:r w:rsidRPr="000549B1">
              <w:rPr>
                <w:kern w:val="0"/>
                <w:szCs w:val="21"/>
                <w:lang w:bidi="ar"/>
              </w:rPr>
              <w:t>0.02</w:t>
            </w:r>
          </w:p>
        </w:tc>
        <w:tc>
          <w:tcPr>
            <w:tcW w:w="259" w:type="pct"/>
            <w:tcBorders>
              <w:top w:val="single" w:sz="4" w:space="0" w:color="000000"/>
              <w:left w:val="single" w:sz="4" w:space="0" w:color="000000"/>
              <w:bottom w:val="single" w:sz="4" w:space="0" w:color="000000"/>
              <w:right w:val="single" w:sz="4" w:space="0" w:color="000000"/>
            </w:tcBorders>
            <w:vAlign w:val="center"/>
          </w:tcPr>
          <w:p w14:paraId="66B21BA4" w14:textId="77777777" w:rsidR="00054437" w:rsidRPr="000549B1" w:rsidRDefault="00000000">
            <w:pPr>
              <w:widowControl/>
              <w:jc w:val="center"/>
              <w:textAlignment w:val="center"/>
              <w:rPr>
                <w:szCs w:val="21"/>
              </w:rPr>
            </w:pPr>
            <w:r w:rsidRPr="000549B1">
              <w:rPr>
                <w:kern w:val="0"/>
                <w:szCs w:val="21"/>
                <w:lang w:bidi="ar"/>
              </w:rPr>
              <w:t>0.002</w:t>
            </w:r>
          </w:p>
        </w:tc>
      </w:tr>
      <w:tr w:rsidR="000549B1" w:rsidRPr="000549B1" w14:paraId="35644B75" w14:textId="77777777">
        <w:trPr>
          <w:trHeight w:val="270"/>
        </w:trPr>
        <w:tc>
          <w:tcPr>
            <w:tcW w:w="317" w:type="pct"/>
            <w:vMerge w:val="restart"/>
            <w:tcBorders>
              <w:top w:val="single" w:sz="4" w:space="0" w:color="000000"/>
              <w:left w:val="single" w:sz="4" w:space="0" w:color="000000"/>
              <w:bottom w:val="single" w:sz="4" w:space="0" w:color="000000"/>
              <w:right w:val="single" w:sz="4" w:space="0" w:color="000000"/>
            </w:tcBorders>
            <w:noWrap/>
            <w:vAlign w:val="center"/>
          </w:tcPr>
          <w:p w14:paraId="4C16B61E" w14:textId="77777777" w:rsidR="00054437" w:rsidRPr="000549B1" w:rsidRDefault="00000000">
            <w:pPr>
              <w:widowControl/>
              <w:jc w:val="center"/>
              <w:textAlignment w:val="center"/>
              <w:rPr>
                <w:szCs w:val="21"/>
              </w:rPr>
            </w:pPr>
            <w:r w:rsidRPr="000549B1">
              <w:rPr>
                <w:kern w:val="0"/>
                <w:szCs w:val="21"/>
                <w:lang w:bidi="ar"/>
              </w:rPr>
              <w:t>合计</w:t>
            </w:r>
          </w:p>
        </w:tc>
        <w:tc>
          <w:tcPr>
            <w:tcW w:w="786" w:type="pct"/>
            <w:tcBorders>
              <w:top w:val="single" w:sz="4" w:space="0" w:color="000000"/>
              <w:left w:val="single" w:sz="4" w:space="0" w:color="000000"/>
              <w:bottom w:val="single" w:sz="4" w:space="0" w:color="000000"/>
              <w:right w:val="single" w:sz="4" w:space="0" w:color="000000"/>
            </w:tcBorders>
            <w:vAlign w:val="center"/>
          </w:tcPr>
          <w:p w14:paraId="1E558401" w14:textId="77777777" w:rsidR="00054437" w:rsidRPr="000549B1" w:rsidRDefault="00000000">
            <w:pPr>
              <w:widowControl/>
              <w:jc w:val="center"/>
              <w:textAlignment w:val="center"/>
              <w:rPr>
                <w:szCs w:val="21"/>
              </w:rPr>
            </w:pPr>
            <w:r w:rsidRPr="000549B1">
              <w:rPr>
                <w:kern w:val="0"/>
                <w:szCs w:val="21"/>
                <w:lang w:bidi="ar"/>
              </w:rPr>
              <w:t>合计</w:t>
            </w:r>
          </w:p>
        </w:tc>
        <w:tc>
          <w:tcPr>
            <w:tcW w:w="552" w:type="pct"/>
            <w:tcBorders>
              <w:top w:val="single" w:sz="4" w:space="0" w:color="000000"/>
              <w:left w:val="single" w:sz="4" w:space="0" w:color="000000"/>
              <w:bottom w:val="single" w:sz="4" w:space="0" w:color="000000"/>
              <w:right w:val="single" w:sz="4" w:space="0" w:color="000000"/>
            </w:tcBorders>
            <w:vAlign w:val="center"/>
          </w:tcPr>
          <w:p w14:paraId="51B5CB71" w14:textId="77777777" w:rsidR="00054437" w:rsidRPr="000549B1" w:rsidRDefault="00000000">
            <w:pPr>
              <w:widowControl/>
              <w:jc w:val="center"/>
              <w:textAlignment w:val="center"/>
              <w:rPr>
                <w:szCs w:val="21"/>
              </w:rPr>
            </w:pPr>
            <w:r w:rsidRPr="000549B1">
              <w:rPr>
                <w:kern w:val="0"/>
                <w:szCs w:val="21"/>
                <w:lang w:bidi="ar"/>
              </w:rPr>
              <w:t>10.33</w:t>
            </w:r>
          </w:p>
        </w:tc>
        <w:tc>
          <w:tcPr>
            <w:tcW w:w="870" w:type="pct"/>
            <w:tcBorders>
              <w:top w:val="single" w:sz="4" w:space="0" w:color="000000"/>
              <w:left w:val="single" w:sz="4" w:space="0" w:color="000000"/>
              <w:bottom w:val="single" w:sz="4" w:space="0" w:color="000000"/>
              <w:right w:val="single" w:sz="4" w:space="0" w:color="000000"/>
            </w:tcBorders>
            <w:vAlign w:val="center"/>
          </w:tcPr>
          <w:p w14:paraId="464A86EA" w14:textId="77777777" w:rsidR="00054437" w:rsidRPr="000549B1" w:rsidRDefault="00000000">
            <w:pPr>
              <w:widowControl/>
              <w:jc w:val="center"/>
              <w:textAlignment w:val="center"/>
              <w:rPr>
                <w:szCs w:val="21"/>
              </w:rPr>
            </w:pPr>
            <w:r w:rsidRPr="000549B1">
              <w:rPr>
                <w:kern w:val="0"/>
                <w:szCs w:val="21"/>
                <w:lang w:bidi="ar"/>
              </w:rPr>
              <w:t>109.72</w:t>
            </w:r>
          </w:p>
        </w:tc>
        <w:tc>
          <w:tcPr>
            <w:tcW w:w="220" w:type="pct"/>
            <w:tcBorders>
              <w:top w:val="single" w:sz="4" w:space="0" w:color="000000"/>
              <w:left w:val="single" w:sz="4" w:space="0" w:color="000000"/>
              <w:bottom w:val="single" w:sz="4" w:space="0" w:color="000000"/>
              <w:right w:val="single" w:sz="4" w:space="0" w:color="000000"/>
            </w:tcBorders>
            <w:vAlign w:val="center"/>
          </w:tcPr>
          <w:p w14:paraId="3426A92F" w14:textId="77777777" w:rsidR="00054437" w:rsidRPr="000549B1" w:rsidRDefault="00000000">
            <w:pPr>
              <w:widowControl/>
              <w:jc w:val="center"/>
              <w:textAlignment w:val="center"/>
              <w:rPr>
                <w:szCs w:val="21"/>
              </w:rPr>
            </w:pPr>
            <w:r w:rsidRPr="000549B1">
              <w:rPr>
                <w:kern w:val="0"/>
                <w:szCs w:val="21"/>
                <w:lang w:bidi="ar"/>
              </w:rPr>
              <w:t>3.29</w:t>
            </w:r>
          </w:p>
        </w:tc>
        <w:tc>
          <w:tcPr>
            <w:tcW w:w="239" w:type="pct"/>
            <w:tcBorders>
              <w:top w:val="single" w:sz="4" w:space="0" w:color="000000"/>
              <w:left w:val="single" w:sz="4" w:space="0" w:color="000000"/>
              <w:bottom w:val="single" w:sz="4" w:space="0" w:color="000000"/>
              <w:right w:val="single" w:sz="4" w:space="0" w:color="000000"/>
            </w:tcBorders>
            <w:vAlign w:val="center"/>
          </w:tcPr>
          <w:p w14:paraId="4A35324F" w14:textId="77777777" w:rsidR="00054437" w:rsidRPr="000549B1" w:rsidRDefault="00000000">
            <w:pPr>
              <w:widowControl/>
              <w:jc w:val="center"/>
              <w:textAlignment w:val="center"/>
              <w:rPr>
                <w:szCs w:val="21"/>
              </w:rPr>
            </w:pPr>
            <w:r w:rsidRPr="000549B1">
              <w:rPr>
                <w:kern w:val="0"/>
                <w:szCs w:val="21"/>
                <w:lang w:bidi="ar"/>
              </w:rPr>
              <w:t>0.16</w:t>
            </w:r>
          </w:p>
        </w:tc>
        <w:tc>
          <w:tcPr>
            <w:tcW w:w="239" w:type="pct"/>
            <w:tcBorders>
              <w:top w:val="single" w:sz="4" w:space="0" w:color="000000"/>
              <w:left w:val="single" w:sz="4" w:space="0" w:color="000000"/>
              <w:bottom w:val="single" w:sz="4" w:space="0" w:color="000000"/>
              <w:right w:val="single" w:sz="4" w:space="0" w:color="000000"/>
            </w:tcBorders>
            <w:vAlign w:val="center"/>
          </w:tcPr>
          <w:p w14:paraId="75D7F06A" w14:textId="77777777" w:rsidR="00054437" w:rsidRPr="000549B1" w:rsidRDefault="00000000">
            <w:pPr>
              <w:widowControl/>
              <w:jc w:val="center"/>
              <w:textAlignment w:val="center"/>
              <w:rPr>
                <w:szCs w:val="21"/>
              </w:rPr>
            </w:pPr>
            <w:r w:rsidRPr="000549B1">
              <w:rPr>
                <w:kern w:val="0"/>
                <w:szCs w:val="21"/>
                <w:lang w:bidi="ar"/>
              </w:rPr>
              <w:t>1.1</w:t>
            </w:r>
          </w:p>
        </w:tc>
        <w:tc>
          <w:tcPr>
            <w:tcW w:w="260" w:type="pct"/>
            <w:tcBorders>
              <w:top w:val="single" w:sz="4" w:space="0" w:color="000000"/>
              <w:left w:val="single" w:sz="4" w:space="0" w:color="000000"/>
              <w:bottom w:val="single" w:sz="4" w:space="0" w:color="000000"/>
              <w:right w:val="single" w:sz="4" w:space="0" w:color="000000"/>
            </w:tcBorders>
            <w:vAlign w:val="center"/>
          </w:tcPr>
          <w:p w14:paraId="782F0C0A" w14:textId="77777777" w:rsidR="00054437" w:rsidRPr="000549B1" w:rsidRDefault="00000000">
            <w:pPr>
              <w:widowControl/>
              <w:jc w:val="center"/>
              <w:textAlignment w:val="center"/>
              <w:rPr>
                <w:szCs w:val="21"/>
              </w:rPr>
            </w:pPr>
            <w:r w:rsidRPr="000549B1">
              <w:rPr>
                <w:kern w:val="0"/>
                <w:szCs w:val="21"/>
                <w:lang w:bidi="ar"/>
              </w:rPr>
              <w:t>0.07</w:t>
            </w:r>
          </w:p>
        </w:tc>
        <w:tc>
          <w:tcPr>
            <w:tcW w:w="474" w:type="pct"/>
            <w:tcBorders>
              <w:top w:val="single" w:sz="4" w:space="0" w:color="000000"/>
              <w:left w:val="single" w:sz="4" w:space="0" w:color="000000"/>
              <w:bottom w:val="single" w:sz="4" w:space="0" w:color="000000"/>
              <w:right w:val="single" w:sz="4" w:space="0" w:color="000000"/>
            </w:tcBorders>
            <w:vAlign w:val="center"/>
          </w:tcPr>
          <w:p w14:paraId="3FEDCD73" w14:textId="77777777" w:rsidR="00054437" w:rsidRPr="000549B1" w:rsidRDefault="00000000">
            <w:pPr>
              <w:widowControl/>
              <w:jc w:val="center"/>
              <w:textAlignment w:val="center"/>
              <w:rPr>
                <w:szCs w:val="21"/>
              </w:rPr>
            </w:pPr>
            <w:r w:rsidRPr="000549B1">
              <w:rPr>
                <w:kern w:val="0"/>
                <w:szCs w:val="21"/>
                <w:lang w:bidi="ar"/>
              </w:rPr>
              <w:t>94.26</w:t>
            </w:r>
          </w:p>
        </w:tc>
        <w:tc>
          <w:tcPr>
            <w:tcW w:w="259" w:type="pct"/>
            <w:tcBorders>
              <w:top w:val="single" w:sz="4" w:space="0" w:color="000000"/>
              <w:left w:val="single" w:sz="4" w:space="0" w:color="000000"/>
              <w:bottom w:val="single" w:sz="4" w:space="0" w:color="000000"/>
              <w:right w:val="single" w:sz="4" w:space="0" w:color="000000"/>
            </w:tcBorders>
            <w:vAlign w:val="center"/>
          </w:tcPr>
          <w:p w14:paraId="20EF8B52" w14:textId="77777777" w:rsidR="00054437" w:rsidRPr="000549B1" w:rsidRDefault="00000000">
            <w:pPr>
              <w:widowControl/>
              <w:jc w:val="center"/>
              <w:textAlignment w:val="center"/>
              <w:rPr>
                <w:szCs w:val="21"/>
              </w:rPr>
            </w:pPr>
            <w:r w:rsidRPr="000549B1">
              <w:rPr>
                <w:kern w:val="0"/>
                <w:szCs w:val="21"/>
                <w:lang w:bidi="ar"/>
              </w:rPr>
              <w:t>0.24</w:t>
            </w:r>
          </w:p>
        </w:tc>
        <w:tc>
          <w:tcPr>
            <w:tcW w:w="259" w:type="pct"/>
            <w:tcBorders>
              <w:top w:val="single" w:sz="4" w:space="0" w:color="000000"/>
              <w:left w:val="single" w:sz="4" w:space="0" w:color="000000"/>
              <w:bottom w:val="single" w:sz="4" w:space="0" w:color="000000"/>
              <w:right w:val="single" w:sz="4" w:space="0" w:color="000000"/>
            </w:tcBorders>
            <w:vAlign w:val="center"/>
          </w:tcPr>
          <w:p w14:paraId="20C09AC3" w14:textId="77777777" w:rsidR="00054437" w:rsidRPr="000549B1" w:rsidRDefault="00000000">
            <w:pPr>
              <w:widowControl/>
              <w:jc w:val="center"/>
              <w:textAlignment w:val="center"/>
              <w:rPr>
                <w:szCs w:val="21"/>
              </w:rPr>
            </w:pPr>
            <w:r w:rsidRPr="000549B1">
              <w:rPr>
                <w:kern w:val="0"/>
                <w:szCs w:val="21"/>
                <w:lang w:bidi="ar"/>
              </w:rPr>
              <w:t>0.02</w:t>
            </w:r>
          </w:p>
        </w:tc>
        <w:tc>
          <w:tcPr>
            <w:tcW w:w="259" w:type="pct"/>
            <w:tcBorders>
              <w:top w:val="single" w:sz="4" w:space="0" w:color="000000"/>
              <w:left w:val="single" w:sz="4" w:space="0" w:color="000000"/>
              <w:bottom w:val="single" w:sz="4" w:space="0" w:color="000000"/>
              <w:right w:val="single" w:sz="4" w:space="0" w:color="000000"/>
            </w:tcBorders>
            <w:vAlign w:val="center"/>
          </w:tcPr>
          <w:p w14:paraId="17FDF9BE" w14:textId="77777777" w:rsidR="00054437" w:rsidRPr="000549B1" w:rsidRDefault="00000000">
            <w:pPr>
              <w:widowControl/>
              <w:jc w:val="center"/>
              <w:textAlignment w:val="center"/>
              <w:rPr>
                <w:szCs w:val="21"/>
              </w:rPr>
            </w:pPr>
            <w:r w:rsidRPr="000549B1">
              <w:rPr>
                <w:kern w:val="0"/>
                <w:szCs w:val="21"/>
                <w:lang w:bidi="ar"/>
              </w:rPr>
              <w:t>0.2</w:t>
            </w:r>
          </w:p>
        </w:tc>
        <w:tc>
          <w:tcPr>
            <w:tcW w:w="259" w:type="pct"/>
            <w:tcBorders>
              <w:top w:val="single" w:sz="4" w:space="0" w:color="000000"/>
              <w:left w:val="single" w:sz="4" w:space="0" w:color="000000"/>
              <w:bottom w:val="single" w:sz="4" w:space="0" w:color="000000"/>
              <w:right w:val="single" w:sz="4" w:space="0" w:color="000000"/>
            </w:tcBorders>
            <w:vAlign w:val="center"/>
          </w:tcPr>
          <w:p w14:paraId="0562ABC5" w14:textId="77777777" w:rsidR="00054437" w:rsidRPr="000549B1" w:rsidRDefault="00000000">
            <w:pPr>
              <w:widowControl/>
              <w:jc w:val="center"/>
              <w:textAlignment w:val="center"/>
              <w:rPr>
                <w:szCs w:val="21"/>
              </w:rPr>
            </w:pPr>
            <w:r w:rsidRPr="000549B1">
              <w:rPr>
                <w:kern w:val="0"/>
                <w:szCs w:val="21"/>
                <w:lang w:bidi="ar"/>
              </w:rPr>
              <w:t>0.02</w:t>
            </w:r>
          </w:p>
        </w:tc>
      </w:tr>
      <w:tr w:rsidR="00054437" w:rsidRPr="000549B1" w14:paraId="4AB77DF1" w14:textId="77777777">
        <w:trPr>
          <w:trHeight w:val="480"/>
        </w:trPr>
        <w:tc>
          <w:tcPr>
            <w:tcW w:w="317" w:type="pct"/>
            <w:vMerge/>
            <w:tcBorders>
              <w:top w:val="single" w:sz="4" w:space="0" w:color="000000"/>
              <w:left w:val="single" w:sz="4" w:space="0" w:color="000000"/>
              <w:bottom w:val="single" w:sz="4" w:space="0" w:color="000000"/>
              <w:right w:val="single" w:sz="4" w:space="0" w:color="000000"/>
            </w:tcBorders>
            <w:noWrap/>
            <w:vAlign w:val="center"/>
          </w:tcPr>
          <w:p w14:paraId="63AF8565" w14:textId="77777777" w:rsidR="00054437" w:rsidRPr="000549B1" w:rsidRDefault="00054437">
            <w:pPr>
              <w:jc w:val="center"/>
              <w:rPr>
                <w:szCs w:val="21"/>
              </w:rPr>
            </w:pPr>
          </w:p>
        </w:tc>
        <w:tc>
          <w:tcPr>
            <w:tcW w:w="786" w:type="pct"/>
            <w:tcBorders>
              <w:top w:val="single" w:sz="4" w:space="0" w:color="000000"/>
              <w:left w:val="single" w:sz="4" w:space="0" w:color="000000"/>
              <w:bottom w:val="single" w:sz="4" w:space="0" w:color="000000"/>
              <w:right w:val="single" w:sz="4" w:space="0" w:color="000000"/>
            </w:tcBorders>
            <w:vAlign w:val="center"/>
          </w:tcPr>
          <w:p w14:paraId="5F9D4EE1" w14:textId="77777777" w:rsidR="00054437" w:rsidRPr="000549B1" w:rsidRDefault="00000000">
            <w:pPr>
              <w:widowControl/>
              <w:jc w:val="center"/>
              <w:textAlignment w:val="center"/>
              <w:rPr>
                <w:szCs w:val="21"/>
              </w:rPr>
            </w:pPr>
            <w:r w:rsidRPr="000549B1">
              <w:rPr>
                <w:kern w:val="0"/>
                <w:szCs w:val="21"/>
                <w:lang w:bidi="ar"/>
              </w:rPr>
              <w:t>其中：沙珠玉河流域</w:t>
            </w:r>
          </w:p>
        </w:tc>
        <w:tc>
          <w:tcPr>
            <w:tcW w:w="552" w:type="pct"/>
            <w:tcBorders>
              <w:top w:val="single" w:sz="4" w:space="0" w:color="000000"/>
              <w:left w:val="single" w:sz="4" w:space="0" w:color="000000"/>
              <w:bottom w:val="single" w:sz="4" w:space="0" w:color="000000"/>
              <w:right w:val="single" w:sz="4" w:space="0" w:color="000000"/>
            </w:tcBorders>
            <w:noWrap/>
            <w:vAlign w:val="center"/>
          </w:tcPr>
          <w:p w14:paraId="30E7E9C0" w14:textId="77777777" w:rsidR="00054437" w:rsidRPr="000549B1" w:rsidRDefault="00000000">
            <w:pPr>
              <w:widowControl/>
              <w:jc w:val="center"/>
              <w:textAlignment w:val="center"/>
              <w:rPr>
                <w:szCs w:val="21"/>
              </w:rPr>
            </w:pPr>
            <w:r w:rsidRPr="000549B1">
              <w:rPr>
                <w:kern w:val="0"/>
                <w:szCs w:val="21"/>
                <w:lang w:bidi="ar"/>
              </w:rPr>
              <w:t>3.07</w:t>
            </w:r>
          </w:p>
        </w:tc>
        <w:tc>
          <w:tcPr>
            <w:tcW w:w="870" w:type="pct"/>
            <w:tcBorders>
              <w:top w:val="single" w:sz="4" w:space="0" w:color="000000"/>
              <w:left w:val="single" w:sz="4" w:space="0" w:color="000000"/>
              <w:bottom w:val="single" w:sz="4" w:space="0" w:color="000000"/>
              <w:right w:val="single" w:sz="4" w:space="0" w:color="000000"/>
            </w:tcBorders>
            <w:noWrap/>
            <w:vAlign w:val="center"/>
          </w:tcPr>
          <w:p w14:paraId="4BFF46B0" w14:textId="77777777" w:rsidR="00054437" w:rsidRPr="000549B1" w:rsidRDefault="00000000">
            <w:pPr>
              <w:widowControl/>
              <w:jc w:val="center"/>
              <w:textAlignment w:val="center"/>
              <w:rPr>
                <w:szCs w:val="21"/>
              </w:rPr>
            </w:pPr>
            <w:r w:rsidRPr="000549B1">
              <w:rPr>
                <w:kern w:val="0"/>
                <w:szCs w:val="21"/>
                <w:lang w:bidi="ar"/>
              </w:rPr>
              <w:t>32.56</w:t>
            </w:r>
          </w:p>
        </w:tc>
        <w:tc>
          <w:tcPr>
            <w:tcW w:w="220" w:type="pct"/>
            <w:tcBorders>
              <w:top w:val="single" w:sz="4" w:space="0" w:color="000000"/>
              <w:left w:val="single" w:sz="4" w:space="0" w:color="000000"/>
              <w:bottom w:val="single" w:sz="4" w:space="0" w:color="000000"/>
              <w:right w:val="single" w:sz="4" w:space="0" w:color="000000"/>
            </w:tcBorders>
            <w:noWrap/>
            <w:vAlign w:val="center"/>
          </w:tcPr>
          <w:p w14:paraId="1B47A2E9" w14:textId="77777777" w:rsidR="00054437" w:rsidRPr="000549B1" w:rsidRDefault="00000000">
            <w:pPr>
              <w:widowControl/>
              <w:jc w:val="center"/>
              <w:textAlignment w:val="center"/>
              <w:rPr>
                <w:szCs w:val="21"/>
              </w:rPr>
            </w:pPr>
            <w:r w:rsidRPr="000549B1">
              <w:rPr>
                <w:kern w:val="0"/>
                <w:szCs w:val="21"/>
                <w:lang w:bidi="ar"/>
              </w:rPr>
              <w:t>0.98</w:t>
            </w:r>
          </w:p>
        </w:tc>
        <w:tc>
          <w:tcPr>
            <w:tcW w:w="239" w:type="pct"/>
            <w:tcBorders>
              <w:top w:val="single" w:sz="4" w:space="0" w:color="000000"/>
              <w:left w:val="single" w:sz="4" w:space="0" w:color="000000"/>
              <w:bottom w:val="single" w:sz="4" w:space="0" w:color="000000"/>
              <w:right w:val="single" w:sz="4" w:space="0" w:color="000000"/>
            </w:tcBorders>
            <w:noWrap/>
            <w:vAlign w:val="center"/>
          </w:tcPr>
          <w:p w14:paraId="2641775F" w14:textId="77777777" w:rsidR="00054437" w:rsidRPr="000549B1" w:rsidRDefault="00000000">
            <w:pPr>
              <w:widowControl/>
              <w:jc w:val="center"/>
              <w:textAlignment w:val="center"/>
              <w:rPr>
                <w:szCs w:val="21"/>
              </w:rPr>
            </w:pPr>
            <w:r w:rsidRPr="000549B1">
              <w:rPr>
                <w:kern w:val="0"/>
                <w:szCs w:val="21"/>
                <w:lang w:bidi="ar"/>
              </w:rPr>
              <w:t>0.05</w:t>
            </w:r>
          </w:p>
        </w:tc>
        <w:tc>
          <w:tcPr>
            <w:tcW w:w="239" w:type="pct"/>
            <w:tcBorders>
              <w:top w:val="single" w:sz="4" w:space="0" w:color="000000"/>
              <w:left w:val="single" w:sz="4" w:space="0" w:color="000000"/>
              <w:bottom w:val="single" w:sz="4" w:space="0" w:color="000000"/>
              <w:right w:val="single" w:sz="4" w:space="0" w:color="000000"/>
            </w:tcBorders>
            <w:noWrap/>
            <w:vAlign w:val="center"/>
          </w:tcPr>
          <w:p w14:paraId="388D503A" w14:textId="77777777" w:rsidR="00054437" w:rsidRPr="000549B1" w:rsidRDefault="00000000">
            <w:pPr>
              <w:widowControl/>
              <w:jc w:val="center"/>
              <w:textAlignment w:val="center"/>
              <w:rPr>
                <w:szCs w:val="21"/>
              </w:rPr>
            </w:pPr>
            <w:r w:rsidRPr="000549B1">
              <w:rPr>
                <w:kern w:val="0"/>
                <w:szCs w:val="21"/>
                <w:lang w:bidi="ar"/>
              </w:rPr>
              <w:t>0.33</w:t>
            </w:r>
          </w:p>
        </w:tc>
        <w:tc>
          <w:tcPr>
            <w:tcW w:w="260" w:type="pct"/>
            <w:tcBorders>
              <w:top w:val="single" w:sz="4" w:space="0" w:color="000000"/>
              <w:left w:val="single" w:sz="4" w:space="0" w:color="000000"/>
              <w:bottom w:val="single" w:sz="4" w:space="0" w:color="000000"/>
              <w:right w:val="single" w:sz="4" w:space="0" w:color="000000"/>
            </w:tcBorders>
            <w:noWrap/>
            <w:vAlign w:val="center"/>
          </w:tcPr>
          <w:p w14:paraId="204B9D4F" w14:textId="77777777" w:rsidR="00054437" w:rsidRPr="000549B1" w:rsidRDefault="00000000">
            <w:pPr>
              <w:widowControl/>
              <w:jc w:val="center"/>
              <w:textAlignment w:val="center"/>
              <w:rPr>
                <w:szCs w:val="21"/>
              </w:rPr>
            </w:pPr>
            <w:r w:rsidRPr="000549B1">
              <w:rPr>
                <w:kern w:val="0"/>
                <w:szCs w:val="21"/>
                <w:lang w:bidi="ar"/>
              </w:rPr>
              <w:t>0.02</w:t>
            </w:r>
          </w:p>
        </w:tc>
        <w:tc>
          <w:tcPr>
            <w:tcW w:w="474" w:type="pct"/>
            <w:tcBorders>
              <w:top w:val="single" w:sz="4" w:space="0" w:color="000000"/>
              <w:left w:val="single" w:sz="4" w:space="0" w:color="000000"/>
              <w:bottom w:val="single" w:sz="4" w:space="0" w:color="000000"/>
              <w:right w:val="single" w:sz="4" w:space="0" w:color="000000"/>
            </w:tcBorders>
            <w:noWrap/>
            <w:vAlign w:val="center"/>
          </w:tcPr>
          <w:p w14:paraId="0FDEAA2E" w14:textId="77777777" w:rsidR="00054437" w:rsidRPr="000549B1" w:rsidRDefault="00000000">
            <w:pPr>
              <w:widowControl/>
              <w:jc w:val="center"/>
              <w:textAlignment w:val="center"/>
              <w:rPr>
                <w:szCs w:val="21"/>
              </w:rPr>
            </w:pPr>
            <w:r w:rsidRPr="000549B1">
              <w:rPr>
                <w:kern w:val="0"/>
                <w:szCs w:val="21"/>
                <w:lang w:bidi="ar"/>
              </w:rPr>
              <w:t>27.97</w:t>
            </w:r>
          </w:p>
        </w:tc>
        <w:tc>
          <w:tcPr>
            <w:tcW w:w="259" w:type="pct"/>
            <w:tcBorders>
              <w:top w:val="single" w:sz="4" w:space="0" w:color="000000"/>
              <w:left w:val="single" w:sz="4" w:space="0" w:color="000000"/>
              <w:bottom w:val="single" w:sz="4" w:space="0" w:color="000000"/>
              <w:right w:val="single" w:sz="4" w:space="0" w:color="000000"/>
            </w:tcBorders>
            <w:noWrap/>
            <w:vAlign w:val="center"/>
          </w:tcPr>
          <w:p w14:paraId="6C336F50" w14:textId="77777777" w:rsidR="00054437" w:rsidRPr="000549B1" w:rsidRDefault="00000000">
            <w:pPr>
              <w:widowControl/>
              <w:jc w:val="center"/>
              <w:textAlignment w:val="center"/>
              <w:rPr>
                <w:szCs w:val="21"/>
              </w:rPr>
            </w:pPr>
            <w:r w:rsidRPr="000549B1">
              <w:rPr>
                <w:kern w:val="0"/>
                <w:szCs w:val="21"/>
                <w:lang w:bidi="ar"/>
              </w:rPr>
              <w:t>0.07</w:t>
            </w:r>
          </w:p>
        </w:tc>
        <w:tc>
          <w:tcPr>
            <w:tcW w:w="259" w:type="pct"/>
            <w:tcBorders>
              <w:top w:val="single" w:sz="4" w:space="0" w:color="000000"/>
              <w:left w:val="single" w:sz="4" w:space="0" w:color="000000"/>
              <w:bottom w:val="single" w:sz="4" w:space="0" w:color="000000"/>
              <w:right w:val="single" w:sz="4" w:space="0" w:color="000000"/>
            </w:tcBorders>
            <w:noWrap/>
            <w:vAlign w:val="center"/>
          </w:tcPr>
          <w:p w14:paraId="0C4250A5" w14:textId="77777777" w:rsidR="00054437" w:rsidRPr="000549B1" w:rsidRDefault="00000000">
            <w:pPr>
              <w:widowControl/>
              <w:jc w:val="center"/>
              <w:textAlignment w:val="center"/>
              <w:rPr>
                <w:szCs w:val="21"/>
              </w:rPr>
            </w:pPr>
            <w:r w:rsidRPr="000549B1">
              <w:rPr>
                <w:kern w:val="0"/>
                <w:szCs w:val="21"/>
                <w:lang w:bidi="ar"/>
              </w:rPr>
              <w:t>0.01</w:t>
            </w:r>
          </w:p>
        </w:tc>
        <w:tc>
          <w:tcPr>
            <w:tcW w:w="259" w:type="pct"/>
            <w:tcBorders>
              <w:top w:val="single" w:sz="4" w:space="0" w:color="000000"/>
              <w:left w:val="single" w:sz="4" w:space="0" w:color="000000"/>
              <w:bottom w:val="single" w:sz="4" w:space="0" w:color="000000"/>
              <w:right w:val="single" w:sz="4" w:space="0" w:color="000000"/>
            </w:tcBorders>
            <w:noWrap/>
            <w:vAlign w:val="center"/>
          </w:tcPr>
          <w:p w14:paraId="671C71BA" w14:textId="77777777" w:rsidR="00054437" w:rsidRPr="000549B1" w:rsidRDefault="00000000">
            <w:pPr>
              <w:widowControl/>
              <w:jc w:val="center"/>
              <w:textAlignment w:val="center"/>
              <w:rPr>
                <w:szCs w:val="21"/>
              </w:rPr>
            </w:pPr>
            <w:r w:rsidRPr="000549B1">
              <w:rPr>
                <w:kern w:val="0"/>
                <w:szCs w:val="21"/>
                <w:lang w:bidi="ar"/>
              </w:rPr>
              <w:t>0.06</w:t>
            </w:r>
          </w:p>
        </w:tc>
        <w:tc>
          <w:tcPr>
            <w:tcW w:w="259" w:type="pct"/>
            <w:tcBorders>
              <w:top w:val="single" w:sz="4" w:space="0" w:color="000000"/>
              <w:left w:val="single" w:sz="4" w:space="0" w:color="000000"/>
              <w:bottom w:val="single" w:sz="4" w:space="0" w:color="000000"/>
              <w:right w:val="single" w:sz="4" w:space="0" w:color="000000"/>
            </w:tcBorders>
            <w:noWrap/>
            <w:vAlign w:val="center"/>
          </w:tcPr>
          <w:p w14:paraId="4943D7B8" w14:textId="77777777" w:rsidR="00054437" w:rsidRPr="000549B1" w:rsidRDefault="00000000">
            <w:pPr>
              <w:widowControl/>
              <w:jc w:val="center"/>
              <w:textAlignment w:val="center"/>
              <w:rPr>
                <w:szCs w:val="21"/>
              </w:rPr>
            </w:pPr>
            <w:r w:rsidRPr="000549B1">
              <w:rPr>
                <w:kern w:val="0"/>
                <w:szCs w:val="21"/>
                <w:lang w:bidi="ar"/>
              </w:rPr>
              <w:t>0.01</w:t>
            </w:r>
          </w:p>
        </w:tc>
      </w:tr>
    </w:tbl>
    <w:p w14:paraId="7C67670E" w14:textId="77777777" w:rsidR="00054437" w:rsidRPr="000549B1" w:rsidRDefault="00054437">
      <w:pPr>
        <w:numPr>
          <w:ilvl w:val="255"/>
          <w:numId w:val="0"/>
        </w:numPr>
        <w:snapToGrid w:val="0"/>
        <w:spacing w:line="360" w:lineRule="auto"/>
        <w:rPr>
          <w:bCs/>
          <w:sz w:val="24"/>
          <w:szCs w:val="24"/>
        </w:rPr>
        <w:sectPr w:rsidR="00054437" w:rsidRPr="000549B1">
          <w:pgSz w:w="16838" w:h="11906" w:orient="landscape"/>
          <w:pgMar w:top="1800" w:right="1440" w:bottom="1800" w:left="1440" w:header="851" w:footer="992" w:gutter="0"/>
          <w:cols w:space="425"/>
          <w:docGrid w:type="lines" w:linePitch="312"/>
        </w:sectPr>
      </w:pPr>
    </w:p>
    <w:p w14:paraId="25E9827E" w14:textId="77777777" w:rsidR="00054437" w:rsidRPr="000549B1" w:rsidRDefault="00000000">
      <w:pPr>
        <w:snapToGrid w:val="0"/>
        <w:spacing w:line="360" w:lineRule="auto"/>
        <w:ind w:firstLineChars="200" w:firstLine="480"/>
        <w:rPr>
          <w:bCs/>
          <w:sz w:val="24"/>
          <w:szCs w:val="24"/>
        </w:rPr>
      </w:pPr>
      <w:r w:rsidRPr="000549B1">
        <w:rPr>
          <w:bCs/>
          <w:sz w:val="24"/>
          <w:szCs w:val="24"/>
        </w:rPr>
        <w:t>（</w:t>
      </w:r>
      <w:r w:rsidRPr="000549B1">
        <w:rPr>
          <w:bCs/>
          <w:sz w:val="24"/>
          <w:szCs w:val="24"/>
        </w:rPr>
        <w:t>2</w:t>
      </w:r>
      <w:r w:rsidRPr="000549B1">
        <w:rPr>
          <w:bCs/>
          <w:sz w:val="24"/>
          <w:szCs w:val="24"/>
        </w:rPr>
        <w:t>）农业面源污染</w:t>
      </w:r>
    </w:p>
    <w:p w14:paraId="0A3FDFBD" w14:textId="77777777" w:rsidR="00054437" w:rsidRPr="000549B1" w:rsidRDefault="00000000">
      <w:pPr>
        <w:pStyle w:val="a2"/>
        <w:spacing w:line="360" w:lineRule="auto"/>
        <w:ind w:firstLine="600"/>
        <w:rPr>
          <w:rFonts w:eastAsiaTheme="minorEastAsia"/>
          <w:bCs/>
          <w:sz w:val="24"/>
          <w:szCs w:val="24"/>
        </w:rPr>
      </w:pPr>
      <w:r w:rsidRPr="000549B1">
        <w:rPr>
          <w:rFonts w:eastAsiaTheme="minorEastAsia"/>
          <w:bCs/>
          <w:sz w:val="24"/>
          <w:szCs w:val="24"/>
        </w:rPr>
        <w:t>农田面源污染调查估算首先统计</w:t>
      </w:r>
      <w:r w:rsidRPr="000549B1">
        <w:rPr>
          <w:rFonts w:eastAsiaTheme="minorEastAsia"/>
          <w:bCs/>
          <w:sz w:val="24"/>
          <w:szCs w:val="24"/>
        </w:rPr>
        <w:t>2023</w:t>
      </w:r>
      <w:r w:rsidRPr="000549B1">
        <w:rPr>
          <w:rFonts w:eastAsiaTheme="minorEastAsia"/>
          <w:bCs/>
          <w:sz w:val="24"/>
          <w:szCs w:val="24"/>
        </w:rPr>
        <w:t>年共和县、兴海县农药、化肥的施用量和折纯量，然后再折算为有效成分。依据《</w:t>
      </w:r>
      <w:r w:rsidRPr="000549B1">
        <w:rPr>
          <w:rFonts w:eastAsiaTheme="minorEastAsia"/>
          <w:bCs/>
          <w:sz w:val="24"/>
          <w:szCs w:val="24"/>
        </w:rPr>
        <w:t>2023</w:t>
      </w:r>
      <w:r w:rsidRPr="000549B1">
        <w:rPr>
          <w:rFonts w:eastAsiaTheme="minorEastAsia"/>
          <w:bCs/>
          <w:sz w:val="24"/>
          <w:szCs w:val="24"/>
        </w:rPr>
        <w:t>年海南统计年鉴》中农作物播种面积和农村化肥施用量进行统计计算，其中：化肥以氮、磷计量，农药以有机氯、有机磷计量。在计算有效成分的基础上，采用化肥、农药流失参数估算当地的化肥、农药流失量，其中复合肥的折纯量按照氮、磷、钾有效成分的含量</w:t>
      </w:r>
      <w:r w:rsidRPr="000549B1">
        <w:rPr>
          <w:rFonts w:eastAsiaTheme="minorEastAsia"/>
          <w:bCs/>
          <w:sz w:val="24"/>
          <w:szCs w:val="24"/>
        </w:rPr>
        <w:t>1:1:1</w:t>
      </w:r>
      <w:r w:rsidRPr="000549B1">
        <w:rPr>
          <w:rFonts w:eastAsiaTheme="minorEastAsia"/>
          <w:bCs/>
          <w:sz w:val="24"/>
          <w:szCs w:val="24"/>
        </w:rPr>
        <w:t>的比例进行折合，折纯系数为</w:t>
      </w:r>
      <w:r w:rsidRPr="000549B1">
        <w:rPr>
          <w:rFonts w:eastAsiaTheme="minorEastAsia"/>
          <w:bCs/>
          <w:sz w:val="24"/>
          <w:szCs w:val="24"/>
        </w:rPr>
        <w:t>30%</w:t>
      </w:r>
      <w:r w:rsidRPr="000549B1">
        <w:rPr>
          <w:rFonts w:eastAsiaTheme="minorEastAsia"/>
          <w:bCs/>
          <w:sz w:val="24"/>
          <w:szCs w:val="24"/>
        </w:rPr>
        <w:t>。最后在计算得出的流失量基础上，利用入河系数估算农药、化肥的入河量。</w:t>
      </w:r>
    </w:p>
    <w:p w14:paraId="4F76FF78" w14:textId="77777777" w:rsidR="00054437" w:rsidRPr="000549B1" w:rsidRDefault="00000000">
      <w:pPr>
        <w:pStyle w:val="a2"/>
        <w:spacing w:line="360" w:lineRule="auto"/>
        <w:ind w:firstLine="600"/>
        <w:rPr>
          <w:rFonts w:eastAsiaTheme="minorEastAsia"/>
          <w:bCs/>
          <w:sz w:val="24"/>
          <w:szCs w:val="24"/>
        </w:rPr>
      </w:pPr>
      <w:r w:rsidRPr="000549B1">
        <w:rPr>
          <w:rFonts w:eastAsiaTheme="minorEastAsia"/>
          <w:bCs/>
          <w:sz w:val="24"/>
          <w:szCs w:val="24"/>
        </w:rPr>
        <w:t>经调查，共和县、兴海县目前使用的大部分农药均为有机磷农药，有机氯农药因有剧毒，故使用量较少。因此，本次估算有机磷农药和有机氯农药按</w:t>
      </w:r>
      <w:r w:rsidRPr="000549B1">
        <w:rPr>
          <w:rFonts w:eastAsiaTheme="minorEastAsia"/>
          <w:bCs/>
          <w:sz w:val="24"/>
          <w:szCs w:val="24"/>
        </w:rPr>
        <w:t>4:1</w:t>
      </w:r>
      <w:r w:rsidRPr="000549B1">
        <w:rPr>
          <w:rFonts w:eastAsiaTheme="minorEastAsia"/>
          <w:bCs/>
          <w:sz w:val="24"/>
          <w:szCs w:val="24"/>
        </w:rPr>
        <w:t>的比例对农药施用总量进行拆分，有机磷农药按施用总量的</w:t>
      </w:r>
      <w:r w:rsidRPr="000549B1">
        <w:rPr>
          <w:rFonts w:eastAsiaTheme="minorEastAsia"/>
          <w:bCs/>
          <w:sz w:val="24"/>
          <w:szCs w:val="24"/>
        </w:rPr>
        <w:t>80%</w:t>
      </w:r>
      <w:r w:rsidRPr="000549B1">
        <w:rPr>
          <w:rFonts w:eastAsiaTheme="minorEastAsia"/>
          <w:bCs/>
          <w:sz w:val="24"/>
          <w:szCs w:val="24"/>
        </w:rPr>
        <w:t>计，有机氯农药按施用量的</w:t>
      </w:r>
      <w:r w:rsidRPr="000549B1">
        <w:rPr>
          <w:rFonts w:eastAsiaTheme="minorEastAsia"/>
          <w:bCs/>
          <w:sz w:val="24"/>
          <w:szCs w:val="24"/>
        </w:rPr>
        <w:t>20%</w:t>
      </w:r>
      <w:r w:rsidRPr="000549B1">
        <w:rPr>
          <w:rFonts w:eastAsiaTheme="minorEastAsia"/>
          <w:bCs/>
          <w:sz w:val="24"/>
          <w:szCs w:val="24"/>
        </w:rPr>
        <w:t>计。农药有效成分在施用量的基础上估算，有机氯、有机磷含量分别按施用量的</w:t>
      </w:r>
      <w:r w:rsidRPr="000549B1">
        <w:rPr>
          <w:rFonts w:eastAsiaTheme="minorEastAsia"/>
          <w:bCs/>
          <w:sz w:val="24"/>
          <w:szCs w:val="24"/>
        </w:rPr>
        <w:t>2.5%</w:t>
      </w:r>
      <w:r w:rsidRPr="000549B1">
        <w:rPr>
          <w:rFonts w:eastAsiaTheme="minorEastAsia"/>
          <w:bCs/>
          <w:sz w:val="24"/>
          <w:szCs w:val="24"/>
        </w:rPr>
        <w:t>、</w:t>
      </w:r>
      <w:r w:rsidRPr="000549B1">
        <w:rPr>
          <w:rFonts w:eastAsiaTheme="minorEastAsia"/>
          <w:bCs/>
          <w:sz w:val="24"/>
          <w:szCs w:val="24"/>
        </w:rPr>
        <w:t>2.8%</w:t>
      </w:r>
      <w:r w:rsidRPr="000549B1">
        <w:rPr>
          <w:rFonts w:eastAsiaTheme="minorEastAsia"/>
          <w:bCs/>
          <w:sz w:val="24"/>
          <w:szCs w:val="24"/>
        </w:rPr>
        <w:t>计。</w:t>
      </w:r>
    </w:p>
    <w:p w14:paraId="23338612" w14:textId="77777777" w:rsidR="00054437" w:rsidRPr="000549B1" w:rsidRDefault="00000000">
      <w:pPr>
        <w:pStyle w:val="a2"/>
        <w:spacing w:line="360" w:lineRule="auto"/>
        <w:ind w:firstLine="600"/>
        <w:rPr>
          <w:rFonts w:eastAsiaTheme="minorEastAsia"/>
          <w:bCs/>
          <w:sz w:val="24"/>
          <w:szCs w:val="24"/>
        </w:rPr>
      </w:pPr>
      <w:r w:rsidRPr="000549B1">
        <w:rPr>
          <w:rFonts w:eastAsiaTheme="minorEastAsia"/>
          <w:bCs/>
          <w:sz w:val="24"/>
          <w:szCs w:val="24"/>
        </w:rPr>
        <w:t>根据《细则》，化肥流失量按以下公式计算：</w:t>
      </w:r>
    </w:p>
    <w:p w14:paraId="0AAB3476" w14:textId="77777777" w:rsidR="00054437" w:rsidRPr="000549B1" w:rsidRDefault="00000000">
      <w:pPr>
        <w:pStyle w:val="a2"/>
        <w:spacing w:line="360" w:lineRule="auto"/>
        <w:ind w:firstLine="600"/>
        <w:rPr>
          <w:rFonts w:eastAsiaTheme="minorEastAsia"/>
          <w:bCs/>
          <w:sz w:val="24"/>
          <w:szCs w:val="24"/>
        </w:rPr>
      </w:pPr>
      <w:r w:rsidRPr="000549B1">
        <w:rPr>
          <w:rFonts w:eastAsiaTheme="minorEastAsia"/>
          <w:bCs/>
          <w:sz w:val="24"/>
          <w:szCs w:val="24"/>
        </w:rPr>
        <w:t>COD</w:t>
      </w:r>
      <w:r w:rsidRPr="000549B1">
        <w:rPr>
          <w:rFonts w:eastAsiaTheme="minorEastAsia"/>
          <w:bCs/>
          <w:sz w:val="24"/>
          <w:szCs w:val="24"/>
        </w:rPr>
        <w:t>＝氮肥有效成分</w:t>
      </w:r>
      <w:r w:rsidRPr="000549B1">
        <w:rPr>
          <w:rFonts w:eastAsiaTheme="minorEastAsia"/>
          <w:bCs/>
          <w:sz w:val="24"/>
          <w:szCs w:val="24"/>
        </w:rPr>
        <w:t>×80%×10%</w:t>
      </w:r>
      <w:r w:rsidRPr="000549B1">
        <w:rPr>
          <w:rFonts w:eastAsiaTheme="minorEastAsia"/>
          <w:bCs/>
          <w:sz w:val="24"/>
          <w:szCs w:val="24"/>
        </w:rPr>
        <w:t>；</w:t>
      </w:r>
    </w:p>
    <w:p w14:paraId="65085720" w14:textId="77777777" w:rsidR="00054437" w:rsidRPr="000549B1" w:rsidRDefault="00000000">
      <w:pPr>
        <w:pStyle w:val="a2"/>
        <w:spacing w:line="360" w:lineRule="auto"/>
        <w:ind w:firstLine="600"/>
        <w:rPr>
          <w:rFonts w:eastAsiaTheme="minorEastAsia"/>
          <w:bCs/>
          <w:sz w:val="24"/>
          <w:szCs w:val="24"/>
        </w:rPr>
      </w:pPr>
      <w:r w:rsidRPr="000549B1">
        <w:rPr>
          <w:rFonts w:eastAsiaTheme="minorEastAsia"/>
          <w:bCs/>
          <w:sz w:val="24"/>
          <w:szCs w:val="24"/>
        </w:rPr>
        <w:t>氨氮＝氮肥有效成分</w:t>
      </w:r>
      <w:r w:rsidRPr="000549B1">
        <w:rPr>
          <w:rFonts w:eastAsiaTheme="minorEastAsia"/>
          <w:bCs/>
          <w:sz w:val="24"/>
          <w:szCs w:val="24"/>
        </w:rPr>
        <w:t>×20%×10%</w:t>
      </w:r>
      <w:r w:rsidRPr="000549B1">
        <w:rPr>
          <w:rFonts w:eastAsiaTheme="minorEastAsia"/>
          <w:bCs/>
          <w:sz w:val="24"/>
          <w:szCs w:val="24"/>
        </w:rPr>
        <w:t>；</w:t>
      </w:r>
    </w:p>
    <w:p w14:paraId="0C0352AD" w14:textId="77777777" w:rsidR="00054437" w:rsidRPr="000549B1" w:rsidRDefault="00000000">
      <w:pPr>
        <w:pStyle w:val="a2"/>
        <w:spacing w:line="360" w:lineRule="auto"/>
        <w:ind w:firstLine="600"/>
        <w:rPr>
          <w:rFonts w:eastAsiaTheme="minorEastAsia"/>
          <w:bCs/>
          <w:sz w:val="24"/>
          <w:szCs w:val="24"/>
        </w:rPr>
      </w:pPr>
      <w:r w:rsidRPr="000549B1">
        <w:rPr>
          <w:rFonts w:eastAsiaTheme="minorEastAsia"/>
          <w:bCs/>
          <w:sz w:val="24"/>
          <w:szCs w:val="24"/>
        </w:rPr>
        <w:t>总氮＝氮肥有效成分</w:t>
      </w:r>
      <w:r w:rsidRPr="000549B1">
        <w:rPr>
          <w:rFonts w:eastAsiaTheme="minorEastAsia"/>
          <w:bCs/>
          <w:sz w:val="24"/>
          <w:szCs w:val="24"/>
        </w:rPr>
        <w:t>×20%</w:t>
      </w:r>
      <w:r w:rsidRPr="000549B1">
        <w:rPr>
          <w:rFonts w:eastAsiaTheme="minorEastAsia"/>
          <w:bCs/>
          <w:sz w:val="24"/>
          <w:szCs w:val="24"/>
        </w:rPr>
        <w:t>；</w:t>
      </w:r>
    </w:p>
    <w:p w14:paraId="76876779" w14:textId="77777777" w:rsidR="00054437" w:rsidRPr="000549B1" w:rsidRDefault="00000000">
      <w:pPr>
        <w:pStyle w:val="a2"/>
        <w:spacing w:line="360" w:lineRule="auto"/>
        <w:ind w:firstLine="600"/>
        <w:rPr>
          <w:rFonts w:eastAsiaTheme="minorEastAsia"/>
          <w:bCs/>
          <w:sz w:val="24"/>
          <w:szCs w:val="24"/>
        </w:rPr>
      </w:pPr>
      <w:r w:rsidRPr="000549B1">
        <w:rPr>
          <w:rFonts w:eastAsiaTheme="minorEastAsia"/>
          <w:bCs/>
          <w:sz w:val="24"/>
          <w:szCs w:val="24"/>
        </w:rPr>
        <w:t>总磷＝磷肥有效成分</w:t>
      </w:r>
      <w:r w:rsidRPr="000549B1">
        <w:rPr>
          <w:rFonts w:eastAsiaTheme="minorEastAsia"/>
          <w:bCs/>
          <w:sz w:val="24"/>
          <w:szCs w:val="24"/>
        </w:rPr>
        <w:t>×15%</w:t>
      </w:r>
      <w:r w:rsidRPr="000549B1">
        <w:rPr>
          <w:rFonts w:eastAsiaTheme="minorEastAsia"/>
          <w:bCs/>
          <w:sz w:val="24"/>
          <w:szCs w:val="24"/>
        </w:rPr>
        <w:t>计算。</w:t>
      </w:r>
    </w:p>
    <w:p w14:paraId="439988BD" w14:textId="77777777" w:rsidR="00054437" w:rsidRPr="000549B1" w:rsidRDefault="00000000">
      <w:pPr>
        <w:pStyle w:val="a2"/>
        <w:spacing w:line="360" w:lineRule="auto"/>
        <w:ind w:firstLine="600"/>
        <w:rPr>
          <w:rFonts w:eastAsiaTheme="minorEastAsia"/>
          <w:bCs/>
          <w:sz w:val="24"/>
          <w:szCs w:val="24"/>
        </w:rPr>
      </w:pPr>
      <w:r w:rsidRPr="000549B1">
        <w:rPr>
          <w:rFonts w:eastAsiaTheme="minorEastAsia"/>
          <w:bCs/>
          <w:sz w:val="24"/>
          <w:szCs w:val="24"/>
        </w:rPr>
        <w:t>农药在使用过程中的损失主要是漂移、挥发以及农药从土壤、植物和水体中的蒸发损失，其中漂移、挥发损失一般约占农药使用量的</w:t>
      </w:r>
      <w:r w:rsidRPr="000549B1">
        <w:rPr>
          <w:rFonts w:eastAsiaTheme="minorEastAsia"/>
          <w:bCs/>
          <w:sz w:val="24"/>
          <w:szCs w:val="24"/>
        </w:rPr>
        <w:t>25%</w:t>
      </w:r>
      <w:r w:rsidRPr="000549B1">
        <w:rPr>
          <w:rFonts w:eastAsiaTheme="minorEastAsia"/>
          <w:bCs/>
          <w:sz w:val="24"/>
          <w:szCs w:val="24"/>
        </w:rPr>
        <w:t>左右，土壤蒸发一般约占</w:t>
      </w:r>
      <w:r w:rsidRPr="000549B1">
        <w:rPr>
          <w:rFonts w:eastAsiaTheme="minorEastAsia"/>
          <w:bCs/>
          <w:sz w:val="24"/>
          <w:szCs w:val="24"/>
        </w:rPr>
        <w:t>3</w:t>
      </w:r>
      <w:r w:rsidRPr="000549B1">
        <w:rPr>
          <w:rFonts w:eastAsiaTheme="minorEastAsia"/>
          <w:bCs/>
          <w:sz w:val="24"/>
          <w:szCs w:val="24"/>
        </w:rPr>
        <w:t>～</w:t>
      </w:r>
      <w:r w:rsidRPr="000549B1">
        <w:rPr>
          <w:rFonts w:eastAsiaTheme="minorEastAsia"/>
          <w:bCs/>
          <w:sz w:val="24"/>
          <w:szCs w:val="24"/>
        </w:rPr>
        <w:t>5%</w:t>
      </w:r>
      <w:r w:rsidRPr="000549B1">
        <w:rPr>
          <w:rFonts w:eastAsiaTheme="minorEastAsia"/>
          <w:bCs/>
          <w:sz w:val="24"/>
          <w:szCs w:val="24"/>
        </w:rPr>
        <w:t>，植物蒸发约占</w:t>
      </w:r>
      <w:r w:rsidRPr="000549B1">
        <w:rPr>
          <w:rFonts w:eastAsiaTheme="minorEastAsia"/>
          <w:bCs/>
          <w:sz w:val="24"/>
          <w:szCs w:val="24"/>
        </w:rPr>
        <w:t>10%</w:t>
      </w:r>
      <w:r w:rsidRPr="000549B1">
        <w:rPr>
          <w:rFonts w:eastAsiaTheme="minorEastAsia"/>
          <w:bCs/>
          <w:sz w:val="24"/>
          <w:szCs w:val="24"/>
        </w:rPr>
        <w:t>左右。根据《细则》，农药流失量以农药有效成分的</w:t>
      </w:r>
      <w:r w:rsidRPr="000549B1">
        <w:rPr>
          <w:rFonts w:eastAsiaTheme="minorEastAsia"/>
          <w:bCs/>
          <w:sz w:val="24"/>
          <w:szCs w:val="24"/>
        </w:rPr>
        <w:t>20%</w:t>
      </w:r>
      <w:r w:rsidRPr="000549B1">
        <w:rPr>
          <w:rFonts w:eastAsiaTheme="minorEastAsia"/>
          <w:bCs/>
          <w:sz w:val="24"/>
          <w:szCs w:val="24"/>
        </w:rPr>
        <w:t>左右估算。</w:t>
      </w:r>
    </w:p>
    <w:p w14:paraId="741F9732" w14:textId="19CA11C6" w:rsidR="00054437" w:rsidRPr="000549B1" w:rsidRDefault="00000000">
      <w:pPr>
        <w:pStyle w:val="a2"/>
        <w:spacing w:line="360" w:lineRule="auto"/>
        <w:ind w:firstLine="600"/>
        <w:rPr>
          <w:rFonts w:eastAsiaTheme="minorEastAsia"/>
          <w:bCs/>
          <w:sz w:val="24"/>
          <w:szCs w:val="24"/>
        </w:rPr>
      </w:pPr>
      <w:r w:rsidRPr="000549B1">
        <w:rPr>
          <w:rFonts w:eastAsiaTheme="minorEastAsia"/>
          <w:bCs/>
          <w:sz w:val="24"/>
          <w:szCs w:val="24"/>
        </w:rPr>
        <w:t>综合以上分析，并根据具体情况，确定流失系数，见</w:t>
      </w:r>
      <w:r w:rsidR="00372953" w:rsidRPr="00372953">
        <w:rPr>
          <w:rFonts w:eastAsiaTheme="minorEastAsia"/>
          <w:bCs/>
          <w:sz w:val="24"/>
          <w:szCs w:val="24"/>
        </w:rPr>
        <w:t>表</w:t>
      </w:r>
      <w:r w:rsidR="00372953" w:rsidRPr="00372953">
        <w:rPr>
          <w:rFonts w:eastAsiaTheme="minorEastAsia"/>
          <w:bCs/>
          <w:sz w:val="24"/>
          <w:szCs w:val="24"/>
        </w:rPr>
        <w:t>3.3</w:t>
      </w:r>
      <w:r w:rsidR="00372953" w:rsidRPr="00372953">
        <w:rPr>
          <w:rFonts w:eastAsiaTheme="minorEastAsia"/>
          <w:bCs/>
          <w:sz w:val="24"/>
          <w:szCs w:val="24"/>
        </w:rPr>
        <w:noBreakHyphen/>
        <w:t>10</w:t>
      </w:r>
      <w:r w:rsidRPr="000549B1">
        <w:rPr>
          <w:rFonts w:eastAsiaTheme="minorEastAsia"/>
          <w:bCs/>
          <w:sz w:val="24"/>
          <w:szCs w:val="24"/>
        </w:rPr>
        <w:t>。</w:t>
      </w:r>
    </w:p>
    <w:p w14:paraId="7AF83F83" w14:textId="557659B9" w:rsidR="00054437" w:rsidRPr="000549B1" w:rsidRDefault="00000000">
      <w:pPr>
        <w:pStyle w:val="aff8"/>
        <w:rPr>
          <w:color w:val="auto"/>
        </w:rPr>
      </w:pPr>
      <w:bookmarkStart w:id="223" w:name="_Ref214978431"/>
      <w:r w:rsidRPr="000549B1">
        <w:rPr>
          <w:color w:val="auto"/>
        </w:rPr>
        <w:t>表</w:t>
      </w:r>
      <w:r w:rsidR="00372953">
        <w:rPr>
          <w:color w:val="auto"/>
        </w:rPr>
        <w:fldChar w:fldCharType="begin"/>
      </w:r>
      <w:r w:rsidR="00372953">
        <w:rPr>
          <w:color w:val="auto"/>
        </w:rPr>
        <w:instrText xml:space="preserve"> STYLEREF 2 \s </w:instrText>
      </w:r>
      <w:r w:rsidR="00372953">
        <w:rPr>
          <w:color w:val="auto"/>
        </w:rPr>
        <w:fldChar w:fldCharType="separate"/>
      </w:r>
      <w:r w:rsidR="00372953">
        <w:rPr>
          <w:noProof/>
          <w:color w:val="auto"/>
        </w:rPr>
        <w:t>3.3</w:t>
      </w:r>
      <w:r w:rsidR="00372953">
        <w:rPr>
          <w:color w:val="auto"/>
        </w:rPr>
        <w:fldChar w:fldCharType="end"/>
      </w:r>
      <w:r w:rsidR="00372953">
        <w:rPr>
          <w:color w:val="auto"/>
        </w:rPr>
        <w:noBreakHyphen/>
      </w:r>
      <w:r w:rsidR="00372953">
        <w:rPr>
          <w:color w:val="auto"/>
        </w:rPr>
        <w:fldChar w:fldCharType="begin"/>
      </w:r>
      <w:r w:rsidR="00372953">
        <w:rPr>
          <w:color w:val="auto"/>
        </w:rPr>
        <w:instrText xml:space="preserve"> SEQ </w:instrText>
      </w:r>
      <w:r w:rsidR="00372953">
        <w:rPr>
          <w:color w:val="auto"/>
        </w:rPr>
        <w:instrText>表</w:instrText>
      </w:r>
      <w:r w:rsidR="00372953">
        <w:rPr>
          <w:color w:val="auto"/>
        </w:rPr>
        <w:instrText xml:space="preserve"> \* ARABIC \s 2 </w:instrText>
      </w:r>
      <w:r w:rsidR="00372953">
        <w:rPr>
          <w:color w:val="auto"/>
        </w:rPr>
        <w:fldChar w:fldCharType="separate"/>
      </w:r>
      <w:r w:rsidR="00372953">
        <w:rPr>
          <w:noProof/>
          <w:color w:val="auto"/>
        </w:rPr>
        <w:t>10</w:t>
      </w:r>
      <w:r w:rsidR="00372953">
        <w:rPr>
          <w:color w:val="auto"/>
        </w:rPr>
        <w:fldChar w:fldCharType="end"/>
      </w:r>
      <w:bookmarkEnd w:id="223"/>
      <w:r w:rsidRPr="000549B1">
        <w:rPr>
          <w:color w:val="auto"/>
        </w:rPr>
        <w:t>农田面源流失系数取值</w:t>
      </w:r>
    </w:p>
    <w:tbl>
      <w:tblPr>
        <w:tblW w:w="4998" w:type="pct"/>
        <w:jc w:val="center"/>
        <w:tblBorders>
          <w:top w:val="single" w:sz="4" w:space="0" w:color="auto"/>
          <w:left w:val="none" w:sz="6" w:space="0" w:color="auto"/>
          <w:bottom w:val="single" w:sz="4" w:space="0" w:color="auto"/>
          <w:right w:val="none" w:sz="6" w:space="0" w:color="auto"/>
          <w:insideH w:val="single" w:sz="4" w:space="0" w:color="auto"/>
          <w:insideV w:val="single" w:sz="4" w:space="0" w:color="auto"/>
        </w:tblBorders>
        <w:tblLook w:val="04A0" w:firstRow="1" w:lastRow="0" w:firstColumn="1" w:lastColumn="0" w:noHBand="0" w:noVBand="1"/>
      </w:tblPr>
      <w:tblGrid>
        <w:gridCol w:w="1705"/>
        <w:gridCol w:w="2317"/>
        <w:gridCol w:w="4271"/>
      </w:tblGrid>
      <w:tr w:rsidR="000549B1" w:rsidRPr="000549B1" w14:paraId="21E6E26F" w14:textId="77777777">
        <w:trPr>
          <w:trHeight w:val="397"/>
          <w:jc w:val="center"/>
        </w:trPr>
        <w:tc>
          <w:tcPr>
            <w:tcW w:w="1028" w:type="pct"/>
            <w:tcBorders>
              <w:top w:val="single" w:sz="4" w:space="0" w:color="auto"/>
              <w:left w:val="single" w:sz="4" w:space="0" w:color="auto"/>
              <w:bottom w:val="single" w:sz="4" w:space="0" w:color="auto"/>
              <w:right w:val="single" w:sz="4" w:space="0" w:color="auto"/>
            </w:tcBorders>
            <w:vAlign w:val="center"/>
          </w:tcPr>
          <w:p w14:paraId="20A98997" w14:textId="77777777" w:rsidR="00054437" w:rsidRPr="000549B1" w:rsidRDefault="00000000">
            <w:pPr>
              <w:widowControl/>
              <w:jc w:val="center"/>
              <w:textAlignment w:val="center"/>
              <w:rPr>
                <w:rFonts w:eastAsiaTheme="minorEastAsia"/>
                <w:b/>
                <w:kern w:val="0"/>
                <w:szCs w:val="21"/>
              </w:rPr>
            </w:pPr>
            <w:r w:rsidRPr="000549B1">
              <w:rPr>
                <w:rFonts w:eastAsiaTheme="minorEastAsia"/>
                <w:b/>
                <w:kern w:val="0"/>
                <w:szCs w:val="21"/>
              </w:rPr>
              <w:t>系数种类</w:t>
            </w:r>
          </w:p>
        </w:tc>
        <w:tc>
          <w:tcPr>
            <w:tcW w:w="1397" w:type="pct"/>
            <w:tcBorders>
              <w:top w:val="single" w:sz="4" w:space="0" w:color="auto"/>
              <w:left w:val="single" w:sz="4" w:space="0" w:color="auto"/>
              <w:bottom w:val="single" w:sz="4" w:space="0" w:color="auto"/>
              <w:right w:val="single" w:sz="4" w:space="0" w:color="auto"/>
            </w:tcBorders>
            <w:vAlign w:val="center"/>
          </w:tcPr>
          <w:p w14:paraId="23102938" w14:textId="77777777" w:rsidR="00054437" w:rsidRPr="000549B1" w:rsidRDefault="00000000">
            <w:pPr>
              <w:widowControl/>
              <w:jc w:val="center"/>
              <w:textAlignment w:val="center"/>
              <w:rPr>
                <w:rFonts w:eastAsiaTheme="minorEastAsia"/>
                <w:b/>
                <w:kern w:val="0"/>
                <w:szCs w:val="21"/>
              </w:rPr>
            </w:pPr>
            <w:r w:rsidRPr="000549B1">
              <w:rPr>
                <w:rFonts w:eastAsiaTheme="minorEastAsia"/>
                <w:b/>
                <w:kern w:val="0"/>
                <w:szCs w:val="21"/>
              </w:rPr>
              <w:t>污染物名称</w:t>
            </w:r>
          </w:p>
        </w:tc>
        <w:tc>
          <w:tcPr>
            <w:tcW w:w="2574" w:type="pct"/>
            <w:tcBorders>
              <w:top w:val="single" w:sz="4" w:space="0" w:color="auto"/>
              <w:left w:val="single" w:sz="4" w:space="0" w:color="auto"/>
              <w:bottom w:val="single" w:sz="4" w:space="0" w:color="auto"/>
              <w:right w:val="single" w:sz="4" w:space="0" w:color="auto"/>
            </w:tcBorders>
            <w:vAlign w:val="center"/>
          </w:tcPr>
          <w:p w14:paraId="3E0A0822" w14:textId="77777777" w:rsidR="00054437" w:rsidRPr="000549B1" w:rsidRDefault="00000000">
            <w:pPr>
              <w:widowControl/>
              <w:jc w:val="center"/>
              <w:textAlignment w:val="center"/>
              <w:rPr>
                <w:rFonts w:eastAsiaTheme="minorEastAsia"/>
                <w:b/>
                <w:kern w:val="0"/>
                <w:szCs w:val="21"/>
              </w:rPr>
            </w:pPr>
            <w:r w:rsidRPr="000549B1">
              <w:rPr>
                <w:rFonts w:eastAsiaTheme="minorEastAsia"/>
                <w:b/>
                <w:kern w:val="0"/>
                <w:szCs w:val="21"/>
              </w:rPr>
              <w:t>系数值</w:t>
            </w:r>
          </w:p>
        </w:tc>
      </w:tr>
      <w:tr w:rsidR="000549B1" w:rsidRPr="000549B1" w14:paraId="7F52B24A" w14:textId="77777777">
        <w:trPr>
          <w:trHeight w:val="397"/>
          <w:jc w:val="center"/>
        </w:trPr>
        <w:tc>
          <w:tcPr>
            <w:tcW w:w="1028" w:type="pct"/>
            <w:vMerge w:val="restart"/>
            <w:tcBorders>
              <w:top w:val="nil"/>
              <w:left w:val="single" w:sz="4" w:space="0" w:color="auto"/>
              <w:bottom w:val="single" w:sz="4" w:space="0" w:color="auto"/>
              <w:right w:val="single" w:sz="4" w:space="0" w:color="auto"/>
            </w:tcBorders>
            <w:vAlign w:val="center"/>
          </w:tcPr>
          <w:p w14:paraId="31898D3F" w14:textId="77777777" w:rsidR="00054437" w:rsidRPr="000549B1" w:rsidRDefault="00000000">
            <w:pPr>
              <w:widowControl/>
              <w:jc w:val="center"/>
              <w:textAlignment w:val="center"/>
              <w:rPr>
                <w:rFonts w:eastAsiaTheme="minorEastAsia"/>
                <w:bCs/>
                <w:kern w:val="0"/>
                <w:szCs w:val="21"/>
              </w:rPr>
            </w:pPr>
            <w:r w:rsidRPr="000549B1">
              <w:rPr>
                <w:rFonts w:eastAsiaTheme="minorEastAsia"/>
                <w:bCs/>
                <w:kern w:val="0"/>
                <w:szCs w:val="21"/>
              </w:rPr>
              <w:t>化肥流失系数</w:t>
            </w:r>
          </w:p>
        </w:tc>
        <w:tc>
          <w:tcPr>
            <w:tcW w:w="1397" w:type="pct"/>
            <w:tcBorders>
              <w:top w:val="single" w:sz="4" w:space="0" w:color="auto"/>
              <w:left w:val="single" w:sz="4" w:space="0" w:color="auto"/>
              <w:bottom w:val="single" w:sz="4" w:space="0" w:color="auto"/>
              <w:right w:val="single" w:sz="4" w:space="0" w:color="auto"/>
            </w:tcBorders>
            <w:vAlign w:val="center"/>
          </w:tcPr>
          <w:p w14:paraId="04FC8A53" w14:textId="77777777" w:rsidR="00054437" w:rsidRPr="000549B1" w:rsidRDefault="00000000">
            <w:pPr>
              <w:widowControl/>
              <w:jc w:val="center"/>
              <w:textAlignment w:val="center"/>
              <w:rPr>
                <w:rFonts w:eastAsiaTheme="minorEastAsia"/>
                <w:bCs/>
                <w:kern w:val="0"/>
                <w:szCs w:val="21"/>
              </w:rPr>
            </w:pPr>
            <w:r w:rsidRPr="000549B1">
              <w:rPr>
                <w:rFonts w:eastAsiaTheme="minorEastAsia"/>
                <w:bCs/>
                <w:kern w:val="0"/>
                <w:szCs w:val="21"/>
              </w:rPr>
              <w:t>COD</w:t>
            </w:r>
          </w:p>
        </w:tc>
        <w:tc>
          <w:tcPr>
            <w:tcW w:w="2574" w:type="pct"/>
            <w:tcBorders>
              <w:top w:val="single" w:sz="4" w:space="0" w:color="auto"/>
              <w:left w:val="single" w:sz="4" w:space="0" w:color="auto"/>
              <w:bottom w:val="single" w:sz="4" w:space="0" w:color="auto"/>
              <w:right w:val="single" w:sz="4" w:space="0" w:color="auto"/>
            </w:tcBorders>
            <w:vAlign w:val="center"/>
          </w:tcPr>
          <w:p w14:paraId="67533CDC" w14:textId="77777777" w:rsidR="00054437" w:rsidRPr="000549B1" w:rsidRDefault="00000000">
            <w:pPr>
              <w:widowControl/>
              <w:jc w:val="center"/>
              <w:textAlignment w:val="center"/>
              <w:rPr>
                <w:rFonts w:eastAsiaTheme="minorEastAsia"/>
                <w:bCs/>
                <w:kern w:val="0"/>
                <w:szCs w:val="21"/>
              </w:rPr>
            </w:pPr>
            <w:r w:rsidRPr="000549B1">
              <w:rPr>
                <w:rFonts w:eastAsiaTheme="minorEastAsia"/>
                <w:bCs/>
                <w:kern w:val="0"/>
                <w:szCs w:val="21"/>
              </w:rPr>
              <w:t>0.08</w:t>
            </w:r>
            <w:r w:rsidRPr="000549B1">
              <w:rPr>
                <w:rFonts w:eastAsiaTheme="minorEastAsia"/>
                <w:bCs/>
                <w:kern w:val="0"/>
                <w:szCs w:val="21"/>
              </w:rPr>
              <w:t>（以氮肥有效成分为基础）</w:t>
            </w:r>
          </w:p>
        </w:tc>
      </w:tr>
      <w:tr w:rsidR="000549B1" w:rsidRPr="000549B1" w14:paraId="4A471300" w14:textId="77777777">
        <w:trPr>
          <w:trHeight w:val="397"/>
          <w:jc w:val="center"/>
        </w:trPr>
        <w:tc>
          <w:tcPr>
            <w:tcW w:w="1028" w:type="pct"/>
            <w:vMerge/>
            <w:tcBorders>
              <w:top w:val="nil"/>
              <w:left w:val="single" w:sz="4" w:space="0" w:color="auto"/>
              <w:bottom w:val="single" w:sz="4" w:space="0" w:color="auto"/>
              <w:right w:val="single" w:sz="4" w:space="0" w:color="auto"/>
            </w:tcBorders>
            <w:vAlign w:val="center"/>
          </w:tcPr>
          <w:p w14:paraId="228EB014" w14:textId="77777777" w:rsidR="00054437" w:rsidRPr="000549B1" w:rsidRDefault="00054437">
            <w:pPr>
              <w:rPr>
                <w:rFonts w:eastAsiaTheme="minorEastAsia"/>
                <w:bCs/>
                <w:szCs w:val="21"/>
              </w:rPr>
            </w:pPr>
          </w:p>
        </w:tc>
        <w:tc>
          <w:tcPr>
            <w:tcW w:w="1397" w:type="pct"/>
            <w:tcBorders>
              <w:top w:val="single" w:sz="4" w:space="0" w:color="auto"/>
              <w:left w:val="single" w:sz="4" w:space="0" w:color="auto"/>
              <w:bottom w:val="single" w:sz="4" w:space="0" w:color="auto"/>
              <w:right w:val="single" w:sz="4" w:space="0" w:color="auto"/>
            </w:tcBorders>
            <w:vAlign w:val="center"/>
          </w:tcPr>
          <w:p w14:paraId="5705B805" w14:textId="77777777" w:rsidR="00054437" w:rsidRPr="000549B1" w:rsidRDefault="00000000">
            <w:pPr>
              <w:widowControl/>
              <w:jc w:val="center"/>
              <w:textAlignment w:val="center"/>
              <w:rPr>
                <w:rFonts w:eastAsiaTheme="minorEastAsia"/>
                <w:bCs/>
                <w:kern w:val="0"/>
                <w:szCs w:val="21"/>
              </w:rPr>
            </w:pPr>
            <w:r w:rsidRPr="000549B1">
              <w:rPr>
                <w:rFonts w:eastAsiaTheme="minorEastAsia"/>
                <w:bCs/>
                <w:kern w:val="0"/>
                <w:szCs w:val="21"/>
              </w:rPr>
              <w:t>氨氮</w:t>
            </w:r>
          </w:p>
        </w:tc>
        <w:tc>
          <w:tcPr>
            <w:tcW w:w="2574" w:type="pct"/>
            <w:tcBorders>
              <w:top w:val="single" w:sz="4" w:space="0" w:color="auto"/>
              <w:left w:val="single" w:sz="4" w:space="0" w:color="auto"/>
              <w:bottom w:val="single" w:sz="4" w:space="0" w:color="auto"/>
              <w:right w:val="single" w:sz="4" w:space="0" w:color="auto"/>
            </w:tcBorders>
            <w:vAlign w:val="center"/>
          </w:tcPr>
          <w:p w14:paraId="11717FF8" w14:textId="77777777" w:rsidR="00054437" w:rsidRPr="000549B1" w:rsidRDefault="00000000">
            <w:pPr>
              <w:widowControl/>
              <w:jc w:val="center"/>
              <w:textAlignment w:val="center"/>
              <w:rPr>
                <w:rFonts w:eastAsiaTheme="minorEastAsia"/>
                <w:bCs/>
                <w:kern w:val="0"/>
                <w:szCs w:val="21"/>
              </w:rPr>
            </w:pPr>
            <w:r w:rsidRPr="000549B1">
              <w:rPr>
                <w:rFonts w:eastAsiaTheme="minorEastAsia"/>
                <w:bCs/>
                <w:kern w:val="0"/>
                <w:szCs w:val="21"/>
              </w:rPr>
              <w:t>0.02</w:t>
            </w:r>
            <w:r w:rsidRPr="000549B1">
              <w:rPr>
                <w:rFonts w:eastAsiaTheme="minorEastAsia"/>
                <w:bCs/>
                <w:kern w:val="0"/>
                <w:szCs w:val="21"/>
              </w:rPr>
              <w:t>（以氮肥有效成分为基础）</w:t>
            </w:r>
          </w:p>
        </w:tc>
      </w:tr>
      <w:tr w:rsidR="000549B1" w:rsidRPr="000549B1" w14:paraId="3F5578AB" w14:textId="77777777">
        <w:trPr>
          <w:trHeight w:val="397"/>
          <w:jc w:val="center"/>
        </w:trPr>
        <w:tc>
          <w:tcPr>
            <w:tcW w:w="1028" w:type="pct"/>
            <w:vMerge/>
            <w:tcBorders>
              <w:top w:val="nil"/>
              <w:left w:val="single" w:sz="4" w:space="0" w:color="auto"/>
              <w:bottom w:val="single" w:sz="4" w:space="0" w:color="auto"/>
              <w:right w:val="single" w:sz="4" w:space="0" w:color="auto"/>
            </w:tcBorders>
            <w:vAlign w:val="center"/>
          </w:tcPr>
          <w:p w14:paraId="23B0D2E6" w14:textId="77777777" w:rsidR="00054437" w:rsidRPr="000549B1" w:rsidRDefault="00054437">
            <w:pPr>
              <w:rPr>
                <w:rFonts w:eastAsiaTheme="minorEastAsia"/>
                <w:bCs/>
                <w:szCs w:val="21"/>
              </w:rPr>
            </w:pPr>
          </w:p>
        </w:tc>
        <w:tc>
          <w:tcPr>
            <w:tcW w:w="1397" w:type="pct"/>
            <w:tcBorders>
              <w:top w:val="single" w:sz="4" w:space="0" w:color="auto"/>
              <w:left w:val="single" w:sz="4" w:space="0" w:color="auto"/>
              <w:bottom w:val="single" w:sz="4" w:space="0" w:color="auto"/>
              <w:right w:val="single" w:sz="4" w:space="0" w:color="auto"/>
            </w:tcBorders>
            <w:vAlign w:val="center"/>
          </w:tcPr>
          <w:p w14:paraId="51978A9C" w14:textId="77777777" w:rsidR="00054437" w:rsidRPr="000549B1" w:rsidRDefault="00000000">
            <w:pPr>
              <w:widowControl/>
              <w:jc w:val="center"/>
              <w:textAlignment w:val="center"/>
              <w:rPr>
                <w:rFonts w:eastAsiaTheme="minorEastAsia"/>
                <w:bCs/>
                <w:kern w:val="0"/>
                <w:szCs w:val="21"/>
              </w:rPr>
            </w:pPr>
            <w:r w:rsidRPr="000549B1">
              <w:rPr>
                <w:rFonts w:eastAsiaTheme="minorEastAsia"/>
                <w:bCs/>
                <w:kern w:val="0"/>
                <w:szCs w:val="21"/>
              </w:rPr>
              <w:t>总氮</w:t>
            </w:r>
          </w:p>
        </w:tc>
        <w:tc>
          <w:tcPr>
            <w:tcW w:w="2574" w:type="pct"/>
            <w:tcBorders>
              <w:top w:val="single" w:sz="4" w:space="0" w:color="auto"/>
              <w:left w:val="single" w:sz="4" w:space="0" w:color="auto"/>
              <w:bottom w:val="single" w:sz="4" w:space="0" w:color="auto"/>
              <w:right w:val="single" w:sz="4" w:space="0" w:color="auto"/>
            </w:tcBorders>
            <w:vAlign w:val="center"/>
          </w:tcPr>
          <w:p w14:paraId="3DAD6055" w14:textId="77777777" w:rsidR="00054437" w:rsidRPr="000549B1" w:rsidRDefault="00000000">
            <w:pPr>
              <w:widowControl/>
              <w:jc w:val="center"/>
              <w:textAlignment w:val="center"/>
              <w:rPr>
                <w:rFonts w:eastAsiaTheme="minorEastAsia"/>
                <w:bCs/>
                <w:kern w:val="0"/>
                <w:szCs w:val="21"/>
              </w:rPr>
            </w:pPr>
            <w:r w:rsidRPr="000549B1">
              <w:rPr>
                <w:rFonts w:eastAsiaTheme="minorEastAsia"/>
                <w:bCs/>
                <w:kern w:val="0"/>
                <w:szCs w:val="21"/>
              </w:rPr>
              <w:t>0.20</w:t>
            </w:r>
            <w:r w:rsidRPr="000549B1">
              <w:rPr>
                <w:rFonts w:eastAsiaTheme="minorEastAsia"/>
                <w:bCs/>
                <w:kern w:val="0"/>
                <w:szCs w:val="21"/>
              </w:rPr>
              <w:t>（以氮肥有效成分为基础）</w:t>
            </w:r>
          </w:p>
        </w:tc>
      </w:tr>
      <w:tr w:rsidR="000549B1" w:rsidRPr="000549B1" w14:paraId="57342282" w14:textId="77777777">
        <w:trPr>
          <w:trHeight w:val="397"/>
          <w:jc w:val="center"/>
        </w:trPr>
        <w:tc>
          <w:tcPr>
            <w:tcW w:w="1028" w:type="pct"/>
            <w:vMerge/>
            <w:tcBorders>
              <w:top w:val="nil"/>
              <w:left w:val="single" w:sz="4" w:space="0" w:color="auto"/>
              <w:bottom w:val="single" w:sz="4" w:space="0" w:color="auto"/>
              <w:right w:val="single" w:sz="4" w:space="0" w:color="auto"/>
            </w:tcBorders>
            <w:vAlign w:val="center"/>
          </w:tcPr>
          <w:p w14:paraId="4D02FF27" w14:textId="77777777" w:rsidR="00054437" w:rsidRPr="000549B1" w:rsidRDefault="00054437">
            <w:pPr>
              <w:rPr>
                <w:rFonts w:eastAsiaTheme="minorEastAsia"/>
                <w:bCs/>
                <w:szCs w:val="21"/>
              </w:rPr>
            </w:pPr>
          </w:p>
        </w:tc>
        <w:tc>
          <w:tcPr>
            <w:tcW w:w="1397" w:type="pct"/>
            <w:tcBorders>
              <w:top w:val="single" w:sz="4" w:space="0" w:color="auto"/>
              <w:left w:val="single" w:sz="4" w:space="0" w:color="auto"/>
              <w:bottom w:val="single" w:sz="4" w:space="0" w:color="auto"/>
              <w:right w:val="single" w:sz="4" w:space="0" w:color="auto"/>
            </w:tcBorders>
            <w:vAlign w:val="center"/>
          </w:tcPr>
          <w:p w14:paraId="07035C81" w14:textId="77777777" w:rsidR="00054437" w:rsidRPr="000549B1" w:rsidRDefault="00000000">
            <w:pPr>
              <w:widowControl/>
              <w:jc w:val="center"/>
              <w:textAlignment w:val="center"/>
              <w:rPr>
                <w:rFonts w:eastAsiaTheme="minorEastAsia"/>
                <w:bCs/>
                <w:kern w:val="0"/>
                <w:szCs w:val="21"/>
              </w:rPr>
            </w:pPr>
            <w:r w:rsidRPr="000549B1">
              <w:rPr>
                <w:rFonts w:eastAsiaTheme="minorEastAsia"/>
                <w:bCs/>
                <w:kern w:val="0"/>
                <w:szCs w:val="21"/>
              </w:rPr>
              <w:t>总磷</w:t>
            </w:r>
          </w:p>
        </w:tc>
        <w:tc>
          <w:tcPr>
            <w:tcW w:w="2574" w:type="pct"/>
            <w:tcBorders>
              <w:top w:val="single" w:sz="4" w:space="0" w:color="auto"/>
              <w:left w:val="single" w:sz="4" w:space="0" w:color="auto"/>
              <w:bottom w:val="single" w:sz="4" w:space="0" w:color="auto"/>
              <w:right w:val="single" w:sz="4" w:space="0" w:color="auto"/>
            </w:tcBorders>
            <w:vAlign w:val="center"/>
          </w:tcPr>
          <w:p w14:paraId="27007278" w14:textId="77777777" w:rsidR="00054437" w:rsidRPr="000549B1" w:rsidRDefault="00000000">
            <w:pPr>
              <w:widowControl/>
              <w:jc w:val="center"/>
              <w:textAlignment w:val="center"/>
              <w:rPr>
                <w:rFonts w:eastAsiaTheme="minorEastAsia"/>
                <w:bCs/>
                <w:kern w:val="0"/>
                <w:szCs w:val="21"/>
              </w:rPr>
            </w:pPr>
            <w:r w:rsidRPr="000549B1">
              <w:rPr>
                <w:rFonts w:eastAsiaTheme="minorEastAsia"/>
                <w:bCs/>
                <w:kern w:val="0"/>
                <w:szCs w:val="21"/>
              </w:rPr>
              <w:t>0.15</w:t>
            </w:r>
            <w:r w:rsidRPr="000549B1">
              <w:rPr>
                <w:rFonts w:eastAsiaTheme="minorEastAsia"/>
                <w:bCs/>
                <w:kern w:val="0"/>
                <w:szCs w:val="21"/>
              </w:rPr>
              <w:t>（以磷肥有效成分为基础）</w:t>
            </w:r>
          </w:p>
        </w:tc>
      </w:tr>
      <w:tr w:rsidR="000549B1" w:rsidRPr="000549B1" w14:paraId="5F2D4280" w14:textId="77777777">
        <w:trPr>
          <w:trHeight w:val="397"/>
          <w:jc w:val="center"/>
        </w:trPr>
        <w:tc>
          <w:tcPr>
            <w:tcW w:w="1028" w:type="pct"/>
            <w:tcBorders>
              <w:top w:val="single" w:sz="4" w:space="0" w:color="auto"/>
              <w:left w:val="single" w:sz="4" w:space="0" w:color="auto"/>
              <w:bottom w:val="single" w:sz="4" w:space="0" w:color="auto"/>
              <w:right w:val="single" w:sz="4" w:space="0" w:color="auto"/>
            </w:tcBorders>
            <w:vAlign w:val="center"/>
          </w:tcPr>
          <w:p w14:paraId="061CC8EB" w14:textId="77777777" w:rsidR="00054437" w:rsidRPr="000549B1" w:rsidRDefault="00000000">
            <w:pPr>
              <w:widowControl/>
              <w:jc w:val="center"/>
              <w:textAlignment w:val="center"/>
              <w:rPr>
                <w:rFonts w:eastAsiaTheme="minorEastAsia"/>
                <w:bCs/>
                <w:kern w:val="0"/>
                <w:szCs w:val="21"/>
              </w:rPr>
            </w:pPr>
            <w:r w:rsidRPr="000549B1">
              <w:rPr>
                <w:rFonts w:eastAsiaTheme="minorEastAsia"/>
                <w:bCs/>
                <w:kern w:val="0"/>
                <w:szCs w:val="21"/>
              </w:rPr>
              <w:t>农药流失系数</w:t>
            </w:r>
          </w:p>
        </w:tc>
        <w:tc>
          <w:tcPr>
            <w:tcW w:w="3971" w:type="pct"/>
            <w:gridSpan w:val="2"/>
            <w:tcBorders>
              <w:top w:val="single" w:sz="4" w:space="0" w:color="auto"/>
              <w:left w:val="single" w:sz="4" w:space="0" w:color="auto"/>
              <w:bottom w:val="single" w:sz="4" w:space="0" w:color="auto"/>
              <w:right w:val="single" w:sz="4" w:space="0" w:color="auto"/>
            </w:tcBorders>
            <w:vAlign w:val="center"/>
          </w:tcPr>
          <w:p w14:paraId="1954A43C" w14:textId="77777777" w:rsidR="00054437" w:rsidRPr="000549B1" w:rsidRDefault="00000000">
            <w:pPr>
              <w:widowControl/>
              <w:jc w:val="center"/>
              <w:textAlignment w:val="center"/>
              <w:rPr>
                <w:rFonts w:eastAsiaTheme="minorEastAsia"/>
                <w:bCs/>
                <w:kern w:val="0"/>
                <w:szCs w:val="21"/>
              </w:rPr>
            </w:pPr>
            <w:r w:rsidRPr="000549B1">
              <w:rPr>
                <w:rFonts w:eastAsiaTheme="minorEastAsia"/>
                <w:bCs/>
                <w:kern w:val="0"/>
                <w:szCs w:val="21"/>
              </w:rPr>
              <w:t>0.2</w:t>
            </w:r>
            <w:r w:rsidRPr="000549B1">
              <w:rPr>
                <w:rFonts w:eastAsiaTheme="minorEastAsia"/>
                <w:bCs/>
                <w:kern w:val="0"/>
                <w:szCs w:val="21"/>
              </w:rPr>
              <w:t>（以农药有效成分为基础）</w:t>
            </w:r>
          </w:p>
        </w:tc>
      </w:tr>
    </w:tbl>
    <w:p w14:paraId="665D04E2" w14:textId="77777777" w:rsidR="00054437" w:rsidRPr="000549B1" w:rsidRDefault="00000000">
      <w:pPr>
        <w:pStyle w:val="x"/>
        <w:rPr>
          <w:b/>
          <w:bCs/>
        </w:rPr>
      </w:pPr>
      <w:r w:rsidRPr="000549B1">
        <w:t>备注：参考《细则》，化肥入河量按流失量的</w:t>
      </w:r>
      <w:r w:rsidRPr="000549B1">
        <w:t>15%</w:t>
      </w:r>
      <w:r w:rsidRPr="000549B1">
        <w:t>估算，农药入河量以流失量的</w:t>
      </w:r>
      <w:r w:rsidRPr="000549B1">
        <w:t>30%</w:t>
      </w:r>
      <w:r w:rsidRPr="000549B1">
        <w:t>估算。</w:t>
      </w:r>
    </w:p>
    <w:p w14:paraId="199150E2" w14:textId="29C22416" w:rsidR="00054437" w:rsidRPr="000549B1" w:rsidRDefault="00000000">
      <w:pPr>
        <w:pStyle w:val="aff8"/>
        <w:rPr>
          <w:rFonts w:eastAsiaTheme="minorEastAsia"/>
          <w:bCs/>
          <w:color w:val="auto"/>
        </w:rPr>
      </w:pPr>
      <w:r w:rsidRPr="000549B1">
        <w:rPr>
          <w:color w:val="auto"/>
        </w:rPr>
        <w:t>表</w:t>
      </w:r>
      <w:r w:rsidR="00372953">
        <w:rPr>
          <w:color w:val="auto"/>
        </w:rPr>
        <w:fldChar w:fldCharType="begin"/>
      </w:r>
      <w:r w:rsidR="00372953">
        <w:rPr>
          <w:color w:val="auto"/>
        </w:rPr>
        <w:instrText xml:space="preserve"> STYLEREF 2 \s </w:instrText>
      </w:r>
      <w:r w:rsidR="00372953">
        <w:rPr>
          <w:color w:val="auto"/>
        </w:rPr>
        <w:fldChar w:fldCharType="separate"/>
      </w:r>
      <w:r w:rsidR="00372953">
        <w:rPr>
          <w:noProof/>
          <w:color w:val="auto"/>
        </w:rPr>
        <w:t>3.3</w:t>
      </w:r>
      <w:r w:rsidR="00372953">
        <w:rPr>
          <w:color w:val="auto"/>
        </w:rPr>
        <w:fldChar w:fldCharType="end"/>
      </w:r>
      <w:r w:rsidR="00372953">
        <w:rPr>
          <w:color w:val="auto"/>
        </w:rPr>
        <w:noBreakHyphen/>
      </w:r>
      <w:r w:rsidR="00372953">
        <w:rPr>
          <w:color w:val="auto"/>
        </w:rPr>
        <w:fldChar w:fldCharType="begin"/>
      </w:r>
      <w:r w:rsidR="00372953">
        <w:rPr>
          <w:color w:val="auto"/>
        </w:rPr>
        <w:instrText xml:space="preserve"> SEQ </w:instrText>
      </w:r>
      <w:r w:rsidR="00372953">
        <w:rPr>
          <w:color w:val="auto"/>
        </w:rPr>
        <w:instrText>表</w:instrText>
      </w:r>
      <w:r w:rsidR="00372953">
        <w:rPr>
          <w:color w:val="auto"/>
        </w:rPr>
        <w:instrText xml:space="preserve"> \* ARABIC \s 2 </w:instrText>
      </w:r>
      <w:r w:rsidR="00372953">
        <w:rPr>
          <w:color w:val="auto"/>
        </w:rPr>
        <w:fldChar w:fldCharType="separate"/>
      </w:r>
      <w:r w:rsidR="00372953">
        <w:rPr>
          <w:noProof/>
          <w:color w:val="auto"/>
        </w:rPr>
        <w:t>11</w:t>
      </w:r>
      <w:r w:rsidR="00372953">
        <w:rPr>
          <w:color w:val="auto"/>
        </w:rPr>
        <w:fldChar w:fldCharType="end"/>
      </w:r>
      <w:r w:rsidRPr="000549B1">
        <w:rPr>
          <w:rFonts w:eastAsiaTheme="minorEastAsia"/>
          <w:bCs/>
          <w:color w:val="auto"/>
        </w:rPr>
        <w:t>共和县、兴海县农业主要能源及物质消耗统计表单位：</w:t>
      </w:r>
      <w:r w:rsidRPr="000549B1">
        <w:rPr>
          <w:rFonts w:eastAsiaTheme="minorEastAsia"/>
          <w:bCs/>
          <w:color w:val="auto"/>
        </w:rPr>
        <w:t>t</w:t>
      </w:r>
    </w:p>
    <w:tbl>
      <w:tblPr>
        <w:tblW w:w="5000" w:type="pct"/>
        <w:jc w:val="center"/>
        <w:tblLayout w:type="fixed"/>
        <w:tblLook w:val="04A0" w:firstRow="1" w:lastRow="0" w:firstColumn="1" w:lastColumn="0" w:noHBand="0" w:noVBand="1"/>
      </w:tblPr>
      <w:tblGrid>
        <w:gridCol w:w="1936"/>
        <w:gridCol w:w="670"/>
        <w:gridCol w:w="633"/>
        <w:gridCol w:w="677"/>
        <w:gridCol w:w="624"/>
        <w:gridCol w:w="577"/>
        <w:gridCol w:w="616"/>
        <w:gridCol w:w="682"/>
        <w:gridCol w:w="682"/>
        <w:gridCol w:w="564"/>
        <w:gridCol w:w="635"/>
      </w:tblGrid>
      <w:tr w:rsidR="000549B1" w:rsidRPr="000549B1" w14:paraId="3AEBA62F" w14:textId="77777777">
        <w:trPr>
          <w:trHeight w:val="283"/>
          <w:jc w:val="center"/>
        </w:trPr>
        <w:tc>
          <w:tcPr>
            <w:tcW w:w="1166" w:type="pct"/>
            <w:vMerge w:val="restart"/>
            <w:tcBorders>
              <w:top w:val="single" w:sz="4" w:space="0" w:color="000000"/>
              <w:left w:val="single" w:sz="4" w:space="0" w:color="000000"/>
              <w:bottom w:val="single" w:sz="4" w:space="0" w:color="000000"/>
              <w:right w:val="single" w:sz="4" w:space="0" w:color="000000"/>
            </w:tcBorders>
            <w:noWrap/>
            <w:vAlign w:val="center"/>
          </w:tcPr>
          <w:p w14:paraId="76D8AE76"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农用物资消耗</w:t>
            </w:r>
          </w:p>
        </w:tc>
        <w:tc>
          <w:tcPr>
            <w:tcW w:w="1916" w:type="pct"/>
            <w:gridSpan w:val="5"/>
            <w:tcBorders>
              <w:top w:val="single" w:sz="4" w:space="0" w:color="000000"/>
              <w:left w:val="single" w:sz="4" w:space="0" w:color="000000"/>
              <w:bottom w:val="single" w:sz="4" w:space="0" w:color="000000"/>
              <w:right w:val="single" w:sz="4" w:space="0" w:color="000000"/>
            </w:tcBorders>
            <w:noWrap/>
            <w:vAlign w:val="center"/>
          </w:tcPr>
          <w:p w14:paraId="71A9E631"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共和县</w:t>
            </w:r>
          </w:p>
        </w:tc>
        <w:tc>
          <w:tcPr>
            <w:tcW w:w="1916" w:type="pct"/>
            <w:gridSpan w:val="5"/>
            <w:tcBorders>
              <w:top w:val="single" w:sz="4" w:space="0" w:color="000000"/>
              <w:left w:val="single" w:sz="4" w:space="0" w:color="000000"/>
              <w:bottom w:val="single" w:sz="4" w:space="0" w:color="000000"/>
              <w:right w:val="single" w:sz="4" w:space="0" w:color="000000"/>
            </w:tcBorders>
            <w:noWrap/>
            <w:vAlign w:val="center"/>
          </w:tcPr>
          <w:p w14:paraId="1DF0D36C"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兴海县</w:t>
            </w:r>
          </w:p>
        </w:tc>
      </w:tr>
      <w:tr w:rsidR="000549B1" w:rsidRPr="000549B1" w14:paraId="0B36FCC0" w14:textId="77777777">
        <w:trPr>
          <w:trHeight w:val="283"/>
          <w:jc w:val="center"/>
        </w:trPr>
        <w:tc>
          <w:tcPr>
            <w:tcW w:w="1166" w:type="pct"/>
            <w:vMerge/>
            <w:tcBorders>
              <w:top w:val="single" w:sz="4" w:space="0" w:color="000000"/>
              <w:left w:val="single" w:sz="4" w:space="0" w:color="000000"/>
              <w:bottom w:val="single" w:sz="4" w:space="0" w:color="000000"/>
              <w:right w:val="single" w:sz="4" w:space="0" w:color="000000"/>
            </w:tcBorders>
            <w:noWrap/>
            <w:vAlign w:val="center"/>
          </w:tcPr>
          <w:p w14:paraId="7D532BA4" w14:textId="77777777" w:rsidR="00054437" w:rsidRPr="000549B1" w:rsidRDefault="00054437">
            <w:pPr>
              <w:widowControl/>
              <w:spacing w:line="0" w:lineRule="atLeast"/>
              <w:jc w:val="center"/>
              <w:rPr>
                <w:rFonts w:eastAsiaTheme="minorEastAsia"/>
                <w:bCs/>
                <w:sz w:val="18"/>
                <w:szCs w:val="18"/>
              </w:rPr>
            </w:pPr>
          </w:p>
        </w:tc>
        <w:tc>
          <w:tcPr>
            <w:tcW w:w="403" w:type="pct"/>
            <w:tcBorders>
              <w:top w:val="single" w:sz="4" w:space="0" w:color="000000"/>
              <w:left w:val="single" w:sz="4" w:space="0" w:color="000000"/>
              <w:bottom w:val="single" w:sz="4" w:space="0" w:color="000000"/>
              <w:right w:val="single" w:sz="4" w:space="0" w:color="000000"/>
            </w:tcBorders>
            <w:noWrap/>
            <w:vAlign w:val="center"/>
          </w:tcPr>
          <w:p w14:paraId="7ABE3939"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2020</w:t>
            </w:r>
            <w:r w:rsidRPr="000549B1">
              <w:rPr>
                <w:rFonts w:eastAsiaTheme="minorEastAsia"/>
                <w:bCs/>
                <w:kern w:val="0"/>
                <w:sz w:val="18"/>
                <w:szCs w:val="18"/>
                <w:lang w:bidi="ar"/>
              </w:rPr>
              <w:t>年</w:t>
            </w:r>
          </w:p>
        </w:tc>
        <w:tc>
          <w:tcPr>
            <w:tcW w:w="381" w:type="pct"/>
            <w:tcBorders>
              <w:top w:val="single" w:sz="4" w:space="0" w:color="000000"/>
              <w:left w:val="single" w:sz="4" w:space="0" w:color="000000"/>
              <w:bottom w:val="single" w:sz="4" w:space="0" w:color="000000"/>
              <w:right w:val="single" w:sz="4" w:space="0" w:color="000000"/>
            </w:tcBorders>
            <w:noWrap/>
            <w:vAlign w:val="center"/>
          </w:tcPr>
          <w:p w14:paraId="6EA62947"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2021</w:t>
            </w:r>
            <w:r w:rsidRPr="000549B1">
              <w:rPr>
                <w:rFonts w:eastAsiaTheme="minorEastAsia"/>
                <w:bCs/>
                <w:kern w:val="0"/>
                <w:sz w:val="18"/>
                <w:szCs w:val="18"/>
                <w:lang w:bidi="ar"/>
              </w:rPr>
              <w:t>年</w:t>
            </w:r>
          </w:p>
        </w:tc>
        <w:tc>
          <w:tcPr>
            <w:tcW w:w="408" w:type="pct"/>
            <w:tcBorders>
              <w:top w:val="single" w:sz="4" w:space="0" w:color="000000"/>
              <w:left w:val="single" w:sz="4" w:space="0" w:color="000000"/>
              <w:bottom w:val="single" w:sz="4" w:space="0" w:color="000000"/>
              <w:right w:val="single" w:sz="4" w:space="0" w:color="000000"/>
            </w:tcBorders>
            <w:noWrap/>
            <w:vAlign w:val="center"/>
          </w:tcPr>
          <w:p w14:paraId="778A8672"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2022</w:t>
            </w:r>
            <w:r w:rsidRPr="000549B1">
              <w:rPr>
                <w:rFonts w:eastAsiaTheme="minorEastAsia"/>
                <w:bCs/>
                <w:kern w:val="0"/>
                <w:sz w:val="18"/>
                <w:szCs w:val="18"/>
                <w:lang w:bidi="ar"/>
              </w:rPr>
              <w:t>年</w:t>
            </w:r>
          </w:p>
        </w:tc>
        <w:tc>
          <w:tcPr>
            <w:tcW w:w="376" w:type="pct"/>
            <w:tcBorders>
              <w:top w:val="single" w:sz="4" w:space="0" w:color="000000"/>
              <w:left w:val="single" w:sz="4" w:space="0" w:color="000000"/>
              <w:bottom w:val="single" w:sz="4" w:space="0" w:color="000000"/>
              <w:right w:val="single" w:sz="4" w:space="0" w:color="000000"/>
            </w:tcBorders>
            <w:noWrap/>
            <w:vAlign w:val="center"/>
          </w:tcPr>
          <w:p w14:paraId="1854B4C9"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2023</w:t>
            </w:r>
            <w:r w:rsidRPr="000549B1">
              <w:rPr>
                <w:rFonts w:eastAsiaTheme="minorEastAsia"/>
                <w:bCs/>
                <w:kern w:val="0"/>
                <w:sz w:val="18"/>
                <w:szCs w:val="18"/>
                <w:lang w:bidi="ar"/>
              </w:rPr>
              <w:t>年</w:t>
            </w:r>
          </w:p>
        </w:tc>
        <w:tc>
          <w:tcPr>
            <w:tcW w:w="347" w:type="pct"/>
            <w:tcBorders>
              <w:top w:val="single" w:sz="4" w:space="0" w:color="000000"/>
              <w:left w:val="single" w:sz="4" w:space="0" w:color="000000"/>
              <w:bottom w:val="single" w:sz="4" w:space="0" w:color="000000"/>
              <w:right w:val="single" w:sz="4" w:space="0" w:color="000000"/>
            </w:tcBorders>
            <w:noWrap/>
            <w:vAlign w:val="center"/>
          </w:tcPr>
          <w:p w14:paraId="04A82FC1"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2024</w:t>
            </w:r>
            <w:r w:rsidRPr="000549B1">
              <w:rPr>
                <w:rFonts w:eastAsiaTheme="minorEastAsia"/>
                <w:bCs/>
                <w:kern w:val="0"/>
                <w:sz w:val="18"/>
                <w:szCs w:val="18"/>
                <w:lang w:bidi="ar"/>
              </w:rPr>
              <w:t>年</w:t>
            </w:r>
          </w:p>
        </w:tc>
        <w:tc>
          <w:tcPr>
            <w:tcW w:w="371" w:type="pct"/>
            <w:tcBorders>
              <w:top w:val="single" w:sz="4" w:space="0" w:color="000000"/>
              <w:left w:val="single" w:sz="4" w:space="0" w:color="000000"/>
              <w:bottom w:val="single" w:sz="4" w:space="0" w:color="000000"/>
              <w:right w:val="single" w:sz="4" w:space="0" w:color="000000"/>
            </w:tcBorders>
            <w:noWrap/>
            <w:vAlign w:val="center"/>
          </w:tcPr>
          <w:p w14:paraId="433CC373"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2020</w:t>
            </w:r>
            <w:r w:rsidRPr="000549B1">
              <w:rPr>
                <w:rFonts w:eastAsiaTheme="minorEastAsia"/>
                <w:bCs/>
                <w:kern w:val="0"/>
                <w:sz w:val="18"/>
                <w:szCs w:val="18"/>
                <w:lang w:bidi="ar"/>
              </w:rPr>
              <w:t>年</w:t>
            </w:r>
          </w:p>
        </w:tc>
        <w:tc>
          <w:tcPr>
            <w:tcW w:w="411" w:type="pct"/>
            <w:tcBorders>
              <w:top w:val="single" w:sz="4" w:space="0" w:color="000000"/>
              <w:left w:val="single" w:sz="4" w:space="0" w:color="000000"/>
              <w:bottom w:val="single" w:sz="4" w:space="0" w:color="000000"/>
              <w:right w:val="single" w:sz="4" w:space="0" w:color="000000"/>
            </w:tcBorders>
            <w:noWrap/>
            <w:vAlign w:val="center"/>
          </w:tcPr>
          <w:p w14:paraId="0D22DF6F"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2021</w:t>
            </w:r>
            <w:r w:rsidRPr="000549B1">
              <w:rPr>
                <w:rFonts w:eastAsiaTheme="minorEastAsia"/>
                <w:bCs/>
                <w:kern w:val="0"/>
                <w:sz w:val="18"/>
                <w:szCs w:val="18"/>
                <w:lang w:bidi="ar"/>
              </w:rPr>
              <w:t>年</w:t>
            </w:r>
          </w:p>
        </w:tc>
        <w:tc>
          <w:tcPr>
            <w:tcW w:w="411" w:type="pct"/>
            <w:tcBorders>
              <w:top w:val="single" w:sz="4" w:space="0" w:color="000000"/>
              <w:left w:val="single" w:sz="4" w:space="0" w:color="000000"/>
              <w:bottom w:val="single" w:sz="4" w:space="0" w:color="000000"/>
              <w:right w:val="single" w:sz="4" w:space="0" w:color="000000"/>
            </w:tcBorders>
            <w:noWrap/>
            <w:vAlign w:val="center"/>
          </w:tcPr>
          <w:p w14:paraId="0DE251D6"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2022</w:t>
            </w:r>
            <w:r w:rsidRPr="000549B1">
              <w:rPr>
                <w:rFonts w:eastAsiaTheme="minorEastAsia"/>
                <w:bCs/>
                <w:kern w:val="0"/>
                <w:sz w:val="18"/>
                <w:szCs w:val="18"/>
                <w:lang w:bidi="ar"/>
              </w:rPr>
              <w:t>年</w:t>
            </w:r>
          </w:p>
        </w:tc>
        <w:tc>
          <w:tcPr>
            <w:tcW w:w="340" w:type="pct"/>
            <w:tcBorders>
              <w:top w:val="single" w:sz="4" w:space="0" w:color="000000"/>
              <w:left w:val="single" w:sz="4" w:space="0" w:color="000000"/>
              <w:bottom w:val="single" w:sz="4" w:space="0" w:color="000000"/>
              <w:right w:val="single" w:sz="4" w:space="0" w:color="000000"/>
            </w:tcBorders>
            <w:noWrap/>
            <w:vAlign w:val="center"/>
          </w:tcPr>
          <w:p w14:paraId="3E6A2E2C"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2023</w:t>
            </w:r>
            <w:r w:rsidRPr="000549B1">
              <w:rPr>
                <w:rFonts w:eastAsiaTheme="minorEastAsia"/>
                <w:bCs/>
                <w:kern w:val="0"/>
                <w:sz w:val="18"/>
                <w:szCs w:val="18"/>
                <w:lang w:bidi="ar"/>
              </w:rPr>
              <w:t>年</w:t>
            </w:r>
          </w:p>
        </w:tc>
        <w:tc>
          <w:tcPr>
            <w:tcW w:w="380" w:type="pct"/>
            <w:tcBorders>
              <w:top w:val="single" w:sz="4" w:space="0" w:color="000000"/>
              <w:left w:val="single" w:sz="4" w:space="0" w:color="000000"/>
              <w:bottom w:val="single" w:sz="4" w:space="0" w:color="000000"/>
              <w:right w:val="single" w:sz="4" w:space="0" w:color="000000"/>
            </w:tcBorders>
            <w:noWrap/>
            <w:vAlign w:val="center"/>
          </w:tcPr>
          <w:p w14:paraId="0A7A2701"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2024</w:t>
            </w:r>
            <w:r w:rsidRPr="000549B1">
              <w:rPr>
                <w:rFonts w:eastAsiaTheme="minorEastAsia"/>
                <w:bCs/>
                <w:kern w:val="0"/>
                <w:sz w:val="18"/>
                <w:szCs w:val="18"/>
                <w:lang w:bidi="ar"/>
              </w:rPr>
              <w:t>年</w:t>
            </w:r>
          </w:p>
        </w:tc>
      </w:tr>
      <w:tr w:rsidR="000549B1" w:rsidRPr="000549B1" w14:paraId="5DA8E83E" w14:textId="77777777">
        <w:trPr>
          <w:trHeight w:val="283"/>
          <w:jc w:val="center"/>
        </w:trPr>
        <w:tc>
          <w:tcPr>
            <w:tcW w:w="1166" w:type="pct"/>
            <w:tcBorders>
              <w:top w:val="single" w:sz="4" w:space="0" w:color="000000"/>
              <w:left w:val="single" w:sz="4" w:space="0" w:color="000000"/>
              <w:bottom w:val="single" w:sz="4" w:space="0" w:color="000000"/>
              <w:right w:val="single" w:sz="4" w:space="0" w:color="000000"/>
            </w:tcBorders>
            <w:noWrap/>
            <w:vAlign w:val="center"/>
          </w:tcPr>
          <w:p w14:paraId="578B0BBE"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农用化肥施用量</w:t>
            </w:r>
            <w:r w:rsidRPr="000549B1">
              <w:rPr>
                <w:bCs/>
                <w:kern w:val="0"/>
                <w:sz w:val="18"/>
                <w:szCs w:val="18"/>
                <w:lang w:bidi="ar"/>
              </w:rPr>
              <w:t>（</w:t>
            </w:r>
            <w:r w:rsidRPr="000549B1">
              <w:rPr>
                <w:rFonts w:eastAsiaTheme="minorEastAsia"/>
                <w:bCs/>
                <w:kern w:val="0"/>
                <w:sz w:val="18"/>
                <w:szCs w:val="18"/>
                <w:lang w:bidi="ar"/>
              </w:rPr>
              <w:t>实物量）</w:t>
            </w:r>
          </w:p>
        </w:tc>
        <w:tc>
          <w:tcPr>
            <w:tcW w:w="403" w:type="pct"/>
            <w:tcBorders>
              <w:top w:val="single" w:sz="4" w:space="0" w:color="000000"/>
              <w:left w:val="single" w:sz="4" w:space="0" w:color="000000"/>
              <w:bottom w:val="single" w:sz="4" w:space="0" w:color="000000"/>
              <w:right w:val="single" w:sz="4" w:space="0" w:color="000000"/>
            </w:tcBorders>
            <w:noWrap/>
            <w:vAlign w:val="center"/>
          </w:tcPr>
          <w:p w14:paraId="0C4E687F"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8053</w:t>
            </w:r>
          </w:p>
        </w:tc>
        <w:tc>
          <w:tcPr>
            <w:tcW w:w="381" w:type="pct"/>
            <w:tcBorders>
              <w:top w:val="single" w:sz="4" w:space="0" w:color="000000"/>
              <w:left w:val="single" w:sz="4" w:space="0" w:color="000000"/>
              <w:bottom w:val="single" w:sz="4" w:space="0" w:color="000000"/>
              <w:right w:val="single" w:sz="4" w:space="0" w:color="000000"/>
            </w:tcBorders>
            <w:noWrap/>
            <w:vAlign w:val="center"/>
          </w:tcPr>
          <w:p w14:paraId="370B75E7"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7411</w:t>
            </w:r>
          </w:p>
        </w:tc>
        <w:tc>
          <w:tcPr>
            <w:tcW w:w="408" w:type="pct"/>
            <w:tcBorders>
              <w:top w:val="single" w:sz="4" w:space="0" w:color="000000"/>
              <w:left w:val="single" w:sz="4" w:space="0" w:color="000000"/>
              <w:bottom w:val="single" w:sz="4" w:space="0" w:color="000000"/>
              <w:right w:val="single" w:sz="4" w:space="0" w:color="000000"/>
            </w:tcBorders>
            <w:noWrap/>
            <w:vAlign w:val="center"/>
          </w:tcPr>
          <w:p w14:paraId="4DB6E760"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7361.1</w:t>
            </w:r>
          </w:p>
        </w:tc>
        <w:tc>
          <w:tcPr>
            <w:tcW w:w="376" w:type="pct"/>
            <w:tcBorders>
              <w:top w:val="single" w:sz="4" w:space="0" w:color="000000"/>
              <w:left w:val="single" w:sz="4" w:space="0" w:color="000000"/>
              <w:bottom w:val="single" w:sz="4" w:space="0" w:color="000000"/>
              <w:right w:val="single" w:sz="4" w:space="0" w:color="000000"/>
            </w:tcBorders>
            <w:noWrap/>
            <w:vAlign w:val="center"/>
          </w:tcPr>
          <w:p w14:paraId="7CD71A26"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6926</w:t>
            </w:r>
          </w:p>
        </w:tc>
        <w:tc>
          <w:tcPr>
            <w:tcW w:w="347" w:type="pct"/>
            <w:tcBorders>
              <w:top w:val="single" w:sz="4" w:space="0" w:color="000000"/>
              <w:left w:val="single" w:sz="4" w:space="0" w:color="000000"/>
              <w:bottom w:val="single" w:sz="4" w:space="0" w:color="000000"/>
              <w:right w:val="single" w:sz="4" w:space="0" w:color="000000"/>
            </w:tcBorders>
            <w:noWrap/>
            <w:vAlign w:val="center"/>
          </w:tcPr>
          <w:p w14:paraId="6313208F" w14:textId="77777777" w:rsidR="00054437" w:rsidRPr="000549B1" w:rsidRDefault="00054437">
            <w:pPr>
              <w:widowControl/>
              <w:spacing w:line="0" w:lineRule="atLeast"/>
              <w:jc w:val="center"/>
              <w:rPr>
                <w:rFonts w:eastAsiaTheme="minorEastAsia"/>
                <w:bCs/>
                <w:sz w:val="18"/>
                <w:szCs w:val="18"/>
              </w:rPr>
            </w:pPr>
          </w:p>
        </w:tc>
        <w:tc>
          <w:tcPr>
            <w:tcW w:w="371" w:type="pct"/>
            <w:tcBorders>
              <w:top w:val="single" w:sz="4" w:space="0" w:color="000000"/>
              <w:left w:val="single" w:sz="4" w:space="0" w:color="000000"/>
              <w:bottom w:val="single" w:sz="4" w:space="0" w:color="000000"/>
              <w:right w:val="single" w:sz="4" w:space="0" w:color="000000"/>
            </w:tcBorders>
            <w:noWrap/>
            <w:vAlign w:val="center"/>
          </w:tcPr>
          <w:p w14:paraId="6FD4F86B"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2955</w:t>
            </w:r>
          </w:p>
        </w:tc>
        <w:tc>
          <w:tcPr>
            <w:tcW w:w="411" w:type="pct"/>
            <w:tcBorders>
              <w:top w:val="single" w:sz="4" w:space="0" w:color="000000"/>
              <w:left w:val="single" w:sz="4" w:space="0" w:color="000000"/>
              <w:bottom w:val="single" w:sz="4" w:space="0" w:color="000000"/>
              <w:right w:val="single" w:sz="4" w:space="0" w:color="000000"/>
            </w:tcBorders>
            <w:noWrap/>
            <w:vAlign w:val="center"/>
          </w:tcPr>
          <w:p w14:paraId="584B2558"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3088</w:t>
            </w:r>
          </w:p>
        </w:tc>
        <w:tc>
          <w:tcPr>
            <w:tcW w:w="411" w:type="pct"/>
            <w:tcBorders>
              <w:top w:val="single" w:sz="4" w:space="0" w:color="000000"/>
              <w:left w:val="single" w:sz="4" w:space="0" w:color="000000"/>
              <w:bottom w:val="single" w:sz="4" w:space="0" w:color="000000"/>
              <w:right w:val="single" w:sz="4" w:space="0" w:color="000000"/>
            </w:tcBorders>
            <w:noWrap/>
            <w:vAlign w:val="center"/>
          </w:tcPr>
          <w:p w14:paraId="55E48034"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3016</w:t>
            </w:r>
          </w:p>
        </w:tc>
        <w:tc>
          <w:tcPr>
            <w:tcW w:w="340" w:type="pct"/>
            <w:tcBorders>
              <w:top w:val="single" w:sz="4" w:space="0" w:color="000000"/>
              <w:left w:val="single" w:sz="4" w:space="0" w:color="000000"/>
              <w:bottom w:val="single" w:sz="4" w:space="0" w:color="000000"/>
              <w:right w:val="single" w:sz="4" w:space="0" w:color="000000"/>
            </w:tcBorders>
            <w:noWrap/>
            <w:vAlign w:val="center"/>
          </w:tcPr>
          <w:p w14:paraId="3A171F8F"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2911</w:t>
            </w:r>
          </w:p>
        </w:tc>
        <w:tc>
          <w:tcPr>
            <w:tcW w:w="380" w:type="pct"/>
            <w:tcBorders>
              <w:top w:val="single" w:sz="4" w:space="0" w:color="000000"/>
              <w:left w:val="single" w:sz="4" w:space="0" w:color="000000"/>
              <w:bottom w:val="single" w:sz="4" w:space="0" w:color="000000"/>
              <w:right w:val="single" w:sz="4" w:space="0" w:color="000000"/>
            </w:tcBorders>
            <w:noWrap/>
            <w:vAlign w:val="center"/>
          </w:tcPr>
          <w:p w14:paraId="24229488" w14:textId="77777777" w:rsidR="00054437" w:rsidRPr="000549B1" w:rsidRDefault="00054437">
            <w:pPr>
              <w:widowControl/>
              <w:spacing w:line="0" w:lineRule="atLeast"/>
              <w:jc w:val="center"/>
              <w:rPr>
                <w:rFonts w:eastAsiaTheme="minorEastAsia"/>
                <w:bCs/>
                <w:sz w:val="18"/>
                <w:szCs w:val="18"/>
              </w:rPr>
            </w:pPr>
          </w:p>
        </w:tc>
      </w:tr>
      <w:tr w:rsidR="000549B1" w:rsidRPr="000549B1" w14:paraId="67866399" w14:textId="77777777">
        <w:trPr>
          <w:trHeight w:val="283"/>
          <w:jc w:val="center"/>
        </w:trPr>
        <w:tc>
          <w:tcPr>
            <w:tcW w:w="1166" w:type="pct"/>
            <w:tcBorders>
              <w:top w:val="single" w:sz="4" w:space="0" w:color="000000"/>
              <w:left w:val="single" w:sz="4" w:space="0" w:color="000000"/>
              <w:bottom w:val="single" w:sz="4" w:space="0" w:color="000000"/>
              <w:right w:val="single" w:sz="4" w:space="0" w:color="000000"/>
            </w:tcBorders>
            <w:noWrap/>
            <w:vAlign w:val="center"/>
          </w:tcPr>
          <w:p w14:paraId="33E26D43"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（折纯量</w:t>
            </w:r>
            <w:r w:rsidRPr="000549B1">
              <w:rPr>
                <w:bCs/>
                <w:kern w:val="0"/>
                <w:sz w:val="18"/>
                <w:szCs w:val="18"/>
                <w:lang w:bidi="ar"/>
              </w:rPr>
              <w:t>）</w:t>
            </w:r>
          </w:p>
        </w:tc>
        <w:tc>
          <w:tcPr>
            <w:tcW w:w="403" w:type="pct"/>
            <w:tcBorders>
              <w:top w:val="single" w:sz="4" w:space="0" w:color="000000"/>
              <w:left w:val="single" w:sz="4" w:space="0" w:color="000000"/>
              <w:bottom w:val="single" w:sz="4" w:space="0" w:color="000000"/>
              <w:right w:val="single" w:sz="4" w:space="0" w:color="000000"/>
            </w:tcBorders>
            <w:noWrap/>
            <w:vAlign w:val="center"/>
          </w:tcPr>
          <w:p w14:paraId="10867BE9"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3381</w:t>
            </w:r>
          </w:p>
        </w:tc>
        <w:tc>
          <w:tcPr>
            <w:tcW w:w="381" w:type="pct"/>
            <w:tcBorders>
              <w:top w:val="single" w:sz="4" w:space="0" w:color="000000"/>
              <w:left w:val="single" w:sz="4" w:space="0" w:color="000000"/>
              <w:bottom w:val="single" w:sz="4" w:space="0" w:color="000000"/>
              <w:right w:val="single" w:sz="4" w:space="0" w:color="000000"/>
            </w:tcBorders>
            <w:noWrap/>
            <w:vAlign w:val="center"/>
          </w:tcPr>
          <w:p w14:paraId="124C4196"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2589</w:t>
            </w:r>
          </w:p>
        </w:tc>
        <w:tc>
          <w:tcPr>
            <w:tcW w:w="408" w:type="pct"/>
            <w:tcBorders>
              <w:top w:val="single" w:sz="4" w:space="0" w:color="000000"/>
              <w:left w:val="single" w:sz="4" w:space="0" w:color="000000"/>
              <w:bottom w:val="single" w:sz="4" w:space="0" w:color="000000"/>
              <w:right w:val="single" w:sz="4" w:space="0" w:color="000000"/>
            </w:tcBorders>
            <w:noWrap/>
            <w:vAlign w:val="center"/>
          </w:tcPr>
          <w:p w14:paraId="127CC3DA"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2555.4</w:t>
            </w:r>
          </w:p>
        </w:tc>
        <w:tc>
          <w:tcPr>
            <w:tcW w:w="376" w:type="pct"/>
            <w:tcBorders>
              <w:top w:val="single" w:sz="4" w:space="0" w:color="000000"/>
              <w:left w:val="single" w:sz="4" w:space="0" w:color="000000"/>
              <w:bottom w:val="single" w:sz="4" w:space="0" w:color="000000"/>
              <w:right w:val="single" w:sz="4" w:space="0" w:color="000000"/>
            </w:tcBorders>
            <w:noWrap/>
            <w:vAlign w:val="center"/>
          </w:tcPr>
          <w:p w14:paraId="57724A0D"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2674</w:t>
            </w:r>
          </w:p>
        </w:tc>
        <w:tc>
          <w:tcPr>
            <w:tcW w:w="347" w:type="pct"/>
            <w:tcBorders>
              <w:top w:val="single" w:sz="4" w:space="0" w:color="000000"/>
              <w:left w:val="single" w:sz="4" w:space="0" w:color="000000"/>
              <w:bottom w:val="single" w:sz="4" w:space="0" w:color="000000"/>
              <w:right w:val="single" w:sz="4" w:space="0" w:color="000000"/>
            </w:tcBorders>
            <w:noWrap/>
            <w:vAlign w:val="center"/>
          </w:tcPr>
          <w:p w14:paraId="568FB5FB" w14:textId="77777777" w:rsidR="00054437" w:rsidRPr="000549B1" w:rsidRDefault="00054437">
            <w:pPr>
              <w:widowControl/>
              <w:spacing w:line="0" w:lineRule="atLeast"/>
              <w:jc w:val="center"/>
              <w:rPr>
                <w:rFonts w:eastAsiaTheme="minorEastAsia"/>
                <w:bCs/>
                <w:sz w:val="18"/>
                <w:szCs w:val="18"/>
              </w:rPr>
            </w:pPr>
          </w:p>
        </w:tc>
        <w:tc>
          <w:tcPr>
            <w:tcW w:w="371" w:type="pct"/>
            <w:tcBorders>
              <w:top w:val="single" w:sz="4" w:space="0" w:color="000000"/>
              <w:left w:val="single" w:sz="4" w:space="0" w:color="000000"/>
              <w:bottom w:val="single" w:sz="4" w:space="0" w:color="000000"/>
              <w:right w:val="single" w:sz="4" w:space="0" w:color="000000"/>
            </w:tcBorders>
            <w:noWrap/>
            <w:vAlign w:val="center"/>
          </w:tcPr>
          <w:p w14:paraId="62452F2E"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1359</w:t>
            </w:r>
          </w:p>
        </w:tc>
        <w:tc>
          <w:tcPr>
            <w:tcW w:w="411" w:type="pct"/>
            <w:tcBorders>
              <w:top w:val="single" w:sz="4" w:space="0" w:color="000000"/>
              <w:left w:val="single" w:sz="4" w:space="0" w:color="000000"/>
              <w:bottom w:val="single" w:sz="4" w:space="0" w:color="000000"/>
              <w:right w:val="single" w:sz="4" w:space="0" w:color="000000"/>
            </w:tcBorders>
            <w:noWrap/>
            <w:vAlign w:val="center"/>
          </w:tcPr>
          <w:p w14:paraId="132FDF1D"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1389.4</w:t>
            </w:r>
          </w:p>
        </w:tc>
        <w:tc>
          <w:tcPr>
            <w:tcW w:w="411" w:type="pct"/>
            <w:tcBorders>
              <w:top w:val="single" w:sz="4" w:space="0" w:color="000000"/>
              <w:left w:val="single" w:sz="4" w:space="0" w:color="000000"/>
              <w:bottom w:val="single" w:sz="4" w:space="0" w:color="000000"/>
              <w:right w:val="single" w:sz="4" w:space="0" w:color="000000"/>
            </w:tcBorders>
            <w:noWrap/>
            <w:vAlign w:val="center"/>
          </w:tcPr>
          <w:p w14:paraId="2E8F287D"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1344.5</w:t>
            </w:r>
          </w:p>
        </w:tc>
        <w:tc>
          <w:tcPr>
            <w:tcW w:w="340" w:type="pct"/>
            <w:tcBorders>
              <w:top w:val="single" w:sz="4" w:space="0" w:color="000000"/>
              <w:left w:val="single" w:sz="4" w:space="0" w:color="000000"/>
              <w:bottom w:val="single" w:sz="4" w:space="0" w:color="000000"/>
              <w:right w:val="single" w:sz="4" w:space="0" w:color="000000"/>
            </w:tcBorders>
            <w:noWrap/>
            <w:vAlign w:val="center"/>
          </w:tcPr>
          <w:p w14:paraId="45110BCA"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1303</w:t>
            </w:r>
          </w:p>
        </w:tc>
        <w:tc>
          <w:tcPr>
            <w:tcW w:w="380" w:type="pct"/>
            <w:tcBorders>
              <w:top w:val="single" w:sz="4" w:space="0" w:color="000000"/>
              <w:left w:val="single" w:sz="4" w:space="0" w:color="000000"/>
              <w:bottom w:val="single" w:sz="4" w:space="0" w:color="000000"/>
              <w:right w:val="single" w:sz="4" w:space="0" w:color="000000"/>
            </w:tcBorders>
            <w:noWrap/>
            <w:vAlign w:val="center"/>
          </w:tcPr>
          <w:p w14:paraId="39FE300E" w14:textId="77777777" w:rsidR="00054437" w:rsidRPr="000549B1" w:rsidRDefault="00054437">
            <w:pPr>
              <w:widowControl/>
              <w:spacing w:line="0" w:lineRule="atLeast"/>
              <w:jc w:val="center"/>
              <w:rPr>
                <w:rFonts w:eastAsiaTheme="minorEastAsia"/>
                <w:bCs/>
                <w:sz w:val="18"/>
                <w:szCs w:val="18"/>
              </w:rPr>
            </w:pPr>
          </w:p>
        </w:tc>
      </w:tr>
      <w:tr w:rsidR="000549B1" w:rsidRPr="000549B1" w14:paraId="411410B9" w14:textId="77777777">
        <w:trPr>
          <w:trHeight w:val="283"/>
          <w:jc w:val="center"/>
        </w:trPr>
        <w:tc>
          <w:tcPr>
            <w:tcW w:w="1166" w:type="pct"/>
            <w:tcBorders>
              <w:top w:val="single" w:sz="4" w:space="0" w:color="000000"/>
              <w:left w:val="single" w:sz="4" w:space="0" w:color="000000"/>
              <w:bottom w:val="single" w:sz="4" w:space="0" w:color="000000"/>
              <w:right w:val="single" w:sz="4" w:space="0" w:color="000000"/>
            </w:tcBorders>
            <w:noWrap/>
            <w:vAlign w:val="center"/>
          </w:tcPr>
          <w:p w14:paraId="29A7CE9B"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其中</w:t>
            </w:r>
            <w:r w:rsidRPr="000549B1">
              <w:rPr>
                <w:rFonts w:eastAsiaTheme="minorEastAsia"/>
                <w:bCs/>
                <w:kern w:val="0"/>
                <w:sz w:val="18"/>
                <w:szCs w:val="18"/>
                <w:lang w:bidi="ar"/>
              </w:rPr>
              <w:t>:</w:t>
            </w:r>
            <w:r w:rsidRPr="000549B1">
              <w:rPr>
                <w:rFonts w:eastAsiaTheme="minorEastAsia"/>
                <w:bCs/>
                <w:kern w:val="0"/>
                <w:sz w:val="18"/>
                <w:szCs w:val="18"/>
                <w:lang w:bidi="ar"/>
              </w:rPr>
              <w:t>氮肥</w:t>
            </w:r>
            <w:r w:rsidRPr="000549B1">
              <w:rPr>
                <w:bCs/>
                <w:kern w:val="0"/>
                <w:sz w:val="18"/>
                <w:szCs w:val="18"/>
                <w:lang w:bidi="ar"/>
              </w:rPr>
              <w:t>（</w:t>
            </w:r>
            <w:r w:rsidRPr="000549B1">
              <w:rPr>
                <w:rFonts w:eastAsiaTheme="minorEastAsia"/>
                <w:bCs/>
                <w:kern w:val="0"/>
                <w:sz w:val="18"/>
                <w:szCs w:val="18"/>
                <w:lang w:bidi="ar"/>
              </w:rPr>
              <w:t>实物量</w:t>
            </w:r>
            <w:r w:rsidRPr="000549B1">
              <w:rPr>
                <w:bCs/>
                <w:kern w:val="0"/>
                <w:sz w:val="18"/>
                <w:szCs w:val="18"/>
                <w:lang w:bidi="ar"/>
              </w:rPr>
              <w:t>）</w:t>
            </w:r>
          </w:p>
        </w:tc>
        <w:tc>
          <w:tcPr>
            <w:tcW w:w="403" w:type="pct"/>
            <w:tcBorders>
              <w:top w:val="single" w:sz="4" w:space="0" w:color="000000"/>
              <w:left w:val="single" w:sz="4" w:space="0" w:color="000000"/>
              <w:bottom w:val="single" w:sz="4" w:space="0" w:color="000000"/>
              <w:right w:val="single" w:sz="4" w:space="0" w:color="000000"/>
            </w:tcBorders>
            <w:noWrap/>
            <w:vAlign w:val="center"/>
          </w:tcPr>
          <w:p w14:paraId="25ADEAF9"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2568</w:t>
            </w:r>
          </w:p>
        </w:tc>
        <w:tc>
          <w:tcPr>
            <w:tcW w:w="381" w:type="pct"/>
            <w:tcBorders>
              <w:top w:val="single" w:sz="4" w:space="0" w:color="000000"/>
              <w:left w:val="single" w:sz="4" w:space="0" w:color="000000"/>
              <w:bottom w:val="single" w:sz="4" w:space="0" w:color="000000"/>
              <w:right w:val="single" w:sz="4" w:space="0" w:color="000000"/>
            </w:tcBorders>
            <w:noWrap/>
            <w:vAlign w:val="center"/>
          </w:tcPr>
          <w:p w14:paraId="1C1C240E"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2523</w:t>
            </w:r>
          </w:p>
        </w:tc>
        <w:tc>
          <w:tcPr>
            <w:tcW w:w="408" w:type="pct"/>
            <w:tcBorders>
              <w:top w:val="single" w:sz="4" w:space="0" w:color="000000"/>
              <w:left w:val="single" w:sz="4" w:space="0" w:color="000000"/>
              <w:bottom w:val="single" w:sz="4" w:space="0" w:color="000000"/>
              <w:right w:val="single" w:sz="4" w:space="0" w:color="000000"/>
            </w:tcBorders>
            <w:noWrap/>
            <w:vAlign w:val="center"/>
          </w:tcPr>
          <w:p w14:paraId="7E9FFF81"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2324</w:t>
            </w:r>
          </w:p>
        </w:tc>
        <w:tc>
          <w:tcPr>
            <w:tcW w:w="376" w:type="pct"/>
            <w:tcBorders>
              <w:top w:val="single" w:sz="4" w:space="0" w:color="000000"/>
              <w:left w:val="single" w:sz="4" w:space="0" w:color="000000"/>
              <w:bottom w:val="single" w:sz="4" w:space="0" w:color="000000"/>
              <w:right w:val="single" w:sz="4" w:space="0" w:color="000000"/>
            </w:tcBorders>
            <w:noWrap/>
            <w:vAlign w:val="center"/>
          </w:tcPr>
          <w:p w14:paraId="5B19F092"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2264</w:t>
            </w:r>
          </w:p>
        </w:tc>
        <w:tc>
          <w:tcPr>
            <w:tcW w:w="347" w:type="pct"/>
            <w:tcBorders>
              <w:top w:val="single" w:sz="4" w:space="0" w:color="000000"/>
              <w:left w:val="single" w:sz="4" w:space="0" w:color="000000"/>
              <w:bottom w:val="single" w:sz="4" w:space="0" w:color="000000"/>
              <w:right w:val="single" w:sz="4" w:space="0" w:color="000000"/>
            </w:tcBorders>
            <w:noWrap/>
            <w:vAlign w:val="center"/>
          </w:tcPr>
          <w:p w14:paraId="0D2F02DC" w14:textId="77777777" w:rsidR="00054437" w:rsidRPr="000549B1" w:rsidRDefault="00054437">
            <w:pPr>
              <w:widowControl/>
              <w:spacing w:line="0" w:lineRule="atLeast"/>
              <w:jc w:val="center"/>
              <w:rPr>
                <w:rFonts w:eastAsiaTheme="minorEastAsia"/>
                <w:bCs/>
                <w:sz w:val="18"/>
                <w:szCs w:val="18"/>
              </w:rPr>
            </w:pPr>
          </w:p>
        </w:tc>
        <w:tc>
          <w:tcPr>
            <w:tcW w:w="371" w:type="pct"/>
            <w:tcBorders>
              <w:top w:val="single" w:sz="4" w:space="0" w:color="000000"/>
              <w:left w:val="single" w:sz="4" w:space="0" w:color="000000"/>
              <w:bottom w:val="single" w:sz="4" w:space="0" w:color="000000"/>
              <w:right w:val="single" w:sz="4" w:space="0" w:color="000000"/>
            </w:tcBorders>
            <w:noWrap/>
            <w:vAlign w:val="center"/>
          </w:tcPr>
          <w:p w14:paraId="5F8D6206"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1296</w:t>
            </w:r>
          </w:p>
        </w:tc>
        <w:tc>
          <w:tcPr>
            <w:tcW w:w="411" w:type="pct"/>
            <w:tcBorders>
              <w:top w:val="single" w:sz="4" w:space="0" w:color="000000"/>
              <w:left w:val="single" w:sz="4" w:space="0" w:color="000000"/>
              <w:bottom w:val="single" w:sz="4" w:space="0" w:color="000000"/>
              <w:right w:val="single" w:sz="4" w:space="0" w:color="000000"/>
            </w:tcBorders>
            <w:noWrap/>
            <w:vAlign w:val="center"/>
          </w:tcPr>
          <w:p w14:paraId="4DF6718C"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1101.3</w:t>
            </w:r>
          </w:p>
        </w:tc>
        <w:tc>
          <w:tcPr>
            <w:tcW w:w="411" w:type="pct"/>
            <w:tcBorders>
              <w:top w:val="single" w:sz="4" w:space="0" w:color="000000"/>
              <w:left w:val="single" w:sz="4" w:space="0" w:color="000000"/>
              <w:bottom w:val="single" w:sz="4" w:space="0" w:color="000000"/>
              <w:right w:val="single" w:sz="4" w:space="0" w:color="000000"/>
            </w:tcBorders>
            <w:noWrap/>
            <w:vAlign w:val="center"/>
          </w:tcPr>
          <w:p w14:paraId="026EDAE2"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1028</w:t>
            </w:r>
          </w:p>
        </w:tc>
        <w:tc>
          <w:tcPr>
            <w:tcW w:w="340" w:type="pct"/>
            <w:tcBorders>
              <w:top w:val="single" w:sz="4" w:space="0" w:color="000000"/>
              <w:left w:val="single" w:sz="4" w:space="0" w:color="000000"/>
              <w:bottom w:val="single" w:sz="4" w:space="0" w:color="000000"/>
              <w:right w:val="single" w:sz="4" w:space="0" w:color="000000"/>
            </w:tcBorders>
            <w:noWrap/>
            <w:vAlign w:val="center"/>
          </w:tcPr>
          <w:p w14:paraId="71CFCD77"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1008</w:t>
            </w:r>
          </w:p>
        </w:tc>
        <w:tc>
          <w:tcPr>
            <w:tcW w:w="380" w:type="pct"/>
            <w:tcBorders>
              <w:top w:val="single" w:sz="4" w:space="0" w:color="000000"/>
              <w:left w:val="single" w:sz="4" w:space="0" w:color="000000"/>
              <w:bottom w:val="single" w:sz="4" w:space="0" w:color="000000"/>
              <w:right w:val="single" w:sz="4" w:space="0" w:color="000000"/>
            </w:tcBorders>
            <w:noWrap/>
            <w:vAlign w:val="center"/>
          </w:tcPr>
          <w:p w14:paraId="4C0A455E" w14:textId="77777777" w:rsidR="00054437" w:rsidRPr="000549B1" w:rsidRDefault="00054437">
            <w:pPr>
              <w:widowControl/>
              <w:spacing w:line="0" w:lineRule="atLeast"/>
              <w:jc w:val="center"/>
              <w:rPr>
                <w:rFonts w:eastAsiaTheme="minorEastAsia"/>
                <w:bCs/>
                <w:sz w:val="18"/>
                <w:szCs w:val="18"/>
              </w:rPr>
            </w:pPr>
          </w:p>
        </w:tc>
      </w:tr>
      <w:tr w:rsidR="000549B1" w:rsidRPr="000549B1" w14:paraId="4965BA2F" w14:textId="77777777">
        <w:trPr>
          <w:trHeight w:val="283"/>
          <w:jc w:val="center"/>
        </w:trPr>
        <w:tc>
          <w:tcPr>
            <w:tcW w:w="1166" w:type="pct"/>
            <w:tcBorders>
              <w:top w:val="single" w:sz="4" w:space="0" w:color="000000"/>
              <w:left w:val="single" w:sz="4" w:space="0" w:color="000000"/>
              <w:bottom w:val="single" w:sz="4" w:space="0" w:color="000000"/>
              <w:right w:val="single" w:sz="4" w:space="0" w:color="000000"/>
            </w:tcBorders>
            <w:noWrap/>
            <w:vAlign w:val="center"/>
          </w:tcPr>
          <w:p w14:paraId="39D2606D" w14:textId="77777777" w:rsidR="00054437" w:rsidRPr="000549B1" w:rsidRDefault="00000000">
            <w:pPr>
              <w:widowControl/>
              <w:spacing w:line="0" w:lineRule="atLeast"/>
              <w:jc w:val="center"/>
              <w:textAlignment w:val="bottom"/>
              <w:rPr>
                <w:rFonts w:eastAsiaTheme="minorEastAsia"/>
                <w:bCs/>
                <w:sz w:val="18"/>
                <w:szCs w:val="18"/>
              </w:rPr>
            </w:pPr>
            <w:r w:rsidRPr="000549B1">
              <w:rPr>
                <w:bCs/>
                <w:kern w:val="0"/>
                <w:sz w:val="18"/>
                <w:szCs w:val="18"/>
                <w:lang w:bidi="ar"/>
              </w:rPr>
              <w:t>（</w:t>
            </w:r>
            <w:r w:rsidRPr="000549B1">
              <w:rPr>
                <w:rFonts w:eastAsiaTheme="minorEastAsia"/>
                <w:bCs/>
                <w:kern w:val="0"/>
                <w:sz w:val="18"/>
                <w:szCs w:val="18"/>
                <w:lang w:bidi="ar"/>
              </w:rPr>
              <w:t>折纯量</w:t>
            </w:r>
            <w:r w:rsidRPr="000549B1">
              <w:rPr>
                <w:bCs/>
                <w:kern w:val="0"/>
                <w:sz w:val="18"/>
                <w:szCs w:val="18"/>
                <w:lang w:bidi="ar"/>
              </w:rPr>
              <w:t>）</w:t>
            </w:r>
          </w:p>
        </w:tc>
        <w:tc>
          <w:tcPr>
            <w:tcW w:w="403" w:type="pct"/>
            <w:tcBorders>
              <w:top w:val="single" w:sz="4" w:space="0" w:color="000000"/>
              <w:left w:val="single" w:sz="4" w:space="0" w:color="000000"/>
              <w:bottom w:val="single" w:sz="4" w:space="0" w:color="000000"/>
              <w:right w:val="single" w:sz="4" w:space="0" w:color="000000"/>
            </w:tcBorders>
            <w:noWrap/>
            <w:vAlign w:val="center"/>
          </w:tcPr>
          <w:p w14:paraId="56C9F98E"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1188</w:t>
            </w:r>
          </w:p>
        </w:tc>
        <w:tc>
          <w:tcPr>
            <w:tcW w:w="381" w:type="pct"/>
            <w:tcBorders>
              <w:top w:val="single" w:sz="4" w:space="0" w:color="000000"/>
              <w:left w:val="single" w:sz="4" w:space="0" w:color="000000"/>
              <w:bottom w:val="single" w:sz="4" w:space="0" w:color="000000"/>
              <w:right w:val="single" w:sz="4" w:space="0" w:color="000000"/>
            </w:tcBorders>
            <w:noWrap/>
            <w:vAlign w:val="center"/>
          </w:tcPr>
          <w:p w14:paraId="1D77B320"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1160</w:t>
            </w:r>
          </w:p>
        </w:tc>
        <w:tc>
          <w:tcPr>
            <w:tcW w:w="408" w:type="pct"/>
            <w:tcBorders>
              <w:top w:val="single" w:sz="4" w:space="0" w:color="000000"/>
              <w:left w:val="single" w:sz="4" w:space="0" w:color="000000"/>
              <w:bottom w:val="single" w:sz="4" w:space="0" w:color="000000"/>
              <w:right w:val="single" w:sz="4" w:space="0" w:color="000000"/>
            </w:tcBorders>
            <w:noWrap/>
            <w:vAlign w:val="center"/>
          </w:tcPr>
          <w:p w14:paraId="141F93BE"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1068</w:t>
            </w:r>
          </w:p>
        </w:tc>
        <w:tc>
          <w:tcPr>
            <w:tcW w:w="376" w:type="pct"/>
            <w:tcBorders>
              <w:top w:val="single" w:sz="4" w:space="0" w:color="000000"/>
              <w:left w:val="single" w:sz="4" w:space="0" w:color="000000"/>
              <w:bottom w:val="single" w:sz="4" w:space="0" w:color="000000"/>
              <w:right w:val="single" w:sz="4" w:space="0" w:color="000000"/>
            </w:tcBorders>
            <w:noWrap/>
            <w:vAlign w:val="center"/>
          </w:tcPr>
          <w:p w14:paraId="1A738D95"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1041</w:t>
            </w:r>
          </w:p>
        </w:tc>
        <w:tc>
          <w:tcPr>
            <w:tcW w:w="347" w:type="pct"/>
            <w:tcBorders>
              <w:top w:val="single" w:sz="4" w:space="0" w:color="000000"/>
              <w:left w:val="single" w:sz="4" w:space="0" w:color="000000"/>
              <w:bottom w:val="single" w:sz="4" w:space="0" w:color="000000"/>
              <w:right w:val="single" w:sz="4" w:space="0" w:color="000000"/>
            </w:tcBorders>
            <w:noWrap/>
            <w:vAlign w:val="center"/>
          </w:tcPr>
          <w:p w14:paraId="5E0B5163" w14:textId="77777777" w:rsidR="00054437" w:rsidRPr="000549B1" w:rsidRDefault="00054437">
            <w:pPr>
              <w:widowControl/>
              <w:spacing w:line="0" w:lineRule="atLeast"/>
              <w:jc w:val="center"/>
              <w:rPr>
                <w:rFonts w:eastAsiaTheme="minorEastAsia"/>
                <w:bCs/>
                <w:sz w:val="18"/>
                <w:szCs w:val="18"/>
              </w:rPr>
            </w:pPr>
          </w:p>
        </w:tc>
        <w:tc>
          <w:tcPr>
            <w:tcW w:w="371" w:type="pct"/>
            <w:tcBorders>
              <w:top w:val="single" w:sz="4" w:space="0" w:color="000000"/>
              <w:left w:val="single" w:sz="4" w:space="0" w:color="000000"/>
              <w:bottom w:val="single" w:sz="4" w:space="0" w:color="000000"/>
              <w:right w:val="single" w:sz="4" w:space="0" w:color="000000"/>
            </w:tcBorders>
            <w:noWrap/>
            <w:vAlign w:val="center"/>
          </w:tcPr>
          <w:p w14:paraId="733E2F02"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597</w:t>
            </w:r>
          </w:p>
        </w:tc>
        <w:tc>
          <w:tcPr>
            <w:tcW w:w="411" w:type="pct"/>
            <w:tcBorders>
              <w:top w:val="single" w:sz="4" w:space="0" w:color="000000"/>
              <w:left w:val="single" w:sz="4" w:space="0" w:color="000000"/>
              <w:bottom w:val="single" w:sz="4" w:space="0" w:color="000000"/>
              <w:right w:val="single" w:sz="4" w:space="0" w:color="000000"/>
            </w:tcBorders>
            <w:noWrap/>
            <w:vAlign w:val="center"/>
          </w:tcPr>
          <w:p w14:paraId="339E5D15"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516.7</w:t>
            </w:r>
          </w:p>
        </w:tc>
        <w:tc>
          <w:tcPr>
            <w:tcW w:w="411" w:type="pct"/>
            <w:tcBorders>
              <w:top w:val="single" w:sz="4" w:space="0" w:color="000000"/>
              <w:left w:val="single" w:sz="4" w:space="0" w:color="000000"/>
              <w:bottom w:val="single" w:sz="4" w:space="0" w:color="000000"/>
              <w:right w:val="single" w:sz="4" w:space="0" w:color="000000"/>
            </w:tcBorders>
            <w:noWrap/>
            <w:vAlign w:val="center"/>
          </w:tcPr>
          <w:p w14:paraId="5D65C41F"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473</w:t>
            </w:r>
          </w:p>
        </w:tc>
        <w:tc>
          <w:tcPr>
            <w:tcW w:w="340" w:type="pct"/>
            <w:tcBorders>
              <w:top w:val="single" w:sz="4" w:space="0" w:color="000000"/>
              <w:left w:val="single" w:sz="4" w:space="0" w:color="000000"/>
              <w:bottom w:val="single" w:sz="4" w:space="0" w:color="000000"/>
              <w:right w:val="single" w:sz="4" w:space="0" w:color="000000"/>
            </w:tcBorders>
            <w:noWrap/>
            <w:vAlign w:val="center"/>
          </w:tcPr>
          <w:p w14:paraId="2421BCC5"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466</w:t>
            </w:r>
          </w:p>
        </w:tc>
        <w:tc>
          <w:tcPr>
            <w:tcW w:w="380" w:type="pct"/>
            <w:tcBorders>
              <w:top w:val="single" w:sz="4" w:space="0" w:color="000000"/>
              <w:left w:val="single" w:sz="4" w:space="0" w:color="000000"/>
              <w:bottom w:val="single" w:sz="4" w:space="0" w:color="000000"/>
              <w:right w:val="single" w:sz="4" w:space="0" w:color="000000"/>
            </w:tcBorders>
            <w:noWrap/>
            <w:vAlign w:val="center"/>
          </w:tcPr>
          <w:p w14:paraId="3D538D6F" w14:textId="77777777" w:rsidR="00054437" w:rsidRPr="000549B1" w:rsidRDefault="00054437">
            <w:pPr>
              <w:widowControl/>
              <w:spacing w:line="0" w:lineRule="atLeast"/>
              <w:jc w:val="center"/>
              <w:rPr>
                <w:rFonts w:eastAsiaTheme="minorEastAsia"/>
                <w:bCs/>
                <w:sz w:val="18"/>
                <w:szCs w:val="18"/>
              </w:rPr>
            </w:pPr>
          </w:p>
        </w:tc>
      </w:tr>
      <w:tr w:rsidR="000549B1" w:rsidRPr="000549B1" w14:paraId="0A4E4432" w14:textId="77777777">
        <w:trPr>
          <w:trHeight w:val="283"/>
          <w:jc w:val="center"/>
        </w:trPr>
        <w:tc>
          <w:tcPr>
            <w:tcW w:w="1166" w:type="pct"/>
            <w:tcBorders>
              <w:top w:val="single" w:sz="4" w:space="0" w:color="000000"/>
              <w:left w:val="single" w:sz="4" w:space="0" w:color="000000"/>
              <w:bottom w:val="single" w:sz="4" w:space="0" w:color="000000"/>
              <w:right w:val="single" w:sz="4" w:space="0" w:color="000000"/>
            </w:tcBorders>
            <w:noWrap/>
            <w:vAlign w:val="center"/>
          </w:tcPr>
          <w:p w14:paraId="5EA47543"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磷肥</w:t>
            </w:r>
            <w:r w:rsidRPr="000549B1">
              <w:rPr>
                <w:bCs/>
                <w:kern w:val="0"/>
                <w:sz w:val="18"/>
                <w:szCs w:val="18"/>
                <w:lang w:bidi="ar"/>
              </w:rPr>
              <w:t>（</w:t>
            </w:r>
            <w:r w:rsidRPr="000549B1">
              <w:rPr>
                <w:rFonts w:eastAsiaTheme="minorEastAsia"/>
                <w:bCs/>
                <w:kern w:val="0"/>
                <w:sz w:val="18"/>
                <w:szCs w:val="18"/>
                <w:lang w:bidi="ar"/>
              </w:rPr>
              <w:t>实物量</w:t>
            </w:r>
            <w:r w:rsidRPr="000549B1">
              <w:rPr>
                <w:bCs/>
                <w:kern w:val="0"/>
                <w:sz w:val="18"/>
                <w:szCs w:val="18"/>
                <w:lang w:bidi="ar"/>
              </w:rPr>
              <w:t>）</w:t>
            </w:r>
          </w:p>
        </w:tc>
        <w:tc>
          <w:tcPr>
            <w:tcW w:w="403" w:type="pct"/>
            <w:tcBorders>
              <w:top w:val="single" w:sz="4" w:space="0" w:color="000000"/>
              <w:left w:val="single" w:sz="4" w:space="0" w:color="000000"/>
              <w:bottom w:val="single" w:sz="4" w:space="0" w:color="000000"/>
              <w:right w:val="single" w:sz="4" w:space="0" w:color="000000"/>
            </w:tcBorders>
            <w:noWrap/>
            <w:vAlign w:val="center"/>
          </w:tcPr>
          <w:p w14:paraId="66338386"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1796</w:t>
            </w:r>
          </w:p>
        </w:tc>
        <w:tc>
          <w:tcPr>
            <w:tcW w:w="381" w:type="pct"/>
            <w:tcBorders>
              <w:top w:val="single" w:sz="4" w:space="0" w:color="000000"/>
              <w:left w:val="single" w:sz="4" w:space="0" w:color="000000"/>
              <w:bottom w:val="single" w:sz="4" w:space="0" w:color="000000"/>
              <w:right w:val="single" w:sz="4" w:space="0" w:color="000000"/>
            </w:tcBorders>
            <w:noWrap/>
            <w:vAlign w:val="center"/>
          </w:tcPr>
          <w:p w14:paraId="61499301"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1373</w:t>
            </w:r>
          </w:p>
        </w:tc>
        <w:tc>
          <w:tcPr>
            <w:tcW w:w="408" w:type="pct"/>
            <w:tcBorders>
              <w:top w:val="single" w:sz="4" w:space="0" w:color="000000"/>
              <w:left w:val="single" w:sz="4" w:space="0" w:color="000000"/>
              <w:bottom w:val="single" w:sz="4" w:space="0" w:color="000000"/>
              <w:right w:val="single" w:sz="4" w:space="0" w:color="000000"/>
            </w:tcBorders>
            <w:noWrap/>
            <w:vAlign w:val="center"/>
          </w:tcPr>
          <w:p w14:paraId="5E9979B5"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1342</w:t>
            </w:r>
          </w:p>
        </w:tc>
        <w:tc>
          <w:tcPr>
            <w:tcW w:w="376" w:type="pct"/>
            <w:tcBorders>
              <w:top w:val="single" w:sz="4" w:space="0" w:color="000000"/>
              <w:left w:val="single" w:sz="4" w:space="0" w:color="000000"/>
              <w:bottom w:val="single" w:sz="4" w:space="0" w:color="000000"/>
              <w:right w:val="single" w:sz="4" w:space="0" w:color="000000"/>
            </w:tcBorders>
            <w:noWrap/>
            <w:vAlign w:val="center"/>
          </w:tcPr>
          <w:p w14:paraId="40DF079F"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1322</w:t>
            </w:r>
          </w:p>
        </w:tc>
        <w:tc>
          <w:tcPr>
            <w:tcW w:w="347" w:type="pct"/>
            <w:tcBorders>
              <w:top w:val="single" w:sz="4" w:space="0" w:color="000000"/>
              <w:left w:val="single" w:sz="4" w:space="0" w:color="000000"/>
              <w:bottom w:val="single" w:sz="4" w:space="0" w:color="000000"/>
              <w:right w:val="single" w:sz="4" w:space="0" w:color="000000"/>
            </w:tcBorders>
            <w:noWrap/>
            <w:vAlign w:val="center"/>
          </w:tcPr>
          <w:p w14:paraId="473423B2" w14:textId="77777777" w:rsidR="00054437" w:rsidRPr="000549B1" w:rsidRDefault="00054437">
            <w:pPr>
              <w:widowControl/>
              <w:spacing w:line="0" w:lineRule="atLeast"/>
              <w:jc w:val="center"/>
              <w:rPr>
                <w:rFonts w:eastAsiaTheme="minorEastAsia"/>
                <w:bCs/>
                <w:sz w:val="18"/>
                <w:szCs w:val="18"/>
              </w:rPr>
            </w:pPr>
          </w:p>
        </w:tc>
        <w:tc>
          <w:tcPr>
            <w:tcW w:w="371" w:type="pct"/>
            <w:tcBorders>
              <w:top w:val="single" w:sz="4" w:space="0" w:color="000000"/>
              <w:left w:val="single" w:sz="4" w:space="0" w:color="000000"/>
              <w:bottom w:val="single" w:sz="4" w:space="0" w:color="000000"/>
              <w:right w:val="single" w:sz="4" w:space="0" w:color="000000"/>
            </w:tcBorders>
            <w:noWrap/>
            <w:vAlign w:val="center"/>
          </w:tcPr>
          <w:p w14:paraId="364A41B3"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132</w:t>
            </w:r>
          </w:p>
        </w:tc>
        <w:tc>
          <w:tcPr>
            <w:tcW w:w="411" w:type="pct"/>
            <w:tcBorders>
              <w:top w:val="single" w:sz="4" w:space="0" w:color="000000"/>
              <w:left w:val="single" w:sz="4" w:space="0" w:color="000000"/>
              <w:bottom w:val="single" w:sz="4" w:space="0" w:color="000000"/>
              <w:right w:val="single" w:sz="4" w:space="0" w:color="000000"/>
            </w:tcBorders>
            <w:noWrap/>
            <w:vAlign w:val="center"/>
          </w:tcPr>
          <w:p w14:paraId="59C7484B"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128</w:t>
            </w:r>
          </w:p>
        </w:tc>
        <w:tc>
          <w:tcPr>
            <w:tcW w:w="411" w:type="pct"/>
            <w:tcBorders>
              <w:top w:val="single" w:sz="4" w:space="0" w:color="000000"/>
              <w:left w:val="single" w:sz="4" w:space="0" w:color="000000"/>
              <w:bottom w:val="single" w:sz="4" w:space="0" w:color="000000"/>
              <w:right w:val="single" w:sz="4" w:space="0" w:color="000000"/>
            </w:tcBorders>
            <w:noWrap/>
            <w:vAlign w:val="center"/>
          </w:tcPr>
          <w:p w14:paraId="4D2D3E09" w14:textId="77777777" w:rsidR="00054437" w:rsidRPr="000549B1" w:rsidRDefault="00054437">
            <w:pPr>
              <w:widowControl/>
              <w:spacing w:line="0" w:lineRule="atLeast"/>
              <w:jc w:val="center"/>
              <w:rPr>
                <w:rFonts w:eastAsiaTheme="minorEastAsia"/>
                <w:bCs/>
                <w:sz w:val="18"/>
                <w:szCs w:val="18"/>
              </w:rPr>
            </w:pPr>
          </w:p>
        </w:tc>
        <w:tc>
          <w:tcPr>
            <w:tcW w:w="340" w:type="pct"/>
            <w:tcBorders>
              <w:top w:val="single" w:sz="4" w:space="0" w:color="000000"/>
              <w:left w:val="single" w:sz="4" w:space="0" w:color="000000"/>
              <w:bottom w:val="single" w:sz="4" w:space="0" w:color="000000"/>
              <w:right w:val="single" w:sz="4" w:space="0" w:color="000000"/>
            </w:tcBorders>
            <w:noWrap/>
            <w:vAlign w:val="center"/>
          </w:tcPr>
          <w:p w14:paraId="5BB1C279" w14:textId="77777777" w:rsidR="00054437" w:rsidRPr="000549B1" w:rsidRDefault="00054437">
            <w:pPr>
              <w:widowControl/>
              <w:spacing w:line="0" w:lineRule="atLeast"/>
              <w:jc w:val="center"/>
              <w:rPr>
                <w:rFonts w:eastAsiaTheme="minorEastAsia"/>
                <w:bCs/>
                <w:sz w:val="18"/>
                <w:szCs w:val="18"/>
              </w:rPr>
            </w:pPr>
          </w:p>
        </w:tc>
        <w:tc>
          <w:tcPr>
            <w:tcW w:w="380" w:type="pct"/>
            <w:tcBorders>
              <w:top w:val="single" w:sz="4" w:space="0" w:color="000000"/>
              <w:left w:val="single" w:sz="4" w:space="0" w:color="000000"/>
              <w:bottom w:val="single" w:sz="4" w:space="0" w:color="000000"/>
              <w:right w:val="single" w:sz="4" w:space="0" w:color="000000"/>
            </w:tcBorders>
            <w:noWrap/>
            <w:vAlign w:val="center"/>
          </w:tcPr>
          <w:p w14:paraId="4D7E88AD" w14:textId="77777777" w:rsidR="00054437" w:rsidRPr="000549B1" w:rsidRDefault="00054437">
            <w:pPr>
              <w:widowControl/>
              <w:spacing w:line="0" w:lineRule="atLeast"/>
              <w:jc w:val="center"/>
              <w:rPr>
                <w:rFonts w:eastAsiaTheme="minorEastAsia"/>
                <w:bCs/>
                <w:sz w:val="18"/>
                <w:szCs w:val="18"/>
              </w:rPr>
            </w:pPr>
          </w:p>
        </w:tc>
      </w:tr>
      <w:tr w:rsidR="000549B1" w:rsidRPr="000549B1" w14:paraId="49526200" w14:textId="77777777">
        <w:trPr>
          <w:trHeight w:val="283"/>
          <w:jc w:val="center"/>
        </w:trPr>
        <w:tc>
          <w:tcPr>
            <w:tcW w:w="1166" w:type="pct"/>
            <w:tcBorders>
              <w:top w:val="single" w:sz="4" w:space="0" w:color="000000"/>
              <w:left w:val="single" w:sz="4" w:space="0" w:color="000000"/>
              <w:bottom w:val="single" w:sz="4" w:space="0" w:color="000000"/>
              <w:right w:val="single" w:sz="4" w:space="0" w:color="000000"/>
            </w:tcBorders>
            <w:noWrap/>
            <w:vAlign w:val="center"/>
          </w:tcPr>
          <w:p w14:paraId="779AE27D"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（折纯量</w:t>
            </w:r>
            <w:r w:rsidRPr="000549B1">
              <w:rPr>
                <w:bCs/>
                <w:kern w:val="0"/>
                <w:sz w:val="18"/>
                <w:szCs w:val="18"/>
                <w:lang w:bidi="ar"/>
              </w:rPr>
              <w:t>）</w:t>
            </w:r>
          </w:p>
        </w:tc>
        <w:tc>
          <w:tcPr>
            <w:tcW w:w="403" w:type="pct"/>
            <w:tcBorders>
              <w:top w:val="single" w:sz="4" w:space="0" w:color="000000"/>
              <w:left w:val="single" w:sz="4" w:space="0" w:color="000000"/>
              <w:bottom w:val="single" w:sz="4" w:space="0" w:color="000000"/>
              <w:right w:val="single" w:sz="4" w:space="0" w:color="000000"/>
            </w:tcBorders>
            <w:noWrap/>
            <w:vAlign w:val="center"/>
          </w:tcPr>
          <w:p w14:paraId="0BEFDBAF"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432</w:t>
            </w:r>
          </w:p>
        </w:tc>
        <w:tc>
          <w:tcPr>
            <w:tcW w:w="381" w:type="pct"/>
            <w:tcBorders>
              <w:top w:val="single" w:sz="4" w:space="0" w:color="000000"/>
              <w:left w:val="single" w:sz="4" w:space="0" w:color="000000"/>
              <w:bottom w:val="single" w:sz="4" w:space="0" w:color="000000"/>
              <w:right w:val="single" w:sz="4" w:space="0" w:color="000000"/>
            </w:tcBorders>
            <w:noWrap/>
            <w:vAlign w:val="center"/>
          </w:tcPr>
          <w:p w14:paraId="0BCB8F3C"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164.8</w:t>
            </w:r>
          </w:p>
        </w:tc>
        <w:tc>
          <w:tcPr>
            <w:tcW w:w="408" w:type="pct"/>
            <w:tcBorders>
              <w:top w:val="single" w:sz="4" w:space="0" w:color="000000"/>
              <w:left w:val="single" w:sz="4" w:space="0" w:color="000000"/>
              <w:bottom w:val="single" w:sz="4" w:space="0" w:color="000000"/>
              <w:right w:val="single" w:sz="4" w:space="0" w:color="000000"/>
            </w:tcBorders>
            <w:noWrap/>
            <w:vAlign w:val="center"/>
          </w:tcPr>
          <w:p w14:paraId="1B42AF4A"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161</w:t>
            </w:r>
          </w:p>
        </w:tc>
        <w:tc>
          <w:tcPr>
            <w:tcW w:w="376" w:type="pct"/>
            <w:tcBorders>
              <w:top w:val="single" w:sz="4" w:space="0" w:color="000000"/>
              <w:left w:val="single" w:sz="4" w:space="0" w:color="000000"/>
              <w:bottom w:val="single" w:sz="4" w:space="0" w:color="000000"/>
              <w:right w:val="single" w:sz="4" w:space="0" w:color="000000"/>
            </w:tcBorders>
            <w:noWrap/>
            <w:vAlign w:val="center"/>
          </w:tcPr>
          <w:p w14:paraId="684B7017"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158</w:t>
            </w:r>
          </w:p>
        </w:tc>
        <w:tc>
          <w:tcPr>
            <w:tcW w:w="347" w:type="pct"/>
            <w:tcBorders>
              <w:top w:val="single" w:sz="4" w:space="0" w:color="000000"/>
              <w:left w:val="single" w:sz="4" w:space="0" w:color="000000"/>
              <w:bottom w:val="single" w:sz="4" w:space="0" w:color="000000"/>
              <w:right w:val="single" w:sz="4" w:space="0" w:color="000000"/>
            </w:tcBorders>
            <w:noWrap/>
            <w:vAlign w:val="center"/>
          </w:tcPr>
          <w:p w14:paraId="311803C3" w14:textId="77777777" w:rsidR="00054437" w:rsidRPr="000549B1" w:rsidRDefault="00054437">
            <w:pPr>
              <w:widowControl/>
              <w:spacing w:line="0" w:lineRule="atLeast"/>
              <w:jc w:val="center"/>
              <w:rPr>
                <w:rFonts w:eastAsiaTheme="minorEastAsia"/>
                <w:bCs/>
                <w:sz w:val="18"/>
                <w:szCs w:val="18"/>
              </w:rPr>
            </w:pPr>
          </w:p>
        </w:tc>
        <w:tc>
          <w:tcPr>
            <w:tcW w:w="371" w:type="pct"/>
            <w:tcBorders>
              <w:top w:val="single" w:sz="4" w:space="0" w:color="000000"/>
              <w:left w:val="single" w:sz="4" w:space="0" w:color="000000"/>
              <w:bottom w:val="single" w:sz="4" w:space="0" w:color="000000"/>
              <w:right w:val="single" w:sz="4" w:space="0" w:color="000000"/>
            </w:tcBorders>
            <w:noWrap/>
            <w:vAlign w:val="center"/>
          </w:tcPr>
          <w:p w14:paraId="01552EC7"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59</w:t>
            </w:r>
          </w:p>
        </w:tc>
        <w:tc>
          <w:tcPr>
            <w:tcW w:w="411" w:type="pct"/>
            <w:tcBorders>
              <w:top w:val="single" w:sz="4" w:space="0" w:color="000000"/>
              <w:left w:val="single" w:sz="4" w:space="0" w:color="000000"/>
              <w:bottom w:val="single" w:sz="4" w:space="0" w:color="000000"/>
              <w:right w:val="single" w:sz="4" w:space="0" w:color="000000"/>
            </w:tcBorders>
            <w:noWrap/>
            <w:vAlign w:val="center"/>
          </w:tcPr>
          <w:p w14:paraId="3BF04117"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15</w:t>
            </w:r>
          </w:p>
        </w:tc>
        <w:tc>
          <w:tcPr>
            <w:tcW w:w="411" w:type="pct"/>
            <w:tcBorders>
              <w:top w:val="single" w:sz="4" w:space="0" w:color="000000"/>
              <w:left w:val="single" w:sz="4" w:space="0" w:color="000000"/>
              <w:bottom w:val="single" w:sz="4" w:space="0" w:color="000000"/>
              <w:right w:val="single" w:sz="4" w:space="0" w:color="000000"/>
            </w:tcBorders>
            <w:noWrap/>
            <w:vAlign w:val="center"/>
          </w:tcPr>
          <w:p w14:paraId="0AFDDD10" w14:textId="77777777" w:rsidR="00054437" w:rsidRPr="000549B1" w:rsidRDefault="00054437">
            <w:pPr>
              <w:widowControl/>
              <w:spacing w:line="0" w:lineRule="atLeast"/>
              <w:jc w:val="center"/>
              <w:rPr>
                <w:rFonts w:eastAsiaTheme="minorEastAsia"/>
                <w:bCs/>
                <w:sz w:val="18"/>
                <w:szCs w:val="18"/>
              </w:rPr>
            </w:pPr>
          </w:p>
        </w:tc>
        <w:tc>
          <w:tcPr>
            <w:tcW w:w="340" w:type="pct"/>
            <w:tcBorders>
              <w:top w:val="single" w:sz="4" w:space="0" w:color="000000"/>
              <w:left w:val="single" w:sz="4" w:space="0" w:color="000000"/>
              <w:bottom w:val="single" w:sz="4" w:space="0" w:color="000000"/>
              <w:right w:val="single" w:sz="4" w:space="0" w:color="000000"/>
            </w:tcBorders>
            <w:noWrap/>
            <w:vAlign w:val="center"/>
          </w:tcPr>
          <w:p w14:paraId="48165540" w14:textId="77777777" w:rsidR="00054437" w:rsidRPr="000549B1" w:rsidRDefault="00054437">
            <w:pPr>
              <w:widowControl/>
              <w:spacing w:line="0" w:lineRule="atLeast"/>
              <w:jc w:val="center"/>
              <w:rPr>
                <w:rFonts w:eastAsiaTheme="minorEastAsia"/>
                <w:bCs/>
                <w:sz w:val="18"/>
                <w:szCs w:val="18"/>
              </w:rPr>
            </w:pPr>
          </w:p>
        </w:tc>
        <w:tc>
          <w:tcPr>
            <w:tcW w:w="380" w:type="pct"/>
            <w:tcBorders>
              <w:top w:val="single" w:sz="4" w:space="0" w:color="000000"/>
              <w:left w:val="single" w:sz="4" w:space="0" w:color="000000"/>
              <w:bottom w:val="single" w:sz="4" w:space="0" w:color="000000"/>
              <w:right w:val="single" w:sz="4" w:space="0" w:color="000000"/>
            </w:tcBorders>
            <w:noWrap/>
            <w:vAlign w:val="center"/>
          </w:tcPr>
          <w:p w14:paraId="1BD1590F" w14:textId="77777777" w:rsidR="00054437" w:rsidRPr="000549B1" w:rsidRDefault="00054437">
            <w:pPr>
              <w:widowControl/>
              <w:spacing w:line="0" w:lineRule="atLeast"/>
              <w:jc w:val="center"/>
              <w:rPr>
                <w:rFonts w:eastAsiaTheme="minorEastAsia"/>
                <w:bCs/>
                <w:sz w:val="18"/>
                <w:szCs w:val="18"/>
              </w:rPr>
            </w:pPr>
          </w:p>
        </w:tc>
      </w:tr>
      <w:tr w:rsidR="000549B1" w:rsidRPr="000549B1" w14:paraId="7AC15194" w14:textId="77777777">
        <w:trPr>
          <w:trHeight w:val="283"/>
          <w:jc w:val="center"/>
        </w:trPr>
        <w:tc>
          <w:tcPr>
            <w:tcW w:w="1166" w:type="pct"/>
            <w:tcBorders>
              <w:top w:val="single" w:sz="4" w:space="0" w:color="000000"/>
              <w:left w:val="single" w:sz="4" w:space="0" w:color="000000"/>
              <w:bottom w:val="single" w:sz="4" w:space="0" w:color="000000"/>
              <w:right w:val="single" w:sz="4" w:space="0" w:color="000000"/>
            </w:tcBorders>
            <w:noWrap/>
            <w:vAlign w:val="center"/>
          </w:tcPr>
          <w:p w14:paraId="788673C3"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复合肥</w:t>
            </w:r>
            <w:r w:rsidRPr="000549B1">
              <w:rPr>
                <w:bCs/>
                <w:kern w:val="0"/>
                <w:sz w:val="18"/>
                <w:szCs w:val="18"/>
                <w:lang w:bidi="ar"/>
              </w:rPr>
              <w:t>（</w:t>
            </w:r>
            <w:r w:rsidRPr="000549B1">
              <w:rPr>
                <w:rFonts w:eastAsiaTheme="minorEastAsia"/>
                <w:bCs/>
                <w:kern w:val="0"/>
                <w:sz w:val="18"/>
                <w:szCs w:val="18"/>
                <w:lang w:bidi="ar"/>
              </w:rPr>
              <w:t>实物量</w:t>
            </w:r>
            <w:r w:rsidRPr="000549B1">
              <w:rPr>
                <w:bCs/>
                <w:kern w:val="0"/>
                <w:sz w:val="18"/>
                <w:szCs w:val="18"/>
                <w:lang w:bidi="ar"/>
              </w:rPr>
              <w:t>）</w:t>
            </w:r>
          </w:p>
        </w:tc>
        <w:tc>
          <w:tcPr>
            <w:tcW w:w="403" w:type="pct"/>
            <w:tcBorders>
              <w:top w:val="single" w:sz="4" w:space="0" w:color="000000"/>
              <w:left w:val="single" w:sz="4" w:space="0" w:color="000000"/>
              <w:bottom w:val="single" w:sz="4" w:space="0" w:color="000000"/>
              <w:right w:val="single" w:sz="4" w:space="0" w:color="000000"/>
            </w:tcBorders>
            <w:noWrap/>
            <w:vAlign w:val="center"/>
          </w:tcPr>
          <w:p w14:paraId="5913F0E8"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3507</w:t>
            </w:r>
          </w:p>
        </w:tc>
        <w:tc>
          <w:tcPr>
            <w:tcW w:w="381" w:type="pct"/>
            <w:tcBorders>
              <w:top w:val="single" w:sz="4" w:space="0" w:color="000000"/>
              <w:left w:val="single" w:sz="4" w:space="0" w:color="000000"/>
              <w:bottom w:val="single" w:sz="4" w:space="0" w:color="000000"/>
              <w:right w:val="single" w:sz="4" w:space="0" w:color="000000"/>
            </w:tcBorders>
            <w:noWrap/>
            <w:vAlign w:val="center"/>
          </w:tcPr>
          <w:p w14:paraId="6D0DD1DD"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3375</w:t>
            </w:r>
          </w:p>
        </w:tc>
        <w:tc>
          <w:tcPr>
            <w:tcW w:w="408" w:type="pct"/>
            <w:tcBorders>
              <w:top w:val="single" w:sz="4" w:space="0" w:color="000000"/>
              <w:left w:val="single" w:sz="4" w:space="0" w:color="000000"/>
              <w:bottom w:val="single" w:sz="4" w:space="0" w:color="000000"/>
              <w:right w:val="single" w:sz="4" w:space="0" w:color="000000"/>
            </w:tcBorders>
            <w:noWrap/>
            <w:vAlign w:val="center"/>
          </w:tcPr>
          <w:p w14:paraId="46390678"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3563</w:t>
            </w:r>
          </w:p>
        </w:tc>
        <w:tc>
          <w:tcPr>
            <w:tcW w:w="376" w:type="pct"/>
            <w:tcBorders>
              <w:top w:val="single" w:sz="4" w:space="0" w:color="000000"/>
              <w:left w:val="single" w:sz="4" w:space="0" w:color="000000"/>
              <w:bottom w:val="single" w:sz="4" w:space="0" w:color="000000"/>
              <w:right w:val="single" w:sz="4" w:space="0" w:color="000000"/>
            </w:tcBorders>
            <w:noWrap/>
            <w:vAlign w:val="center"/>
          </w:tcPr>
          <w:p w14:paraId="14B9F4C0"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3211</w:t>
            </w:r>
          </w:p>
        </w:tc>
        <w:tc>
          <w:tcPr>
            <w:tcW w:w="347" w:type="pct"/>
            <w:tcBorders>
              <w:top w:val="single" w:sz="4" w:space="0" w:color="000000"/>
              <w:left w:val="single" w:sz="4" w:space="0" w:color="000000"/>
              <w:bottom w:val="single" w:sz="4" w:space="0" w:color="000000"/>
              <w:right w:val="single" w:sz="4" w:space="0" w:color="000000"/>
            </w:tcBorders>
            <w:noWrap/>
            <w:vAlign w:val="center"/>
          </w:tcPr>
          <w:p w14:paraId="3CEF2458" w14:textId="77777777" w:rsidR="00054437" w:rsidRPr="000549B1" w:rsidRDefault="00054437">
            <w:pPr>
              <w:widowControl/>
              <w:spacing w:line="0" w:lineRule="atLeast"/>
              <w:jc w:val="center"/>
              <w:rPr>
                <w:rFonts w:eastAsiaTheme="minorEastAsia"/>
                <w:bCs/>
                <w:sz w:val="18"/>
                <w:szCs w:val="18"/>
              </w:rPr>
            </w:pPr>
          </w:p>
        </w:tc>
        <w:tc>
          <w:tcPr>
            <w:tcW w:w="371" w:type="pct"/>
            <w:tcBorders>
              <w:top w:val="single" w:sz="4" w:space="0" w:color="000000"/>
              <w:left w:val="single" w:sz="4" w:space="0" w:color="000000"/>
              <w:bottom w:val="single" w:sz="4" w:space="0" w:color="000000"/>
              <w:right w:val="single" w:sz="4" w:space="0" w:color="000000"/>
            </w:tcBorders>
            <w:noWrap/>
            <w:vAlign w:val="center"/>
          </w:tcPr>
          <w:p w14:paraId="3D521F75"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1527</w:t>
            </w:r>
          </w:p>
        </w:tc>
        <w:tc>
          <w:tcPr>
            <w:tcW w:w="411" w:type="pct"/>
            <w:tcBorders>
              <w:top w:val="single" w:sz="4" w:space="0" w:color="000000"/>
              <w:left w:val="single" w:sz="4" w:space="0" w:color="000000"/>
              <w:bottom w:val="single" w:sz="4" w:space="0" w:color="000000"/>
              <w:right w:val="single" w:sz="4" w:space="0" w:color="000000"/>
            </w:tcBorders>
            <w:noWrap/>
            <w:vAlign w:val="center"/>
          </w:tcPr>
          <w:p w14:paraId="128D9D07"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1858.7</w:t>
            </w:r>
          </w:p>
        </w:tc>
        <w:tc>
          <w:tcPr>
            <w:tcW w:w="411" w:type="pct"/>
            <w:tcBorders>
              <w:top w:val="single" w:sz="4" w:space="0" w:color="000000"/>
              <w:left w:val="single" w:sz="4" w:space="0" w:color="000000"/>
              <w:bottom w:val="single" w:sz="4" w:space="0" w:color="000000"/>
              <w:right w:val="single" w:sz="4" w:space="0" w:color="000000"/>
            </w:tcBorders>
            <w:noWrap/>
            <w:vAlign w:val="center"/>
          </w:tcPr>
          <w:p w14:paraId="5DCDE0FF"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1988</w:t>
            </w:r>
          </w:p>
        </w:tc>
        <w:tc>
          <w:tcPr>
            <w:tcW w:w="340" w:type="pct"/>
            <w:tcBorders>
              <w:top w:val="single" w:sz="4" w:space="0" w:color="000000"/>
              <w:left w:val="single" w:sz="4" w:space="0" w:color="000000"/>
              <w:bottom w:val="single" w:sz="4" w:space="0" w:color="000000"/>
              <w:right w:val="single" w:sz="4" w:space="0" w:color="000000"/>
            </w:tcBorders>
            <w:noWrap/>
            <w:vAlign w:val="center"/>
          </w:tcPr>
          <w:p w14:paraId="3E3D6D1B"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1903</w:t>
            </w:r>
          </w:p>
        </w:tc>
        <w:tc>
          <w:tcPr>
            <w:tcW w:w="380" w:type="pct"/>
            <w:tcBorders>
              <w:top w:val="single" w:sz="4" w:space="0" w:color="000000"/>
              <w:left w:val="single" w:sz="4" w:space="0" w:color="000000"/>
              <w:bottom w:val="single" w:sz="4" w:space="0" w:color="000000"/>
              <w:right w:val="single" w:sz="4" w:space="0" w:color="000000"/>
            </w:tcBorders>
            <w:noWrap/>
            <w:vAlign w:val="center"/>
          </w:tcPr>
          <w:p w14:paraId="558F6FD0" w14:textId="77777777" w:rsidR="00054437" w:rsidRPr="000549B1" w:rsidRDefault="00054437">
            <w:pPr>
              <w:widowControl/>
              <w:spacing w:line="0" w:lineRule="atLeast"/>
              <w:jc w:val="center"/>
              <w:rPr>
                <w:rFonts w:eastAsiaTheme="minorEastAsia"/>
                <w:bCs/>
                <w:sz w:val="18"/>
                <w:szCs w:val="18"/>
              </w:rPr>
            </w:pPr>
          </w:p>
        </w:tc>
      </w:tr>
      <w:tr w:rsidR="000549B1" w:rsidRPr="000549B1" w14:paraId="0C650C5F" w14:textId="77777777">
        <w:trPr>
          <w:trHeight w:val="283"/>
          <w:jc w:val="center"/>
        </w:trPr>
        <w:tc>
          <w:tcPr>
            <w:tcW w:w="1166" w:type="pct"/>
            <w:tcBorders>
              <w:top w:val="single" w:sz="4" w:space="0" w:color="000000"/>
              <w:left w:val="single" w:sz="4" w:space="0" w:color="000000"/>
              <w:bottom w:val="single" w:sz="4" w:space="0" w:color="000000"/>
              <w:right w:val="single" w:sz="4" w:space="0" w:color="000000"/>
            </w:tcBorders>
            <w:noWrap/>
            <w:vAlign w:val="center"/>
          </w:tcPr>
          <w:p w14:paraId="6563A4DB" w14:textId="77777777" w:rsidR="00054437" w:rsidRPr="000549B1" w:rsidRDefault="00000000">
            <w:pPr>
              <w:widowControl/>
              <w:spacing w:line="0" w:lineRule="atLeast"/>
              <w:jc w:val="center"/>
              <w:textAlignment w:val="bottom"/>
              <w:rPr>
                <w:rFonts w:eastAsiaTheme="minorEastAsia"/>
                <w:bCs/>
                <w:sz w:val="18"/>
                <w:szCs w:val="18"/>
              </w:rPr>
            </w:pPr>
            <w:r w:rsidRPr="000549B1">
              <w:rPr>
                <w:bCs/>
                <w:kern w:val="0"/>
                <w:sz w:val="18"/>
                <w:szCs w:val="18"/>
                <w:lang w:bidi="ar"/>
              </w:rPr>
              <w:t>（</w:t>
            </w:r>
            <w:r w:rsidRPr="000549B1">
              <w:rPr>
                <w:rFonts w:eastAsiaTheme="minorEastAsia"/>
                <w:bCs/>
                <w:kern w:val="0"/>
                <w:sz w:val="18"/>
                <w:szCs w:val="18"/>
                <w:lang w:bidi="ar"/>
              </w:rPr>
              <w:t>折纯量</w:t>
            </w:r>
            <w:r w:rsidRPr="000549B1">
              <w:rPr>
                <w:bCs/>
                <w:kern w:val="0"/>
                <w:sz w:val="18"/>
                <w:szCs w:val="18"/>
                <w:lang w:bidi="ar"/>
              </w:rPr>
              <w:t>）</w:t>
            </w:r>
          </w:p>
        </w:tc>
        <w:tc>
          <w:tcPr>
            <w:tcW w:w="403" w:type="pct"/>
            <w:tcBorders>
              <w:top w:val="single" w:sz="4" w:space="0" w:color="000000"/>
              <w:left w:val="single" w:sz="4" w:space="0" w:color="000000"/>
              <w:bottom w:val="single" w:sz="4" w:space="0" w:color="000000"/>
              <w:right w:val="single" w:sz="4" w:space="0" w:color="000000"/>
            </w:tcBorders>
            <w:noWrap/>
            <w:vAlign w:val="center"/>
          </w:tcPr>
          <w:p w14:paraId="3AB85CC5"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1715</w:t>
            </w:r>
          </w:p>
        </w:tc>
        <w:tc>
          <w:tcPr>
            <w:tcW w:w="381" w:type="pct"/>
            <w:tcBorders>
              <w:top w:val="single" w:sz="4" w:space="0" w:color="000000"/>
              <w:left w:val="single" w:sz="4" w:space="0" w:color="000000"/>
              <w:bottom w:val="single" w:sz="4" w:space="0" w:color="000000"/>
              <w:right w:val="single" w:sz="4" w:space="0" w:color="000000"/>
            </w:tcBorders>
            <w:noWrap/>
            <w:vAlign w:val="center"/>
          </w:tcPr>
          <w:p w14:paraId="4DCBCB08"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1197</w:t>
            </w:r>
          </w:p>
        </w:tc>
        <w:tc>
          <w:tcPr>
            <w:tcW w:w="408" w:type="pct"/>
            <w:tcBorders>
              <w:top w:val="single" w:sz="4" w:space="0" w:color="000000"/>
              <w:left w:val="single" w:sz="4" w:space="0" w:color="000000"/>
              <w:bottom w:val="single" w:sz="4" w:space="0" w:color="000000"/>
              <w:right w:val="single" w:sz="4" w:space="0" w:color="000000"/>
            </w:tcBorders>
            <w:noWrap/>
            <w:vAlign w:val="center"/>
          </w:tcPr>
          <w:p w14:paraId="1E38C71A"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1263</w:t>
            </w:r>
          </w:p>
        </w:tc>
        <w:tc>
          <w:tcPr>
            <w:tcW w:w="376" w:type="pct"/>
            <w:tcBorders>
              <w:top w:val="single" w:sz="4" w:space="0" w:color="000000"/>
              <w:left w:val="single" w:sz="4" w:space="0" w:color="000000"/>
              <w:bottom w:val="single" w:sz="4" w:space="0" w:color="000000"/>
              <w:right w:val="single" w:sz="4" w:space="0" w:color="000000"/>
            </w:tcBorders>
            <w:noWrap/>
            <w:vAlign w:val="center"/>
          </w:tcPr>
          <w:p w14:paraId="033AF815"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1412</w:t>
            </w:r>
          </w:p>
        </w:tc>
        <w:tc>
          <w:tcPr>
            <w:tcW w:w="347" w:type="pct"/>
            <w:tcBorders>
              <w:top w:val="single" w:sz="4" w:space="0" w:color="000000"/>
              <w:left w:val="single" w:sz="4" w:space="0" w:color="000000"/>
              <w:bottom w:val="single" w:sz="4" w:space="0" w:color="000000"/>
              <w:right w:val="single" w:sz="4" w:space="0" w:color="000000"/>
            </w:tcBorders>
            <w:noWrap/>
            <w:vAlign w:val="center"/>
          </w:tcPr>
          <w:p w14:paraId="084BE39F" w14:textId="77777777" w:rsidR="00054437" w:rsidRPr="000549B1" w:rsidRDefault="00054437">
            <w:pPr>
              <w:widowControl/>
              <w:spacing w:line="0" w:lineRule="atLeast"/>
              <w:jc w:val="center"/>
              <w:rPr>
                <w:rFonts w:eastAsiaTheme="minorEastAsia"/>
                <w:bCs/>
                <w:sz w:val="18"/>
                <w:szCs w:val="18"/>
              </w:rPr>
            </w:pPr>
          </w:p>
        </w:tc>
        <w:tc>
          <w:tcPr>
            <w:tcW w:w="371" w:type="pct"/>
            <w:tcBorders>
              <w:top w:val="single" w:sz="4" w:space="0" w:color="000000"/>
              <w:left w:val="single" w:sz="4" w:space="0" w:color="000000"/>
              <w:bottom w:val="single" w:sz="4" w:space="0" w:color="000000"/>
              <w:right w:val="single" w:sz="4" w:space="0" w:color="000000"/>
            </w:tcBorders>
            <w:noWrap/>
            <w:vAlign w:val="center"/>
          </w:tcPr>
          <w:p w14:paraId="626801C2"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703</w:t>
            </w:r>
          </w:p>
        </w:tc>
        <w:tc>
          <w:tcPr>
            <w:tcW w:w="411" w:type="pct"/>
            <w:tcBorders>
              <w:top w:val="single" w:sz="4" w:space="0" w:color="000000"/>
              <w:left w:val="single" w:sz="4" w:space="0" w:color="000000"/>
              <w:bottom w:val="single" w:sz="4" w:space="0" w:color="000000"/>
              <w:right w:val="single" w:sz="4" w:space="0" w:color="000000"/>
            </w:tcBorders>
            <w:noWrap/>
            <w:vAlign w:val="center"/>
          </w:tcPr>
          <w:p w14:paraId="4B186CBF"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857.7</w:t>
            </w:r>
          </w:p>
        </w:tc>
        <w:tc>
          <w:tcPr>
            <w:tcW w:w="411" w:type="pct"/>
            <w:tcBorders>
              <w:top w:val="single" w:sz="4" w:space="0" w:color="000000"/>
              <w:left w:val="single" w:sz="4" w:space="0" w:color="000000"/>
              <w:bottom w:val="single" w:sz="4" w:space="0" w:color="000000"/>
              <w:right w:val="single" w:sz="4" w:space="0" w:color="000000"/>
            </w:tcBorders>
            <w:noWrap/>
            <w:vAlign w:val="center"/>
          </w:tcPr>
          <w:p w14:paraId="0310C0EB"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871.5</w:t>
            </w:r>
          </w:p>
        </w:tc>
        <w:tc>
          <w:tcPr>
            <w:tcW w:w="340" w:type="pct"/>
            <w:tcBorders>
              <w:top w:val="single" w:sz="4" w:space="0" w:color="000000"/>
              <w:left w:val="single" w:sz="4" w:space="0" w:color="000000"/>
              <w:bottom w:val="single" w:sz="4" w:space="0" w:color="000000"/>
              <w:right w:val="single" w:sz="4" w:space="0" w:color="000000"/>
            </w:tcBorders>
            <w:noWrap/>
            <w:vAlign w:val="center"/>
          </w:tcPr>
          <w:p w14:paraId="34C5AF91"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837</w:t>
            </w:r>
          </w:p>
        </w:tc>
        <w:tc>
          <w:tcPr>
            <w:tcW w:w="380" w:type="pct"/>
            <w:tcBorders>
              <w:top w:val="single" w:sz="4" w:space="0" w:color="000000"/>
              <w:left w:val="single" w:sz="4" w:space="0" w:color="000000"/>
              <w:bottom w:val="single" w:sz="4" w:space="0" w:color="000000"/>
              <w:right w:val="single" w:sz="4" w:space="0" w:color="000000"/>
            </w:tcBorders>
            <w:noWrap/>
            <w:vAlign w:val="center"/>
          </w:tcPr>
          <w:p w14:paraId="1EED305C" w14:textId="77777777" w:rsidR="00054437" w:rsidRPr="000549B1" w:rsidRDefault="00054437">
            <w:pPr>
              <w:widowControl/>
              <w:spacing w:line="0" w:lineRule="atLeast"/>
              <w:jc w:val="center"/>
              <w:rPr>
                <w:rFonts w:eastAsiaTheme="minorEastAsia"/>
                <w:bCs/>
                <w:sz w:val="18"/>
                <w:szCs w:val="18"/>
              </w:rPr>
            </w:pPr>
          </w:p>
        </w:tc>
      </w:tr>
      <w:tr w:rsidR="000549B1" w:rsidRPr="000549B1" w14:paraId="1259397F" w14:textId="77777777">
        <w:trPr>
          <w:trHeight w:val="283"/>
          <w:jc w:val="center"/>
        </w:trPr>
        <w:tc>
          <w:tcPr>
            <w:tcW w:w="1166" w:type="pct"/>
            <w:tcBorders>
              <w:top w:val="single" w:sz="4" w:space="0" w:color="000000"/>
              <w:left w:val="single" w:sz="4" w:space="0" w:color="000000"/>
              <w:bottom w:val="single" w:sz="4" w:space="0" w:color="000000"/>
              <w:right w:val="single" w:sz="4" w:space="0" w:color="000000"/>
            </w:tcBorders>
            <w:noWrap/>
            <w:vAlign w:val="center"/>
          </w:tcPr>
          <w:p w14:paraId="1B984EEA"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其他肥料</w:t>
            </w:r>
          </w:p>
        </w:tc>
        <w:tc>
          <w:tcPr>
            <w:tcW w:w="403" w:type="pct"/>
            <w:tcBorders>
              <w:top w:val="single" w:sz="4" w:space="0" w:color="000000"/>
              <w:left w:val="single" w:sz="4" w:space="0" w:color="000000"/>
              <w:bottom w:val="single" w:sz="4" w:space="0" w:color="000000"/>
              <w:right w:val="single" w:sz="4" w:space="0" w:color="000000"/>
            </w:tcBorders>
            <w:noWrap/>
            <w:vAlign w:val="center"/>
          </w:tcPr>
          <w:p w14:paraId="3D18158A"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57991</w:t>
            </w:r>
          </w:p>
        </w:tc>
        <w:tc>
          <w:tcPr>
            <w:tcW w:w="381" w:type="pct"/>
            <w:tcBorders>
              <w:top w:val="single" w:sz="4" w:space="0" w:color="000000"/>
              <w:left w:val="single" w:sz="4" w:space="0" w:color="000000"/>
              <w:bottom w:val="single" w:sz="4" w:space="0" w:color="000000"/>
              <w:right w:val="single" w:sz="4" w:space="0" w:color="000000"/>
            </w:tcBorders>
            <w:noWrap/>
            <w:vAlign w:val="center"/>
          </w:tcPr>
          <w:p w14:paraId="5FFF2141"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53948</w:t>
            </w:r>
          </w:p>
        </w:tc>
        <w:tc>
          <w:tcPr>
            <w:tcW w:w="408" w:type="pct"/>
            <w:tcBorders>
              <w:top w:val="single" w:sz="4" w:space="0" w:color="000000"/>
              <w:left w:val="single" w:sz="4" w:space="0" w:color="000000"/>
              <w:bottom w:val="single" w:sz="4" w:space="0" w:color="000000"/>
              <w:right w:val="single" w:sz="4" w:space="0" w:color="000000"/>
            </w:tcBorders>
            <w:noWrap/>
            <w:vAlign w:val="center"/>
          </w:tcPr>
          <w:p w14:paraId="59AB9773"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54486</w:t>
            </w:r>
          </w:p>
        </w:tc>
        <w:tc>
          <w:tcPr>
            <w:tcW w:w="376" w:type="pct"/>
            <w:tcBorders>
              <w:top w:val="single" w:sz="4" w:space="0" w:color="000000"/>
              <w:left w:val="single" w:sz="4" w:space="0" w:color="000000"/>
              <w:bottom w:val="single" w:sz="4" w:space="0" w:color="000000"/>
              <w:right w:val="single" w:sz="4" w:space="0" w:color="000000"/>
            </w:tcBorders>
            <w:noWrap/>
            <w:vAlign w:val="center"/>
          </w:tcPr>
          <w:p w14:paraId="26DDF2A4"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59500</w:t>
            </w:r>
          </w:p>
        </w:tc>
        <w:tc>
          <w:tcPr>
            <w:tcW w:w="347" w:type="pct"/>
            <w:tcBorders>
              <w:top w:val="single" w:sz="4" w:space="0" w:color="000000"/>
              <w:left w:val="single" w:sz="4" w:space="0" w:color="000000"/>
              <w:bottom w:val="single" w:sz="4" w:space="0" w:color="000000"/>
              <w:right w:val="single" w:sz="4" w:space="0" w:color="000000"/>
            </w:tcBorders>
            <w:noWrap/>
            <w:vAlign w:val="center"/>
          </w:tcPr>
          <w:p w14:paraId="2BB24B94" w14:textId="77777777" w:rsidR="00054437" w:rsidRPr="000549B1" w:rsidRDefault="00054437">
            <w:pPr>
              <w:widowControl/>
              <w:spacing w:line="0" w:lineRule="atLeast"/>
              <w:jc w:val="center"/>
              <w:rPr>
                <w:rFonts w:eastAsiaTheme="minorEastAsia"/>
                <w:bCs/>
                <w:sz w:val="18"/>
                <w:szCs w:val="18"/>
              </w:rPr>
            </w:pPr>
          </w:p>
        </w:tc>
        <w:tc>
          <w:tcPr>
            <w:tcW w:w="371" w:type="pct"/>
            <w:tcBorders>
              <w:top w:val="single" w:sz="4" w:space="0" w:color="000000"/>
              <w:left w:val="single" w:sz="4" w:space="0" w:color="000000"/>
              <w:bottom w:val="single" w:sz="4" w:space="0" w:color="000000"/>
              <w:right w:val="single" w:sz="4" w:space="0" w:color="000000"/>
            </w:tcBorders>
            <w:noWrap/>
            <w:vAlign w:val="center"/>
          </w:tcPr>
          <w:p w14:paraId="720A49F9"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315</w:t>
            </w:r>
          </w:p>
        </w:tc>
        <w:tc>
          <w:tcPr>
            <w:tcW w:w="411" w:type="pct"/>
            <w:tcBorders>
              <w:top w:val="single" w:sz="4" w:space="0" w:color="000000"/>
              <w:left w:val="single" w:sz="4" w:space="0" w:color="000000"/>
              <w:bottom w:val="single" w:sz="4" w:space="0" w:color="000000"/>
              <w:right w:val="single" w:sz="4" w:space="0" w:color="000000"/>
            </w:tcBorders>
            <w:noWrap/>
            <w:vAlign w:val="center"/>
          </w:tcPr>
          <w:p w14:paraId="0FC4D42A"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0</w:t>
            </w:r>
          </w:p>
        </w:tc>
        <w:tc>
          <w:tcPr>
            <w:tcW w:w="411" w:type="pct"/>
            <w:tcBorders>
              <w:top w:val="single" w:sz="4" w:space="0" w:color="000000"/>
              <w:left w:val="single" w:sz="4" w:space="0" w:color="000000"/>
              <w:bottom w:val="single" w:sz="4" w:space="0" w:color="000000"/>
              <w:right w:val="single" w:sz="4" w:space="0" w:color="000000"/>
            </w:tcBorders>
            <w:noWrap/>
            <w:vAlign w:val="center"/>
          </w:tcPr>
          <w:p w14:paraId="0D0C08BB" w14:textId="77777777" w:rsidR="00054437" w:rsidRPr="000549B1" w:rsidRDefault="00054437">
            <w:pPr>
              <w:widowControl/>
              <w:spacing w:line="0" w:lineRule="atLeast"/>
              <w:jc w:val="center"/>
              <w:rPr>
                <w:rFonts w:eastAsiaTheme="minorEastAsia"/>
                <w:bCs/>
                <w:sz w:val="18"/>
                <w:szCs w:val="18"/>
              </w:rPr>
            </w:pPr>
          </w:p>
        </w:tc>
        <w:tc>
          <w:tcPr>
            <w:tcW w:w="340" w:type="pct"/>
            <w:tcBorders>
              <w:top w:val="single" w:sz="4" w:space="0" w:color="000000"/>
              <w:left w:val="single" w:sz="4" w:space="0" w:color="000000"/>
              <w:bottom w:val="single" w:sz="4" w:space="0" w:color="000000"/>
              <w:right w:val="single" w:sz="4" w:space="0" w:color="000000"/>
            </w:tcBorders>
            <w:noWrap/>
            <w:vAlign w:val="center"/>
          </w:tcPr>
          <w:p w14:paraId="21B7ADA0"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11</w:t>
            </w:r>
          </w:p>
        </w:tc>
        <w:tc>
          <w:tcPr>
            <w:tcW w:w="380" w:type="pct"/>
            <w:tcBorders>
              <w:top w:val="single" w:sz="4" w:space="0" w:color="000000"/>
              <w:left w:val="single" w:sz="4" w:space="0" w:color="000000"/>
              <w:bottom w:val="single" w:sz="4" w:space="0" w:color="000000"/>
              <w:right w:val="single" w:sz="4" w:space="0" w:color="000000"/>
            </w:tcBorders>
            <w:noWrap/>
            <w:vAlign w:val="center"/>
          </w:tcPr>
          <w:p w14:paraId="1E8C95BD" w14:textId="77777777" w:rsidR="00054437" w:rsidRPr="000549B1" w:rsidRDefault="00054437">
            <w:pPr>
              <w:widowControl/>
              <w:spacing w:line="0" w:lineRule="atLeast"/>
              <w:jc w:val="center"/>
              <w:rPr>
                <w:rFonts w:eastAsiaTheme="minorEastAsia"/>
                <w:bCs/>
                <w:sz w:val="18"/>
                <w:szCs w:val="18"/>
              </w:rPr>
            </w:pPr>
          </w:p>
        </w:tc>
      </w:tr>
      <w:tr w:rsidR="000549B1" w:rsidRPr="000549B1" w14:paraId="3556E82F" w14:textId="77777777">
        <w:trPr>
          <w:trHeight w:val="283"/>
          <w:jc w:val="center"/>
        </w:trPr>
        <w:tc>
          <w:tcPr>
            <w:tcW w:w="1166" w:type="pct"/>
            <w:tcBorders>
              <w:top w:val="single" w:sz="4" w:space="0" w:color="000000"/>
              <w:left w:val="single" w:sz="4" w:space="0" w:color="000000"/>
              <w:bottom w:val="single" w:sz="4" w:space="0" w:color="000000"/>
              <w:right w:val="single" w:sz="4" w:space="0" w:color="000000"/>
            </w:tcBorders>
            <w:noWrap/>
            <w:vAlign w:val="center"/>
          </w:tcPr>
          <w:p w14:paraId="03FF7BB5"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农药使用量（公斤）</w:t>
            </w:r>
          </w:p>
        </w:tc>
        <w:tc>
          <w:tcPr>
            <w:tcW w:w="403" w:type="pct"/>
            <w:tcBorders>
              <w:top w:val="single" w:sz="4" w:space="0" w:color="000000"/>
              <w:left w:val="single" w:sz="4" w:space="0" w:color="000000"/>
              <w:bottom w:val="single" w:sz="4" w:space="0" w:color="000000"/>
              <w:right w:val="single" w:sz="4" w:space="0" w:color="000000"/>
            </w:tcBorders>
            <w:noWrap/>
            <w:vAlign w:val="center"/>
          </w:tcPr>
          <w:p w14:paraId="7B397590"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44259</w:t>
            </w:r>
          </w:p>
        </w:tc>
        <w:tc>
          <w:tcPr>
            <w:tcW w:w="381" w:type="pct"/>
            <w:tcBorders>
              <w:top w:val="single" w:sz="4" w:space="0" w:color="000000"/>
              <w:left w:val="single" w:sz="4" w:space="0" w:color="000000"/>
              <w:bottom w:val="single" w:sz="4" w:space="0" w:color="000000"/>
              <w:right w:val="single" w:sz="4" w:space="0" w:color="000000"/>
            </w:tcBorders>
            <w:noWrap/>
            <w:vAlign w:val="center"/>
          </w:tcPr>
          <w:p w14:paraId="666018F6"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43892</w:t>
            </w:r>
          </w:p>
        </w:tc>
        <w:tc>
          <w:tcPr>
            <w:tcW w:w="408" w:type="pct"/>
            <w:tcBorders>
              <w:top w:val="single" w:sz="4" w:space="0" w:color="000000"/>
              <w:left w:val="single" w:sz="4" w:space="0" w:color="000000"/>
              <w:bottom w:val="single" w:sz="4" w:space="0" w:color="000000"/>
              <w:right w:val="single" w:sz="4" w:space="0" w:color="000000"/>
            </w:tcBorders>
            <w:noWrap/>
            <w:vAlign w:val="center"/>
          </w:tcPr>
          <w:p w14:paraId="0FAA74C1"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39696</w:t>
            </w:r>
          </w:p>
        </w:tc>
        <w:tc>
          <w:tcPr>
            <w:tcW w:w="376" w:type="pct"/>
            <w:tcBorders>
              <w:top w:val="single" w:sz="4" w:space="0" w:color="000000"/>
              <w:left w:val="single" w:sz="4" w:space="0" w:color="000000"/>
              <w:bottom w:val="single" w:sz="4" w:space="0" w:color="000000"/>
              <w:right w:val="single" w:sz="4" w:space="0" w:color="000000"/>
            </w:tcBorders>
            <w:noWrap/>
            <w:vAlign w:val="center"/>
          </w:tcPr>
          <w:p w14:paraId="194DCC5C"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38516</w:t>
            </w:r>
          </w:p>
        </w:tc>
        <w:tc>
          <w:tcPr>
            <w:tcW w:w="347" w:type="pct"/>
            <w:tcBorders>
              <w:top w:val="single" w:sz="4" w:space="0" w:color="000000"/>
              <w:left w:val="single" w:sz="4" w:space="0" w:color="000000"/>
              <w:bottom w:val="single" w:sz="4" w:space="0" w:color="000000"/>
              <w:right w:val="single" w:sz="4" w:space="0" w:color="000000"/>
            </w:tcBorders>
            <w:noWrap/>
            <w:vAlign w:val="center"/>
          </w:tcPr>
          <w:p w14:paraId="58A59A65" w14:textId="77777777" w:rsidR="00054437" w:rsidRPr="000549B1" w:rsidRDefault="00054437">
            <w:pPr>
              <w:widowControl/>
              <w:spacing w:line="0" w:lineRule="atLeast"/>
              <w:jc w:val="center"/>
              <w:rPr>
                <w:rFonts w:eastAsiaTheme="minorEastAsia"/>
                <w:bCs/>
                <w:sz w:val="18"/>
                <w:szCs w:val="18"/>
              </w:rPr>
            </w:pPr>
          </w:p>
        </w:tc>
        <w:tc>
          <w:tcPr>
            <w:tcW w:w="371" w:type="pct"/>
            <w:tcBorders>
              <w:top w:val="single" w:sz="4" w:space="0" w:color="000000"/>
              <w:left w:val="single" w:sz="4" w:space="0" w:color="000000"/>
              <w:bottom w:val="single" w:sz="4" w:space="0" w:color="000000"/>
              <w:right w:val="single" w:sz="4" w:space="0" w:color="000000"/>
            </w:tcBorders>
            <w:noWrap/>
            <w:vAlign w:val="center"/>
          </w:tcPr>
          <w:p w14:paraId="6420FEA3"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11128</w:t>
            </w:r>
          </w:p>
        </w:tc>
        <w:tc>
          <w:tcPr>
            <w:tcW w:w="411" w:type="pct"/>
            <w:tcBorders>
              <w:top w:val="single" w:sz="4" w:space="0" w:color="000000"/>
              <w:left w:val="single" w:sz="4" w:space="0" w:color="000000"/>
              <w:bottom w:val="single" w:sz="4" w:space="0" w:color="000000"/>
              <w:right w:val="single" w:sz="4" w:space="0" w:color="000000"/>
            </w:tcBorders>
            <w:noWrap/>
            <w:vAlign w:val="center"/>
          </w:tcPr>
          <w:p w14:paraId="60D5AD45"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9256.3</w:t>
            </w:r>
          </w:p>
        </w:tc>
        <w:tc>
          <w:tcPr>
            <w:tcW w:w="411" w:type="pct"/>
            <w:tcBorders>
              <w:top w:val="single" w:sz="4" w:space="0" w:color="000000"/>
              <w:left w:val="single" w:sz="4" w:space="0" w:color="000000"/>
              <w:bottom w:val="single" w:sz="4" w:space="0" w:color="000000"/>
              <w:right w:val="single" w:sz="4" w:space="0" w:color="000000"/>
            </w:tcBorders>
            <w:noWrap/>
            <w:vAlign w:val="center"/>
          </w:tcPr>
          <w:p w14:paraId="00652C27"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8625</w:t>
            </w:r>
          </w:p>
        </w:tc>
        <w:tc>
          <w:tcPr>
            <w:tcW w:w="340" w:type="pct"/>
            <w:tcBorders>
              <w:top w:val="single" w:sz="4" w:space="0" w:color="000000"/>
              <w:left w:val="single" w:sz="4" w:space="0" w:color="000000"/>
              <w:bottom w:val="single" w:sz="4" w:space="0" w:color="000000"/>
              <w:right w:val="single" w:sz="4" w:space="0" w:color="000000"/>
            </w:tcBorders>
            <w:noWrap/>
            <w:vAlign w:val="center"/>
          </w:tcPr>
          <w:p w14:paraId="445B7FDA" w14:textId="77777777" w:rsidR="00054437" w:rsidRPr="000549B1" w:rsidRDefault="00000000">
            <w:pPr>
              <w:widowControl/>
              <w:spacing w:line="0" w:lineRule="atLeast"/>
              <w:jc w:val="center"/>
              <w:textAlignment w:val="bottom"/>
              <w:rPr>
                <w:rFonts w:eastAsiaTheme="minorEastAsia"/>
                <w:bCs/>
                <w:sz w:val="18"/>
                <w:szCs w:val="18"/>
              </w:rPr>
            </w:pPr>
            <w:r w:rsidRPr="000549B1">
              <w:rPr>
                <w:rFonts w:eastAsiaTheme="minorEastAsia"/>
                <w:bCs/>
                <w:kern w:val="0"/>
                <w:sz w:val="18"/>
                <w:szCs w:val="18"/>
                <w:lang w:bidi="ar"/>
              </w:rPr>
              <w:t>5456</w:t>
            </w:r>
          </w:p>
        </w:tc>
        <w:tc>
          <w:tcPr>
            <w:tcW w:w="380" w:type="pct"/>
            <w:tcBorders>
              <w:top w:val="single" w:sz="4" w:space="0" w:color="000000"/>
              <w:left w:val="single" w:sz="4" w:space="0" w:color="000000"/>
              <w:bottom w:val="single" w:sz="4" w:space="0" w:color="000000"/>
              <w:right w:val="single" w:sz="4" w:space="0" w:color="000000"/>
            </w:tcBorders>
            <w:noWrap/>
            <w:vAlign w:val="center"/>
          </w:tcPr>
          <w:p w14:paraId="0544A412" w14:textId="77777777" w:rsidR="00054437" w:rsidRPr="000549B1" w:rsidRDefault="00054437">
            <w:pPr>
              <w:widowControl/>
              <w:spacing w:line="0" w:lineRule="atLeast"/>
              <w:jc w:val="center"/>
              <w:rPr>
                <w:rFonts w:eastAsiaTheme="minorEastAsia"/>
                <w:bCs/>
                <w:sz w:val="18"/>
                <w:szCs w:val="18"/>
              </w:rPr>
            </w:pPr>
          </w:p>
        </w:tc>
      </w:tr>
    </w:tbl>
    <w:p w14:paraId="05395C0A" w14:textId="77777777" w:rsidR="00054437" w:rsidRPr="000549B1" w:rsidRDefault="00000000">
      <w:pPr>
        <w:snapToGrid w:val="0"/>
        <w:spacing w:line="360" w:lineRule="auto"/>
        <w:ind w:leftChars="-203" w:left="-2" w:hangingChars="176" w:hanging="424"/>
        <w:jc w:val="center"/>
        <w:rPr>
          <w:rFonts w:eastAsiaTheme="minorEastAsia"/>
          <w:b/>
          <w:sz w:val="24"/>
          <w:szCs w:val="24"/>
        </w:rPr>
      </w:pPr>
      <w:r w:rsidRPr="000549B1">
        <w:rPr>
          <w:rFonts w:eastAsiaTheme="minorEastAsia"/>
          <w:b/>
          <w:noProof/>
          <w:sz w:val="24"/>
          <w:szCs w:val="24"/>
        </w:rPr>
        <w:drawing>
          <wp:inline distT="0" distB="0" distL="114300" distR="114300" wp14:anchorId="4009E475" wp14:editId="0172E82B">
            <wp:extent cx="5520055" cy="2317750"/>
            <wp:effectExtent l="0" t="0" r="4445" b="6350"/>
            <wp:docPr id="13" name="图片 13" descr="54bcd3a53a9e6b6d7ba5ec05f7f6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54bcd3a53a9e6b6d7ba5ec05f7f6457"/>
                    <pic:cNvPicPr>
                      <a:picLocks noChangeAspect="1"/>
                    </pic:cNvPicPr>
                  </pic:nvPicPr>
                  <pic:blipFill>
                    <a:blip r:embed="rId69" cstate="email">
                      <a:extLst>
                        <a:ext uri="{28A0092B-C50C-407E-A947-70E740481C1C}">
                          <a14:useLocalDpi xmlns:a14="http://schemas.microsoft.com/office/drawing/2010/main"/>
                        </a:ext>
                      </a:extLst>
                    </a:blip>
                    <a:stretch>
                      <a:fillRect/>
                    </a:stretch>
                  </pic:blipFill>
                  <pic:spPr>
                    <a:xfrm>
                      <a:off x="0" y="0"/>
                      <a:ext cx="5526828" cy="2320657"/>
                    </a:xfrm>
                    <a:prstGeom prst="rect">
                      <a:avLst/>
                    </a:prstGeom>
                  </pic:spPr>
                </pic:pic>
              </a:graphicData>
            </a:graphic>
          </wp:inline>
        </w:drawing>
      </w:r>
    </w:p>
    <w:p w14:paraId="048CAD6C" w14:textId="77777777" w:rsidR="00054437" w:rsidRPr="000549B1" w:rsidRDefault="00000000">
      <w:pPr>
        <w:snapToGrid w:val="0"/>
        <w:spacing w:line="360" w:lineRule="auto"/>
        <w:ind w:leftChars="-202" w:hangingChars="176" w:hanging="424"/>
        <w:rPr>
          <w:rFonts w:eastAsiaTheme="minorEastAsia"/>
          <w:b/>
          <w:sz w:val="24"/>
          <w:szCs w:val="24"/>
        </w:rPr>
      </w:pPr>
      <w:r w:rsidRPr="000549B1">
        <w:rPr>
          <w:rFonts w:eastAsiaTheme="minorEastAsia"/>
          <w:b/>
          <w:noProof/>
          <w:sz w:val="24"/>
          <w:szCs w:val="24"/>
        </w:rPr>
        <w:drawing>
          <wp:inline distT="0" distB="0" distL="114300" distR="114300" wp14:anchorId="285784B0" wp14:editId="54EC1F20">
            <wp:extent cx="5534660" cy="2324100"/>
            <wp:effectExtent l="0" t="0" r="8890" b="0"/>
            <wp:docPr id="14" name="图片 14" descr="44a7d974157c87986a38810404da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44a7d974157c87986a38810404da536"/>
                    <pic:cNvPicPr>
                      <a:picLocks noChangeAspect="1"/>
                    </pic:cNvPicPr>
                  </pic:nvPicPr>
                  <pic:blipFill>
                    <a:blip r:embed="rId70" cstate="email">
                      <a:extLst>
                        <a:ext uri="{28A0092B-C50C-407E-A947-70E740481C1C}">
                          <a14:useLocalDpi xmlns:a14="http://schemas.microsoft.com/office/drawing/2010/main"/>
                        </a:ext>
                      </a:extLst>
                    </a:blip>
                    <a:stretch>
                      <a:fillRect/>
                    </a:stretch>
                  </pic:blipFill>
                  <pic:spPr>
                    <a:xfrm>
                      <a:off x="0" y="0"/>
                      <a:ext cx="5539625" cy="2326030"/>
                    </a:xfrm>
                    <a:prstGeom prst="rect">
                      <a:avLst/>
                    </a:prstGeom>
                  </pic:spPr>
                </pic:pic>
              </a:graphicData>
            </a:graphic>
          </wp:inline>
        </w:drawing>
      </w:r>
    </w:p>
    <w:p w14:paraId="23E5CE25" w14:textId="7015B111" w:rsidR="00054437" w:rsidRPr="000549B1" w:rsidRDefault="00000000">
      <w:pPr>
        <w:pStyle w:val="aff8"/>
        <w:rPr>
          <w:color w:val="auto"/>
        </w:rPr>
      </w:pPr>
      <w:r w:rsidRPr="000549B1">
        <w:rPr>
          <w:color w:val="auto"/>
        </w:rPr>
        <w:t>图</w:t>
      </w:r>
      <w:r w:rsidR="00F1314B">
        <w:rPr>
          <w:color w:val="auto"/>
        </w:rPr>
        <w:fldChar w:fldCharType="begin"/>
      </w:r>
      <w:r w:rsidR="00F1314B">
        <w:rPr>
          <w:color w:val="auto"/>
        </w:rPr>
        <w:instrText xml:space="preserve"> STYLEREF 2 \s </w:instrText>
      </w:r>
      <w:r w:rsidR="00F1314B">
        <w:rPr>
          <w:color w:val="auto"/>
        </w:rPr>
        <w:fldChar w:fldCharType="separate"/>
      </w:r>
      <w:r w:rsidR="00372953">
        <w:rPr>
          <w:noProof/>
          <w:color w:val="auto"/>
        </w:rPr>
        <w:t>3.3</w:t>
      </w:r>
      <w:r w:rsidR="00F1314B">
        <w:rPr>
          <w:color w:val="auto"/>
        </w:rPr>
        <w:fldChar w:fldCharType="end"/>
      </w:r>
      <w:r w:rsidR="00F1314B">
        <w:rPr>
          <w:color w:val="auto"/>
        </w:rPr>
        <w:noBreakHyphen/>
      </w:r>
      <w:r w:rsidR="00F1314B">
        <w:rPr>
          <w:color w:val="auto"/>
        </w:rPr>
        <w:fldChar w:fldCharType="begin"/>
      </w:r>
      <w:r w:rsidR="00F1314B">
        <w:rPr>
          <w:color w:val="auto"/>
        </w:rPr>
        <w:instrText xml:space="preserve"> SEQ </w:instrText>
      </w:r>
      <w:r w:rsidR="00F1314B">
        <w:rPr>
          <w:color w:val="auto"/>
        </w:rPr>
        <w:instrText>图</w:instrText>
      </w:r>
      <w:r w:rsidR="00F1314B">
        <w:rPr>
          <w:color w:val="auto"/>
        </w:rPr>
        <w:instrText xml:space="preserve"> \* ARABIC \s 2 </w:instrText>
      </w:r>
      <w:r w:rsidR="00F1314B">
        <w:rPr>
          <w:color w:val="auto"/>
        </w:rPr>
        <w:fldChar w:fldCharType="separate"/>
      </w:r>
      <w:r w:rsidR="00372953">
        <w:rPr>
          <w:noProof/>
          <w:color w:val="auto"/>
        </w:rPr>
        <w:t>5</w:t>
      </w:r>
      <w:r w:rsidR="00F1314B">
        <w:rPr>
          <w:color w:val="auto"/>
        </w:rPr>
        <w:fldChar w:fldCharType="end"/>
      </w:r>
      <w:r w:rsidRPr="000549B1">
        <w:rPr>
          <w:color w:val="auto"/>
        </w:rPr>
        <w:t>化肥施用量变化趋势图</w:t>
      </w:r>
    </w:p>
    <w:p w14:paraId="422226FA" w14:textId="547B2049" w:rsidR="00054437" w:rsidRPr="000549B1" w:rsidRDefault="00000000">
      <w:pPr>
        <w:pStyle w:val="a2"/>
        <w:spacing w:line="360" w:lineRule="auto"/>
        <w:ind w:firstLine="600"/>
        <w:rPr>
          <w:rFonts w:eastAsiaTheme="minorEastAsia"/>
          <w:bCs/>
          <w:sz w:val="24"/>
          <w:szCs w:val="24"/>
        </w:rPr>
        <w:sectPr w:rsidR="00054437" w:rsidRPr="000549B1">
          <w:pgSz w:w="11906" w:h="16838"/>
          <w:pgMar w:top="1440" w:right="1800" w:bottom="1440" w:left="1800" w:header="851" w:footer="992" w:gutter="0"/>
          <w:cols w:space="425"/>
          <w:docGrid w:type="lines" w:linePitch="312"/>
        </w:sectPr>
      </w:pPr>
      <w:r w:rsidRPr="000549B1">
        <w:rPr>
          <w:rFonts w:eastAsiaTheme="minorEastAsia"/>
          <w:bCs/>
          <w:sz w:val="24"/>
          <w:szCs w:val="24"/>
        </w:rPr>
        <w:t>经计算，共和县、兴海县</w:t>
      </w:r>
      <w:r w:rsidRPr="000549B1">
        <w:rPr>
          <w:rFonts w:eastAsiaTheme="minorEastAsia"/>
          <w:bCs/>
          <w:sz w:val="24"/>
          <w:szCs w:val="24"/>
        </w:rPr>
        <w:t>2023</w:t>
      </w:r>
      <w:r w:rsidRPr="000549B1">
        <w:rPr>
          <w:rFonts w:eastAsiaTheme="minorEastAsia"/>
          <w:bCs/>
          <w:sz w:val="24"/>
          <w:szCs w:val="24"/>
        </w:rPr>
        <w:t>年农田面源污染物入河量中</w:t>
      </w:r>
      <w:r w:rsidRPr="000549B1">
        <w:rPr>
          <w:rFonts w:eastAsiaTheme="minorEastAsia"/>
          <w:bCs/>
          <w:sz w:val="24"/>
          <w:szCs w:val="24"/>
        </w:rPr>
        <w:t>COD34.54t/a</w:t>
      </w:r>
      <w:r w:rsidRPr="000549B1">
        <w:rPr>
          <w:rFonts w:eastAsiaTheme="minorEastAsia"/>
          <w:bCs/>
          <w:sz w:val="24"/>
          <w:szCs w:val="24"/>
        </w:rPr>
        <w:t>、氨氮</w:t>
      </w:r>
      <w:r w:rsidRPr="000549B1">
        <w:rPr>
          <w:rFonts w:eastAsiaTheme="minorEastAsia"/>
          <w:bCs/>
          <w:sz w:val="24"/>
          <w:szCs w:val="24"/>
        </w:rPr>
        <w:t>8.64t/a</w:t>
      </w:r>
      <w:r w:rsidRPr="000549B1">
        <w:rPr>
          <w:rFonts w:eastAsiaTheme="minorEastAsia"/>
          <w:bCs/>
          <w:sz w:val="24"/>
          <w:szCs w:val="24"/>
        </w:rPr>
        <w:t>、总氮</w:t>
      </w:r>
      <w:r w:rsidRPr="000549B1">
        <w:rPr>
          <w:rFonts w:eastAsiaTheme="minorEastAsia"/>
          <w:bCs/>
          <w:sz w:val="24"/>
          <w:szCs w:val="24"/>
        </w:rPr>
        <w:t>86.36t/a</w:t>
      </w:r>
      <w:r w:rsidRPr="000549B1">
        <w:rPr>
          <w:rFonts w:eastAsiaTheme="minorEastAsia"/>
          <w:bCs/>
          <w:sz w:val="24"/>
          <w:szCs w:val="24"/>
        </w:rPr>
        <w:t>、总磷</w:t>
      </w:r>
      <w:r w:rsidRPr="000549B1">
        <w:rPr>
          <w:rFonts w:eastAsiaTheme="minorEastAsia"/>
          <w:bCs/>
          <w:sz w:val="24"/>
          <w:szCs w:val="24"/>
        </w:rPr>
        <w:t>20.42t/a</w:t>
      </w:r>
      <w:r w:rsidRPr="000549B1">
        <w:rPr>
          <w:rFonts w:eastAsiaTheme="minorEastAsia"/>
          <w:bCs/>
          <w:sz w:val="24"/>
          <w:szCs w:val="24"/>
        </w:rPr>
        <w:t>，有机磷</w:t>
      </w:r>
      <w:r w:rsidRPr="000549B1">
        <w:rPr>
          <w:rFonts w:eastAsiaTheme="minorEastAsia"/>
          <w:bCs/>
          <w:sz w:val="24"/>
          <w:szCs w:val="24"/>
        </w:rPr>
        <w:t>0.06t/a</w:t>
      </w:r>
      <w:r w:rsidRPr="000549B1">
        <w:rPr>
          <w:rFonts w:eastAsiaTheme="minorEastAsia"/>
          <w:bCs/>
          <w:sz w:val="24"/>
          <w:szCs w:val="24"/>
        </w:rPr>
        <w:t>、有机氯</w:t>
      </w:r>
      <w:r w:rsidRPr="000549B1">
        <w:rPr>
          <w:rFonts w:eastAsiaTheme="minorEastAsia"/>
          <w:bCs/>
          <w:sz w:val="24"/>
          <w:szCs w:val="24"/>
        </w:rPr>
        <w:t>0.013t/a</w:t>
      </w:r>
      <w:r w:rsidRPr="000549B1">
        <w:rPr>
          <w:rFonts w:eastAsiaTheme="minorEastAsia"/>
          <w:bCs/>
          <w:sz w:val="24"/>
          <w:szCs w:val="24"/>
        </w:rPr>
        <w:t>。其中，沙珠玉河流域</w:t>
      </w:r>
      <w:r w:rsidRPr="000549B1">
        <w:rPr>
          <w:rFonts w:eastAsiaTheme="minorEastAsia"/>
          <w:bCs/>
          <w:sz w:val="24"/>
          <w:szCs w:val="24"/>
        </w:rPr>
        <w:t>2023</w:t>
      </w:r>
      <w:r w:rsidRPr="000549B1">
        <w:rPr>
          <w:rFonts w:eastAsiaTheme="minorEastAsia"/>
          <w:bCs/>
          <w:sz w:val="24"/>
          <w:szCs w:val="24"/>
        </w:rPr>
        <w:t>年农田面源污染物入河量中</w:t>
      </w:r>
      <w:r w:rsidRPr="000549B1">
        <w:rPr>
          <w:rFonts w:eastAsiaTheme="minorEastAsia"/>
          <w:bCs/>
          <w:sz w:val="24"/>
          <w:szCs w:val="24"/>
        </w:rPr>
        <w:t>COD</w:t>
      </w:r>
      <w:r w:rsidR="00407DFF">
        <w:rPr>
          <w:rFonts w:eastAsiaTheme="minorEastAsia" w:hint="eastAsia"/>
          <w:bCs/>
          <w:sz w:val="24"/>
          <w:szCs w:val="24"/>
        </w:rPr>
        <w:t xml:space="preserve"> </w:t>
      </w:r>
      <w:r w:rsidRPr="000549B1">
        <w:rPr>
          <w:rFonts w:eastAsiaTheme="minorEastAsia"/>
          <w:bCs/>
          <w:sz w:val="24"/>
          <w:szCs w:val="24"/>
        </w:rPr>
        <w:t>9.96t/a</w:t>
      </w:r>
      <w:r w:rsidRPr="000549B1">
        <w:rPr>
          <w:rFonts w:eastAsiaTheme="minorEastAsia"/>
          <w:bCs/>
          <w:sz w:val="24"/>
          <w:szCs w:val="24"/>
        </w:rPr>
        <w:t>、氨氮</w:t>
      </w:r>
      <w:r w:rsidRPr="000549B1">
        <w:rPr>
          <w:rFonts w:eastAsiaTheme="minorEastAsia"/>
          <w:bCs/>
          <w:sz w:val="24"/>
          <w:szCs w:val="24"/>
        </w:rPr>
        <w:t>2.49t/a</w:t>
      </w:r>
      <w:r w:rsidRPr="000549B1">
        <w:rPr>
          <w:rFonts w:eastAsiaTheme="minorEastAsia"/>
          <w:bCs/>
          <w:sz w:val="24"/>
          <w:szCs w:val="24"/>
        </w:rPr>
        <w:t>、总氮</w:t>
      </w:r>
      <w:r w:rsidRPr="000549B1">
        <w:rPr>
          <w:rFonts w:eastAsiaTheme="minorEastAsia"/>
          <w:bCs/>
          <w:sz w:val="24"/>
          <w:szCs w:val="24"/>
        </w:rPr>
        <w:t>24.89t/a</w:t>
      </w:r>
      <w:r w:rsidRPr="000549B1">
        <w:rPr>
          <w:rFonts w:eastAsiaTheme="minorEastAsia"/>
          <w:bCs/>
          <w:sz w:val="24"/>
          <w:szCs w:val="24"/>
        </w:rPr>
        <w:t>、总磷</w:t>
      </w:r>
      <w:r w:rsidRPr="000549B1">
        <w:rPr>
          <w:rFonts w:eastAsiaTheme="minorEastAsia"/>
          <w:bCs/>
          <w:sz w:val="24"/>
          <w:szCs w:val="24"/>
        </w:rPr>
        <w:t>6.33t/a</w:t>
      </w:r>
      <w:r w:rsidRPr="000549B1">
        <w:rPr>
          <w:rFonts w:eastAsiaTheme="minorEastAsia"/>
          <w:bCs/>
          <w:sz w:val="24"/>
          <w:szCs w:val="24"/>
        </w:rPr>
        <w:t>，有机磷</w:t>
      </w:r>
      <w:r w:rsidRPr="000549B1">
        <w:rPr>
          <w:rFonts w:eastAsiaTheme="minorEastAsia"/>
          <w:bCs/>
          <w:sz w:val="24"/>
          <w:szCs w:val="24"/>
        </w:rPr>
        <w:t>0.02t/a</w:t>
      </w:r>
      <w:r w:rsidRPr="000549B1">
        <w:rPr>
          <w:rFonts w:eastAsiaTheme="minorEastAsia"/>
          <w:bCs/>
          <w:sz w:val="24"/>
          <w:szCs w:val="24"/>
        </w:rPr>
        <w:t>、有机氯</w:t>
      </w:r>
      <w:r w:rsidRPr="000549B1">
        <w:rPr>
          <w:rFonts w:eastAsiaTheme="minorEastAsia"/>
          <w:bCs/>
          <w:sz w:val="24"/>
          <w:szCs w:val="24"/>
        </w:rPr>
        <w:t>0.005t/a</w:t>
      </w:r>
      <w:r w:rsidRPr="000549B1">
        <w:rPr>
          <w:rFonts w:eastAsiaTheme="minorEastAsia"/>
          <w:bCs/>
          <w:sz w:val="24"/>
          <w:szCs w:val="24"/>
        </w:rPr>
        <w:t>。详见</w:t>
      </w:r>
      <w:r w:rsidR="00372953" w:rsidRPr="00372953">
        <w:rPr>
          <w:rFonts w:eastAsiaTheme="minorEastAsia"/>
          <w:bCs/>
          <w:sz w:val="24"/>
          <w:szCs w:val="24"/>
        </w:rPr>
        <w:t>表</w:t>
      </w:r>
      <w:r w:rsidR="00372953" w:rsidRPr="00372953">
        <w:rPr>
          <w:rFonts w:eastAsiaTheme="minorEastAsia"/>
          <w:bCs/>
          <w:sz w:val="24"/>
          <w:szCs w:val="24"/>
        </w:rPr>
        <w:t>3.3</w:t>
      </w:r>
      <w:r w:rsidR="00372953" w:rsidRPr="00372953">
        <w:rPr>
          <w:rFonts w:eastAsiaTheme="minorEastAsia"/>
          <w:bCs/>
          <w:sz w:val="24"/>
          <w:szCs w:val="24"/>
        </w:rPr>
        <w:noBreakHyphen/>
        <w:t>12</w:t>
      </w:r>
      <w:r w:rsidRPr="000549B1">
        <w:rPr>
          <w:rFonts w:eastAsiaTheme="minorEastAsia"/>
          <w:bCs/>
          <w:sz w:val="24"/>
          <w:szCs w:val="24"/>
        </w:rPr>
        <w:t>。</w:t>
      </w:r>
    </w:p>
    <w:p w14:paraId="6EA72808" w14:textId="1C272B29" w:rsidR="00054437" w:rsidRPr="000549B1" w:rsidRDefault="00000000">
      <w:pPr>
        <w:pStyle w:val="aff8"/>
        <w:rPr>
          <w:color w:val="auto"/>
        </w:rPr>
      </w:pPr>
      <w:bookmarkStart w:id="224" w:name="_Ref214978545"/>
      <w:r w:rsidRPr="000549B1">
        <w:rPr>
          <w:color w:val="auto"/>
        </w:rPr>
        <w:t>表</w:t>
      </w:r>
      <w:r w:rsidR="00372953">
        <w:rPr>
          <w:color w:val="auto"/>
        </w:rPr>
        <w:fldChar w:fldCharType="begin"/>
      </w:r>
      <w:r w:rsidR="00372953">
        <w:rPr>
          <w:color w:val="auto"/>
        </w:rPr>
        <w:instrText xml:space="preserve"> STYLEREF 2 \s </w:instrText>
      </w:r>
      <w:r w:rsidR="00372953">
        <w:rPr>
          <w:color w:val="auto"/>
        </w:rPr>
        <w:fldChar w:fldCharType="separate"/>
      </w:r>
      <w:r w:rsidR="00372953">
        <w:rPr>
          <w:noProof/>
          <w:color w:val="auto"/>
        </w:rPr>
        <w:t>3.3</w:t>
      </w:r>
      <w:r w:rsidR="00372953">
        <w:rPr>
          <w:color w:val="auto"/>
        </w:rPr>
        <w:fldChar w:fldCharType="end"/>
      </w:r>
      <w:r w:rsidR="00372953">
        <w:rPr>
          <w:color w:val="auto"/>
        </w:rPr>
        <w:noBreakHyphen/>
      </w:r>
      <w:r w:rsidR="00372953">
        <w:rPr>
          <w:color w:val="auto"/>
        </w:rPr>
        <w:fldChar w:fldCharType="begin"/>
      </w:r>
      <w:r w:rsidR="00372953">
        <w:rPr>
          <w:color w:val="auto"/>
        </w:rPr>
        <w:instrText xml:space="preserve"> SEQ </w:instrText>
      </w:r>
      <w:r w:rsidR="00372953">
        <w:rPr>
          <w:color w:val="auto"/>
        </w:rPr>
        <w:instrText>表</w:instrText>
      </w:r>
      <w:r w:rsidR="00372953">
        <w:rPr>
          <w:color w:val="auto"/>
        </w:rPr>
        <w:instrText xml:space="preserve"> \* ARABIC \s 2 </w:instrText>
      </w:r>
      <w:r w:rsidR="00372953">
        <w:rPr>
          <w:color w:val="auto"/>
        </w:rPr>
        <w:fldChar w:fldCharType="separate"/>
      </w:r>
      <w:r w:rsidR="00372953">
        <w:rPr>
          <w:noProof/>
          <w:color w:val="auto"/>
        </w:rPr>
        <w:t>12</w:t>
      </w:r>
      <w:r w:rsidR="00372953">
        <w:rPr>
          <w:color w:val="auto"/>
        </w:rPr>
        <w:fldChar w:fldCharType="end"/>
      </w:r>
      <w:bookmarkEnd w:id="224"/>
      <w:r w:rsidRPr="000549B1">
        <w:rPr>
          <w:color w:val="auto"/>
        </w:rPr>
        <w:t>共和县、兴海县</w:t>
      </w:r>
      <w:r w:rsidRPr="000549B1">
        <w:rPr>
          <w:color w:val="auto"/>
        </w:rPr>
        <w:t>2023</w:t>
      </w:r>
      <w:r w:rsidRPr="000549B1">
        <w:rPr>
          <w:color w:val="auto"/>
        </w:rPr>
        <w:t>年农田面源污染物入河量统计</w:t>
      </w:r>
    </w:p>
    <w:tbl>
      <w:tblPr>
        <w:tblW w:w="4996" w:type="pct"/>
        <w:tblLook w:val="04A0" w:firstRow="1" w:lastRow="0" w:firstColumn="1" w:lastColumn="0" w:noHBand="0" w:noVBand="1"/>
      </w:tblPr>
      <w:tblGrid>
        <w:gridCol w:w="871"/>
        <w:gridCol w:w="2167"/>
        <w:gridCol w:w="815"/>
        <w:gridCol w:w="761"/>
        <w:gridCol w:w="1029"/>
        <w:gridCol w:w="1003"/>
        <w:gridCol w:w="970"/>
        <w:gridCol w:w="976"/>
        <w:gridCol w:w="714"/>
        <w:gridCol w:w="658"/>
        <w:gridCol w:w="1029"/>
        <w:gridCol w:w="998"/>
        <w:gridCol w:w="970"/>
        <w:gridCol w:w="976"/>
      </w:tblGrid>
      <w:tr w:rsidR="000549B1" w:rsidRPr="000549B1" w14:paraId="77E860DC" w14:textId="77777777">
        <w:trPr>
          <w:trHeight w:val="270"/>
        </w:trPr>
        <w:tc>
          <w:tcPr>
            <w:tcW w:w="1089" w:type="pct"/>
            <w:gridSpan w:val="2"/>
            <w:vMerge w:val="restart"/>
            <w:tcBorders>
              <w:top w:val="single" w:sz="4" w:space="0" w:color="000000"/>
              <w:left w:val="single" w:sz="4" w:space="0" w:color="000000"/>
              <w:bottom w:val="single" w:sz="4" w:space="0" w:color="000000"/>
              <w:right w:val="single" w:sz="4" w:space="0" w:color="000000"/>
            </w:tcBorders>
            <w:vAlign w:val="center"/>
          </w:tcPr>
          <w:p w14:paraId="1DB7BD0F" w14:textId="77777777" w:rsidR="00054437" w:rsidRPr="000549B1" w:rsidRDefault="00000000">
            <w:pPr>
              <w:widowControl/>
              <w:jc w:val="center"/>
              <w:textAlignment w:val="center"/>
              <w:rPr>
                <w:szCs w:val="21"/>
              </w:rPr>
            </w:pPr>
            <w:r w:rsidRPr="000549B1">
              <w:rPr>
                <w:kern w:val="0"/>
                <w:szCs w:val="21"/>
                <w:lang w:bidi="ar"/>
              </w:rPr>
              <w:t>行政区</w:t>
            </w:r>
          </w:p>
        </w:tc>
        <w:tc>
          <w:tcPr>
            <w:tcW w:w="1294" w:type="pct"/>
            <w:gridSpan w:val="4"/>
            <w:tcBorders>
              <w:top w:val="single" w:sz="4" w:space="0" w:color="000000"/>
              <w:left w:val="single" w:sz="4" w:space="0" w:color="000000"/>
              <w:bottom w:val="single" w:sz="4" w:space="0" w:color="000000"/>
              <w:right w:val="single" w:sz="4" w:space="0" w:color="000000"/>
            </w:tcBorders>
            <w:vAlign w:val="center"/>
          </w:tcPr>
          <w:p w14:paraId="2CDCAF8F" w14:textId="77777777" w:rsidR="00054437" w:rsidRPr="000549B1" w:rsidRDefault="00000000">
            <w:pPr>
              <w:widowControl/>
              <w:jc w:val="center"/>
              <w:textAlignment w:val="center"/>
              <w:rPr>
                <w:szCs w:val="21"/>
              </w:rPr>
            </w:pPr>
            <w:r w:rsidRPr="000549B1">
              <w:rPr>
                <w:kern w:val="0"/>
                <w:szCs w:val="21"/>
                <w:lang w:bidi="ar"/>
              </w:rPr>
              <w:t>化肥流失量（</w:t>
            </w:r>
            <w:r w:rsidRPr="000549B1">
              <w:rPr>
                <w:kern w:val="0"/>
                <w:szCs w:val="21"/>
                <w:lang w:bidi="ar"/>
              </w:rPr>
              <w:t>t/a</w:t>
            </w:r>
            <w:r w:rsidRPr="000549B1">
              <w:rPr>
                <w:kern w:val="0"/>
                <w:szCs w:val="21"/>
                <w:lang w:bidi="ar"/>
              </w:rPr>
              <w:t>）</w:t>
            </w:r>
          </w:p>
        </w:tc>
        <w:tc>
          <w:tcPr>
            <w:tcW w:w="698" w:type="pct"/>
            <w:gridSpan w:val="2"/>
            <w:tcBorders>
              <w:top w:val="single" w:sz="4" w:space="0" w:color="000000"/>
              <w:left w:val="single" w:sz="4" w:space="0" w:color="000000"/>
              <w:bottom w:val="single" w:sz="4" w:space="0" w:color="000000"/>
              <w:right w:val="single" w:sz="4" w:space="0" w:color="000000"/>
            </w:tcBorders>
            <w:vAlign w:val="center"/>
          </w:tcPr>
          <w:p w14:paraId="2947C2E3" w14:textId="77777777" w:rsidR="00054437" w:rsidRPr="000549B1" w:rsidRDefault="00000000">
            <w:pPr>
              <w:widowControl/>
              <w:jc w:val="center"/>
              <w:textAlignment w:val="center"/>
              <w:rPr>
                <w:szCs w:val="21"/>
              </w:rPr>
            </w:pPr>
            <w:r w:rsidRPr="000549B1">
              <w:rPr>
                <w:kern w:val="0"/>
                <w:szCs w:val="21"/>
                <w:lang w:bidi="ar"/>
              </w:rPr>
              <w:t>农药流失量（</w:t>
            </w:r>
            <w:r w:rsidRPr="000549B1">
              <w:rPr>
                <w:kern w:val="0"/>
                <w:szCs w:val="21"/>
                <w:lang w:bidi="ar"/>
              </w:rPr>
              <w:t>t/a</w:t>
            </w:r>
            <w:r w:rsidRPr="000549B1">
              <w:rPr>
                <w:kern w:val="0"/>
                <w:szCs w:val="21"/>
                <w:lang w:bidi="ar"/>
              </w:rPr>
              <w:t>）</w:t>
            </w:r>
          </w:p>
        </w:tc>
        <w:tc>
          <w:tcPr>
            <w:tcW w:w="1219" w:type="pct"/>
            <w:gridSpan w:val="4"/>
            <w:tcBorders>
              <w:top w:val="single" w:sz="4" w:space="0" w:color="000000"/>
              <w:left w:val="single" w:sz="4" w:space="0" w:color="000000"/>
              <w:bottom w:val="single" w:sz="4" w:space="0" w:color="000000"/>
              <w:right w:val="single" w:sz="4" w:space="0" w:color="000000"/>
            </w:tcBorders>
            <w:vAlign w:val="center"/>
          </w:tcPr>
          <w:p w14:paraId="410C524F" w14:textId="77777777" w:rsidR="00054437" w:rsidRPr="000549B1" w:rsidRDefault="00000000">
            <w:pPr>
              <w:widowControl/>
              <w:jc w:val="center"/>
              <w:textAlignment w:val="center"/>
              <w:rPr>
                <w:szCs w:val="21"/>
              </w:rPr>
            </w:pPr>
            <w:r w:rsidRPr="000549B1">
              <w:rPr>
                <w:kern w:val="0"/>
                <w:szCs w:val="21"/>
                <w:lang w:bidi="ar"/>
              </w:rPr>
              <w:t>化肥入河量（</w:t>
            </w:r>
            <w:r w:rsidRPr="000549B1">
              <w:rPr>
                <w:kern w:val="0"/>
                <w:szCs w:val="21"/>
                <w:lang w:bidi="ar"/>
              </w:rPr>
              <w:t>t/a</w:t>
            </w:r>
            <w:r w:rsidRPr="000549B1">
              <w:rPr>
                <w:kern w:val="0"/>
                <w:szCs w:val="21"/>
                <w:lang w:bidi="ar"/>
              </w:rPr>
              <w:t>）</w:t>
            </w:r>
          </w:p>
        </w:tc>
        <w:tc>
          <w:tcPr>
            <w:tcW w:w="698" w:type="pct"/>
            <w:gridSpan w:val="2"/>
            <w:tcBorders>
              <w:top w:val="single" w:sz="4" w:space="0" w:color="000000"/>
              <w:left w:val="single" w:sz="4" w:space="0" w:color="000000"/>
              <w:bottom w:val="single" w:sz="4" w:space="0" w:color="000000"/>
              <w:right w:val="single" w:sz="4" w:space="0" w:color="000000"/>
            </w:tcBorders>
            <w:vAlign w:val="center"/>
          </w:tcPr>
          <w:p w14:paraId="10BE845B" w14:textId="77777777" w:rsidR="00054437" w:rsidRPr="000549B1" w:rsidRDefault="00000000">
            <w:pPr>
              <w:widowControl/>
              <w:jc w:val="center"/>
              <w:textAlignment w:val="center"/>
              <w:rPr>
                <w:szCs w:val="21"/>
              </w:rPr>
            </w:pPr>
            <w:r w:rsidRPr="000549B1">
              <w:rPr>
                <w:kern w:val="0"/>
                <w:szCs w:val="21"/>
                <w:lang w:bidi="ar"/>
              </w:rPr>
              <w:t>农药入河量（</w:t>
            </w:r>
            <w:r w:rsidRPr="000549B1">
              <w:rPr>
                <w:kern w:val="0"/>
                <w:szCs w:val="21"/>
                <w:lang w:bidi="ar"/>
              </w:rPr>
              <w:t>t/a</w:t>
            </w:r>
            <w:r w:rsidRPr="000549B1">
              <w:rPr>
                <w:kern w:val="0"/>
                <w:szCs w:val="21"/>
                <w:lang w:bidi="ar"/>
              </w:rPr>
              <w:t>）</w:t>
            </w:r>
          </w:p>
        </w:tc>
      </w:tr>
      <w:tr w:rsidR="000549B1" w:rsidRPr="000549B1" w14:paraId="2F7F9C6B" w14:textId="77777777">
        <w:trPr>
          <w:trHeight w:val="270"/>
        </w:trPr>
        <w:tc>
          <w:tcPr>
            <w:tcW w:w="1089" w:type="pct"/>
            <w:gridSpan w:val="2"/>
            <w:vMerge/>
            <w:tcBorders>
              <w:top w:val="single" w:sz="4" w:space="0" w:color="000000"/>
              <w:left w:val="single" w:sz="4" w:space="0" w:color="000000"/>
              <w:bottom w:val="single" w:sz="4" w:space="0" w:color="000000"/>
              <w:right w:val="single" w:sz="4" w:space="0" w:color="000000"/>
            </w:tcBorders>
            <w:vAlign w:val="center"/>
          </w:tcPr>
          <w:p w14:paraId="28D8D4E7" w14:textId="77777777" w:rsidR="00054437" w:rsidRPr="000549B1" w:rsidRDefault="00054437">
            <w:pPr>
              <w:jc w:val="center"/>
              <w:rPr>
                <w:szCs w:val="21"/>
              </w:rPr>
            </w:pPr>
          </w:p>
        </w:tc>
        <w:tc>
          <w:tcPr>
            <w:tcW w:w="292" w:type="pct"/>
            <w:tcBorders>
              <w:top w:val="single" w:sz="4" w:space="0" w:color="000000"/>
              <w:left w:val="single" w:sz="4" w:space="0" w:color="000000"/>
              <w:bottom w:val="single" w:sz="4" w:space="0" w:color="000000"/>
              <w:right w:val="single" w:sz="4" w:space="0" w:color="000000"/>
            </w:tcBorders>
            <w:vAlign w:val="center"/>
          </w:tcPr>
          <w:p w14:paraId="216C7ADC" w14:textId="77777777" w:rsidR="00054437" w:rsidRPr="000549B1" w:rsidRDefault="00000000">
            <w:pPr>
              <w:widowControl/>
              <w:jc w:val="center"/>
              <w:textAlignment w:val="center"/>
              <w:rPr>
                <w:szCs w:val="21"/>
              </w:rPr>
            </w:pPr>
            <w:r w:rsidRPr="000549B1">
              <w:rPr>
                <w:kern w:val="0"/>
                <w:szCs w:val="21"/>
                <w:lang w:bidi="ar"/>
              </w:rPr>
              <w:t>COD</w:t>
            </w:r>
          </w:p>
        </w:tc>
        <w:tc>
          <w:tcPr>
            <w:tcW w:w="273" w:type="pct"/>
            <w:tcBorders>
              <w:top w:val="single" w:sz="4" w:space="0" w:color="000000"/>
              <w:left w:val="single" w:sz="4" w:space="0" w:color="000000"/>
              <w:bottom w:val="single" w:sz="4" w:space="0" w:color="000000"/>
              <w:right w:val="single" w:sz="4" w:space="0" w:color="000000"/>
            </w:tcBorders>
            <w:vAlign w:val="center"/>
          </w:tcPr>
          <w:p w14:paraId="59B214B3" w14:textId="77777777" w:rsidR="00054437" w:rsidRPr="000549B1" w:rsidRDefault="00000000">
            <w:pPr>
              <w:widowControl/>
              <w:jc w:val="center"/>
              <w:textAlignment w:val="center"/>
              <w:rPr>
                <w:szCs w:val="21"/>
              </w:rPr>
            </w:pPr>
            <w:r w:rsidRPr="000549B1">
              <w:rPr>
                <w:kern w:val="0"/>
                <w:szCs w:val="21"/>
                <w:lang w:bidi="ar"/>
              </w:rPr>
              <w:t>氨氮</w:t>
            </w:r>
          </w:p>
        </w:tc>
        <w:tc>
          <w:tcPr>
            <w:tcW w:w="369" w:type="pct"/>
            <w:tcBorders>
              <w:top w:val="single" w:sz="4" w:space="0" w:color="000000"/>
              <w:left w:val="single" w:sz="4" w:space="0" w:color="000000"/>
              <w:bottom w:val="single" w:sz="4" w:space="0" w:color="000000"/>
              <w:right w:val="single" w:sz="4" w:space="0" w:color="000000"/>
            </w:tcBorders>
            <w:vAlign w:val="center"/>
          </w:tcPr>
          <w:p w14:paraId="1FD0FB82" w14:textId="77777777" w:rsidR="00054437" w:rsidRPr="000549B1" w:rsidRDefault="00000000">
            <w:pPr>
              <w:widowControl/>
              <w:jc w:val="center"/>
              <w:textAlignment w:val="center"/>
              <w:rPr>
                <w:szCs w:val="21"/>
              </w:rPr>
            </w:pPr>
            <w:r w:rsidRPr="000549B1">
              <w:rPr>
                <w:kern w:val="0"/>
                <w:szCs w:val="21"/>
                <w:lang w:bidi="ar"/>
              </w:rPr>
              <w:t>氮（</w:t>
            </w:r>
            <w:r w:rsidRPr="000549B1">
              <w:rPr>
                <w:kern w:val="0"/>
                <w:szCs w:val="21"/>
                <w:lang w:bidi="ar"/>
              </w:rPr>
              <w:t>N</w:t>
            </w:r>
            <w:r w:rsidRPr="000549B1">
              <w:rPr>
                <w:kern w:val="0"/>
                <w:szCs w:val="21"/>
                <w:lang w:bidi="ar"/>
              </w:rPr>
              <w:t>）</w:t>
            </w:r>
          </w:p>
        </w:tc>
        <w:tc>
          <w:tcPr>
            <w:tcW w:w="358" w:type="pct"/>
            <w:tcBorders>
              <w:top w:val="single" w:sz="4" w:space="0" w:color="000000"/>
              <w:left w:val="single" w:sz="4" w:space="0" w:color="000000"/>
              <w:bottom w:val="single" w:sz="4" w:space="0" w:color="000000"/>
              <w:right w:val="single" w:sz="4" w:space="0" w:color="000000"/>
            </w:tcBorders>
            <w:vAlign w:val="center"/>
          </w:tcPr>
          <w:p w14:paraId="2F4D73F5" w14:textId="77777777" w:rsidR="00054437" w:rsidRPr="000549B1" w:rsidRDefault="00000000">
            <w:pPr>
              <w:widowControl/>
              <w:jc w:val="center"/>
              <w:textAlignment w:val="center"/>
              <w:rPr>
                <w:szCs w:val="21"/>
              </w:rPr>
            </w:pPr>
            <w:r w:rsidRPr="000549B1">
              <w:rPr>
                <w:kern w:val="0"/>
                <w:szCs w:val="21"/>
                <w:lang w:bidi="ar"/>
              </w:rPr>
              <w:t>磷（</w:t>
            </w:r>
            <w:r w:rsidRPr="000549B1">
              <w:rPr>
                <w:kern w:val="0"/>
                <w:szCs w:val="21"/>
                <w:lang w:bidi="ar"/>
              </w:rPr>
              <w:t>P</w:t>
            </w:r>
            <w:r w:rsidRPr="000549B1">
              <w:rPr>
                <w:kern w:val="0"/>
                <w:szCs w:val="21"/>
                <w:lang w:bidi="ar"/>
              </w:rPr>
              <w:t>）</w:t>
            </w:r>
          </w:p>
        </w:tc>
        <w:tc>
          <w:tcPr>
            <w:tcW w:w="348" w:type="pct"/>
            <w:tcBorders>
              <w:top w:val="single" w:sz="4" w:space="0" w:color="000000"/>
              <w:left w:val="single" w:sz="4" w:space="0" w:color="000000"/>
              <w:bottom w:val="single" w:sz="4" w:space="0" w:color="000000"/>
              <w:right w:val="single" w:sz="4" w:space="0" w:color="000000"/>
            </w:tcBorders>
            <w:vAlign w:val="center"/>
          </w:tcPr>
          <w:p w14:paraId="49664DA7" w14:textId="77777777" w:rsidR="00054437" w:rsidRPr="000549B1" w:rsidRDefault="00000000">
            <w:pPr>
              <w:widowControl/>
              <w:jc w:val="center"/>
              <w:textAlignment w:val="center"/>
              <w:rPr>
                <w:szCs w:val="21"/>
              </w:rPr>
            </w:pPr>
            <w:r w:rsidRPr="000549B1">
              <w:rPr>
                <w:kern w:val="0"/>
                <w:szCs w:val="21"/>
                <w:lang w:bidi="ar"/>
              </w:rPr>
              <w:t>有机磷</w:t>
            </w:r>
          </w:p>
        </w:tc>
        <w:tc>
          <w:tcPr>
            <w:tcW w:w="350" w:type="pct"/>
            <w:tcBorders>
              <w:top w:val="single" w:sz="4" w:space="0" w:color="000000"/>
              <w:left w:val="single" w:sz="4" w:space="0" w:color="000000"/>
              <w:bottom w:val="single" w:sz="4" w:space="0" w:color="000000"/>
              <w:right w:val="single" w:sz="4" w:space="0" w:color="000000"/>
            </w:tcBorders>
            <w:vAlign w:val="center"/>
          </w:tcPr>
          <w:p w14:paraId="74BDDCBA" w14:textId="77777777" w:rsidR="00054437" w:rsidRPr="000549B1" w:rsidRDefault="00000000">
            <w:pPr>
              <w:widowControl/>
              <w:jc w:val="center"/>
              <w:textAlignment w:val="center"/>
              <w:rPr>
                <w:szCs w:val="21"/>
              </w:rPr>
            </w:pPr>
            <w:r w:rsidRPr="000549B1">
              <w:rPr>
                <w:kern w:val="0"/>
                <w:szCs w:val="21"/>
                <w:lang w:bidi="ar"/>
              </w:rPr>
              <w:t>有机氯</w:t>
            </w:r>
          </w:p>
        </w:tc>
        <w:tc>
          <w:tcPr>
            <w:tcW w:w="256" w:type="pct"/>
            <w:tcBorders>
              <w:top w:val="single" w:sz="4" w:space="0" w:color="000000"/>
              <w:left w:val="single" w:sz="4" w:space="0" w:color="000000"/>
              <w:bottom w:val="single" w:sz="4" w:space="0" w:color="000000"/>
              <w:right w:val="single" w:sz="4" w:space="0" w:color="000000"/>
            </w:tcBorders>
            <w:vAlign w:val="center"/>
          </w:tcPr>
          <w:p w14:paraId="32C9BC57" w14:textId="77777777" w:rsidR="00054437" w:rsidRPr="000549B1" w:rsidRDefault="00000000">
            <w:pPr>
              <w:widowControl/>
              <w:jc w:val="center"/>
              <w:textAlignment w:val="center"/>
              <w:rPr>
                <w:szCs w:val="21"/>
              </w:rPr>
            </w:pPr>
            <w:r w:rsidRPr="000549B1">
              <w:rPr>
                <w:kern w:val="0"/>
                <w:szCs w:val="21"/>
                <w:lang w:bidi="ar"/>
              </w:rPr>
              <w:t>COD</w:t>
            </w:r>
          </w:p>
        </w:tc>
        <w:tc>
          <w:tcPr>
            <w:tcW w:w="236" w:type="pct"/>
            <w:tcBorders>
              <w:top w:val="single" w:sz="4" w:space="0" w:color="000000"/>
              <w:left w:val="single" w:sz="4" w:space="0" w:color="000000"/>
              <w:bottom w:val="single" w:sz="4" w:space="0" w:color="000000"/>
              <w:right w:val="single" w:sz="4" w:space="0" w:color="000000"/>
            </w:tcBorders>
            <w:vAlign w:val="center"/>
          </w:tcPr>
          <w:p w14:paraId="004B1752" w14:textId="77777777" w:rsidR="00054437" w:rsidRPr="000549B1" w:rsidRDefault="00000000">
            <w:pPr>
              <w:widowControl/>
              <w:jc w:val="center"/>
              <w:textAlignment w:val="center"/>
              <w:rPr>
                <w:szCs w:val="21"/>
              </w:rPr>
            </w:pPr>
            <w:r w:rsidRPr="000549B1">
              <w:rPr>
                <w:kern w:val="0"/>
                <w:szCs w:val="21"/>
                <w:lang w:bidi="ar"/>
              </w:rPr>
              <w:t>氨氮</w:t>
            </w:r>
          </w:p>
        </w:tc>
        <w:tc>
          <w:tcPr>
            <w:tcW w:w="369" w:type="pct"/>
            <w:tcBorders>
              <w:top w:val="single" w:sz="4" w:space="0" w:color="000000"/>
              <w:left w:val="single" w:sz="4" w:space="0" w:color="000000"/>
              <w:bottom w:val="single" w:sz="4" w:space="0" w:color="000000"/>
              <w:right w:val="single" w:sz="4" w:space="0" w:color="000000"/>
            </w:tcBorders>
            <w:vAlign w:val="center"/>
          </w:tcPr>
          <w:p w14:paraId="5BCA63BA" w14:textId="77777777" w:rsidR="00054437" w:rsidRPr="000549B1" w:rsidRDefault="00000000">
            <w:pPr>
              <w:widowControl/>
              <w:jc w:val="center"/>
              <w:textAlignment w:val="center"/>
              <w:rPr>
                <w:szCs w:val="21"/>
              </w:rPr>
            </w:pPr>
            <w:r w:rsidRPr="000549B1">
              <w:rPr>
                <w:kern w:val="0"/>
                <w:szCs w:val="21"/>
                <w:lang w:bidi="ar"/>
              </w:rPr>
              <w:t>氮（</w:t>
            </w:r>
            <w:r w:rsidRPr="000549B1">
              <w:rPr>
                <w:kern w:val="0"/>
                <w:szCs w:val="21"/>
                <w:lang w:bidi="ar"/>
              </w:rPr>
              <w:t>N</w:t>
            </w:r>
            <w:r w:rsidRPr="000549B1">
              <w:rPr>
                <w:kern w:val="0"/>
                <w:szCs w:val="21"/>
                <w:lang w:bidi="ar"/>
              </w:rPr>
              <w:t>）</w:t>
            </w:r>
          </w:p>
        </w:tc>
        <w:tc>
          <w:tcPr>
            <w:tcW w:w="358" w:type="pct"/>
            <w:tcBorders>
              <w:top w:val="single" w:sz="4" w:space="0" w:color="000000"/>
              <w:left w:val="single" w:sz="4" w:space="0" w:color="000000"/>
              <w:bottom w:val="single" w:sz="4" w:space="0" w:color="000000"/>
              <w:right w:val="single" w:sz="4" w:space="0" w:color="000000"/>
            </w:tcBorders>
            <w:vAlign w:val="center"/>
          </w:tcPr>
          <w:p w14:paraId="7E60C696" w14:textId="77777777" w:rsidR="00054437" w:rsidRPr="000549B1" w:rsidRDefault="00000000">
            <w:pPr>
              <w:widowControl/>
              <w:jc w:val="center"/>
              <w:textAlignment w:val="center"/>
              <w:rPr>
                <w:szCs w:val="21"/>
              </w:rPr>
            </w:pPr>
            <w:r w:rsidRPr="000549B1">
              <w:rPr>
                <w:kern w:val="0"/>
                <w:szCs w:val="21"/>
                <w:lang w:bidi="ar"/>
              </w:rPr>
              <w:t>磷（</w:t>
            </w:r>
            <w:r w:rsidRPr="000549B1">
              <w:rPr>
                <w:kern w:val="0"/>
                <w:szCs w:val="21"/>
                <w:lang w:bidi="ar"/>
              </w:rPr>
              <w:t>P</w:t>
            </w:r>
            <w:r w:rsidRPr="000549B1">
              <w:rPr>
                <w:kern w:val="0"/>
                <w:szCs w:val="21"/>
                <w:lang w:bidi="ar"/>
              </w:rPr>
              <w:t>）</w:t>
            </w:r>
          </w:p>
        </w:tc>
        <w:tc>
          <w:tcPr>
            <w:tcW w:w="348" w:type="pct"/>
            <w:tcBorders>
              <w:top w:val="single" w:sz="4" w:space="0" w:color="000000"/>
              <w:left w:val="single" w:sz="4" w:space="0" w:color="000000"/>
              <w:bottom w:val="single" w:sz="4" w:space="0" w:color="000000"/>
              <w:right w:val="single" w:sz="4" w:space="0" w:color="000000"/>
            </w:tcBorders>
            <w:vAlign w:val="center"/>
          </w:tcPr>
          <w:p w14:paraId="61AF65EC" w14:textId="77777777" w:rsidR="00054437" w:rsidRPr="000549B1" w:rsidRDefault="00000000">
            <w:pPr>
              <w:widowControl/>
              <w:jc w:val="center"/>
              <w:textAlignment w:val="center"/>
              <w:rPr>
                <w:szCs w:val="21"/>
              </w:rPr>
            </w:pPr>
            <w:r w:rsidRPr="000549B1">
              <w:rPr>
                <w:kern w:val="0"/>
                <w:szCs w:val="21"/>
                <w:lang w:bidi="ar"/>
              </w:rPr>
              <w:t>有机磷</w:t>
            </w:r>
          </w:p>
        </w:tc>
        <w:tc>
          <w:tcPr>
            <w:tcW w:w="350" w:type="pct"/>
            <w:tcBorders>
              <w:top w:val="single" w:sz="4" w:space="0" w:color="000000"/>
              <w:left w:val="single" w:sz="4" w:space="0" w:color="000000"/>
              <w:bottom w:val="single" w:sz="4" w:space="0" w:color="000000"/>
              <w:right w:val="single" w:sz="4" w:space="0" w:color="000000"/>
            </w:tcBorders>
            <w:vAlign w:val="center"/>
          </w:tcPr>
          <w:p w14:paraId="20E5EB46" w14:textId="77777777" w:rsidR="00054437" w:rsidRPr="000549B1" w:rsidRDefault="00000000">
            <w:pPr>
              <w:widowControl/>
              <w:jc w:val="center"/>
              <w:textAlignment w:val="center"/>
              <w:rPr>
                <w:szCs w:val="21"/>
              </w:rPr>
            </w:pPr>
            <w:r w:rsidRPr="000549B1">
              <w:rPr>
                <w:kern w:val="0"/>
                <w:szCs w:val="21"/>
                <w:lang w:bidi="ar"/>
              </w:rPr>
              <w:t>有机氯</w:t>
            </w:r>
          </w:p>
        </w:tc>
      </w:tr>
      <w:tr w:rsidR="000549B1" w:rsidRPr="000549B1" w14:paraId="42278584" w14:textId="77777777">
        <w:trPr>
          <w:trHeight w:val="270"/>
        </w:trPr>
        <w:tc>
          <w:tcPr>
            <w:tcW w:w="312" w:type="pct"/>
            <w:vMerge w:val="restart"/>
            <w:tcBorders>
              <w:top w:val="single" w:sz="4" w:space="0" w:color="000000"/>
              <w:left w:val="single" w:sz="4" w:space="0" w:color="000000"/>
              <w:bottom w:val="single" w:sz="4" w:space="0" w:color="000000"/>
              <w:right w:val="single" w:sz="4" w:space="0" w:color="000000"/>
            </w:tcBorders>
            <w:noWrap/>
            <w:vAlign w:val="center"/>
          </w:tcPr>
          <w:p w14:paraId="4DA0935B" w14:textId="77777777" w:rsidR="00054437" w:rsidRPr="000549B1" w:rsidRDefault="00000000">
            <w:pPr>
              <w:widowControl/>
              <w:jc w:val="center"/>
              <w:textAlignment w:val="center"/>
              <w:rPr>
                <w:szCs w:val="21"/>
              </w:rPr>
            </w:pPr>
            <w:r w:rsidRPr="000549B1">
              <w:rPr>
                <w:kern w:val="0"/>
                <w:szCs w:val="21"/>
                <w:lang w:bidi="ar"/>
              </w:rPr>
              <w:t>共和县</w:t>
            </w:r>
          </w:p>
        </w:tc>
        <w:tc>
          <w:tcPr>
            <w:tcW w:w="777" w:type="pct"/>
            <w:tcBorders>
              <w:top w:val="single" w:sz="4" w:space="0" w:color="000000"/>
              <w:left w:val="single" w:sz="4" w:space="0" w:color="000000"/>
              <w:bottom w:val="single" w:sz="4" w:space="0" w:color="000000"/>
              <w:right w:val="single" w:sz="4" w:space="0" w:color="000000"/>
            </w:tcBorders>
            <w:vAlign w:val="center"/>
          </w:tcPr>
          <w:p w14:paraId="2441E5C6" w14:textId="77777777" w:rsidR="00054437" w:rsidRPr="000549B1" w:rsidRDefault="00000000">
            <w:pPr>
              <w:widowControl/>
              <w:jc w:val="center"/>
              <w:textAlignment w:val="center"/>
              <w:rPr>
                <w:szCs w:val="21"/>
              </w:rPr>
            </w:pPr>
            <w:r w:rsidRPr="000549B1">
              <w:rPr>
                <w:kern w:val="0"/>
                <w:szCs w:val="21"/>
                <w:lang w:bidi="ar"/>
              </w:rPr>
              <w:t>共和县</w:t>
            </w:r>
          </w:p>
        </w:tc>
        <w:tc>
          <w:tcPr>
            <w:tcW w:w="292" w:type="pct"/>
            <w:tcBorders>
              <w:top w:val="single" w:sz="4" w:space="0" w:color="000000"/>
              <w:left w:val="single" w:sz="4" w:space="0" w:color="000000"/>
              <w:bottom w:val="single" w:sz="4" w:space="0" w:color="000000"/>
              <w:right w:val="single" w:sz="4" w:space="0" w:color="000000"/>
            </w:tcBorders>
            <w:vAlign w:val="center"/>
          </w:tcPr>
          <w:p w14:paraId="0F189CFF" w14:textId="77777777" w:rsidR="00054437" w:rsidRPr="000549B1" w:rsidRDefault="00000000">
            <w:pPr>
              <w:widowControl/>
              <w:jc w:val="center"/>
              <w:textAlignment w:val="center"/>
              <w:rPr>
                <w:szCs w:val="21"/>
              </w:rPr>
            </w:pPr>
            <w:r w:rsidRPr="000549B1">
              <w:rPr>
                <w:kern w:val="0"/>
                <w:szCs w:val="21"/>
                <w:lang w:bidi="ar"/>
              </w:rPr>
              <w:t>120.93</w:t>
            </w:r>
          </w:p>
        </w:tc>
        <w:tc>
          <w:tcPr>
            <w:tcW w:w="273" w:type="pct"/>
            <w:tcBorders>
              <w:top w:val="single" w:sz="4" w:space="0" w:color="000000"/>
              <w:left w:val="single" w:sz="4" w:space="0" w:color="000000"/>
              <w:bottom w:val="single" w:sz="4" w:space="0" w:color="000000"/>
              <w:right w:val="single" w:sz="4" w:space="0" w:color="000000"/>
            </w:tcBorders>
            <w:vAlign w:val="center"/>
          </w:tcPr>
          <w:p w14:paraId="3E4BA1BA" w14:textId="77777777" w:rsidR="00054437" w:rsidRPr="000549B1" w:rsidRDefault="00000000">
            <w:pPr>
              <w:widowControl/>
              <w:jc w:val="center"/>
              <w:textAlignment w:val="center"/>
              <w:rPr>
                <w:szCs w:val="21"/>
              </w:rPr>
            </w:pPr>
            <w:r w:rsidRPr="000549B1">
              <w:rPr>
                <w:kern w:val="0"/>
                <w:szCs w:val="21"/>
                <w:lang w:bidi="ar"/>
              </w:rPr>
              <w:t>30.23</w:t>
            </w:r>
          </w:p>
        </w:tc>
        <w:tc>
          <w:tcPr>
            <w:tcW w:w="369" w:type="pct"/>
            <w:tcBorders>
              <w:top w:val="single" w:sz="4" w:space="0" w:color="000000"/>
              <w:left w:val="single" w:sz="4" w:space="0" w:color="000000"/>
              <w:bottom w:val="single" w:sz="4" w:space="0" w:color="000000"/>
              <w:right w:val="single" w:sz="4" w:space="0" w:color="000000"/>
            </w:tcBorders>
            <w:vAlign w:val="center"/>
          </w:tcPr>
          <w:p w14:paraId="76883429" w14:textId="77777777" w:rsidR="00054437" w:rsidRPr="000549B1" w:rsidRDefault="00000000">
            <w:pPr>
              <w:widowControl/>
              <w:jc w:val="center"/>
              <w:textAlignment w:val="center"/>
              <w:rPr>
                <w:szCs w:val="21"/>
              </w:rPr>
            </w:pPr>
            <w:r w:rsidRPr="000549B1">
              <w:rPr>
                <w:kern w:val="0"/>
                <w:szCs w:val="21"/>
                <w:lang w:bidi="ar"/>
              </w:rPr>
              <w:t>302.33</w:t>
            </w:r>
          </w:p>
        </w:tc>
        <w:tc>
          <w:tcPr>
            <w:tcW w:w="358" w:type="pct"/>
            <w:tcBorders>
              <w:top w:val="single" w:sz="4" w:space="0" w:color="000000"/>
              <w:left w:val="single" w:sz="4" w:space="0" w:color="000000"/>
              <w:bottom w:val="single" w:sz="4" w:space="0" w:color="000000"/>
              <w:right w:val="single" w:sz="4" w:space="0" w:color="000000"/>
            </w:tcBorders>
            <w:vAlign w:val="center"/>
          </w:tcPr>
          <w:p w14:paraId="6245EFB2" w14:textId="77777777" w:rsidR="00054437" w:rsidRPr="000549B1" w:rsidRDefault="00000000">
            <w:pPr>
              <w:widowControl/>
              <w:jc w:val="center"/>
              <w:textAlignment w:val="center"/>
              <w:rPr>
                <w:szCs w:val="21"/>
              </w:rPr>
            </w:pPr>
            <w:r w:rsidRPr="000549B1">
              <w:rPr>
                <w:kern w:val="0"/>
                <w:szCs w:val="21"/>
                <w:lang w:bidi="ar"/>
              </w:rPr>
              <w:t>94.3</w:t>
            </w:r>
          </w:p>
        </w:tc>
        <w:tc>
          <w:tcPr>
            <w:tcW w:w="348" w:type="pct"/>
            <w:tcBorders>
              <w:top w:val="single" w:sz="4" w:space="0" w:color="000000"/>
              <w:left w:val="single" w:sz="4" w:space="0" w:color="000000"/>
              <w:bottom w:val="single" w:sz="4" w:space="0" w:color="000000"/>
              <w:right w:val="single" w:sz="4" w:space="0" w:color="000000"/>
            </w:tcBorders>
            <w:vAlign w:val="center"/>
          </w:tcPr>
          <w:p w14:paraId="30096199" w14:textId="77777777" w:rsidR="00054437" w:rsidRPr="000549B1" w:rsidRDefault="00000000">
            <w:pPr>
              <w:widowControl/>
              <w:jc w:val="center"/>
              <w:textAlignment w:val="center"/>
              <w:rPr>
                <w:szCs w:val="21"/>
              </w:rPr>
            </w:pPr>
            <w:r w:rsidRPr="000549B1">
              <w:rPr>
                <w:kern w:val="0"/>
                <w:szCs w:val="21"/>
                <w:lang w:bidi="ar"/>
              </w:rPr>
              <w:t>0.17</w:t>
            </w:r>
          </w:p>
        </w:tc>
        <w:tc>
          <w:tcPr>
            <w:tcW w:w="350" w:type="pct"/>
            <w:tcBorders>
              <w:top w:val="single" w:sz="4" w:space="0" w:color="000000"/>
              <w:left w:val="single" w:sz="4" w:space="0" w:color="000000"/>
              <w:bottom w:val="single" w:sz="4" w:space="0" w:color="000000"/>
              <w:right w:val="single" w:sz="4" w:space="0" w:color="000000"/>
            </w:tcBorders>
            <w:vAlign w:val="center"/>
          </w:tcPr>
          <w:p w14:paraId="72F1ED91" w14:textId="77777777" w:rsidR="00054437" w:rsidRPr="000549B1" w:rsidRDefault="00000000">
            <w:pPr>
              <w:widowControl/>
              <w:jc w:val="center"/>
              <w:textAlignment w:val="center"/>
              <w:rPr>
                <w:szCs w:val="21"/>
              </w:rPr>
            </w:pPr>
            <w:r w:rsidRPr="000549B1">
              <w:rPr>
                <w:kern w:val="0"/>
                <w:szCs w:val="21"/>
                <w:lang w:bidi="ar"/>
              </w:rPr>
              <w:t>0.04</w:t>
            </w:r>
          </w:p>
        </w:tc>
        <w:tc>
          <w:tcPr>
            <w:tcW w:w="256" w:type="pct"/>
            <w:tcBorders>
              <w:top w:val="single" w:sz="4" w:space="0" w:color="000000"/>
              <w:left w:val="single" w:sz="4" w:space="0" w:color="000000"/>
              <w:bottom w:val="single" w:sz="4" w:space="0" w:color="000000"/>
              <w:right w:val="single" w:sz="4" w:space="0" w:color="000000"/>
            </w:tcBorders>
            <w:vAlign w:val="center"/>
          </w:tcPr>
          <w:p w14:paraId="4633BC5A" w14:textId="77777777" w:rsidR="00054437" w:rsidRPr="000549B1" w:rsidRDefault="00000000">
            <w:pPr>
              <w:widowControl/>
              <w:jc w:val="center"/>
              <w:textAlignment w:val="center"/>
              <w:rPr>
                <w:szCs w:val="21"/>
              </w:rPr>
            </w:pPr>
            <w:r w:rsidRPr="000549B1">
              <w:rPr>
                <w:kern w:val="0"/>
                <w:szCs w:val="21"/>
                <w:lang w:bidi="ar"/>
              </w:rPr>
              <w:t>18.14</w:t>
            </w:r>
          </w:p>
        </w:tc>
        <w:tc>
          <w:tcPr>
            <w:tcW w:w="236" w:type="pct"/>
            <w:tcBorders>
              <w:top w:val="single" w:sz="4" w:space="0" w:color="000000"/>
              <w:left w:val="single" w:sz="4" w:space="0" w:color="000000"/>
              <w:bottom w:val="single" w:sz="4" w:space="0" w:color="000000"/>
              <w:right w:val="single" w:sz="4" w:space="0" w:color="000000"/>
            </w:tcBorders>
            <w:vAlign w:val="center"/>
          </w:tcPr>
          <w:p w14:paraId="49CD9918" w14:textId="77777777" w:rsidR="00054437" w:rsidRPr="000549B1" w:rsidRDefault="00000000">
            <w:pPr>
              <w:widowControl/>
              <w:jc w:val="center"/>
              <w:textAlignment w:val="center"/>
              <w:rPr>
                <w:szCs w:val="21"/>
              </w:rPr>
            </w:pPr>
            <w:r w:rsidRPr="000549B1">
              <w:rPr>
                <w:kern w:val="0"/>
                <w:szCs w:val="21"/>
                <w:lang w:bidi="ar"/>
              </w:rPr>
              <w:t>4.54</w:t>
            </w:r>
          </w:p>
        </w:tc>
        <w:tc>
          <w:tcPr>
            <w:tcW w:w="369" w:type="pct"/>
            <w:tcBorders>
              <w:top w:val="single" w:sz="4" w:space="0" w:color="000000"/>
              <w:left w:val="single" w:sz="4" w:space="0" w:color="000000"/>
              <w:bottom w:val="single" w:sz="4" w:space="0" w:color="000000"/>
              <w:right w:val="single" w:sz="4" w:space="0" w:color="000000"/>
            </w:tcBorders>
            <w:vAlign w:val="center"/>
          </w:tcPr>
          <w:p w14:paraId="6F7703BC" w14:textId="77777777" w:rsidR="00054437" w:rsidRPr="000549B1" w:rsidRDefault="00000000">
            <w:pPr>
              <w:widowControl/>
              <w:jc w:val="center"/>
              <w:textAlignment w:val="center"/>
              <w:rPr>
                <w:szCs w:val="21"/>
              </w:rPr>
            </w:pPr>
            <w:r w:rsidRPr="000549B1">
              <w:rPr>
                <w:kern w:val="0"/>
                <w:szCs w:val="21"/>
                <w:lang w:bidi="ar"/>
              </w:rPr>
              <w:t>45.35</w:t>
            </w:r>
          </w:p>
        </w:tc>
        <w:tc>
          <w:tcPr>
            <w:tcW w:w="358" w:type="pct"/>
            <w:tcBorders>
              <w:top w:val="single" w:sz="4" w:space="0" w:color="000000"/>
              <w:left w:val="single" w:sz="4" w:space="0" w:color="000000"/>
              <w:bottom w:val="single" w:sz="4" w:space="0" w:color="000000"/>
              <w:right w:val="single" w:sz="4" w:space="0" w:color="000000"/>
            </w:tcBorders>
            <w:vAlign w:val="center"/>
          </w:tcPr>
          <w:p w14:paraId="43D73137" w14:textId="77777777" w:rsidR="00054437" w:rsidRPr="000549B1" w:rsidRDefault="00000000">
            <w:pPr>
              <w:widowControl/>
              <w:jc w:val="center"/>
              <w:textAlignment w:val="center"/>
              <w:rPr>
                <w:szCs w:val="21"/>
              </w:rPr>
            </w:pPr>
            <w:r w:rsidRPr="000549B1">
              <w:rPr>
                <w:kern w:val="0"/>
                <w:szCs w:val="21"/>
                <w:lang w:bidi="ar"/>
              </w:rPr>
              <w:t>14.15</w:t>
            </w:r>
          </w:p>
        </w:tc>
        <w:tc>
          <w:tcPr>
            <w:tcW w:w="348" w:type="pct"/>
            <w:tcBorders>
              <w:top w:val="single" w:sz="4" w:space="0" w:color="000000"/>
              <w:left w:val="single" w:sz="4" w:space="0" w:color="000000"/>
              <w:bottom w:val="single" w:sz="4" w:space="0" w:color="000000"/>
              <w:right w:val="single" w:sz="4" w:space="0" w:color="000000"/>
            </w:tcBorders>
            <w:vAlign w:val="center"/>
          </w:tcPr>
          <w:p w14:paraId="3187F6CE" w14:textId="77777777" w:rsidR="00054437" w:rsidRPr="000549B1" w:rsidRDefault="00000000">
            <w:pPr>
              <w:widowControl/>
              <w:jc w:val="center"/>
              <w:textAlignment w:val="center"/>
              <w:rPr>
                <w:szCs w:val="21"/>
              </w:rPr>
            </w:pPr>
            <w:r w:rsidRPr="000549B1">
              <w:rPr>
                <w:kern w:val="0"/>
                <w:szCs w:val="21"/>
                <w:lang w:bidi="ar"/>
              </w:rPr>
              <w:t>0.05</w:t>
            </w:r>
          </w:p>
        </w:tc>
        <w:tc>
          <w:tcPr>
            <w:tcW w:w="350" w:type="pct"/>
            <w:tcBorders>
              <w:top w:val="single" w:sz="4" w:space="0" w:color="000000"/>
              <w:left w:val="single" w:sz="4" w:space="0" w:color="000000"/>
              <w:bottom w:val="single" w:sz="4" w:space="0" w:color="000000"/>
              <w:right w:val="single" w:sz="4" w:space="0" w:color="000000"/>
            </w:tcBorders>
            <w:vAlign w:val="center"/>
          </w:tcPr>
          <w:p w14:paraId="4813FEEC" w14:textId="77777777" w:rsidR="00054437" w:rsidRPr="000549B1" w:rsidRDefault="00000000">
            <w:pPr>
              <w:widowControl/>
              <w:jc w:val="center"/>
              <w:textAlignment w:val="center"/>
              <w:rPr>
                <w:szCs w:val="21"/>
              </w:rPr>
            </w:pPr>
            <w:r w:rsidRPr="000549B1">
              <w:rPr>
                <w:kern w:val="0"/>
                <w:szCs w:val="21"/>
                <w:lang w:bidi="ar"/>
              </w:rPr>
              <w:t>0.012</w:t>
            </w:r>
          </w:p>
        </w:tc>
      </w:tr>
      <w:tr w:rsidR="000549B1" w:rsidRPr="000549B1" w14:paraId="5728A68A" w14:textId="77777777">
        <w:trPr>
          <w:trHeight w:val="480"/>
        </w:trPr>
        <w:tc>
          <w:tcPr>
            <w:tcW w:w="312" w:type="pct"/>
            <w:vMerge/>
            <w:tcBorders>
              <w:top w:val="single" w:sz="4" w:space="0" w:color="000000"/>
              <w:left w:val="single" w:sz="4" w:space="0" w:color="000000"/>
              <w:bottom w:val="single" w:sz="4" w:space="0" w:color="000000"/>
              <w:right w:val="single" w:sz="4" w:space="0" w:color="000000"/>
            </w:tcBorders>
            <w:noWrap/>
            <w:vAlign w:val="center"/>
          </w:tcPr>
          <w:p w14:paraId="0139F45F" w14:textId="77777777" w:rsidR="00054437" w:rsidRPr="000549B1" w:rsidRDefault="00054437">
            <w:pPr>
              <w:jc w:val="center"/>
              <w:rPr>
                <w:szCs w:val="21"/>
              </w:rPr>
            </w:pPr>
          </w:p>
        </w:tc>
        <w:tc>
          <w:tcPr>
            <w:tcW w:w="777" w:type="pct"/>
            <w:tcBorders>
              <w:top w:val="single" w:sz="4" w:space="0" w:color="000000"/>
              <w:left w:val="single" w:sz="4" w:space="0" w:color="000000"/>
              <w:bottom w:val="single" w:sz="4" w:space="0" w:color="000000"/>
              <w:right w:val="single" w:sz="4" w:space="0" w:color="000000"/>
            </w:tcBorders>
            <w:vAlign w:val="center"/>
          </w:tcPr>
          <w:p w14:paraId="276084B4" w14:textId="77777777" w:rsidR="00054437" w:rsidRPr="000549B1" w:rsidRDefault="00000000">
            <w:pPr>
              <w:widowControl/>
              <w:jc w:val="center"/>
              <w:textAlignment w:val="center"/>
              <w:rPr>
                <w:szCs w:val="21"/>
              </w:rPr>
            </w:pPr>
            <w:r w:rsidRPr="000549B1">
              <w:rPr>
                <w:kern w:val="0"/>
                <w:szCs w:val="21"/>
                <w:lang w:bidi="ar"/>
              </w:rPr>
              <w:t>其中：沙珠玉河流域</w:t>
            </w:r>
          </w:p>
        </w:tc>
        <w:tc>
          <w:tcPr>
            <w:tcW w:w="292" w:type="pct"/>
            <w:tcBorders>
              <w:top w:val="single" w:sz="4" w:space="0" w:color="000000"/>
              <w:left w:val="single" w:sz="4" w:space="0" w:color="000000"/>
              <w:bottom w:val="single" w:sz="4" w:space="0" w:color="000000"/>
              <w:right w:val="single" w:sz="4" w:space="0" w:color="000000"/>
            </w:tcBorders>
            <w:vAlign w:val="center"/>
          </w:tcPr>
          <w:p w14:paraId="3CCFBCF7" w14:textId="77777777" w:rsidR="00054437" w:rsidRPr="000549B1" w:rsidRDefault="00000000">
            <w:pPr>
              <w:widowControl/>
              <w:jc w:val="center"/>
              <w:textAlignment w:val="center"/>
              <w:rPr>
                <w:szCs w:val="21"/>
              </w:rPr>
            </w:pPr>
            <w:r w:rsidRPr="000549B1">
              <w:rPr>
                <w:kern w:val="0"/>
                <w:szCs w:val="21"/>
                <w:lang w:bidi="ar"/>
              </w:rPr>
              <w:t>42.33</w:t>
            </w:r>
          </w:p>
        </w:tc>
        <w:tc>
          <w:tcPr>
            <w:tcW w:w="273" w:type="pct"/>
            <w:tcBorders>
              <w:top w:val="single" w:sz="4" w:space="0" w:color="000000"/>
              <w:left w:val="single" w:sz="4" w:space="0" w:color="000000"/>
              <w:bottom w:val="single" w:sz="4" w:space="0" w:color="000000"/>
              <w:right w:val="single" w:sz="4" w:space="0" w:color="000000"/>
            </w:tcBorders>
            <w:vAlign w:val="center"/>
          </w:tcPr>
          <w:p w14:paraId="08913154" w14:textId="77777777" w:rsidR="00054437" w:rsidRPr="000549B1" w:rsidRDefault="00000000">
            <w:pPr>
              <w:widowControl/>
              <w:jc w:val="center"/>
              <w:textAlignment w:val="center"/>
              <w:rPr>
                <w:szCs w:val="21"/>
              </w:rPr>
            </w:pPr>
            <w:r w:rsidRPr="000549B1">
              <w:rPr>
                <w:kern w:val="0"/>
                <w:szCs w:val="21"/>
                <w:lang w:bidi="ar"/>
              </w:rPr>
              <w:t>10.58</w:t>
            </w:r>
          </w:p>
        </w:tc>
        <w:tc>
          <w:tcPr>
            <w:tcW w:w="369" w:type="pct"/>
            <w:tcBorders>
              <w:top w:val="single" w:sz="4" w:space="0" w:color="000000"/>
              <w:left w:val="single" w:sz="4" w:space="0" w:color="000000"/>
              <w:bottom w:val="single" w:sz="4" w:space="0" w:color="000000"/>
              <w:right w:val="single" w:sz="4" w:space="0" w:color="000000"/>
            </w:tcBorders>
            <w:vAlign w:val="center"/>
          </w:tcPr>
          <w:p w14:paraId="451E1A5D" w14:textId="77777777" w:rsidR="00054437" w:rsidRPr="000549B1" w:rsidRDefault="00000000">
            <w:pPr>
              <w:widowControl/>
              <w:jc w:val="center"/>
              <w:textAlignment w:val="center"/>
              <w:rPr>
                <w:szCs w:val="21"/>
              </w:rPr>
            </w:pPr>
            <w:r w:rsidRPr="000549B1">
              <w:rPr>
                <w:kern w:val="0"/>
                <w:szCs w:val="21"/>
                <w:lang w:bidi="ar"/>
              </w:rPr>
              <w:t>105.82</w:t>
            </w:r>
          </w:p>
        </w:tc>
        <w:tc>
          <w:tcPr>
            <w:tcW w:w="358" w:type="pct"/>
            <w:tcBorders>
              <w:top w:val="single" w:sz="4" w:space="0" w:color="000000"/>
              <w:left w:val="single" w:sz="4" w:space="0" w:color="000000"/>
              <w:bottom w:val="single" w:sz="4" w:space="0" w:color="000000"/>
              <w:right w:val="single" w:sz="4" w:space="0" w:color="000000"/>
            </w:tcBorders>
            <w:vAlign w:val="center"/>
          </w:tcPr>
          <w:p w14:paraId="2EE63A21" w14:textId="77777777" w:rsidR="00054437" w:rsidRPr="000549B1" w:rsidRDefault="00000000">
            <w:pPr>
              <w:widowControl/>
              <w:jc w:val="center"/>
              <w:textAlignment w:val="center"/>
              <w:rPr>
                <w:szCs w:val="21"/>
              </w:rPr>
            </w:pPr>
            <w:r w:rsidRPr="000549B1">
              <w:rPr>
                <w:kern w:val="0"/>
                <w:szCs w:val="21"/>
                <w:lang w:bidi="ar"/>
              </w:rPr>
              <w:t>33.01</w:t>
            </w:r>
          </w:p>
        </w:tc>
        <w:tc>
          <w:tcPr>
            <w:tcW w:w="348" w:type="pct"/>
            <w:tcBorders>
              <w:top w:val="single" w:sz="4" w:space="0" w:color="000000"/>
              <w:left w:val="single" w:sz="4" w:space="0" w:color="000000"/>
              <w:bottom w:val="single" w:sz="4" w:space="0" w:color="000000"/>
              <w:right w:val="single" w:sz="4" w:space="0" w:color="000000"/>
            </w:tcBorders>
            <w:vAlign w:val="center"/>
          </w:tcPr>
          <w:p w14:paraId="5150BD62" w14:textId="77777777" w:rsidR="00054437" w:rsidRPr="000549B1" w:rsidRDefault="00000000">
            <w:pPr>
              <w:widowControl/>
              <w:jc w:val="center"/>
              <w:textAlignment w:val="center"/>
              <w:rPr>
                <w:szCs w:val="21"/>
              </w:rPr>
            </w:pPr>
            <w:r w:rsidRPr="000549B1">
              <w:rPr>
                <w:kern w:val="0"/>
                <w:szCs w:val="21"/>
                <w:lang w:bidi="ar"/>
              </w:rPr>
              <w:t>0.06</w:t>
            </w:r>
          </w:p>
        </w:tc>
        <w:tc>
          <w:tcPr>
            <w:tcW w:w="350" w:type="pct"/>
            <w:tcBorders>
              <w:top w:val="single" w:sz="4" w:space="0" w:color="000000"/>
              <w:left w:val="single" w:sz="4" w:space="0" w:color="000000"/>
              <w:bottom w:val="single" w:sz="4" w:space="0" w:color="000000"/>
              <w:right w:val="single" w:sz="4" w:space="0" w:color="000000"/>
            </w:tcBorders>
            <w:vAlign w:val="center"/>
          </w:tcPr>
          <w:p w14:paraId="217E37B0" w14:textId="77777777" w:rsidR="00054437" w:rsidRPr="000549B1" w:rsidRDefault="00000000">
            <w:pPr>
              <w:widowControl/>
              <w:jc w:val="center"/>
              <w:textAlignment w:val="center"/>
              <w:rPr>
                <w:szCs w:val="21"/>
              </w:rPr>
            </w:pPr>
            <w:r w:rsidRPr="000549B1">
              <w:rPr>
                <w:kern w:val="0"/>
                <w:szCs w:val="21"/>
                <w:lang w:bidi="ar"/>
              </w:rPr>
              <w:t>0.01</w:t>
            </w:r>
          </w:p>
        </w:tc>
        <w:tc>
          <w:tcPr>
            <w:tcW w:w="256" w:type="pct"/>
            <w:tcBorders>
              <w:top w:val="single" w:sz="4" w:space="0" w:color="000000"/>
              <w:left w:val="single" w:sz="4" w:space="0" w:color="000000"/>
              <w:bottom w:val="single" w:sz="4" w:space="0" w:color="000000"/>
              <w:right w:val="single" w:sz="4" w:space="0" w:color="000000"/>
            </w:tcBorders>
            <w:vAlign w:val="center"/>
          </w:tcPr>
          <w:p w14:paraId="022B21AD" w14:textId="77777777" w:rsidR="00054437" w:rsidRPr="000549B1" w:rsidRDefault="00000000">
            <w:pPr>
              <w:widowControl/>
              <w:jc w:val="center"/>
              <w:textAlignment w:val="center"/>
              <w:rPr>
                <w:szCs w:val="21"/>
              </w:rPr>
            </w:pPr>
            <w:r w:rsidRPr="000549B1">
              <w:rPr>
                <w:kern w:val="0"/>
                <w:szCs w:val="21"/>
                <w:lang w:bidi="ar"/>
              </w:rPr>
              <w:t>6.35</w:t>
            </w:r>
          </w:p>
        </w:tc>
        <w:tc>
          <w:tcPr>
            <w:tcW w:w="236" w:type="pct"/>
            <w:tcBorders>
              <w:top w:val="single" w:sz="4" w:space="0" w:color="000000"/>
              <w:left w:val="single" w:sz="4" w:space="0" w:color="000000"/>
              <w:bottom w:val="single" w:sz="4" w:space="0" w:color="000000"/>
              <w:right w:val="single" w:sz="4" w:space="0" w:color="000000"/>
            </w:tcBorders>
            <w:vAlign w:val="center"/>
          </w:tcPr>
          <w:p w14:paraId="4BB788F1" w14:textId="77777777" w:rsidR="00054437" w:rsidRPr="000549B1" w:rsidRDefault="00000000">
            <w:pPr>
              <w:widowControl/>
              <w:jc w:val="center"/>
              <w:textAlignment w:val="center"/>
              <w:rPr>
                <w:szCs w:val="21"/>
              </w:rPr>
            </w:pPr>
            <w:r w:rsidRPr="000549B1">
              <w:rPr>
                <w:kern w:val="0"/>
                <w:szCs w:val="21"/>
                <w:lang w:bidi="ar"/>
              </w:rPr>
              <w:t>1.59</w:t>
            </w:r>
          </w:p>
        </w:tc>
        <w:tc>
          <w:tcPr>
            <w:tcW w:w="369" w:type="pct"/>
            <w:tcBorders>
              <w:top w:val="single" w:sz="4" w:space="0" w:color="000000"/>
              <w:left w:val="single" w:sz="4" w:space="0" w:color="000000"/>
              <w:bottom w:val="single" w:sz="4" w:space="0" w:color="000000"/>
              <w:right w:val="single" w:sz="4" w:space="0" w:color="000000"/>
            </w:tcBorders>
            <w:vAlign w:val="center"/>
          </w:tcPr>
          <w:p w14:paraId="5B0D6E00" w14:textId="77777777" w:rsidR="00054437" w:rsidRPr="000549B1" w:rsidRDefault="00000000">
            <w:pPr>
              <w:widowControl/>
              <w:jc w:val="center"/>
              <w:textAlignment w:val="center"/>
              <w:rPr>
                <w:szCs w:val="21"/>
              </w:rPr>
            </w:pPr>
            <w:r w:rsidRPr="000549B1">
              <w:rPr>
                <w:kern w:val="0"/>
                <w:szCs w:val="21"/>
                <w:lang w:bidi="ar"/>
              </w:rPr>
              <w:t>15.87</w:t>
            </w:r>
          </w:p>
        </w:tc>
        <w:tc>
          <w:tcPr>
            <w:tcW w:w="358" w:type="pct"/>
            <w:tcBorders>
              <w:top w:val="single" w:sz="4" w:space="0" w:color="000000"/>
              <w:left w:val="single" w:sz="4" w:space="0" w:color="000000"/>
              <w:bottom w:val="single" w:sz="4" w:space="0" w:color="000000"/>
              <w:right w:val="single" w:sz="4" w:space="0" w:color="000000"/>
            </w:tcBorders>
            <w:vAlign w:val="center"/>
          </w:tcPr>
          <w:p w14:paraId="2D41EEC9" w14:textId="77777777" w:rsidR="00054437" w:rsidRPr="000549B1" w:rsidRDefault="00000000">
            <w:pPr>
              <w:widowControl/>
              <w:jc w:val="center"/>
              <w:textAlignment w:val="center"/>
              <w:rPr>
                <w:szCs w:val="21"/>
              </w:rPr>
            </w:pPr>
            <w:r w:rsidRPr="000549B1">
              <w:rPr>
                <w:kern w:val="0"/>
                <w:szCs w:val="21"/>
                <w:lang w:bidi="ar"/>
              </w:rPr>
              <w:t>4.95</w:t>
            </w:r>
          </w:p>
        </w:tc>
        <w:tc>
          <w:tcPr>
            <w:tcW w:w="348" w:type="pct"/>
            <w:tcBorders>
              <w:top w:val="single" w:sz="4" w:space="0" w:color="000000"/>
              <w:left w:val="single" w:sz="4" w:space="0" w:color="000000"/>
              <w:bottom w:val="single" w:sz="4" w:space="0" w:color="000000"/>
              <w:right w:val="single" w:sz="4" w:space="0" w:color="000000"/>
            </w:tcBorders>
            <w:vAlign w:val="center"/>
          </w:tcPr>
          <w:p w14:paraId="5572675D" w14:textId="77777777" w:rsidR="00054437" w:rsidRPr="000549B1" w:rsidRDefault="00000000">
            <w:pPr>
              <w:widowControl/>
              <w:jc w:val="center"/>
              <w:textAlignment w:val="center"/>
              <w:rPr>
                <w:szCs w:val="21"/>
              </w:rPr>
            </w:pPr>
            <w:r w:rsidRPr="000549B1">
              <w:rPr>
                <w:kern w:val="0"/>
                <w:szCs w:val="21"/>
                <w:lang w:bidi="ar"/>
              </w:rPr>
              <w:t>0.02</w:t>
            </w:r>
          </w:p>
        </w:tc>
        <w:tc>
          <w:tcPr>
            <w:tcW w:w="350" w:type="pct"/>
            <w:tcBorders>
              <w:top w:val="single" w:sz="4" w:space="0" w:color="000000"/>
              <w:left w:val="single" w:sz="4" w:space="0" w:color="000000"/>
              <w:bottom w:val="single" w:sz="4" w:space="0" w:color="000000"/>
              <w:right w:val="single" w:sz="4" w:space="0" w:color="000000"/>
            </w:tcBorders>
            <w:vAlign w:val="center"/>
          </w:tcPr>
          <w:p w14:paraId="20F44C87" w14:textId="77777777" w:rsidR="00054437" w:rsidRPr="000549B1" w:rsidRDefault="00000000">
            <w:pPr>
              <w:widowControl/>
              <w:jc w:val="center"/>
              <w:textAlignment w:val="center"/>
              <w:rPr>
                <w:szCs w:val="21"/>
              </w:rPr>
            </w:pPr>
            <w:r w:rsidRPr="000549B1">
              <w:rPr>
                <w:kern w:val="0"/>
                <w:szCs w:val="21"/>
                <w:lang w:bidi="ar"/>
              </w:rPr>
              <w:t>0.004</w:t>
            </w:r>
          </w:p>
        </w:tc>
      </w:tr>
      <w:tr w:rsidR="000549B1" w:rsidRPr="000549B1" w14:paraId="545B7FC4" w14:textId="77777777">
        <w:trPr>
          <w:trHeight w:val="270"/>
        </w:trPr>
        <w:tc>
          <w:tcPr>
            <w:tcW w:w="312" w:type="pct"/>
            <w:vMerge w:val="restart"/>
            <w:tcBorders>
              <w:top w:val="single" w:sz="4" w:space="0" w:color="000000"/>
              <w:left w:val="single" w:sz="4" w:space="0" w:color="000000"/>
              <w:bottom w:val="single" w:sz="4" w:space="0" w:color="000000"/>
              <w:right w:val="single" w:sz="4" w:space="0" w:color="000000"/>
            </w:tcBorders>
            <w:noWrap/>
            <w:vAlign w:val="center"/>
          </w:tcPr>
          <w:p w14:paraId="4D89F19F" w14:textId="77777777" w:rsidR="00054437" w:rsidRPr="000549B1" w:rsidRDefault="00000000">
            <w:pPr>
              <w:widowControl/>
              <w:jc w:val="center"/>
              <w:textAlignment w:val="center"/>
              <w:rPr>
                <w:szCs w:val="21"/>
              </w:rPr>
            </w:pPr>
            <w:r w:rsidRPr="000549B1">
              <w:rPr>
                <w:kern w:val="0"/>
                <w:szCs w:val="21"/>
                <w:lang w:bidi="ar"/>
              </w:rPr>
              <w:t>兴海县</w:t>
            </w:r>
          </w:p>
        </w:tc>
        <w:tc>
          <w:tcPr>
            <w:tcW w:w="777" w:type="pct"/>
            <w:tcBorders>
              <w:top w:val="single" w:sz="4" w:space="0" w:color="000000"/>
              <w:left w:val="single" w:sz="4" w:space="0" w:color="000000"/>
              <w:bottom w:val="single" w:sz="4" w:space="0" w:color="000000"/>
              <w:right w:val="single" w:sz="4" w:space="0" w:color="000000"/>
            </w:tcBorders>
            <w:vAlign w:val="center"/>
          </w:tcPr>
          <w:p w14:paraId="40073368" w14:textId="77777777" w:rsidR="00054437" w:rsidRPr="000549B1" w:rsidRDefault="00000000">
            <w:pPr>
              <w:widowControl/>
              <w:jc w:val="center"/>
              <w:textAlignment w:val="center"/>
              <w:rPr>
                <w:szCs w:val="21"/>
              </w:rPr>
            </w:pPr>
            <w:r w:rsidRPr="000549B1">
              <w:rPr>
                <w:kern w:val="0"/>
                <w:szCs w:val="21"/>
                <w:lang w:bidi="ar"/>
              </w:rPr>
              <w:t>兴海县</w:t>
            </w:r>
          </w:p>
        </w:tc>
        <w:tc>
          <w:tcPr>
            <w:tcW w:w="292" w:type="pct"/>
            <w:tcBorders>
              <w:top w:val="single" w:sz="4" w:space="0" w:color="000000"/>
              <w:left w:val="single" w:sz="4" w:space="0" w:color="000000"/>
              <w:bottom w:val="single" w:sz="4" w:space="0" w:color="000000"/>
              <w:right w:val="single" w:sz="4" w:space="0" w:color="000000"/>
            </w:tcBorders>
            <w:noWrap/>
            <w:vAlign w:val="center"/>
          </w:tcPr>
          <w:p w14:paraId="6F4C0408" w14:textId="77777777" w:rsidR="00054437" w:rsidRPr="000549B1" w:rsidRDefault="00000000">
            <w:pPr>
              <w:widowControl/>
              <w:jc w:val="center"/>
              <w:textAlignment w:val="center"/>
              <w:rPr>
                <w:szCs w:val="21"/>
              </w:rPr>
            </w:pPr>
            <w:r w:rsidRPr="000549B1">
              <w:rPr>
                <w:kern w:val="0"/>
                <w:szCs w:val="21"/>
                <w:lang w:bidi="ar"/>
              </w:rPr>
              <w:t>109.36</w:t>
            </w:r>
          </w:p>
        </w:tc>
        <w:tc>
          <w:tcPr>
            <w:tcW w:w="273" w:type="pct"/>
            <w:tcBorders>
              <w:top w:val="single" w:sz="4" w:space="0" w:color="000000"/>
              <w:left w:val="single" w:sz="4" w:space="0" w:color="000000"/>
              <w:bottom w:val="single" w:sz="4" w:space="0" w:color="000000"/>
              <w:right w:val="single" w:sz="4" w:space="0" w:color="000000"/>
            </w:tcBorders>
            <w:noWrap/>
            <w:vAlign w:val="center"/>
          </w:tcPr>
          <w:p w14:paraId="52438C49" w14:textId="77777777" w:rsidR="00054437" w:rsidRPr="000549B1" w:rsidRDefault="00000000">
            <w:pPr>
              <w:widowControl/>
              <w:jc w:val="center"/>
              <w:textAlignment w:val="center"/>
              <w:rPr>
                <w:szCs w:val="21"/>
              </w:rPr>
            </w:pPr>
            <w:r w:rsidRPr="000549B1">
              <w:rPr>
                <w:kern w:val="0"/>
                <w:szCs w:val="21"/>
                <w:lang w:bidi="ar"/>
              </w:rPr>
              <w:t>27.34</w:t>
            </w:r>
          </w:p>
        </w:tc>
        <w:tc>
          <w:tcPr>
            <w:tcW w:w="369" w:type="pct"/>
            <w:tcBorders>
              <w:top w:val="single" w:sz="4" w:space="0" w:color="000000"/>
              <w:left w:val="single" w:sz="4" w:space="0" w:color="000000"/>
              <w:bottom w:val="single" w:sz="4" w:space="0" w:color="000000"/>
              <w:right w:val="single" w:sz="4" w:space="0" w:color="000000"/>
            </w:tcBorders>
            <w:noWrap/>
            <w:vAlign w:val="center"/>
          </w:tcPr>
          <w:p w14:paraId="04699D39" w14:textId="77777777" w:rsidR="00054437" w:rsidRPr="000549B1" w:rsidRDefault="00000000">
            <w:pPr>
              <w:widowControl/>
              <w:jc w:val="center"/>
              <w:textAlignment w:val="center"/>
              <w:rPr>
                <w:szCs w:val="21"/>
              </w:rPr>
            </w:pPr>
            <w:r w:rsidRPr="000549B1">
              <w:rPr>
                <w:kern w:val="0"/>
                <w:szCs w:val="21"/>
                <w:lang w:bidi="ar"/>
              </w:rPr>
              <w:t>273.4</w:t>
            </w:r>
          </w:p>
        </w:tc>
        <w:tc>
          <w:tcPr>
            <w:tcW w:w="358" w:type="pct"/>
            <w:tcBorders>
              <w:top w:val="single" w:sz="4" w:space="0" w:color="000000"/>
              <w:left w:val="single" w:sz="4" w:space="0" w:color="000000"/>
              <w:bottom w:val="single" w:sz="4" w:space="0" w:color="000000"/>
              <w:right w:val="single" w:sz="4" w:space="0" w:color="000000"/>
            </w:tcBorders>
            <w:noWrap/>
            <w:vAlign w:val="center"/>
          </w:tcPr>
          <w:p w14:paraId="62C138DF" w14:textId="77777777" w:rsidR="00054437" w:rsidRPr="000549B1" w:rsidRDefault="00000000">
            <w:pPr>
              <w:widowControl/>
              <w:jc w:val="center"/>
              <w:textAlignment w:val="center"/>
              <w:rPr>
                <w:szCs w:val="21"/>
              </w:rPr>
            </w:pPr>
            <w:r w:rsidRPr="000549B1">
              <w:rPr>
                <w:kern w:val="0"/>
                <w:szCs w:val="21"/>
                <w:lang w:bidi="ar"/>
              </w:rPr>
              <w:t>41.85</w:t>
            </w:r>
          </w:p>
        </w:tc>
        <w:tc>
          <w:tcPr>
            <w:tcW w:w="348" w:type="pct"/>
            <w:tcBorders>
              <w:top w:val="single" w:sz="4" w:space="0" w:color="000000"/>
              <w:left w:val="single" w:sz="4" w:space="0" w:color="000000"/>
              <w:bottom w:val="single" w:sz="4" w:space="0" w:color="000000"/>
              <w:right w:val="single" w:sz="4" w:space="0" w:color="000000"/>
            </w:tcBorders>
            <w:noWrap/>
            <w:vAlign w:val="center"/>
          </w:tcPr>
          <w:p w14:paraId="29AFA073" w14:textId="77777777" w:rsidR="00054437" w:rsidRPr="000549B1" w:rsidRDefault="00000000">
            <w:pPr>
              <w:widowControl/>
              <w:jc w:val="center"/>
              <w:textAlignment w:val="center"/>
              <w:rPr>
                <w:szCs w:val="21"/>
              </w:rPr>
            </w:pPr>
            <w:r w:rsidRPr="000549B1">
              <w:rPr>
                <w:kern w:val="0"/>
                <w:szCs w:val="21"/>
                <w:lang w:bidi="ar"/>
              </w:rPr>
              <w:t>0.02</w:t>
            </w:r>
          </w:p>
        </w:tc>
        <w:tc>
          <w:tcPr>
            <w:tcW w:w="350" w:type="pct"/>
            <w:tcBorders>
              <w:top w:val="single" w:sz="4" w:space="0" w:color="000000"/>
              <w:left w:val="single" w:sz="4" w:space="0" w:color="000000"/>
              <w:bottom w:val="single" w:sz="4" w:space="0" w:color="000000"/>
              <w:right w:val="single" w:sz="4" w:space="0" w:color="000000"/>
            </w:tcBorders>
            <w:noWrap/>
            <w:vAlign w:val="center"/>
          </w:tcPr>
          <w:p w14:paraId="51AB22A9" w14:textId="77777777" w:rsidR="00054437" w:rsidRPr="000549B1" w:rsidRDefault="00000000">
            <w:pPr>
              <w:widowControl/>
              <w:jc w:val="center"/>
              <w:textAlignment w:val="center"/>
              <w:rPr>
                <w:szCs w:val="21"/>
              </w:rPr>
            </w:pPr>
            <w:r w:rsidRPr="000549B1">
              <w:rPr>
                <w:kern w:val="0"/>
                <w:szCs w:val="21"/>
                <w:lang w:bidi="ar"/>
              </w:rPr>
              <w:t>0.01</w:t>
            </w:r>
          </w:p>
        </w:tc>
        <w:tc>
          <w:tcPr>
            <w:tcW w:w="256" w:type="pct"/>
            <w:tcBorders>
              <w:top w:val="single" w:sz="4" w:space="0" w:color="000000"/>
              <w:left w:val="single" w:sz="4" w:space="0" w:color="000000"/>
              <w:bottom w:val="single" w:sz="4" w:space="0" w:color="000000"/>
              <w:right w:val="single" w:sz="4" w:space="0" w:color="000000"/>
            </w:tcBorders>
            <w:vAlign w:val="center"/>
          </w:tcPr>
          <w:p w14:paraId="2D5D80CB" w14:textId="77777777" w:rsidR="00054437" w:rsidRPr="000549B1" w:rsidRDefault="00000000">
            <w:pPr>
              <w:widowControl/>
              <w:jc w:val="center"/>
              <w:textAlignment w:val="center"/>
              <w:rPr>
                <w:szCs w:val="21"/>
              </w:rPr>
            </w:pPr>
            <w:r w:rsidRPr="000549B1">
              <w:rPr>
                <w:kern w:val="0"/>
                <w:szCs w:val="21"/>
                <w:lang w:bidi="ar"/>
              </w:rPr>
              <w:t>16.4</w:t>
            </w:r>
          </w:p>
        </w:tc>
        <w:tc>
          <w:tcPr>
            <w:tcW w:w="236" w:type="pct"/>
            <w:tcBorders>
              <w:top w:val="single" w:sz="4" w:space="0" w:color="000000"/>
              <w:left w:val="single" w:sz="4" w:space="0" w:color="000000"/>
              <w:bottom w:val="single" w:sz="4" w:space="0" w:color="000000"/>
              <w:right w:val="single" w:sz="4" w:space="0" w:color="000000"/>
            </w:tcBorders>
            <w:vAlign w:val="center"/>
          </w:tcPr>
          <w:p w14:paraId="7722A596" w14:textId="77777777" w:rsidR="00054437" w:rsidRPr="000549B1" w:rsidRDefault="00000000">
            <w:pPr>
              <w:widowControl/>
              <w:jc w:val="center"/>
              <w:textAlignment w:val="center"/>
              <w:rPr>
                <w:szCs w:val="21"/>
              </w:rPr>
            </w:pPr>
            <w:r w:rsidRPr="000549B1">
              <w:rPr>
                <w:kern w:val="0"/>
                <w:szCs w:val="21"/>
                <w:lang w:bidi="ar"/>
              </w:rPr>
              <w:t>4.1</w:t>
            </w:r>
          </w:p>
        </w:tc>
        <w:tc>
          <w:tcPr>
            <w:tcW w:w="369" w:type="pct"/>
            <w:tcBorders>
              <w:top w:val="single" w:sz="4" w:space="0" w:color="000000"/>
              <w:left w:val="single" w:sz="4" w:space="0" w:color="000000"/>
              <w:bottom w:val="single" w:sz="4" w:space="0" w:color="000000"/>
              <w:right w:val="single" w:sz="4" w:space="0" w:color="000000"/>
            </w:tcBorders>
            <w:vAlign w:val="center"/>
          </w:tcPr>
          <w:p w14:paraId="07377464" w14:textId="77777777" w:rsidR="00054437" w:rsidRPr="000549B1" w:rsidRDefault="00000000">
            <w:pPr>
              <w:widowControl/>
              <w:jc w:val="center"/>
              <w:textAlignment w:val="center"/>
              <w:rPr>
                <w:szCs w:val="21"/>
              </w:rPr>
            </w:pPr>
            <w:r w:rsidRPr="000549B1">
              <w:rPr>
                <w:kern w:val="0"/>
                <w:szCs w:val="21"/>
                <w:lang w:bidi="ar"/>
              </w:rPr>
              <w:t>41.01</w:t>
            </w:r>
          </w:p>
        </w:tc>
        <w:tc>
          <w:tcPr>
            <w:tcW w:w="358" w:type="pct"/>
            <w:tcBorders>
              <w:top w:val="single" w:sz="4" w:space="0" w:color="000000"/>
              <w:left w:val="single" w:sz="4" w:space="0" w:color="000000"/>
              <w:bottom w:val="single" w:sz="4" w:space="0" w:color="000000"/>
              <w:right w:val="single" w:sz="4" w:space="0" w:color="000000"/>
            </w:tcBorders>
            <w:vAlign w:val="center"/>
          </w:tcPr>
          <w:p w14:paraId="7578CE68" w14:textId="77777777" w:rsidR="00054437" w:rsidRPr="000549B1" w:rsidRDefault="00000000">
            <w:pPr>
              <w:widowControl/>
              <w:jc w:val="center"/>
              <w:textAlignment w:val="center"/>
              <w:rPr>
                <w:szCs w:val="21"/>
              </w:rPr>
            </w:pPr>
            <w:r w:rsidRPr="000549B1">
              <w:rPr>
                <w:kern w:val="0"/>
                <w:szCs w:val="21"/>
                <w:lang w:bidi="ar"/>
              </w:rPr>
              <w:t>6.28</w:t>
            </w:r>
          </w:p>
        </w:tc>
        <w:tc>
          <w:tcPr>
            <w:tcW w:w="348" w:type="pct"/>
            <w:tcBorders>
              <w:top w:val="single" w:sz="4" w:space="0" w:color="000000"/>
              <w:left w:val="single" w:sz="4" w:space="0" w:color="000000"/>
              <w:bottom w:val="single" w:sz="4" w:space="0" w:color="000000"/>
              <w:right w:val="single" w:sz="4" w:space="0" w:color="000000"/>
            </w:tcBorders>
            <w:vAlign w:val="center"/>
          </w:tcPr>
          <w:p w14:paraId="369360D2" w14:textId="77777777" w:rsidR="00054437" w:rsidRPr="000549B1" w:rsidRDefault="00000000">
            <w:pPr>
              <w:widowControl/>
              <w:jc w:val="center"/>
              <w:textAlignment w:val="center"/>
              <w:rPr>
                <w:szCs w:val="21"/>
              </w:rPr>
            </w:pPr>
            <w:r w:rsidRPr="000549B1">
              <w:rPr>
                <w:kern w:val="0"/>
                <w:szCs w:val="21"/>
                <w:lang w:bidi="ar"/>
              </w:rPr>
              <w:t>0.01</w:t>
            </w:r>
          </w:p>
        </w:tc>
        <w:tc>
          <w:tcPr>
            <w:tcW w:w="350" w:type="pct"/>
            <w:tcBorders>
              <w:top w:val="single" w:sz="4" w:space="0" w:color="000000"/>
              <w:left w:val="single" w:sz="4" w:space="0" w:color="000000"/>
              <w:bottom w:val="single" w:sz="4" w:space="0" w:color="000000"/>
              <w:right w:val="single" w:sz="4" w:space="0" w:color="000000"/>
            </w:tcBorders>
            <w:vAlign w:val="center"/>
          </w:tcPr>
          <w:p w14:paraId="4EF627A3" w14:textId="77777777" w:rsidR="00054437" w:rsidRPr="000549B1" w:rsidRDefault="00000000">
            <w:pPr>
              <w:widowControl/>
              <w:jc w:val="center"/>
              <w:textAlignment w:val="center"/>
              <w:rPr>
                <w:szCs w:val="21"/>
              </w:rPr>
            </w:pPr>
            <w:r w:rsidRPr="000549B1">
              <w:rPr>
                <w:kern w:val="0"/>
                <w:szCs w:val="21"/>
                <w:lang w:bidi="ar"/>
              </w:rPr>
              <w:t>0.002</w:t>
            </w:r>
          </w:p>
        </w:tc>
      </w:tr>
      <w:tr w:rsidR="000549B1" w:rsidRPr="000549B1" w14:paraId="7AFAB3C3" w14:textId="77777777">
        <w:trPr>
          <w:trHeight w:val="480"/>
        </w:trPr>
        <w:tc>
          <w:tcPr>
            <w:tcW w:w="312" w:type="pct"/>
            <w:vMerge/>
            <w:tcBorders>
              <w:top w:val="single" w:sz="4" w:space="0" w:color="000000"/>
              <w:left w:val="single" w:sz="4" w:space="0" w:color="000000"/>
              <w:bottom w:val="single" w:sz="4" w:space="0" w:color="000000"/>
              <w:right w:val="single" w:sz="4" w:space="0" w:color="000000"/>
            </w:tcBorders>
            <w:noWrap/>
            <w:vAlign w:val="center"/>
          </w:tcPr>
          <w:p w14:paraId="55415D17" w14:textId="77777777" w:rsidR="00054437" w:rsidRPr="000549B1" w:rsidRDefault="00054437">
            <w:pPr>
              <w:jc w:val="center"/>
              <w:rPr>
                <w:szCs w:val="21"/>
              </w:rPr>
            </w:pPr>
          </w:p>
        </w:tc>
        <w:tc>
          <w:tcPr>
            <w:tcW w:w="777" w:type="pct"/>
            <w:tcBorders>
              <w:top w:val="single" w:sz="4" w:space="0" w:color="000000"/>
              <w:left w:val="single" w:sz="4" w:space="0" w:color="000000"/>
              <w:bottom w:val="single" w:sz="4" w:space="0" w:color="000000"/>
              <w:right w:val="single" w:sz="4" w:space="0" w:color="000000"/>
            </w:tcBorders>
            <w:vAlign w:val="center"/>
          </w:tcPr>
          <w:p w14:paraId="479D21DB" w14:textId="77777777" w:rsidR="00054437" w:rsidRPr="000549B1" w:rsidRDefault="00000000">
            <w:pPr>
              <w:widowControl/>
              <w:jc w:val="center"/>
              <w:textAlignment w:val="center"/>
              <w:rPr>
                <w:szCs w:val="21"/>
              </w:rPr>
            </w:pPr>
            <w:r w:rsidRPr="000549B1">
              <w:rPr>
                <w:kern w:val="0"/>
                <w:szCs w:val="21"/>
                <w:lang w:bidi="ar"/>
              </w:rPr>
              <w:t>其中：沙珠玉河流域</w:t>
            </w:r>
          </w:p>
        </w:tc>
        <w:tc>
          <w:tcPr>
            <w:tcW w:w="292" w:type="pct"/>
            <w:tcBorders>
              <w:top w:val="single" w:sz="4" w:space="0" w:color="000000"/>
              <w:left w:val="single" w:sz="4" w:space="0" w:color="000000"/>
              <w:bottom w:val="single" w:sz="4" w:space="0" w:color="000000"/>
              <w:right w:val="single" w:sz="4" w:space="0" w:color="000000"/>
            </w:tcBorders>
            <w:noWrap/>
            <w:vAlign w:val="center"/>
          </w:tcPr>
          <w:p w14:paraId="7228BAFA" w14:textId="77777777" w:rsidR="00054437" w:rsidRPr="000549B1" w:rsidRDefault="00000000">
            <w:pPr>
              <w:widowControl/>
              <w:jc w:val="center"/>
              <w:textAlignment w:val="center"/>
              <w:rPr>
                <w:szCs w:val="21"/>
              </w:rPr>
            </w:pPr>
            <w:r w:rsidRPr="000549B1">
              <w:rPr>
                <w:kern w:val="0"/>
                <w:szCs w:val="21"/>
                <w:lang w:bidi="ar"/>
              </w:rPr>
              <w:t>24.06</w:t>
            </w:r>
          </w:p>
        </w:tc>
        <w:tc>
          <w:tcPr>
            <w:tcW w:w="273" w:type="pct"/>
            <w:tcBorders>
              <w:top w:val="single" w:sz="4" w:space="0" w:color="000000"/>
              <w:left w:val="single" w:sz="4" w:space="0" w:color="000000"/>
              <w:bottom w:val="single" w:sz="4" w:space="0" w:color="000000"/>
              <w:right w:val="single" w:sz="4" w:space="0" w:color="000000"/>
            </w:tcBorders>
            <w:noWrap/>
            <w:vAlign w:val="center"/>
          </w:tcPr>
          <w:p w14:paraId="1F9A02A8" w14:textId="77777777" w:rsidR="00054437" w:rsidRPr="000549B1" w:rsidRDefault="00000000">
            <w:pPr>
              <w:widowControl/>
              <w:jc w:val="center"/>
              <w:textAlignment w:val="center"/>
              <w:rPr>
                <w:szCs w:val="21"/>
              </w:rPr>
            </w:pPr>
            <w:r w:rsidRPr="000549B1">
              <w:rPr>
                <w:kern w:val="0"/>
                <w:szCs w:val="21"/>
                <w:lang w:bidi="ar"/>
              </w:rPr>
              <w:t>6.01</w:t>
            </w:r>
          </w:p>
        </w:tc>
        <w:tc>
          <w:tcPr>
            <w:tcW w:w="369" w:type="pct"/>
            <w:tcBorders>
              <w:top w:val="single" w:sz="4" w:space="0" w:color="000000"/>
              <w:left w:val="single" w:sz="4" w:space="0" w:color="000000"/>
              <w:bottom w:val="single" w:sz="4" w:space="0" w:color="000000"/>
              <w:right w:val="single" w:sz="4" w:space="0" w:color="000000"/>
            </w:tcBorders>
            <w:noWrap/>
            <w:vAlign w:val="center"/>
          </w:tcPr>
          <w:p w14:paraId="7264A7FE" w14:textId="77777777" w:rsidR="00054437" w:rsidRPr="000549B1" w:rsidRDefault="00000000">
            <w:pPr>
              <w:widowControl/>
              <w:jc w:val="center"/>
              <w:textAlignment w:val="center"/>
              <w:rPr>
                <w:szCs w:val="21"/>
              </w:rPr>
            </w:pPr>
            <w:r w:rsidRPr="000549B1">
              <w:rPr>
                <w:kern w:val="0"/>
                <w:szCs w:val="21"/>
                <w:lang w:bidi="ar"/>
              </w:rPr>
              <w:t>60.15</w:t>
            </w:r>
          </w:p>
        </w:tc>
        <w:tc>
          <w:tcPr>
            <w:tcW w:w="358" w:type="pct"/>
            <w:tcBorders>
              <w:top w:val="single" w:sz="4" w:space="0" w:color="000000"/>
              <w:left w:val="single" w:sz="4" w:space="0" w:color="000000"/>
              <w:bottom w:val="single" w:sz="4" w:space="0" w:color="000000"/>
              <w:right w:val="single" w:sz="4" w:space="0" w:color="000000"/>
            </w:tcBorders>
            <w:noWrap/>
            <w:vAlign w:val="center"/>
          </w:tcPr>
          <w:p w14:paraId="1A8DA79F" w14:textId="77777777" w:rsidR="00054437" w:rsidRPr="000549B1" w:rsidRDefault="00000000">
            <w:pPr>
              <w:widowControl/>
              <w:jc w:val="center"/>
              <w:textAlignment w:val="center"/>
              <w:rPr>
                <w:szCs w:val="21"/>
              </w:rPr>
            </w:pPr>
            <w:r w:rsidRPr="000549B1">
              <w:rPr>
                <w:kern w:val="0"/>
                <w:szCs w:val="21"/>
                <w:lang w:bidi="ar"/>
              </w:rPr>
              <w:t>9.21</w:t>
            </w:r>
          </w:p>
        </w:tc>
        <w:tc>
          <w:tcPr>
            <w:tcW w:w="348" w:type="pct"/>
            <w:tcBorders>
              <w:top w:val="single" w:sz="4" w:space="0" w:color="000000"/>
              <w:left w:val="single" w:sz="4" w:space="0" w:color="000000"/>
              <w:bottom w:val="single" w:sz="4" w:space="0" w:color="000000"/>
              <w:right w:val="single" w:sz="4" w:space="0" w:color="000000"/>
            </w:tcBorders>
            <w:noWrap/>
            <w:vAlign w:val="center"/>
          </w:tcPr>
          <w:p w14:paraId="47644B6A" w14:textId="77777777" w:rsidR="00054437" w:rsidRPr="000549B1" w:rsidRDefault="00000000">
            <w:pPr>
              <w:widowControl/>
              <w:jc w:val="center"/>
              <w:textAlignment w:val="center"/>
              <w:rPr>
                <w:szCs w:val="21"/>
              </w:rPr>
            </w:pPr>
            <w:r w:rsidRPr="000549B1">
              <w:rPr>
                <w:kern w:val="0"/>
                <w:szCs w:val="21"/>
                <w:lang w:bidi="ar"/>
              </w:rPr>
              <w:t>0.004</w:t>
            </w:r>
          </w:p>
        </w:tc>
        <w:tc>
          <w:tcPr>
            <w:tcW w:w="350" w:type="pct"/>
            <w:tcBorders>
              <w:top w:val="single" w:sz="4" w:space="0" w:color="000000"/>
              <w:left w:val="single" w:sz="4" w:space="0" w:color="000000"/>
              <w:bottom w:val="single" w:sz="4" w:space="0" w:color="000000"/>
              <w:right w:val="single" w:sz="4" w:space="0" w:color="000000"/>
            </w:tcBorders>
            <w:noWrap/>
            <w:vAlign w:val="center"/>
          </w:tcPr>
          <w:p w14:paraId="6DADF460" w14:textId="77777777" w:rsidR="00054437" w:rsidRPr="000549B1" w:rsidRDefault="00000000">
            <w:pPr>
              <w:widowControl/>
              <w:jc w:val="center"/>
              <w:textAlignment w:val="center"/>
              <w:rPr>
                <w:szCs w:val="21"/>
              </w:rPr>
            </w:pPr>
            <w:r w:rsidRPr="000549B1">
              <w:rPr>
                <w:kern w:val="0"/>
                <w:szCs w:val="21"/>
                <w:lang w:bidi="ar"/>
              </w:rPr>
              <w:t>0.002</w:t>
            </w:r>
          </w:p>
        </w:tc>
        <w:tc>
          <w:tcPr>
            <w:tcW w:w="256" w:type="pct"/>
            <w:tcBorders>
              <w:top w:val="single" w:sz="4" w:space="0" w:color="000000"/>
              <w:left w:val="single" w:sz="4" w:space="0" w:color="000000"/>
              <w:bottom w:val="single" w:sz="4" w:space="0" w:color="000000"/>
              <w:right w:val="single" w:sz="4" w:space="0" w:color="000000"/>
            </w:tcBorders>
            <w:noWrap/>
            <w:vAlign w:val="center"/>
          </w:tcPr>
          <w:p w14:paraId="45850308" w14:textId="77777777" w:rsidR="00054437" w:rsidRPr="000549B1" w:rsidRDefault="00000000">
            <w:pPr>
              <w:widowControl/>
              <w:jc w:val="center"/>
              <w:textAlignment w:val="center"/>
              <w:rPr>
                <w:szCs w:val="21"/>
              </w:rPr>
            </w:pPr>
            <w:r w:rsidRPr="000549B1">
              <w:rPr>
                <w:kern w:val="0"/>
                <w:szCs w:val="21"/>
                <w:lang w:bidi="ar"/>
              </w:rPr>
              <w:t>3.61</w:t>
            </w:r>
          </w:p>
        </w:tc>
        <w:tc>
          <w:tcPr>
            <w:tcW w:w="236" w:type="pct"/>
            <w:tcBorders>
              <w:top w:val="single" w:sz="4" w:space="0" w:color="000000"/>
              <w:left w:val="single" w:sz="4" w:space="0" w:color="000000"/>
              <w:bottom w:val="single" w:sz="4" w:space="0" w:color="000000"/>
              <w:right w:val="single" w:sz="4" w:space="0" w:color="000000"/>
            </w:tcBorders>
            <w:noWrap/>
            <w:vAlign w:val="center"/>
          </w:tcPr>
          <w:p w14:paraId="1AD22300" w14:textId="77777777" w:rsidR="00054437" w:rsidRPr="000549B1" w:rsidRDefault="00000000">
            <w:pPr>
              <w:widowControl/>
              <w:jc w:val="center"/>
              <w:textAlignment w:val="center"/>
              <w:rPr>
                <w:szCs w:val="21"/>
              </w:rPr>
            </w:pPr>
            <w:r w:rsidRPr="000549B1">
              <w:rPr>
                <w:kern w:val="0"/>
                <w:szCs w:val="21"/>
                <w:lang w:bidi="ar"/>
              </w:rPr>
              <w:t>0.90</w:t>
            </w:r>
          </w:p>
        </w:tc>
        <w:tc>
          <w:tcPr>
            <w:tcW w:w="369" w:type="pct"/>
            <w:tcBorders>
              <w:top w:val="single" w:sz="4" w:space="0" w:color="000000"/>
              <w:left w:val="single" w:sz="4" w:space="0" w:color="000000"/>
              <w:bottom w:val="single" w:sz="4" w:space="0" w:color="000000"/>
              <w:right w:val="single" w:sz="4" w:space="0" w:color="000000"/>
            </w:tcBorders>
            <w:noWrap/>
            <w:vAlign w:val="center"/>
          </w:tcPr>
          <w:p w14:paraId="0A95695B" w14:textId="77777777" w:rsidR="00054437" w:rsidRPr="000549B1" w:rsidRDefault="00000000">
            <w:pPr>
              <w:widowControl/>
              <w:jc w:val="center"/>
              <w:textAlignment w:val="center"/>
              <w:rPr>
                <w:szCs w:val="21"/>
              </w:rPr>
            </w:pPr>
            <w:r w:rsidRPr="000549B1">
              <w:rPr>
                <w:kern w:val="0"/>
                <w:szCs w:val="21"/>
                <w:lang w:bidi="ar"/>
              </w:rPr>
              <w:t>9.02</w:t>
            </w:r>
          </w:p>
        </w:tc>
        <w:tc>
          <w:tcPr>
            <w:tcW w:w="358" w:type="pct"/>
            <w:tcBorders>
              <w:top w:val="single" w:sz="4" w:space="0" w:color="000000"/>
              <w:left w:val="single" w:sz="4" w:space="0" w:color="000000"/>
              <w:bottom w:val="single" w:sz="4" w:space="0" w:color="000000"/>
              <w:right w:val="single" w:sz="4" w:space="0" w:color="000000"/>
            </w:tcBorders>
            <w:noWrap/>
            <w:vAlign w:val="center"/>
          </w:tcPr>
          <w:p w14:paraId="20F77DEF" w14:textId="77777777" w:rsidR="00054437" w:rsidRPr="000549B1" w:rsidRDefault="00000000">
            <w:pPr>
              <w:widowControl/>
              <w:jc w:val="center"/>
              <w:textAlignment w:val="center"/>
              <w:rPr>
                <w:szCs w:val="21"/>
              </w:rPr>
            </w:pPr>
            <w:r w:rsidRPr="000549B1">
              <w:rPr>
                <w:kern w:val="0"/>
                <w:szCs w:val="21"/>
                <w:lang w:bidi="ar"/>
              </w:rPr>
              <w:t>1.38</w:t>
            </w:r>
          </w:p>
        </w:tc>
        <w:tc>
          <w:tcPr>
            <w:tcW w:w="348" w:type="pct"/>
            <w:tcBorders>
              <w:top w:val="single" w:sz="4" w:space="0" w:color="000000"/>
              <w:left w:val="single" w:sz="4" w:space="0" w:color="000000"/>
              <w:bottom w:val="single" w:sz="4" w:space="0" w:color="000000"/>
              <w:right w:val="single" w:sz="4" w:space="0" w:color="000000"/>
            </w:tcBorders>
            <w:noWrap/>
            <w:vAlign w:val="center"/>
          </w:tcPr>
          <w:p w14:paraId="51A7044D" w14:textId="77777777" w:rsidR="00054437" w:rsidRPr="000549B1" w:rsidRDefault="00000000">
            <w:pPr>
              <w:widowControl/>
              <w:jc w:val="center"/>
              <w:textAlignment w:val="center"/>
              <w:rPr>
                <w:szCs w:val="21"/>
              </w:rPr>
            </w:pPr>
            <w:r w:rsidRPr="000549B1">
              <w:rPr>
                <w:kern w:val="0"/>
                <w:szCs w:val="21"/>
                <w:lang w:bidi="ar"/>
              </w:rPr>
              <w:t>0.002</w:t>
            </w:r>
          </w:p>
        </w:tc>
        <w:tc>
          <w:tcPr>
            <w:tcW w:w="350" w:type="pct"/>
            <w:tcBorders>
              <w:top w:val="single" w:sz="4" w:space="0" w:color="000000"/>
              <w:left w:val="single" w:sz="4" w:space="0" w:color="000000"/>
              <w:bottom w:val="single" w:sz="4" w:space="0" w:color="000000"/>
              <w:right w:val="single" w:sz="4" w:space="0" w:color="000000"/>
            </w:tcBorders>
            <w:noWrap/>
            <w:vAlign w:val="center"/>
          </w:tcPr>
          <w:p w14:paraId="0F5CECF2" w14:textId="77777777" w:rsidR="00054437" w:rsidRPr="000549B1" w:rsidRDefault="00000000">
            <w:pPr>
              <w:widowControl/>
              <w:jc w:val="center"/>
              <w:textAlignment w:val="center"/>
              <w:rPr>
                <w:szCs w:val="21"/>
              </w:rPr>
            </w:pPr>
            <w:r w:rsidRPr="000549B1">
              <w:rPr>
                <w:kern w:val="0"/>
                <w:szCs w:val="21"/>
                <w:lang w:bidi="ar"/>
              </w:rPr>
              <w:t>0.0004</w:t>
            </w:r>
          </w:p>
        </w:tc>
      </w:tr>
      <w:tr w:rsidR="000549B1" w:rsidRPr="000549B1" w14:paraId="733CC2A8" w14:textId="77777777">
        <w:trPr>
          <w:trHeight w:val="270"/>
        </w:trPr>
        <w:tc>
          <w:tcPr>
            <w:tcW w:w="312" w:type="pct"/>
            <w:vMerge w:val="restart"/>
            <w:tcBorders>
              <w:top w:val="single" w:sz="4" w:space="0" w:color="000000"/>
              <w:left w:val="single" w:sz="4" w:space="0" w:color="000000"/>
              <w:bottom w:val="single" w:sz="4" w:space="0" w:color="000000"/>
              <w:right w:val="single" w:sz="4" w:space="0" w:color="000000"/>
            </w:tcBorders>
            <w:noWrap/>
            <w:vAlign w:val="center"/>
          </w:tcPr>
          <w:p w14:paraId="7ECF345A" w14:textId="77777777" w:rsidR="00054437" w:rsidRPr="000549B1" w:rsidRDefault="00000000">
            <w:pPr>
              <w:widowControl/>
              <w:jc w:val="center"/>
              <w:textAlignment w:val="center"/>
              <w:rPr>
                <w:szCs w:val="21"/>
              </w:rPr>
            </w:pPr>
            <w:r w:rsidRPr="000549B1">
              <w:rPr>
                <w:kern w:val="0"/>
                <w:szCs w:val="21"/>
                <w:lang w:bidi="ar"/>
              </w:rPr>
              <w:t>合计</w:t>
            </w:r>
          </w:p>
        </w:tc>
        <w:tc>
          <w:tcPr>
            <w:tcW w:w="777" w:type="pct"/>
            <w:tcBorders>
              <w:top w:val="single" w:sz="4" w:space="0" w:color="000000"/>
              <w:left w:val="single" w:sz="4" w:space="0" w:color="000000"/>
              <w:bottom w:val="single" w:sz="4" w:space="0" w:color="000000"/>
              <w:right w:val="single" w:sz="4" w:space="0" w:color="000000"/>
            </w:tcBorders>
            <w:vAlign w:val="center"/>
          </w:tcPr>
          <w:p w14:paraId="6E184BEA" w14:textId="77777777" w:rsidR="00054437" w:rsidRPr="000549B1" w:rsidRDefault="00000000">
            <w:pPr>
              <w:widowControl/>
              <w:jc w:val="center"/>
              <w:textAlignment w:val="center"/>
              <w:rPr>
                <w:szCs w:val="21"/>
              </w:rPr>
            </w:pPr>
            <w:r w:rsidRPr="000549B1">
              <w:rPr>
                <w:kern w:val="0"/>
                <w:szCs w:val="21"/>
                <w:lang w:bidi="ar"/>
              </w:rPr>
              <w:t>合计</w:t>
            </w:r>
          </w:p>
        </w:tc>
        <w:tc>
          <w:tcPr>
            <w:tcW w:w="292" w:type="pct"/>
            <w:tcBorders>
              <w:top w:val="single" w:sz="4" w:space="0" w:color="000000"/>
              <w:left w:val="single" w:sz="4" w:space="0" w:color="000000"/>
              <w:bottom w:val="single" w:sz="4" w:space="0" w:color="000000"/>
              <w:right w:val="single" w:sz="4" w:space="0" w:color="000000"/>
            </w:tcBorders>
            <w:noWrap/>
            <w:vAlign w:val="center"/>
          </w:tcPr>
          <w:p w14:paraId="35254D84" w14:textId="77777777" w:rsidR="00054437" w:rsidRPr="000549B1" w:rsidRDefault="00000000">
            <w:pPr>
              <w:widowControl/>
              <w:jc w:val="center"/>
              <w:textAlignment w:val="center"/>
              <w:rPr>
                <w:szCs w:val="21"/>
              </w:rPr>
            </w:pPr>
            <w:r w:rsidRPr="000549B1">
              <w:rPr>
                <w:kern w:val="0"/>
                <w:szCs w:val="21"/>
                <w:lang w:bidi="ar"/>
              </w:rPr>
              <w:t>230.29</w:t>
            </w:r>
          </w:p>
        </w:tc>
        <w:tc>
          <w:tcPr>
            <w:tcW w:w="273" w:type="pct"/>
            <w:tcBorders>
              <w:top w:val="single" w:sz="4" w:space="0" w:color="000000"/>
              <w:left w:val="single" w:sz="4" w:space="0" w:color="000000"/>
              <w:bottom w:val="single" w:sz="4" w:space="0" w:color="000000"/>
              <w:right w:val="single" w:sz="4" w:space="0" w:color="000000"/>
            </w:tcBorders>
            <w:noWrap/>
            <w:vAlign w:val="center"/>
          </w:tcPr>
          <w:p w14:paraId="731B7E04" w14:textId="77777777" w:rsidR="00054437" w:rsidRPr="000549B1" w:rsidRDefault="00000000">
            <w:pPr>
              <w:widowControl/>
              <w:jc w:val="center"/>
              <w:textAlignment w:val="center"/>
              <w:rPr>
                <w:szCs w:val="21"/>
              </w:rPr>
            </w:pPr>
            <w:r w:rsidRPr="000549B1">
              <w:rPr>
                <w:kern w:val="0"/>
                <w:szCs w:val="21"/>
                <w:lang w:bidi="ar"/>
              </w:rPr>
              <w:t>57.57</w:t>
            </w:r>
          </w:p>
        </w:tc>
        <w:tc>
          <w:tcPr>
            <w:tcW w:w="369" w:type="pct"/>
            <w:tcBorders>
              <w:top w:val="single" w:sz="4" w:space="0" w:color="000000"/>
              <w:left w:val="single" w:sz="4" w:space="0" w:color="000000"/>
              <w:bottom w:val="single" w:sz="4" w:space="0" w:color="000000"/>
              <w:right w:val="single" w:sz="4" w:space="0" w:color="000000"/>
            </w:tcBorders>
            <w:noWrap/>
            <w:vAlign w:val="center"/>
          </w:tcPr>
          <w:p w14:paraId="00BE6115" w14:textId="77777777" w:rsidR="00054437" w:rsidRPr="000549B1" w:rsidRDefault="00000000">
            <w:pPr>
              <w:widowControl/>
              <w:jc w:val="center"/>
              <w:textAlignment w:val="center"/>
              <w:rPr>
                <w:szCs w:val="21"/>
              </w:rPr>
            </w:pPr>
            <w:r w:rsidRPr="000549B1">
              <w:rPr>
                <w:kern w:val="0"/>
                <w:szCs w:val="21"/>
                <w:lang w:bidi="ar"/>
              </w:rPr>
              <w:t>575.73</w:t>
            </w:r>
          </w:p>
        </w:tc>
        <w:tc>
          <w:tcPr>
            <w:tcW w:w="358" w:type="pct"/>
            <w:tcBorders>
              <w:top w:val="single" w:sz="4" w:space="0" w:color="000000"/>
              <w:left w:val="single" w:sz="4" w:space="0" w:color="000000"/>
              <w:bottom w:val="single" w:sz="4" w:space="0" w:color="000000"/>
              <w:right w:val="single" w:sz="4" w:space="0" w:color="000000"/>
            </w:tcBorders>
            <w:noWrap/>
            <w:vAlign w:val="center"/>
          </w:tcPr>
          <w:p w14:paraId="229F1F66" w14:textId="77777777" w:rsidR="00054437" w:rsidRPr="000549B1" w:rsidRDefault="00000000">
            <w:pPr>
              <w:widowControl/>
              <w:jc w:val="center"/>
              <w:textAlignment w:val="center"/>
              <w:rPr>
                <w:szCs w:val="21"/>
              </w:rPr>
            </w:pPr>
            <w:r w:rsidRPr="000549B1">
              <w:rPr>
                <w:kern w:val="0"/>
                <w:szCs w:val="21"/>
                <w:lang w:bidi="ar"/>
              </w:rPr>
              <w:t>136.15</w:t>
            </w:r>
          </w:p>
        </w:tc>
        <w:tc>
          <w:tcPr>
            <w:tcW w:w="348" w:type="pct"/>
            <w:tcBorders>
              <w:top w:val="single" w:sz="4" w:space="0" w:color="000000"/>
              <w:left w:val="single" w:sz="4" w:space="0" w:color="000000"/>
              <w:bottom w:val="single" w:sz="4" w:space="0" w:color="000000"/>
              <w:right w:val="single" w:sz="4" w:space="0" w:color="000000"/>
            </w:tcBorders>
            <w:noWrap/>
            <w:vAlign w:val="center"/>
          </w:tcPr>
          <w:p w14:paraId="4D844B72" w14:textId="77777777" w:rsidR="00054437" w:rsidRPr="000549B1" w:rsidRDefault="00000000">
            <w:pPr>
              <w:widowControl/>
              <w:jc w:val="center"/>
              <w:textAlignment w:val="center"/>
              <w:rPr>
                <w:szCs w:val="21"/>
              </w:rPr>
            </w:pPr>
            <w:r w:rsidRPr="000549B1">
              <w:rPr>
                <w:kern w:val="0"/>
                <w:szCs w:val="21"/>
                <w:lang w:bidi="ar"/>
              </w:rPr>
              <w:t>0.2</w:t>
            </w:r>
          </w:p>
        </w:tc>
        <w:tc>
          <w:tcPr>
            <w:tcW w:w="350" w:type="pct"/>
            <w:tcBorders>
              <w:top w:val="single" w:sz="4" w:space="0" w:color="000000"/>
              <w:left w:val="single" w:sz="4" w:space="0" w:color="000000"/>
              <w:bottom w:val="single" w:sz="4" w:space="0" w:color="000000"/>
              <w:right w:val="single" w:sz="4" w:space="0" w:color="000000"/>
            </w:tcBorders>
            <w:noWrap/>
            <w:vAlign w:val="center"/>
          </w:tcPr>
          <w:p w14:paraId="674F2D04" w14:textId="77777777" w:rsidR="00054437" w:rsidRPr="000549B1" w:rsidRDefault="00000000">
            <w:pPr>
              <w:widowControl/>
              <w:jc w:val="center"/>
              <w:textAlignment w:val="center"/>
              <w:rPr>
                <w:szCs w:val="21"/>
              </w:rPr>
            </w:pPr>
            <w:r w:rsidRPr="000549B1">
              <w:rPr>
                <w:kern w:val="0"/>
                <w:szCs w:val="21"/>
                <w:lang w:bidi="ar"/>
              </w:rPr>
              <w:t>0.04</w:t>
            </w:r>
          </w:p>
        </w:tc>
        <w:tc>
          <w:tcPr>
            <w:tcW w:w="256" w:type="pct"/>
            <w:tcBorders>
              <w:top w:val="single" w:sz="4" w:space="0" w:color="000000"/>
              <w:left w:val="single" w:sz="4" w:space="0" w:color="000000"/>
              <w:bottom w:val="single" w:sz="4" w:space="0" w:color="000000"/>
              <w:right w:val="single" w:sz="4" w:space="0" w:color="000000"/>
            </w:tcBorders>
            <w:noWrap/>
            <w:vAlign w:val="center"/>
          </w:tcPr>
          <w:p w14:paraId="637ED774" w14:textId="77777777" w:rsidR="00054437" w:rsidRPr="000549B1" w:rsidRDefault="00000000">
            <w:pPr>
              <w:widowControl/>
              <w:jc w:val="center"/>
              <w:textAlignment w:val="center"/>
              <w:rPr>
                <w:szCs w:val="21"/>
              </w:rPr>
            </w:pPr>
            <w:r w:rsidRPr="000549B1">
              <w:rPr>
                <w:kern w:val="0"/>
                <w:szCs w:val="21"/>
                <w:lang w:bidi="ar"/>
              </w:rPr>
              <w:t>34.54</w:t>
            </w:r>
          </w:p>
        </w:tc>
        <w:tc>
          <w:tcPr>
            <w:tcW w:w="236" w:type="pct"/>
            <w:tcBorders>
              <w:top w:val="single" w:sz="4" w:space="0" w:color="000000"/>
              <w:left w:val="single" w:sz="4" w:space="0" w:color="000000"/>
              <w:bottom w:val="single" w:sz="4" w:space="0" w:color="000000"/>
              <w:right w:val="single" w:sz="4" w:space="0" w:color="000000"/>
            </w:tcBorders>
            <w:noWrap/>
            <w:vAlign w:val="center"/>
          </w:tcPr>
          <w:p w14:paraId="141C77A7" w14:textId="77777777" w:rsidR="00054437" w:rsidRPr="000549B1" w:rsidRDefault="00000000">
            <w:pPr>
              <w:widowControl/>
              <w:jc w:val="center"/>
              <w:textAlignment w:val="center"/>
              <w:rPr>
                <w:szCs w:val="21"/>
              </w:rPr>
            </w:pPr>
            <w:r w:rsidRPr="000549B1">
              <w:rPr>
                <w:kern w:val="0"/>
                <w:szCs w:val="21"/>
                <w:lang w:bidi="ar"/>
              </w:rPr>
              <w:t>8.64</w:t>
            </w:r>
          </w:p>
        </w:tc>
        <w:tc>
          <w:tcPr>
            <w:tcW w:w="369" w:type="pct"/>
            <w:tcBorders>
              <w:top w:val="single" w:sz="4" w:space="0" w:color="000000"/>
              <w:left w:val="single" w:sz="4" w:space="0" w:color="000000"/>
              <w:bottom w:val="single" w:sz="4" w:space="0" w:color="000000"/>
              <w:right w:val="single" w:sz="4" w:space="0" w:color="000000"/>
            </w:tcBorders>
            <w:noWrap/>
            <w:vAlign w:val="center"/>
          </w:tcPr>
          <w:p w14:paraId="2326F479" w14:textId="77777777" w:rsidR="00054437" w:rsidRPr="000549B1" w:rsidRDefault="00000000">
            <w:pPr>
              <w:widowControl/>
              <w:jc w:val="center"/>
              <w:textAlignment w:val="center"/>
              <w:rPr>
                <w:szCs w:val="21"/>
              </w:rPr>
            </w:pPr>
            <w:r w:rsidRPr="000549B1">
              <w:rPr>
                <w:kern w:val="0"/>
                <w:szCs w:val="21"/>
                <w:lang w:bidi="ar"/>
              </w:rPr>
              <w:t>86.36</w:t>
            </w:r>
          </w:p>
        </w:tc>
        <w:tc>
          <w:tcPr>
            <w:tcW w:w="358" w:type="pct"/>
            <w:tcBorders>
              <w:top w:val="single" w:sz="4" w:space="0" w:color="000000"/>
              <w:left w:val="single" w:sz="4" w:space="0" w:color="000000"/>
              <w:bottom w:val="single" w:sz="4" w:space="0" w:color="000000"/>
              <w:right w:val="single" w:sz="4" w:space="0" w:color="000000"/>
            </w:tcBorders>
            <w:noWrap/>
            <w:vAlign w:val="center"/>
          </w:tcPr>
          <w:p w14:paraId="287D7F47" w14:textId="77777777" w:rsidR="00054437" w:rsidRPr="000549B1" w:rsidRDefault="00000000">
            <w:pPr>
              <w:widowControl/>
              <w:jc w:val="center"/>
              <w:textAlignment w:val="center"/>
              <w:rPr>
                <w:szCs w:val="21"/>
              </w:rPr>
            </w:pPr>
            <w:r w:rsidRPr="000549B1">
              <w:rPr>
                <w:kern w:val="0"/>
                <w:szCs w:val="21"/>
                <w:lang w:bidi="ar"/>
              </w:rPr>
              <w:t>20.42</w:t>
            </w:r>
          </w:p>
        </w:tc>
        <w:tc>
          <w:tcPr>
            <w:tcW w:w="348" w:type="pct"/>
            <w:tcBorders>
              <w:top w:val="single" w:sz="4" w:space="0" w:color="000000"/>
              <w:left w:val="single" w:sz="4" w:space="0" w:color="000000"/>
              <w:bottom w:val="single" w:sz="4" w:space="0" w:color="000000"/>
              <w:right w:val="single" w:sz="4" w:space="0" w:color="000000"/>
            </w:tcBorders>
            <w:noWrap/>
            <w:vAlign w:val="center"/>
          </w:tcPr>
          <w:p w14:paraId="71889EE8" w14:textId="77777777" w:rsidR="00054437" w:rsidRPr="000549B1" w:rsidRDefault="00000000">
            <w:pPr>
              <w:widowControl/>
              <w:jc w:val="center"/>
              <w:textAlignment w:val="center"/>
              <w:rPr>
                <w:szCs w:val="21"/>
              </w:rPr>
            </w:pPr>
            <w:r w:rsidRPr="000549B1">
              <w:rPr>
                <w:kern w:val="0"/>
                <w:szCs w:val="21"/>
                <w:lang w:bidi="ar"/>
              </w:rPr>
              <w:t>0.06</w:t>
            </w:r>
          </w:p>
        </w:tc>
        <w:tc>
          <w:tcPr>
            <w:tcW w:w="350" w:type="pct"/>
            <w:tcBorders>
              <w:top w:val="single" w:sz="4" w:space="0" w:color="000000"/>
              <w:left w:val="single" w:sz="4" w:space="0" w:color="000000"/>
              <w:bottom w:val="single" w:sz="4" w:space="0" w:color="000000"/>
              <w:right w:val="single" w:sz="4" w:space="0" w:color="000000"/>
            </w:tcBorders>
            <w:noWrap/>
            <w:vAlign w:val="center"/>
          </w:tcPr>
          <w:p w14:paraId="21451B80" w14:textId="77777777" w:rsidR="00054437" w:rsidRPr="000549B1" w:rsidRDefault="00000000">
            <w:pPr>
              <w:widowControl/>
              <w:jc w:val="center"/>
              <w:textAlignment w:val="center"/>
              <w:rPr>
                <w:szCs w:val="21"/>
              </w:rPr>
            </w:pPr>
            <w:r w:rsidRPr="000549B1">
              <w:rPr>
                <w:kern w:val="0"/>
                <w:szCs w:val="21"/>
                <w:lang w:bidi="ar"/>
              </w:rPr>
              <w:t>0.013</w:t>
            </w:r>
          </w:p>
        </w:tc>
      </w:tr>
      <w:tr w:rsidR="00054437" w:rsidRPr="000549B1" w14:paraId="25933518" w14:textId="77777777">
        <w:trPr>
          <w:trHeight w:val="480"/>
        </w:trPr>
        <w:tc>
          <w:tcPr>
            <w:tcW w:w="312" w:type="pct"/>
            <w:vMerge/>
            <w:tcBorders>
              <w:top w:val="single" w:sz="4" w:space="0" w:color="000000"/>
              <w:left w:val="single" w:sz="4" w:space="0" w:color="000000"/>
              <w:bottom w:val="single" w:sz="4" w:space="0" w:color="000000"/>
              <w:right w:val="single" w:sz="4" w:space="0" w:color="000000"/>
            </w:tcBorders>
            <w:noWrap/>
            <w:vAlign w:val="center"/>
          </w:tcPr>
          <w:p w14:paraId="7D0499F8" w14:textId="77777777" w:rsidR="00054437" w:rsidRPr="000549B1" w:rsidRDefault="00054437">
            <w:pPr>
              <w:jc w:val="center"/>
              <w:rPr>
                <w:szCs w:val="21"/>
              </w:rPr>
            </w:pPr>
          </w:p>
        </w:tc>
        <w:tc>
          <w:tcPr>
            <w:tcW w:w="777" w:type="pct"/>
            <w:tcBorders>
              <w:top w:val="single" w:sz="4" w:space="0" w:color="000000"/>
              <w:left w:val="single" w:sz="4" w:space="0" w:color="000000"/>
              <w:bottom w:val="single" w:sz="4" w:space="0" w:color="000000"/>
              <w:right w:val="single" w:sz="4" w:space="0" w:color="000000"/>
            </w:tcBorders>
            <w:vAlign w:val="center"/>
          </w:tcPr>
          <w:p w14:paraId="3493B183" w14:textId="77777777" w:rsidR="00054437" w:rsidRPr="000549B1" w:rsidRDefault="00000000">
            <w:pPr>
              <w:widowControl/>
              <w:jc w:val="center"/>
              <w:textAlignment w:val="center"/>
              <w:rPr>
                <w:szCs w:val="21"/>
              </w:rPr>
            </w:pPr>
            <w:r w:rsidRPr="000549B1">
              <w:rPr>
                <w:kern w:val="0"/>
                <w:szCs w:val="21"/>
                <w:lang w:bidi="ar"/>
              </w:rPr>
              <w:t>其中：沙珠玉河流域</w:t>
            </w:r>
          </w:p>
        </w:tc>
        <w:tc>
          <w:tcPr>
            <w:tcW w:w="292" w:type="pct"/>
            <w:tcBorders>
              <w:top w:val="single" w:sz="4" w:space="0" w:color="000000"/>
              <w:left w:val="single" w:sz="4" w:space="0" w:color="000000"/>
              <w:bottom w:val="single" w:sz="4" w:space="0" w:color="000000"/>
              <w:right w:val="single" w:sz="4" w:space="0" w:color="000000"/>
            </w:tcBorders>
            <w:noWrap/>
            <w:vAlign w:val="center"/>
          </w:tcPr>
          <w:p w14:paraId="210DB028" w14:textId="77777777" w:rsidR="00054437" w:rsidRPr="000549B1" w:rsidRDefault="00000000">
            <w:pPr>
              <w:widowControl/>
              <w:jc w:val="center"/>
              <w:textAlignment w:val="center"/>
              <w:rPr>
                <w:szCs w:val="21"/>
              </w:rPr>
            </w:pPr>
            <w:r w:rsidRPr="000549B1">
              <w:rPr>
                <w:kern w:val="0"/>
                <w:szCs w:val="21"/>
                <w:lang w:bidi="ar"/>
              </w:rPr>
              <w:t>66.38</w:t>
            </w:r>
          </w:p>
        </w:tc>
        <w:tc>
          <w:tcPr>
            <w:tcW w:w="273" w:type="pct"/>
            <w:tcBorders>
              <w:top w:val="single" w:sz="4" w:space="0" w:color="000000"/>
              <w:left w:val="single" w:sz="4" w:space="0" w:color="000000"/>
              <w:bottom w:val="single" w:sz="4" w:space="0" w:color="000000"/>
              <w:right w:val="single" w:sz="4" w:space="0" w:color="000000"/>
            </w:tcBorders>
            <w:noWrap/>
            <w:vAlign w:val="center"/>
          </w:tcPr>
          <w:p w14:paraId="252B9F89" w14:textId="77777777" w:rsidR="00054437" w:rsidRPr="000549B1" w:rsidRDefault="00000000">
            <w:pPr>
              <w:widowControl/>
              <w:jc w:val="center"/>
              <w:textAlignment w:val="center"/>
              <w:rPr>
                <w:szCs w:val="21"/>
              </w:rPr>
            </w:pPr>
            <w:r w:rsidRPr="000549B1">
              <w:rPr>
                <w:kern w:val="0"/>
                <w:szCs w:val="21"/>
                <w:lang w:bidi="ar"/>
              </w:rPr>
              <w:t>16.60</w:t>
            </w:r>
          </w:p>
        </w:tc>
        <w:tc>
          <w:tcPr>
            <w:tcW w:w="369" w:type="pct"/>
            <w:tcBorders>
              <w:top w:val="single" w:sz="4" w:space="0" w:color="000000"/>
              <w:left w:val="single" w:sz="4" w:space="0" w:color="000000"/>
              <w:bottom w:val="single" w:sz="4" w:space="0" w:color="000000"/>
              <w:right w:val="single" w:sz="4" w:space="0" w:color="000000"/>
            </w:tcBorders>
            <w:noWrap/>
            <w:vAlign w:val="center"/>
          </w:tcPr>
          <w:p w14:paraId="15941CAB" w14:textId="77777777" w:rsidR="00054437" w:rsidRPr="000549B1" w:rsidRDefault="00000000">
            <w:pPr>
              <w:widowControl/>
              <w:jc w:val="center"/>
              <w:textAlignment w:val="center"/>
              <w:rPr>
                <w:szCs w:val="21"/>
              </w:rPr>
            </w:pPr>
            <w:r w:rsidRPr="000549B1">
              <w:rPr>
                <w:kern w:val="0"/>
                <w:szCs w:val="21"/>
                <w:lang w:bidi="ar"/>
              </w:rPr>
              <w:t>165.96</w:t>
            </w:r>
          </w:p>
        </w:tc>
        <w:tc>
          <w:tcPr>
            <w:tcW w:w="358" w:type="pct"/>
            <w:tcBorders>
              <w:top w:val="single" w:sz="4" w:space="0" w:color="000000"/>
              <w:left w:val="single" w:sz="4" w:space="0" w:color="000000"/>
              <w:bottom w:val="single" w:sz="4" w:space="0" w:color="000000"/>
              <w:right w:val="single" w:sz="4" w:space="0" w:color="000000"/>
            </w:tcBorders>
            <w:noWrap/>
            <w:vAlign w:val="center"/>
          </w:tcPr>
          <w:p w14:paraId="6E1C940D" w14:textId="77777777" w:rsidR="00054437" w:rsidRPr="000549B1" w:rsidRDefault="00000000">
            <w:pPr>
              <w:widowControl/>
              <w:jc w:val="center"/>
              <w:textAlignment w:val="center"/>
              <w:rPr>
                <w:szCs w:val="21"/>
              </w:rPr>
            </w:pPr>
            <w:r w:rsidRPr="000549B1">
              <w:rPr>
                <w:kern w:val="0"/>
                <w:szCs w:val="21"/>
                <w:lang w:bidi="ar"/>
              </w:rPr>
              <w:t>42.21</w:t>
            </w:r>
          </w:p>
        </w:tc>
        <w:tc>
          <w:tcPr>
            <w:tcW w:w="348" w:type="pct"/>
            <w:tcBorders>
              <w:top w:val="single" w:sz="4" w:space="0" w:color="000000"/>
              <w:left w:val="single" w:sz="4" w:space="0" w:color="000000"/>
              <w:bottom w:val="single" w:sz="4" w:space="0" w:color="000000"/>
              <w:right w:val="single" w:sz="4" w:space="0" w:color="000000"/>
            </w:tcBorders>
            <w:noWrap/>
            <w:vAlign w:val="center"/>
          </w:tcPr>
          <w:p w14:paraId="59689EF2" w14:textId="77777777" w:rsidR="00054437" w:rsidRPr="000549B1" w:rsidRDefault="00000000">
            <w:pPr>
              <w:widowControl/>
              <w:jc w:val="center"/>
              <w:textAlignment w:val="center"/>
              <w:rPr>
                <w:szCs w:val="21"/>
              </w:rPr>
            </w:pPr>
            <w:r w:rsidRPr="000549B1">
              <w:rPr>
                <w:kern w:val="0"/>
                <w:szCs w:val="21"/>
                <w:lang w:bidi="ar"/>
              </w:rPr>
              <w:t>0.06</w:t>
            </w:r>
          </w:p>
        </w:tc>
        <w:tc>
          <w:tcPr>
            <w:tcW w:w="350" w:type="pct"/>
            <w:tcBorders>
              <w:top w:val="single" w:sz="4" w:space="0" w:color="000000"/>
              <w:left w:val="single" w:sz="4" w:space="0" w:color="000000"/>
              <w:bottom w:val="single" w:sz="4" w:space="0" w:color="000000"/>
              <w:right w:val="single" w:sz="4" w:space="0" w:color="000000"/>
            </w:tcBorders>
            <w:noWrap/>
            <w:vAlign w:val="center"/>
          </w:tcPr>
          <w:p w14:paraId="1DA69D3B" w14:textId="77777777" w:rsidR="00054437" w:rsidRPr="000549B1" w:rsidRDefault="00000000">
            <w:pPr>
              <w:widowControl/>
              <w:jc w:val="center"/>
              <w:textAlignment w:val="center"/>
              <w:rPr>
                <w:szCs w:val="21"/>
              </w:rPr>
            </w:pPr>
            <w:r w:rsidRPr="000549B1">
              <w:rPr>
                <w:kern w:val="0"/>
                <w:szCs w:val="21"/>
                <w:lang w:bidi="ar"/>
              </w:rPr>
              <w:t>0.02</w:t>
            </w:r>
          </w:p>
        </w:tc>
        <w:tc>
          <w:tcPr>
            <w:tcW w:w="256" w:type="pct"/>
            <w:tcBorders>
              <w:top w:val="single" w:sz="4" w:space="0" w:color="000000"/>
              <w:left w:val="single" w:sz="4" w:space="0" w:color="000000"/>
              <w:bottom w:val="single" w:sz="4" w:space="0" w:color="000000"/>
              <w:right w:val="single" w:sz="4" w:space="0" w:color="000000"/>
            </w:tcBorders>
            <w:noWrap/>
            <w:vAlign w:val="center"/>
          </w:tcPr>
          <w:p w14:paraId="1BEAA8D1" w14:textId="77777777" w:rsidR="00054437" w:rsidRPr="000549B1" w:rsidRDefault="00000000">
            <w:pPr>
              <w:widowControl/>
              <w:jc w:val="center"/>
              <w:textAlignment w:val="center"/>
              <w:rPr>
                <w:szCs w:val="21"/>
              </w:rPr>
            </w:pPr>
            <w:r w:rsidRPr="000549B1">
              <w:rPr>
                <w:kern w:val="0"/>
                <w:szCs w:val="21"/>
                <w:lang w:bidi="ar"/>
              </w:rPr>
              <w:t>9.96</w:t>
            </w:r>
          </w:p>
        </w:tc>
        <w:tc>
          <w:tcPr>
            <w:tcW w:w="236" w:type="pct"/>
            <w:tcBorders>
              <w:top w:val="single" w:sz="4" w:space="0" w:color="000000"/>
              <w:left w:val="single" w:sz="4" w:space="0" w:color="000000"/>
              <w:bottom w:val="single" w:sz="4" w:space="0" w:color="000000"/>
              <w:right w:val="single" w:sz="4" w:space="0" w:color="000000"/>
            </w:tcBorders>
            <w:noWrap/>
            <w:vAlign w:val="center"/>
          </w:tcPr>
          <w:p w14:paraId="145B1F3D" w14:textId="77777777" w:rsidR="00054437" w:rsidRPr="000549B1" w:rsidRDefault="00000000">
            <w:pPr>
              <w:widowControl/>
              <w:jc w:val="center"/>
              <w:textAlignment w:val="center"/>
              <w:rPr>
                <w:szCs w:val="21"/>
              </w:rPr>
            </w:pPr>
            <w:r w:rsidRPr="000549B1">
              <w:rPr>
                <w:kern w:val="0"/>
                <w:szCs w:val="21"/>
                <w:lang w:bidi="ar"/>
              </w:rPr>
              <w:t>2.49</w:t>
            </w:r>
          </w:p>
        </w:tc>
        <w:tc>
          <w:tcPr>
            <w:tcW w:w="369" w:type="pct"/>
            <w:tcBorders>
              <w:top w:val="single" w:sz="4" w:space="0" w:color="000000"/>
              <w:left w:val="single" w:sz="4" w:space="0" w:color="000000"/>
              <w:bottom w:val="single" w:sz="4" w:space="0" w:color="000000"/>
              <w:right w:val="single" w:sz="4" w:space="0" w:color="000000"/>
            </w:tcBorders>
            <w:noWrap/>
            <w:vAlign w:val="center"/>
          </w:tcPr>
          <w:p w14:paraId="06CA1B50" w14:textId="77777777" w:rsidR="00054437" w:rsidRPr="000549B1" w:rsidRDefault="00000000">
            <w:pPr>
              <w:widowControl/>
              <w:jc w:val="center"/>
              <w:textAlignment w:val="center"/>
              <w:rPr>
                <w:szCs w:val="21"/>
              </w:rPr>
            </w:pPr>
            <w:r w:rsidRPr="000549B1">
              <w:rPr>
                <w:kern w:val="0"/>
                <w:szCs w:val="21"/>
                <w:lang w:bidi="ar"/>
              </w:rPr>
              <w:t>24.89</w:t>
            </w:r>
          </w:p>
        </w:tc>
        <w:tc>
          <w:tcPr>
            <w:tcW w:w="358" w:type="pct"/>
            <w:tcBorders>
              <w:top w:val="single" w:sz="4" w:space="0" w:color="000000"/>
              <w:left w:val="single" w:sz="4" w:space="0" w:color="000000"/>
              <w:bottom w:val="single" w:sz="4" w:space="0" w:color="000000"/>
              <w:right w:val="single" w:sz="4" w:space="0" w:color="000000"/>
            </w:tcBorders>
            <w:noWrap/>
            <w:vAlign w:val="center"/>
          </w:tcPr>
          <w:p w14:paraId="12868FBA" w14:textId="77777777" w:rsidR="00054437" w:rsidRPr="000549B1" w:rsidRDefault="00000000">
            <w:pPr>
              <w:widowControl/>
              <w:jc w:val="center"/>
              <w:textAlignment w:val="center"/>
              <w:rPr>
                <w:szCs w:val="21"/>
              </w:rPr>
            </w:pPr>
            <w:r w:rsidRPr="000549B1">
              <w:rPr>
                <w:kern w:val="0"/>
                <w:szCs w:val="21"/>
                <w:lang w:bidi="ar"/>
              </w:rPr>
              <w:t>6.33</w:t>
            </w:r>
          </w:p>
        </w:tc>
        <w:tc>
          <w:tcPr>
            <w:tcW w:w="348" w:type="pct"/>
            <w:tcBorders>
              <w:top w:val="single" w:sz="4" w:space="0" w:color="000000"/>
              <w:left w:val="single" w:sz="4" w:space="0" w:color="000000"/>
              <w:bottom w:val="single" w:sz="4" w:space="0" w:color="000000"/>
              <w:right w:val="single" w:sz="4" w:space="0" w:color="000000"/>
            </w:tcBorders>
            <w:noWrap/>
            <w:vAlign w:val="center"/>
          </w:tcPr>
          <w:p w14:paraId="4F4486DF" w14:textId="77777777" w:rsidR="00054437" w:rsidRPr="000549B1" w:rsidRDefault="00000000">
            <w:pPr>
              <w:widowControl/>
              <w:jc w:val="center"/>
              <w:textAlignment w:val="center"/>
              <w:rPr>
                <w:szCs w:val="21"/>
              </w:rPr>
            </w:pPr>
            <w:r w:rsidRPr="000549B1">
              <w:rPr>
                <w:kern w:val="0"/>
                <w:szCs w:val="21"/>
                <w:lang w:bidi="ar"/>
              </w:rPr>
              <w:t>0.02</w:t>
            </w:r>
          </w:p>
        </w:tc>
        <w:tc>
          <w:tcPr>
            <w:tcW w:w="350" w:type="pct"/>
            <w:tcBorders>
              <w:top w:val="single" w:sz="4" w:space="0" w:color="000000"/>
              <w:left w:val="single" w:sz="4" w:space="0" w:color="000000"/>
              <w:bottom w:val="single" w:sz="4" w:space="0" w:color="000000"/>
              <w:right w:val="single" w:sz="4" w:space="0" w:color="000000"/>
            </w:tcBorders>
            <w:noWrap/>
            <w:vAlign w:val="center"/>
          </w:tcPr>
          <w:p w14:paraId="12F6EA9D" w14:textId="77777777" w:rsidR="00054437" w:rsidRPr="000549B1" w:rsidRDefault="00000000">
            <w:pPr>
              <w:widowControl/>
              <w:jc w:val="center"/>
              <w:textAlignment w:val="center"/>
              <w:rPr>
                <w:szCs w:val="21"/>
              </w:rPr>
            </w:pPr>
            <w:r w:rsidRPr="000549B1">
              <w:rPr>
                <w:kern w:val="0"/>
                <w:szCs w:val="21"/>
                <w:lang w:bidi="ar"/>
              </w:rPr>
              <w:t>0.005</w:t>
            </w:r>
          </w:p>
        </w:tc>
      </w:tr>
    </w:tbl>
    <w:p w14:paraId="1B68AC11" w14:textId="77777777" w:rsidR="00054437" w:rsidRPr="000549B1" w:rsidRDefault="00054437">
      <w:pPr>
        <w:numPr>
          <w:ilvl w:val="255"/>
          <w:numId w:val="0"/>
        </w:numPr>
        <w:snapToGrid w:val="0"/>
        <w:spacing w:line="360" w:lineRule="auto"/>
        <w:rPr>
          <w:bCs/>
          <w:sz w:val="24"/>
          <w:szCs w:val="24"/>
        </w:rPr>
        <w:sectPr w:rsidR="00054437" w:rsidRPr="000549B1">
          <w:pgSz w:w="16838" w:h="11906" w:orient="landscape"/>
          <w:pgMar w:top="1800" w:right="1440" w:bottom="1800" w:left="1440" w:header="851" w:footer="992" w:gutter="0"/>
          <w:cols w:space="425"/>
          <w:docGrid w:type="lines" w:linePitch="312"/>
        </w:sectPr>
      </w:pPr>
    </w:p>
    <w:p w14:paraId="199DD38E" w14:textId="7BFE8094" w:rsidR="00054437" w:rsidRPr="000549B1" w:rsidRDefault="00407DFF" w:rsidP="00407DFF">
      <w:pPr>
        <w:pStyle w:val="a2"/>
        <w:rPr>
          <w:rFonts w:eastAsiaTheme="minorEastAsia"/>
          <w:bCs/>
          <w:sz w:val="24"/>
          <w:szCs w:val="24"/>
        </w:rPr>
      </w:pPr>
      <w:r>
        <w:rPr>
          <w:rFonts w:eastAsiaTheme="minorEastAsia" w:hint="eastAsia"/>
          <w:bCs/>
          <w:sz w:val="24"/>
          <w:szCs w:val="24"/>
        </w:rPr>
        <w:t>（</w:t>
      </w:r>
      <w:r>
        <w:rPr>
          <w:rFonts w:eastAsiaTheme="minorEastAsia" w:hint="eastAsia"/>
          <w:bCs/>
          <w:sz w:val="24"/>
          <w:szCs w:val="24"/>
        </w:rPr>
        <w:t>3</w:t>
      </w:r>
      <w:r>
        <w:rPr>
          <w:rFonts w:eastAsiaTheme="minorEastAsia" w:hint="eastAsia"/>
          <w:bCs/>
          <w:sz w:val="24"/>
          <w:szCs w:val="24"/>
        </w:rPr>
        <w:t>）</w:t>
      </w:r>
      <w:r w:rsidRPr="000549B1">
        <w:rPr>
          <w:rFonts w:eastAsiaTheme="minorEastAsia"/>
          <w:bCs/>
          <w:sz w:val="24"/>
          <w:szCs w:val="24"/>
        </w:rPr>
        <w:t>畜禽养殖面源污染</w:t>
      </w:r>
    </w:p>
    <w:p w14:paraId="56C9BE15" w14:textId="77777777" w:rsidR="00054437" w:rsidRPr="000549B1" w:rsidRDefault="00000000">
      <w:pPr>
        <w:pStyle w:val="a2"/>
        <w:spacing w:line="360" w:lineRule="auto"/>
        <w:ind w:firstLine="600"/>
        <w:rPr>
          <w:rFonts w:eastAsiaTheme="minorEastAsia"/>
          <w:bCs/>
          <w:sz w:val="24"/>
          <w:szCs w:val="24"/>
        </w:rPr>
      </w:pPr>
      <w:r w:rsidRPr="000549B1">
        <w:rPr>
          <w:rFonts w:eastAsiaTheme="minorEastAsia"/>
          <w:bCs/>
          <w:sz w:val="24"/>
          <w:szCs w:val="24"/>
        </w:rPr>
        <w:t>畜禽养殖业的污染主要是由于对产生的固体废弃物和废水未进行合理的处置造成的，主要污染物是有机物、氮、磷和病原微生物，其主要影响是对地表水体的耗氧和水体的富营养化，以及硝酸盐带来的地下水的污染。此外，畜禽粪便发酵后会产生大量有害气体。根据国家环保总局颁布的畜禽养殖业污染物排放标准，规模化养殖场在国家的环境管理体系中将被纳入点源污染控制范围，但分散的畜禽养殖业由于不论是在分布范围还是污染排放特征上仍是以农村面源污染的形式出现，是农村面源污染构成中的一个重要方面。</w:t>
      </w:r>
    </w:p>
    <w:p w14:paraId="148E211F" w14:textId="77777777" w:rsidR="00054437" w:rsidRPr="000549B1" w:rsidRDefault="00000000">
      <w:pPr>
        <w:pStyle w:val="a2"/>
        <w:spacing w:line="360" w:lineRule="auto"/>
        <w:ind w:firstLine="600"/>
        <w:rPr>
          <w:rFonts w:eastAsiaTheme="minorEastAsia"/>
          <w:bCs/>
          <w:sz w:val="24"/>
          <w:szCs w:val="24"/>
        </w:rPr>
      </w:pPr>
      <w:r w:rsidRPr="000549B1">
        <w:rPr>
          <w:rFonts w:eastAsiaTheme="minorEastAsia"/>
          <w:bCs/>
          <w:sz w:val="24"/>
          <w:szCs w:val="24"/>
        </w:rPr>
        <w:t>畜禽养殖面源污染调查估算首先统计</w:t>
      </w:r>
      <w:r w:rsidRPr="000549B1">
        <w:rPr>
          <w:rFonts w:eastAsiaTheme="minorEastAsia"/>
          <w:bCs/>
          <w:sz w:val="24"/>
          <w:szCs w:val="24"/>
        </w:rPr>
        <w:t>2020</w:t>
      </w:r>
      <w:r w:rsidRPr="000549B1">
        <w:rPr>
          <w:rFonts w:eastAsiaTheme="minorEastAsia"/>
          <w:bCs/>
          <w:sz w:val="24"/>
          <w:szCs w:val="24"/>
        </w:rPr>
        <w:t>年共和县、兴海县各类畜禽养殖总数量，根据畜禽养殖数量及其污染物排泄系数和畜禽粪便处理利用情况估算分散式畜禽养殖污染物排泄量及其污染物含量。在排泄量的基础上，根据当地河流水系分布情况、地面坡度以及年均降水量和蒸发量等情况确定入河系数，估算分散式畜禽养殖污染物入河量。</w:t>
      </w:r>
    </w:p>
    <w:p w14:paraId="2B994E8C" w14:textId="6C835B12" w:rsidR="00054437" w:rsidRPr="000549B1" w:rsidRDefault="00000000">
      <w:pPr>
        <w:pStyle w:val="a2"/>
        <w:spacing w:line="360" w:lineRule="auto"/>
        <w:ind w:firstLine="600"/>
        <w:rPr>
          <w:rFonts w:eastAsiaTheme="minorEastAsia"/>
          <w:bCs/>
          <w:sz w:val="24"/>
          <w:szCs w:val="24"/>
        </w:rPr>
      </w:pPr>
      <w:r w:rsidRPr="000549B1">
        <w:rPr>
          <w:rFonts w:eastAsiaTheme="minorEastAsia"/>
          <w:bCs/>
          <w:sz w:val="24"/>
          <w:szCs w:val="24"/>
        </w:rPr>
        <w:t>依据《城市可持续发展与水污染防治对策》，确定畜禽粪便排放系数，见</w:t>
      </w:r>
      <w:r w:rsidR="00372953" w:rsidRPr="00372953">
        <w:rPr>
          <w:rFonts w:eastAsiaTheme="minorEastAsia"/>
          <w:bCs/>
          <w:sz w:val="24"/>
          <w:szCs w:val="24"/>
        </w:rPr>
        <w:t>表</w:t>
      </w:r>
      <w:r w:rsidR="00372953" w:rsidRPr="00372953">
        <w:rPr>
          <w:rFonts w:eastAsiaTheme="minorEastAsia"/>
          <w:bCs/>
          <w:sz w:val="24"/>
          <w:szCs w:val="24"/>
        </w:rPr>
        <w:t>3.3</w:t>
      </w:r>
      <w:r w:rsidR="00372953" w:rsidRPr="00372953">
        <w:rPr>
          <w:rFonts w:eastAsiaTheme="minorEastAsia"/>
          <w:bCs/>
          <w:sz w:val="24"/>
          <w:szCs w:val="24"/>
        </w:rPr>
        <w:noBreakHyphen/>
        <w:t>13</w:t>
      </w:r>
      <w:r w:rsidRPr="000549B1">
        <w:rPr>
          <w:rFonts w:eastAsiaTheme="minorEastAsia"/>
          <w:bCs/>
          <w:sz w:val="24"/>
          <w:szCs w:val="24"/>
        </w:rPr>
        <w:t>。</w:t>
      </w:r>
    </w:p>
    <w:p w14:paraId="336711C0" w14:textId="640E9DF7" w:rsidR="00054437" w:rsidRPr="000549B1" w:rsidRDefault="00000000">
      <w:pPr>
        <w:pStyle w:val="aff8"/>
        <w:rPr>
          <w:color w:val="auto"/>
        </w:rPr>
      </w:pPr>
      <w:bookmarkStart w:id="225" w:name="_Ref214978577"/>
      <w:r w:rsidRPr="000549B1">
        <w:rPr>
          <w:color w:val="auto"/>
        </w:rPr>
        <w:t>表</w:t>
      </w:r>
      <w:r w:rsidR="00372953">
        <w:rPr>
          <w:color w:val="auto"/>
        </w:rPr>
        <w:fldChar w:fldCharType="begin"/>
      </w:r>
      <w:r w:rsidR="00372953">
        <w:rPr>
          <w:color w:val="auto"/>
        </w:rPr>
        <w:instrText xml:space="preserve"> STYLEREF 2 \s </w:instrText>
      </w:r>
      <w:r w:rsidR="00372953">
        <w:rPr>
          <w:color w:val="auto"/>
        </w:rPr>
        <w:fldChar w:fldCharType="separate"/>
      </w:r>
      <w:r w:rsidR="00372953">
        <w:rPr>
          <w:noProof/>
          <w:color w:val="auto"/>
        </w:rPr>
        <w:t>3.3</w:t>
      </w:r>
      <w:r w:rsidR="00372953">
        <w:rPr>
          <w:color w:val="auto"/>
        </w:rPr>
        <w:fldChar w:fldCharType="end"/>
      </w:r>
      <w:r w:rsidR="00372953">
        <w:rPr>
          <w:color w:val="auto"/>
        </w:rPr>
        <w:noBreakHyphen/>
      </w:r>
      <w:r w:rsidR="00372953">
        <w:rPr>
          <w:color w:val="auto"/>
        </w:rPr>
        <w:fldChar w:fldCharType="begin"/>
      </w:r>
      <w:r w:rsidR="00372953">
        <w:rPr>
          <w:color w:val="auto"/>
        </w:rPr>
        <w:instrText xml:space="preserve"> SEQ </w:instrText>
      </w:r>
      <w:r w:rsidR="00372953">
        <w:rPr>
          <w:color w:val="auto"/>
        </w:rPr>
        <w:instrText>表</w:instrText>
      </w:r>
      <w:r w:rsidR="00372953">
        <w:rPr>
          <w:color w:val="auto"/>
        </w:rPr>
        <w:instrText xml:space="preserve"> \* ARABIC \s 2 </w:instrText>
      </w:r>
      <w:r w:rsidR="00372953">
        <w:rPr>
          <w:color w:val="auto"/>
        </w:rPr>
        <w:fldChar w:fldCharType="separate"/>
      </w:r>
      <w:r w:rsidR="00372953">
        <w:rPr>
          <w:noProof/>
          <w:color w:val="auto"/>
        </w:rPr>
        <w:t>13</w:t>
      </w:r>
      <w:r w:rsidR="00372953">
        <w:rPr>
          <w:color w:val="auto"/>
        </w:rPr>
        <w:fldChar w:fldCharType="end"/>
      </w:r>
      <w:bookmarkEnd w:id="225"/>
      <w:r w:rsidRPr="000549B1">
        <w:rPr>
          <w:color w:val="auto"/>
        </w:rPr>
        <w:t>青海省分散式畜禽养殖面源粪便排放系数取值</w:t>
      </w:r>
    </w:p>
    <w:tbl>
      <w:tblPr>
        <w:tblW w:w="4998" w:type="pct"/>
        <w:jc w:val="center"/>
        <w:tblBorders>
          <w:top w:val="single" w:sz="4" w:space="0" w:color="auto"/>
          <w:left w:val="none" w:sz="6" w:space="0" w:color="auto"/>
          <w:bottom w:val="single" w:sz="4" w:space="0" w:color="auto"/>
          <w:right w:val="none" w:sz="6" w:space="0" w:color="auto"/>
          <w:insideH w:val="single" w:sz="4" w:space="0" w:color="auto"/>
          <w:insideV w:val="single" w:sz="4" w:space="0" w:color="auto"/>
        </w:tblBorders>
        <w:tblLook w:val="04A0" w:firstRow="1" w:lastRow="0" w:firstColumn="1" w:lastColumn="0" w:noHBand="0" w:noVBand="1"/>
      </w:tblPr>
      <w:tblGrid>
        <w:gridCol w:w="2170"/>
        <w:gridCol w:w="2170"/>
        <w:gridCol w:w="2172"/>
        <w:gridCol w:w="1781"/>
      </w:tblGrid>
      <w:tr w:rsidR="000549B1" w:rsidRPr="000549B1" w14:paraId="02DEE8E1" w14:textId="77777777">
        <w:trPr>
          <w:trHeight w:val="397"/>
          <w:jc w:val="center"/>
        </w:trPr>
        <w:tc>
          <w:tcPr>
            <w:tcW w:w="1308" w:type="pct"/>
            <w:tcBorders>
              <w:top w:val="single" w:sz="4" w:space="0" w:color="auto"/>
              <w:left w:val="single" w:sz="4" w:space="0" w:color="auto"/>
              <w:bottom w:val="single" w:sz="4" w:space="0" w:color="auto"/>
              <w:right w:val="single" w:sz="4" w:space="0" w:color="auto"/>
            </w:tcBorders>
            <w:vAlign w:val="center"/>
          </w:tcPr>
          <w:p w14:paraId="1420B1C5" w14:textId="77777777" w:rsidR="00054437" w:rsidRPr="000549B1" w:rsidRDefault="00000000">
            <w:pPr>
              <w:widowControl/>
              <w:jc w:val="center"/>
              <w:textAlignment w:val="center"/>
              <w:rPr>
                <w:rFonts w:eastAsiaTheme="minorEastAsia"/>
                <w:bCs/>
                <w:kern w:val="0"/>
                <w:szCs w:val="21"/>
              </w:rPr>
            </w:pPr>
            <w:r w:rsidRPr="000549B1">
              <w:rPr>
                <w:rFonts w:eastAsiaTheme="minorEastAsia"/>
                <w:bCs/>
                <w:kern w:val="0"/>
                <w:szCs w:val="21"/>
              </w:rPr>
              <w:t>畜禽种类</w:t>
            </w:r>
          </w:p>
        </w:tc>
        <w:tc>
          <w:tcPr>
            <w:tcW w:w="1308" w:type="pct"/>
            <w:tcBorders>
              <w:top w:val="single" w:sz="4" w:space="0" w:color="auto"/>
              <w:left w:val="single" w:sz="4" w:space="0" w:color="auto"/>
              <w:bottom w:val="single" w:sz="4" w:space="0" w:color="auto"/>
              <w:right w:val="single" w:sz="4" w:space="0" w:color="auto"/>
            </w:tcBorders>
            <w:vAlign w:val="center"/>
          </w:tcPr>
          <w:p w14:paraId="45507CD3" w14:textId="77777777" w:rsidR="00054437" w:rsidRPr="000549B1" w:rsidRDefault="00000000">
            <w:pPr>
              <w:widowControl/>
              <w:jc w:val="center"/>
              <w:textAlignment w:val="center"/>
              <w:rPr>
                <w:rFonts w:eastAsiaTheme="minorEastAsia"/>
                <w:bCs/>
                <w:kern w:val="0"/>
                <w:szCs w:val="21"/>
              </w:rPr>
            </w:pPr>
            <w:r w:rsidRPr="000549B1">
              <w:rPr>
                <w:rFonts w:eastAsiaTheme="minorEastAsia"/>
                <w:bCs/>
                <w:kern w:val="0"/>
                <w:szCs w:val="21"/>
              </w:rPr>
              <w:t>大牲畜</w:t>
            </w:r>
          </w:p>
        </w:tc>
        <w:tc>
          <w:tcPr>
            <w:tcW w:w="1309" w:type="pct"/>
            <w:tcBorders>
              <w:top w:val="single" w:sz="4" w:space="0" w:color="auto"/>
              <w:left w:val="single" w:sz="4" w:space="0" w:color="auto"/>
              <w:bottom w:val="single" w:sz="4" w:space="0" w:color="auto"/>
              <w:right w:val="single" w:sz="4" w:space="0" w:color="auto"/>
            </w:tcBorders>
            <w:vAlign w:val="center"/>
          </w:tcPr>
          <w:p w14:paraId="3BD19593" w14:textId="77777777" w:rsidR="00054437" w:rsidRPr="000549B1" w:rsidRDefault="00000000">
            <w:pPr>
              <w:widowControl/>
              <w:jc w:val="center"/>
              <w:textAlignment w:val="center"/>
              <w:rPr>
                <w:rFonts w:eastAsiaTheme="minorEastAsia"/>
                <w:bCs/>
                <w:kern w:val="0"/>
                <w:szCs w:val="21"/>
              </w:rPr>
            </w:pPr>
            <w:r w:rsidRPr="000549B1">
              <w:rPr>
                <w:rFonts w:eastAsiaTheme="minorEastAsia"/>
                <w:bCs/>
                <w:kern w:val="0"/>
                <w:szCs w:val="21"/>
              </w:rPr>
              <w:t>小牲畜</w:t>
            </w:r>
          </w:p>
        </w:tc>
        <w:tc>
          <w:tcPr>
            <w:tcW w:w="1072" w:type="pct"/>
            <w:tcBorders>
              <w:top w:val="single" w:sz="4" w:space="0" w:color="auto"/>
              <w:left w:val="single" w:sz="4" w:space="0" w:color="auto"/>
              <w:bottom w:val="single" w:sz="4" w:space="0" w:color="auto"/>
              <w:right w:val="single" w:sz="4" w:space="0" w:color="auto"/>
            </w:tcBorders>
            <w:vAlign w:val="center"/>
          </w:tcPr>
          <w:p w14:paraId="726409F5" w14:textId="77777777" w:rsidR="00054437" w:rsidRPr="000549B1" w:rsidRDefault="00000000">
            <w:pPr>
              <w:widowControl/>
              <w:jc w:val="center"/>
              <w:textAlignment w:val="center"/>
              <w:rPr>
                <w:rFonts w:eastAsiaTheme="minorEastAsia"/>
                <w:bCs/>
                <w:kern w:val="0"/>
                <w:szCs w:val="21"/>
              </w:rPr>
            </w:pPr>
            <w:r w:rsidRPr="000549B1">
              <w:rPr>
                <w:rFonts w:eastAsiaTheme="minorEastAsia"/>
                <w:bCs/>
                <w:kern w:val="0"/>
                <w:szCs w:val="21"/>
              </w:rPr>
              <w:t>家禽</w:t>
            </w:r>
          </w:p>
        </w:tc>
      </w:tr>
      <w:tr w:rsidR="000549B1" w:rsidRPr="000549B1" w14:paraId="109E3D38" w14:textId="77777777">
        <w:trPr>
          <w:trHeight w:val="397"/>
          <w:jc w:val="center"/>
        </w:trPr>
        <w:tc>
          <w:tcPr>
            <w:tcW w:w="1308" w:type="pct"/>
            <w:tcBorders>
              <w:top w:val="single" w:sz="4" w:space="0" w:color="auto"/>
              <w:left w:val="single" w:sz="4" w:space="0" w:color="auto"/>
              <w:bottom w:val="single" w:sz="4" w:space="0" w:color="auto"/>
              <w:right w:val="single" w:sz="4" w:space="0" w:color="auto"/>
            </w:tcBorders>
            <w:vAlign w:val="center"/>
          </w:tcPr>
          <w:p w14:paraId="3C98B05E" w14:textId="77777777" w:rsidR="00054437" w:rsidRPr="000549B1" w:rsidRDefault="00000000">
            <w:pPr>
              <w:widowControl/>
              <w:jc w:val="center"/>
              <w:textAlignment w:val="center"/>
              <w:rPr>
                <w:rFonts w:eastAsiaTheme="minorEastAsia"/>
                <w:bCs/>
                <w:kern w:val="0"/>
                <w:szCs w:val="21"/>
              </w:rPr>
            </w:pPr>
            <w:r w:rsidRPr="000549B1">
              <w:rPr>
                <w:rFonts w:eastAsiaTheme="minorEastAsia"/>
                <w:bCs/>
                <w:kern w:val="0"/>
                <w:szCs w:val="21"/>
              </w:rPr>
              <w:t>排泄物</w:t>
            </w:r>
          </w:p>
        </w:tc>
        <w:tc>
          <w:tcPr>
            <w:tcW w:w="3691" w:type="pct"/>
            <w:gridSpan w:val="3"/>
            <w:tcBorders>
              <w:top w:val="single" w:sz="4" w:space="0" w:color="auto"/>
              <w:left w:val="single" w:sz="4" w:space="0" w:color="auto"/>
              <w:bottom w:val="single" w:sz="4" w:space="0" w:color="auto"/>
              <w:right w:val="single" w:sz="4" w:space="0" w:color="auto"/>
            </w:tcBorders>
            <w:vAlign w:val="center"/>
          </w:tcPr>
          <w:p w14:paraId="48B2DB92" w14:textId="77777777" w:rsidR="00054437" w:rsidRPr="000549B1" w:rsidRDefault="00000000">
            <w:pPr>
              <w:widowControl/>
              <w:jc w:val="center"/>
              <w:textAlignment w:val="center"/>
              <w:rPr>
                <w:rFonts w:eastAsiaTheme="minorEastAsia"/>
                <w:bCs/>
                <w:kern w:val="0"/>
                <w:szCs w:val="21"/>
              </w:rPr>
            </w:pPr>
            <w:r w:rsidRPr="000549B1">
              <w:rPr>
                <w:rFonts w:eastAsiaTheme="minorEastAsia"/>
                <w:bCs/>
                <w:kern w:val="0"/>
                <w:szCs w:val="21"/>
              </w:rPr>
              <w:t>粪</w:t>
            </w:r>
          </w:p>
        </w:tc>
      </w:tr>
      <w:tr w:rsidR="000549B1" w:rsidRPr="000549B1" w14:paraId="0A964AFE" w14:textId="77777777">
        <w:trPr>
          <w:trHeight w:val="397"/>
          <w:jc w:val="center"/>
        </w:trPr>
        <w:tc>
          <w:tcPr>
            <w:tcW w:w="1308" w:type="pct"/>
            <w:tcBorders>
              <w:top w:val="single" w:sz="4" w:space="0" w:color="auto"/>
              <w:left w:val="single" w:sz="4" w:space="0" w:color="auto"/>
              <w:bottom w:val="single" w:sz="4" w:space="0" w:color="auto"/>
              <w:right w:val="single" w:sz="4" w:space="0" w:color="auto"/>
            </w:tcBorders>
            <w:vAlign w:val="center"/>
          </w:tcPr>
          <w:p w14:paraId="219F4445" w14:textId="77777777" w:rsidR="00054437" w:rsidRPr="000549B1" w:rsidRDefault="00000000">
            <w:pPr>
              <w:widowControl/>
              <w:jc w:val="center"/>
              <w:textAlignment w:val="center"/>
              <w:rPr>
                <w:rFonts w:eastAsiaTheme="minorEastAsia"/>
                <w:bCs/>
                <w:kern w:val="0"/>
                <w:szCs w:val="21"/>
              </w:rPr>
            </w:pPr>
            <w:r w:rsidRPr="000549B1">
              <w:rPr>
                <w:rFonts w:eastAsiaTheme="minorEastAsia"/>
                <w:bCs/>
                <w:kern w:val="0"/>
                <w:szCs w:val="21"/>
              </w:rPr>
              <w:t>排放系数（</w:t>
            </w:r>
            <w:r w:rsidRPr="000549B1">
              <w:rPr>
                <w:rFonts w:eastAsiaTheme="minorEastAsia"/>
                <w:bCs/>
                <w:szCs w:val="21"/>
              </w:rPr>
              <w:t>kg/</w:t>
            </w:r>
            <w:r w:rsidRPr="000549B1">
              <w:rPr>
                <w:rFonts w:eastAsiaTheme="minorEastAsia"/>
                <w:bCs/>
                <w:szCs w:val="21"/>
              </w:rPr>
              <w:t>只</w:t>
            </w:r>
            <w:r w:rsidRPr="000549B1">
              <w:rPr>
                <w:rFonts w:eastAsiaTheme="minorEastAsia"/>
                <w:bCs/>
                <w:szCs w:val="21"/>
              </w:rPr>
              <w:t>·d</w:t>
            </w:r>
            <w:r w:rsidRPr="000549B1">
              <w:rPr>
                <w:rFonts w:eastAsiaTheme="minorEastAsia"/>
                <w:bCs/>
                <w:kern w:val="0"/>
                <w:szCs w:val="21"/>
              </w:rPr>
              <w:t>）</w:t>
            </w:r>
          </w:p>
        </w:tc>
        <w:tc>
          <w:tcPr>
            <w:tcW w:w="1308" w:type="pct"/>
            <w:tcBorders>
              <w:top w:val="single" w:sz="4" w:space="0" w:color="auto"/>
              <w:left w:val="single" w:sz="4" w:space="0" w:color="auto"/>
              <w:bottom w:val="single" w:sz="4" w:space="0" w:color="auto"/>
              <w:right w:val="single" w:sz="4" w:space="0" w:color="auto"/>
            </w:tcBorders>
            <w:vAlign w:val="center"/>
          </w:tcPr>
          <w:p w14:paraId="760AC402" w14:textId="77777777" w:rsidR="00054437" w:rsidRPr="000549B1" w:rsidRDefault="00000000">
            <w:pPr>
              <w:widowControl/>
              <w:jc w:val="center"/>
              <w:textAlignment w:val="center"/>
              <w:rPr>
                <w:rFonts w:eastAsiaTheme="minorEastAsia"/>
                <w:bCs/>
                <w:kern w:val="0"/>
                <w:szCs w:val="21"/>
              </w:rPr>
            </w:pPr>
            <w:r w:rsidRPr="000549B1">
              <w:rPr>
                <w:rFonts w:eastAsiaTheme="minorEastAsia"/>
                <w:bCs/>
                <w:kern w:val="0"/>
                <w:szCs w:val="21"/>
              </w:rPr>
              <w:t>20</w:t>
            </w:r>
          </w:p>
        </w:tc>
        <w:tc>
          <w:tcPr>
            <w:tcW w:w="1309" w:type="pct"/>
            <w:tcBorders>
              <w:top w:val="single" w:sz="4" w:space="0" w:color="auto"/>
              <w:left w:val="single" w:sz="4" w:space="0" w:color="auto"/>
              <w:bottom w:val="single" w:sz="4" w:space="0" w:color="auto"/>
              <w:right w:val="single" w:sz="4" w:space="0" w:color="auto"/>
            </w:tcBorders>
            <w:vAlign w:val="center"/>
          </w:tcPr>
          <w:p w14:paraId="160E82BB" w14:textId="77777777" w:rsidR="00054437" w:rsidRPr="000549B1" w:rsidRDefault="00000000">
            <w:pPr>
              <w:widowControl/>
              <w:jc w:val="center"/>
              <w:textAlignment w:val="center"/>
              <w:rPr>
                <w:rFonts w:eastAsiaTheme="minorEastAsia"/>
                <w:bCs/>
                <w:kern w:val="0"/>
                <w:szCs w:val="21"/>
              </w:rPr>
            </w:pPr>
            <w:r w:rsidRPr="000549B1">
              <w:rPr>
                <w:rFonts w:eastAsiaTheme="minorEastAsia"/>
                <w:bCs/>
                <w:kern w:val="0"/>
                <w:szCs w:val="21"/>
              </w:rPr>
              <w:t>2</w:t>
            </w:r>
          </w:p>
        </w:tc>
        <w:tc>
          <w:tcPr>
            <w:tcW w:w="1072" w:type="pct"/>
            <w:tcBorders>
              <w:top w:val="single" w:sz="4" w:space="0" w:color="auto"/>
              <w:left w:val="single" w:sz="4" w:space="0" w:color="auto"/>
              <w:bottom w:val="single" w:sz="4" w:space="0" w:color="auto"/>
              <w:right w:val="single" w:sz="4" w:space="0" w:color="auto"/>
            </w:tcBorders>
            <w:vAlign w:val="center"/>
          </w:tcPr>
          <w:p w14:paraId="45B9F91B" w14:textId="77777777" w:rsidR="00054437" w:rsidRPr="000549B1" w:rsidRDefault="00000000">
            <w:pPr>
              <w:widowControl/>
              <w:jc w:val="center"/>
              <w:textAlignment w:val="center"/>
              <w:rPr>
                <w:rFonts w:eastAsiaTheme="minorEastAsia"/>
                <w:bCs/>
                <w:kern w:val="0"/>
                <w:szCs w:val="21"/>
              </w:rPr>
            </w:pPr>
            <w:r w:rsidRPr="000549B1">
              <w:rPr>
                <w:rFonts w:eastAsiaTheme="minorEastAsia"/>
                <w:bCs/>
                <w:kern w:val="0"/>
                <w:szCs w:val="21"/>
              </w:rPr>
              <w:t>0.1</w:t>
            </w:r>
          </w:p>
        </w:tc>
      </w:tr>
    </w:tbl>
    <w:p w14:paraId="42C79F01" w14:textId="77777777" w:rsidR="00054437" w:rsidRPr="000549B1" w:rsidRDefault="00000000">
      <w:pPr>
        <w:pStyle w:val="0A50"/>
        <w:ind w:firstLine="422"/>
        <w:outlineLvl w:val="9"/>
        <w:rPr>
          <w:b w:val="0"/>
          <w:bCs w:val="0"/>
          <w:szCs w:val="18"/>
        </w:rPr>
      </w:pPr>
      <w:r w:rsidRPr="000549B1">
        <w:rPr>
          <w:rFonts w:ascii="宋体" w:eastAsia="宋体" w:hAnsi="宋体" w:cs="宋体" w:hint="eastAsia"/>
          <w:szCs w:val="18"/>
        </w:rPr>
        <w:t>备注：大牲畜：牛、马、骡；小牲畜：羊、猪。</w:t>
      </w:r>
    </w:p>
    <w:p w14:paraId="7F2BD40F" w14:textId="37ABB067" w:rsidR="00054437" w:rsidRPr="000549B1" w:rsidRDefault="00000000">
      <w:pPr>
        <w:pStyle w:val="a2"/>
        <w:spacing w:line="360" w:lineRule="auto"/>
        <w:ind w:firstLine="600"/>
        <w:rPr>
          <w:rFonts w:eastAsiaTheme="minorEastAsia"/>
          <w:bCs/>
          <w:sz w:val="24"/>
          <w:szCs w:val="24"/>
        </w:rPr>
      </w:pPr>
      <w:r w:rsidRPr="000549B1">
        <w:rPr>
          <w:rFonts w:eastAsiaTheme="minorEastAsia"/>
          <w:bCs/>
          <w:sz w:val="24"/>
          <w:szCs w:val="24"/>
        </w:rPr>
        <w:t>依据《细则》，参考《城市可持续发展与水污染防治对策》，确定畜禽粪便污染物含量系数，见</w:t>
      </w:r>
      <w:r w:rsidR="00372953" w:rsidRPr="00372953">
        <w:rPr>
          <w:rFonts w:eastAsiaTheme="minorEastAsia"/>
          <w:bCs/>
          <w:sz w:val="24"/>
          <w:szCs w:val="24"/>
        </w:rPr>
        <w:t>表</w:t>
      </w:r>
      <w:r w:rsidR="00372953" w:rsidRPr="00372953">
        <w:rPr>
          <w:rFonts w:eastAsiaTheme="minorEastAsia"/>
          <w:bCs/>
          <w:sz w:val="24"/>
          <w:szCs w:val="24"/>
        </w:rPr>
        <w:t>3.3</w:t>
      </w:r>
      <w:r w:rsidR="00372953" w:rsidRPr="00372953">
        <w:rPr>
          <w:rFonts w:eastAsiaTheme="minorEastAsia"/>
          <w:bCs/>
          <w:sz w:val="24"/>
          <w:szCs w:val="24"/>
        </w:rPr>
        <w:noBreakHyphen/>
        <w:t>14</w:t>
      </w:r>
      <w:r w:rsidRPr="000549B1">
        <w:rPr>
          <w:rFonts w:eastAsiaTheme="minorEastAsia"/>
          <w:bCs/>
          <w:sz w:val="24"/>
          <w:szCs w:val="24"/>
        </w:rPr>
        <w:t>。</w:t>
      </w:r>
    </w:p>
    <w:p w14:paraId="4F733677" w14:textId="4993E008" w:rsidR="00054437" w:rsidRPr="000549B1" w:rsidRDefault="00000000">
      <w:pPr>
        <w:pStyle w:val="aff8"/>
        <w:rPr>
          <w:color w:val="auto"/>
        </w:rPr>
      </w:pPr>
      <w:bookmarkStart w:id="226" w:name="_Ref214978617"/>
      <w:r w:rsidRPr="000549B1">
        <w:rPr>
          <w:color w:val="auto"/>
        </w:rPr>
        <w:t>表</w:t>
      </w:r>
      <w:r w:rsidR="00372953">
        <w:rPr>
          <w:color w:val="auto"/>
        </w:rPr>
        <w:fldChar w:fldCharType="begin"/>
      </w:r>
      <w:r w:rsidR="00372953">
        <w:rPr>
          <w:color w:val="auto"/>
        </w:rPr>
        <w:instrText xml:space="preserve"> STYLEREF 2 \s </w:instrText>
      </w:r>
      <w:r w:rsidR="00372953">
        <w:rPr>
          <w:color w:val="auto"/>
        </w:rPr>
        <w:fldChar w:fldCharType="separate"/>
      </w:r>
      <w:r w:rsidR="00372953">
        <w:rPr>
          <w:noProof/>
          <w:color w:val="auto"/>
        </w:rPr>
        <w:t>3.3</w:t>
      </w:r>
      <w:r w:rsidR="00372953">
        <w:rPr>
          <w:color w:val="auto"/>
        </w:rPr>
        <w:fldChar w:fldCharType="end"/>
      </w:r>
      <w:r w:rsidR="00372953">
        <w:rPr>
          <w:color w:val="auto"/>
        </w:rPr>
        <w:noBreakHyphen/>
      </w:r>
      <w:r w:rsidR="00372953">
        <w:rPr>
          <w:color w:val="auto"/>
        </w:rPr>
        <w:fldChar w:fldCharType="begin"/>
      </w:r>
      <w:r w:rsidR="00372953">
        <w:rPr>
          <w:color w:val="auto"/>
        </w:rPr>
        <w:instrText xml:space="preserve"> SEQ </w:instrText>
      </w:r>
      <w:r w:rsidR="00372953">
        <w:rPr>
          <w:color w:val="auto"/>
        </w:rPr>
        <w:instrText>表</w:instrText>
      </w:r>
      <w:r w:rsidR="00372953">
        <w:rPr>
          <w:color w:val="auto"/>
        </w:rPr>
        <w:instrText xml:space="preserve"> \* ARABIC \s 2 </w:instrText>
      </w:r>
      <w:r w:rsidR="00372953">
        <w:rPr>
          <w:color w:val="auto"/>
        </w:rPr>
        <w:fldChar w:fldCharType="separate"/>
      </w:r>
      <w:r w:rsidR="00372953">
        <w:rPr>
          <w:noProof/>
          <w:color w:val="auto"/>
        </w:rPr>
        <w:t>14</w:t>
      </w:r>
      <w:r w:rsidR="00372953">
        <w:rPr>
          <w:color w:val="auto"/>
        </w:rPr>
        <w:fldChar w:fldCharType="end"/>
      </w:r>
      <w:bookmarkEnd w:id="226"/>
      <w:r w:rsidRPr="000549B1">
        <w:rPr>
          <w:color w:val="auto"/>
        </w:rPr>
        <w:t>分散式畜禽养殖面源粪便污染物含量系数</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5"/>
        <w:gridCol w:w="2129"/>
        <w:gridCol w:w="2129"/>
        <w:gridCol w:w="2130"/>
      </w:tblGrid>
      <w:tr w:rsidR="000549B1" w:rsidRPr="000549B1" w14:paraId="33951272" w14:textId="77777777">
        <w:trPr>
          <w:trHeight w:val="397"/>
          <w:jc w:val="center"/>
        </w:trPr>
        <w:tc>
          <w:tcPr>
            <w:tcW w:w="1149" w:type="pct"/>
            <w:tcBorders>
              <w:top w:val="single" w:sz="4" w:space="0" w:color="auto"/>
              <w:left w:val="single" w:sz="4" w:space="0" w:color="auto"/>
              <w:bottom w:val="single" w:sz="4" w:space="0" w:color="auto"/>
              <w:right w:val="single" w:sz="4" w:space="0" w:color="auto"/>
            </w:tcBorders>
            <w:vAlign w:val="center"/>
          </w:tcPr>
          <w:p w14:paraId="11FD462E" w14:textId="77777777" w:rsidR="00054437" w:rsidRPr="000549B1" w:rsidRDefault="00000000">
            <w:pPr>
              <w:widowControl/>
              <w:jc w:val="center"/>
              <w:textAlignment w:val="center"/>
              <w:rPr>
                <w:rFonts w:eastAsiaTheme="minorEastAsia"/>
                <w:bCs/>
                <w:kern w:val="0"/>
                <w:szCs w:val="21"/>
              </w:rPr>
            </w:pPr>
            <w:r w:rsidRPr="000549B1">
              <w:rPr>
                <w:rFonts w:eastAsiaTheme="minorEastAsia"/>
                <w:bCs/>
                <w:kern w:val="0"/>
                <w:szCs w:val="21"/>
              </w:rPr>
              <w:t>项目</w:t>
            </w:r>
          </w:p>
        </w:tc>
        <w:tc>
          <w:tcPr>
            <w:tcW w:w="1283" w:type="pct"/>
            <w:tcBorders>
              <w:top w:val="single" w:sz="4" w:space="0" w:color="auto"/>
              <w:left w:val="single" w:sz="4" w:space="0" w:color="auto"/>
              <w:bottom w:val="single" w:sz="4" w:space="0" w:color="auto"/>
              <w:right w:val="single" w:sz="4" w:space="0" w:color="auto"/>
            </w:tcBorders>
            <w:vAlign w:val="center"/>
          </w:tcPr>
          <w:p w14:paraId="3C7A091C" w14:textId="77777777" w:rsidR="00054437" w:rsidRPr="000549B1" w:rsidRDefault="00000000">
            <w:pPr>
              <w:widowControl/>
              <w:jc w:val="center"/>
              <w:textAlignment w:val="center"/>
              <w:rPr>
                <w:rFonts w:eastAsiaTheme="minorEastAsia"/>
                <w:bCs/>
                <w:kern w:val="0"/>
                <w:szCs w:val="21"/>
              </w:rPr>
            </w:pPr>
            <w:r w:rsidRPr="000549B1">
              <w:rPr>
                <w:rFonts w:eastAsiaTheme="minorEastAsia"/>
                <w:bCs/>
                <w:kern w:val="0"/>
                <w:szCs w:val="21"/>
              </w:rPr>
              <w:t>大牲畜</w:t>
            </w:r>
          </w:p>
        </w:tc>
        <w:tc>
          <w:tcPr>
            <w:tcW w:w="1283" w:type="pct"/>
            <w:tcBorders>
              <w:top w:val="single" w:sz="4" w:space="0" w:color="auto"/>
              <w:left w:val="single" w:sz="4" w:space="0" w:color="auto"/>
              <w:bottom w:val="single" w:sz="4" w:space="0" w:color="auto"/>
              <w:right w:val="single" w:sz="4" w:space="0" w:color="auto"/>
            </w:tcBorders>
            <w:vAlign w:val="center"/>
          </w:tcPr>
          <w:p w14:paraId="30BC4C11" w14:textId="77777777" w:rsidR="00054437" w:rsidRPr="000549B1" w:rsidRDefault="00000000">
            <w:pPr>
              <w:widowControl/>
              <w:jc w:val="center"/>
              <w:textAlignment w:val="center"/>
              <w:rPr>
                <w:rFonts w:eastAsiaTheme="minorEastAsia"/>
                <w:bCs/>
                <w:kern w:val="0"/>
                <w:szCs w:val="21"/>
              </w:rPr>
            </w:pPr>
            <w:r w:rsidRPr="000549B1">
              <w:rPr>
                <w:rFonts w:eastAsiaTheme="minorEastAsia"/>
                <w:bCs/>
                <w:kern w:val="0"/>
                <w:szCs w:val="21"/>
              </w:rPr>
              <w:t>小牲畜</w:t>
            </w:r>
          </w:p>
        </w:tc>
        <w:tc>
          <w:tcPr>
            <w:tcW w:w="1283" w:type="pct"/>
            <w:tcBorders>
              <w:top w:val="single" w:sz="4" w:space="0" w:color="auto"/>
              <w:left w:val="single" w:sz="4" w:space="0" w:color="auto"/>
              <w:bottom w:val="single" w:sz="4" w:space="0" w:color="auto"/>
              <w:right w:val="single" w:sz="4" w:space="0" w:color="auto"/>
            </w:tcBorders>
            <w:vAlign w:val="center"/>
          </w:tcPr>
          <w:p w14:paraId="42BEFA4C" w14:textId="77777777" w:rsidR="00054437" w:rsidRPr="000549B1" w:rsidRDefault="00000000">
            <w:pPr>
              <w:widowControl/>
              <w:jc w:val="center"/>
              <w:textAlignment w:val="center"/>
              <w:rPr>
                <w:rFonts w:eastAsiaTheme="minorEastAsia"/>
                <w:bCs/>
                <w:kern w:val="0"/>
                <w:szCs w:val="21"/>
              </w:rPr>
            </w:pPr>
            <w:r w:rsidRPr="000549B1">
              <w:rPr>
                <w:rFonts w:eastAsiaTheme="minorEastAsia"/>
                <w:bCs/>
                <w:kern w:val="0"/>
                <w:szCs w:val="21"/>
              </w:rPr>
              <w:t>家禽</w:t>
            </w:r>
          </w:p>
        </w:tc>
      </w:tr>
      <w:tr w:rsidR="000549B1" w:rsidRPr="000549B1" w14:paraId="071E949F" w14:textId="77777777">
        <w:trPr>
          <w:trHeight w:val="397"/>
          <w:jc w:val="center"/>
        </w:trPr>
        <w:tc>
          <w:tcPr>
            <w:tcW w:w="1149" w:type="pct"/>
            <w:tcBorders>
              <w:top w:val="single" w:sz="4" w:space="0" w:color="auto"/>
              <w:left w:val="single" w:sz="4" w:space="0" w:color="auto"/>
              <w:bottom w:val="single" w:sz="4" w:space="0" w:color="auto"/>
              <w:right w:val="single" w:sz="4" w:space="0" w:color="auto"/>
            </w:tcBorders>
            <w:vAlign w:val="center"/>
          </w:tcPr>
          <w:p w14:paraId="78F17B46" w14:textId="77777777" w:rsidR="00054437" w:rsidRPr="000549B1" w:rsidRDefault="00000000">
            <w:pPr>
              <w:widowControl/>
              <w:jc w:val="center"/>
              <w:textAlignment w:val="center"/>
              <w:rPr>
                <w:rFonts w:eastAsiaTheme="minorEastAsia"/>
                <w:bCs/>
                <w:kern w:val="0"/>
                <w:szCs w:val="21"/>
              </w:rPr>
            </w:pPr>
            <w:r w:rsidRPr="000549B1">
              <w:rPr>
                <w:rFonts w:eastAsiaTheme="minorEastAsia"/>
                <w:bCs/>
                <w:kern w:val="0"/>
                <w:szCs w:val="21"/>
              </w:rPr>
              <w:t>总氮（</w:t>
            </w:r>
            <w:r w:rsidRPr="000549B1">
              <w:rPr>
                <w:bCs/>
                <w:kern w:val="0"/>
                <w:szCs w:val="21"/>
              </w:rPr>
              <w:t>%</w:t>
            </w:r>
            <w:r w:rsidRPr="000549B1">
              <w:rPr>
                <w:rFonts w:eastAsiaTheme="minorEastAsia"/>
                <w:bCs/>
                <w:kern w:val="0"/>
                <w:szCs w:val="21"/>
              </w:rPr>
              <w:t>）</w:t>
            </w:r>
          </w:p>
        </w:tc>
        <w:tc>
          <w:tcPr>
            <w:tcW w:w="1283" w:type="pct"/>
            <w:tcBorders>
              <w:top w:val="single" w:sz="4" w:space="0" w:color="auto"/>
              <w:left w:val="single" w:sz="4" w:space="0" w:color="auto"/>
              <w:bottom w:val="single" w:sz="4" w:space="0" w:color="auto"/>
              <w:right w:val="single" w:sz="4" w:space="0" w:color="auto"/>
            </w:tcBorders>
            <w:vAlign w:val="center"/>
          </w:tcPr>
          <w:p w14:paraId="631320CB" w14:textId="77777777" w:rsidR="00054437" w:rsidRPr="000549B1" w:rsidRDefault="00000000">
            <w:pPr>
              <w:widowControl/>
              <w:jc w:val="center"/>
              <w:textAlignment w:val="center"/>
              <w:rPr>
                <w:rFonts w:eastAsiaTheme="minorEastAsia"/>
                <w:bCs/>
                <w:kern w:val="0"/>
                <w:szCs w:val="21"/>
              </w:rPr>
            </w:pPr>
            <w:r w:rsidRPr="000549B1">
              <w:rPr>
                <w:rFonts w:eastAsiaTheme="minorEastAsia"/>
                <w:bCs/>
                <w:kern w:val="0"/>
                <w:szCs w:val="21"/>
              </w:rPr>
              <w:t>0.35</w:t>
            </w:r>
          </w:p>
        </w:tc>
        <w:tc>
          <w:tcPr>
            <w:tcW w:w="1283" w:type="pct"/>
            <w:tcBorders>
              <w:top w:val="single" w:sz="4" w:space="0" w:color="auto"/>
              <w:left w:val="single" w:sz="4" w:space="0" w:color="auto"/>
              <w:bottom w:val="single" w:sz="4" w:space="0" w:color="auto"/>
              <w:right w:val="single" w:sz="4" w:space="0" w:color="auto"/>
            </w:tcBorders>
            <w:vAlign w:val="center"/>
          </w:tcPr>
          <w:p w14:paraId="6FDDE907" w14:textId="77777777" w:rsidR="00054437" w:rsidRPr="000549B1" w:rsidRDefault="00000000">
            <w:pPr>
              <w:widowControl/>
              <w:jc w:val="center"/>
              <w:textAlignment w:val="center"/>
              <w:rPr>
                <w:rFonts w:eastAsiaTheme="minorEastAsia"/>
                <w:bCs/>
                <w:kern w:val="0"/>
                <w:szCs w:val="21"/>
              </w:rPr>
            </w:pPr>
            <w:r w:rsidRPr="000549B1">
              <w:rPr>
                <w:rFonts w:eastAsiaTheme="minorEastAsia"/>
                <w:bCs/>
                <w:kern w:val="0"/>
                <w:szCs w:val="21"/>
              </w:rPr>
              <w:t>0.56</w:t>
            </w:r>
          </w:p>
        </w:tc>
        <w:tc>
          <w:tcPr>
            <w:tcW w:w="1283" w:type="pct"/>
            <w:tcBorders>
              <w:top w:val="single" w:sz="4" w:space="0" w:color="auto"/>
              <w:left w:val="single" w:sz="4" w:space="0" w:color="auto"/>
              <w:bottom w:val="single" w:sz="4" w:space="0" w:color="auto"/>
              <w:right w:val="single" w:sz="4" w:space="0" w:color="auto"/>
            </w:tcBorders>
            <w:vAlign w:val="center"/>
          </w:tcPr>
          <w:p w14:paraId="2F41B737" w14:textId="77777777" w:rsidR="00054437" w:rsidRPr="000549B1" w:rsidRDefault="00000000">
            <w:pPr>
              <w:widowControl/>
              <w:jc w:val="center"/>
              <w:textAlignment w:val="center"/>
              <w:rPr>
                <w:rFonts w:eastAsiaTheme="minorEastAsia"/>
                <w:bCs/>
                <w:kern w:val="0"/>
                <w:szCs w:val="21"/>
              </w:rPr>
            </w:pPr>
            <w:r w:rsidRPr="000549B1">
              <w:rPr>
                <w:rFonts w:eastAsiaTheme="minorEastAsia"/>
                <w:bCs/>
                <w:kern w:val="0"/>
                <w:szCs w:val="21"/>
              </w:rPr>
              <w:t>1.60</w:t>
            </w:r>
          </w:p>
        </w:tc>
      </w:tr>
      <w:tr w:rsidR="000549B1" w:rsidRPr="000549B1" w14:paraId="4ECE5F2C" w14:textId="77777777">
        <w:trPr>
          <w:trHeight w:val="397"/>
          <w:jc w:val="center"/>
        </w:trPr>
        <w:tc>
          <w:tcPr>
            <w:tcW w:w="1149" w:type="pct"/>
            <w:tcBorders>
              <w:top w:val="single" w:sz="4" w:space="0" w:color="auto"/>
              <w:left w:val="single" w:sz="4" w:space="0" w:color="auto"/>
              <w:bottom w:val="single" w:sz="4" w:space="0" w:color="auto"/>
              <w:right w:val="single" w:sz="4" w:space="0" w:color="auto"/>
            </w:tcBorders>
            <w:vAlign w:val="center"/>
          </w:tcPr>
          <w:p w14:paraId="3B3850DC" w14:textId="77777777" w:rsidR="00054437" w:rsidRPr="000549B1" w:rsidRDefault="00000000">
            <w:pPr>
              <w:widowControl/>
              <w:jc w:val="center"/>
              <w:textAlignment w:val="center"/>
              <w:rPr>
                <w:rFonts w:eastAsiaTheme="minorEastAsia"/>
                <w:bCs/>
                <w:kern w:val="0"/>
                <w:szCs w:val="21"/>
              </w:rPr>
            </w:pPr>
            <w:r w:rsidRPr="000549B1">
              <w:rPr>
                <w:rFonts w:eastAsiaTheme="minorEastAsia"/>
                <w:bCs/>
                <w:kern w:val="0"/>
                <w:szCs w:val="21"/>
              </w:rPr>
              <w:t>总磷（</w:t>
            </w:r>
            <w:r w:rsidRPr="000549B1">
              <w:rPr>
                <w:bCs/>
                <w:kern w:val="0"/>
                <w:szCs w:val="21"/>
              </w:rPr>
              <w:t>%</w:t>
            </w:r>
            <w:r w:rsidRPr="000549B1">
              <w:rPr>
                <w:rFonts w:eastAsiaTheme="minorEastAsia"/>
                <w:bCs/>
                <w:kern w:val="0"/>
                <w:szCs w:val="21"/>
              </w:rPr>
              <w:t>）</w:t>
            </w:r>
          </w:p>
        </w:tc>
        <w:tc>
          <w:tcPr>
            <w:tcW w:w="1283" w:type="pct"/>
            <w:tcBorders>
              <w:top w:val="single" w:sz="4" w:space="0" w:color="auto"/>
              <w:left w:val="single" w:sz="4" w:space="0" w:color="auto"/>
              <w:bottom w:val="single" w:sz="4" w:space="0" w:color="auto"/>
              <w:right w:val="single" w:sz="4" w:space="0" w:color="auto"/>
            </w:tcBorders>
            <w:vAlign w:val="center"/>
          </w:tcPr>
          <w:p w14:paraId="7A82CB21" w14:textId="77777777" w:rsidR="00054437" w:rsidRPr="000549B1" w:rsidRDefault="00000000">
            <w:pPr>
              <w:widowControl/>
              <w:jc w:val="center"/>
              <w:textAlignment w:val="center"/>
              <w:rPr>
                <w:rFonts w:eastAsiaTheme="minorEastAsia"/>
                <w:bCs/>
                <w:kern w:val="0"/>
                <w:szCs w:val="21"/>
              </w:rPr>
            </w:pPr>
            <w:r w:rsidRPr="000549B1">
              <w:rPr>
                <w:rFonts w:eastAsiaTheme="minorEastAsia"/>
                <w:bCs/>
                <w:kern w:val="0"/>
                <w:szCs w:val="21"/>
              </w:rPr>
              <w:t>0.04</w:t>
            </w:r>
          </w:p>
        </w:tc>
        <w:tc>
          <w:tcPr>
            <w:tcW w:w="1283" w:type="pct"/>
            <w:tcBorders>
              <w:top w:val="single" w:sz="4" w:space="0" w:color="auto"/>
              <w:left w:val="single" w:sz="4" w:space="0" w:color="auto"/>
              <w:bottom w:val="single" w:sz="4" w:space="0" w:color="auto"/>
              <w:right w:val="single" w:sz="4" w:space="0" w:color="auto"/>
            </w:tcBorders>
            <w:vAlign w:val="center"/>
          </w:tcPr>
          <w:p w14:paraId="06B7AE92" w14:textId="77777777" w:rsidR="00054437" w:rsidRPr="000549B1" w:rsidRDefault="00000000">
            <w:pPr>
              <w:widowControl/>
              <w:jc w:val="center"/>
              <w:textAlignment w:val="center"/>
              <w:rPr>
                <w:rFonts w:eastAsiaTheme="minorEastAsia"/>
                <w:bCs/>
                <w:kern w:val="0"/>
                <w:szCs w:val="21"/>
              </w:rPr>
            </w:pPr>
            <w:r w:rsidRPr="000549B1">
              <w:rPr>
                <w:rFonts w:eastAsiaTheme="minorEastAsia"/>
                <w:bCs/>
                <w:kern w:val="0"/>
                <w:szCs w:val="21"/>
              </w:rPr>
              <w:t>0.26</w:t>
            </w:r>
          </w:p>
        </w:tc>
        <w:tc>
          <w:tcPr>
            <w:tcW w:w="1283" w:type="pct"/>
            <w:tcBorders>
              <w:top w:val="single" w:sz="4" w:space="0" w:color="auto"/>
              <w:left w:val="single" w:sz="4" w:space="0" w:color="auto"/>
              <w:bottom w:val="single" w:sz="4" w:space="0" w:color="auto"/>
              <w:right w:val="single" w:sz="4" w:space="0" w:color="auto"/>
            </w:tcBorders>
            <w:vAlign w:val="center"/>
          </w:tcPr>
          <w:p w14:paraId="4FB0DB00" w14:textId="77777777" w:rsidR="00054437" w:rsidRPr="000549B1" w:rsidRDefault="00000000">
            <w:pPr>
              <w:widowControl/>
              <w:jc w:val="center"/>
              <w:textAlignment w:val="center"/>
              <w:rPr>
                <w:rFonts w:eastAsiaTheme="minorEastAsia"/>
                <w:bCs/>
                <w:kern w:val="0"/>
                <w:szCs w:val="21"/>
              </w:rPr>
            </w:pPr>
            <w:r w:rsidRPr="000549B1">
              <w:rPr>
                <w:rFonts w:eastAsiaTheme="minorEastAsia"/>
                <w:bCs/>
                <w:kern w:val="0"/>
                <w:szCs w:val="21"/>
              </w:rPr>
              <w:t>0.54</w:t>
            </w:r>
          </w:p>
        </w:tc>
      </w:tr>
      <w:tr w:rsidR="000549B1" w:rsidRPr="000549B1" w14:paraId="450E1110" w14:textId="77777777">
        <w:trPr>
          <w:trHeight w:val="397"/>
          <w:jc w:val="center"/>
        </w:trPr>
        <w:tc>
          <w:tcPr>
            <w:tcW w:w="1149" w:type="pct"/>
            <w:tcBorders>
              <w:top w:val="single" w:sz="4" w:space="0" w:color="auto"/>
              <w:left w:val="single" w:sz="4" w:space="0" w:color="auto"/>
              <w:bottom w:val="single" w:sz="4" w:space="0" w:color="auto"/>
              <w:right w:val="single" w:sz="4" w:space="0" w:color="auto"/>
            </w:tcBorders>
            <w:vAlign w:val="center"/>
          </w:tcPr>
          <w:p w14:paraId="5E260275" w14:textId="77777777" w:rsidR="00054437" w:rsidRPr="000549B1" w:rsidRDefault="00000000">
            <w:pPr>
              <w:widowControl/>
              <w:jc w:val="center"/>
              <w:textAlignment w:val="center"/>
              <w:rPr>
                <w:rFonts w:eastAsiaTheme="minorEastAsia"/>
                <w:bCs/>
                <w:kern w:val="0"/>
                <w:szCs w:val="21"/>
              </w:rPr>
            </w:pPr>
            <w:r w:rsidRPr="000549B1">
              <w:rPr>
                <w:rFonts w:eastAsiaTheme="minorEastAsia"/>
                <w:bCs/>
                <w:kern w:val="0"/>
                <w:szCs w:val="21"/>
              </w:rPr>
              <w:t>COD</w:t>
            </w:r>
            <w:r w:rsidRPr="000549B1">
              <w:rPr>
                <w:rFonts w:eastAsiaTheme="minorEastAsia"/>
                <w:bCs/>
                <w:kern w:val="0"/>
                <w:szCs w:val="21"/>
              </w:rPr>
              <w:t>（</w:t>
            </w:r>
            <w:r w:rsidRPr="000549B1">
              <w:rPr>
                <w:bCs/>
                <w:kern w:val="0"/>
                <w:szCs w:val="21"/>
              </w:rPr>
              <w:t>%</w:t>
            </w:r>
            <w:r w:rsidRPr="000549B1">
              <w:rPr>
                <w:rFonts w:eastAsiaTheme="minorEastAsia"/>
                <w:bCs/>
                <w:kern w:val="0"/>
                <w:szCs w:val="21"/>
              </w:rPr>
              <w:t>）</w:t>
            </w:r>
          </w:p>
        </w:tc>
        <w:tc>
          <w:tcPr>
            <w:tcW w:w="1283" w:type="pct"/>
            <w:tcBorders>
              <w:top w:val="single" w:sz="4" w:space="0" w:color="auto"/>
              <w:left w:val="single" w:sz="4" w:space="0" w:color="auto"/>
              <w:bottom w:val="single" w:sz="4" w:space="0" w:color="auto"/>
              <w:right w:val="single" w:sz="4" w:space="0" w:color="auto"/>
            </w:tcBorders>
            <w:vAlign w:val="center"/>
          </w:tcPr>
          <w:p w14:paraId="73393CC9" w14:textId="77777777" w:rsidR="00054437" w:rsidRPr="000549B1" w:rsidRDefault="00000000">
            <w:pPr>
              <w:widowControl/>
              <w:jc w:val="center"/>
              <w:textAlignment w:val="center"/>
              <w:rPr>
                <w:rFonts w:eastAsiaTheme="minorEastAsia"/>
                <w:bCs/>
                <w:kern w:val="0"/>
                <w:szCs w:val="21"/>
              </w:rPr>
            </w:pPr>
            <w:r w:rsidRPr="000549B1">
              <w:rPr>
                <w:rFonts w:eastAsiaTheme="minorEastAsia"/>
                <w:bCs/>
                <w:kern w:val="0"/>
                <w:szCs w:val="21"/>
              </w:rPr>
              <w:t>2.40</w:t>
            </w:r>
          </w:p>
        </w:tc>
        <w:tc>
          <w:tcPr>
            <w:tcW w:w="1283" w:type="pct"/>
            <w:tcBorders>
              <w:top w:val="single" w:sz="4" w:space="0" w:color="auto"/>
              <w:left w:val="single" w:sz="4" w:space="0" w:color="auto"/>
              <w:bottom w:val="single" w:sz="4" w:space="0" w:color="auto"/>
              <w:right w:val="single" w:sz="4" w:space="0" w:color="auto"/>
            </w:tcBorders>
            <w:vAlign w:val="center"/>
          </w:tcPr>
          <w:p w14:paraId="75DDD5A4" w14:textId="77777777" w:rsidR="00054437" w:rsidRPr="000549B1" w:rsidRDefault="00000000">
            <w:pPr>
              <w:widowControl/>
              <w:jc w:val="center"/>
              <w:textAlignment w:val="center"/>
              <w:rPr>
                <w:rFonts w:eastAsiaTheme="minorEastAsia"/>
                <w:bCs/>
                <w:kern w:val="0"/>
                <w:szCs w:val="21"/>
              </w:rPr>
            </w:pPr>
            <w:r w:rsidRPr="000549B1">
              <w:rPr>
                <w:rFonts w:eastAsiaTheme="minorEastAsia"/>
                <w:bCs/>
                <w:kern w:val="0"/>
                <w:szCs w:val="21"/>
              </w:rPr>
              <w:t>3.90</w:t>
            </w:r>
          </w:p>
        </w:tc>
        <w:tc>
          <w:tcPr>
            <w:tcW w:w="1283" w:type="pct"/>
            <w:tcBorders>
              <w:top w:val="single" w:sz="4" w:space="0" w:color="auto"/>
              <w:left w:val="single" w:sz="4" w:space="0" w:color="auto"/>
              <w:bottom w:val="single" w:sz="4" w:space="0" w:color="auto"/>
              <w:right w:val="single" w:sz="4" w:space="0" w:color="auto"/>
            </w:tcBorders>
            <w:vAlign w:val="center"/>
          </w:tcPr>
          <w:p w14:paraId="5A59E0B3" w14:textId="77777777" w:rsidR="00054437" w:rsidRPr="000549B1" w:rsidRDefault="00000000">
            <w:pPr>
              <w:widowControl/>
              <w:jc w:val="center"/>
              <w:textAlignment w:val="center"/>
              <w:rPr>
                <w:rFonts w:eastAsiaTheme="minorEastAsia"/>
                <w:bCs/>
                <w:kern w:val="0"/>
                <w:szCs w:val="21"/>
              </w:rPr>
            </w:pPr>
            <w:r w:rsidRPr="000549B1">
              <w:rPr>
                <w:rFonts w:eastAsiaTheme="minorEastAsia"/>
                <w:bCs/>
                <w:kern w:val="0"/>
                <w:szCs w:val="21"/>
              </w:rPr>
              <w:t>3.90</w:t>
            </w:r>
          </w:p>
        </w:tc>
      </w:tr>
      <w:tr w:rsidR="000549B1" w:rsidRPr="000549B1" w14:paraId="1013894B" w14:textId="77777777">
        <w:trPr>
          <w:trHeight w:val="397"/>
          <w:jc w:val="center"/>
        </w:trPr>
        <w:tc>
          <w:tcPr>
            <w:tcW w:w="1149" w:type="pct"/>
            <w:tcBorders>
              <w:top w:val="single" w:sz="4" w:space="0" w:color="auto"/>
              <w:left w:val="single" w:sz="4" w:space="0" w:color="auto"/>
              <w:bottom w:val="single" w:sz="4" w:space="0" w:color="auto"/>
              <w:right w:val="single" w:sz="4" w:space="0" w:color="auto"/>
            </w:tcBorders>
            <w:vAlign w:val="center"/>
          </w:tcPr>
          <w:p w14:paraId="47B16B14" w14:textId="77777777" w:rsidR="00054437" w:rsidRPr="000549B1" w:rsidRDefault="00000000">
            <w:pPr>
              <w:widowControl/>
              <w:jc w:val="center"/>
              <w:textAlignment w:val="center"/>
              <w:rPr>
                <w:rFonts w:eastAsiaTheme="minorEastAsia"/>
                <w:bCs/>
                <w:kern w:val="0"/>
                <w:szCs w:val="21"/>
              </w:rPr>
            </w:pPr>
            <w:r w:rsidRPr="000549B1">
              <w:rPr>
                <w:rFonts w:eastAsiaTheme="minorEastAsia"/>
                <w:bCs/>
                <w:kern w:val="0"/>
                <w:szCs w:val="21"/>
              </w:rPr>
              <w:t>氨氮（</w:t>
            </w:r>
            <w:r w:rsidRPr="000549B1">
              <w:rPr>
                <w:bCs/>
                <w:kern w:val="0"/>
                <w:szCs w:val="21"/>
              </w:rPr>
              <w:t>%</w:t>
            </w:r>
            <w:r w:rsidRPr="000549B1">
              <w:rPr>
                <w:rFonts w:eastAsiaTheme="minorEastAsia"/>
                <w:bCs/>
                <w:kern w:val="0"/>
                <w:szCs w:val="21"/>
              </w:rPr>
              <w:t>）</w:t>
            </w:r>
          </w:p>
        </w:tc>
        <w:tc>
          <w:tcPr>
            <w:tcW w:w="1283" w:type="pct"/>
            <w:tcBorders>
              <w:top w:val="single" w:sz="4" w:space="0" w:color="auto"/>
              <w:left w:val="single" w:sz="4" w:space="0" w:color="auto"/>
              <w:bottom w:val="single" w:sz="4" w:space="0" w:color="auto"/>
              <w:right w:val="single" w:sz="4" w:space="0" w:color="auto"/>
            </w:tcBorders>
            <w:vAlign w:val="center"/>
          </w:tcPr>
          <w:p w14:paraId="7C65B70D" w14:textId="77777777" w:rsidR="00054437" w:rsidRPr="000549B1" w:rsidRDefault="00000000">
            <w:pPr>
              <w:widowControl/>
              <w:jc w:val="center"/>
              <w:textAlignment w:val="center"/>
              <w:rPr>
                <w:rFonts w:eastAsiaTheme="minorEastAsia"/>
                <w:bCs/>
                <w:kern w:val="0"/>
                <w:szCs w:val="21"/>
              </w:rPr>
            </w:pPr>
            <w:r w:rsidRPr="000549B1">
              <w:rPr>
                <w:rFonts w:eastAsiaTheme="minorEastAsia"/>
                <w:bCs/>
                <w:kern w:val="0"/>
                <w:szCs w:val="21"/>
              </w:rPr>
              <w:t>0.014</w:t>
            </w:r>
          </w:p>
        </w:tc>
        <w:tc>
          <w:tcPr>
            <w:tcW w:w="1283" w:type="pct"/>
            <w:tcBorders>
              <w:top w:val="single" w:sz="4" w:space="0" w:color="auto"/>
              <w:left w:val="single" w:sz="4" w:space="0" w:color="auto"/>
              <w:bottom w:val="single" w:sz="4" w:space="0" w:color="auto"/>
              <w:right w:val="single" w:sz="4" w:space="0" w:color="auto"/>
            </w:tcBorders>
            <w:vAlign w:val="center"/>
          </w:tcPr>
          <w:p w14:paraId="652C774A" w14:textId="77777777" w:rsidR="00054437" w:rsidRPr="000549B1" w:rsidRDefault="00000000">
            <w:pPr>
              <w:widowControl/>
              <w:jc w:val="center"/>
              <w:textAlignment w:val="center"/>
              <w:rPr>
                <w:rFonts w:eastAsiaTheme="minorEastAsia"/>
                <w:bCs/>
                <w:kern w:val="0"/>
                <w:szCs w:val="21"/>
              </w:rPr>
            </w:pPr>
            <w:r w:rsidRPr="000549B1">
              <w:rPr>
                <w:rFonts w:eastAsiaTheme="minorEastAsia"/>
                <w:bCs/>
                <w:kern w:val="0"/>
                <w:szCs w:val="21"/>
              </w:rPr>
              <w:t>0.021</w:t>
            </w:r>
          </w:p>
        </w:tc>
        <w:tc>
          <w:tcPr>
            <w:tcW w:w="1283" w:type="pct"/>
            <w:tcBorders>
              <w:top w:val="single" w:sz="4" w:space="0" w:color="auto"/>
              <w:left w:val="single" w:sz="4" w:space="0" w:color="auto"/>
              <w:bottom w:val="single" w:sz="4" w:space="0" w:color="auto"/>
              <w:right w:val="single" w:sz="4" w:space="0" w:color="auto"/>
            </w:tcBorders>
            <w:vAlign w:val="center"/>
          </w:tcPr>
          <w:p w14:paraId="75E93E9A" w14:textId="77777777" w:rsidR="00054437" w:rsidRPr="000549B1" w:rsidRDefault="00000000">
            <w:pPr>
              <w:widowControl/>
              <w:jc w:val="center"/>
              <w:textAlignment w:val="center"/>
              <w:rPr>
                <w:rFonts w:eastAsiaTheme="minorEastAsia"/>
                <w:bCs/>
                <w:kern w:val="0"/>
                <w:szCs w:val="21"/>
              </w:rPr>
            </w:pPr>
            <w:r w:rsidRPr="000549B1">
              <w:rPr>
                <w:rFonts w:eastAsiaTheme="minorEastAsia"/>
                <w:bCs/>
                <w:kern w:val="0"/>
                <w:szCs w:val="21"/>
              </w:rPr>
              <w:t>0.015</w:t>
            </w:r>
          </w:p>
        </w:tc>
      </w:tr>
    </w:tbl>
    <w:p w14:paraId="0B035239" w14:textId="77777777" w:rsidR="00054437" w:rsidRDefault="00000000">
      <w:pPr>
        <w:pStyle w:val="a2"/>
        <w:spacing w:line="360" w:lineRule="auto"/>
        <w:ind w:firstLine="600"/>
        <w:rPr>
          <w:rFonts w:eastAsiaTheme="minorEastAsia"/>
          <w:bCs/>
          <w:sz w:val="24"/>
          <w:szCs w:val="24"/>
        </w:rPr>
      </w:pPr>
      <w:r w:rsidRPr="000549B1">
        <w:rPr>
          <w:rFonts w:eastAsiaTheme="minorEastAsia"/>
          <w:bCs/>
          <w:sz w:val="24"/>
          <w:szCs w:val="24"/>
        </w:rPr>
        <w:t>据调查，牧区养殖散户秋冬季采取圈养方式养殖，且大多数散户有堆粪场收集的粪便大多作为燃料或者有机肥料还田还草。考虑降雨径流因素极少量污染物会进入河流，因此，畜禽养殖粪便污染物入河系数按</w:t>
      </w:r>
      <w:r w:rsidRPr="000549B1">
        <w:rPr>
          <w:rFonts w:eastAsiaTheme="minorEastAsia"/>
          <w:bCs/>
          <w:sz w:val="24"/>
          <w:szCs w:val="24"/>
        </w:rPr>
        <w:t>1%</w:t>
      </w:r>
      <w:r w:rsidRPr="000549B1">
        <w:rPr>
          <w:rFonts w:eastAsiaTheme="minorEastAsia"/>
          <w:bCs/>
          <w:sz w:val="24"/>
          <w:szCs w:val="24"/>
        </w:rPr>
        <w:t>计算。</w:t>
      </w:r>
    </w:p>
    <w:p w14:paraId="19761021" w14:textId="4B09B7BD" w:rsidR="00407DFF" w:rsidRPr="00407DFF" w:rsidRDefault="00407DFF" w:rsidP="00407DFF">
      <w:pPr>
        <w:pStyle w:val="a2"/>
        <w:spacing w:line="360" w:lineRule="auto"/>
        <w:ind w:firstLine="600"/>
        <w:rPr>
          <w:rFonts w:eastAsiaTheme="minorEastAsia"/>
          <w:bCs/>
          <w:sz w:val="24"/>
          <w:szCs w:val="24"/>
        </w:rPr>
      </w:pPr>
      <w:r w:rsidRPr="00407DFF">
        <w:rPr>
          <w:rFonts w:eastAsiaTheme="minorEastAsia"/>
          <w:bCs/>
          <w:sz w:val="24"/>
          <w:szCs w:val="24"/>
        </w:rPr>
        <w:t>经计算共和县、兴海县畜禽养殖面源污染物入河量</w:t>
      </w:r>
      <w:r w:rsidRPr="00407DFF">
        <w:rPr>
          <w:rFonts w:eastAsiaTheme="minorEastAsia" w:hint="eastAsia"/>
          <w:bCs/>
          <w:sz w:val="24"/>
          <w:szCs w:val="24"/>
        </w:rPr>
        <w:t>COD</w:t>
      </w:r>
      <w:r w:rsidRPr="00407DFF">
        <w:rPr>
          <w:rFonts w:eastAsiaTheme="minorEastAsia"/>
          <w:bCs/>
          <w:sz w:val="24"/>
          <w:szCs w:val="24"/>
        </w:rPr>
        <w:t>为</w:t>
      </w:r>
      <w:r w:rsidRPr="00407DFF">
        <w:rPr>
          <w:rFonts w:eastAsiaTheme="minorEastAsia"/>
          <w:bCs/>
          <w:sz w:val="24"/>
          <w:szCs w:val="24"/>
        </w:rPr>
        <w:t>1146.67t/a</w:t>
      </w:r>
      <w:r w:rsidRPr="00407DFF">
        <w:rPr>
          <w:rFonts w:eastAsiaTheme="minorEastAsia"/>
          <w:bCs/>
          <w:sz w:val="24"/>
          <w:szCs w:val="24"/>
        </w:rPr>
        <w:t>、氨氮</w:t>
      </w:r>
      <w:r w:rsidRPr="00407DFF">
        <w:rPr>
          <w:rFonts w:eastAsiaTheme="minorEastAsia"/>
          <w:bCs/>
          <w:sz w:val="24"/>
          <w:szCs w:val="24"/>
        </w:rPr>
        <w:t>6.54t/a</w:t>
      </w:r>
      <w:r w:rsidRPr="00407DFF">
        <w:rPr>
          <w:rFonts w:eastAsiaTheme="minorEastAsia"/>
          <w:bCs/>
          <w:sz w:val="24"/>
          <w:szCs w:val="24"/>
        </w:rPr>
        <w:t>、总氮</w:t>
      </w:r>
      <w:r w:rsidRPr="00407DFF">
        <w:rPr>
          <w:rFonts w:eastAsiaTheme="minorEastAsia"/>
          <w:bCs/>
          <w:sz w:val="24"/>
          <w:szCs w:val="24"/>
        </w:rPr>
        <w:t>166.64t/a</w:t>
      </w:r>
      <w:r w:rsidRPr="00407DFF">
        <w:rPr>
          <w:rFonts w:eastAsiaTheme="minorEastAsia"/>
          <w:bCs/>
          <w:sz w:val="24"/>
          <w:szCs w:val="24"/>
        </w:rPr>
        <w:t>、总磷</w:t>
      </w:r>
      <w:r w:rsidRPr="00407DFF">
        <w:rPr>
          <w:rFonts w:eastAsiaTheme="minorEastAsia"/>
          <w:bCs/>
          <w:sz w:val="24"/>
          <w:szCs w:val="24"/>
        </w:rPr>
        <w:t>35.30t/a</w:t>
      </w:r>
      <w:r w:rsidRPr="00407DFF">
        <w:rPr>
          <w:rFonts w:eastAsiaTheme="minorEastAsia" w:hint="eastAsia"/>
          <w:bCs/>
          <w:sz w:val="24"/>
          <w:szCs w:val="24"/>
        </w:rPr>
        <w:t>。其中，沙珠玉河</w:t>
      </w:r>
      <w:r w:rsidRPr="00407DFF">
        <w:rPr>
          <w:rFonts w:eastAsiaTheme="minorEastAsia"/>
          <w:bCs/>
          <w:sz w:val="24"/>
          <w:szCs w:val="24"/>
        </w:rPr>
        <w:t>畜禽养殖面源污染物入河量</w:t>
      </w:r>
      <w:r w:rsidRPr="00407DFF">
        <w:rPr>
          <w:rFonts w:eastAsiaTheme="minorEastAsia" w:hint="eastAsia"/>
          <w:bCs/>
          <w:sz w:val="24"/>
          <w:szCs w:val="24"/>
        </w:rPr>
        <w:t>COD</w:t>
      </w:r>
      <w:r w:rsidRPr="00407DFF">
        <w:rPr>
          <w:rFonts w:eastAsiaTheme="minorEastAsia"/>
          <w:bCs/>
          <w:sz w:val="24"/>
          <w:szCs w:val="24"/>
        </w:rPr>
        <w:t>为</w:t>
      </w:r>
      <w:r w:rsidRPr="00407DFF">
        <w:rPr>
          <w:rFonts w:eastAsiaTheme="minorEastAsia" w:hint="eastAsia"/>
          <w:bCs/>
          <w:sz w:val="24"/>
          <w:szCs w:val="24"/>
        </w:rPr>
        <w:t>322.08</w:t>
      </w:r>
      <w:r w:rsidRPr="00407DFF">
        <w:rPr>
          <w:rFonts w:eastAsiaTheme="minorEastAsia"/>
          <w:bCs/>
          <w:sz w:val="24"/>
          <w:szCs w:val="24"/>
        </w:rPr>
        <w:t>t/a</w:t>
      </w:r>
      <w:r w:rsidRPr="00407DFF">
        <w:rPr>
          <w:rFonts w:eastAsiaTheme="minorEastAsia"/>
          <w:bCs/>
          <w:sz w:val="24"/>
          <w:szCs w:val="24"/>
        </w:rPr>
        <w:t>、氨氮</w:t>
      </w:r>
      <w:r w:rsidRPr="00407DFF">
        <w:rPr>
          <w:rFonts w:eastAsiaTheme="minorEastAsia" w:hint="eastAsia"/>
          <w:bCs/>
          <w:sz w:val="24"/>
          <w:szCs w:val="24"/>
        </w:rPr>
        <w:t>1.83</w:t>
      </w:r>
      <w:r w:rsidRPr="00407DFF">
        <w:rPr>
          <w:rFonts w:eastAsiaTheme="minorEastAsia"/>
          <w:bCs/>
          <w:sz w:val="24"/>
          <w:szCs w:val="24"/>
        </w:rPr>
        <w:t>t/a</w:t>
      </w:r>
      <w:r w:rsidRPr="00407DFF">
        <w:rPr>
          <w:rFonts w:eastAsiaTheme="minorEastAsia"/>
          <w:bCs/>
          <w:sz w:val="24"/>
          <w:szCs w:val="24"/>
        </w:rPr>
        <w:t>、总氮</w:t>
      </w:r>
      <w:r w:rsidRPr="00407DFF">
        <w:rPr>
          <w:rFonts w:eastAsiaTheme="minorEastAsia" w:hint="eastAsia"/>
          <w:bCs/>
          <w:sz w:val="24"/>
          <w:szCs w:val="24"/>
        </w:rPr>
        <w:t>46.79</w:t>
      </w:r>
      <w:r w:rsidRPr="00407DFF">
        <w:rPr>
          <w:rFonts w:eastAsiaTheme="minorEastAsia"/>
          <w:bCs/>
          <w:sz w:val="24"/>
          <w:szCs w:val="24"/>
        </w:rPr>
        <w:t>/a</w:t>
      </w:r>
      <w:r w:rsidRPr="00407DFF">
        <w:rPr>
          <w:rFonts w:eastAsiaTheme="minorEastAsia"/>
          <w:bCs/>
          <w:sz w:val="24"/>
          <w:szCs w:val="24"/>
        </w:rPr>
        <w:t>、总磷</w:t>
      </w:r>
      <w:r w:rsidRPr="00407DFF">
        <w:rPr>
          <w:rFonts w:eastAsiaTheme="minorEastAsia" w:hint="eastAsia"/>
          <w:bCs/>
          <w:sz w:val="24"/>
          <w:szCs w:val="24"/>
        </w:rPr>
        <w:t>10.52</w:t>
      </w:r>
      <w:r w:rsidRPr="00407DFF">
        <w:rPr>
          <w:rFonts w:eastAsiaTheme="minorEastAsia"/>
          <w:bCs/>
          <w:sz w:val="24"/>
          <w:szCs w:val="24"/>
        </w:rPr>
        <w:t>t/a</w:t>
      </w:r>
      <w:r w:rsidRPr="00407DFF">
        <w:rPr>
          <w:rFonts w:eastAsiaTheme="minorEastAsia" w:hint="eastAsia"/>
          <w:bCs/>
          <w:sz w:val="24"/>
          <w:szCs w:val="24"/>
        </w:rPr>
        <w:t>。</w:t>
      </w:r>
      <w:r w:rsidRPr="00407DFF">
        <w:rPr>
          <w:rFonts w:eastAsiaTheme="minorEastAsia"/>
          <w:bCs/>
          <w:sz w:val="24"/>
          <w:szCs w:val="24"/>
        </w:rPr>
        <w:t>见</w:t>
      </w:r>
      <w:r w:rsidR="00372953" w:rsidRPr="00372953">
        <w:rPr>
          <w:rFonts w:eastAsiaTheme="minorEastAsia" w:hint="eastAsia"/>
          <w:bCs/>
          <w:sz w:val="24"/>
          <w:szCs w:val="24"/>
        </w:rPr>
        <w:t>表</w:t>
      </w:r>
      <w:r w:rsidR="00372953" w:rsidRPr="00372953">
        <w:rPr>
          <w:rFonts w:eastAsiaTheme="minorEastAsia"/>
          <w:bCs/>
          <w:sz w:val="24"/>
          <w:szCs w:val="24"/>
        </w:rPr>
        <w:t xml:space="preserve"> 3.3</w:t>
      </w:r>
      <w:r w:rsidR="00372953" w:rsidRPr="00372953">
        <w:rPr>
          <w:rFonts w:eastAsiaTheme="minorEastAsia"/>
          <w:bCs/>
          <w:sz w:val="24"/>
          <w:szCs w:val="24"/>
        </w:rPr>
        <w:noBreakHyphen/>
        <w:t>16</w:t>
      </w:r>
      <w:r w:rsidRPr="00407DFF">
        <w:rPr>
          <w:rFonts w:eastAsiaTheme="minorEastAsia"/>
          <w:bCs/>
          <w:sz w:val="24"/>
          <w:szCs w:val="24"/>
        </w:rPr>
        <w:t>。</w:t>
      </w:r>
    </w:p>
    <w:p w14:paraId="5886B2B9" w14:textId="77777777" w:rsidR="00407DFF" w:rsidRPr="000549B1" w:rsidRDefault="00407DFF">
      <w:pPr>
        <w:pStyle w:val="a2"/>
        <w:spacing w:line="360" w:lineRule="auto"/>
        <w:ind w:firstLine="600"/>
        <w:rPr>
          <w:rFonts w:eastAsiaTheme="minorEastAsia"/>
          <w:bCs/>
          <w:sz w:val="24"/>
          <w:szCs w:val="24"/>
        </w:rPr>
        <w:sectPr w:rsidR="00407DFF" w:rsidRPr="000549B1">
          <w:pgSz w:w="11906" w:h="16838"/>
          <w:pgMar w:top="1440" w:right="1800" w:bottom="1440" w:left="1800" w:header="851" w:footer="992" w:gutter="0"/>
          <w:cols w:space="425"/>
          <w:docGrid w:type="lines" w:linePitch="312"/>
        </w:sectPr>
      </w:pPr>
    </w:p>
    <w:p w14:paraId="4283510D" w14:textId="5C1818EA" w:rsidR="00054437" w:rsidRPr="000549B1" w:rsidRDefault="00000000">
      <w:pPr>
        <w:pStyle w:val="aff8"/>
        <w:rPr>
          <w:color w:val="auto"/>
        </w:rPr>
      </w:pPr>
      <w:r w:rsidRPr="000549B1">
        <w:rPr>
          <w:color w:val="auto"/>
        </w:rPr>
        <w:t>表</w:t>
      </w:r>
      <w:r w:rsidR="00372953">
        <w:rPr>
          <w:color w:val="auto"/>
        </w:rPr>
        <w:fldChar w:fldCharType="begin"/>
      </w:r>
      <w:r w:rsidR="00372953">
        <w:rPr>
          <w:color w:val="auto"/>
        </w:rPr>
        <w:instrText xml:space="preserve"> STYLEREF 2 \s </w:instrText>
      </w:r>
      <w:r w:rsidR="00372953">
        <w:rPr>
          <w:color w:val="auto"/>
        </w:rPr>
        <w:fldChar w:fldCharType="separate"/>
      </w:r>
      <w:r w:rsidR="00372953">
        <w:rPr>
          <w:noProof/>
          <w:color w:val="auto"/>
        </w:rPr>
        <w:t>3.3</w:t>
      </w:r>
      <w:r w:rsidR="00372953">
        <w:rPr>
          <w:color w:val="auto"/>
        </w:rPr>
        <w:fldChar w:fldCharType="end"/>
      </w:r>
      <w:r w:rsidR="00372953">
        <w:rPr>
          <w:color w:val="auto"/>
        </w:rPr>
        <w:noBreakHyphen/>
      </w:r>
      <w:r w:rsidR="00372953">
        <w:rPr>
          <w:color w:val="auto"/>
        </w:rPr>
        <w:fldChar w:fldCharType="begin"/>
      </w:r>
      <w:r w:rsidR="00372953">
        <w:rPr>
          <w:color w:val="auto"/>
        </w:rPr>
        <w:instrText xml:space="preserve"> SEQ </w:instrText>
      </w:r>
      <w:r w:rsidR="00372953">
        <w:rPr>
          <w:color w:val="auto"/>
        </w:rPr>
        <w:instrText>表</w:instrText>
      </w:r>
      <w:r w:rsidR="00372953">
        <w:rPr>
          <w:color w:val="auto"/>
        </w:rPr>
        <w:instrText xml:space="preserve"> \* ARABIC \s 2 </w:instrText>
      </w:r>
      <w:r w:rsidR="00372953">
        <w:rPr>
          <w:color w:val="auto"/>
        </w:rPr>
        <w:fldChar w:fldCharType="separate"/>
      </w:r>
      <w:r w:rsidR="00372953">
        <w:rPr>
          <w:noProof/>
          <w:color w:val="auto"/>
        </w:rPr>
        <w:t>15</w:t>
      </w:r>
      <w:r w:rsidR="00372953">
        <w:rPr>
          <w:color w:val="auto"/>
        </w:rPr>
        <w:fldChar w:fldCharType="end"/>
      </w:r>
      <w:r w:rsidRPr="000549B1">
        <w:rPr>
          <w:color w:val="auto"/>
        </w:rPr>
        <w:t>共和县、兴海县牲畜饲养情况统计表单位：万头（只）</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3"/>
        <w:gridCol w:w="1273"/>
        <w:gridCol w:w="2065"/>
        <w:gridCol w:w="1131"/>
        <w:gridCol w:w="1775"/>
        <w:gridCol w:w="987"/>
        <w:gridCol w:w="842"/>
        <w:gridCol w:w="848"/>
        <w:gridCol w:w="1205"/>
        <w:gridCol w:w="842"/>
        <w:gridCol w:w="1774"/>
      </w:tblGrid>
      <w:tr w:rsidR="000549B1" w:rsidRPr="000549B1" w14:paraId="5E801148" w14:textId="77777777">
        <w:trPr>
          <w:trHeight w:val="315"/>
        </w:trPr>
        <w:tc>
          <w:tcPr>
            <w:tcW w:w="1627" w:type="pct"/>
            <w:gridSpan w:val="3"/>
            <w:vMerge w:val="restart"/>
            <w:noWrap/>
            <w:vAlign w:val="center"/>
          </w:tcPr>
          <w:p w14:paraId="42C94480" w14:textId="77777777" w:rsidR="00054437" w:rsidRPr="000549B1" w:rsidRDefault="00000000">
            <w:pPr>
              <w:widowControl/>
              <w:jc w:val="center"/>
              <w:textAlignment w:val="center"/>
              <w:rPr>
                <w:rFonts w:eastAsiaTheme="minorEastAsia"/>
                <w:b/>
                <w:szCs w:val="21"/>
              </w:rPr>
            </w:pPr>
            <w:r w:rsidRPr="000549B1">
              <w:rPr>
                <w:rFonts w:eastAsiaTheme="minorEastAsia"/>
                <w:b/>
                <w:kern w:val="0"/>
                <w:szCs w:val="21"/>
                <w:lang w:bidi="ar"/>
              </w:rPr>
              <w:t>牲畜饲养情况</w:t>
            </w:r>
          </w:p>
        </w:tc>
        <w:tc>
          <w:tcPr>
            <w:tcW w:w="2433" w:type="pct"/>
            <w:gridSpan w:val="6"/>
            <w:noWrap/>
            <w:vAlign w:val="bottom"/>
          </w:tcPr>
          <w:p w14:paraId="3E55C81A" w14:textId="77777777" w:rsidR="00054437" w:rsidRPr="000549B1" w:rsidRDefault="00000000">
            <w:pPr>
              <w:widowControl/>
              <w:jc w:val="center"/>
              <w:textAlignment w:val="bottom"/>
              <w:rPr>
                <w:rFonts w:eastAsiaTheme="minorEastAsia"/>
                <w:b/>
                <w:szCs w:val="21"/>
              </w:rPr>
            </w:pPr>
            <w:r w:rsidRPr="000549B1">
              <w:rPr>
                <w:rFonts w:eastAsiaTheme="minorEastAsia"/>
                <w:b/>
                <w:kern w:val="0"/>
                <w:szCs w:val="21"/>
                <w:lang w:bidi="ar"/>
              </w:rPr>
              <w:t>草食畜</w:t>
            </w:r>
          </w:p>
        </w:tc>
        <w:tc>
          <w:tcPr>
            <w:tcW w:w="302" w:type="pct"/>
            <w:vMerge w:val="restart"/>
            <w:noWrap/>
            <w:vAlign w:val="center"/>
          </w:tcPr>
          <w:p w14:paraId="7BEA72F8" w14:textId="77777777" w:rsidR="00054437" w:rsidRPr="000549B1" w:rsidRDefault="00000000">
            <w:pPr>
              <w:widowControl/>
              <w:jc w:val="center"/>
              <w:textAlignment w:val="center"/>
              <w:rPr>
                <w:rFonts w:eastAsiaTheme="minorEastAsia"/>
                <w:b/>
                <w:szCs w:val="21"/>
              </w:rPr>
            </w:pPr>
            <w:r w:rsidRPr="000549B1">
              <w:rPr>
                <w:rFonts w:eastAsiaTheme="minorEastAsia"/>
                <w:b/>
                <w:kern w:val="0"/>
                <w:szCs w:val="21"/>
                <w:lang w:bidi="ar"/>
              </w:rPr>
              <w:t>猪</w:t>
            </w:r>
          </w:p>
        </w:tc>
        <w:tc>
          <w:tcPr>
            <w:tcW w:w="636" w:type="pct"/>
            <w:vMerge w:val="restart"/>
            <w:noWrap/>
            <w:vAlign w:val="center"/>
          </w:tcPr>
          <w:p w14:paraId="6C499904" w14:textId="77777777" w:rsidR="00054437" w:rsidRPr="000549B1" w:rsidRDefault="00000000">
            <w:pPr>
              <w:widowControl/>
              <w:jc w:val="center"/>
              <w:textAlignment w:val="center"/>
              <w:rPr>
                <w:rFonts w:eastAsiaTheme="minorEastAsia"/>
                <w:b/>
                <w:szCs w:val="21"/>
              </w:rPr>
            </w:pPr>
            <w:r w:rsidRPr="000549B1">
              <w:rPr>
                <w:rFonts w:eastAsiaTheme="minorEastAsia"/>
                <w:b/>
                <w:kern w:val="0"/>
                <w:szCs w:val="21"/>
                <w:lang w:bidi="ar"/>
              </w:rPr>
              <w:t>家禽（活）</w:t>
            </w:r>
          </w:p>
        </w:tc>
      </w:tr>
      <w:tr w:rsidR="000549B1" w:rsidRPr="000549B1" w14:paraId="7D2F7E38" w14:textId="77777777">
        <w:trPr>
          <w:trHeight w:val="315"/>
        </w:trPr>
        <w:tc>
          <w:tcPr>
            <w:tcW w:w="1627" w:type="pct"/>
            <w:gridSpan w:val="3"/>
            <w:vMerge/>
            <w:noWrap/>
            <w:vAlign w:val="center"/>
          </w:tcPr>
          <w:p w14:paraId="7223E779" w14:textId="77777777" w:rsidR="00054437" w:rsidRPr="000549B1" w:rsidRDefault="00054437">
            <w:pPr>
              <w:jc w:val="center"/>
              <w:rPr>
                <w:rFonts w:eastAsiaTheme="minorEastAsia"/>
                <w:b/>
                <w:szCs w:val="21"/>
              </w:rPr>
            </w:pPr>
          </w:p>
        </w:tc>
        <w:tc>
          <w:tcPr>
            <w:tcW w:w="405" w:type="pct"/>
            <w:noWrap/>
            <w:vAlign w:val="bottom"/>
          </w:tcPr>
          <w:p w14:paraId="6673F182" w14:textId="77777777" w:rsidR="00054437" w:rsidRPr="000549B1" w:rsidRDefault="00054437">
            <w:pPr>
              <w:jc w:val="center"/>
              <w:rPr>
                <w:rFonts w:eastAsiaTheme="minorEastAsia"/>
                <w:b/>
                <w:szCs w:val="21"/>
              </w:rPr>
            </w:pPr>
          </w:p>
        </w:tc>
        <w:tc>
          <w:tcPr>
            <w:tcW w:w="1596" w:type="pct"/>
            <w:gridSpan w:val="4"/>
            <w:noWrap/>
            <w:vAlign w:val="bottom"/>
          </w:tcPr>
          <w:p w14:paraId="0904FF71" w14:textId="77777777" w:rsidR="00054437" w:rsidRPr="000549B1" w:rsidRDefault="00000000">
            <w:pPr>
              <w:widowControl/>
              <w:jc w:val="center"/>
              <w:textAlignment w:val="bottom"/>
              <w:rPr>
                <w:rFonts w:eastAsiaTheme="minorEastAsia"/>
                <w:b/>
                <w:szCs w:val="21"/>
              </w:rPr>
            </w:pPr>
            <w:r w:rsidRPr="000549B1">
              <w:rPr>
                <w:rFonts w:eastAsiaTheme="minorEastAsia"/>
                <w:b/>
                <w:kern w:val="0"/>
                <w:szCs w:val="21"/>
                <w:lang w:bidi="ar"/>
              </w:rPr>
              <w:t>大牲畜</w:t>
            </w:r>
          </w:p>
        </w:tc>
        <w:tc>
          <w:tcPr>
            <w:tcW w:w="431" w:type="pct"/>
            <w:vMerge w:val="restart"/>
            <w:noWrap/>
            <w:vAlign w:val="center"/>
          </w:tcPr>
          <w:p w14:paraId="1FC84527" w14:textId="77777777" w:rsidR="00054437" w:rsidRPr="000549B1" w:rsidRDefault="00000000">
            <w:pPr>
              <w:widowControl/>
              <w:jc w:val="center"/>
              <w:textAlignment w:val="center"/>
              <w:rPr>
                <w:rFonts w:eastAsiaTheme="minorEastAsia"/>
                <w:b/>
                <w:szCs w:val="21"/>
              </w:rPr>
            </w:pPr>
            <w:r w:rsidRPr="000549B1">
              <w:rPr>
                <w:rFonts w:eastAsiaTheme="minorEastAsia"/>
                <w:b/>
                <w:kern w:val="0"/>
                <w:szCs w:val="21"/>
                <w:lang w:bidi="ar"/>
              </w:rPr>
              <w:t>羊合计</w:t>
            </w:r>
          </w:p>
        </w:tc>
        <w:tc>
          <w:tcPr>
            <w:tcW w:w="302" w:type="pct"/>
            <w:vMerge/>
            <w:noWrap/>
            <w:vAlign w:val="center"/>
          </w:tcPr>
          <w:p w14:paraId="6111BE5C" w14:textId="77777777" w:rsidR="00054437" w:rsidRPr="000549B1" w:rsidRDefault="00054437">
            <w:pPr>
              <w:jc w:val="center"/>
              <w:rPr>
                <w:rFonts w:eastAsiaTheme="minorEastAsia"/>
                <w:b/>
                <w:szCs w:val="21"/>
              </w:rPr>
            </w:pPr>
          </w:p>
        </w:tc>
        <w:tc>
          <w:tcPr>
            <w:tcW w:w="636" w:type="pct"/>
            <w:vMerge/>
            <w:noWrap/>
            <w:vAlign w:val="center"/>
          </w:tcPr>
          <w:p w14:paraId="00C0BD6C" w14:textId="77777777" w:rsidR="00054437" w:rsidRPr="000549B1" w:rsidRDefault="00054437">
            <w:pPr>
              <w:jc w:val="center"/>
              <w:rPr>
                <w:rFonts w:eastAsiaTheme="minorEastAsia"/>
                <w:b/>
                <w:szCs w:val="21"/>
              </w:rPr>
            </w:pPr>
          </w:p>
        </w:tc>
      </w:tr>
      <w:tr w:rsidR="000549B1" w:rsidRPr="000549B1" w14:paraId="64553CA5" w14:textId="77777777">
        <w:trPr>
          <w:trHeight w:val="315"/>
        </w:trPr>
        <w:tc>
          <w:tcPr>
            <w:tcW w:w="1627" w:type="pct"/>
            <w:gridSpan w:val="3"/>
            <w:vMerge/>
            <w:noWrap/>
            <w:vAlign w:val="center"/>
          </w:tcPr>
          <w:p w14:paraId="220A2E12" w14:textId="77777777" w:rsidR="00054437" w:rsidRPr="000549B1" w:rsidRDefault="00054437">
            <w:pPr>
              <w:jc w:val="center"/>
              <w:rPr>
                <w:rFonts w:eastAsiaTheme="minorEastAsia"/>
                <w:b/>
                <w:szCs w:val="21"/>
              </w:rPr>
            </w:pPr>
          </w:p>
        </w:tc>
        <w:tc>
          <w:tcPr>
            <w:tcW w:w="405" w:type="pct"/>
            <w:noWrap/>
            <w:vAlign w:val="center"/>
          </w:tcPr>
          <w:p w14:paraId="7B9633FD" w14:textId="77777777" w:rsidR="00054437" w:rsidRPr="000549B1" w:rsidRDefault="00000000">
            <w:pPr>
              <w:widowControl/>
              <w:jc w:val="center"/>
              <w:textAlignment w:val="center"/>
              <w:rPr>
                <w:rFonts w:eastAsiaTheme="minorEastAsia"/>
                <w:b/>
                <w:szCs w:val="21"/>
              </w:rPr>
            </w:pPr>
            <w:r w:rsidRPr="000549B1">
              <w:rPr>
                <w:rFonts w:eastAsiaTheme="minorEastAsia"/>
                <w:b/>
                <w:kern w:val="0"/>
                <w:szCs w:val="21"/>
                <w:lang w:bidi="ar"/>
              </w:rPr>
              <w:t>总计</w:t>
            </w:r>
          </w:p>
        </w:tc>
        <w:tc>
          <w:tcPr>
            <w:tcW w:w="636" w:type="pct"/>
            <w:noWrap/>
            <w:vAlign w:val="center"/>
          </w:tcPr>
          <w:p w14:paraId="4C556DBE" w14:textId="77777777" w:rsidR="00054437" w:rsidRPr="000549B1" w:rsidRDefault="00000000">
            <w:pPr>
              <w:widowControl/>
              <w:jc w:val="center"/>
              <w:textAlignment w:val="center"/>
              <w:rPr>
                <w:rFonts w:eastAsiaTheme="minorEastAsia"/>
                <w:b/>
                <w:szCs w:val="21"/>
              </w:rPr>
            </w:pPr>
            <w:r w:rsidRPr="000549B1">
              <w:rPr>
                <w:rFonts w:eastAsiaTheme="minorEastAsia"/>
                <w:b/>
                <w:kern w:val="0"/>
                <w:szCs w:val="21"/>
                <w:lang w:bidi="ar"/>
              </w:rPr>
              <w:t>大牲畜合计</w:t>
            </w:r>
          </w:p>
        </w:tc>
        <w:tc>
          <w:tcPr>
            <w:tcW w:w="354" w:type="pct"/>
            <w:noWrap/>
            <w:vAlign w:val="center"/>
          </w:tcPr>
          <w:p w14:paraId="045FDD2E" w14:textId="77777777" w:rsidR="00054437" w:rsidRPr="000549B1" w:rsidRDefault="00000000">
            <w:pPr>
              <w:widowControl/>
              <w:jc w:val="center"/>
              <w:textAlignment w:val="center"/>
              <w:rPr>
                <w:rFonts w:eastAsiaTheme="minorEastAsia"/>
                <w:b/>
                <w:szCs w:val="21"/>
              </w:rPr>
            </w:pPr>
            <w:r w:rsidRPr="000549B1">
              <w:rPr>
                <w:rFonts w:eastAsiaTheme="minorEastAsia"/>
                <w:b/>
                <w:kern w:val="0"/>
                <w:szCs w:val="21"/>
                <w:lang w:bidi="ar"/>
              </w:rPr>
              <w:t>牛</w:t>
            </w:r>
          </w:p>
        </w:tc>
        <w:tc>
          <w:tcPr>
            <w:tcW w:w="302" w:type="pct"/>
            <w:noWrap/>
            <w:vAlign w:val="center"/>
          </w:tcPr>
          <w:p w14:paraId="6CB4E84D" w14:textId="77777777" w:rsidR="00054437" w:rsidRPr="000549B1" w:rsidRDefault="00000000">
            <w:pPr>
              <w:widowControl/>
              <w:jc w:val="center"/>
              <w:textAlignment w:val="center"/>
              <w:rPr>
                <w:rFonts w:eastAsiaTheme="minorEastAsia"/>
                <w:b/>
                <w:szCs w:val="21"/>
              </w:rPr>
            </w:pPr>
            <w:r w:rsidRPr="000549B1">
              <w:rPr>
                <w:rFonts w:eastAsiaTheme="minorEastAsia"/>
                <w:b/>
                <w:kern w:val="0"/>
                <w:szCs w:val="21"/>
                <w:lang w:bidi="ar"/>
              </w:rPr>
              <w:t>马</w:t>
            </w:r>
          </w:p>
        </w:tc>
        <w:tc>
          <w:tcPr>
            <w:tcW w:w="303" w:type="pct"/>
            <w:noWrap/>
            <w:vAlign w:val="center"/>
          </w:tcPr>
          <w:p w14:paraId="7340D3D2" w14:textId="77777777" w:rsidR="00054437" w:rsidRPr="000549B1" w:rsidRDefault="00000000">
            <w:pPr>
              <w:widowControl/>
              <w:jc w:val="center"/>
              <w:textAlignment w:val="center"/>
              <w:rPr>
                <w:rFonts w:eastAsiaTheme="minorEastAsia"/>
                <w:b/>
                <w:szCs w:val="21"/>
              </w:rPr>
            </w:pPr>
            <w:r w:rsidRPr="000549B1">
              <w:rPr>
                <w:rFonts w:eastAsiaTheme="minorEastAsia"/>
                <w:b/>
                <w:kern w:val="0"/>
                <w:szCs w:val="21"/>
                <w:lang w:bidi="ar"/>
              </w:rPr>
              <w:t>驴</w:t>
            </w:r>
          </w:p>
        </w:tc>
        <w:tc>
          <w:tcPr>
            <w:tcW w:w="431" w:type="pct"/>
            <w:vMerge/>
            <w:noWrap/>
            <w:vAlign w:val="center"/>
          </w:tcPr>
          <w:p w14:paraId="190B1741" w14:textId="77777777" w:rsidR="00054437" w:rsidRPr="000549B1" w:rsidRDefault="00054437">
            <w:pPr>
              <w:jc w:val="center"/>
              <w:rPr>
                <w:rFonts w:eastAsiaTheme="minorEastAsia"/>
                <w:b/>
                <w:szCs w:val="21"/>
              </w:rPr>
            </w:pPr>
          </w:p>
        </w:tc>
        <w:tc>
          <w:tcPr>
            <w:tcW w:w="302" w:type="pct"/>
            <w:vMerge/>
            <w:noWrap/>
            <w:vAlign w:val="center"/>
          </w:tcPr>
          <w:p w14:paraId="5987C4BF" w14:textId="77777777" w:rsidR="00054437" w:rsidRPr="000549B1" w:rsidRDefault="00054437">
            <w:pPr>
              <w:jc w:val="center"/>
              <w:rPr>
                <w:rFonts w:eastAsiaTheme="minorEastAsia"/>
                <w:b/>
                <w:szCs w:val="21"/>
              </w:rPr>
            </w:pPr>
          </w:p>
        </w:tc>
        <w:tc>
          <w:tcPr>
            <w:tcW w:w="636" w:type="pct"/>
            <w:vMerge/>
            <w:noWrap/>
            <w:vAlign w:val="center"/>
          </w:tcPr>
          <w:p w14:paraId="4893ACB3" w14:textId="77777777" w:rsidR="00054437" w:rsidRPr="000549B1" w:rsidRDefault="00054437">
            <w:pPr>
              <w:jc w:val="center"/>
              <w:rPr>
                <w:rFonts w:eastAsiaTheme="minorEastAsia"/>
                <w:b/>
                <w:szCs w:val="21"/>
              </w:rPr>
            </w:pPr>
          </w:p>
        </w:tc>
      </w:tr>
      <w:tr w:rsidR="000549B1" w:rsidRPr="000549B1" w14:paraId="717BA6CF" w14:textId="77777777">
        <w:trPr>
          <w:trHeight w:val="315"/>
        </w:trPr>
        <w:tc>
          <w:tcPr>
            <w:tcW w:w="431" w:type="pct"/>
            <w:vMerge w:val="restart"/>
            <w:noWrap/>
            <w:vAlign w:val="center"/>
          </w:tcPr>
          <w:p w14:paraId="35047C2E" w14:textId="77777777" w:rsidR="00054437" w:rsidRPr="000549B1" w:rsidRDefault="00000000">
            <w:pPr>
              <w:widowControl/>
              <w:jc w:val="center"/>
              <w:textAlignment w:val="center"/>
              <w:rPr>
                <w:rFonts w:eastAsiaTheme="minorEastAsia"/>
                <w:bCs/>
                <w:szCs w:val="21"/>
              </w:rPr>
            </w:pPr>
            <w:r w:rsidRPr="000549B1">
              <w:rPr>
                <w:rFonts w:eastAsiaTheme="minorEastAsia"/>
                <w:bCs/>
                <w:kern w:val="0"/>
                <w:szCs w:val="21"/>
                <w:lang w:bidi="ar"/>
              </w:rPr>
              <w:t>共和县</w:t>
            </w:r>
          </w:p>
        </w:tc>
        <w:tc>
          <w:tcPr>
            <w:tcW w:w="456" w:type="pct"/>
            <w:vMerge w:val="restart"/>
            <w:noWrap/>
            <w:vAlign w:val="center"/>
          </w:tcPr>
          <w:p w14:paraId="081CBC51" w14:textId="77777777" w:rsidR="00054437" w:rsidRPr="000549B1" w:rsidRDefault="00000000">
            <w:pPr>
              <w:widowControl/>
              <w:jc w:val="center"/>
              <w:textAlignment w:val="center"/>
              <w:rPr>
                <w:rFonts w:eastAsiaTheme="minorEastAsia"/>
                <w:bCs/>
                <w:szCs w:val="21"/>
              </w:rPr>
            </w:pPr>
            <w:r w:rsidRPr="000549B1">
              <w:rPr>
                <w:rFonts w:eastAsiaTheme="minorEastAsia"/>
                <w:bCs/>
                <w:kern w:val="0"/>
                <w:szCs w:val="21"/>
                <w:lang w:bidi="ar"/>
              </w:rPr>
              <w:t>2020</w:t>
            </w:r>
            <w:r w:rsidRPr="000549B1">
              <w:rPr>
                <w:rFonts w:eastAsiaTheme="minorEastAsia"/>
                <w:bCs/>
                <w:kern w:val="0"/>
                <w:szCs w:val="21"/>
                <w:lang w:bidi="ar"/>
              </w:rPr>
              <w:t>年</w:t>
            </w:r>
          </w:p>
        </w:tc>
        <w:tc>
          <w:tcPr>
            <w:tcW w:w="739" w:type="pct"/>
            <w:noWrap/>
            <w:vAlign w:val="center"/>
          </w:tcPr>
          <w:p w14:paraId="51712D77" w14:textId="77777777" w:rsidR="00054437" w:rsidRPr="000549B1" w:rsidRDefault="00000000">
            <w:pPr>
              <w:widowControl/>
              <w:jc w:val="center"/>
              <w:textAlignment w:val="center"/>
              <w:rPr>
                <w:rFonts w:eastAsiaTheme="minorEastAsia"/>
                <w:bCs/>
                <w:szCs w:val="21"/>
              </w:rPr>
            </w:pPr>
            <w:r w:rsidRPr="000549B1">
              <w:rPr>
                <w:rFonts w:eastAsiaTheme="minorEastAsia"/>
                <w:bCs/>
                <w:kern w:val="0"/>
                <w:szCs w:val="21"/>
                <w:lang w:bidi="ar"/>
              </w:rPr>
              <w:t>年初存栏头数</w:t>
            </w:r>
          </w:p>
        </w:tc>
        <w:tc>
          <w:tcPr>
            <w:tcW w:w="405" w:type="pct"/>
            <w:noWrap/>
            <w:vAlign w:val="center"/>
          </w:tcPr>
          <w:p w14:paraId="7DEA175A" w14:textId="77777777" w:rsidR="00054437" w:rsidRPr="000549B1" w:rsidRDefault="00000000">
            <w:pPr>
              <w:widowControl/>
              <w:jc w:val="center"/>
              <w:textAlignment w:val="center"/>
              <w:rPr>
                <w:rFonts w:eastAsiaTheme="minorEastAsia"/>
                <w:bCs/>
                <w:szCs w:val="21"/>
              </w:rPr>
            </w:pPr>
            <w:r w:rsidRPr="000549B1">
              <w:rPr>
                <w:rFonts w:eastAsiaTheme="minorEastAsia"/>
                <w:bCs/>
                <w:kern w:val="0"/>
                <w:szCs w:val="21"/>
                <w:lang w:bidi="ar"/>
              </w:rPr>
              <w:t>159.4</w:t>
            </w:r>
          </w:p>
        </w:tc>
        <w:tc>
          <w:tcPr>
            <w:tcW w:w="636" w:type="pct"/>
            <w:noWrap/>
            <w:vAlign w:val="center"/>
          </w:tcPr>
          <w:p w14:paraId="188ED1D5" w14:textId="77777777" w:rsidR="00054437" w:rsidRPr="000549B1" w:rsidRDefault="00000000">
            <w:pPr>
              <w:widowControl/>
              <w:jc w:val="center"/>
              <w:textAlignment w:val="center"/>
              <w:rPr>
                <w:rFonts w:eastAsiaTheme="minorEastAsia"/>
                <w:bCs/>
                <w:szCs w:val="21"/>
              </w:rPr>
            </w:pPr>
            <w:r w:rsidRPr="000549B1">
              <w:rPr>
                <w:rFonts w:eastAsiaTheme="minorEastAsia"/>
                <w:bCs/>
                <w:kern w:val="0"/>
                <w:szCs w:val="21"/>
                <w:lang w:bidi="ar"/>
              </w:rPr>
              <w:t>10.66</w:t>
            </w:r>
          </w:p>
        </w:tc>
        <w:tc>
          <w:tcPr>
            <w:tcW w:w="354" w:type="pct"/>
            <w:noWrap/>
            <w:vAlign w:val="center"/>
          </w:tcPr>
          <w:p w14:paraId="3A148EDA" w14:textId="77777777" w:rsidR="00054437" w:rsidRPr="000549B1" w:rsidRDefault="00000000">
            <w:pPr>
              <w:widowControl/>
              <w:jc w:val="center"/>
              <w:textAlignment w:val="center"/>
              <w:rPr>
                <w:rFonts w:eastAsiaTheme="minorEastAsia"/>
                <w:bCs/>
                <w:szCs w:val="21"/>
              </w:rPr>
            </w:pPr>
            <w:r w:rsidRPr="000549B1">
              <w:rPr>
                <w:rFonts w:eastAsiaTheme="minorEastAsia"/>
                <w:bCs/>
                <w:kern w:val="0"/>
                <w:szCs w:val="21"/>
                <w:lang w:bidi="ar"/>
              </w:rPr>
              <w:t>10.12</w:t>
            </w:r>
          </w:p>
        </w:tc>
        <w:tc>
          <w:tcPr>
            <w:tcW w:w="302" w:type="pct"/>
            <w:noWrap/>
            <w:vAlign w:val="center"/>
          </w:tcPr>
          <w:p w14:paraId="41B91D0F" w14:textId="77777777" w:rsidR="00054437" w:rsidRPr="000549B1" w:rsidRDefault="00000000">
            <w:pPr>
              <w:widowControl/>
              <w:jc w:val="center"/>
              <w:textAlignment w:val="center"/>
              <w:rPr>
                <w:rFonts w:eastAsiaTheme="minorEastAsia"/>
                <w:bCs/>
                <w:szCs w:val="21"/>
              </w:rPr>
            </w:pPr>
            <w:r w:rsidRPr="000549B1">
              <w:rPr>
                <w:rFonts w:eastAsiaTheme="minorEastAsia"/>
                <w:bCs/>
                <w:kern w:val="0"/>
                <w:szCs w:val="21"/>
                <w:lang w:bidi="ar"/>
              </w:rPr>
              <w:t>0.51</w:t>
            </w:r>
          </w:p>
        </w:tc>
        <w:tc>
          <w:tcPr>
            <w:tcW w:w="303" w:type="pct"/>
            <w:noWrap/>
            <w:vAlign w:val="center"/>
          </w:tcPr>
          <w:p w14:paraId="759C9672" w14:textId="77777777" w:rsidR="00054437" w:rsidRPr="000549B1" w:rsidRDefault="00000000">
            <w:pPr>
              <w:widowControl/>
              <w:jc w:val="center"/>
              <w:textAlignment w:val="center"/>
              <w:rPr>
                <w:rFonts w:eastAsiaTheme="minorEastAsia"/>
                <w:bCs/>
                <w:szCs w:val="21"/>
              </w:rPr>
            </w:pPr>
            <w:r w:rsidRPr="000549B1">
              <w:rPr>
                <w:rFonts w:eastAsiaTheme="minorEastAsia"/>
                <w:bCs/>
                <w:kern w:val="0"/>
                <w:szCs w:val="21"/>
                <w:lang w:bidi="ar"/>
              </w:rPr>
              <w:t>0.03</w:t>
            </w:r>
          </w:p>
        </w:tc>
        <w:tc>
          <w:tcPr>
            <w:tcW w:w="431" w:type="pct"/>
            <w:noWrap/>
            <w:vAlign w:val="center"/>
          </w:tcPr>
          <w:p w14:paraId="134496FE" w14:textId="77777777" w:rsidR="00054437" w:rsidRPr="000549B1" w:rsidRDefault="00000000">
            <w:pPr>
              <w:widowControl/>
              <w:jc w:val="center"/>
              <w:textAlignment w:val="center"/>
              <w:rPr>
                <w:rFonts w:eastAsiaTheme="minorEastAsia"/>
                <w:bCs/>
                <w:szCs w:val="21"/>
              </w:rPr>
            </w:pPr>
            <w:r w:rsidRPr="000549B1">
              <w:rPr>
                <w:rFonts w:eastAsiaTheme="minorEastAsia"/>
                <w:bCs/>
                <w:kern w:val="0"/>
                <w:szCs w:val="21"/>
                <w:lang w:bidi="ar"/>
              </w:rPr>
              <w:t>148.74</w:t>
            </w:r>
          </w:p>
        </w:tc>
        <w:tc>
          <w:tcPr>
            <w:tcW w:w="302" w:type="pct"/>
            <w:noWrap/>
            <w:vAlign w:val="center"/>
          </w:tcPr>
          <w:p w14:paraId="49614040" w14:textId="77777777" w:rsidR="00054437" w:rsidRPr="000549B1" w:rsidRDefault="00000000">
            <w:pPr>
              <w:widowControl/>
              <w:jc w:val="center"/>
              <w:textAlignment w:val="center"/>
              <w:rPr>
                <w:rFonts w:eastAsiaTheme="minorEastAsia"/>
                <w:bCs/>
                <w:szCs w:val="21"/>
              </w:rPr>
            </w:pPr>
            <w:r w:rsidRPr="000549B1">
              <w:rPr>
                <w:rFonts w:eastAsiaTheme="minorEastAsia"/>
                <w:bCs/>
                <w:kern w:val="0"/>
                <w:szCs w:val="21"/>
                <w:lang w:bidi="ar"/>
              </w:rPr>
              <w:t>0.76</w:t>
            </w:r>
          </w:p>
        </w:tc>
        <w:tc>
          <w:tcPr>
            <w:tcW w:w="636" w:type="pct"/>
            <w:noWrap/>
            <w:vAlign w:val="center"/>
          </w:tcPr>
          <w:p w14:paraId="32EAB702" w14:textId="77777777" w:rsidR="00054437" w:rsidRPr="000549B1" w:rsidRDefault="00000000">
            <w:pPr>
              <w:widowControl/>
              <w:jc w:val="center"/>
              <w:textAlignment w:val="center"/>
              <w:rPr>
                <w:rFonts w:eastAsiaTheme="minorEastAsia"/>
                <w:bCs/>
                <w:szCs w:val="21"/>
              </w:rPr>
            </w:pPr>
            <w:r w:rsidRPr="000549B1">
              <w:rPr>
                <w:rFonts w:eastAsiaTheme="minorEastAsia"/>
                <w:bCs/>
                <w:kern w:val="0"/>
                <w:szCs w:val="21"/>
                <w:lang w:bidi="ar"/>
              </w:rPr>
              <w:t>2.38</w:t>
            </w:r>
          </w:p>
        </w:tc>
      </w:tr>
      <w:tr w:rsidR="000549B1" w:rsidRPr="000549B1" w14:paraId="2DD92DF8" w14:textId="77777777">
        <w:trPr>
          <w:trHeight w:val="315"/>
        </w:trPr>
        <w:tc>
          <w:tcPr>
            <w:tcW w:w="431" w:type="pct"/>
            <w:vMerge/>
            <w:noWrap/>
            <w:vAlign w:val="center"/>
          </w:tcPr>
          <w:p w14:paraId="2FBB404C" w14:textId="77777777" w:rsidR="00054437" w:rsidRPr="000549B1" w:rsidRDefault="00054437">
            <w:pPr>
              <w:jc w:val="center"/>
              <w:rPr>
                <w:rFonts w:eastAsiaTheme="minorEastAsia"/>
                <w:bCs/>
                <w:szCs w:val="21"/>
              </w:rPr>
            </w:pPr>
          </w:p>
        </w:tc>
        <w:tc>
          <w:tcPr>
            <w:tcW w:w="456" w:type="pct"/>
            <w:vMerge/>
            <w:noWrap/>
            <w:vAlign w:val="center"/>
          </w:tcPr>
          <w:p w14:paraId="3D9E6912" w14:textId="77777777" w:rsidR="00054437" w:rsidRPr="000549B1" w:rsidRDefault="00054437">
            <w:pPr>
              <w:jc w:val="center"/>
              <w:rPr>
                <w:rFonts w:eastAsiaTheme="minorEastAsia"/>
                <w:bCs/>
                <w:szCs w:val="21"/>
              </w:rPr>
            </w:pPr>
          </w:p>
        </w:tc>
        <w:tc>
          <w:tcPr>
            <w:tcW w:w="739" w:type="pct"/>
            <w:noWrap/>
            <w:vAlign w:val="center"/>
          </w:tcPr>
          <w:p w14:paraId="013199A1" w14:textId="77777777" w:rsidR="00054437" w:rsidRPr="000549B1" w:rsidRDefault="00000000">
            <w:pPr>
              <w:widowControl/>
              <w:jc w:val="center"/>
              <w:textAlignment w:val="center"/>
              <w:rPr>
                <w:rFonts w:eastAsiaTheme="minorEastAsia"/>
                <w:bCs/>
                <w:szCs w:val="21"/>
              </w:rPr>
            </w:pPr>
            <w:r w:rsidRPr="000549B1">
              <w:rPr>
                <w:rFonts w:eastAsiaTheme="minorEastAsia"/>
                <w:bCs/>
                <w:kern w:val="0"/>
                <w:szCs w:val="21"/>
                <w:lang w:bidi="ar"/>
              </w:rPr>
              <w:t>年末存栏头数</w:t>
            </w:r>
          </w:p>
        </w:tc>
        <w:tc>
          <w:tcPr>
            <w:tcW w:w="405" w:type="pct"/>
            <w:noWrap/>
            <w:vAlign w:val="center"/>
          </w:tcPr>
          <w:p w14:paraId="66DF70E8" w14:textId="77777777" w:rsidR="00054437" w:rsidRPr="000549B1" w:rsidRDefault="00000000">
            <w:pPr>
              <w:widowControl/>
              <w:jc w:val="center"/>
              <w:textAlignment w:val="center"/>
              <w:rPr>
                <w:rFonts w:eastAsiaTheme="minorEastAsia"/>
                <w:bCs/>
                <w:szCs w:val="21"/>
              </w:rPr>
            </w:pPr>
            <w:r w:rsidRPr="000549B1">
              <w:rPr>
                <w:rFonts w:eastAsiaTheme="minorEastAsia"/>
                <w:bCs/>
                <w:kern w:val="0"/>
                <w:szCs w:val="21"/>
                <w:lang w:bidi="ar"/>
              </w:rPr>
              <w:t>175.09</w:t>
            </w:r>
          </w:p>
        </w:tc>
        <w:tc>
          <w:tcPr>
            <w:tcW w:w="636" w:type="pct"/>
            <w:noWrap/>
            <w:vAlign w:val="center"/>
          </w:tcPr>
          <w:p w14:paraId="24FB4FB2" w14:textId="77777777" w:rsidR="00054437" w:rsidRPr="000549B1" w:rsidRDefault="00000000">
            <w:pPr>
              <w:widowControl/>
              <w:jc w:val="center"/>
              <w:textAlignment w:val="center"/>
              <w:rPr>
                <w:rFonts w:eastAsiaTheme="minorEastAsia"/>
                <w:bCs/>
                <w:szCs w:val="21"/>
              </w:rPr>
            </w:pPr>
            <w:r w:rsidRPr="000549B1">
              <w:rPr>
                <w:rFonts w:eastAsiaTheme="minorEastAsia"/>
                <w:bCs/>
                <w:kern w:val="0"/>
                <w:szCs w:val="21"/>
                <w:lang w:bidi="ar"/>
              </w:rPr>
              <w:t>14.24</w:t>
            </w:r>
          </w:p>
        </w:tc>
        <w:tc>
          <w:tcPr>
            <w:tcW w:w="354" w:type="pct"/>
            <w:noWrap/>
            <w:vAlign w:val="center"/>
          </w:tcPr>
          <w:p w14:paraId="582D35AE" w14:textId="77777777" w:rsidR="00054437" w:rsidRPr="000549B1" w:rsidRDefault="00000000">
            <w:pPr>
              <w:widowControl/>
              <w:jc w:val="center"/>
              <w:textAlignment w:val="center"/>
              <w:rPr>
                <w:rFonts w:eastAsiaTheme="minorEastAsia"/>
                <w:bCs/>
                <w:szCs w:val="21"/>
              </w:rPr>
            </w:pPr>
            <w:r w:rsidRPr="000549B1">
              <w:rPr>
                <w:rFonts w:eastAsiaTheme="minorEastAsia"/>
                <w:bCs/>
                <w:kern w:val="0"/>
                <w:szCs w:val="21"/>
                <w:lang w:bidi="ar"/>
              </w:rPr>
              <w:t>13.57</w:t>
            </w:r>
          </w:p>
        </w:tc>
        <w:tc>
          <w:tcPr>
            <w:tcW w:w="302" w:type="pct"/>
            <w:noWrap/>
            <w:vAlign w:val="center"/>
          </w:tcPr>
          <w:p w14:paraId="59714221" w14:textId="77777777" w:rsidR="00054437" w:rsidRPr="000549B1" w:rsidRDefault="00000000">
            <w:pPr>
              <w:widowControl/>
              <w:jc w:val="center"/>
              <w:textAlignment w:val="center"/>
              <w:rPr>
                <w:rFonts w:eastAsiaTheme="minorEastAsia"/>
                <w:bCs/>
                <w:szCs w:val="21"/>
              </w:rPr>
            </w:pPr>
            <w:r w:rsidRPr="000549B1">
              <w:rPr>
                <w:rFonts w:eastAsiaTheme="minorEastAsia"/>
                <w:bCs/>
                <w:kern w:val="0"/>
                <w:szCs w:val="21"/>
                <w:lang w:bidi="ar"/>
              </w:rPr>
              <w:t>0.66</w:t>
            </w:r>
          </w:p>
        </w:tc>
        <w:tc>
          <w:tcPr>
            <w:tcW w:w="303" w:type="pct"/>
            <w:noWrap/>
            <w:vAlign w:val="center"/>
          </w:tcPr>
          <w:p w14:paraId="6902D7BC" w14:textId="77777777" w:rsidR="00054437" w:rsidRPr="000549B1" w:rsidRDefault="00000000">
            <w:pPr>
              <w:widowControl/>
              <w:jc w:val="center"/>
              <w:textAlignment w:val="center"/>
              <w:rPr>
                <w:rFonts w:eastAsiaTheme="minorEastAsia"/>
                <w:bCs/>
                <w:szCs w:val="21"/>
              </w:rPr>
            </w:pPr>
            <w:r w:rsidRPr="000549B1">
              <w:rPr>
                <w:rFonts w:eastAsiaTheme="minorEastAsia"/>
                <w:bCs/>
                <w:kern w:val="0"/>
                <w:szCs w:val="21"/>
                <w:lang w:bidi="ar"/>
              </w:rPr>
              <w:t>0.01</w:t>
            </w:r>
          </w:p>
        </w:tc>
        <w:tc>
          <w:tcPr>
            <w:tcW w:w="431" w:type="pct"/>
            <w:noWrap/>
            <w:vAlign w:val="center"/>
          </w:tcPr>
          <w:p w14:paraId="2D1B28C8" w14:textId="77777777" w:rsidR="00054437" w:rsidRPr="000549B1" w:rsidRDefault="00000000">
            <w:pPr>
              <w:widowControl/>
              <w:jc w:val="center"/>
              <w:textAlignment w:val="center"/>
              <w:rPr>
                <w:rFonts w:eastAsiaTheme="minorEastAsia"/>
                <w:bCs/>
                <w:szCs w:val="21"/>
              </w:rPr>
            </w:pPr>
            <w:r w:rsidRPr="000549B1">
              <w:rPr>
                <w:rFonts w:eastAsiaTheme="minorEastAsia"/>
                <w:bCs/>
                <w:kern w:val="0"/>
                <w:szCs w:val="21"/>
                <w:lang w:bidi="ar"/>
              </w:rPr>
              <w:t>160.85</w:t>
            </w:r>
          </w:p>
        </w:tc>
        <w:tc>
          <w:tcPr>
            <w:tcW w:w="302" w:type="pct"/>
            <w:noWrap/>
            <w:vAlign w:val="center"/>
          </w:tcPr>
          <w:p w14:paraId="05F84033" w14:textId="77777777" w:rsidR="00054437" w:rsidRPr="000549B1" w:rsidRDefault="00000000">
            <w:pPr>
              <w:widowControl/>
              <w:jc w:val="center"/>
              <w:textAlignment w:val="center"/>
              <w:rPr>
                <w:rFonts w:eastAsiaTheme="minorEastAsia"/>
                <w:bCs/>
                <w:szCs w:val="21"/>
              </w:rPr>
            </w:pPr>
            <w:r w:rsidRPr="000549B1">
              <w:rPr>
                <w:rFonts w:eastAsiaTheme="minorEastAsia"/>
                <w:bCs/>
                <w:kern w:val="0"/>
                <w:szCs w:val="21"/>
                <w:lang w:bidi="ar"/>
              </w:rPr>
              <w:t>1.63</w:t>
            </w:r>
          </w:p>
        </w:tc>
        <w:tc>
          <w:tcPr>
            <w:tcW w:w="636" w:type="pct"/>
            <w:noWrap/>
            <w:vAlign w:val="center"/>
          </w:tcPr>
          <w:p w14:paraId="1FC39934" w14:textId="77777777" w:rsidR="00054437" w:rsidRPr="000549B1" w:rsidRDefault="00000000">
            <w:pPr>
              <w:widowControl/>
              <w:jc w:val="center"/>
              <w:textAlignment w:val="center"/>
              <w:rPr>
                <w:rFonts w:eastAsiaTheme="minorEastAsia"/>
                <w:bCs/>
                <w:szCs w:val="21"/>
              </w:rPr>
            </w:pPr>
            <w:r w:rsidRPr="000549B1">
              <w:rPr>
                <w:rFonts w:eastAsiaTheme="minorEastAsia"/>
                <w:bCs/>
                <w:kern w:val="0"/>
                <w:szCs w:val="21"/>
                <w:lang w:bidi="ar"/>
              </w:rPr>
              <w:t>6.08</w:t>
            </w:r>
          </w:p>
        </w:tc>
      </w:tr>
      <w:tr w:rsidR="000549B1" w:rsidRPr="000549B1" w14:paraId="1E8B087B" w14:textId="77777777">
        <w:trPr>
          <w:trHeight w:val="315"/>
        </w:trPr>
        <w:tc>
          <w:tcPr>
            <w:tcW w:w="431" w:type="pct"/>
            <w:vMerge/>
            <w:noWrap/>
            <w:vAlign w:val="center"/>
          </w:tcPr>
          <w:p w14:paraId="7FC540E8" w14:textId="77777777" w:rsidR="00054437" w:rsidRPr="000549B1" w:rsidRDefault="00054437">
            <w:pPr>
              <w:jc w:val="center"/>
              <w:rPr>
                <w:rFonts w:eastAsiaTheme="minorEastAsia"/>
                <w:bCs/>
                <w:szCs w:val="21"/>
              </w:rPr>
            </w:pPr>
          </w:p>
        </w:tc>
        <w:tc>
          <w:tcPr>
            <w:tcW w:w="456" w:type="pct"/>
            <w:vMerge w:val="restart"/>
            <w:noWrap/>
            <w:vAlign w:val="center"/>
          </w:tcPr>
          <w:p w14:paraId="4D57FEDD" w14:textId="77777777" w:rsidR="00054437" w:rsidRPr="000549B1" w:rsidRDefault="00000000">
            <w:pPr>
              <w:widowControl/>
              <w:jc w:val="center"/>
              <w:textAlignment w:val="center"/>
              <w:rPr>
                <w:rFonts w:eastAsiaTheme="minorEastAsia"/>
                <w:bCs/>
                <w:szCs w:val="21"/>
              </w:rPr>
            </w:pPr>
            <w:r w:rsidRPr="000549B1">
              <w:rPr>
                <w:rFonts w:eastAsiaTheme="minorEastAsia"/>
                <w:bCs/>
                <w:kern w:val="0"/>
                <w:szCs w:val="21"/>
                <w:lang w:bidi="ar"/>
              </w:rPr>
              <w:t>2021</w:t>
            </w:r>
            <w:r w:rsidRPr="000549B1">
              <w:rPr>
                <w:rFonts w:eastAsiaTheme="minorEastAsia"/>
                <w:bCs/>
                <w:kern w:val="0"/>
                <w:szCs w:val="21"/>
                <w:lang w:bidi="ar"/>
              </w:rPr>
              <w:t>年</w:t>
            </w:r>
          </w:p>
        </w:tc>
        <w:tc>
          <w:tcPr>
            <w:tcW w:w="739" w:type="pct"/>
            <w:noWrap/>
            <w:vAlign w:val="center"/>
          </w:tcPr>
          <w:p w14:paraId="43D9446B" w14:textId="77777777" w:rsidR="00054437" w:rsidRPr="000549B1" w:rsidRDefault="00000000">
            <w:pPr>
              <w:widowControl/>
              <w:jc w:val="center"/>
              <w:textAlignment w:val="center"/>
              <w:rPr>
                <w:rFonts w:eastAsiaTheme="minorEastAsia"/>
                <w:bCs/>
                <w:kern w:val="0"/>
                <w:szCs w:val="21"/>
                <w:lang w:bidi="ar"/>
              </w:rPr>
            </w:pPr>
            <w:r w:rsidRPr="000549B1">
              <w:rPr>
                <w:rFonts w:eastAsiaTheme="minorEastAsia"/>
                <w:bCs/>
                <w:kern w:val="0"/>
                <w:szCs w:val="21"/>
                <w:lang w:bidi="ar"/>
              </w:rPr>
              <w:t>年初存栏头数</w:t>
            </w:r>
          </w:p>
        </w:tc>
        <w:tc>
          <w:tcPr>
            <w:tcW w:w="405" w:type="pct"/>
            <w:noWrap/>
            <w:vAlign w:val="bottom"/>
          </w:tcPr>
          <w:p w14:paraId="01229870"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175.09</w:t>
            </w:r>
          </w:p>
        </w:tc>
        <w:tc>
          <w:tcPr>
            <w:tcW w:w="636" w:type="pct"/>
            <w:noWrap/>
            <w:vAlign w:val="bottom"/>
          </w:tcPr>
          <w:p w14:paraId="273EB2D1"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14.24</w:t>
            </w:r>
          </w:p>
        </w:tc>
        <w:tc>
          <w:tcPr>
            <w:tcW w:w="354" w:type="pct"/>
            <w:noWrap/>
            <w:vAlign w:val="bottom"/>
          </w:tcPr>
          <w:p w14:paraId="2B5EC343"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13.57</w:t>
            </w:r>
          </w:p>
        </w:tc>
        <w:tc>
          <w:tcPr>
            <w:tcW w:w="302" w:type="pct"/>
            <w:noWrap/>
            <w:vAlign w:val="bottom"/>
          </w:tcPr>
          <w:p w14:paraId="6D759D51"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0.66</w:t>
            </w:r>
          </w:p>
        </w:tc>
        <w:tc>
          <w:tcPr>
            <w:tcW w:w="303" w:type="pct"/>
            <w:noWrap/>
            <w:vAlign w:val="bottom"/>
          </w:tcPr>
          <w:p w14:paraId="542128EB"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0.01</w:t>
            </w:r>
          </w:p>
        </w:tc>
        <w:tc>
          <w:tcPr>
            <w:tcW w:w="431" w:type="pct"/>
            <w:noWrap/>
            <w:vAlign w:val="bottom"/>
          </w:tcPr>
          <w:p w14:paraId="172BA49A"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160.85</w:t>
            </w:r>
          </w:p>
        </w:tc>
        <w:tc>
          <w:tcPr>
            <w:tcW w:w="302" w:type="pct"/>
            <w:noWrap/>
            <w:vAlign w:val="bottom"/>
          </w:tcPr>
          <w:p w14:paraId="00566AA3"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1.63</w:t>
            </w:r>
          </w:p>
        </w:tc>
        <w:tc>
          <w:tcPr>
            <w:tcW w:w="636" w:type="pct"/>
            <w:noWrap/>
            <w:vAlign w:val="bottom"/>
          </w:tcPr>
          <w:p w14:paraId="0E4595A8"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6.08</w:t>
            </w:r>
          </w:p>
        </w:tc>
      </w:tr>
      <w:tr w:rsidR="000549B1" w:rsidRPr="000549B1" w14:paraId="30D7441E" w14:textId="77777777">
        <w:trPr>
          <w:trHeight w:val="315"/>
        </w:trPr>
        <w:tc>
          <w:tcPr>
            <w:tcW w:w="431" w:type="pct"/>
            <w:vMerge/>
            <w:noWrap/>
            <w:vAlign w:val="center"/>
          </w:tcPr>
          <w:p w14:paraId="56D10C3D" w14:textId="77777777" w:rsidR="00054437" w:rsidRPr="000549B1" w:rsidRDefault="00054437">
            <w:pPr>
              <w:jc w:val="center"/>
              <w:rPr>
                <w:rFonts w:eastAsiaTheme="minorEastAsia"/>
                <w:bCs/>
                <w:szCs w:val="21"/>
              </w:rPr>
            </w:pPr>
          </w:p>
        </w:tc>
        <w:tc>
          <w:tcPr>
            <w:tcW w:w="456" w:type="pct"/>
            <w:vMerge/>
            <w:noWrap/>
            <w:vAlign w:val="center"/>
          </w:tcPr>
          <w:p w14:paraId="2CCF5CFF" w14:textId="77777777" w:rsidR="00054437" w:rsidRPr="000549B1" w:rsidRDefault="00054437">
            <w:pPr>
              <w:jc w:val="center"/>
              <w:rPr>
                <w:rFonts w:eastAsiaTheme="minorEastAsia"/>
                <w:bCs/>
                <w:szCs w:val="21"/>
              </w:rPr>
            </w:pPr>
          </w:p>
        </w:tc>
        <w:tc>
          <w:tcPr>
            <w:tcW w:w="739" w:type="pct"/>
            <w:noWrap/>
            <w:vAlign w:val="center"/>
          </w:tcPr>
          <w:p w14:paraId="2A2F7E80" w14:textId="77777777" w:rsidR="00054437" w:rsidRPr="000549B1" w:rsidRDefault="00000000">
            <w:pPr>
              <w:widowControl/>
              <w:jc w:val="center"/>
              <w:textAlignment w:val="center"/>
              <w:rPr>
                <w:rFonts w:eastAsiaTheme="minorEastAsia"/>
                <w:bCs/>
                <w:kern w:val="0"/>
                <w:szCs w:val="21"/>
                <w:lang w:bidi="ar"/>
              </w:rPr>
            </w:pPr>
            <w:r w:rsidRPr="000549B1">
              <w:rPr>
                <w:rFonts w:eastAsiaTheme="minorEastAsia"/>
                <w:bCs/>
                <w:kern w:val="0"/>
                <w:szCs w:val="21"/>
                <w:lang w:bidi="ar"/>
              </w:rPr>
              <w:t>年末存栏头数</w:t>
            </w:r>
          </w:p>
        </w:tc>
        <w:tc>
          <w:tcPr>
            <w:tcW w:w="405" w:type="pct"/>
            <w:noWrap/>
            <w:vAlign w:val="bottom"/>
          </w:tcPr>
          <w:p w14:paraId="7B14C27F"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196.96</w:t>
            </w:r>
          </w:p>
        </w:tc>
        <w:tc>
          <w:tcPr>
            <w:tcW w:w="636" w:type="pct"/>
            <w:noWrap/>
            <w:vAlign w:val="bottom"/>
          </w:tcPr>
          <w:p w14:paraId="667685B5"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18.49</w:t>
            </w:r>
          </w:p>
        </w:tc>
        <w:tc>
          <w:tcPr>
            <w:tcW w:w="354" w:type="pct"/>
            <w:noWrap/>
            <w:vAlign w:val="bottom"/>
          </w:tcPr>
          <w:p w14:paraId="6BF46F75"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17.49</w:t>
            </w:r>
          </w:p>
        </w:tc>
        <w:tc>
          <w:tcPr>
            <w:tcW w:w="302" w:type="pct"/>
            <w:noWrap/>
            <w:vAlign w:val="bottom"/>
          </w:tcPr>
          <w:p w14:paraId="1B64BB44"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0.98</w:t>
            </w:r>
          </w:p>
        </w:tc>
        <w:tc>
          <w:tcPr>
            <w:tcW w:w="303" w:type="pct"/>
            <w:noWrap/>
            <w:vAlign w:val="bottom"/>
          </w:tcPr>
          <w:p w14:paraId="0270D894"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0.02</w:t>
            </w:r>
          </w:p>
        </w:tc>
        <w:tc>
          <w:tcPr>
            <w:tcW w:w="431" w:type="pct"/>
            <w:noWrap/>
            <w:vAlign w:val="bottom"/>
          </w:tcPr>
          <w:p w14:paraId="3E315412"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178.47</w:t>
            </w:r>
          </w:p>
        </w:tc>
        <w:tc>
          <w:tcPr>
            <w:tcW w:w="302" w:type="pct"/>
            <w:noWrap/>
            <w:vAlign w:val="bottom"/>
          </w:tcPr>
          <w:p w14:paraId="05731A20"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1.35</w:t>
            </w:r>
          </w:p>
        </w:tc>
        <w:tc>
          <w:tcPr>
            <w:tcW w:w="636" w:type="pct"/>
            <w:noWrap/>
            <w:vAlign w:val="bottom"/>
          </w:tcPr>
          <w:p w14:paraId="2BBDF11A"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7.71</w:t>
            </w:r>
          </w:p>
        </w:tc>
      </w:tr>
      <w:tr w:rsidR="000549B1" w:rsidRPr="000549B1" w14:paraId="414C79C4" w14:textId="77777777">
        <w:trPr>
          <w:trHeight w:val="315"/>
        </w:trPr>
        <w:tc>
          <w:tcPr>
            <w:tcW w:w="431" w:type="pct"/>
            <w:vMerge/>
            <w:noWrap/>
            <w:vAlign w:val="center"/>
          </w:tcPr>
          <w:p w14:paraId="4D5D0C4A" w14:textId="77777777" w:rsidR="00054437" w:rsidRPr="000549B1" w:rsidRDefault="00054437">
            <w:pPr>
              <w:jc w:val="center"/>
              <w:rPr>
                <w:rFonts w:eastAsiaTheme="minorEastAsia"/>
                <w:bCs/>
                <w:szCs w:val="21"/>
              </w:rPr>
            </w:pPr>
          </w:p>
        </w:tc>
        <w:tc>
          <w:tcPr>
            <w:tcW w:w="456" w:type="pct"/>
            <w:vMerge w:val="restart"/>
            <w:noWrap/>
            <w:vAlign w:val="center"/>
          </w:tcPr>
          <w:p w14:paraId="05AD411D" w14:textId="77777777" w:rsidR="00054437" w:rsidRPr="000549B1" w:rsidRDefault="00000000">
            <w:pPr>
              <w:widowControl/>
              <w:jc w:val="center"/>
              <w:textAlignment w:val="center"/>
              <w:rPr>
                <w:rFonts w:eastAsiaTheme="minorEastAsia"/>
                <w:bCs/>
                <w:szCs w:val="21"/>
              </w:rPr>
            </w:pPr>
            <w:r w:rsidRPr="000549B1">
              <w:rPr>
                <w:rFonts w:eastAsiaTheme="minorEastAsia"/>
                <w:bCs/>
                <w:kern w:val="0"/>
                <w:szCs w:val="21"/>
                <w:lang w:bidi="ar"/>
              </w:rPr>
              <w:t>2022</w:t>
            </w:r>
            <w:r w:rsidRPr="000549B1">
              <w:rPr>
                <w:rFonts w:eastAsiaTheme="minorEastAsia"/>
                <w:bCs/>
                <w:kern w:val="0"/>
                <w:szCs w:val="21"/>
                <w:lang w:bidi="ar"/>
              </w:rPr>
              <w:t>年</w:t>
            </w:r>
          </w:p>
        </w:tc>
        <w:tc>
          <w:tcPr>
            <w:tcW w:w="739" w:type="pct"/>
            <w:noWrap/>
            <w:vAlign w:val="center"/>
          </w:tcPr>
          <w:p w14:paraId="62A79AEC" w14:textId="77777777" w:rsidR="00054437" w:rsidRPr="000549B1" w:rsidRDefault="00000000">
            <w:pPr>
              <w:widowControl/>
              <w:jc w:val="center"/>
              <w:textAlignment w:val="center"/>
              <w:rPr>
                <w:rFonts w:eastAsiaTheme="minorEastAsia"/>
                <w:bCs/>
                <w:szCs w:val="21"/>
              </w:rPr>
            </w:pPr>
            <w:r w:rsidRPr="000549B1">
              <w:rPr>
                <w:rFonts w:eastAsiaTheme="minorEastAsia"/>
                <w:bCs/>
                <w:kern w:val="0"/>
                <w:szCs w:val="21"/>
                <w:lang w:bidi="ar"/>
              </w:rPr>
              <w:t>年初存栏头数</w:t>
            </w:r>
          </w:p>
        </w:tc>
        <w:tc>
          <w:tcPr>
            <w:tcW w:w="405" w:type="pct"/>
            <w:noWrap/>
            <w:vAlign w:val="bottom"/>
          </w:tcPr>
          <w:p w14:paraId="52EF4213"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196.96</w:t>
            </w:r>
          </w:p>
        </w:tc>
        <w:tc>
          <w:tcPr>
            <w:tcW w:w="636" w:type="pct"/>
            <w:noWrap/>
            <w:vAlign w:val="bottom"/>
          </w:tcPr>
          <w:p w14:paraId="3FC6B3C9"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18.49</w:t>
            </w:r>
          </w:p>
        </w:tc>
        <w:tc>
          <w:tcPr>
            <w:tcW w:w="354" w:type="pct"/>
            <w:noWrap/>
            <w:vAlign w:val="bottom"/>
          </w:tcPr>
          <w:p w14:paraId="44EBFA8A"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17.49</w:t>
            </w:r>
          </w:p>
        </w:tc>
        <w:tc>
          <w:tcPr>
            <w:tcW w:w="302" w:type="pct"/>
            <w:noWrap/>
            <w:vAlign w:val="bottom"/>
          </w:tcPr>
          <w:p w14:paraId="2BF755C7"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0.98</w:t>
            </w:r>
          </w:p>
        </w:tc>
        <w:tc>
          <w:tcPr>
            <w:tcW w:w="303" w:type="pct"/>
            <w:noWrap/>
            <w:vAlign w:val="bottom"/>
          </w:tcPr>
          <w:p w14:paraId="4AA27E5F"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0.02</w:t>
            </w:r>
          </w:p>
        </w:tc>
        <w:tc>
          <w:tcPr>
            <w:tcW w:w="431" w:type="pct"/>
            <w:noWrap/>
            <w:vAlign w:val="bottom"/>
          </w:tcPr>
          <w:p w14:paraId="56D6DC80"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178.47</w:t>
            </w:r>
          </w:p>
        </w:tc>
        <w:tc>
          <w:tcPr>
            <w:tcW w:w="302" w:type="pct"/>
            <w:noWrap/>
            <w:vAlign w:val="bottom"/>
          </w:tcPr>
          <w:p w14:paraId="0BD5FA1D"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1.35</w:t>
            </w:r>
          </w:p>
        </w:tc>
        <w:tc>
          <w:tcPr>
            <w:tcW w:w="636" w:type="pct"/>
            <w:noWrap/>
            <w:vAlign w:val="bottom"/>
          </w:tcPr>
          <w:p w14:paraId="2AE8D552"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7.71</w:t>
            </w:r>
          </w:p>
        </w:tc>
      </w:tr>
      <w:tr w:rsidR="000549B1" w:rsidRPr="000549B1" w14:paraId="6F3C489F" w14:textId="77777777">
        <w:trPr>
          <w:trHeight w:val="315"/>
        </w:trPr>
        <w:tc>
          <w:tcPr>
            <w:tcW w:w="431" w:type="pct"/>
            <w:vMerge/>
            <w:noWrap/>
            <w:vAlign w:val="center"/>
          </w:tcPr>
          <w:p w14:paraId="2DE818EA" w14:textId="77777777" w:rsidR="00054437" w:rsidRPr="000549B1" w:rsidRDefault="00054437">
            <w:pPr>
              <w:jc w:val="center"/>
              <w:rPr>
                <w:rFonts w:eastAsiaTheme="minorEastAsia"/>
                <w:bCs/>
                <w:szCs w:val="21"/>
              </w:rPr>
            </w:pPr>
          </w:p>
        </w:tc>
        <w:tc>
          <w:tcPr>
            <w:tcW w:w="456" w:type="pct"/>
            <w:vMerge/>
            <w:noWrap/>
            <w:vAlign w:val="center"/>
          </w:tcPr>
          <w:p w14:paraId="3C109223" w14:textId="77777777" w:rsidR="00054437" w:rsidRPr="000549B1" w:rsidRDefault="00054437">
            <w:pPr>
              <w:jc w:val="center"/>
              <w:rPr>
                <w:rFonts w:eastAsiaTheme="minorEastAsia"/>
                <w:bCs/>
                <w:szCs w:val="21"/>
              </w:rPr>
            </w:pPr>
          </w:p>
        </w:tc>
        <w:tc>
          <w:tcPr>
            <w:tcW w:w="739" w:type="pct"/>
            <w:noWrap/>
            <w:vAlign w:val="center"/>
          </w:tcPr>
          <w:p w14:paraId="62C32D57" w14:textId="77777777" w:rsidR="00054437" w:rsidRPr="000549B1" w:rsidRDefault="00000000">
            <w:pPr>
              <w:widowControl/>
              <w:jc w:val="center"/>
              <w:textAlignment w:val="center"/>
              <w:rPr>
                <w:rFonts w:eastAsiaTheme="minorEastAsia"/>
                <w:bCs/>
                <w:szCs w:val="21"/>
              </w:rPr>
            </w:pPr>
            <w:r w:rsidRPr="000549B1">
              <w:rPr>
                <w:rFonts w:eastAsiaTheme="minorEastAsia"/>
                <w:bCs/>
                <w:kern w:val="0"/>
                <w:szCs w:val="21"/>
                <w:lang w:bidi="ar"/>
              </w:rPr>
              <w:t>年末存栏头数</w:t>
            </w:r>
          </w:p>
        </w:tc>
        <w:tc>
          <w:tcPr>
            <w:tcW w:w="405" w:type="pct"/>
            <w:noWrap/>
            <w:vAlign w:val="bottom"/>
          </w:tcPr>
          <w:p w14:paraId="74AF60A2"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176.14</w:t>
            </w:r>
          </w:p>
        </w:tc>
        <w:tc>
          <w:tcPr>
            <w:tcW w:w="636" w:type="pct"/>
            <w:noWrap/>
            <w:vAlign w:val="bottom"/>
          </w:tcPr>
          <w:p w14:paraId="071B14A0"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17.89</w:t>
            </w:r>
          </w:p>
        </w:tc>
        <w:tc>
          <w:tcPr>
            <w:tcW w:w="354" w:type="pct"/>
            <w:noWrap/>
            <w:vAlign w:val="bottom"/>
          </w:tcPr>
          <w:p w14:paraId="34F2F5A6"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16.95</w:t>
            </w:r>
          </w:p>
        </w:tc>
        <w:tc>
          <w:tcPr>
            <w:tcW w:w="302" w:type="pct"/>
            <w:noWrap/>
            <w:vAlign w:val="bottom"/>
          </w:tcPr>
          <w:p w14:paraId="67C6ABA2"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0.93</w:t>
            </w:r>
          </w:p>
        </w:tc>
        <w:tc>
          <w:tcPr>
            <w:tcW w:w="303" w:type="pct"/>
            <w:noWrap/>
            <w:vAlign w:val="bottom"/>
          </w:tcPr>
          <w:p w14:paraId="4BB346E2"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0.01</w:t>
            </w:r>
          </w:p>
        </w:tc>
        <w:tc>
          <w:tcPr>
            <w:tcW w:w="431" w:type="pct"/>
            <w:noWrap/>
            <w:vAlign w:val="bottom"/>
          </w:tcPr>
          <w:p w14:paraId="37B32E8F"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158.25</w:t>
            </w:r>
          </w:p>
        </w:tc>
        <w:tc>
          <w:tcPr>
            <w:tcW w:w="302" w:type="pct"/>
            <w:noWrap/>
            <w:vAlign w:val="bottom"/>
          </w:tcPr>
          <w:p w14:paraId="700DF159"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1.7</w:t>
            </w:r>
          </w:p>
        </w:tc>
        <w:tc>
          <w:tcPr>
            <w:tcW w:w="636" w:type="pct"/>
            <w:noWrap/>
            <w:vAlign w:val="bottom"/>
          </w:tcPr>
          <w:p w14:paraId="61F0D585"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5.22</w:t>
            </w:r>
          </w:p>
        </w:tc>
      </w:tr>
      <w:tr w:rsidR="000549B1" w:rsidRPr="000549B1" w14:paraId="25968A95" w14:textId="77777777">
        <w:trPr>
          <w:trHeight w:val="315"/>
        </w:trPr>
        <w:tc>
          <w:tcPr>
            <w:tcW w:w="431" w:type="pct"/>
            <w:vMerge/>
            <w:noWrap/>
            <w:vAlign w:val="center"/>
          </w:tcPr>
          <w:p w14:paraId="76BAFEE2" w14:textId="77777777" w:rsidR="00054437" w:rsidRPr="000549B1" w:rsidRDefault="00054437">
            <w:pPr>
              <w:jc w:val="center"/>
              <w:rPr>
                <w:rFonts w:eastAsiaTheme="minorEastAsia"/>
                <w:bCs/>
                <w:szCs w:val="21"/>
              </w:rPr>
            </w:pPr>
          </w:p>
        </w:tc>
        <w:tc>
          <w:tcPr>
            <w:tcW w:w="456" w:type="pct"/>
            <w:vMerge w:val="restart"/>
            <w:noWrap/>
            <w:vAlign w:val="center"/>
          </w:tcPr>
          <w:p w14:paraId="7ED11F81" w14:textId="77777777" w:rsidR="00054437" w:rsidRPr="000549B1" w:rsidRDefault="00000000">
            <w:pPr>
              <w:widowControl/>
              <w:jc w:val="center"/>
              <w:textAlignment w:val="center"/>
              <w:rPr>
                <w:rFonts w:eastAsiaTheme="minorEastAsia"/>
                <w:bCs/>
                <w:szCs w:val="21"/>
              </w:rPr>
            </w:pPr>
            <w:r w:rsidRPr="000549B1">
              <w:rPr>
                <w:rFonts w:eastAsiaTheme="minorEastAsia"/>
                <w:bCs/>
                <w:kern w:val="0"/>
                <w:szCs w:val="21"/>
                <w:lang w:bidi="ar"/>
              </w:rPr>
              <w:t>2023</w:t>
            </w:r>
            <w:r w:rsidRPr="000549B1">
              <w:rPr>
                <w:rFonts w:eastAsiaTheme="minorEastAsia"/>
                <w:bCs/>
                <w:kern w:val="0"/>
                <w:szCs w:val="21"/>
                <w:lang w:bidi="ar"/>
              </w:rPr>
              <w:t>年</w:t>
            </w:r>
          </w:p>
        </w:tc>
        <w:tc>
          <w:tcPr>
            <w:tcW w:w="739" w:type="pct"/>
            <w:noWrap/>
            <w:vAlign w:val="center"/>
          </w:tcPr>
          <w:p w14:paraId="37B29E5C" w14:textId="77777777" w:rsidR="00054437" w:rsidRPr="000549B1" w:rsidRDefault="00000000">
            <w:pPr>
              <w:widowControl/>
              <w:jc w:val="center"/>
              <w:textAlignment w:val="center"/>
              <w:rPr>
                <w:rFonts w:eastAsiaTheme="minorEastAsia"/>
                <w:bCs/>
                <w:szCs w:val="21"/>
              </w:rPr>
            </w:pPr>
            <w:r w:rsidRPr="000549B1">
              <w:rPr>
                <w:rFonts w:eastAsiaTheme="minorEastAsia"/>
                <w:bCs/>
                <w:kern w:val="0"/>
                <w:szCs w:val="21"/>
                <w:lang w:bidi="ar"/>
              </w:rPr>
              <w:t>年初存栏头数</w:t>
            </w:r>
          </w:p>
        </w:tc>
        <w:tc>
          <w:tcPr>
            <w:tcW w:w="405" w:type="pct"/>
            <w:noWrap/>
            <w:vAlign w:val="bottom"/>
          </w:tcPr>
          <w:p w14:paraId="5A720B0F"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176.14</w:t>
            </w:r>
          </w:p>
        </w:tc>
        <w:tc>
          <w:tcPr>
            <w:tcW w:w="636" w:type="pct"/>
            <w:noWrap/>
            <w:vAlign w:val="bottom"/>
          </w:tcPr>
          <w:p w14:paraId="641F1DE8"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17.89</w:t>
            </w:r>
          </w:p>
        </w:tc>
        <w:tc>
          <w:tcPr>
            <w:tcW w:w="354" w:type="pct"/>
            <w:noWrap/>
            <w:vAlign w:val="bottom"/>
          </w:tcPr>
          <w:p w14:paraId="18CB36DC"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16.95</w:t>
            </w:r>
          </w:p>
        </w:tc>
        <w:tc>
          <w:tcPr>
            <w:tcW w:w="302" w:type="pct"/>
            <w:noWrap/>
            <w:vAlign w:val="bottom"/>
          </w:tcPr>
          <w:p w14:paraId="470446C6"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0.93</w:t>
            </w:r>
          </w:p>
        </w:tc>
        <w:tc>
          <w:tcPr>
            <w:tcW w:w="303" w:type="pct"/>
            <w:noWrap/>
            <w:vAlign w:val="bottom"/>
          </w:tcPr>
          <w:p w14:paraId="0A1C0442"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0.01</w:t>
            </w:r>
          </w:p>
        </w:tc>
        <w:tc>
          <w:tcPr>
            <w:tcW w:w="431" w:type="pct"/>
            <w:noWrap/>
            <w:vAlign w:val="bottom"/>
          </w:tcPr>
          <w:p w14:paraId="6FDC01C9"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158.25</w:t>
            </w:r>
          </w:p>
        </w:tc>
        <w:tc>
          <w:tcPr>
            <w:tcW w:w="302" w:type="pct"/>
            <w:noWrap/>
            <w:vAlign w:val="bottom"/>
          </w:tcPr>
          <w:p w14:paraId="663D637E"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1.7</w:t>
            </w:r>
          </w:p>
        </w:tc>
        <w:tc>
          <w:tcPr>
            <w:tcW w:w="636" w:type="pct"/>
            <w:noWrap/>
            <w:vAlign w:val="bottom"/>
          </w:tcPr>
          <w:p w14:paraId="5C1ED321"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5.22</w:t>
            </w:r>
          </w:p>
        </w:tc>
      </w:tr>
      <w:tr w:rsidR="000549B1" w:rsidRPr="000549B1" w14:paraId="41E55F66" w14:textId="77777777">
        <w:trPr>
          <w:trHeight w:val="315"/>
        </w:trPr>
        <w:tc>
          <w:tcPr>
            <w:tcW w:w="431" w:type="pct"/>
            <w:vMerge/>
            <w:noWrap/>
            <w:vAlign w:val="center"/>
          </w:tcPr>
          <w:p w14:paraId="1B4F37B2" w14:textId="77777777" w:rsidR="00054437" w:rsidRPr="000549B1" w:rsidRDefault="00054437">
            <w:pPr>
              <w:jc w:val="center"/>
              <w:rPr>
                <w:rFonts w:eastAsiaTheme="minorEastAsia"/>
                <w:bCs/>
                <w:szCs w:val="21"/>
              </w:rPr>
            </w:pPr>
          </w:p>
        </w:tc>
        <w:tc>
          <w:tcPr>
            <w:tcW w:w="456" w:type="pct"/>
            <w:vMerge/>
            <w:noWrap/>
            <w:vAlign w:val="center"/>
          </w:tcPr>
          <w:p w14:paraId="491858AB" w14:textId="77777777" w:rsidR="00054437" w:rsidRPr="000549B1" w:rsidRDefault="00054437">
            <w:pPr>
              <w:jc w:val="center"/>
              <w:rPr>
                <w:rFonts w:eastAsiaTheme="minorEastAsia"/>
                <w:bCs/>
                <w:szCs w:val="21"/>
              </w:rPr>
            </w:pPr>
          </w:p>
        </w:tc>
        <w:tc>
          <w:tcPr>
            <w:tcW w:w="739" w:type="pct"/>
            <w:noWrap/>
            <w:vAlign w:val="center"/>
          </w:tcPr>
          <w:p w14:paraId="460E6A05" w14:textId="77777777" w:rsidR="00054437" w:rsidRPr="000549B1" w:rsidRDefault="00000000">
            <w:pPr>
              <w:widowControl/>
              <w:jc w:val="center"/>
              <w:textAlignment w:val="center"/>
              <w:rPr>
                <w:rFonts w:eastAsiaTheme="minorEastAsia"/>
                <w:bCs/>
                <w:szCs w:val="21"/>
              </w:rPr>
            </w:pPr>
            <w:r w:rsidRPr="000549B1">
              <w:rPr>
                <w:rFonts w:eastAsiaTheme="minorEastAsia"/>
                <w:bCs/>
                <w:kern w:val="0"/>
                <w:szCs w:val="21"/>
                <w:lang w:bidi="ar"/>
              </w:rPr>
              <w:t>年末存栏头数</w:t>
            </w:r>
          </w:p>
        </w:tc>
        <w:tc>
          <w:tcPr>
            <w:tcW w:w="405" w:type="pct"/>
            <w:noWrap/>
            <w:vAlign w:val="bottom"/>
          </w:tcPr>
          <w:p w14:paraId="320609C0"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171.96</w:t>
            </w:r>
          </w:p>
        </w:tc>
        <w:tc>
          <w:tcPr>
            <w:tcW w:w="636" w:type="pct"/>
            <w:noWrap/>
            <w:vAlign w:val="bottom"/>
          </w:tcPr>
          <w:p w14:paraId="2CB0CC9D"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16.77</w:t>
            </w:r>
          </w:p>
        </w:tc>
        <w:tc>
          <w:tcPr>
            <w:tcW w:w="354" w:type="pct"/>
            <w:noWrap/>
            <w:vAlign w:val="bottom"/>
          </w:tcPr>
          <w:p w14:paraId="15A66FEA"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15.81</w:t>
            </w:r>
          </w:p>
        </w:tc>
        <w:tc>
          <w:tcPr>
            <w:tcW w:w="302" w:type="pct"/>
            <w:noWrap/>
            <w:vAlign w:val="bottom"/>
          </w:tcPr>
          <w:p w14:paraId="2D20256C"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0.95</w:t>
            </w:r>
          </w:p>
        </w:tc>
        <w:tc>
          <w:tcPr>
            <w:tcW w:w="303" w:type="pct"/>
            <w:noWrap/>
            <w:vAlign w:val="bottom"/>
          </w:tcPr>
          <w:p w14:paraId="454869AA"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0.01</w:t>
            </w:r>
          </w:p>
        </w:tc>
        <w:tc>
          <w:tcPr>
            <w:tcW w:w="431" w:type="pct"/>
            <w:noWrap/>
            <w:vAlign w:val="bottom"/>
          </w:tcPr>
          <w:p w14:paraId="060A78E7"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155.19</w:t>
            </w:r>
          </w:p>
        </w:tc>
        <w:tc>
          <w:tcPr>
            <w:tcW w:w="302" w:type="pct"/>
            <w:noWrap/>
            <w:vAlign w:val="bottom"/>
          </w:tcPr>
          <w:p w14:paraId="5ACCD6BC"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0.39</w:t>
            </w:r>
          </w:p>
        </w:tc>
        <w:tc>
          <w:tcPr>
            <w:tcW w:w="636" w:type="pct"/>
            <w:noWrap/>
            <w:vAlign w:val="bottom"/>
          </w:tcPr>
          <w:p w14:paraId="7F56D990"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3.67</w:t>
            </w:r>
          </w:p>
        </w:tc>
      </w:tr>
      <w:tr w:rsidR="000549B1" w:rsidRPr="000549B1" w14:paraId="7040AFAB" w14:textId="77777777">
        <w:trPr>
          <w:trHeight w:val="315"/>
        </w:trPr>
        <w:tc>
          <w:tcPr>
            <w:tcW w:w="431" w:type="pct"/>
            <w:vMerge/>
            <w:noWrap/>
            <w:vAlign w:val="center"/>
          </w:tcPr>
          <w:p w14:paraId="1789B016" w14:textId="77777777" w:rsidR="00054437" w:rsidRPr="000549B1" w:rsidRDefault="00054437">
            <w:pPr>
              <w:jc w:val="center"/>
              <w:rPr>
                <w:rFonts w:eastAsiaTheme="minorEastAsia"/>
                <w:bCs/>
                <w:szCs w:val="21"/>
              </w:rPr>
            </w:pPr>
          </w:p>
        </w:tc>
        <w:tc>
          <w:tcPr>
            <w:tcW w:w="456" w:type="pct"/>
            <w:vMerge w:val="restart"/>
            <w:noWrap/>
            <w:vAlign w:val="center"/>
          </w:tcPr>
          <w:p w14:paraId="18350247" w14:textId="77777777" w:rsidR="00054437" w:rsidRPr="000549B1" w:rsidRDefault="00000000">
            <w:pPr>
              <w:widowControl/>
              <w:jc w:val="center"/>
              <w:textAlignment w:val="center"/>
              <w:rPr>
                <w:rFonts w:eastAsiaTheme="minorEastAsia"/>
                <w:bCs/>
                <w:szCs w:val="21"/>
              </w:rPr>
            </w:pPr>
            <w:r w:rsidRPr="000549B1">
              <w:rPr>
                <w:rFonts w:eastAsiaTheme="minorEastAsia"/>
                <w:bCs/>
                <w:kern w:val="0"/>
                <w:szCs w:val="21"/>
                <w:lang w:bidi="ar"/>
              </w:rPr>
              <w:t>2024</w:t>
            </w:r>
            <w:r w:rsidRPr="000549B1">
              <w:rPr>
                <w:rFonts w:eastAsiaTheme="minorEastAsia"/>
                <w:bCs/>
                <w:kern w:val="0"/>
                <w:szCs w:val="21"/>
                <w:lang w:bidi="ar"/>
              </w:rPr>
              <w:t>年</w:t>
            </w:r>
          </w:p>
        </w:tc>
        <w:tc>
          <w:tcPr>
            <w:tcW w:w="739" w:type="pct"/>
            <w:noWrap/>
            <w:vAlign w:val="center"/>
          </w:tcPr>
          <w:p w14:paraId="44A51FCE" w14:textId="77777777" w:rsidR="00054437" w:rsidRPr="000549B1" w:rsidRDefault="00000000">
            <w:pPr>
              <w:widowControl/>
              <w:jc w:val="center"/>
              <w:textAlignment w:val="center"/>
              <w:rPr>
                <w:rFonts w:eastAsiaTheme="minorEastAsia"/>
                <w:bCs/>
                <w:szCs w:val="21"/>
              </w:rPr>
            </w:pPr>
            <w:r w:rsidRPr="000549B1">
              <w:rPr>
                <w:rFonts w:eastAsiaTheme="minorEastAsia"/>
                <w:bCs/>
                <w:kern w:val="0"/>
                <w:szCs w:val="21"/>
                <w:lang w:bidi="ar"/>
              </w:rPr>
              <w:t>年初存栏头数</w:t>
            </w:r>
          </w:p>
        </w:tc>
        <w:tc>
          <w:tcPr>
            <w:tcW w:w="405" w:type="pct"/>
            <w:noWrap/>
            <w:vAlign w:val="bottom"/>
          </w:tcPr>
          <w:p w14:paraId="0DC1FCA7" w14:textId="77777777" w:rsidR="00054437" w:rsidRPr="000549B1" w:rsidRDefault="00054437">
            <w:pPr>
              <w:jc w:val="center"/>
              <w:rPr>
                <w:rFonts w:eastAsiaTheme="minorEastAsia"/>
                <w:bCs/>
                <w:szCs w:val="21"/>
              </w:rPr>
            </w:pPr>
          </w:p>
        </w:tc>
        <w:tc>
          <w:tcPr>
            <w:tcW w:w="636" w:type="pct"/>
            <w:noWrap/>
            <w:vAlign w:val="bottom"/>
          </w:tcPr>
          <w:p w14:paraId="66064BD6" w14:textId="77777777" w:rsidR="00054437" w:rsidRPr="000549B1" w:rsidRDefault="00054437">
            <w:pPr>
              <w:jc w:val="center"/>
              <w:rPr>
                <w:rFonts w:eastAsiaTheme="minorEastAsia"/>
                <w:bCs/>
                <w:szCs w:val="21"/>
              </w:rPr>
            </w:pPr>
          </w:p>
        </w:tc>
        <w:tc>
          <w:tcPr>
            <w:tcW w:w="354" w:type="pct"/>
            <w:noWrap/>
            <w:vAlign w:val="bottom"/>
          </w:tcPr>
          <w:p w14:paraId="1A984149" w14:textId="77777777" w:rsidR="00054437" w:rsidRPr="000549B1" w:rsidRDefault="00054437">
            <w:pPr>
              <w:jc w:val="center"/>
              <w:rPr>
                <w:rFonts w:eastAsiaTheme="minorEastAsia"/>
                <w:bCs/>
                <w:szCs w:val="21"/>
              </w:rPr>
            </w:pPr>
          </w:p>
        </w:tc>
        <w:tc>
          <w:tcPr>
            <w:tcW w:w="302" w:type="pct"/>
            <w:noWrap/>
            <w:vAlign w:val="bottom"/>
          </w:tcPr>
          <w:p w14:paraId="5E0D609D" w14:textId="77777777" w:rsidR="00054437" w:rsidRPr="000549B1" w:rsidRDefault="00054437">
            <w:pPr>
              <w:jc w:val="center"/>
              <w:rPr>
                <w:rFonts w:eastAsiaTheme="minorEastAsia"/>
                <w:bCs/>
                <w:szCs w:val="21"/>
              </w:rPr>
            </w:pPr>
          </w:p>
        </w:tc>
        <w:tc>
          <w:tcPr>
            <w:tcW w:w="303" w:type="pct"/>
            <w:noWrap/>
            <w:vAlign w:val="bottom"/>
          </w:tcPr>
          <w:p w14:paraId="424051BC" w14:textId="77777777" w:rsidR="00054437" w:rsidRPr="000549B1" w:rsidRDefault="00054437">
            <w:pPr>
              <w:jc w:val="center"/>
              <w:rPr>
                <w:rFonts w:eastAsiaTheme="minorEastAsia"/>
                <w:bCs/>
                <w:szCs w:val="21"/>
              </w:rPr>
            </w:pPr>
          </w:p>
        </w:tc>
        <w:tc>
          <w:tcPr>
            <w:tcW w:w="431" w:type="pct"/>
            <w:noWrap/>
            <w:vAlign w:val="bottom"/>
          </w:tcPr>
          <w:p w14:paraId="388C65F3" w14:textId="77777777" w:rsidR="00054437" w:rsidRPr="000549B1" w:rsidRDefault="00054437">
            <w:pPr>
              <w:jc w:val="center"/>
              <w:rPr>
                <w:rFonts w:eastAsiaTheme="minorEastAsia"/>
                <w:bCs/>
                <w:szCs w:val="21"/>
              </w:rPr>
            </w:pPr>
          </w:p>
        </w:tc>
        <w:tc>
          <w:tcPr>
            <w:tcW w:w="302" w:type="pct"/>
            <w:noWrap/>
            <w:vAlign w:val="bottom"/>
          </w:tcPr>
          <w:p w14:paraId="7D2FEE25" w14:textId="77777777" w:rsidR="00054437" w:rsidRPr="000549B1" w:rsidRDefault="00054437">
            <w:pPr>
              <w:jc w:val="center"/>
              <w:rPr>
                <w:rFonts w:eastAsiaTheme="minorEastAsia"/>
                <w:bCs/>
                <w:szCs w:val="21"/>
              </w:rPr>
            </w:pPr>
          </w:p>
        </w:tc>
        <w:tc>
          <w:tcPr>
            <w:tcW w:w="636" w:type="pct"/>
            <w:noWrap/>
            <w:vAlign w:val="bottom"/>
          </w:tcPr>
          <w:p w14:paraId="32CFFD99" w14:textId="77777777" w:rsidR="00054437" w:rsidRPr="000549B1" w:rsidRDefault="00054437">
            <w:pPr>
              <w:jc w:val="center"/>
              <w:rPr>
                <w:rFonts w:eastAsiaTheme="minorEastAsia"/>
                <w:bCs/>
                <w:szCs w:val="21"/>
              </w:rPr>
            </w:pPr>
          </w:p>
        </w:tc>
      </w:tr>
      <w:tr w:rsidR="000549B1" w:rsidRPr="000549B1" w14:paraId="52EA2016" w14:textId="77777777">
        <w:trPr>
          <w:trHeight w:val="315"/>
        </w:trPr>
        <w:tc>
          <w:tcPr>
            <w:tcW w:w="431" w:type="pct"/>
            <w:vMerge/>
            <w:noWrap/>
            <w:vAlign w:val="center"/>
          </w:tcPr>
          <w:p w14:paraId="7CA03232" w14:textId="77777777" w:rsidR="00054437" w:rsidRPr="000549B1" w:rsidRDefault="00054437">
            <w:pPr>
              <w:jc w:val="center"/>
              <w:rPr>
                <w:rFonts w:eastAsiaTheme="minorEastAsia"/>
                <w:bCs/>
                <w:szCs w:val="21"/>
              </w:rPr>
            </w:pPr>
          </w:p>
        </w:tc>
        <w:tc>
          <w:tcPr>
            <w:tcW w:w="456" w:type="pct"/>
            <w:vMerge/>
            <w:noWrap/>
            <w:vAlign w:val="center"/>
          </w:tcPr>
          <w:p w14:paraId="28B2AAC4" w14:textId="77777777" w:rsidR="00054437" w:rsidRPr="000549B1" w:rsidRDefault="00054437">
            <w:pPr>
              <w:jc w:val="center"/>
              <w:rPr>
                <w:rFonts w:eastAsiaTheme="minorEastAsia"/>
                <w:bCs/>
                <w:szCs w:val="21"/>
              </w:rPr>
            </w:pPr>
          </w:p>
        </w:tc>
        <w:tc>
          <w:tcPr>
            <w:tcW w:w="739" w:type="pct"/>
            <w:noWrap/>
            <w:vAlign w:val="center"/>
          </w:tcPr>
          <w:p w14:paraId="694DEBC1" w14:textId="77777777" w:rsidR="00054437" w:rsidRPr="000549B1" w:rsidRDefault="00000000">
            <w:pPr>
              <w:widowControl/>
              <w:jc w:val="center"/>
              <w:textAlignment w:val="center"/>
              <w:rPr>
                <w:rFonts w:eastAsiaTheme="minorEastAsia"/>
                <w:bCs/>
                <w:szCs w:val="21"/>
              </w:rPr>
            </w:pPr>
            <w:r w:rsidRPr="000549B1">
              <w:rPr>
                <w:rFonts w:eastAsiaTheme="minorEastAsia"/>
                <w:bCs/>
                <w:kern w:val="0"/>
                <w:szCs w:val="21"/>
                <w:lang w:bidi="ar"/>
              </w:rPr>
              <w:t>年末存栏头数</w:t>
            </w:r>
          </w:p>
        </w:tc>
        <w:tc>
          <w:tcPr>
            <w:tcW w:w="405" w:type="pct"/>
            <w:noWrap/>
            <w:vAlign w:val="bottom"/>
          </w:tcPr>
          <w:p w14:paraId="6D5A410C" w14:textId="77777777" w:rsidR="00054437" w:rsidRPr="000549B1" w:rsidRDefault="00054437">
            <w:pPr>
              <w:jc w:val="center"/>
              <w:rPr>
                <w:rFonts w:eastAsiaTheme="minorEastAsia"/>
                <w:bCs/>
                <w:szCs w:val="21"/>
              </w:rPr>
            </w:pPr>
          </w:p>
        </w:tc>
        <w:tc>
          <w:tcPr>
            <w:tcW w:w="636" w:type="pct"/>
            <w:noWrap/>
            <w:vAlign w:val="bottom"/>
          </w:tcPr>
          <w:p w14:paraId="3A7E65D1" w14:textId="77777777" w:rsidR="00054437" w:rsidRPr="000549B1" w:rsidRDefault="00054437">
            <w:pPr>
              <w:jc w:val="center"/>
              <w:rPr>
                <w:rFonts w:eastAsiaTheme="minorEastAsia"/>
                <w:bCs/>
                <w:szCs w:val="21"/>
              </w:rPr>
            </w:pPr>
          </w:p>
        </w:tc>
        <w:tc>
          <w:tcPr>
            <w:tcW w:w="354" w:type="pct"/>
            <w:noWrap/>
            <w:vAlign w:val="bottom"/>
          </w:tcPr>
          <w:p w14:paraId="1E14D187" w14:textId="77777777" w:rsidR="00054437" w:rsidRPr="000549B1" w:rsidRDefault="00054437">
            <w:pPr>
              <w:jc w:val="center"/>
              <w:rPr>
                <w:rFonts w:eastAsiaTheme="minorEastAsia"/>
                <w:bCs/>
                <w:szCs w:val="21"/>
              </w:rPr>
            </w:pPr>
          </w:p>
        </w:tc>
        <w:tc>
          <w:tcPr>
            <w:tcW w:w="302" w:type="pct"/>
            <w:noWrap/>
            <w:vAlign w:val="bottom"/>
          </w:tcPr>
          <w:p w14:paraId="1FB6F047" w14:textId="77777777" w:rsidR="00054437" w:rsidRPr="000549B1" w:rsidRDefault="00054437">
            <w:pPr>
              <w:jc w:val="center"/>
              <w:rPr>
                <w:rFonts w:eastAsiaTheme="minorEastAsia"/>
                <w:bCs/>
                <w:szCs w:val="21"/>
              </w:rPr>
            </w:pPr>
          </w:p>
        </w:tc>
        <w:tc>
          <w:tcPr>
            <w:tcW w:w="303" w:type="pct"/>
            <w:noWrap/>
            <w:vAlign w:val="bottom"/>
          </w:tcPr>
          <w:p w14:paraId="482C8B2A" w14:textId="77777777" w:rsidR="00054437" w:rsidRPr="000549B1" w:rsidRDefault="00054437">
            <w:pPr>
              <w:jc w:val="center"/>
              <w:rPr>
                <w:rFonts w:eastAsiaTheme="minorEastAsia"/>
                <w:bCs/>
                <w:szCs w:val="21"/>
              </w:rPr>
            </w:pPr>
          </w:p>
        </w:tc>
        <w:tc>
          <w:tcPr>
            <w:tcW w:w="431" w:type="pct"/>
            <w:noWrap/>
            <w:vAlign w:val="bottom"/>
          </w:tcPr>
          <w:p w14:paraId="6FE3AD03" w14:textId="77777777" w:rsidR="00054437" w:rsidRPr="000549B1" w:rsidRDefault="00054437">
            <w:pPr>
              <w:jc w:val="center"/>
              <w:rPr>
                <w:rFonts w:eastAsiaTheme="minorEastAsia"/>
                <w:bCs/>
                <w:szCs w:val="21"/>
              </w:rPr>
            </w:pPr>
          </w:p>
        </w:tc>
        <w:tc>
          <w:tcPr>
            <w:tcW w:w="302" w:type="pct"/>
            <w:noWrap/>
            <w:vAlign w:val="bottom"/>
          </w:tcPr>
          <w:p w14:paraId="0C71355E" w14:textId="77777777" w:rsidR="00054437" w:rsidRPr="000549B1" w:rsidRDefault="00054437">
            <w:pPr>
              <w:jc w:val="center"/>
              <w:rPr>
                <w:rFonts w:eastAsiaTheme="minorEastAsia"/>
                <w:bCs/>
                <w:szCs w:val="21"/>
              </w:rPr>
            </w:pPr>
          </w:p>
        </w:tc>
        <w:tc>
          <w:tcPr>
            <w:tcW w:w="636" w:type="pct"/>
            <w:noWrap/>
            <w:vAlign w:val="bottom"/>
          </w:tcPr>
          <w:p w14:paraId="6E191290" w14:textId="77777777" w:rsidR="00054437" w:rsidRPr="000549B1" w:rsidRDefault="00054437">
            <w:pPr>
              <w:jc w:val="center"/>
              <w:rPr>
                <w:rFonts w:eastAsiaTheme="minorEastAsia"/>
                <w:bCs/>
                <w:szCs w:val="21"/>
              </w:rPr>
            </w:pPr>
          </w:p>
        </w:tc>
      </w:tr>
      <w:tr w:rsidR="000549B1" w:rsidRPr="000549B1" w14:paraId="0708A8B1" w14:textId="77777777">
        <w:trPr>
          <w:trHeight w:val="315"/>
        </w:trPr>
        <w:tc>
          <w:tcPr>
            <w:tcW w:w="431" w:type="pct"/>
            <w:vMerge w:val="restart"/>
            <w:noWrap/>
            <w:vAlign w:val="center"/>
          </w:tcPr>
          <w:p w14:paraId="7ADDDCE8" w14:textId="77777777" w:rsidR="00054437" w:rsidRPr="000549B1" w:rsidRDefault="00000000">
            <w:pPr>
              <w:widowControl/>
              <w:jc w:val="center"/>
              <w:textAlignment w:val="center"/>
              <w:rPr>
                <w:rFonts w:eastAsiaTheme="minorEastAsia"/>
                <w:bCs/>
                <w:szCs w:val="21"/>
              </w:rPr>
            </w:pPr>
            <w:r w:rsidRPr="000549B1">
              <w:rPr>
                <w:rFonts w:eastAsiaTheme="minorEastAsia"/>
                <w:bCs/>
                <w:kern w:val="0"/>
                <w:szCs w:val="21"/>
                <w:lang w:bidi="ar"/>
              </w:rPr>
              <w:t>兴海县</w:t>
            </w:r>
          </w:p>
        </w:tc>
        <w:tc>
          <w:tcPr>
            <w:tcW w:w="456" w:type="pct"/>
            <w:vMerge w:val="restart"/>
            <w:noWrap/>
            <w:vAlign w:val="center"/>
          </w:tcPr>
          <w:p w14:paraId="2C70A638" w14:textId="77777777" w:rsidR="00054437" w:rsidRPr="000549B1" w:rsidRDefault="00000000">
            <w:pPr>
              <w:widowControl/>
              <w:jc w:val="center"/>
              <w:textAlignment w:val="center"/>
              <w:rPr>
                <w:rFonts w:eastAsiaTheme="minorEastAsia"/>
                <w:bCs/>
                <w:szCs w:val="21"/>
              </w:rPr>
            </w:pPr>
            <w:r w:rsidRPr="000549B1">
              <w:rPr>
                <w:rFonts w:eastAsiaTheme="minorEastAsia"/>
                <w:bCs/>
                <w:kern w:val="0"/>
                <w:szCs w:val="21"/>
                <w:lang w:bidi="ar"/>
              </w:rPr>
              <w:t>2020</w:t>
            </w:r>
            <w:r w:rsidRPr="000549B1">
              <w:rPr>
                <w:rFonts w:eastAsiaTheme="minorEastAsia"/>
                <w:bCs/>
                <w:kern w:val="0"/>
                <w:szCs w:val="21"/>
                <w:lang w:bidi="ar"/>
              </w:rPr>
              <w:t>年</w:t>
            </w:r>
          </w:p>
        </w:tc>
        <w:tc>
          <w:tcPr>
            <w:tcW w:w="739" w:type="pct"/>
            <w:noWrap/>
            <w:vAlign w:val="center"/>
          </w:tcPr>
          <w:p w14:paraId="78A58895" w14:textId="77777777" w:rsidR="00054437" w:rsidRPr="000549B1" w:rsidRDefault="00000000">
            <w:pPr>
              <w:widowControl/>
              <w:jc w:val="center"/>
              <w:textAlignment w:val="center"/>
              <w:rPr>
                <w:rFonts w:eastAsiaTheme="minorEastAsia"/>
                <w:bCs/>
                <w:szCs w:val="21"/>
              </w:rPr>
            </w:pPr>
            <w:r w:rsidRPr="000549B1">
              <w:rPr>
                <w:rFonts w:eastAsiaTheme="minorEastAsia"/>
                <w:bCs/>
                <w:kern w:val="0"/>
                <w:szCs w:val="21"/>
                <w:lang w:bidi="ar"/>
              </w:rPr>
              <w:t>年初存栏头数</w:t>
            </w:r>
          </w:p>
        </w:tc>
        <w:tc>
          <w:tcPr>
            <w:tcW w:w="405" w:type="pct"/>
            <w:noWrap/>
            <w:vAlign w:val="center"/>
          </w:tcPr>
          <w:p w14:paraId="0175BEF5" w14:textId="77777777" w:rsidR="00054437" w:rsidRPr="000549B1" w:rsidRDefault="00000000">
            <w:pPr>
              <w:widowControl/>
              <w:jc w:val="center"/>
              <w:textAlignment w:val="center"/>
              <w:rPr>
                <w:rFonts w:eastAsiaTheme="minorEastAsia"/>
                <w:bCs/>
                <w:szCs w:val="21"/>
              </w:rPr>
            </w:pPr>
            <w:r w:rsidRPr="000549B1">
              <w:rPr>
                <w:rFonts w:eastAsiaTheme="minorEastAsia"/>
                <w:bCs/>
                <w:kern w:val="0"/>
                <w:szCs w:val="21"/>
                <w:lang w:bidi="ar"/>
              </w:rPr>
              <w:t>90.89</w:t>
            </w:r>
          </w:p>
        </w:tc>
        <w:tc>
          <w:tcPr>
            <w:tcW w:w="636" w:type="pct"/>
            <w:noWrap/>
            <w:vAlign w:val="center"/>
          </w:tcPr>
          <w:p w14:paraId="1D2B762D" w14:textId="77777777" w:rsidR="00054437" w:rsidRPr="000549B1" w:rsidRDefault="00000000">
            <w:pPr>
              <w:widowControl/>
              <w:jc w:val="center"/>
              <w:textAlignment w:val="center"/>
              <w:rPr>
                <w:rFonts w:eastAsiaTheme="minorEastAsia"/>
                <w:bCs/>
                <w:szCs w:val="21"/>
              </w:rPr>
            </w:pPr>
            <w:r w:rsidRPr="000549B1">
              <w:rPr>
                <w:rFonts w:eastAsiaTheme="minorEastAsia"/>
                <w:bCs/>
                <w:kern w:val="0"/>
                <w:szCs w:val="21"/>
                <w:lang w:bidi="ar"/>
              </w:rPr>
              <w:t>28.29</w:t>
            </w:r>
          </w:p>
        </w:tc>
        <w:tc>
          <w:tcPr>
            <w:tcW w:w="354" w:type="pct"/>
            <w:noWrap/>
            <w:vAlign w:val="center"/>
          </w:tcPr>
          <w:p w14:paraId="27616688" w14:textId="77777777" w:rsidR="00054437" w:rsidRPr="000549B1" w:rsidRDefault="00000000">
            <w:pPr>
              <w:widowControl/>
              <w:jc w:val="center"/>
              <w:textAlignment w:val="center"/>
              <w:rPr>
                <w:rFonts w:eastAsiaTheme="minorEastAsia"/>
                <w:bCs/>
                <w:szCs w:val="21"/>
              </w:rPr>
            </w:pPr>
            <w:r w:rsidRPr="000549B1">
              <w:rPr>
                <w:rFonts w:eastAsiaTheme="minorEastAsia"/>
                <w:bCs/>
                <w:kern w:val="0"/>
                <w:szCs w:val="21"/>
                <w:lang w:bidi="ar"/>
              </w:rPr>
              <w:t>27.86</w:t>
            </w:r>
          </w:p>
        </w:tc>
        <w:tc>
          <w:tcPr>
            <w:tcW w:w="302" w:type="pct"/>
            <w:noWrap/>
            <w:vAlign w:val="center"/>
          </w:tcPr>
          <w:p w14:paraId="5EA727A3" w14:textId="77777777" w:rsidR="00054437" w:rsidRPr="000549B1" w:rsidRDefault="00000000">
            <w:pPr>
              <w:widowControl/>
              <w:jc w:val="center"/>
              <w:textAlignment w:val="center"/>
              <w:rPr>
                <w:rFonts w:eastAsiaTheme="minorEastAsia"/>
                <w:bCs/>
                <w:szCs w:val="21"/>
              </w:rPr>
            </w:pPr>
            <w:r w:rsidRPr="000549B1">
              <w:rPr>
                <w:rFonts w:eastAsiaTheme="minorEastAsia"/>
                <w:bCs/>
                <w:kern w:val="0"/>
                <w:szCs w:val="21"/>
                <w:lang w:bidi="ar"/>
              </w:rPr>
              <w:t>0.38</w:t>
            </w:r>
          </w:p>
        </w:tc>
        <w:tc>
          <w:tcPr>
            <w:tcW w:w="303" w:type="pct"/>
            <w:noWrap/>
            <w:vAlign w:val="center"/>
          </w:tcPr>
          <w:p w14:paraId="4DA89190" w14:textId="77777777" w:rsidR="00054437" w:rsidRPr="000549B1" w:rsidRDefault="00000000">
            <w:pPr>
              <w:widowControl/>
              <w:jc w:val="center"/>
              <w:textAlignment w:val="center"/>
              <w:rPr>
                <w:rFonts w:eastAsiaTheme="minorEastAsia"/>
                <w:bCs/>
                <w:szCs w:val="21"/>
              </w:rPr>
            </w:pPr>
            <w:r w:rsidRPr="000549B1">
              <w:rPr>
                <w:rFonts w:eastAsiaTheme="minorEastAsia"/>
                <w:bCs/>
                <w:kern w:val="0"/>
                <w:szCs w:val="21"/>
                <w:lang w:bidi="ar"/>
              </w:rPr>
              <w:t>0.05</w:t>
            </w:r>
          </w:p>
        </w:tc>
        <w:tc>
          <w:tcPr>
            <w:tcW w:w="431" w:type="pct"/>
            <w:noWrap/>
            <w:vAlign w:val="center"/>
          </w:tcPr>
          <w:p w14:paraId="56E50E56" w14:textId="77777777" w:rsidR="00054437" w:rsidRPr="000549B1" w:rsidRDefault="00000000">
            <w:pPr>
              <w:widowControl/>
              <w:jc w:val="center"/>
              <w:textAlignment w:val="center"/>
              <w:rPr>
                <w:rFonts w:eastAsiaTheme="minorEastAsia"/>
                <w:bCs/>
                <w:szCs w:val="21"/>
              </w:rPr>
            </w:pPr>
            <w:r w:rsidRPr="000549B1">
              <w:rPr>
                <w:rFonts w:eastAsiaTheme="minorEastAsia"/>
                <w:bCs/>
                <w:kern w:val="0"/>
                <w:szCs w:val="21"/>
                <w:lang w:bidi="ar"/>
              </w:rPr>
              <w:t>63.03</w:t>
            </w:r>
          </w:p>
        </w:tc>
        <w:tc>
          <w:tcPr>
            <w:tcW w:w="302" w:type="pct"/>
            <w:noWrap/>
            <w:vAlign w:val="center"/>
          </w:tcPr>
          <w:p w14:paraId="2C63EEF5" w14:textId="77777777" w:rsidR="00054437" w:rsidRPr="000549B1" w:rsidRDefault="00000000">
            <w:pPr>
              <w:widowControl/>
              <w:jc w:val="center"/>
              <w:textAlignment w:val="center"/>
              <w:rPr>
                <w:rFonts w:eastAsiaTheme="minorEastAsia"/>
                <w:bCs/>
                <w:szCs w:val="21"/>
              </w:rPr>
            </w:pPr>
            <w:r w:rsidRPr="000549B1">
              <w:rPr>
                <w:rFonts w:eastAsiaTheme="minorEastAsia"/>
                <w:bCs/>
                <w:kern w:val="0"/>
                <w:szCs w:val="21"/>
                <w:lang w:bidi="ar"/>
              </w:rPr>
              <w:t>0.03</w:t>
            </w:r>
          </w:p>
        </w:tc>
        <w:tc>
          <w:tcPr>
            <w:tcW w:w="636" w:type="pct"/>
            <w:noWrap/>
            <w:vAlign w:val="center"/>
          </w:tcPr>
          <w:p w14:paraId="10D2EE32" w14:textId="77777777" w:rsidR="00054437" w:rsidRPr="000549B1" w:rsidRDefault="00000000">
            <w:pPr>
              <w:widowControl/>
              <w:jc w:val="center"/>
              <w:textAlignment w:val="center"/>
              <w:rPr>
                <w:rFonts w:eastAsiaTheme="minorEastAsia"/>
                <w:bCs/>
                <w:szCs w:val="21"/>
              </w:rPr>
            </w:pPr>
            <w:r w:rsidRPr="000549B1">
              <w:rPr>
                <w:rFonts w:eastAsiaTheme="minorEastAsia"/>
                <w:bCs/>
                <w:kern w:val="0"/>
                <w:szCs w:val="21"/>
                <w:lang w:bidi="ar"/>
              </w:rPr>
              <w:t>0.5</w:t>
            </w:r>
          </w:p>
        </w:tc>
      </w:tr>
      <w:tr w:rsidR="000549B1" w:rsidRPr="000549B1" w14:paraId="2F746535" w14:textId="77777777">
        <w:trPr>
          <w:trHeight w:val="315"/>
        </w:trPr>
        <w:tc>
          <w:tcPr>
            <w:tcW w:w="431" w:type="pct"/>
            <w:vMerge/>
            <w:noWrap/>
            <w:vAlign w:val="center"/>
          </w:tcPr>
          <w:p w14:paraId="723C4E70" w14:textId="77777777" w:rsidR="00054437" w:rsidRPr="000549B1" w:rsidRDefault="00054437">
            <w:pPr>
              <w:jc w:val="center"/>
              <w:rPr>
                <w:rFonts w:eastAsiaTheme="minorEastAsia"/>
                <w:bCs/>
                <w:szCs w:val="21"/>
              </w:rPr>
            </w:pPr>
          </w:p>
        </w:tc>
        <w:tc>
          <w:tcPr>
            <w:tcW w:w="456" w:type="pct"/>
            <w:vMerge/>
            <w:noWrap/>
            <w:vAlign w:val="center"/>
          </w:tcPr>
          <w:p w14:paraId="0E9A0B1D" w14:textId="77777777" w:rsidR="00054437" w:rsidRPr="000549B1" w:rsidRDefault="00054437">
            <w:pPr>
              <w:jc w:val="center"/>
              <w:rPr>
                <w:rFonts w:eastAsiaTheme="minorEastAsia"/>
                <w:bCs/>
                <w:szCs w:val="21"/>
              </w:rPr>
            </w:pPr>
          </w:p>
        </w:tc>
        <w:tc>
          <w:tcPr>
            <w:tcW w:w="739" w:type="pct"/>
            <w:noWrap/>
            <w:vAlign w:val="center"/>
          </w:tcPr>
          <w:p w14:paraId="46A904B8" w14:textId="77777777" w:rsidR="00054437" w:rsidRPr="000549B1" w:rsidRDefault="00000000">
            <w:pPr>
              <w:widowControl/>
              <w:jc w:val="center"/>
              <w:textAlignment w:val="center"/>
              <w:rPr>
                <w:rFonts w:eastAsiaTheme="minorEastAsia"/>
                <w:bCs/>
                <w:szCs w:val="21"/>
              </w:rPr>
            </w:pPr>
            <w:r w:rsidRPr="000549B1">
              <w:rPr>
                <w:rFonts w:eastAsiaTheme="minorEastAsia"/>
                <w:bCs/>
                <w:kern w:val="0"/>
                <w:szCs w:val="21"/>
                <w:lang w:bidi="ar"/>
              </w:rPr>
              <w:t>年末存栏头数</w:t>
            </w:r>
          </w:p>
        </w:tc>
        <w:tc>
          <w:tcPr>
            <w:tcW w:w="405" w:type="pct"/>
            <w:noWrap/>
            <w:vAlign w:val="center"/>
          </w:tcPr>
          <w:p w14:paraId="5D26CEA0" w14:textId="77777777" w:rsidR="00054437" w:rsidRPr="000549B1" w:rsidRDefault="00000000">
            <w:pPr>
              <w:widowControl/>
              <w:jc w:val="center"/>
              <w:textAlignment w:val="center"/>
              <w:rPr>
                <w:rFonts w:eastAsiaTheme="minorEastAsia"/>
                <w:bCs/>
                <w:szCs w:val="21"/>
              </w:rPr>
            </w:pPr>
            <w:r w:rsidRPr="000549B1">
              <w:rPr>
                <w:rFonts w:eastAsiaTheme="minorEastAsia"/>
                <w:bCs/>
                <w:kern w:val="0"/>
                <w:szCs w:val="21"/>
                <w:lang w:bidi="ar"/>
              </w:rPr>
              <w:t>114.19</w:t>
            </w:r>
          </w:p>
        </w:tc>
        <w:tc>
          <w:tcPr>
            <w:tcW w:w="636" w:type="pct"/>
            <w:noWrap/>
            <w:vAlign w:val="center"/>
          </w:tcPr>
          <w:p w14:paraId="34D1AA6A" w14:textId="77777777" w:rsidR="00054437" w:rsidRPr="000549B1" w:rsidRDefault="00000000">
            <w:pPr>
              <w:widowControl/>
              <w:jc w:val="center"/>
              <w:textAlignment w:val="center"/>
              <w:rPr>
                <w:rFonts w:eastAsiaTheme="minorEastAsia"/>
                <w:bCs/>
                <w:szCs w:val="21"/>
              </w:rPr>
            </w:pPr>
            <w:r w:rsidRPr="000549B1">
              <w:rPr>
                <w:rFonts w:eastAsiaTheme="minorEastAsia"/>
                <w:bCs/>
                <w:kern w:val="0"/>
                <w:szCs w:val="21"/>
                <w:lang w:bidi="ar"/>
              </w:rPr>
              <w:t>32.42</w:t>
            </w:r>
          </w:p>
        </w:tc>
        <w:tc>
          <w:tcPr>
            <w:tcW w:w="354" w:type="pct"/>
            <w:noWrap/>
            <w:vAlign w:val="center"/>
          </w:tcPr>
          <w:p w14:paraId="6A8379A0" w14:textId="77777777" w:rsidR="00054437" w:rsidRPr="000549B1" w:rsidRDefault="00000000">
            <w:pPr>
              <w:widowControl/>
              <w:jc w:val="center"/>
              <w:textAlignment w:val="center"/>
              <w:rPr>
                <w:rFonts w:eastAsiaTheme="minorEastAsia"/>
                <w:bCs/>
                <w:szCs w:val="21"/>
              </w:rPr>
            </w:pPr>
            <w:r w:rsidRPr="000549B1">
              <w:rPr>
                <w:rFonts w:eastAsiaTheme="minorEastAsia"/>
                <w:bCs/>
                <w:kern w:val="0"/>
                <w:szCs w:val="21"/>
                <w:lang w:bidi="ar"/>
              </w:rPr>
              <w:t>32.11</w:t>
            </w:r>
          </w:p>
        </w:tc>
        <w:tc>
          <w:tcPr>
            <w:tcW w:w="302" w:type="pct"/>
            <w:noWrap/>
            <w:vAlign w:val="center"/>
          </w:tcPr>
          <w:p w14:paraId="50DDD627" w14:textId="77777777" w:rsidR="00054437" w:rsidRPr="000549B1" w:rsidRDefault="00000000">
            <w:pPr>
              <w:widowControl/>
              <w:jc w:val="center"/>
              <w:textAlignment w:val="center"/>
              <w:rPr>
                <w:rFonts w:eastAsiaTheme="minorEastAsia"/>
                <w:bCs/>
                <w:szCs w:val="21"/>
              </w:rPr>
            </w:pPr>
            <w:r w:rsidRPr="000549B1">
              <w:rPr>
                <w:rFonts w:eastAsiaTheme="minorEastAsia"/>
                <w:bCs/>
                <w:kern w:val="0"/>
                <w:szCs w:val="21"/>
                <w:lang w:bidi="ar"/>
              </w:rPr>
              <w:t>0.3</w:t>
            </w:r>
          </w:p>
        </w:tc>
        <w:tc>
          <w:tcPr>
            <w:tcW w:w="303" w:type="pct"/>
            <w:noWrap/>
            <w:vAlign w:val="center"/>
          </w:tcPr>
          <w:p w14:paraId="696D66A4" w14:textId="77777777" w:rsidR="00054437" w:rsidRPr="000549B1" w:rsidRDefault="00000000">
            <w:pPr>
              <w:widowControl/>
              <w:jc w:val="center"/>
              <w:textAlignment w:val="center"/>
              <w:rPr>
                <w:rFonts w:eastAsiaTheme="minorEastAsia"/>
                <w:bCs/>
                <w:szCs w:val="21"/>
              </w:rPr>
            </w:pPr>
            <w:r w:rsidRPr="000549B1">
              <w:rPr>
                <w:rFonts w:eastAsiaTheme="minorEastAsia"/>
                <w:bCs/>
                <w:kern w:val="0"/>
                <w:szCs w:val="21"/>
                <w:lang w:bidi="ar"/>
              </w:rPr>
              <w:t>0.01</w:t>
            </w:r>
          </w:p>
        </w:tc>
        <w:tc>
          <w:tcPr>
            <w:tcW w:w="431" w:type="pct"/>
            <w:noWrap/>
            <w:vAlign w:val="center"/>
          </w:tcPr>
          <w:p w14:paraId="25077E91" w14:textId="77777777" w:rsidR="00054437" w:rsidRPr="000549B1" w:rsidRDefault="00000000">
            <w:pPr>
              <w:widowControl/>
              <w:jc w:val="center"/>
              <w:textAlignment w:val="center"/>
              <w:rPr>
                <w:rFonts w:eastAsiaTheme="minorEastAsia"/>
                <w:bCs/>
                <w:szCs w:val="21"/>
              </w:rPr>
            </w:pPr>
            <w:r w:rsidRPr="000549B1">
              <w:rPr>
                <w:rFonts w:eastAsiaTheme="minorEastAsia"/>
                <w:bCs/>
                <w:kern w:val="0"/>
                <w:szCs w:val="21"/>
                <w:lang w:bidi="ar"/>
              </w:rPr>
              <w:t>81.77</w:t>
            </w:r>
          </w:p>
        </w:tc>
        <w:tc>
          <w:tcPr>
            <w:tcW w:w="302" w:type="pct"/>
            <w:noWrap/>
            <w:vAlign w:val="center"/>
          </w:tcPr>
          <w:p w14:paraId="2B8F441D" w14:textId="77777777" w:rsidR="00054437" w:rsidRPr="000549B1" w:rsidRDefault="00000000">
            <w:pPr>
              <w:widowControl/>
              <w:jc w:val="center"/>
              <w:textAlignment w:val="center"/>
              <w:rPr>
                <w:rFonts w:eastAsiaTheme="minorEastAsia"/>
                <w:bCs/>
                <w:szCs w:val="21"/>
              </w:rPr>
            </w:pPr>
            <w:r w:rsidRPr="000549B1">
              <w:rPr>
                <w:rFonts w:eastAsiaTheme="minorEastAsia"/>
                <w:bCs/>
                <w:kern w:val="0"/>
                <w:szCs w:val="21"/>
                <w:lang w:bidi="ar"/>
              </w:rPr>
              <w:t>0.53</w:t>
            </w:r>
          </w:p>
        </w:tc>
        <w:tc>
          <w:tcPr>
            <w:tcW w:w="636" w:type="pct"/>
            <w:noWrap/>
            <w:vAlign w:val="center"/>
          </w:tcPr>
          <w:p w14:paraId="3234D24B" w14:textId="77777777" w:rsidR="00054437" w:rsidRPr="000549B1" w:rsidRDefault="00000000">
            <w:pPr>
              <w:widowControl/>
              <w:jc w:val="center"/>
              <w:textAlignment w:val="center"/>
              <w:rPr>
                <w:rFonts w:eastAsiaTheme="minorEastAsia"/>
                <w:bCs/>
                <w:szCs w:val="21"/>
              </w:rPr>
            </w:pPr>
            <w:r w:rsidRPr="000549B1">
              <w:rPr>
                <w:rFonts w:eastAsiaTheme="minorEastAsia"/>
                <w:bCs/>
                <w:kern w:val="0"/>
                <w:szCs w:val="21"/>
                <w:lang w:bidi="ar"/>
              </w:rPr>
              <w:t>0.18</w:t>
            </w:r>
          </w:p>
        </w:tc>
      </w:tr>
      <w:tr w:rsidR="000549B1" w:rsidRPr="000549B1" w14:paraId="2E4CAE80" w14:textId="77777777">
        <w:trPr>
          <w:trHeight w:val="315"/>
        </w:trPr>
        <w:tc>
          <w:tcPr>
            <w:tcW w:w="431" w:type="pct"/>
            <w:vMerge/>
            <w:noWrap/>
            <w:vAlign w:val="center"/>
          </w:tcPr>
          <w:p w14:paraId="1F5B738E" w14:textId="77777777" w:rsidR="00054437" w:rsidRPr="000549B1" w:rsidRDefault="00054437">
            <w:pPr>
              <w:jc w:val="center"/>
              <w:rPr>
                <w:rFonts w:eastAsiaTheme="minorEastAsia"/>
                <w:bCs/>
                <w:szCs w:val="21"/>
              </w:rPr>
            </w:pPr>
          </w:p>
        </w:tc>
        <w:tc>
          <w:tcPr>
            <w:tcW w:w="456" w:type="pct"/>
            <w:vMerge w:val="restart"/>
            <w:noWrap/>
            <w:vAlign w:val="center"/>
          </w:tcPr>
          <w:p w14:paraId="126CC523" w14:textId="77777777" w:rsidR="00054437" w:rsidRPr="000549B1" w:rsidRDefault="00000000">
            <w:pPr>
              <w:widowControl/>
              <w:jc w:val="center"/>
              <w:textAlignment w:val="center"/>
              <w:rPr>
                <w:rFonts w:eastAsiaTheme="minorEastAsia"/>
                <w:bCs/>
                <w:szCs w:val="21"/>
              </w:rPr>
            </w:pPr>
            <w:r w:rsidRPr="000549B1">
              <w:rPr>
                <w:rFonts w:eastAsiaTheme="minorEastAsia"/>
                <w:bCs/>
                <w:kern w:val="0"/>
                <w:szCs w:val="21"/>
                <w:lang w:bidi="ar"/>
              </w:rPr>
              <w:t>2021</w:t>
            </w:r>
            <w:r w:rsidRPr="000549B1">
              <w:rPr>
                <w:rFonts w:eastAsiaTheme="minorEastAsia"/>
                <w:bCs/>
                <w:kern w:val="0"/>
                <w:szCs w:val="21"/>
                <w:lang w:bidi="ar"/>
              </w:rPr>
              <w:t>年</w:t>
            </w:r>
          </w:p>
        </w:tc>
        <w:tc>
          <w:tcPr>
            <w:tcW w:w="739" w:type="pct"/>
            <w:noWrap/>
            <w:vAlign w:val="center"/>
          </w:tcPr>
          <w:p w14:paraId="71D38C2E" w14:textId="77777777" w:rsidR="00054437" w:rsidRPr="000549B1" w:rsidRDefault="00000000">
            <w:pPr>
              <w:widowControl/>
              <w:jc w:val="center"/>
              <w:textAlignment w:val="center"/>
              <w:rPr>
                <w:rFonts w:eastAsiaTheme="minorEastAsia"/>
                <w:bCs/>
                <w:kern w:val="0"/>
                <w:szCs w:val="21"/>
                <w:lang w:bidi="ar"/>
              </w:rPr>
            </w:pPr>
            <w:r w:rsidRPr="000549B1">
              <w:rPr>
                <w:rFonts w:eastAsiaTheme="minorEastAsia"/>
                <w:bCs/>
                <w:kern w:val="0"/>
                <w:szCs w:val="21"/>
                <w:lang w:bidi="ar"/>
              </w:rPr>
              <w:t>年初存栏头数</w:t>
            </w:r>
          </w:p>
        </w:tc>
        <w:tc>
          <w:tcPr>
            <w:tcW w:w="405" w:type="pct"/>
            <w:noWrap/>
            <w:vAlign w:val="bottom"/>
          </w:tcPr>
          <w:p w14:paraId="5BB5B0F4"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114.19</w:t>
            </w:r>
          </w:p>
        </w:tc>
        <w:tc>
          <w:tcPr>
            <w:tcW w:w="636" w:type="pct"/>
            <w:noWrap/>
            <w:vAlign w:val="bottom"/>
          </w:tcPr>
          <w:p w14:paraId="64525E60"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32.42</w:t>
            </w:r>
          </w:p>
        </w:tc>
        <w:tc>
          <w:tcPr>
            <w:tcW w:w="354" w:type="pct"/>
            <w:noWrap/>
            <w:vAlign w:val="bottom"/>
          </w:tcPr>
          <w:p w14:paraId="46FB6BA1"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32.11</w:t>
            </w:r>
          </w:p>
        </w:tc>
        <w:tc>
          <w:tcPr>
            <w:tcW w:w="302" w:type="pct"/>
            <w:noWrap/>
            <w:vAlign w:val="bottom"/>
          </w:tcPr>
          <w:p w14:paraId="365CE8C3"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0.3</w:t>
            </w:r>
          </w:p>
        </w:tc>
        <w:tc>
          <w:tcPr>
            <w:tcW w:w="303" w:type="pct"/>
            <w:noWrap/>
            <w:vAlign w:val="bottom"/>
          </w:tcPr>
          <w:p w14:paraId="255A628C"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0.01</w:t>
            </w:r>
          </w:p>
        </w:tc>
        <w:tc>
          <w:tcPr>
            <w:tcW w:w="431" w:type="pct"/>
            <w:noWrap/>
            <w:vAlign w:val="bottom"/>
          </w:tcPr>
          <w:p w14:paraId="1783694E"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81.77</w:t>
            </w:r>
          </w:p>
        </w:tc>
        <w:tc>
          <w:tcPr>
            <w:tcW w:w="302" w:type="pct"/>
            <w:noWrap/>
            <w:vAlign w:val="bottom"/>
          </w:tcPr>
          <w:p w14:paraId="276BA403"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0.53</w:t>
            </w:r>
          </w:p>
        </w:tc>
        <w:tc>
          <w:tcPr>
            <w:tcW w:w="636" w:type="pct"/>
            <w:noWrap/>
            <w:vAlign w:val="bottom"/>
          </w:tcPr>
          <w:p w14:paraId="677FD649"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0.18</w:t>
            </w:r>
          </w:p>
        </w:tc>
      </w:tr>
      <w:tr w:rsidR="000549B1" w:rsidRPr="000549B1" w14:paraId="7B3364EE" w14:textId="77777777">
        <w:trPr>
          <w:trHeight w:val="315"/>
        </w:trPr>
        <w:tc>
          <w:tcPr>
            <w:tcW w:w="431" w:type="pct"/>
            <w:vMerge/>
            <w:noWrap/>
            <w:vAlign w:val="center"/>
          </w:tcPr>
          <w:p w14:paraId="4ECF2144" w14:textId="77777777" w:rsidR="00054437" w:rsidRPr="000549B1" w:rsidRDefault="00054437">
            <w:pPr>
              <w:jc w:val="center"/>
              <w:rPr>
                <w:rFonts w:eastAsiaTheme="minorEastAsia"/>
                <w:bCs/>
                <w:szCs w:val="21"/>
              </w:rPr>
            </w:pPr>
          </w:p>
        </w:tc>
        <w:tc>
          <w:tcPr>
            <w:tcW w:w="456" w:type="pct"/>
            <w:vMerge/>
            <w:noWrap/>
            <w:vAlign w:val="center"/>
          </w:tcPr>
          <w:p w14:paraId="7B3C1374" w14:textId="77777777" w:rsidR="00054437" w:rsidRPr="000549B1" w:rsidRDefault="00054437">
            <w:pPr>
              <w:jc w:val="center"/>
              <w:rPr>
                <w:rFonts w:eastAsiaTheme="minorEastAsia"/>
                <w:bCs/>
                <w:szCs w:val="21"/>
              </w:rPr>
            </w:pPr>
          </w:p>
        </w:tc>
        <w:tc>
          <w:tcPr>
            <w:tcW w:w="739" w:type="pct"/>
            <w:noWrap/>
            <w:vAlign w:val="center"/>
          </w:tcPr>
          <w:p w14:paraId="4AC33C9B" w14:textId="77777777" w:rsidR="00054437" w:rsidRPr="000549B1" w:rsidRDefault="00000000">
            <w:pPr>
              <w:widowControl/>
              <w:jc w:val="center"/>
              <w:textAlignment w:val="center"/>
              <w:rPr>
                <w:rFonts w:eastAsiaTheme="minorEastAsia"/>
                <w:bCs/>
                <w:kern w:val="0"/>
                <w:szCs w:val="21"/>
                <w:lang w:bidi="ar"/>
              </w:rPr>
            </w:pPr>
            <w:r w:rsidRPr="000549B1">
              <w:rPr>
                <w:rFonts w:eastAsiaTheme="minorEastAsia"/>
                <w:bCs/>
                <w:kern w:val="0"/>
                <w:szCs w:val="21"/>
                <w:lang w:bidi="ar"/>
              </w:rPr>
              <w:t>年末存栏头数</w:t>
            </w:r>
          </w:p>
        </w:tc>
        <w:tc>
          <w:tcPr>
            <w:tcW w:w="405" w:type="pct"/>
            <w:noWrap/>
            <w:vAlign w:val="bottom"/>
          </w:tcPr>
          <w:p w14:paraId="3EF8DCB4"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87.38</w:t>
            </w:r>
          </w:p>
        </w:tc>
        <w:tc>
          <w:tcPr>
            <w:tcW w:w="636" w:type="pct"/>
            <w:noWrap/>
            <w:vAlign w:val="bottom"/>
          </w:tcPr>
          <w:p w14:paraId="6C37A96C"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32.5</w:t>
            </w:r>
          </w:p>
        </w:tc>
        <w:tc>
          <w:tcPr>
            <w:tcW w:w="354" w:type="pct"/>
            <w:noWrap/>
            <w:vAlign w:val="bottom"/>
          </w:tcPr>
          <w:p w14:paraId="2E6B91BE"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32.29</w:t>
            </w:r>
          </w:p>
        </w:tc>
        <w:tc>
          <w:tcPr>
            <w:tcW w:w="302" w:type="pct"/>
            <w:noWrap/>
            <w:vAlign w:val="bottom"/>
          </w:tcPr>
          <w:p w14:paraId="6FC2E316"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0.2</w:t>
            </w:r>
          </w:p>
        </w:tc>
        <w:tc>
          <w:tcPr>
            <w:tcW w:w="303" w:type="pct"/>
            <w:noWrap/>
            <w:vAlign w:val="bottom"/>
          </w:tcPr>
          <w:p w14:paraId="228EC49F"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0.01</w:t>
            </w:r>
          </w:p>
        </w:tc>
        <w:tc>
          <w:tcPr>
            <w:tcW w:w="431" w:type="pct"/>
            <w:noWrap/>
            <w:vAlign w:val="bottom"/>
          </w:tcPr>
          <w:p w14:paraId="5A19C487"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54.88</w:t>
            </w:r>
          </w:p>
        </w:tc>
        <w:tc>
          <w:tcPr>
            <w:tcW w:w="302" w:type="pct"/>
            <w:noWrap/>
            <w:vAlign w:val="bottom"/>
          </w:tcPr>
          <w:p w14:paraId="299554CC"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0.49</w:t>
            </w:r>
          </w:p>
        </w:tc>
        <w:tc>
          <w:tcPr>
            <w:tcW w:w="636" w:type="pct"/>
            <w:noWrap/>
            <w:vAlign w:val="bottom"/>
          </w:tcPr>
          <w:p w14:paraId="60E2E335"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0.19</w:t>
            </w:r>
          </w:p>
        </w:tc>
      </w:tr>
      <w:tr w:rsidR="000549B1" w:rsidRPr="000549B1" w14:paraId="66E353CF" w14:textId="77777777">
        <w:trPr>
          <w:trHeight w:val="315"/>
        </w:trPr>
        <w:tc>
          <w:tcPr>
            <w:tcW w:w="431" w:type="pct"/>
            <w:vMerge/>
            <w:noWrap/>
            <w:vAlign w:val="center"/>
          </w:tcPr>
          <w:p w14:paraId="7DB40840" w14:textId="77777777" w:rsidR="00054437" w:rsidRPr="000549B1" w:rsidRDefault="00054437">
            <w:pPr>
              <w:jc w:val="center"/>
              <w:rPr>
                <w:rFonts w:eastAsiaTheme="minorEastAsia"/>
                <w:bCs/>
                <w:szCs w:val="21"/>
              </w:rPr>
            </w:pPr>
          </w:p>
        </w:tc>
        <w:tc>
          <w:tcPr>
            <w:tcW w:w="456" w:type="pct"/>
            <w:vMerge w:val="restart"/>
            <w:noWrap/>
            <w:vAlign w:val="center"/>
          </w:tcPr>
          <w:p w14:paraId="7EAD80F3" w14:textId="77777777" w:rsidR="00054437" w:rsidRPr="000549B1" w:rsidRDefault="00000000">
            <w:pPr>
              <w:widowControl/>
              <w:jc w:val="center"/>
              <w:textAlignment w:val="center"/>
              <w:rPr>
                <w:rFonts w:eastAsiaTheme="minorEastAsia"/>
                <w:bCs/>
                <w:szCs w:val="21"/>
              </w:rPr>
            </w:pPr>
            <w:r w:rsidRPr="000549B1">
              <w:rPr>
                <w:rFonts w:eastAsiaTheme="minorEastAsia"/>
                <w:bCs/>
                <w:kern w:val="0"/>
                <w:szCs w:val="21"/>
                <w:lang w:bidi="ar"/>
              </w:rPr>
              <w:t>2022</w:t>
            </w:r>
            <w:r w:rsidRPr="000549B1">
              <w:rPr>
                <w:rFonts w:eastAsiaTheme="minorEastAsia"/>
                <w:bCs/>
                <w:kern w:val="0"/>
                <w:szCs w:val="21"/>
                <w:lang w:bidi="ar"/>
              </w:rPr>
              <w:t>年</w:t>
            </w:r>
          </w:p>
        </w:tc>
        <w:tc>
          <w:tcPr>
            <w:tcW w:w="739" w:type="pct"/>
            <w:noWrap/>
            <w:vAlign w:val="center"/>
          </w:tcPr>
          <w:p w14:paraId="6138D44D" w14:textId="77777777" w:rsidR="00054437" w:rsidRPr="000549B1" w:rsidRDefault="00000000">
            <w:pPr>
              <w:widowControl/>
              <w:jc w:val="center"/>
              <w:textAlignment w:val="center"/>
              <w:rPr>
                <w:rFonts w:eastAsiaTheme="minorEastAsia"/>
                <w:bCs/>
                <w:szCs w:val="21"/>
              </w:rPr>
            </w:pPr>
            <w:r w:rsidRPr="000549B1">
              <w:rPr>
                <w:rFonts w:eastAsiaTheme="minorEastAsia"/>
                <w:bCs/>
                <w:kern w:val="0"/>
                <w:szCs w:val="21"/>
                <w:lang w:bidi="ar"/>
              </w:rPr>
              <w:t>年初存栏头数</w:t>
            </w:r>
          </w:p>
        </w:tc>
        <w:tc>
          <w:tcPr>
            <w:tcW w:w="405" w:type="pct"/>
            <w:noWrap/>
            <w:vAlign w:val="bottom"/>
          </w:tcPr>
          <w:p w14:paraId="5C3568B6"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87.38</w:t>
            </w:r>
          </w:p>
        </w:tc>
        <w:tc>
          <w:tcPr>
            <w:tcW w:w="636" w:type="pct"/>
            <w:noWrap/>
            <w:vAlign w:val="bottom"/>
          </w:tcPr>
          <w:p w14:paraId="07FEE6B0"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32.5</w:t>
            </w:r>
          </w:p>
        </w:tc>
        <w:tc>
          <w:tcPr>
            <w:tcW w:w="354" w:type="pct"/>
            <w:noWrap/>
            <w:vAlign w:val="bottom"/>
          </w:tcPr>
          <w:p w14:paraId="58E495E0"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32.29</w:t>
            </w:r>
          </w:p>
        </w:tc>
        <w:tc>
          <w:tcPr>
            <w:tcW w:w="302" w:type="pct"/>
            <w:noWrap/>
            <w:vAlign w:val="bottom"/>
          </w:tcPr>
          <w:p w14:paraId="54568518"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0.2</w:t>
            </w:r>
          </w:p>
        </w:tc>
        <w:tc>
          <w:tcPr>
            <w:tcW w:w="303" w:type="pct"/>
            <w:noWrap/>
            <w:vAlign w:val="bottom"/>
          </w:tcPr>
          <w:p w14:paraId="163CD7F1"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0.01</w:t>
            </w:r>
          </w:p>
        </w:tc>
        <w:tc>
          <w:tcPr>
            <w:tcW w:w="431" w:type="pct"/>
            <w:noWrap/>
            <w:vAlign w:val="bottom"/>
          </w:tcPr>
          <w:p w14:paraId="3734F372"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54.88</w:t>
            </w:r>
          </w:p>
        </w:tc>
        <w:tc>
          <w:tcPr>
            <w:tcW w:w="302" w:type="pct"/>
            <w:noWrap/>
            <w:vAlign w:val="bottom"/>
          </w:tcPr>
          <w:p w14:paraId="056C2D6A"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0.49</w:t>
            </w:r>
          </w:p>
        </w:tc>
        <w:tc>
          <w:tcPr>
            <w:tcW w:w="636" w:type="pct"/>
            <w:noWrap/>
            <w:vAlign w:val="bottom"/>
          </w:tcPr>
          <w:p w14:paraId="2216FC8C"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0.19</w:t>
            </w:r>
          </w:p>
        </w:tc>
      </w:tr>
      <w:tr w:rsidR="000549B1" w:rsidRPr="000549B1" w14:paraId="01BA3051" w14:textId="77777777">
        <w:trPr>
          <w:trHeight w:val="315"/>
        </w:trPr>
        <w:tc>
          <w:tcPr>
            <w:tcW w:w="431" w:type="pct"/>
            <w:vMerge/>
            <w:noWrap/>
            <w:vAlign w:val="center"/>
          </w:tcPr>
          <w:p w14:paraId="3A131AF2" w14:textId="77777777" w:rsidR="00054437" w:rsidRPr="000549B1" w:rsidRDefault="00054437">
            <w:pPr>
              <w:jc w:val="center"/>
              <w:rPr>
                <w:rFonts w:eastAsiaTheme="minorEastAsia"/>
                <w:bCs/>
                <w:szCs w:val="21"/>
              </w:rPr>
            </w:pPr>
          </w:p>
        </w:tc>
        <w:tc>
          <w:tcPr>
            <w:tcW w:w="456" w:type="pct"/>
            <w:vMerge/>
            <w:noWrap/>
            <w:vAlign w:val="center"/>
          </w:tcPr>
          <w:p w14:paraId="09FD7B3A" w14:textId="77777777" w:rsidR="00054437" w:rsidRPr="000549B1" w:rsidRDefault="00054437">
            <w:pPr>
              <w:jc w:val="center"/>
              <w:rPr>
                <w:rFonts w:eastAsiaTheme="minorEastAsia"/>
                <w:bCs/>
                <w:szCs w:val="21"/>
              </w:rPr>
            </w:pPr>
          </w:p>
        </w:tc>
        <w:tc>
          <w:tcPr>
            <w:tcW w:w="739" w:type="pct"/>
            <w:noWrap/>
            <w:vAlign w:val="center"/>
          </w:tcPr>
          <w:p w14:paraId="5C6D1438" w14:textId="77777777" w:rsidR="00054437" w:rsidRPr="000549B1" w:rsidRDefault="00000000">
            <w:pPr>
              <w:widowControl/>
              <w:jc w:val="center"/>
              <w:textAlignment w:val="center"/>
              <w:rPr>
                <w:rFonts w:eastAsiaTheme="minorEastAsia"/>
                <w:bCs/>
                <w:szCs w:val="21"/>
              </w:rPr>
            </w:pPr>
            <w:r w:rsidRPr="000549B1">
              <w:rPr>
                <w:rFonts w:eastAsiaTheme="minorEastAsia"/>
                <w:bCs/>
                <w:kern w:val="0"/>
                <w:szCs w:val="21"/>
                <w:lang w:bidi="ar"/>
              </w:rPr>
              <w:t>年末存栏头数</w:t>
            </w:r>
          </w:p>
        </w:tc>
        <w:tc>
          <w:tcPr>
            <w:tcW w:w="405" w:type="pct"/>
            <w:noWrap/>
            <w:vAlign w:val="bottom"/>
          </w:tcPr>
          <w:p w14:paraId="5FAD925E"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89.28</w:t>
            </w:r>
          </w:p>
        </w:tc>
        <w:tc>
          <w:tcPr>
            <w:tcW w:w="636" w:type="pct"/>
            <w:noWrap/>
            <w:vAlign w:val="bottom"/>
          </w:tcPr>
          <w:p w14:paraId="20D4FAD0"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31.4</w:t>
            </w:r>
          </w:p>
        </w:tc>
        <w:tc>
          <w:tcPr>
            <w:tcW w:w="354" w:type="pct"/>
            <w:noWrap/>
            <w:vAlign w:val="bottom"/>
          </w:tcPr>
          <w:p w14:paraId="25A6CF29"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31.2</w:t>
            </w:r>
          </w:p>
        </w:tc>
        <w:tc>
          <w:tcPr>
            <w:tcW w:w="302" w:type="pct"/>
            <w:noWrap/>
            <w:vAlign w:val="bottom"/>
          </w:tcPr>
          <w:p w14:paraId="0B662A52"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0.2</w:t>
            </w:r>
          </w:p>
        </w:tc>
        <w:tc>
          <w:tcPr>
            <w:tcW w:w="303" w:type="pct"/>
            <w:noWrap/>
            <w:vAlign w:val="bottom"/>
          </w:tcPr>
          <w:p w14:paraId="697237C5"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0</w:t>
            </w:r>
          </w:p>
        </w:tc>
        <w:tc>
          <w:tcPr>
            <w:tcW w:w="431" w:type="pct"/>
            <w:noWrap/>
            <w:vAlign w:val="bottom"/>
          </w:tcPr>
          <w:p w14:paraId="5DD2724E"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57.88</w:t>
            </w:r>
          </w:p>
        </w:tc>
        <w:tc>
          <w:tcPr>
            <w:tcW w:w="302" w:type="pct"/>
            <w:noWrap/>
            <w:vAlign w:val="bottom"/>
          </w:tcPr>
          <w:p w14:paraId="6D781032"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0.46</w:t>
            </w:r>
          </w:p>
        </w:tc>
        <w:tc>
          <w:tcPr>
            <w:tcW w:w="636" w:type="pct"/>
            <w:noWrap/>
            <w:vAlign w:val="bottom"/>
          </w:tcPr>
          <w:p w14:paraId="321243A7"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0.09</w:t>
            </w:r>
          </w:p>
        </w:tc>
      </w:tr>
      <w:tr w:rsidR="000549B1" w:rsidRPr="000549B1" w14:paraId="2665F354" w14:textId="77777777">
        <w:trPr>
          <w:trHeight w:val="315"/>
        </w:trPr>
        <w:tc>
          <w:tcPr>
            <w:tcW w:w="431" w:type="pct"/>
            <w:vMerge/>
            <w:noWrap/>
            <w:vAlign w:val="center"/>
          </w:tcPr>
          <w:p w14:paraId="5EDC5450" w14:textId="77777777" w:rsidR="00054437" w:rsidRPr="000549B1" w:rsidRDefault="00054437">
            <w:pPr>
              <w:jc w:val="center"/>
              <w:rPr>
                <w:rFonts w:eastAsiaTheme="minorEastAsia"/>
                <w:bCs/>
                <w:szCs w:val="21"/>
              </w:rPr>
            </w:pPr>
          </w:p>
        </w:tc>
        <w:tc>
          <w:tcPr>
            <w:tcW w:w="456" w:type="pct"/>
            <w:vMerge w:val="restart"/>
            <w:noWrap/>
            <w:vAlign w:val="center"/>
          </w:tcPr>
          <w:p w14:paraId="459B6671" w14:textId="77777777" w:rsidR="00054437" w:rsidRPr="000549B1" w:rsidRDefault="00000000">
            <w:pPr>
              <w:widowControl/>
              <w:jc w:val="center"/>
              <w:textAlignment w:val="center"/>
              <w:rPr>
                <w:rFonts w:eastAsiaTheme="minorEastAsia"/>
                <w:bCs/>
                <w:szCs w:val="21"/>
              </w:rPr>
            </w:pPr>
            <w:r w:rsidRPr="000549B1">
              <w:rPr>
                <w:rFonts w:eastAsiaTheme="minorEastAsia"/>
                <w:bCs/>
                <w:kern w:val="0"/>
                <w:szCs w:val="21"/>
                <w:lang w:bidi="ar"/>
              </w:rPr>
              <w:t>2023</w:t>
            </w:r>
            <w:r w:rsidRPr="000549B1">
              <w:rPr>
                <w:rFonts w:eastAsiaTheme="minorEastAsia"/>
                <w:bCs/>
                <w:kern w:val="0"/>
                <w:szCs w:val="21"/>
                <w:lang w:bidi="ar"/>
              </w:rPr>
              <w:t>年</w:t>
            </w:r>
          </w:p>
        </w:tc>
        <w:tc>
          <w:tcPr>
            <w:tcW w:w="739" w:type="pct"/>
            <w:noWrap/>
            <w:vAlign w:val="center"/>
          </w:tcPr>
          <w:p w14:paraId="75B5E4AC" w14:textId="77777777" w:rsidR="00054437" w:rsidRPr="000549B1" w:rsidRDefault="00000000">
            <w:pPr>
              <w:widowControl/>
              <w:jc w:val="center"/>
              <w:textAlignment w:val="center"/>
              <w:rPr>
                <w:rFonts w:eastAsiaTheme="minorEastAsia"/>
                <w:bCs/>
                <w:szCs w:val="21"/>
              </w:rPr>
            </w:pPr>
            <w:r w:rsidRPr="000549B1">
              <w:rPr>
                <w:rFonts w:eastAsiaTheme="minorEastAsia"/>
                <w:bCs/>
                <w:kern w:val="0"/>
                <w:szCs w:val="21"/>
                <w:lang w:bidi="ar"/>
              </w:rPr>
              <w:t>年初存栏头数</w:t>
            </w:r>
          </w:p>
        </w:tc>
        <w:tc>
          <w:tcPr>
            <w:tcW w:w="405" w:type="pct"/>
            <w:noWrap/>
            <w:vAlign w:val="bottom"/>
          </w:tcPr>
          <w:p w14:paraId="5E12A2B4"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89.28</w:t>
            </w:r>
          </w:p>
        </w:tc>
        <w:tc>
          <w:tcPr>
            <w:tcW w:w="636" w:type="pct"/>
            <w:noWrap/>
            <w:vAlign w:val="bottom"/>
          </w:tcPr>
          <w:p w14:paraId="0BF8B5ED"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31.4</w:t>
            </w:r>
          </w:p>
        </w:tc>
        <w:tc>
          <w:tcPr>
            <w:tcW w:w="354" w:type="pct"/>
            <w:noWrap/>
            <w:vAlign w:val="bottom"/>
          </w:tcPr>
          <w:p w14:paraId="5F67F31A"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31.2</w:t>
            </w:r>
          </w:p>
        </w:tc>
        <w:tc>
          <w:tcPr>
            <w:tcW w:w="302" w:type="pct"/>
            <w:noWrap/>
            <w:vAlign w:val="bottom"/>
          </w:tcPr>
          <w:p w14:paraId="31E61A84"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0.2</w:t>
            </w:r>
          </w:p>
        </w:tc>
        <w:tc>
          <w:tcPr>
            <w:tcW w:w="303" w:type="pct"/>
            <w:noWrap/>
            <w:vAlign w:val="bottom"/>
          </w:tcPr>
          <w:p w14:paraId="63940D46"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0</w:t>
            </w:r>
          </w:p>
        </w:tc>
        <w:tc>
          <w:tcPr>
            <w:tcW w:w="431" w:type="pct"/>
            <w:noWrap/>
            <w:vAlign w:val="bottom"/>
          </w:tcPr>
          <w:p w14:paraId="41CE0FAB"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57.88</w:t>
            </w:r>
          </w:p>
        </w:tc>
        <w:tc>
          <w:tcPr>
            <w:tcW w:w="302" w:type="pct"/>
            <w:noWrap/>
            <w:vAlign w:val="bottom"/>
          </w:tcPr>
          <w:p w14:paraId="193BF9C7"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0.46</w:t>
            </w:r>
          </w:p>
        </w:tc>
        <w:tc>
          <w:tcPr>
            <w:tcW w:w="636" w:type="pct"/>
            <w:noWrap/>
            <w:vAlign w:val="bottom"/>
          </w:tcPr>
          <w:p w14:paraId="2CE9F4ED"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0.09</w:t>
            </w:r>
          </w:p>
        </w:tc>
      </w:tr>
      <w:tr w:rsidR="000549B1" w:rsidRPr="000549B1" w14:paraId="2CDCA26A" w14:textId="77777777">
        <w:trPr>
          <w:trHeight w:val="315"/>
        </w:trPr>
        <w:tc>
          <w:tcPr>
            <w:tcW w:w="431" w:type="pct"/>
            <w:vMerge/>
            <w:noWrap/>
            <w:vAlign w:val="center"/>
          </w:tcPr>
          <w:p w14:paraId="30349F14" w14:textId="77777777" w:rsidR="00054437" w:rsidRPr="000549B1" w:rsidRDefault="00054437">
            <w:pPr>
              <w:jc w:val="center"/>
              <w:rPr>
                <w:rFonts w:eastAsiaTheme="minorEastAsia"/>
                <w:bCs/>
                <w:szCs w:val="21"/>
              </w:rPr>
            </w:pPr>
          </w:p>
        </w:tc>
        <w:tc>
          <w:tcPr>
            <w:tcW w:w="456" w:type="pct"/>
            <w:vMerge/>
            <w:noWrap/>
            <w:vAlign w:val="center"/>
          </w:tcPr>
          <w:p w14:paraId="6DC799A1" w14:textId="77777777" w:rsidR="00054437" w:rsidRPr="000549B1" w:rsidRDefault="00054437">
            <w:pPr>
              <w:jc w:val="center"/>
              <w:rPr>
                <w:rFonts w:eastAsiaTheme="minorEastAsia"/>
                <w:bCs/>
                <w:szCs w:val="21"/>
              </w:rPr>
            </w:pPr>
          </w:p>
        </w:tc>
        <w:tc>
          <w:tcPr>
            <w:tcW w:w="739" w:type="pct"/>
            <w:noWrap/>
            <w:vAlign w:val="center"/>
          </w:tcPr>
          <w:p w14:paraId="1D5DADC0" w14:textId="77777777" w:rsidR="00054437" w:rsidRPr="000549B1" w:rsidRDefault="00000000">
            <w:pPr>
              <w:widowControl/>
              <w:jc w:val="center"/>
              <w:textAlignment w:val="center"/>
              <w:rPr>
                <w:rFonts w:eastAsiaTheme="minorEastAsia"/>
                <w:bCs/>
                <w:szCs w:val="21"/>
              </w:rPr>
            </w:pPr>
            <w:r w:rsidRPr="000549B1">
              <w:rPr>
                <w:rFonts w:eastAsiaTheme="minorEastAsia"/>
                <w:bCs/>
                <w:kern w:val="0"/>
                <w:szCs w:val="21"/>
                <w:lang w:bidi="ar"/>
              </w:rPr>
              <w:t>年末存栏头数</w:t>
            </w:r>
          </w:p>
        </w:tc>
        <w:tc>
          <w:tcPr>
            <w:tcW w:w="405" w:type="pct"/>
            <w:noWrap/>
            <w:vAlign w:val="bottom"/>
          </w:tcPr>
          <w:p w14:paraId="2DDF66C2"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80.92</w:t>
            </w:r>
          </w:p>
        </w:tc>
        <w:tc>
          <w:tcPr>
            <w:tcW w:w="636" w:type="pct"/>
            <w:noWrap/>
            <w:vAlign w:val="bottom"/>
          </w:tcPr>
          <w:p w14:paraId="6E75E94E"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30.24</w:t>
            </w:r>
          </w:p>
        </w:tc>
        <w:tc>
          <w:tcPr>
            <w:tcW w:w="354" w:type="pct"/>
            <w:noWrap/>
            <w:vAlign w:val="bottom"/>
          </w:tcPr>
          <w:p w14:paraId="3C844475"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30.08</w:t>
            </w:r>
          </w:p>
        </w:tc>
        <w:tc>
          <w:tcPr>
            <w:tcW w:w="302" w:type="pct"/>
            <w:noWrap/>
            <w:vAlign w:val="bottom"/>
          </w:tcPr>
          <w:p w14:paraId="3942FE5E"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0.16</w:t>
            </w:r>
          </w:p>
        </w:tc>
        <w:tc>
          <w:tcPr>
            <w:tcW w:w="303" w:type="pct"/>
            <w:noWrap/>
            <w:vAlign w:val="bottom"/>
          </w:tcPr>
          <w:p w14:paraId="5A252906"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0</w:t>
            </w:r>
          </w:p>
        </w:tc>
        <w:tc>
          <w:tcPr>
            <w:tcW w:w="431" w:type="pct"/>
            <w:noWrap/>
            <w:vAlign w:val="bottom"/>
          </w:tcPr>
          <w:p w14:paraId="5EA3B2F4"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50.69</w:t>
            </w:r>
          </w:p>
        </w:tc>
        <w:tc>
          <w:tcPr>
            <w:tcW w:w="302" w:type="pct"/>
            <w:noWrap/>
            <w:vAlign w:val="bottom"/>
          </w:tcPr>
          <w:p w14:paraId="49152A6F"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0.47</w:t>
            </w:r>
          </w:p>
        </w:tc>
        <w:tc>
          <w:tcPr>
            <w:tcW w:w="636" w:type="pct"/>
            <w:noWrap/>
            <w:vAlign w:val="bottom"/>
          </w:tcPr>
          <w:p w14:paraId="4C09BE76" w14:textId="77777777" w:rsidR="00054437" w:rsidRPr="000549B1" w:rsidRDefault="00000000">
            <w:pPr>
              <w:widowControl/>
              <w:jc w:val="center"/>
              <w:textAlignment w:val="bottom"/>
              <w:rPr>
                <w:rFonts w:eastAsiaTheme="minorEastAsia"/>
                <w:bCs/>
                <w:szCs w:val="21"/>
              </w:rPr>
            </w:pPr>
            <w:r w:rsidRPr="000549B1">
              <w:rPr>
                <w:rFonts w:eastAsiaTheme="minorEastAsia"/>
                <w:bCs/>
                <w:kern w:val="0"/>
                <w:szCs w:val="21"/>
                <w:lang w:bidi="ar"/>
              </w:rPr>
              <w:t>0.11</w:t>
            </w:r>
          </w:p>
        </w:tc>
      </w:tr>
      <w:tr w:rsidR="000549B1" w:rsidRPr="000549B1" w14:paraId="1C1B0FAB" w14:textId="77777777">
        <w:trPr>
          <w:trHeight w:val="315"/>
        </w:trPr>
        <w:tc>
          <w:tcPr>
            <w:tcW w:w="431" w:type="pct"/>
            <w:vMerge/>
            <w:noWrap/>
            <w:vAlign w:val="center"/>
          </w:tcPr>
          <w:p w14:paraId="274F856A" w14:textId="77777777" w:rsidR="00054437" w:rsidRPr="000549B1" w:rsidRDefault="00054437">
            <w:pPr>
              <w:jc w:val="center"/>
              <w:rPr>
                <w:rFonts w:eastAsiaTheme="minorEastAsia"/>
                <w:bCs/>
                <w:szCs w:val="21"/>
              </w:rPr>
            </w:pPr>
          </w:p>
        </w:tc>
        <w:tc>
          <w:tcPr>
            <w:tcW w:w="456" w:type="pct"/>
            <w:vMerge w:val="restart"/>
            <w:noWrap/>
            <w:vAlign w:val="center"/>
          </w:tcPr>
          <w:p w14:paraId="30BE033C" w14:textId="77777777" w:rsidR="00054437" w:rsidRPr="000549B1" w:rsidRDefault="00000000">
            <w:pPr>
              <w:widowControl/>
              <w:jc w:val="center"/>
              <w:textAlignment w:val="center"/>
              <w:rPr>
                <w:rFonts w:eastAsiaTheme="minorEastAsia"/>
                <w:bCs/>
                <w:szCs w:val="21"/>
              </w:rPr>
            </w:pPr>
            <w:r w:rsidRPr="000549B1">
              <w:rPr>
                <w:rFonts w:eastAsiaTheme="minorEastAsia"/>
                <w:bCs/>
                <w:kern w:val="0"/>
                <w:szCs w:val="21"/>
                <w:lang w:bidi="ar"/>
              </w:rPr>
              <w:t>2024</w:t>
            </w:r>
            <w:r w:rsidRPr="000549B1">
              <w:rPr>
                <w:rFonts w:eastAsiaTheme="minorEastAsia"/>
                <w:bCs/>
                <w:kern w:val="0"/>
                <w:szCs w:val="21"/>
                <w:lang w:bidi="ar"/>
              </w:rPr>
              <w:t>年</w:t>
            </w:r>
          </w:p>
        </w:tc>
        <w:tc>
          <w:tcPr>
            <w:tcW w:w="739" w:type="pct"/>
            <w:noWrap/>
            <w:vAlign w:val="center"/>
          </w:tcPr>
          <w:p w14:paraId="048ED278" w14:textId="77777777" w:rsidR="00054437" w:rsidRPr="000549B1" w:rsidRDefault="00000000">
            <w:pPr>
              <w:widowControl/>
              <w:jc w:val="center"/>
              <w:textAlignment w:val="center"/>
              <w:rPr>
                <w:rFonts w:eastAsiaTheme="minorEastAsia"/>
                <w:bCs/>
                <w:szCs w:val="21"/>
              </w:rPr>
            </w:pPr>
            <w:r w:rsidRPr="000549B1">
              <w:rPr>
                <w:rFonts w:eastAsiaTheme="minorEastAsia"/>
                <w:bCs/>
                <w:kern w:val="0"/>
                <w:szCs w:val="21"/>
                <w:lang w:bidi="ar"/>
              </w:rPr>
              <w:t>年初存栏头数</w:t>
            </w:r>
          </w:p>
        </w:tc>
        <w:tc>
          <w:tcPr>
            <w:tcW w:w="405" w:type="pct"/>
            <w:noWrap/>
            <w:vAlign w:val="center"/>
          </w:tcPr>
          <w:p w14:paraId="762CE583" w14:textId="77777777" w:rsidR="00054437" w:rsidRPr="000549B1" w:rsidRDefault="00054437">
            <w:pPr>
              <w:jc w:val="center"/>
              <w:rPr>
                <w:rFonts w:eastAsiaTheme="minorEastAsia"/>
                <w:bCs/>
                <w:szCs w:val="21"/>
              </w:rPr>
            </w:pPr>
          </w:p>
        </w:tc>
        <w:tc>
          <w:tcPr>
            <w:tcW w:w="636" w:type="pct"/>
            <w:noWrap/>
            <w:vAlign w:val="center"/>
          </w:tcPr>
          <w:p w14:paraId="336DBAF7" w14:textId="77777777" w:rsidR="00054437" w:rsidRPr="000549B1" w:rsidRDefault="00054437">
            <w:pPr>
              <w:jc w:val="center"/>
              <w:rPr>
                <w:rFonts w:eastAsiaTheme="minorEastAsia"/>
                <w:bCs/>
                <w:szCs w:val="21"/>
              </w:rPr>
            </w:pPr>
          </w:p>
        </w:tc>
        <w:tc>
          <w:tcPr>
            <w:tcW w:w="354" w:type="pct"/>
            <w:noWrap/>
            <w:vAlign w:val="center"/>
          </w:tcPr>
          <w:p w14:paraId="13AA709F" w14:textId="77777777" w:rsidR="00054437" w:rsidRPr="000549B1" w:rsidRDefault="00054437">
            <w:pPr>
              <w:jc w:val="center"/>
              <w:rPr>
                <w:rFonts w:eastAsiaTheme="minorEastAsia"/>
                <w:bCs/>
                <w:szCs w:val="21"/>
              </w:rPr>
            </w:pPr>
          </w:p>
        </w:tc>
        <w:tc>
          <w:tcPr>
            <w:tcW w:w="302" w:type="pct"/>
            <w:noWrap/>
            <w:vAlign w:val="center"/>
          </w:tcPr>
          <w:p w14:paraId="0CAF43E7" w14:textId="77777777" w:rsidR="00054437" w:rsidRPr="000549B1" w:rsidRDefault="00054437">
            <w:pPr>
              <w:jc w:val="center"/>
              <w:rPr>
                <w:rFonts w:eastAsiaTheme="minorEastAsia"/>
                <w:bCs/>
                <w:szCs w:val="21"/>
              </w:rPr>
            </w:pPr>
          </w:p>
        </w:tc>
        <w:tc>
          <w:tcPr>
            <w:tcW w:w="303" w:type="pct"/>
            <w:noWrap/>
            <w:vAlign w:val="center"/>
          </w:tcPr>
          <w:p w14:paraId="3ACCBAFA" w14:textId="77777777" w:rsidR="00054437" w:rsidRPr="000549B1" w:rsidRDefault="00054437">
            <w:pPr>
              <w:jc w:val="center"/>
              <w:rPr>
                <w:rFonts w:eastAsiaTheme="minorEastAsia"/>
                <w:bCs/>
                <w:szCs w:val="21"/>
              </w:rPr>
            </w:pPr>
          </w:p>
        </w:tc>
        <w:tc>
          <w:tcPr>
            <w:tcW w:w="431" w:type="pct"/>
            <w:noWrap/>
            <w:vAlign w:val="center"/>
          </w:tcPr>
          <w:p w14:paraId="5B2DDC4A" w14:textId="77777777" w:rsidR="00054437" w:rsidRPr="000549B1" w:rsidRDefault="00054437">
            <w:pPr>
              <w:jc w:val="center"/>
              <w:rPr>
                <w:rFonts w:eastAsiaTheme="minorEastAsia"/>
                <w:bCs/>
                <w:szCs w:val="21"/>
              </w:rPr>
            </w:pPr>
          </w:p>
        </w:tc>
        <w:tc>
          <w:tcPr>
            <w:tcW w:w="302" w:type="pct"/>
            <w:noWrap/>
            <w:vAlign w:val="center"/>
          </w:tcPr>
          <w:p w14:paraId="0968EA10" w14:textId="77777777" w:rsidR="00054437" w:rsidRPr="000549B1" w:rsidRDefault="00054437">
            <w:pPr>
              <w:jc w:val="center"/>
              <w:rPr>
                <w:rFonts w:eastAsiaTheme="minorEastAsia"/>
                <w:bCs/>
                <w:szCs w:val="21"/>
              </w:rPr>
            </w:pPr>
          </w:p>
        </w:tc>
        <w:tc>
          <w:tcPr>
            <w:tcW w:w="636" w:type="pct"/>
            <w:noWrap/>
            <w:vAlign w:val="center"/>
          </w:tcPr>
          <w:p w14:paraId="18E81FDD" w14:textId="77777777" w:rsidR="00054437" w:rsidRPr="000549B1" w:rsidRDefault="00054437">
            <w:pPr>
              <w:jc w:val="center"/>
              <w:rPr>
                <w:rFonts w:eastAsiaTheme="minorEastAsia"/>
                <w:bCs/>
                <w:szCs w:val="21"/>
              </w:rPr>
            </w:pPr>
          </w:p>
        </w:tc>
      </w:tr>
      <w:tr w:rsidR="000549B1" w:rsidRPr="000549B1" w14:paraId="25F7554B" w14:textId="77777777">
        <w:trPr>
          <w:trHeight w:val="315"/>
        </w:trPr>
        <w:tc>
          <w:tcPr>
            <w:tcW w:w="431" w:type="pct"/>
            <w:vMerge/>
            <w:noWrap/>
            <w:vAlign w:val="center"/>
          </w:tcPr>
          <w:p w14:paraId="5534D74E" w14:textId="77777777" w:rsidR="00054437" w:rsidRPr="000549B1" w:rsidRDefault="00054437">
            <w:pPr>
              <w:jc w:val="center"/>
              <w:rPr>
                <w:rFonts w:eastAsiaTheme="minorEastAsia"/>
                <w:bCs/>
                <w:szCs w:val="21"/>
              </w:rPr>
            </w:pPr>
          </w:p>
        </w:tc>
        <w:tc>
          <w:tcPr>
            <w:tcW w:w="456" w:type="pct"/>
            <w:vMerge/>
            <w:noWrap/>
            <w:vAlign w:val="center"/>
          </w:tcPr>
          <w:p w14:paraId="6734B06A" w14:textId="77777777" w:rsidR="00054437" w:rsidRPr="000549B1" w:rsidRDefault="00054437">
            <w:pPr>
              <w:jc w:val="center"/>
              <w:rPr>
                <w:rFonts w:eastAsiaTheme="minorEastAsia"/>
                <w:bCs/>
                <w:szCs w:val="21"/>
              </w:rPr>
            </w:pPr>
          </w:p>
        </w:tc>
        <w:tc>
          <w:tcPr>
            <w:tcW w:w="739" w:type="pct"/>
            <w:noWrap/>
            <w:vAlign w:val="center"/>
          </w:tcPr>
          <w:p w14:paraId="6B60AD9E" w14:textId="77777777" w:rsidR="00054437" w:rsidRPr="000549B1" w:rsidRDefault="00000000">
            <w:pPr>
              <w:widowControl/>
              <w:jc w:val="center"/>
              <w:textAlignment w:val="center"/>
              <w:rPr>
                <w:rFonts w:eastAsiaTheme="minorEastAsia"/>
                <w:bCs/>
                <w:szCs w:val="21"/>
              </w:rPr>
            </w:pPr>
            <w:r w:rsidRPr="000549B1">
              <w:rPr>
                <w:rFonts w:eastAsiaTheme="minorEastAsia"/>
                <w:bCs/>
                <w:kern w:val="0"/>
                <w:szCs w:val="21"/>
                <w:lang w:bidi="ar"/>
              </w:rPr>
              <w:t>年末存栏头数</w:t>
            </w:r>
          </w:p>
        </w:tc>
        <w:tc>
          <w:tcPr>
            <w:tcW w:w="405" w:type="pct"/>
            <w:noWrap/>
            <w:vAlign w:val="center"/>
          </w:tcPr>
          <w:p w14:paraId="76F181CD" w14:textId="77777777" w:rsidR="00054437" w:rsidRPr="000549B1" w:rsidRDefault="00054437">
            <w:pPr>
              <w:jc w:val="center"/>
              <w:rPr>
                <w:rFonts w:eastAsiaTheme="minorEastAsia"/>
                <w:bCs/>
                <w:szCs w:val="21"/>
              </w:rPr>
            </w:pPr>
          </w:p>
        </w:tc>
        <w:tc>
          <w:tcPr>
            <w:tcW w:w="636" w:type="pct"/>
            <w:noWrap/>
            <w:vAlign w:val="center"/>
          </w:tcPr>
          <w:p w14:paraId="2A0D9BF8" w14:textId="77777777" w:rsidR="00054437" w:rsidRPr="000549B1" w:rsidRDefault="00054437">
            <w:pPr>
              <w:jc w:val="center"/>
              <w:rPr>
                <w:rFonts w:eastAsiaTheme="minorEastAsia"/>
                <w:bCs/>
                <w:szCs w:val="21"/>
              </w:rPr>
            </w:pPr>
          </w:p>
        </w:tc>
        <w:tc>
          <w:tcPr>
            <w:tcW w:w="354" w:type="pct"/>
            <w:noWrap/>
            <w:vAlign w:val="center"/>
          </w:tcPr>
          <w:p w14:paraId="672554BB" w14:textId="77777777" w:rsidR="00054437" w:rsidRPr="000549B1" w:rsidRDefault="00054437">
            <w:pPr>
              <w:jc w:val="center"/>
              <w:rPr>
                <w:rFonts w:eastAsiaTheme="minorEastAsia"/>
                <w:bCs/>
                <w:szCs w:val="21"/>
              </w:rPr>
            </w:pPr>
          </w:p>
        </w:tc>
        <w:tc>
          <w:tcPr>
            <w:tcW w:w="302" w:type="pct"/>
            <w:noWrap/>
            <w:vAlign w:val="center"/>
          </w:tcPr>
          <w:p w14:paraId="1E306965" w14:textId="77777777" w:rsidR="00054437" w:rsidRPr="000549B1" w:rsidRDefault="00054437">
            <w:pPr>
              <w:jc w:val="center"/>
              <w:rPr>
                <w:rFonts w:eastAsiaTheme="minorEastAsia"/>
                <w:bCs/>
                <w:szCs w:val="21"/>
              </w:rPr>
            </w:pPr>
          </w:p>
        </w:tc>
        <w:tc>
          <w:tcPr>
            <w:tcW w:w="303" w:type="pct"/>
            <w:noWrap/>
            <w:vAlign w:val="center"/>
          </w:tcPr>
          <w:p w14:paraId="42480AE7" w14:textId="77777777" w:rsidR="00054437" w:rsidRPr="000549B1" w:rsidRDefault="00054437">
            <w:pPr>
              <w:jc w:val="center"/>
              <w:rPr>
                <w:rFonts w:eastAsiaTheme="minorEastAsia"/>
                <w:bCs/>
                <w:szCs w:val="21"/>
              </w:rPr>
            </w:pPr>
          </w:p>
        </w:tc>
        <w:tc>
          <w:tcPr>
            <w:tcW w:w="431" w:type="pct"/>
            <w:noWrap/>
            <w:vAlign w:val="center"/>
          </w:tcPr>
          <w:p w14:paraId="60D71722" w14:textId="77777777" w:rsidR="00054437" w:rsidRPr="000549B1" w:rsidRDefault="00054437">
            <w:pPr>
              <w:jc w:val="center"/>
              <w:rPr>
                <w:rFonts w:eastAsiaTheme="minorEastAsia"/>
                <w:bCs/>
                <w:szCs w:val="21"/>
              </w:rPr>
            </w:pPr>
          </w:p>
        </w:tc>
        <w:tc>
          <w:tcPr>
            <w:tcW w:w="302" w:type="pct"/>
            <w:noWrap/>
            <w:vAlign w:val="center"/>
          </w:tcPr>
          <w:p w14:paraId="369F5DAD" w14:textId="77777777" w:rsidR="00054437" w:rsidRPr="000549B1" w:rsidRDefault="00054437">
            <w:pPr>
              <w:jc w:val="center"/>
              <w:rPr>
                <w:rFonts w:eastAsiaTheme="minorEastAsia"/>
                <w:bCs/>
                <w:szCs w:val="21"/>
              </w:rPr>
            </w:pPr>
          </w:p>
        </w:tc>
        <w:tc>
          <w:tcPr>
            <w:tcW w:w="636" w:type="pct"/>
            <w:noWrap/>
            <w:vAlign w:val="center"/>
          </w:tcPr>
          <w:p w14:paraId="1AD98606" w14:textId="77777777" w:rsidR="00054437" w:rsidRPr="000549B1" w:rsidRDefault="00054437">
            <w:pPr>
              <w:jc w:val="center"/>
              <w:rPr>
                <w:rFonts w:eastAsiaTheme="minorEastAsia"/>
                <w:bCs/>
                <w:szCs w:val="21"/>
              </w:rPr>
            </w:pPr>
          </w:p>
        </w:tc>
      </w:tr>
    </w:tbl>
    <w:p w14:paraId="1C8FF22B" w14:textId="77777777" w:rsidR="00054437" w:rsidRPr="000549B1" w:rsidRDefault="00000000" w:rsidP="00407DFF">
      <w:pPr>
        <w:snapToGrid w:val="0"/>
        <w:spacing w:line="360" w:lineRule="auto"/>
        <w:jc w:val="center"/>
        <w:rPr>
          <w:rFonts w:eastAsiaTheme="minorEastAsia"/>
          <w:b/>
          <w:sz w:val="24"/>
          <w:szCs w:val="24"/>
        </w:rPr>
      </w:pPr>
      <w:r w:rsidRPr="000549B1">
        <w:rPr>
          <w:rFonts w:eastAsiaTheme="minorEastAsia"/>
          <w:b/>
          <w:noProof/>
          <w:sz w:val="24"/>
          <w:szCs w:val="24"/>
        </w:rPr>
        <w:drawing>
          <wp:inline distT="0" distB="0" distL="114300" distR="114300" wp14:anchorId="0B50D36A" wp14:editId="7AB034F2">
            <wp:extent cx="4014963" cy="2738718"/>
            <wp:effectExtent l="0" t="0" r="5080" b="5080"/>
            <wp:docPr id="16" name="图片 16" descr="357f28145a34787d6f8a1bc3580f4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357f28145a34787d6f8a1bc3580f4c8"/>
                    <pic:cNvPicPr>
                      <a:picLocks noChangeAspect="1"/>
                    </pic:cNvPicPr>
                  </pic:nvPicPr>
                  <pic:blipFill>
                    <a:blip r:embed="rId71" cstate="email">
                      <a:extLst>
                        <a:ext uri="{28A0092B-C50C-407E-A947-70E740481C1C}">
                          <a14:useLocalDpi xmlns:a14="http://schemas.microsoft.com/office/drawing/2010/main"/>
                        </a:ext>
                      </a:extLst>
                    </a:blip>
                    <a:stretch>
                      <a:fillRect/>
                    </a:stretch>
                  </pic:blipFill>
                  <pic:spPr>
                    <a:xfrm>
                      <a:off x="0" y="0"/>
                      <a:ext cx="4025855" cy="2746148"/>
                    </a:xfrm>
                    <a:prstGeom prst="rect">
                      <a:avLst/>
                    </a:prstGeom>
                  </pic:spPr>
                </pic:pic>
              </a:graphicData>
            </a:graphic>
          </wp:inline>
        </w:drawing>
      </w:r>
      <w:r w:rsidRPr="000549B1">
        <w:rPr>
          <w:rFonts w:eastAsiaTheme="minorEastAsia"/>
          <w:b/>
          <w:noProof/>
          <w:sz w:val="24"/>
          <w:szCs w:val="24"/>
        </w:rPr>
        <w:drawing>
          <wp:inline distT="0" distB="0" distL="114300" distR="114300" wp14:anchorId="2F28B320" wp14:editId="6B7821A9">
            <wp:extent cx="3890682" cy="2653280"/>
            <wp:effectExtent l="0" t="0" r="0" b="0"/>
            <wp:docPr id="17" name="图片 17" descr="9e7c0848ef271fde6e3d9d90034b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9e7c0848ef271fde6e3d9d90034b449"/>
                    <pic:cNvPicPr>
                      <a:picLocks noChangeAspect="1"/>
                    </pic:cNvPicPr>
                  </pic:nvPicPr>
                  <pic:blipFill>
                    <a:blip r:embed="rId72" cstate="email">
                      <a:extLst>
                        <a:ext uri="{28A0092B-C50C-407E-A947-70E740481C1C}">
                          <a14:useLocalDpi xmlns:a14="http://schemas.microsoft.com/office/drawing/2010/main"/>
                        </a:ext>
                      </a:extLst>
                    </a:blip>
                    <a:stretch>
                      <a:fillRect/>
                    </a:stretch>
                  </pic:blipFill>
                  <pic:spPr>
                    <a:xfrm>
                      <a:off x="0" y="0"/>
                      <a:ext cx="3900556" cy="2660014"/>
                    </a:xfrm>
                    <a:prstGeom prst="rect">
                      <a:avLst/>
                    </a:prstGeom>
                  </pic:spPr>
                </pic:pic>
              </a:graphicData>
            </a:graphic>
          </wp:inline>
        </w:drawing>
      </w:r>
    </w:p>
    <w:p w14:paraId="594A1FE1" w14:textId="33699351" w:rsidR="00054437" w:rsidRPr="000549B1" w:rsidRDefault="00000000">
      <w:pPr>
        <w:pStyle w:val="aff8"/>
        <w:rPr>
          <w:color w:val="auto"/>
        </w:rPr>
      </w:pPr>
      <w:r w:rsidRPr="000549B1">
        <w:rPr>
          <w:color w:val="auto"/>
        </w:rPr>
        <w:t>图</w:t>
      </w:r>
      <w:r w:rsidR="00F1314B">
        <w:rPr>
          <w:color w:val="auto"/>
        </w:rPr>
        <w:fldChar w:fldCharType="begin"/>
      </w:r>
      <w:r w:rsidR="00F1314B">
        <w:rPr>
          <w:color w:val="auto"/>
        </w:rPr>
        <w:instrText xml:space="preserve"> STYLEREF 2 \s </w:instrText>
      </w:r>
      <w:r w:rsidR="00F1314B">
        <w:rPr>
          <w:color w:val="auto"/>
        </w:rPr>
        <w:fldChar w:fldCharType="separate"/>
      </w:r>
      <w:r w:rsidR="00372953">
        <w:rPr>
          <w:noProof/>
          <w:color w:val="auto"/>
        </w:rPr>
        <w:t>3.3</w:t>
      </w:r>
      <w:r w:rsidR="00F1314B">
        <w:rPr>
          <w:color w:val="auto"/>
        </w:rPr>
        <w:fldChar w:fldCharType="end"/>
      </w:r>
      <w:r w:rsidR="00F1314B">
        <w:rPr>
          <w:color w:val="auto"/>
        </w:rPr>
        <w:noBreakHyphen/>
      </w:r>
      <w:r w:rsidR="00F1314B">
        <w:rPr>
          <w:color w:val="auto"/>
        </w:rPr>
        <w:fldChar w:fldCharType="begin"/>
      </w:r>
      <w:r w:rsidR="00F1314B">
        <w:rPr>
          <w:color w:val="auto"/>
        </w:rPr>
        <w:instrText xml:space="preserve"> SEQ </w:instrText>
      </w:r>
      <w:r w:rsidR="00F1314B">
        <w:rPr>
          <w:color w:val="auto"/>
        </w:rPr>
        <w:instrText>图</w:instrText>
      </w:r>
      <w:r w:rsidR="00F1314B">
        <w:rPr>
          <w:color w:val="auto"/>
        </w:rPr>
        <w:instrText xml:space="preserve"> \* ARABIC \s 2 </w:instrText>
      </w:r>
      <w:r w:rsidR="00F1314B">
        <w:rPr>
          <w:color w:val="auto"/>
        </w:rPr>
        <w:fldChar w:fldCharType="separate"/>
      </w:r>
      <w:r w:rsidR="00372953">
        <w:rPr>
          <w:noProof/>
          <w:color w:val="auto"/>
        </w:rPr>
        <w:t>6</w:t>
      </w:r>
      <w:r w:rsidR="00F1314B">
        <w:rPr>
          <w:color w:val="auto"/>
        </w:rPr>
        <w:fldChar w:fldCharType="end"/>
      </w:r>
      <w:r w:rsidRPr="000549B1">
        <w:rPr>
          <w:color w:val="auto"/>
        </w:rPr>
        <w:t>受水区牲畜饲养变化趋势图</w:t>
      </w:r>
    </w:p>
    <w:p w14:paraId="0F13FE40" w14:textId="2202560B" w:rsidR="00407DFF" w:rsidRPr="00407DFF" w:rsidRDefault="00407DFF" w:rsidP="00407DFF">
      <w:pPr>
        <w:pStyle w:val="aff8"/>
      </w:pPr>
      <w:bookmarkStart w:id="227" w:name="_Ref216443183"/>
      <w:r w:rsidRPr="00407DFF">
        <w:rPr>
          <w:rFonts w:hint="eastAsia"/>
        </w:rPr>
        <w:t>表</w:t>
      </w:r>
      <w:r w:rsidRPr="00407DFF">
        <w:t xml:space="preserve"> </w:t>
      </w:r>
      <w:fldSimple w:instr=" STYLEREF 2 \s ">
        <w:r w:rsidR="00372953">
          <w:rPr>
            <w:noProof/>
          </w:rPr>
          <w:t>3.3</w:t>
        </w:r>
      </w:fldSimple>
      <w:r w:rsidR="00372953">
        <w:noBreakHyphen/>
      </w:r>
      <w:r w:rsidR="00372953">
        <w:fldChar w:fldCharType="begin"/>
      </w:r>
      <w:r w:rsidR="00372953">
        <w:instrText xml:space="preserve"> SEQ </w:instrText>
      </w:r>
      <w:r w:rsidR="00372953">
        <w:instrText>表</w:instrText>
      </w:r>
      <w:r w:rsidR="00372953">
        <w:instrText xml:space="preserve"> \* ARABIC \s 2 </w:instrText>
      </w:r>
      <w:r w:rsidR="00372953">
        <w:fldChar w:fldCharType="separate"/>
      </w:r>
      <w:r w:rsidR="00372953">
        <w:rPr>
          <w:noProof/>
        </w:rPr>
        <w:t>16</w:t>
      </w:r>
      <w:r w:rsidR="00372953">
        <w:fldChar w:fldCharType="end"/>
      </w:r>
      <w:bookmarkEnd w:id="227"/>
      <w:r w:rsidRPr="00407DFF">
        <w:t>共和县、兴海县</w:t>
      </w:r>
      <w:r w:rsidRPr="00407DFF">
        <w:t>2023</w:t>
      </w:r>
      <w:r w:rsidRPr="00407DFF">
        <w:t>年畜禽养殖面源污染物统计</w:t>
      </w:r>
    </w:p>
    <w:tbl>
      <w:tblPr>
        <w:tblW w:w="4999" w:type="pct"/>
        <w:tblLook w:val="04A0" w:firstRow="1" w:lastRow="0" w:firstColumn="1" w:lastColumn="0" w:noHBand="0" w:noVBand="1"/>
      </w:tblPr>
      <w:tblGrid>
        <w:gridCol w:w="963"/>
        <w:gridCol w:w="2377"/>
        <w:gridCol w:w="1105"/>
        <w:gridCol w:w="1147"/>
        <w:gridCol w:w="974"/>
        <w:gridCol w:w="1156"/>
        <w:gridCol w:w="901"/>
        <w:gridCol w:w="1049"/>
        <w:gridCol w:w="1026"/>
        <w:gridCol w:w="943"/>
        <w:gridCol w:w="678"/>
        <w:gridCol w:w="837"/>
        <w:gridCol w:w="789"/>
      </w:tblGrid>
      <w:tr w:rsidR="00407DFF" w:rsidRPr="00407DFF" w14:paraId="66615EA0" w14:textId="77777777" w:rsidTr="007E48A3">
        <w:trPr>
          <w:trHeight w:val="270"/>
        </w:trPr>
        <w:tc>
          <w:tcPr>
            <w:tcW w:w="1197" w:type="pct"/>
            <w:gridSpan w:val="2"/>
            <w:vMerge w:val="restart"/>
            <w:tcBorders>
              <w:top w:val="single" w:sz="4" w:space="0" w:color="000000"/>
              <w:left w:val="single" w:sz="4" w:space="0" w:color="000000"/>
              <w:bottom w:val="single" w:sz="4" w:space="0" w:color="000000"/>
              <w:right w:val="single" w:sz="4" w:space="0" w:color="000000"/>
            </w:tcBorders>
            <w:vAlign w:val="center"/>
          </w:tcPr>
          <w:p w14:paraId="0D0D95FA" w14:textId="77777777" w:rsidR="00407DFF" w:rsidRPr="00407DFF" w:rsidRDefault="00407DFF" w:rsidP="007E48A3">
            <w:pPr>
              <w:widowControl/>
              <w:jc w:val="center"/>
              <w:textAlignment w:val="center"/>
              <w:rPr>
                <w:rFonts w:ascii="宋体" w:hAnsi="宋体" w:cs="宋体" w:hint="eastAsia"/>
                <w:sz w:val="20"/>
                <w:szCs w:val="20"/>
              </w:rPr>
            </w:pPr>
            <w:r w:rsidRPr="00407DFF">
              <w:rPr>
                <w:rFonts w:ascii="宋体" w:hAnsi="宋体" w:cs="宋体" w:hint="eastAsia"/>
                <w:kern w:val="0"/>
                <w:sz w:val="20"/>
                <w:szCs w:val="20"/>
                <w:lang w:bidi="ar"/>
              </w:rPr>
              <w:t>行政区</w:t>
            </w:r>
          </w:p>
        </w:tc>
        <w:tc>
          <w:tcPr>
            <w:tcW w:w="1156" w:type="pct"/>
            <w:gridSpan w:val="3"/>
            <w:tcBorders>
              <w:top w:val="single" w:sz="4" w:space="0" w:color="000000"/>
              <w:left w:val="single" w:sz="4" w:space="0" w:color="000000"/>
              <w:bottom w:val="single" w:sz="4" w:space="0" w:color="000000"/>
              <w:right w:val="single" w:sz="4" w:space="0" w:color="000000"/>
            </w:tcBorders>
            <w:vAlign w:val="center"/>
          </w:tcPr>
          <w:p w14:paraId="5D3F4F31" w14:textId="77777777" w:rsidR="00407DFF" w:rsidRPr="00407DFF" w:rsidRDefault="00407DFF" w:rsidP="007E48A3">
            <w:pPr>
              <w:widowControl/>
              <w:jc w:val="center"/>
              <w:textAlignment w:val="center"/>
              <w:rPr>
                <w:rFonts w:ascii="宋体" w:hAnsi="宋体" w:cs="宋体" w:hint="eastAsia"/>
                <w:sz w:val="18"/>
                <w:szCs w:val="18"/>
              </w:rPr>
            </w:pPr>
            <w:r w:rsidRPr="00407DFF">
              <w:rPr>
                <w:rFonts w:ascii="宋体" w:hAnsi="宋体" w:cs="宋体" w:hint="eastAsia"/>
                <w:kern w:val="0"/>
                <w:sz w:val="18"/>
                <w:szCs w:val="18"/>
                <w:lang w:bidi="ar"/>
              </w:rPr>
              <w:t>畜禽种类及数量（只、头、羽）</w:t>
            </w:r>
          </w:p>
        </w:tc>
        <w:tc>
          <w:tcPr>
            <w:tcW w:w="1481" w:type="pct"/>
            <w:gridSpan w:val="4"/>
            <w:tcBorders>
              <w:top w:val="single" w:sz="4" w:space="0" w:color="000000"/>
              <w:left w:val="single" w:sz="4" w:space="0" w:color="000000"/>
              <w:bottom w:val="single" w:sz="4" w:space="0" w:color="000000"/>
              <w:right w:val="single" w:sz="4" w:space="0" w:color="000000"/>
            </w:tcBorders>
            <w:vAlign w:val="center"/>
          </w:tcPr>
          <w:p w14:paraId="60CDED8E" w14:textId="77777777" w:rsidR="00407DFF" w:rsidRPr="00407DFF" w:rsidRDefault="00407DFF" w:rsidP="007E48A3">
            <w:pPr>
              <w:widowControl/>
              <w:jc w:val="center"/>
              <w:textAlignment w:val="center"/>
              <w:rPr>
                <w:rFonts w:ascii="宋体" w:hAnsi="宋体" w:cs="宋体" w:hint="eastAsia"/>
                <w:sz w:val="18"/>
                <w:szCs w:val="18"/>
              </w:rPr>
            </w:pPr>
            <w:r w:rsidRPr="00407DFF">
              <w:rPr>
                <w:rFonts w:ascii="宋体" w:hAnsi="宋体" w:cs="宋体" w:hint="eastAsia"/>
                <w:kern w:val="0"/>
                <w:sz w:val="18"/>
                <w:szCs w:val="18"/>
                <w:lang w:bidi="ar"/>
              </w:rPr>
              <w:t>污染物排泄量（</w:t>
            </w:r>
            <w:r w:rsidRPr="00407DFF">
              <w:rPr>
                <w:kern w:val="0"/>
                <w:sz w:val="18"/>
                <w:szCs w:val="18"/>
                <w:lang w:bidi="ar"/>
              </w:rPr>
              <w:t>t/a</w:t>
            </w:r>
            <w:r w:rsidRPr="00407DFF">
              <w:rPr>
                <w:rFonts w:ascii="宋体" w:hAnsi="宋体" w:cs="宋体" w:hint="eastAsia"/>
                <w:kern w:val="0"/>
                <w:sz w:val="18"/>
                <w:szCs w:val="18"/>
                <w:lang w:bidi="ar"/>
              </w:rPr>
              <w:t>）</w:t>
            </w:r>
          </w:p>
        </w:tc>
        <w:tc>
          <w:tcPr>
            <w:tcW w:w="1164" w:type="pct"/>
            <w:gridSpan w:val="4"/>
            <w:tcBorders>
              <w:top w:val="single" w:sz="4" w:space="0" w:color="000000"/>
              <w:left w:val="single" w:sz="4" w:space="0" w:color="000000"/>
              <w:bottom w:val="single" w:sz="4" w:space="0" w:color="000000"/>
              <w:right w:val="single" w:sz="4" w:space="0" w:color="000000"/>
            </w:tcBorders>
            <w:vAlign w:val="center"/>
          </w:tcPr>
          <w:p w14:paraId="571F49DC" w14:textId="77777777" w:rsidR="00407DFF" w:rsidRPr="00407DFF" w:rsidRDefault="00407DFF" w:rsidP="007E48A3">
            <w:pPr>
              <w:widowControl/>
              <w:jc w:val="center"/>
              <w:textAlignment w:val="center"/>
              <w:rPr>
                <w:rFonts w:ascii="宋体" w:hAnsi="宋体" w:cs="宋体" w:hint="eastAsia"/>
                <w:sz w:val="18"/>
                <w:szCs w:val="18"/>
              </w:rPr>
            </w:pPr>
            <w:r w:rsidRPr="00407DFF">
              <w:rPr>
                <w:rFonts w:ascii="宋体" w:hAnsi="宋体" w:cs="宋体" w:hint="eastAsia"/>
                <w:kern w:val="0"/>
                <w:sz w:val="18"/>
                <w:szCs w:val="18"/>
                <w:lang w:bidi="ar"/>
              </w:rPr>
              <w:t>污染物入河量（</w:t>
            </w:r>
            <w:r w:rsidRPr="00407DFF">
              <w:rPr>
                <w:kern w:val="0"/>
                <w:sz w:val="18"/>
                <w:szCs w:val="18"/>
                <w:lang w:bidi="ar"/>
              </w:rPr>
              <w:t>t/a</w:t>
            </w:r>
            <w:r w:rsidRPr="00407DFF">
              <w:rPr>
                <w:rFonts w:ascii="宋体" w:hAnsi="宋体" w:cs="宋体" w:hint="eastAsia"/>
                <w:kern w:val="0"/>
                <w:sz w:val="18"/>
                <w:szCs w:val="18"/>
                <w:lang w:bidi="ar"/>
              </w:rPr>
              <w:t>）</w:t>
            </w:r>
          </w:p>
        </w:tc>
      </w:tr>
      <w:tr w:rsidR="00407DFF" w:rsidRPr="00407DFF" w14:paraId="423961A6" w14:textId="77777777" w:rsidTr="007E48A3">
        <w:trPr>
          <w:trHeight w:val="270"/>
        </w:trPr>
        <w:tc>
          <w:tcPr>
            <w:tcW w:w="1197" w:type="pct"/>
            <w:gridSpan w:val="2"/>
            <w:vMerge/>
            <w:tcBorders>
              <w:top w:val="single" w:sz="4" w:space="0" w:color="000000"/>
              <w:left w:val="single" w:sz="4" w:space="0" w:color="000000"/>
              <w:bottom w:val="single" w:sz="4" w:space="0" w:color="000000"/>
              <w:right w:val="single" w:sz="4" w:space="0" w:color="000000"/>
            </w:tcBorders>
            <w:vAlign w:val="center"/>
          </w:tcPr>
          <w:p w14:paraId="40781AEF" w14:textId="77777777" w:rsidR="00407DFF" w:rsidRPr="00407DFF" w:rsidRDefault="00407DFF" w:rsidP="007E48A3">
            <w:pPr>
              <w:jc w:val="center"/>
              <w:rPr>
                <w:rFonts w:ascii="宋体" w:hAnsi="宋体" w:cs="宋体" w:hint="eastAsia"/>
                <w:sz w:val="20"/>
                <w:szCs w:val="20"/>
              </w:rPr>
            </w:pPr>
          </w:p>
        </w:tc>
        <w:tc>
          <w:tcPr>
            <w:tcW w:w="396" w:type="pct"/>
            <w:tcBorders>
              <w:top w:val="single" w:sz="4" w:space="0" w:color="000000"/>
              <w:left w:val="single" w:sz="4" w:space="0" w:color="000000"/>
              <w:bottom w:val="single" w:sz="4" w:space="0" w:color="000000"/>
              <w:right w:val="single" w:sz="4" w:space="0" w:color="000000"/>
            </w:tcBorders>
            <w:vAlign w:val="center"/>
          </w:tcPr>
          <w:p w14:paraId="5AAE117F" w14:textId="77777777" w:rsidR="00407DFF" w:rsidRPr="00407DFF" w:rsidRDefault="00407DFF" w:rsidP="007E48A3">
            <w:pPr>
              <w:widowControl/>
              <w:jc w:val="center"/>
              <w:textAlignment w:val="center"/>
              <w:rPr>
                <w:rFonts w:ascii="宋体" w:hAnsi="宋体" w:cs="宋体" w:hint="eastAsia"/>
                <w:sz w:val="18"/>
                <w:szCs w:val="18"/>
              </w:rPr>
            </w:pPr>
            <w:r w:rsidRPr="00407DFF">
              <w:rPr>
                <w:rFonts w:ascii="宋体" w:hAnsi="宋体" w:cs="宋体" w:hint="eastAsia"/>
                <w:kern w:val="0"/>
                <w:sz w:val="18"/>
                <w:szCs w:val="18"/>
                <w:lang w:bidi="ar"/>
              </w:rPr>
              <w:t>大牲畜</w:t>
            </w:r>
          </w:p>
        </w:tc>
        <w:tc>
          <w:tcPr>
            <w:tcW w:w="411" w:type="pct"/>
            <w:tcBorders>
              <w:top w:val="single" w:sz="4" w:space="0" w:color="000000"/>
              <w:left w:val="single" w:sz="4" w:space="0" w:color="000000"/>
              <w:bottom w:val="single" w:sz="4" w:space="0" w:color="000000"/>
              <w:right w:val="single" w:sz="4" w:space="0" w:color="000000"/>
            </w:tcBorders>
            <w:vAlign w:val="center"/>
          </w:tcPr>
          <w:p w14:paraId="62E22AB3" w14:textId="77777777" w:rsidR="00407DFF" w:rsidRPr="00407DFF" w:rsidRDefault="00407DFF" w:rsidP="007E48A3">
            <w:pPr>
              <w:widowControl/>
              <w:jc w:val="center"/>
              <w:textAlignment w:val="center"/>
              <w:rPr>
                <w:rFonts w:ascii="宋体" w:hAnsi="宋体" w:cs="宋体" w:hint="eastAsia"/>
                <w:sz w:val="18"/>
                <w:szCs w:val="18"/>
              </w:rPr>
            </w:pPr>
            <w:r w:rsidRPr="00407DFF">
              <w:rPr>
                <w:rFonts w:ascii="宋体" w:hAnsi="宋体" w:cs="宋体" w:hint="eastAsia"/>
                <w:kern w:val="0"/>
                <w:sz w:val="18"/>
                <w:szCs w:val="18"/>
                <w:lang w:bidi="ar"/>
              </w:rPr>
              <w:t>小牲畜</w:t>
            </w:r>
          </w:p>
        </w:tc>
        <w:tc>
          <w:tcPr>
            <w:tcW w:w="348" w:type="pct"/>
            <w:tcBorders>
              <w:top w:val="single" w:sz="4" w:space="0" w:color="000000"/>
              <w:left w:val="single" w:sz="4" w:space="0" w:color="000000"/>
              <w:bottom w:val="single" w:sz="4" w:space="0" w:color="000000"/>
              <w:right w:val="single" w:sz="4" w:space="0" w:color="000000"/>
            </w:tcBorders>
            <w:noWrap/>
            <w:vAlign w:val="center"/>
          </w:tcPr>
          <w:p w14:paraId="198CEEA5" w14:textId="77777777" w:rsidR="00407DFF" w:rsidRPr="00407DFF" w:rsidRDefault="00407DFF" w:rsidP="007E48A3">
            <w:pPr>
              <w:widowControl/>
              <w:jc w:val="center"/>
              <w:textAlignment w:val="center"/>
              <w:rPr>
                <w:rFonts w:ascii="宋体" w:hAnsi="宋体" w:cs="宋体" w:hint="eastAsia"/>
                <w:sz w:val="18"/>
                <w:szCs w:val="18"/>
              </w:rPr>
            </w:pPr>
            <w:r w:rsidRPr="00407DFF">
              <w:rPr>
                <w:rFonts w:ascii="宋体" w:hAnsi="宋体" w:cs="宋体" w:hint="eastAsia"/>
                <w:kern w:val="0"/>
                <w:sz w:val="18"/>
                <w:szCs w:val="18"/>
                <w:lang w:bidi="ar"/>
              </w:rPr>
              <w:t>家禽</w:t>
            </w:r>
          </w:p>
        </w:tc>
        <w:tc>
          <w:tcPr>
            <w:tcW w:w="414" w:type="pct"/>
            <w:tcBorders>
              <w:top w:val="single" w:sz="4" w:space="0" w:color="000000"/>
              <w:left w:val="single" w:sz="4" w:space="0" w:color="000000"/>
              <w:bottom w:val="single" w:sz="4" w:space="0" w:color="000000"/>
              <w:right w:val="single" w:sz="4" w:space="0" w:color="000000"/>
            </w:tcBorders>
            <w:vAlign w:val="center"/>
          </w:tcPr>
          <w:p w14:paraId="4EABECB5" w14:textId="77777777" w:rsidR="00407DFF" w:rsidRPr="00407DFF" w:rsidRDefault="00407DFF" w:rsidP="007E48A3">
            <w:pPr>
              <w:widowControl/>
              <w:jc w:val="center"/>
              <w:textAlignment w:val="center"/>
              <w:rPr>
                <w:rFonts w:ascii="宋体" w:hAnsi="宋体" w:cs="宋体" w:hint="eastAsia"/>
                <w:sz w:val="18"/>
                <w:szCs w:val="18"/>
              </w:rPr>
            </w:pPr>
            <w:r w:rsidRPr="00407DFF">
              <w:rPr>
                <w:rFonts w:ascii="宋体" w:hAnsi="宋体" w:cs="宋体" w:hint="eastAsia"/>
                <w:kern w:val="0"/>
                <w:sz w:val="18"/>
                <w:szCs w:val="18"/>
                <w:lang w:bidi="ar"/>
              </w:rPr>
              <w:t>COD</w:t>
            </w:r>
          </w:p>
        </w:tc>
        <w:tc>
          <w:tcPr>
            <w:tcW w:w="323" w:type="pct"/>
            <w:tcBorders>
              <w:top w:val="single" w:sz="4" w:space="0" w:color="000000"/>
              <w:left w:val="single" w:sz="4" w:space="0" w:color="000000"/>
              <w:bottom w:val="single" w:sz="4" w:space="0" w:color="000000"/>
              <w:right w:val="single" w:sz="4" w:space="0" w:color="000000"/>
            </w:tcBorders>
            <w:vAlign w:val="center"/>
          </w:tcPr>
          <w:p w14:paraId="34A4C182" w14:textId="77777777" w:rsidR="00407DFF" w:rsidRPr="00407DFF" w:rsidRDefault="00407DFF" w:rsidP="007E48A3">
            <w:pPr>
              <w:widowControl/>
              <w:jc w:val="center"/>
              <w:textAlignment w:val="center"/>
              <w:rPr>
                <w:rFonts w:ascii="宋体" w:hAnsi="宋体" w:cs="宋体" w:hint="eastAsia"/>
                <w:sz w:val="18"/>
                <w:szCs w:val="18"/>
              </w:rPr>
            </w:pPr>
            <w:r w:rsidRPr="00407DFF">
              <w:rPr>
                <w:rFonts w:ascii="宋体" w:hAnsi="宋体" w:cs="宋体" w:hint="eastAsia"/>
                <w:kern w:val="0"/>
                <w:sz w:val="18"/>
                <w:szCs w:val="18"/>
                <w:lang w:bidi="ar"/>
              </w:rPr>
              <w:t>氨氮</w:t>
            </w:r>
          </w:p>
        </w:tc>
        <w:tc>
          <w:tcPr>
            <w:tcW w:w="376" w:type="pct"/>
            <w:tcBorders>
              <w:top w:val="single" w:sz="4" w:space="0" w:color="000000"/>
              <w:left w:val="single" w:sz="4" w:space="0" w:color="000000"/>
              <w:bottom w:val="single" w:sz="4" w:space="0" w:color="000000"/>
              <w:right w:val="single" w:sz="4" w:space="0" w:color="000000"/>
            </w:tcBorders>
            <w:vAlign w:val="center"/>
          </w:tcPr>
          <w:p w14:paraId="2FA06554" w14:textId="77777777" w:rsidR="00407DFF" w:rsidRPr="00407DFF" w:rsidRDefault="00407DFF" w:rsidP="007E48A3">
            <w:pPr>
              <w:widowControl/>
              <w:jc w:val="center"/>
              <w:textAlignment w:val="center"/>
              <w:rPr>
                <w:rFonts w:ascii="宋体" w:hAnsi="宋体" w:cs="宋体" w:hint="eastAsia"/>
                <w:sz w:val="18"/>
                <w:szCs w:val="18"/>
              </w:rPr>
            </w:pPr>
            <w:r w:rsidRPr="00407DFF">
              <w:rPr>
                <w:rFonts w:ascii="宋体" w:hAnsi="宋体" w:cs="宋体" w:hint="eastAsia"/>
                <w:kern w:val="0"/>
                <w:sz w:val="18"/>
                <w:szCs w:val="18"/>
                <w:lang w:bidi="ar"/>
              </w:rPr>
              <w:t>总氮</w:t>
            </w:r>
          </w:p>
        </w:tc>
        <w:tc>
          <w:tcPr>
            <w:tcW w:w="366" w:type="pct"/>
            <w:tcBorders>
              <w:top w:val="single" w:sz="4" w:space="0" w:color="000000"/>
              <w:left w:val="single" w:sz="4" w:space="0" w:color="000000"/>
              <w:bottom w:val="single" w:sz="4" w:space="0" w:color="000000"/>
              <w:right w:val="single" w:sz="4" w:space="0" w:color="000000"/>
            </w:tcBorders>
            <w:vAlign w:val="center"/>
          </w:tcPr>
          <w:p w14:paraId="375C1DD5" w14:textId="77777777" w:rsidR="00407DFF" w:rsidRPr="00407DFF" w:rsidRDefault="00407DFF" w:rsidP="007E48A3">
            <w:pPr>
              <w:widowControl/>
              <w:jc w:val="center"/>
              <w:textAlignment w:val="center"/>
              <w:rPr>
                <w:rFonts w:ascii="宋体" w:hAnsi="宋体" w:cs="宋体" w:hint="eastAsia"/>
                <w:sz w:val="18"/>
                <w:szCs w:val="18"/>
              </w:rPr>
            </w:pPr>
            <w:r w:rsidRPr="00407DFF">
              <w:rPr>
                <w:rFonts w:ascii="宋体" w:hAnsi="宋体" w:cs="宋体" w:hint="eastAsia"/>
                <w:kern w:val="0"/>
                <w:sz w:val="18"/>
                <w:szCs w:val="18"/>
                <w:lang w:bidi="ar"/>
              </w:rPr>
              <w:t>总磷</w:t>
            </w:r>
          </w:p>
        </w:tc>
        <w:tc>
          <w:tcPr>
            <w:tcW w:w="338" w:type="pct"/>
            <w:tcBorders>
              <w:top w:val="single" w:sz="4" w:space="0" w:color="000000"/>
              <w:left w:val="single" w:sz="4" w:space="0" w:color="000000"/>
              <w:bottom w:val="single" w:sz="4" w:space="0" w:color="000000"/>
              <w:right w:val="single" w:sz="4" w:space="0" w:color="000000"/>
            </w:tcBorders>
            <w:vAlign w:val="center"/>
          </w:tcPr>
          <w:p w14:paraId="63F157CF" w14:textId="77777777" w:rsidR="00407DFF" w:rsidRPr="00407DFF" w:rsidRDefault="00407DFF" w:rsidP="007E48A3">
            <w:pPr>
              <w:widowControl/>
              <w:jc w:val="center"/>
              <w:textAlignment w:val="center"/>
              <w:rPr>
                <w:rFonts w:ascii="宋体" w:hAnsi="宋体" w:cs="宋体" w:hint="eastAsia"/>
                <w:sz w:val="18"/>
                <w:szCs w:val="18"/>
              </w:rPr>
            </w:pPr>
            <w:r w:rsidRPr="00407DFF">
              <w:rPr>
                <w:rFonts w:ascii="宋体" w:hAnsi="宋体" w:cs="宋体" w:hint="eastAsia"/>
                <w:kern w:val="0"/>
                <w:sz w:val="18"/>
                <w:szCs w:val="18"/>
                <w:lang w:bidi="ar"/>
              </w:rPr>
              <w:t>COD</w:t>
            </w:r>
          </w:p>
        </w:tc>
        <w:tc>
          <w:tcPr>
            <w:tcW w:w="243" w:type="pct"/>
            <w:tcBorders>
              <w:top w:val="single" w:sz="4" w:space="0" w:color="000000"/>
              <w:left w:val="single" w:sz="4" w:space="0" w:color="000000"/>
              <w:bottom w:val="single" w:sz="4" w:space="0" w:color="000000"/>
              <w:right w:val="single" w:sz="4" w:space="0" w:color="000000"/>
            </w:tcBorders>
            <w:vAlign w:val="center"/>
          </w:tcPr>
          <w:p w14:paraId="3CC27B76" w14:textId="77777777" w:rsidR="00407DFF" w:rsidRPr="00407DFF" w:rsidRDefault="00407DFF" w:rsidP="007E48A3">
            <w:pPr>
              <w:widowControl/>
              <w:jc w:val="center"/>
              <w:textAlignment w:val="center"/>
              <w:rPr>
                <w:rFonts w:ascii="宋体" w:hAnsi="宋体" w:cs="宋体" w:hint="eastAsia"/>
                <w:sz w:val="18"/>
                <w:szCs w:val="18"/>
              </w:rPr>
            </w:pPr>
            <w:r w:rsidRPr="00407DFF">
              <w:rPr>
                <w:rFonts w:ascii="宋体" w:hAnsi="宋体" w:cs="宋体" w:hint="eastAsia"/>
                <w:kern w:val="0"/>
                <w:sz w:val="18"/>
                <w:szCs w:val="18"/>
                <w:lang w:bidi="ar"/>
              </w:rPr>
              <w:t>氨氮</w:t>
            </w:r>
          </w:p>
        </w:tc>
        <w:tc>
          <w:tcPr>
            <w:tcW w:w="300" w:type="pct"/>
            <w:tcBorders>
              <w:top w:val="single" w:sz="4" w:space="0" w:color="000000"/>
              <w:left w:val="single" w:sz="4" w:space="0" w:color="000000"/>
              <w:bottom w:val="single" w:sz="4" w:space="0" w:color="000000"/>
              <w:right w:val="single" w:sz="4" w:space="0" w:color="000000"/>
            </w:tcBorders>
            <w:vAlign w:val="center"/>
          </w:tcPr>
          <w:p w14:paraId="0C0740DA" w14:textId="77777777" w:rsidR="00407DFF" w:rsidRPr="00407DFF" w:rsidRDefault="00407DFF" w:rsidP="007E48A3">
            <w:pPr>
              <w:widowControl/>
              <w:jc w:val="center"/>
              <w:textAlignment w:val="center"/>
              <w:rPr>
                <w:rFonts w:ascii="宋体" w:hAnsi="宋体" w:cs="宋体" w:hint="eastAsia"/>
                <w:sz w:val="18"/>
                <w:szCs w:val="18"/>
              </w:rPr>
            </w:pPr>
            <w:r w:rsidRPr="00407DFF">
              <w:rPr>
                <w:rFonts w:ascii="宋体" w:hAnsi="宋体" w:cs="宋体" w:hint="eastAsia"/>
                <w:kern w:val="0"/>
                <w:sz w:val="18"/>
                <w:szCs w:val="18"/>
                <w:lang w:bidi="ar"/>
              </w:rPr>
              <w:t>总氮</w:t>
            </w:r>
          </w:p>
        </w:tc>
        <w:tc>
          <w:tcPr>
            <w:tcW w:w="281" w:type="pct"/>
            <w:tcBorders>
              <w:top w:val="single" w:sz="4" w:space="0" w:color="000000"/>
              <w:left w:val="single" w:sz="4" w:space="0" w:color="000000"/>
              <w:bottom w:val="single" w:sz="4" w:space="0" w:color="000000"/>
              <w:right w:val="single" w:sz="4" w:space="0" w:color="000000"/>
            </w:tcBorders>
            <w:vAlign w:val="center"/>
          </w:tcPr>
          <w:p w14:paraId="0D4F9CA7" w14:textId="77777777" w:rsidR="00407DFF" w:rsidRPr="00407DFF" w:rsidRDefault="00407DFF" w:rsidP="007E48A3">
            <w:pPr>
              <w:widowControl/>
              <w:jc w:val="center"/>
              <w:textAlignment w:val="center"/>
              <w:rPr>
                <w:rFonts w:ascii="宋体" w:hAnsi="宋体" w:cs="宋体" w:hint="eastAsia"/>
                <w:sz w:val="18"/>
                <w:szCs w:val="18"/>
              </w:rPr>
            </w:pPr>
            <w:r w:rsidRPr="00407DFF">
              <w:rPr>
                <w:rFonts w:ascii="宋体" w:hAnsi="宋体" w:cs="宋体" w:hint="eastAsia"/>
                <w:kern w:val="0"/>
                <w:sz w:val="18"/>
                <w:szCs w:val="18"/>
                <w:lang w:bidi="ar"/>
              </w:rPr>
              <w:t>总磷</w:t>
            </w:r>
          </w:p>
        </w:tc>
      </w:tr>
      <w:tr w:rsidR="00407DFF" w:rsidRPr="00407DFF" w14:paraId="35636757" w14:textId="77777777" w:rsidTr="007E48A3">
        <w:trPr>
          <w:trHeight w:val="270"/>
        </w:trPr>
        <w:tc>
          <w:tcPr>
            <w:tcW w:w="345" w:type="pct"/>
            <w:vMerge w:val="restart"/>
            <w:tcBorders>
              <w:top w:val="single" w:sz="4" w:space="0" w:color="000000"/>
              <w:left w:val="single" w:sz="4" w:space="0" w:color="000000"/>
              <w:bottom w:val="single" w:sz="4" w:space="0" w:color="000000"/>
              <w:right w:val="single" w:sz="4" w:space="0" w:color="000000"/>
            </w:tcBorders>
            <w:noWrap/>
            <w:vAlign w:val="center"/>
          </w:tcPr>
          <w:p w14:paraId="2E63F2E0" w14:textId="77777777" w:rsidR="00407DFF" w:rsidRPr="00407DFF" w:rsidRDefault="00407DFF" w:rsidP="007E48A3">
            <w:pPr>
              <w:widowControl/>
              <w:jc w:val="center"/>
              <w:textAlignment w:val="center"/>
              <w:rPr>
                <w:rFonts w:ascii="宋体" w:hAnsi="宋体" w:cs="宋体" w:hint="eastAsia"/>
                <w:sz w:val="20"/>
                <w:szCs w:val="20"/>
              </w:rPr>
            </w:pPr>
            <w:r w:rsidRPr="00407DFF">
              <w:rPr>
                <w:rFonts w:ascii="宋体" w:hAnsi="宋体" w:cs="宋体" w:hint="eastAsia"/>
                <w:kern w:val="0"/>
                <w:sz w:val="20"/>
                <w:szCs w:val="20"/>
                <w:lang w:bidi="ar"/>
              </w:rPr>
              <w:t>共和县</w:t>
            </w:r>
          </w:p>
        </w:tc>
        <w:tc>
          <w:tcPr>
            <w:tcW w:w="852" w:type="pct"/>
            <w:tcBorders>
              <w:top w:val="single" w:sz="4" w:space="0" w:color="000000"/>
              <w:left w:val="single" w:sz="4" w:space="0" w:color="000000"/>
              <w:bottom w:val="single" w:sz="4" w:space="0" w:color="000000"/>
              <w:right w:val="single" w:sz="4" w:space="0" w:color="000000"/>
            </w:tcBorders>
            <w:vAlign w:val="center"/>
          </w:tcPr>
          <w:p w14:paraId="4B693F7C" w14:textId="77777777" w:rsidR="00407DFF" w:rsidRPr="00407DFF" w:rsidRDefault="00407DFF" w:rsidP="007E48A3">
            <w:pPr>
              <w:widowControl/>
              <w:jc w:val="center"/>
              <w:textAlignment w:val="center"/>
              <w:rPr>
                <w:rFonts w:ascii="宋体" w:hAnsi="宋体" w:cs="宋体" w:hint="eastAsia"/>
                <w:sz w:val="20"/>
                <w:szCs w:val="20"/>
              </w:rPr>
            </w:pPr>
            <w:r w:rsidRPr="00407DFF">
              <w:rPr>
                <w:rFonts w:ascii="宋体" w:hAnsi="宋体" w:cs="宋体" w:hint="eastAsia"/>
                <w:kern w:val="0"/>
                <w:sz w:val="20"/>
                <w:szCs w:val="20"/>
                <w:lang w:bidi="ar"/>
              </w:rPr>
              <w:t>共和县</w:t>
            </w:r>
          </w:p>
        </w:tc>
        <w:tc>
          <w:tcPr>
            <w:tcW w:w="396" w:type="pct"/>
            <w:tcBorders>
              <w:top w:val="single" w:sz="4" w:space="0" w:color="000000"/>
              <w:left w:val="single" w:sz="4" w:space="0" w:color="000000"/>
              <w:bottom w:val="single" w:sz="4" w:space="0" w:color="000000"/>
              <w:right w:val="single" w:sz="4" w:space="0" w:color="000000"/>
            </w:tcBorders>
            <w:vAlign w:val="center"/>
          </w:tcPr>
          <w:p w14:paraId="1FB55629" w14:textId="77777777" w:rsidR="00407DFF" w:rsidRPr="00407DFF" w:rsidRDefault="00407DFF" w:rsidP="007E48A3">
            <w:pPr>
              <w:widowControl/>
              <w:jc w:val="center"/>
              <w:textAlignment w:val="center"/>
              <w:rPr>
                <w:sz w:val="18"/>
                <w:szCs w:val="18"/>
              </w:rPr>
            </w:pPr>
            <w:r w:rsidRPr="00407DFF">
              <w:rPr>
                <w:kern w:val="0"/>
                <w:sz w:val="18"/>
                <w:szCs w:val="18"/>
                <w:lang w:bidi="ar"/>
              </w:rPr>
              <w:t xml:space="preserve">167700 </w:t>
            </w:r>
          </w:p>
        </w:tc>
        <w:tc>
          <w:tcPr>
            <w:tcW w:w="411" w:type="pct"/>
            <w:tcBorders>
              <w:top w:val="single" w:sz="4" w:space="0" w:color="000000"/>
              <w:left w:val="single" w:sz="4" w:space="0" w:color="000000"/>
              <w:bottom w:val="single" w:sz="4" w:space="0" w:color="000000"/>
              <w:right w:val="single" w:sz="4" w:space="0" w:color="000000"/>
            </w:tcBorders>
            <w:vAlign w:val="center"/>
          </w:tcPr>
          <w:p w14:paraId="0AB71BC5" w14:textId="77777777" w:rsidR="00407DFF" w:rsidRPr="00407DFF" w:rsidRDefault="00407DFF" w:rsidP="007E48A3">
            <w:pPr>
              <w:widowControl/>
              <w:jc w:val="center"/>
              <w:textAlignment w:val="center"/>
              <w:rPr>
                <w:sz w:val="18"/>
                <w:szCs w:val="18"/>
              </w:rPr>
            </w:pPr>
            <w:r w:rsidRPr="00407DFF">
              <w:rPr>
                <w:kern w:val="0"/>
                <w:sz w:val="18"/>
                <w:szCs w:val="18"/>
                <w:lang w:bidi="ar"/>
              </w:rPr>
              <w:t xml:space="preserve">1555800 </w:t>
            </w:r>
          </w:p>
        </w:tc>
        <w:tc>
          <w:tcPr>
            <w:tcW w:w="348" w:type="pct"/>
            <w:tcBorders>
              <w:top w:val="single" w:sz="4" w:space="0" w:color="000000"/>
              <w:left w:val="single" w:sz="4" w:space="0" w:color="000000"/>
              <w:bottom w:val="single" w:sz="4" w:space="0" w:color="000000"/>
              <w:right w:val="single" w:sz="4" w:space="0" w:color="000000"/>
            </w:tcBorders>
            <w:vAlign w:val="center"/>
          </w:tcPr>
          <w:p w14:paraId="2DB102E0" w14:textId="77777777" w:rsidR="00407DFF" w:rsidRPr="00407DFF" w:rsidRDefault="00407DFF" w:rsidP="007E48A3">
            <w:pPr>
              <w:widowControl/>
              <w:jc w:val="center"/>
              <w:textAlignment w:val="center"/>
              <w:rPr>
                <w:sz w:val="18"/>
                <w:szCs w:val="18"/>
              </w:rPr>
            </w:pPr>
            <w:r w:rsidRPr="00407DFF">
              <w:rPr>
                <w:kern w:val="0"/>
                <w:sz w:val="18"/>
                <w:szCs w:val="18"/>
                <w:lang w:bidi="ar"/>
              </w:rPr>
              <w:t xml:space="preserve">36700 </w:t>
            </w:r>
          </w:p>
        </w:tc>
        <w:tc>
          <w:tcPr>
            <w:tcW w:w="414" w:type="pct"/>
            <w:tcBorders>
              <w:top w:val="single" w:sz="4" w:space="0" w:color="000000"/>
              <w:left w:val="single" w:sz="4" w:space="0" w:color="000000"/>
              <w:bottom w:val="single" w:sz="4" w:space="0" w:color="000000"/>
              <w:right w:val="single" w:sz="4" w:space="0" w:color="000000"/>
            </w:tcBorders>
            <w:vAlign w:val="center"/>
          </w:tcPr>
          <w:p w14:paraId="7AC80897" w14:textId="77777777" w:rsidR="00407DFF" w:rsidRPr="00407DFF" w:rsidRDefault="00407DFF" w:rsidP="007E48A3">
            <w:pPr>
              <w:widowControl/>
              <w:jc w:val="center"/>
              <w:textAlignment w:val="center"/>
              <w:rPr>
                <w:sz w:val="18"/>
                <w:szCs w:val="18"/>
              </w:rPr>
            </w:pPr>
            <w:r w:rsidRPr="00407DFF">
              <w:rPr>
                <w:kern w:val="0"/>
                <w:sz w:val="18"/>
                <w:szCs w:val="18"/>
                <w:lang w:bidi="ar"/>
              </w:rPr>
              <w:t>53703.76</w:t>
            </w:r>
          </w:p>
        </w:tc>
        <w:tc>
          <w:tcPr>
            <w:tcW w:w="323" w:type="pct"/>
            <w:tcBorders>
              <w:top w:val="single" w:sz="4" w:space="0" w:color="000000"/>
              <w:left w:val="single" w:sz="4" w:space="0" w:color="000000"/>
              <w:bottom w:val="single" w:sz="4" w:space="0" w:color="000000"/>
              <w:right w:val="single" w:sz="4" w:space="0" w:color="000000"/>
            </w:tcBorders>
            <w:vAlign w:val="center"/>
          </w:tcPr>
          <w:p w14:paraId="66FE720E" w14:textId="77777777" w:rsidR="00407DFF" w:rsidRPr="00407DFF" w:rsidRDefault="00407DFF" w:rsidP="007E48A3">
            <w:pPr>
              <w:widowControl/>
              <w:jc w:val="center"/>
              <w:textAlignment w:val="center"/>
              <w:rPr>
                <w:sz w:val="18"/>
                <w:szCs w:val="18"/>
              </w:rPr>
            </w:pPr>
            <w:r w:rsidRPr="00407DFF">
              <w:rPr>
                <w:kern w:val="0"/>
                <w:sz w:val="18"/>
                <w:szCs w:val="18"/>
                <w:lang w:bidi="ar"/>
              </w:rPr>
              <w:t>302.28</w:t>
            </w:r>
          </w:p>
        </w:tc>
        <w:tc>
          <w:tcPr>
            <w:tcW w:w="376" w:type="pct"/>
            <w:tcBorders>
              <w:top w:val="single" w:sz="4" w:space="0" w:color="000000"/>
              <w:left w:val="single" w:sz="4" w:space="0" w:color="000000"/>
              <w:bottom w:val="single" w:sz="4" w:space="0" w:color="000000"/>
              <w:right w:val="single" w:sz="4" w:space="0" w:color="000000"/>
            </w:tcBorders>
            <w:vAlign w:val="center"/>
          </w:tcPr>
          <w:p w14:paraId="4A6A5DD3" w14:textId="77777777" w:rsidR="00407DFF" w:rsidRPr="00407DFF" w:rsidRDefault="00407DFF" w:rsidP="007E48A3">
            <w:pPr>
              <w:widowControl/>
              <w:jc w:val="center"/>
              <w:textAlignment w:val="center"/>
              <w:rPr>
                <w:sz w:val="18"/>
                <w:szCs w:val="18"/>
              </w:rPr>
            </w:pPr>
            <w:r w:rsidRPr="00407DFF">
              <w:rPr>
                <w:kern w:val="0"/>
                <w:sz w:val="18"/>
                <w:szCs w:val="18"/>
                <w:lang w:bidi="ar"/>
              </w:rPr>
              <w:t>7791.16</w:t>
            </w:r>
          </w:p>
        </w:tc>
        <w:tc>
          <w:tcPr>
            <w:tcW w:w="366" w:type="pct"/>
            <w:tcBorders>
              <w:top w:val="single" w:sz="4" w:space="0" w:color="000000"/>
              <w:left w:val="single" w:sz="4" w:space="0" w:color="000000"/>
              <w:bottom w:val="single" w:sz="4" w:space="0" w:color="000000"/>
              <w:right w:val="single" w:sz="4" w:space="0" w:color="000000"/>
            </w:tcBorders>
            <w:noWrap/>
            <w:vAlign w:val="center"/>
          </w:tcPr>
          <w:p w14:paraId="6D9E4037" w14:textId="77777777" w:rsidR="00407DFF" w:rsidRPr="00407DFF" w:rsidRDefault="00407DFF" w:rsidP="007E48A3">
            <w:pPr>
              <w:widowControl/>
              <w:jc w:val="center"/>
              <w:textAlignment w:val="center"/>
              <w:rPr>
                <w:sz w:val="18"/>
                <w:szCs w:val="18"/>
              </w:rPr>
            </w:pPr>
            <w:r w:rsidRPr="00407DFF">
              <w:rPr>
                <w:kern w:val="0"/>
                <w:sz w:val="18"/>
                <w:szCs w:val="18"/>
                <w:lang w:bidi="ar"/>
              </w:rPr>
              <w:t>2114.95</w:t>
            </w:r>
          </w:p>
        </w:tc>
        <w:tc>
          <w:tcPr>
            <w:tcW w:w="338" w:type="pct"/>
            <w:tcBorders>
              <w:top w:val="single" w:sz="4" w:space="0" w:color="000000"/>
              <w:left w:val="single" w:sz="4" w:space="0" w:color="000000"/>
              <w:bottom w:val="single" w:sz="4" w:space="0" w:color="000000"/>
              <w:right w:val="single" w:sz="4" w:space="0" w:color="000000"/>
            </w:tcBorders>
            <w:noWrap/>
            <w:vAlign w:val="center"/>
          </w:tcPr>
          <w:p w14:paraId="6B1272A4" w14:textId="77777777" w:rsidR="00407DFF" w:rsidRPr="00407DFF" w:rsidRDefault="00407DFF" w:rsidP="007E48A3">
            <w:pPr>
              <w:widowControl/>
              <w:jc w:val="center"/>
              <w:textAlignment w:val="center"/>
              <w:rPr>
                <w:sz w:val="18"/>
                <w:szCs w:val="18"/>
              </w:rPr>
            </w:pPr>
            <w:r w:rsidRPr="00407DFF">
              <w:rPr>
                <w:kern w:val="0"/>
                <w:sz w:val="18"/>
                <w:szCs w:val="18"/>
                <w:lang w:bidi="ar"/>
              </w:rPr>
              <w:t>537.04</w:t>
            </w:r>
          </w:p>
        </w:tc>
        <w:tc>
          <w:tcPr>
            <w:tcW w:w="243" w:type="pct"/>
            <w:tcBorders>
              <w:top w:val="single" w:sz="4" w:space="0" w:color="000000"/>
              <w:left w:val="single" w:sz="4" w:space="0" w:color="000000"/>
              <w:bottom w:val="single" w:sz="4" w:space="0" w:color="000000"/>
              <w:right w:val="single" w:sz="4" w:space="0" w:color="000000"/>
            </w:tcBorders>
            <w:noWrap/>
            <w:vAlign w:val="center"/>
          </w:tcPr>
          <w:p w14:paraId="3DC4F6BD" w14:textId="77777777" w:rsidR="00407DFF" w:rsidRPr="00407DFF" w:rsidRDefault="00407DFF" w:rsidP="007E48A3">
            <w:pPr>
              <w:widowControl/>
              <w:jc w:val="center"/>
              <w:textAlignment w:val="center"/>
              <w:rPr>
                <w:sz w:val="18"/>
                <w:szCs w:val="18"/>
              </w:rPr>
            </w:pPr>
            <w:r w:rsidRPr="00407DFF">
              <w:rPr>
                <w:kern w:val="0"/>
                <w:sz w:val="18"/>
                <w:szCs w:val="18"/>
                <w:lang w:bidi="ar"/>
              </w:rPr>
              <w:t>3.02</w:t>
            </w:r>
          </w:p>
        </w:tc>
        <w:tc>
          <w:tcPr>
            <w:tcW w:w="300" w:type="pct"/>
            <w:tcBorders>
              <w:top w:val="single" w:sz="4" w:space="0" w:color="000000"/>
              <w:left w:val="single" w:sz="4" w:space="0" w:color="000000"/>
              <w:bottom w:val="single" w:sz="4" w:space="0" w:color="000000"/>
              <w:right w:val="single" w:sz="4" w:space="0" w:color="000000"/>
            </w:tcBorders>
            <w:noWrap/>
            <w:vAlign w:val="center"/>
          </w:tcPr>
          <w:p w14:paraId="483A7F8F" w14:textId="77777777" w:rsidR="00407DFF" w:rsidRPr="00407DFF" w:rsidRDefault="00407DFF" w:rsidP="007E48A3">
            <w:pPr>
              <w:widowControl/>
              <w:jc w:val="center"/>
              <w:textAlignment w:val="center"/>
              <w:rPr>
                <w:sz w:val="18"/>
                <w:szCs w:val="18"/>
              </w:rPr>
            </w:pPr>
            <w:r w:rsidRPr="00407DFF">
              <w:rPr>
                <w:kern w:val="0"/>
                <w:sz w:val="18"/>
                <w:szCs w:val="18"/>
                <w:lang w:bidi="ar"/>
              </w:rPr>
              <w:t>77.91</w:t>
            </w:r>
          </w:p>
        </w:tc>
        <w:tc>
          <w:tcPr>
            <w:tcW w:w="281" w:type="pct"/>
            <w:tcBorders>
              <w:top w:val="single" w:sz="4" w:space="0" w:color="000000"/>
              <w:left w:val="single" w:sz="4" w:space="0" w:color="000000"/>
              <w:bottom w:val="single" w:sz="4" w:space="0" w:color="000000"/>
              <w:right w:val="single" w:sz="4" w:space="0" w:color="000000"/>
            </w:tcBorders>
            <w:noWrap/>
            <w:vAlign w:val="center"/>
          </w:tcPr>
          <w:p w14:paraId="073C750F" w14:textId="77777777" w:rsidR="00407DFF" w:rsidRPr="00407DFF" w:rsidRDefault="00407DFF" w:rsidP="007E48A3">
            <w:pPr>
              <w:widowControl/>
              <w:jc w:val="center"/>
              <w:textAlignment w:val="center"/>
              <w:rPr>
                <w:sz w:val="18"/>
                <w:szCs w:val="18"/>
              </w:rPr>
            </w:pPr>
            <w:r w:rsidRPr="00407DFF">
              <w:rPr>
                <w:kern w:val="0"/>
                <w:sz w:val="18"/>
                <w:szCs w:val="18"/>
                <w:lang w:bidi="ar"/>
              </w:rPr>
              <w:t>21.15</w:t>
            </w:r>
          </w:p>
        </w:tc>
      </w:tr>
      <w:tr w:rsidR="00407DFF" w:rsidRPr="00407DFF" w14:paraId="2B218C4A" w14:textId="77777777" w:rsidTr="007E48A3">
        <w:trPr>
          <w:trHeight w:val="270"/>
        </w:trPr>
        <w:tc>
          <w:tcPr>
            <w:tcW w:w="345" w:type="pct"/>
            <w:vMerge/>
            <w:tcBorders>
              <w:top w:val="single" w:sz="4" w:space="0" w:color="000000"/>
              <w:left w:val="single" w:sz="4" w:space="0" w:color="000000"/>
              <w:bottom w:val="single" w:sz="4" w:space="0" w:color="000000"/>
              <w:right w:val="single" w:sz="4" w:space="0" w:color="000000"/>
            </w:tcBorders>
            <w:noWrap/>
            <w:vAlign w:val="center"/>
          </w:tcPr>
          <w:p w14:paraId="4180327F" w14:textId="77777777" w:rsidR="00407DFF" w:rsidRPr="00407DFF" w:rsidRDefault="00407DFF" w:rsidP="007E48A3">
            <w:pPr>
              <w:jc w:val="center"/>
              <w:rPr>
                <w:rFonts w:ascii="宋体" w:hAnsi="宋体" w:cs="宋体" w:hint="eastAsia"/>
                <w:sz w:val="20"/>
                <w:szCs w:val="20"/>
              </w:rPr>
            </w:pPr>
          </w:p>
        </w:tc>
        <w:tc>
          <w:tcPr>
            <w:tcW w:w="852" w:type="pct"/>
            <w:tcBorders>
              <w:top w:val="single" w:sz="4" w:space="0" w:color="000000"/>
              <w:left w:val="single" w:sz="4" w:space="0" w:color="000000"/>
              <w:bottom w:val="single" w:sz="4" w:space="0" w:color="000000"/>
              <w:right w:val="single" w:sz="4" w:space="0" w:color="000000"/>
            </w:tcBorders>
            <w:vAlign w:val="center"/>
          </w:tcPr>
          <w:p w14:paraId="6E1E0D52" w14:textId="77777777" w:rsidR="00407DFF" w:rsidRPr="00407DFF" w:rsidRDefault="00407DFF" w:rsidP="007E48A3">
            <w:pPr>
              <w:widowControl/>
              <w:jc w:val="center"/>
              <w:textAlignment w:val="center"/>
              <w:rPr>
                <w:rFonts w:ascii="宋体" w:hAnsi="宋体" w:cs="宋体" w:hint="eastAsia"/>
                <w:sz w:val="20"/>
                <w:szCs w:val="20"/>
              </w:rPr>
            </w:pPr>
            <w:r w:rsidRPr="00407DFF">
              <w:rPr>
                <w:rFonts w:ascii="宋体" w:hAnsi="宋体" w:cs="宋体" w:hint="eastAsia"/>
                <w:kern w:val="0"/>
                <w:sz w:val="20"/>
                <w:szCs w:val="20"/>
                <w:lang w:bidi="ar"/>
              </w:rPr>
              <w:t>其中：沙珠玉河流域</w:t>
            </w:r>
          </w:p>
        </w:tc>
        <w:tc>
          <w:tcPr>
            <w:tcW w:w="396" w:type="pct"/>
            <w:tcBorders>
              <w:top w:val="single" w:sz="4" w:space="0" w:color="000000"/>
              <w:left w:val="single" w:sz="4" w:space="0" w:color="000000"/>
              <w:bottom w:val="single" w:sz="4" w:space="0" w:color="000000"/>
              <w:right w:val="single" w:sz="4" w:space="0" w:color="000000"/>
            </w:tcBorders>
            <w:vAlign w:val="center"/>
          </w:tcPr>
          <w:p w14:paraId="11F2052B" w14:textId="77777777" w:rsidR="00407DFF" w:rsidRPr="00407DFF" w:rsidRDefault="00407DFF" w:rsidP="007E48A3">
            <w:pPr>
              <w:widowControl/>
              <w:jc w:val="center"/>
              <w:textAlignment w:val="center"/>
              <w:rPr>
                <w:sz w:val="20"/>
                <w:szCs w:val="20"/>
              </w:rPr>
            </w:pPr>
            <w:r w:rsidRPr="00407DFF">
              <w:rPr>
                <w:kern w:val="0"/>
                <w:sz w:val="20"/>
                <w:szCs w:val="20"/>
                <w:lang w:bidi="ar"/>
              </w:rPr>
              <w:t xml:space="preserve">58695 </w:t>
            </w:r>
          </w:p>
        </w:tc>
        <w:tc>
          <w:tcPr>
            <w:tcW w:w="411" w:type="pct"/>
            <w:tcBorders>
              <w:top w:val="single" w:sz="4" w:space="0" w:color="000000"/>
              <w:left w:val="single" w:sz="4" w:space="0" w:color="000000"/>
              <w:bottom w:val="single" w:sz="4" w:space="0" w:color="000000"/>
              <w:right w:val="single" w:sz="4" w:space="0" w:color="000000"/>
            </w:tcBorders>
            <w:vAlign w:val="center"/>
          </w:tcPr>
          <w:p w14:paraId="0CBCF833" w14:textId="77777777" w:rsidR="00407DFF" w:rsidRPr="00407DFF" w:rsidRDefault="00407DFF" w:rsidP="007E48A3">
            <w:pPr>
              <w:widowControl/>
              <w:jc w:val="center"/>
              <w:textAlignment w:val="center"/>
              <w:rPr>
                <w:sz w:val="20"/>
                <w:szCs w:val="20"/>
              </w:rPr>
            </w:pPr>
            <w:r w:rsidRPr="00407DFF">
              <w:rPr>
                <w:kern w:val="0"/>
                <w:sz w:val="20"/>
                <w:szCs w:val="20"/>
                <w:lang w:bidi="ar"/>
              </w:rPr>
              <w:t xml:space="preserve">544530 </w:t>
            </w:r>
          </w:p>
        </w:tc>
        <w:tc>
          <w:tcPr>
            <w:tcW w:w="348" w:type="pct"/>
            <w:tcBorders>
              <w:top w:val="single" w:sz="4" w:space="0" w:color="000000"/>
              <w:left w:val="single" w:sz="4" w:space="0" w:color="000000"/>
              <w:bottom w:val="single" w:sz="4" w:space="0" w:color="000000"/>
              <w:right w:val="single" w:sz="4" w:space="0" w:color="000000"/>
            </w:tcBorders>
            <w:vAlign w:val="center"/>
          </w:tcPr>
          <w:p w14:paraId="488A6B22" w14:textId="77777777" w:rsidR="00407DFF" w:rsidRPr="00407DFF" w:rsidRDefault="00407DFF" w:rsidP="007E48A3">
            <w:pPr>
              <w:widowControl/>
              <w:jc w:val="center"/>
              <w:textAlignment w:val="center"/>
              <w:rPr>
                <w:sz w:val="20"/>
                <w:szCs w:val="20"/>
              </w:rPr>
            </w:pPr>
            <w:r w:rsidRPr="00407DFF">
              <w:rPr>
                <w:kern w:val="0"/>
                <w:sz w:val="20"/>
                <w:szCs w:val="20"/>
                <w:lang w:bidi="ar"/>
              </w:rPr>
              <w:t xml:space="preserve">12845 </w:t>
            </w:r>
          </w:p>
        </w:tc>
        <w:tc>
          <w:tcPr>
            <w:tcW w:w="414" w:type="pct"/>
            <w:tcBorders>
              <w:top w:val="single" w:sz="4" w:space="0" w:color="000000"/>
              <w:left w:val="single" w:sz="4" w:space="0" w:color="000000"/>
              <w:bottom w:val="single" w:sz="4" w:space="0" w:color="000000"/>
              <w:right w:val="single" w:sz="4" w:space="0" w:color="000000"/>
            </w:tcBorders>
            <w:vAlign w:val="center"/>
          </w:tcPr>
          <w:p w14:paraId="013CD072" w14:textId="77777777" w:rsidR="00407DFF" w:rsidRPr="00407DFF" w:rsidRDefault="00407DFF" w:rsidP="007E48A3">
            <w:pPr>
              <w:widowControl/>
              <w:jc w:val="center"/>
              <w:textAlignment w:val="center"/>
              <w:rPr>
                <w:sz w:val="20"/>
                <w:szCs w:val="20"/>
              </w:rPr>
            </w:pPr>
            <w:r w:rsidRPr="00407DFF">
              <w:rPr>
                <w:kern w:val="0"/>
                <w:sz w:val="20"/>
                <w:szCs w:val="20"/>
                <w:lang w:bidi="ar"/>
              </w:rPr>
              <w:t xml:space="preserve">18796.32 </w:t>
            </w:r>
          </w:p>
        </w:tc>
        <w:tc>
          <w:tcPr>
            <w:tcW w:w="323" w:type="pct"/>
            <w:tcBorders>
              <w:top w:val="single" w:sz="4" w:space="0" w:color="000000"/>
              <w:left w:val="single" w:sz="4" w:space="0" w:color="000000"/>
              <w:bottom w:val="single" w:sz="4" w:space="0" w:color="000000"/>
              <w:right w:val="single" w:sz="4" w:space="0" w:color="000000"/>
            </w:tcBorders>
            <w:vAlign w:val="center"/>
          </w:tcPr>
          <w:p w14:paraId="151557C5" w14:textId="77777777" w:rsidR="00407DFF" w:rsidRPr="00407DFF" w:rsidRDefault="00407DFF" w:rsidP="007E48A3">
            <w:pPr>
              <w:widowControl/>
              <w:jc w:val="center"/>
              <w:textAlignment w:val="center"/>
              <w:rPr>
                <w:sz w:val="20"/>
                <w:szCs w:val="20"/>
              </w:rPr>
            </w:pPr>
            <w:r w:rsidRPr="00407DFF">
              <w:rPr>
                <w:kern w:val="0"/>
                <w:sz w:val="20"/>
                <w:szCs w:val="20"/>
                <w:lang w:bidi="ar"/>
              </w:rPr>
              <w:t xml:space="preserve">105.80 </w:t>
            </w:r>
          </w:p>
        </w:tc>
        <w:tc>
          <w:tcPr>
            <w:tcW w:w="376" w:type="pct"/>
            <w:tcBorders>
              <w:top w:val="single" w:sz="4" w:space="0" w:color="000000"/>
              <w:left w:val="single" w:sz="4" w:space="0" w:color="000000"/>
              <w:bottom w:val="single" w:sz="4" w:space="0" w:color="000000"/>
              <w:right w:val="single" w:sz="4" w:space="0" w:color="000000"/>
            </w:tcBorders>
            <w:vAlign w:val="center"/>
          </w:tcPr>
          <w:p w14:paraId="6ED4D670" w14:textId="77777777" w:rsidR="00407DFF" w:rsidRPr="00407DFF" w:rsidRDefault="00407DFF" w:rsidP="007E48A3">
            <w:pPr>
              <w:widowControl/>
              <w:jc w:val="center"/>
              <w:textAlignment w:val="center"/>
              <w:rPr>
                <w:sz w:val="20"/>
                <w:szCs w:val="20"/>
              </w:rPr>
            </w:pPr>
            <w:r w:rsidRPr="00407DFF">
              <w:rPr>
                <w:kern w:val="0"/>
                <w:sz w:val="20"/>
                <w:szCs w:val="20"/>
                <w:lang w:bidi="ar"/>
              </w:rPr>
              <w:t xml:space="preserve">2726.91 </w:t>
            </w:r>
          </w:p>
        </w:tc>
        <w:tc>
          <w:tcPr>
            <w:tcW w:w="366" w:type="pct"/>
            <w:tcBorders>
              <w:top w:val="single" w:sz="4" w:space="0" w:color="000000"/>
              <w:left w:val="single" w:sz="4" w:space="0" w:color="000000"/>
              <w:bottom w:val="single" w:sz="4" w:space="0" w:color="000000"/>
              <w:right w:val="single" w:sz="4" w:space="0" w:color="000000"/>
            </w:tcBorders>
            <w:vAlign w:val="center"/>
          </w:tcPr>
          <w:p w14:paraId="76338307" w14:textId="77777777" w:rsidR="00407DFF" w:rsidRPr="00407DFF" w:rsidRDefault="00407DFF" w:rsidP="007E48A3">
            <w:pPr>
              <w:widowControl/>
              <w:jc w:val="center"/>
              <w:textAlignment w:val="center"/>
              <w:rPr>
                <w:sz w:val="20"/>
                <w:szCs w:val="20"/>
              </w:rPr>
            </w:pPr>
            <w:r w:rsidRPr="00407DFF">
              <w:rPr>
                <w:kern w:val="0"/>
                <w:sz w:val="20"/>
                <w:szCs w:val="20"/>
                <w:lang w:bidi="ar"/>
              </w:rPr>
              <w:t xml:space="preserve">740.23 </w:t>
            </w:r>
          </w:p>
        </w:tc>
        <w:tc>
          <w:tcPr>
            <w:tcW w:w="338" w:type="pct"/>
            <w:tcBorders>
              <w:top w:val="single" w:sz="4" w:space="0" w:color="000000"/>
              <w:left w:val="single" w:sz="4" w:space="0" w:color="000000"/>
              <w:bottom w:val="single" w:sz="4" w:space="0" w:color="000000"/>
              <w:right w:val="single" w:sz="4" w:space="0" w:color="000000"/>
            </w:tcBorders>
            <w:vAlign w:val="center"/>
          </w:tcPr>
          <w:p w14:paraId="3136A133" w14:textId="77777777" w:rsidR="00407DFF" w:rsidRPr="00407DFF" w:rsidRDefault="00407DFF" w:rsidP="007E48A3">
            <w:pPr>
              <w:widowControl/>
              <w:jc w:val="center"/>
              <w:textAlignment w:val="center"/>
              <w:rPr>
                <w:sz w:val="20"/>
                <w:szCs w:val="20"/>
              </w:rPr>
            </w:pPr>
            <w:r w:rsidRPr="00407DFF">
              <w:rPr>
                <w:kern w:val="0"/>
                <w:sz w:val="20"/>
                <w:szCs w:val="20"/>
                <w:lang w:bidi="ar"/>
              </w:rPr>
              <w:t xml:space="preserve">187.96 </w:t>
            </w:r>
          </w:p>
        </w:tc>
        <w:tc>
          <w:tcPr>
            <w:tcW w:w="243" w:type="pct"/>
            <w:tcBorders>
              <w:top w:val="single" w:sz="4" w:space="0" w:color="000000"/>
              <w:left w:val="single" w:sz="4" w:space="0" w:color="000000"/>
              <w:bottom w:val="single" w:sz="4" w:space="0" w:color="000000"/>
              <w:right w:val="single" w:sz="4" w:space="0" w:color="000000"/>
            </w:tcBorders>
            <w:vAlign w:val="center"/>
          </w:tcPr>
          <w:p w14:paraId="17D2EC89" w14:textId="77777777" w:rsidR="00407DFF" w:rsidRPr="00407DFF" w:rsidRDefault="00407DFF" w:rsidP="007E48A3">
            <w:pPr>
              <w:widowControl/>
              <w:jc w:val="center"/>
              <w:textAlignment w:val="center"/>
              <w:rPr>
                <w:sz w:val="20"/>
                <w:szCs w:val="20"/>
              </w:rPr>
            </w:pPr>
            <w:r w:rsidRPr="00407DFF">
              <w:rPr>
                <w:kern w:val="0"/>
                <w:sz w:val="20"/>
                <w:szCs w:val="20"/>
                <w:lang w:bidi="ar"/>
              </w:rPr>
              <w:t xml:space="preserve">1.06 </w:t>
            </w:r>
          </w:p>
        </w:tc>
        <w:tc>
          <w:tcPr>
            <w:tcW w:w="300" w:type="pct"/>
            <w:tcBorders>
              <w:top w:val="single" w:sz="4" w:space="0" w:color="000000"/>
              <w:left w:val="single" w:sz="4" w:space="0" w:color="000000"/>
              <w:bottom w:val="single" w:sz="4" w:space="0" w:color="000000"/>
              <w:right w:val="single" w:sz="4" w:space="0" w:color="000000"/>
            </w:tcBorders>
            <w:vAlign w:val="center"/>
          </w:tcPr>
          <w:p w14:paraId="11C8F06E" w14:textId="77777777" w:rsidR="00407DFF" w:rsidRPr="00407DFF" w:rsidRDefault="00407DFF" w:rsidP="007E48A3">
            <w:pPr>
              <w:widowControl/>
              <w:jc w:val="center"/>
              <w:textAlignment w:val="center"/>
              <w:rPr>
                <w:sz w:val="20"/>
                <w:szCs w:val="20"/>
              </w:rPr>
            </w:pPr>
            <w:r w:rsidRPr="00407DFF">
              <w:rPr>
                <w:kern w:val="0"/>
                <w:sz w:val="20"/>
                <w:szCs w:val="20"/>
                <w:lang w:bidi="ar"/>
              </w:rPr>
              <w:t xml:space="preserve">27.27 </w:t>
            </w:r>
          </w:p>
        </w:tc>
        <w:tc>
          <w:tcPr>
            <w:tcW w:w="281" w:type="pct"/>
            <w:tcBorders>
              <w:top w:val="single" w:sz="4" w:space="0" w:color="000000"/>
              <w:left w:val="single" w:sz="4" w:space="0" w:color="000000"/>
              <w:bottom w:val="single" w:sz="4" w:space="0" w:color="000000"/>
              <w:right w:val="single" w:sz="4" w:space="0" w:color="000000"/>
            </w:tcBorders>
            <w:vAlign w:val="center"/>
          </w:tcPr>
          <w:p w14:paraId="64BC6953" w14:textId="77777777" w:rsidR="00407DFF" w:rsidRPr="00407DFF" w:rsidRDefault="00407DFF" w:rsidP="007E48A3">
            <w:pPr>
              <w:widowControl/>
              <w:jc w:val="center"/>
              <w:textAlignment w:val="center"/>
              <w:rPr>
                <w:sz w:val="20"/>
                <w:szCs w:val="20"/>
              </w:rPr>
            </w:pPr>
            <w:r w:rsidRPr="00407DFF">
              <w:rPr>
                <w:kern w:val="0"/>
                <w:sz w:val="20"/>
                <w:szCs w:val="20"/>
                <w:lang w:bidi="ar"/>
              </w:rPr>
              <w:t xml:space="preserve">7.40 </w:t>
            </w:r>
          </w:p>
        </w:tc>
      </w:tr>
      <w:tr w:rsidR="00407DFF" w:rsidRPr="00407DFF" w14:paraId="3A876B6C" w14:textId="77777777" w:rsidTr="007E48A3">
        <w:trPr>
          <w:trHeight w:val="270"/>
        </w:trPr>
        <w:tc>
          <w:tcPr>
            <w:tcW w:w="345" w:type="pct"/>
            <w:vMerge w:val="restart"/>
            <w:tcBorders>
              <w:top w:val="single" w:sz="4" w:space="0" w:color="000000"/>
              <w:left w:val="single" w:sz="4" w:space="0" w:color="000000"/>
              <w:bottom w:val="single" w:sz="4" w:space="0" w:color="000000"/>
              <w:right w:val="single" w:sz="4" w:space="0" w:color="000000"/>
            </w:tcBorders>
            <w:noWrap/>
            <w:vAlign w:val="center"/>
          </w:tcPr>
          <w:p w14:paraId="410FC561" w14:textId="77777777" w:rsidR="00407DFF" w:rsidRPr="00407DFF" w:rsidRDefault="00407DFF" w:rsidP="007E48A3">
            <w:pPr>
              <w:widowControl/>
              <w:jc w:val="center"/>
              <w:textAlignment w:val="center"/>
              <w:rPr>
                <w:rFonts w:ascii="宋体" w:hAnsi="宋体" w:cs="宋体" w:hint="eastAsia"/>
                <w:sz w:val="20"/>
                <w:szCs w:val="20"/>
              </w:rPr>
            </w:pPr>
            <w:r w:rsidRPr="00407DFF">
              <w:rPr>
                <w:rFonts w:ascii="宋体" w:hAnsi="宋体" w:cs="宋体" w:hint="eastAsia"/>
                <w:kern w:val="0"/>
                <w:sz w:val="20"/>
                <w:szCs w:val="20"/>
                <w:lang w:bidi="ar"/>
              </w:rPr>
              <w:t>兴海县</w:t>
            </w:r>
          </w:p>
        </w:tc>
        <w:tc>
          <w:tcPr>
            <w:tcW w:w="852" w:type="pct"/>
            <w:tcBorders>
              <w:top w:val="single" w:sz="4" w:space="0" w:color="000000"/>
              <w:left w:val="single" w:sz="4" w:space="0" w:color="000000"/>
              <w:bottom w:val="single" w:sz="4" w:space="0" w:color="000000"/>
              <w:right w:val="single" w:sz="4" w:space="0" w:color="000000"/>
            </w:tcBorders>
            <w:vAlign w:val="center"/>
          </w:tcPr>
          <w:p w14:paraId="1513F38E" w14:textId="77777777" w:rsidR="00407DFF" w:rsidRPr="00407DFF" w:rsidRDefault="00407DFF" w:rsidP="007E48A3">
            <w:pPr>
              <w:widowControl/>
              <w:jc w:val="center"/>
              <w:textAlignment w:val="center"/>
              <w:rPr>
                <w:rFonts w:ascii="宋体" w:hAnsi="宋体" w:cs="宋体" w:hint="eastAsia"/>
                <w:sz w:val="20"/>
                <w:szCs w:val="20"/>
              </w:rPr>
            </w:pPr>
            <w:r w:rsidRPr="00407DFF">
              <w:rPr>
                <w:rFonts w:ascii="宋体" w:hAnsi="宋体" w:cs="宋体" w:hint="eastAsia"/>
                <w:kern w:val="0"/>
                <w:sz w:val="20"/>
                <w:szCs w:val="20"/>
                <w:lang w:bidi="ar"/>
              </w:rPr>
              <w:t>兴海县</w:t>
            </w:r>
          </w:p>
        </w:tc>
        <w:tc>
          <w:tcPr>
            <w:tcW w:w="396" w:type="pct"/>
            <w:tcBorders>
              <w:top w:val="single" w:sz="4" w:space="0" w:color="000000"/>
              <w:left w:val="single" w:sz="4" w:space="0" w:color="000000"/>
              <w:bottom w:val="single" w:sz="4" w:space="0" w:color="000000"/>
              <w:right w:val="single" w:sz="4" w:space="0" w:color="000000"/>
            </w:tcBorders>
            <w:vAlign w:val="center"/>
          </w:tcPr>
          <w:p w14:paraId="397355D8" w14:textId="77777777" w:rsidR="00407DFF" w:rsidRPr="00407DFF" w:rsidRDefault="00407DFF" w:rsidP="007E48A3">
            <w:pPr>
              <w:widowControl/>
              <w:jc w:val="center"/>
              <w:textAlignment w:val="center"/>
              <w:rPr>
                <w:sz w:val="18"/>
                <w:szCs w:val="18"/>
              </w:rPr>
            </w:pPr>
            <w:r w:rsidRPr="00407DFF">
              <w:rPr>
                <w:kern w:val="0"/>
                <w:sz w:val="18"/>
                <w:szCs w:val="18"/>
                <w:lang w:bidi="ar"/>
              </w:rPr>
              <w:t xml:space="preserve">302400 </w:t>
            </w:r>
          </w:p>
        </w:tc>
        <w:tc>
          <w:tcPr>
            <w:tcW w:w="411" w:type="pct"/>
            <w:tcBorders>
              <w:top w:val="single" w:sz="4" w:space="0" w:color="000000"/>
              <w:left w:val="single" w:sz="4" w:space="0" w:color="000000"/>
              <w:bottom w:val="single" w:sz="4" w:space="0" w:color="000000"/>
              <w:right w:val="single" w:sz="4" w:space="0" w:color="000000"/>
            </w:tcBorders>
            <w:vAlign w:val="center"/>
          </w:tcPr>
          <w:p w14:paraId="18B10F58" w14:textId="77777777" w:rsidR="00407DFF" w:rsidRPr="00407DFF" w:rsidRDefault="00407DFF" w:rsidP="007E48A3">
            <w:pPr>
              <w:widowControl/>
              <w:jc w:val="center"/>
              <w:textAlignment w:val="center"/>
              <w:rPr>
                <w:sz w:val="18"/>
                <w:szCs w:val="18"/>
              </w:rPr>
            </w:pPr>
            <w:r w:rsidRPr="00407DFF">
              <w:rPr>
                <w:kern w:val="0"/>
                <w:sz w:val="18"/>
                <w:szCs w:val="18"/>
                <w:lang w:bidi="ar"/>
              </w:rPr>
              <w:t xml:space="preserve">511600 </w:t>
            </w:r>
          </w:p>
        </w:tc>
        <w:tc>
          <w:tcPr>
            <w:tcW w:w="348" w:type="pct"/>
            <w:tcBorders>
              <w:top w:val="single" w:sz="4" w:space="0" w:color="000000"/>
              <w:left w:val="single" w:sz="4" w:space="0" w:color="000000"/>
              <w:bottom w:val="single" w:sz="4" w:space="0" w:color="000000"/>
              <w:right w:val="single" w:sz="4" w:space="0" w:color="000000"/>
            </w:tcBorders>
            <w:vAlign w:val="center"/>
          </w:tcPr>
          <w:p w14:paraId="5BA66E92" w14:textId="77777777" w:rsidR="00407DFF" w:rsidRPr="00407DFF" w:rsidRDefault="00407DFF" w:rsidP="007E48A3">
            <w:pPr>
              <w:widowControl/>
              <w:jc w:val="center"/>
              <w:textAlignment w:val="center"/>
              <w:rPr>
                <w:sz w:val="18"/>
                <w:szCs w:val="18"/>
              </w:rPr>
            </w:pPr>
            <w:r w:rsidRPr="00407DFF">
              <w:rPr>
                <w:kern w:val="0"/>
                <w:sz w:val="18"/>
                <w:szCs w:val="18"/>
                <w:lang w:bidi="ar"/>
              </w:rPr>
              <w:t xml:space="preserve">1100 </w:t>
            </w:r>
          </w:p>
        </w:tc>
        <w:tc>
          <w:tcPr>
            <w:tcW w:w="414" w:type="pct"/>
            <w:tcBorders>
              <w:top w:val="single" w:sz="4" w:space="0" w:color="000000"/>
              <w:left w:val="single" w:sz="4" w:space="0" w:color="000000"/>
              <w:bottom w:val="single" w:sz="4" w:space="0" w:color="000000"/>
              <w:right w:val="single" w:sz="4" w:space="0" w:color="000000"/>
            </w:tcBorders>
            <w:vAlign w:val="center"/>
          </w:tcPr>
          <w:p w14:paraId="1AECBB72" w14:textId="77777777" w:rsidR="00407DFF" w:rsidRPr="00407DFF" w:rsidRDefault="00407DFF" w:rsidP="007E48A3">
            <w:pPr>
              <w:widowControl/>
              <w:jc w:val="center"/>
              <w:textAlignment w:val="center"/>
              <w:rPr>
                <w:sz w:val="18"/>
                <w:szCs w:val="18"/>
              </w:rPr>
            </w:pPr>
            <w:r w:rsidRPr="00407DFF">
              <w:rPr>
                <w:kern w:val="0"/>
                <w:sz w:val="18"/>
                <w:szCs w:val="18"/>
                <w:lang w:bidi="ar"/>
              </w:rPr>
              <w:t>60963.01</w:t>
            </w:r>
          </w:p>
        </w:tc>
        <w:tc>
          <w:tcPr>
            <w:tcW w:w="323" w:type="pct"/>
            <w:tcBorders>
              <w:top w:val="single" w:sz="4" w:space="0" w:color="000000"/>
              <w:left w:val="single" w:sz="4" w:space="0" w:color="000000"/>
              <w:bottom w:val="single" w:sz="4" w:space="0" w:color="000000"/>
              <w:right w:val="single" w:sz="4" w:space="0" w:color="000000"/>
            </w:tcBorders>
            <w:vAlign w:val="center"/>
          </w:tcPr>
          <w:p w14:paraId="06DFC72E" w14:textId="77777777" w:rsidR="00407DFF" w:rsidRPr="00407DFF" w:rsidRDefault="00407DFF" w:rsidP="007E48A3">
            <w:pPr>
              <w:widowControl/>
              <w:jc w:val="center"/>
              <w:textAlignment w:val="center"/>
              <w:rPr>
                <w:sz w:val="18"/>
                <w:szCs w:val="18"/>
              </w:rPr>
            </w:pPr>
            <w:r w:rsidRPr="00407DFF">
              <w:rPr>
                <w:kern w:val="0"/>
                <w:sz w:val="18"/>
                <w:szCs w:val="18"/>
                <w:lang w:bidi="ar"/>
              </w:rPr>
              <w:t>352.03</w:t>
            </w:r>
          </w:p>
        </w:tc>
        <w:tc>
          <w:tcPr>
            <w:tcW w:w="376" w:type="pct"/>
            <w:tcBorders>
              <w:top w:val="single" w:sz="4" w:space="0" w:color="000000"/>
              <w:left w:val="single" w:sz="4" w:space="0" w:color="000000"/>
              <w:bottom w:val="single" w:sz="4" w:space="0" w:color="000000"/>
              <w:right w:val="single" w:sz="4" w:space="0" w:color="000000"/>
            </w:tcBorders>
            <w:vAlign w:val="center"/>
          </w:tcPr>
          <w:p w14:paraId="51E8DD1E" w14:textId="77777777" w:rsidR="00407DFF" w:rsidRPr="00407DFF" w:rsidRDefault="00407DFF" w:rsidP="007E48A3">
            <w:pPr>
              <w:widowControl/>
              <w:jc w:val="center"/>
              <w:textAlignment w:val="center"/>
              <w:rPr>
                <w:sz w:val="18"/>
                <w:szCs w:val="18"/>
              </w:rPr>
            </w:pPr>
            <w:r w:rsidRPr="00407DFF">
              <w:rPr>
                <w:kern w:val="0"/>
                <w:sz w:val="18"/>
                <w:szCs w:val="18"/>
                <w:lang w:bidi="ar"/>
              </w:rPr>
              <w:t>8872.95</w:t>
            </w:r>
          </w:p>
        </w:tc>
        <w:tc>
          <w:tcPr>
            <w:tcW w:w="366" w:type="pct"/>
            <w:tcBorders>
              <w:top w:val="single" w:sz="4" w:space="0" w:color="000000"/>
              <w:left w:val="single" w:sz="4" w:space="0" w:color="000000"/>
              <w:bottom w:val="single" w:sz="4" w:space="0" w:color="000000"/>
              <w:right w:val="single" w:sz="4" w:space="0" w:color="000000"/>
            </w:tcBorders>
            <w:vAlign w:val="center"/>
          </w:tcPr>
          <w:p w14:paraId="6D77A495" w14:textId="77777777" w:rsidR="00407DFF" w:rsidRPr="00407DFF" w:rsidRDefault="00407DFF" w:rsidP="007E48A3">
            <w:pPr>
              <w:widowControl/>
              <w:jc w:val="center"/>
              <w:textAlignment w:val="center"/>
              <w:rPr>
                <w:sz w:val="18"/>
                <w:szCs w:val="18"/>
              </w:rPr>
            </w:pPr>
            <w:r w:rsidRPr="00407DFF">
              <w:rPr>
                <w:kern w:val="0"/>
                <w:sz w:val="18"/>
                <w:szCs w:val="18"/>
                <w:lang w:bidi="ar"/>
              </w:rPr>
              <w:t>1415.29</w:t>
            </w:r>
          </w:p>
        </w:tc>
        <w:tc>
          <w:tcPr>
            <w:tcW w:w="338" w:type="pct"/>
            <w:tcBorders>
              <w:top w:val="single" w:sz="4" w:space="0" w:color="000000"/>
              <w:left w:val="single" w:sz="4" w:space="0" w:color="000000"/>
              <w:bottom w:val="single" w:sz="4" w:space="0" w:color="000000"/>
              <w:right w:val="single" w:sz="4" w:space="0" w:color="000000"/>
            </w:tcBorders>
            <w:vAlign w:val="center"/>
          </w:tcPr>
          <w:p w14:paraId="21F1DC6B" w14:textId="77777777" w:rsidR="00407DFF" w:rsidRPr="00407DFF" w:rsidRDefault="00407DFF" w:rsidP="007E48A3">
            <w:pPr>
              <w:widowControl/>
              <w:jc w:val="center"/>
              <w:textAlignment w:val="center"/>
              <w:rPr>
                <w:sz w:val="18"/>
                <w:szCs w:val="18"/>
              </w:rPr>
            </w:pPr>
            <w:r w:rsidRPr="00407DFF">
              <w:rPr>
                <w:kern w:val="0"/>
                <w:sz w:val="18"/>
                <w:szCs w:val="18"/>
                <w:lang w:bidi="ar"/>
              </w:rPr>
              <w:t>609.63</w:t>
            </w:r>
          </w:p>
        </w:tc>
        <w:tc>
          <w:tcPr>
            <w:tcW w:w="243" w:type="pct"/>
            <w:tcBorders>
              <w:top w:val="single" w:sz="4" w:space="0" w:color="000000"/>
              <w:left w:val="single" w:sz="4" w:space="0" w:color="000000"/>
              <w:bottom w:val="single" w:sz="4" w:space="0" w:color="000000"/>
              <w:right w:val="single" w:sz="4" w:space="0" w:color="000000"/>
            </w:tcBorders>
            <w:vAlign w:val="center"/>
          </w:tcPr>
          <w:p w14:paraId="56A1CB1D" w14:textId="77777777" w:rsidR="00407DFF" w:rsidRPr="00407DFF" w:rsidRDefault="00407DFF" w:rsidP="007E48A3">
            <w:pPr>
              <w:widowControl/>
              <w:jc w:val="center"/>
              <w:textAlignment w:val="center"/>
              <w:rPr>
                <w:sz w:val="18"/>
                <w:szCs w:val="18"/>
              </w:rPr>
            </w:pPr>
            <w:r w:rsidRPr="00407DFF">
              <w:rPr>
                <w:kern w:val="0"/>
                <w:sz w:val="18"/>
                <w:szCs w:val="18"/>
                <w:lang w:bidi="ar"/>
              </w:rPr>
              <w:t>3.52</w:t>
            </w:r>
          </w:p>
        </w:tc>
        <w:tc>
          <w:tcPr>
            <w:tcW w:w="300" w:type="pct"/>
            <w:tcBorders>
              <w:top w:val="single" w:sz="4" w:space="0" w:color="000000"/>
              <w:left w:val="single" w:sz="4" w:space="0" w:color="000000"/>
              <w:bottom w:val="single" w:sz="4" w:space="0" w:color="000000"/>
              <w:right w:val="single" w:sz="4" w:space="0" w:color="000000"/>
            </w:tcBorders>
            <w:vAlign w:val="center"/>
          </w:tcPr>
          <w:p w14:paraId="17F9F400" w14:textId="77777777" w:rsidR="00407DFF" w:rsidRPr="00407DFF" w:rsidRDefault="00407DFF" w:rsidP="007E48A3">
            <w:pPr>
              <w:widowControl/>
              <w:jc w:val="center"/>
              <w:textAlignment w:val="center"/>
              <w:rPr>
                <w:sz w:val="18"/>
                <w:szCs w:val="18"/>
              </w:rPr>
            </w:pPr>
            <w:r w:rsidRPr="00407DFF">
              <w:rPr>
                <w:kern w:val="0"/>
                <w:sz w:val="18"/>
                <w:szCs w:val="18"/>
                <w:lang w:bidi="ar"/>
              </w:rPr>
              <w:t>88.73</w:t>
            </w:r>
          </w:p>
        </w:tc>
        <w:tc>
          <w:tcPr>
            <w:tcW w:w="281" w:type="pct"/>
            <w:tcBorders>
              <w:top w:val="single" w:sz="4" w:space="0" w:color="000000"/>
              <w:left w:val="single" w:sz="4" w:space="0" w:color="000000"/>
              <w:bottom w:val="single" w:sz="4" w:space="0" w:color="000000"/>
              <w:right w:val="single" w:sz="4" w:space="0" w:color="000000"/>
            </w:tcBorders>
            <w:vAlign w:val="center"/>
          </w:tcPr>
          <w:p w14:paraId="6B125D05" w14:textId="77777777" w:rsidR="00407DFF" w:rsidRPr="00407DFF" w:rsidRDefault="00407DFF" w:rsidP="007E48A3">
            <w:pPr>
              <w:widowControl/>
              <w:jc w:val="center"/>
              <w:textAlignment w:val="center"/>
              <w:rPr>
                <w:sz w:val="18"/>
                <w:szCs w:val="18"/>
              </w:rPr>
            </w:pPr>
            <w:r w:rsidRPr="00407DFF">
              <w:rPr>
                <w:kern w:val="0"/>
                <w:sz w:val="18"/>
                <w:szCs w:val="18"/>
                <w:lang w:bidi="ar"/>
              </w:rPr>
              <w:t>14.15</w:t>
            </w:r>
          </w:p>
        </w:tc>
      </w:tr>
      <w:tr w:rsidR="00407DFF" w:rsidRPr="00407DFF" w14:paraId="50B28CBF" w14:textId="77777777" w:rsidTr="007E48A3">
        <w:trPr>
          <w:trHeight w:val="270"/>
        </w:trPr>
        <w:tc>
          <w:tcPr>
            <w:tcW w:w="345" w:type="pct"/>
            <w:vMerge/>
            <w:tcBorders>
              <w:top w:val="single" w:sz="4" w:space="0" w:color="000000"/>
              <w:left w:val="single" w:sz="4" w:space="0" w:color="000000"/>
              <w:bottom w:val="single" w:sz="4" w:space="0" w:color="000000"/>
              <w:right w:val="single" w:sz="4" w:space="0" w:color="000000"/>
            </w:tcBorders>
            <w:noWrap/>
            <w:vAlign w:val="center"/>
          </w:tcPr>
          <w:p w14:paraId="7830E992" w14:textId="77777777" w:rsidR="00407DFF" w:rsidRPr="00407DFF" w:rsidRDefault="00407DFF" w:rsidP="007E48A3">
            <w:pPr>
              <w:jc w:val="center"/>
              <w:rPr>
                <w:rFonts w:ascii="宋体" w:hAnsi="宋体" w:cs="宋体" w:hint="eastAsia"/>
                <w:sz w:val="20"/>
                <w:szCs w:val="20"/>
              </w:rPr>
            </w:pPr>
          </w:p>
        </w:tc>
        <w:tc>
          <w:tcPr>
            <w:tcW w:w="852" w:type="pct"/>
            <w:tcBorders>
              <w:top w:val="single" w:sz="4" w:space="0" w:color="000000"/>
              <w:left w:val="single" w:sz="4" w:space="0" w:color="000000"/>
              <w:bottom w:val="single" w:sz="4" w:space="0" w:color="000000"/>
              <w:right w:val="single" w:sz="4" w:space="0" w:color="000000"/>
            </w:tcBorders>
            <w:vAlign w:val="center"/>
          </w:tcPr>
          <w:p w14:paraId="077D6FFE" w14:textId="77777777" w:rsidR="00407DFF" w:rsidRPr="00407DFF" w:rsidRDefault="00407DFF" w:rsidP="007E48A3">
            <w:pPr>
              <w:widowControl/>
              <w:jc w:val="center"/>
              <w:textAlignment w:val="center"/>
              <w:rPr>
                <w:rFonts w:ascii="宋体" w:hAnsi="宋体" w:cs="宋体" w:hint="eastAsia"/>
                <w:sz w:val="20"/>
                <w:szCs w:val="20"/>
              </w:rPr>
            </w:pPr>
            <w:r w:rsidRPr="00407DFF">
              <w:rPr>
                <w:rFonts w:ascii="宋体" w:hAnsi="宋体" w:cs="宋体" w:hint="eastAsia"/>
                <w:kern w:val="0"/>
                <w:sz w:val="20"/>
                <w:szCs w:val="20"/>
                <w:lang w:bidi="ar"/>
              </w:rPr>
              <w:t>其中：沙珠玉河流域</w:t>
            </w:r>
          </w:p>
        </w:tc>
        <w:tc>
          <w:tcPr>
            <w:tcW w:w="396" w:type="pct"/>
            <w:tcBorders>
              <w:top w:val="single" w:sz="4" w:space="0" w:color="000000"/>
              <w:left w:val="single" w:sz="4" w:space="0" w:color="000000"/>
              <w:bottom w:val="single" w:sz="4" w:space="0" w:color="000000"/>
              <w:right w:val="single" w:sz="4" w:space="0" w:color="000000"/>
            </w:tcBorders>
            <w:noWrap/>
            <w:vAlign w:val="center"/>
          </w:tcPr>
          <w:p w14:paraId="723E10C1" w14:textId="77777777" w:rsidR="00407DFF" w:rsidRPr="00407DFF" w:rsidRDefault="00407DFF" w:rsidP="007E48A3">
            <w:pPr>
              <w:widowControl/>
              <w:jc w:val="center"/>
              <w:textAlignment w:val="center"/>
              <w:rPr>
                <w:sz w:val="20"/>
                <w:szCs w:val="20"/>
              </w:rPr>
            </w:pPr>
            <w:r w:rsidRPr="00407DFF">
              <w:rPr>
                <w:kern w:val="0"/>
                <w:sz w:val="20"/>
                <w:szCs w:val="20"/>
                <w:lang w:bidi="ar"/>
              </w:rPr>
              <w:t xml:space="preserve">66528 </w:t>
            </w:r>
          </w:p>
        </w:tc>
        <w:tc>
          <w:tcPr>
            <w:tcW w:w="411" w:type="pct"/>
            <w:tcBorders>
              <w:top w:val="single" w:sz="4" w:space="0" w:color="000000"/>
              <w:left w:val="single" w:sz="4" w:space="0" w:color="000000"/>
              <w:bottom w:val="single" w:sz="4" w:space="0" w:color="000000"/>
              <w:right w:val="single" w:sz="4" w:space="0" w:color="000000"/>
            </w:tcBorders>
            <w:noWrap/>
            <w:vAlign w:val="center"/>
          </w:tcPr>
          <w:p w14:paraId="52159FC4" w14:textId="77777777" w:rsidR="00407DFF" w:rsidRPr="00407DFF" w:rsidRDefault="00407DFF" w:rsidP="007E48A3">
            <w:pPr>
              <w:widowControl/>
              <w:jc w:val="center"/>
              <w:textAlignment w:val="center"/>
              <w:rPr>
                <w:sz w:val="20"/>
                <w:szCs w:val="20"/>
              </w:rPr>
            </w:pPr>
            <w:r w:rsidRPr="00407DFF">
              <w:rPr>
                <w:kern w:val="0"/>
                <w:sz w:val="20"/>
                <w:szCs w:val="20"/>
                <w:lang w:bidi="ar"/>
              </w:rPr>
              <w:t xml:space="preserve">112552 </w:t>
            </w:r>
          </w:p>
        </w:tc>
        <w:tc>
          <w:tcPr>
            <w:tcW w:w="348" w:type="pct"/>
            <w:tcBorders>
              <w:top w:val="single" w:sz="4" w:space="0" w:color="000000"/>
              <w:left w:val="single" w:sz="4" w:space="0" w:color="000000"/>
              <w:bottom w:val="single" w:sz="4" w:space="0" w:color="000000"/>
              <w:right w:val="single" w:sz="4" w:space="0" w:color="000000"/>
            </w:tcBorders>
            <w:noWrap/>
            <w:vAlign w:val="center"/>
          </w:tcPr>
          <w:p w14:paraId="229F1286" w14:textId="77777777" w:rsidR="00407DFF" w:rsidRPr="00407DFF" w:rsidRDefault="00407DFF" w:rsidP="007E48A3">
            <w:pPr>
              <w:widowControl/>
              <w:jc w:val="center"/>
              <w:textAlignment w:val="center"/>
              <w:rPr>
                <w:sz w:val="20"/>
                <w:szCs w:val="20"/>
              </w:rPr>
            </w:pPr>
            <w:r w:rsidRPr="00407DFF">
              <w:rPr>
                <w:kern w:val="0"/>
                <w:sz w:val="20"/>
                <w:szCs w:val="20"/>
                <w:lang w:bidi="ar"/>
              </w:rPr>
              <w:t xml:space="preserve">242 </w:t>
            </w:r>
          </w:p>
        </w:tc>
        <w:tc>
          <w:tcPr>
            <w:tcW w:w="414" w:type="pct"/>
            <w:tcBorders>
              <w:top w:val="single" w:sz="4" w:space="0" w:color="000000"/>
              <w:left w:val="single" w:sz="4" w:space="0" w:color="000000"/>
              <w:bottom w:val="single" w:sz="4" w:space="0" w:color="000000"/>
              <w:right w:val="single" w:sz="4" w:space="0" w:color="000000"/>
            </w:tcBorders>
            <w:noWrap/>
            <w:vAlign w:val="center"/>
          </w:tcPr>
          <w:p w14:paraId="4B965CDF" w14:textId="77777777" w:rsidR="00407DFF" w:rsidRPr="00407DFF" w:rsidRDefault="00407DFF" w:rsidP="007E48A3">
            <w:pPr>
              <w:widowControl/>
              <w:jc w:val="center"/>
              <w:textAlignment w:val="center"/>
              <w:rPr>
                <w:sz w:val="20"/>
                <w:szCs w:val="20"/>
              </w:rPr>
            </w:pPr>
            <w:r w:rsidRPr="00407DFF">
              <w:rPr>
                <w:kern w:val="0"/>
                <w:sz w:val="20"/>
                <w:szCs w:val="20"/>
                <w:lang w:bidi="ar"/>
              </w:rPr>
              <w:t xml:space="preserve">13411.86 </w:t>
            </w:r>
          </w:p>
        </w:tc>
        <w:tc>
          <w:tcPr>
            <w:tcW w:w="323" w:type="pct"/>
            <w:tcBorders>
              <w:top w:val="single" w:sz="4" w:space="0" w:color="000000"/>
              <w:left w:val="single" w:sz="4" w:space="0" w:color="000000"/>
              <w:bottom w:val="single" w:sz="4" w:space="0" w:color="000000"/>
              <w:right w:val="single" w:sz="4" w:space="0" w:color="000000"/>
            </w:tcBorders>
            <w:noWrap/>
            <w:vAlign w:val="center"/>
          </w:tcPr>
          <w:p w14:paraId="6275A7B5" w14:textId="77777777" w:rsidR="00407DFF" w:rsidRPr="00407DFF" w:rsidRDefault="00407DFF" w:rsidP="007E48A3">
            <w:pPr>
              <w:widowControl/>
              <w:jc w:val="center"/>
              <w:textAlignment w:val="center"/>
              <w:rPr>
                <w:sz w:val="20"/>
                <w:szCs w:val="20"/>
              </w:rPr>
            </w:pPr>
            <w:r w:rsidRPr="00407DFF">
              <w:rPr>
                <w:kern w:val="0"/>
                <w:sz w:val="20"/>
                <w:szCs w:val="20"/>
                <w:lang w:bidi="ar"/>
              </w:rPr>
              <w:t xml:space="preserve">77.45 </w:t>
            </w:r>
          </w:p>
        </w:tc>
        <w:tc>
          <w:tcPr>
            <w:tcW w:w="376" w:type="pct"/>
            <w:tcBorders>
              <w:top w:val="single" w:sz="4" w:space="0" w:color="000000"/>
              <w:left w:val="single" w:sz="4" w:space="0" w:color="000000"/>
              <w:bottom w:val="single" w:sz="4" w:space="0" w:color="000000"/>
              <w:right w:val="single" w:sz="4" w:space="0" w:color="000000"/>
            </w:tcBorders>
            <w:noWrap/>
            <w:vAlign w:val="center"/>
          </w:tcPr>
          <w:p w14:paraId="56AFBCA5" w14:textId="77777777" w:rsidR="00407DFF" w:rsidRPr="00407DFF" w:rsidRDefault="00407DFF" w:rsidP="007E48A3">
            <w:pPr>
              <w:widowControl/>
              <w:jc w:val="center"/>
              <w:textAlignment w:val="center"/>
              <w:rPr>
                <w:sz w:val="20"/>
                <w:szCs w:val="20"/>
              </w:rPr>
            </w:pPr>
            <w:r w:rsidRPr="00407DFF">
              <w:rPr>
                <w:kern w:val="0"/>
                <w:sz w:val="20"/>
                <w:szCs w:val="20"/>
                <w:lang w:bidi="ar"/>
              </w:rPr>
              <w:t xml:space="preserve">1952.05 </w:t>
            </w:r>
          </w:p>
        </w:tc>
        <w:tc>
          <w:tcPr>
            <w:tcW w:w="366" w:type="pct"/>
            <w:tcBorders>
              <w:top w:val="single" w:sz="4" w:space="0" w:color="000000"/>
              <w:left w:val="single" w:sz="4" w:space="0" w:color="000000"/>
              <w:bottom w:val="single" w:sz="4" w:space="0" w:color="000000"/>
              <w:right w:val="single" w:sz="4" w:space="0" w:color="000000"/>
            </w:tcBorders>
            <w:noWrap/>
            <w:vAlign w:val="center"/>
          </w:tcPr>
          <w:p w14:paraId="2EE4E361" w14:textId="77777777" w:rsidR="00407DFF" w:rsidRPr="00407DFF" w:rsidRDefault="00407DFF" w:rsidP="007E48A3">
            <w:pPr>
              <w:widowControl/>
              <w:jc w:val="center"/>
              <w:textAlignment w:val="center"/>
              <w:rPr>
                <w:sz w:val="20"/>
                <w:szCs w:val="20"/>
              </w:rPr>
            </w:pPr>
            <w:r w:rsidRPr="00407DFF">
              <w:rPr>
                <w:kern w:val="0"/>
                <w:sz w:val="20"/>
                <w:szCs w:val="20"/>
                <w:lang w:bidi="ar"/>
              </w:rPr>
              <w:t xml:space="preserve">311.36 </w:t>
            </w:r>
          </w:p>
        </w:tc>
        <w:tc>
          <w:tcPr>
            <w:tcW w:w="338" w:type="pct"/>
            <w:tcBorders>
              <w:top w:val="single" w:sz="4" w:space="0" w:color="000000"/>
              <w:left w:val="single" w:sz="4" w:space="0" w:color="000000"/>
              <w:bottom w:val="single" w:sz="4" w:space="0" w:color="000000"/>
              <w:right w:val="single" w:sz="4" w:space="0" w:color="000000"/>
            </w:tcBorders>
            <w:noWrap/>
            <w:vAlign w:val="center"/>
          </w:tcPr>
          <w:p w14:paraId="1DF3C71F" w14:textId="77777777" w:rsidR="00407DFF" w:rsidRPr="00407DFF" w:rsidRDefault="00407DFF" w:rsidP="007E48A3">
            <w:pPr>
              <w:widowControl/>
              <w:jc w:val="center"/>
              <w:textAlignment w:val="center"/>
              <w:rPr>
                <w:sz w:val="20"/>
                <w:szCs w:val="20"/>
              </w:rPr>
            </w:pPr>
            <w:r w:rsidRPr="00407DFF">
              <w:rPr>
                <w:kern w:val="0"/>
                <w:sz w:val="20"/>
                <w:szCs w:val="20"/>
                <w:lang w:bidi="ar"/>
              </w:rPr>
              <w:t xml:space="preserve">134.12 </w:t>
            </w:r>
          </w:p>
        </w:tc>
        <w:tc>
          <w:tcPr>
            <w:tcW w:w="243" w:type="pct"/>
            <w:tcBorders>
              <w:top w:val="single" w:sz="4" w:space="0" w:color="000000"/>
              <w:left w:val="single" w:sz="4" w:space="0" w:color="000000"/>
              <w:bottom w:val="single" w:sz="4" w:space="0" w:color="000000"/>
              <w:right w:val="single" w:sz="4" w:space="0" w:color="000000"/>
            </w:tcBorders>
            <w:noWrap/>
            <w:vAlign w:val="center"/>
          </w:tcPr>
          <w:p w14:paraId="2C2AC3A9" w14:textId="77777777" w:rsidR="00407DFF" w:rsidRPr="00407DFF" w:rsidRDefault="00407DFF" w:rsidP="007E48A3">
            <w:pPr>
              <w:widowControl/>
              <w:jc w:val="center"/>
              <w:textAlignment w:val="center"/>
              <w:rPr>
                <w:sz w:val="20"/>
                <w:szCs w:val="20"/>
              </w:rPr>
            </w:pPr>
            <w:r w:rsidRPr="00407DFF">
              <w:rPr>
                <w:kern w:val="0"/>
                <w:sz w:val="20"/>
                <w:szCs w:val="20"/>
                <w:lang w:bidi="ar"/>
              </w:rPr>
              <w:t xml:space="preserve">0.77 </w:t>
            </w:r>
          </w:p>
        </w:tc>
        <w:tc>
          <w:tcPr>
            <w:tcW w:w="300" w:type="pct"/>
            <w:tcBorders>
              <w:top w:val="single" w:sz="4" w:space="0" w:color="000000"/>
              <w:left w:val="single" w:sz="4" w:space="0" w:color="000000"/>
              <w:bottom w:val="single" w:sz="4" w:space="0" w:color="000000"/>
              <w:right w:val="single" w:sz="4" w:space="0" w:color="000000"/>
            </w:tcBorders>
            <w:noWrap/>
            <w:vAlign w:val="center"/>
          </w:tcPr>
          <w:p w14:paraId="7FA0E43C" w14:textId="77777777" w:rsidR="00407DFF" w:rsidRPr="00407DFF" w:rsidRDefault="00407DFF" w:rsidP="007E48A3">
            <w:pPr>
              <w:widowControl/>
              <w:jc w:val="center"/>
              <w:textAlignment w:val="center"/>
              <w:rPr>
                <w:sz w:val="20"/>
                <w:szCs w:val="20"/>
              </w:rPr>
            </w:pPr>
            <w:r w:rsidRPr="00407DFF">
              <w:rPr>
                <w:kern w:val="0"/>
                <w:sz w:val="20"/>
                <w:szCs w:val="20"/>
                <w:lang w:bidi="ar"/>
              </w:rPr>
              <w:t xml:space="preserve">19.52 </w:t>
            </w:r>
          </w:p>
        </w:tc>
        <w:tc>
          <w:tcPr>
            <w:tcW w:w="281" w:type="pct"/>
            <w:tcBorders>
              <w:top w:val="single" w:sz="4" w:space="0" w:color="000000"/>
              <w:left w:val="single" w:sz="4" w:space="0" w:color="000000"/>
              <w:bottom w:val="single" w:sz="4" w:space="0" w:color="000000"/>
              <w:right w:val="single" w:sz="4" w:space="0" w:color="000000"/>
            </w:tcBorders>
            <w:noWrap/>
            <w:vAlign w:val="center"/>
          </w:tcPr>
          <w:p w14:paraId="5A60DAB1" w14:textId="77777777" w:rsidR="00407DFF" w:rsidRPr="00407DFF" w:rsidRDefault="00407DFF" w:rsidP="007E48A3">
            <w:pPr>
              <w:widowControl/>
              <w:jc w:val="center"/>
              <w:textAlignment w:val="center"/>
              <w:rPr>
                <w:sz w:val="20"/>
                <w:szCs w:val="20"/>
              </w:rPr>
            </w:pPr>
            <w:r w:rsidRPr="00407DFF">
              <w:rPr>
                <w:kern w:val="0"/>
                <w:sz w:val="20"/>
                <w:szCs w:val="20"/>
                <w:lang w:bidi="ar"/>
              </w:rPr>
              <w:t xml:space="preserve">3.11 </w:t>
            </w:r>
          </w:p>
        </w:tc>
      </w:tr>
      <w:tr w:rsidR="00407DFF" w:rsidRPr="00407DFF" w14:paraId="7283977B" w14:textId="77777777" w:rsidTr="007E48A3">
        <w:trPr>
          <w:trHeight w:val="270"/>
        </w:trPr>
        <w:tc>
          <w:tcPr>
            <w:tcW w:w="345" w:type="pct"/>
            <w:vMerge w:val="restart"/>
            <w:tcBorders>
              <w:top w:val="single" w:sz="4" w:space="0" w:color="000000"/>
              <w:left w:val="single" w:sz="4" w:space="0" w:color="000000"/>
              <w:bottom w:val="single" w:sz="4" w:space="0" w:color="000000"/>
              <w:right w:val="single" w:sz="4" w:space="0" w:color="000000"/>
            </w:tcBorders>
            <w:noWrap/>
            <w:vAlign w:val="center"/>
          </w:tcPr>
          <w:p w14:paraId="6CCE4A0F" w14:textId="77777777" w:rsidR="00407DFF" w:rsidRPr="00407DFF" w:rsidRDefault="00407DFF" w:rsidP="007E48A3">
            <w:pPr>
              <w:widowControl/>
              <w:jc w:val="center"/>
              <w:textAlignment w:val="center"/>
              <w:rPr>
                <w:rFonts w:ascii="宋体" w:hAnsi="宋体" w:cs="宋体" w:hint="eastAsia"/>
                <w:sz w:val="20"/>
                <w:szCs w:val="20"/>
              </w:rPr>
            </w:pPr>
            <w:r w:rsidRPr="00407DFF">
              <w:rPr>
                <w:rFonts w:ascii="宋体" w:hAnsi="宋体" w:cs="宋体" w:hint="eastAsia"/>
                <w:kern w:val="0"/>
                <w:sz w:val="20"/>
                <w:szCs w:val="20"/>
                <w:lang w:bidi="ar"/>
              </w:rPr>
              <w:t>合计</w:t>
            </w:r>
          </w:p>
        </w:tc>
        <w:tc>
          <w:tcPr>
            <w:tcW w:w="852" w:type="pct"/>
            <w:tcBorders>
              <w:top w:val="single" w:sz="4" w:space="0" w:color="000000"/>
              <w:left w:val="single" w:sz="4" w:space="0" w:color="000000"/>
              <w:bottom w:val="single" w:sz="4" w:space="0" w:color="000000"/>
              <w:right w:val="single" w:sz="4" w:space="0" w:color="000000"/>
            </w:tcBorders>
            <w:vAlign w:val="center"/>
          </w:tcPr>
          <w:p w14:paraId="40FC1703" w14:textId="77777777" w:rsidR="00407DFF" w:rsidRPr="00407DFF" w:rsidRDefault="00407DFF" w:rsidP="007E48A3">
            <w:pPr>
              <w:widowControl/>
              <w:jc w:val="center"/>
              <w:textAlignment w:val="center"/>
              <w:rPr>
                <w:rFonts w:ascii="宋体" w:hAnsi="宋体" w:cs="宋体" w:hint="eastAsia"/>
                <w:sz w:val="20"/>
                <w:szCs w:val="20"/>
              </w:rPr>
            </w:pPr>
            <w:r w:rsidRPr="00407DFF">
              <w:rPr>
                <w:rFonts w:ascii="宋体" w:hAnsi="宋体" w:cs="宋体" w:hint="eastAsia"/>
                <w:kern w:val="0"/>
                <w:sz w:val="20"/>
                <w:szCs w:val="20"/>
                <w:lang w:bidi="ar"/>
              </w:rPr>
              <w:t>合计</w:t>
            </w:r>
          </w:p>
        </w:tc>
        <w:tc>
          <w:tcPr>
            <w:tcW w:w="396" w:type="pct"/>
            <w:tcBorders>
              <w:top w:val="single" w:sz="4" w:space="0" w:color="000000"/>
              <w:left w:val="single" w:sz="4" w:space="0" w:color="000000"/>
              <w:bottom w:val="single" w:sz="4" w:space="0" w:color="000000"/>
              <w:right w:val="single" w:sz="4" w:space="0" w:color="000000"/>
            </w:tcBorders>
            <w:vAlign w:val="center"/>
          </w:tcPr>
          <w:p w14:paraId="220BA7C8" w14:textId="77777777" w:rsidR="00407DFF" w:rsidRPr="00407DFF" w:rsidRDefault="00407DFF" w:rsidP="007E48A3">
            <w:pPr>
              <w:widowControl/>
              <w:jc w:val="center"/>
              <w:textAlignment w:val="center"/>
              <w:rPr>
                <w:sz w:val="18"/>
                <w:szCs w:val="18"/>
              </w:rPr>
            </w:pPr>
            <w:r w:rsidRPr="00407DFF">
              <w:rPr>
                <w:kern w:val="0"/>
                <w:sz w:val="18"/>
                <w:szCs w:val="18"/>
                <w:lang w:bidi="ar"/>
              </w:rPr>
              <w:t xml:space="preserve">470100 </w:t>
            </w:r>
          </w:p>
        </w:tc>
        <w:tc>
          <w:tcPr>
            <w:tcW w:w="411" w:type="pct"/>
            <w:tcBorders>
              <w:top w:val="single" w:sz="4" w:space="0" w:color="000000"/>
              <w:left w:val="single" w:sz="4" w:space="0" w:color="000000"/>
              <w:bottom w:val="single" w:sz="4" w:space="0" w:color="000000"/>
              <w:right w:val="single" w:sz="4" w:space="0" w:color="000000"/>
            </w:tcBorders>
            <w:vAlign w:val="center"/>
          </w:tcPr>
          <w:p w14:paraId="34306764" w14:textId="77777777" w:rsidR="00407DFF" w:rsidRPr="00407DFF" w:rsidRDefault="00407DFF" w:rsidP="007E48A3">
            <w:pPr>
              <w:widowControl/>
              <w:jc w:val="center"/>
              <w:textAlignment w:val="center"/>
              <w:rPr>
                <w:sz w:val="18"/>
                <w:szCs w:val="18"/>
              </w:rPr>
            </w:pPr>
            <w:r w:rsidRPr="00407DFF">
              <w:rPr>
                <w:kern w:val="0"/>
                <w:sz w:val="18"/>
                <w:szCs w:val="18"/>
                <w:lang w:bidi="ar"/>
              </w:rPr>
              <w:t xml:space="preserve">2067400 </w:t>
            </w:r>
          </w:p>
        </w:tc>
        <w:tc>
          <w:tcPr>
            <w:tcW w:w="348" w:type="pct"/>
            <w:tcBorders>
              <w:top w:val="single" w:sz="4" w:space="0" w:color="000000"/>
              <w:left w:val="single" w:sz="4" w:space="0" w:color="000000"/>
              <w:bottom w:val="single" w:sz="4" w:space="0" w:color="000000"/>
              <w:right w:val="single" w:sz="4" w:space="0" w:color="000000"/>
            </w:tcBorders>
            <w:vAlign w:val="center"/>
          </w:tcPr>
          <w:p w14:paraId="3FFB48F6" w14:textId="77777777" w:rsidR="00407DFF" w:rsidRPr="00407DFF" w:rsidRDefault="00407DFF" w:rsidP="007E48A3">
            <w:pPr>
              <w:widowControl/>
              <w:jc w:val="center"/>
              <w:textAlignment w:val="center"/>
              <w:rPr>
                <w:sz w:val="18"/>
                <w:szCs w:val="18"/>
              </w:rPr>
            </w:pPr>
            <w:r w:rsidRPr="00407DFF">
              <w:rPr>
                <w:kern w:val="0"/>
                <w:sz w:val="18"/>
                <w:szCs w:val="18"/>
                <w:lang w:bidi="ar"/>
              </w:rPr>
              <w:t xml:space="preserve">37800 </w:t>
            </w:r>
          </w:p>
        </w:tc>
        <w:tc>
          <w:tcPr>
            <w:tcW w:w="414" w:type="pct"/>
            <w:tcBorders>
              <w:top w:val="single" w:sz="4" w:space="0" w:color="000000"/>
              <w:left w:val="single" w:sz="4" w:space="0" w:color="000000"/>
              <w:bottom w:val="single" w:sz="4" w:space="0" w:color="000000"/>
              <w:right w:val="single" w:sz="4" w:space="0" w:color="000000"/>
            </w:tcBorders>
            <w:vAlign w:val="center"/>
          </w:tcPr>
          <w:p w14:paraId="262AD2D8" w14:textId="77777777" w:rsidR="00407DFF" w:rsidRPr="00407DFF" w:rsidRDefault="00407DFF" w:rsidP="007E48A3">
            <w:pPr>
              <w:widowControl/>
              <w:jc w:val="center"/>
              <w:textAlignment w:val="center"/>
              <w:rPr>
                <w:sz w:val="18"/>
                <w:szCs w:val="18"/>
              </w:rPr>
            </w:pPr>
            <w:r w:rsidRPr="00407DFF">
              <w:rPr>
                <w:kern w:val="0"/>
                <w:sz w:val="18"/>
                <w:szCs w:val="18"/>
                <w:lang w:bidi="ar"/>
              </w:rPr>
              <w:t>114666.77</w:t>
            </w:r>
          </w:p>
        </w:tc>
        <w:tc>
          <w:tcPr>
            <w:tcW w:w="323" w:type="pct"/>
            <w:tcBorders>
              <w:top w:val="single" w:sz="4" w:space="0" w:color="000000"/>
              <w:left w:val="single" w:sz="4" w:space="0" w:color="000000"/>
              <w:bottom w:val="single" w:sz="4" w:space="0" w:color="000000"/>
              <w:right w:val="single" w:sz="4" w:space="0" w:color="000000"/>
            </w:tcBorders>
            <w:vAlign w:val="center"/>
          </w:tcPr>
          <w:p w14:paraId="53E77B43" w14:textId="77777777" w:rsidR="00407DFF" w:rsidRPr="00407DFF" w:rsidRDefault="00407DFF" w:rsidP="007E48A3">
            <w:pPr>
              <w:widowControl/>
              <w:jc w:val="center"/>
              <w:textAlignment w:val="center"/>
              <w:rPr>
                <w:sz w:val="18"/>
                <w:szCs w:val="18"/>
              </w:rPr>
            </w:pPr>
            <w:r w:rsidRPr="00407DFF">
              <w:rPr>
                <w:kern w:val="0"/>
                <w:sz w:val="18"/>
                <w:szCs w:val="18"/>
                <w:lang w:bidi="ar"/>
              </w:rPr>
              <w:t>654.31</w:t>
            </w:r>
          </w:p>
        </w:tc>
        <w:tc>
          <w:tcPr>
            <w:tcW w:w="376" w:type="pct"/>
            <w:tcBorders>
              <w:top w:val="single" w:sz="4" w:space="0" w:color="000000"/>
              <w:left w:val="single" w:sz="4" w:space="0" w:color="000000"/>
              <w:bottom w:val="single" w:sz="4" w:space="0" w:color="000000"/>
              <w:right w:val="single" w:sz="4" w:space="0" w:color="000000"/>
            </w:tcBorders>
            <w:vAlign w:val="center"/>
          </w:tcPr>
          <w:p w14:paraId="7270AE86" w14:textId="77777777" w:rsidR="00407DFF" w:rsidRPr="00407DFF" w:rsidRDefault="00407DFF" w:rsidP="007E48A3">
            <w:pPr>
              <w:widowControl/>
              <w:jc w:val="center"/>
              <w:textAlignment w:val="center"/>
              <w:rPr>
                <w:sz w:val="18"/>
                <w:szCs w:val="18"/>
              </w:rPr>
            </w:pPr>
            <w:r w:rsidRPr="00407DFF">
              <w:rPr>
                <w:kern w:val="0"/>
                <w:sz w:val="18"/>
                <w:szCs w:val="18"/>
                <w:lang w:bidi="ar"/>
              </w:rPr>
              <w:t>16664.11</w:t>
            </w:r>
          </w:p>
        </w:tc>
        <w:tc>
          <w:tcPr>
            <w:tcW w:w="366" w:type="pct"/>
            <w:tcBorders>
              <w:top w:val="single" w:sz="4" w:space="0" w:color="000000"/>
              <w:left w:val="single" w:sz="4" w:space="0" w:color="000000"/>
              <w:bottom w:val="single" w:sz="4" w:space="0" w:color="000000"/>
              <w:right w:val="single" w:sz="4" w:space="0" w:color="000000"/>
            </w:tcBorders>
            <w:noWrap/>
            <w:vAlign w:val="center"/>
          </w:tcPr>
          <w:p w14:paraId="67E44E2D" w14:textId="77777777" w:rsidR="00407DFF" w:rsidRPr="00407DFF" w:rsidRDefault="00407DFF" w:rsidP="007E48A3">
            <w:pPr>
              <w:widowControl/>
              <w:jc w:val="center"/>
              <w:textAlignment w:val="center"/>
              <w:rPr>
                <w:sz w:val="18"/>
                <w:szCs w:val="18"/>
              </w:rPr>
            </w:pPr>
            <w:r w:rsidRPr="00407DFF">
              <w:rPr>
                <w:kern w:val="0"/>
                <w:sz w:val="18"/>
                <w:szCs w:val="18"/>
                <w:lang w:bidi="ar"/>
              </w:rPr>
              <w:t>3530.24</w:t>
            </w:r>
          </w:p>
        </w:tc>
        <w:tc>
          <w:tcPr>
            <w:tcW w:w="338" w:type="pct"/>
            <w:tcBorders>
              <w:top w:val="single" w:sz="4" w:space="0" w:color="000000"/>
              <w:left w:val="single" w:sz="4" w:space="0" w:color="000000"/>
              <w:bottom w:val="single" w:sz="4" w:space="0" w:color="000000"/>
              <w:right w:val="single" w:sz="4" w:space="0" w:color="000000"/>
            </w:tcBorders>
            <w:noWrap/>
            <w:vAlign w:val="center"/>
          </w:tcPr>
          <w:p w14:paraId="3C980C29" w14:textId="77777777" w:rsidR="00407DFF" w:rsidRPr="00407DFF" w:rsidRDefault="00407DFF" w:rsidP="007E48A3">
            <w:pPr>
              <w:widowControl/>
              <w:jc w:val="center"/>
              <w:textAlignment w:val="center"/>
              <w:rPr>
                <w:sz w:val="18"/>
                <w:szCs w:val="18"/>
              </w:rPr>
            </w:pPr>
            <w:r w:rsidRPr="00407DFF">
              <w:rPr>
                <w:kern w:val="0"/>
                <w:sz w:val="18"/>
                <w:szCs w:val="18"/>
                <w:lang w:bidi="ar"/>
              </w:rPr>
              <w:t>1146.67</w:t>
            </w:r>
          </w:p>
        </w:tc>
        <w:tc>
          <w:tcPr>
            <w:tcW w:w="243" w:type="pct"/>
            <w:tcBorders>
              <w:top w:val="single" w:sz="4" w:space="0" w:color="000000"/>
              <w:left w:val="single" w:sz="4" w:space="0" w:color="000000"/>
              <w:bottom w:val="single" w:sz="4" w:space="0" w:color="000000"/>
              <w:right w:val="single" w:sz="4" w:space="0" w:color="000000"/>
            </w:tcBorders>
            <w:noWrap/>
            <w:vAlign w:val="center"/>
          </w:tcPr>
          <w:p w14:paraId="30174561" w14:textId="77777777" w:rsidR="00407DFF" w:rsidRPr="00407DFF" w:rsidRDefault="00407DFF" w:rsidP="007E48A3">
            <w:pPr>
              <w:widowControl/>
              <w:jc w:val="center"/>
              <w:textAlignment w:val="center"/>
              <w:rPr>
                <w:sz w:val="18"/>
                <w:szCs w:val="18"/>
              </w:rPr>
            </w:pPr>
            <w:r w:rsidRPr="00407DFF">
              <w:rPr>
                <w:kern w:val="0"/>
                <w:sz w:val="18"/>
                <w:szCs w:val="18"/>
                <w:lang w:bidi="ar"/>
              </w:rPr>
              <w:t>6.54</w:t>
            </w:r>
          </w:p>
        </w:tc>
        <w:tc>
          <w:tcPr>
            <w:tcW w:w="300" w:type="pct"/>
            <w:tcBorders>
              <w:top w:val="single" w:sz="4" w:space="0" w:color="000000"/>
              <w:left w:val="single" w:sz="4" w:space="0" w:color="000000"/>
              <w:bottom w:val="single" w:sz="4" w:space="0" w:color="000000"/>
              <w:right w:val="single" w:sz="4" w:space="0" w:color="000000"/>
            </w:tcBorders>
            <w:noWrap/>
            <w:vAlign w:val="center"/>
          </w:tcPr>
          <w:p w14:paraId="07CD74D5" w14:textId="77777777" w:rsidR="00407DFF" w:rsidRPr="00407DFF" w:rsidRDefault="00407DFF" w:rsidP="007E48A3">
            <w:pPr>
              <w:widowControl/>
              <w:jc w:val="center"/>
              <w:textAlignment w:val="center"/>
              <w:rPr>
                <w:sz w:val="18"/>
                <w:szCs w:val="18"/>
              </w:rPr>
            </w:pPr>
            <w:r w:rsidRPr="00407DFF">
              <w:rPr>
                <w:kern w:val="0"/>
                <w:sz w:val="18"/>
                <w:szCs w:val="18"/>
                <w:lang w:bidi="ar"/>
              </w:rPr>
              <w:t>166.64</w:t>
            </w:r>
          </w:p>
        </w:tc>
        <w:tc>
          <w:tcPr>
            <w:tcW w:w="281" w:type="pct"/>
            <w:tcBorders>
              <w:top w:val="single" w:sz="4" w:space="0" w:color="000000"/>
              <w:left w:val="single" w:sz="4" w:space="0" w:color="000000"/>
              <w:bottom w:val="single" w:sz="4" w:space="0" w:color="000000"/>
              <w:right w:val="single" w:sz="4" w:space="0" w:color="000000"/>
            </w:tcBorders>
            <w:noWrap/>
            <w:vAlign w:val="center"/>
          </w:tcPr>
          <w:p w14:paraId="7007B3A4" w14:textId="77777777" w:rsidR="00407DFF" w:rsidRPr="00407DFF" w:rsidRDefault="00407DFF" w:rsidP="007E48A3">
            <w:pPr>
              <w:widowControl/>
              <w:jc w:val="center"/>
              <w:textAlignment w:val="center"/>
              <w:rPr>
                <w:sz w:val="18"/>
                <w:szCs w:val="18"/>
              </w:rPr>
            </w:pPr>
            <w:r w:rsidRPr="00407DFF">
              <w:rPr>
                <w:kern w:val="0"/>
                <w:sz w:val="18"/>
                <w:szCs w:val="18"/>
                <w:lang w:bidi="ar"/>
              </w:rPr>
              <w:t>35.3</w:t>
            </w:r>
          </w:p>
        </w:tc>
      </w:tr>
      <w:tr w:rsidR="00407DFF" w:rsidRPr="00407DFF" w14:paraId="6BD24F8B" w14:textId="77777777" w:rsidTr="007E48A3">
        <w:trPr>
          <w:trHeight w:val="270"/>
        </w:trPr>
        <w:tc>
          <w:tcPr>
            <w:tcW w:w="345" w:type="pct"/>
            <w:vMerge/>
            <w:tcBorders>
              <w:top w:val="single" w:sz="4" w:space="0" w:color="000000"/>
              <w:left w:val="single" w:sz="4" w:space="0" w:color="000000"/>
              <w:bottom w:val="single" w:sz="4" w:space="0" w:color="000000"/>
              <w:right w:val="single" w:sz="4" w:space="0" w:color="000000"/>
            </w:tcBorders>
            <w:noWrap/>
            <w:vAlign w:val="center"/>
          </w:tcPr>
          <w:p w14:paraId="3D574218" w14:textId="77777777" w:rsidR="00407DFF" w:rsidRPr="00407DFF" w:rsidRDefault="00407DFF" w:rsidP="007E48A3">
            <w:pPr>
              <w:jc w:val="center"/>
              <w:rPr>
                <w:rFonts w:ascii="宋体" w:hAnsi="宋体" w:cs="宋体" w:hint="eastAsia"/>
                <w:sz w:val="20"/>
                <w:szCs w:val="20"/>
              </w:rPr>
            </w:pPr>
          </w:p>
        </w:tc>
        <w:tc>
          <w:tcPr>
            <w:tcW w:w="852" w:type="pct"/>
            <w:tcBorders>
              <w:top w:val="single" w:sz="4" w:space="0" w:color="000000"/>
              <w:left w:val="single" w:sz="4" w:space="0" w:color="000000"/>
              <w:bottom w:val="single" w:sz="4" w:space="0" w:color="000000"/>
              <w:right w:val="single" w:sz="4" w:space="0" w:color="000000"/>
            </w:tcBorders>
            <w:vAlign w:val="center"/>
          </w:tcPr>
          <w:p w14:paraId="578F68A9" w14:textId="77777777" w:rsidR="00407DFF" w:rsidRPr="00407DFF" w:rsidRDefault="00407DFF" w:rsidP="007E48A3">
            <w:pPr>
              <w:widowControl/>
              <w:jc w:val="center"/>
              <w:textAlignment w:val="center"/>
              <w:rPr>
                <w:rFonts w:ascii="宋体" w:hAnsi="宋体" w:cs="宋体" w:hint="eastAsia"/>
                <w:sz w:val="20"/>
                <w:szCs w:val="20"/>
              </w:rPr>
            </w:pPr>
            <w:r w:rsidRPr="00407DFF">
              <w:rPr>
                <w:rFonts w:ascii="宋体" w:hAnsi="宋体" w:cs="宋体" w:hint="eastAsia"/>
                <w:kern w:val="0"/>
                <w:sz w:val="20"/>
                <w:szCs w:val="20"/>
                <w:lang w:bidi="ar"/>
              </w:rPr>
              <w:t>其中：沙珠玉河流域</w:t>
            </w:r>
          </w:p>
        </w:tc>
        <w:tc>
          <w:tcPr>
            <w:tcW w:w="396" w:type="pct"/>
            <w:tcBorders>
              <w:top w:val="single" w:sz="4" w:space="0" w:color="000000"/>
              <w:left w:val="single" w:sz="4" w:space="0" w:color="000000"/>
              <w:bottom w:val="single" w:sz="4" w:space="0" w:color="000000"/>
              <w:right w:val="single" w:sz="4" w:space="0" w:color="000000"/>
            </w:tcBorders>
            <w:noWrap/>
            <w:vAlign w:val="center"/>
          </w:tcPr>
          <w:p w14:paraId="33AF0259" w14:textId="77777777" w:rsidR="00407DFF" w:rsidRPr="00407DFF" w:rsidRDefault="00407DFF" w:rsidP="007E48A3">
            <w:pPr>
              <w:widowControl/>
              <w:jc w:val="center"/>
              <w:textAlignment w:val="center"/>
              <w:rPr>
                <w:sz w:val="20"/>
                <w:szCs w:val="20"/>
              </w:rPr>
            </w:pPr>
            <w:r w:rsidRPr="00407DFF">
              <w:rPr>
                <w:kern w:val="0"/>
                <w:sz w:val="20"/>
                <w:szCs w:val="20"/>
                <w:lang w:bidi="ar"/>
              </w:rPr>
              <w:t xml:space="preserve">125223 </w:t>
            </w:r>
          </w:p>
        </w:tc>
        <w:tc>
          <w:tcPr>
            <w:tcW w:w="411" w:type="pct"/>
            <w:tcBorders>
              <w:top w:val="single" w:sz="4" w:space="0" w:color="000000"/>
              <w:left w:val="single" w:sz="4" w:space="0" w:color="000000"/>
              <w:bottom w:val="single" w:sz="4" w:space="0" w:color="000000"/>
              <w:right w:val="single" w:sz="4" w:space="0" w:color="000000"/>
            </w:tcBorders>
            <w:noWrap/>
            <w:vAlign w:val="center"/>
          </w:tcPr>
          <w:p w14:paraId="5BF9D9D6" w14:textId="77777777" w:rsidR="00407DFF" w:rsidRPr="00407DFF" w:rsidRDefault="00407DFF" w:rsidP="007E48A3">
            <w:pPr>
              <w:widowControl/>
              <w:jc w:val="center"/>
              <w:textAlignment w:val="center"/>
              <w:rPr>
                <w:sz w:val="20"/>
                <w:szCs w:val="20"/>
              </w:rPr>
            </w:pPr>
            <w:r w:rsidRPr="00407DFF">
              <w:rPr>
                <w:kern w:val="0"/>
                <w:sz w:val="20"/>
                <w:szCs w:val="20"/>
                <w:lang w:bidi="ar"/>
              </w:rPr>
              <w:t xml:space="preserve">657082 </w:t>
            </w:r>
          </w:p>
        </w:tc>
        <w:tc>
          <w:tcPr>
            <w:tcW w:w="348" w:type="pct"/>
            <w:tcBorders>
              <w:top w:val="single" w:sz="4" w:space="0" w:color="000000"/>
              <w:left w:val="single" w:sz="4" w:space="0" w:color="000000"/>
              <w:bottom w:val="single" w:sz="4" w:space="0" w:color="000000"/>
              <w:right w:val="single" w:sz="4" w:space="0" w:color="000000"/>
            </w:tcBorders>
            <w:noWrap/>
            <w:vAlign w:val="center"/>
          </w:tcPr>
          <w:p w14:paraId="1B26C7DA" w14:textId="77777777" w:rsidR="00407DFF" w:rsidRPr="00407DFF" w:rsidRDefault="00407DFF" w:rsidP="007E48A3">
            <w:pPr>
              <w:widowControl/>
              <w:jc w:val="center"/>
              <w:textAlignment w:val="center"/>
              <w:rPr>
                <w:sz w:val="20"/>
                <w:szCs w:val="20"/>
              </w:rPr>
            </w:pPr>
            <w:r w:rsidRPr="00407DFF">
              <w:rPr>
                <w:kern w:val="0"/>
                <w:sz w:val="20"/>
                <w:szCs w:val="20"/>
                <w:lang w:bidi="ar"/>
              </w:rPr>
              <w:t xml:space="preserve">13087 </w:t>
            </w:r>
          </w:p>
        </w:tc>
        <w:tc>
          <w:tcPr>
            <w:tcW w:w="414" w:type="pct"/>
            <w:tcBorders>
              <w:top w:val="single" w:sz="4" w:space="0" w:color="000000"/>
              <w:left w:val="single" w:sz="4" w:space="0" w:color="000000"/>
              <w:bottom w:val="single" w:sz="4" w:space="0" w:color="000000"/>
              <w:right w:val="single" w:sz="4" w:space="0" w:color="000000"/>
            </w:tcBorders>
            <w:noWrap/>
            <w:vAlign w:val="center"/>
          </w:tcPr>
          <w:p w14:paraId="39CDB942" w14:textId="77777777" w:rsidR="00407DFF" w:rsidRPr="00407DFF" w:rsidRDefault="00407DFF" w:rsidP="007E48A3">
            <w:pPr>
              <w:widowControl/>
              <w:jc w:val="center"/>
              <w:textAlignment w:val="center"/>
              <w:rPr>
                <w:sz w:val="20"/>
                <w:szCs w:val="20"/>
              </w:rPr>
            </w:pPr>
            <w:r w:rsidRPr="00407DFF">
              <w:rPr>
                <w:kern w:val="0"/>
                <w:sz w:val="20"/>
                <w:szCs w:val="20"/>
                <w:lang w:bidi="ar"/>
              </w:rPr>
              <w:t xml:space="preserve">32208.18 </w:t>
            </w:r>
          </w:p>
        </w:tc>
        <w:tc>
          <w:tcPr>
            <w:tcW w:w="323" w:type="pct"/>
            <w:tcBorders>
              <w:top w:val="single" w:sz="4" w:space="0" w:color="000000"/>
              <w:left w:val="single" w:sz="4" w:space="0" w:color="000000"/>
              <w:bottom w:val="single" w:sz="4" w:space="0" w:color="000000"/>
              <w:right w:val="single" w:sz="4" w:space="0" w:color="000000"/>
            </w:tcBorders>
            <w:noWrap/>
            <w:vAlign w:val="center"/>
          </w:tcPr>
          <w:p w14:paraId="2448E242" w14:textId="77777777" w:rsidR="00407DFF" w:rsidRPr="00407DFF" w:rsidRDefault="00407DFF" w:rsidP="007E48A3">
            <w:pPr>
              <w:widowControl/>
              <w:jc w:val="center"/>
              <w:textAlignment w:val="center"/>
              <w:rPr>
                <w:sz w:val="20"/>
                <w:szCs w:val="20"/>
              </w:rPr>
            </w:pPr>
            <w:r w:rsidRPr="00407DFF">
              <w:rPr>
                <w:kern w:val="0"/>
                <w:sz w:val="20"/>
                <w:szCs w:val="20"/>
                <w:lang w:bidi="ar"/>
              </w:rPr>
              <w:t xml:space="preserve">183.24 </w:t>
            </w:r>
          </w:p>
        </w:tc>
        <w:tc>
          <w:tcPr>
            <w:tcW w:w="376" w:type="pct"/>
            <w:tcBorders>
              <w:top w:val="single" w:sz="4" w:space="0" w:color="000000"/>
              <w:left w:val="single" w:sz="4" w:space="0" w:color="000000"/>
              <w:bottom w:val="single" w:sz="4" w:space="0" w:color="000000"/>
              <w:right w:val="single" w:sz="4" w:space="0" w:color="000000"/>
            </w:tcBorders>
            <w:noWrap/>
            <w:vAlign w:val="center"/>
          </w:tcPr>
          <w:p w14:paraId="1B1CCA2E" w14:textId="77777777" w:rsidR="00407DFF" w:rsidRPr="00407DFF" w:rsidRDefault="00407DFF" w:rsidP="007E48A3">
            <w:pPr>
              <w:widowControl/>
              <w:jc w:val="center"/>
              <w:textAlignment w:val="center"/>
              <w:rPr>
                <w:sz w:val="20"/>
                <w:szCs w:val="20"/>
              </w:rPr>
            </w:pPr>
            <w:r w:rsidRPr="00407DFF">
              <w:rPr>
                <w:kern w:val="0"/>
                <w:sz w:val="20"/>
                <w:szCs w:val="20"/>
                <w:lang w:bidi="ar"/>
              </w:rPr>
              <w:t xml:space="preserve">4678.96 </w:t>
            </w:r>
          </w:p>
        </w:tc>
        <w:tc>
          <w:tcPr>
            <w:tcW w:w="366" w:type="pct"/>
            <w:tcBorders>
              <w:top w:val="single" w:sz="4" w:space="0" w:color="000000"/>
              <w:left w:val="single" w:sz="4" w:space="0" w:color="000000"/>
              <w:bottom w:val="single" w:sz="4" w:space="0" w:color="000000"/>
              <w:right w:val="single" w:sz="4" w:space="0" w:color="000000"/>
            </w:tcBorders>
            <w:noWrap/>
            <w:vAlign w:val="center"/>
          </w:tcPr>
          <w:p w14:paraId="3A851623" w14:textId="77777777" w:rsidR="00407DFF" w:rsidRPr="00407DFF" w:rsidRDefault="00407DFF" w:rsidP="007E48A3">
            <w:pPr>
              <w:widowControl/>
              <w:jc w:val="center"/>
              <w:textAlignment w:val="center"/>
              <w:rPr>
                <w:sz w:val="20"/>
                <w:szCs w:val="20"/>
              </w:rPr>
            </w:pPr>
            <w:r w:rsidRPr="00407DFF">
              <w:rPr>
                <w:kern w:val="0"/>
                <w:sz w:val="20"/>
                <w:szCs w:val="20"/>
                <w:lang w:bidi="ar"/>
              </w:rPr>
              <w:t xml:space="preserve">1051.60 </w:t>
            </w:r>
          </w:p>
        </w:tc>
        <w:tc>
          <w:tcPr>
            <w:tcW w:w="338" w:type="pct"/>
            <w:tcBorders>
              <w:top w:val="single" w:sz="4" w:space="0" w:color="000000"/>
              <w:left w:val="single" w:sz="4" w:space="0" w:color="000000"/>
              <w:bottom w:val="single" w:sz="4" w:space="0" w:color="000000"/>
              <w:right w:val="single" w:sz="4" w:space="0" w:color="000000"/>
            </w:tcBorders>
            <w:noWrap/>
            <w:vAlign w:val="center"/>
          </w:tcPr>
          <w:p w14:paraId="1EAF04E0" w14:textId="77777777" w:rsidR="00407DFF" w:rsidRPr="00407DFF" w:rsidRDefault="00407DFF" w:rsidP="007E48A3">
            <w:pPr>
              <w:widowControl/>
              <w:jc w:val="center"/>
              <w:textAlignment w:val="center"/>
              <w:rPr>
                <w:sz w:val="20"/>
                <w:szCs w:val="20"/>
              </w:rPr>
            </w:pPr>
            <w:r w:rsidRPr="00407DFF">
              <w:rPr>
                <w:kern w:val="0"/>
                <w:sz w:val="20"/>
                <w:szCs w:val="20"/>
                <w:lang w:bidi="ar"/>
              </w:rPr>
              <w:t xml:space="preserve">322.08 </w:t>
            </w:r>
          </w:p>
        </w:tc>
        <w:tc>
          <w:tcPr>
            <w:tcW w:w="243" w:type="pct"/>
            <w:tcBorders>
              <w:top w:val="single" w:sz="4" w:space="0" w:color="000000"/>
              <w:left w:val="single" w:sz="4" w:space="0" w:color="000000"/>
              <w:bottom w:val="single" w:sz="4" w:space="0" w:color="000000"/>
              <w:right w:val="single" w:sz="4" w:space="0" w:color="000000"/>
            </w:tcBorders>
            <w:noWrap/>
            <w:vAlign w:val="center"/>
          </w:tcPr>
          <w:p w14:paraId="3B5AB5C7" w14:textId="77777777" w:rsidR="00407DFF" w:rsidRPr="00407DFF" w:rsidRDefault="00407DFF" w:rsidP="007E48A3">
            <w:pPr>
              <w:widowControl/>
              <w:jc w:val="center"/>
              <w:textAlignment w:val="center"/>
              <w:rPr>
                <w:sz w:val="20"/>
                <w:szCs w:val="20"/>
              </w:rPr>
            </w:pPr>
            <w:r w:rsidRPr="00407DFF">
              <w:rPr>
                <w:kern w:val="0"/>
                <w:sz w:val="20"/>
                <w:szCs w:val="20"/>
                <w:lang w:bidi="ar"/>
              </w:rPr>
              <w:t xml:space="preserve">1.83 </w:t>
            </w:r>
          </w:p>
        </w:tc>
        <w:tc>
          <w:tcPr>
            <w:tcW w:w="300" w:type="pct"/>
            <w:tcBorders>
              <w:top w:val="single" w:sz="4" w:space="0" w:color="000000"/>
              <w:left w:val="single" w:sz="4" w:space="0" w:color="000000"/>
              <w:bottom w:val="single" w:sz="4" w:space="0" w:color="000000"/>
              <w:right w:val="single" w:sz="4" w:space="0" w:color="000000"/>
            </w:tcBorders>
            <w:noWrap/>
            <w:vAlign w:val="center"/>
          </w:tcPr>
          <w:p w14:paraId="21FC7A2C" w14:textId="77777777" w:rsidR="00407DFF" w:rsidRPr="00407DFF" w:rsidRDefault="00407DFF" w:rsidP="007E48A3">
            <w:pPr>
              <w:widowControl/>
              <w:jc w:val="center"/>
              <w:textAlignment w:val="center"/>
              <w:rPr>
                <w:sz w:val="20"/>
                <w:szCs w:val="20"/>
              </w:rPr>
            </w:pPr>
            <w:r w:rsidRPr="00407DFF">
              <w:rPr>
                <w:kern w:val="0"/>
                <w:sz w:val="20"/>
                <w:szCs w:val="20"/>
                <w:lang w:bidi="ar"/>
              </w:rPr>
              <w:t xml:space="preserve">46.79 </w:t>
            </w:r>
          </w:p>
        </w:tc>
        <w:tc>
          <w:tcPr>
            <w:tcW w:w="281" w:type="pct"/>
            <w:tcBorders>
              <w:top w:val="single" w:sz="4" w:space="0" w:color="000000"/>
              <w:left w:val="single" w:sz="4" w:space="0" w:color="000000"/>
              <w:bottom w:val="single" w:sz="4" w:space="0" w:color="000000"/>
              <w:right w:val="single" w:sz="4" w:space="0" w:color="000000"/>
            </w:tcBorders>
            <w:noWrap/>
            <w:vAlign w:val="center"/>
          </w:tcPr>
          <w:p w14:paraId="6DE7AC85" w14:textId="77777777" w:rsidR="00407DFF" w:rsidRPr="00407DFF" w:rsidRDefault="00407DFF" w:rsidP="007E48A3">
            <w:pPr>
              <w:widowControl/>
              <w:jc w:val="center"/>
              <w:textAlignment w:val="center"/>
              <w:rPr>
                <w:sz w:val="20"/>
                <w:szCs w:val="20"/>
              </w:rPr>
            </w:pPr>
            <w:r w:rsidRPr="00407DFF">
              <w:rPr>
                <w:kern w:val="0"/>
                <w:sz w:val="20"/>
                <w:szCs w:val="20"/>
                <w:lang w:bidi="ar"/>
              </w:rPr>
              <w:t xml:space="preserve">10.52 </w:t>
            </w:r>
          </w:p>
        </w:tc>
      </w:tr>
    </w:tbl>
    <w:p w14:paraId="0BB5E6CA" w14:textId="77777777" w:rsidR="00407DFF" w:rsidRPr="000549B1" w:rsidRDefault="00407DFF">
      <w:pPr>
        <w:pStyle w:val="a2"/>
        <w:spacing w:line="360" w:lineRule="auto"/>
        <w:ind w:firstLine="600"/>
        <w:rPr>
          <w:rFonts w:eastAsiaTheme="minorEastAsia"/>
          <w:bCs/>
          <w:sz w:val="24"/>
          <w:szCs w:val="24"/>
        </w:rPr>
        <w:sectPr w:rsidR="00407DFF" w:rsidRPr="000549B1">
          <w:pgSz w:w="16838" w:h="11906" w:orient="landscape"/>
          <w:pgMar w:top="1800" w:right="1440" w:bottom="1800" w:left="1440" w:header="851" w:footer="992" w:gutter="0"/>
          <w:cols w:space="425"/>
          <w:docGrid w:type="lines" w:linePitch="312"/>
        </w:sectPr>
      </w:pPr>
    </w:p>
    <w:p w14:paraId="2465891D" w14:textId="77777777" w:rsidR="00054437" w:rsidRPr="000549B1" w:rsidRDefault="00000000">
      <w:pPr>
        <w:pStyle w:val="a2"/>
        <w:widowControl/>
        <w:spacing w:line="360" w:lineRule="auto"/>
        <w:ind w:firstLine="601"/>
        <w:rPr>
          <w:rFonts w:eastAsiaTheme="minorEastAsia"/>
          <w:bCs/>
          <w:sz w:val="24"/>
          <w:szCs w:val="24"/>
        </w:rPr>
      </w:pPr>
      <w:r w:rsidRPr="000549B1">
        <w:rPr>
          <w:rFonts w:eastAsiaTheme="minorEastAsia"/>
          <w:bCs/>
          <w:sz w:val="24"/>
          <w:szCs w:val="24"/>
        </w:rPr>
        <w:t>（</w:t>
      </w:r>
      <w:r w:rsidRPr="000549B1">
        <w:rPr>
          <w:rFonts w:eastAsiaTheme="minorEastAsia"/>
          <w:bCs/>
          <w:sz w:val="24"/>
          <w:szCs w:val="24"/>
        </w:rPr>
        <w:t>4</w:t>
      </w:r>
      <w:r w:rsidRPr="000549B1">
        <w:rPr>
          <w:rFonts w:eastAsiaTheme="minorEastAsia"/>
          <w:bCs/>
          <w:sz w:val="24"/>
          <w:szCs w:val="24"/>
        </w:rPr>
        <w:t>）小结</w:t>
      </w:r>
    </w:p>
    <w:p w14:paraId="6649F3A0" w14:textId="77777777" w:rsidR="00054437" w:rsidRPr="000549B1" w:rsidRDefault="00000000">
      <w:pPr>
        <w:pStyle w:val="a2"/>
        <w:spacing w:line="360" w:lineRule="auto"/>
        <w:ind w:firstLine="601"/>
        <w:rPr>
          <w:rFonts w:eastAsiaTheme="minorEastAsia"/>
          <w:bCs/>
          <w:sz w:val="24"/>
          <w:szCs w:val="24"/>
        </w:rPr>
      </w:pPr>
      <w:r w:rsidRPr="000549B1">
        <w:rPr>
          <w:rFonts w:eastAsiaTheme="minorEastAsia"/>
          <w:bCs/>
          <w:sz w:val="24"/>
          <w:szCs w:val="24"/>
        </w:rPr>
        <w:t>经分析计算，共和县、兴海县现状面源污染物入河量</w:t>
      </w:r>
      <w:r w:rsidRPr="000549B1">
        <w:rPr>
          <w:rFonts w:eastAsiaTheme="minorEastAsia"/>
          <w:bCs/>
          <w:sz w:val="24"/>
          <w:szCs w:val="24"/>
        </w:rPr>
        <w:t>COD</w:t>
      </w:r>
      <w:r w:rsidRPr="000549B1">
        <w:rPr>
          <w:rFonts w:eastAsiaTheme="minorEastAsia"/>
          <w:bCs/>
          <w:sz w:val="24"/>
          <w:szCs w:val="24"/>
        </w:rPr>
        <w:t>为</w:t>
      </w:r>
      <w:r w:rsidRPr="000549B1">
        <w:rPr>
          <w:rFonts w:eastAsiaTheme="minorEastAsia"/>
          <w:bCs/>
          <w:sz w:val="24"/>
          <w:szCs w:val="24"/>
        </w:rPr>
        <w:t>1184.50t/a</w:t>
      </w:r>
      <w:r w:rsidRPr="000549B1">
        <w:rPr>
          <w:rFonts w:eastAsiaTheme="minorEastAsia"/>
          <w:bCs/>
          <w:sz w:val="24"/>
          <w:szCs w:val="24"/>
        </w:rPr>
        <w:t>、氨氮</w:t>
      </w:r>
      <w:r w:rsidRPr="000549B1">
        <w:rPr>
          <w:rFonts w:eastAsiaTheme="minorEastAsia"/>
          <w:bCs/>
          <w:sz w:val="24"/>
          <w:szCs w:val="24"/>
        </w:rPr>
        <w:t>15.34t/a</w:t>
      </w:r>
      <w:r w:rsidRPr="000549B1">
        <w:rPr>
          <w:rFonts w:eastAsiaTheme="minorEastAsia"/>
          <w:bCs/>
          <w:sz w:val="24"/>
          <w:szCs w:val="24"/>
        </w:rPr>
        <w:t>、总氮</w:t>
      </w:r>
      <w:r w:rsidRPr="000549B1">
        <w:rPr>
          <w:rFonts w:eastAsiaTheme="minorEastAsia"/>
          <w:bCs/>
          <w:sz w:val="24"/>
          <w:szCs w:val="24"/>
        </w:rPr>
        <w:t>254.10t/a</w:t>
      </w:r>
      <w:r w:rsidRPr="000549B1">
        <w:rPr>
          <w:rFonts w:eastAsiaTheme="minorEastAsia"/>
          <w:bCs/>
          <w:sz w:val="24"/>
          <w:szCs w:val="24"/>
        </w:rPr>
        <w:t>、总磷</w:t>
      </w:r>
      <w:r w:rsidRPr="000549B1">
        <w:rPr>
          <w:rFonts w:eastAsiaTheme="minorEastAsia"/>
          <w:bCs/>
          <w:sz w:val="24"/>
          <w:szCs w:val="24"/>
        </w:rPr>
        <w:t>55.79t/a</w:t>
      </w:r>
      <w:r w:rsidRPr="000549B1">
        <w:rPr>
          <w:rFonts w:eastAsiaTheme="minorEastAsia"/>
          <w:bCs/>
          <w:sz w:val="24"/>
          <w:szCs w:val="24"/>
        </w:rPr>
        <w:t>。其中，沙珠玉河流域现状面源污染物入河量</w:t>
      </w:r>
      <w:r w:rsidRPr="000549B1">
        <w:rPr>
          <w:rFonts w:eastAsiaTheme="minorEastAsia"/>
          <w:bCs/>
          <w:sz w:val="24"/>
          <w:szCs w:val="24"/>
        </w:rPr>
        <w:t>COD</w:t>
      </w:r>
      <w:r w:rsidRPr="000549B1">
        <w:rPr>
          <w:rFonts w:eastAsiaTheme="minorEastAsia"/>
          <w:bCs/>
          <w:sz w:val="24"/>
          <w:szCs w:val="24"/>
        </w:rPr>
        <w:t>为</w:t>
      </w:r>
      <w:r w:rsidRPr="000549B1">
        <w:rPr>
          <w:rFonts w:eastAsiaTheme="minorEastAsia"/>
          <w:bCs/>
          <w:sz w:val="24"/>
          <w:szCs w:val="24"/>
        </w:rPr>
        <w:t>333.02t/a</w:t>
      </w:r>
      <w:r w:rsidRPr="000549B1">
        <w:rPr>
          <w:rFonts w:eastAsiaTheme="minorEastAsia"/>
          <w:bCs/>
          <w:sz w:val="24"/>
          <w:szCs w:val="24"/>
        </w:rPr>
        <w:t>、氨氮</w:t>
      </w:r>
      <w:r w:rsidRPr="000549B1">
        <w:rPr>
          <w:rFonts w:eastAsiaTheme="minorEastAsia"/>
          <w:bCs/>
          <w:sz w:val="24"/>
          <w:szCs w:val="24"/>
        </w:rPr>
        <w:t>4.37t/a</w:t>
      </w:r>
      <w:r w:rsidRPr="000549B1">
        <w:rPr>
          <w:rFonts w:eastAsiaTheme="minorEastAsia"/>
          <w:bCs/>
          <w:sz w:val="24"/>
          <w:szCs w:val="24"/>
        </w:rPr>
        <w:t>、总氮</w:t>
      </w:r>
      <w:r w:rsidRPr="000549B1">
        <w:rPr>
          <w:rFonts w:eastAsiaTheme="minorEastAsia"/>
          <w:bCs/>
          <w:sz w:val="24"/>
          <w:szCs w:val="24"/>
        </w:rPr>
        <w:t>72.01t/a</w:t>
      </w:r>
      <w:r w:rsidRPr="000549B1">
        <w:rPr>
          <w:rFonts w:eastAsiaTheme="minorEastAsia"/>
          <w:bCs/>
          <w:sz w:val="24"/>
          <w:szCs w:val="24"/>
        </w:rPr>
        <w:t>、总磷</w:t>
      </w:r>
      <w:r w:rsidRPr="000549B1">
        <w:rPr>
          <w:rFonts w:eastAsiaTheme="minorEastAsia"/>
          <w:bCs/>
          <w:sz w:val="24"/>
          <w:szCs w:val="24"/>
        </w:rPr>
        <w:t>16.87t/a</w:t>
      </w:r>
      <w:r w:rsidRPr="000549B1">
        <w:rPr>
          <w:rFonts w:eastAsiaTheme="minorEastAsia"/>
          <w:bCs/>
          <w:sz w:val="24"/>
          <w:szCs w:val="24"/>
        </w:rPr>
        <w:t>。</w:t>
      </w:r>
      <w:r w:rsidRPr="000549B1">
        <w:rPr>
          <w:rFonts w:eastAsiaTheme="minorEastAsia"/>
          <w:bCs/>
          <w:sz w:val="24"/>
          <w:szCs w:val="24"/>
        </w:rPr>
        <w:t>COD</w:t>
      </w:r>
      <w:r w:rsidRPr="000549B1">
        <w:rPr>
          <w:rFonts w:eastAsiaTheme="minorEastAsia"/>
          <w:bCs/>
          <w:sz w:val="24"/>
          <w:szCs w:val="24"/>
        </w:rPr>
        <w:t>、总氮、总磷入河量以分散式畜禽养殖面源为主，氨氮入河量以农田面源为主要来源。</w:t>
      </w:r>
    </w:p>
    <w:p w14:paraId="3E143603" w14:textId="1CCFECCF" w:rsidR="00054437" w:rsidRPr="000549B1" w:rsidRDefault="00000000">
      <w:pPr>
        <w:pStyle w:val="aff8"/>
        <w:rPr>
          <w:rFonts w:eastAsiaTheme="minorEastAsia"/>
          <w:bCs/>
          <w:color w:val="auto"/>
        </w:rPr>
      </w:pPr>
      <w:r w:rsidRPr="000549B1">
        <w:rPr>
          <w:color w:val="auto"/>
        </w:rPr>
        <w:t>表</w:t>
      </w:r>
      <w:r w:rsidR="00372953">
        <w:rPr>
          <w:color w:val="auto"/>
        </w:rPr>
        <w:fldChar w:fldCharType="begin"/>
      </w:r>
      <w:r w:rsidR="00372953">
        <w:rPr>
          <w:color w:val="auto"/>
        </w:rPr>
        <w:instrText xml:space="preserve"> STYLEREF 2 \s </w:instrText>
      </w:r>
      <w:r w:rsidR="00372953">
        <w:rPr>
          <w:color w:val="auto"/>
        </w:rPr>
        <w:fldChar w:fldCharType="separate"/>
      </w:r>
      <w:r w:rsidR="00372953">
        <w:rPr>
          <w:noProof/>
          <w:color w:val="auto"/>
        </w:rPr>
        <w:t>3.3</w:t>
      </w:r>
      <w:r w:rsidR="00372953">
        <w:rPr>
          <w:color w:val="auto"/>
        </w:rPr>
        <w:fldChar w:fldCharType="end"/>
      </w:r>
      <w:r w:rsidR="00372953">
        <w:rPr>
          <w:color w:val="auto"/>
        </w:rPr>
        <w:noBreakHyphen/>
      </w:r>
      <w:r w:rsidR="00372953">
        <w:rPr>
          <w:color w:val="auto"/>
        </w:rPr>
        <w:fldChar w:fldCharType="begin"/>
      </w:r>
      <w:r w:rsidR="00372953">
        <w:rPr>
          <w:color w:val="auto"/>
        </w:rPr>
        <w:instrText xml:space="preserve"> SEQ </w:instrText>
      </w:r>
      <w:r w:rsidR="00372953">
        <w:rPr>
          <w:color w:val="auto"/>
        </w:rPr>
        <w:instrText>表</w:instrText>
      </w:r>
      <w:r w:rsidR="00372953">
        <w:rPr>
          <w:color w:val="auto"/>
        </w:rPr>
        <w:instrText xml:space="preserve"> \* ARABIC \s 2 </w:instrText>
      </w:r>
      <w:r w:rsidR="00372953">
        <w:rPr>
          <w:color w:val="auto"/>
        </w:rPr>
        <w:fldChar w:fldCharType="separate"/>
      </w:r>
      <w:r w:rsidR="00372953">
        <w:rPr>
          <w:noProof/>
          <w:color w:val="auto"/>
        </w:rPr>
        <w:t>17</w:t>
      </w:r>
      <w:r w:rsidR="00372953">
        <w:rPr>
          <w:color w:val="auto"/>
        </w:rPr>
        <w:fldChar w:fldCharType="end"/>
      </w:r>
      <w:r w:rsidRPr="000549B1">
        <w:rPr>
          <w:rFonts w:eastAsiaTheme="minorEastAsia"/>
          <w:bCs/>
          <w:color w:val="auto"/>
        </w:rPr>
        <w:t>共和县、兴海县面源污染物统计</w:t>
      </w:r>
    </w:p>
    <w:tbl>
      <w:tblPr>
        <w:tblW w:w="4999" w:type="pct"/>
        <w:tblLook w:val="04A0" w:firstRow="1" w:lastRow="0" w:firstColumn="1" w:lastColumn="0" w:noHBand="0" w:noVBand="1"/>
      </w:tblPr>
      <w:tblGrid>
        <w:gridCol w:w="1111"/>
        <w:gridCol w:w="2745"/>
        <w:gridCol w:w="1518"/>
        <w:gridCol w:w="906"/>
        <w:gridCol w:w="1042"/>
        <w:gridCol w:w="972"/>
      </w:tblGrid>
      <w:tr w:rsidR="000549B1" w:rsidRPr="000549B1" w14:paraId="35D4D3A0" w14:textId="77777777">
        <w:trPr>
          <w:trHeight w:val="270"/>
        </w:trPr>
        <w:tc>
          <w:tcPr>
            <w:tcW w:w="2324" w:type="pct"/>
            <w:gridSpan w:val="2"/>
            <w:vMerge w:val="restart"/>
            <w:tcBorders>
              <w:top w:val="single" w:sz="4" w:space="0" w:color="000000"/>
              <w:left w:val="single" w:sz="4" w:space="0" w:color="000000"/>
              <w:bottom w:val="single" w:sz="4" w:space="0" w:color="000000"/>
              <w:right w:val="single" w:sz="4" w:space="0" w:color="000000"/>
            </w:tcBorders>
            <w:vAlign w:val="center"/>
          </w:tcPr>
          <w:p w14:paraId="2868F8B8" w14:textId="77777777" w:rsidR="00054437" w:rsidRPr="000549B1" w:rsidRDefault="00000000">
            <w:pPr>
              <w:widowControl/>
              <w:jc w:val="center"/>
              <w:textAlignment w:val="center"/>
              <w:rPr>
                <w:sz w:val="20"/>
                <w:szCs w:val="20"/>
              </w:rPr>
            </w:pPr>
            <w:r w:rsidRPr="000549B1">
              <w:rPr>
                <w:kern w:val="0"/>
                <w:sz w:val="20"/>
                <w:szCs w:val="20"/>
                <w:lang w:bidi="ar"/>
              </w:rPr>
              <w:t>行政区</w:t>
            </w:r>
          </w:p>
        </w:tc>
        <w:tc>
          <w:tcPr>
            <w:tcW w:w="2675" w:type="pct"/>
            <w:gridSpan w:val="4"/>
            <w:tcBorders>
              <w:top w:val="single" w:sz="4" w:space="0" w:color="000000"/>
              <w:left w:val="single" w:sz="4" w:space="0" w:color="000000"/>
              <w:bottom w:val="single" w:sz="4" w:space="0" w:color="000000"/>
              <w:right w:val="single" w:sz="4" w:space="0" w:color="000000"/>
            </w:tcBorders>
            <w:vAlign w:val="center"/>
          </w:tcPr>
          <w:p w14:paraId="5E1A6656" w14:textId="77777777" w:rsidR="00054437" w:rsidRPr="000549B1" w:rsidRDefault="00000000">
            <w:pPr>
              <w:widowControl/>
              <w:jc w:val="center"/>
              <w:textAlignment w:val="center"/>
              <w:rPr>
                <w:sz w:val="18"/>
                <w:szCs w:val="18"/>
              </w:rPr>
            </w:pPr>
            <w:r w:rsidRPr="000549B1">
              <w:rPr>
                <w:kern w:val="0"/>
                <w:sz w:val="18"/>
                <w:szCs w:val="18"/>
                <w:lang w:bidi="ar"/>
              </w:rPr>
              <w:t>污染物入河量（</w:t>
            </w:r>
            <w:r w:rsidRPr="000549B1">
              <w:rPr>
                <w:kern w:val="0"/>
                <w:sz w:val="18"/>
                <w:szCs w:val="18"/>
                <w:lang w:bidi="ar"/>
              </w:rPr>
              <w:t>t/a</w:t>
            </w:r>
            <w:r w:rsidRPr="000549B1">
              <w:rPr>
                <w:kern w:val="0"/>
                <w:sz w:val="18"/>
                <w:szCs w:val="18"/>
                <w:lang w:bidi="ar"/>
              </w:rPr>
              <w:t>）</w:t>
            </w:r>
          </w:p>
        </w:tc>
      </w:tr>
      <w:tr w:rsidR="000549B1" w:rsidRPr="000549B1" w14:paraId="5FC55EC6" w14:textId="77777777">
        <w:trPr>
          <w:trHeight w:val="270"/>
        </w:trPr>
        <w:tc>
          <w:tcPr>
            <w:tcW w:w="2324" w:type="pct"/>
            <w:gridSpan w:val="2"/>
            <w:vMerge/>
            <w:tcBorders>
              <w:top w:val="single" w:sz="4" w:space="0" w:color="000000"/>
              <w:left w:val="single" w:sz="4" w:space="0" w:color="000000"/>
              <w:bottom w:val="single" w:sz="4" w:space="0" w:color="000000"/>
              <w:right w:val="single" w:sz="4" w:space="0" w:color="000000"/>
            </w:tcBorders>
            <w:vAlign w:val="center"/>
          </w:tcPr>
          <w:p w14:paraId="40C7678F" w14:textId="77777777" w:rsidR="00054437" w:rsidRPr="000549B1" w:rsidRDefault="00054437">
            <w:pPr>
              <w:jc w:val="center"/>
              <w:rPr>
                <w:sz w:val="20"/>
                <w:szCs w:val="20"/>
              </w:rPr>
            </w:pPr>
          </w:p>
        </w:tc>
        <w:tc>
          <w:tcPr>
            <w:tcW w:w="915" w:type="pct"/>
            <w:tcBorders>
              <w:top w:val="single" w:sz="4" w:space="0" w:color="000000"/>
              <w:left w:val="single" w:sz="4" w:space="0" w:color="000000"/>
              <w:bottom w:val="single" w:sz="4" w:space="0" w:color="000000"/>
              <w:right w:val="single" w:sz="4" w:space="0" w:color="000000"/>
            </w:tcBorders>
            <w:vAlign w:val="center"/>
          </w:tcPr>
          <w:p w14:paraId="3CDCA8E6" w14:textId="77777777" w:rsidR="00054437" w:rsidRPr="000549B1" w:rsidRDefault="00000000">
            <w:pPr>
              <w:widowControl/>
              <w:jc w:val="center"/>
              <w:textAlignment w:val="center"/>
              <w:rPr>
                <w:sz w:val="18"/>
                <w:szCs w:val="18"/>
              </w:rPr>
            </w:pPr>
            <w:r w:rsidRPr="000549B1">
              <w:rPr>
                <w:kern w:val="0"/>
                <w:sz w:val="18"/>
                <w:szCs w:val="18"/>
                <w:lang w:bidi="ar"/>
              </w:rPr>
              <w:t>COD</w:t>
            </w:r>
          </w:p>
        </w:tc>
        <w:tc>
          <w:tcPr>
            <w:tcW w:w="546" w:type="pct"/>
            <w:tcBorders>
              <w:top w:val="single" w:sz="4" w:space="0" w:color="000000"/>
              <w:left w:val="single" w:sz="4" w:space="0" w:color="000000"/>
              <w:bottom w:val="single" w:sz="4" w:space="0" w:color="000000"/>
              <w:right w:val="single" w:sz="4" w:space="0" w:color="000000"/>
            </w:tcBorders>
            <w:vAlign w:val="center"/>
          </w:tcPr>
          <w:p w14:paraId="7848521F" w14:textId="77777777" w:rsidR="00054437" w:rsidRPr="000549B1" w:rsidRDefault="00000000">
            <w:pPr>
              <w:widowControl/>
              <w:jc w:val="center"/>
              <w:textAlignment w:val="center"/>
              <w:rPr>
                <w:sz w:val="18"/>
                <w:szCs w:val="18"/>
              </w:rPr>
            </w:pPr>
            <w:r w:rsidRPr="000549B1">
              <w:rPr>
                <w:kern w:val="0"/>
                <w:sz w:val="18"/>
                <w:szCs w:val="18"/>
                <w:lang w:bidi="ar"/>
              </w:rPr>
              <w:t>氨氮</w:t>
            </w:r>
          </w:p>
        </w:tc>
        <w:tc>
          <w:tcPr>
            <w:tcW w:w="628" w:type="pct"/>
            <w:tcBorders>
              <w:top w:val="single" w:sz="4" w:space="0" w:color="000000"/>
              <w:left w:val="single" w:sz="4" w:space="0" w:color="000000"/>
              <w:bottom w:val="single" w:sz="4" w:space="0" w:color="000000"/>
              <w:right w:val="single" w:sz="4" w:space="0" w:color="000000"/>
            </w:tcBorders>
            <w:vAlign w:val="center"/>
          </w:tcPr>
          <w:p w14:paraId="098375E9" w14:textId="77777777" w:rsidR="00054437" w:rsidRPr="000549B1" w:rsidRDefault="00000000">
            <w:pPr>
              <w:widowControl/>
              <w:jc w:val="center"/>
              <w:textAlignment w:val="center"/>
              <w:rPr>
                <w:sz w:val="18"/>
                <w:szCs w:val="18"/>
              </w:rPr>
            </w:pPr>
            <w:r w:rsidRPr="000549B1">
              <w:rPr>
                <w:kern w:val="0"/>
                <w:sz w:val="18"/>
                <w:szCs w:val="18"/>
                <w:lang w:bidi="ar"/>
              </w:rPr>
              <w:t>总氮</w:t>
            </w:r>
          </w:p>
        </w:tc>
        <w:tc>
          <w:tcPr>
            <w:tcW w:w="584" w:type="pct"/>
            <w:tcBorders>
              <w:top w:val="single" w:sz="4" w:space="0" w:color="000000"/>
              <w:left w:val="single" w:sz="4" w:space="0" w:color="000000"/>
              <w:bottom w:val="single" w:sz="4" w:space="0" w:color="000000"/>
              <w:right w:val="single" w:sz="4" w:space="0" w:color="000000"/>
            </w:tcBorders>
            <w:vAlign w:val="center"/>
          </w:tcPr>
          <w:p w14:paraId="134F2EDC" w14:textId="77777777" w:rsidR="00054437" w:rsidRPr="000549B1" w:rsidRDefault="00000000">
            <w:pPr>
              <w:widowControl/>
              <w:jc w:val="center"/>
              <w:textAlignment w:val="center"/>
              <w:rPr>
                <w:sz w:val="18"/>
                <w:szCs w:val="18"/>
              </w:rPr>
            </w:pPr>
            <w:r w:rsidRPr="000549B1">
              <w:rPr>
                <w:kern w:val="0"/>
                <w:sz w:val="18"/>
                <w:szCs w:val="18"/>
                <w:lang w:bidi="ar"/>
              </w:rPr>
              <w:t>总磷</w:t>
            </w:r>
          </w:p>
        </w:tc>
      </w:tr>
      <w:tr w:rsidR="000549B1" w:rsidRPr="000549B1" w14:paraId="640B0076" w14:textId="77777777">
        <w:trPr>
          <w:trHeight w:val="270"/>
        </w:trPr>
        <w:tc>
          <w:tcPr>
            <w:tcW w:w="669" w:type="pct"/>
            <w:vMerge w:val="restart"/>
            <w:tcBorders>
              <w:top w:val="single" w:sz="4" w:space="0" w:color="000000"/>
              <w:left w:val="single" w:sz="4" w:space="0" w:color="000000"/>
              <w:bottom w:val="single" w:sz="4" w:space="0" w:color="000000"/>
              <w:right w:val="single" w:sz="4" w:space="0" w:color="000000"/>
            </w:tcBorders>
            <w:noWrap/>
            <w:vAlign w:val="center"/>
          </w:tcPr>
          <w:p w14:paraId="31D1BC41" w14:textId="77777777" w:rsidR="00054437" w:rsidRPr="000549B1" w:rsidRDefault="00000000">
            <w:pPr>
              <w:widowControl/>
              <w:jc w:val="center"/>
              <w:textAlignment w:val="center"/>
              <w:rPr>
                <w:sz w:val="20"/>
                <w:szCs w:val="20"/>
              </w:rPr>
            </w:pPr>
            <w:r w:rsidRPr="000549B1">
              <w:rPr>
                <w:kern w:val="0"/>
                <w:sz w:val="20"/>
                <w:szCs w:val="20"/>
                <w:lang w:bidi="ar"/>
              </w:rPr>
              <w:t>共和县</w:t>
            </w:r>
          </w:p>
        </w:tc>
        <w:tc>
          <w:tcPr>
            <w:tcW w:w="1655" w:type="pct"/>
            <w:tcBorders>
              <w:top w:val="single" w:sz="4" w:space="0" w:color="000000"/>
              <w:left w:val="single" w:sz="4" w:space="0" w:color="000000"/>
              <w:bottom w:val="single" w:sz="4" w:space="0" w:color="000000"/>
              <w:right w:val="single" w:sz="4" w:space="0" w:color="000000"/>
            </w:tcBorders>
            <w:vAlign w:val="center"/>
          </w:tcPr>
          <w:p w14:paraId="562FD9C9" w14:textId="77777777" w:rsidR="00054437" w:rsidRPr="000549B1" w:rsidRDefault="00000000">
            <w:pPr>
              <w:widowControl/>
              <w:jc w:val="center"/>
              <w:textAlignment w:val="center"/>
              <w:rPr>
                <w:sz w:val="20"/>
                <w:szCs w:val="20"/>
              </w:rPr>
            </w:pPr>
            <w:r w:rsidRPr="000549B1">
              <w:rPr>
                <w:kern w:val="0"/>
                <w:sz w:val="20"/>
                <w:szCs w:val="20"/>
                <w:lang w:bidi="ar"/>
              </w:rPr>
              <w:t>农村生活面源</w:t>
            </w:r>
          </w:p>
        </w:tc>
        <w:tc>
          <w:tcPr>
            <w:tcW w:w="915" w:type="pct"/>
            <w:tcBorders>
              <w:top w:val="single" w:sz="4" w:space="0" w:color="000000"/>
              <w:left w:val="single" w:sz="4" w:space="0" w:color="000000"/>
              <w:bottom w:val="single" w:sz="4" w:space="0" w:color="000000"/>
              <w:right w:val="single" w:sz="4" w:space="0" w:color="000000"/>
            </w:tcBorders>
            <w:vAlign w:val="center"/>
          </w:tcPr>
          <w:p w14:paraId="04C2DB80" w14:textId="77777777" w:rsidR="00054437" w:rsidRPr="000549B1" w:rsidRDefault="00000000">
            <w:pPr>
              <w:widowControl/>
              <w:jc w:val="center"/>
              <w:textAlignment w:val="center"/>
              <w:rPr>
                <w:sz w:val="20"/>
                <w:szCs w:val="20"/>
              </w:rPr>
            </w:pPr>
            <w:r w:rsidRPr="000549B1">
              <w:rPr>
                <w:kern w:val="0"/>
                <w:sz w:val="20"/>
                <w:szCs w:val="20"/>
                <w:lang w:bidi="ar"/>
              </w:rPr>
              <w:t>1.94</w:t>
            </w:r>
          </w:p>
        </w:tc>
        <w:tc>
          <w:tcPr>
            <w:tcW w:w="546" w:type="pct"/>
            <w:tcBorders>
              <w:top w:val="single" w:sz="4" w:space="0" w:color="000000"/>
              <w:left w:val="single" w:sz="4" w:space="0" w:color="000000"/>
              <w:bottom w:val="single" w:sz="4" w:space="0" w:color="000000"/>
              <w:right w:val="single" w:sz="4" w:space="0" w:color="000000"/>
            </w:tcBorders>
            <w:vAlign w:val="center"/>
          </w:tcPr>
          <w:p w14:paraId="426B6B0E" w14:textId="77777777" w:rsidR="00054437" w:rsidRPr="000549B1" w:rsidRDefault="00000000">
            <w:pPr>
              <w:widowControl/>
              <w:jc w:val="center"/>
              <w:textAlignment w:val="center"/>
              <w:rPr>
                <w:sz w:val="20"/>
                <w:szCs w:val="20"/>
              </w:rPr>
            </w:pPr>
            <w:r w:rsidRPr="000549B1">
              <w:rPr>
                <w:kern w:val="0"/>
                <w:sz w:val="20"/>
                <w:szCs w:val="20"/>
                <w:lang w:bidi="ar"/>
              </w:rPr>
              <w:t>0.1</w:t>
            </w:r>
          </w:p>
        </w:tc>
        <w:tc>
          <w:tcPr>
            <w:tcW w:w="628" w:type="pct"/>
            <w:tcBorders>
              <w:top w:val="single" w:sz="4" w:space="0" w:color="000000"/>
              <w:left w:val="single" w:sz="4" w:space="0" w:color="000000"/>
              <w:bottom w:val="single" w:sz="4" w:space="0" w:color="000000"/>
              <w:right w:val="single" w:sz="4" w:space="0" w:color="000000"/>
            </w:tcBorders>
            <w:vAlign w:val="center"/>
          </w:tcPr>
          <w:p w14:paraId="2DF6E2B6" w14:textId="77777777" w:rsidR="00054437" w:rsidRPr="000549B1" w:rsidRDefault="00000000">
            <w:pPr>
              <w:widowControl/>
              <w:jc w:val="center"/>
              <w:textAlignment w:val="center"/>
              <w:rPr>
                <w:sz w:val="20"/>
                <w:szCs w:val="20"/>
              </w:rPr>
            </w:pPr>
            <w:r w:rsidRPr="000549B1">
              <w:rPr>
                <w:kern w:val="0"/>
                <w:sz w:val="20"/>
                <w:szCs w:val="20"/>
                <w:lang w:bidi="ar"/>
              </w:rPr>
              <w:t>0.65</w:t>
            </w:r>
          </w:p>
        </w:tc>
        <w:tc>
          <w:tcPr>
            <w:tcW w:w="584" w:type="pct"/>
            <w:tcBorders>
              <w:top w:val="single" w:sz="4" w:space="0" w:color="000000"/>
              <w:left w:val="single" w:sz="4" w:space="0" w:color="000000"/>
              <w:bottom w:val="single" w:sz="4" w:space="0" w:color="000000"/>
              <w:right w:val="single" w:sz="4" w:space="0" w:color="000000"/>
            </w:tcBorders>
            <w:vAlign w:val="center"/>
          </w:tcPr>
          <w:p w14:paraId="736425CC" w14:textId="77777777" w:rsidR="00054437" w:rsidRPr="000549B1" w:rsidRDefault="00000000">
            <w:pPr>
              <w:widowControl/>
              <w:jc w:val="center"/>
              <w:textAlignment w:val="center"/>
              <w:rPr>
                <w:sz w:val="20"/>
                <w:szCs w:val="20"/>
              </w:rPr>
            </w:pPr>
            <w:r w:rsidRPr="000549B1">
              <w:rPr>
                <w:kern w:val="0"/>
                <w:sz w:val="20"/>
                <w:szCs w:val="20"/>
                <w:lang w:bidi="ar"/>
              </w:rPr>
              <w:t>0.04</w:t>
            </w:r>
          </w:p>
        </w:tc>
      </w:tr>
      <w:tr w:rsidR="000549B1" w:rsidRPr="000549B1" w14:paraId="439E380C" w14:textId="77777777">
        <w:trPr>
          <w:trHeight w:val="270"/>
        </w:trPr>
        <w:tc>
          <w:tcPr>
            <w:tcW w:w="669" w:type="pct"/>
            <w:vMerge/>
            <w:tcBorders>
              <w:top w:val="single" w:sz="4" w:space="0" w:color="000000"/>
              <w:left w:val="single" w:sz="4" w:space="0" w:color="000000"/>
              <w:bottom w:val="single" w:sz="4" w:space="0" w:color="000000"/>
              <w:right w:val="single" w:sz="4" w:space="0" w:color="000000"/>
            </w:tcBorders>
            <w:noWrap/>
            <w:vAlign w:val="center"/>
          </w:tcPr>
          <w:p w14:paraId="151DAABA" w14:textId="77777777" w:rsidR="00054437" w:rsidRPr="000549B1" w:rsidRDefault="00054437">
            <w:pPr>
              <w:jc w:val="center"/>
              <w:rPr>
                <w:sz w:val="20"/>
                <w:szCs w:val="20"/>
              </w:rPr>
            </w:pPr>
          </w:p>
        </w:tc>
        <w:tc>
          <w:tcPr>
            <w:tcW w:w="1655" w:type="pct"/>
            <w:tcBorders>
              <w:top w:val="single" w:sz="4" w:space="0" w:color="000000"/>
              <w:left w:val="single" w:sz="4" w:space="0" w:color="000000"/>
              <w:bottom w:val="single" w:sz="4" w:space="0" w:color="000000"/>
              <w:right w:val="single" w:sz="4" w:space="0" w:color="000000"/>
            </w:tcBorders>
            <w:vAlign w:val="center"/>
          </w:tcPr>
          <w:p w14:paraId="2E2B5EB7" w14:textId="77777777" w:rsidR="00054437" w:rsidRPr="000549B1" w:rsidRDefault="00000000">
            <w:pPr>
              <w:widowControl/>
              <w:jc w:val="center"/>
              <w:textAlignment w:val="center"/>
              <w:rPr>
                <w:sz w:val="20"/>
                <w:szCs w:val="20"/>
              </w:rPr>
            </w:pPr>
            <w:r w:rsidRPr="000549B1">
              <w:rPr>
                <w:kern w:val="0"/>
                <w:sz w:val="20"/>
                <w:szCs w:val="20"/>
                <w:lang w:bidi="ar"/>
              </w:rPr>
              <w:t>农业面源</w:t>
            </w:r>
          </w:p>
        </w:tc>
        <w:tc>
          <w:tcPr>
            <w:tcW w:w="915" w:type="pct"/>
            <w:tcBorders>
              <w:top w:val="single" w:sz="4" w:space="0" w:color="000000"/>
              <w:left w:val="single" w:sz="4" w:space="0" w:color="000000"/>
              <w:bottom w:val="single" w:sz="4" w:space="0" w:color="000000"/>
              <w:right w:val="single" w:sz="4" w:space="0" w:color="000000"/>
            </w:tcBorders>
            <w:vAlign w:val="center"/>
          </w:tcPr>
          <w:p w14:paraId="50DD4E59" w14:textId="77777777" w:rsidR="00054437" w:rsidRPr="000549B1" w:rsidRDefault="00000000">
            <w:pPr>
              <w:widowControl/>
              <w:jc w:val="center"/>
              <w:textAlignment w:val="center"/>
              <w:rPr>
                <w:sz w:val="20"/>
                <w:szCs w:val="20"/>
              </w:rPr>
            </w:pPr>
            <w:r w:rsidRPr="000549B1">
              <w:rPr>
                <w:kern w:val="0"/>
                <w:sz w:val="20"/>
                <w:szCs w:val="20"/>
                <w:lang w:bidi="ar"/>
              </w:rPr>
              <w:t>18.14</w:t>
            </w:r>
          </w:p>
        </w:tc>
        <w:tc>
          <w:tcPr>
            <w:tcW w:w="546" w:type="pct"/>
            <w:tcBorders>
              <w:top w:val="single" w:sz="4" w:space="0" w:color="000000"/>
              <w:left w:val="single" w:sz="4" w:space="0" w:color="000000"/>
              <w:bottom w:val="single" w:sz="4" w:space="0" w:color="000000"/>
              <w:right w:val="single" w:sz="4" w:space="0" w:color="000000"/>
            </w:tcBorders>
            <w:vAlign w:val="center"/>
          </w:tcPr>
          <w:p w14:paraId="55138B31" w14:textId="77777777" w:rsidR="00054437" w:rsidRPr="000549B1" w:rsidRDefault="00000000">
            <w:pPr>
              <w:widowControl/>
              <w:jc w:val="center"/>
              <w:textAlignment w:val="center"/>
              <w:rPr>
                <w:sz w:val="20"/>
                <w:szCs w:val="20"/>
              </w:rPr>
            </w:pPr>
            <w:r w:rsidRPr="000549B1">
              <w:rPr>
                <w:kern w:val="0"/>
                <w:sz w:val="20"/>
                <w:szCs w:val="20"/>
                <w:lang w:bidi="ar"/>
              </w:rPr>
              <w:t>4.54</w:t>
            </w:r>
          </w:p>
        </w:tc>
        <w:tc>
          <w:tcPr>
            <w:tcW w:w="628" w:type="pct"/>
            <w:tcBorders>
              <w:top w:val="single" w:sz="4" w:space="0" w:color="000000"/>
              <w:left w:val="single" w:sz="4" w:space="0" w:color="000000"/>
              <w:bottom w:val="single" w:sz="4" w:space="0" w:color="000000"/>
              <w:right w:val="single" w:sz="4" w:space="0" w:color="000000"/>
            </w:tcBorders>
            <w:vAlign w:val="center"/>
          </w:tcPr>
          <w:p w14:paraId="69CFAEFD" w14:textId="77777777" w:rsidR="00054437" w:rsidRPr="000549B1" w:rsidRDefault="00000000">
            <w:pPr>
              <w:widowControl/>
              <w:jc w:val="center"/>
              <w:textAlignment w:val="center"/>
              <w:rPr>
                <w:sz w:val="20"/>
                <w:szCs w:val="20"/>
              </w:rPr>
            </w:pPr>
            <w:r w:rsidRPr="000549B1">
              <w:rPr>
                <w:kern w:val="0"/>
                <w:sz w:val="20"/>
                <w:szCs w:val="20"/>
                <w:lang w:bidi="ar"/>
              </w:rPr>
              <w:t>45.35</w:t>
            </w:r>
          </w:p>
        </w:tc>
        <w:tc>
          <w:tcPr>
            <w:tcW w:w="584" w:type="pct"/>
            <w:tcBorders>
              <w:top w:val="single" w:sz="4" w:space="0" w:color="000000"/>
              <w:left w:val="single" w:sz="4" w:space="0" w:color="000000"/>
              <w:bottom w:val="single" w:sz="4" w:space="0" w:color="000000"/>
              <w:right w:val="single" w:sz="4" w:space="0" w:color="000000"/>
            </w:tcBorders>
            <w:vAlign w:val="center"/>
          </w:tcPr>
          <w:p w14:paraId="5F791818" w14:textId="77777777" w:rsidR="00054437" w:rsidRPr="000549B1" w:rsidRDefault="00000000">
            <w:pPr>
              <w:widowControl/>
              <w:jc w:val="center"/>
              <w:textAlignment w:val="center"/>
              <w:rPr>
                <w:sz w:val="20"/>
                <w:szCs w:val="20"/>
              </w:rPr>
            </w:pPr>
            <w:r w:rsidRPr="000549B1">
              <w:rPr>
                <w:kern w:val="0"/>
                <w:sz w:val="20"/>
                <w:szCs w:val="20"/>
                <w:lang w:bidi="ar"/>
              </w:rPr>
              <w:t>14.15</w:t>
            </w:r>
          </w:p>
        </w:tc>
      </w:tr>
      <w:tr w:rsidR="000549B1" w:rsidRPr="000549B1" w14:paraId="2A91624C" w14:textId="77777777">
        <w:trPr>
          <w:trHeight w:val="270"/>
        </w:trPr>
        <w:tc>
          <w:tcPr>
            <w:tcW w:w="669" w:type="pct"/>
            <w:vMerge/>
            <w:tcBorders>
              <w:top w:val="single" w:sz="4" w:space="0" w:color="000000"/>
              <w:left w:val="single" w:sz="4" w:space="0" w:color="000000"/>
              <w:bottom w:val="single" w:sz="4" w:space="0" w:color="000000"/>
              <w:right w:val="single" w:sz="4" w:space="0" w:color="000000"/>
            </w:tcBorders>
            <w:noWrap/>
            <w:vAlign w:val="center"/>
          </w:tcPr>
          <w:p w14:paraId="27D8EA58" w14:textId="77777777" w:rsidR="00054437" w:rsidRPr="000549B1" w:rsidRDefault="00054437">
            <w:pPr>
              <w:jc w:val="center"/>
              <w:rPr>
                <w:sz w:val="20"/>
                <w:szCs w:val="20"/>
              </w:rPr>
            </w:pPr>
          </w:p>
        </w:tc>
        <w:tc>
          <w:tcPr>
            <w:tcW w:w="1655" w:type="pct"/>
            <w:tcBorders>
              <w:top w:val="single" w:sz="4" w:space="0" w:color="000000"/>
              <w:left w:val="single" w:sz="4" w:space="0" w:color="000000"/>
              <w:bottom w:val="single" w:sz="4" w:space="0" w:color="000000"/>
              <w:right w:val="single" w:sz="4" w:space="0" w:color="000000"/>
            </w:tcBorders>
            <w:vAlign w:val="center"/>
          </w:tcPr>
          <w:p w14:paraId="47A2FE78" w14:textId="77777777" w:rsidR="00054437" w:rsidRPr="000549B1" w:rsidRDefault="00000000">
            <w:pPr>
              <w:widowControl/>
              <w:jc w:val="center"/>
              <w:textAlignment w:val="center"/>
              <w:rPr>
                <w:sz w:val="20"/>
                <w:szCs w:val="20"/>
              </w:rPr>
            </w:pPr>
            <w:r w:rsidRPr="000549B1">
              <w:rPr>
                <w:kern w:val="0"/>
                <w:sz w:val="20"/>
                <w:szCs w:val="20"/>
                <w:lang w:bidi="ar"/>
              </w:rPr>
              <w:t>畜禽养殖面源</w:t>
            </w:r>
          </w:p>
        </w:tc>
        <w:tc>
          <w:tcPr>
            <w:tcW w:w="915" w:type="pct"/>
            <w:tcBorders>
              <w:top w:val="single" w:sz="4" w:space="0" w:color="000000"/>
              <w:left w:val="single" w:sz="4" w:space="0" w:color="000000"/>
              <w:bottom w:val="single" w:sz="4" w:space="0" w:color="000000"/>
              <w:right w:val="single" w:sz="4" w:space="0" w:color="000000"/>
            </w:tcBorders>
            <w:vAlign w:val="center"/>
          </w:tcPr>
          <w:p w14:paraId="53092CE4" w14:textId="77777777" w:rsidR="00054437" w:rsidRPr="000549B1" w:rsidRDefault="00000000">
            <w:pPr>
              <w:widowControl/>
              <w:jc w:val="center"/>
              <w:textAlignment w:val="center"/>
              <w:rPr>
                <w:sz w:val="20"/>
                <w:szCs w:val="20"/>
              </w:rPr>
            </w:pPr>
            <w:r w:rsidRPr="000549B1">
              <w:rPr>
                <w:kern w:val="0"/>
                <w:sz w:val="20"/>
                <w:szCs w:val="20"/>
                <w:lang w:bidi="ar"/>
              </w:rPr>
              <w:t>537.04</w:t>
            </w:r>
          </w:p>
        </w:tc>
        <w:tc>
          <w:tcPr>
            <w:tcW w:w="546" w:type="pct"/>
            <w:tcBorders>
              <w:top w:val="single" w:sz="4" w:space="0" w:color="000000"/>
              <w:left w:val="single" w:sz="4" w:space="0" w:color="000000"/>
              <w:bottom w:val="single" w:sz="4" w:space="0" w:color="000000"/>
              <w:right w:val="single" w:sz="4" w:space="0" w:color="000000"/>
            </w:tcBorders>
            <w:vAlign w:val="center"/>
          </w:tcPr>
          <w:p w14:paraId="220C04DE" w14:textId="77777777" w:rsidR="00054437" w:rsidRPr="000549B1" w:rsidRDefault="00000000">
            <w:pPr>
              <w:widowControl/>
              <w:jc w:val="center"/>
              <w:textAlignment w:val="center"/>
              <w:rPr>
                <w:sz w:val="20"/>
                <w:szCs w:val="20"/>
              </w:rPr>
            </w:pPr>
            <w:r w:rsidRPr="000549B1">
              <w:rPr>
                <w:kern w:val="0"/>
                <w:sz w:val="20"/>
                <w:szCs w:val="20"/>
                <w:lang w:bidi="ar"/>
              </w:rPr>
              <w:t>3.02</w:t>
            </w:r>
          </w:p>
        </w:tc>
        <w:tc>
          <w:tcPr>
            <w:tcW w:w="628" w:type="pct"/>
            <w:tcBorders>
              <w:top w:val="single" w:sz="4" w:space="0" w:color="000000"/>
              <w:left w:val="single" w:sz="4" w:space="0" w:color="000000"/>
              <w:bottom w:val="single" w:sz="4" w:space="0" w:color="000000"/>
              <w:right w:val="single" w:sz="4" w:space="0" w:color="000000"/>
            </w:tcBorders>
            <w:vAlign w:val="center"/>
          </w:tcPr>
          <w:p w14:paraId="42236A8D" w14:textId="77777777" w:rsidR="00054437" w:rsidRPr="000549B1" w:rsidRDefault="00000000">
            <w:pPr>
              <w:widowControl/>
              <w:jc w:val="center"/>
              <w:textAlignment w:val="center"/>
              <w:rPr>
                <w:sz w:val="20"/>
                <w:szCs w:val="20"/>
              </w:rPr>
            </w:pPr>
            <w:r w:rsidRPr="000549B1">
              <w:rPr>
                <w:kern w:val="0"/>
                <w:sz w:val="20"/>
                <w:szCs w:val="20"/>
                <w:lang w:bidi="ar"/>
              </w:rPr>
              <w:t>77.91</w:t>
            </w:r>
          </w:p>
        </w:tc>
        <w:tc>
          <w:tcPr>
            <w:tcW w:w="584" w:type="pct"/>
            <w:tcBorders>
              <w:top w:val="single" w:sz="4" w:space="0" w:color="000000"/>
              <w:left w:val="single" w:sz="4" w:space="0" w:color="000000"/>
              <w:bottom w:val="single" w:sz="4" w:space="0" w:color="000000"/>
              <w:right w:val="single" w:sz="4" w:space="0" w:color="000000"/>
            </w:tcBorders>
            <w:vAlign w:val="center"/>
          </w:tcPr>
          <w:p w14:paraId="63BB7C03" w14:textId="77777777" w:rsidR="00054437" w:rsidRPr="000549B1" w:rsidRDefault="00000000">
            <w:pPr>
              <w:widowControl/>
              <w:jc w:val="center"/>
              <w:textAlignment w:val="center"/>
              <w:rPr>
                <w:sz w:val="20"/>
                <w:szCs w:val="20"/>
              </w:rPr>
            </w:pPr>
            <w:r w:rsidRPr="000549B1">
              <w:rPr>
                <w:kern w:val="0"/>
                <w:sz w:val="20"/>
                <w:szCs w:val="20"/>
                <w:lang w:bidi="ar"/>
              </w:rPr>
              <w:t>21.15</w:t>
            </w:r>
          </w:p>
        </w:tc>
      </w:tr>
      <w:tr w:rsidR="000549B1" w:rsidRPr="000549B1" w14:paraId="6DF83A2F" w14:textId="77777777">
        <w:trPr>
          <w:trHeight w:val="270"/>
        </w:trPr>
        <w:tc>
          <w:tcPr>
            <w:tcW w:w="669" w:type="pct"/>
            <w:vMerge/>
            <w:tcBorders>
              <w:top w:val="single" w:sz="4" w:space="0" w:color="000000"/>
              <w:left w:val="single" w:sz="4" w:space="0" w:color="000000"/>
              <w:bottom w:val="single" w:sz="4" w:space="0" w:color="000000"/>
              <w:right w:val="single" w:sz="4" w:space="0" w:color="000000"/>
            </w:tcBorders>
            <w:noWrap/>
            <w:vAlign w:val="center"/>
          </w:tcPr>
          <w:p w14:paraId="2674C3F8" w14:textId="77777777" w:rsidR="00054437" w:rsidRPr="000549B1" w:rsidRDefault="00054437">
            <w:pPr>
              <w:jc w:val="center"/>
              <w:rPr>
                <w:sz w:val="20"/>
                <w:szCs w:val="20"/>
              </w:rPr>
            </w:pPr>
          </w:p>
        </w:tc>
        <w:tc>
          <w:tcPr>
            <w:tcW w:w="1655" w:type="pct"/>
            <w:tcBorders>
              <w:top w:val="single" w:sz="4" w:space="0" w:color="000000"/>
              <w:left w:val="single" w:sz="4" w:space="0" w:color="000000"/>
              <w:bottom w:val="single" w:sz="4" w:space="0" w:color="000000"/>
              <w:right w:val="single" w:sz="4" w:space="0" w:color="000000"/>
            </w:tcBorders>
            <w:vAlign w:val="center"/>
          </w:tcPr>
          <w:p w14:paraId="688ECA12" w14:textId="77777777" w:rsidR="00054437" w:rsidRPr="000549B1" w:rsidRDefault="00000000">
            <w:pPr>
              <w:widowControl/>
              <w:jc w:val="center"/>
              <w:textAlignment w:val="center"/>
              <w:rPr>
                <w:sz w:val="20"/>
                <w:szCs w:val="20"/>
              </w:rPr>
            </w:pPr>
            <w:r w:rsidRPr="000549B1">
              <w:rPr>
                <w:kern w:val="0"/>
                <w:sz w:val="20"/>
                <w:szCs w:val="20"/>
                <w:lang w:bidi="ar"/>
              </w:rPr>
              <w:t>共和县小计</w:t>
            </w:r>
          </w:p>
        </w:tc>
        <w:tc>
          <w:tcPr>
            <w:tcW w:w="915" w:type="pct"/>
            <w:tcBorders>
              <w:top w:val="single" w:sz="4" w:space="0" w:color="000000"/>
              <w:left w:val="single" w:sz="4" w:space="0" w:color="000000"/>
              <w:bottom w:val="single" w:sz="4" w:space="0" w:color="000000"/>
              <w:right w:val="single" w:sz="4" w:space="0" w:color="000000"/>
            </w:tcBorders>
            <w:vAlign w:val="center"/>
          </w:tcPr>
          <w:p w14:paraId="48EB1198" w14:textId="77777777" w:rsidR="00054437" w:rsidRPr="000549B1" w:rsidRDefault="00000000">
            <w:pPr>
              <w:widowControl/>
              <w:jc w:val="center"/>
              <w:textAlignment w:val="center"/>
              <w:rPr>
                <w:sz w:val="20"/>
                <w:szCs w:val="20"/>
              </w:rPr>
            </w:pPr>
            <w:r w:rsidRPr="000549B1">
              <w:rPr>
                <w:kern w:val="0"/>
                <w:sz w:val="20"/>
                <w:szCs w:val="20"/>
                <w:lang w:bidi="ar"/>
              </w:rPr>
              <w:t>557.12</w:t>
            </w:r>
          </w:p>
        </w:tc>
        <w:tc>
          <w:tcPr>
            <w:tcW w:w="546" w:type="pct"/>
            <w:tcBorders>
              <w:top w:val="single" w:sz="4" w:space="0" w:color="000000"/>
              <w:left w:val="single" w:sz="4" w:space="0" w:color="000000"/>
              <w:bottom w:val="single" w:sz="4" w:space="0" w:color="000000"/>
              <w:right w:val="single" w:sz="4" w:space="0" w:color="000000"/>
            </w:tcBorders>
            <w:vAlign w:val="center"/>
          </w:tcPr>
          <w:p w14:paraId="7D0ED420" w14:textId="77777777" w:rsidR="00054437" w:rsidRPr="000549B1" w:rsidRDefault="00000000">
            <w:pPr>
              <w:widowControl/>
              <w:jc w:val="center"/>
              <w:textAlignment w:val="center"/>
              <w:rPr>
                <w:sz w:val="20"/>
                <w:szCs w:val="20"/>
              </w:rPr>
            </w:pPr>
            <w:r w:rsidRPr="000549B1">
              <w:rPr>
                <w:kern w:val="0"/>
                <w:sz w:val="20"/>
                <w:szCs w:val="20"/>
                <w:lang w:bidi="ar"/>
              </w:rPr>
              <w:t>7.66</w:t>
            </w:r>
          </w:p>
        </w:tc>
        <w:tc>
          <w:tcPr>
            <w:tcW w:w="628" w:type="pct"/>
            <w:tcBorders>
              <w:top w:val="single" w:sz="4" w:space="0" w:color="000000"/>
              <w:left w:val="single" w:sz="4" w:space="0" w:color="000000"/>
              <w:bottom w:val="single" w:sz="4" w:space="0" w:color="000000"/>
              <w:right w:val="single" w:sz="4" w:space="0" w:color="000000"/>
            </w:tcBorders>
            <w:vAlign w:val="center"/>
          </w:tcPr>
          <w:p w14:paraId="3CECBCA5" w14:textId="77777777" w:rsidR="00054437" w:rsidRPr="000549B1" w:rsidRDefault="00000000">
            <w:pPr>
              <w:widowControl/>
              <w:jc w:val="center"/>
              <w:textAlignment w:val="center"/>
              <w:rPr>
                <w:sz w:val="20"/>
                <w:szCs w:val="20"/>
              </w:rPr>
            </w:pPr>
            <w:r w:rsidRPr="000549B1">
              <w:rPr>
                <w:kern w:val="0"/>
                <w:sz w:val="20"/>
                <w:szCs w:val="20"/>
                <w:lang w:bidi="ar"/>
              </w:rPr>
              <w:t>123.91</w:t>
            </w:r>
          </w:p>
        </w:tc>
        <w:tc>
          <w:tcPr>
            <w:tcW w:w="584" w:type="pct"/>
            <w:tcBorders>
              <w:top w:val="single" w:sz="4" w:space="0" w:color="000000"/>
              <w:left w:val="single" w:sz="4" w:space="0" w:color="000000"/>
              <w:bottom w:val="single" w:sz="4" w:space="0" w:color="000000"/>
              <w:right w:val="single" w:sz="4" w:space="0" w:color="000000"/>
            </w:tcBorders>
            <w:vAlign w:val="center"/>
          </w:tcPr>
          <w:p w14:paraId="610DEADE" w14:textId="77777777" w:rsidR="00054437" w:rsidRPr="000549B1" w:rsidRDefault="00000000">
            <w:pPr>
              <w:widowControl/>
              <w:jc w:val="center"/>
              <w:textAlignment w:val="center"/>
              <w:rPr>
                <w:sz w:val="20"/>
                <w:szCs w:val="20"/>
              </w:rPr>
            </w:pPr>
            <w:r w:rsidRPr="000549B1">
              <w:rPr>
                <w:kern w:val="0"/>
                <w:sz w:val="20"/>
                <w:szCs w:val="20"/>
                <w:lang w:bidi="ar"/>
              </w:rPr>
              <w:t>35.34</w:t>
            </w:r>
          </w:p>
        </w:tc>
      </w:tr>
      <w:tr w:rsidR="000549B1" w:rsidRPr="000549B1" w14:paraId="0F385E32" w14:textId="77777777">
        <w:trPr>
          <w:trHeight w:val="300"/>
        </w:trPr>
        <w:tc>
          <w:tcPr>
            <w:tcW w:w="669" w:type="pct"/>
            <w:vMerge/>
            <w:tcBorders>
              <w:top w:val="single" w:sz="4" w:space="0" w:color="000000"/>
              <w:left w:val="single" w:sz="4" w:space="0" w:color="000000"/>
              <w:bottom w:val="single" w:sz="4" w:space="0" w:color="000000"/>
              <w:right w:val="single" w:sz="4" w:space="0" w:color="000000"/>
            </w:tcBorders>
            <w:noWrap/>
            <w:vAlign w:val="center"/>
          </w:tcPr>
          <w:p w14:paraId="66DD20B9" w14:textId="77777777" w:rsidR="00054437" w:rsidRPr="000549B1" w:rsidRDefault="00054437">
            <w:pPr>
              <w:jc w:val="center"/>
              <w:rPr>
                <w:sz w:val="20"/>
                <w:szCs w:val="20"/>
              </w:rPr>
            </w:pPr>
          </w:p>
        </w:tc>
        <w:tc>
          <w:tcPr>
            <w:tcW w:w="1655" w:type="pct"/>
            <w:tcBorders>
              <w:top w:val="single" w:sz="4" w:space="0" w:color="000000"/>
              <w:left w:val="single" w:sz="4" w:space="0" w:color="000000"/>
              <w:bottom w:val="single" w:sz="4" w:space="0" w:color="000000"/>
              <w:right w:val="single" w:sz="4" w:space="0" w:color="000000"/>
            </w:tcBorders>
            <w:vAlign w:val="center"/>
          </w:tcPr>
          <w:p w14:paraId="4C3D3897" w14:textId="77777777" w:rsidR="00054437" w:rsidRPr="000549B1" w:rsidRDefault="00000000">
            <w:pPr>
              <w:widowControl/>
              <w:jc w:val="center"/>
              <w:textAlignment w:val="center"/>
              <w:rPr>
                <w:sz w:val="20"/>
                <w:szCs w:val="20"/>
              </w:rPr>
            </w:pPr>
            <w:r w:rsidRPr="000549B1">
              <w:rPr>
                <w:kern w:val="0"/>
                <w:sz w:val="20"/>
                <w:szCs w:val="20"/>
                <w:lang w:bidi="ar"/>
              </w:rPr>
              <w:t>其中：沙珠玉河流域</w:t>
            </w:r>
          </w:p>
        </w:tc>
        <w:tc>
          <w:tcPr>
            <w:tcW w:w="915" w:type="pct"/>
            <w:tcBorders>
              <w:top w:val="single" w:sz="4" w:space="0" w:color="000000"/>
              <w:left w:val="single" w:sz="4" w:space="0" w:color="000000"/>
              <w:bottom w:val="single" w:sz="4" w:space="0" w:color="000000"/>
              <w:right w:val="single" w:sz="4" w:space="0" w:color="000000"/>
            </w:tcBorders>
            <w:noWrap/>
            <w:vAlign w:val="center"/>
          </w:tcPr>
          <w:p w14:paraId="63B0DB76" w14:textId="77777777" w:rsidR="00054437" w:rsidRPr="000549B1" w:rsidRDefault="00000000">
            <w:pPr>
              <w:widowControl/>
              <w:jc w:val="center"/>
              <w:textAlignment w:val="center"/>
              <w:rPr>
                <w:sz w:val="22"/>
              </w:rPr>
            </w:pPr>
            <w:r w:rsidRPr="000549B1">
              <w:rPr>
                <w:kern w:val="0"/>
                <w:sz w:val="22"/>
                <w:lang w:bidi="ar"/>
              </w:rPr>
              <w:t>194.99</w:t>
            </w:r>
          </w:p>
        </w:tc>
        <w:tc>
          <w:tcPr>
            <w:tcW w:w="546" w:type="pct"/>
            <w:tcBorders>
              <w:top w:val="single" w:sz="4" w:space="0" w:color="000000"/>
              <w:left w:val="single" w:sz="4" w:space="0" w:color="000000"/>
              <w:bottom w:val="single" w:sz="4" w:space="0" w:color="000000"/>
              <w:right w:val="single" w:sz="4" w:space="0" w:color="000000"/>
            </w:tcBorders>
            <w:noWrap/>
            <w:vAlign w:val="center"/>
          </w:tcPr>
          <w:p w14:paraId="12E01935" w14:textId="77777777" w:rsidR="00054437" w:rsidRPr="000549B1" w:rsidRDefault="00000000">
            <w:pPr>
              <w:widowControl/>
              <w:jc w:val="center"/>
              <w:textAlignment w:val="center"/>
              <w:rPr>
                <w:sz w:val="22"/>
              </w:rPr>
            </w:pPr>
            <w:r w:rsidRPr="000549B1">
              <w:rPr>
                <w:kern w:val="0"/>
                <w:sz w:val="22"/>
                <w:lang w:bidi="ar"/>
              </w:rPr>
              <w:t>2.68</w:t>
            </w:r>
          </w:p>
        </w:tc>
        <w:tc>
          <w:tcPr>
            <w:tcW w:w="628" w:type="pct"/>
            <w:tcBorders>
              <w:top w:val="single" w:sz="4" w:space="0" w:color="000000"/>
              <w:left w:val="single" w:sz="4" w:space="0" w:color="000000"/>
              <w:bottom w:val="single" w:sz="4" w:space="0" w:color="000000"/>
              <w:right w:val="single" w:sz="4" w:space="0" w:color="000000"/>
            </w:tcBorders>
            <w:noWrap/>
            <w:vAlign w:val="center"/>
          </w:tcPr>
          <w:p w14:paraId="3A33C9D7" w14:textId="77777777" w:rsidR="00054437" w:rsidRPr="000549B1" w:rsidRDefault="00000000">
            <w:pPr>
              <w:widowControl/>
              <w:jc w:val="center"/>
              <w:textAlignment w:val="center"/>
              <w:rPr>
                <w:sz w:val="22"/>
              </w:rPr>
            </w:pPr>
            <w:r w:rsidRPr="000549B1">
              <w:rPr>
                <w:kern w:val="0"/>
                <w:sz w:val="22"/>
                <w:lang w:bidi="ar"/>
              </w:rPr>
              <w:t>43.37</w:t>
            </w:r>
          </w:p>
        </w:tc>
        <w:tc>
          <w:tcPr>
            <w:tcW w:w="584" w:type="pct"/>
            <w:tcBorders>
              <w:top w:val="single" w:sz="4" w:space="0" w:color="000000"/>
              <w:left w:val="single" w:sz="4" w:space="0" w:color="000000"/>
              <w:bottom w:val="single" w:sz="4" w:space="0" w:color="000000"/>
              <w:right w:val="single" w:sz="4" w:space="0" w:color="000000"/>
            </w:tcBorders>
            <w:noWrap/>
            <w:vAlign w:val="center"/>
          </w:tcPr>
          <w:p w14:paraId="6FD310CC" w14:textId="77777777" w:rsidR="00054437" w:rsidRPr="000549B1" w:rsidRDefault="00000000">
            <w:pPr>
              <w:widowControl/>
              <w:jc w:val="center"/>
              <w:textAlignment w:val="center"/>
              <w:rPr>
                <w:sz w:val="22"/>
              </w:rPr>
            </w:pPr>
            <w:r w:rsidRPr="000549B1">
              <w:rPr>
                <w:kern w:val="0"/>
                <w:sz w:val="22"/>
                <w:lang w:bidi="ar"/>
              </w:rPr>
              <w:t>12.37</w:t>
            </w:r>
          </w:p>
        </w:tc>
      </w:tr>
      <w:tr w:rsidR="000549B1" w:rsidRPr="000549B1" w14:paraId="5AA7A973" w14:textId="77777777">
        <w:trPr>
          <w:trHeight w:val="270"/>
        </w:trPr>
        <w:tc>
          <w:tcPr>
            <w:tcW w:w="669" w:type="pct"/>
            <w:vMerge w:val="restart"/>
            <w:tcBorders>
              <w:top w:val="single" w:sz="4" w:space="0" w:color="000000"/>
              <w:left w:val="single" w:sz="4" w:space="0" w:color="000000"/>
              <w:bottom w:val="single" w:sz="4" w:space="0" w:color="000000"/>
              <w:right w:val="single" w:sz="4" w:space="0" w:color="000000"/>
            </w:tcBorders>
            <w:noWrap/>
            <w:vAlign w:val="center"/>
          </w:tcPr>
          <w:p w14:paraId="00824FDA" w14:textId="77777777" w:rsidR="00054437" w:rsidRPr="000549B1" w:rsidRDefault="00000000">
            <w:pPr>
              <w:widowControl/>
              <w:jc w:val="center"/>
              <w:textAlignment w:val="center"/>
              <w:rPr>
                <w:sz w:val="20"/>
                <w:szCs w:val="20"/>
              </w:rPr>
            </w:pPr>
            <w:r w:rsidRPr="000549B1">
              <w:rPr>
                <w:kern w:val="0"/>
                <w:sz w:val="20"/>
                <w:szCs w:val="20"/>
                <w:lang w:bidi="ar"/>
              </w:rPr>
              <w:t>兴海县</w:t>
            </w:r>
          </w:p>
        </w:tc>
        <w:tc>
          <w:tcPr>
            <w:tcW w:w="1655" w:type="pct"/>
            <w:tcBorders>
              <w:top w:val="single" w:sz="4" w:space="0" w:color="000000"/>
              <w:left w:val="single" w:sz="4" w:space="0" w:color="000000"/>
              <w:bottom w:val="single" w:sz="4" w:space="0" w:color="000000"/>
              <w:right w:val="single" w:sz="4" w:space="0" w:color="000000"/>
            </w:tcBorders>
            <w:vAlign w:val="center"/>
          </w:tcPr>
          <w:p w14:paraId="223E0DB4" w14:textId="77777777" w:rsidR="00054437" w:rsidRPr="000549B1" w:rsidRDefault="00000000">
            <w:pPr>
              <w:widowControl/>
              <w:jc w:val="center"/>
              <w:textAlignment w:val="center"/>
              <w:rPr>
                <w:sz w:val="20"/>
                <w:szCs w:val="20"/>
              </w:rPr>
            </w:pPr>
            <w:r w:rsidRPr="000549B1">
              <w:rPr>
                <w:kern w:val="0"/>
                <w:sz w:val="20"/>
                <w:szCs w:val="20"/>
                <w:lang w:bidi="ar"/>
              </w:rPr>
              <w:t>农村生活面源</w:t>
            </w:r>
          </w:p>
        </w:tc>
        <w:tc>
          <w:tcPr>
            <w:tcW w:w="915" w:type="pct"/>
            <w:tcBorders>
              <w:top w:val="single" w:sz="4" w:space="0" w:color="000000"/>
              <w:left w:val="single" w:sz="4" w:space="0" w:color="000000"/>
              <w:bottom w:val="single" w:sz="4" w:space="0" w:color="000000"/>
              <w:right w:val="single" w:sz="4" w:space="0" w:color="000000"/>
            </w:tcBorders>
            <w:vAlign w:val="center"/>
          </w:tcPr>
          <w:p w14:paraId="41A06C03" w14:textId="77777777" w:rsidR="00054437" w:rsidRPr="000549B1" w:rsidRDefault="00000000">
            <w:pPr>
              <w:widowControl/>
              <w:jc w:val="center"/>
              <w:textAlignment w:val="center"/>
              <w:rPr>
                <w:sz w:val="20"/>
                <w:szCs w:val="20"/>
              </w:rPr>
            </w:pPr>
            <w:r w:rsidRPr="000549B1">
              <w:rPr>
                <w:kern w:val="0"/>
                <w:sz w:val="20"/>
                <w:szCs w:val="20"/>
                <w:lang w:bidi="ar"/>
              </w:rPr>
              <w:t>1.35</w:t>
            </w:r>
          </w:p>
        </w:tc>
        <w:tc>
          <w:tcPr>
            <w:tcW w:w="546" w:type="pct"/>
            <w:tcBorders>
              <w:top w:val="single" w:sz="4" w:space="0" w:color="000000"/>
              <w:left w:val="single" w:sz="4" w:space="0" w:color="000000"/>
              <w:bottom w:val="single" w:sz="4" w:space="0" w:color="000000"/>
              <w:right w:val="single" w:sz="4" w:space="0" w:color="000000"/>
            </w:tcBorders>
            <w:vAlign w:val="center"/>
          </w:tcPr>
          <w:p w14:paraId="425C8838" w14:textId="77777777" w:rsidR="00054437" w:rsidRPr="000549B1" w:rsidRDefault="00000000">
            <w:pPr>
              <w:widowControl/>
              <w:jc w:val="center"/>
              <w:textAlignment w:val="center"/>
              <w:rPr>
                <w:sz w:val="20"/>
                <w:szCs w:val="20"/>
              </w:rPr>
            </w:pPr>
            <w:r w:rsidRPr="000549B1">
              <w:rPr>
                <w:kern w:val="0"/>
                <w:sz w:val="20"/>
                <w:szCs w:val="20"/>
                <w:lang w:bidi="ar"/>
              </w:rPr>
              <w:t>0.07</w:t>
            </w:r>
          </w:p>
        </w:tc>
        <w:tc>
          <w:tcPr>
            <w:tcW w:w="628" w:type="pct"/>
            <w:tcBorders>
              <w:top w:val="single" w:sz="4" w:space="0" w:color="000000"/>
              <w:left w:val="single" w:sz="4" w:space="0" w:color="000000"/>
              <w:bottom w:val="single" w:sz="4" w:space="0" w:color="000000"/>
              <w:right w:val="single" w:sz="4" w:space="0" w:color="000000"/>
            </w:tcBorders>
            <w:vAlign w:val="center"/>
          </w:tcPr>
          <w:p w14:paraId="72E29552" w14:textId="77777777" w:rsidR="00054437" w:rsidRPr="000549B1" w:rsidRDefault="00000000">
            <w:pPr>
              <w:widowControl/>
              <w:jc w:val="center"/>
              <w:textAlignment w:val="center"/>
              <w:rPr>
                <w:sz w:val="20"/>
                <w:szCs w:val="20"/>
              </w:rPr>
            </w:pPr>
            <w:r w:rsidRPr="000549B1">
              <w:rPr>
                <w:kern w:val="0"/>
                <w:sz w:val="20"/>
                <w:szCs w:val="20"/>
                <w:lang w:bidi="ar"/>
              </w:rPr>
              <w:t>0.45</w:t>
            </w:r>
          </w:p>
        </w:tc>
        <w:tc>
          <w:tcPr>
            <w:tcW w:w="584" w:type="pct"/>
            <w:tcBorders>
              <w:top w:val="single" w:sz="4" w:space="0" w:color="000000"/>
              <w:left w:val="single" w:sz="4" w:space="0" w:color="000000"/>
              <w:bottom w:val="single" w:sz="4" w:space="0" w:color="000000"/>
              <w:right w:val="single" w:sz="4" w:space="0" w:color="000000"/>
            </w:tcBorders>
            <w:vAlign w:val="center"/>
          </w:tcPr>
          <w:p w14:paraId="798767D7" w14:textId="77777777" w:rsidR="00054437" w:rsidRPr="000549B1" w:rsidRDefault="00000000">
            <w:pPr>
              <w:widowControl/>
              <w:jc w:val="center"/>
              <w:textAlignment w:val="center"/>
              <w:rPr>
                <w:sz w:val="20"/>
                <w:szCs w:val="20"/>
              </w:rPr>
            </w:pPr>
            <w:r w:rsidRPr="000549B1">
              <w:rPr>
                <w:kern w:val="0"/>
                <w:sz w:val="20"/>
                <w:szCs w:val="20"/>
                <w:lang w:bidi="ar"/>
              </w:rPr>
              <w:t>0.03</w:t>
            </w:r>
          </w:p>
        </w:tc>
      </w:tr>
      <w:tr w:rsidR="000549B1" w:rsidRPr="000549B1" w14:paraId="5CFC67F0" w14:textId="77777777">
        <w:trPr>
          <w:trHeight w:val="270"/>
        </w:trPr>
        <w:tc>
          <w:tcPr>
            <w:tcW w:w="669" w:type="pct"/>
            <w:vMerge/>
            <w:tcBorders>
              <w:top w:val="single" w:sz="4" w:space="0" w:color="000000"/>
              <w:left w:val="single" w:sz="4" w:space="0" w:color="000000"/>
              <w:bottom w:val="single" w:sz="4" w:space="0" w:color="000000"/>
              <w:right w:val="single" w:sz="4" w:space="0" w:color="000000"/>
            </w:tcBorders>
            <w:noWrap/>
            <w:vAlign w:val="center"/>
          </w:tcPr>
          <w:p w14:paraId="6D1C94D7" w14:textId="77777777" w:rsidR="00054437" w:rsidRPr="000549B1" w:rsidRDefault="00054437">
            <w:pPr>
              <w:jc w:val="center"/>
              <w:rPr>
                <w:sz w:val="20"/>
                <w:szCs w:val="20"/>
              </w:rPr>
            </w:pPr>
          </w:p>
        </w:tc>
        <w:tc>
          <w:tcPr>
            <w:tcW w:w="1655" w:type="pct"/>
            <w:tcBorders>
              <w:top w:val="single" w:sz="4" w:space="0" w:color="000000"/>
              <w:left w:val="single" w:sz="4" w:space="0" w:color="000000"/>
              <w:bottom w:val="single" w:sz="4" w:space="0" w:color="000000"/>
              <w:right w:val="single" w:sz="4" w:space="0" w:color="000000"/>
            </w:tcBorders>
            <w:vAlign w:val="center"/>
          </w:tcPr>
          <w:p w14:paraId="7C86E3CE" w14:textId="77777777" w:rsidR="00054437" w:rsidRPr="000549B1" w:rsidRDefault="00000000">
            <w:pPr>
              <w:widowControl/>
              <w:jc w:val="center"/>
              <w:textAlignment w:val="center"/>
              <w:rPr>
                <w:sz w:val="20"/>
                <w:szCs w:val="20"/>
              </w:rPr>
            </w:pPr>
            <w:r w:rsidRPr="000549B1">
              <w:rPr>
                <w:kern w:val="0"/>
                <w:sz w:val="20"/>
                <w:szCs w:val="20"/>
                <w:lang w:bidi="ar"/>
              </w:rPr>
              <w:t>农业面源</w:t>
            </w:r>
          </w:p>
        </w:tc>
        <w:tc>
          <w:tcPr>
            <w:tcW w:w="915" w:type="pct"/>
            <w:tcBorders>
              <w:top w:val="single" w:sz="4" w:space="0" w:color="000000"/>
              <w:left w:val="single" w:sz="4" w:space="0" w:color="000000"/>
              <w:bottom w:val="single" w:sz="4" w:space="0" w:color="000000"/>
              <w:right w:val="single" w:sz="4" w:space="0" w:color="000000"/>
            </w:tcBorders>
            <w:vAlign w:val="center"/>
          </w:tcPr>
          <w:p w14:paraId="5DDE3EA9" w14:textId="77777777" w:rsidR="00054437" w:rsidRPr="000549B1" w:rsidRDefault="00000000">
            <w:pPr>
              <w:widowControl/>
              <w:jc w:val="center"/>
              <w:textAlignment w:val="center"/>
              <w:rPr>
                <w:sz w:val="20"/>
                <w:szCs w:val="20"/>
              </w:rPr>
            </w:pPr>
            <w:r w:rsidRPr="000549B1">
              <w:rPr>
                <w:kern w:val="0"/>
                <w:sz w:val="20"/>
                <w:szCs w:val="20"/>
                <w:lang w:bidi="ar"/>
              </w:rPr>
              <w:t>16.4</w:t>
            </w:r>
          </w:p>
        </w:tc>
        <w:tc>
          <w:tcPr>
            <w:tcW w:w="546" w:type="pct"/>
            <w:tcBorders>
              <w:top w:val="single" w:sz="4" w:space="0" w:color="000000"/>
              <w:left w:val="single" w:sz="4" w:space="0" w:color="000000"/>
              <w:bottom w:val="single" w:sz="4" w:space="0" w:color="000000"/>
              <w:right w:val="single" w:sz="4" w:space="0" w:color="000000"/>
            </w:tcBorders>
            <w:vAlign w:val="center"/>
          </w:tcPr>
          <w:p w14:paraId="3216B7BB" w14:textId="77777777" w:rsidR="00054437" w:rsidRPr="000549B1" w:rsidRDefault="00000000">
            <w:pPr>
              <w:widowControl/>
              <w:jc w:val="center"/>
              <w:textAlignment w:val="center"/>
              <w:rPr>
                <w:sz w:val="20"/>
                <w:szCs w:val="20"/>
              </w:rPr>
            </w:pPr>
            <w:r w:rsidRPr="000549B1">
              <w:rPr>
                <w:kern w:val="0"/>
                <w:sz w:val="20"/>
                <w:szCs w:val="20"/>
                <w:lang w:bidi="ar"/>
              </w:rPr>
              <w:t>4.1</w:t>
            </w:r>
          </w:p>
        </w:tc>
        <w:tc>
          <w:tcPr>
            <w:tcW w:w="628" w:type="pct"/>
            <w:tcBorders>
              <w:top w:val="single" w:sz="4" w:space="0" w:color="000000"/>
              <w:left w:val="single" w:sz="4" w:space="0" w:color="000000"/>
              <w:bottom w:val="single" w:sz="4" w:space="0" w:color="000000"/>
              <w:right w:val="single" w:sz="4" w:space="0" w:color="000000"/>
            </w:tcBorders>
            <w:vAlign w:val="center"/>
          </w:tcPr>
          <w:p w14:paraId="2C934EB6" w14:textId="77777777" w:rsidR="00054437" w:rsidRPr="000549B1" w:rsidRDefault="00000000">
            <w:pPr>
              <w:widowControl/>
              <w:jc w:val="center"/>
              <w:textAlignment w:val="center"/>
              <w:rPr>
                <w:sz w:val="20"/>
                <w:szCs w:val="20"/>
              </w:rPr>
            </w:pPr>
            <w:r w:rsidRPr="000549B1">
              <w:rPr>
                <w:kern w:val="0"/>
                <w:sz w:val="20"/>
                <w:szCs w:val="20"/>
                <w:lang w:bidi="ar"/>
              </w:rPr>
              <w:t>41.01</w:t>
            </w:r>
          </w:p>
        </w:tc>
        <w:tc>
          <w:tcPr>
            <w:tcW w:w="584" w:type="pct"/>
            <w:tcBorders>
              <w:top w:val="single" w:sz="4" w:space="0" w:color="000000"/>
              <w:left w:val="single" w:sz="4" w:space="0" w:color="000000"/>
              <w:bottom w:val="single" w:sz="4" w:space="0" w:color="000000"/>
              <w:right w:val="single" w:sz="4" w:space="0" w:color="000000"/>
            </w:tcBorders>
            <w:vAlign w:val="center"/>
          </w:tcPr>
          <w:p w14:paraId="2A3F646D" w14:textId="77777777" w:rsidR="00054437" w:rsidRPr="000549B1" w:rsidRDefault="00000000">
            <w:pPr>
              <w:widowControl/>
              <w:jc w:val="center"/>
              <w:textAlignment w:val="center"/>
              <w:rPr>
                <w:sz w:val="20"/>
                <w:szCs w:val="20"/>
              </w:rPr>
            </w:pPr>
            <w:r w:rsidRPr="000549B1">
              <w:rPr>
                <w:kern w:val="0"/>
                <w:sz w:val="20"/>
                <w:szCs w:val="20"/>
                <w:lang w:bidi="ar"/>
              </w:rPr>
              <w:t>6.28</w:t>
            </w:r>
          </w:p>
        </w:tc>
      </w:tr>
      <w:tr w:rsidR="000549B1" w:rsidRPr="000549B1" w14:paraId="7709EF04" w14:textId="77777777">
        <w:trPr>
          <w:trHeight w:val="270"/>
        </w:trPr>
        <w:tc>
          <w:tcPr>
            <w:tcW w:w="669" w:type="pct"/>
            <w:vMerge/>
            <w:tcBorders>
              <w:top w:val="single" w:sz="4" w:space="0" w:color="000000"/>
              <w:left w:val="single" w:sz="4" w:space="0" w:color="000000"/>
              <w:bottom w:val="single" w:sz="4" w:space="0" w:color="000000"/>
              <w:right w:val="single" w:sz="4" w:space="0" w:color="000000"/>
            </w:tcBorders>
            <w:noWrap/>
            <w:vAlign w:val="center"/>
          </w:tcPr>
          <w:p w14:paraId="5A2C40D2" w14:textId="77777777" w:rsidR="00054437" w:rsidRPr="000549B1" w:rsidRDefault="00054437">
            <w:pPr>
              <w:jc w:val="center"/>
              <w:rPr>
                <w:sz w:val="20"/>
                <w:szCs w:val="20"/>
              </w:rPr>
            </w:pPr>
          </w:p>
        </w:tc>
        <w:tc>
          <w:tcPr>
            <w:tcW w:w="1655" w:type="pct"/>
            <w:tcBorders>
              <w:top w:val="single" w:sz="4" w:space="0" w:color="000000"/>
              <w:left w:val="single" w:sz="4" w:space="0" w:color="000000"/>
              <w:bottom w:val="single" w:sz="4" w:space="0" w:color="000000"/>
              <w:right w:val="single" w:sz="4" w:space="0" w:color="000000"/>
            </w:tcBorders>
            <w:vAlign w:val="center"/>
          </w:tcPr>
          <w:p w14:paraId="6EBFA1EF" w14:textId="77777777" w:rsidR="00054437" w:rsidRPr="000549B1" w:rsidRDefault="00000000">
            <w:pPr>
              <w:widowControl/>
              <w:jc w:val="center"/>
              <w:textAlignment w:val="center"/>
              <w:rPr>
                <w:sz w:val="20"/>
                <w:szCs w:val="20"/>
              </w:rPr>
            </w:pPr>
            <w:r w:rsidRPr="000549B1">
              <w:rPr>
                <w:kern w:val="0"/>
                <w:sz w:val="20"/>
                <w:szCs w:val="20"/>
                <w:lang w:bidi="ar"/>
              </w:rPr>
              <w:t>畜禽养殖面源</w:t>
            </w:r>
          </w:p>
        </w:tc>
        <w:tc>
          <w:tcPr>
            <w:tcW w:w="915" w:type="pct"/>
            <w:tcBorders>
              <w:top w:val="single" w:sz="4" w:space="0" w:color="000000"/>
              <w:left w:val="single" w:sz="4" w:space="0" w:color="000000"/>
              <w:bottom w:val="single" w:sz="4" w:space="0" w:color="000000"/>
              <w:right w:val="single" w:sz="4" w:space="0" w:color="000000"/>
            </w:tcBorders>
            <w:vAlign w:val="center"/>
          </w:tcPr>
          <w:p w14:paraId="48B4525F" w14:textId="77777777" w:rsidR="00054437" w:rsidRPr="000549B1" w:rsidRDefault="00000000">
            <w:pPr>
              <w:widowControl/>
              <w:jc w:val="center"/>
              <w:textAlignment w:val="center"/>
              <w:rPr>
                <w:sz w:val="20"/>
                <w:szCs w:val="20"/>
              </w:rPr>
            </w:pPr>
            <w:r w:rsidRPr="000549B1">
              <w:rPr>
                <w:kern w:val="0"/>
                <w:sz w:val="20"/>
                <w:szCs w:val="20"/>
                <w:lang w:bidi="ar"/>
              </w:rPr>
              <w:t>609.63</w:t>
            </w:r>
          </w:p>
        </w:tc>
        <w:tc>
          <w:tcPr>
            <w:tcW w:w="546" w:type="pct"/>
            <w:tcBorders>
              <w:top w:val="single" w:sz="4" w:space="0" w:color="000000"/>
              <w:left w:val="single" w:sz="4" w:space="0" w:color="000000"/>
              <w:bottom w:val="single" w:sz="4" w:space="0" w:color="000000"/>
              <w:right w:val="single" w:sz="4" w:space="0" w:color="000000"/>
            </w:tcBorders>
            <w:vAlign w:val="center"/>
          </w:tcPr>
          <w:p w14:paraId="48C8ECCA" w14:textId="77777777" w:rsidR="00054437" w:rsidRPr="000549B1" w:rsidRDefault="00000000">
            <w:pPr>
              <w:widowControl/>
              <w:jc w:val="center"/>
              <w:textAlignment w:val="center"/>
              <w:rPr>
                <w:sz w:val="20"/>
                <w:szCs w:val="20"/>
              </w:rPr>
            </w:pPr>
            <w:r w:rsidRPr="000549B1">
              <w:rPr>
                <w:kern w:val="0"/>
                <w:sz w:val="20"/>
                <w:szCs w:val="20"/>
                <w:lang w:bidi="ar"/>
              </w:rPr>
              <w:t>3.52</w:t>
            </w:r>
          </w:p>
        </w:tc>
        <w:tc>
          <w:tcPr>
            <w:tcW w:w="628" w:type="pct"/>
            <w:tcBorders>
              <w:top w:val="single" w:sz="4" w:space="0" w:color="000000"/>
              <w:left w:val="single" w:sz="4" w:space="0" w:color="000000"/>
              <w:bottom w:val="single" w:sz="4" w:space="0" w:color="000000"/>
              <w:right w:val="single" w:sz="4" w:space="0" w:color="000000"/>
            </w:tcBorders>
            <w:vAlign w:val="center"/>
          </w:tcPr>
          <w:p w14:paraId="5F30D8E6" w14:textId="77777777" w:rsidR="00054437" w:rsidRPr="000549B1" w:rsidRDefault="00000000">
            <w:pPr>
              <w:widowControl/>
              <w:jc w:val="center"/>
              <w:textAlignment w:val="center"/>
              <w:rPr>
                <w:sz w:val="20"/>
                <w:szCs w:val="20"/>
              </w:rPr>
            </w:pPr>
            <w:r w:rsidRPr="000549B1">
              <w:rPr>
                <w:kern w:val="0"/>
                <w:sz w:val="20"/>
                <w:szCs w:val="20"/>
                <w:lang w:bidi="ar"/>
              </w:rPr>
              <w:t>88.73</w:t>
            </w:r>
          </w:p>
        </w:tc>
        <w:tc>
          <w:tcPr>
            <w:tcW w:w="584" w:type="pct"/>
            <w:tcBorders>
              <w:top w:val="single" w:sz="4" w:space="0" w:color="000000"/>
              <w:left w:val="single" w:sz="4" w:space="0" w:color="000000"/>
              <w:bottom w:val="single" w:sz="4" w:space="0" w:color="000000"/>
              <w:right w:val="single" w:sz="4" w:space="0" w:color="000000"/>
            </w:tcBorders>
            <w:vAlign w:val="center"/>
          </w:tcPr>
          <w:p w14:paraId="6FFDCF63" w14:textId="77777777" w:rsidR="00054437" w:rsidRPr="000549B1" w:rsidRDefault="00000000">
            <w:pPr>
              <w:widowControl/>
              <w:jc w:val="center"/>
              <w:textAlignment w:val="center"/>
              <w:rPr>
                <w:sz w:val="20"/>
                <w:szCs w:val="20"/>
              </w:rPr>
            </w:pPr>
            <w:r w:rsidRPr="000549B1">
              <w:rPr>
                <w:kern w:val="0"/>
                <w:sz w:val="20"/>
                <w:szCs w:val="20"/>
                <w:lang w:bidi="ar"/>
              </w:rPr>
              <w:t>14.15</w:t>
            </w:r>
          </w:p>
        </w:tc>
      </w:tr>
      <w:tr w:rsidR="000549B1" w:rsidRPr="000549B1" w14:paraId="078EA1E1" w14:textId="77777777">
        <w:trPr>
          <w:trHeight w:val="270"/>
        </w:trPr>
        <w:tc>
          <w:tcPr>
            <w:tcW w:w="669" w:type="pct"/>
            <w:vMerge/>
            <w:tcBorders>
              <w:top w:val="single" w:sz="4" w:space="0" w:color="000000"/>
              <w:left w:val="single" w:sz="4" w:space="0" w:color="000000"/>
              <w:bottom w:val="single" w:sz="4" w:space="0" w:color="000000"/>
              <w:right w:val="single" w:sz="4" w:space="0" w:color="000000"/>
            </w:tcBorders>
            <w:noWrap/>
            <w:vAlign w:val="center"/>
          </w:tcPr>
          <w:p w14:paraId="53235594" w14:textId="77777777" w:rsidR="00054437" w:rsidRPr="000549B1" w:rsidRDefault="00054437">
            <w:pPr>
              <w:jc w:val="center"/>
              <w:rPr>
                <w:sz w:val="20"/>
                <w:szCs w:val="20"/>
              </w:rPr>
            </w:pPr>
          </w:p>
        </w:tc>
        <w:tc>
          <w:tcPr>
            <w:tcW w:w="1655" w:type="pct"/>
            <w:tcBorders>
              <w:top w:val="single" w:sz="4" w:space="0" w:color="000000"/>
              <w:left w:val="single" w:sz="4" w:space="0" w:color="000000"/>
              <w:bottom w:val="single" w:sz="4" w:space="0" w:color="000000"/>
              <w:right w:val="single" w:sz="4" w:space="0" w:color="000000"/>
            </w:tcBorders>
            <w:vAlign w:val="center"/>
          </w:tcPr>
          <w:p w14:paraId="0D96E29D" w14:textId="77777777" w:rsidR="00054437" w:rsidRPr="000549B1" w:rsidRDefault="00000000">
            <w:pPr>
              <w:widowControl/>
              <w:jc w:val="center"/>
              <w:textAlignment w:val="center"/>
              <w:rPr>
                <w:sz w:val="20"/>
                <w:szCs w:val="20"/>
              </w:rPr>
            </w:pPr>
            <w:r w:rsidRPr="000549B1">
              <w:rPr>
                <w:kern w:val="0"/>
                <w:sz w:val="20"/>
                <w:szCs w:val="20"/>
                <w:lang w:bidi="ar"/>
              </w:rPr>
              <w:t>兴海县小计</w:t>
            </w:r>
          </w:p>
        </w:tc>
        <w:tc>
          <w:tcPr>
            <w:tcW w:w="915" w:type="pct"/>
            <w:tcBorders>
              <w:top w:val="single" w:sz="4" w:space="0" w:color="000000"/>
              <w:left w:val="single" w:sz="4" w:space="0" w:color="000000"/>
              <w:bottom w:val="single" w:sz="4" w:space="0" w:color="000000"/>
              <w:right w:val="single" w:sz="4" w:space="0" w:color="000000"/>
            </w:tcBorders>
            <w:vAlign w:val="center"/>
          </w:tcPr>
          <w:p w14:paraId="70805E53" w14:textId="77777777" w:rsidR="00054437" w:rsidRPr="000549B1" w:rsidRDefault="00000000">
            <w:pPr>
              <w:widowControl/>
              <w:jc w:val="center"/>
              <w:textAlignment w:val="center"/>
              <w:rPr>
                <w:sz w:val="20"/>
                <w:szCs w:val="20"/>
              </w:rPr>
            </w:pPr>
            <w:r w:rsidRPr="000549B1">
              <w:rPr>
                <w:kern w:val="0"/>
                <w:sz w:val="20"/>
                <w:szCs w:val="20"/>
                <w:lang w:bidi="ar"/>
              </w:rPr>
              <w:t>627.38</w:t>
            </w:r>
          </w:p>
        </w:tc>
        <w:tc>
          <w:tcPr>
            <w:tcW w:w="546" w:type="pct"/>
            <w:tcBorders>
              <w:top w:val="single" w:sz="4" w:space="0" w:color="000000"/>
              <w:left w:val="single" w:sz="4" w:space="0" w:color="000000"/>
              <w:bottom w:val="single" w:sz="4" w:space="0" w:color="000000"/>
              <w:right w:val="single" w:sz="4" w:space="0" w:color="000000"/>
            </w:tcBorders>
            <w:vAlign w:val="center"/>
          </w:tcPr>
          <w:p w14:paraId="07AF8653" w14:textId="77777777" w:rsidR="00054437" w:rsidRPr="000549B1" w:rsidRDefault="00000000">
            <w:pPr>
              <w:widowControl/>
              <w:jc w:val="center"/>
              <w:textAlignment w:val="center"/>
              <w:rPr>
                <w:sz w:val="20"/>
                <w:szCs w:val="20"/>
              </w:rPr>
            </w:pPr>
            <w:r w:rsidRPr="000549B1">
              <w:rPr>
                <w:kern w:val="0"/>
                <w:sz w:val="20"/>
                <w:szCs w:val="20"/>
                <w:lang w:bidi="ar"/>
              </w:rPr>
              <w:t>7.69</w:t>
            </w:r>
          </w:p>
        </w:tc>
        <w:tc>
          <w:tcPr>
            <w:tcW w:w="628" w:type="pct"/>
            <w:tcBorders>
              <w:top w:val="single" w:sz="4" w:space="0" w:color="000000"/>
              <w:left w:val="single" w:sz="4" w:space="0" w:color="000000"/>
              <w:bottom w:val="single" w:sz="4" w:space="0" w:color="000000"/>
              <w:right w:val="single" w:sz="4" w:space="0" w:color="000000"/>
            </w:tcBorders>
            <w:vAlign w:val="center"/>
          </w:tcPr>
          <w:p w14:paraId="73C0CE7A" w14:textId="77777777" w:rsidR="00054437" w:rsidRPr="000549B1" w:rsidRDefault="00000000">
            <w:pPr>
              <w:widowControl/>
              <w:jc w:val="center"/>
              <w:textAlignment w:val="center"/>
              <w:rPr>
                <w:sz w:val="20"/>
                <w:szCs w:val="20"/>
              </w:rPr>
            </w:pPr>
            <w:r w:rsidRPr="000549B1">
              <w:rPr>
                <w:kern w:val="0"/>
                <w:sz w:val="20"/>
                <w:szCs w:val="20"/>
                <w:lang w:bidi="ar"/>
              </w:rPr>
              <w:t>130.19</w:t>
            </w:r>
          </w:p>
        </w:tc>
        <w:tc>
          <w:tcPr>
            <w:tcW w:w="584" w:type="pct"/>
            <w:tcBorders>
              <w:top w:val="single" w:sz="4" w:space="0" w:color="000000"/>
              <w:left w:val="single" w:sz="4" w:space="0" w:color="000000"/>
              <w:bottom w:val="single" w:sz="4" w:space="0" w:color="000000"/>
              <w:right w:val="single" w:sz="4" w:space="0" w:color="000000"/>
            </w:tcBorders>
            <w:vAlign w:val="center"/>
          </w:tcPr>
          <w:p w14:paraId="46BE2497" w14:textId="77777777" w:rsidR="00054437" w:rsidRPr="000549B1" w:rsidRDefault="00000000">
            <w:pPr>
              <w:widowControl/>
              <w:jc w:val="center"/>
              <w:textAlignment w:val="center"/>
              <w:rPr>
                <w:sz w:val="20"/>
                <w:szCs w:val="20"/>
              </w:rPr>
            </w:pPr>
            <w:r w:rsidRPr="000549B1">
              <w:rPr>
                <w:kern w:val="0"/>
                <w:sz w:val="20"/>
                <w:szCs w:val="20"/>
                <w:lang w:bidi="ar"/>
              </w:rPr>
              <w:t>20.46</w:t>
            </w:r>
          </w:p>
        </w:tc>
      </w:tr>
      <w:tr w:rsidR="000549B1" w:rsidRPr="000549B1" w14:paraId="6157BC52" w14:textId="77777777">
        <w:trPr>
          <w:trHeight w:val="300"/>
        </w:trPr>
        <w:tc>
          <w:tcPr>
            <w:tcW w:w="669" w:type="pct"/>
            <w:vMerge/>
            <w:tcBorders>
              <w:top w:val="single" w:sz="4" w:space="0" w:color="000000"/>
              <w:left w:val="single" w:sz="4" w:space="0" w:color="000000"/>
              <w:bottom w:val="single" w:sz="4" w:space="0" w:color="000000"/>
              <w:right w:val="single" w:sz="4" w:space="0" w:color="000000"/>
            </w:tcBorders>
            <w:noWrap/>
            <w:vAlign w:val="center"/>
          </w:tcPr>
          <w:p w14:paraId="05E4F33B" w14:textId="77777777" w:rsidR="00054437" w:rsidRPr="000549B1" w:rsidRDefault="00054437">
            <w:pPr>
              <w:jc w:val="center"/>
              <w:rPr>
                <w:sz w:val="20"/>
                <w:szCs w:val="20"/>
              </w:rPr>
            </w:pPr>
          </w:p>
        </w:tc>
        <w:tc>
          <w:tcPr>
            <w:tcW w:w="1655" w:type="pct"/>
            <w:tcBorders>
              <w:top w:val="single" w:sz="4" w:space="0" w:color="000000"/>
              <w:left w:val="single" w:sz="4" w:space="0" w:color="000000"/>
              <w:bottom w:val="single" w:sz="4" w:space="0" w:color="000000"/>
              <w:right w:val="single" w:sz="4" w:space="0" w:color="000000"/>
            </w:tcBorders>
            <w:vAlign w:val="center"/>
          </w:tcPr>
          <w:p w14:paraId="3B53E4A4" w14:textId="77777777" w:rsidR="00054437" w:rsidRPr="000549B1" w:rsidRDefault="00000000">
            <w:pPr>
              <w:widowControl/>
              <w:jc w:val="center"/>
              <w:textAlignment w:val="center"/>
              <w:rPr>
                <w:sz w:val="20"/>
                <w:szCs w:val="20"/>
              </w:rPr>
            </w:pPr>
            <w:r w:rsidRPr="000549B1">
              <w:rPr>
                <w:kern w:val="0"/>
                <w:sz w:val="20"/>
                <w:szCs w:val="20"/>
                <w:lang w:bidi="ar"/>
              </w:rPr>
              <w:t>其中：沙珠玉河流域</w:t>
            </w:r>
          </w:p>
        </w:tc>
        <w:tc>
          <w:tcPr>
            <w:tcW w:w="915" w:type="pct"/>
            <w:tcBorders>
              <w:top w:val="single" w:sz="4" w:space="0" w:color="000000"/>
              <w:left w:val="single" w:sz="4" w:space="0" w:color="000000"/>
              <w:bottom w:val="single" w:sz="4" w:space="0" w:color="000000"/>
              <w:right w:val="single" w:sz="4" w:space="0" w:color="000000"/>
            </w:tcBorders>
            <w:noWrap/>
            <w:vAlign w:val="center"/>
          </w:tcPr>
          <w:p w14:paraId="1C7748FD" w14:textId="77777777" w:rsidR="00054437" w:rsidRPr="000549B1" w:rsidRDefault="00000000">
            <w:pPr>
              <w:widowControl/>
              <w:jc w:val="center"/>
              <w:textAlignment w:val="center"/>
              <w:rPr>
                <w:sz w:val="22"/>
              </w:rPr>
            </w:pPr>
            <w:r w:rsidRPr="000549B1">
              <w:rPr>
                <w:kern w:val="0"/>
                <w:sz w:val="22"/>
                <w:lang w:bidi="ar"/>
              </w:rPr>
              <w:t>138.02</w:t>
            </w:r>
          </w:p>
        </w:tc>
        <w:tc>
          <w:tcPr>
            <w:tcW w:w="546" w:type="pct"/>
            <w:tcBorders>
              <w:top w:val="single" w:sz="4" w:space="0" w:color="000000"/>
              <w:left w:val="single" w:sz="4" w:space="0" w:color="000000"/>
              <w:bottom w:val="single" w:sz="4" w:space="0" w:color="000000"/>
              <w:right w:val="single" w:sz="4" w:space="0" w:color="000000"/>
            </w:tcBorders>
            <w:noWrap/>
            <w:vAlign w:val="center"/>
          </w:tcPr>
          <w:p w14:paraId="2737CA7C" w14:textId="77777777" w:rsidR="00054437" w:rsidRPr="000549B1" w:rsidRDefault="00000000">
            <w:pPr>
              <w:widowControl/>
              <w:jc w:val="center"/>
              <w:textAlignment w:val="center"/>
              <w:rPr>
                <w:sz w:val="22"/>
              </w:rPr>
            </w:pPr>
            <w:r w:rsidRPr="000549B1">
              <w:rPr>
                <w:kern w:val="0"/>
                <w:sz w:val="22"/>
                <w:lang w:bidi="ar"/>
              </w:rPr>
              <w:t>1.69</w:t>
            </w:r>
          </w:p>
        </w:tc>
        <w:tc>
          <w:tcPr>
            <w:tcW w:w="628" w:type="pct"/>
            <w:tcBorders>
              <w:top w:val="single" w:sz="4" w:space="0" w:color="000000"/>
              <w:left w:val="single" w:sz="4" w:space="0" w:color="000000"/>
              <w:bottom w:val="single" w:sz="4" w:space="0" w:color="000000"/>
              <w:right w:val="single" w:sz="4" w:space="0" w:color="000000"/>
            </w:tcBorders>
            <w:noWrap/>
            <w:vAlign w:val="center"/>
          </w:tcPr>
          <w:p w14:paraId="225FAFD8" w14:textId="77777777" w:rsidR="00054437" w:rsidRPr="000549B1" w:rsidRDefault="00000000">
            <w:pPr>
              <w:widowControl/>
              <w:jc w:val="center"/>
              <w:textAlignment w:val="center"/>
              <w:rPr>
                <w:sz w:val="22"/>
              </w:rPr>
            </w:pPr>
            <w:r w:rsidRPr="000549B1">
              <w:rPr>
                <w:kern w:val="0"/>
                <w:sz w:val="22"/>
                <w:lang w:bidi="ar"/>
              </w:rPr>
              <w:t>28.64</w:t>
            </w:r>
          </w:p>
        </w:tc>
        <w:tc>
          <w:tcPr>
            <w:tcW w:w="584" w:type="pct"/>
            <w:tcBorders>
              <w:top w:val="single" w:sz="4" w:space="0" w:color="000000"/>
              <w:left w:val="single" w:sz="4" w:space="0" w:color="000000"/>
              <w:bottom w:val="single" w:sz="4" w:space="0" w:color="000000"/>
              <w:right w:val="single" w:sz="4" w:space="0" w:color="000000"/>
            </w:tcBorders>
            <w:noWrap/>
            <w:vAlign w:val="center"/>
          </w:tcPr>
          <w:p w14:paraId="4BE9BF2B" w14:textId="77777777" w:rsidR="00054437" w:rsidRPr="000549B1" w:rsidRDefault="00000000">
            <w:pPr>
              <w:widowControl/>
              <w:jc w:val="center"/>
              <w:textAlignment w:val="center"/>
              <w:rPr>
                <w:sz w:val="22"/>
              </w:rPr>
            </w:pPr>
            <w:r w:rsidRPr="000549B1">
              <w:rPr>
                <w:kern w:val="0"/>
                <w:sz w:val="22"/>
                <w:lang w:bidi="ar"/>
              </w:rPr>
              <w:t>4.50</w:t>
            </w:r>
          </w:p>
        </w:tc>
      </w:tr>
      <w:tr w:rsidR="000549B1" w:rsidRPr="000549B1" w14:paraId="2E1A6061" w14:textId="77777777">
        <w:trPr>
          <w:trHeight w:val="300"/>
        </w:trPr>
        <w:tc>
          <w:tcPr>
            <w:tcW w:w="669" w:type="pct"/>
            <w:vMerge w:val="restart"/>
            <w:tcBorders>
              <w:top w:val="single" w:sz="4" w:space="0" w:color="000000"/>
              <w:left w:val="single" w:sz="4" w:space="0" w:color="000000"/>
              <w:bottom w:val="single" w:sz="4" w:space="0" w:color="000000"/>
              <w:right w:val="single" w:sz="4" w:space="0" w:color="000000"/>
            </w:tcBorders>
            <w:noWrap/>
            <w:vAlign w:val="center"/>
          </w:tcPr>
          <w:p w14:paraId="7DE07E9C" w14:textId="77777777" w:rsidR="00054437" w:rsidRPr="000549B1" w:rsidRDefault="00000000">
            <w:pPr>
              <w:widowControl/>
              <w:jc w:val="center"/>
              <w:textAlignment w:val="center"/>
              <w:rPr>
                <w:sz w:val="20"/>
                <w:szCs w:val="20"/>
              </w:rPr>
            </w:pPr>
            <w:r w:rsidRPr="000549B1">
              <w:rPr>
                <w:kern w:val="0"/>
                <w:sz w:val="20"/>
                <w:szCs w:val="20"/>
                <w:lang w:bidi="ar"/>
              </w:rPr>
              <w:t>合计</w:t>
            </w:r>
          </w:p>
        </w:tc>
        <w:tc>
          <w:tcPr>
            <w:tcW w:w="1655" w:type="pct"/>
            <w:tcBorders>
              <w:top w:val="single" w:sz="4" w:space="0" w:color="000000"/>
              <w:left w:val="single" w:sz="4" w:space="0" w:color="000000"/>
              <w:bottom w:val="single" w:sz="4" w:space="0" w:color="000000"/>
              <w:right w:val="single" w:sz="4" w:space="0" w:color="000000"/>
            </w:tcBorders>
            <w:vAlign w:val="center"/>
          </w:tcPr>
          <w:p w14:paraId="28662B4C" w14:textId="77777777" w:rsidR="00054437" w:rsidRPr="000549B1" w:rsidRDefault="00000000">
            <w:pPr>
              <w:widowControl/>
              <w:jc w:val="center"/>
              <w:textAlignment w:val="center"/>
              <w:rPr>
                <w:sz w:val="20"/>
                <w:szCs w:val="20"/>
              </w:rPr>
            </w:pPr>
            <w:r w:rsidRPr="000549B1">
              <w:rPr>
                <w:kern w:val="0"/>
                <w:sz w:val="20"/>
                <w:szCs w:val="20"/>
                <w:lang w:bidi="ar"/>
              </w:rPr>
              <w:t>农村生活面源</w:t>
            </w:r>
          </w:p>
        </w:tc>
        <w:tc>
          <w:tcPr>
            <w:tcW w:w="915" w:type="pct"/>
            <w:tcBorders>
              <w:top w:val="single" w:sz="4" w:space="0" w:color="000000"/>
              <w:left w:val="single" w:sz="4" w:space="0" w:color="000000"/>
              <w:bottom w:val="single" w:sz="4" w:space="0" w:color="000000"/>
              <w:right w:val="single" w:sz="4" w:space="0" w:color="000000"/>
            </w:tcBorders>
            <w:vAlign w:val="center"/>
          </w:tcPr>
          <w:p w14:paraId="7297C990" w14:textId="77777777" w:rsidR="00054437" w:rsidRPr="000549B1" w:rsidRDefault="00000000">
            <w:pPr>
              <w:widowControl/>
              <w:jc w:val="center"/>
              <w:textAlignment w:val="center"/>
              <w:rPr>
                <w:sz w:val="20"/>
                <w:szCs w:val="20"/>
              </w:rPr>
            </w:pPr>
            <w:r w:rsidRPr="000549B1">
              <w:rPr>
                <w:kern w:val="0"/>
                <w:sz w:val="20"/>
                <w:szCs w:val="20"/>
                <w:lang w:bidi="ar"/>
              </w:rPr>
              <w:t>3.29</w:t>
            </w:r>
          </w:p>
        </w:tc>
        <w:tc>
          <w:tcPr>
            <w:tcW w:w="546" w:type="pct"/>
            <w:tcBorders>
              <w:top w:val="single" w:sz="4" w:space="0" w:color="000000"/>
              <w:left w:val="single" w:sz="4" w:space="0" w:color="000000"/>
              <w:bottom w:val="single" w:sz="4" w:space="0" w:color="000000"/>
              <w:right w:val="single" w:sz="4" w:space="0" w:color="000000"/>
            </w:tcBorders>
            <w:vAlign w:val="center"/>
          </w:tcPr>
          <w:p w14:paraId="441C9A0A" w14:textId="77777777" w:rsidR="00054437" w:rsidRPr="000549B1" w:rsidRDefault="00000000">
            <w:pPr>
              <w:widowControl/>
              <w:jc w:val="center"/>
              <w:textAlignment w:val="center"/>
              <w:rPr>
                <w:sz w:val="20"/>
                <w:szCs w:val="20"/>
              </w:rPr>
            </w:pPr>
            <w:r w:rsidRPr="000549B1">
              <w:rPr>
                <w:kern w:val="0"/>
                <w:sz w:val="20"/>
                <w:szCs w:val="20"/>
                <w:lang w:bidi="ar"/>
              </w:rPr>
              <w:t>0.17</w:t>
            </w:r>
          </w:p>
        </w:tc>
        <w:tc>
          <w:tcPr>
            <w:tcW w:w="628" w:type="pct"/>
            <w:tcBorders>
              <w:top w:val="single" w:sz="4" w:space="0" w:color="000000"/>
              <w:left w:val="single" w:sz="4" w:space="0" w:color="000000"/>
              <w:bottom w:val="single" w:sz="4" w:space="0" w:color="000000"/>
              <w:right w:val="single" w:sz="4" w:space="0" w:color="000000"/>
            </w:tcBorders>
            <w:vAlign w:val="center"/>
          </w:tcPr>
          <w:p w14:paraId="184E4DDF" w14:textId="77777777" w:rsidR="00054437" w:rsidRPr="000549B1" w:rsidRDefault="00000000">
            <w:pPr>
              <w:widowControl/>
              <w:jc w:val="center"/>
              <w:textAlignment w:val="center"/>
              <w:rPr>
                <w:sz w:val="20"/>
                <w:szCs w:val="20"/>
              </w:rPr>
            </w:pPr>
            <w:r w:rsidRPr="000549B1">
              <w:rPr>
                <w:kern w:val="0"/>
                <w:sz w:val="20"/>
                <w:szCs w:val="20"/>
                <w:lang w:bidi="ar"/>
              </w:rPr>
              <w:t>1.1</w:t>
            </w:r>
          </w:p>
        </w:tc>
        <w:tc>
          <w:tcPr>
            <w:tcW w:w="584" w:type="pct"/>
            <w:tcBorders>
              <w:top w:val="single" w:sz="4" w:space="0" w:color="000000"/>
              <w:left w:val="single" w:sz="4" w:space="0" w:color="000000"/>
              <w:bottom w:val="single" w:sz="4" w:space="0" w:color="000000"/>
              <w:right w:val="single" w:sz="4" w:space="0" w:color="000000"/>
            </w:tcBorders>
            <w:vAlign w:val="center"/>
          </w:tcPr>
          <w:p w14:paraId="0F0E2E7E" w14:textId="77777777" w:rsidR="00054437" w:rsidRPr="000549B1" w:rsidRDefault="00000000">
            <w:pPr>
              <w:widowControl/>
              <w:jc w:val="center"/>
              <w:textAlignment w:val="center"/>
              <w:rPr>
                <w:sz w:val="20"/>
                <w:szCs w:val="20"/>
              </w:rPr>
            </w:pPr>
            <w:r w:rsidRPr="000549B1">
              <w:rPr>
                <w:kern w:val="0"/>
                <w:sz w:val="20"/>
                <w:szCs w:val="20"/>
                <w:lang w:bidi="ar"/>
              </w:rPr>
              <w:t>0.07</w:t>
            </w:r>
          </w:p>
        </w:tc>
      </w:tr>
      <w:tr w:rsidR="000549B1" w:rsidRPr="000549B1" w14:paraId="3CDBFFDD" w14:textId="77777777">
        <w:trPr>
          <w:trHeight w:val="300"/>
        </w:trPr>
        <w:tc>
          <w:tcPr>
            <w:tcW w:w="669" w:type="pct"/>
            <w:vMerge/>
            <w:tcBorders>
              <w:top w:val="single" w:sz="4" w:space="0" w:color="000000"/>
              <w:left w:val="single" w:sz="4" w:space="0" w:color="000000"/>
              <w:bottom w:val="single" w:sz="4" w:space="0" w:color="000000"/>
              <w:right w:val="single" w:sz="4" w:space="0" w:color="000000"/>
            </w:tcBorders>
            <w:noWrap/>
            <w:vAlign w:val="center"/>
          </w:tcPr>
          <w:p w14:paraId="44F04374" w14:textId="77777777" w:rsidR="00054437" w:rsidRPr="000549B1" w:rsidRDefault="00054437">
            <w:pPr>
              <w:jc w:val="center"/>
              <w:rPr>
                <w:sz w:val="20"/>
                <w:szCs w:val="20"/>
              </w:rPr>
            </w:pPr>
          </w:p>
        </w:tc>
        <w:tc>
          <w:tcPr>
            <w:tcW w:w="1655" w:type="pct"/>
            <w:tcBorders>
              <w:top w:val="single" w:sz="4" w:space="0" w:color="000000"/>
              <w:left w:val="single" w:sz="4" w:space="0" w:color="000000"/>
              <w:bottom w:val="single" w:sz="4" w:space="0" w:color="000000"/>
              <w:right w:val="single" w:sz="4" w:space="0" w:color="000000"/>
            </w:tcBorders>
            <w:vAlign w:val="center"/>
          </w:tcPr>
          <w:p w14:paraId="5058874A" w14:textId="77777777" w:rsidR="00054437" w:rsidRPr="000549B1" w:rsidRDefault="00000000">
            <w:pPr>
              <w:widowControl/>
              <w:jc w:val="center"/>
              <w:textAlignment w:val="center"/>
              <w:rPr>
                <w:sz w:val="20"/>
                <w:szCs w:val="20"/>
              </w:rPr>
            </w:pPr>
            <w:r w:rsidRPr="000549B1">
              <w:rPr>
                <w:kern w:val="0"/>
                <w:sz w:val="20"/>
                <w:szCs w:val="20"/>
                <w:lang w:bidi="ar"/>
              </w:rPr>
              <w:t>农业面源</w:t>
            </w:r>
          </w:p>
        </w:tc>
        <w:tc>
          <w:tcPr>
            <w:tcW w:w="915" w:type="pct"/>
            <w:tcBorders>
              <w:top w:val="single" w:sz="4" w:space="0" w:color="000000"/>
              <w:left w:val="single" w:sz="4" w:space="0" w:color="000000"/>
              <w:bottom w:val="single" w:sz="4" w:space="0" w:color="000000"/>
              <w:right w:val="single" w:sz="4" w:space="0" w:color="000000"/>
            </w:tcBorders>
            <w:vAlign w:val="center"/>
          </w:tcPr>
          <w:p w14:paraId="6F4B0D07" w14:textId="77777777" w:rsidR="00054437" w:rsidRPr="000549B1" w:rsidRDefault="00000000">
            <w:pPr>
              <w:widowControl/>
              <w:jc w:val="center"/>
              <w:textAlignment w:val="center"/>
              <w:rPr>
                <w:sz w:val="20"/>
                <w:szCs w:val="20"/>
              </w:rPr>
            </w:pPr>
            <w:r w:rsidRPr="000549B1">
              <w:rPr>
                <w:kern w:val="0"/>
                <w:sz w:val="20"/>
                <w:szCs w:val="20"/>
                <w:lang w:bidi="ar"/>
              </w:rPr>
              <w:t>34.54</w:t>
            </w:r>
          </w:p>
        </w:tc>
        <w:tc>
          <w:tcPr>
            <w:tcW w:w="546" w:type="pct"/>
            <w:tcBorders>
              <w:top w:val="single" w:sz="4" w:space="0" w:color="000000"/>
              <w:left w:val="single" w:sz="4" w:space="0" w:color="000000"/>
              <w:bottom w:val="single" w:sz="4" w:space="0" w:color="000000"/>
              <w:right w:val="single" w:sz="4" w:space="0" w:color="000000"/>
            </w:tcBorders>
            <w:vAlign w:val="center"/>
          </w:tcPr>
          <w:p w14:paraId="2D3FBC02" w14:textId="77777777" w:rsidR="00054437" w:rsidRPr="000549B1" w:rsidRDefault="00000000">
            <w:pPr>
              <w:widowControl/>
              <w:jc w:val="center"/>
              <w:textAlignment w:val="center"/>
              <w:rPr>
                <w:sz w:val="20"/>
                <w:szCs w:val="20"/>
              </w:rPr>
            </w:pPr>
            <w:r w:rsidRPr="000549B1">
              <w:rPr>
                <w:kern w:val="0"/>
                <w:sz w:val="20"/>
                <w:szCs w:val="20"/>
                <w:lang w:bidi="ar"/>
              </w:rPr>
              <w:t>8.64</w:t>
            </w:r>
          </w:p>
        </w:tc>
        <w:tc>
          <w:tcPr>
            <w:tcW w:w="628" w:type="pct"/>
            <w:tcBorders>
              <w:top w:val="single" w:sz="4" w:space="0" w:color="000000"/>
              <w:left w:val="single" w:sz="4" w:space="0" w:color="000000"/>
              <w:bottom w:val="single" w:sz="4" w:space="0" w:color="000000"/>
              <w:right w:val="single" w:sz="4" w:space="0" w:color="000000"/>
            </w:tcBorders>
            <w:vAlign w:val="center"/>
          </w:tcPr>
          <w:p w14:paraId="011C52F3" w14:textId="77777777" w:rsidR="00054437" w:rsidRPr="000549B1" w:rsidRDefault="00000000">
            <w:pPr>
              <w:widowControl/>
              <w:jc w:val="center"/>
              <w:textAlignment w:val="center"/>
              <w:rPr>
                <w:sz w:val="20"/>
                <w:szCs w:val="20"/>
              </w:rPr>
            </w:pPr>
            <w:r w:rsidRPr="000549B1">
              <w:rPr>
                <w:kern w:val="0"/>
                <w:sz w:val="20"/>
                <w:szCs w:val="20"/>
                <w:lang w:bidi="ar"/>
              </w:rPr>
              <w:t>86.36</w:t>
            </w:r>
          </w:p>
        </w:tc>
        <w:tc>
          <w:tcPr>
            <w:tcW w:w="584" w:type="pct"/>
            <w:tcBorders>
              <w:top w:val="single" w:sz="4" w:space="0" w:color="000000"/>
              <w:left w:val="single" w:sz="4" w:space="0" w:color="000000"/>
              <w:bottom w:val="single" w:sz="4" w:space="0" w:color="000000"/>
              <w:right w:val="single" w:sz="4" w:space="0" w:color="000000"/>
            </w:tcBorders>
            <w:vAlign w:val="center"/>
          </w:tcPr>
          <w:p w14:paraId="36A6ECED" w14:textId="77777777" w:rsidR="00054437" w:rsidRPr="000549B1" w:rsidRDefault="00000000">
            <w:pPr>
              <w:widowControl/>
              <w:jc w:val="center"/>
              <w:textAlignment w:val="center"/>
              <w:rPr>
                <w:sz w:val="20"/>
                <w:szCs w:val="20"/>
              </w:rPr>
            </w:pPr>
            <w:r w:rsidRPr="000549B1">
              <w:rPr>
                <w:kern w:val="0"/>
                <w:sz w:val="20"/>
                <w:szCs w:val="20"/>
                <w:lang w:bidi="ar"/>
              </w:rPr>
              <w:t>20.43</w:t>
            </w:r>
          </w:p>
        </w:tc>
      </w:tr>
      <w:tr w:rsidR="000549B1" w:rsidRPr="000549B1" w14:paraId="321724A3" w14:textId="77777777">
        <w:trPr>
          <w:trHeight w:val="300"/>
        </w:trPr>
        <w:tc>
          <w:tcPr>
            <w:tcW w:w="669" w:type="pct"/>
            <w:vMerge/>
            <w:tcBorders>
              <w:top w:val="single" w:sz="4" w:space="0" w:color="000000"/>
              <w:left w:val="single" w:sz="4" w:space="0" w:color="000000"/>
              <w:bottom w:val="single" w:sz="4" w:space="0" w:color="000000"/>
              <w:right w:val="single" w:sz="4" w:space="0" w:color="000000"/>
            </w:tcBorders>
            <w:noWrap/>
            <w:vAlign w:val="center"/>
          </w:tcPr>
          <w:p w14:paraId="5EF39654" w14:textId="77777777" w:rsidR="00054437" w:rsidRPr="000549B1" w:rsidRDefault="00054437">
            <w:pPr>
              <w:jc w:val="center"/>
              <w:rPr>
                <w:sz w:val="20"/>
                <w:szCs w:val="20"/>
              </w:rPr>
            </w:pPr>
          </w:p>
        </w:tc>
        <w:tc>
          <w:tcPr>
            <w:tcW w:w="1655" w:type="pct"/>
            <w:tcBorders>
              <w:top w:val="single" w:sz="4" w:space="0" w:color="000000"/>
              <w:left w:val="single" w:sz="4" w:space="0" w:color="000000"/>
              <w:bottom w:val="single" w:sz="4" w:space="0" w:color="000000"/>
              <w:right w:val="single" w:sz="4" w:space="0" w:color="000000"/>
            </w:tcBorders>
            <w:vAlign w:val="center"/>
          </w:tcPr>
          <w:p w14:paraId="41DAF493" w14:textId="77777777" w:rsidR="00054437" w:rsidRPr="000549B1" w:rsidRDefault="00000000">
            <w:pPr>
              <w:widowControl/>
              <w:jc w:val="center"/>
              <w:textAlignment w:val="center"/>
              <w:rPr>
                <w:sz w:val="20"/>
                <w:szCs w:val="20"/>
              </w:rPr>
            </w:pPr>
            <w:r w:rsidRPr="000549B1">
              <w:rPr>
                <w:kern w:val="0"/>
                <w:sz w:val="20"/>
                <w:szCs w:val="20"/>
                <w:lang w:bidi="ar"/>
              </w:rPr>
              <w:t>畜禽养殖面源</w:t>
            </w:r>
          </w:p>
        </w:tc>
        <w:tc>
          <w:tcPr>
            <w:tcW w:w="915" w:type="pct"/>
            <w:tcBorders>
              <w:top w:val="single" w:sz="4" w:space="0" w:color="000000"/>
              <w:left w:val="single" w:sz="4" w:space="0" w:color="000000"/>
              <w:bottom w:val="single" w:sz="4" w:space="0" w:color="000000"/>
              <w:right w:val="single" w:sz="4" w:space="0" w:color="000000"/>
            </w:tcBorders>
            <w:vAlign w:val="center"/>
          </w:tcPr>
          <w:p w14:paraId="07E58000" w14:textId="77777777" w:rsidR="00054437" w:rsidRPr="000549B1" w:rsidRDefault="00000000">
            <w:pPr>
              <w:widowControl/>
              <w:jc w:val="center"/>
              <w:textAlignment w:val="center"/>
              <w:rPr>
                <w:sz w:val="20"/>
                <w:szCs w:val="20"/>
              </w:rPr>
            </w:pPr>
            <w:r w:rsidRPr="000549B1">
              <w:rPr>
                <w:kern w:val="0"/>
                <w:sz w:val="20"/>
                <w:szCs w:val="20"/>
                <w:lang w:bidi="ar"/>
              </w:rPr>
              <w:t>1146.67</w:t>
            </w:r>
          </w:p>
        </w:tc>
        <w:tc>
          <w:tcPr>
            <w:tcW w:w="546" w:type="pct"/>
            <w:tcBorders>
              <w:top w:val="single" w:sz="4" w:space="0" w:color="000000"/>
              <w:left w:val="single" w:sz="4" w:space="0" w:color="000000"/>
              <w:bottom w:val="single" w:sz="4" w:space="0" w:color="000000"/>
              <w:right w:val="single" w:sz="4" w:space="0" w:color="000000"/>
            </w:tcBorders>
            <w:vAlign w:val="center"/>
          </w:tcPr>
          <w:p w14:paraId="0A6C3640" w14:textId="77777777" w:rsidR="00054437" w:rsidRPr="000549B1" w:rsidRDefault="00000000">
            <w:pPr>
              <w:widowControl/>
              <w:jc w:val="center"/>
              <w:textAlignment w:val="center"/>
              <w:rPr>
                <w:sz w:val="20"/>
                <w:szCs w:val="20"/>
              </w:rPr>
            </w:pPr>
            <w:r w:rsidRPr="000549B1">
              <w:rPr>
                <w:kern w:val="0"/>
                <w:sz w:val="20"/>
                <w:szCs w:val="20"/>
                <w:lang w:bidi="ar"/>
              </w:rPr>
              <w:t>6.54</w:t>
            </w:r>
          </w:p>
        </w:tc>
        <w:tc>
          <w:tcPr>
            <w:tcW w:w="628" w:type="pct"/>
            <w:tcBorders>
              <w:top w:val="single" w:sz="4" w:space="0" w:color="000000"/>
              <w:left w:val="single" w:sz="4" w:space="0" w:color="000000"/>
              <w:bottom w:val="single" w:sz="4" w:space="0" w:color="000000"/>
              <w:right w:val="single" w:sz="4" w:space="0" w:color="000000"/>
            </w:tcBorders>
            <w:vAlign w:val="center"/>
          </w:tcPr>
          <w:p w14:paraId="7469FC34" w14:textId="77777777" w:rsidR="00054437" w:rsidRPr="000549B1" w:rsidRDefault="00000000">
            <w:pPr>
              <w:widowControl/>
              <w:jc w:val="center"/>
              <w:textAlignment w:val="center"/>
              <w:rPr>
                <w:sz w:val="20"/>
                <w:szCs w:val="20"/>
              </w:rPr>
            </w:pPr>
            <w:r w:rsidRPr="000549B1">
              <w:rPr>
                <w:kern w:val="0"/>
                <w:sz w:val="20"/>
                <w:szCs w:val="20"/>
                <w:lang w:bidi="ar"/>
              </w:rPr>
              <w:t>166.64</w:t>
            </w:r>
          </w:p>
        </w:tc>
        <w:tc>
          <w:tcPr>
            <w:tcW w:w="584" w:type="pct"/>
            <w:tcBorders>
              <w:top w:val="single" w:sz="4" w:space="0" w:color="000000"/>
              <w:left w:val="single" w:sz="4" w:space="0" w:color="000000"/>
              <w:bottom w:val="single" w:sz="4" w:space="0" w:color="000000"/>
              <w:right w:val="single" w:sz="4" w:space="0" w:color="000000"/>
            </w:tcBorders>
            <w:vAlign w:val="center"/>
          </w:tcPr>
          <w:p w14:paraId="20FD579F" w14:textId="77777777" w:rsidR="00054437" w:rsidRPr="000549B1" w:rsidRDefault="00000000">
            <w:pPr>
              <w:widowControl/>
              <w:jc w:val="center"/>
              <w:textAlignment w:val="center"/>
              <w:rPr>
                <w:sz w:val="20"/>
                <w:szCs w:val="20"/>
              </w:rPr>
            </w:pPr>
            <w:r w:rsidRPr="000549B1">
              <w:rPr>
                <w:kern w:val="0"/>
                <w:sz w:val="20"/>
                <w:szCs w:val="20"/>
                <w:lang w:bidi="ar"/>
              </w:rPr>
              <w:t>35.3</w:t>
            </w:r>
          </w:p>
        </w:tc>
      </w:tr>
      <w:tr w:rsidR="000549B1" w:rsidRPr="000549B1" w14:paraId="5EDC6CF3" w14:textId="77777777">
        <w:trPr>
          <w:trHeight w:val="270"/>
        </w:trPr>
        <w:tc>
          <w:tcPr>
            <w:tcW w:w="669" w:type="pct"/>
            <w:vMerge/>
            <w:tcBorders>
              <w:top w:val="single" w:sz="4" w:space="0" w:color="000000"/>
              <w:left w:val="single" w:sz="4" w:space="0" w:color="000000"/>
              <w:bottom w:val="single" w:sz="4" w:space="0" w:color="000000"/>
              <w:right w:val="single" w:sz="4" w:space="0" w:color="000000"/>
            </w:tcBorders>
            <w:noWrap/>
            <w:vAlign w:val="center"/>
          </w:tcPr>
          <w:p w14:paraId="3CE54BB2" w14:textId="77777777" w:rsidR="00054437" w:rsidRPr="000549B1" w:rsidRDefault="00054437">
            <w:pPr>
              <w:jc w:val="center"/>
              <w:rPr>
                <w:sz w:val="20"/>
                <w:szCs w:val="20"/>
              </w:rPr>
            </w:pPr>
          </w:p>
        </w:tc>
        <w:tc>
          <w:tcPr>
            <w:tcW w:w="1655" w:type="pct"/>
            <w:tcBorders>
              <w:top w:val="single" w:sz="4" w:space="0" w:color="000000"/>
              <w:left w:val="single" w:sz="4" w:space="0" w:color="000000"/>
              <w:bottom w:val="single" w:sz="4" w:space="0" w:color="000000"/>
              <w:right w:val="single" w:sz="4" w:space="0" w:color="000000"/>
            </w:tcBorders>
            <w:vAlign w:val="center"/>
          </w:tcPr>
          <w:p w14:paraId="4395B445" w14:textId="77777777" w:rsidR="00054437" w:rsidRPr="000549B1" w:rsidRDefault="00000000">
            <w:pPr>
              <w:widowControl/>
              <w:jc w:val="center"/>
              <w:textAlignment w:val="center"/>
              <w:rPr>
                <w:sz w:val="20"/>
                <w:szCs w:val="20"/>
              </w:rPr>
            </w:pPr>
            <w:r w:rsidRPr="000549B1">
              <w:rPr>
                <w:kern w:val="0"/>
                <w:sz w:val="20"/>
                <w:szCs w:val="20"/>
                <w:lang w:bidi="ar"/>
              </w:rPr>
              <w:t>合计</w:t>
            </w:r>
          </w:p>
        </w:tc>
        <w:tc>
          <w:tcPr>
            <w:tcW w:w="915" w:type="pct"/>
            <w:tcBorders>
              <w:top w:val="single" w:sz="4" w:space="0" w:color="000000"/>
              <w:left w:val="single" w:sz="4" w:space="0" w:color="000000"/>
              <w:bottom w:val="single" w:sz="4" w:space="0" w:color="000000"/>
              <w:right w:val="single" w:sz="4" w:space="0" w:color="000000"/>
            </w:tcBorders>
            <w:vAlign w:val="center"/>
          </w:tcPr>
          <w:p w14:paraId="61319547" w14:textId="77777777" w:rsidR="00054437" w:rsidRPr="000549B1" w:rsidRDefault="00000000">
            <w:pPr>
              <w:widowControl/>
              <w:jc w:val="center"/>
              <w:textAlignment w:val="center"/>
              <w:rPr>
                <w:sz w:val="20"/>
                <w:szCs w:val="20"/>
              </w:rPr>
            </w:pPr>
            <w:r w:rsidRPr="000549B1">
              <w:rPr>
                <w:kern w:val="0"/>
                <w:sz w:val="20"/>
                <w:szCs w:val="20"/>
                <w:lang w:bidi="ar"/>
              </w:rPr>
              <w:t>1184.5</w:t>
            </w:r>
          </w:p>
        </w:tc>
        <w:tc>
          <w:tcPr>
            <w:tcW w:w="546" w:type="pct"/>
            <w:tcBorders>
              <w:top w:val="single" w:sz="4" w:space="0" w:color="000000"/>
              <w:left w:val="single" w:sz="4" w:space="0" w:color="000000"/>
              <w:bottom w:val="single" w:sz="4" w:space="0" w:color="000000"/>
              <w:right w:val="single" w:sz="4" w:space="0" w:color="000000"/>
            </w:tcBorders>
            <w:vAlign w:val="center"/>
          </w:tcPr>
          <w:p w14:paraId="4638B94E" w14:textId="77777777" w:rsidR="00054437" w:rsidRPr="000549B1" w:rsidRDefault="00000000">
            <w:pPr>
              <w:widowControl/>
              <w:jc w:val="center"/>
              <w:textAlignment w:val="center"/>
              <w:rPr>
                <w:sz w:val="20"/>
                <w:szCs w:val="20"/>
              </w:rPr>
            </w:pPr>
            <w:r w:rsidRPr="000549B1">
              <w:rPr>
                <w:kern w:val="0"/>
                <w:sz w:val="20"/>
                <w:szCs w:val="20"/>
                <w:lang w:bidi="ar"/>
              </w:rPr>
              <w:t>15.34</w:t>
            </w:r>
          </w:p>
        </w:tc>
        <w:tc>
          <w:tcPr>
            <w:tcW w:w="628" w:type="pct"/>
            <w:tcBorders>
              <w:top w:val="single" w:sz="4" w:space="0" w:color="000000"/>
              <w:left w:val="single" w:sz="4" w:space="0" w:color="000000"/>
              <w:bottom w:val="single" w:sz="4" w:space="0" w:color="000000"/>
              <w:right w:val="single" w:sz="4" w:space="0" w:color="000000"/>
            </w:tcBorders>
            <w:vAlign w:val="center"/>
          </w:tcPr>
          <w:p w14:paraId="0929D07D" w14:textId="77777777" w:rsidR="00054437" w:rsidRPr="000549B1" w:rsidRDefault="00000000">
            <w:pPr>
              <w:widowControl/>
              <w:jc w:val="center"/>
              <w:textAlignment w:val="center"/>
              <w:rPr>
                <w:sz w:val="20"/>
                <w:szCs w:val="20"/>
              </w:rPr>
            </w:pPr>
            <w:r w:rsidRPr="000549B1">
              <w:rPr>
                <w:kern w:val="0"/>
                <w:sz w:val="20"/>
                <w:szCs w:val="20"/>
                <w:lang w:bidi="ar"/>
              </w:rPr>
              <w:t>254.1</w:t>
            </w:r>
          </w:p>
        </w:tc>
        <w:tc>
          <w:tcPr>
            <w:tcW w:w="584" w:type="pct"/>
            <w:tcBorders>
              <w:top w:val="single" w:sz="4" w:space="0" w:color="000000"/>
              <w:left w:val="single" w:sz="4" w:space="0" w:color="000000"/>
              <w:bottom w:val="single" w:sz="4" w:space="0" w:color="000000"/>
              <w:right w:val="single" w:sz="4" w:space="0" w:color="000000"/>
            </w:tcBorders>
            <w:vAlign w:val="center"/>
          </w:tcPr>
          <w:p w14:paraId="242FF526" w14:textId="77777777" w:rsidR="00054437" w:rsidRPr="000549B1" w:rsidRDefault="00000000">
            <w:pPr>
              <w:widowControl/>
              <w:jc w:val="center"/>
              <w:textAlignment w:val="center"/>
              <w:rPr>
                <w:sz w:val="20"/>
                <w:szCs w:val="20"/>
              </w:rPr>
            </w:pPr>
            <w:r w:rsidRPr="000549B1">
              <w:rPr>
                <w:kern w:val="0"/>
                <w:sz w:val="20"/>
                <w:szCs w:val="20"/>
                <w:lang w:bidi="ar"/>
              </w:rPr>
              <w:t>55.79</w:t>
            </w:r>
          </w:p>
        </w:tc>
      </w:tr>
      <w:tr w:rsidR="000549B1" w:rsidRPr="000549B1" w14:paraId="6A07E778" w14:textId="77777777">
        <w:trPr>
          <w:trHeight w:val="300"/>
        </w:trPr>
        <w:tc>
          <w:tcPr>
            <w:tcW w:w="669" w:type="pct"/>
            <w:vMerge/>
            <w:tcBorders>
              <w:top w:val="single" w:sz="4" w:space="0" w:color="000000"/>
              <w:left w:val="single" w:sz="4" w:space="0" w:color="000000"/>
              <w:bottom w:val="single" w:sz="4" w:space="0" w:color="000000"/>
              <w:right w:val="single" w:sz="4" w:space="0" w:color="000000"/>
            </w:tcBorders>
            <w:noWrap/>
            <w:vAlign w:val="center"/>
          </w:tcPr>
          <w:p w14:paraId="494C7E51" w14:textId="77777777" w:rsidR="00054437" w:rsidRPr="000549B1" w:rsidRDefault="00054437">
            <w:pPr>
              <w:jc w:val="center"/>
              <w:rPr>
                <w:sz w:val="20"/>
                <w:szCs w:val="20"/>
              </w:rPr>
            </w:pPr>
          </w:p>
        </w:tc>
        <w:tc>
          <w:tcPr>
            <w:tcW w:w="1655" w:type="pct"/>
            <w:tcBorders>
              <w:top w:val="single" w:sz="4" w:space="0" w:color="000000"/>
              <w:left w:val="single" w:sz="4" w:space="0" w:color="000000"/>
              <w:bottom w:val="single" w:sz="4" w:space="0" w:color="000000"/>
              <w:right w:val="single" w:sz="4" w:space="0" w:color="000000"/>
            </w:tcBorders>
            <w:vAlign w:val="center"/>
          </w:tcPr>
          <w:p w14:paraId="1696D3AD" w14:textId="77777777" w:rsidR="00054437" w:rsidRPr="000549B1" w:rsidRDefault="00000000">
            <w:pPr>
              <w:widowControl/>
              <w:jc w:val="center"/>
              <w:textAlignment w:val="center"/>
              <w:rPr>
                <w:sz w:val="20"/>
                <w:szCs w:val="20"/>
              </w:rPr>
            </w:pPr>
            <w:r w:rsidRPr="000549B1">
              <w:rPr>
                <w:kern w:val="0"/>
                <w:sz w:val="20"/>
                <w:szCs w:val="20"/>
                <w:lang w:bidi="ar"/>
              </w:rPr>
              <w:t>其中：沙珠玉河流域</w:t>
            </w:r>
          </w:p>
        </w:tc>
        <w:tc>
          <w:tcPr>
            <w:tcW w:w="915" w:type="pct"/>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33435D0E" w14:textId="77777777" w:rsidR="00054437" w:rsidRPr="000549B1" w:rsidRDefault="00000000">
            <w:pPr>
              <w:widowControl/>
              <w:jc w:val="center"/>
              <w:textAlignment w:val="center"/>
              <w:rPr>
                <w:sz w:val="22"/>
              </w:rPr>
            </w:pPr>
            <w:r w:rsidRPr="000549B1">
              <w:rPr>
                <w:kern w:val="0"/>
                <w:sz w:val="22"/>
                <w:lang w:bidi="ar"/>
              </w:rPr>
              <w:t>333.02</w:t>
            </w:r>
          </w:p>
        </w:tc>
        <w:tc>
          <w:tcPr>
            <w:tcW w:w="546" w:type="pct"/>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3A55A752" w14:textId="77777777" w:rsidR="00054437" w:rsidRPr="000549B1" w:rsidRDefault="00000000">
            <w:pPr>
              <w:widowControl/>
              <w:jc w:val="center"/>
              <w:textAlignment w:val="center"/>
              <w:rPr>
                <w:sz w:val="22"/>
              </w:rPr>
            </w:pPr>
            <w:r w:rsidRPr="000549B1">
              <w:rPr>
                <w:kern w:val="0"/>
                <w:sz w:val="22"/>
                <w:lang w:bidi="ar"/>
              </w:rPr>
              <w:t>4.37</w:t>
            </w:r>
          </w:p>
        </w:tc>
        <w:tc>
          <w:tcPr>
            <w:tcW w:w="628" w:type="pct"/>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0300C857" w14:textId="77777777" w:rsidR="00054437" w:rsidRPr="000549B1" w:rsidRDefault="00000000">
            <w:pPr>
              <w:widowControl/>
              <w:jc w:val="center"/>
              <w:textAlignment w:val="center"/>
              <w:rPr>
                <w:sz w:val="22"/>
              </w:rPr>
            </w:pPr>
            <w:r w:rsidRPr="000549B1">
              <w:rPr>
                <w:kern w:val="0"/>
                <w:sz w:val="22"/>
                <w:lang w:bidi="ar"/>
              </w:rPr>
              <w:t>72.01</w:t>
            </w:r>
          </w:p>
        </w:tc>
        <w:tc>
          <w:tcPr>
            <w:tcW w:w="584" w:type="pct"/>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50125306" w14:textId="77777777" w:rsidR="00054437" w:rsidRPr="000549B1" w:rsidRDefault="00000000">
            <w:pPr>
              <w:widowControl/>
              <w:jc w:val="center"/>
              <w:textAlignment w:val="center"/>
              <w:rPr>
                <w:sz w:val="22"/>
              </w:rPr>
            </w:pPr>
            <w:r w:rsidRPr="000549B1">
              <w:rPr>
                <w:kern w:val="0"/>
                <w:sz w:val="22"/>
                <w:lang w:bidi="ar"/>
              </w:rPr>
              <w:t>16.87</w:t>
            </w:r>
          </w:p>
        </w:tc>
      </w:tr>
    </w:tbl>
    <w:p w14:paraId="7A6B9470" w14:textId="77777777" w:rsidR="00054437" w:rsidRPr="000549B1" w:rsidRDefault="00000000">
      <w:pPr>
        <w:pStyle w:val="3"/>
      </w:pPr>
      <w:bookmarkStart w:id="228" w:name="_Toc216107013"/>
      <w:r w:rsidRPr="000549B1">
        <w:t>环保基础设施建设及运行情况</w:t>
      </w:r>
      <w:bookmarkEnd w:id="228"/>
    </w:p>
    <w:p w14:paraId="0C2A845A" w14:textId="77777777" w:rsidR="00054437" w:rsidRPr="000549B1" w:rsidRDefault="00000000">
      <w:pPr>
        <w:pStyle w:val="0A"/>
        <w:ind w:firstLine="480"/>
        <w:rPr>
          <w:rFonts w:eastAsiaTheme="minorEastAsia"/>
          <w:b w:val="0"/>
          <w:bCs/>
          <w:sz w:val="24"/>
          <w:szCs w:val="24"/>
        </w:rPr>
      </w:pPr>
      <w:r w:rsidRPr="000549B1">
        <w:rPr>
          <w:rFonts w:eastAsiaTheme="minorEastAsia"/>
          <w:b w:val="0"/>
          <w:bCs/>
          <w:sz w:val="24"/>
          <w:szCs w:val="24"/>
        </w:rPr>
        <w:t>海南州全州</w:t>
      </w:r>
      <w:r w:rsidRPr="000549B1">
        <w:rPr>
          <w:rFonts w:eastAsiaTheme="minorEastAsia"/>
          <w:b w:val="0"/>
          <w:bCs/>
          <w:sz w:val="24"/>
          <w:szCs w:val="24"/>
        </w:rPr>
        <w:t>5</w:t>
      </w:r>
      <w:r w:rsidRPr="000549B1">
        <w:rPr>
          <w:rFonts w:eastAsiaTheme="minorEastAsia"/>
          <w:b w:val="0"/>
          <w:bCs/>
          <w:sz w:val="24"/>
          <w:szCs w:val="24"/>
        </w:rPr>
        <w:t>县</w:t>
      </w:r>
      <w:r w:rsidRPr="000549B1">
        <w:rPr>
          <w:rFonts w:eastAsiaTheme="minorEastAsia"/>
          <w:b w:val="0"/>
          <w:bCs/>
          <w:sz w:val="24"/>
          <w:szCs w:val="24"/>
        </w:rPr>
        <w:t>36</w:t>
      </w:r>
      <w:r w:rsidRPr="000549B1">
        <w:rPr>
          <w:rFonts w:eastAsiaTheme="minorEastAsia"/>
          <w:b w:val="0"/>
          <w:bCs/>
          <w:sz w:val="24"/>
          <w:szCs w:val="24"/>
        </w:rPr>
        <w:t>乡（镇），建有城镇污水处理厂</w:t>
      </w:r>
      <w:r w:rsidRPr="000549B1">
        <w:rPr>
          <w:rFonts w:eastAsiaTheme="minorEastAsia"/>
          <w:b w:val="0"/>
          <w:bCs/>
          <w:sz w:val="24"/>
          <w:szCs w:val="24"/>
        </w:rPr>
        <w:t>13</w:t>
      </w:r>
      <w:r w:rsidRPr="000549B1">
        <w:rPr>
          <w:rFonts w:eastAsiaTheme="minorEastAsia"/>
          <w:b w:val="0"/>
          <w:bCs/>
          <w:sz w:val="24"/>
          <w:szCs w:val="24"/>
        </w:rPr>
        <w:t>座，总处理规模</w:t>
      </w:r>
      <w:r w:rsidRPr="000549B1">
        <w:rPr>
          <w:rFonts w:eastAsiaTheme="minorEastAsia"/>
          <w:b w:val="0"/>
          <w:bCs/>
          <w:sz w:val="24"/>
          <w:szCs w:val="24"/>
        </w:rPr>
        <w:t>5.4</w:t>
      </w:r>
      <w:r w:rsidRPr="000549B1">
        <w:rPr>
          <w:rFonts w:eastAsiaTheme="minorEastAsia"/>
          <w:b w:val="0"/>
          <w:bCs/>
          <w:sz w:val="24"/>
          <w:szCs w:val="24"/>
        </w:rPr>
        <w:t>万吨</w:t>
      </w:r>
      <w:r w:rsidRPr="000549B1">
        <w:rPr>
          <w:rFonts w:eastAsiaTheme="minorEastAsia"/>
          <w:b w:val="0"/>
          <w:bCs/>
          <w:sz w:val="24"/>
          <w:szCs w:val="24"/>
        </w:rPr>
        <w:t>/</w:t>
      </w:r>
      <w:r w:rsidRPr="000549B1">
        <w:rPr>
          <w:rFonts w:eastAsiaTheme="minorEastAsia"/>
          <w:b w:val="0"/>
          <w:bCs/>
          <w:sz w:val="24"/>
          <w:szCs w:val="24"/>
        </w:rPr>
        <w:t>天，实际处理规模</w:t>
      </w:r>
      <w:r w:rsidRPr="000549B1">
        <w:rPr>
          <w:rFonts w:eastAsiaTheme="minorEastAsia"/>
          <w:b w:val="0"/>
          <w:bCs/>
          <w:sz w:val="24"/>
          <w:szCs w:val="24"/>
        </w:rPr>
        <w:t>1059.8</w:t>
      </w:r>
      <w:r w:rsidRPr="000549B1">
        <w:rPr>
          <w:rFonts w:eastAsiaTheme="minorEastAsia"/>
          <w:b w:val="0"/>
          <w:bCs/>
          <w:sz w:val="24"/>
          <w:szCs w:val="24"/>
        </w:rPr>
        <w:t>万吨，平均负荷率</w:t>
      </w:r>
      <w:r w:rsidRPr="000549B1">
        <w:rPr>
          <w:rFonts w:eastAsiaTheme="minorEastAsia"/>
          <w:b w:val="0"/>
          <w:bCs/>
          <w:sz w:val="24"/>
          <w:szCs w:val="24"/>
        </w:rPr>
        <w:t>53%</w:t>
      </w:r>
      <w:r w:rsidRPr="000549B1">
        <w:rPr>
          <w:rFonts w:eastAsiaTheme="minorEastAsia"/>
          <w:b w:val="0"/>
          <w:bCs/>
          <w:sz w:val="24"/>
          <w:szCs w:val="24"/>
        </w:rPr>
        <w:t>。随着海南州经济社会进一步发展，旅游及城镇人口的增加，目前海南州城镇污水处理设施在时间和空间上分布不均，且城镇污水配套收集管网不健全，污泥处置存在二次污染隐患，无法满足社会发展需求，同时牧区集中居住点居民所产生的生活污水随意泼洒或直接排入河道，对水体水质带来了污染隐患。</w:t>
      </w:r>
    </w:p>
    <w:p w14:paraId="56242751" w14:textId="77777777" w:rsidR="00054437" w:rsidRPr="000549B1" w:rsidRDefault="00000000">
      <w:pPr>
        <w:pStyle w:val="0A"/>
        <w:ind w:firstLine="480"/>
        <w:rPr>
          <w:sz w:val="24"/>
          <w:szCs w:val="24"/>
        </w:rPr>
      </w:pPr>
      <w:r w:rsidRPr="000549B1">
        <w:rPr>
          <w:rFonts w:eastAsiaTheme="minorEastAsia"/>
          <w:b w:val="0"/>
          <w:bCs/>
          <w:sz w:val="24"/>
          <w:szCs w:val="24"/>
        </w:rPr>
        <w:t>沙珠玉河流域范围内乡镇的污水收集处理的普及率较低，多数没有建设污水处理设施及配套管网，城区周边的乡镇也没有建设污水管网收集污水排入城区污水处理厂，乡镇人口产生的大量生活污水对水环境产生了极大影响。村庄的污水收集处理的普及率低，多数区域村落几乎没有配套村落污水管网和污水处理设施，少数区域的村庄仅配套简易化粪池这样的污水处理设施和户内污水管道。大部分村落的生活污水未经任何处理直接排放，直接入河，对水质产生了较大影响。</w:t>
      </w:r>
    </w:p>
    <w:p w14:paraId="28314442" w14:textId="77777777" w:rsidR="00054437" w:rsidRPr="000549B1" w:rsidRDefault="00000000">
      <w:pPr>
        <w:pStyle w:val="3"/>
      </w:pPr>
      <w:bookmarkStart w:id="229" w:name="_Toc216107015"/>
      <w:r w:rsidRPr="000549B1">
        <w:t>地表水环境质量现状</w:t>
      </w:r>
      <w:bookmarkEnd w:id="229"/>
    </w:p>
    <w:p w14:paraId="05145546" w14:textId="77777777" w:rsidR="00054437" w:rsidRPr="000549B1" w:rsidRDefault="00000000">
      <w:pPr>
        <w:widowControl/>
        <w:spacing w:line="360" w:lineRule="auto"/>
        <w:ind w:firstLineChars="200" w:firstLine="480"/>
        <w:rPr>
          <w:kern w:val="0"/>
          <w:sz w:val="24"/>
          <w:szCs w:val="24"/>
        </w:rPr>
      </w:pPr>
      <w:r w:rsidRPr="000549B1">
        <w:rPr>
          <w:kern w:val="0"/>
          <w:sz w:val="24"/>
          <w:szCs w:val="24"/>
        </w:rPr>
        <w:t>根据规划评价范围内搜集的历史监测成果及</w:t>
      </w:r>
      <w:r w:rsidRPr="000549B1">
        <w:rPr>
          <w:kern w:val="0"/>
          <w:sz w:val="24"/>
          <w:szCs w:val="24"/>
        </w:rPr>
        <w:t>4</w:t>
      </w:r>
      <w:r w:rsidRPr="000549B1">
        <w:rPr>
          <w:kern w:val="0"/>
          <w:sz w:val="24"/>
          <w:szCs w:val="24"/>
        </w:rPr>
        <w:t>个典型断面的补充监测成果，各断面均满足相应水环境功能区水质目标要求，</w:t>
      </w:r>
      <w:r w:rsidRPr="000549B1">
        <w:rPr>
          <w:kern w:val="0"/>
          <w:sz w:val="24"/>
          <w:szCs w:val="24"/>
          <w:lang w:bidi="ar"/>
        </w:rPr>
        <w:t>当前水质已稳定达到</w:t>
      </w:r>
      <w:r w:rsidRPr="000549B1">
        <w:rPr>
          <w:kern w:val="0"/>
          <w:sz w:val="24"/>
          <w:szCs w:val="24"/>
          <w:lang w:bidi="ar"/>
        </w:rPr>
        <w:t>Ⅱ</w:t>
      </w:r>
      <w:r w:rsidRPr="000549B1">
        <w:rPr>
          <w:kern w:val="0"/>
          <w:sz w:val="24"/>
          <w:szCs w:val="24"/>
          <w:lang w:bidi="ar"/>
        </w:rPr>
        <w:t>类至</w:t>
      </w:r>
      <w:r w:rsidRPr="000549B1">
        <w:rPr>
          <w:kern w:val="0"/>
          <w:sz w:val="24"/>
          <w:szCs w:val="24"/>
          <w:lang w:bidi="ar"/>
        </w:rPr>
        <w:t>Ⅲ</w:t>
      </w:r>
      <w:r w:rsidRPr="000549B1">
        <w:rPr>
          <w:kern w:val="0"/>
          <w:sz w:val="24"/>
          <w:szCs w:val="24"/>
          <w:lang w:bidi="ar"/>
        </w:rPr>
        <w:t>类水平</w:t>
      </w:r>
      <w:r w:rsidRPr="000549B1">
        <w:rPr>
          <w:kern w:val="0"/>
          <w:sz w:val="24"/>
          <w:szCs w:val="24"/>
        </w:rPr>
        <w:t>，水质趋势稳定。切吉水库属于中营养状态，沙珠玉河流域集中式饮用水水源地水质达标率为</w:t>
      </w:r>
      <w:r w:rsidRPr="000549B1">
        <w:rPr>
          <w:kern w:val="0"/>
          <w:sz w:val="24"/>
          <w:szCs w:val="24"/>
        </w:rPr>
        <w:t>100.0%</w:t>
      </w:r>
      <w:r w:rsidRPr="000549B1">
        <w:rPr>
          <w:kern w:val="0"/>
          <w:sz w:val="24"/>
          <w:szCs w:val="24"/>
        </w:rPr>
        <w:t>。</w:t>
      </w:r>
    </w:p>
    <w:p w14:paraId="781801DE" w14:textId="77777777" w:rsidR="00054437" w:rsidRPr="000549B1" w:rsidRDefault="00000000">
      <w:pPr>
        <w:pStyle w:val="4"/>
        <w:rPr>
          <w:rFonts w:ascii="Times New Roman" w:hAnsi="Times New Roman"/>
        </w:rPr>
      </w:pPr>
      <w:r w:rsidRPr="000549B1">
        <w:rPr>
          <w:rFonts w:ascii="Times New Roman" w:hAnsi="Times New Roman"/>
        </w:rPr>
        <w:t>流域典型断面水质补充监测</w:t>
      </w:r>
    </w:p>
    <w:p w14:paraId="4C0C9EA1" w14:textId="2C68546B" w:rsidR="00054437" w:rsidRPr="000549B1" w:rsidRDefault="00000000">
      <w:pPr>
        <w:adjustRightInd w:val="0"/>
        <w:snapToGrid w:val="0"/>
        <w:spacing w:line="348" w:lineRule="auto"/>
        <w:ind w:firstLine="480"/>
        <w:rPr>
          <w:kern w:val="0"/>
          <w:sz w:val="24"/>
          <w:szCs w:val="24"/>
        </w:rPr>
      </w:pPr>
      <w:r w:rsidRPr="000549B1">
        <w:rPr>
          <w:rFonts w:hint="eastAsia"/>
          <w:kern w:val="0"/>
          <w:sz w:val="24"/>
          <w:szCs w:val="24"/>
        </w:rPr>
        <w:t>规划</w:t>
      </w:r>
      <w:r w:rsidRPr="000549B1">
        <w:rPr>
          <w:kern w:val="0"/>
          <w:sz w:val="24"/>
          <w:szCs w:val="24"/>
        </w:rPr>
        <w:t>评价范围内无青海省国控及省控水质监测站点分布，水质监测资料缺乏。为充分了解沙珠玉河流域水环境现状，我院委托河南豫环咨检科技有限公司分别于</w:t>
      </w:r>
      <w:r w:rsidRPr="000549B1">
        <w:rPr>
          <w:kern w:val="0"/>
          <w:sz w:val="24"/>
          <w:szCs w:val="24"/>
        </w:rPr>
        <w:t>2025</w:t>
      </w:r>
      <w:r w:rsidRPr="000549B1">
        <w:rPr>
          <w:kern w:val="0"/>
          <w:sz w:val="24"/>
          <w:szCs w:val="24"/>
        </w:rPr>
        <w:t>年</w:t>
      </w:r>
      <w:r w:rsidRPr="000549B1">
        <w:rPr>
          <w:kern w:val="0"/>
          <w:sz w:val="24"/>
          <w:szCs w:val="24"/>
        </w:rPr>
        <w:t>4</w:t>
      </w:r>
      <w:r w:rsidRPr="000549B1">
        <w:rPr>
          <w:kern w:val="0"/>
          <w:sz w:val="24"/>
          <w:szCs w:val="24"/>
        </w:rPr>
        <w:t>月</w:t>
      </w:r>
      <w:r w:rsidRPr="000549B1">
        <w:rPr>
          <w:kern w:val="0"/>
          <w:sz w:val="24"/>
          <w:szCs w:val="24"/>
        </w:rPr>
        <w:t>22</w:t>
      </w:r>
      <w:r w:rsidRPr="000549B1">
        <w:rPr>
          <w:kern w:val="0"/>
          <w:sz w:val="24"/>
          <w:szCs w:val="24"/>
        </w:rPr>
        <w:t>日</w:t>
      </w:r>
      <w:r w:rsidRPr="000549B1">
        <w:rPr>
          <w:kern w:val="0"/>
          <w:sz w:val="24"/>
          <w:szCs w:val="24"/>
        </w:rPr>
        <w:t>-25</w:t>
      </w:r>
      <w:r w:rsidRPr="000549B1">
        <w:rPr>
          <w:kern w:val="0"/>
          <w:sz w:val="24"/>
          <w:szCs w:val="24"/>
        </w:rPr>
        <w:t>日、</w:t>
      </w:r>
      <w:r w:rsidRPr="000549B1">
        <w:rPr>
          <w:kern w:val="0"/>
          <w:sz w:val="24"/>
          <w:szCs w:val="24"/>
        </w:rPr>
        <w:t>9</w:t>
      </w:r>
      <w:r w:rsidRPr="000549B1">
        <w:rPr>
          <w:kern w:val="0"/>
          <w:sz w:val="24"/>
          <w:szCs w:val="24"/>
        </w:rPr>
        <w:t>月</w:t>
      </w:r>
      <w:r w:rsidRPr="000549B1">
        <w:rPr>
          <w:kern w:val="0"/>
          <w:sz w:val="24"/>
          <w:szCs w:val="24"/>
        </w:rPr>
        <w:t>18</w:t>
      </w:r>
      <w:r w:rsidRPr="000549B1">
        <w:rPr>
          <w:kern w:val="0"/>
          <w:sz w:val="24"/>
          <w:szCs w:val="24"/>
        </w:rPr>
        <w:t>日</w:t>
      </w:r>
      <w:r w:rsidRPr="000549B1">
        <w:rPr>
          <w:kern w:val="0"/>
          <w:sz w:val="24"/>
          <w:szCs w:val="24"/>
        </w:rPr>
        <w:t>-20</w:t>
      </w:r>
      <w:r w:rsidRPr="000549B1">
        <w:rPr>
          <w:kern w:val="0"/>
          <w:sz w:val="24"/>
          <w:szCs w:val="24"/>
        </w:rPr>
        <w:t>日，有针对性地进行了流域典型断面地表水环境质量现状监测，监测报告详见附件。现状监测断面、监测项目、监测时间及频次、评价结果等详见</w:t>
      </w:r>
      <w:r w:rsidR="00372953" w:rsidRPr="00372953">
        <w:rPr>
          <w:kern w:val="0"/>
          <w:sz w:val="24"/>
          <w:szCs w:val="24"/>
        </w:rPr>
        <w:t>表</w:t>
      </w:r>
      <w:r w:rsidR="00372953" w:rsidRPr="00372953">
        <w:rPr>
          <w:kern w:val="0"/>
          <w:sz w:val="24"/>
          <w:szCs w:val="24"/>
        </w:rPr>
        <w:t>3.3</w:t>
      </w:r>
      <w:r w:rsidR="00372953" w:rsidRPr="00372953">
        <w:rPr>
          <w:kern w:val="0"/>
          <w:sz w:val="24"/>
          <w:szCs w:val="24"/>
        </w:rPr>
        <w:noBreakHyphen/>
        <w:t>18</w:t>
      </w:r>
      <w:r w:rsidRPr="000549B1">
        <w:rPr>
          <w:rFonts w:eastAsia="仿宋"/>
          <w:kern w:val="0"/>
          <w:sz w:val="24"/>
          <w:szCs w:val="24"/>
        </w:rPr>
        <w:t>～</w:t>
      </w:r>
      <w:r w:rsidRPr="000549B1">
        <w:rPr>
          <w:kern w:val="0"/>
          <w:sz w:val="24"/>
          <w:szCs w:val="24"/>
        </w:rPr>
        <w:t>表</w:t>
      </w:r>
      <w:r w:rsidRPr="000549B1">
        <w:rPr>
          <w:kern w:val="0"/>
          <w:sz w:val="24"/>
          <w:szCs w:val="24"/>
        </w:rPr>
        <w:t>3.3-23</w:t>
      </w:r>
      <w:r w:rsidRPr="000549B1">
        <w:rPr>
          <w:kern w:val="0"/>
          <w:sz w:val="24"/>
          <w:szCs w:val="24"/>
        </w:rPr>
        <w:t>。</w:t>
      </w:r>
    </w:p>
    <w:p w14:paraId="1B2E5F6E" w14:textId="77777777" w:rsidR="00054437" w:rsidRPr="000549B1" w:rsidRDefault="00000000">
      <w:pPr>
        <w:adjustRightInd w:val="0"/>
        <w:snapToGrid w:val="0"/>
        <w:spacing w:line="348" w:lineRule="auto"/>
        <w:ind w:firstLine="480"/>
        <w:rPr>
          <w:kern w:val="0"/>
          <w:sz w:val="24"/>
          <w:szCs w:val="24"/>
        </w:rPr>
      </w:pPr>
      <w:r w:rsidRPr="000549B1">
        <w:rPr>
          <w:kern w:val="0"/>
          <w:sz w:val="24"/>
          <w:szCs w:val="24"/>
        </w:rPr>
        <w:t>（</w:t>
      </w:r>
      <w:r w:rsidRPr="000549B1">
        <w:rPr>
          <w:kern w:val="0"/>
          <w:sz w:val="24"/>
          <w:szCs w:val="24"/>
        </w:rPr>
        <w:t>1</w:t>
      </w:r>
      <w:r w:rsidRPr="000549B1">
        <w:rPr>
          <w:kern w:val="0"/>
          <w:sz w:val="24"/>
          <w:szCs w:val="24"/>
        </w:rPr>
        <w:t>）监测断面</w:t>
      </w:r>
    </w:p>
    <w:p w14:paraId="5D0FC9BD" w14:textId="0A412547" w:rsidR="00054437" w:rsidRPr="000549B1" w:rsidRDefault="00000000">
      <w:pPr>
        <w:adjustRightInd w:val="0"/>
        <w:snapToGrid w:val="0"/>
        <w:spacing w:line="348" w:lineRule="auto"/>
        <w:ind w:firstLine="480"/>
        <w:rPr>
          <w:kern w:val="0"/>
          <w:sz w:val="24"/>
          <w:szCs w:val="24"/>
        </w:rPr>
      </w:pPr>
      <w:r w:rsidRPr="000549B1">
        <w:rPr>
          <w:kern w:val="0"/>
          <w:sz w:val="24"/>
          <w:szCs w:val="24"/>
        </w:rPr>
        <w:t>按照《环境影响评价技术导则地表水环境》</w:t>
      </w:r>
      <w:r w:rsidRPr="000549B1">
        <w:rPr>
          <w:kern w:val="0"/>
          <w:sz w:val="24"/>
          <w:szCs w:val="24"/>
        </w:rPr>
        <w:t>(HJ2.3—2018)</w:t>
      </w:r>
      <w:r w:rsidRPr="000549B1">
        <w:rPr>
          <w:kern w:val="0"/>
          <w:sz w:val="24"/>
          <w:szCs w:val="24"/>
        </w:rPr>
        <w:t>及《地表水环境质量监测技术规范》（</w:t>
      </w:r>
      <w:r w:rsidRPr="000549B1">
        <w:rPr>
          <w:kern w:val="0"/>
          <w:sz w:val="24"/>
          <w:szCs w:val="24"/>
        </w:rPr>
        <w:t>HJ91.2—2022</w:t>
      </w:r>
      <w:r w:rsidRPr="000549B1">
        <w:rPr>
          <w:kern w:val="0"/>
          <w:sz w:val="24"/>
          <w:szCs w:val="24"/>
        </w:rPr>
        <w:t>）要求，在沙珠玉河流域共设置了</w:t>
      </w:r>
      <w:r w:rsidRPr="000549B1">
        <w:rPr>
          <w:kern w:val="0"/>
          <w:sz w:val="24"/>
          <w:szCs w:val="24"/>
        </w:rPr>
        <w:t>4</w:t>
      </w:r>
      <w:r w:rsidRPr="000549B1">
        <w:rPr>
          <w:kern w:val="0"/>
          <w:sz w:val="24"/>
          <w:szCs w:val="24"/>
        </w:rPr>
        <w:t>个典型监测断面。其中，切吉河上</w:t>
      </w:r>
      <w:r w:rsidRPr="000549B1">
        <w:rPr>
          <w:kern w:val="0"/>
          <w:sz w:val="24"/>
          <w:szCs w:val="24"/>
        </w:rPr>
        <w:t>3</w:t>
      </w:r>
      <w:r w:rsidRPr="000549B1">
        <w:rPr>
          <w:kern w:val="0"/>
          <w:sz w:val="24"/>
          <w:szCs w:val="24"/>
        </w:rPr>
        <w:t>个、直亥买沟</w:t>
      </w:r>
      <w:r w:rsidRPr="000549B1">
        <w:rPr>
          <w:kern w:val="0"/>
          <w:sz w:val="24"/>
          <w:szCs w:val="24"/>
        </w:rPr>
        <w:t>1</w:t>
      </w:r>
      <w:r w:rsidRPr="000549B1">
        <w:rPr>
          <w:kern w:val="0"/>
          <w:sz w:val="24"/>
          <w:szCs w:val="24"/>
        </w:rPr>
        <w:t>个。详见</w:t>
      </w:r>
      <w:r w:rsidR="00372953" w:rsidRPr="00372953">
        <w:rPr>
          <w:kern w:val="0"/>
          <w:sz w:val="24"/>
          <w:szCs w:val="24"/>
        </w:rPr>
        <w:t>表</w:t>
      </w:r>
      <w:r w:rsidR="00372953" w:rsidRPr="00372953">
        <w:rPr>
          <w:kern w:val="0"/>
          <w:sz w:val="24"/>
          <w:szCs w:val="24"/>
        </w:rPr>
        <w:t>3.3</w:t>
      </w:r>
      <w:r w:rsidR="00372953" w:rsidRPr="00372953">
        <w:rPr>
          <w:kern w:val="0"/>
          <w:sz w:val="24"/>
          <w:szCs w:val="24"/>
        </w:rPr>
        <w:noBreakHyphen/>
        <w:t>18</w:t>
      </w:r>
      <w:r w:rsidRPr="000549B1">
        <w:rPr>
          <w:kern w:val="0"/>
          <w:sz w:val="24"/>
          <w:szCs w:val="24"/>
        </w:rPr>
        <w:t>。</w:t>
      </w:r>
    </w:p>
    <w:p w14:paraId="41BB3C24" w14:textId="42EB444A" w:rsidR="00054437" w:rsidRPr="000549B1" w:rsidRDefault="00000000">
      <w:pPr>
        <w:pStyle w:val="aff8"/>
        <w:rPr>
          <w:color w:val="auto"/>
        </w:rPr>
      </w:pPr>
      <w:bookmarkStart w:id="230" w:name="_Ref214978957"/>
      <w:r w:rsidRPr="000549B1">
        <w:rPr>
          <w:color w:val="auto"/>
        </w:rPr>
        <w:t>表</w:t>
      </w:r>
      <w:r w:rsidR="00372953">
        <w:rPr>
          <w:color w:val="auto"/>
        </w:rPr>
        <w:fldChar w:fldCharType="begin"/>
      </w:r>
      <w:r w:rsidR="00372953">
        <w:rPr>
          <w:color w:val="auto"/>
        </w:rPr>
        <w:instrText xml:space="preserve"> STYLEREF 2 \s </w:instrText>
      </w:r>
      <w:r w:rsidR="00372953">
        <w:rPr>
          <w:color w:val="auto"/>
        </w:rPr>
        <w:fldChar w:fldCharType="separate"/>
      </w:r>
      <w:r w:rsidR="00372953">
        <w:rPr>
          <w:noProof/>
          <w:color w:val="auto"/>
        </w:rPr>
        <w:t>3.3</w:t>
      </w:r>
      <w:r w:rsidR="00372953">
        <w:rPr>
          <w:color w:val="auto"/>
        </w:rPr>
        <w:fldChar w:fldCharType="end"/>
      </w:r>
      <w:r w:rsidR="00372953">
        <w:rPr>
          <w:color w:val="auto"/>
        </w:rPr>
        <w:noBreakHyphen/>
      </w:r>
      <w:r w:rsidR="00372953">
        <w:rPr>
          <w:color w:val="auto"/>
        </w:rPr>
        <w:fldChar w:fldCharType="begin"/>
      </w:r>
      <w:r w:rsidR="00372953">
        <w:rPr>
          <w:color w:val="auto"/>
        </w:rPr>
        <w:instrText xml:space="preserve"> SEQ </w:instrText>
      </w:r>
      <w:r w:rsidR="00372953">
        <w:rPr>
          <w:color w:val="auto"/>
        </w:rPr>
        <w:instrText>表</w:instrText>
      </w:r>
      <w:r w:rsidR="00372953">
        <w:rPr>
          <w:color w:val="auto"/>
        </w:rPr>
        <w:instrText xml:space="preserve"> \* ARABIC \s 2 </w:instrText>
      </w:r>
      <w:r w:rsidR="00372953">
        <w:rPr>
          <w:color w:val="auto"/>
        </w:rPr>
        <w:fldChar w:fldCharType="separate"/>
      </w:r>
      <w:r w:rsidR="00372953">
        <w:rPr>
          <w:noProof/>
          <w:color w:val="auto"/>
        </w:rPr>
        <w:t>18</w:t>
      </w:r>
      <w:r w:rsidR="00372953">
        <w:rPr>
          <w:color w:val="auto"/>
        </w:rPr>
        <w:fldChar w:fldCharType="end"/>
      </w:r>
      <w:bookmarkEnd w:id="230"/>
      <w:r w:rsidRPr="000549B1">
        <w:rPr>
          <w:color w:val="auto"/>
        </w:rPr>
        <w:t>沙珠玉河流域地表水环境现状监测断面</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709"/>
        <w:gridCol w:w="942"/>
        <w:gridCol w:w="1178"/>
        <w:gridCol w:w="2058"/>
        <w:gridCol w:w="1703"/>
        <w:gridCol w:w="1703"/>
      </w:tblGrid>
      <w:tr w:rsidR="000549B1" w:rsidRPr="000549B1" w14:paraId="538A11E0" w14:textId="77777777">
        <w:trPr>
          <w:trHeight w:val="340"/>
          <w:tblHeader/>
          <w:jc w:val="center"/>
        </w:trPr>
        <w:tc>
          <w:tcPr>
            <w:tcW w:w="427" w:type="pct"/>
            <w:vAlign w:val="center"/>
          </w:tcPr>
          <w:p w14:paraId="46FEFACF" w14:textId="77777777" w:rsidR="00054437" w:rsidRPr="000549B1" w:rsidRDefault="00000000">
            <w:pPr>
              <w:widowControl/>
              <w:spacing w:line="360" w:lineRule="exact"/>
              <w:jc w:val="center"/>
              <w:rPr>
                <w:b/>
                <w:kern w:val="0"/>
                <w:szCs w:val="21"/>
              </w:rPr>
            </w:pPr>
            <w:r w:rsidRPr="000549B1">
              <w:rPr>
                <w:b/>
                <w:kern w:val="0"/>
                <w:szCs w:val="21"/>
              </w:rPr>
              <w:t>序号</w:t>
            </w:r>
          </w:p>
        </w:tc>
        <w:tc>
          <w:tcPr>
            <w:tcW w:w="568" w:type="pct"/>
            <w:vAlign w:val="center"/>
          </w:tcPr>
          <w:p w14:paraId="3EE8A6D9" w14:textId="77777777" w:rsidR="00054437" w:rsidRPr="000549B1" w:rsidRDefault="00000000">
            <w:pPr>
              <w:widowControl/>
              <w:spacing w:line="360" w:lineRule="exact"/>
              <w:jc w:val="center"/>
              <w:rPr>
                <w:b/>
                <w:kern w:val="0"/>
                <w:szCs w:val="21"/>
              </w:rPr>
            </w:pPr>
            <w:r w:rsidRPr="000549B1">
              <w:rPr>
                <w:b/>
                <w:kern w:val="0"/>
                <w:szCs w:val="21"/>
              </w:rPr>
              <w:t>水系</w:t>
            </w:r>
          </w:p>
        </w:tc>
        <w:tc>
          <w:tcPr>
            <w:tcW w:w="710" w:type="pct"/>
            <w:vAlign w:val="center"/>
          </w:tcPr>
          <w:p w14:paraId="7E55AFE4" w14:textId="77777777" w:rsidR="00054437" w:rsidRPr="000549B1" w:rsidRDefault="00000000">
            <w:pPr>
              <w:widowControl/>
              <w:spacing w:line="360" w:lineRule="exact"/>
              <w:jc w:val="center"/>
              <w:rPr>
                <w:b/>
                <w:kern w:val="0"/>
                <w:szCs w:val="21"/>
              </w:rPr>
            </w:pPr>
            <w:r w:rsidRPr="000549B1">
              <w:rPr>
                <w:b/>
                <w:kern w:val="0"/>
                <w:szCs w:val="21"/>
              </w:rPr>
              <w:t>河流名称</w:t>
            </w:r>
          </w:p>
        </w:tc>
        <w:tc>
          <w:tcPr>
            <w:tcW w:w="1240" w:type="pct"/>
            <w:vAlign w:val="center"/>
          </w:tcPr>
          <w:p w14:paraId="3849AE99" w14:textId="77777777" w:rsidR="00054437" w:rsidRPr="000549B1" w:rsidRDefault="00000000">
            <w:pPr>
              <w:widowControl/>
              <w:spacing w:line="360" w:lineRule="exact"/>
              <w:jc w:val="center"/>
              <w:rPr>
                <w:b/>
                <w:kern w:val="0"/>
                <w:szCs w:val="21"/>
              </w:rPr>
            </w:pPr>
            <w:r w:rsidRPr="000549B1">
              <w:rPr>
                <w:b/>
                <w:kern w:val="0"/>
                <w:szCs w:val="21"/>
              </w:rPr>
              <w:t>断面位置</w:t>
            </w:r>
          </w:p>
        </w:tc>
        <w:tc>
          <w:tcPr>
            <w:tcW w:w="1026" w:type="pct"/>
            <w:vAlign w:val="center"/>
          </w:tcPr>
          <w:p w14:paraId="7DBBE54A" w14:textId="77777777" w:rsidR="00054437" w:rsidRPr="000549B1" w:rsidRDefault="00000000">
            <w:pPr>
              <w:widowControl/>
              <w:spacing w:line="360" w:lineRule="exact"/>
              <w:jc w:val="center"/>
              <w:rPr>
                <w:b/>
                <w:kern w:val="0"/>
                <w:szCs w:val="21"/>
              </w:rPr>
            </w:pPr>
            <w:r w:rsidRPr="000549B1">
              <w:rPr>
                <w:b/>
                <w:kern w:val="0"/>
                <w:szCs w:val="21"/>
              </w:rPr>
              <w:t>东经</w:t>
            </w:r>
          </w:p>
        </w:tc>
        <w:tc>
          <w:tcPr>
            <w:tcW w:w="1026" w:type="pct"/>
            <w:vAlign w:val="center"/>
          </w:tcPr>
          <w:p w14:paraId="2C58538D" w14:textId="77777777" w:rsidR="00054437" w:rsidRPr="000549B1" w:rsidRDefault="00000000">
            <w:pPr>
              <w:widowControl/>
              <w:spacing w:line="360" w:lineRule="exact"/>
              <w:jc w:val="center"/>
              <w:rPr>
                <w:b/>
                <w:kern w:val="0"/>
                <w:szCs w:val="21"/>
              </w:rPr>
            </w:pPr>
            <w:r w:rsidRPr="000549B1">
              <w:rPr>
                <w:b/>
                <w:kern w:val="0"/>
                <w:szCs w:val="21"/>
              </w:rPr>
              <w:t>北纬</w:t>
            </w:r>
          </w:p>
        </w:tc>
      </w:tr>
      <w:tr w:rsidR="000549B1" w:rsidRPr="000549B1" w14:paraId="1E2ED8B3" w14:textId="77777777">
        <w:trPr>
          <w:trHeight w:val="340"/>
          <w:jc w:val="center"/>
        </w:trPr>
        <w:tc>
          <w:tcPr>
            <w:tcW w:w="427" w:type="pct"/>
            <w:vAlign w:val="center"/>
          </w:tcPr>
          <w:p w14:paraId="72DCAD6A" w14:textId="77777777" w:rsidR="00054437" w:rsidRPr="000549B1" w:rsidRDefault="00000000">
            <w:pPr>
              <w:widowControl/>
              <w:spacing w:line="360" w:lineRule="exact"/>
              <w:jc w:val="center"/>
              <w:rPr>
                <w:kern w:val="0"/>
                <w:szCs w:val="21"/>
              </w:rPr>
            </w:pPr>
            <w:r w:rsidRPr="000549B1">
              <w:rPr>
                <w:kern w:val="0"/>
                <w:szCs w:val="21"/>
              </w:rPr>
              <w:t>1</w:t>
            </w:r>
          </w:p>
        </w:tc>
        <w:tc>
          <w:tcPr>
            <w:tcW w:w="568" w:type="pct"/>
            <w:vMerge w:val="restart"/>
            <w:vAlign w:val="center"/>
          </w:tcPr>
          <w:p w14:paraId="16F5C30E" w14:textId="77777777" w:rsidR="00054437" w:rsidRPr="000549B1" w:rsidRDefault="00000000">
            <w:pPr>
              <w:widowControl/>
              <w:spacing w:line="360" w:lineRule="exact"/>
              <w:jc w:val="center"/>
              <w:rPr>
                <w:kern w:val="0"/>
                <w:szCs w:val="21"/>
              </w:rPr>
            </w:pPr>
            <w:r w:rsidRPr="000549B1">
              <w:rPr>
                <w:kern w:val="0"/>
                <w:szCs w:val="21"/>
              </w:rPr>
              <w:t>青海湖</w:t>
            </w:r>
          </w:p>
        </w:tc>
        <w:tc>
          <w:tcPr>
            <w:tcW w:w="710" w:type="pct"/>
            <w:vAlign w:val="center"/>
          </w:tcPr>
          <w:p w14:paraId="6D48BA30" w14:textId="77777777" w:rsidR="00054437" w:rsidRPr="000549B1" w:rsidRDefault="00000000">
            <w:pPr>
              <w:widowControl/>
              <w:spacing w:line="360" w:lineRule="exact"/>
              <w:jc w:val="center"/>
              <w:rPr>
                <w:kern w:val="0"/>
                <w:szCs w:val="21"/>
              </w:rPr>
            </w:pPr>
            <w:r w:rsidRPr="000549B1">
              <w:rPr>
                <w:kern w:val="0"/>
                <w:szCs w:val="21"/>
              </w:rPr>
              <w:t>直亥买沟</w:t>
            </w:r>
          </w:p>
        </w:tc>
        <w:tc>
          <w:tcPr>
            <w:tcW w:w="1240" w:type="pct"/>
            <w:vAlign w:val="center"/>
          </w:tcPr>
          <w:p w14:paraId="1A1BB5EE" w14:textId="77777777" w:rsidR="00054437" w:rsidRPr="000549B1" w:rsidRDefault="00000000">
            <w:pPr>
              <w:widowControl/>
              <w:spacing w:line="360" w:lineRule="exact"/>
              <w:jc w:val="center"/>
              <w:rPr>
                <w:kern w:val="0"/>
                <w:szCs w:val="21"/>
              </w:rPr>
            </w:pPr>
            <w:r w:rsidRPr="000549B1">
              <w:rPr>
                <w:kern w:val="0"/>
                <w:szCs w:val="21"/>
              </w:rPr>
              <w:t>直亥买沟下游</w:t>
            </w:r>
          </w:p>
        </w:tc>
        <w:tc>
          <w:tcPr>
            <w:tcW w:w="1026" w:type="pct"/>
            <w:vAlign w:val="center"/>
          </w:tcPr>
          <w:p w14:paraId="341F33EB" w14:textId="77777777" w:rsidR="00054437" w:rsidRPr="000549B1" w:rsidRDefault="00000000">
            <w:pPr>
              <w:widowControl/>
              <w:spacing w:line="360" w:lineRule="exact"/>
              <w:jc w:val="center"/>
              <w:rPr>
                <w:kern w:val="0"/>
                <w:szCs w:val="21"/>
              </w:rPr>
            </w:pPr>
            <w:r w:rsidRPr="000549B1">
              <w:rPr>
                <w:kern w:val="0"/>
                <w:szCs w:val="21"/>
              </w:rPr>
              <w:t>99°45'33.6276"</w:t>
            </w:r>
          </w:p>
        </w:tc>
        <w:tc>
          <w:tcPr>
            <w:tcW w:w="1026" w:type="pct"/>
            <w:vAlign w:val="center"/>
          </w:tcPr>
          <w:p w14:paraId="2C178AA6" w14:textId="77777777" w:rsidR="00054437" w:rsidRPr="000549B1" w:rsidRDefault="00000000">
            <w:pPr>
              <w:widowControl/>
              <w:spacing w:line="360" w:lineRule="exact"/>
              <w:jc w:val="center"/>
              <w:rPr>
                <w:kern w:val="0"/>
                <w:szCs w:val="21"/>
              </w:rPr>
            </w:pPr>
            <w:r w:rsidRPr="000549B1">
              <w:rPr>
                <w:kern w:val="0"/>
                <w:szCs w:val="21"/>
              </w:rPr>
              <w:t>36°12'32.6004"</w:t>
            </w:r>
          </w:p>
        </w:tc>
      </w:tr>
      <w:tr w:rsidR="000549B1" w:rsidRPr="000549B1" w14:paraId="4C6694FA" w14:textId="77777777">
        <w:trPr>
          <w:trHeight w:val="340"/>
          <w:jc w:val="center"/>
        </w:trPr>
        <w:tc>
          <w:tcPr>
            <w:tcW w:w="427" w:type="pct"/>
            <w:vAlign w:val="center"/>
          </w:tcPr>
          <w:p w14:paraId="063C0F11" w14:textId="77777777" w:rsidR="00054437" w:rsidRPr="000549B1" w:rsidRDefault="00000000">
            <w:pPr>
              <w:widowControl/>
              <w:spacing w:line="360" w:lineRule="exact"/>
              <w:jc w:val="center"/>
              <w:rPr>
                <w:kern w:val="0"/>
                <w:szCs w:val="21"/>
              </w:rPr>
            </w:pPr>
            <w:r w:rsidRPr="000549B1">
              <w:rPr>
                <w:kern w:val="0"/>
                <w:szCs w:val="21"/>
              </w:rPr>
              <w:t>2</w:t>
            </w:r>
          </w:p>
        </w:tc>
        <w:tc>
          <w:tcPr>
            <w:tcW w:w="568" w:type="pct"/>
            <w:vMerge/>
            <w:vAlign w:val="center"/>
          </w:tcPr>
          <w:p w14:paraId="491AAFF4" w14:textId="77777777" w:rsidR="00054437" w:rsidRPr="000549B1" w:rsidRDefault="00054437">
            <w:pPr>
              <w:widowControl/>
              <w:spacing w:line="360" w:lineRule="exact"/>
              <w:jc w:val="center"/>
              <w:rPr>
                <w:kern w:val="0"/>
                <w:szCs w:val="21"/>
              </w:rPr>
            </w:pPr>
          </w:p>
        </w:tc>
        <w:tc>
          <w:tcPr>
            <w:tcW w:w="710" w:type="pct"/>
            <w:vAlign w:val="center"/>
          </w:tcPr>
          <w:p w14:paraId="1FDD06FF" w14:textId="77777777" w:rsidR="00054437" w:rsidRPr="000549B1" w:rsidRDefault="00000000">
            <w:pPr>
              <w:widowControl/>
              <w:spacing w:line="360" w:lineRule="exact"/>
              <w:jc w:val="center"/>
              <w:rPr>
                <w:kern w:val="0"/>
                <w:szCs w:val="21"/>
              </w:rPr>
            </w:pPr>
            <w:r w:rsidRPr="000549B1">
              <w:rPr>
                <w:kern w:val="0"/>
                <w:szCs w:val="21"/>
              </w:rPr>
              <w:t>切吉河</w:t>
            </w:r>
          </w:p>
        </w:tc>
        <w:tc>
          <w:tcPr>
            <w:tcW w:w="1240" w:type="pct"/>
            <w:vAlign w:val="center"/>
          </w:tcPr>
          <w:p w14:paraId="7D6238ED" w14:textId="77777777" w:rsidR="00054437" w:rsidRPr="000549B1" w:rsidRDefault="00000000">
            <w:pPr>
              <w:widowControl/>
              <w:spacing w:line="360" w:lineRule="exact"/>
              <w:jc w:val="center"/>
              <w:rPr>
                <w:kern w:val="0"/>
                <w:szCs w:val="21"/>
              </w:rPr>
            </w:pPr>
            <w:r w:rsidRPr="000549B1">
              <w:rPr>
                <w:kern w:val="0"/>
                <w:szCs w:val="21"/>
              </w:rPr>
              <w:t>切吉水库上游</w:t>
            </w:r>
            <w:r w:rsidRPr="000549B1">
              <w:rPr>
                <w:kern w:val="0"/>
                <w:szCs w:val="21"/>
              </w:rPr>
              <w:t>2km</w:t>
            </w:r>
            <w:r w:rsidRPr="000549B1">
              <w:rPr>
                <w:kern w:val="0"/>
                <w:szCs w:val="21"/>
              </w:rPr>
              <w:t>（拟建大河坝水库坝址）</w:t>
            </w:r>
          </w:p>
        </w:tc>
        <w:tc>
          <w:tcPr>
            <w:tcW w:w="1026" w:type="pct"/>
            <w:vAlign w:val="center"/>
          </w:tcPr>
          <w:p w14:paraId="3C2EE990" w14:textId="77777777" w:rsidR="00054437" w:rsidRPr="000549B1" w:rsidRDefault="00000000">
            <w:pPr>
              <w:widowControl/>
              <w:spacing w:line="360" w:lineRule="exact"/>
              <w:jc w:val="center"/>
              <w:rPr>
                <w:kern w:val="0"/>
                <w:szCs w:val="21"/>
              </w:rPr>
            </w:pPr>
            <w:r w:rsidRPr="000549B1">
              <w:rPr>
                <w:kern w:val="0"/>
                <w:szCs w:val="21"/>
              </w:rPr>
              <w:t>99°50'04.2531"</w:t>
            </w:r>
          </w:p>
        </w:tc>
        <w:tc>
          <w:tcPr>
            <w:tcW w:w="1026" w:type="pct"/>
            <w:vAlign w:val="center"/>
          </w:tcPr>
          <w:p w14:paraId="6EC310C0" w14:textId="77777777" w:rsidR="00054437" w:rsidRPr="000549B1" w:rsidRDefault="00000000">
            <w:pPr>
              <w:widowControl/>
              <w:spacing w:line="360" w:lineRule="exact"/>
              <w:jc w:val="center"/>
              <w:rPr>
                <w:kern w:val="0"/>
                <w:szCs w:val="21"/>
              </w:rPr>
            </w:pPr>
            <w:r w:rsidRPr="000549B1">
              <w:rPr>
                <w:kern w:val="0"/>
                <w:szCs w:val="21"/>
              </w:rPr>
              <w:t>36°04'22.1444"</w:t>
            </w:r>
          </w:p>
        </w:tc>
      </w:tr>
      <w:tr w:rsidR="000549B1" w:rsidRPr="000549B1" w14:paraId="7AFE7EBA" w14:textId="77777777">
        <w:trPr>
          <w:trHeight w:val="340"/>
          <w:jc w:val="center"/>
        </w:trPr>
        <w:tc>
          <w:tcPr>
            <w:tcW w:w="427" w:type="pct"/>
            <w:vAlign w:val="center"/>
          </w:tcPr>
          <w:p w14:paraId="166E2525" w14:textId="77777777" w:rsidR="00054437" w:rsidRPr="000549B1" w:rsidRDefault="00000000">
            <w:pPr>
              <w:widowControl/>
              <w:spacing w:line="360" w:lineRule="exact"/>
              <w:jc w:val="center"/>
              <w:rPr>
                <w:kern w:val="0"/>
                <w:szCs w:val="21"/>
              </w:rPr>
            </w:pPr>
            <w:r w:rsidRPr="000549B1">
              <w:rPr>
                <w:kern w:val="0"/>
                <w:szCs w:val="21"/>
              </w:rPr>
              <w:t>3</w:t>
            </w:r>
          </w:p>
        </w:tc>
        <w:tc>
          <w:tcPr>
            <w:tcW w:w="568" w:type="pct"/>
            <w:vMerge/>
            <w:vAlign w:val="center"/>
          </w:tcPr>
          <w:p w14:paraId="1A93CC9E" w14:textId="77777777" w:rsidR="00054437" w:rsidRPr="000549B1" w:rsidRDefault="00054437">
            <w:pPr>
              <w:widowControl/>
              <w:spacing w:line="360" w:lineRule="exact"/>
              <w:jc w:val="center"/>
              <w:rPr>
                <w:kern w:val="0"/>
                <w:szCs w:val="21"/>
              </w:rPr>
            </w:pPr>
          </w:p>
        </w:tc>
        <w:tc>
          <w:tcPr>
            <w:tcW w:w="710" w:type="pct"/>
            <w:vAlign w:val="center"/>
          </w:tcPr>
          <w:p w14:paraId="331D8A83" w14:textId="77777777" w:rsidR="00054437" w:rsidRPr="000549B1" w:rsidRDefault="00000000">
            <w:pPr>
              <w:widowControl/>
              <w:spacing w:line="360" w:lineRule="exact"/>
              <w:jc w:val="center"/>
              <w:rPr>
                <w:kern w:val="0"/>
                <w:szCs w:val="21"/>
              </w:rPr>
            </w:pPr>
            <w:r w:rsidRPr="000549B1">
              <w:rPr>
                <w:kern w:val="0"/>
                <w:szCs w:val="21"/>
              </w:rPr>
              <w:t>切吉河</w:t>
            </w:r>
          </w:p>
        </w:tc>
        <w:tc>
          <w:tcPr>
            <w:tcW w:w="1240" w:type="pct"/>
            <w:vAlign w:val="center"/>
          </w:tcPr>
          <w:p w14:paraId="0F579783" w14:textId="77777777" w:rsidR="00054437" w:rsidRPr="000549B1" w:rsidRDefault="00000000">
            <w:pPr>
              <w:widowControl/>
              <w:spacing w:line="360" w:lineRule="exact"/>
              <w:jc w:val="center"/>
              <w:rPr>
                <w:kern w:val="0"/>
                <w:szCs w:val="21"/>
              </w:rPr>
            </w:pPr>
            <w:r w:rsidRPr="000549B1">
              <w:rPr>
                <w:kern w:val="0"/>
                <w:szCs w:val="21"/>
              </w:rPr>
              <w:t>切吉水库库区</w:t>
            </w:r>
          </w:p>
        </w:tc>
        <w:tc>
          <w:tcPr>
            <w:tcW w:w="1026" w:type="pct"/>
            <w:vAlign w:val="center"/>
          </w:tcPr>
          <w:p w14:paraId="2E5C40DA" w14:textId="77777777" w:rsidR="00054437" w:rsidRPr="000549B1" w:rsidRDefault="00000000">
            <w:pPr>
              <w:widowControl/>
              <w:spacing w:line="360" w:lineRule="exact"/>
              <w:jc w:val="center"/>
              <w:rPr>
                <w:kern w:val="0"/>
                <w:szCs w:val="21"/>
              </w:rPr>
            </w:pPr>
            <w:r w:rsidRPr="000549B1">
              <w:rPr>
                <w:kern w:val="0"/>
                <w:szCs w:val="21"/>
              </w:rPr>
              <w:t>99°51'06.1488"</w:t>
            </w:r>
          </w:p>
        </w:tc>
        <w:tc>
          <w:tcPr>
            <w:tcW w:w="1026" w:type="pct"/>
            <w:vAlign w:val="center"/>
          </w:tcPr>
          <w:p w14:paraId="2430B0E1" w14:textId="77777777" w:rsidR="00054437" w:rsidRPr="000549B1" w:rsidRDefault="00000000">
            <w:pPr>
              <w:widowControl/>
              <w:spacing w:line="360" w:lineRule="exact"/>
              <w:jc w:val="center"/>
              <w:rPr>
                <w:kern w:val="0"/>
                <w:szCs w:val="21"/>
              </w:rPr>
            </w:pPr>
            <w:r w:rsidRPr="000549B1">
              <w:rPr>
                <w:kern w:val="0"/>
                <w:szCs w:val="21"/>
              </w:rPr>
              <w:t>36°04'58.8915"</w:t>
            </w:r>
          </w:p>
        </w:tc>
      </w:tr>
      <w:tr w:rsidR="00054437" w:rsidRPr="000549B1" w14:paraId="59552D44" w14:textId="77777777">
        <w:trPr>
          <w:trHeight w:val="340"/>
          <w:jc w:val="center"/>
        </w:trPr>
        <w:tc>
          <w:tcPr>
            <w:tcW w:w="427" w:type="pct"/>
            <w:vAlign w:val="center"/>
          </w:tcPr>
          <w:p w14:paraId="1050A15B" w14:textId="77777777" w:rsidR="00054437" w:rsidRPr="000549B1" w:rsidRDefault="00000000">
            <w:pPr>
              <w:widowControl/>
              <w:spacing w:line="360" w:lineRule="exact"/>
              <w:jc w:val="center"/>
              <w:rPr>
                <w:kern w:val="0"/>
                <w:szCs w:val="21"/>
              </w:rPr>
            </w:pPr>
            <w:r w:rsidRPr="000549B1">
              <w:rPr>
                <w:kern w:val="0"/>
                <w:szCs w:val="21"/>
              </w:rPr>
              <w:t>4</w:t>
            </w:r>
          </w:p>
        </w:tc>
        <w:tc>
          <w:tcPr>
            <w:tcW w:w="568" w:type="pct"/>
            <w:vMerge/>
            <w:vAlign w:val="center"/>
          </w:tcPr>
          <w:p w14:paraId="004AD63C" w14:textId="77777777" w:rsidR="00054437" w:rsidRPr="000549B1" w:rsidRDefault="00054437">
            <w:pPr>
              <w:widowControl/>
              <w:spacing w:line="360" w:lineRule="exact"/>
              <w:jc w:val="center"/>
              <w:rPr>
                <w:kern w:val="0"/>
                <w:szCs w:val="21"/>
              </w:rPr>
            </w:pPr>
          </w:p>
        </w:tc>
        <w:tc>
          <w:tcPr>
            <w:tcW w:w="710" w:type="pct"/>
            <w:vAlign w:val="center"/>
          </w:tcPr>
          <w:p w14:paraId="52097BC9" w14:textId="77777777" w:rsidR="00054437" w:rsidRPr="000549B1" w:rsidRDefault="00000000">
            <w:pPr>
              <w:widowControl/>
              <w:spacing w:line="360" w:lineRule="exact"/>
              <w:jc w:val="center"/>
              <w:rPr>
                <w:kern w:val="0"/>
                <w:szCs w:val="21"/>
              </w:rPr>
            </w:pPr>
            <w:r w:rsidRPr="000549B1">
              <w:rPr>
                <w:kern w:val="0"/>
                <w:szCs w:val="21"/>
              </w:rPr>
              <w:t>切吉河</w:t>
            </w:r>
          </w:p>
        </w:tc>
        <w:tc>
          <w:tcPr>
            <w:tcW w:w="1240" w:type="pct"/>
            <w:vAlign w:val="center"/>
          </w:tcPr>
          <w:p w14:paraId="50DEAC81" w14:textId="77777777" w:rsidR="00054437" w:rsidRPr="000549B1" w:rsidRDefault="00000000">
            <w:pPr>
              <w:widowControl/>
              <w:spacing w:line="360" w:lineRule="exact"/>
              <w:jc w:val="center"/>
              <w:rPr>
                <w:kern w:val="0"/>
                <w:szCs w:val="21"/>
              </w:rPr>
            </w:pPr>
            <w:r w:rsidRPr="000549B1">
              <w:rPr>
                <w:kern w:val="0"/>
                <w:szCs w:val="21"/>
              </w:rPr>
              <w:t>切吉河下游</w:t>
            </w:r>
          </w:p>
          <w:p w14:paraId="098CBAF7" w14:textId="77777777" w:rsidR="00054437" w:rsidRPr="000549B1" w:rsidRDefault="00000000">
            <w:pPr>
              <w:widowControl/>
              <w:spacing w:line="360" w:lineRule="exact"/>
              <w:jc w:val="center"/>
              <w:rPr>
                <w:kern w:val="0"/>
                <w:szCs w:val="21"/>
              </w:rPr>
            </w:pPr>
            <w:r w:rsidRPr="000549B1">
              <w:rPr>
                <w:kern w:val="0"/>
                <w:szCs w:val="21"/>
                <w:lang w:bidi="ar"/>
              </w:rPr>
              <w:t>（拟建大河坝水库坝址下游</w:t>
            </w:r>
            <w:r w:rsidRPr="000549B1">
              <w:rPr>
                <w:kern w:val="0"/>
                <w:szCs w:val="21"/>
                <w:lang w:bidi="ar"/>
              </w:rPr>
              <w:t>6km</w:t>
            </w:r>
            <w:r w:rsidRPr="000549B1">
              <w:rPr>
                <w:kern w:val="0"/>
                <w:szCs w:val="21"/>
                <w:lang w:bidi="ar"/>
              </w:rPr>
              <w:t>）</w:t>
            </w:r>
          </w:p>
        </w:tc>
        <w:tc>
          <w:tcPr>
            <w:tcW w:w="1026" w:type="pct"/>
            <w:vAlign w:val="center"/>
          </w:tcPr>
          <w:p w14:paraId="76ED50FF" w14:textId="77777777" w:rsidR="00054437" w:rsidRPr="000549B1" w:rsidRDefault="00000000">
            <w:pPr>
              <w:widowControl/>
              <w:spacing w:line="360" w:lineRule="exact"/>
              <w:jc w:val="center"/>
              <w:rPr>
                <w:kern w:val="0"/>
                <w:szCs w:val="21"/>
              </w:rPr>
            </w:pPr>
            <w:r w:rsidRPr="000549B1">
              <w:rPr>
                <w:kern w:val="0"/>
                <w:szCs w:val="21"/>
              </w:rPr>
              <w:t>99°53'11.1404"</w:t>
            </w:r>
          </w:p>
        </w:tc>
        <w:tc>
          <w:tcPr>
            <w:tcW w:w="1026" w:type="pct"/>
            <w:vAlign w:val="center"/>
          </w:tcPr>
          <w:p w14:paraId="09493A7B" w14:textId="77777777" w:rsidR="00054437" w:rsidRPr="000549B1" w:rsidRDefault="00000000">
            <w:pPr>
              <w:widowControl/>
              <w:spacing w:line="360" w:lineRule="exact"/>
              <w:jc w:val="center"/>
              <w:rPr>
                <w:kern w:val="0"/>
                <w:szCs w:val="21"/>
              </w:rPr>
            </w:pPr>
            <w:r w:rsidRPr="000549B1">
              <w:rPr>
                <w:kern w:val="0"/>
                <w:szCs w:val="21"/>
              </w:rPr>
              <w:t>36°06'17.6199"</w:t>
            </w:r>
          </w:p>
        </w:tc>
      </w:tr>
    </w:tbl>
    <w:p w14:paraId="33B66677" w14:textId="77777777" w:rsidR="00054437" w:rsidRPr="000549B1" w:rsidRDefault="00054437">
      <w:pPr>
        <w:adjustRightInd w:val="0"/>
        <w:snapToGrid w:val="0"/>
        <w:spacing w:line="360" w:lineRule="auto"/>
        <w:jc w:val="center"/>
        <w:rPr>
          <w:rFonts w:eastAsia="黑体"/>
          <w:b/>
          <w:sz w:val="24"/>
        </w:rPr>
      </w:pPr>
    </w:p>
    <w:p w14:paraId="7785B81F" w14:textId="22B12DEF" w:rsidR="00054437" w:rsidRPr="000549B1" w:rsidRDefault="005861F1">
      <w:pPr>
        <w:adjustRightInd w:val="0"/>
        <w:snapToGrid w:val="0"/>
        <w:spacing w:line="360" w:lineRule="auto"/>
        <w:jc w:val="center"/>
        <w:rPr>
          <w:b/>
          <w:kern w:val="0"/>
          <w:sz w:val="24"/>
          <w:szCs w:val="24"/>
        </w:rPr>
      </w:pPr>
      <w:r w:rsidRPr="000549B1">
        <w:rPr>
          <w:b/>
          <w:noProof/>
          <w:kern w:val="0"/>
          <w:sz w:val="24"/>
          <w:szCs w:val="24"/>
        </w:rPr>
        <w:drawing>
          <wp:inline distT="0" distB="0" distL="0" distR="0" wp14:anchorId="406B46A8" wp14:editId="66873138">
            <wp:extent cx="5274310" cy="3729990"/>
            <wp:effectExtent l="0" t="0" r="2540" b="3810"/>
            <wp:docPr id="208582395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823956" name="图片 2085823956"/>
                    <pic:cNvPicPr/>
                  </pic:nvPicPr>
                  <pic:blipFill>
                    <a:blip r:embed="rId73" cstate="email">
                      <a:extLst>
                        <a:ext uri="{28A0092B-C50C-407E-A947-70E740481C1C}">
                          <a14:useLocalDpi xmlns:a14="http://schemas.microsoft.com/office/drawing/2010/main"/>
                        </a:ext>
                      </a:extLst>
                    </a:blip>
                    <a:stretch>
                      <a:fillRect/>
                    </a:stretch>
                  </pic:blipFill>
                  <pic:spPr>
                    <a:xfrm>
                      <a:off x="0" y="0"/>
                      <a:ext cx="5274310" cy="3729990"/>
                    </a:xfrm>
                    <a:prstGeom prst="rect">
                      <a:avLst/>
                    </a:prstGeom>
                  </pic:spPr>
                </pic:pic>
              </a:graphicData>
            </a:graphic>
          </wp:inline>
        </w:drawing>
      </w:r>
    </w:p>
    <w:p w14:paraId="5FF575BF" w14:textId="577AAD4F" w:rsidR="00054437" w:rsidRPr="000549B1" w:rsidRDefault="00000000">
      <w:pPr>
        <w:pStyle w:val="aff8"/>
        <w:rPr>
          <w:color w:val="auto"/>
        </w:rPr>
      </w:pPr>
      <w:r w:rsidRPr="000549B1">
        <w:rPr>
          <w:color w:val="auto"/>
        </w:rPr>
        <w:t>图</w:t>
      </w:r>
      <w:r w:rsidR="00F1314B">
        <w:rPr>
          <w:color w:val="auto"/>
        </w:rPr>
        <w:fldChar w:fldCharType="begin"/>
      </w:r>
      <w:r w:rsidR="00F1314B">
        <w:rPr>
          <w:color w:val="auto"/>
        </w:rPr>
        <w:instrText xml:space="preserve"> STYLEREF 2 \s </w:instrText>
      </w:r>
      <w:r w:rsidR="00F1314B">
        <w:rPr>
          <w:color w:val="auto"/>
        </w:rPr>
        <w:fldChar w:fldCharType="separate"/>
      </w:r>
      <w:r w:rsidR="00372953">
        <w:rPr>
          <w:noProof/>
          <w:color w:val="auto"/>
        </w:rPr>
        <w:t>3.3</w:t>
      </w:r>
      <w:r w:rsidR="00F1314B">
        <w:rPr>
          <w:color w:val="auto"/>
        </w:rPr>
        <w:fldChar w:fldCharType="end"/>
      </w:r>
      <w:r w:rsidR="00F1314B">
        <w:rPr>
          <w:color w:val="auto"/>
        </w:rPr>
        <w:noBreakHyphen/>
      </w:r>
      <w:r w:rsidR="00F1314B">
        <w:rPr>
          <w:color w:val="auto"/>
        </w:rPr>
        <w:fldChar w:fldCharType="begin"/>
      </w:r>
      <w:r w:rsidR="00F1314B">
        <w:rPr>
          <w:color w:val="auto"/>
        </w:rPr>
        <w:instrText xml:space="preserve"> SEQ </w:instrText>
      </w:r>
      <w:r w:rsidR="00F1314B">
        <w:rPr>
          <w:color w:val="auto"/>
        </w:rPr>
        <w:instrText>图</w:instrText>
      </w:r>
      <w:r w:rsidR="00F1314B">
        <w:rPr>
          <w:color w:val="auto"/>
        </w:rPr>
        <w:instrText xml:space="preserve"> \* ARABIC \s 2 </w:instrText>
      </w:r>
      <w:r w:rsidR="00F1314B">
        <w:rPr>
          <w:color w:val="auto"/>
        </w:rPr>
        <w:fldChar w:fldCharType="separate"/>
      </w:r>
      <w:r w:rsidR="00372953">
        <w:rPr>
          <w:noProof/>
          <w:color w:val="auto"/>
        </w:rPr>
        <w:t>7</w:t>
      </w:r>
      <w:r w:rsidR="00F1314B">
        <w:rPr>
          <w:color w:val="auto"/>
        </w:rPr>
        <w:fldChar w:fldCharType="end"/>
      </w:r>
      <w:r w:rsidRPr="000549B1">
        <w:rPr>
          <w:color w:val="auto"/>
        </w:rPr>
        <w:t>沙珠玉河流域地表水环境补充监测断面分布示意图</w:t>
      </w:r>
    </w:p>
    <w:p w14:paraId="66B2FD39" w14:textId="77777777" w:rsidR="00054437" w:rsidRPr="000549B1" w:rsidRDefault="00000000">
      <w:pPr>
        <w:adjustRightInd w:val="0"/>
        <w:snapToGrid w:val="0"/>
        <w:spacing w:beforeLines="50" w:before="156" w:line="348" w:lineRule="auto"/>
        <w:ind w:firstLine="482"/>
        <w:rPr>
          <w:kern w:val="0"/>
          <w:sz w:val="24"/>
          <w:szCs w:val="24"/>
        </w:rPr>
      </w:pPr>
      <w:r w:rsidRPr="000549B1">
        <w:rPr>
          <w:kern w:val="0"/>
          <w:sz w:val="24"/>
          <w:szCs w:val="24"/>
        </w:rPr>
        <w:t>（</w:t>
      </w:r>
      <w:r w:rsidRPr="000549B1">
        <w:rPr>
          <w:kern w:val="0"/>
          <w:sz w:val="24"/>
          <w:szCs w:val="24"/>
        </w:rPr>
        <w:t>2</w:t>
      </w:r>
      <w:r w:rsidRPr="000549B1">
        <w:rPr>
          <w:kern w:val="0"/>
          <w:sz w:val="24"/>
          <w:szCs w:val="24"/>
        </w:rPr>
        <w:t>）监测项目</w:t>
      </w:r>
    </w:p>
    <w:p w14:paraId="7BA94F91" w14:textId="499EBAF2" w:rsidR="00054437" w:rsidRPr="000549B1" w:rsidRDefault="00000000">
      <w:pPr>
        <w:spacing w:line="360" w:lineRule="auto"/>
        <w:ind w:firstLine="482"/>
        <w:rPr>
          <w:sz w:val="24"/>
          <w:szCs w:val="24"/>
        </w:rPr>
      </w:pPr>
      <w:r w:rsidRPr="000549B1">
        <w:rPr>
          <w:sz w:val="24"/>
          <w:szCs w:val="24"/>
        </w:rPr>
        <w:t>监测项目主要是《地表水环境质量标准》（</w:t>
      </w:r>
      <w:r w:rsidRPr="000549B1">
        <w:rPr>
          <w:sz w:val="24"/>
          <w:szCs w:val="24"/>
        </w:rPr>
        <w:t>GB3838-2002</w:t>
      </w:r>
      <w:r w:rsidRPr="000549B1">
        <w:rPr>
          <w:sz w:val="24"/>
          <w:szCs w:val="24"/>
        </w:rPr>
        <w:t>）表</w:t>
      </w:r>
      <w:r w:rsidRPr="000549B1">
        <w:rPr>
          <w:sz w:val="24"/>
          <w:szCs w:val="24"/>
        </w:rPr>
        <w:t>1</w:t>
      </w:r>
      <w:r w:rsidRPr="000549B1">
        <w:rPr>
          <w:sz w:val="24"/>
          <w:szCs w:val="24"/>
        </w:rPr>
        <w:t>中的基本项目、表</w:t>
      </w:r>
      <w:r w:rsidRPr="000549B1">
        <w:rPr>
          <w:sz w:val="24"/>
          <w:szCs w:val="24"/>
        </w:rPr>
        <w:t>2</w:t>
      </w:r>
      <w:r w:rsidRPr="000549B1">
        <w:rPr>
          <w:sz w:val="24"/>
          <w:szCs w:val="24"/>
        </w:rPr>
        <w:t>中的集中式生活饮用水地表水源地补充项目，以及营养状态评价指标。各监测断面对应的监测项目详见</w:t>
      </w:r>
      <w:r w:rsidR="00372953" w:rsidRPr="00372953">
        <w:rPr>
          <w:sz w:val="24"/>
        </w:rPr>
        <w:t>表</w:t>
      </w:r>
      <w:r w:rsidR="00372953" w:rsidRPr="00372953">
        <w:rPr>
          <w:sz w:val="24"/>
        </w:rPr>
        <w:t>3.3</w:t>
      </w:r>
      <w:r w:rsidR="00372953" w:rsidRPr="00372953">
        <w:rPr>
          <w:sz w:val="24"/>
        </w:rPr>
        <w:noBreakHyphen/>
        <w:t>19</w:t>
      </w:r>
      <w:r w:rsidRPr="000549B1">
        <w:rPr>
          <w:sz w:val="24"/>
          <w:szCs w:val="24"/>
        </w:rPr>
        <w:t>。</w:t>
      </w:r>
    </w:p>
    <w:p w14:paraId="295E620B" w14:textId="3E3F9849" w:rsidR="00054437" w:rsidRPr="000549B1" w:rsidRDefault="00000000">
      <w:pPr>
        <w:pStyle w:val="aff8"/>
        <w:rPr>
          <w:rStyle w:val="Char"/>
          <w:rFonts w:ascii="Times New Roman" w:eastAsia="宋体" w:hAnsi="Times New Roman"/>
          <w:b/>
          <w:color w:val="auto"/>
          <w:sz w:val="21"/>
        </w:rPr>
      </w:pPr>
      <w:bookmarkStart w:id="231" w:name="_Ref214979035"/>
      <w:r w:rsidRPr="000549B1">
        <w:rPr>
          <w:rStyle w:val="Char"/>
          <w:rFonts w:ascii="Times New Roman" w:eastAsia="宋体" w:hAnsi="Times New Roman"/>
          <w:b/>
          <w:color w:val="auto"/>
          <w:sz w:val="21"/>
        </w:rPr>
        <w:t>表</w:t>
      </w:r>
      <w:r w:rsidR="00372953">
        <w:rPr>
          <w:rStyle w:val="Char"/>
          <w:rFonts w:ascii="Times New Roman" w:eastAsia="宋体" w:hAnsi="Times New Roman"/>
          <w:b/>
          <w:color w:val="auto"/>
          <w:sz w:val="21"/>
        </w:rPr>
        <w:fldChar w:fldCharType="begin"/>
      </w:r>
      <w:r w:rsidR="00372953">
        <w:rPr>
          <w:rStyle w:val="Char"/>
          <w:rFonts w:ascii="Times New Roman" w:eastAsia="宋体" w:hAnsi="Times New Roman"/>
          <w:b/>
          <w:color w:val="auto"/>
          <w:sz w:val="21"/>
        </w:rPr>
        <w:instrText xml:space="preserve"> STYLEREF 2 \s </w:instrText>
      </w:r>
      <w:r w:rsidR="00372953">
        <w:rPr>
          <w:rStyle w:val="Char"/>
          <w:rFonts w:ascii="Times New Roman" w:eastAsia="宋体" w:hAnsi="Times New Roman"/>
          <w:b/>
          <w:color w:val="auto"/>
          <w:sz w:val="21"/>
        </w:rPr>
        <w:fldChar w:fldCharType="separate"/>
      </w:r>
      <w:r w:rsidR="00372953">
        <w:rPr>
          <w:rStyle w:val="Char"/>
          <w:rFonts w:ascii="Times New Roman" w:eastAsia="宋体" w:hAnsi="Times New Roman"/>
          <w:b/>
          <w:noProof/>
          <w:color w:val="auto"/>
          <w:sz w:val="21"/>
        </w:rPr>
        <w:t>3.3</w:t>
      </w:r>
      <w:r w:rsidR="00372953">
        <w:rPr>
          <w:rStyle w:val="Char"/>
          <w:rFonts w:ascii="Times New Roman" w:eastAsia="宋体" w:hAnsi="Times New Roman"/>
          <w:b/>
          <w:color w:val="auto"/>
          <w:sz w:val="21"/>
        </w:rPr>
        <w:fldChar w:fldCharType="end"/>
      </w:r>
      <w:r w:rsidR="00372953">
        <w:rPr>
          <w:rStyle w:val="Char"/>
          <w:rFonts w:ascii="Times New Roman" w:eastAsia="宋体" w:hAnsi="Times New Roman"/>
          <w:b/>
          <w:color w:val="auto"/>
          <w:sz w:val="21"/>
        </w:rPr>
        <w:noBreakHyphen/>
      </w:r>
      <w:r w:rsidR="00372953">
        <w:rPr>
          <w:rStyle w:val="Char"/>
          <w:rFonts w:ascii="Times New Roman" w:eastAsia="宋体" w:hAnsi="Times New Roman"/>
          <w:b/>
          <w:color w:val="auto"/>
          <w:sz w:val="21"/>
        </w:rPr>
        <w:fldChar w:fldCharType="begin"/>
      </w:r>
      <w:r w:rsidR="00372953">
        <w:rPr>
          <w:rStyle w:val="Char"/>
          <w:rFonts w:ascii="Times New Roman" w:eastAsia="宋体" w:hAnsi="Times New Roman"/>
          <w:b/>
          <w:color w:val="auto"/>
          <w:sz w:val="21"/>
        </w:rPr>
        <w:instrText xml:space="preserve"> SEQ </w:instrText>
      </w:r>
      <w:r w:rsidR="00372953">
        <w:rPr>
          <w:rStyle w:val="Char"/>
          <w:rFonts w:ascii="Times New Roman" w:eastAsia="宋体" w:hAnsi="Times New Roman"/>
          <w:b/>
          <w:color w:val="auto"/>
          <w:sz w:val="21"/>
        </w:rPr>
        <w:instrText>表</w:instrText>
      </w:r>
      <w:r w:rsidR="00372953">
        <w:rPr>
          <w:rStyle w:val="Char"/>
          <w:rFonts w:ascii="Times New Roman" w:eastAsia="宋体" w:hAnsi="Times New Roman"/>
          <w:b/>
          <w:color w:val="auto"/>
          <w:sz w:val="21"/>
        </w:rPr>
        <w:instrText xml:space="preserve"> \* ARABIC \s 2 </w:instrText>
      </w:r>
      <w:r w:rsidR="00372953">
        <w:rPr>
          <w:rStyle w:val="Char"/>
          <w:rFonts w:ascii="Times New Roman" w:eastAsia="宋体" w:hAnsi="Times New Roman"/>
          <w:b/>
          <w:color w:val="auto"/>
          <w:sz w:val="21"/>
        </w:rPr>
        <w:fldChar w:fldCharType="separate"/>
      </w:r>
      <w:r w:rsidR="00372953">
        <w:rPr>
          <w:rStyle w:val="Char"/>
          <w:rFonts w:ascii="Times New Roman" w:eastAsia="宋体" w:hAnsi="Times New Roman"/>
          <w:b/>
          <w:noProof/>
          <w:color w:val="auto"/>
          <w:sz w:val="21"/>
        </w:rPr>
        <w:t>19</w:t>
      </w:r>
      <w:r w:rsidR="00372953">
        <w:rPr>
          <w:rStyle w:val="Char"/>
          <w:rFonts w:ascii="Times New Roman" w:eastAsia="宋体" w:hAnsi="Times New Roman"/>
          <w:b/>
          <w:color w:val="auto"/>
          <w:sz w:val="21"/>
        </w:rPr>
        <w:fldChar w:fldCharType="end"/>
      </w:r>
      <w:bookmarkEnd w:id="231"/>
      <w:r w:rsidRPr="000549B1">
        <w:rPr>
          <w:rStyle w:val="Char"/>
          <w:rFonts w:ascii="Times New Roman" w:eastAsia="宋体" w:hAnsi="Times New Roman"/>
          <w:b/>
          <w:color w:val="auto"/>
          <w:sz w:val="21"/>
        </w:rPr>
        <w:t>沙珠玉河流域地表水环境现状监测项目</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573"/>
        <w:gridCol w:w="525"/>
        <w:gridCol w:w="1078"/>
        <w:gridCol w:w="2213"/>
        <w:gridCol w:w="1972"/>
        <w:gridCol w:w="1932"/>
      </w:tblGrid>
      <w:tr w:rsidR="000549B1" w:rsidRPr="000549B1" w14:paraId="22D4FD77" w14:textId="77777777">
        <w:trPr>
          <w:trHeight w:val="340"/>
          <w:tblHeader/>
          <w:jc w:val="center"/>
        </w:trPr>
        <w:tc>
          <w:tcPr>
            <w:tcW w:w="345" w:type="pct"/>
            <w:vAlign w:val="center"/>
          </w:tcPr>
          <w:p w14:paraId="24E3F6EC" w14:textId="77777777" w:rsidR="00054437" w:rsidRPr="000549B1" w:rsidRDefault="00000000">
            <w:pPr>
              <w:widowControl/>
              <w:spacing w:line="360" w:lineRule="exact"/>
              <w:jc w:val="center"/>
              <w:rPr>
                <w:b/>
                <w:kern w:val="0"/>
                <w:szCs w:val="21"/>
              </w:rPr>
            </w:pPr>
            <w:r w:rsidRPr="000549B1">
              <w:rPr>
                <w:b/>
                <w:kern w:val="0"/>
                <w:szCs w:val="21"/>
              </w:rPr>
              <w:t>序号</w:t>
            </w:r>
          </w:p>
        </w:tc>
        <w:tc>
          <w:tcPr>
            <w:tcW w:w="316" w:type="pct"/>
            <w:vAlign w:val="center"/>
          </w:tcPr>
          <w:p w14:paraId="588474AE" w14:textId="77777777" w:rsidR="00054437" w:rsidRPr="000549B1" w:rsidRDefault="00000000">
            <w:pPr>
              <w:widowControl/>
              <w:spacing w:line="360" w:lineRule="exact"/>
              <w:jc w:val="center"/>
              <w:rPr>
                <w:b/>
                <w:kern w:val="0"/>
                <w:szCs w:val="21"/>
              </w:rPr>
            </w:pPr>
            <w:r w:rsidRPr="000549B1">
              <w:rPr>
                <w:b/>
                <w:kern w:val="0"/>
                <w:szCs w:val="21"/>
              </w:rPr>
              <w:t>水系</w:t>
            </w:r>
          </w:p>
        </w:tc>
        <w:tc>
          <w:tcPr>
            <w:tcW w:w="650" w:type="pct"/>
            <w:vAlign w:val="center"/>
          </w:tcPr>
          <w:p w14:paraId="6C7D12D9" w14:textId="77777777" w:rsidR="00054437" w:rsidRPr="000549B1" w:rsidRDefault="00000000">
            <w:pPr>
              <w:widowControl/>
              <w:spacing w:line="360" w:lineRule="exact"/>
              <w:jc w:val="center"/>
              <w:rPr>
                <w:b/>
                <w:kern w:val="0"/>
                <w:szCs w:val="21"/>
              </w:rPr>
            </w:pPr>
            <w:r w:rsidRPr="000549B1">
              <w:rPr>
                <w:b/>
                <w:kern w:val="0"/>
                <w:szCs w:val="21"/>
              </w:rPr>
              <w:t>河流，名称</w:t>
            </w:r>
          </w:p>
        </w:tc>
        <w:tc>
          <w:tcPr>
            <w:tcW w:w="1333" w:type="pct"/>
            <w:vAlign w:val="center"/>
          </w:tcPr>
          <w:p w14:paraId="1548EE4B" w14:textId="77777777" w:rsidR="00054437" w:rsidRPr="000549B1" w:rsidRDefault="00000000">
            <w:pPr>
              <w:widowControl/>
              <w:spacing w:line="360" w:lineRule="exact"/>
              <w:jc w:val="center"/>
              <w:rPr>
                <w:b/>
                <w:kern w:val="0"/>
                <w:szCs w:val="21"/>
              </w:rPr>
            </w:pPr>
            <w:r w:rsidRPr="000549B1">
              <w:rPr>
                <w:b/>
                <w:kern w:val="0"/>
                <w:szCs w:val="21"/>
              </w:rPr>
              <w:t>断面位置</w:t>
            </w:r>
          </w:p>
        </w:tc>
        <w:tc>
          <w:tcPr>
            <w:tcW w:w="2354" w:type="pct"/>
            <w:gridSpan w:val="2"/>
            <w:vAlign w:val="center"/>
          </w:tcPr>
          <w:p w14:paraId="29EA769C" w14:textId="77777777" w:rsidR="00054437" w:rsidRPr="000549B1" w:rsidRDefault="00000000">
            <w:pPr>
              <w:widowControl/>
              <w:spacing w:line="360" w:lineRule="exact"/>
              <w:jc w:val="center"/>
              <w:rPr>
                <w:b/>
                <w:kern w:val="0"/>
                <w:szCs w:val="21"/>
              </w:rPr>
            </w:pPr>
            <w:r w:rsidRPr="000549B1">
              <w:rPr>
                <w:b/>
                <w:kern w:val="0"/>
                <w:szCs w:val="21"/>
              </w:rPr>
              <w:t>监测项目</w:t>
            </w:r>
          </w:p>
        </w:tc>
      </w:tr>
      <w:tr w:rsidR="000549B1" w:rsidRPr="000549B1" w14:paraId="5B60C3E9" w14:textId="77777777">
        <w:trPr>
          <w:trHeight w:val="340"/>
          <w:jc w:val="center"/>
        </w:trPr>
        <w:tc>
          <w:tcPr>
            <w:tcW w:w="345" w:type="pct"/>
            <w:vAlign w:val="center"/>
          </w:tcPr>
          <w:p w14:paraId="600C79F2" w14:textId="77777777" w:rsidR="00054437" w:rsidRPr="000549B1" w:rsidRDefault="00000000">
            <w:pPr>
              <w:widowControl/>
              <w:spacing w:line="360" w:lineRule="exact"/>
              <w:jc w:val="center"/>
              <w:rPr>
                <w:kern w:val="0"/>
                <w:szCs w:val="21"/>
              </w:rPr>
            </w:pPr>
            <w:r w:rsidRPr="000549B1">
              <w:rPr>
                <w:kern w:val="0"/>
                <w:szCs w:val="21"/>
              </w:rPr>
              <w:t>1</w:t>
            </w:r>
          </w:p>
        </w:tc>
        <w:tc>
          <w:tcPr>
            <w:tcW w:w="316" w:type="pct"/>
            <w:vMerge w:val="restart"/>
            <w:vAlign w:val="center"/>
          </w:tcPr>
          <w:p w14:paraId="59AF3033" w14:textId="77777777" w:rsidR="00054437" w:rsidRPr="000549B1" w:rsidRDefault="00000000">
            <w:pPr>
              <w:widowControl/>
              <w:spacing w:line="360" w:lineRule="exact"/>
              <w:jc w:val="center"/>
              <w:rPr>
                <w:kern w:val="0"/>
                <w:szCs w:val="21"/>
              </w:rPr>
            </w:pPr>
            <w:r w:rsidRPr="000549B1">
              <w:rPr>
                <w:kern w:val="0"/>
                <w:szCs w:val="21"/>
              </w:rPr>
              <w:t>青海湖</w:t>
            </w:r>
          </w:p>
        </w:tc>
        <w:tc>
          <w:tcPr>
            <w:tcW w:w="650" w:type="pct"/>
            <w:vAlign w:val="center"/>
          </w:tcPr>
          <w:p w14:paraId="30D8F4F6" w14:textId="77777777" w:rsidR="00054437" w:rsidRPr="000549B1" w:rsidRDefault="00000000">
            <w:pPr>
              <w:widowControl/>
              <w:spacing w:line="360" w:lineRule="exact"/>
              <w:jc w:val="center"/>
              <w:rPr>
                <w:kern w:val="0"/>
                <w:szCs w:val="21"/>
              </w:rPr>
            </w:pPr>
            <w:r w:rsidRPr="000549B1">
              <w:rPr>
                <w:kern w:val="0"/>
                <w:szCs w:val="21"/>
              </w:rPr>
              <w:t>直亥买沟</w:t>
            </w:r>
          </w:p>
        </w:tc>
        <w:tc>
          <w:tcPr>
            <w:tcW w:w="1333" w:type="pct"/>
            <w:vAlign w:val="center"/>
          </w:tcPr>
          <w:p w14:paraId="0E3A5271" w14:textId="77777777" w:rsidR="00054437" w:rsidRPr="000549B1" w:rsidRDefault="00000000">
            <w:pPr>
              <w:widowControl/>
              <w:spacing w:line="360" w:lineRule="exact"/>
              <w:jc w:val="center"/>
              <w:rPr>
                <w:kern w:val="0"/>
                <w:szCs w:val="21"/>
              </w:rPr>
            </w:pPr>
            <w:r w:rsidRPr="000549B1">
              <w:rPr>
                <w:kern w:val="0"/>
                <w:szCs w:val="21"/>
              </w:rPr>
              <w:t>直亥买沟下游</w:t>
            </w:r>
          </w:p>
        </w:tc>
        <w:tc>
          <w:tcPr>
            <w:tcW w:w="1189" w:type="pct"/>
            <w:vMerge w:val="restart"/>
            <w:vAlign w:val="center"/>
          </w:tcPr>
          <w:p w14:paraId="6E79810E" w14:textId="77777777" w:rsidR="00054437" w:rsidRPr="000549B1" w:rsidRDefault="00000000">
            <w:pPr>
              <w:widowControl/>
              <w:spacing w:line="360" w:lineRule="exact"/>
              <w:jc w:val="center"/>
              <w:rPr>
                <w:kern w:val="0"/>
                <w:szCs w:val="21"/>
              </w:rPr>
            </w:pPr>
            <w:r w:rsidRPr="000549B1">
              <w:rPr>
                <w:szCs w:val="21"/>
              </w:rPr>
              <w:t>《地表水环境质量标准》（</w:t>
            </w:r>
            <w:r w:rsidRPr="000549B1">
              <w:rPr>
                <w:szCs w:val="21"/>
              </w:rPr>
              <w:t>GB3838-2002</w:t>
            </w:r>
            <w:r w:rsidRPr="000549B1">
              <w:rPr>
                <w:szCs w:val="21"/>
              </w:rPr>
              <w:t>）表</w:t>
            </w:r>
            <w:r w:rsidRPr="000549B1">
              <w:rPr>
                <w:szCs w:val="21"/>
              </w:rPr>
              <w:t>1</w:t>
            </w:r>
            <w:r w:rsidRPr="000549B1">
              <w:rPr>
                <w:szCs w:val="21"/>
              </w:rPr>
              <w:t>基本项目水温、</w:t>
            </w:r>
            <w:r w:rsidRPr="000549B1">
              <w:rPr>
                <w:szCs w:val="21"/>
              </w:rPr>
              <w:t>pH</w:t>
            </w:r>
            <w:r w:rsidRPr="000549B1">
              <w:rPr>
                <w:szCs w:val="21"/>
              </w:rPr>
              <w:t>值、溶解氧、高锰酸盐指数、</w:t>
            </w:r>
            <w:r w:rsidRPr="000549B1">
              <w:rPr>
                <w:szCs w:val="21"/>
              </w:rPr>
              <w:t>COD</w:t>
            </w:r>
            <w:r w:rsidRPr="000549B1">
              <w:rPr>
                <w:szCs w:val="21"/>
              </w:rPr>
              <w:t>、五日生化需氧量、氨氮、总磷、总氮、铜、锌、氟化物、硒、砷、汞、镉、铬</w:t>
            </w:r>
            <w:r w:rsidRPr="000549B1">
              <w:rPr>
                <w:szCs w:val="21"/>
              </w:rPr>
              <w:t>(</w:t>
            </w:r>
            <w:r w:rsidRPr="000549B1">
              <w:rPr>
                <w:szCs w:val="21"/>
              </w:rPr>
              <w:t>六价</w:t>
            </w:r>
            <w:r w:rsidRPr="000549B1">
              <w:rPr>
                <w:szCs w:val="21"/>
              </w:rPr>
              <w:t>)</w:t>
            </w:r>
            <w:r w:rsidRPr="000549B1">
              <w:rPr>
                <w:szCs w:val="21"/>
              </w:rPr>
              <w:t>、铅、氰化物、挥发酚、石油类、阴离子表面活性剂、硫化物，共</w:t>
            </w:r>
            <w:r w:rsidRPr="000549B1">
              <w:rPr>
                <w:szCs w:val="21"/>
              </w:rPr>
              <w:t>23</w:t>
            </w:r>
            <w:r w:rsidRPr="000549B1">
              <w:rPr>
                <w:szCs w:val="21"/>
              </w:rPr>
              <w:t>项</w:t>
            </w:r>
          </w:p>
        </w:tc>
        <w:tc>
          <w:tcPr>
            <w:tcW w:w="1165" w:type="pct"/>
            <w:vAlign w:val="center"/>
          </w:tcPr>
          <w:p w14:paraId="4658E548" w14:textId="77777777" w:rsidR="00054437" w:rsidRPr="000549B1" w:rsidRDefault="00000000">
            <w:pPr>
              <w:widowControl/>
              <w:spacing w:line="360" w:lineRule="exact"/>
              <w:jc w:val="center"/>
              <w:rPr>
                <w:szCs w:val="21"/>
              </w:rPr>
            </w:pPr>
            <w:r w:rsidRPr="000549B1">
              <w:rPr>
                <w:szCs w:val="21"/>
              </w:rPr>
              <w:t>/</w:t>
            </w:r>
          </w:p>
        </w:tc>
      </w:tr>
      <w:tr w:rsidR="000549B1" w:rsidRPr="000549B1" w14:paraId="372654DB" w14:textId="77777777">
        <w:trPr>
          <w:trHeight w:val="340"/>
          <w:jc w:val="center"/>
        </w:trPr>
        <w:tc>
          <w:tcPr>
            <w:tcW w:w="345" w:type="pct"/>
            <w:vAlign w:val="center"/>
          </w:tcPr>
          <w:p w14:paraId="2A48A9CC" w14:textId="77777777" w:rsidR="00054437" w:rsidRPr="000549B1" w:rsidRDefault="00000000">
            <w:pPr>
              <w:widowControl/>
              <w:spacing w:line="360" w:lineRule="exact"/>
              <w:jc w:val="center"/>
              <w:rPr>
                <w:kern w:val="0"/>
                <w:szCs w:val="21"/>
              </w:rPr>
            </w:pPr>
            <w:r w:rsidRPr="000549B1">
              <w:rPr>
                <w:kern w:val="0"/>
                <w:szCs w:val="21"/>
              </w:rPr>
              <w:t>2</w:t>
            </w:r>
          </w:p>
        </w:tc>
        <w:tc>
          <w:tcPr>
            <w:tcW w:w="316" w:type="pct"/>
            <w:vMerge/>
            <w:vAlign w:val="center"/>
          </w:tcPr>
          <w:p w14:paraId="40A6BD05" w14:textId="77777777" w:rsidR="00054437" w:rsidRPr="000549B1" w:rsidRDefault="00054437">
            <w:pPr>
              <w:widowControl/>
              <w:spacing w:line="360" w:lineRule="exact"/>
              <w:jc w:val="center"/>
              <w:rPr>
                <w:kern w:val="0"/>
                <w:szCs w:val="21"/>
              </w:rPr>
            </w:pPr>
          </w:p>
        </w:tc>
        <w:tc>
          <w:tcPr>
            <w:tcW w:w="650" w:type="pct"/>
            <w:vAlign w:val="center"/>
          </w:tcPr>
          <w:p w14:paraId="57AE2E59" w14:textId="77777777" w:rsidR="00054437" w:rsidRPr="000549B1" w:rsidRDefault="00000000">
            <w:pPr>
              <w:widowControl/>
              <w:spacing w:line="360" w:lineRule="exact"/>
              <w:jc w:val="center"/>
              <w:rPr>
                <w:kern w:val="0"/>
                <w:szCs w:val="21"/>
              </w:rPr>
            </w:pPr>
            <w:r w:rsidRPr="000549B1">
              <w:rPr>
                <w:kern w:val="0"/>
                <w:szCs w:val="21"/>
              </w:rPr>
              <w:t>切吉河</w:t>
            </w:r>
          </w:p>
        </w:tc>
        <w:tc>
          <w:tcPr>
            <w:tcW w:w="1333" w:type="pct"/>
            <w:vAlign w:val="center"/>
          </w:tcPr>
          <w:p w14:paraId="5034FBC0" w14:textId="77777777" w:rsidR="00054437" w:rsidRPr="000549B1" w:rsidRDefault="00000000">
            <w:pPr>
              <w:widowControl/>
              <w:spacing w:line="360" w:lineRule="exact"/>
              <w:jc w:val="center"/>
              <w:rPr>
                <w:kern w:val="0"/>
                <w:szCs w:val="21"/>
              </w:rPr>
            </w:pPr>
            <w:r w:rsidRPr="000549B1">
              <w:rPr>
                <w:kern w:val="0"/>
                <w:szCs w:val="21"/>
              </w:rPr>
              <w:t>切吉水库上游</w:t>
            </w:r>
            <w:r w:rsidRPr="000549B1">
              <w:rPr>
                <w:kern w:val="0"/>
                <w:szCs w:val="21"/>
              </w:rPr>
              <w:t>2km</w:t>
            </w:r>
          </w:p>
        </w:tc>
        <w:tc>
          <w:tcPr>
            <w:tcW w:w="1189" w:type="pct"/>
            <w:vMerge/>
            <w:vAlign w:val="center"/>
          </w:tcPr>
          <w:p w14:paraId="1BAAD26A" w14:textId="77777777" w:rsidR="00054437" w:rsidRPr="000549B1" w:rsidRDefault="00054437">
            <w:pPr>
              <w:widowControl/>
              <w:spacing w:line="360" w:lineRule="exact"/>
              <w:jc w:val="center"/>
              <w:rPr>
                <w:kern w:val="0"/>
                <w:szCs w:val="21"/>
              </w:rPr>
            </w:pPr>
          </w:p>
        </w:tc>
        <w:tc>
          <w:tcPr>
            <w:tcW w:w="1165" w:type="pct"/>
            <w:vAlign w:val="center"/>
          </w:tcPr>
          <w:p w14:paraId="0356E1F0" w14:textId="77777777" w:rsidR="00054437" w:rsidRPr="000549B1" w:rsidRDefault="00000000">
            <w:pPr>
              <w:widowControl/>
              <w:spacing w:line="360" w:lineRule="exact"/>
              <w:jc w:val="center"/>
              <w:rPr>
                <w:kern w:val="0"/>
                <w:szCs w:val="21"/>
              </w:rPr>
            </w:pPr>
            <w:r w:rsidRPr="000549B1">
              <w:rPr>
                <w:szCs w:val="21"/>
              </w:rPr>
              <w:t>《地表水环境质量标准》（</w:t>
            </w:r>
            <w:r w:rsidRPr="000549B1">
              <w:rPr>
                <w:szCs w:val="21"/>
              </w:rPr>
              <w:t>GB3838-2002</w:t>
            </w:r>
            <w:r w:rsidRPr="000549B1">
              <w:rPr>
                <w:szCs w:val="21"/>
              </w:rPr>
              <w:t>）表</w:t>
            </w:r>
            <w:r w:rsidRPr="000549B1">
              <w:rPr>
                <w:szCs w:val="21"/>
              </w:rPr>
              <w:t>2</w:t>
            </w:r>
            <w:r w:rsidRPr="000549B1">
              <w:rPr>
                <w:szCs w:val="21"/>
              </w:rPr>
              <w:t>集中式生活饮用水地表水源地补充项目：硫酸盐、氯化物、硝酸盐、铁、锰共</w:t>
            </w:r>
            <w:r w:rsidRPr="000549B1">
              <w:rPr>
                <w:szCs w:val="21"/>
              </w:rPr>
              <w:t>5</w:t>
            </w:r>
            <w:r w:rsidRPr="000549B1">
              <w:rPr>
                <w:szCs w:val="21"/>
              </w:rPr>
              <w:t>项；营养状态评价指标：叶绿素</w:t>
            </w:r>
            <w:r w:rsidRPr="000549B1">
              <w:rPr>
                <w:szCs w:val="21"/>
              </w:rPr>
              <w:t>a(ch1-a)</w:t>
            </w:r>
            <w:r w:rsidRPr="000549B1">
              <w:rPr>
                <w:szCs w:val="21"/>
              </w:rPr>
              <w:t>、总磷</w:t>
            </w:r>
            <w:r w:rsidRPr="000549B1">
              <w:rPr>
                <w:szCs w:val="21"/>
              </w:rPr>
              <w:t>(TP)</w:t>
            </w:r>
            <w:r w:rsidRPr="000549B1">
              <w:rPr>
                <w:szCs w:val="21"/>
              </w:rPr>
              <w:t>、总氮</w:t>
            </w:r>
            <w:r w:rsidRPr="000549B1">
              <w:rPr>
                <w:szCs w:val="21"/>
              </w:rPr>
              <w:t>(TN)</w:t>
            </w:r>
            <w:r w:rsidRPr="000549B1">
              <w:rPr>
                <w:szCs w:val="21"/>
              </w:rPr>
              <w:t>、透明度（</w:t>
            </w:r>
            <w:r w:rsidRPr="000549B1">
              <w:rPr>
                <w:szCs w:val="21"/>
              </w:rPr>
              <w:t>SD</w:t>
            </w:r>
            <w:r w:rsidRPr="000549B1">
              <w:rPr>
                <w:szCs w:val="21"/>
              </w:rPr>
              <w:t>）和高锰酸盐指数（</w:t>
            </w:r>
            <w:r w:rsidRPr="000549B1">
              <w:rPr>
                <w:szCs w:val="21"/>
              </w:rPr>
              <w:t>COD</w:t>
            </w:r>
            <w:r w:rsidRPr="000549B1">
              <w:rPr>
                <w:szCs w:val="21"/>
                <w:vertAlign w:val="subscript"/>
              </w:rPr>
              <w:t>Mn</w:t>
            </w:r>
            <w:r w:rsidRPr="000549B1">
              <w:rPr>
                <w:szCs w:val="21"/>
              </w:rPr>
              <w:t>)</w:t>
            </w:r>
            <w:r w:rsidRPr="000549B1">
              <w:rPr>
                <w:szCs w:val="21"/>
              </w:rPr>
              <w:t>共</w:t>
            </w:r>
            <w:r w:rsidRPr="000549B1">
              <w:rPr>
                <w:szCs w:val="21"/>
              </w:rPr>
              <w:t>5</w:t>
            </w:r>
            <w:r w:rsidRPr="000549B1">
              <w:rPr>
                <w:szCs w:val="21"/>
              </w:rPr>
              <w:t>项</w:t>
            </w:r>
          </w:p>
        </w:tc>
      </w:tr>
      <w:tr w:rsidR="000549B1" w:rsidRPr="000549B1" w14:paraId="30B598A7" w14:textId="77777777">
        <w:trPr>
          <w:trHeight w:val="340"/>
          <w:jc w:val="center"/>
        </w:trPr>
        <w:tc>
          <w:tcPr>
            <w:tcW w:w="345" w:type="pct"/>
            <w:vAlign w:val="center"/>
          </w:tcPr>
          <w:p w14:paraId="549236E4" w14:textId="77777777" w:rsidR="00054437" w:rsidRPr="000549B1" w:rsidRDefault="00000000">
            <w:pPr>
              <w:widowControl/>
              <w:spacing w:line="360" w:lineRule="exact"/>
              <w:jc w:val="center"/>
              <w:rPr>
                <w:kern w:val="0"/>
                <w:szCs w:val="21"/>
              </w:rPr>
            </w:pPr>
            <w:r w:rsidRPr="000549B1">
              <w:rPr>
                <w:kern w:val="0"/>
                <w:szCs w:val="21"/>
              </w:rPr>
              <w:t>3</w:t>
            </w:r>
          </w:p>
        </w:tc>
        <w:tc>
          <w:tcPr>
            <w:tcW w:w="316" w:type="pct"/>
            <w:vMerge/>
            <w:vAlign w:val="center"/>
          </w:tcPr>
          <w:p w14:paraId="0850A0CC" w14:textId="77777777" w:rsidR="00054437" w:rsidRPr="000549B1" w:rsidRDefault="00054437">
            <w:pPr>
              <w:widowControl/>
              <w:spacing w:line="360" w:lineRule="exact"/>
              <w:jc w:val="center"/>
              <w:rPr>
                <w:kern w:val="0"/>
                <w:szCs w:val="21"/>
              </w:rPr>
            </w:pPr>
          </w:p>
        </w:tc>
        <w:tc>
          <w:tcPr>
            <w:tcW w:w="650" w:type="pct"/>
            <w:vAlign w:val="center"/>
          </w:tcPr>
          <w:p w14:paraId="18356F07" w14:textId="77777777" w:rsidR="00054437" w:rsidRPr="000549B1" w:rsidRDefault="00000000">
            <w:pPr>
              <w:widowControl/>
              <w:spacing w:line="360" w:lineRule="exact"/>
              <w:jc w:val="center"/>
              <w:rPr>
                <w:kern w:val="0"/>
                <w:szCs w:val="21"/>
              </w:rPr>
            </w:pPr>
            <w:r w:rsidRPr="000549B1">
              <w:rPr>
                <w:kern w:val="0"/>
                <w:szCs w:val="21"/>
              </w:rPr>
              <w:t>切吉河</w:t>
            </w:r>
          </w:p>
        </w:tc>
        <w:tc>
          <w:tcPr>
            <w:tcW w:w="1333" w:type="pct"/>
            <w:vAlign w:val="center"/>
          </w:tcPr>
          <w:p w14:paraId="54F12CDE" w14:textId="77777777" w:rsidR="00054437" w:rsidRPr="000549B1" w:rsidRDefault="00000000">
            <w:pPr>
              <w:widowControl/>
              <w:spacing w:line="360" w:lineRule="exact"/>
              <w:jc w:val="center"/>
              <w:rPr>
                <w:kern w:val="0"/>
                <w:szCs w:val="21"/>
              </w:rPr>
            </w:pPr>
            <w:r w:rsidRPr="000549B1">
              <w:rPr>
                <w:kern w:val="0"/>
                <w:szCs w:val="21"/>
              </w:rPr>
              <w:t>切吉水库库区</w:t>
            </w:r>
          </w:p>
        </w:tc>
        <w:tc>
          <w:tcPr>
            <w:tcW w:w="1189" w:type="pct"/>
            <w:vMerge/>
            <w:vAlign w:val="center"/>
          </w:tcPr>
          <w:p w14:paraId="43532BDF" w14:textId="77777777" w:rsidR="00054437" w:rsidRPr="000549B1" w:rsidRDefault="00054437">
            <w:pPr>
              <w:widowControl/>
              <w:spacing w:line="360" w:lineRule="exact"/>
              <w:jc w:val="center"/>
              <w:rPr>
                <w:kern w:val="0"/>
                <w:szCs w:val="21"/>
              </w:rPr>
            </w:pPr>
          </w:p>
        </w:tc>
        <w:tc>
          <w:tcPr>
            <w:tcW w:w="1165" w:type="pct"/>
            <w:vAlign w:val="center"/>
          </w:tcPr>
          <w:p w14:paraId="68C6E114" w14:textId="77777777" w:rsidR="00054437" w:rsidRPr="000549B1" w:rsidRDefault="00000000">
            <w:pPr>
              <w:widowControl/>
              <w:spacing w:line="360" w:lineRule="exact"/>
              <w:jc w:val="center"/>
              <w:rPr>
                <w:kern w:val="0"/>
                <w:szCs w:val="21"/>
              </w:rPr>
            </w:pPr>
            <w:r w:rsidRPr="000549B1">
              <w:rPr>
                <w:kern w:val="0"/>
                <w:szCs w:val="21"/>
              </w:rPr>
              <w:t>/</w:t>
            </w:r>
          </w:p>
        </w:tc>
      </w:tr>
      <w:tr w:rsidR="000549B1" w:rsidRPr="000549B1" w14:paraId="3ABCCA02" w14:textId="77777777">
        <w:trPr>
          <w:trHeight w:val="340"/>
          <w:jc w:val="center"/>
        </w:trPr>
        <w:tc>
          <w:tcPr>
            <w:tcW w:w="345" w:type="pct"/>
            <w:vAlign w:val="center"/>
          </w:tcPr>
          <w:p w14:paraId="41AE1715" w14:textId="77777777" w:rsidR="00054437" w:rsidRPr="000549B1" w:rsidRDefault="00000000">
            <w:pPr>
              <w:widowControl/>
              <w:spacing w:line="360" w:lineRule="exact"/>
              <w:jc w:val="center"/>
              <w:rPr>
                <w:kern w:val="0"/>
                <w:szCs w:val="21"/>
              </w:rPr>
            </w:pPr>
            <w:r w:rsidRPr="000549B1">
              <w:rPr>
                <w:kern w:val="0"/>
                <w:szCs w:val="21"/>
              </w:rPr>
              <w:t>4</w:t>
            </w:r>
          </w:p>
        </w:tc>
        <w:tc>
          <w:tcPr>
            <w:tcW w:w="316" w:type="pct"/>
            <w:vMerge/>
            <w:vAlign w:val="center"/>
          </w:tcPr>
          <w:p w14:paraId="4EB8675B" w14:textId="77777777" w:rsidR="00054437" w:rsidRPr="000549B1" w:rsidRDefault="00054437">
            <w:pPr>
              <w:widowControl/>
              <w:spacing w:line="360" w:lineRule="exact"/>
              <w:jc w:val="center"/>
              <w:rPr>
                <w:kern w:val="0"/>
                <w:szCs w:val="21"/>
              </w:rPr>
            </w:pPr>
          </w:p>
        </w:tc>
        <w:tc>
          <w:tcPr>
            <w:tcW w:w="650" w:type="pct"/>
            <w:vAlign w:val="center"/>
          </w:tcPr>
          <w:p w14:paraId="1361E906" w14:textId="77777777" w:rsidR="00054437" w:rsidRPr="000549B1" w:rsidRDefault="00000000">
            <w:pPr>
              <w:widowControl/>
              <w:spacing w:line="360" w:lineRule="exact"/>
              <w:jc w:val="center"/>
              <w:rPr>
                <w:kern w:val="0"/>
                <w:szCs w:val="21"/>
              </w:rPr>
            </w:pPr>
            <w:r w:rsidRPr="000549B1">
              <w:rPr>
                <w:kern w:val="0"/>
                <w:szCs w:val="21"/>
              </w:rPr>
              <w:t>切吉河</w:t>
            </w:r>
          </w:p>
        </w:tc>
        <w:tc>
          <w:tcPr>
            <w:tcW w:w="1333" w:type="pct"/>
            <w:vAlign w:val="center"/>
          </w:tcPr>
          <w:p w14:paraId="2E35524A" w14:textId="77777777" w:rsidR="00054437" w:rsidRPr="000549B1" w:rsidRDefault="00000000">
            <w:pPr>
              <w:widowControl/>
              <w:spacing w:line="360" w:lineRule="exact"/>
              <w:jc w:val="center"/>
              <w:rPr>
                <w:kern w:val="0"/>
                <w:szCs w:val="21"/>
              </w:rPr>
            </w:pPr>
            <w:r w:rsidRPr="000549B1">
              <w:rPr>
                <w:kern w:val="0"/>
                <w:szCs w:val="21"/>
              </w:rPr>
              <w:t>切吉河下游</w:t>
            </w:r>
          </w:p>
        </w:tc>
        <w:tc>
          <w:tcPr>
            <w:tcW w:w="1189" w:type="pct"/>
            <w:vMerge/>
            <w:vAlign w:val="center"/>
          </w:tcPr>
          <w:p w14:paraId="4EA2A2D2" w14:textId="77777777" w:rsidR="00054437" w:rsidRPr="000549B1" w:rsidRDefault="00054437">
            <w:pPr>
              <w:widowControl/>
              <w:spacing w:line="360" w:lineRule="exact"/>
              <w:jc w:val="center"/>
              <w:rPr>
                <w:kern w:val="0"/>
                <w:szCs w:val="21"/>
              </w:rPr>
            </w:pPr>
          </w:p>
        </w:tc>
        <w:tc>
          <w:tcPr>
            <w:tcW w:w="1165" w:type="pct"/>
            <w:vAlign w:val="center"/>
          </w:tcPr>
          <w:p w14:paraId="504D2622" w14:textId="77777777" w:rsidR="00054437" w:rsidRPr="000549B1" w:rsidRDefault="00000000">
            <w:pPr>
              <w:widowControl/>
              <w:spacing w:line="360" w:lineRule="exact"/>
              <w:jc w:val="center"/>
              <w:rPr>
                <w:kern w:val="0"/>
                <w:szCs w:val="21"/>
              </w:rPr>
            </w:pPr>
            <w:r w:rsidRPr="000549B1">
              <w:rPr>
                <w:kern w:val="0"/>
                <w:szCs w:val="21"/>
              </w:rPr>
              <w:t>/</w:t>
            </w:r>
          </w:p>
        </w:tc>
      </w:tr>
    </w:tbl>
    <w:p w14:paraId="779E7887" w14:textId="77777777" w:rsidR="00054437" w:rsidRPr="000549B1" w:rsidRDefault="00000000">
      <w:pPr>
        <w:adjustRightInd w:val="0"/>
        <w:snapToGrid w:val="0"/>
        <w:spacing w:beforeLines="50" w:before="156" w:line="348" w:lineRule="auto"/>
        <w:ind w:firstLine="482"/>
        <w:rPr>
          <w:kern w:val="0"/>
          <w:sz w:val="24"/>
          <w:szCs w:val="24"/>
        </w:rPr>
      </w:pPr>
      <w:r w:rsidRPr="000549B1">
        <w:rPr>
          <w:kern w:val="0"/>
          <w:sz w:val="24"/>
          <w:szCs w:val="24"/>
        </w:rPr>
        <w:t>（</w:t>
      </w:r>
      <w:r w:rsidRPr="000549B1">
        <w:rPr>
          <w:kern w:val="0"/>
          <w:sz w:val="24"/>
          <w:szCs w:val="24"/>
        </w:rPr>
        <w:t>3</w:t>
      </w:r>
      <w:r w:rsidRPr="000549B1">
        <w:rPr>
          <w:kern w:val="0"/>
          <w:sz w:val="24"/>
          <w:szCs w:val="24"/>
        </w:rPr>
        <w:t>）监测时间及频次</w:t>
      </w:r>
    </w:p>
    <w:p w14:paraId="1582D007" w14:textId="77777777" w:rsidR="00054437" w:rsidRPr="000549B1" w:rsidRDefault="00000000">
      <w:pPr>
        <w:adjustRightInd w:val="0"/>
        <w:snapToGrid w:val="0"/>
        <w:spacing w:beforeLines="50" w:before="156" w:line="348" w:lineRule="auto"/>
        <w:ind w:firstLine="482"/>
        <w:rPr>
          <w:kern w:val="0"/>
          <w:sz w:val="24"/>
          <w:szCs w:val="24"/>
        </w:rPr>
      </w:pPr>
      <w:r w:rsidRPr="000549B1">
        <w:rPr>
          <w:kern w:val="0"/>
          <w:sz w:val="24"/>
          <w:szCs w:val="24"/>
        </w:rPr>
        <w:t>枯水期（</w:t>
      </w:r>
      <w:r w:rsidRPr="000549B1">
        <w:rPr>
          <w:kern w:val="0"/>
          <w:sz w:val="24"/>
          <w:szCs w:val="24"/>
        </w:rPr>
        <w:t>4</w:t>
      </w:r>
      <w:r w:rsidRPr="000549B1">
        <w:rPr>
          <w:kern w:val="0"/>
          <w:sz w:val="24"/>
          <w:szCs w:val="24"/>
        </w:rPr>
        <w:t>月</w:t>
      </w:r>
      <w:r w:rsidRPr="000549B1">
        <w:rPr>
          <w:kern w:val="0"/>
          <w:sz w:val="24"/>
          <w:szCs w:val="24"/>
        </w:rPr>
        <w:t>22</w:t>
      </w:r>
      <w:r w:rsidRPr="000549B1">
        <w:rPr>
          <w:kern w:val="0"/>
          <w:sz w:val="24"/>
          <w:szCs w:val="24"/>
        </w:rPr>
        <w:t>日</w:t>
      </w:r>
      <w:r w:rsidRPr="000549B1">
        <w:rPr>
          <w:kern w:val="0"/>
          <w:sz w:val="24"/>
          <w:szCs w:val="24"/>
        </w:rPr>
        <w:t>-25</w:t>
      </w:r>
      <w:r w:rsidRPr="000549B1">
        <w:rPr>
          <w:kern w:val="0"/>
          <w:sz w:val="24"/>
          <w:szCs w:val="24"/>
        </w:rPr>
        <w:t>日）、丰水期（</w:t>
      </w:r>
      <w:r w:rsidRPr="000549B1">
        <w:rPr>
          <w:kern w:val="0"/>
          <w:sz w:val="24"/>
          <w:szCs w:val="24"/>
        </w:rPr>
        <w:t>9</w:t>
      </w:r>
      <w:r w:rsidRPr="000549B1">
        <w:rPr>
          <w:kern w:val="0"/>
          <w:sz w:val="24"/>
          <w:szCs w:val="24"/>
        </w:rPr>
        <w:t>月</w:t>
      </w:r>
      <w:r w:rsidRPr="000549B1">
        <w:rPr>
          <w:kern w:val="0"/>
          <w:sz w:val="24"/>
          <w:szCs w:val="24"/>
        </w:rPr>
        <w:t>18</w:t>
      </w:r>
      <w:r w:rsidRPr="000549B1">
        <w:rPr>
          <w:kern w:val="0"/>
          <w:sz w:val="24"/>
          <w:szCs w:val="24"/>
        </w:rPr>
        <w:t>日</w:t>
      </w:r>
      <w:r w:rsidRPr="000549B1">
        <w:rPr>
          <w:kern w:val="0"/>
          <w:sz w:val="24"/>
          <w:szCs w:val="24"/>
        </w:rPr>
        <w:t>-20</w:t>
      </w:r>
      <w:r w:rsidRPr="000549B1">
        <w:rPr>
          <w:kern w:val="0"/>
          <w:sz w:val="24"/>
          <w:szCs w:val="24"/>
        </w:rPr>
        <w:t>日</w:t>
      </w:r>
      <w:r w:rsidRPr="000549B1">
        <w:rPr>
          <w:kern w:val="0"/>
          <w:sz w:val="24"/>
          <w:szCs w:val="24"/>
        </w:rPr>
        <w:t>4</w:t>
      </w:r>
      <w:r w:rsidRPr="000549B1">
        <w:rPr>
          <w:kern w:val="0"/>
          <w:sz w:val="24"/>
          <w:szCs w:val="24"/>
        </w:rPr>
        <w:t>月）分别监测</w:t>
      </w:r>
      <w:r w:rsidRPr="000549B1">
        <w:rPr>
          <w:kern w:val="0"/>
          <w:sz w:val="24"/>
          <w:szCs w:val="24"/>
        </w:rPr>
        <w:t>1</w:t>
      </w:r>
      <w:r w:rsidRPr="000549B1">
        <w:rPr>
          <w:kern w:val="0"/>
          <w:sz w:val="24"/>
          <w:szCs w:val="24"/>
        </w:rPr>
        <w:t>期，每期连续监测</w:t>
      </w:r>
      <w:r w:rsidRPr="000549B1">
        <w:rPr>
          <w:kern w:val="0"/>
          <w:sz w:val="24"/>
          <w:szCs w:val="24"/>
        </w:rPr>
        <w:t>3</w:t>
      </w:r>
      <w:r w:rsidRPr="000549B1">
        <w:rPr>
          <w:kern w:val="0"/>
          <w:sz w:val="24"/>
          <w:szCs w:val="24"/>
        </w:rPr>
        <w:t>天，每天监测</w:t>
      </w:r>
      <w:r w:rsidRPr="000549B1">
        <w:rPr>
          <w:kern w:val="0"/>
          <w:sz w:val="24"/>
          <w:szCs w:val="24"/>
        </w:rPr>
        <w:t>1</w:t>
      </w:r>
      <w:r w:rsidRPr="000549B1">
        <w:rPr>
          <w:kern w:val="0"/>
          <w:sz w:val="24"/>
          <w:szCs w:val="24"/>
        </w:rPr>
        <w:t>次。</w:t>
      </w:r>
    </w:p>
    <w:p w14:paraId="56734F1E" w14:textId="77777777" w:rsidR="00054437" w:rsidRPr="000549B1" w:rsidRDefault="00000000">
      <w:pPr>
        <w:spacing w:line="360" w:lineRule="auto"/>
        <w:ind w:firstLineChars="200" w:firstLine="480"/>
        <w:rPr>
          <w:sz w:val="24"/>
          <w:szCs w:val="24"/>
        </w:rPr>
      </w:pPr>
      <w:r w:rsidRPr="000549B1">
        <w:rPr>
          <w:sz w:val="24"/>
          <w:szCs w:val="24"/>
        </w:rPr>
        <w:t>（</w:t>
      </w:r>
      <w:r w:rsidRPr="000549B1">
        <w:rPr>
          <w:sz w:val="24"/>
          <w:szCs w:val="24"/>
        </w:rPr>
        <w:t>4</w:t>
      </w:r>
      <w:r w:rsidRPr="000549B1">
        <w:rPr>
          <w:sz w:val="24"/>
          <w:szCs w:val="24"/>
        </w:rPr>
        <w:t>）评价结果</w:t>
      </w:r>
    </w:p>
    <w:p w14:paraId="20AF230B" w14:textId="77777777" w:rsidR="00054437" w:rsidRPr="000549B1" w:rsidRDefault="00000000">
      <w:pPr>
        <w:adjustRightInd w:val="0"/>
        <w:snapToGrid w:val="0"/>
        <w:spacing w:beforeLines="50" w:before="156" w:line="348" w:lineRule="auto"/>
        <w:ind w:firstLine="482"/>
        <w:rPr>
          <w:kern w:val="0"/>
          <w:sz w:val="24"/>
          <w:szCs w:val="24"/>
        </w:rPr>
      </w:pPr>
      <w:r w:rsidRPr="000549B1">
        <w:rPr>
          <w:kern w:val="0"/>
          <w:sz w:val="24"/>
          <w:szCs w:val="24"/>
        </w:rPr>
        <w:t>针对两期补充监测数据，对沙珠玉河流域典型断面的地表水和富营养化状况进行水质评价。详见下表。</w:t>
      </w:r>
    </w:p>
    <w:p w14:paraId="79E01B1C" w14:textId="23123CE3" w:rsidR="00054437" w:rsidRPr="000549B1" w:rsidRDefault="00000000">
      <w:pPr>
        <w:pStyle w:val="aff8"/>
        <w:rPr>
          <w:color w:val="auto"/>
        </w:rPr>
      </w:pPr>
      <w:r w:rsidRPr="000549B1">
        <w:rPr>
          <w:color w:val="auto"/>
        </w:rPr>
        <w:t>表</w:t>
      </w:r>
      <w:r w:rsidR="00372953">
        <w:rPr>
          <w:color w:val="auto"/>
        </w:rPr>
        <w:fldChar w:fldCharType="begin"/>
      </w:r>
      <w:r w:rsidR="00372953">
        <w:rPr>
          <w:color w:val="auto"/>
        </w:rPr>
        <w:instrText xml:space="preserve"> STYLEREF 2 \s </w:instrText>
      </w:r>
      <w:r w:rsidR="00372953">
        <w:rPr>
          <w:color w:val="auto"/>
        </w:rPr>
        <w:fldChar w:fldCharType="separate"/>
      </w:r>
      <w:r w:rsidR="00372953">
        <w:rPr>
          <w:noProof/>
          <w:color w:val="auto"/>
        </w:rPr>
        <w:t>3.3</w:t>
      </w:r>
      <w:r w:rsidR="00372953">
        <w:rPr>
          <w:color w:val="auto"/>
        </w:rPr>
        <w:fldChar w:fldCharType="end"/>
      </w:r>
      <w:r w:rsidR="00372953">
        <w:rPr>
          <w:color w:val="auto"/>
        </w:rPr>
        <w:noBreakHyphen/>
      </w:r>
      <w:r w:rsidR="00372953">
        <w:rPr>
          <w:color w:val="auto"/>
        </w:rPr>
        <w:fldChar w:fldCharType="begin"/>
      </w:r>
      <w:r w:rsidR="00372953">
        <w:rPr>
          <w:color w:val="auto"/>
        </w:rPr>
        <w:instrText xml:space="preserve"> SEQ </w:instrText>
      </w:r>
      <w:r w:rsidR="00372953">
        <w:rPr>
          <w:color w:val="auto"/>
        </w:rPr>
        <w:instrText>表</w:instrText>
      </w:r>
      <w:r w:rsidR="00372953">
        <w:rPr>
          <w:color w:val="auto"/>
        </w:rPr>
        <w:instrText xml:space="preserve"> \* ARABIC \s 2 </w:instrText>
      </w:r>
      <w:r w:rsidR="00372953">
        <w:rPr>
          <w:color w:val="auto"/>
        </w:rPr>
        <w:fldChar w:fldCharType="separate"/>
      </w:r>
      <w:r w:rsidR="00372953">
        <w:rPr>
          <w:noProof/>
          <w:color w:val="auto"/>
        </w:rPr>
        <w:t>20</w:t>
      </w:r>
      <w:r w:rsidR="00372953">
        <w:rPr>
          <w:color w:val="auto"/>
        </w:rPr>
        <w:fldChar w:fldCharType="end"/>
      </w:r>
      <w:r w:rsidRPr="000549B1">
        <w:rPr>
          <w:color w:val="auto"/>
        </w:rPr>
        <w:t>沙珠玉河流域地表水环境现状监测成果单位：</w:t>
      </w:r>
      <w:r w:rsidRPr="000549B1">
        <w:rPr>
          <w:color w:val="auto"/>
        </w:rPr>
        <w:t>mg/L</w:t>
      </w:r>
      <w:r w:rsidRPr="000549B1">
        <w:rPr>
          <w:color w:val="auto"/>
        </w:rPr>
        <w:t>，</w:t>
      </w:r>
      <w:r w:rsidRPr="000549B1">
        <w:rPr>
          <w:color w:val="auto"/>
        </w:rPr>
        <w:t>pH</w:t>
      </w:r>
      <w:r w:rsidRPr="000549B1">
        <w:rPr>
          <w:color w:val="auto"/>
        </w:rPr>
        <w:t>、水温除外</w:t>
      </w:r>
    </w:p>
    <w:tbl>
      <w:tblPr>
        <w:tblW w:w="4999" w:type="pct"/>
        <w:tblLook w:val="04A0" w:firstRow="1" w:lastRow="0" w:firstColumn="1" w:lastColumn="0" w:noHBand="0" w:noVBand="1"/>
      </w:tblPr>
      <w:tblGrid>
        <w:gridCol w:w="1271"/>
        <w:gridCol w:w="1029"/>
        <w:gridCol w:w="676"/>
        <w:gridCol w:w="1141"/>
        <w:gridCol w:w="678"/>
        <w:gridCol w:w="1025"/>
        <w:gridCol w:w="665"/>
        <w:gridCol w:w="1141"/>
        <w:gridCol w:w="668"/>
      </w:tblGrid>
      <w:tr w:rsidR="000549B1" w:rsidRPr="000549B1" w14:paraId="17B9E6E2" w14:textId="77777777">
        <w:trPr>
          <w:trHeight w:val="270"/>
        </w:trPr>
        <w:tc>
          <w:tcPr>
            <w:tcW w:w="774" w:type="pct"/>
            <w:vMerge w:val="restart"/>
            <w:tcBorders>
              <w:top w:val="single" w:sz="4" w:space="0" w:color="000000"/>
              <w:left w:val="single" w:sz="4" w:space="0" w:color="000000"/>
              <w:bottom w:val="single" w:sz="4" w:space="0" w:color="000000"/>
              <w:right w:val="single" w:sz="4" w:space="0" w:color="000000"/>
            </w:tcBorders>
            <w:vAlign w:val="center"/>
          </w:tcPr>
          <w:p w14:paraId="257CF144" w14:textId="77777777" w:rsidR="00054437" w:rsidRPr="000549B1" w:rsidRDefault="00000000">
            <w:pPr>
              <w:widowControl/>
              <w:jc w:val="center"/>
              <w:textAlignment w:val="center"/>
              <w:rPr>
                <w:b/>
                <w:bCs/>
                <w:szCs w:val="21"/>
              </w:rPr>
            </w:pPr>
            <w:r w:rsidRPr="000549B1">
              <w:rPr>
                <w:b/>
                <w:bCs/>
                <w:kern w:val="0"/>
                <w:szCs w:val="21"/>
                <w:lang w:bidi="ar"/>
              </w:rPr>
              <w:t>监测项目</w:t>
            </w:r>
          </w:p>
        </w:tc>
        <w:tc>
          <w:tcPr>
            <w:tcW w:w="2124" w:type="pct"/>
            <w:gridSpan w:val="4"/>
            <w:tcBorders>
              <w:top w:val="single" w:sz="4" w:space="0" w:color="000000"/>
              <w:left w:val="single" w:sz="4" w:space="0" w:color="000000"/>
              <w:bottom w:val="single" w:sz="4" w:space="0" w:color="000000"/>
              <w:right w:val="single" w:sz="4" w:space="0" w:color="000000"/>
            </w:tcBorders>
            <w:vAlign w:val="center"/>
          </w:tcPr>
          <w:p w14:paraId="45408D5A" w14:textId="77777777" w:rsidR="00054437" w:rsidRPr="000549B1" w:rsidRDefault="00000000">
            <w:pPr>
              <w:widowControl/>
              <w:jc w:val="center"/>
              <w:textAlignment w:val="center"/>
              <w:rPr>
                <w:b/>
                <w:bCs/>
                <w:szCs w:val="21"/>
              </w:rPr>
            </w:pPr>
            <w:r w:rsidRPr="000549B1">
              <w:rPr>
                <w:b/>
                <w:bCs/>
                <w:kern w:val="0"/>
                <w:szCs w:val="21"/>
                <w:lang w:bidi="ar"/>
              </w:rPr>
              <w:t>切吉河水库上游</w:t>
            </w:r>
            <w:r w:rsidRPr="000549B1">
              <w:rPr>
                <w:b/>
                <w:bCs/>
                <w:kern w:val="0"/>
                <w:szCs w:val="21"/>
                <w:lang w:bidi="ar"/>
              </w:rPr>
              <w:t>2km</w:t>
            </w:r>
          </w:p>
        </w:tc>
        <w:tc>
          <w:tcPr>
            <w:tcW w:w="2100" w:type="pct"/>
            <w:gridSpan w:val="4"/>
            <w:tcBorders>
              <w:top w:val="single" w:sz="4" w:space="0" w:color="000000"/>
              <w:left w:val="single" w:sz="4" w:space="0" w:color="000000"/>
              <w:bottom w:val="single" w:sz="4" w:space="0" w:color="000000"/>
              <w:right w:val="single" w:sz="4" w:space="0" w:color="000000"/>
            </w:tcBorders>
            <w:vAlign w:val="center"/>
          </w:tcPr>
          <w:p w14:paraId="587B92C1" w14:textId="77777777" w:rsidR="00054437" w:rsidRPr="000549B1" w:rsidRDefault="00000000">
            <w:pPr>
              <w:widowControl/>
              <w:jc w:val="center"/>
              <w:textAlignment w:val="center"/>
              <w:rPr>
                <w:b/>
                <w:bCs/>
                <w:szCs w:val="21"/>
              </w:rPr>
            </w:pPr>
            <w:r w:rsidRPr="000549B1">
              <w:rPr>
                <w:b/>
                <w:bCs/>
                <w:kern w:val="0"/>
                <w:szCs w:val="21"/>
                <w:lang w:bidi="ar"/>
              </w:rPr>
              <w:t>切吉水库库区</w:t>
            </w:r>
          </w:p>
        </w:tc>
      </w:tr>
      <w:tr w:rsidR="000549B1" w:rsidRPr="000549B1" w14:paraId="0E804657" w14:textId="77777777">
        <w:trPr>
          <w:trHeight w:val="270"/>
        </w:trPr>
        <w:tc>
          <w:tcPr>
            <w:tcW w:w="774" w:type="pct"/>
            <w:vMerge/>
            <w:tcBorders>
              <w:top w:val="single" w:sz="4" w:space="0" w:color="000000"/>
              <w:left w:val="single" w:sz="4" w:space="0" w:color="000000"/>
              <w:bottom w:val="single" w:sz="4" w:space="0" w:color="000000"/>
              <w:right w:val="single" w:sz="4" w:space="0" w:color="000000"/>
            </w:tcBorders>
            <w:vAlign w:val="center"/>
          </w:tcPr>
          <w:p w14:paraId="51DB2DBD" w14:textId="77777777" w:rsidR="00054437" w:rsidRPr="000549B1" w:rsidRDefault="00054437">
            <w:pPr>
              <w:jc w:val="center"/>
              <w:rPr>
                <w:b/>
                <w:bCs/>
                <w:szCs w:val="21"/>
              </w:rPr>
            </w:pPr>
          </w:p>
        </w:tc>
        <w:tc>
          <w:tcPr>
            <w:tcW w:w="1043" w:type="pct"/>
            <w:gridSpan w:val="2"/>
            <w:tcBorders>
              <w:top w:val="single" w:sz="4" w:space="0" w:color="000000"/>
              <w:left w:val="single" w:sz="4" w:space="0" w:color="000000"/>
              <w:bottom w:val="single" w:sz="4" w:space="0" w:color="000000"/>
              <w:right w:val="single" w:sz="4" w:space="0" w:color="000000"/>
            </w:tcBorders>
            <w:vAlign w:val="center"/>
          </w:tcPr>
          <w:p w14:paraId="607689FE" w14:textId="77777777" w:rsidR="00054437" w:rsidRPr="000549B1" w:rsidRDefault="00000000">
            <w:pPr>
              <w:widowControl/>
              <w:jc w:val="center"/>
              <w:textAlignment w:val="center"/>
              <w:rPr>
                <w:b/>
                <w:bCs/>
                <w:szCs w:val="21"/>
              </w:rPr>
            </w:pPr>
            <w:r w:rsidRPr="000549B1">
              <w:rPr>
                <w:b/>
                <w:bCs/>
                <w:kern w:val="0"/>
                <w:szCs w:val="21"/>
                <w:lang w:bidi="ar"/>
              </w:rPr>
              <w:t>枯水期</w:t>
            </w:r>
            <w:r w:rsidRPr="000549B1">
              <w:rPr>
                <w:rStyle w:val="font51"/>
                <w:color w:val="auto"/>
                <w:szCs w:val="21"/>
                <w:lang w:bidi="ar"/>
              </w:rPr>
              <w:t>4</w:t>
            </w:r>
            <w:r w:rsidRPr="000549B1">
              <w:rPr>
                <w:b/>
                <w:bCs/>
                <w:kern w:val="0"/>
                <w:szCs w:val="21"/>
                <w:lang w:bidi="ar"/>
              </w:rPr>
              <w:t>月</w:t>
            </w:r>
          </w:p>
        </w:tc>
        <w:tc>
          <w:tcPr>
            <w:tcW w:w="1080" w:type="pct"/>
            <w:gridSpan w:val="2"/>
            <w:tcBorders>
              <w:top w:val="single" w:sz="4" w:space="0" w:color="000000"/>
              <w:left w:val="single" w:sz="4" w:space="0" w:color="000000"/>
              <w:bottom w:val="single" w:sz="4" w:space="0" w:color="000000"/>
              <w:right w:val="single" w:sz="4" w:space="0" w:color="000000"/>
            </w:tcBorders>
          </w:tcPr>
          <w:p w14:paraId="3E98C96A" w14:textId="77777777" w:rsidR="00054437" w:rsidRPr="000549B1" w:rsidRDefault="00000000">
            <w:pPr>
              <w:widowControl/>
              <w:textAlignment w:val="top"/>
              <w:rPr>
                <w:b/>
                <w:bCs/>
                <w:szCs w:val="21"/>
              </w:rPr>
            </w:pPr>
            <w:r w:rsidRPr="000549B1">
              <w:rPr>
                <w:b/>
                <w:bCs/>
                <w:kern w:val="0"/>
                <w:szCs w:val="21"/>
                <w:lang w:bidi="ar"/>
              </w:rPr>
              <w:t>丰水期</w:t>
            </w:r>
            <w:r w:rsidRPr="000549B1">
              <w:rPr>
                <w:rStyle w:val="font51"/>
                <w:color w:val="auto"/>
                <w:szCs w:val="21"/>
                <w:lang w:bidi="ar"/>
              </w:rPr>
              <w:t>9</w:t>
            </w:r>
            <w:r w:rsidRPr="000549B1">
              <w:rPr>
                <w:b/>
                <w:bCs/>
                <w:kern w:val="0"/>
                <w:szCs w:val="21"/>
                <w:lang w:bidi="ar"/>
              </w:rPr>
              <w:t>月</w:t>
            </w:r>
          </w:p>
        </w:tc>
        <w:tc>
          <w:tcPr>
            <w:tcW w:w="1033" w:type="pct"/>
            <w:gridSpan w:val="2"/>
            <w:tcBorders>
              <w:top w:val="single" w:sz="4" w:space="0" w:color="000000"/>
              <w:left w:val="single" w:sz="4" w:space="0" w:color="000000"/>
              <w:bottom w:val="single" w:sz="4" w:space="0" w:color="000000"/>
              <w:right w:val="single" w:sz="4" w:space="0" w:color="000000"/>
            </w:tcBorders>
            <w:vAlign w:val="center"/>
          </w:tcPr>
          <w:p w14:paraId="0673AFD1" w14:textId="77777777" w:rsidR="00054437" w:rsidRPr="000549B1" w:rsidRDefault="00000000">
            <w:pPr>
              <w:widowControl/>
              <w:jc w:val="center"/>
              <w:textAlignment w:val="center"/>
              <w:rPr>
                <w:b/>
                <w:bCs/>
                <w:szCs w:val="21"/>
              </w:rPr>
            </w:pPr>
            <w:r w:rsidRPr="000549B1">
              <w:rPr>
                <w:b/>
                <w:bCs/>
                <w:kern w:val="0"/>
                <w:szCs w:val="21"/>
                <w:lang w:bidi="ar"/>
              </w:rPr>
              <w:t>枯水期</w:t>
            </w:r>
            <w:r w:rsidRPr="000549B1">
              <w:rPr>
                <w:rStyle w:val="font51"/>
                <w:color w:val="auto"/>
                <w:szCs w:val="21"/>
                <w:lang w:bidi="ar"/>
              </w:rPr>
              <w:t>4</w:t>
            </w:r>
            <w:r w:rsidRPr="000549B1">
              <w:rPr>
                <w:b/>
                <w:bCs/>
                <w:kern w:val="0"/>
                <w:szCs w:val="21"/>
                <w:lang w:bidi="ar"/>
              </w:rPr>
              <w:t>月</w:t>
            </w:r>
          </w:p>
        </w:tc>
        <w:tc>
          <w:tcPr>
            <w:tcW w:w="1066" w:type="pct"/>
            <w:gridSpan w:val="2"/>
            <w:tcBorders>
              <w:top w:val="single" w:sz="4" w:space="0" w:color="000000"/>
              <w:left w:val="single" w:sz="4" w:space="0" w:color="000000"/>
              <w:bottom w:val="single" w:sz="4" w:space="0" w:color="000000"/>
              <w:right w:val="single" w:sz="4" w:space="0" w:color="000000"/>
            </w:tcBorders>
            <w:vAlign w:val="center"/>
          </w:tcPr>
          <w:p w14:paraId="1F2CA345" w14:textId="77777777" w:rsidR="00054437" w:rsidRPr="000549B1" w:rsidRDefault="00000000">
            <w:pPr>
              <w:widowControl/>
              <w:jc w:val="center"/>
              <w:textAlignment w:val="center"/>
              <w:rPr>
                <w:b/>
                <w:bCs/>
                <w:szCs w:val="21"/>
              </w:rPr>
            </w:pPr>
            <w:r w:rsidRPr="000549B1">
              <w:rPr>
                <w:b/>
                <w:bCs/>
                <w:kern w:val="0"/>
                <w:szCs w:val="21"/>
                <w:lang w:bidi="ar"/>
              </w:rPr>
              <w:t>丰水期</w:t>
            </w:r>
            <w:r w:rsidRPr="000549B1">
              <w:rPr>
                <w:rStyle w:val="font51"/>
                <w:color w:val="auto"/>
                <w:szCs w:val="21"/>
                <w:lang w:bidi="ar"/>
              </w:rPr>
              <w:t>9</w:t>
            </w:r>
            <w:r w:rsidRPr="000549B1">
              <w:rPr>
                <w:b/>
                <w:bCs/>
                <w:kern w:val="0"/>
                <w:szCs w:val="21"/>
                <w:lang w:bidi="ar"/>
              </w:rPr>
              <w:t>月</w:t>
            </w:r>
          </w:p>
        </w:tc>
      </w:tr>
      <w:tr w:rsidR="000549B1" w:rsidRPr="000549B1" w14:paraId="251FAE85" w14:textId="77777777">
        <w:trPr>
          <w:trHeight w:val="270"/>
        </w:trPr>
        <w:tc>
          <w:tcPr>
            <w:tcW w:w="774" w:type="pct"/>
            <w:vMerge/>
            <w:tcBorders>
              <w:top w:val="single" w:sz="4" w:space="0" w:color="000000"/>
              <w:left w:val="single" w:sz="4" w:space="0" w:color="000000"/>
              <w:bottom w:val="single" w:sz="4" w:space="0" w:color="000000"/>
              <w:right w:val="single" w:sz="4" w:space="0" w:color="000000"/>
            </w:tcBorders>
            <w:vAlign w:val="center"/>
          </w:tcPr>
          <w:p w14:paraId="6A173AE4" w14:textId="77777777" w:rsidR="00054437" w:rsidRPr="000549B1" w:rsidRDefault="00054437">
            <w:pPr>
              <w:jc w:val="center"/>
              <w:rPr>
                <w:b/>
                <w:bCs/>
                <w:szCs w:val="21"/>
              </w:rPr>
            </w:pPr>
          </w:p>
        </w:tc>
        <w:tc>
          <w:tcPr>
            <w:tcW w:w="628" w:type="pct"/>
            <w:tcBorders>
              <w:top w:val="single" w:sz="4" w:space="0" w:color="000000"/>
              <w:left w:val="single" w:sz="4" w:space="0" w:color="000000"/>
              <w:bottom w:val="single" w:sz="4" w:space="0" w:color="000000"/>
              <w:right w:val="single" w:sz="4" w:space="0" w:color="000000"/>
            </w:tcBorders>
            <w:vAlign w:val="center"/>
          </w:tcPr>
          <w:p w14:paraId="183B1B04" w14:textId="77777777" w:rsidR="00054437" w:rsidRPr="000549B1" w:rsidRDefault="00000000">
            <w:pPr>
              <w:widowControl/>
              <w:jc w:val="center"/>
              <w:textAlignment w:val="center"/>
              <w:rPr>
                <w:b/>
                <w:bCs/>
                <w:szCs w:val="21"/>
              </w:rPr>
            </w:pPr>
            <w:r w:rsidRPr="000549B1">
              <w:rPr>
                <w:b/>
                <w:bCs/>
                <w:kern w:val="0"/>
                <w:szCs w:val="21"/>
                <w:lang w:bidi="ar"/>
              </w:rPr>
              <w:t>水质均值</w:t>
            </w:r>
          </w:p>
        </w:tc>
        <w:tc>
          <w:tcPr>
            <w:tcW w:w="415" w:type="pct"/>
            <w:tcBorders>
              <w:top w:val="single" w:sz="4" w:space="0" w:color="000000"/>
              <w:left w:val="single" w:sz="4" w:space="0" w:color="000000"/>
              <w:bottom w:val="single" w:sz="4" w:space="0" w:color="000000"/>
              <w:right w:val="single" w:sz="4" w:space="0" w:color="000000"/>
            </w:tcBorders>
            <w:vAlign w:val="center"/>
          </w:tcPr>
          <w:p w14:paraId="2E88284B" w14:textId="77777777" w:rsidR="00054437" w:rsidRPr="000549B1" w:rsidRDefault="00000000">
            <w:pPr>
              <w:widowControl/>
              <w:jc w:val="center"/>
              <w:textAlignment w:val="center"/>
              <w:rPr>
                <w:b/>
                <w:bCs/>
                <w:szCs w:val="21"/>
              </w:rPr>
            </w:pPr>
            <w:r w:rsidRPr="000549B1">
              <w:rPr>
                <w:b/>
                <w:bCs/>
                <w:kern w:val="0"/>
                <w:szCs w:val="21"/>
                <w:lang w:bidi="ar"/>
              </w:rPr>
              <w:t>水质类别</w:t>
            </w:r>
          </w:p>
        </w:tc>
        <w:tc>
          <w:tcPr>
            <w:tcW w:w="665" w:type="pct"/>
            <w:tcBorders>
              <w:top w:val="single" w:sz="4" w:space="0" w:color="000000"/>
              <w:left w:val="single" w:sz="4" w:space="0" w:color="000000"/>
              <w:bottom w:val="single" w:sz="4" w:space="0" w:color="000000"/>
              <w:right w:val="single" w:sz="4" w:space="0" w:color="000000"/>
            </w:tcBorders>
            <w:vAlign w:val="center"/>
          </w:tcPr>
          <w:p w14:paraId="387E95CB" w14:textId="77777777" w:rsidR="00054437" w:rsidRPr="000549B1" w:rsidRDefault="00000000">
            <w:pPr>
              <w:widowControl/>
              <w:jc w:val="center"/>
              <w:textAlignment w:val="center"/>
              <w:rPr>
                <w:b/>
                <w:bCs/>
                <w:szCs w:val="21"/>
              </w:rPr>
            </w:pPr>
            <w:r w:rsidRPr="000549B1">
              <w:rPr>
                <w:b/>
                <w:bCs/>
                <w:kern w:val="0"/>
                <w:szCs w:val="21"/>
                <w:lang w:bidi="ar"/>
              </w:rPr>
              <w:t>水质均值</w:t>
            </w:r>
          </w:p>
        </w:tc>
        <w:tc>
          <w:tcPr>
            <w:tcW w:w="415" w:type="pct"/>
            <w:tcBorders>
              <w:top w:val="single" w:sz="4" w:space="0" w:color="000000"/>
              <w:left w:val="single" w:sz="4" w:space="0" w:color="000000"/>
              <w:bottom w:val="single" w:sz="4" w:space="0" w:color="000000"/>
              <w:right w:val="single" w:sz="4" w:space="0" w:color="000000"/>
            </w:tcBorders>
            <w:vAlign w:val="center"/>
          </w:tcPr>
          <w:p w14:paraId="6B4570B3" w14:textId="77777777" w:rsidR="00054437" w:rsidRPr="000549B1" w:rsidRDefault="00000000">
            <w:pPr>
              <w:widowControl/>
              <w:jc w:val="center"/>
              <w:textAlignment w:val="center"/>
              <w:rPr>
                <w:b/>
                <w:bCs/>
                <w:szCs w:val="21"/>
              </w:rPr>
            </w:pPr>
            <w:r w:rsidRPr="000549B1">
              <w:rPr>
                <w:b/>
                <w:bCs/>
                <w:kern w:val="0"/>
                <w:szCs w:val="21"/>
                <w:lang w:bidi="ar"/>
              </w:rPr>
              <w:t>水质类别</w:t>
            </w:r>
          </w:p>
        </w:tc>
        <w:tc>
          <w:tcPr>
            <w:tcW w:w="625" w:type="pct"/>
            <w:tcBorders>
              <w:top w:val="single" w:sz="4" w:space="0" w:color="000000"/>
              <w:left w:val="single" w:sz="4" w:space="0" w:color="000000"/>
              <w:bottom w:val="single" w:sz="4" w:space="0" w:color="000000"/>
              <w:right w:val="single" w:sz="4" w:space="0" w:color="000000"/>
            </w:tcBorders>
            <w:vAlign w:val="center"/>
          </w:tcPr>
          <w:p w14:paraId="620168B4" w14:textId="77777777" w:rsidR="00054437" w:rsidRPr="000549B1" w:rsidRDefault="00000000">
            <w:pPr>
              <w:widowControl/>
              <w:jc w:val="center"/>
              <w:textAlignment w:val="center"/>
              <w:rPr>
                <w:b/>
                <w:bCs/>
                <w:szCs w:val="21"/>
              </w:rPr>
            </w:pPr>
            <w:r w:rsidRPr="000549B1">
              <w:rPr>
                <w:b/>
                <w:bCs/>
                <w:kern w:val="0"/>
                <w:szCs w:val="21"/>
                <w:lang w:bidi="ar"/>
              </w:rPr>
              <w:t>水质均值</w:t>
            </w:r>
          </w:p>
        </w:tc>
        <w:tc>
          <w:tcPr>
            <w:tcW w:w="408" w:type="pct"/>
            <w:tcBorders>
              <w:top w:val="single" w:sz="4" w:space="0" w:color="000000"/>
              <w:left w:val="single" w:sz="4" w:space="0" w:color="000000"/>
              <w:bottom w:val="single" w:sz="4" w:space="0" w:color="000000"/>
              <w:right w:val="single" w:sz="4" w:space="0" w:color="000000"/>
            </w:tcBorders>
            <w:vAlign w:val="center"/>
          </w:tcPr>
          <w:p w14:paraId="6B1AADF6" w14:textId="77777777" w:rsidR="00054437" w:rsidRPr="000549B1" w:rsidRDefault="00000000">
            <w:pPr>
              <w:widowControl/>
              <w:jc w:val="center"/>
              <w:textAlignment w:val="center"/>
              <w:rPr>
                <w:b/>
                <w:bCs/>
                <w:szCs w:val="21"/>
              </w:rPr>
            </w:pPr>
            <w:r w:rsidRPr="000549B1">
              <w:rPr>
                <w:b/>
                <w:bCs/>
                <w:kern w:val="0"/>
                <w:szCs w:val="21"/>
                <w:lang w:bidi="ar"/>
              </w:rPr>
              <w:t>水质类别</w:t>
            </w:r>
          </w:p>
        </w:tc>
        <w:tc>
          <w:tcPr>
            <w:tcW w:w="657" w:type="pct"/>
            <w:tcBorders>
              <w:top w:val="single" w:sz="4" w:space="0" w:color="000000"/>
              <w:left w:val="single" w:sz="4" w:space="0" w:color="000000"/>
              <w:bottom w:val="single" w:sz="4" w:space="0" w:color="000000"/>
              <w:right w:val="single" w:sz="4" w:space="0" w:color="000000"/>
            </w:tcBorders>
            <w:vAlign w:val="center"/>
          </w:tcPr>
          <w:p w14:paraId="799097C5" w14:textId="77777777" w:rsidR="00054437" w:rsidRPr="000549B1" w:rsidRDefault="00000000">
            <w:pPr>
              <w:widowControl/>
              <w:jc w:val="center"/>
              <w:textAlignment w:val="center"/>
              <w:rPr>
                <w:b/>
                <w:bCs/>
                <w:szCs w:val="21"/>
              </w:rPr>
            </w:pPr>
            <w:r w:rsidRPr="000549B1">
              <w:rPr>
                <w:b/>
                <w:bCs/>
                <w:kern w:val="0"/>
                <w:szCs w:val="21"/>
                <w:lang w:bidi="ar"/>
              </w:rPr>
              <w:t>水质均值</w:t>
            </w:r>
          </w:p>
        </w:tc>
        <w:tc>
          <w:tcPr>
            <w:tcW w:w="408" w:type="pct"/>
            <w:tcBorders>
              <w:top w:val="single" w:sz="4" w:space="0" w:color="000000"/>
              <w:left w:val="single" w:sz="4" w:space="0" w:color="000000"/>
              <w:bottom w:val="single" w:sz="4" w:space="0" w:color="000000"/>
              <w:right w:val="single" w:sz="4" w:space="0" w:color="000000"/>
            </w:tcBorders>
            <w:vAlign w:val="center"/>
          </w:tcPr>
          <w:p w14:paraId="3B1B65DD" w14:textId="77777777" w:rsidR="00054437" w:rsidRPr="000549B1" w:rsidRDefault="00000000">
            <w:pPr>
              <w:widowControl/>
              <w:jc w:val="center"/>
              <w:textAlignment w:val="center"/>
              <w:rPr>
                <w:b/>
                <w:bCs/>
                <w:szCs w:val="21"/>
              </w:rPr>
            </w:pPr>
            <w:r w:rsidRPr="000549B1">
              <w:rPr>
                <w:b/>
                <w:bCs/>
                <w:kern w:val="0"/>
                <w:szCs w:val="21"/>
                <w:lang w:bidi="ar"/>
              </w:rPr>
              <w:t>水质类别</w:t>
            </w:r>
          </w:p>
        </w:tc>
      </w:tr>
      <w:tr w:rsidR="000549B1" w:rsidRPr="000549B1" w14:paraId="7AA10DB0" w14:textId="77777777">
        <w:trPr>
          <w:trHeight w:val="300"/>
        </w:trPr>
        <w:tc>
          <w:tcPr>
            <w:tcW w:w="774" w:type="pct"/>
            <w:tcBorders>
              <w:top w:val="single" w:sz="4" w:space="0" w:color="000000"/>
              <w:left w:val="single" w:sz="4" w:space="0" w:color="000000"/>
              <w:bottom w:val="single" w:sz="4" w:space="0" w:color="000000"/>
              <w:right w:val="single" w:sz="4" w:space="0" w:color="000000"/>
            </w:tcBorders>
            <w:vAlign w:val="center"/>
          </w:tcPr>
          <w:p w14:paraId="4B76F8FC" w14:textId="77777777" w:rsidR="00054437" w:rsidRPr="000549B1" w:rsidRDefault="00000000">
            <w:pPr>
              <w:widowControl/>
              <w:jc w:val="center"/>
              <w:textAlignment w:val="center"/>
              <w:rPr>
                <w:b/>
                <w:bCs/>
                <w:szCs w:val="21"/>
              </w:rPr>
            </w:pPr>
            <w:r w:rsidRPr="000549B1">
              <w:rPr>
                <w:b/>
                <w:bCs/>
                <w:kern w:val="0"/>
                <w:szCs w:val="21"/>
                <w:lang w:bidi="ar"/>
              </w:rPr>
              <w:t>pH</w:t>
            </w:r>
          </w:p>
        </w:tc>
        <w:tc>
          <w:tcPr>
            <w:tcW w:w="628" w:type="pct"/>
            <w:tcBorders>
              <w:top w:val="single" w:sz="4" w:space="0" w:color="000000"/>
              <w:left w:val="single" w:sz="4" w:space="0" w:color="000000"/>
              <w:bottom w:val="single" w:sz="4" w:space="0" w:color="000000"/>
              <w:right w:val="single" w:sz="4" w:space="0" w:color="000000"/>
            </w:tcBorders>
            <w:vAlign w:val="center"/>
          </w:tcPr>
          <w:p w14:paraId="2E3ABF21" w14:textId="77777777" w:rsidR="00054437" w:rsidRPr="000549B1" w:rsidRDefault="00000000">
            <w:pPr>
              <w:widowControl/>
              <w:jc w:val="center"/>
              <w:textAlignment w:val="center"/>
              <w:rPr>
                <w:szCs w:val="21"/>
              </w:rPr>
            </w:pPr>
            <w:r w:rsidRPr="000549B1">
              <w:rPr>
                <w:kern w:val="0"/>
                <w:szCs w:val="21"/>
                <w:lang w:bidi="ar"/>
              </w:rPr>
              <w:t>8.1</w:t>
            </w:r>
          </w:p>
        </w:tc>
        <w:tc>
          <w:tcPr>
            <w:tcW w:w="415" w:type="pct"/>
            <w:tcBorders>
              <w:top w:val="single" w:sz="4" w:space="0" w:color="000000"/>
              <w:left w:val="single" w:sz="4" w:space="0" w:color="000000"/>
              <w:bottom w:val="single" w:sz="4" w:space="0" w:color="000000"/>
              <w:right w:val="single" w:sz="4" w:space="0" w:color="000000"/>
            </w:tcBorders>
            <w:vAlign w:val="center"/>
          </w:tcPr>
          <w:p w14:paraId="1EC317D4" w14:textId="77777777" w:rsidR="00054437" w:rsidRPr="000549B1" w:rsidRDefault="00000000">
            <w:pPr>
              <w:widowControl/>
              <w:jc w:val="center"/>
              <w:textAlignment w:val="center"/>
              <w:rPr>
                <w:szCs w:val="21"/>
              </w:rPr>
            </w:pPr>
            <w:r w:rsidRPr="000549B1">
              <w:rPr>
                <w:kern w:val="0"/>
                <w:szCs w:val="21"/>
                <w:lang w:bidi="ar"/>
              </w:rPr>
              <w:t>I</w:t>
            </w:r>
          </w:p>
        </w:tc>
        <w:tc>
          <w:tcPr>
            <w:tcW w:w="665" w:type="pct"/>
            <w:tcBorders>
              <w:top w:val="single" w:sz="4" w:space="0" w:color="000000"/>
              <w:left w:val="single" w:sz="4" w:space="0" w:color="000000"/>
              <w:bottom w:val="single" w:sz="4" w:space="0" w:color="000000"/>
              <w:right w:val="single" w:sz="4" w:space="0" w:color="000000"/>
            </w:tcBorders>
            <w:noWrap/>
            <w:vAlign w:val="center"/>
          </w:tcPr>
          <w:p w14:paraId="3D75D464" w14:textId="77777777" w:rsidR="00054437" w:rsidRPr="000549B1" w:rsidRDefault="00000000">
            <w:pPr>
              <w:widowControl/>
              <w:jc w:val="center"/>
              <w:textAlignment w:val="center"/>
              <w:rPr>
                <w:szCs w:val="21"/>
              </w:rPr>
            </w:pPr>
            <w:r w:rsidRPr="000549B1">
              <w:rPr>
                <w:kern w:val="0"/>
                <w:szCs w:val="21"/>
                <w:lang w:bidi="ar"/>
              </w:rPr>
              <w:t>8.33</w:t>
            </w:r>
          </w:p>
        </w:tc>
        <w:tc>
          <w:tcPr>
            <w:tcW w:w="415" w:type="pct"/>
            <w:tcBorders>
              <w:top w:val="single" w:sz="4" w:space="0" w:color="000000"/>
              <w:left w:val="single" w:sz="4" w:space="0" w:color="000000"/>
              <w:bottom w:val="single" w:sz="4" w:space="0" w:color="000000"/>
              <w:right w:val="single" w:sz="4" w:space="0" w:color="000000"/>
            </w:tcBorders>
          </w:tcPr>
          <w:p w14:paraId="6C61D8E4" w14:textId="77777777" w:rsidR="00054437" w:rsidRPr="000549B1" w:rsidRDefault="00000000">
            <w:pPr>
              <w:widowControl/>
              <w:jc w:val="center"/>
              <w:textAlignment w:val="top"/>
              <w:rPr>
                <w:szCs w:val="21"/>
              </w:rPr>
            </w:pPr>
            <w:r w:rsidRPr="000549B1">
              <w:rPr>
                <w:kern w:val="0"/>
                <w:szCs w:val="21"/>
                <w:lang w:bidi="ar"/>
              </w:rPr>
              <w:t>I</w:t>
            </w:r>
          </w:p>
        </w:tc>
        <w:tc>
          <w:tcPr>
            <w:tcW w:w="625" w:type="pct"/>
            <w:tcBorders>
              <w:top w:val="single" w:sz="4" w:space="0" w:color="000000"/>
              <w:left w:val="single" w:sz="4" w:space="0" w:color="000000"/>
              <w:bottom w:val="single" w:sz="4" w:space="0" w:color="000000"/>
              <w:right w:val="single" w:sz="4" w:space="0" w:color="000000"/>
            </w:tcBorders>
            <w:vAlign w:val="center"/>
          </w:tcPr>
          <w:p w14:paraId="00CA977F" w14:textId="77777777" w:rsidR="00054437" w:rsidRPr="000549B1" w:rsidRDefault="00000000">
            <w:pPr>
              <w:widowControl/>
              <w:jc w:val="center"/>
              <w:textAlignment w:val="center"/>
              <w:rPr>
                <w:szCs w:val="21"/>
              </w:rPr>
            </w:pPr>
            <w:r w:rsidRPr="000549B1">
              <w:rPr>
                <w:kern w:val="0"/>
                <w:szCs w:val="21"/>
                <w:lang w:bidi="ar"/>
              </w:rPr>
              <w:t>8.1</w:t>
            </w:r>
          </w:p>
        </w:tc>
        <w:tc>
          <w:tcPr>
            <w:tcW w:w="408" w:type="pct"/>
            <w:tcBorders>
              <w:top w:val="single" w:sz="4" w:space="0" w:color="000000"/>
              <w:left w:val="single" w:sz="4" w:space="0" w:color="000000"/>
              <w:bottom w:val="single" w:sz="4" w:space="0" w:color="000000"/>
              <w:right w:val="single" w:sz="4" w:space="0" w:color="000000"/>
            </w:tcBorders>
          </w:tcPr>
          <w:p w14:paraId="77228F91" w14:textId="77777777" w:rsidR="00054437" w:rsidRPr="000549B1" w:rsidRDefault="00000000">
            <w:pPr>
              <w:widowControl/>
              <w:jc w:val="center"/>
              <w:textAlignment w:val="top"/>
              <w:rPr>
                <w:szCs w:val="21"/>
              </w:rPr>
            </w:pPr>
            <w:r w:rsidRPr="000549B1">
              <w:rPr>
                <w:kern w:val="0"/>
                <w:szCs w:val="21"/>
                <w:lang w:bidi="ar"/>
              </w:rPr>
              <w:t>I</w:t>
            </w:r>
          </w:p>
        </w:tc>
        <w:tc>
          <w:tcPr>
            <w:tcW w:w="657" w:type="pct"/>
            <w:tcBorders>
              <w:top w:val="single" w:sz="4" w:space="0" w:color="000000"/>
              <w:left w:val="single" w:sz="4" w:space="0" w:color="000000"/>
              <w:bottom w:val="single" w:sz="4" w:space="0" w:color="000000"/>
              <w:right w:val="single" w:sz="4" w:space="0" w:color="000000"/>
            </w:tcBorders>
            <w:noWrap/>
            <w:vAlign w:val="center"/>
          </w:tcPr>
          <w:p w14:paraId="03EAA2DE" w14:textId="77777777" w:rsidR="00054437" w:rsidRPr="000549B1" w:rsidRDefault="00000000">
            <w:pPr>
              <w:widowControl/>
              <w:jc w:val="center"/>
              <w:textAlignment w:val="center"/>
              <w:rPr>
                <w:szCs w:val="21"/>
              </w:rPr>
            </w:pPr>
            <w:r w:rsidRPr="000549B1">
              <w:rPr>
                <w:kern w:val="0"/>
                <w:szCs w:val="21"/>
                <w:lang w:bidi="ar"/>
              </w:rPr>
              <w:t>8.43</w:t>
            </w:r>
          </w:p>
        </w:tc>
        <w:tc>
          <w:tcPr>
            <w:tcW w:w="408" w:type="pct"/>
            <w:tcBorders>
              <w:top w:val="single" w:sz="4" w:space="0" w:color="000000"/>
              <w:left w:val="single" w:sz="4" w:space="0" w:color="000000"/>
              <w:bottom w:val="single" w:sz="4" w:space="0" w:color="000000"/>
              <w:right w:val="single" w:sz="4" w:space="0" w:color="000000"/>
            </w:tcBorders>
          </w:tcPr>
          <w:p w14:paraId="5B76E0F5" w14:textId="77777777" w:rsidR="00054437" w:rsidRPr="000549B1" w:rsidRDefault="00000000">
            <w:pPr>
              <w:widowControl/>
              <w:jc w:val="center"/>
              <w:textAlignment w:val="top"/>
              <w:rPr>
                <w:szCs w:val="21"/>
              </w:rPr>
            </w:pPr>
            <w:r w:rsidRPr="000549B1">
              <w:rPr>
                <w:kern w:val="0"/>
                <w:szCs w:val="21"/>
                <w:lang w:bidi="ar"/>
              </w:rPr>
              <w:t>I</w:t>
            </w:r>
          </w:p>
        </w:tc>
      </w:tr>
      <w:tr w:rsidR="000549B1" w:rsidRPr="000549B1" w14:paraId="6218DC97" w14:textId="77777777">
        <w:trPr>
          <w:trHeight w:val="300"/>
        </w:trPr>
        <w:tc>
          <w:tcPr>
            <w:tcW w:w="774" w:type="pct"/>
            <w:tcBorders>
              <w:top w:val="single" w:sz="4" w:space="0" w:color="000000"/>
              <w:left w:val="single" w:sz="4" w:space="0" w:color="000000"/>
              <w:bottom w:val="single" w:sz="4" w:space="0" w:color="000000"/>
              <w:right w:val="single" w:sz="4" w:space="0" w:color="000000"/>
            </w:tcBorders>
            <w:vAlign w:val="center"/>
          </w:tcPr>
          <w:p w14:paraId="0F970E5A" w14:textId="77777777" w:rsidR="00054437" w:rsidRPr="000549B1" w:rsidRDefault="00000000">
            <w:pPr>
              <w:widowControl/>
              <w:jc w:val="center"/>
              <w:textAlignment w:val="center"/>
              <w:rPr>
                <w:b/>
                <w:bCs/>
                <w:szCs w:val="21"/>
              </w:rPr>
            </w:pPr>
            <w:r w:rsidRPr="000549B1">
              <w:rPr>
                <w:b/>
                <w:bCs/>
                <w:kern w:val="0"/>
                <w:szCs w:val="21"/>
                <w:lang w:bidi="ar"/>
              </w:rPr>
              <w:t>水温</w:t>
            </w:r>
          </w:p>
        </w:tc>
        <w:tc>
          <w:tcPr>
            <w:tcW w:w="628" w:type="pct"/>
            <w:tcBorders>
              <w:top w:val="single" w:sz="4" w:space="0" w:color="000000"/>
              <w:left w:val="single" w:sz="4" w:space="0" w:color="000000"/>
              <w:bottom w:val="single" w:sz="4" w:space="0" w:color="000000"/>
              <w:right w:val="single" w:sz="4" w:space="0" w:color="000000"/>
            </w:tcBorders>
            <w:vAlign w:val="center"/>
          </w:tcPr>
          <w:p w14:paraId="310E5E73" w14:textId="77777777" w:rsidR="00054437" w:rsidRPr="000549B1" w:rsidRDefault="00000000">
            <w:pPr>
              <w:widowControl/>
              <w:jc w:val="center"/>
              <w:textAlignment w:val="center"/>
              <w:rPr>
                <w:szCs w:val="21"/>
              </w:rPr>
            </w:pPr>
            <w:r w:rsidRPr="000549B1">
              <w:rPr>
                <w:kern w:val="0"/>
                <w:szCs w:val="21"/>
                <w:lang w:bidi="ar"/>
              </w:rPr>
              <w:t>9.6</w:t>
            </w:r>
          </w:p>
        </w:tc>
        <w:tc>
          <w:tcPr>
            <w:tcW w:w="415" w:type="pct"/>
            <w:tcBorders>
              <w:top w:val="single" w:sz="4" w:space="0" w:color="000000"/>
              <w:left w:val="single" w:sz="4" w:space="0" w:color="000000"/>
              <w:bottom w:val="single" w:sz="4" w:space="0" w:color="000000"/>
              <w:right w:val="single" w:sz="4" w:space="0" w:color="000000"/>
            </w:tcBorders>
          </w:tcPr>
          <w:p w14:paraId="0F4A2DC2" w14:textId="77777777" w:rsidR="00054437" w:rsidRPr="000549B1" w:rsidRDefault="00000000">
            <w:pPr>
              <w:widowControl/>
              <w:jc w:val="center"/>
              <w:textAlignment w:val="top"/>
              <w:rPr>
                <w:szCs w:val="21"/>
              </w:rPr>
            </w:pPr>
            <w:r w:rsidRPr="000549B1">
              <w:rPr>
                <w:kern w:val="0"/>
                <w:szCs w:val="21"/>
                <w:lang w:bidi="ar"/>
              </w:rPr>
              <w:t>I</w:t>
            </w:r>
          </w:p>
        </w:tc>
        <w:tc>
          <w:tcPr>
            <w:tcW w:w="665" w:type="pct"/>
            <w:tcBorders>
              <w:top w:val="single" w:sz="4" w:space="0" w:color="000000"/>
              <w:left w:val="single" w:sz="4" w:space="0" w:color="000000"/>
              <w:bottom w:val="single" w:sz="4" w:space="0" w:color="000000"/>
              <w:right w:val="single" w:sz="4" w:space="0" w:color="000000"/>
            </w:tcBorders>
            <w:noWrap/>
            <w:vAlign w:val="center"/>
          </w:tcPr>
          <w:p w14:paraId="2BCA25FF" w14:textId="77777777" w:rsidR="00054437" w:rsidRPr="000549B1" w:rsidRDefault="00000000">
            <w:pPr>
              <w:widowControl/>
              <w:jc w:val="center"/>
              <w:textAlignment w:val="center"/>
              <w:rPr>
                <w:szCs w:val="21"/>
              </w:rPr>
            </w:pPr>
            <w:r w:rsidRPr="000549B1">
              <w:rPr>
                <w:kern w:val="0"/>
                <w:szCs w:val="21"/>
                <w:lang w:bidi="ar"/>
              </w:rPr>
              <w:t>9.80</w:t>
            </w:r>
          </w:p>
        </w:tc>
        <w:tc>
          <w:tcPr>
            <w:tcW w:w="415" w:type="pct"/>
            <w:tcBorders>
              <w:top w:val="single" w:sz="4" w:space="0" w:color="000000"/>
              <w:left w:val="single" w:sz="4" w:space="0" w:color="000000"/>
              <w:bottom w:val="single" w:sz="4" w:space="0" w:color="000000"/>
              <w:right w:val="single" w:sz="4" w:space="0" w:color="000000"/>
            </w:tcBorders>
          </w:tcPr>
          <w:p w14:paraId="05207C29" w14:textId="77777777" w:rsidR="00054437" w:rsidRPr="000549B1" w:rsidRDefault="00000000">
            <w:pPr>
              <w:widowControl/>
              <w:jc w:val="center"/>
              <w:textAlignment w:val="top"/>
              <w:rPr>
                <w:szCs w:val="21"/>
              </w:rPr>
            </w:pPr>
            <w:r w:rsidRPr="000549B1">
              <w:rPr>
                <w:kern w:val="0"/>
                <w:szCs w:val="21"/>
                <w:lang w:bidi="ar"/>
              </w:rPr>
              <w:t>I</w:t>
            </w:r>
          </w:p>
        </w:tc>
        <w:tc>
          <w:tcPr>
            <w:tcW w:w="625" w:type="pct"/>
            <w:tcBorders>
              <w:top w:val="single" w:sz="4" w:space="0" w:color="000000"/>
              <w:left w:val="single" w:sz="4" w:space="0" w:color="000000"/>
              <w:bottom w:val="single" w:sz="4" w:space="0" w:color="000000"/>
              <w:right w:val="single" w:sz="4" w:space="0" w:color="000000"/>
            </w:tcBorders>
            <w:vAlign w:val="center"/>
          </w:tcPr>
          <w:p w14:paraId="4A47E02D" w14:textId="77777777" w:rsidR="00054437" w:rsidRPr="000549B1" w:rsidRDefault="00000000">
            <w:pPr>
              <w:widowControl/>
              <w:jc w:val="center"/>
              <w:textAlignment w:val="center"/>
              <w:rPr>
                <w:szCs w:val="21"/>
              </w:rPr>
            </w:pPr>
            <w:r w:rsidRPr="000549B1">
              <w:rPr>
                <w:kern w:val="0"/>
                <w:szCs w:val="21"/>
                <w:lang w:bidi="ar"/>
              </w:rPr>
              <w:t>9.7</w:t>
            </w:r>
          </w:p>
        </w:tc>
        <w:tc>
          <w:tcPr>
            <w:tcW w:w="408" w:type="pct"/>
            <w:tcBorders>
              <w:top w:val="single" w:sz="4" w:space="0" w:color="000000"/>
              <w:left w:val="single" w:sz="4" w:space="0" w:color="000000"/>
              <w:bottom w:val="single" w:sz="4" w:space="0" w:color="000000"/>
              <w:right w:val="single" w:sz="4" w:space="0" w:color="000000"/>
            </w:tcBorders>
          </w:tcPr>
          <w:p w14:paraId="426FE96D" w14:textId="77777777" w:rsidR="00054437" w:rsidRPr="000549B1" w:rsidRDefault="00000000">
            <w:pPr>
              <w:widowControl/>
              <w:jc w:val="center"/>
              <w:textAlignment w:val="top"/>
              <w:rPr>
                <w:szCs w:val="21"/>
              </w:rPr>
            </w:pPr>
            <w:r w:rsidRPr="000549B1">
              <w:rPr>
                <w:kern w:val="0"/>
                <w:szCs w:val="21"/>
                <w:lang w:bidi="ar"/>
              </w:rPr>
              <w:t>I</w:t>
            </w:r>
          </w:p>
        </w:tc>
        <w:tc>
          <w:tcPr>
            <w:tcW w:w="657" w:type="pct"/>
            <w:tcBorders>
              <w:top w:val="single" w:sz="4" w:space="0" w:color="000000"/>
              <w:left w:val="single" w:sz="4" w:space="0" w:color="000000"/>
              <w:bottom w:val="single" w:sz="4" w:space="0" w:color="000000"/>
              <w:right w:val="single" w:sz="4" w:space="0" w:color="000000"/>
            </w:tcBorders>
            <w:noWrap/>
            <w:vAlign w:val="center"/>
          </w:tcPr>
          <w:p w14:paraId="5A5AD496" w14:textId="77777777" w:rsidR="00054437" w:rsidRPr="000549B1" w:rsidRDefault="00000000">
            <w:pPr>
              <w:widowControl/>
              <w:jc w:val="center"/>
              <w:textAlignment w:val="center"/>
              <w:rPr>
                <w:szCs w:val="21"/>
              </w:rPr>
            </w:pPr>
            <w:r w:rsidRPr="000549B1">
              <w:rPr>
                <w:kern w:val="0"/>
                <w:szCs w:val="21"/>
                <w:lang w:bidi="ar"/>
              </w:rPr>
              <w:t>12.20</w:t>
            </w:r>
          </w:p>
        </w:tc>
        <w:tc>
          <w:tcPr>
            <w:tcW w:w="408" w:type="pct"/>
            <w:tcBorders>
              <w:top w:val="single" w:sz="4" w:space="0" w:color="000000"/>
              <w:left w:val="single" w:sz="4" w:space="0" w:color="000000"/>
              <w:bottom w:val="single" w:sz="4" w:space="0" w:color="000000"/>
              <w:right w:val="single" w:sz="4" w:space="0" w:color="000000"/>
            </w:tcBorders>
          </w:tcPr>
          <w:p w14:paraId="699A5E19" w14:textId="77777777" w:rsidR="00054437" w:rsidRPr="000549B1" w:rsidRDefault="00000000">
            <w:pPr>
              <w:widowControl/>
              <w:jc w:val="center"/>
              <w:textAlignment w:val="top"/>
              <w:rPr>
                <w:szCs w:val="21"/>
              </w:rPr>
            </w:pPr>
            <w:r w:rsidRPr="000549B1">
              <w:rPr>
                <w:kern w:val="0"/>
                <w:szCs w:val="21"/>
                <w:lang w:bidi="ar"/>
              </w:rPr>
              <w:t>I</w:t>
            </w:r>
          </w:p>
        </w:tc>
      </w:tr>
      <w:tr w:rsidR="000549B1" w:rsidRPr="000549B1" w14:paraId="1B3F5937" w14:textId="77777777">
        <w:trPr>
          <w:trHeight w:val="300"/>
        </w:trPr>
        <w:tc>
          <w:tcPr>
            <w:tcW w:w="774" w:type="pct"/>
            <w:tcBorders>
              <w:top w:val="single" w:sz="4" w:space="0" w:color="000000"/>
              <w:left w:val="single" w:sz="4" w:space="0" w:color="000000"/>
              <w:bottom w:val="single" w:sz="4" w:space="0" w:color="000000"/>
              <w:right w:val="single" w:sz="4" w:space="0" w:color="000000"/>
            </w:tcBorders>
            <w:vAlign w:val="center"/>
          </w:tcPr>
          <w:p w14:paraId="6ED38231" w14:textId="77777777" w:rsidR="00054437" w:rsidRPr="000549B1" w:rsidRDefault="00000000">
            <w:pPr>
              <w:widowControl/>
              <w:jc w:val="center"/>
              <w:textAlignment w:val="center"/>
              <w:rPr>
                <w:b/>
                <w:bCs/>
                <w:szCs w:val="21"/>
              </w:rPr>
            </w:pPr>
            <w:r w:rsidRPr="000549B1">
              <w:rPr>
                <w:b/>
                <w:bCs/>
                <w:kern w:val="0"/>
                <w:szCs w:val="21"/>
                <w:lang w:bidi="ar"/>
              </w:rPr>
              <w:t>溶解氧</w:t>
            </w:r>
          </w:p>
        </w:tc>
        <w:tc>
          <w:tcPr>
            <w:tcW w:w="628" w:type="pct"/>
            <w:tcBorders>
              <w:top w:val="single" w:sz="4" w:space="0" w:color="000000"/>
              <w:left w:val="single" w:sz="4" w:space="0" w:color="000000"/>
              <w:bottom w:val="single" w:sz="4" w:space="0" w:color="000000"/>
              <w:right w:val="single" w:sz="4" w:space="0" w:color="000000"/>
            </w:tcBorders>
            <w:vAlign w:val="center"/>
          </w:tcPr>
          <w:p w14:paraId="43367CE0" w14:textId="77777777" w:rsidR="00054437" w:rsidRPr="000549B1" w:rsidRDefault="00000000">
            <w:pPr>
              <w:widowControl/>
              <w:jc w:val="center"/>
              <w:textAlignment w:val="center"/>
              <w:rPr>
                <w:szCs w:val="21"/>
              </w:rPr>
            </w:pPr>
            <w:r w:rsidRPr="000549B1">
              <w:rPr>
                <w:kern w:val="0"/>
                <w:szCs w:val="21"/>
                <w:lang w:bidi="ar"/>
              </w:rPr>
              <w:t>7.38</w:t>
            </w:r>
          </w:p>
        </w:tc>
        <w:tc>
          <w:tcPr>
            <w:tcW w:w="415" w:type="pct"/>
            <w:tcBorders>
              <w:top w:val="single" w:sz="4" w:space="0" w:color="000000"/>
              <w:left w:val="single" w:sz="4" w:space="0" w:color="000000"/>
              <w:bottom w:val="single" w:sz="4" w:space="0" w:color="000000"/>
              <w:right w:val="single" w:sz="4" w:space="0" w:color="000000"/>
            </w:tcBorders>
            <w:vAlign w:val="center"/>
          </w:tcPr>
          <w:p w14:paraId="1C616695" w14:textId="77777777" w:rsidR="00054437" w:rsidRPr="000549B1" w:rsidRDefault="00000000">
            <w:pPr>
              <w:widowControl/>
              <w:jc w:val="center"/>
              <w:textAlignment w:val="center"/>
              <w:rPr>
                <w:szCs w:val="21"/>
              </w:rPr>
            </w:pPr>
            <w:r w:rsidRPr="000549B1">
              <w:rPr>
                <w:kern w:val="0"/>
                <w:szCs w:val="21"/>
                <w:lang w:bidi="ar"/>
              </w:rPr>
              <w:t>Ⅱ</w:t>
            </w:r>
          </w:p>
        </w:tc>
        <w:tc>
          <w:tcPr>
            <w:tcW w:w="665" w:type="pct"/>
            <w:tcBorders>
              <w:top w:val="single" w:sz="4" w:space="0" w:color="000000"/>
              <w:left w:val="single" w:sz="4" w:space="0" w:color="000000"/>
              <w:bottom w:val="single" w:sz="4" w:space="0" w:color="000000"/>
              <w:right w:val="single" w:sz="4" w:space="0" w:color="000000"/>
            </w:tcBorders>
            <w:noWrap/>
            <w:vAlign w:val="center"/>
          </w:tcPr>
          <w:p w14:paraId="5FA9275C" w14:textId="77777777" w:rsidR="00054437" w:rsidRPr="000549B1" w:rsidRDefault="00000000">
            <w:pPr>
              <w:widowControl/>
              <w:jc w:val="center"/>
              <w:textAlignment w:val="center"/>
              <w:rPr>
                <w:szCs w:val="21"/>
              </w:rPr>
            </w:pPr>
            <w:r w:rsidRPr="000549B1">
              <w:rPr>
                <w:kern w:val="0"/>
                <w:szCs w:val="21"/>
                <w:lang w:bidi="ar"/>
              </w:rPr>
              <w:t>7.29</w:t>
            </w:r>
          </w:p>
        </w:tc>
        <w:tc>
          <w:tcPr>
            <w:tcW w:w="415" w:type="pct"/>
            <w:tcBorders>
              <w:top w:val="single" w:sz="4" w:space="0" w:color="000000"/>
              <w:left w:val="single" w:sz="4" w:space="0" w:color="000000"/>
              <w:bottom w:val="single" w:sz="4" w:space="0" w:color="000000"/>
              <w:right w:val="single" w:sz="4" w:space="0" w:color="000000"/>
            </w:tcBorders>
            <w:vAlign w:val="center"/>
          </w:tcPr>
          <w:p w14:paraId="7757EE54" w14:textId="77777777" w:rsidR="00054437" w:rsidRPr="000549B1" w:rsidRDefault="00000000">
            <w:pPr>
              <w:widowControl/>
              <w:jc w:val="center"/>
              <w:textAlignment w:val="center"/>
              <w:rPr>
                <w:szCs w:val="21"/>
              </w:rPr>
            </w:pPr>
            <w:r w:rsidRPr="000549B1">
              <w:rPr>
                <w:kern w:val="0"/>
                <w:szCs w:val="21"/>
                <w:lang w:bidi="ar"/>
              </w:rPr>
              <w:t>Ⅱ</w:t>
            </w:r>
          </w:p>
        </w:tc>
        <w:tc>
          <w:tcPr>
            <w:tcW w:w="625" w:type="pct"/>
            <w:tcBorders>
              <w:top w:val="single" w:sz="4" w:space="0" w:color="000000"/>
              <w:left w:val="single" w:sz="4" w:space="0" w:color="000000"/>
              <w:bottom w:val="single" w:sz="4" w:space="0" w:color="000000"/>
              <w:right w:val="single" w:sz="4" w:space="0" w:color="000000"/>
            </w:tcBorders>
            <w:vAlign w:val="center"/>
          </w:tcPr>
          <w:p w14:paraId="035EFAAA" w14:textId="77777777" w:rsidR="00054437" w:rsidRPr="000549B1" w:rsidRDefault="00000000">
            <w:pPr>
              <w:widowControl/>
              <w:jc w:val="center"/>
              <w:textAlignment w:val="center"/>
              <w:rPr>
                <w:szCs w:val="21"/>
              </w:rPr>
            </w:pPr>
            <w:r w:rsidRPr="000549B1">
              <w:rPr>
                <w:kern w:val="0"/>
                <w:szCs w:val="21"/>
                <w:lang w:bidi="ar"/>
              </w:rPr>
              <w:t>7.31</w:t>
            </w:r>
          </w:p>
        </w:tc>
        <w:tc>
          <w:tcPr>
            <w:tcW w:w="408" w:type="pct"/>
            <w:tcBorders>
              <w:top w:val="single" w:sz="4" w:space="0" w:color="000000"/>
              <w:left w:val="single" w:sz="4" w:space="0" w:color="000000"/>
              <w:bottom w:val="single" w:sz="4" w:space="0" w:color="000000"/>
              <w:right w:val="single" w:sz="4" w:space="0" w:color="000000"/>
            </w:tcBorders>
            <w:vAlign w:val="center"/>
          </w:tcPr>
          <w:p w14:paraId="6DC2FFD5" w14:textId="77777777" w:rsidR="00054437" w:rsidRPr="000549B1" w:rsidRDefault="00000000">
            <w:pPr>
              <w:widowControl/>
              <w:jc w:val="center"/>
              <w:textAlignment w:val="center"/>
              <w:rPr>
                <w:szCs w:val="21"/>
              </w:rPr>
            </w:pPr>
            <w:r w:rsidRPr="000549B1">
              <w:rPr>
                <w:kern w:val="0"/>
                <w:szCs w:val="21"/>
                <w:lang w:bidi="ar"/>
              </w:rPr>
              <w:t>Ⅱ</w:t>
            </w:r>
          </w:p>
        </w:tc>
        <w:tc>
          <w:tcPr>
            <w:tcW w:w="657" w:type="pct"/>
            <w:tcBorders>
              <w:top w:val="single" w:sz="4" w:space="0" w:color="000000"/>
              <w:left w:val="single" w:sz="4" w:space="0" w:color="000000"/>
              <w:bottom w:val="single" w:sz="4" w:space="0" w:color="000000"/>
              <w:right w:val="single" w:sz="4" w:space="0" w:color="000000"/>
            </w:tcBorders>
            <w:noWrap/>
            <w:vAlign w:val="center"/>
          </w:tcPr>
          <w:p w14:paraId="6CDD716F" w14:textId="77777777" w:rsidR="00054437" w:rsidRPr="000549B1" w:rsidRDefault="00000000">
            <w:pPr>
              <w:widowControl/>
              <w:jc w:val="center"/>
              <w:textAlignment w:val="center"/>
              <w:rPr>
                <w:szCs w:val="21"/>
              </w:rPr>
            </w:pPr>
            <w:r w:rsidRPr="000549B1">
              <w:rPr>
                <w:kern w:val="0"/>
                <w:szCs w:val="21"/>
                <w:lang w:bidi="ar"/>
              </w:rPr>
              <w:t>6.62</w:t>
            </w:r>
          </w:p>
        </w:tc>
        <w:tc>
          <w:tcPr>
            <w:tcW w:w="408" w:type="pct"/>
            <w:tcBorders>
              <w:top w:val="single" w:sz="4" w:space="0" w:color="000000"/>
              <w:left w:val="single" w:sz="4" w:space="0" w:color="000000"/>
              <w:bottom w:val="single" w:sz="4" w:space="0" w:color="000000"/>
              <w:right w:val="single" w:sz="4" w:space="0" w:color="000000"/>
            </w:tcBorders>
            <w:vAlign w:val="center"/>
          </w:tcPr>
          <w:p w14:paraId="06558E43" w14:textId="77777777" w:rsidR="00054437" w:rsidRPr="000549B1" w:rsidRDefault="00000000">
            <w:pPr>
              <w:widowControl/>
              <w:jc w:val="center"/>
              <w:textAlignment w:val="center"/>
              <w:rPr>
                <w:szCs w:val="21"/>
              </w:rPr>
            </w:pPr>
            <w:r w:rsidRPr="000549B1">
              <w:rPr>
                <w:kern w:val="0"/>
                <w:szCs w:val="21"/>
                <w:lang w:bidi="ar"/>
              </w:rPr>
              <w:t>Ⅱ</w:t>
            </w:r>
          </w:p>
        </w:tc>
      </w:tr>
      <w:tr w:rsidR="000549B1" w:rsidRPr="000549B1" w14:paraId="4947D118" w14:textId="77777777">
        <w:trPr>
          <w:trHeight w:val="300"/>
        </w:trPr>
        <w:tc>
          <w:tcPr>
            <w:tcW w:w="774" w:type="pct"/>
            <w:tcBorders>
              <w:top w:val="single" w:sz="4" w:space="0" w:color="000000"/>
              <w:left w:val="single" w:sz="4" w:space="0" w:color="000000"/>
              <w:bottom w:val="single" w:sz="4" w:space="0" w:color="000000"/>
              <w:right w:val="single" w:sz="4" w:space="0" w:color="000000"/>
            </w:tcBorders>
            <w:vAlign w:val="center"/>
          </w:tcPr>
          <w:p w14:paraId="684E4149" w14:textId="77777777" w:rsidR="00054437" w:rsidRPr="000549B1" w:rsidRDefault="00000000">
            <w:pPr>
              <w:widowControl/>
              <w:jc w:val="center"/>
              <w:textAlignment w:val="center"/>
              <w:rPr>
                <w:b/>
                <w:bCs/>
                <w:szCs w:val="21"/>
              </w:rPr>
            </w:pPr>
            <w:r w:rsidRPr="000549B1">
              <w:rPr>
                <w:b/>
                <w:bCs/>
                <w:kern w:val="0"/>
                <w:szCs w:val="21"/>
                <w:lang w:bidi="ar"/>
              </w:rPr>
              <w:t>COD</w:t>
            </w:r>
          </w:p>
        </w:tc>
        <w:tc>
          <w:tcPr>
            <w:tcW w:w="628" w:type="pct"/>
            <w:tcBorders>
              <w:top w:val="single" w:sz="4" w:space="0" w:color="000000"/>
              <w:left w:val="single" w:sz="4" w:space="0" w:color="000000"/>
              <w:bottom w:val="single" w:sz="4" w:space="0" w:color="000000"/>
              <w:right w:val="single" w:sz="4" w:space="0" w:color="000000"/>
            </w:tcBorders>
            <w:vAlign w:val="center"/>
          </w:tcPr>
          <w:p w14:paraId="1D2B711A" w14:textId="77777777" w:rsidR="00054437" w:rsidRPr="000549B1" w:rsidRDefault="00000000">
            <w:pPr>
              <w:widowControl/>
              <w:jc w:val="center"/>
              <w:textAlignment w:val="center"/>
              <w:rPr>
                <w:szCs w:val="21"/>
              </w:rPr>
            </w:pPr>
            <w:r w:rsidRPr="000549B1">
              <w:rPr>
                <w:kern w:val="0"/>
                <w:szCs w:val="21"/>
                <w:lang w:bidi="ar"/>
              </w:rPr>
              <w:t>6.75</w:t>
            </w:r>
          </w:p>
        </w:tc>
        <w:tc>
          <w:tcPr>
            <w:tcW w:w="415" w:type="pct"/>
            <w:tcBorders>
              <w:top w:val="single" w:sz="4" w:space="0" w:color="000000"/>
              <w:left w:val="single" w:sz="4" w:space="0" w:color="000000"/>
              <w:bottom w:val="single" w:sz="4" w:space="0" w:color="000000"/>
              <w:right w:val="single" w:sz="4" w:space="0" w:color="000000"/>
            </w:tcBorders>
            <w:vAlign w:val="center"/>
          </w:tcPr>
          <w:p w14:paraId="269EB549" w14:textId="77777777" w:rsidR="00054437" w:rsidRPr="000549B1" w:rsidRDefault="00000000">
            <w:pPr>
              <w:widowControl/>
              <w:jc w:val="center"/>
              <w:textAlignment w:val="center"/>
              <w:rPr>
                <w:szCs w:val="21"/>
              </w:rPr>
            </w:pPr>
            <w:r w:rsidRPr="000549B1">
              <w:rPr>
                <w:kern w:val="0"/>
                <w:szCs w:val="21"/>
                <w:lang w:bidi="ar"/>
              </w:rPr>
              <w:t>I</w:t>
            </w:r>
          </w:p>
        </w:tc>
        <w:tc>
          <w:tcPr>
            <w:tcW w:w="665" w:type="pct"/>
            <w:tcBorders>
              <w:top w:val="single" w:sz="4" w:space="0" w:color="000000"/>
              <w:left w:val="single" w:sz="4" w:space="0" w:color="000000"/>
              <w:bottom w:val="single" w:sz="4" w:space="0" w:color="000000"/>
              <w:right w:val="single" w:sz="4" w:space="0" w:color="000000"/>
            </w:tcBorders>
            <w:noWrap/>
            <w:vAlign w:val="center"/>
          </w:tcPr>
          <w:p w14:paraId="319D65E5" w14:textId="77777777" w:rsidR="00054437" w:rsidRPr="000549B1" w:rsidRDefault="00000000">
            <w:pPr>
              <w:widowControl/>
              <w:jc w:val="center"/>
              <w:textAlignment w:val="center"/>
              <w:rPr>
                <w:szCs w:val="21"/>
              </w:rPr>
            </w:pPr>
            <w:r w:rsidRPr="000549B1">
              <w:rPr>
                <w:kern w:val="0"/>
                <w:szCs w:val="21"/>
                <w:lang w:bidi="ar"/>
              </w:rPr>
              <w:t>6.67</w:t>
            </w:r>
          </w:p>
        </w:tc>
        <w:tc>
          <w:tcPr>
            <w:tcW w:w="415" w:type="pct"/>
            <w:tcBorders>
              <w:top w:val="single" w:sz="4" w:space="0" w:color="000000"/>
              <w:left w:val="single" w:sz="4" w:space="0" w:color="000000"/>
              <w:bottom w:val="single" w:sz="4" w:space="0" w:color="000000"/>
              <w:right w:val="single" w:sz="4" w:space="0" w:color="000000"/>
            </w:tcBorders>
          </w:tcPr>
          <w:p w14:paraId="7E5ADAC1" w14:textId="77777777" w:rsidR="00054437" w:rsidRPr="000549B1" w:rsidRDefault="00000000">
            <w:pPr>
              <w:widowControl/>
              <w:jc w:val="center"/>
              <w:textAlignment w:val="top"/>
              <w:rPr>
                <w:szCs w:val="21"/>
              </w:rPr>
            </w:pPr>
            <w:r w:rsidRPr="000549B1">
              <w:rPr>
                <w:kern w:val="0"/>
                <w:szCs w:val="21"/>
                <w:lang w:bidi="ar"/>
              </w:rPr>
              <w:t>I</w:t>
            </w:r>
          </w:p>
        </w:tc>
        <w:tc>
          <w:tcPr>
            <w:tcW w:w="625" w:type="pct"/>
            <w:tcBorders>
              <w:top w:val="single" w:sz="4" w:space="0" w:color="000000"/>
              <w:left w:val="single" w:sz="4" w:space="0" w:color="000000"/>
              <w:bottom w:val="single" w:sz="4" w:space="0" w:color="000000"/>
              <w:right w:val="single" w:sz="4" w:space="0" w:color="000000"/>
            </w:tcBorders>
            <w:vAlign w:val="center"/>
          </w:tcPr>
          <w:p w14:paraId="7E8712C6" w14:textId="77777777" w:rsidR="00054437" w:rsidRPr="000549B1" w:rsidRDefault="00000000">
            <w:pPr>
              <w:widowControl/>
              <w:jc w:val="center"/>
              <w:textAlignment w:val="center"/>
              <w:rPr>
                <w:szCs w:val="21"/>
              </w:rPr>
            </w:pPr>
            <w:r w:rsidRPr="000549B1">
              <w:rPr>
                <w:kern w:val="0"/>
                <w:szCs w:val="21"/>
                <w:lang w:bidi="ar"/>
              </w:rPr>
              <w:t>7</w:t>
            </w:r>
          </w:p>
        </w:tc>
        <w:tc>
          <w:tcPr>
            <w:tcW w:w="408" w:type="pct"/>
            <w:tcBorders>
              <w:top w:val="single" w:sz="4" w:space="0" w:color="000000"/>
              <w:left w:val="single" w:sz="4" w:space="0" w:color="000000"/>
              <w:bottom w:val="single" w:sz="4" w:space="0" w:color="000000"/>
              <w:right w:val="single" w:sz="4" w:space="0" w:color="000000"/>
            </w:tcBorders>
          </w:tcPr>
          <w:p w14:paraId="1EE82F17" w14:textId="77777777" w:rsidR="00054437" w:rsidRPr="000549B1" w:rsidRDefault="00000000">
            <w:pPr>
              <w:widowControl/>
              <w:jc w:val="center"/>
              <w:textAlignment w:val="top"/>
              <w:rPr>
                <w:szCs w:val="21"/>
              </w:rPr>
            </w:pPr>
            <w:r w:rsidRPr="000549B1">
              <w:rPr>
                <w:kern w:val="0"/>
                <w:szCs w:val="21"/>
                <w:lang w:bidi="ar"/>
              </w:rPr>
              <w:t>I</w:t>
            </w:r>
          </w:p>
        </w:tc>
        <w:tc>
          <w:tcPr>
            <w:tcW w:w="657" w:type="pct"/>
            <w:tcBorders>
              <w:top w:val="single" w:sz="4" w:space="0" w:color="000000"/>
              <w:left w:val="single" w:sz="4" w:space="0" w:color="000000"/>
              <w:bottom w:val="single" w:sz="4" w:space="0" w:color="000000"/>
              <w:right w:val="single" w:sz="4" w:space="0" w:color="000000"/>
            </w:tcBorders>
            <w:noWrap/>
            <w:vAlign w:val="center"/>
          </w:tcPr>
          <w:p w14:paraId="4C635441" w14:textId="77777777" w:rsidR="00054437" w:rsidRPr="000549B1" w:rsidRDefault="00000000">
            <w:pPr>
              <w:widowControl/>
              <w:jc w:val="center"/>
              <w:textAlignment w:val="center"/>
              <w:rPr>
                <w:szCs w:val="21"/>
              </w:rPr>
            </w:pPr>
            <w:r w:rsidRPr="000549B1">
              <w:rPr>
                <w:kern w:val="0"/>
                <w:szCs w:val="21"/>
                <w:lang w:bidi="ar"/>
              </w:rPr>
              <w:t>7.00</w:t>
            </w:r>
          </w:p>
        </w:tc>
        <w:tc>
          <w:tcPr>
            <w:tcW w:w="408" w:type="pct"/>
            <w:tcBorders>
              <w:top w:val="single" w:sz="4" w:space="0" w:color="000000"/>
              <w:left w:val="single" w:sz="4" w:space="0" w:color="000000"/>
              <w:bottom w:val="single" w:sz="4" w:space="0" w:color="000000"/>
              <w:right w:val="single" w:sz="4" w:space="0" w:color="000000"/>
            </w:tcBorders>
          </w:tcPr>
          <w:p w14:paraId="19A425B8" w14:textId="77777777" w:rsidR="00054437" w:rsidRPr="000549B1" w:rsidRDefault="00000000">
            <w:pPr>
              <w:widowControl/>
              <w:jc w:val="center"/>
              <w:textAlignment w:val="top"/>
              <w:rPr>
                <w:szCs w:val="21"/>
              </w:rPr>
            </w:pPr>
            <w:r w:rsidRPr="000549B1">
              <w:rPr>
                <w:kern w:val="0"/>
                <w:szCs w:val="21"/>
                <w:lang w:bidi="ar"/>
              </w:rPr>
              <w:t>I</w:t>
            </w:r>
          </w:p>
        </w:tc>
      </w:tr>
      <w:tr w:rsidR="000549B1" w:rsidRPr="000549B1" w14:paraId="2F019A52" w14:textId="77777777">
        <w:trPr>
          <w:trHeight w:val="330"/>
        </w:trPr>
        <w:tc>
          <w:tcPr>
            <w:tcW w:w="774" w:type="pct"/>
            <w:tcBorders>
              <w:top w:val="single" w:sz="4" w:space="0" w:color="000000"/>
              <w:left w:val="single" w:sz="4" w:space="0" w:color="000000"/>
              <w:bottom w:val="single" w:sz="4" w:space="0" w:color="000000"/>
              <w:right w:val="single" w:sz="4" w:space="0" w:color="000000"/>
            </w:tcBorders>
            <w:vAlign w:val="center"/>
          </w:tcPr>
          <w:p w14:paraId="632D69F9" w14:textId="77777777" w:rsidR="00054437" w:rsidRPr="000549B1" w:rsidRDefault="00000000">
            <w:pPr>
              <w:widowControl/>
              <w:jc w:val="center"/>
              <w:textAlignment w:val="center"/>
              <w:rPr>
                <w:b/>
                <w:bCs/>
                <w:szCs w:val="21"/>
              </w:rPr>
            </w:pPr>
            <w:r w:rsidRPr="000549B1">
              <w:rPr>
                <w:b/>
                <w:bCs/>
                <w:kern w:val="0"/>
                <w:szCs w:val="21"/>
                <w:lang w:bidi="ar"/>
              </w:rPr>
              <w:t>BOD</w:t>
            </w:r>
            <w:r w:rsidRPr="000549B1">
              <w:rPr>
                <w:rStyle w:val="font101"/>
                <w:color w:val="auto"/>
                <w:szCs w:val="21"/>
                <w:lang w:bidi="ar"/>
              </w:rPr>
              <w:t>5</w:t>
            </w:r>
          </w:p>
        </w:tc>
        <w:tc>
          <w:tcPr>
            <w:tcW w:w="628" w:type="pct"/>
            <w:tcBorders>
              <w:top w:val="single" w:sz="4" w:space="0" w:color="000000"/>
              <w:left w:val="single" w:sz="4" w:space="0" w:color="000000"/>
              <w:bottom w:val="single" w:sz="4" w:space="0" w:color="000000"/>
              <w:right w:val="single" w:sz="4" w:space="0" w:color="000000"/>
            </w:tcBorders>
            <w:vAlign w:val="center"/>
          </w:tcPr>
          <w:p w14:paraId="604750A5" w14:textId="77777777" w:rsidR="00054437" w:rsidRPr="000549B1" w:rsidRDefault="00000000">
            <w:pPr>
              <w:widowControl/>
              <w:jc w:val="center"/>
              <w:textAlignment w:val="center"/>
              <w:rPr>
                <w:szCs w:val="21"/>
              </w:rPr>
            </w:pPr>
            <w:r w:rsidRPr="000549B1">
              <w:rPr>
                <w:kern w:val="0"/>
                <w:szCs w:val="21"/>
                <w:lang w:bidi="ar"/>
              </w:rPr>
              <w:t>1.2</w:t>
            </w:r>
          </w:p>
        </w:tc>
        <w:tc>
          <w:tcPr>
            <w:tcW w:w="415" w:type="pct"/>
            <w:tcBorders>
              <w:top w:val="single" w:sz="4" w:space="0" w:color="000000"/>
              <w:left w:val="single" w:sz="4" w:space="0" w:color="000000"/>
              <w:bottom w:val="single" w:sz="4" w:space="0" w:color="000000"/>
              <w:right w:val="single" w:sz="4" w:space="0" w:color="000000"/>
            </w:tcBorders>
            <w:vAlign w:val="center"/>
          </w:tcPr>
          <w:p w14:paraId="2AEDA5F4" w14:textId="77777777" w:rsidR="00054437" w:rsidRPr="000549B1" w:rsidRDefault="00000000">
            <w:pPr>
              <w:widowControl/>
              <w:jc w:val="center"/>
              <w:textAlignment w:val="center"/>
              <w:rPr>
                <w:szCs w:val="21"/>
              </w:rPr>
            </w:pPr>
            <w:r w:rsidRPr="000549B1">
              <w:rPr>
                <w:kern w:val="0"/>
                <w:szCs w:val="21"/>
                <w:lang w:bidi="ar"/>
              </w:rPr>
              <w:t>I</w:t>
            </w:r>
          </w:p>
        </w:tc>
        <w:tc>
          <w:tcPr>
            <w:tcW w:w="665" w:type="pct"/>
            <w:tcBorders>
              <w:top w:val="single" w:sz="4" w:space="0" w:color="000000"/>
              <w:left w:val="single" w:sz="4" w:space="0" w:color="000000"/>
              <w:bottom w:val="single" w:sz="4" w:space="0" w:color="000000"/>
              <w:right w:val="single" w:sz="4" w:space="0" w:color="000000"/>
            </w:tcBorders>
            <w:noWrap/>
            <w:vAlign w:val="center"/>
          </w:tcPr>
          <w:p w14:paraId="7A045D93" w14:textId="77777777" w:rsidR="00054437" w:rsidRPr="000549B1" w:rsidRDefault="00000000">
            <w:pPr>
              <w:widowControl/>
              <w:jc w:val="center"/>
              <w:textAlignment w:val="center"/>
              <w:rPr>
                <w:szCs w:val="21"/>
              </w:rPr>
            </w:pPr>
            <w:r w:rsidRPr="000549B1">
              <w:rPr>
                <w:kern w:val="0"/>
                <w:szCs w:val="21"/>
                <w:lang w:bidi="ar"/>
              </w:rPr>
              <w:t>1.87</w:t>
            </w:r>
          </w:p>
        </w:tc>
        <w:tc>
          <w:tcPr>
            <w:tcW w:w="415" w:type="pct"/>
            <w:tcBorders>
              <w:top w:val="single" w:sz="4" w:space="0" w:color="000000"/>
              <w:left w:val="single" w:sz="4" w:space="0" w:color="000000"/>
              <w:bottom w:val="single" w:sz="4" w:space="0" w:color="000000"/>
              <w:right w:val="single" w:sz="4" w:space="0" w:color="000000"/>
            </w:tcBorders>
          </w:tcPr>
          <w:p w14:paraId="1486CBBD" w14:textId="77777777" w:rsidR="00054437" w:rsidRPr="000549B1" w:rsidRDefault="00000000">
            <w:pPr>
              <w:widowControl/>
              <w:jc w:val="center"/>
              <w:textAlignment w:val="top"/>
              <w:rPr>
                <w:szCs w:val="21"/>
              </w:rPr>
            </w:pPr>
            <w:r w:rsidRPr="000549B1">
              <w:rPr>
                <w:kern w:val="0"/>
                <w:szCs w:val="21"/>
                <w:lang w:bidi="ar"/>
              </w:rPr>
              <w:t>I</w:t>
            </w:r>
          </w:p>
        </w:tc>
        <w:tc>
          <w:tcPr>
            <w:tcW w:w="625" w:type="pct"/>
            <w:tcBorders>
              <w:top w:val="single" w:sz="4" w:space="0" w:color="000000"/>
              <w:left w:val="single" w:sz="4" w:space="0" w:color="000000"/>
              <w:bottom w:val="single" w:sz="4" w:space="0" w:color="000000"/>
              <w:right w:val="single" w:sz="4" w:space="0" w:color="000000"/>
            </w:tcBorders>
            <w:vAlign w:val="center"/>
          </w:tcPr>
          <w:p w14:paraId="1242C48A" w14:textId="77777777" w:rsidR="00054437" w:rsidRPr="000549B1" w:rsidRDefault="00000000">
            <w:pPr>
              <w:widowControl/>
              <w:jc w:val="center"/>
              <w:textAlignment w:val="center"/>
              <w:rPr>
                <w:szCs w:val="21"/>
              </w:rPr>
            </w:pPr>
            <w:r w:rsidRPr="000549B1">
              <w:rPr>
                <w:kern w:val="0"/>
                <w:szCs w:val="21"/>
                <w:lang w:bidi="ar"/>
              </w:rPr>
              <w:t>1.2</w:t>
            </w:r>
          </w:p>
        </w:tc>
        <w:tc>
          <w:tcPr>
            <w:tcW w:w="408" w:type="pct"/>
            <w:tcBorders>
              <w:top w:val="single" w:sz="4" w:space="0" w:color="000000"/>
              <w:left w:val="single" w:sz="4" w:space="0" w:color="000000"/>
              <w:bottom w:val="single" w:sz="4" w:space="0" w:color="000000"/>
              <w:right w:val="single" w:sz="4" w:space="0" w:color="000000"/>
            </w:tcBorders>
          </w:tcPr>
          <w:p w14:paraId="267AA26C" w14:textId="77777777" w:rsidR="00054437" w:rsidRPr="000549B1" w:rsidRDefault="00000000">
            <w:pPr>
              <w:widowControl/>
              <w:jc w:val="center"/>
              <w:textAlignment w:val="top"/>
              <w:rPr>
                <w:szCs w:val="21"/>
              </w:rPr>
            </w:pPr>
            <w:r w:rsidRPr="000549B1">
              <w:rPr>
                <w:kern w:val="0"/>
                <w:szCs w:val="21"/>
                <w:lang w:bidi="ar"/>
              </w:rPr>
              <w:t>I</w:t>
            </w:r>
          </w:p>
        </w:tc>
        <w:tc>
          <w:tcPr>
            <w:tcW w:w="657" w:type="pct"/>
            <w:tcBorders>
              <w:top w:val="single" w:sz="4" w:space="0" w:color="000000"/>
              <w:left w:val="single" w:sz="4" w:space="0" w:color="000000"/>
              <w:bottom w:val="single" w:sz="4" w:space="0" w:color="000000"/>
              <w:right w:val="single" w:sz="4" w:space="0" w:color="000000"/>
            </w:tcBorders>
            <w:noWrap/>
            <w:vAlign w:val="center"/>
          </w:tcPr>
          <w:p w14:paraId="49B5DD3B" w14:textId="77777777" w:rsidR="00054437" w:rsidRPr="000549B1" w:rsidRDefault="00000000">
            <w:pPr>
              <w:widowControl/>
              <w:jc w:val="center"/>
              <w:textAlignment w:val="center"/>
              <w:rPr>
                <w:szCs w:val="21"/>
              </w:rPr>
            </w:pPr>
            <w:r w:rsidRPr="000549B1">
              <w:rPr>
                <w:kern w:val="0"/>
                <w:szCs w:val="21"/>
                <w:lang w:bidi="ar"/>
              </w:rPr>
              <w:t>0.83</w:t>
            </w:r>
          </w:p>
        </w:tc>
        <w:tc>
          <w:tcPr>
            <w:tcW w:w="408" w:type="pct"/>
            <w:tcBorders>
              <w:top w:val="single" w:sz="4" w:space="0" w:color="000000"/>
              <w:left w:val="single" w:sz="4" w:space="0" w:color="000000"/>
              <w:bottom w:val="single" w:sz="4" w:space="0" w:color="000000"/>
              <w:right w:val="single" w:sz="4" w:space="0" w:color="000000"/>
            </w:tcBorders>
          </w:tcPr>
          <w:p w14:paraId="60F4EBA9" w14:textId="77777777" w:rsidR="00054437" w:rsidRPr="000549B1" w:rsidRDefault="00000000">
            <w:pPr>
              <w:widowControl/>
              <w:jc w:val="center"/>
              <w:textAlignment w:val="top"/>
              <w:rPr>
                <w:szCs w:val="21"/>
              </w:rPr>
            </w:pPr>
            <w:r w:rsidRPr="000549B1">
              <w:rPr>
                <w:kern w:val="0"/>
                <w:szCs w:val="21"/>
                <w:lang w:bidi="ar"/>
              </w:rPr>
              <w:t>I</w:t>
            </w:r>
          </w:p>
        </w:tc>
      </w:tr>
      <w:tr w:rsidR="000549B1" w:rsidRPr="000549B1" w14:paraId="58C7CD99" w14:textId="77777777">
        <w:trPr>
          <w:trHeight w:val="330"/>
        </w:trPr>
        <w:tc>
          <w:tcPr>
            <w:tcW w:w="774" w:type="pct"/>
            <w:tcBorders>
              <w:top w:val="single" w:sz="4" w:space="0" w:color="000000"/>
              <w:left w:val="single" w:sz="4" w:space="0" w:color="000000"/>
              <w:bottom w:val="single" w:sz="4" w:space="0" w:color="000000"/>
              <w:right w:val="single" w:sz="4" w:space="0" w:color="000000"/>
            </w:tcBorders>
            <w:vAlign w:val="center"/>
          </w:tcPr>
          <w:p w14:paraId="6B8A1327" w14:textId="77777777" w:rsidR="00054437" w:rsidRPr="000549B1" w:rsidRDefault="00000000">
            <w:pPr>
              <w:widowControl/>
              <w:jc w:val="center"/>
              <w:textAlignment w:val="center"/>
              <w:rPr>
                <w:b/>
                <w:bCs/>
                <w:szCs w:val="21"/>
              </w:rPr>
            </w:pPr>
            <w:r w:rsidRPr="000549B1">
              <w:rPr>
                <w:b/>
                <w:bCs/>
                <w:kern w:val="0"/>
                <w:szCs w:val="21"/>
                <w:lang w:bidi="ar"/>
              </w:rPr>
              <w:t>COD</w:t>
            </w:r>
            <w:r w:rsidRPr="000549B1">
              <w:rPr>
                <w:rStyle w:val="font101"/>
                <w:color w:val="auto"/>
                <w:szCs w:val="21"/>
                <w:lang w:bidi="ar"/>
              </w:rPr>
              <w:t>Mn</w:t>
            </w:r>
          </w:p>
        </w:tc>
        <w:tc>
          <w:tcPr>
            <w:tcW w:w="628" w:type="pct"/>
            <w:tcBorders>
              <w:top w:val="single" w:sz="4" w:space="0" w:color="000000"/>
              <w:left w:val="single" w:sz="4" w:space="0" w:color="000000"/>
              <w:bottom w:val="single" w:sz="4" w:space="0" w:color="000000"/>
              <w:right w:val="single" w:sz="4" w:space="0" w:color="000000"/>
            </w:tcBorders>
            <w:vAlign w:val="center"/>
          </w:tcPr>
          <w:p w14:paraId="2B0DB76E" w14:textId="77777777" w:rsidR="00054437" w:rsidRPr="000549B1" w:rsidRDefault="00000000">
            <w:pPr>
              <w:widowControl/>
              <w:jc w:val="center"/>
              <w:textAlignment w:val="center"/>
              <w:rPr>
                <w:szCs w:val="21"/>
              </w:rPr>
            </w:pPr>
            <w:r w:rsidRPr="000549B1">
              <w:rPr>
                <w:kern w:val="0"/>
                <w:szCs w:val="21"/>
                <w:lang w:bidi="ar"/>
              </w:rPr>
              <w:t>2.7</w:t>
            </w:r>
          </w:p>
        </w:tc>
        <w:tc>
          <w:tcPr>
            <w:tcW w:w="415" w:type="pct"/>
            <w:tcBorders>
              <w:top w:val="single" w:sz="4" w:space="0" w:color="000000"/>
              <w:left w:val="single" w:sz="4" w:space="0" w:color="000000"/>
              <w:bottom w:val="single" w:sz="4" w:space="0" w:color="000000"/>
              <w:right w:val="single" w:sz="4" w:space="0" w:color="000000"/>
            </w:tcBorders>
            <w:vAlign w:val="center"/>
          </w:tcPr>
          <w:p w14:paraId="4842BEF8" w14:textId="77777777" w:rsidR="00054437" w:rsidRPr="000549B1" w:rsidRDefault="00000000">
            <w:pPr>
              <w:widowControl/>
              <w:jc w:val="center"/>
              <w:textAlignment w:val="center"/>
              <w:rPr>
                <w:szCs w:val="21"/>
              </w:rPr>
            </w:pPr>
            <w:r w:rsidRPr="000549B1">
              <w:rPr>
                <w:kern w:val="0"/>
                <w:szCs w:val="21"/>
                <w:lang w:bidi="ar"/>
              </w:rPr>
              <w:t>Ⅱ</w:t>
            </w:r>
          </w:p>
        </w:tc>
        <w:tc>
          <w:tcPr>
            <w:tcW w:w="665" w:type="pct"/>
            <w:tcBorders>
              <w:top w:val="single" w:sz="4" w:space="0" w:color="000000"/>
              <w:left w:val="single" w:sz="4" w:space="0" w:color="000000"/>
              <w:bottom w:val="single" w:sz="4" w:space="0" w:color="000000"/>
              <w:right w:val="single" w:sz="4" w:space="0" w:color="000000"/>
            </w:tcBorders>
            <w:noWrap/>
            <w:vAlign w:val="center"/>
          </w:tcPr>
          <w:p w14:paraId="43A4F8ED" w14:textId="77777777" w:rsidR="00054437" w:rsidRPr="000549B1" w:rsidRDefault="00000000">
            <w:pPr>
              <w:widowControl/>
              <w:jc w:val="center"/>
              <w:textAlignment w:val="center"/>
              <w:rPr>
                <w:szCs w:val="21"/>
              </w:rPr>
            </w:pPr>
            <w:r w:rsidRPr="000549B1">
              <w:rPr>
                <w:kern w:val="0"/>
                <w:szCs w:val="21"/>
                <w:lang w:bidi="ar"/>
              </w:rPr>
              <w:t>2.00</w:t>
            </w:r>
          </w:p>
        </w:tc>
        <w:tc>
          <w:tcPr>
            <w:tcW w:w="415" w:type="pct"/>
            <w:tcBorders>
              <w:top w:val="single" w:sz="4" w:space="0" w:color="000000"/>
              <w:left w:val="single" w:sz="4" w:space="0" w:color="000000"/>
              <w:bottom w:val="single" w:sz="4" w:space="0" w:color="000000"/>
              <w:right w:val="single" w:sz="4" w:space="0" w:color="000000"/>
            </w:tcBorders>
            <w:vAlign w:val="center"/>
          </w:tcPr>
          <w:p w14:paraId="2AEE64DB" w14:textId="77777777" w:rsidR="00054437" w:rsidRPr="000549B1" w:rsidRDefault="00000000">
            <w:pPr>
              <w:widowControl/>
              <w:jc w:val="center"/>
              <w:textAlignment w:val="center"/>
              <w:rPr>
                <w:szCs w:val="21"/>
              </w:rPr>
            </w:pPr>
            <w:r w:rsidRPr="000549B1">
              <w:rPr>
                <w:kern w:val="0"/>
                <w:szCs w:val="21"/>
                <w:lang w:bidi="ar"/>
              </w:rPr>
              <w:t>I</w:t>
            </w:r>
          </w:p>
        </w:tc>
        <w:tc>
          <w:tcPr>
            <w:tcW w:w="625" w:type="pct"/>
            <w:tcBorders>
              <w:top w:val="single" w:sz="4" w:space="0" w:color="000000"/>
              <w:left w:val="single" w:sz="4" w:space="0" w:color="000000"/>
              <w:bottom w:val="single" w:sz="4" w:space="0" w:color="000000"/>
              <w:right w:val="single" w:sz="4" w:space="0" w:color="000000"/>
            </w:tcBorders>
            <w:vAlign w:val="center"/>
          </w:tcPr>
          <w:p w14:paraId="169FE759" w14:textId="77777777" w:rsidR="00054437" w:rsidRPr="000549B1" w:rsidRDefault="00000000">
            <w:pPr>
              <w:widowControl/>
              <w:jc w:val="center"/>
              <w:textAlignment w:val="center"/>
              <w:rPr>
                <w:szCs w:val="21"/>
              </w:rPr>
            </w:pPr>
            <w:r w:rsidRPr="000549B1">
              <w:rPr>
                <w:kern w:val="0"/>
                <w:szCs w:val="21"/>
                <w:lang w:bidi="ar"/>
              </w:rPr>
              <w:t>2.3</w:t>
            </w:r>
          </w:p>
        </w:tc>
        <w:tc>
          <w:tcPr>
            <w:tcW w:w="408" w:type="pct"/>
            <w:tcBorders>
              <w:top w:val="single" w:sz="4" w:space="0" w:color="000000"/>
              <w:left w:val="single" w:sz="4" w:space="0" w:color="000000"/>
              <w:bottom w:val="single" w:sz="4" w:space="0" w:color="000000"/>
              <w:right w:val="single" w:sz="4" w:space="0" w:color="000000"/>
            </w:tcBorders>
          </w:tcPr>
          <w:p w14:paraId="0F7B073E" w14:textId="77777777" w:rsidR="00054437" w:rsidRPr="000549B1" w:rsidRDefault="00000000">
            <w:pPr>
              <w:widowControl/>
              <w:jc w:val="center"/>
              <w:textAlignment w:val="top"/>
              <w:rPr>
                <w:szCs w:val="21"/>
              </w:rPr>
            </w:pPr>
            <w:r w:rsidRPr="000549B1">
              <w:rPr>
                <w:kern w:val="0"/>
                <w:szCs w:val="21"/>
                <w:lang w:bidi="ar"/>
              </w:rPr>
              <w:t>Ⅱ</w:t>
            </w:r>
          </w:p>
        </w:tc>
        <w:tc>
          <w:tcPr>
            <w:tcW w:w="657" w:type="pct"/>
            <w:tcBorders>
              <w:top w:val="single" w:sz="4" w:space="0" w:color="000000"/>
              <w:left w:val="single" w:sz="4" w:space="0" w:color="000000"/>
              <w:bottom w:val="single" w:sz="4" w:space="0" w:color="000000"/>
              <w:right w:val="single" w:sz="4" w:space="0" w:color="000000"/>
            </w:tcBorders>
            <w:noWrap/>
            <w:vAlign w:val="center"/>
          </w:tcPr>
          <w:p w14:paraId="7DD19B0E" w14:textId="77777777" w:rsidR="00054437" w:rsidRPr="000549B1" w:rsidRDefault="00000000">
            <w:pPr>
              <w:widowControl/>
              <w:jc w:val="center"/>
              <w:textAlignment w:val="center"/>
              <w:rPr>
                <w:szCs w:val="21"/>
              </w:rPr>
            </w:pPr>
            <w:r w:rsidRPr="000549B1">
              <w:rPr>
                <w:kern w:val="0"/>
                <w:szCs w:val="21"/>
                <w:lang w:bidi="ar"/>
              </w:rPr>
              <w:t>1.97</w:t>
            </w:r>
          </w:p>
        </w:tc>
        <w:tc>
          <w:tcPr>
            <w:tcW w:w="408" w:type="pct"/>
            <w:tcBorders>
              <w:top w:val="single" w:sz="4" w:space="0" w:color="000000"/>
              <w:left w:val="single" w:sz="4" w:space="0" w:color="000000"/>
              <w:bottom w:val="single" w:sz="4" w:space="0" w:color="000000"/>
              <w:right w:val="single" w:sz="4" w:space="0" w:color="000000"/>
            </w:tcBorders>
          </w:tcPr>
          <w:p w14:paraId="6D365780" w14:textId="77777777" w:rsidR="00054437" w:rsidRPr="000549B1" w:rsidRDefault="00000000">
            <w:pPr>
              <w:widowControl/>
              <w:jc w:val="center"/>
              <w:textAlignment w:val="top"/>
              <w:rPr>
                <w:szCs w:val="21"/>
              </w:rPr>
            </w:pPr>
            <w:r w:rsidRPr="000549B1">
              <w:rPr>
                <w:kern w:val="0"/>
                <w:szCs w:val="21"/>
                <w:lang w:bidi="ar"/>
              </w:rPr>
              <w:t>I</w:t>
            </w:r>
          </w:p>
        </w:tc>
      </w:tr>
      <w:tr w:rsidR="000549B1" w:rsidRPr="000549B1" w14:paraId="37AFC585" w14:textId="77777777">
        <w:trPr>
          <w:trHeight w:val="300"/>
        </w:trPr>
        <w:tc>
          <w:tcPr>
            <w:tcW w:w="774" w:type="pct"/>
            <w:tcBorders>
              <w:top w:val="single" w:sz="4" w:space="0" w:color="000000"/>
              <w:left w:val="single" w:sz="4" w:space="0" w:color="000000"/>
              <w:bottom w:val="single" w:sz="4" w:space="0" w:color="000000"/>
              <w:right w:val="single" w:sz="4" w:space="0" w:color="000000"/>
            </w:tcBorders>
            <w:vAlign w:val="center"/>
          </w:tcPr>
          <w:p w14:paraId="0427496B" w14:textId="77777777" w:rsidR="00054437" w:rsidRPr="000549B1" w:rsidRDefault="00000000">
            <w:pPr>
              <w:widowControl/>
              <w:jc w:val="center"/>
              <w:textAlignment w:val="center"/>
              <w:rPr>
                <w:b/>
                <w:bCs/>
                <w:szCs w:val="21"/>
              </w:rPr>
            </w:pPr>
            <w:r w:rsidRPr="000549B1">
              <w:rPr>
                <w:b/>
                <w:bCs/>
                <w:kern w:val="0"/>
                <w:szCs w:val="21"/>
                <w:lang w:bidi="ar"/>
              </w:rPr>
              <w:t>氨氮</w:t>
            </w:r>
          </w:p>
        </w:tc>
        <w:tc>
          <w:tcPr>
            <w:tcW w:w="628" w:type="pct"/>
            <w:tcBorders>
              <w:top w:val="single" w:sz="4" w:space="0" w:color="000000"/>
              <w:left w:val="single" w:sz="4" w:space="0" w:color="000000"/>
              <w:bottom w:val="single" w:sz="4" w:space="0" w:color="000000"/>
              <w:right w:val="single" w:sz="4" w:space="0" w:color="000000"/>
            </w:tcBorders>
            <w:vAlign w:val="center"/>
          </w:tcPr>
          <w:p w14:paraId="72383162" w14:textId="77777777" w:rsidR="00054437" w:rsidRPr="000549B1" w:rsidRDefault="00000000">
            <w:pPr>
              <w:widowControl/>
              <w:jc w:val="center"/>
              <w:textAlignment w:val="center"/>
              <w:rPr>
                <w:szCs w:val="21"/>
              </w:rPr>
            </w:pPr>
            <w:r w:rsidRPr="000549B1">
              <w:rPr>
                <w:kern w:val="0"/>
                <w:szCs w:val="21"/>
                <w:lang w:bidi="ar"/>
              </w:rPr>
              <w:t>0.094</w:t>
            </w:r>
          </w:p>
        </w:tc>
        <w:tc>
          <w:tcPr>
            <w:tcW w:w="415" w:type="pct"/>
            <w:tcBorders>
              <w:top w:val="single" w:sz="4" w:space="0" w:color="000000"/>
              <w:left w:val="single" w:sz="4" w:space="0" w:color="000000"/>
              <w:bottom w:val="single" w:sz="4" w:space="0" w:color="000000"/>
              <w:right w:val="single" w:sz="4" w:space="0" w:color="000000"/>
            </w:tcBorders>
            <w:vAlign w:val="center"/>
          </w:tcPr>
          <w:p w14:paraId="70CB808C" w14:textId="77777777" w:rsidR="00054437" w:rsidRPr="000549B1" w:rsidRDefault="00000000">
            <w:pPr>
              <w:widowControl/>
              <w:jc w:val="center"/>
              <w:textAlignment w:val="center"/>
              <w:rPr>
                <w:szCs w:val="21"/>
              </w:rPr>
            </w:pPr>
            <w:r w:rsidRPr="000549B1">
              <w:rPr>
                <w:kern w:val="0"/>
                <w:szCs w:val="21"/>
                <w:lang w:bidi="ar"/>
              </w:rPr>
              <w:t>I</w:t>
            </w:r>
          </w:p>
        </w:tc>
        <w:tc>
          <w:tcPr>
            <w:tcW w:w="665" w:type="pct"/>
            <w:tcBorders>
              <w:top w:val="single" w:sz="4" w:space="0" w:color="000000"/>
              <w:left w:val="single" w:sz="4" w:space="0" w:color="000000"/>
              <w:bottom w:val="single" w:sz="4" w:space="0" w:color="000000"/>
              <w:right w:val="single" w:sz="4" w:space="0" w:color="000000"/>
            </w:tcBorders>
            <w:noWrap/>
            <w:vAlign w:val="center"/>
          </w:tcPr>
          <w:p w14:paraId="4A0F761E" w14:textId="77777777" w:rsidR="00054437" w:rsidRPr="000549B1" w:rsidRDefault="00000000">
            <w:pPr>
              <w:widowControl/>
              <w:jc w:val="center"/>
              <w:textAlignment w:val="center"/>
              <w:rPr>
                <w:szCs w:val="21"/>
              </w:rPr>
            </w:pPr>
            <w:r w:rsidRPr="000549B1">
              <w:rPr>
                <w:kern w:val="0"/>
                <w:szCs w:val="21"/>
                <w:lang w:bidi="ar"/>
              </w:rPr>
              <w:t>0.09</w:t>
            </w:r>
          </w:p>
        </w:tc>
        <w:tc>
          <w:tcPr>
            <w:tcW w:w="415" w:type="pct"/>
            <w:tcBorders>
              <w:top w:val="single" w:sz="4" w:space="0" w:color="000000"/>
              <w:left w:val="single" w:sz="4" w:space="0" w:color="000000"/>
              <w:bottom w:val="single" w:sz="4" w:space="0" w:color="000000"/>
              <w:right w:val="single" w:sz="4" w:space="0" w:color="000000"/>
            </w:tcBorders>
          </w:tcPr>
          <w:p w14:paraId="4E332F18" w14:textId="77777777" w:rsidR="00054437" w:rsidRPr="000549B1" w:rsidRDefault="00000000">
            <w:pPr>
              <w:widowControl/>
              <w:jc w:val="center"/>
              <w:textAlignment w:val="top"/>
              <w:rPr>
                <w:szCs w:val="21"/>
              </w:rPr>
            </w:pPr>
            <w:r w:rsidRPr="000549B1">
              <w:rPr>
                <w:kern w:val="0"/>
                <w:szCs w:val="21"/>
                <w:lang w:bidi="ar"/>
              </w:rPr>
              <w:t>I</w:t>
            </w:r>
          </w:p>
        </w:tc>
        <w:tc>
          <w:tcPr>
            <w:tcW w:w="625" w:type="pct"/>
            <w:tcBorders>
              <w:top w:val="single" w:sz="4" w:space="0" w:color="000000"/>
              <w:left w:val="single" w:sz="4" w:space="0" w:color="000000"/>
              <w:bottom w:val="single" w:sz="4" w:space="0" w:color="000000"/>
              <w:right w:val="single" w:sz="4" w:space="0" w:color="000000"/>
            </w:tcBorders>
            <w:vAlign w:val="center"/>
          </w:tcPr>
          <w:p w14:paraId="1CA28F87" w14:textId="77777777" w:rsidR="00054437" w:rsidRPr="000549B1" w:rsidRDefault="00000000">
            <w:pPr>
              <w:widowControl/>
              <w:jc w:val="center"/>
              <w:textAlignment w:val="center"/>
              <w:rPr>
                <w:szCs w:val="21"/>
              </w:rPr>
            </w:pPr>
            <w:r w:rsidRPr="000549B1">
              <w:rPr>
                <w:kern w:val="0"/>
                <w:szCs w:val="21"/>
                <w:lang w:bidi="ar"/>
              </w:rPr>
              <w:t>0.133</w:t>
            </w:r>
          </w:p>
        </w:tc>
        <w:tc>
          <w:tcPr>
            <w:tcW w:w="408" w:type="pct"/>
            <w:tcBorders>
              <w:top w:val="single" w:sz="4" w:space="0" w:color="000000"/>
              <w:left w:val="single" w:sz="4" w:space="0" w:color="000000"/>
              <w:bottom w:val="single" w:sz="4" w:space="0" w:color="000000"/>
              <w:right w:val="single" w:sz="4" w:space="0" w:color="000000"/>
            </w:tcBorders>
          </w:tcPr>
          <w:p w14:paraId="2368DF6C" w14:textId="77777777" w:rsidR="00054437" w:rsidRPr="000549B1" w:rsidRDefault="00000000">
            <w:pPr>
              <w:widowControl/>
              <w:jc w:val="center"/>
              <w:textAlignment w:val="top"/>
              <w:rPr>
                <w:szCs w:val="21"/>
              </w:rPr>
            </w:pPr>
            <w:r w:rsidRPr="000549B1">
              <w:rPr>
                <w:kern w:val="0"/>
                <w:szCs w:val="21"/>
                <w:lang w:bidi="ar"/>
              </w:rPr>
              <w:t>I</w:t>
            </w:r>
          </w:p>
        </w:tc>
        <w:tc>
          <w:tcPr>
            <w:tcW w:w="657" w:type="pct"/>
            <w:tcBorders>
              <w:top w:val="single" w:sz="4" w:space="0" w:color="000000"/>
              <w:left w:val="single" w:sz="4" w:space="0" w:color="000000"/>
              <w:bottom w:val="single" w:sz="4" w:space="0" w:color="000000"/>
              <w:right w:val="single" w:sz="4" w:space="0" w:color="000000"/>
            </w:tcBorders>
            <w:noWrap/>
            <w:vAlign w:val="center"/>
          </w:tcPr>
          <w:p w14:paraId="0950009D" w14:textId="77777777" w:rsidR="00054437" w:rsidRPr="000549B1" w:rsidRDefault="00000000">
            <w:pPr>
              <w:widowControl/>
              <w:jc w:val="center"/>
              <w:textAlignment w:val="center"/>
              <w:rPr>
                <w:szCs w:val="21"/>
              </w:rPr>
            </w:pPr>
            <w:r w:rsidRPr="000549B1">
              <w:rPr>
                <w:kern w:val="0"/>
                <w:szCs w:val="21"/>
                <w:lang w:bidi="ar"/>
              </w:rPr>
              <w:t>0.26</w:t>
            </w:r>
          </w:p>
        </w:tc>
        <w:tc>
          <w:tcPr>
            <w:tcW w:w="408" w:type="pct"/>
            <w:tcBorders>
              <w:top w:val="single" w:sz="4" w:space="0" w:color="000000"/>
              <w:left w:val="single" w:sz="4" w:space="0" w:color="000000"/>
              <w:bottom w:val="single" w:sz="4" w:space="0" w:color="000000"/>
              <w:right w:val="single" w:sz="4" w:space="0" w:color="000000"/>
            </w:tcBorders>
          </w:tcPr>
          <w:p w14:paraId="5D343A5C" w14:textId="77777777" w:rsidR="00054437" w:rsidRPr="000549B1" w:rsidRDefault="00000000">
            <w:pPr>
              <w:widowControl/>
              <w:jc w:val="center"/>
              <w:textAlignment w:val="top"/>
              <w:rPr>
                <w:szCs w:val="21"/>
              </w:rPr>
            </w:pPr>
            <w:r w:rsidRPr="000549B1">
              <w:rPr>
                <w:kern w:val="0"/>
                <w:szCs w:val="21"/>
                <w:lang w:bidi="ar"/>
              </w:rPr>
              <w:t>Ⅱ</w:t>
            </w:r>
          </w:p>
        </w:tc>
      </w:tr>
      <w:tr w:rsidR="000549B1" w:rsidRPr="000549B1" w14:paraId="58D1E003" w14:textId="77777777">
        <w:trPr>
          <w:trHeight w:val="300"/>
        </w:trPr>
        <w:tc>
          <w:tcPr>
            <w:tcW w:w="774" w:type="pct"/>
            <w:tcBorders>
              <w:top w:val="single" w:sz="4" w:space="0" w:color="000000"/>
              <w:left w:val="single" w:sz="4" w:space="0" w:color="000000"/>
              <w:bottom w:val="single" w:sz="4" w:space="0" w:color="000000"/>
              <w:right w:val="single" w:sz="4" w:space="0" w:color="000000"/>
            </w:tcBorders>
            <w:vAlign w:val="center"/>
          </w:tcPr>
          <w:p w14:paraId="6D3960F2" w14:textId="77777777" w:rsidR="00054437" w:rsidRPr="000549B1" w:rsidRDefault="00000000">
            <w:pPr>
              <w:widowControl/>
              <w:jc w:val="center"/>
              <w:textAlignment w:val="center"/>
              <w:rPr>
                <w:b/>
                <w:bCs/>
                <w:szCs w:val="21"/>
              </w:rPr>
            </w:pPr>
            <w:r w:rsidRPr="000549B1">
              <w:rPr>
                <w:b/>
                <w:bCs/>
                <w:kern w:val="0"/>
                <w:szCs w:val="21"/>
                <w:lang w:bidi="ar"/>
              </w:rPr>
              <w:t>总磷</w:t>
            </w:r>
          </w:p>
        </w:tc>
        <w:tc>
          <w:tcPr>
            <w:tcW w:w="628" w:type="pct"/>
            <w:tcBorders>
              <w:top w:val="single" w:sz="4" w:space="0" w:color="000000"/>
              <w:left w:val="single" w:sz="4" w:space="0" w:color="000000"/>
              <w:bottom w:val="single" w:sz="4" w:space="0" w:color="000000"/>
              <w:right w:val="single" w:sz="4" w:space="0" w:color="000000"/>
            </w:tcBorders>
            <w:vAlign w:val="center"/>
          </w:tcPr>
          <w:p w14:paraId="4D4917C1" w14:textId="77777777" w:rsidR="00054437" w:rsidRPr="000549B1" w:rsidRDefault="00000000">
            <w:pPr>
              <w:widowControl/>
              <w:jc w:val="center"/>
              <w:textAlignment w:val="center"/>
              <w:rPr>
                <w:szCs w:val="21"/>
              </w:rPr>
            </w:pPr>
            <w:r w:rsidRPr="000549B1">
              <w:rPr>
                <w:kern w:val="0"/>
                <w:szCs w:val="21"/>
                <w:lang w:bidi="ar"/>
              </w:rPr>
              <w:t>0.19</w:t>
            </w:r>
          </w:p>
        </w:tc>
        <w:tc>
          <w:tcPr>
            <w:tcW w:w="415" w:type="pct"/>
            <w:tcBorders>
              <w:top w:val="single" w:sz="4" w:space="0" w:color="000000"/>
              <w:left w:val="single" w:sz="4" w:space="0" w:color="000000"/>
              <w:bottom w:val="single" w:sz="4" w:space="0" w:color="000000"/>
              <w:right w:val="single" w:sz="4" w:space="0" w:color="000000"/>
            </w:tcBorders>
            <w:vAlign w:val="center"/>
          </w:tcPr>
          <w:p w14:paraId="08211A10" w14:textId="77777777" w:rsidR="00054437" w:rsidRPr="000549B1" w:rsidRDefault="00000000">
            <w:pPr>
              <w:widowControl/>
              <w:jc w:val="center"/>
              <w:textAlignment w:val="center"/>
              <w:rPr>
                <w:szCs w:val="21"/>
              </w:rPr>
            </w:pPr>
            <w:r w:rsidRPr="000549B1">
              <w:rPr>
                <w:rFonts w:eastAsia="仿宋"/>
                <w:kern w:val="0"/>
                <w:szCs w:val="21"/>
                <w:lang w:bidi="ar"/>
              </w:rPr>
              <w:t>Ш</w:t>
            </w:r>
          </w:p>
        </w:tc>
        <w:tc>
          <w:tcPr>
            <w:tcW w:w="665" w:type="pct"/>
            <w:tcBorders>
              <w:top w:val="single" w:sz="4" w:space="0" w:color="000000"/>
              <w:left w:val="single" w:sz="4" w:space="0" w:color="000000"/>
              <w:bottom w:val="single" w:sz="4" w:space="0" w:color="000000"/>
              <w:right w:val="single" w:sz="4" w:space="0" w:color="000000"/>
            </w:tcBorders>
            <w:noWrap/>
            <w:vAlign w:val="center"/>
          </w:tcPr>
          <w:p w14:paraId="78F18E35" w14:textId="77777777" w:rsidR="00054437" w:rsidRPr="000549B1" w:rsidRDefault="00000000">
            <w:pPr>
              <w:widowControl/>
              <w:jc w:val="center"/>
              <w:textAlignment w:val="center"/>
              <w:rPr>
                <w:szCs w:val="21"/>
              </w:rPr>
            </w:pPr>
            <w:r w:rsidRPr="000549B1">
              <w:rPr>
                <w:kern w:val="0"/>
                <w:szCs w:val="21"/>
                <w:lang w:bidi="ar"/>
              </w:rPr>
              <w:t>0.02</w:t>
            </w:r>
          </w:p>
        </w:tc>
        <w:tc>
          <w:tcPr>
            <w:tcW w:w="415" w:type="pct"/>
            <w:tcBorders>
              <w:top w:val="single" w:sz="4" w:space="0" w:color="000000"/>
              <w:left w:val="single" w:sz="4" w:space="0" w:color="000000"/>
              <w:bottom w:val="single" w:sz="4" w:space="0" w:color="000000"/>
              <w:right w:val="single" w:sz="4" w:space="0" w:color="000000"/>
            </w:tcBorders>
          </w:tcPr>
          <w:p w14:paraId="65E98282" w14:textId="77777777" w:rsidR="00054437" w:rsidRPr="000549B1" w:rsidRDefault="00000000">
            <w:pPr>
              <w:widowControl/>
              <w:jc w:val="center"/>
              <w:textAlignment w:val="top"/>
              <w:rPr>
                <w:szCs w:val="21"/>
              </w:rPr>
            </w:pPr>
            <w:r w:rsidRPr="000549B1">
              <w:rPr>
                <w:kern w:val="0"/>
                <w:szCs w:val="21"/>
                <w:lang w:bidi="ar"/>
              </w:rPr>
              <w:t>I</w:t>
            </w:r>
          </w:p>
        </w:tc>
        <w:tc>
          <w:tcPr>
            <w:tcW w:w="625" w:type="pct"/>
            <w:tcBorders>
              <w:top w:val="single" w:sz="4" w:space="0" w:color="000000"/>
              <w:left w:val="single" w:sz="4" w:space="0" w:color="000000"/>
              <w:bottom w:val="single" w:sz="4" w:space="0" w:color="000000"/>
              <w:right w:val="single" w:sz="4" w:space="0" w:color="000000"/>
            </w:tcBorders>
            <w:vAlign w:val="center"/>
          </w:tcPr>
          <w:p w14:paraId="4A40ADC9" w14:textId="77777777" w:rsidR="00054437" w:rsidRPr="000549B1" w:rsidRDefault="00000000">
            <w:pPr>
              <w:widowControl/>
              <w:jc w:val="center"/>
              <w:textAlignment w:val="center"/>
              <w:rPr>
                <w:szCs w:val="21"/>
              </w:rPr>
            </w:pPr>
            <w:r w:rsidRPr="000549B1">
              <w:rPr>
                <w:kern w:val="0"/>
                <w:szCs w:val="21"/>
                <w:lang w:bidi="ar"/>
              </w:rPr>
              <w:t>0.06</w:t>
            </w:r>
          </w:p>
        </w:tc>
        <w:tc>
          <w:tcPr>
            <w:tcW w:w="408" w:type="pct"/>
            <w:tcBorders>
              <w:top w:val="single" w:sz="4" w:space="0" w:color="000000"/>
              <w:left w:val="single" w:sz="4" w:space="0" w:color="000000"/>
              <w:bottom w:val="single" w:sz="4" w:space="0" w:color="000000"/>
              <w:right w:val="single" w:sz="4" w:space="0" w:color="000000"/>
            </w:tcBorders>
          </w:tcPr>
          <w:p w14:paraId="2E57DBD3" w14:textId="77777777" w:rsidR="00054437" w:rsidRPr="000549B1" w:rsidRDefault="00000000">
            <w:pPr>
              <w:widowControl/>
              <w:jc w:val="center"/>
              <w:textAlignment w:val="top"/>
              <w:rPr>
                <w:szCs w:val="21"/>
              </w:rPr>
            </w:pPr>
            <w:r w:rsidRPr="000549B1">
              <w:rPr>
                <w:kern w:val="0"/>
                <w:szCs w:val="21"/>
                <w:lang w:bidi="ar"/>
              </w:rPr>
              <w:t>Ⅱ</w:t>
            </w:r>
          </w:p>
        </w:tc>
        <w:tc>
          <w:tcPr>
            <w:tcW w:w="657" w:type="pct"/>
            <w:tcBorders>
              <w:top w:val="single" w:sz="4" w:space="0" w:color="000000"/>
              <w:left w:val="single" w:sz="4" w:space="0" w:color="000000"/>
              <w:bottom w:val="single" w:sz="4" w:space="0" w:color="000000"/>
              <w:right w:val="single" w:sz="4" w:space="0" w:color="000000"/>
            </w:tcBorders>
            <w:noWrap/>
            <w:vAlign w:val="center"/>
          </w:tcPr>
          <w:p w14:paraId="7B990564" w14:textId="77777777" w:rsidR="00054437" w:rsidRPr="000549B1" w:rsidRDefault="00000000">
            <w:pPr>
              <w:widowControl/>
              <w:jc w:val="center"/>
              <w:textAlignment w:val="center"/>
              <w:rPr>
                <w:szCs w:val="21"/>
              </w:rPr>
            </w:pPr>
            <w:r w:rsidRPr="000549B1">
              <w:rPr>
                <w:kern w:val="0"/>
                <w:szCs w:val="21"/>
                <w:lang w:bidi="ar"/>
              </w:rPr>
              <w:t>0.04</w:t>
            </w:r>
          </w:p>
        </w:tc>
        <w:tc>
          <w:tcPr>
            <w:tcW w:w="408" w:type="pct"/>
            <w:tcBorders>
              <w:top w:val="single" w:sz="4" w:space="0" w:color="000000"/>
              <w:left w:val="single" w:sz="4" w:space="0" w:color="000000"/>
              <w:bottom w:val="single" w:sz="4" w:space="0" w:color="000000"/>
              <w:right w:val="single" w:sz="4" w:space="0" w:color="000000"/>
            </w:tcBorders>
          </w:tcPr>
          <w:p w14:paraId="3870C211" w14:textId="77777777" w:rsidR="00054437" w:rsidRPr="000549B1" w:rsidRDefault="00000000">
            <w:pPr>
              <w:widowControl/>
              <w:jc w:val="center"/>
              <w:textAlignment w:val="top"/>
              <w:rPr>
                <w:szCs w:val="21"/>
              </w:rPr>
            </w:pPr>
            <w:r w:rsidRPr="000549B1">
              <w:rPr>
                <w:kern w:val="0"/>
                <w:szCs w:val="21"/>
                <w:lang w:bidi="ar"/>
              </w:rPr>
              <w:t>Ⅱ</w:t>
            </w:r>
          </w:p>
        </w:tc>
      </w:tr>
      <w:tr w:rsidR="000549B1" w:rsidRPr="000549B1" w14:paraId="5F90614F" w14:textId="77777777">
        <w:trPr>
          <w:trHeight w:val="300"/>
        </w:trPr>
        <w:tc>
          <w:tcPr>
            <w:tcW w:w="774" w:type="pct"/>
            <w:tcBorders>
              <w:top w:val="single" w:sz="4" w:space="0" w:color="000000"/>
              <w:left w:val="single" w:sz="4" w:space="0" w:color="000000"/>
              <w:bottom w:val="single" w:sz="4" w:space="0" w:color="000000"/>
              <w:right w:val="single" w:sz="4" w:space="0" w:color="000000"/>
            </w:tcBorders>
            <w:vAlign w:val="center"/>
          </w:tcPr>
          <w:p w14:paraId="068BCB21" w14:textId="77777777" w:rsidR="00054437" w:rsidRPr="000549B1" w:rsidRDefault="00000000">
            <w:pPr>
              <w:widowControl/>
              <w:jc w:val="center"/>
              <w:textAlignment w:val="center"/>
              <w:rPr>
                <w:b/>
                <w:bCs/>
                <w:szCs w:val="21"/>
              </w:rPr>
            </w:pPr>
            <w:r w:rsidRPr="000549B1">
              <w:rPr>
                <w:b/>
                <w:bCs/>
                <w:kern w:val="0"/>
                <w:szCs w:val="21"/>
                <w:lang w:bidi="ar"/>
              </w:rPr>
              <w:t>总氮</w:t>
            </w:r>
          </w:p>
        </w:tc>
        <w:tc>
          <w:tcPr>
            <w:tcW w:w="628" w:type="pct"/>
            <w:tcBorders>
              <w:top w:val="single" w:sz="4" w:space="0" w:color="000000"/>
              <w:left w:val="single" w:sz="4" w:space="0" w:color="000000"/>
              <w:bottom w:val="single" w:sz="4" w:space="0" w:color="000000"/>
              <w:right w:val="single" w:sz="4" w:space="0" w:color="000000"/>
            </w:tcBorders>
            <w:vAlign w:val="center"/>
          </w:tcPr>
          <w:p w14:paraId="3BFC6404" w14:textId="77777777" w:rsidR="00054437" w:rsidRPr="000549B1" w:rsidRDefault="00000000">
            <w:pPr>
              <w:widowControl/>
              <w:jc w:val="center"/>
              <w:textAlignment w:val="center"/>
              <w:rPr>
                <w:szCs w:val="21"/>
              </w:rPr>
            </w:pPr>
            <w:r w:rsidRPr="000549B1">
              <w:rPr>
                <w:kern w:val="0"/>
                <w:szCs w:val="21"/>
                <w:lang w:bidi="ar"/>
              </w:rPr>
              <w:t>2.77</w:t>
            </w:r>
          </w:p>
        </w:tc>
        <w:tc>
          <w:tcPr>
            <w:tcW w:w="415" w:type="pct"/>
            <w:tcBorders>
              <w:top w:val="single" w:sz="4" w:space="0" w:color="000000"/>
              <w:left w:val="single" w:sz="4" w:space="0" w:color="000000"/>
              <w:bottom w:val="single" w:sz="4" w:space="0" w:color="000000"/>
              <w:right w:val="single" w:sz="4" w:space="0" w:color="000000"/>
            </w:tcBorders>
            <w:vAlign w:val="center"/>
          </w:tcPr>
          <w:p w14:paraId="5C95BBAD" w14:textId="77777777" w:rsidR="00054437" w:rsidRPr="000549B1" w:rsidRDefault="00054437">
            <w:pPr>
              <w:jc w:val="center"/>
              <w:rPr>
                <w:szCs w:val="21"/>
              </w:rPr>
            </w:pPr>
          </w:p>
        </w:tc>
        <w:tc>
          <w:tcPr>
            <w:tcW w:w="665" w:type="pct"/>
            <w:tcBorders>
              <w:top w:val="single" w:sz="4" w:space="0" w:color="000000"/>
              <w:left w:val="single" w:sz="4" w:space="0" w:color="000000"/>
              <w:bottom w:val="single" w:sz="4" w:space="0" w:color="000000"/>
              <w:right w:val="single" w:sz="4" w:space="0" w:color="000000"/>
            </w:tcBorders>
            <w:noWrap/>
            <w:vAlign w:val="center"/>
          </w:tcPr>
          <w:p w14:paraId="774DCDF6" w14:textId="77777777" w:rsidR="00054437" w:rsidRPr="000549B1" w:rsidRDefault="00000000">
            <w:pPr>
              <w:widowControl/>
              <w:jc w:val="center"/>
              <w:textAlignment w:val="center"/>
              <w:rPr>
                <w:szCs w:val="21"/>
              </w:rPr>
            </w:pPr>
            <w:r w:rsidRPr="000549B1">
              <w:rPr>
                <w:kern w:val="0"/>
                <w:szCs w:val="21"/>
                <w:lang w:bidi="ar"/>
              </w:rPr>
              <w:t>2.68</w:t>
            </w:r>
          </w:p>
        </w:tc>
        <w:tc>
          <w:tcPr>
            <w:tcW w:w="415" w:type="pct"/>
            <w:tcBorders>
              <w:top w:val="single" w:sz="4" w:space="0" w:color="000000"/>
              <w:left w:val="single" w:sz="4" w:space="0" w:color="000000"/>
              <w:bottom w:val="single" w:sz="4" w:space="0" w:color="000000"/>
              <w:right w:val="single" w:sz="4" w:space="0" w:color="000000"/>
            </w:tcBorders>
          </w:tcPr>
          <w:p w14:paraId="7EE348B4" w14:textId="77777777" w:rsidR="00054437" w:rsidRPr="000549B1" w:rsidRDefault="00054437">
            <w:pPr>
              <w:jc w:val="center"/>
              <w:rPr>
                <w:szCs w:val="21"/>
              </w:rPr>
            </w:pPr>
          </w:p>
        </w:tc>
        <w:tc>
          <w:tcPr>
            <w:tcW w:w="625" w:type="pct"/>
            <w:tcBorders>
              <w:top w:val="single" w:sz="4" w:space="0" w:color="000000"/>
              <w:left w:val="single" w:sz="4" w:space="0" w:color="000000"/>
              <w:bottom w:val="single" w:sz="4" w:space="0" w:color="000000"/>
              <w:right w:val="single" w:sz="4" w:space="0" w:color="000000"/>
            </w:tcBorders>
            <w:vAlign w:val="center"/>
          </w:tcPr>
          <w:p w14:paraId="706928C9" w14:textId="77777777" w:rsidR="00054437" w:rsidRPr="000549B1" w:rsidRDefault="00000000">
            <w:pPr>
              <w:widowControl/>
              <w:jc w:val="center"/>
              <w:textAlignment w:val="center"/>
              <w:rPr>
                <w:szCs w:val="21"/>
              </w:rPr>
            </w:pPr>
            <w:r w:rsidRPr="000549B1">
              <w:rPr>
                <w:kern w:val="0"/>
                <w:szCs w:val="21"/>
                <w:lang w:bidi="ar"/>
              </w:rPr>
              <w:t>2.5</w:t>
            </w:r>
          </w:p>
        </w:tc>
        <w:tc>
          <w:tcPr>
            <w:tcW w:w="408" w:type="pct"/>
            <w:tcBorders>
              <w:top w:val="single" w:sz="4" w:space="0" w:color="000000"/>
              <w:left w:val="single" w:sz="4" w:space="0" w:color="000000"/>
              <w:bottom w:val="single" w:sz="4" w:space="0" w:color="000000"/>
              <w:right w:val="single" w:sz="4" w:space="0" w:color="000000"/>
            </w:tcBorders>
          </w:tcPr>
          <w:p w14:paraId="0D4E898E" w14:textId="77777777" w:rsidR="00054437" w:rsidRPr="000549B1" w:rsidRDefault="00054437">
            <w:pPr>
              <w:jc w:val="center"/>
              <w:rPr>
                <w:szCs w:val="21"/>
              </w:rPr>
            </w:pPr>
          </w:p>
        </w:tc>
        <w:tc>
          <w:tcPr>
            <w:tcW w:w="657" w:type="pct"/>
            <w:tcBorders>
              <w:top w:val="single" w:sz="4" w:space="0" w:color="000000"/>
              <w:left w:val="single" w:sz="4" w:space="0" w:color="000000"/>
              <w:bottom w:val="single" w:sz="4" w:space="0" w:color="000000"/>
              <w:right w:val="single" w:sz="4" w:space="0" w:color="000000"/>
            </w:tcBorders>
            <w:noWrap/>
            <w:vAlign w:val="center"/>
          </w:tcPr>
          <w:p w14:paraId="18FFBAAB" w14:textId="77777777" w:rsidR="00054437" w:rsidRPr="000549B1" w:rsidRDefault="00000000">
            <w:pPr>
              <w:widowControl/>
              <w:jc w:val="center"/>
              <w:textAlignment w:val="center"/>
              <w:rPr>
                <w:szCs w:val="21"/>
              </w:rPr>
            </w:pPr>
            <w:r w:rsidRPr="000549B1">
              <w:rPr>
                <w:kern w:val="0"/>
                <w:szCs w:val="21"/>
                <w:lang w:bidi="ar"/>
              </w:rPr>
              <w:t>2.69</w:t>
            </w:r>
          </w:p>
        </w:tc>
        <w:tc>
          <w:tcPr>
            <w:tcW w:w="408" w:type="pct"/>
            <w:tcBorders>
              <w:top w:val="single" w:sz="4" w:space="0" w:color="000000"/>
              <w:left w:val="single" w:sz="4" w:space="0" w:color="000000"/>
              <w:bottom w:val="single" w:sz="4" w:space="0" w:color="000000"/>
              <w:right w:val="single" w:sz="4" w:space="0" w:color="000000"/>
            </w:tcBorders>
          </w:tcPr>
          <w:p w14:paraId="25A900CC" w14:textId="77777777" w:rsidR="00054437" w:rsidRPr="000549B1" w:rsidRDefault="00054437">
            <w:pPr>
              <w:jc w:val="center"/>
              <w:rPr>
                <w:szCs w:val="21"/>
              </w:rPr>
            </w:pPr>
          </w:p>
        </w:tc>
      </w:tr>
      <w:tr w:rsidR="000549B1" w:rsidRPr="000549B1" w14:paraId="3423DBA2" w14:textId="77777777">
        <w:trPr>
          <w:trHeight w:val="300"/>
        </w:trPr>
        <w:tc>
          <w:tcPr>
            <w:tcW w:w="774" w:type="pct"/>
            <w:tcBorders>
              <w:top w:val="single" w:sz="4" w:space="0" w:color="000000"/>
              <w:left w:val="single" w:sz="4" w:space="0" w:color="000000"/>
              <w:bottom w:val="single" w:sz="4" w:space="0" w:color="000000"/>
              <w:right w:val="single" w:sz="4" w:space="0" w:color="000000"/>
            </w:tcBorders>
            <w:vAlign w:val="center"/>
          </w:tcPr>
          <w:p w14:paraId="40F1ED50" w14:textId="77777777" w:rsidR="00054437" w:rsidRPr="000549B1" w:rsidRDefault="00000000">
            <w:pPr>
              <w:widowControl/>
              <w:jc w:val="center"/>
              <w:textAlignment w:val="center"/>
              <w:rPr>
                <w:b/>
                <w:bCs/>
                <w:szCs w:val="21"/>
              </w:rPr>
            </w:pPr>
            <w:r w:rsidRPr="000549B1">
              <w:rPr>
                <w:b/>
                <w:bCs/>
                <w:kern w:val="0"/>
                <w:szCs w:val="21"/>
                <w:lang w:bidi="ar"/>
              </w:rPr>
              <w:t>氟化物</w:t>
            </w:r>
          </w:p>
        </w:tc>
        <w:tc>
          <w:tcPr>
            <w:tcW w:w="628" w:type="pct"/>
            <w:tcBorders>
              <w:top w:val="single" w:sz="4" w:space="0" w:color="000000"/>
              <w:left w:val="single" w:sz="4" w:space="0" w:color="000000"/>
              <w:bottom w:val="single" w:sz="4" w:space="0" w:color="000000"/>
              <w:right w:val="single" w:sz="4" w:space="0" w:color="000000"/>
            </w:tcBorders>
            <w:vAlign w:val="center"/>
          </w:tcPr>
          <w:p w14:paraId="1C29F932" w14:textId="77777777" w:rsidR="00054437" w:rsidRPr="000549B1" w:rsidRDefault="00000000">
            <w:pPr>
              <w:widowControl/>
              <w:jc w:val="center"/>
              <w:textAlignment w:val="center"/>
              <w:rPr>
                <w:szCs w:val="21"/>
              </w:rPr>
            </w:pPr>
            <w:r w:rsidRPr="000549B1">
              <w:rPr>
                <w:kern w:val="0"/>
                <w:szCs w:val="21"/>
                <w:lang w:bidi="ar"/>
              </w:rPr>
              <w:t>0.277</w:t>
            </w:r>
          </w:p>
        </w:tc>
        <w:tc>
          <w:tcPr>
            <w:tcW w:w="415" w:type="pct"/>
            <w:tcBorders>
              <w:top w:val="single" w:sz="4" w:space="0" w:color="000000"/>
              <w:left w:val="single" w:sz="4" w:space="0" w:color="000000"/>
              <w:bottom w:val="single" w:sz="4" w:space="0" w:color="000000"/>
              <w:right w:val="single" w:sz="4" w:space="0" w:color="000000"/>
            </w:tcBorders>
            <w:vAlign w:val="center"/>
          </w:tcPr>
          <w:p w14:paraId="1149B28E" w14:textId="77777777" w:rsidR="00054437" w:rsidRPr="000549B1" w:rsidRDefault="00000000">
            <w:pPr>
              <w:widowControl/>
              <w:jc w:val="center"/>
              <w:textAlignment w:val="center"/>
              <w:rPr>
                <w:szCs w:val="21"/>
              </w:rPr>
            </w:pPr>
            <w:r w:rsidRPr="000549B1">
              <w:rPr>
                <w:kern w:val="0"/>
                <w:szCs w:val="21"/>
                <w:lang w:bidi="ar"/>
              </w:rPr>
              <w:t>I</w:t>
            </w:r>
          </w:p>
        </w:tc>
        <w:tc>
          <w:tcPr>
            <w:tcW w:w="665" w:type="pct"/>
            <w:tcBorders>
              <w:top w:val="single" w:sz="4" w:space="0" w:color="000000"/>
              <w:left w:val="single" w:sz="4" w:space="0" w:color="000000"/>
              <w:bottom w:val="single" w:sz="4" w:space="0" w:color="000000"/>
              <w:right w:val="single" w:sz="4" w:space="0" w:color="000000"/>
            </w:tcBorders>
            <w:noWrap/>
            <w:vAlign w:val="center"/>
          </w:tcPr>
          <w:p w14:paraId="5353BEB0" w14:textId="77777777" w:rsidR="00054437" w:rsidRPr="000549B1" w:rsidRDefault="00000000">
            <w:pPr>
              <w:widowControl/>
              <w:jc w:val="center"/>
              <w:textAlignment w:val="center"/>
              <w:rPr>
                <w:szCs w:val="21"/>
              </w:rPr>
            </w:pPr>
            <w:r w:rsidRPr="000549B1">
              <w:rPr>
                <w:kern w:val="0"/>
                <w:szCs w:val="21"/>
                <w:lang w:bidi="ar"/>
              </w:rPr>
              <w:t>0.27</w:t>
            </w:r>
          </w:p>
        </w:tc>
        <w:tc>
          <w:tcPr>
            <w:tcW w:w="415" w:type="pct"/>
            <w:tcBorders>
              <w:top w:val="single" w:sz="4" w:space="0" w:color="000000"/>
              <w:left w:val="single" w:sz="4" w:space="0" w:color="000000"/>
              <w:bottom w:val="single" w:sz="4" w:space="0" w:color="000000"/>
              <w:right w:val="single" w:sz="4" w:space="0" w:color="000000"/>
            </w:tcBorders>
          </w:tcPr>
          <w:p w14:paraId="4EC73C41" w14:textId="77777777" w:rsidR="00054437" w:rsidRPr="000549B1" w:rsidRDefault="00000000">
            <w:pPr>
              <w:widowControl/>
              <w:jc w:val="center"/>
              <w:textAlignment w:val="top"/>
              <w:rPr>
                <w:szCs w:val="21"/>
              </w:rPr>
            </w:pPr>
            <w:r w:rsidRPr="000549B1">
              <w:rPr>
                <w:kern w:val="0"/>
                <w:szCs w:val="21"/>
                <w:lang w:bidi="ar"/>
              </w:rPr>
              <w:t>I</w:t>
            </w:r>
          </w:p>
        </w:tc>
        <w:tc>
          <w:tcPr>
            <w:tcW w:w="625" w:type="pct"/>
            <w:tcBorders>
              <w:top w:val="single" w:sz="4" w:space="0" w:color="000000"/>
              <w:left w:val="single" w:sz="4" w:space="0" w:color="000000"/>
              <w:bottom w:val="single" w:sz="4" w:space="0" w:color="000000"/>
              <w:right w:val="single" w:sz="4" w:space="0" w:color="000000"/>
            </w:tcBorders>
            <w:vAlign w:val="center"/>
          </w:tcPr>
          <w:p w14:paraId="4C5F6D0B" w14:textId="77777777" w:rsidR="00054437" w:rsidRPr="000549B1" w:rsidRDefault="00000000">
            <w:pPr>
              <w:widowControl/>
              <w:jc w:val="center"/>
              <w:textAlignment w:val="center"/>
              <w:rPr>
                <w:szCs w:val="21"/>
              </w:rPr>
            </w:pPr>
            <w:r w:rsidRPr="000549B1">
              <w:rPr>
                <w:kern w:val="0"/>
                <w:szCs w:val="21"/>
                <w:lang w:bidi="ar"/>
              </w:rPr>
              <w:t>0.26</w:t>
            </w:r>
          </w:p>
        </w:tc>
        <w:tc>
          <w:tcPr>
            <w:tcW w:w="408" w:type="pct"/>
            <w:tcBorders>
              <w:top w:val="single" w:sz="4" w:space="0" w:color="000000"/>
              <w:left w:val="single" w:sz="4" w:space="0" w:color="000000"/>
              <w:bottom w:val="single" w:sz="4" w:space="0" w:color="000000"/>
              <w:right w:val="single" w:sz="4" w:space="0" w:color="000000"/>
            </w:tcBorders>
          </w:tcPr>
          <w:p w14:paraId="03E71A43" w14:textId="77777777" w:rsidR="00054437" w:rsidRPr="000549B1" w:rsidRDefault="00000000">
            <w:pPr>
              <w:widowControl/>
              <w:jc w:val="center"/>
              <w:textAlignment w:val="top"/>
              <w:rPr>
                <w:szCs w:val="21"/>
              </w:rPr>
            </w:pPr>
            <w:r w:rsidRPr="000549B1">
              <w:rPr>
                <w:kern w:val="0"/>
                <w:szCs w:val="21"/>
                <w:lang w:bidi="ar"/>
              </w:rPr>
              <w:t>I</w:t>
            </w:r>
          </w:p>
        </w:tc>
        <w:tc>
          <w:tcPr>
            <w:tcW w:w="657" w:type="pct"/>
            <w:tcBorders>
              <w:top w:val="single" w:sz="4" w:space="0" w:color="000000"/>
              <w:left w:val="single" w:sz="4" w:space="0" w:color="000000"/>
              <w:bottom w:val="single" w:sz="4" w:space="0" w:color="000000"/>
              <w:right w:val="single" w:sz="4" w:space="0" w:color="000000"/>
            </w:tcBorders>
            <w:noWrap/>
            <w:vAlign w:val="center"/>
          </w:tcPr>
          <w:p w14:paraId="53E738F5" w14:textId="77777777" w:rsidR="00054437" w:rsidRPr="000549B1" w:rsidRDefault="00000000">
            <w:pPr>
              <w:widowControl/>
              <w:jc w:val="center"/>
              <w:textAlignment w:val="center"/>
              <w:rPr>
                <w:szCs w:val="21"/>
              </w:rPr>
            </w:pPr>
            <w:r w:rsidRPr="000549B1">
              <w:rPr>
                <w:kern w:val="0"/>
                <w:szCs w:val="21"/>
                <w:lang w:bidi="ar"/>
              </w:rPr>
              <w:t>0.29</w:t>
            </w:r>
          </w:p>
        </w:tc>
        <w:tc>
          <w:tcPr>
            <w:tcW w:w="408" w:type="pct"/>
            <w:tcBorders>
              <w:top w:val="single" w:sz="4" w:space="0" w:color="000000"/>
              <w:left w:val="single" w:sz="4" w:space="0" w:color="000000"/>
              <w:bottom w:val="single" w:sz="4" w:space="0" w:color="000000"/>
              <w:right w:val="single" w:sz="4" w:space="0" w:color="000000"/>
            </w:tcBorders>
          </w:tcPr>
          <w:p w14:paraId="6880E6D1" w14:textId="77777777" w:rsidR="00054437" w:rsidRPr="000549B1" w:rsidRDefault="00000000">
            <w:pPr>
              <w:widowControl/>
              <w:jc w:val="center"/>
              <w:textAlignment w:val="top"/>
              <w:rPr>
                <w:szCs w:val="21"/>
              </w:rPr>
            </w:pPr>
            <w:r w:rsidRPr="000549B1">
              <w:rPr>
                <w:kern w:val="0"/>
                <w:szCs w:val="21"/>
                <w:lang w:bidi="ar"/>
              </w:rPr>
              <w:t>I</w:t>
            </w:r>
          </w:p>
        </w:tc>
      </w:tr>
      <w:tr w:rsidR="000549B1" w:rsidRPr="000549B1" w14:paraId="47AB8EE0" w14:textId="77777777">
        <w:trPr>
          <w:trHeight w:val="300"/>
        </w:trPr>
        <w:tc>
          <w:tcPr>
            <w:tcW w:w="774" w:type="pct"/>
            <w:tcBorders>
              <w:top w:val="single" w:sz="4" w:space="0" w:color="000000"/>
              <w:left w:val="single" w:sz="4" w:space="0" w:color="000000"/>
              <w:bottom w:val="single" w:sz="4" w:space="0" w:color="000000"/>
              <w:right w:val="single" w:sz="4" w:space="0" w:color="000000"/>
            </w:tcBorders>
            <w:vAlign w:val="center"/>
          </w:tcPr>
          <w:p w14:paraId="5EADAB6B" w14:textId="77777777" w:rsidR="00054437" w:rsidRPr="000549B1" w:rsidRDefault="00000000">
            <w:pPr>
              <w:widowControl/>
              <w:jc w:val="center"/>
              <w:textAlignment w:val="center"/>
              <w:rPr>
                <w:b/>
                <w:bCs/>
                <w:szCs w:val="21"/>
              </w:rPr>
            </w:pPr>
            <w:r w:rsidRPr="000549B1">
              <w:rPr>
                <w:b/>
                <w:bCs/>
                <w:kern w:val="0"/>
                <w:szCs w:val="21"/>
                <w:lang w:bidi="ar"/>
              </w:rPr>
              <w:t>氰化物</w:t>
            </w:r>
          </w:p>
        </w:tc>
        <w:tc>
          <w:tcPr>
            <w:tcW w:w="628" w:type="pct"/>
            <w:tcBorders>
              <w:top w:val="single" w:sz="4" w:space="0" w:color="000000"/>
              <w:left w:val="single" w:sz="4" w:space="0" w:color="000000"/>
              <w:bottom w:val="single" w:sz="4" w:space="0" w:color="000000"/>
              <w:right w:val="single" w:sz="4" w:space="0" w:color="000000"/>
            </w:tcBorders>
            <w:vAlign w:val="center"/>
          </w:tcPr>
          <w:p w14:paraId="47961258" w14:textId="77777777" w:rsidR="00054437" w:rsidRPr="000549B1" w:rsidRDefault="00000000">
            <w:pPr>
              <w:widowControl/>
              <w:jc w:val="center"/>
              <w:textAlignment w:val="center"/>
              <w:rPr>
                <w:szCs w:val="21"/>
              </w:rPr>
            </w:pPr>
            <w:r w:rsidRPr="000549B1">
              <w:rPr>
                <w:kern w:val="0"/>
                <w:szCs w:val="21"/>
                <w:lang w:bidi="ar"/>
              </w:rPr>
              <w:t>＜</w:t>
            </w:r>
            <w:r w:rsidRPr="000549B1">
              <w:rPr>
                <w:rStyle w:val="font61"/>
                <w:color w:val="auto"/>
                <w:szCs w:val="21"/>
                <w:lang w:bidi="ar"/>
              </w:rPr>
              <w:t>0.004</w:t>
            </w:r>
          </w:p>
        </w:tc>
        <w:tc>
          <w:tcPr>
            <w:tcW w:w="415" w:type="pct"/>
            <w:tcBorders>
              <w:top w:val="single" w:sz="4" w:space="0" w:color="000000"/>
              <w:left w:val="single" w:sz="4" w:space="0" w:color="000000"/>
              <w:bottom w:val="single" w:sz="4" w:space="0" w:color="000000"/>
              <w:right w:val="single" w:sz="4" w:space="0" w:color="000000"/>
            </w:tcBorders>
            <w:vAlign w:val="center"/>
          </w:tcPr>
          <w:p w14:paraId="634A9814" w14:textId="77777777" w:rsidR="00054437" w:rsidRPr="000549B1" w:rsidRDefault="00000000">
            <w:pPr>
              <w:widowControl/>
              <w:jc w:val="center"/>
              <w:textAlignment w:val="center"/>
              <w:rPr>
                <w:szCs w:val="21"/>
              </w:rPr>
            </w:pPr>
            <w:r w:rsidRPr="000549B1">
              <w:rPr>
                <w:kern w:val="0"/>
                <w:szCs w:val="21"/>
                <w:lang w:bidi="ar"/>
              </w:rPr>
              <w:t>I</w:t>
            </w:r>
          </w:p>
        </w:tc>
        <w:tc>
          <w:tcPr>
            <w:tcW w:w="665" w:type="pct"/>
            <w:tcBorders>
              <w:top w:val="single" w:sz="4" w:space="0" w:color="000000"/>
              <w:left w:val="single" w:sz="4" w:space="0" w:color="000000"/>
              <w:bottom w:val="single" w:sz="4" w:space="0" w:color="000000"/>
              <w:right w:val="single" w:sz="4" w:space="0" w:color="000000"/>
            </w:tcBorders>
            <w:noWrap/>
            <w:vAlign w:val="center"/>
          </w:tcPr>
          <w:p w14:paraId="3FB91680" w14:textId="77777777" w:rsidR="00054437" w:rsidRPr="000549B1" w:rsidRDefault="00000000">
            <w:pPr>
              <w:widowControl/>
              <w:jc w:val="center"/>
              <w:textAlignment w:val="center"/>
              <w:rPr>
                <w:szCs w:val="21"/>
              </w:rPr>
            </w:pPr>
            <w:r w:rsidRPr="000549B1">
              <w:rPr>
                <w:kern w:val="0"/>
                <w:szCs w:val="21"/>
                <w:lang w:bidi="ar"/>
              </w:rPr>
              <w:t>＜</w:t>
            </w:r>
            <w:r w:rsidRPr="000549B1">
              <w:rPr>
                <w:rStyle w:val="font71"/>
                <w:color w:val="auto"/>
                <w:szCs w:val="21"/>
                <w:lang w:bidi="ar"/>
              </w:rPr>
              <w:t>0.004</w:t>
            </w:r>
          </w:p>
        </w:tc>
        <w:tc>
          <w:tcPr>
            <w:tcW w:w="415" w:type="pct"/>
            <w:tcBorders>
              <w:top w:val="single" w:sz="4" w:space="0" w:color="000000"/>
              <w:left w:val="single" w:sz="4" w:space="0" w:color="000000"/>
              <w:bottom w:val="single" w:sz="4" w:space="0" w:color="000000"/>
              <w:right w:val="single" w:sz="4" w:space="0" w:color="000000"/>
            </w:tcBorders>
          </w:tcPr>
          <w:p w14:paraId="3AA1012B" w14:textId="77777777" w:rsidR="00054437" w:rsidRPr="000549B1" w:rsidRDefault="00000000">
            <w:pPr>
              <w:widowControl/>
              <w:jc w:val="center"/>
              <w:textAlignment w:val="top"/>
              <w:rPr>
                <w:szCs w:val="21"/>
              </w:rPr>
            </w:pPr>
            <w:r w:rsidRPr="000549B1">
              <w:rPr>
                <w:kern w:val="0"/>
                <w:szCs w:val="21"/>
                <w:lang w:bidi="ar"/>
              </w:rPr>
              <w:t>I</w:t>
            </w:r>
          </w:p>
        </w:tc>
        <w:tc>
          <w:tcPr>
            <w:tcW w:w="625" w:type="pct"/>
            <w:tcBorders>
              <w:top w:val="single" w:sz="4" w:space="0" w:color="000000"/>
              <w:left w:val="single" w:sz="4" w:space="0" w:color="000000"/>
              <w:bottom w:val="single" w:sz="4" w:space="0" w:color="000000"/>
              <w:right w:val="single" w:sz="4" w:space="0" w:color="000000"/>
            </w:tcBorders>
            <w:vAlign w:val="center"/>
          </w:tcPr>
          <w:p w14:paraId="4DB6B233" w14:textId="77777777" w:rsidR="00054437" w:rsidRPr="000549B1" w:rsidRDefault="00000000">
            <w:pPr>
              <w:widowControl/>
              <w:jc w:val="center"/>
              <w:textAlignment w:val="center"/>
              <w:rPr>
                <w:szCs w:val="21"/>
              </w:rPr>
            </w:pPr>
            <w:r w:rsidRPr="000549B1">
              <w:rPr>
                <w:kern w:val="0"/>
                <w:szCs w:val="21"/>
                <w:lang w:bidi="ar"/>
              </w:rPr>
              <w:t>＜</w:t>
            </w:r>
            <w:r w:rsidRPr="000549B1">
              <w:rPr>
                <w:rStyle w:val="font61"/>
                <w:color w:val="auto"/>
                <w:szCs w:val="21"/>
                <w:lang w:bidi="ar"/>
              </w:rPr>
              <w:t>0.004</w:t>
            </w:r>
          </w:p>
        </w:tc>
        <w:tc>
          <w:tcPr>
            <w:tcW w:w="408" w:type="pct"/>
            <w:tcBorders>
              <w:top w:val="single" w:sz="4" w:space="0" w:color="000000"/>
              <w:left w:val="single" w:sz="4" w:space="0" w:color="000000"/>
              <w:bottom w:val="single" w:sz="4" w:space="0" w:color="000000"/>
              <w:right w:val="single" w:sz="4" w:space="0" w:color="000000"/>
            </w:tcBorders>
          </w:tcPr>
          <w:p w14:paraId="74DF37B9" w14:textId="77777777" w:rsidR="00054437" w:rsidRPr="000549B1" w:rsidRDefault="00000000">
            <w:pPr>
              <w:widowControl/>
              <w:jc w:val="center"/>
              <w:textAlignment w:val="top"/>
              <w:rPr>
                <w:szCs w:val="21"/>
              </w:rPr>
            </w:pPr>
            <w:r w:rsidRPr="000549B1">
              <w:rPr>
                <w:kern w:val="0"/>
                <w:szCs w:val="21"/>
                <w:lang w:bidi="ar"/>
              </w:rPr>
              <w:t>I</w:t>
            </w:r>
          </w:p>
        </w:tc>
        <w:tc>
          <w:tcPr>
            <w:tcW w:w="657" w:type="pct"/>
            <w:tcBorders>
              <w:top w:val="single" w:sz="4" w:space="0" w:color="000000"/>
              <w:left w:val="single" w:sz="4" w:space="0" w:color="000000"/>
              <w:bottom w:val="single" w:sz="4" w:space="0" w:color="000000"/>
              <w:right w:val="single" w:sz="4" w:space="0" w:color="000000"/>
            </w:tcBorders>
            <w:noWrap/>
            <w:vAlign w:val="center"/>
          </w:tcPr>
          <w:p w14:paraId="3269B54F" w14:textId="77777777" w:rsidR="00054437" w:rsidRPr="000549B1" w:rsidRDefault="00000000">
            <w:pPr>
              <w:widowControl/>
              <w:jc w:val="center"/>
              <w:textAlignment w:val="center"/>
              <w:rPr>
                <w:szCs w:val="21"/>
              </w:rPr>
            </w:pPr>
            <w:r w:rsidRPr="000549B1">
              <w:rPr>
                <w:kern w:val="0"/>
                <w:szCs w:val="21"/>
                <w:lang w:bidi="ar"/>
              </w:rPr>
              <w:t>＜</w:t>
            </w:r>
            <w:r w:rsidRPr="000549B1">
              <w:rPr>
                <w:rStyle w:val="font71"/>
                <w:color w:val="auto"/>
                <w:szCs w:val="21"/>
                <w:lang w:bidi="ar"/>
              </w:rPr>
              <w:t>0.004</w:t>
            </w:r>
          </w:p>
        </w:tc>
        <w:tc>
          <w:tcPr>
            <w:tcW w:w="408" w:type="pct"/>
            <w:tcBorders>
              <w:top w:val="single" w:sz="4" w:space="0" w:color="000000"/>
              <w:left w:val="single" w:sz="4" w:space="0" w:color="000000"/>
              <w:bottom w:val="single" w:sz="4" w:space="0" w:color="000000"/>
              <w:right w:val="single" w:sz="4" w:space="0" w:color="000000"/>
            </w:tcBorders>
          </w:tcPr>
          <w:p w14:paraId="1C5D7058" w14:textId="77777777" w:rsidR="00054437" w:rsidRPr="000549B1" w:rsidRDefault="00000000">
            <w:pPr>
              <w:widowControl/>
              <w:jc w:val="center"/>
              <w:textAlignment w:val="top"/>
              <w:rPr>
                <w:szCs w:val="21"/>
              </w:rPr>
            </w:pPr>
            <w:r w:rsidRPr="000549B1">
              <w:rPr>
                <w:kern w:val="0"/>
                <w:szCs w:val="21"/>
                <w:lang w:bidi="ar"/>
              </w:rPr>
              <w:t>I</w:t>
            </w:r>
          </w:p>
        </w:tc>
      </w:tr>
      <w:tr w:rsidR="000549B1" w:rsidRPr="000549B1" w14:paraId="580C9CBD" w14:textId="77777777">
        <w:trPr>
          <w:trHeight w:val="300"/>
        </w:trPr>
        <w:tc>
          <w:tcPr>
            <w:tcW w:w="774" w:type="pct"/>
            <w:tcBorders>
              <w:top w:val="single" w:sz="4" w:space="0" w:color="000000"/>
              <w:left w:val="single" w:sz="4" w:space="0" w:color="000000"/>
              <w:bottom w:val="single" w:sz="4" w:space="0" w:color="000000"/>
              <w:right w:val="single" w:sz="4" w:space="0" w:color="000000"/>
            </w:tcBorders>
            <w:vAlign w:val="center"/>
          </w:tcPr>
          <w:p w14:paraId="1B94F5FA" w14:textId="77777777" w:rsidR="00054437" w:rsidRPr="000549B1" w:rsidRDefault="00000000">
            <w:pPr>
              <w:widowControl/>
              <w:jc w:val="center"/>
              <w:textAlignment w:val="center"/>
              <w:rPr>
                <w:b/>
                <w:bCs/>
                <w:szCs w:val="21"/>
              </w:rPr>
            </w:pPr>
            <w:r w:rsidRPr="000549B1">
              <w:rPr>
                <w:b/>
                <w:bCs/>
                <w:kern w:val="0"/>
                <w:szCs w:val="21"/>
                <w:lang w:bidi="ar"/>
              </w:rPr>
              <w:t>铜</w:t>
            </w:r>
          </w:p>
        </w:tc>
        <w:tc>
          <w:tcPr>
            <w:tcW w:w="628" w:type="pct"/>
            <w:tcBorders>
              <w:top w:val="single" w:sz="4" w:space="0" w:color="000000"/>
              <w:left w:val="single" w:sz="4" w:space="0" w:color="000000"/>
              <w:bottom w:val="single" w:sz="4" w:space="0" w:color="000000"/>
              <w:right w:val="single" w:sz="4" w:space="0" w:color="000000"/>
            </w:tcBorders>
            <w:vAlign w:val="center"/>
          </w:tcPr>
          <w:p w14:paraId="3CAD400D" w14:textId="77777777" w:rsidR="00054437" w:rsidRPr="000549B1" w:rsidRDefault="00000000">
            <w:pPr>
              <w:widowControl/>
              <w:jc w:val="center"/>
              <w:textAlignment w:val="center"/>
              <w:rPr>
                <w:szCs w:val="21"/>
              </w:rPr>
            </w:pPr>
            <w:r w:rsidRPr="000549B1">
              <w:rPr>
                <w:kern w:val="0"/>
                <w:szCs w:val="21"/>
                <w:lang w:bidi="ar"/>
              </w:rPr>
              <w:t>＜</w:t>
            </w:r>
            <w:r w:rsidRPr="000549B1">
              <w:rPr>
                <w:rStyle w:val="font61"/>
                <w:color w:val="auto"/>
                <w:szCs w:val="21"/>
                <w:lang w:bidi="ar"/>
              </w:rPr>
              <w:t>0.006</w:t>
            </w:r>
          </w:p>
        </w:tc>
        <w:tc>
          <w:tcPr>
            <w:tcW w:w="415" w:type="pct"/>
            <w:tcBorders>
              <w:top w:val="single" w:sz="4" w:space="0" w:color="000000"/>
              <w:left w:val="single" w:sz="4" w:space="0" w:color="000000"/>
              <w:bottom w:val="single" w:sz="4" w:space="0" w:color="000000"/>
              <w:right w:val="single" w:sz="4" w:space="0" w:color="000000"/>
            </w:tcBorders>
            <w:vAlign w:val="center"/>
          </w:tcPr>
          <w:p w14:paraId="5D7F1075" w14:textId="77777777" w:rsidR="00054437" w:rsidRPr="000549B1" w:rsidRDefault="00000000">
            <w:pPr>
              <w:widowControl/>
              <w:jc w:val="center"/>
              <w:textAlignment w:val="center"/>
              <w:rPr>
                <w:szCs w:val="21"/>
              </w:rPr>
            </w:pPr>
            <w:r w:rsidRPr="000549B1">
              <w:rPr>
                <w:kern w:val="0"/>
                <w:szCs w:val="21"/>
                <w:lang w:bidi="ar"/>
              </w:rPr>
              <w:t>I</w:t>
            </w:r>
          </w:p>
        </w:tc>
        <w:tc>
          <w:tcPr>
            <w:tcW w:w="665" w:type="pct"/>
            <w:tcBorders>
              <w:top w:val="single" w:sz="4" w:space="0" w:color="000000"/>
              <w:left w:val="single" w:sz="4" w:space="0" w:color="000000"/>
              <w:bottom w:val="single" w:sz="4" w:space="0" w:color="000000"/>
              <w:right w:val="single" w:sz="4" w:space="0" w:color="000000"/>
            </w:tcBorders>
            <w:noWrap/>
            <w:vAlign w:val="center"/>
          </w:tcPr>
          <w:p w14:paraId="6EA73B42" w14:textId="77777777" w:rsidR="00054437" w:rsidRPr="000549B1" w:rsidRDefault="00000000">
            <w:pPr>
              <w:widowControl/>
              <w:jc w:val="center"/>
              <w:textAlignment w:val="center"/>
              <w:rPr>
                <w:szCs w:val="21"/>
              </w:rPr>
            </w:pPr>
            <w:r w:rsidRPr="000549B1">
              <w:rPr>
                <w:kern w:val="0"/>
                <w:szCs w:val="21"/>
                <w:lang w:bidi="ar"/>
              </w:rPr>
              <w:t>0.01</w:t>
            </w:r>
          </w:p>
        </w:tc>
        <w:tc>
          <w:tcPr>
            <w:tcW w:w="415" w:type="pct"/>
            <w:tcBorders>
              <w:top w:val="single" w:sz="4" w:space="0" w:color="000000"/>
              <w:left w:val="single" w:sz="4" w:space="0" w:color="000000"/>
              <w:bottom w:val="single" w:sz="4" w:space="0" w:color="000000"/>
              <w:right w:val="single" w:sz="4" w:space="0" w:color="000000"/>
            </w:tcBorders>
          </w:tcPr>
          <w:p w14:paraId="20993C41" w14:textId="77777777" w:rsidR="00054437" w:rsidRPr="000549B1" w:rsidRDefault="00000000">
            <w:pPr>
              <w:widowControl/>
              <w:jc w:val="center"/>
              <w:textAlignment w:val="top"/>
              <w:rPr>
                <w:szCs w:val="21"/>
              </w:rPr>
            </w:pPr>
            <w:r w:rsidRPr="000549B1">
              <w:rPr>
                <w:kern w:val="0"/>
                <w:szCs w:val="21"/>
                <w:lang w:bidi="ar"/>
              </w:rPr>
              <w:t>I</w:t>
            </w:r>
          </w:p>
        </w:tc>
        <w:tc>
          <w:tcPr>
            <w:tcW w:w="625" w:type="pct"/>
            <w:tcBorders>
              <w:top w:val="single" w:sz="4" w:space="0" w:color="000000"/>
              <w:left w:val="single" w:sz="4" w:space="0" w:color="000000"/>
              <w:bottom w:val="single" w:sz="4" w:space="0" w:color="000000"/>
              <w:right w:val="single" w:sz="4" w:space="0" w:color="000000"/>
            </w:tcBorders>
            <w:vAlign w:val="center"/>
          </w:tcPr>
          <w:p w14:paraId="31A94508" w14:textId="77777777" w:rsidR="00054437" w:rsidRPr="000549B1" w:rsidRDefault="00000000">
            <w:pPr>
              <w:widowControl/>
              <w:jc w:val="center"/>
              <w:textAlignment w:val="center"/>
              <w:rPr>
                <w:szCs w:val="21"/>
              </w:rPr>
            </w:pPr>
            <w:r w:rsidRPr="000549B1">
              <w:rPr>
                <w:kern w:val="0"/>
                <w:szCs w:val="21"/>
                <w:lang w:bidi="ar"/>
              </w:rPr>
              <w:t>＜</w:t>
            </w:r>
            <w:r w:rsidRPr="000549B1">
              <w:rPr>
                <w:rStyle w:val="font61"/>
                <w:color w:val="auto"/>
                <w:szCs w:val="21"/>
                <w:lang w:bidi="ar"/>
              </w:rPr>
              <w:t>0.006</w:t>
            </w:r>
          </w:p>
        </w:tc>
        <w:tc>
          <w:tcPr>
            <w:tcW w:w="408" w:type="pct"/>
            <w:tcBorders>
              <w:top w:val="single" w:sz="4" w:space="0" w:color="000000"/>
              <w:left w:val="single" w:sz="4" w:space="0" w:color="000000"/>
              <w:bottom w:val="single" w:sz="4" w:space="0" w:color="000000"/>
              <w:right w:val="single" w:sz="4" w:space="0" w:color="000000"/>
            </w:tcBorders>
          </w:tcPr>
          <w:p w14:paraId="45CA1F52" w14:textId="77777777" w:rsidR="00054437" w:rsidRPr="000549B1" w:rsidRDefault="00000000">
            <w:pPr>
              <w:widowControl/>
              <w:jc w:val="center"/>
              <w:textAlignment w:val="top"/>
              <w:rPr>
                <w:szCs w:val="21"/>
              </w:rPr>
            </w:pPr>
            <w:r w:rsidRPr="000549B1">
              <w:rPr>
                <w:kern w:val="0"/>
                <w:szCs w:val="21"/>
                <w:lang w:bidi="ar"/>
              </w:rPr>
              <w:t>I</w:t>
            </w:r>
          </w:p>
        </w:tc>
        <w:tc>
          <w:tcPr>
            <w:tcW w:w="657" w:type="pct"/>
            <w:tcBorders>
              <w:top w:val="single" w:sz="4" w:space="0" w:color="000000"/>
              <w:left w:val="single" w:sz="4" w:space="0" w:color="000000"/>
              <w:bottom w:val="single" w:sz="4" w:space="0" w:color="000000"/>
              <w:right w:val="single" w:sz="4" w:space="0" w:color="000000"/>
            </w:tcBorders>
            <w:noWrap/>
            <w:vAlign w:val="center"/>
          </w:tcPr>
          <w:p w14:paraId="76205757" w14:textId="77777777" w:rsidR="00054437" w:rsidRPr="000549B1" w:rsidRDefault="00000000">
            <w:pPr>
              <w:widowControl/>
              <w:jc w:val="center"/>
              <w:textAlignment w:val="center"/>
              <w:rPr>
                <w:szCs w:val="21"/>
              </w:rPr>
            </w:pPr>
            <w:r w:rsidRPr="000549B1">
              <w:rPr>
                <w:kern w:val="0"/>
                <w:szCs w:val="21"/>
                <w:lang w:bidi="ar"/>
              </w:rPr>
              <w:t>0.03</w:t>
            </w:r>
          </w:p>
        </w:tc>
        <w:tc>
          <w:tcPr>
            <w:tcW w:w="408" w:type="pct"/>
            <w:tcBorders>
              <w:top w:val="single" w:sz="4" w:space="0" w:color="000000"/>
              <w:left w:val="single" w:sz="4" w:space="0" w:color="000000"/>
              <w:bottom w:val="single" w:sz="4" w:space="0" w:color="000000"/>
              <w:right w:val="single" w:sz="4" w:space="0" w:color="000000"/>
            </w:tcBorders>
          </w:tcPr>
          <w:p w14:paraId="51C39A8B" w14:textId="77777777" w:rsidR="00054437" w:rsidRPr="000549B1" w:rsidRDefault="00000000">
            <w:pPr>
              <w:widowControl/>
              <w:jc w:val="center"/>
              <w:textAlignment w:val="top"/>
              <w:rPr>
                <w:szCs w:val="21"/>
              </w:rPr>
            </w:pPr>
            <w:r w:rsidRPr="000549B1">
              <w:rPr>
                <w:kern w:val="0"/>
                <w:szCs w:val="21"/>
                <w:lang w:bidi="ar"/>
              </w:rPr>
              <w:t>Ⅱ</w:t>
            </w:r>
          </w:p>
        </w:tc>
      </w:tr>
      <w:tr w:rsidR="000549B1" w:rsidRPr="000549B1" w14:paraId="57FCAFCC" w14:textId="77777777">
        <w:trPr>
          <w:trHeight w:val="300"/>
        </w:trPr>
        <w:tc>
          <w:tcPr>
            <w:tcW w:w="774" w:type="pct"/>
            <w:tcBorders>
              <w:top w:val="single" w:sz="4" w:space="0" w:color="000000"/>
              <w:left w:val="single" w:sz="4" w:space="0" w:color="000000"/>
              <w:bottom w:val="single" w:sz="4" w:space="0" w:color="000000"/>
              <w:right w:val="single" w:sz="4" w:space="0" w:color="000000"/>
            </w:tcBorders>
            <w:vAlign w:val="center"/>
          </w:tcPr>
          <w:p w14:paraId="76E5DB1E" w14:textId="77777777" w:rsidR="00054437" w:rsidRPr="000549B1" w:rsidRDefault="00000000">
            <w:pPr>
              <w:widowControl/>
              <w:jc w:val="center"/>
              <w:textAlignment w:val="center"/>
              <w:rPr>
                <w:b/>
                <w:bCs/>
                <w:szCs w:val="21"/>
              </w:rPr>
            </w:pPr>
            <w:r w:rsidRPr="000549B1">
              <w:rPr>
                <w:b/>
                <w:bCs/>
                <w:kern w:val="0"/>
                <w:szCs w:val="21"/>
                <w:lang w:bidi="ar"/>
              </w:rPr>
              <w:t>锌</w:t>
            </w:r>
          </w:p>
        </w:tc>
        <w:tc>
          <w:tcPr>
            <w:tcW w:w="628" w:type="pct"/>
            <w:tcBorders>
              <w:top w:val="single" w:sz="4" w:space="0" w:color="000000"/>
              <w:left w:val="single" w:sz="4" w:space="0" w:color="000000"/>
              <w:bottom w:val="single" w:sz="4" w:space="0" w:color="000000"/>
              <w:right w:val="single" w:sz="4" w:space="0" w:color="000000"/>
            </w:tcBorders>
            <w:vAlign w:val="center"/>
          </w:tcPr>
          <w:p w14:paraId="6B1413A5" w14:textId="77777777" w:rsidR="00054437" w:rsidRPr="000549B1" w:rsidRDefault="00000000">
            <w:pPr>
              <w:widowControl/>
              <w:jc w:val="center"/>
              <w:textAlignment w:val="center"/>
              <w:rPr>
                <w:szCs w:val="21"/>
              </w:rPr>
            </w:pPr>
            <w:r w:rsidRPr="000549B1">
              <w:rPr>
                <w:kern w:val="0"/>
                <w:szCs w:val="21"/>
                <w:lang w:bidi="ar"/>
              </w:rPr>
              <w:t>0.003</w:t>
            </w:r>
          </w:p>
        </w:tc>
        <w:tc>
          <w:tcPr>
            <w:tcW w:w="415" w:type="pct"/>
            <w:tcBorders>
              <w:top w:val="single" w:sz="4" w:space="0" w:color="000000"/>
              <w:left w:val="single" w:sz="4" w:space="0" w:color="000000"/>
              <w:bottom w:val="single" w:sz="4" w:space="0" w:color="000000"/>
              <w:right w:val="single" w:sz="4" w:space="0" w:color="000000"/>
            </w:tcBorders>
            <w:vAlign w:val="center"/>
          </w:tcPr>
          <w:p w14:paraId="7C42839E" w14:textId="77777777" w:rsidR="00054437" w:rsidRPr="000549B1" w:rsidRDefault="00000000">
            <w:pPr>
              <w:widowControl/>
              <w:jc w:val="center"/>
              <w:textAlignment w:val="center"/>
              <w:rPr>
                <w:szCs w:val="21"/>
              </w:rPr>
            </w:pPr>
            <w:r w:rsidRPr="000549B1">
              <w:rPr>
                <w:kern w:val="0"/>
                <w:szCs w:val="21"/>
                <w:lang w:bidi="ar"/>
              </w:rPr>
              <w:t>I</w:t>
            </w:r>
          </w:p>
        </w:tc>
        <w:tc>
          <w:tcPr>
            <w:tcW w:w="665" w:type="pct"/>
            <w:tcBorders>
              <w:top w:val="single" w:sz="4" w:space="0" w:color="000000"/>
              <w:left w:val="single" w:sz="4" w:space="0" w:color="000000"/>
              <w:bottom w:val="single" w:sz="4" w:space="0" w:color="000000"/>
              <w:right w:val="single" w:sz="4" w:space="0" w:color="000000"/>
            </w:tcBorders>
            <w:noWrap/>
            <w:vAlign w:val="center"/>
          </w:tcPr>
          <w:p w14:paraId="1EC04D25" w14:textId="77777777" w:rsidR="00054437" w:rsidRPr="000549B1" w:rsidRDefault="00000000">
            <w:pPr>
              <w:widowControl/>
              <w:jc w:val="center"/>
              <w:textAlignment w:val="center"/>
              <w:rPr>
                <w:szCs w:val="21"/>
              </w:rPr>
            </w:pPr>
            <w:r w:rsidRPr="000549B1">
              <w:rPr>
                <w:kern w:val="0"/>
                <w:szCs w:val="21"/>
                <w:lang w:bidi="ar"/>
              </w:rPr>
              <w:t>0.25</w:t>
            </w:r>
          </w:p>
        </w:tc>
        <w:tc>
          <w:tcPr>
            <w:tcW w:w="415" w:type="pct"/>
            <w:tcBorders>
              <w:top w:val="single" w:sz="4" w:space="0" w:color="000000"/>
              <w:left w:val="single" w:sz="4" w:space="0" w:color="000000"/>
              <w:bottom w:val="single" w:sz="4" w:space="0" w:color="000000"/>
              <w:right w:val="single" w:sz="4" w:space="0" w:color="000000"/>
            </w:tcBorders>
          </w:tcPr>
          <w:p w14:paraId="525C4AF3" w14:textId="77777777" w:rsidR="00054437" w:rsidRPr="000549B1" w:rsidRDefault="00000000">
            <w:pPr>
              <w:widowControl/>
              <w:jc w:val="center"/>
              <w:textAlignment w:val="top"/>
              <w:rPr>
                <w:szCs w:val="21"/>
              </w:rPr>
            </w:pPr>
            <w:r w:rsidRPr="000549B1">
              <w:rPr>
                <w:kern w:val="0"/>
                <w:szCs w:val="21"/>
                <w:lang w:bidi="ar"/>
              </w:rPr>
              <w:t>I</w:t>
            </w:r>
          </w:p>
        </w:tc>
        <w:tc>
          <w:tcPr>
            <w:tcW w:w="625" w:type="pct"/>
            <w:tcBorders>
              <w:top w:val="single" w:sz="4" w:space="0" w:color="000000"/>
              <w:left w:val="single" w:sz="4" w:space="0" w:color="000000"/>
              <w:bottom w:val="single" w:sz="4" w:space="0" w:color="000000"/>
              <w:right w:val="single" w:sz="4" w:space="0" w:color="000000"/>
            </w:tcBorders>
            <w:vAlign w:val="center"/>
          </w:tcPr>
          <w:p w14:paraId="39B42332" w14:textId="77777777" w:rsidR="00054437" w:rsidRPr="000549B1" w:rsidRDefault="00000000">
            <w:pPr>
              <w:widowControl/>
              <w:jc w:val="center"/>
              <w:textAlignment w:val="center"/>
              <w:rPr>
                <w:szCs w:val="21"/>
              </w:rPr>
            </w:pPr>
            <w:r w:rsidRPr="000549B1">
              <w:rPr>
                <w:kern w:val="0"/>
                <w:szCs w:val="21"/>
                <w:lang w:bidi="ar"/>
              </w:rPr>
              <w:t>0.005</w:t>
            </w:r>
          </w:p>
        </w:tc>
        <w:tc>
          <w:tcPr>
            <w:tcW w:w="408" w:type="pct"/>
            <w:tcBorders>
              <w:top w:val="single" w:sz="4" w:space="0" w:color="000000"/>
              <w:left w:val="single" w:sz="4" w:space="0" w:color="000000"/>
              <w:bottom w:val="single" w:sz="4" w:space="0" w:color="000000"/>
              <w:right w:val="single" w:sz="4" w:space="0" w:color="000000"/>
            </w:tcBorders>
          </w:tcPr>
          <w:p w14:paraId="4EB7039D" w14:textId="77777777" w:rsidR="00054437" w:rsidRPr="000549B1" w:rsidRDefault="00000000">
            <w:pPr>
              <w:widowControl/>
              <w:jc w:val="center"/>
              <w:textAlignment w:val="top"/>
              <w:rPr>
                <w:szCs w:val="21"/>
              </w:rPr>
            </w:pPr>
            <w:r w:rsidRPr="000549B1">
              <w:rPr>
                <w:kern w:val="0"/>
                <w:szCs w:val="21"/>
                <w:lang w:bidi="ar"/>
              </w:rPr>
              <w:t>I</w:t>
            </w:r>
          </w:p>
        </w:tc>
        <w:tc>
          <w:tcPr>
            <w:tcW w:w="657" w:type="pct"/>
            <w:tcBorders>
              <w:top w:val="single" w:sz="4" w:space="0" w:color="000000"/>
              <w:left w:val="single" w:sz="4" w:space="0" w:color="000000"/>
              <w:bottom w:val="single" w:sz="4" w:space="0" w:color="000000"/>
              <w:right w:val="single" w:sz="4" w:space="0" w:color="000000"/>
            </w:tcBorders>
            <w:noWrap/>
            <w:vAlign w:val="center"/>
          </w:tcPr>
          <w:p w14:paraId="5E127EB1" w14:textId="77777777" w:rsidR="00054437" w:rsidRPr="000549B1" w:rsidRDefault="00000000">
            <w:pPr>
              <w:widowControl/>
              <w:jc w:val="center"/>
              <w:textAlignment w:val="center"/>
              <w:rPr>
                <w:szCs w:val="21"/>
              </w:rPr>
            </w:pPr>
            <w:r w:rsidRPr="000549B1">
              <w:rPr>
                <w:kern w:val="0"/>
                <w:szCs w:val="21"/>
                <w:lang w:bidi="ar"/>
              </w:rPr>
              <w:t>0.53</w:t>
            </w:r>
          </w:p>
        </w:tc>
        <w:tc>
          <w:tcPr>
            <w:tcW w:w="408" w:type="pct"/>
            <w:tcBorders>
              <w:top w:val="single" w:sz="4" w:space="0" w:color="000000"/>
              <w:left w:val="single" w:sz="4" w:space="0" w:color="000000"/>
              <w:bottom w:val="single" w:sz="4" w:space="0" w:color="000000"/>
              <w:right w:val="single" w:sz="4" w:space="0" w:color="000000"/>
            </w:tcBorders>
            <w:vAlign w:val="center"/>
          </w:tcPr>
          <w:p w14:paraId="06933248" w14:textId="77777777" w:rsidR="00054437" w:rsidRPr="000549B1" w:rsidRDefault="00000000">
            <w:pPr>
              <w:widowControl/>
              <w:jc w:val="center"/>
              <w:textAlignment w:val="center"/>
              <w:rPr>
                <w:szCs w:val="21"/>
              </w:rPr>
            </w:pPr>
            <w:r w:rsidRPr="000549B1">
              <w:rPr>
                <w:kern w:val="0"/>
                <w:szCs w:val="21"/>
                <w:lang w:bidi="ar"/>
              </w:rPr>
              <w:t>Ⅱ</w:t>
            </w:r>
          </w:p>
        </w:tc>
      </w:tr>
      <w:tr w:rsidR="000549B1" w:rsidRPr="000549B1" w14:paraId="4D6FB7F3" w14:textId="77777777">
        <w:trPr>
          <w:trHeight w:val="300"/>
        </w:trPr>
        <w:tc>
          <w:tcPr>
            <w:tcW w:w="774" w:type="pct"/>
            <w:tcBorders>
              <w:top w:val="single" w:sz="4" w:space="0" w:color="000000"/>
              <w:left w:val="single" w:sz="4" w:space="0" w:color="000000"/>
              <w:bottom w:val="single" w:sz="4" w:space="0" w:color="000000"/>
              <w:right w:val="single" w:sz="4" w:space="0" w:color="000000"/>
            </w:tcBorders>
            <w:vAlign w:val="center"/>
          </w:tcPr>
          <w:p w14:paraId="13F1156E" w14:textId="77777777" w:rsidR="00054437" w:rsidRPr="000549B1" w:rsidRDefault="00000000">
            <w:pPr>
              <w:widowControl/>
              <w:jc w:val="center"/>
              <w:textAlignment w:val="center"/>
              <w:rPr>
                <w:b/>
                <w:bCs/>
                <w:szCs w:val="21"/>
              </w:rPr>
            </w:pPr>
            <w:r w:rsidRPr="000549B1">
              <w:rPr>
                <w:b/>
                <w:bCs/>
                <w:kern w:val="0"/>
                <w:szCs w:val="21"/>
                <w:lang w:bidi="ar"/>
              </w:rPr>
              <w:t>硒</w:t>
            </w:r>
          </w:p>
        </w:tc>
        <w:tc>
          <w:tcPr>
            <w:tcW w:w="628" w:type="pct"/>
            <w:tcBorders>
              <w:top w:val="single" w:sz="4" w:space="0" w:color="000000"/>
              <w:left w:val="single" w:sz="4" w:space="0" w:color="000000"/>
              <w:bottom w:val="single" w:sz="4" w:space="0" w:color="000000"/>
              <w:right w:val="single" w:sz="4" w:space="0" w:color="000000"/>
            </w:tcBorders>
            <w:vAlign w:val="center"/>
          </w:tcPr>
          <w:p w14:paraId="22CFDB27" w14:textId="77777777" w:rsidR="00054437" w:rsidRPr="000549B1" w:rsidRDefault="00000000">
            <w:pPr>
              <w:widowControl/>
              <w:jc w:val="center"/>
              <w:textAlignment w:val="center"/>
              <w:rPr>
                <w:szCs w:val="21"/>
              </w:rPr>
            </w:pPr>
            <w:r w:rsidRPr="000549B1">
              <w:rPr>
                <w:kern w:val="0"/>
                <w:szCs w:val="21"/>
                <w:lang w:bidi="ar"/>
              </w:rPr>
              <w:t>＜</w:t>
            </w:r>
            <w:r w:rsidRPr="000549B1">
              <w:rPr>
                <w:rStyle w:val="font61"/>
                <w:color w:val="auto"/>
                <w:szCs w:val="21"/>
                <w:lang w:bidi="ar"/>
              </w:rPr>
              <w:t>0.0004</w:t>
            </w:r>
          </w:p>
        </w:tc>
        <w:tc>
          <w:tcPr>
            <w:tcW w:w="415" w:type="pct"/>
            <w:tcBorders>
              <w:top w:val="single" w:sz="4" w:space="0" w:color="000000"/>
              <w:left w:val="single" w:sz="4" w:space="0" w:color="000000"/>
              <w:bottom w:val="single" w:sz="4" w:space="0" w:color="000000"/>
              <w:right w:val="single" w:sz="4" w:space="0" w:color="000000"/>
            </w:tcBorders>
            <w:vAlign w:val="center"/>
          </w:tcPr>
          <w:p w14:paraId="1B1737DE" w14:textId="77777777" w:rsidR="00054437" w:rsidRPr="000549B1" w:rsidRDefault="00000000">
            <w:pPr>
              <w:widowControl/>
              <w:jc w:val="center"/>
              <w:textAlignment w:val="center"/>
              <w:rPr>
                <w:szCs w:val="21"/>
              </w:rPr>
            </w:pPr>
            <w:r w:rsidRPr="000549B1">
              <w:rPr>
                <w:kern w:val="0"/>
                <w:szCs w:val="21"/>
                <w:lang w:bidi="ar"/>
              </w:rPr>
              <w:t>I</w:t>
            </w:r>
          </w:p>
        </w:tc>
        <w:tc>
          <w:tcPr>
            <w:tcW w:w="665" w:type="pct"/>
            <w:tcBorders>
              <w:top w:val="single" w:sz="4" w:space="0" w:color="000000"/>
              <w:left w:val="single" w:sz="4" w:space="0" w:color="000000"/>
              <w:bottom w:val="single" w:sz="4" w:space="0" w:color="000000"/>
              <w:right w:val="single" w:sz="4" w:space="0" w:color="000000"/>
            </w:tcBorders>
            <w:noWrap/>
            <w:vAlign w:val="center"/>
          </w:tcPr>
          <w:p w14:paraId="64C70B2D" w14:textId="77777777" w:rsidR="00054437" w:rsidRPr="000549B1" w:rsidRDefault="00000000">
            <w:pPr>
              <w:widowControl/>
              <w:jc w:val="center"/>
              <w:textAlignment w:val="center"/>
              <w:rPr>
                <w:szCs w:val="21"/>
              </w:rPr>
            </w:pPr>
            <w:r w:rsidRPr="000549B1">
              <w:rPr>
                <w:kern w:val="0"/>
                <w:szCs w:val="21"/>
                <w:lang w:bidi="ar"/>
              </w:rPr>
              <w:t>0.00</w:t>
            </w:r>
          </w:p>
        </w:tc>
        <w:tc>
          <w:tcPr>
            <w:tcW w:w="415" w:type="pct"/>
            <w:tcBorders>
              <w:top w:val="single" w:sz="4" w:space="0" w:color="000000"/>
              <w:left w:val="single" w:sz="4" w:space="0" w:color="000000"/>
              <w:bottom w:val="single" w:sz="4" w:space="0" w:color="000000"/>
              <w:right w:val="single" w:sz="4" w:space="0" w:color="000000"/>
            </w:tcBorders>
          </w:tcPr>
          <w:p w14:paraId="43049AC9" w14:textId="77777777" w:rsidR="00054437" w:rsidRPr="000549B1" w:rsidRDefault="00000000">
            <w:pPr>
              <w:widowControl/>
              <w:jc w:val="center"/>
              <w:textAlignment w:val="top"/>
              <w:rPr>
                <w:szCs w:val="21"/>
              </w:rPr>
            </w:pPr>
            <w:r w:rsidRPr="000549B1">
              <w:rPr>
                <w:kern w:val="0"/>
                <w:szCs w:val="21"/>
                <w:lang w:bidi="ar"/>
              </w:rPr>
              <w:t>I</w:t>
            </w:r>
          </w:p>
        </w:tc>
        <w:tc>
          <w:tcPr>
            <w:tcW w:w="625" w:type="pct"/>
            <w:tcBorders>
              <w:top w:val="single" w:sz="4" w:space="0" w:color="000000"/>
              <w:left w:val="single" w:sz="4" w:space="0" w:color="000000"/>
              <w:bottom w:val="single" w:sz="4" w:space="0" w:color="000000"/>
              <w:right w:val="single" w:sz="4" w:space="0" w:color="000000"/>
            </w:tcBorders>
            <w:vAlign w:val="center"/>
          </w:tcPr>
          <w:p w14:paraId="22B2D7E7" w14:textId="77777777" w:rsidR="00054437" w:rsidRPr="000549B1" w:rsidRDefault="00000000">
            <w:pPr>
              <w:widowControl/>
              <w:jc w:val="center"/>
              <w:textAlignment w:val="center"/>
              <w:rPr>
                <w:szCs w:val="21"/>
              </w:rPr>
            </w:pPr>
            <w:r w:rsidRPr="000549B1">
              <w:rPr>
                <w:kern w:val="0"/>
                <w:szCs w:val="21"/>
                <w:lang w:bidi="ar"/>
              </w:rPr>
              <w:t>＜</w:t>
            </w:r>
            <w:r w:rsidRPr="000549B1">
              <w:rPr>
                <w:rStyle w:val="font61"/>
                <w:color w:val="auto"/>
                <w:szCs w:val="21"/>
                <w:lang w:bidi="ar"/>
              </w:rPr>
              <w:t>0.0004</w:t>
            </w:r>
          </w:p>
        </w:tc>
        <w:tc>
          <w:tcPr>
            <w:tcW w:w="408" w:type="pct"/>
            <w:tcBorders>
              <w:top w:val="single" w:sz="4" w:space="0" w:color="000000"/>
              <w:left w:val="single" w:sz="4" w:space="0" w:color="000000"/>
              <w:bottom w:val="single" w:sz="4" w:space="0" w:color="000000"/>
              <w:right w:val="single" w:sz="4" w:space="0" w:color="000000"/>
            </w:tcBorders>
          </w:tcPr>
          <w:p w14:paraId="42118C50" w14:textId="77777777" w:rsidR="00054437" w:rsidRPr="000549B1" w:rsidRDefault="00000000">
            <w:pPr>
              <w:widowControl/>
              <w:jc w:val="center"/>
              <w:textAlignment w:val="top"/>
              <w:rPr>
                <w:szCs w:val="21"/>
              </w:rPr>
            </w:pPr>
            <w:r w:rsidRPr="000549B1">
              <w:rPr>
                <w:kern w:val="0"/>
                <w:szCs w:val="21"/>
                <w:lang w:bidi="ar"/>
              </w:rPr>
              <w:t>I</w:t>
            </w:r>
          </w:p>
        </w:tc>
        <w:tc>
          <w:tcPr>
            <w:tcW w:w="657" w:type="pct"/>
            <w:tcBorders>
              <w:top w:val="single" w:sz="4" w:space="0" w:color="000000"/>
              <w:left w:val="single" w:sz="4" w:space="0" w:color="000000"/>
              <w:bottom w:val="single" w:sz="4" w:space="0" w:color="000000"/>
              <w:right w:val="single" w:sz="4" w:space="0" w:color="000000"/>
            </w:tcBorders>
            <w:noWrap/>
            <w:vAlign w:val="center"/>
          </w:tcPr>
          <w:p w14:paraId="3640B945" w14:textId="77777777" w:rsidR="00054437" w:rsidRPr="000549B1" w:rsidRDefault="00000000">
            <w:pPr>
              <w:widowControl/>
              <w:jc w:val="center"/>
              <w:textAlignment w:val="center"/>
              <w:rPr>
                <w:szCs w:val="21"/>
              </w:rPr>
            </w:pPr>
            <w:r w:rsidRPr="000549B1">
              <w:rPr>
                <w:kern w:val="0"/>
                <w:szCs w:val="21"/>
                <w:lang w:bidi="ar"/>
              </w:rPr>
              <w:t>0.00</w:t>
            </w:r>
          </w:p>
        </w:tc>
        <w:tc>
          <w:tcPr>
            <w:tcW w:w="408" w:type="pct"/>
            <w:tcBorders>
              <w:top w:val="single" w:sz="4" w:space="0" w:color="000000"/>
              <w:left w:val="single" w:sz="4" w:space="0" w:color="000000"/>
              <w:bottom w:val="single" w:sz="4" w:space="0" w:color="000000"/>
              <w:right w:val="single" w:sz="4" w:space="0" w:color="000000"/>
            </w:tcBorders>
          </w:tcPr>
          <w:p w14:paraId="6C106E98" w14:textId="77777777" w:rsidR="00054437" w:rsidRPr="000549B1" w:rsidRDefault="00000000">
            <w:pPr>
              <w:widowControl/>
              <w:jc w:val="center"/>
              <w:textAlignment w:val="top"/>
              <w:rPr>
                <w:szCs w:val="21"/>
              </w:rPr>
            </w:pPr>
            <w:r w:rsidRPr="000549B1">
              <w:rPr>
                <w:kern w:val="0"/>
                <w:szCs w:val="21"/>
                <w:lang w:bidi="ar"/>
              </w:rPr>
              <w:t>I</w:t>
            </w:r>
          </w:p>
        </w:tc>
      </w:tr>
      <w:tr w:rsidR="000549B1" w:rsidRPr="000549B1" w14:paraId="59A662C9" w14:textId="77777777">
        <w:trPr>
          <w:trHeight w:val="300"/>
        </w:trPr>
        <w:tc>
          <w:tcPr>
            <w:tcW w:w="774" w:type="pct"/>
            <w:tcBorders>
              <w:top w:val="single" w:sz="4" w:space="0" w:color="000000"/>
              <w:left w:val="single" w:sz="4" w:space="0" w:color="000000"/>
              <w:bottom w:val="single" w:sz="4" w:space="0" w:color="000000"/>
              <w:right w:val="single" w:sz="4" w:space="0" w:color="000000"/>
            </w:tcBorders>
            <w:vAlign w:val="center"/>
          </w:tcPr>
          <w:p w14:paraId="51F0D37F" w14:textId="77777777" w:rsidR="00054437" w:rsidRPr="000549B1" w:rsidRDefault="00000000">
            <w:pPr>
              <w:widowControl/>
              <w:jc w:val="center"/>
              <w:textAlignment w:val="center"/>
              <w:rPr>
                <w:b/>
                <w:bCs/>
                <w:szCs w:val="21"/>
              </w:rPr>
            </w:pPr>
            <w:r w:rsidRPr="000549B1">
              <w:rPr>
                <w:b/>
                <w:bCs/>
                <w:kern w:val="0"/>
                <w:szCs w:val="21"/>
                <w:lang w:bidi="ar"/>
              </w:rPr>
              <w:t>砷</w:t>
            </w:r>
          </w:p>
        </w:tc>
        <w:tc>
          <w:tcPr>
            <w:tcW w:w="628" w:type="pct"/>
            <w:tcBorders>
              <w:top w:val="single" w:sz="4" w:space="0" w:color="000000"/>
              <w:left w:val="single" w:sz="4" w:space="0" w:color="000000"/>
              <w:bottom w:val="single" w:sz="4" w:space="0" w:color="000000"/>
              <w:right w:val="single" w:sz="4" w:space="0" w:color="000000"/>
            </w:tcBorders>
            <w:vAlign w:val="center"/>
          </w:tcPr>
          <w:p w14:paraId="1EEE9065" w14:textId="77777777" w:rsidR="00054437" w:rsidRPr="000549B1" w:rsidRDefault="00000000">
            <w:pPr>
              <w:widowControl/>
              <w:jc w:val="center"/>
              <w:textAlignment w:val="center"/>
              <w:rPr>
                <w:szCs w:val="21"/>
              </w:rPr>
            </w:pPr>
            <w:r w:rsidRPr="000549B1">
              <w:rPr>
                <w:kern w:val="0"/>
                <w:szCs w:val="21"/>
                <w:lang w:bidi="ar"/>
              </w:rPr>
              <w:t>＜</w:t>
            </w:r>
            <w:r w:rsidRPr="000549B1">
              <w:rPr>
                <w:rStyle w:val="font61"/>
                <w:color w:val="auto"/>
                <w:szCs w:val="21"/>
                <w:lang w:bidi="ar"/>
              </w:rPr>
              <w:t>0.0003</w:t>
            </w:r>
          </w:p>
        </w:tc>
        <w:tc>
          <w:tcPr>
            <w:tcW w:w="415" w:type="pct"/>
            <w:tcBorders>
              <w:top w:val="single" w:sz="4" w:space="0" w:color="000000"/>
              <w:left w:val="single" w:sz="4" w:space="0" w:color="000000"/>
              <w:bottom w:val="single" w:sz="4" w:space="0" w:color="000000"/>
              <w:right w:val="single" w:sz="4" w:space="0" w:color="000000"/>
            </w:tcBorders>
            <w:vAlign w:val="center"/>
          </w:tcPr>
          <w:p w14:paraId="412643B0" w14:textId="77777777" w:rsidR="00054437" w:rsidRPr="000549B1" w:rsidRDefault="00000000">
            <w:pPr>
              <w:widowControl/>
              <w:jc w:val="center"/>
              <w:textAlignment w:val="center"/>
              <w:rPr>
                <w:szCs w:val="21"/>
              </w:rPr>
            </w:pPr>
            <w:r w:rsidRPr="000549B1">
              <w:rPr>
                <w:kern w:val="0"/>
                <w:szCs w:val="21"/>
                <w:lang w:bidi="ar"/>
              </w:rPr>
              <w:t>I</w:t>
            </w:r>
          </w:p>
        </w:tc>
        <w:tc>
          <w:tcPr>
            <w:tcW w:w="665" w:type="pct"/>
            <w:tcBorders>
              <w:top w:val="single" w:sz="4" w:space="0" w:color="000000"/>
              <w:left w:val="single" w:sz="4" w:space="0" w:color="000000"/>
              <w:bottom w:val="single" w:sz="4" w:space="0" w:color="000000"/>
              <w:right w:val="single" w:sz="4" w:space="0" w:color="000000"/>
            </w:tcBorders>
            <w:noWrap/>
            <w:vAlign w:val="center"/>
          </w:tcPr>
          <w:p w14:paraId="73FF9E56" w14:textId="77777777" w:rsidR="00054437" w:rsidRPr="000549B1" w:rsidRDefault="00000000">
            <w:pPr>
              <w:widowControl/>
              <w:jc w:val="center"/>
              <w:textAlignment w:val="center"/>
              <w:rPr>
                <w:szCs w:val="21"/>
              </w:rPr>
            </w:pPr>
            <w:r w:rsidRPr="000549B1">
              <w:rPr>
                <w:kern w:val="0"/>
                <w:szCs w:val="21"/>
                <w:lang w:bidi="ar"/>
              </w:rPr>
              <w:t>0.00</w:t>
            </w:r>
          </w:p>
        </w:tc>
        <w:tc>
          <w:tcPr>
            <w:tcW w:w="415" w:type="pct"/>
            <w:tcBorders>
              <w:top w:val="single" w:sz="4" w:space="0" w:color="000000"/>
              <w:left w:val="single" w:sz="4" w:space="0" w:color="000000"/>
              <w:bottom w:val="single" w:sz="4" w:space="0" w:color="000000"/>
              <w:right w:val="single" w:sz="4" w:space="0" w:color="000000"/>
            </w:tcBorders>
          </w:tcPr>
          <w:p w14:paraId="306A3C8F" w14:textId="77777777" w:rsidR="00054437" w:rsidRPr="000549B1" w:rsidRDefault="00000000">
            <w:pPr>
              <w:widowControl/>
              <w:jc w:val="center"/>
              <w:textAlignment w:val="top"/>
              <w:rPr>
                <w:szCs w:val="21"/>
              </w:rPr>
            </w:pPr>
            <w:r w:rsidRPr="000549B1">
              <w:rPr>
                <w:kern w:val="0"/>
                <w:szCs w:val="21"/>
                <w:lang w:bidi="ar"/>
              </w:rPr>
              <w:t>I</w:t>
            </w:r>
          </w:p>
        </w:tc>
        <w:tc>
          <w:tcPr>
            <w:tcW w:w="625" w:type="pct"/>
            <w:tcBorders>
              <w:top w:val="single" w:sz="4" w:space="0" w:color="000000"/>
              <w:left w:val="single" w:sz="4" w:space="0" w:color="000000"/>
              <w:bottom w:val="single" w:sz="4" w:space="0" w:color="000000"/>
              <w:right w:val="single" w:sz="4" w:space="0" w:color="000000"/>
            </w:tcBorders>
            <w:vAlign w:val="center"/>
          </w:tcPr>
          <w:p w14:paraId="76A20267" w14:textId="77777777" w:rsidR="00054437" w:rsidRPr="000549B1" w:rsidRDefault="00000000">
            <w:pPr>
              <w:widowControl/>
              <w:jc w:val="center"/>
              <w:textAlignment w:val="center"/>
              <w:rPr>
                <w:szCs w:val="21"/>
              </w:rPr>
            </w:pPr>
            <w:r w:rsidRPr="000549B1">
              <w:rPr>
                <w:kern w:val="0"/>
                <w:szCs w:val="21"/>
                <w:lang w:bidi="ar"/>
              </w:rPr>
              <w:t>0.0002</w:t>
            </w:r>
          </w:p>
        </w:tc>
        <w:tc>
          <w:tcPr>
            <w:tcW w:w="408" w:type="pct"/>
            <w:tcBorders>
              <w:top w:val="single" w:sz="4" w:space="0" w:color="000000"/>
              <w:left w:val="single" w:sz="4" w:space="0" w:color="000000"/>
              <w:bottom w:val="single" w:sz="4" w:space="0" w:color="000000"/>
              <w:right w:val="single" w:sz="4" w:space="0" w:color="000000"/>
            </w:tcBorders>
          </w:tcPr>
          <w:p w14:paraId="40431C0F" w14:textId="77777777" w:rsidR="00054437" w:rsidRPr="000549B1" w:rsidRDefault="00000000">
            <w:pPr>
              <w:widowControl/>
              <w:jc w:val="center"/>
              <w:textAlignment w:val="top"/>
              <w:rPr>
                <w:szCs w:val="21"/>
              </w:rPr>
            </w:pPr>
            <w:r w:rsidRPr="000549B1">
              <w:rPr>
                <w:kern w:val="0"/>
                <w:szCs w:val="21"/>
                <w:lang w:bidi="ar"/>
              </w:rPr>
              <w:t>I</w:t>
            </w:r>
          </w:p>
        </w:tc>
        <w:tc>
          <w:tcPr>
            <w:tcW w:w="657" w:type="pct"/>
            <w:tcBorders>
              <w:top w:val="single" w:sz="4" w:space="0" w:color="000000"/>
              <w:left w:val="single" w:sz="4" w:space="0" w:color="000000"/>
              <w:bottom w:val="single" w:sz="4" w:space="0" w:color="000000"/>
              <w:right w:val="single" w:sz="4" w:space="0" w:color="000000"/>
            </w:tcBorders>
            <w:noWrap/>
            <w:vAlign w:val="center"/>
          </w:tcPr>
          <w:p w14:paraId="699841FD" w14:textId="77777777" w:rsidR="00054437" w:rsidRPr="000549B1" w:rsidRDefault="00000000">
            <w:pPr>
              <w:widowControl/>
              <w:jc w:val="center"/>
              <w:textAlignment w:val="center"/>
              <w:rPr>
                <w:szCs w:val="21"/>
              </w:rPr>
            </w:pPr>
            <w:r w:rsidRPr="000549B1">
              <w:rPr>
                <w:kern w:val="0"/>
                <w:szCs w:val="21"/>
                <w:lang w:bidi="ar"/>
              </w:rPr>
              <w:t>0.00</w:t>
            </w:r>
          </w:p>
        </w:tc>
        <w:tc>
          <w:tcPr>
            <w:tcW w:w="408" w:type="pct"/>
            <w:tcBorders>
              <w:top w:val="single" w:sz="4" w:space="0" w:color="000000"/>
              <w:left w:val="single" w:sz="4" w:space="0" w:color="000000"/>
              <w:bottom w:val="single" w:sz="4" w:space="0" w:color="000000"/>
              <w:right w:val="single" w:sz="4" w:space="0" w:color="000000"/>
            </w:tcBorders>
          </w:tcPr>
          <w:p w14:paraId="11287F40" w14:textId="77777777" w:rsidR="00054437" w:rsidRPr="000549B1" w:rsidRDefault="00000000">
            <w:pPr>
              <w:widowControl/>
              <w:jc w:val="center"/>
              <w:textAlignment w:val="top"/>
              <w:rPr>
                <w:szCs w:val="21"/>
              </w:rPr>
            </w:pPr>
            <w:r w:rsidRPr="000549B1">
              <w:rPr>
                <w:kern w:val="0"/>
                <w:szCs w:val="21"/>
                <w:lang w:bidi="ar"/>
              </w:rPr>
              <w:t>I</w:t>
            </w:r>
          </w:p>
        </w:tc>
      </w:tr>
      <w:tr w:rsidR="000549B1" w:rsidRPr="000549B1" w14:paraId="5D35173B" w14:textId="77777777">
        <w:trPr>
          <w:trHeight w:val="300"/>
        </w:trPr>
        <w:tc>
          <w:tcPr>
            <w:tcW w:w="774" w:type="pct"/>
            <w:tcBorders>
              <w:top w:val="single" w:sz="4" w:space="0" w:color="000000"/>
              <w:left w:val="single" w:sz="4" w:space="0" w:color="000000"/>
              <w:bottom w:val="single" w:sz="4" w:space="0" w:color="000000"/>
              <w:right w:val="single" w:sz="4" w:space="0" w:color="000000"/>
            </w:tcBorders>
            <w:vAlign w:val="center"/>
          </w:tcPr>
          <w:p w14:paraId="5F289D1F" w14:textId="77777777" w:rsidR="00054437" w:rsidRPr="000549B1" w:rsidRDefault="00000000">
            <w:pPr>
              <w:widowControl/>
              <w:jc w:val="center"/>
              <w:textAlignment w:val="center"/>
              <w:rPr>
                <w:b/>
                <w:bCs/>
                <w:szCs w:val="21"/>
              </w:rPr>
            </w:pPr>
            <w:r w:rsidRPr="000549B1">
              <w:rPr>
                <w:b/>
                <w:bCs/>
                <w:kern w:val="0"/>
                <w:szCs w:val="21"/>
                <w:lang w:bidi="ar"/>
              </w:rPr>
              <w:t>汞</w:t>
            </w:r>
          </w:p>
        </w:tc>
        <w:tc>
          <w:tcPr>
            <w:tcW w:w="628" w:type="pct"/>
            <w:tcBorders>
              <w:top w:val="single" w:sz="4" w:space="0" w:color="000000"/>
              <w:left w:val="single" w:sz="4" w:space="0" w:color="000000"/>
              <w:bottom w:val="single" w:sz="4" w:space="0" w:color="000000"/>
              <w:right w:val="single" w:sz="4" w:space="0" w:color="000000"/>
            </w:tcBorders>
            <w:vAlign w:val="center"/>
          </w:tcPr>
          <w:p w14:paraId="3420A1E1" w14:textId="77777777" w:rsidR="00054437" w:rsidRPr="000549B1" w:rsidRDefault="00000000">
            <w:pPr>
              <w:widowControl/>
              <w:jc w:val="center"/>
              <w:textAlignment w:val="center"/>
              <w:rPr>
                <w:szCs w:val="21"/>
              </w:rPr>
            </w:pPr>
            <w:r w:rsidRPr="000549B1">
              <w:rPr>
                <w:kern w:val="0"/>
                <w:szCs w:val="21"/>
                <w:lang w:bidi="ar"/>
              </w:rPr>
              <w:t>＜</w:t>
            </w:r>
            <w:r w:rsidRPr="000549B1">
              <w:rPr>
                <w:rStyle w:val="font61"/>
                <w:color w:val="auto"/>
                <w:szCs w:val="21"/>
                <w:lang w:bidi="ar"/>
              </w:rPr>
              <w:t>0.00004</w:t>
            </w:r>
          </w:p>
        </w:tc>
        <w:tc>
          <w:tcPr>
            <w:tcW w:w="415" w:type="pct"/>
            <w:tcBorders>
              <w:top w:val="single" w:sz="4" w:space="0" w:color="000000"/>
              <w:left w:val="single" w:sz="4" w:space="0" w:color="000000"/>
              <w:bottom w:val="single" w:sz="4" w:space="0" w:color="000000"/>
              <w:right w:val="single" w:sz="4" w:space="0" w:color="000000"/>
            </w:tcBorders>
            <w:vAlign w:val="center"/>
          </w:tcPr>
          <w:p w14:paraId="62EEF2A1" w14:textId="77777777" w:rsidR="00054437" w:rsidRPr="000549B1" w:rsidRDefault="00000000">
            <w:pPr>
              <w:widowControl/>
              <w:jc w:val="center"/>
              <w:textAlignment w:val="center"/>
              <w:rPr>
                <w:szCs w:val="21"/>
              </w:rPr>
            </w:pPr>
            <w:r w:rsidRPr="000549B1">
              <w:rPr>
                <w:kern w:val="0"/>
                <w:szCs w:val="21"/>
                <w:lang w:bidi="ar"/>
              </w:rPr>
              <w:t>I</w:t>
            </w:r>
          </w:p>
        </w:tc>
        <w:tc>
          <w:tcPr>
            <w:tcW w:w="665" w:type="pct"/>
            <w:tcBorders>
              <w:top w:val="single" w:sz="4" w:space="0" w:color="000000"/>
              <w:left w:val="single" w:sz="4" w:space="0" w:color="000000"/>
              <w:bottom w:val="single" w:sz="4" w:space="0" w:color="000000"/>
              <w:right w:val="single" w:sz="4" w:space="0" w:color="000000"/>
            </w:tcBorders>
            <w:noWrap/>
            <w:vAlign w:val="center"/>
          </w:tcPr>
          <w:p w14:paraId="03DEE5AE" w14:textId="77777777" w:rsidR="00054437" w:rsidRPr="000549B1" w:rsidRDefault="00000000">
            <w:pPr>
              <w:widowControl/>
              <w:jc w:val="center"/>
              <w:textAlignment w:val="center"/>
              <w:rPr>
                <w:szCs w:val="21"/>
              </w:rPr>
            </w:pPr>
            <w:r w:rsidRPr="000549B1">
              <w:rPr>
                <w:kern w:val="0"/>
                <w:szCs w:val="21"/>
                <w:lang w:bidi="ar"/>
              </w:rPr>
              <w:t>＜</w:t>
            </w:r>
            <w:r w:rsidRPr="000549B1">
              <w:rPr>
                <w:rStyle w:val="font71"/>
                <w:color w:val="auto"/>
                <w:szCs w:val="21"/>
                <w:lang w:bidi="ar"/>
              </w:rPr>
              <w:t>0.00004</w:t>
            </w:r>
          </w:p>
        </w:tc>
        <w:tc>
          <w:tcPr>
            <w:tcW w:w="415" w:type="pct"/>
            <w:tcBorders>
              <w:top w:val="single" w:sz="4" w:space="0" w:color="000000"/>
              <w:left w:val="single" w:sz="4" w:space="0" w:color="000000"/>
              <w:bottom w:val="single" w:sz="4" w:space="0" w:color="000000"/>
              <w:right w:val="single" w:sz="4" w:space="0" w:color="000000"/>
            </w:tcBorders>
          </w:tcPr>
          <w:p w14:paraId="191DF9DD" w14:textId="77777777" w:rsidR="00054437" w:rsidRPr="000549B1" w:rsidRDefault="00000000">
            <w:pPr>
              <w:widowControl/>
              <w:jc w:val="center"/>
              <w:textAlignment w:val="top"/>
              <w:rPr>
                <w:szCs w:val="21"/>
              </w:rPr>
            </w:pPr>
            <w:r w:rsidRPr="000549B1">
              <w:rPr>
                <w:kern w:val="0"/>
                <w:szCs w:val="21"/>
                <w:lang w:bidi="ar"/>
              </w:rPr>
              <w:t>I</w:t>
            </w:r>
          </w:p>
        </w:tc>
        <w:tc>
          <w:tcPr>
            <w:tcW w:w="625" w:type="pct"/>
            <w:tcBorders>
              <w:top w:val="single" w:sz="4" w:space="0" w:color="000000"/>
              <w:left w:val="single" w:sz="4" w:space="0" w:color="000000"/>
              <w:bottom w:val="single" w:sz="4" w:space="0" w:color="000000"/>
              <w:right w:val="single" w:sz="4" w:space="0" w:color="000000"/>
            </w:tcBorders>
            <w:vAlign w:val="center"/>
          </w:tcPr>
          <w:p w14:paraId="2E0748DC" w14:textId="77777777" w:rsidR="00054437" w:rsidRPr="000549B1" w:rsidRDefault="00000000">
            <w:pPr>
              <w:widowControl/>
              <w:jc w:val="center"/>
              <w:textAlignment w:val="center"/>
              <w:rPr>
                <w:szCs w:val="21"/>
              </w:rPr>
            </w:pPr>
            <w:r w:rsidRPr="000549B1">
              <w:rPr>
                <w:kern w:val="0"/>
                <w:szCs w:val="21"/>
                <w:lang w:bidi="ar"/>
              </w:rPr>
              <w:t>＜</w:t>
            </w:r>
            <w:r w:rsidRPr="000549B1">
              <w:rPr>
                <w:rStyle w:val="font61"/>
                <w:color w:val="auto"/>
                <w:szCs w:val="21"/>
                <w:lang w:bidi="ar"/>
              </w:rPr>
              <w:t>0.00004</w:t>
            </w:r>
          </w:p>
        </w:tc>
        <w:tc>
          <w:tcPr>
            <w:tcW w:w="408" w:type="pct"/>
            <w:tcBorders>
              <w:top w:val="single" w:sz="4" w:space="0" w:color="000000"/>
              <w:left w:val="single" w:sz="4" w:space="0" w:color="000000"/>
              <w:bottom w:val="single" w:sz="4" w:space="0" w:color="000000"/>
              <w:right w:val="single" w:sz="4" w:space="0" w:color="000000"/>
            </w:tcBorders>
          </w:tcPr>
          <w:p w14:paraId="6882F4E3" w14:textId="77777777" w:rsidR="00054437" w:rsidRPr="000549B1" w:rsidRDefault="00000000">
            <w:pPr>
              <w:widowControl/>
              <w:jc w:val="center"/>
              <w:textAlignment w:val="top"/>
              <w:rPr>
                <w:szCs w:val="21"/>
              </w:rPr>
            </w:pPr>
            <w:r w:rsidRPr="000549B1">
              <w:rPr>
                <w:kern w:val="0"/>
                <w:szCs w:val="21"/>
                <w:lang w:bidi="ar"/>
              </w:rPr>
              <w:t>I</w:t>
            </w:r>
          </w:p>
        </w:tc>
        <w:tc>
          <w:tcPr>
            <w:tcW w:w="657" w:type="pct"/>
            <w:tcBorders>
              <w:top w:val="single" w:sz="4" w:space="0" w:color="000000"/>
              <w:left w:val="single" w:sz="4" w:space="0" w:color="000000"/>
              <w:bottom w:val="single" w:sz="4" w:space="0" w:color="000000"/>
              <w:right w:val="single" w:sz="4" w:space="0" w:color="000000"/>
            </w:tcBorders>
            <w:noWrap/>
            <w:vAlign w:val="center"/>
          </w:tcPr>
          <w:p w14:paraId="02F9A7EC" w14:textId="77777777" w:rsidR="00054437" w:rsidRPr="000549B1" w:rsidRDefault="00000000">
            <w:pPr>
              <w:widowControl/>
              <w:jc w:val="center"/>
              <w:textAlignment w:val="center"/>
              <w:rPr>
                <w:szCs w:val="21"/>
              </w:rPr>
            </w:pPr>
            <w:r w:rsidRPr="000549B1">
              <w:rPr>
                <w:kern w:val="0"/>
                <w:szCs w:val="21"/>
                <w:lang w:bidi="ar"/>
              </w:rPr>
              <w:t>＜</w:t>
            </w:r>
            <w:r w:rsidRPr="000549B1">
              <w:rPr>
                <w:rStyle w:val="font71"/>
                <w:color w:val="auto"/>
                <w:szCs w:val="21"/>
                <w:lang w:bidi="ar"/>
              </w:rPr>
              <w:t>0.00004</w:t>
            </w:r>
          </w:p>
        </w:tc>
        <w:tc>
          <w:tcPr>
            <w:tcW w:w="408" w:type="pct"/>
            <w:tcBorders>
              <w:top w:val="single" w:sz="4" w:space="0" w:color="000000"/>
              <w:left w:val="single" w:sz="4" w:space="0" w:color="000000"/>
              <w:bottom w:val="single" w:sz="4" w:space="0" w:color="000000"/>
              <w:right w:val="single" w:sz="4" w:space="0" w:color="000000"/>
            </w:tcBorders>
          </w:tcPr>
          <w:p w14:paraId="3EABBB16" w14:textId="77777777" w:rsidR="00054437" w:rsidRPr="000549B1" w:rsidRDefault="00000000">
            <w:pPr>
              <w:widowControl/>
              <w:jc w:val="center"/>
              <w:textAlignment w:val="top"/>
              <w:rPr>
                <w:szCs w:val="21"/>
              </w:rPr>
            </w:pPr>
            <w:r w:rsidRPr="000549B1">
              <w:rPr>
                <w:kern w:val="0"/>
                <w:szCs w:val="21"/>
                <w:lang w:bidi="ar"/>
              </w:rPr>
              <w:t>I</w:t>
            </w:r>
          </w:p>
        </w:tc>
      </w:tr>
      <w:tr w:rsidR="000549B1" w:rsidRPr="000549B1" w14:paraId="1374E13D" w14:textId="77777777">
        <w:trPr>
          <w:trHeight w:val="300"/>
        </w:trPr>
        <w:tc>
          <w:tcPr>
            <w:tcW w:w="774" w:type="pct"/>
            <w:tcBorders>
              <w:top w:val="single" w:sz="4" w:space="0" w:color="000000"/>
              <w:left w:val="single" w:sz="4" w:space="0" w:color="000000"/>
              <w:bottom w:val="single" w:sz="4" w:space="0" w:color="000000"/>
              <w:right w:val="single" w:sz="4" w:space="0" w:color="000000"/>
            </w:tcBorders>
            <w:vAlign w:val="center"/>
          </w:tcPr>
          <w:p w14:paraId="58C913EA" w14:textId="77777777" w:rsidR="00054437" w:rsidRPr="000549B1" w:rsidRDefault="00000000">
            <w:pPr>
              <w:widowControl/>
              <w:jc w:val="center"/>
              <w:textAlignment w:val="center"/>
              <w:rPr>
                <w:b/>
                <w:bCs/>
                <w:szCs w:val="21"/>
              </w:rPr>
            </w:pPr>
            <w:r w:rsidRPr="000549B1">
              <w:rPr>
                <w:b/>
                <w:bCs/>
                <w:kern w:val="0"/>
                <w:szCs w:val="21"/>
                <w:lang w:bidi="ar"/>
              </w:rPr>
              <w:t>镉</w:t>
            </w:r>
          </w:p>
        </w:tc>
        <w:tc>
          <w:tcPr>
            <w:tcW w:w="628" w:type="pct"/>
            <w:tcBorders>
              <w:top w:val="single" w:sz="4" w:space="0" w:color="000000"/>
              <w:left w:val="single" w:sz="4" w:space="0" w:color="000000"/>
              <w:bottom w:val="single" w:sz="4" w:space="0" w:color="000000"/>
              <w:right w:val="single" w:sz="4" w:space="0" w:color="000000"/>
            </w:tcBorders>
            <w:vAlign w:val="center"/>
          </w:tcPr>
          <w:p w14:paraId="350DDDE9" w14:textId="77777777" w:rsidR="00054437" w:rsidRPr="000549B1" w:rsidRDefault="00000000">
            <w:pPr>
              <w:widowControl/>
              <w:jc w:val="center"/>
              <w:textAlignment w:val="center"/>
              <w:rPr>
                <w:szCs w:val="21"/>
              </w:rPr>
            </w:pPr>
            <w:r w:rsidRPr="000549B1">
              <w:rPr>
                <w:kern w:val="0"/>
                <w:szCs w:val="21"/>
                <w:lang w:bidi="ar"/>
              </w:rPr>
              <w:t>0.00007</w:t>
            </w:r>
          </w:p>
        </w:tc>
        <w:tc>
          <w:tcPr>
            <w:tcW w:w="415" w:type="pct"/>
            <w:tcBorders>
              <w:top w:val="single" w:sz="4" w:space="0" w:color="000000"/>
              <w:left w:val="single" w:sz="4" w:space="0" w:color="000000"/>
              <w:bottom w:val="single" w:sz="4" w:space="0" w:color="000000"/>
              <w:right w:val="single" w:sz="4" w:space="0" w:color="000000"/>
            </w:tcBorders>
            <w:vAlign w:val="center"/>
          </w:tcPr>
          <w:p w14:paraId="70070EAE" w14:textId="77777777" w:rsidR="00054437" w:rsidRPr="000549B1" w:rsidRDefault="00000000">
            <w:pPr>
              <w:widowControl/>
              <w:jc w:val="center"/>
              <w:textAlignment w:val="center"/>
              <w:rPr>
                <w:szCs w:val="21"/>
              </w:rPr>
            </w:pPr>
            <w:r w:rsidRPr="000549B1">
              <w:rPr>
                <w:kern w:val="0"/>
                <w:szCs w:val="21"/>
                <w:lang w:bidi="ar"/>
              </w:rPr>
              <w:t>I</w:t>
            </w:r>
          </w:p>
        </w:tc>
        <w:tc>
          <w:tcPr>
            <w:tcW w:w="665" w:type="pct"/>
            <w:tcBorders>
              <w:top w:val="single" w:sz="4" w:space="0" w:color="000000"/>
              <w:left w:val="single" w:sz="4" w:space="0" w:color="000000"/>
              <w:bottom w:val="single" w:sz="4" w:space="0" w:color="000000"/>
              <w:right w:val="single" w:sz="4" w:space="0" w:color="000000"/>
            </w:tcBorders>
            <w:noWrap/>
            <w:vAlign w:val="center"/>
          </w:tcPr>
          <w:p w14:paraId="59CB1DA6" w14:textId="77777777" w:rsidR="00054437" w:rsidRPr="000549B1" w:rsidRDefault="00000000">
            <w:pPr>
              <w:widowControl/>
              <w:jc w:val="center"/>
              <w:textAlignment w:val="center"/>
              <w:rPr>
                <w:szCs w:val="21"/>
              </w:rPr>
            </w:pPr>
            <w:r w:rsidRPr="000549B1">
              <w:rPr>
                <w:kern w:val="0"/>
                <w:szCs w:val="21"/>
                <w:lang w:bidi="ar"/>
              </w:rPr>
              <w:t>＜</w:t>
            </w:r>
            <w:r w:rsidRPr="000549B1">
              <w:rPr>
                <w:rStyle w:val="font71"/>
                <w:color w:val="auto"/>
                <w:szCs w:val="21"/>
                <w:lang w:bidi="ar"/>
              </w:rPr>
              <w:t>0.00005</w:t>
            </w:r>
          </w:p>
        </w:tc>
        <w:tc>
          <w:tcPr>
            <w:tcW w:w="415" w:type="pct"/>
            <w:tcBorders>
              <w:top w:val="single" w:sz="4" w:space="0" w:color="000000"/>
              <w:left w:val="single" w:sz="4" w:space="0" w:color="000000"/>
              <w:bottom w:val="single" w:sz="4" w:space="0" w:color="000000"/>
              <w:right w:val="single" w:sz="4" w:space="0" w:color="000000"/>
            </w:tcBorders>
          </w:tcPr>
          <w:p w14:paraId="603D4DA2" w14:textId="77777777" w:rsidR="00054437" w:rsidRPr="000549B1" w:rsidRDefault="00000000">
            <w:pPr>
              <w:widowControl/>
              <w:jc w:val="center"/>
              <w:textAlignment w:val="top"/>
              <w:rPr>
                <w:szCs w:val="21"/>
              </w:rPr>
            </w:pPr>
            <w:r w:rsidRPr="000549B1">
              <w:rPr>
                <w:kern w:val="0"/>
                <w:szCs w:val="21"/>
                <w:lang w:bidi="ar"/>
              </w:rPr>
              <w:t>I</w:t>
            </w:r>
          </w:p>
        </w:tc>
        <w:tc>
          <w:tcPr>
            <w:tcW w:w="625" w:type="pct"/>
            <w:tcBorders>
              <w:top w:val="single" w:sz="4" w:space="0" w:color="000000"/>
              <w:left w:val="single" w:sz="4" w:space="0" w:color="000000"/>
              <w:bottom w:val="single" w:sz="4" w:space="0" w:color="000000"/>
              <w:right w:val="single" w:sz="4" w:space="0" w:color="000000"/>
            </w:tcBorders>
            <w:vAlign w:val="center"/>
          </w:tcPr>
          <w:p w14:paraId="2AD82202" w14:textId="77777777" w:rsidR="00054437" w:rsidRPr="000549B1" w:rsidRDefault="00000000">
            <w:pPr>
              <w:widowControl/>
              <w:jc w:val="center"/>
              <w:textAlignment w:val="center"/>
              <w:rPr>
                <w:szCs w:val="21"/>
              </w:rPr>
            </w:pPr>
            <w:r w:rsidRPr="000549B1">
              <w:rPr>
                <w:kern w:val="0"/>
                <w:szCs w:val="21"/>
                <w:lang w:bidi="ar"/>
              </w:rPr>
              <w:t>＜</w:t>
            </w:r>
            <w:r w:rsidRPr="000549B1">
              <w:rPr>
                <w:rStyle w:val="font61"/>
                <w:color w:val="auto"/>
                <w:szCs w:val="21"/>
                <w:lang w:bidi="ar"/>
              </w:rPr>
              <w:t>0.00005</w:t>
            </w:r>
          </w:p>
        </w:tc>
        <w:tc>
          <w:tcPr>
            <w:tcW w:w="408" w:type="pct"/>
            <w:tcBorders>
              <w:top w:val="single" w:sz="4" w:space="0" w:color="000000"/>
              <w:left w:val="single" w:sz="4" w:space="0" w:color="000000"/>
              <w:bottom w:val="single" w:sz="4" w:space="0" w:color="000000"/>
              <w:right w:val="single" w:sz="4" w:space="0" w:color="000000"/>
            </w:tcBorders>
          </w:tcPr>
          <w:p w14:paraId="409D7E9E" w14:textId="77777777" w:rsidR="00054437" w:rsidRPr="000549B1" w:rsidRDefault="00000000">
            <w:pPr>
              <w:widowControl/>
              <w:jc w:val="center"/>
              <w:textAlignment w:val="top"/>
              <w:rPr>
                <w:szCs w:val="21"/>
              </w:rPr>
            </w:pPr>
            <w:r w:rsidRPr="000549B1">
              <w:rPr>
                <w:kern w:val="0"/>
                <w:szCs w:val="21"/>
                <w:lang w:bidi="ar"/>
              </w:rPr>
              <w:t>I</w:t>
            </w:r>
          </w:p>
        </w:tc>
        <w:tc>
          <w:tcPr>
            <w:tcW w:w="657" w:type="pct"/>
            <w:tcBorders>
              <w:top w:val="single" w:sz="4" w:space="0" w:color="000000"/>
              <w:left w:val="single" w:sz="4" w:space="0" w:color="000000"/>
              <w:bottom w:val="single" w:sz="4" w:space="0" w:color="000000"/>
              <w:right w:val="single" w:sz="4" w:space="0" w:color="000000"/>
            </w:tcBorders>
            <w:noWrap/>
            <w:vAlign w:val="center"/>
          </w:tcPr>
          <w:p w14:paraId="750F4FB5" w14:textId="77777777" w:rsidR="00054437" w:rsidRPr="000549B1" w:rsidRDefault="00000000">
            <w:pPr>
              <w:widowControl/>
              <w:jc w:val="center"/>
              <w:textAlignment w:val="center"/>
              <w:rPr>
                <w:szCs w:val="21"/>
              </w:rPr>
            </w:pPr>
            <w:r w:rsidRPr="000549B1">
              <w:rPr>
                <w:kern w:val="0"/>
                <w:szCs w:val="21"/>
                <w:lang w:bidi="ar"/>
              </w:rPr>
              <w:t>0.00</w:t>
            </w:r>
          </w:p>
        </w:tc>
        <w:tc>
          <w:tcPr>
            <w:tcW w:w="408" w:type="pct"/>
            <w:tcBorders>
              <w:top w:val="single" w:sz="4" w:space="0" w:color="000000"/>
              <w:left w:val="single" w:sz="4" w:space="0" w:color="000000"/>
              <w:bottom w:val="single" w:sz="4" w:space="0" w:color="000000"/>
              <w:right w:val="single" w:sz="4" w:space="0" w:color="000000"/>
            </w:tcBorders>
          </w:tcPr>
          <w:p w14:paraId="6771CA90" w14:textId="77777777" w:rsidR="00054437" w:rsidRPr="000549B1" w:rsidRDefault="00000000">
            <w:pPr>
              <w:widowControl/>
              <w:jc w:val="center"/>
              <w:textAlignment w:val="top"/>
              <w:rPr>
                <w:szCs w:val="21"/>
              </w:rPr>
            </w:pPr>
            <w:r w:rsidRPr="000549B1">
              <w:rPr>
                <w:kern w:val="0"/>
                <w:szCs w:val="21"/>
                <w:lang w:bidi="ar"/>
              </w:rPr>
              <w:t>I</w:t>
            </w:r>
          </w:p>
        </w:tc>
      </w:tr>
      <w:tr w:rsidR="000549B1" w:rsidRPr="000549B1" w14:paraId="1B04F53C" w14:textId="77777777">
        <w:trPr>
          <w:trHeight w:val="300"/>
        </w:trPr>
        <w:tc>
          <w:tcPr>
            <w:tcW w:w="774" w:type="pct"/>
            <w:tcBorders>
              <w:top w:val="single" w:sz="4" w:space="0" w:color="000000"/>
              <w:left w:val="single" w:sz="4" w:space="0" w:color="000000"/>
              <w:bottom w:val="single" w:sz="4" w:space="0" w:color="000000"/>
              <w:right w:val="single" w:sz="4" w:space="0" w:color="000000"/>
            </w:tcBorders>
            <w:vAlign w:val="center"/>
          </w:tcPr>
          <w:p w14:paraId="05F19C5B" w14:textId="77777777" w:rsidR="00054437" w:rsidRPr="000549B1" w:rsidRDefault="00000000">
            <w:pPr>
              <w:widowControl/>
              <w:jc w:val="center"/>
              <w:textAlignment w:val="center"/>
              <w:rPr>
                <w:b/>
                <w:bCs/>
                <w:szCs w:val="21"/>
              </w:rPr>
            </w:pPr>
            <w:r w:rsidRPr="000549B1">
              <w:rPr>
                <w:b/>
                <w:bCs/>
                <w:kern w:val="0"/>
                <w:szCs w:val="21"/>
                <w:lang w:bidi="ar"/>
              </w:rPr>
              <w:t>铅</w:t>
            </w:r>
          </w:p>
        </w:tc>
        <w:tc>
          <w:tcPr>
            <w:tcW w:w="628" w:type="pct"/>
            <w:tcBorders>
              <w:top w:val="single" w:sz="4" w:space="0" w:color="000000"/>
              <w:left w:val="single" w:sz="4" w:space="0" w:color="000000"/>
              <w:bottom w:val="single" w:sz="4" w:space="0" w:color="000000"/>
              <w:right w:val="single" w:sz="4" w:space="0" w:color="000000"/>
            </w:tcBorders>
            <w:vAlign w:val="center"/>
          </w:tcPr>
          <w:p w14:paraId="21081591" w14:textId="77777777" w:rsidR="00054437" w:rsidRPr="000549B1" w:rsidRDefault="00000000">
            <w:pPr>
              <w:widowControl/>
              <w:jc w:val="center"/>
              <w:textAlignment w:val="center"/>
              <w:rPr>
                <w:szCs w:val="21"/>
              </w:rPr>
            </w:pPr>
            <w:r w:rsidRPr="000549B1">
              <w:rPr>
                <w:kern w:val="0"/>
                <w:szCs w:val="21"/>
                <w:lang w:bidi="ar"/>
              </w:rPr>
              <w:t>0.00031</w:t>
            </w:r>
          </w:p>
        </w:tc>
        <w:tc>
          <w:tcPr>
            <w:tcW w:w="415" w:type="pct"/>
            <w:tcBorders>
              <w:top w:val="single" w:sz="4" w:space="0" w:color="000000"/>
              <w:left w:val="single" w:sz="4" w:space="0" w:color="000000"/>
              <w:bottom w:val="single" w:sz="4" w:space="0" w:color="000000"/>
              <w:right w:val="single" w:sz="4" w:space="0" w:color="000000"/>
            </w:tcBorders>
            <w:vAlign w:val="center"/>
          </w:tcPr>
          <w:p w14:paraId="4E303298" w14:textId="77777777" w:rsidR="00054437" w:rsidRPr="000549B1" w:rsidRDefault="00000000">
            <w:pPr>
              <w:widowControl/>
              <w:jc w:val="center"/>
              <w:textAlignment w:val="center"/>
              <w:rPr>
                <w:szCs w:val="21"/>
              </w:rPr>
            </w:pPr>
            <w:r w:rsidRPr="000549B1">
              <w:rPr>
                <w:kern w:val="0"/>
                <w:szCs w:val="21"/>
                <w:lang w:bidi="ar"/>
              </w:rPr>
              <w:t>I</w:t>
            </w:r>
          </w:p>
        </w:tc>
        <w:tc>
          <w:tcPr>
            <w:tcW w:w="665" w:type="pct"/>
            <w:tcBorders>
              <w:top w:val="single" w:sz="4" w:space="0" w:color="000000"/>
              <w:left w:val="single" w:sz="4" w:space="0" w:color="000000"/>
              <w:bottom w:val="single" w:sz="4" w:space="0" w:color="000000"/>
              <w:right w:val="single" w:sz="4" w:space="0" w:color="000000"/>
            </w:tcBorders>
            <w:noWrap/>
            <w:vAlign w:val="center"/>
          </w:tcPr>
          <w:p w14:paraId="2A11BFAC" w14:textId="77777777" w:rsidR="00054437" w:rsidRPr="000549B1" w:rsidRDefault="00000000">
            <w:pPr>
              <w:widowControl/>
              <w:jc w:val="center"/>
              <w:textAlignment w:val="center"/>
              <w:rPr>
                <w:szCs w:val="21"/>
              </w:rPr>
            </w:pPr>
            <w:r w:rsidRPr="000549B1">
              <w:rPr>
                <w:kern w:val="0"/>
                <w:szCs w:val="21"/>
                <w:lang w:bidi="ar"/>
              </w:rPr>
              <w:t>0.00</w:t>
            </w:r>
          </w:p>
        </w:tc>
        <w:tc>
          <w:tcPr>
            <w:tcW w:w="415" w:type="pct"/>
            <w:tcBorders>
              <w:top w:val="single" w:sz="4" w:space="0" w:color="000000"/>
              <w:left w:val="single" w:sz="4" w:space="0" w:color="000000"/>
              <w:bottom w:val="single" w:sz="4" w:space="0" w:color="000000"/>
              <w:right w:val="single" w:sz="4" w:space="0" w:color="000000"/>
            </w:tcBorders>
          </w:tcPr>
          <w:p w14:paraId="05F2E3C8" w14:textId="77777777" w:rsidR="00054437" w:rsidRPr="000549B1" w:rsidRDefault="00000000">
            <w:pPr>
              <w:widowControl/>
              <w:jc w:val="center"/>
              <w:textAlignment w:val="top"/>
              <w:rPr>
                <w:szCs w:val="21"/>
              </w:rPr>
            </w:pPr>
            <w:r w:rsidRPr="000549B1">
              <w:rPr>
                <w:kern w:val="0"/>
                <w:szCs w:val="21"/>
                <w:lang w:bidi="ar"/>
              </w:rPr>
              <w:t>I</w:t>
            </w:r>
          </w:p>
        </w:tc>
        <w:tc>
          <w:tcPr>
            <w:tcW w:w="625" w:type="pct"/>
            <w:tcBorders>
              <w:top w:val="single" w:sz="4" w:space="0" w:color="000000"/>
              <w:left w:val="single" w:sz="4" w:space="0" w:color="000000"/>
              <w:bottom w:val="single" w:sz="4" w:space="0" w:color="000000"/>
              <w:right w:val="single" w:sz="4" w:space="0" w:color="000000"/>
            </w:tcBorders>
            <w:vAlign w:val="center"/>
          </w:tcPr>
          <w:p w14:paraId="52192F45" w14:textId="77777777" w:rsidR="00054437" w:rsidRPr="000549B1" w:rsidRDefault="00000000">
            <w:pPr>
              <w:widowControl/>
              <w:jc w:val="center"/>
              <w:textAlignment w:val="center"/>
              <w:rPr>
                <w:szCs w:val="21"/>
              </w:rPr>
            </w:pPr>
            <w:r w:rsidRPr="000549B1">
              <w:rPr>
                <w:kern w:val="0"/>
                <w:szCs w:val="21"/>
                <w:lang w:bidi="ar"/>
              </w:rPr>
              <w:t>0.00022</w:t>
            </w:r>
          </w:p>
        </w:tc>
        <w:tc>
          <w:tcPr>
            <w:tcW w:w="408" w:type="pct"/>
            <w:tcBorders>
              <w:top w:val="single" w:sz="4" w:space="0" w:color="000000"/>
              <w:left w:val="single" w:sz="4" w:space="0" w:color="000000"/>
              <w:bottom w:val="single" w:sz="4" w:space="0" w:color="000000"/>
              <w:right w:val="single" w:sz="4" w:space="0" w:color="000000"/>
            </w:tcBorders>
          </w:tcPr>
          <w:p w14:paraId="2B374C13" w14:textId="77777777" w:rsidR="00054437" w:rsidRPr="000549B1" w:rsidRDefault="00000000">
            <w:pPr>
              <w:widowControl/>
              <w:jc w:val="center"/>
              <w:textAlignment w:val="top"/>
              <w:rPr>
                <w:szCs w:val="21"/>
              </w:rPr>
            </w:pPr>
            <w:r w:rsidRPr="000549B1">
              <w:rPr>
                <w:kern w:val="0"/>
                <w:szCs w:val="21"/>
                <w:lang w:bidi="ar"/>
              </w:rPr>
              <w:t>I</w:t>
            </w:r>
          </w:p>
        </w:tc>
        <w:tc>
          <w:tcPr>
            <w:tcW w:w="657" w:type="pct"/>
            <w:tcBorders>
              <w:top w:val="single" w:sz="4" w:space="0" w:color="000000"/>
              <w:left w:val="single" w:sz="4" w:space="0" w:color="000000"/>
              <w:bottom w:val="single" w:sz="4" w:space="0" w:color="000000"/>
              <w:right w:val="single" w:sz="4" w:space="0" w:color="000000"/>
            </w:tcBorders>
            <w:noWrap/>
            <w:vAlign w:val="center"/>
          </w:tcPr>
          <w:p w14:paraId="036E3EDC" w14:textId="77777777" w:rsidR="00054437" w:rsidRPr="000549B1" w:rsidRDefault="00000000">
            <w:pPr>
              <w:widowControl/>
              <w:jc w:val="center"/>
              <w:textAlignment w:val="center"/>
              <w:rPr>
                <w:szCs w:val="21"/>
              </w:rPr>
            </w:pPr>
            <w:r w:rsidRPr="000549B1">
              <w:rPr>
                <w:kern w:val="0"/>
                <w:szCs w:val="21"/>
                <w:lang w:bidi="ar"/>
              </w:rPr>
              <w:t>0.00</w:t>
            </w:r>
          </w:p>
        </w:tc>
        <w:tc>
          <w:tcPr>
            <w:tcW w:w="408" w:type="pct"/>
            <w:tcBorders>
              <w:top w:val="single" w:sz="4" w:space="0" w:color="000000"/>
              <w:left w:val="single" w:sz="4" w:space="0" w:color="000000"/>
              <w:bottom w:val="single" w:sz="4" w:space="0" w:color="000000"/>
              <w:right w:val="single" w:sz="4" w:space="0" w:color="000000"/>
            </w:tcBorders>
          </w:tcPr>
          <w:p w14:paraId="376E3C1D" w14:textId="77777777" w:rsidR="00054437" w:rsidRPr="000549B1" w:rsidRDefault="00000000">
            <w:pPr>
              <w:widowControl/>
              <w:jc w:val="center"/>
              <w:textAlignment w:val="top"/>
              <w:rPr>
                <w:szCs w:val="21"/>
              </w:rPr>
            </w:pPr>
            <w:r w:rsidRPr="000549B1">
              <w:rPr>
                <w:kern w:val="0"/>
                <w:szCs w:val="21"/>
                <w:lang w:bidi="ar"/>
              </w:rPr>
              <w:t>I</w:t>
            </w:r>
          </w:p>
        </w:tc>
      </w:tr>
      <w:tr w:rsidR="000549B1" w:rsidRPr="000549B1" w14:paraId="29AC5577" w14:textId="77777777">
        <w:trPr>
          <w:trHeight w:val="300"/>
        </w:trPr>
        <w:tc>
          <w:tcPr>
            <w:tcW w:w="774" w:type="pct"/>
            <w:tcBorders>
              <w:top w:val="single" w:sz="4" w:space="0" w:color="000000"/>
              <w:left w:val="single" w:sz="4" w:space="0" w:color="000000"/>
              <w:bottom w:val="single" w:sz="4" w:space="0" w:color="000000"/>
              <w:right w:val="single" w:sz="4" w:space="0" w:color="000000"/>
            </w:tcBorders>
            <w:vAlign w:val="center"/>
          </w:tcPr>
          <w:p w14:paraId="2840CA54" w14:textId="77777777" w:rsidR="00054437" w:rsidRPr="000549B1" w:rsidRDefault="00000000">
            <w:pPr>
              <w:widowControl/>
              <w:jc w:val="center"/>
              <w:textAlignment w:val="center"/>
              <w:rPr>
                <w:b/>
                <w:bCs/>
                <w:szCs w:val="21"/>
              </w:rPr>
            </w:pPr>
            <w:r w:rsidRPr="000549B1">
              <w:rPr>
                <w:b/>
                <w:bCs/>
                <w:kern w:val="0"/>
                <w:szCs w:val="21"/>
                <w:lang w:bidi="ar"/>
              </w:rPr>
              <w:t>六价铬</w:t>
            </w:r>
          </w:p>
        </w:tc>
        <w:tc>
          <w:tcPr>
            <w:tcW w:w="628" w:type="pct"/>
            <w:tcBorders>
              <w:top w:val="single" w:sz="4" w:space="0" w:color="000000"/>
              <w:left w:val="single" w:sz="4" w:space="0" w:color="000000"/>
              <w:bottom w:val="single" w:sz="4" w:space="0" w:color="000000"/>
              <w:right w:val="single" w:sz="4" w:space="0" w:color="000000"/>
            </w:tcBorders>
            <w:vAlign w:val="center"/>
          </w:tcPr>
          <w:p w14:paraId="589EAF96" w14:textId="77777777" w:rsidR="00054437" w:rsidRPr="000549B1" w:rsidRDefault="00000000">
            <w:pPr>
              <w:widowControl/>
              <w:jc w:val="center"/>
              <w:textAlignment w:val="center"/>
              <w:rPr>
                <w:szCs w:val="21"/>
              </w:rPr>
            </w:pPr>
            <w:r w:rsidRPr="000549B1">
              <w:rPr>
                <w:kern w:val="0"/>
                <w:szCs w:val="21"/>
                <w:lang w:bidi="ar"/>
              </w:rPr>
              <w:t>＜</w:t>
            </w:r>
            <w:r w:rsidRPr="000549B1">
              <w:rPr>
                <w:rStyle w:val="font61"/>
                <w:color w:val="auto"/>
                <w:szCs w:val="21"/>
                <w:lang w:bidi="ar"/>
              </w:rPr>
              <w:t>0.004</w:t>
            </w:r>
          </w:p>
        </w:tc>
        <w:tc>
          <w:tcPr>
            <w:tcW w:w="415" w:type="pct"/>
            <w:tcBorders>
              <w:top w:val="single" w:sz="4" w:space="0" w:color="000000"/>
              <w:left w:val="single" w:sz="4" w:space="0" w:color="000000"/>
              <w:bottom w:val="single" w:sz="4" w:space="0" w:color="000000"/>
              <w:right w:val="single" w:sz="4" w:space="0" w:color="000000"/>
            </w:tcBorders>
            <w:vAlign w:val="center"/>
          </w:tcPr>
          <w:p w14:paraId="5AC2FABC" w14:textId="77777777" w:rsidR="00054437" w:rsidRPr="000549B1" w:rsidRDefault="00000000">
            <w:pPr>
              <w:widowControl/>
              <w:jc w:val="center"/>
              <w:textAlignment w:val="center"/>
              <w:rPr>
                <w:szCs w:val="21"/>
              </w:rPr>
            </w:pPr>
            <w:r w:rsidRPr="000549B1">
              <w:rPr>
                <w:kern w:val="0"/>
                <w:szCs w:val="21"/>
                <w:lang w:bidi="ar"/>
              </w:rPr>
              <w:t>I</w:t>
            </w:r>
          </w:p>
        </w:tc>
        <w:tc>
          <w:tcPr>
            <w:tcW w:w="665" w:type="pct"/>
            <w:tcBorders>
              <w:top w:val="single" w:sz="4" w:space="0" w:color="000000"/>
              <w:left w:val="single" w:sz="4" w:space="0" w:color="000000"/>
              <w:bottom w:val="single" w:sz="4" w:space="0" w:color="000000"/>
              <w:right w:val="single" w:sz="4" w:space="0" w:color="000000"/>
            </w:tcBorders>
            <w:noWrap/>
            <w:vAlign w:val="center"/>
          </w:tcPr>
          <w:p w14:paraId="0519F80F" w14:textId="77777777" w:rsidR="00054437" w:rsidRPr="000549B1" w:rsidRDefault="00000000">
            <w:pPr>
              <w:widowControl/>
              <w:jc w:val="center"/>
              <w:textAlignment w:val="center"/>
              <w:rPr>
                <w:szCs w:val="21"/>
              </w:rPr>
            </w:pPr>
            <w:r w:rsidRPr="000549B1">
              <w:rPr>
                <w:kern w:val="0"/>
                <w:szCs w:val="21"/>
                <w:lang w:bidi="ar"/>
              </w:rPr>
              <w:t>0.01</w:t>
            </w:r>
          </w:p>
        </w:tc>
        <w:tc>
          <w:tcPr>
            <w:tcW w:w="415" w:type="pct"/>
            <w:tcBorders>
              <w:top w:val="single" w:sz="4" w:space="0" w:color="000000"/>
              <w:left w:val="single" w:sz="4" w:space="0" w:color="000000"/>
              <w:bottom w:val="single" w:sz="4" w:space="0" w:color="000000"/>
              <w:right w:val="single" w:sz="4" w:space="0" w:color="000000"/>
            </w:tcBorders>
          </w:tcPr>
          <w:p w14:paraId="504E114B" w14:textId="77777777" w:rsidR="00054437" w:rsidRPr="000549B1" w:rsidRDefault="00000000">
            <w:pPr>
              <w:widowControl/>
              <w:jc w:val="center"/>
              <w:textAlignment w:val="top"/>
              <w:rPr>
                <w:szCs w:val="21"/>
              </w:rPr>
            </w:pPr>
            <w:r w:rsidRPr="000549B1">
              <w:rPr>
                <w:kern w:val="0"/>
                <w:szCs w:val="21"/>
                <w:lang w:bidi="ar"/>
              </w:rPr>
              <w:t>I</w:t>
            </w:r>
          </w:p>
        </w:tc>
        <w:tc>
          <w:tcPr>
            <w:tcW w:w="625" w:type="pct"/>
            <w:tcBorders>
              <w:top w:val="single" w:sz="4" w:space="0" w:color="000000"/>
              <w:left w:val="single" w:sz="4" w:space="0" w:color="000000"/>
              <w:bottom w:val="single" w:sz="4" w:space="0" w:color="000000"/>
              <w:right w:val="single" w:sz="4" w:space="0" w:color="000000"/>
            </w:tcBorders>
            <w:vAlign w:val="center"/>
          </w:tcPr>
          <w:p w14:paraId="5DFA4CC6" w14:textId="77777777" w:rsidR="00054437" w:rsidRPr="000549B1" w:rsidRDefault="00000000">
            <w:pPr>
              <w:widowControl/>
              <w:jc w:val="center"/>
              <w:textAlignment w:val="center"/>
              <w:rPr>
                <w:szCs w:val="21"/>
              </w:rPr>
            </w:pPr>
            <w:r w:rsidRPr="000549B1">
              <w:rPr>
                <w:kern w:val="0"/>
                <w:szCs w:val="21"/>
                <w:lang w:bidi="ar"/>
              </w:rPr>
              <w:t>0.005</w:t>
            </w:r>
          </w:p>
        </w:tc>
        <w:tc>
          <w:tcPr>
            <w:tcW w:w="408" w:type="pct"/>
            <w:tcBorders>
              <w:top w:val="single" w:sz="4" w:space="0" w:color="000000"/>
              <w:left w:val="single" w:sz="4" w:space="0" w:color="000000"/>
              <w:bottom w:val="single" w:sz="4" w:space="0" w:color="000000"/>
              <w:right w:val="single" w:sz="4" w:space="0" w:color="000000"/>
            </w:tcBorders>
          </w:tcPr>
          <w:p w14:paraId="666042A9" w14:textId="77777777" w:rsidR="00054437" w:rsidRPr="000549B1" w:rsidRDefault="00000000">
            <w:pPr>
              <w:widowControl/>
              <w:jc w:val="center"/>
              <w:textAlignment w:val="top"/>
              <w:rPr>
                <w:szCs w:val="21"/>
              </w:rPr>
            </w:pPr>
            <w:r w:rsidRPr="000549B1">
              <w:rPr>
                <w:kern w:val="0"/>
                <w:szCs w:val="21"/>
                <w:lang w:bidi="ar"/>
              </w:rPr>
              <w:t>I</w:t>
            </w:r>
          </w:p>
        </w:tc>
        <w:tc>
          <w:tcPr>
            <w:tcW w:w="657" w:type="pct"/>
            <w:tcBorders>
              <w:top w:val="single" w:sz="4" w:space="0" w:color="000000"/>
              <w:left w:val="single" w:sz="4" w:space="0" w:color="000000"/>
              <w:bottom w:val="single" w:sz="4" w:space="0" w:color="000000"/>
              <w:right w:val="single" w:sz="4" w:space="0" w:color="000000"/>
            </w:tcBorders>
            <w:noWrap/>
            <w:vAlign w:val="center"/>
          </w:tcPr>
          <w:p w14:paraId="15EA3B78" w14:textId="77777777" w:rsidR="00054437" w:rsidRPr="000549B1" w:rsidRDefault="00000000">
            <w:pPr>
              <w:widowControl/>
              <w:jc w:val="center"/>
              <w:textAlignment w:val="center"/>
              <w:rPr>
                <w:szCs w:val="21"/>
              </w:rPr>
            </w:pPr>
            <w:r w:rsidRPr="000549B1">
              <w:rPr>
                <w:kern w:val="0"/>
                <w:szCs w:val="21"/>
                <w:lang w:bidi="ar"/>
              </w:rPr>
              <w:t>＜</w:t>
            </w:r>
            <w:r w:rsidRPr="000549B1">
              <w:rPr>
                <w:rStyle w:val="font71"/>
                <w:color w:val="auto"/>
                <w:szCs w:val="21"/>
                <w:lang w:bidi="ar"/>
              </w:rPr>
              <w:t>0.004</w:t>
            </w:r>
          </w:p>
        </w:tc>
        <w:tc>
          <w:tcPr>
            <w:tcW w:w="408" w:type="pct"/>
            <w:tcBorders>
              <w:top w:val="single" w:sz="4" w:space="0" w:color="000000"/>
              <w:left w:val="single" w:sz="4" w:space="0" w:color="000000"/>
              <w:bottom w:val="single" w:sz="4" w:space="0" w:color="000000"/>
              <w:right w:val="single" w:sz="4" w:space="0" w:color="000000"/>
            </w:tcBorders>
          </w:tcPr>
          <w:p w14:paraId="55F8178D" w14:textId="77777777" w:rsidR="00054437" w:rsidRPr="000549B1" w:rsidRDefault="00000000">
            <w:pPr>
              <w:widowControl/>
              <w:jc w:val="center"/>
              <w:textAlignment w:val="top"/>
              <w:rPr>
                <w:szCs w:val="21"/>
              </w:rPr>
            </w:pPr>
            <w:r w:rsidRPr="000549B1">
              <w:rPr>
                <w:kern w:val="0"/>
                <w:szCs w:val="21"/>
                <w:lang w:bidi="ar"/>
              </w:rPr>
              <w:t>I</w:t>
            </w:r>
          </w:p>
        </w:tc>
      </w:tr>
      <w:tr w:rsidR="000549B1" w:rsidRPr="000549B1" w14:paraId="59E8FF59" w14:textId="77777777">
        <w:trPr>
          <w:trHeight w:val="480"/>
        </w:trPr>
        <w:tc>
          <w:tcPr>
            <w:tcW w:w="774" w:type="pct"/>
            <w:tcBorders>
              <w:top w:val="single" w:sz="4" w:space="0" w:color="000000"/>
              <w:left w:val="single" w:sz="4" w:space="0" w:color="000000"/>
              <w:bottom w:val="single" w:sz="4" w:space="0" w:color="000000"/>
              <w:right w:val="single" w:sz="4" w:space="0" w:color="000000"/>
            </w:tcBorders>
            <w:vAlign w:val="center"/>
          </w:tcPr>
          <w:p w14:paraId="53577685" w14:textId="77777777" w:rsidR="00054437" w:rsidRPr="000549B1" w:rsidRDefault="00000000">
            <w:pPr>
              <w:widowControl/>
              <w:jc w:val="center"/>
              <w:textAlignment w:val="center"/>
              <w:rPr>
                <w:b/>
                <w:bCs/>
                <w:szCs w:val="21"/>
              </w:rPr>
            </w:pPr>
            <w:r w:rsidRPr="000549B1">
              <w:rPr>
                <w:b/>
                <w:bCs/>
                <w:kern w:val="0"/>
                <w:szCs w:val="21"/>
                <w:lang w:bidi="ar"/>
              </w:rPr>
              <w:t>阴离子表面活性剂</w:t>
            </w:r>
          </w:p>
        </w:tc>
        <w:tc>
          <w:tcPr>
            <w:tcW w:w="628" w:type="pct"/>
            <w:tcBorders>
              <w:top w:val="single" w:sz="4" w:space="0" w:color="000000"/>
              <w:left w:val="single" w:sz="4" w:space="0" w:color="000000"/>
              <w:bottom w:val="single" w:sz="4" w:space="0" w:color="000000"/>
              <w:right w:val="single" w:sz="4" w:space="0" w:color="000000"/>
            </w:tcBorders>
            <w:vAlign w:val="center"/>
          </w:tcPr>
          <w:p w14:paraId="5D6AA04F" w14:textId="77777777" w:rsidR="00054437" w:rsidRPr="000549B1" w:rsidRDefault="00000000">
            <w:pPr>
              <w:widowControl/>
              <w:jc w:val="center"/>
              <w:textAlignment w:val="center"/>
              <w:rPr>
                <w:szCs w:val="21"/>
              </w:rPr>
            </w:pPr>
            <w:r w:rsidRPr="000549B1">
              <w:rPr>
                <w:kern w:val="0"/>
                <w:szCs w:val="21"/>
                <w:lang w:bidi="ar"/>
              </w:rPr>
              <w:t>＜</w:t>
            </w:r>
            <w:r w:rsidRPr="000549B1">
              <w:rPr>
                <w:rStyle w:val="font61"/>
                <w:color w:val="auto"/>
                <w:szCs w:val="21"/>
                <w:lang w:bidi="ar"/>
              </w:rPr>
              <w:t>0.05</w:t>
            </w:r>
          </w:p>
        </w:tc>
        <w:tc>
          <w:tcPr>
            <w:tcW w:w="415" w:type="pct"/>
            <w:tcBorders>
              <w:top w:val="single" w:sz="4" w:space="0" w:color="000000"/>
              <w:left w:val="single" w:sz="4" w:space="0" w:color="000000"/>
              <w:bottom w:val="single" w:sz="4" w:space="0" w:color="000000"/>
              <w:right w:val="single" w:sz="4" w:space="0" w:color="000000"/>
            </w:tcBorders>
            <w:vAlign w:val="center"/>
          </w:tcPr>
          <w:p w14:paraId="5E94E84A" w14:textId="77777777" w:rsidR="00054437" w:rsidRPr="000549B1" w:rsidRDefault="00000000">
            <w:pPr>
              <w:widowControl/>
              <w:jc w:val="center"/>
              <w:textAlignment w:val="center"/>
              <w:rPr>
                <w:szCs w:val="21"/>
              </w:rPr>
            </w:pPr>
            <w:r w:rsidRPr="000549B1">
              <w:rPr>
                <w:kern w:val="0"/>
                <w:szCs w:val="21"/>
                <w:lang w:bidi="ar"/>
              </w:rPr>
              <w:t>I</w:t>
            </w:r>
          </w:p>
        </w:tc>
        <w:tc>
          <w:tcPr>
            <w:tcW w:w="665" w:type="pct"/>
            <w:tcBorders>
              <w:top w:val="single" w:sz="4" w:space="0" w:color="000000"/>
              <w:left w:val="single" w:sz="4" w:space="0" w:color="000000"/>
              <w:bottom w:val="single" w:sz="4" w:space="0" w:color="000000"/>
              <w:right w:val="single" w:sz="4" w:space="0" w:color="000000"/>
            </w:tcBorders>
            <w:noWrap/>
            <w:vAlign w:val="center"/>
          </w:tcPr>
          <w:p w14:paraId="11A046D0" w14:textId="77777777" w:rsidR="00054437" w:rsidRPr="000549B1" w:rsidRDefault="00000000">
            <w:pPr>
              <w:widowControl/>
              <w:jc w:val="center"/>
              <w:textAlignment w:val="center"/>
              <w:rPr>
                <w:szCs w:val="21"/>
              </w:rPr>
            </w:pPr>
            <w:r w:rsidRPr="000549B1">
              <w:rPr>
                <w:kern w:val="0"/>
                <w:szCs w:val="21"/>
                <w:lang w:bidi="ar"/>
              </w:rPr>
              <w:t>＜</w:t>
            </w:r>
            <w:r w:rsidRPr="000549B1">
              <w:rPr>
                <w:rStyle w:val="font71"/>
                <w:color w:val="auto"/>
                <w:szCs w:val="21"/>
                <w:lang w:bidi="ar"/>
              </w:rPr>
              <w:t>0.05</w:t>
            </w:r>
          </w:p>
        </w:tc>
        <w:tc>
          <w:tcPr>
            <w:tcW w:w="415" w:type="pct"/>
            <w:tcBorders>
              <w:top w:val="single" w:sz="4" w:space="0" w:color="000000"/>
              <w:left w:val="single" w:sz="4" w:space="0" w:color="000000"/>
              <w:bottom w:val="single" w:sz="4" w:space="0" w:color="000000"/>
              <w:right w:val="single" w:sz="4" w:space="0" w:color="000000"/>
            </w:tcBorders>
          </w:tcPr>
          <w:p w14:paraId="4CC94A91" w14:textId="77777777" w:rsidR="00054437" w:rsidRPr="000549B1" w:rsidRDefault="00000000">
            <w:pPr>
              <w:widowControl/>
              <w:jc w:val="center"/>
              <w:textAlignment w:val="top"/>
              <w:rPr>
                <w:szCs w:val="21"/>
              </w:rPr>
            </w:pPr>
            <w:r w:rsidRPr="000549B1">
              <w:rPr>
                <w:kern w:val="0"/>
                <w:szCs w:val="21"/>
                <w:lang w:bidi="ar"/>
              </w:rPr>
              <w:t>I</w:t>
            </w:r>
          </w:p>
        </w:tc>
        <w:tc>
          <w:tcPr>
            <w:tcW w:w="625" w:type="pct"/>
            <w:tcBorders>
              <w:top w:val="single" w:sz="4" w:space="0" w:color="000000"/>
              <w:left w:val="single" w:sz="4" w:space="0" w:color="000000"/>
              <w:bottom w:val="single" w:sz="4" w:space="0" w:color="000000"/>
              <w:right w:val="single" w:sz="4" w:space="0" w:color="000000"/>
            </w:tcBorders>
            <w:vAlign w:val="center"/>
          </w:tcPr>
          <w:p w14:paraId="613E6E92" w14:textId="77777777" w:rsidR="00054437" w:rsidRPr="000549B1" w:rsidRDefault="00000000">
            <w:pPr>
              <w:widowControl/>
              <w:jc w:val="center"/>
              <w:textAlignment w:val="center"/>
              <w:rPr>
                <w:szCs w:val="21"/>
              </w:rPr>
            </w:pPr>
            <w:r w:rsidRPr="000549B1">
              <w:rPr>
                <w:kern w:val="0"/>
                <w:szCs w:val="21"/>
                <w:lang w:bidi="ar"/>
              </w:rPr>
              <w:t>＜</w:t>
            </w:r>
            <w:r w:rsidRPr="000549B1">
              <w:rPr>
                <w:rStyle w:val="font61"/>
                <w:color w:val="auto"/>
                <w:szCs w:val="21"/>
                <w:lang w:bidi="ar"/>
              </w:rPr>
              <w:t>0.05</w:t>
            </w:r>
          </w:p>
        </w:tc>
        <w:tc>
          <w:tcPr>
            <w:tcW w:w="408" w:type="pct"/>
            <w:tcBorders>
              <w:top w:val="single" w:sz="4" w:space="0" w:color="000000"/>
              <w:left w:val="single" w:sz="4" w:space="0" w:color="000000"/>
              <w:bottom w:val="single" w:sz="4" w:space="0" w:color="000000"/>
              <w:right w:val="single" w:sz="4" w:space="0" w:color="000000"/>
            </w:tcBorders>
          </w:tcPr>
          <w:p w14:paraId="3324C556" w14:textId="77777777" w:rsidR="00054437" w:rsidRPr="000549B1" w:rsidRDefault="00000000">
            <w:pPr>
              <w:widowControl/>
              <w:jc w:val="center"/>
              <w:textAlignment w:val="top"/>
              <w:rPr>
                <w:szCs w:val="21"/>
              </w:rPr>
            </w:pPr>
            <w:r w:rsidRPr="000549B1">
              <w:rPr>
                <w:kern w:val="0"/>
                <w:szCs w:val="21"/>
                <w:lang w:bidi="ar"/>
              </w:rPr>
              <w:t>I</w:t>
            </w:r>
          </w:p>
        </w:tc>
        <w:tc>
          <w:tcPr>
            <w:tcW w:w="657" w:type="pct"/>
            <w:tcBorders>
              <w:top w:val="single" w:sz="4" w:space="0" w:color="000000"/>
              <w:left w:val="single" w:sz="4" w:space="0" w:color="000000"/>
              <w:bottom w:val="single" w:sz="4" w:space="0" w:color="000000"/>
              <w:right w:val="single" w:sz="4" w:space="0" w:color="000000"/>
            </w:tcBorders>
            <w:noWrap/>
            <w:vAlign w:val="center"/>
          </w:tcPr>
          <w:p w14:paraId="24B3361B" w14:textId="77777777" w:rsidR="00054437" w:rsidRPr="000549B1" w:rsidRDefault="00000000">
            <w:pPr>
              <w:widowControl/>
              <w:jc w:val="center"/>
              <w:textAlignment w:val="center"/>
              <w:rPr>
                <w:szCs w:val="21"/>
              </w:rPr>
            </w:pPr>
            <w:r w:rsidRPr="000549B1">
              <w:rPr>
                <w:kern w:val="0"/>
                <w:szCs w:val="21"/>
                <w:lang w:bidi="ar"/>
              </w:rPr>
              <w:t>＜</w:t>
            </w:r>
            <w:r w:rsidRPr="000549B1">
              <w:rPr>
                <w:rStyle w:val="font71"/>
                <w:color w:val="auto"/>
                <w:szCs w:val="21"/>
                <w:lang w:bidi="ar"/>
              </w:rPr>
              <w:t>0.05</w:t>
            </w:r>
          </w:p>
        </w:tc>
        <w:tc>
          <w:tcPr>
            <w:tcW w:w="408" w:type="pct"/>
            <w:tcBorders>
              <w:top w:val="single" w:sz="4" w:space="0" w:color="000000"/>
              <w:left w:val="single" w:sz="4" w:space="0" w:color="000000"/>
              <w:bottom w:val="single" w:sz="4" w:space="0" w:color="000000"/>
              <w:right w:val="single" w:sz="4" w:space="0" w:color="000000"/>
            </w:tcBorders>
          </w:tcPr>
          <w:p w14:paraId="0A2F76B0" w14:textId="77777777" w:rsidR="00054437" w:rsidRPr="000549B1" w:rsidRDefault="00000000">
            <w:pPr>
              <w:widowControl/>
              <w:jc w:val="center"/>
              <w:textAlignment w:val="top"/>
              <w:rPr>
                <w:szCs w:val="21"/>
              </w:rPr>
            </w:pPr>
            <w:r w:rsidRPr="000549B1">
              <w:rPr>
                <w:kern w:val="0"/>
                <w:szCs w:val="21"/>
                <w:lang w:bidi="ar"/>
              </w:rPr>
              <w:t>I</w:t>
            </w:r>
          </w:p>
        </w:tc>
      </w:tr>
      <w:tr w:rsidR="000549B1" w:rsidRPr="000549B1" w14:paraId="3AFADB70" w14:textId="77777777">
        <w:trPr>
          <w:trHeight w:val="300"/>
        </w:trPr>
        <w:tc>
          <w:tcPr>
            <w:tcW w:w="774" w:type="pct"/>
            <w:tcBorders>
              <w:top w:val="single" w:sz="4" w:space="0" w:color="000000"/>
              <w:left w:val="single" w:sz="4" w:space="0" w:color="000000"/>
              <w:bottom w:val="single" w:sz="4" w:space="0" w:color="000000"/>
              <w:right w:val="single" w:sz="4" w:space="0" w:color="000000"/>
            </w:tcBorders>
            <w:vAlign w:val="center"/>
          </w:tcPr>
          <w:p w14:paraId="5A98E920" w14:textId="77777777" w:rsidR="00054437" w:rsidRPr="000549B1" w:rsidRDefault="00000000">
            <w:pPr>
              <w:widowControl/>
              <w:jc w:val="center"/>
              <w:textAlignment w:val="center"/>
              <w:rPr>
                <w:b/>
                <w:bCs/>
                <w:szCs w:val="21"/>
              </w:rPr>
            </w:pPr>
            <w:r w:rsidRPr="000549B1">
              <w:rPr>
                <w:b/>
                <w:bCs/>
                <w:kern w:val="0"/>
                <w:szCs w:val="21"/>
                <w:lang w:bidi="ar"/>
              </w:rPr>
              <w:t>硫化物</w:t>
            </w:r>
          </w:p>
        </w:tc>
        <w:tc>
          <w:tcPr>
            <w:tcW w:w="628" w:type="pct"/>
            <w:tcBorders>
              <w:top w:val="single" w:sz="4" w:space="0" w:color="000000"/>
              <w:left w:val="single" w:sz="4" w:space="0" w:color="000000"/>
              <w:bottom w:val="single" w:sz="4" w:space="0" w:color="000000"/>
              <w:right w:val="single" w:sz="4" w:space="0" w:color="000000"/>
            </w:tcBorders>
            <w:vAlign w:val="center"/>
          </w:tcPr>
          <w:p w14:paraId="37344AC4" w14:textId="77777777" w:rsidR="00054437" w:rsidRPr="000549B1" w:rsidRDefault="00000000">
            <w:pPr>
              <w:widowControl/>
              <w:jc w:val="center"/>
              <w:textAlignment w:val="center"/>
              <w:rPr>
                <w:szCs w:val="21"/>
              </w:rPr>
            </w:pPr>
            <w:r w:rsidRPr="000549B1">
              <w:rPr>
                <w:kern w:val="0"/>
                <w:szCs w:val="21"/>
                <w:lang w:bidi="ar"/>
              </w:rPr>
              <w:t>＜</w:t>
            </w:r>
            <w:r w:rsidRPr="000549B1">
              <w:rPr>
                <w:rStyle w:val="font61"/>
                <w:color w:val="auto"/>
                <w:szCs w:val="21"/>
                <w:lang w:bidi="ar"/>
              </w:rPr>
              <w:t>0.01</w:t>
            </w:r>
          </w:p>
        </w:tc>
        <w:tc>
          <w:tcPr>
            <w:tcW w:w="415" w:type="pct"/>
            <w:tcBorders>
              <w:top w:val="single" w:sz="4" w:space="0" w:color="000000"/>
              <w:left w:val="single" w:sz="4" w:space="0" w:color="000000"/>
              <w:bottom w:val="single" w:sz="4" w:space="0" w:color="000000"/>
              <w:right w:val="single" w:sz="4" w:space="0" w:color="000000"/>
            </w:tcBorders>
            <w:vAlign w:val="center"/>
          </w:tcPr>
          <w:p w14:paraId="6C250862" w14:textId="77777777" w:rsidR="00054437" w:rsidRPr="000549B1" w:rsidRDefault="00000000">
            <w:pPr>
              <w:widowControl/>
              <w:jc w:val="center"/>
              <w:textAlignment w:val="center"/>
              <w:rPr>
                <w:szCs w:val="21"/>
              </w:rPr>
            </w:pPr>
            <w:r w:rsidRPr="000549B1">
              <w:rPr>
                <w:kern w:val="0"/>
                <w:szCs w:val="21"/>
                <w:lang w:bidi="ar"/>
              </w:rPr>
              <w:t>I</w:t>
            </w:r>
          </w:p>
        </w:tc>
        <w:tc>
          <w:tcPr>
            <w:tcW w:w="665" w:type="pct"/>
            <w:tcBorders>
              <w:top w:val="single" w:sz="4" w:space="0" w:color="000000"/>
              <w:left w:val="single" w:sz="4" w:space="0" w:color="000000"/>
              <w:bottom w:val="single" w:sz="4" w:space="0" w:color="000000"/>
              <w:right w:val="single" w:sz="4" w:space="0" w:color="000000"/>
            </w:tcBorders>
            <w:noWrap/>
            <w:vAlign w:val="center"/>
          </w:tcPr>
          <w:p w14:paraId="63BF86DE" w14:textId="77777777" w:rsidR="00054437" w:rsidRPr="000549B1" w:rsidRDefault="00000000">
            <w:pPr>
              <w:widowControl/>
              <w:jc w:val="center"/>
              <w:textAlignment w:val="center"/>
              <w:rPr>
                <w:szCs w:val="21"/>
              </w:rPr>
            </w:pPr>
            <w:r w:rsidRPr="000549B1">
              <w:rPr>
                <w:kern w:val="0"/>
                <w:szCs w:val="21"/>
                <w:lang w:bidi="ar"/>
              </w:rPr>
              <w:t>＜</w:t>
            </w:r>
            <w:r w:rsidRPr="000549B1">
              <w:rPr>
                <w:rStyle w:val="font71"/>
                <w:color w:val="auto"/>
                <w:szCs w:val="21"/>
                <w:lang w:bidi="ar"/>
              </w:rPr>
              <w:t>0.01</w:t>
            </w:r>
          </w:p>
        </w:tc>
        <w:tc>
          <w:tcPr>
            <w:tcW w:w="415" w:type="pct"/>
            <w:tcBorders>
              <w:top w:val="single" w:sz="4" w:space="0" w:color="000000"/>
              <w:left w:val="single" w:sz="4" w:space="0" w:color="000000"/>
              <w:bottom w:val="single" w:sz="4" w:space="0" w:color="000000"/>
              <w:right w:val="single" w:sz="4" w:space="0" w:color="000000"/>
            </w:tcBorders>
          </w:tcPr>
          <w:p w14:paraId="45A5E8CF" w14:textId="77777777" w:rsidR="00054437" w:rsidRPr="000549B1" w:rsidRDefault="00000000">
            <w:pPr>
              <w:widowControl/>
              <w:jc w:val="center"/>
              <w:textAlignment w:val="top"/>
              <w:rPr>
                <w:szCs w:val="21"/>
              </w:rPr>
            </w:pPr>
            <w:r w:rsidRPr="000549B1">
              <w:rPr>
                <w:kern w:val="0"/>
                <w:szCs w:val="21"/>
                <w:lang w:bidi="ar"/>
              </w:rPr>
              <w:t>I</w:t>
            </w:r>
          </w:p>
        </w:tc>
        <w:tc>
          <w:tcPr>
            <w:tcW w:w="625" w:type="pct"/>
            <w:tcBorders>
              <w:top w:val="single" w:sz="4" w:space="0" w:color="000000"/>
              <w:left w:val="single" w:sz="4" w:space="0" w:color="000000"/>
              <w:bottom w:val="single" w:sz="4" w:space="0" w:color="000000"/>
              <w:right w:val="single" w:sz="4" w:space="0" w:color="000000"/>
            </w:tcBorders>
            <w:vAlign w:val="center"/>
          </w:tcPr>
          <w:p w14:paraId="08E13833" w14:textId="77777777" w:rsidR="00054437" w:rsidRPr="000549B1" w:rsidRDefault="00000000">
            <w:pPr>
              <w:widowControl/>
              <w:jc w:val="center"/>
              <w:textAlignment w:val="center"/>
              <w:rPr>
                <w:szCs w:val="21"/>
              </w:rPr>
            </w:pPr>
            <w:r w:rsidRPr="000549B1">
              <w:rPr>
                <w:kern w:val="0"/>
                <w:szCs w:val="21"/>
                <w:lang w:bidi="ar"/>
              </w:rPr>
              <w:t>＜</w:t>
            </w:r>
            <w:r w:rsidRPr="000549B1">
              <w:rPr>
                <w:rStyle w:val="font61"/>
                <w:color w:val="auto"/>
                <w:szCs w:val="21"/>
                <w:lang w:bidi="ar"/>
              </w:rPr>
              <w:t>0.01</w:t>
            </w:r>
          </w:p>
        </w:tc>
        <w:tc>
          <w:tcPr>
            <w:tcW w:w="408" w:type="pct"/>
            <w:tcBorders>
              <w:top w:val="single" w:sz="4" w:space="0" w:color="000000"/>
              <w:left w:val="single" w:sz="4" w:space="0" w:color="000000"/>
              <w:bottom w:val="single" w:sz="4" w:space="0" w:color="000000"/>
              <w:right w:val="single" w:sz="4" w:space="0" w:color="000000"/>
            </w:tcBorders>
          </w:tcPr>
          <w:p w14:paraId="4335BEB0" w14:textId="77777777" w:rsidR="00054437" w:rsidRPr="000549B1" w:rsidRDefault="00000000">
            <w:pPr>
              <w:widowControl/>
              <w:jc w:val="center"/>
              <w:textAlignment w:val="top"/>
              <w:rPr>
                <w:szCs w:val="21"/>
              </w:rPr>
            </w:pPr>
            <w:r w:rsidRPr="000549B1">
              <w:rPr>
                <w:kern w:val="0"/>
                <w:szCs w:val="21"/>
                <w:lang w:bidi="ar"/>
              </w:rPr>
              <w:t>I</w:t>
            </w:r>
          </w:p>
        </w:tc>
        <w:tc>
          <w:tcPr>
            <w:tcW w:w="657" w:type="pct"/>
            <w:tcBorders>
              <w:top w:val="single" w:sz="4" w:space="0" w:color="000000"/>
              <w:left w:val="single" w:sz="4" w:space="0" w:color="000000"/>
              <w:bottom w:val="single" w:sz="4" w:space="0" w:color="000000"/>
              <w:right w:val="single" w:sz="4" w:space="0" w:color="000000"/>
            </w:tcBorders>
            <w:noWrap/>
            <w:vAlign w:val="center"/>
          </w:tcPr>
          <w:p w14:paraId="7FE14EAF" w14:textId="77777777" w:rsidR="00054437" w:rsidRPr="000549B1" w:rsidRDefault="00000000">
            <w:pPr>
              <w:widowControl/>
              <w:jc w:val="center"/>
              <w:textAlignment w:val="center"/>
              <w:rPr>
                <w:szCs w:val="21"/>
              </w:rPr>
            </w:pPr>
            <w:r w:rsidRPr="000549B1">
              <w:rPr>
                <w:kern w:val="0"/>
                <w:szCs w:val="21"/>
                <w:lang w:bidi="ar"/>
              </w:rPr>
              <w:t>＜</w:t>
            </w:r>
            <w:r w:rsidRPr="000549B1">
              <w:rPr>
                <w:rStyle w:val="font71"/>
                <w:color w:val="auto"/>
                <w:szCs w:val="21"/>
                <w:lang w:bidi="ar"/>
              </w:rPr>
              <w:t>0.01</w:t>
            </w:r>
          </w:p>
        </w:tc>
        <w:tc>
          <w:tcPr>
            <w:tcW w:w="408" w:type="pct"/>
            <w:tcBorders>
              <w:top w:val="single" w:sz="4" w:space="0" w:color="000000"/>
              <w:left w:val="single" w:sz="4" w:space="0" w:color="000000"/>
              <w:bottom w:val="single" w:sz="4" w:space="0" w:color="000000"/>
              <w:right w:val="single" w:sz="4" w:space="0" w:color="000000"/>
            </w:tcBorders>
          </w:tcPr>
          <w:p w14:paraId="01948D3C" w14:textId="77777777" w:rsidR="00054437" w:rsidRPr="000549B1" w:rsidRDefault="00000000">
            <w:pPr>
              <w:widowControl/>
              <w:jc w:val="center"/>
              <w:textAlignment w:val="top"/>
              <w:rPr>
                <w:szCs w:val="21"/>
              </w:rPr>
            </w:pPr>
            <w:r w:rsidRPr="000549B1">
              <w:rPr>
                <w:kern w:val="0"/>
                <w:szCs w:val="21"/>
                <w:lang w:bidi="ar"/>
              </w:rPr>
              <w:t>I</w:t>
            </w:r>
          </w:p>
        </w:tc>
      </w:tr>
      <w:tr w:rsidR="000549B1" w:rsidRPr="000549B1" w14:paraId="21ED2AC5" w14:textId="77777777">
        <w:trPr>
          <w:trHeight w:val="300"/>
        </w:trPr>
        <w:tc>
          <w:tcPr>
            <w:tcW w:w="774" w:type="pct"/>
            <w:tcBorders>
              <w:top w:val="single" w:sz="4" w:space="0" w:color="000000"/>
              <w:left w:val="single" w:sz="4" w:space="0" w:color="000000"/>
              <w:bottom w:val="single" w:sz="4" w:space="0" w:color="000000"/>
              <w:right w:val="single" w:sz="4" w:space="0" w:color="000000"/>
            </w:tcBorders>
            <w:vAlign w:val="center"/>
          </w:tcPr>
          <w:p w14:paraId="44C12AB6" w14:textId="77777777" w:rsidR="00054437" w:rsidRPr="000549B1" w:rsidRDefault="00000000">
            <w:pPr>
              <w:widowControl/>
              <w:jc w:val="center"/>
              <w:textAlignment w:val="center"/>
              <w:rPr>
                <w:b/>
                <w:bCs/>
                <w:szCs w:val="21"/>
              </w:rPr>
            </w:pPr>
            <w:r w:rsidRPr="000549B1">
              <w:rPr>
                <w:b/>
                <w:bCs/>
                <w:kern w:val="0"/>
                <w:szCs w:val="21"/>
                <w:lang w:bidi="ar"/>
              </w:rPr>
              <w:t>挥发酚</w:t>
            </w:r>
          </w:p>
        </w:tc>
        <w:tc>
          <w:tcPr>
            <w:tcW w:w="628" w:type="pct"/>
            <w:tcBorders>
              <w:top w:val="single" w:sz="4" w:space="0" w:color="000000"/>
              <w:left w:val="single" w:sz="4" w:space="0" w:color="000000"/>
              <w:bottom w:val="single" w:sz="4" w:space="0" w:color="000000"/>
              <w:right w:val="single" w:sz="4" w:space="0" w:color="000000"/>
            </w:tcBorders>
            <w:vAlign w:val="center"/>
          </w:tcPr>
          <w:p w14:paraId="419050F3" w14:textId="77777777" w:rsidR="00054437" w:rsidRPr="000549B1" w:rsidRDefault="00000000">
            <w:pPr>
              <w:widowControl/>
              <w:jc w:val="center"/>
              <w:textAlignment w:val="center"/>
              <w:rPr>
                <w:szCs w:val="21"/>
              </w:rPr>
            </w:pPr>
            <w:r w:rsidRPr="000549B1">
              <w:rPr>
                <w:kern w:val="0"/>
                <w:szCs w:val="21"/>
                <w:lang w:bidi="ar"/>
              </w:rPr>
              <w:t>＜</w:t>
            </w:r>
            <w:r w:rsidRPr="000549B1">
              <w:rPr>
                <w:rStyle w:val="font61"/>
                <w:color w:val="auto"/>
                <w:szCs w:val="21"/>
                <w:lang w:bidi="ar"/>
              </w:rPr>
              <w:t>0.0003</w:t>
            </w:r>
          </w:p>
        </w:tc>
        <w:tc>
          <w:tcPr>
            <w:tcW w:w="415" w:type="pct"/>
            <w:tcBorders>
              <w:top w:val="single" w:sz="4" w:space="0" w:color="000000"/>
              <w:left w:val="single" w:sz="4" w:space="0" w:color="000000"/>
              <w:bottom w:val="single" w:sz="4" w:space="0" w:color="000000"/>
              <w:right w:val="single" w:sz="4" w:space="0" w:color="000000"/>
            </w:tcBorders>
            <w:vAlign w:val="center"/>
          </w:tcPr>
          <w:p w14:paraId="587E4308" w14:textId="77777777" w:rsidR="00054437" w:rsidRPr="000549B1" w:rsidRDefault="00000000">
            <w:pPr>
              <w:widowControl/>
              <w:jc w:val="center"/>
              <w:textAlignment w:val="center"/>
              <w:rPr>
                <w:szCs w:val="21"/>
              </w:rPr>
            </w:pPr>
            <w:r w:rsidRPr="000549B1">
              <w:rPr>
                <w:kern w:val="0"/>
                <w:szCs w:val="21"/>
                <w:lang w:bidi="ar"/>
              </w:rPr>
              <w:t>I</w:t>
            </w:r>
          </w:p>
        </w:tc>
        <w:tc>
          <w:tcPr>
            <w:tcW w:w="665" w:type="pct"/>
            <w:tcBorders>
              <w:top w:val="single" w:sz="4" w:space="0" w:color="000000"/>
              <w:left w:val="single" w:sz="4" w:space="0" w:color="000000"/>
              <w:bottom w:val="single" w:sz="4" w:space="0" w:color="000000"/>
              <w:right w:val="single" w:sz="4" w:space="0" w:color="000000"/>
            </w:tcBorders>
            <w:noWrap/>
            <w:vAlign w:val="center"/>
          </w:tcPr>
          <w:p w14:paraId="7EDE720E" w14:textId="77777777" w:rsidR="00054437" w:rsidRPr="000549B1" w:rsidRDefault="00000000">
            <w:pPr>
              <w:widowControl/>
              <w:jc w:val="center"/>
              <w:textAlignment w:val="center"/>
              <w:rPr>
                <w:szCs w:val="21"/>
              </w:rPr>
            </w:pPr>
            <w:r w:rsidRPr="000549B1">
              <w:rPr>
                <w:kern w:val="0"/>
                <w:szCs w:val="21"/>
                <w:lang w:bidi="ar"/>
              </w:rPr>
              <w:t>＜</w:t>
            </w:r>
            <w:r w:rsidRPr="000549B1">
              <w:rPr>
                <w:rStyle w:val="font71"/>
                <w:color w:val="auto"/>
                <w:szCs w:val="21"/>
                <w:lang w:bidi="ar"/>
              </w:rPr>
              <w:t>0.0003</w:t>
            </w:r>
          </w:p>
        </w:tc>
        <w:tc>
          <w:tcPr>
            <w:tcW w:w="415" w:type="pct"/>
            <w:tcBorders>
              <w:top w:val="single" w:sz="4" w:space="0" w:color="000000"/>
              <w:left w:val="single" w:sz="4" w:space="0" w:color="000000"/>
              <w:bottom w:val="single" w:sz="4" w:space="0" w:color="000000"/>
              <w:right w:val="single" w:sz="4" w:space="0" w:color="000000"/>
            </w:tcBorders>
          </w:tcPr>
          <w:p w14:paraId="36CA6F5C" w14:textId="77777777" w:rsidR="00054437" w:rsidRPr="000549B1" w:rsidRDefault="00000000">
            <w:pPr>
              <w:widowControl/>
              <w:jc w:val="center"/>
              <w:textAlignment w:val="top"/>
              <w:rPr>
                <w:szCs w:val="21"/>
              </w:rPr>
            </w:pPr>
            <w:r w:rsidRPr="000549B1">
              <w:rPr>
                <w:kern w:val="0"/>
                <w:szCs w:val="21"/>
                <w:lang w:bidi="ar"/>
              </w:rPr>
              <w:t>I</w:t>
            </w:r>
          </w:p>
        </w:tc>
        <w:tc>
          <w:tcPr>
            <w:tcW w:w="625" w:type="pct"/>
            <w:tcBorders>
              <w:top w:val="single" w:sz="4" w:space="0" w:color="000000"/>
              <w:left w:val="single" w:sz="4" w:space="0" w:color="000000"/>
              <w:bottom w:val="single" w:sz="4" w:space="0" w:color="000000"/>
              <w:right w:val="single" w:sz="4" w:space="0" w:color="000000"/>
            </w:tcBorders>
            <w:vAlign w:val="center"/>
          </w:tcPr>
          <w:p w14:paraId="0F1EE209" w14:textId="77777777" w:rsidR="00054437" w:rsidRPr="000549B1" w:rsidRDefault="00000000">
            <w:pPr>
              <w:widowControl/>
              <w:jc w:val="center"/>
              <w:textAlignment w:val="center"/>
              <w:rPr>
                <w:szCs w:val="21"/>
              </w:rPr>
            </w:pPr>
            <w:r w:rsidRPr="000549B1">
              <w:rPr>
                <w:kern w:val="0"/>
                <w:szCs w:val="21"/>
                <w:lang w:bidi="ar"/>
              </w:rPr>
              <w:t>＜</w:t>
            </w:r>
            <w:r w:rsidRPr="000549B1">
              <w:rPr>
                <w:rStyle w:val="font61"/>
                <w:color w:val="auto"/>
                <w:szCs w:val="21"/>
                <w:lang w:bidi="ar"/>
              </w:rPr>
              <w:t>0.0003</w:t>
            </w:r>
          </w:p>
        </w:tc>
        <w:tc>
          <w:tcPr>
            <w:tcW w:w="408" w:type="pct"/>
            <w:tcBorders>
              <w:top w:val="single" w:sz="4" w:space="0" w:color="000000"/>
              <w:left w:val="single" w:sz="4" w:space="0" w:color="000000"/>
              <w:bottom w:val="single" w:sz="4" w:space="0" w:color="000000"/>
              <w:right w:val="single" w:sz="4" w:space="0" w:color="000000"/>
            </w:tcBorders>
          </w:tcPr>
          <w:p w14:paraId="2ED21CEE" w14:textId="77777777" w:rsidR="00054437" w:rsidRPr="000549B1" w:rsidRDefault="00000000">
            <w:pPr>
              <w:widowControl/>
              <w:jc w:val="center"/>
              <w:textAlignment w:val="top"/>
              <w:rPr>
                <w:szCs w:val="21"/>
              </w:rPr>
            </w:pPr>
            <w:r w:rsidRPr="000549B1">
              <w:rPr>
                <w:kern w:val="0"/>
                <w:szCs w:val="21"/>
                <w:lang w:bidi="ar"/>
              </w:rPr>
              <w:t>I</w:t>
            </w:r>
          </w:p>
        </w:tc>
        <w:tc>
          <w:tcPr>
            <w:tcW w:w="657" w:type="pct"/>
            <w:tcBorders>
              <w:top w:val="single" w:sz="4" w:space="0" w:color="000000"/>
              <w:left w:val="single" w:sz="4" w:space="0" w:color="000000"/>
              <w:bottom w:val="single" w:sz="4" w:space="0" w:color="000000"/>
              <w:right w:val="single" w:sz="4" w:space="0" w:color="000000"/>
            </w:tcBorders>
            <w:noWrap/>
            <w:vAlign w:val="center"/>
          </w:tcPr>
          <w:p w14:paraId="4DACB000" w14:textId="77777777" w:rsidR="00054437" w:rsidRPr="000549B1" w:rsidRDefault="00000000">
            <w:pPr>
              <w:widowControl/>
              <w:jc w:val="center"/>
              <w:textAlignment w:val="center"/>
              <w:rPr>
                <w:szCs w:val="21"/>
              </w:rPr>
            </w:pPr>
            <w:r w:rsidRPr="000549B1">
              <w:rPr>
                <w:kern w:val="0"/>
                <w:szCs w:val="21"/>
                <w:lang w:bidi="ar"/>
              </w:rPr>
              <w:t>＜</w:t>
            </w:r>
            <w:r w:rsidRPr="000549B1">
              <w:rPr>
                <w:rStyle w:val="font71"/>
                <w:color w:val="auto"/>
                <w:szCs w:val="21"/>
                <w:lang w:bidi="ar"/>
              </w:rPr>
              <w:t>0.0003</w:t>
            </w:r>
          </w:p>
        </w:tc>
        <w:tc>
          <w:tcPr>
            <w:tcW w:w="408" w:type="pct"/>
            <w:tcBorders>
              <w:top w:val="single" w:sz="4" w:space="0" w:color="000000"/>
              <w:left w:val="single" w:sz="4" w:space="0" w:color="000000"/>
              <w:bottom w:val="single" w:sz="4" w:space="0" w:color="000000"/>
              <w:right w:val="single" w:sz="4" w:space="0" w:color="000000"/>
            </w:tcBorders>
          </w:tcPr>
          <w:p w14:paraId="74E8CC29" w14:textId="77777777" w:rsidR="00054437" w:rsidRPr="000549B1" w:rsidRDefault="00000000">
            <w:pPr>
              <w:widowControl/>
              <w:jc w:val="center"/>
              <w:textAlignment w:val="top"/>
              <w:rPr>
                <w:szCs w:val="21"/>
              </w:rPr>
            </w:pPr>
            <w:r w:rsidRPr="000549B1">
              <w:rPr>
                <w:kern w:val="0"/>
                <w:szCs w:val="21"/>
                <w:lang w:bidi="ar"/>
              </w:rPr>
              <w:t>I</w:t>
            </w:r>
          </w:p>
        </w:tc>
      </w:tr>
      <w:tr w:rsidR="000549B1" w:rsidRPr="000549B1" w14:paraId="05650EE5" w14:textId="77777777">
        <w:trPr>
          <w:trHeight w:val="300"/>
        </w:trPr>
        <w:tc>
          <w:tcPr>
            <w:tcW w:w="774" w:type="pct"/>
            <w:tcBorders>
              <w:top w:val="single" w:sz="4" w:space="0" w:color="000000"/>
              <w:left w:val="single" w:sz="4" w:space="0" w:color="000000"/>
              <w:bottom w:val="single" w:sz="4" w:space="0" w:color="000000"/>
              <w:right w:val="single" w:sz="4" w:space="0" w:color="000000"/>
            </w:tcBorders>
            <w:vAlign w:val="center"/>
          </w:tcPr>
          <w:p w14:paraId="228E945F" w14:textId="77777777" w:rsidR="00054437" w:rsidRPr="000549B1" w:rsidRDefault="00000000">
            <w:pPr>
              <w:widowControl/>
              <w:jc w:val="center"/>
              <w:textAlignment w:val="center"/>
              <w:rPr>
                <w:b/>
                <w:bCs/>
                <w:szCs w:val="21"/>
              </w:rPr>
            </w:pPr>
            <w:r w:rsidRPr="000549B1">
              <w:rPr>
                <w:b/>
                <w:bCs/>
                <w:kern w:val="0"/>
                <w:szCs w:val="21"/>
                <w:lang w:bidi="ar"/>
              </w:rPr>
              <w:t>石油类</w:t>
            </w:r>
          </w:p>
        </w:tc>
        <w:tc>
          <w:tcPr>
            <w:tcW w:w="628" w:type="pct"/>
            <w:tcBorders>
              <w:top w:val="single" w:sz="4" w:space="0" w:color="000000"/>
              <w:left w:val="single" w:sz="4" w:space="0" w:color="000000"/>
              <w:bottom w:val="single" w:sz="4" w:space="0" w:color="000000"/>
              <w:right w:val="single" w:sz="4" w:space="0" w:color="000000"/>
            </w:tcBorders>
            <w:vAlign w:val="center"/>
          </w:tcPr>
          <w:p w14:paraId="52DEBAF4" w14:textId="77777777" w:rsidR="00054437" w:rsidRPr="000549B1" w:rsidRDefault="00000000">
            <w:pPr>
              <w:widowControl/>
              <w:jc w:val="center"/>
              <w:textAlignment w:val="center"/>
              <w:rPr>
                <w:szCs w:val="21"/>
              </w:rPr>
            </w:pPr>
            <w:r w:rsidRPr="000549B1">
              <w:rPr>
                <w:kern w:val="0"/>
                <w:szCs w:val="21"/>
                <w:lang w:bidi="ar"/>
              </w:rPr>
              <w:t>＜</w:t>
            </w:r>
            <w:r w:rsidRPr="000549B1">
              <w:rPr>
                <w:rStyle w:val="font61"/>
                <w:color w:val="auto"/>
                <w:szCs w:val="21"/>
                <w:lang w:bidi="ar"/>
              </w:rPr>
              <w:t>0.01</w:t>
            </w:r>
          </w:p>
        </w:tc>
        <w:tc>
          <w:tcPr>
            <w:tcW w:w="415" w:type="pct"/>
            <w:tcBorders>
              <w:top w:val="single" w:sz="4" w:space="0" w:color="000000"/>
              <w:left w:val="single" w:sz="4" w:space="0" w:color="000000"/>
              <w:bottom w:val="single" w:sz="4" w:space="0" w:color="000000"/>
              <w:right w:val="single" w:sz="4" w:space="0" w:color="000000"/>
            </w:tcBorders>
            <w:vAlign w:val="center"/>
          </w:tcPr>
          <w:p w14:paraId="45B7168E" w14:textId="77777777" w:rsidR="00054437" w:rsidRPr="000549B1" w:rsidRDefault="00000000">
            <w:pPr>
              <w:widowControl/>
              <w:jc w:val="center"/>
              <w:textAlignment w:val="center"/>
              <w:rPr>
                <w:szCs w:val="21"/>
              </w:rPr>
            </w:pPr>
            <w:r w:rsidRPr="000549B1">
              <w:rPr>
                <w:kern w:val="0"/>
                <w:szCs w:val="21"/>
                <w:lang w:bidi="ar"/>
              </w:rPr>
              <w:t>I</w:t>
            </w:r>
          </w:p>
        </w:tc>
        <w:tc>
          <w:tcPr>
            <w:tcW w:w="665" w:type="pct"/>
            <w:tcBorders>
              <w:top w:val="single" w:sz="4" w:space="0" w:color="000000"/>
              <w:left w:val="single" w:sz="4" w:space="0" w:color="000000"/>
              <w:bottom w:val="single" w:sz="4" w:space="0" w:color="000000"/>
              <w:right w:val="single" w:sz="4" w:space="0" w:color="000000"/>
            </w:tcBorders>
            <w:noWrap/>
            <w:vAlign w:val="center"/>
          </w:tcPr>
          <w:p w14:paraId="1BE91F5A" w14:textId="77777777" w:rsidR="00054437" w:rsidRPr="000549B1" w:rsidRDefault="00000000">
            <w:pPr>
              <w:widowControl/>
              <w:jc w:val="center"/>
              <w:textAlignment w:val="center"/>
              <w:rPr>
                <w:szCs w:val="21"/>
              </w:rPr>
            </w:pPr>
            <w:r w:rsidRPr="000549B1">
              <w:rPr>
                <w:kern w:val="0"/>
                <w:szCs w:val="21"/>
                <w:lang w:bidi="ar"/>
              </w:rPr>
              <w:t>＜</w:t>
            </w:r>
            <w:r w:rsidRPr="000549B1">
              <w:rPr>
                <w:rStyle w:val="font71"/>
                <w:color w:val="auto"/>
                <w:szCs w:val="21"/>
                <w:lang w:bidi="ar"/>
              </w:rPr>
              <w:t>0.01</w:t>
            </w:r>
          </w:p>
        </w:tc>
        <w:tc>
          <w:tcPr>
            <w:tcW w:w="415" w:type="pct"/>
            <w:tcBorders>
              <w:top w:val="single" w:sz="4" w:space="0" w:color="000000"/>
              <w:left w:val="single" w:sz="4" w:space="0" w:color="000000"/>
              <w:bottom w:val="single" w:sz="4" w:space="0" w:color="000000"/>
              <w:right w:val="single" w:sz="4" w:space="0" w:color="000000"/>
            </w:tcBorders>
          </w:tcPr>
          <w:p w14:paraId="59648A66" w14:textId="77777777" w:rsidR="00054437" w:rsidRPr="000549B1" w:rsidRDefault="00000000">
            <w:pPr>
              <w:widowControl/>
              <w:jc w:val="center"/>
              <w:textAlignment w:val="top"/>
              <w:rPr>
                <w:szCs w:val="21"/>
              </w:rPr>
            </w:pPr>
            <w:r w:rsidRPr="000549B1">
              <w:rPr>
                <w:kern w:val="0"/>
                <w:szCs w:val="21"/>
                <w:lang w:bidi="ar"/>
              </w:rPr>
              <w:t>I</w:t>
            </w:r>
          </w:p>
        </w:tc>
        <w:tc>
          <w:tcPr>
            <w:tcW w:w="625" w:type="pct"/>
            <w:tcBorders>
              <w:top w:val="single" w:sz="4" w:space="0" w:color="000000"/>
              <w:left w:val="single" w:sz="4" w:space="0" w:color="000000"/>
              <w:bottom w:val="single" w:sz="4" w:space="0" w:color="000000"/>
              <w:right w:val="single" w:sz="4" w:space="0" w:color="000000"/>
            </w:tcBorders>
            <w:vAlign w:val="center"/>
          </w:tcPr>
          <w:p w14:paraId="011E4892" w14:textId="77777777" w:rsidR="00054437" w:rsidRPr="000549B1" w:rsidRDefault="00000000">
            <w:pPr>
              <w:widowControl/>
              <w:jc w:val="center"/>
              <w:textAlignment w:val="center"/>
              <w:rPr>
                <w:szCs w:val="21"/>
              </w:rPr>
            </w:pPr>
            <w:r w:rsidRPr="000549B1">
              <w:rPr>
                <w:kern w:val="0"/>
                <w:szCs w:val="21"/>
                <w:lang w:bidi="ar"/>
              </w:rPr>
              <w:t>＜</w:t>
            </w:r>
            <w:r w:rsidRPr="000549B1">
              <w:rPr>
                <w:rStyle w:val="font61"/>
                <w:color w:val="auto"/>
                <w:szCs w:val="21"/>
                <w:lang w:bidi="ar"/>
              </w:rPr>
              <w:t>0.01</w:t>
            </w:r>
          </w:p>
        </w:tc>
        <w:tc>
          <w:tcPr>
            <w:tcW w:w="408" w:type="pct"/>
            <w:tcBorders>
              <w:top w:val="single" w:sz="4" w:space="0" w:color="000000"/>
              <w:left w:val="single" w:sz="4" w:space="0" w:color="000000"/>
              <w:bottom w:val="single" w:sz="4" w:space="0" w:color="000000"/>
              <w:right w:val="single" w:sz="4" w:space="0" w:color="000000"/>
            </w:tcBorders>
          </w:tcPr>
          <w:p w14:paraId="01D2B088" w14:textId="77777777" w:rsidR="00054437" w:rsidRPr="000549B1" w:rsidRDefault="00000000">
            <w:pPr>
              <w:widowControl/>
              <w:jc w:val="center"/>
              <w:textAlignment w:val="top"/>
              <w:rPr>
                <w:szCs w:val="21"/>
              </w:rPr>
            </w:pPr>
            <w:r w:rsidRPr="000549B1">
              <w:rPr>
                <w:kern w:val="0"/>
                <w:szCs w:val="21"/>
                <w:lang w:bidi="ar"/>
              </w:rPr>
              <w:t>I</w:t>
            </w:r>
          </w:p>
        </w:tc>
        <w:tc>
          <w:tcPr>
            <w:tcW w:w="657" w:type="pct"/>
            <w:tcBorders>
              <w:top w:val="single" w:sz="4" w:space="0" w:color="000000"/>
              <w:left w:val="single" w:sz="4" w:space="0" w:color="000000"/>
              <w:bottom w:val="single" w:sz="4" w:space="0" w:color="000000"/>
              <w:right w:val="single" w:sz="4" w:space="0" w:color="000000"/>
            </w:tcBorders>
            <w:noWrap/>
            <w:vAlign w:val="center"/>
          </w:tcPr>
          <w:p w14:paraId="0ACAFA52" w14:textId="77777777" w:rsidR="00054437" w:rsidRPr="000549B1" w:rsidRDefault="00000000">
            <w:pPr>
              <w:widowControl/>
              <w:jc w:val="center"/>
              <w:textAlignment w:val="center"/>
              <w:rPr>
                <w:szCs w:val="21"/>
              </w:rPr>
            </w:pPr>
            <w:r w:rsidRPr="000549B1">
              <w:rPr>
                <w:kern w:val="0"/>
                <w:szCs w:val="21"/>
                <w:lang w:bidi="ar"/>
              </w:rPr>
              <w:t>＜</w:t>
            </w:r>
            <w:r w:rsidRPr="000549B1">
              <w:rPr>
                <w:rStyle w:val="font71"/>
                <w:color w:val="auto"/>
                <w:szCs w:val="21"/>
                <w:lang w:bidi="ar"/>
              </w:rPr>
              <w:t>0.01</w:t>
            </w:r>
          </w:p>
        </w:tc>
        <w:tc>
          <w:tcPr>
            <w:tcW w:w="408" w:type="pct"/>
            <w:tcBorders>
              <w:top w:val="single" w:sz="4" w:space="0" w:color="000000"/>
              <w:left w:val="single" w:sz="4" w:space="0" w:color="000000"/>
              <w:bottom w:val="single" w:sz="4" w:space="0" w:color="000000"/>
              <w:right w:val="single" w:sz="4" w:space="0" w:color="000000"/>
            </w:tcBorders>
          </w:tcPr>
          <w:p w14:paraId="27F1E182" w14:textId="77777777" w:rsidR="00054437" w:rsidRPr="000549B1" w:rsidRDefault="00000000">
            <w:pPr>
              <w:widowControl/>
              <w:jc w:val="center"/>
              <w:textAlignment w:val="top"/>
              <w:rPr>
                <w:szCs w:val="21"/>
              </w:rPr>
            </w:pPr>
            <w:r w:rsidRPr="000549B1">
              <w:rPr>
                <w:kern w:val="0"/>
                <w:szCs w:val="21"/>
                <w:lang w:bidi="ar"/>
              </w:rPr>
              <w:t>I</w:t>
            </w:r>
          </w:p>
        </w:tc>
      </w:tr>
      <w:tr w:rsidR="000549B1" w:rsidRPr="000549B1" w14:paraId="0100EB82" w14:textId="77777777">
        <w:trPr>
          <w:trHeight w:val="300"/>
        </w:trPr>
        <w:tc>
          <w:tcPr>
            <w:tcW w:w="774" w:type="pct"/>
            <w:tcBorders>
              <w:top w:val="single" w:sz="4" w:space="0" w:color="000000"/>
              <w:left w:val="single" w:sz="4" w:space="0" w:color="000000"/>
              <w:bottom w:val="single" w:sz="4" w:space="0" w:color="000000"/>
              <w:right w:val="single" w:sz="4" w:space="0" w:color="000000"/>
            </w:tcBorders>
            <w:vAlign w:val="center"/>
          </w:tcPr>
          <w:p w14:paraId="10F91952" w14:textId="77777777" w:rsidR="00054437" w:rsidRPr="000549B1" w:rsidRDefault="00000000">
            <w:pPr>
              <w:widowControl/>
              <w:jc w:val="center"/>
              <w:textAlignment w:val="center"/>
              <w:rPr>
                <w:b/>
                <w:bCs/>
                <w:szCs w:val="21"/>
              </w:rPr>
            </w:pPr>
            <w:r w:rsidRPr="000549B1">
              <w:rPr>
                <w:b/>
                <w:bCs/>
                <w:kern w:val="0"/>
                <w:szCs w:val="21"/>
                <w:lang w:bidi="ar"/>
              </w:rPr>
              <w:t>浊度</w:t>
            </w:r>
          </w:p>
        </w:tc>
        <w:tc>
          <w:tcPr>
            <w:tcW w:w="628" w:type="pct"/>
            <w:tcBorders>
              <w:top w:val="single" w:sz="4" w:space="0" w:color="000000"/>
              <w:left w:val="single" w:sz="4" w:space="0" w:color="000000"/>
              <w:bottom w:val="single" w:sz="4" w:space="0" w:color="000000"/>
              <w:right w:val="single" w:sz="4" w:space="0" w:color="000000"/>
            </w:tcBorders>
            <w:vAlign w:val="center"/>
          </w:tcPr>
          <w:p w14:paraId="3F4D261F" w14:textId="77777777" w:rsidR="00054437" w:rsidRPr="000549B1" w:rsidRDefault="00000000">
            <w:pPr>
              <w:widowControl/>
              <w:jc w:val="center"/>
              <w:textAlignment w:val="center"/>
              <w:rPr>
                <w:szCs w:val="21"/>
              </w:rPr>
            </w:pPr>
            <w:r w:rsidRPr="000549B1">
              <w:rPr>
                <w:kern w:val="0"/>
                <w:szCs w:val="21"/>
                <w:lang w:bidi="ar"/>
              </w:rPr>
              <w:t>9.1</w:t>
            </w:r>
          </w:p>
        </w:tc>
        <w:tc>
          <w:tcPr>
            <w:tcW w:w="415" w:type="pct"/>
            <w:tcBorders>
              <w:top w:val="single" w:sz="4" w:space="0" w:color="000000"/>
              <w:left w:val="single" w:sz="4" w:space="0" w:color="000000"/>
              <w:bottom w:val="single" w:sz="4" w:space="0" w:color="000000"/>
              <w:right w:val="single" w:sz="4" w:space="0" w:color="000000"/>
            </w:tcBorders>
            <w:vAlign w:val="center"/>
          </w:tcPr>
          <w:p w14:paraId="0DBC4A1B" w14:textId="77777777" w:rsidR="00054437" w:rsidRPr="000549B1" w:rsidRDefault="00054437">
            <w:pPr>
              <w:jc w:val="center"/>
              <w:rPr>
                <w:szCs w:val="21"/>
              </w:rPr>
            </w:pPr>
          </w:p>
        </w:tc>
        <w:tc>
          <w:tcPr>
            <w:tcW w:w="665" w:type="pct"/>
            <w:tcBorders>
              <w:top w:val="single" w:sz="4" w:space="0" w:color="000000"/>
              <w:left w:val="single" w:sz="4" w:space="0" w:color="000000"/>
              <w:bottom w:val="single" w:sz="4" w:space="0" w:color="000000"/>
              <w:right w:val="single" w:sz="4" w:space="0" w:color="000000"/>
            </w:tcBorders>
            <w:noWrap/>
            <w:vAlign w:val="center"/>
          </w:tcPr>
          <w:p w14:paraId="0B73B54B" w14:textId="77777777" w:rsidR="00054437" w:rsidRPr="000549B1" w:rsidRDefault="00000000">
            <w:pPr>
              <w:widowControl/>
              <w:jc w:val="center"/>
              <w:textAlignment w:val="center"/>
              <w:rPr>
                <w:szCs w:val="21"/>
              </w:rPr>
            </w:pPr>
            <w:r w:rsidRPr="000549B1">
              <w:rPr>
                <w:kern w:val="0"/>
                <w:szCs w:val="21"/>
                <w:lang w:bidi="ar"/>
              </w:rPr>
              <w:t>4.50</w:t>
            </w:r>
          </w:p>
        </w:tc>
        <w:tc>
          <w:tcPr>
            <w:tcW w:w="415" w:type="pct"/>
            <w:tcBorders>
              <w:top w:val="single" w:sz="4" w:space="0" w:color="000000"/>
              <w:left w:val="single" w:sz="4" w:space="0" w:color="000000"/>
              <w:bottom w:val="single" w:sz="4" w:space="0" w:color="000000"/>
              <w:right w:val="single" w:sz="4" w:space="0" w:color="000000"/>
            </w:tcBorders>
          </w:tcPr>
          <w:p w14:paraId="70FEBCA9" w14:textId="77777777" w:rsidR="00054437" w:rsidRPr="000549B1" w:rsidRDefault="00054437">
            <w:pPr>
              <w:jc w:val="center"/>
              <w:rPr>
                <w:szCs w:val="21"/>
              </w:rPr>
            </w:pPr>
          </w:p>
        </w:tc>
        <w:tc>
          <w:tcPr>
            <w:tcW w:w="625" w:type="pct"/>
            <w:tcBorders>
              <w:top w:val="single" w:sz="4" w:space="0" w:color="000000"/>
              <w:left w:val="single" w:sz="4" w:space="0" w:color="000000"/>
              <w:bottom w:val="single" w:sz="4" w:space="0" w:color="000000"/>
              <w:right w:val="single" w:sz="4" w:space="0" w:color="000000"/>
            </w:tcBorders>
            <w:vAlign w:val="center"/>
          </w:tcPr>
          <w:p w14:paraId="779884FF" w14:textId="77777777" w:rsidR="00054437" w:rsidRPr="000549B1" w:rsidRDefault="00000000">
            <w:pPr>
              <w:widowControl/>
              <w:jc w:val="center"/>
              <w:textAlignment w:val="center"/>
              <w:rPr>
                <w:szCs w:val="21"/>
              </w:rPr>
            </w:pPr>
            <w:r w:rsidRPr="000549B1">
              <w:rPr>
                <w:kern w:val="0"/>
                <w:szCs w:val="21"/>
                <w:lang w:bidi="ar"/>
              </w:rPr>
              <w:t>5.6</w:t>
            </w:r>
          </w:p>
        </w:tc>
        <w:tc>
          <w:tcPr>
            <w:tcW w:w="408" w:type="pct"/>
            <w:tcBorders>
              <w:top w:val="single" w:sz="4" w:space="0" w:color="000000"/>
              <w:left w:val="single" w:sz="4" w:space="0" w:color="000000"/>
              <w:bottom w:val="single" w:sz="4" w:space="0" w:color="000000"/>
              <w:right w:val="single" w:sz="4" w:space="0" w:color="000000"/>
            </w:tcBorders>
          </w:tcPr>
          <w:p w14:paraId="3133102A" w14:textId="77777777" w:rsidR="00054437" w:rsidRPr="000549B1" w:rsidRDefault="00054437">
            <w:pPr>
              <w:jc w:val="center"/>
              <w:rPr>
                <w:szCs w:val="21"/>
              </w:rPr>
            </w:pPr>
          </w:p>
        </w:tc>
        <w:tc>
          <w:tcPr>
            <w:tcW w:w="657" w:type="pct"/>
            <w:tcBorders>
              <w:top w:val="single" w:sz="4" w:space="0" w:color="000000"/>
              <w:left w:val="single" w:sz="4" w:space="0" w:color="000000"/>
              <w:bottom w:val="single" w:sz="4" w:space="0" w:color="000000"/>
              <w:right w:val="single" w:sz="4" w:space="0" w:color="000000"/>
            </w:tcBorders>
            <w:noWrap/>
            <w:vAlign w:val="center"/>
          </w:tcPr>
          <w:p w14:paraId="0EFFF9E5" w14:textId="77777777" w:rsidR="00054437" w:rsidRPr="000549B1" w:rsidRDefault="00000000">
            <w:pPr>
              <w:widowControl/>
              <w:jc w:val="center"/>
              <w:textAlignment w:val="center"/>
              <w:rPr>
                <w:szCs w:val="21"/>
              </w:rPr>
            </w:pPr>
            <w:r w:rsidRPr="000549B1">
              <w:rPr>
                <w:kern w:val="0"/>
                <w:szCs w:val="21"/>
                <w:lang w:bidi="ar"/>
              </w:rPr>
              <w:t>8.47</w:t>
            </w:r>
          </w:p>
        </w:tc>
        <w:tc>
          <w:tcPr>
            <w:tcW w:w="408" w:type="pct"/>
            <w:tcBorders>
              <w:top w:val="single" w:sz="4" w:space="0" w:color="000000"/>
              <w:left w:val="single" w:sz="4" w:space="0" w:color="000000"/>
              <w:bottom w:val="single" w:sz="4" w:space="0" w:color="000000"/>
              <w:right w:val="single" w:sz="4" w:space="0" w:color="000000"/>
            </w:tcBorders>
          </w:tcPr>
          <w:p w14:paraId="0D22897B" w14:textId="77777777" w:rsidR="00054437" w:rsidRPr="000549B1" w:rsidRDefault="00054437">
            <w:pPr>
              <w:jc w:val="center"/>
              <w:rPr>
                <w:szCs w:val="21"/>
              </w:rPr>
            </w:pPr>
          </w:p>
        </w:tc>
      </w:tr>
      <w:tr w:rsidR="000549B1" w:rsidRPr="000549B1" w14:paraId="61FEFB44" w14:textId="77777777">
        <w:trPr>
          <w:trHeight w:val="270"/>
        </w:trPr>
        <w:tc>
          <w:tcPr>
            <w:tcW w:w="774" w:type="pct"/>
            <w:tcBorders>
              <w:top w:val="single" w:sz="4" w:space="0" w:color="000000"/>
              <w:left w:val="single" w:sz="4" w:space="0" w:color="000000"/>
              <w:bottom w:val="single" w:sz="4" w:space="0" w:color="000000"/>
              <w:right w:val="single" w:sz="4" w:space="0" w:color="000000"/>
            </w:tcBorders>
            <w:vAlign w:val="center"/>
          </w:tcPr>
          <w:p w14:paraId="1B579A11" w14:textId="77777777" w:rsidR="00054437" w:rsidRPr="000549B1" w:rsidRDefault="00000000">
            <w:pPr>
              <w:widowControl/>
              <w:jc w:val="center"/>
              <w:textAlignment w:val="center"/>
              <w:rPr>
                <w:b/>
                <w:bCs/>
                <w:szCs w:val="21"/>
              </w:rPr>
            </w:pPr>
            <w:r w:rsidRPr="000549B1">
              <w:rPr>
                <w:b/>
                <w:bCs/>
                <w:kern w:val="0"/>
                <w:szCs w:val="21"/>
                <w:lang w:bidi="ar"/>
              </w:rPr>
              <w:t>水质类别</w:t>
            </w:r>
          </w:p>
        </w:tc>
        <w:tc>
          <w:tcPr>
            <w:tcW w:w="1043" w:type="pct"/>
            <w:gridSpan w:val="2"/>
            <w:tcBorders>
              <w:top w:val="single" w:sz="4" w:space="0" w:color="000000"/>
              <w:left w:val="single" w:sz="4" w:space="0" w:color="000000"/>
              <w:bottom w:val="single" w:sz="4" w:space="0" w:color="000000"/>
              <w:right w:val="single" w:sz="4" w:space="0" w:color="000000"/>
            </w:tcBorders>
            <w:vAlign w:val="center"/>
          </w:tcPr>
          <w:p w14:paraId="0ABE4EBA" w14:textId="77777777" w:rsidR="00054437" w:rsidRPr="000549B1" w:rsidRDefault="00000000">
            <w:pPr>
              <w:widowControl/>
              <w:jc w:val="center"/>
              <w:textAlignment w:val="center"/>
              <w:rPr>
                <w:b/>
                <w:bCs/>
                <w:szCs w:val="21"/>
              </w:rPr>
            </w:pPr>
            <w:r w:rsidRPr="000549B1">
              <w:rPr>
                <w:rFonts w:eastAsia="仿宋"/>
                <w:b/>
                <w:bCs/>
                <w:kern w:val="0"/>
                <w:szCs w:val="21"/>
                <w:lang w:bidi="ar"/>
              </w:rPr>
              <w:t>Ш</w:t>
            </w:r>
            <w:r w:rsidRPr="000549B1">
              <w:rPr>
                <w:b/>
                <w:bCs/>
                <w:kern w:val="0"/>
                <w:szCs w:val="21"/>
                <w:lang w:bidi="ar"/>
              </w:rPr>
              <w:t>类</w:t>
            </w:r>
          </w:p>
        </w:tc>
        <w:tc>
          <w:tcPr>
            <w:tcW w:w="1080" w:type="pct"/>
            <w:gridSpan w:val="2"/>
            <w:tcBorders>
              <w:top w:val="single" w:sz="4" w:space="0" w:color="000000"/>
              <w:left w:val="single" w:sz="4" w:space="0" w:color="000000"/>
              <w:bottom w:val="single" w:sz="4" w:space="0" w:color="000000"/>
              <w:right w:val="single" w:sz="4" w:space="0" w:color="000000"/>
            </w:tcBorders>
            <w:vAlign w:val="center"/>
          </w:tcPr>
          <w:p w14:paraId="41DEFEAA" w14:textId="77777777" w:rsidR="00054437" w:rsidRPr="000549B1" w:rsidRDefault="00000000">
            <w:pPr>
              <w:widowControl/>
              <w:jc w:val="center"/>
              <w:textAlignment w:val="center"/>
              <w:rPr>
                <w:b/>
                <w:bCs/>
                <w:szCs w:val="21"/>
              </w:rPr>
            </w:pPr>
            <w:r w:rsidRPr="000549B1">
              <w:rPr>
                <w:b/>
                <w:bCs/>
                <w:kern w:val="0"/>
                <w:szCs w:val="21"/>
                <w:lang w:bidi="ar"/>
              </w:rPr>
              <w:t>Ⅱ</w:t>
            </w:r>
            <w:r w:rsidRPr="000549B1">
              <w:rPr>
                <w:b/>
                <w:bCs/>
                <w:kern w:val="0"/>
                <w:szCs w:val="21"/>
                <w:lang w:bidi="ar"/>
              </w:rPr>
              <w:t>类</w:t>
            </w:r>
          </w:p>
        </w:tc>
        <w:tc>
          <w:tcPr>
            <w:tcW w:w="1033" w:type="pct"/>
            <w:gridSpan w:val="2"/>
            <w:tcBorders>
              <w:top w:val="single" w:sz="4" w:space="0" w:color="000000"/>
              <w:left w:val="single" w:sz="4" w:space="0" w:color="000000"/>
              <w:bottom w:val="single" w:sz="4" w:space="0" w:color="000000"/>
              <w:right w:val="single" w:sz="4" w:space="0" w:color="000000"/>
            </w:tcBorders>
            <w:vAlign w:val="center"/>
          </w:tcPr>
          <w:p w14:paraId="22DC8DB9" w14:textId="77777777" w:rsidR="00054437" w:rsidRPr="000549B1" w:rsidRDefault="00000000">
            <w:pPr>
              <w:widowControl/>
              <w:jc w:val="center"/>
              <w:textAlignment w:val="center"/>
              <w:rPr>
                <w:b/>
                <w:bCs/>
                <w:szCs w:val="21"/>
              </w:rPr>
            </w:pPr>
            <w:r w:rsidRPr="000549B1">
              <w:rPr>
                <w:b/>
                <w:bCs/>
                <w:kern w:val="0"/>
                <w:szCs w:val="21"/>
                <w:lang w:bidi="ar"/>
              </w:rPr>
              <w:t>Ⅱ</w:t>
            </w:r>
            <w:r w:rsidRPr="000549B1">
              <w:rPr>
                <w:b/>
                <w:bCs/>
                <w:kern w:val="0"/>
                <w:szCs w:val="21"/>
                <w:lang w:bidi="ar"/>
              </w:rPr>
              <w:t>类</w:t>
            </w:r>
          </w:p>
        </w:tc>
        <w:tc>
          <w:tcPr>
            <w:tcW w:w="1066" w:type="pct"/>
            <w:gridSpan w:val="2"/>
            <w:tcBorders>
              <w:top w:val="single" w:sz="4" w:space="0" w:color="000000"/>
              <w:left w:val="single" w:sz="4" w:space="0" w:color="000000"/>
              <w:bottom w:val="single" w:sz="4" w:space="0" w:color="000000"/>
              <w:right w:val="single" w:sz="4" w:space="0" w:color="000000"/>
            </w:tcBorders>
            <w:vAlign w:val="center"/>
          </w:tcPr>
          <w:p w14:paraId="0235B8CB" w14:textId="77777777" w:rsidR="00054437" w:rsidRPr="000549B1" w:rsidRDefault="00000000">
            <w:pPr>
              <w:widowControl/>
              <w:jc w:val="center"/>
              <w:textAlignment w:val="center"/>
              <w:rPr>
                <w:b/>
                <w:bCs/>
                <w:szCs w:val="21"/>
              </w:rPr>
            </w:pPr>
            <w:r w:rsidRPr="000549B1">
              <w:rPr>
                <w:b/>
                <w:bCs/>
                <w:kern w:val="0"/>
                <w:szCs w:val="21"/>
                <w:lang w:bidi="ar"/>
              </w:rPr>
              <w:t>Ⅱ</w:t>
            </w:r>
            <w:r w:rsidRPr="000549B1">
              <w:rPr>
                <w:b/>
                <w:bCs/>
                <w:kern w:val="0"/>
                <w:szCs w:val="21"/>
                <w:lang w:bidi="ar"/>
              </w:rPr>
              <w:t>类</w:t>
            </w:r>
          </w:p>
        </w:tc>
      </w:tr>
      <w:tr w:rsidR="000549B1" w:rsidRPr="000549B1" w14:paraId="36F27D98" w14:textId="77777777">
        <w:trPr>
          <w:trHeight w:val="270"/>
        </w:trPr>
        <w:tc>
          <w:tcPr>
            <w:tcW w:w="774" w:type="pct"/>
            <w:vMerge w:val="restart"/>
            <w:tcBorders>
              <w:top w:val="single" w:sz="4" w:space="0" w:color="000000"/>
              <w:left w:val="single" w:sz="4" w:space="0" w:color="000000"/>
              <w:bottom w:val="single" w:sz="4" w:space="0" w:color="000000"/>
              <w:right w:val="single" w:sz="4" w:space="0" w:color="000000"/>
            </w:tcBorders>
            <w:vAlign w:val="center"/>
          </w:tcPr>
          <w:p w14:paraId="0DFA5067" w14:textId="77777777" w:rsidR="00054437" w:rsidRPr="000549B1" w:rsidRDefault="00000000">
            <w:pPr>
              <w:widowControl/>
              <w:jc w:val="center"/>
              <w:textAlignment w:val="center"/>
              <w:rPr>
                <w:b/>
                <w:bCs/>
                <w:szCs w:val="21"/>
              </w:rPr>
            </w:pPr>
            <w:r w:rsidRPr="000549B1">
              <w:rPr>
                <w:b/>
                <w:bCs/>
                <w:kern w:val="0"/>
                <w:szCs w:val="21"/>
                <w:lang w:bidi="ar"/>
              </w:rPr>
              <w:t>监测项目</w:t>
            </w:r>
          </w:p>
        </w:tc>
        <w:tc>
          <w:tcPr>
            <w:tcW w:w="2124" w:type="pct"/>
            <w:gridSpan w:val="4"/>
            <w:tcBorders>
              <w:top w:val="single" w:sz="4" w:space="0" w:color="000000"/>
              <w:left w:val="single" w:sz="4" w:space="0" w:color="000000"/>
              <w:bottom w:val="single" w:sz="4" w:space="0" w:color="000000"/>
              <w:right w:val="single" w:sz="4" w:space="0" w:color="000000"/>
            </w:tcBorders>
            <w:vAlign w:val="center"/>
          </w:tcPr>
          <w:p w14:paraId="56EB2ABA" w14:textId="77777777" w:rsidR="00054437" w:rsidRPr="000549B1" w:rsidRDefault="00000000">
            <w:pPr>
              <w:widowControl/>
              <w:jc w:val="center"/>
              <w:textAlignment w:val="center"/>
              <w:rPr>
                <w:b/>
                <w:bCs/>
                <w:szCs w:val="21"/>
              </w:rPr>
            </w:pPr>
            <w:r w:rsidRPr="000549B1">
              <w:rPr>
                <w:b/>
                <w:bCs/>
                <w:kern w:val="0"/>
                <w:szCs w:val="21"/>
                <w:lang w:bidi="ar"/>
              </w:rPr>
              <w:t>切吉河下游</w:t>
            </w:r>
          </w:p>
        </w:tc>
        <w:tc>
          <w:tcPr>
            <w:tcW w:w="2100" w:type="pct"/>
            <w:gridSpan w:val="4"/>
            <w:tcBorders>
              <w:top w:val="single" w:sz="4" w:space="0" w:color="000000"/>
              <w:left w:val="single" w:sz="4" w:space="0" w:color="000000"/>
              <w:bottom w:val="single" w:sz="4" w:space="0" w:color="000000"/>
              <w:right w:val="single" w:sz="4" w:space="0" w:color="000000"/>
            </w:tcBorders>
            <w:vAlign w:val="center"/>
          </w:tcPr>
          <w:p w14:paraId="16D2FAF6" w14:textId="77777777" w:rsidR="00054437" w:rsidRPr="000549B1" w:rsidRDefault="00000000">
            <w:pPr>
              <w:widowControl/>
              <w:jc w:val="center"/>
              <w:textAlignment w:val="center"/>
              <w:rPr>
                <w:b/>
                <w:bCs/>
                <w:szCs w:val="21"/>
              </w:rPr>
            </w:pPr>
            <w:r w:rsidRPr="000549B1">
              <w:rPr>
                <w:b/>
                <w:bCs/>
                <w:kern w:val="0"/>
                <w:szCs w:val="21"/>
                <w:lang w:bidi="ar"/>
              </w:rPr>
              <w:t>直亥买沟下游</w:t>
            </w:r>
          </w:p>
        </w:tc>
      </w:tr>
      <w:tr w:rsidR="000549B1" w:rsidRPr="000549B1" w14:paraId="17F6267C" w14:textId="77777777">
        <w:trPr>
          <w:trHeight w:val="270"/>
        </w:trPr>
        <w:tc>
          <w:tcPr>
            <w:tcW w:w="774" w:type="pct"/>
            <w:vMerge/>
            <w:tcBorders>
              <w:top w:val="single" w:sz="4" w:space="0" w:color="000000"/>
              <w:left w:val="single" w:sz="4" w:space="0" w:color="000000"/>
              <w:bottom w:val="single" w:sz="4" w:space="0" w:color="000000"/>
              <w:right w:val="single" w:sz="4" w:space="0" w:color="000000"/>
            </w:tcBorders>
            <w:vAlign w:val="center"/>
          </w:tcPr>
          <w:p w14:paraId="0FC8FBF9" w14:textId="77777777" w:rsidR="00054437" w:rsidRPr="000549B1" w:rsidRDefault="00054437">
            <w:pPr>
              <w:jc w:val="center"/>
              <w:rPr>
                <w:b/>
                <w:bCs/>
                <w:szCs w:val="21"/>
              </w:rPr>
            </w:pPr>
          </w:p>
        </w:tc>
        <w:tc>
          <w:tcPr>
            <w:tcW w:w="1043" w:type="pct"/>
            <w:gridSpan w:val="2"/>
            <w:tcBorders>
              <w:top w:val="single" w:sz="4" w:space="0" w:color="000000"/>
              <w:left w:val="single" w:sz="4" w:space="0" w:color="000000"/>
              <w:bottom w:val="single" w:sz="4" w:space="0" w:color="000000"/>
              <w:right w:val="single" w:sz="4" w:space="0" w:color="000000"/>
            </w:tcBorders>
            <w:vAlign w:val="center"/>
          </w:tcPr>
          <w:p w14:paraId="2C774B70" w14:textId="77777777" w:rsidR="00054437" w:rsidRPr="000549B1" w:rsidRDefault="00000000">
            <w:pPr>
              <w:widowControl/>
              <w:jc w:val="center"/>
              <w:textAlignment w:val="center"/>
              <w:rPr>
                <w:b/>
                <w:bCs/>
                <w:szCs w:val="21"/>
              </w:rPr>
            </w:pPr>
            <w:r w:rsidRPr="000549B1">
              <w:rPr>
                <w:b/>
                <w:bCs/>
                <w:kern w:val="0"/>
                <w:szCs w:val="21"/>
                <w:lang w:bidi="ar"/>
              </w:rPr>
              <w:t>枯水期</w:t>
            </w:r>
            <w:r w:rsidRPr="000549B1">
              <w:rPr>
                <w:rStyle w:val="font51"/>
                <w:color w:val="auto"/>
                <w:szCs w:val="21"/>
                <w:lang w:bidi="ar"/>
              </w:rPr>
              <w:t>4</w:t>
            </w:r>
            <w:r w:rsidRPr="000549B1">
              <w:rPr>
                <w:b/>
                <w:bCs/>
                <w:kern w:val="0"/>
                <w:szCs w:val="21"/>
                <w:lang w:bidi="ar"/>
              </w:rPr>
              <w:t>月</w:t>
            </w:r>
          </w:p>
        </w:tc>
        <w:tc>
          <w:tcPr>
            <w:tcW w:w="1080" w:type="pct"/>
            <w:gridSpan w:val="2"/>
            <w:tcBorders>
              <w:top w:val="single" w:sz="4" w:space="0" w:color="000000"/>
              <w:left w:val="single" w:sz="4" w:space="0" w:color="000000"/>
              <w:bottom w:val="single" w:sz="4" w:space="0" w:color="000000"/>
              <w:right w:val="single" w:sz="4" w:space="0" w:color="000000"/>
            </w:tcBorders>
            <w:vAlign w:val="center"/>
          </w:tcPr>
          <w:p w14:paraId="7795C234" w14:textId="77777777" w:rsidR="00054437" w:rsidRPr="000549B1" w:rsidRDefault="00000000">
            <w:pPr>
              <w:widowControl/>
              <w:jc w:val="center"/>
              <w:textAlignment w:val="center"/>
              <w:rPr>
                <w:b/>
                <w:bCs/>
                <w:szCs w:val="21"/>
              </w:rPr>
            </w:pPr>
            <w:r w:rsidRPr="000549B1">
              <w:rPr>
                <w:b/>
                <w:bCs/>
                <w:kern w:val="0"/>
                <w:szCs w:val="21"/>
                <w:lang w:bidi="ar"/>
              </w:rPr>
              <w:t>丰水期</w:t>
            </w:r>
            <w:r w:rsidRPr="000549B1">
              <w:rPr>
                <w:rStyle w:val="font51"/>
                <w:color w:val="auto"/>
                <w:szCs w:val="21"/>
                <w:lang w:bidi="ar"/>
              </w:rPr>
              <w:t>9</w:t>
            </w:r>
            <w:r w:rsidRPr="000549B1">
              <w:rPr>
                <w:b/>
                <w:bCs/>
                <w:kern w:val="0"/>
                <w:szCs w:val="21"/>
                <w:lang w:bidi="ar"/>
              </w:rPr>
              <w:t>月</w:t>
            </w:r>
          </w:p>
        </w:tc>
        <w:tc>
          <w:tcPr>
            <w:tcW w:w="1033" w:type="pct"/>
            <w:gridSpan w:val="2"/>
            <w:tcBorders>
              <w:top w:val="single" w:sz="4" w:space="0" w:color="000000"/>
              <w:left w:val="single" w:sz="4" w:space="0" w:color="000000"/>
              <w:bottom w:val="single" w:sz="4" w:space="0" w:color="000000"/>
              <w:right w:val="single" w:sz="4" w:space="0" w:color="000000"/>
            </w:tcBorders>
            <w:vAlign w:val="center"/>
          </w:tcPr>
          <w:p w14:paraId="47483FC6" w14:textId="77777777" w:rsidR="00054437" w:rsidRPr="000549B1" w:rsidRDefault="00000000">
            <w:pPr>
              <w:widowControl/>
              <w:jc w:val="center"/>
              <w:textAlignment w:val="center"/>
              <w:rPr>
                <w:b/>
                <w:bCs/>
                <w:szCs w:val="21"/>
              </w:rPr>
            </w:pPr>
            <w:r w:rsidRPr="000549B1">
              <w:rPr>
                <w:b/>
                <w:bCs/>
                <w:kern w:val="0"/>
                <w:szCs w:val="21"/>
                <w:lang w:bidi="ar"/>
              </w:rPr>
              <w:t>枯水期</w:t>
            </w:r>
            <w:r w:rsidRPr="000549B1">
              <w:rPr>
                <w:rStyle w:val="font51"/>
                <w:color w:val="auto"/>
                <w:szCs w:val="21"/>
                <w:lang w:bidi="ar"/>
              </w:rPr>
              <w:t>4</w:t>
            </w:r>
            <w:r w:rsidRPr="000549B1">
              <w:rPr>
                <w:b/>
                <w:bCs/>
                <w:kern w:val="0"/>
                <w:szCs w:val="21"/>
                <w:lang w:bidi="ar"/>
              </w:rPr>
              <w:t>月</w:t>
            </w:r>
          </w:p>
        </w:tc>
        <w:tc>
          <w:tcPr>
            <w:tcW w:w="1066" w:type="pct"/>
            <w:gridSpan w:val="2"/>
            <w:tcBorders>
              <w:top w:val="single" w:sz="4" w:space="0" w:color="000000"/>
              <w:left w:val="single" w:sz="4" w:space="0" w:color="000000"/>
              <w:bottom w:val="single" w:sz="4" w:space="0" w:color="000000"/>
              <w:right w:val="single" w:sz="4" w:space="0" w:color="000000"/>
            </w:tcBorders>
            <w:vAlign w:val="center"/>
          </w:tcPr>
          <w:p w14:paraId="39C36493" w14:textId="77777777" w:rsidR="00054437" w:rsidRPr="000549B1" w:rsidRDefault="00000000">
            <w:pPr>
              <w:widowControl/>
              <w:jc w:val="center"/>
              <w:textAlignment w:val="center"/>
              <w:rPr>
                <w:b/>
                <w:bCs/>
                <w:szCs w:val="21"/>
              </w:rPr>
            </w:pPr>
            <w:r w:rsidRPr="000549B1">
              <w:rPr>
                <w:b/>
                <w:bCs/>
                <w:kern w:val="0"/>
                <w:szCs w:val="21"/>
                <w:lang w:bidi="ar"/>
              </w:rPr>
              <w:t>丰水期</w:t>
            </w:r>
            <w:r w:rsidRPr="000549B1">
              <w:rPr>
                <w:rStyle w:val="font51"/>
                <w:color w:val="auto"/>
                <w:szCs w:val="21"/>
                <w:lang w:bidi="ar"/>
              </w:rPr>
              <w:t>9</w:t>
            </w:r>
            <w:r w:rsidRPr="000549B1">
              <w:rPr>
                <w:b/>
                <w:bCs/>
                <w:kern w:val="0"/>
                <w:szCs w:val="21"/>
                <w:lang w:bidi="ar"/>
              </w:rPr>
              <w:t>月</w:t>
            </w:r>
          </w:p>
        </w:tc>
      </w:tr>
      <w:tr w:rsidR="000549B1" w:rsidRPr="000549B1" w14:paraId="248A3D36" w14:textId="77777777">
        <w:trPr>
          <w:trHeight w:val="270"/>
        </w:trPr>
        <w:tc>
          <w:tcPr>
            <w:tcW w:w="774" w:type="pct"/>
            <w:vMerge/>
            <w:tcBorders>
              <w:top w:val="single" w:sz="4" w:space="0" w:color="000000"/>
              <w:left w:val="single" w:sz="4" w:space="0" w:color="000000"/>
              <w:bottom w:val="single" w:sz="4" w:space="0" w:color="000000"/>
              <w:right w:val="single" w:sz="4" w:space="0" w:color="000000"/>
            </w:tcBorders>
            <w:vAlign w:val="center"/>
          </w:tcPr>
          <w:p w14:paraId="592F16AC" w14:textId="77777777" w:rsidR="00054437" w:rsidRPr="000549B1" w:rsidRDefault="00054437">
            <w:pPr>
              <w:jc w:val="center"/>
              <w:rPr>
                <w:b/>
                <w:bCs/>
                <w:szCs w:val="21"/>
              </w:rPr>
            </w:pPr>
          </w:p>
        </w:tc>
        <w:tc>
          <w:tcPr>
            <w:tcW w:w="628" w:type="pct"/>
            <w:tcBorders>
              <w:top w:val="single" w:sz="4" w:space="0" w:color="000000"/>
              <w:left w:val="single" w:sz="4" w:space="0" w:color="000000"/>
              <w:bottom w:val="single" w:sz="4" w:space="0" w:color="000000"/>
              <w:right w:val="single" w:sz="4" w:space="0" w:color="000000"/>
            </w:tcBorders>
            <w:vAlign w:val="center"/>
          </w:tcPr>
          <w:p w14:paraId="7E85A417" w14:textId="77777777" w:rsidR="00054437" w:rsidRPr="000549B1" w:rsidRDefault="00000000">
            <w:pPr>
              <w:widowControl/>
              <w:jc w:val="center"/>
              <w:textAlignment w:val="center"/>
              <w:rPr>
                <w:b/>
                <w:bCs/>
                <w:szCs w:val="21"/>
              </w:rPr>
            </w:pPr>
            <w:r w:rsidRPr="000549B1">
              <w:rPr>
                <w:b/>
                <w:bCs/>
                <w:kern w:val="0"/>
                <w:szCs w:val="21"/>
                <w:lang w:bidi="ar"/>
              </w:rPr>
              <w:t>水质均值</w:t>
            </w:r>
          </w:p>
        </w:tc>
        <w:tc>
          <w:tcPr>
            <w:tcW w:w="415" w:type="pct"/>
            <w:tcBorders>
              <w:top w:val="single" w:sz="4" w:space="0" w:color="000000"/>
              <w:left w:val="single" w:sz="4" w:space="0" w:color="000000"/>
              <w:bottom w:val="single" w:sz="4" w:space="0" w:color="000000"/>
              <w:right w:val="single" w:sz="4" w:space="0" w:color="000000"/>
            </w:tcBorders>
            <w:vAlign w:val="center"/>
          </w:tcPr>
          <w:p w14:paraId="67F4FDDD" w14:textId="77777777" w:rsidR="00054437" w:rsidRPr="000549B1" w:rsidRDefault="00000000">
            <w:pPr>
              <w:widowControl/>
              <w:jc w:val="center"/>
              <w:textAlignment w:val="center"/>
              <w:rPr>
                <w:b/>
                <w:bCs/>
                <w:szCs w:val="21"/>
              </w:rPr>
            </w:pPr>
            <w:r w:rsidRPr="000549B1">
              <w:rPr>
                <w:b/>
                <w:bCs/>
                <w:kern w:val="0"/>
                <w:szCs w:val="21"/>
                <w:lang w:bidi="ar"/>
              </w:rPr>
              <w:t>水质类别</w:t>
            </w:r>
          </w:p>
        </w:tc>
        <w:tc>
          <w:tcPr>
            <w:tcW w:w="665" w:type="pct"/>
            <w:tcBorders>
              <w:top w:val="single" w:sz="4" w:space="0" w:color="000000"/>
              <w:left w:val="single" w:sz="4" w:space="0" w:color="000000"/>
              <w:bottom w:val="single" w:sz="4" w:space="0" w:color="000000"/>
              <w:right w:val="single" w:sz="4" w:space="0" w:color="000000"/>
            </w:tcBorders>
            <w:vAlign w:val="center"/>
          </w:tcPr>
          <w:p w14:paraId="3CBBFCB3" w14:textId="77777777" w:rsidR="00054437" w:rsidRPr="000549B1" w:rsidRDefault="00000000">
            <w:pPr>
              <w:widowControl/>
              <w:jc w:val="center"/>
              <w:textAlignment w:val="center"/>
              <w:rPr>
                <w:b/>
                <w:bCs/>
                <w:szCs w:val="21"/>
              </w:rPr>
            </w:pPr>
            <w:r w:rsidRPr="000549B1">
              <w:rPr>
                <w:b/>
                <w:bCs/>
                <w:kern w:val="0"/>
                <w:szCs w:val="21"/>
                <w:lang w:bidi="ar"/>
              </w:rPr>
              <w:t>水质均值</w:t>
            </w:r>
          </w:p>
        </w:tc>
        <w:tc>
          <w:tcPr>
            <w:tcW w:w="415" w:type="pct"/>
            <w:tcBorders>
              <w:top w:val="single" w:sz="4" w:space="0" w:color="000000"/>
              <w:left w:val="single" w:sz="4" w:space="0" w:color="000000"/>
              <w:bottom w:val="single" w:sz="4" w:space="0" w:color="000000"/>
              <w:right w:val="single" w:sz="4" w:space="0" w:color="000000"/>
            </w:tcBorders>
            <w:vAlign w:val="center"/>
          </w:tcPr>
          <w:p w14:paraId="12DA2AB5" w14:textId="77777777" w:rsidR="00054437" w:rsidRPr="000549B1" w:rsidRDefault="00000000">
            <w:pPr>
              <w:widowControl/>
              <w:jc w:val="center"/>
              <w:textAlignment w:val="center"/>
              <w:rPr>
                <w:b/>
                <w:bCs/>
                <w:szCs w:val="21"/>
              </w:rPr>
            </w:pPr>
            <w:r w:rsidRPr="000549B1">
              <w:rPr>
                <w:b/>
                <w:bCs/>
                <w:kern w:val="0"/>
                <w:szCs w:val="21"/>
                <w:lang w:bidi="ar"/>
              </w:rPr>
              <w:t>水质类别</w:t>
            </w:r>
          </w:p>
        </w:tc>
        <w:tc>
          <w:tcPr>
            <w:tcW w:w="625" w:type="pct"/>
            <w:tcBorders>
              <w:top w:val="single" w:sz="4" w:space="0" w:color="000000"/>
              <w:left w:val="single" w:sz="4" w:space="0" w:color="000000"/>
              <w:bottom w:val="single" w:sz="4" w:space="0" w:color="000000"/>
              <w:right w:val="single" w:sz="4" w:space="0" w:color="000000"/>
            </w:tcBorders>
            <w:vAlign w:val="center"/>
          </w:tcPr>
          <w:p w14:paraId="56A526C3" w14:textId="77777777" w:rsidR="00054437" w:rsidRPr="000549B1" w:rsidRDefault="00000000">
            <w:pPr>
              <w:widowControl/>
              <w:jc w:val="center"/>
              <w:textAlignment w:val="center"/>
              <w:rPr>
                <w:b/>
                <w:bCs/>
                <w:szCs w:val="21"/>
              </w:rPr>
            </w:pPr>
            <w:r w:rsidRPr="000549B1">
              <w:rPr>
                <w:b/>
                <w:bCs/>
                <w:kern w:val="0"/>
                <w:szCs w:val="21"/>
                <w:lang w:bidi="ar"/>
              </w:rPr>
              <w:t>水质均值</w:t>
            </w:r>
          </w:p>
        </w:tc>
        <w:tc>
          <w:tcPr>
            <w:tcW w:w="408" w:type="pct"/>
            <w:tcBorders>
              <w:top w:val="single" w:sz="4" w:space="0" w:color="000000"/>
              <w:left w:val="single" w:sz="4" w:space="0" w:color="000000"/>
              <w:bottom w:val="single" w:sz="4" w:space="0" w:color="000000"/>
              <w:right w:val="single" w:sz="4" w:space="0" w:color="000000"/>
            </w:tcBorders>
            <w:vAlign w:val="center"/>
          </w:tcPr>
          <w:p w14:paraId="18CCEBD9" w14:textId="77777777" w:rsidR="00054437" w:rsidRPr="000549B1" w:rsidRDefault="00000000">
            <w:pPr>
              <w:widowControl/>
              <w:jc w:val="center"/>
              <w:textAlignment w:val="center"/>
              <w:rPr>
                <w:b/>
                <w:bCs/>
                <w:szCs w:val="21"/>
              </w:rPr>
            </w:pPr>
            <w:r w:rsidRPr="000549B1">
              <w:rPr>
                <w:b/>
                <w:bCs/>
                <w:kern w:val="0"/>
                <w:szCs w:val="21"/>
                <w:lang w:bidi="ar"/>
              </w:rPr>
              <w:t>水质类别</w:t>
            </w:r>
          </w:p>
        </w:tc>
        <w:tc>
          <w:tcPr>
            <w:tcW w:w="657" w:type="pct"/>
            <w:tcBorders>
              <w:top w:val="single" w:sz="4" w:space="0" w:color="000000"/>
              <w:left w:val="single" w:sz="4" w:space="0" w:color="000000"/>
              <w:bottom w:val="single" w:sz="4" w:space="0" w:color="000000"/>
              <w:right w:val="single" w:sz="4" w:space="0" w:color="000000"/>
            </w:tcBorders>
            <w:vAlign w:val="center"/>
          </w:tcPr>
          <w:p w14:paraId="0880919E" w14:textId="77777777" w:rsidR="00054437" w:rsidRPr="000549B1" w:rsidRDefault="00000000">
            <w:pPr>
              <w:widowControl/>
              <w:jc w:val="center"/>
              <w:textAlignment w:val="center"/>
              <w:rPr>
                <w:b/>
                <w:bCs/>
                <w:szCs w:val="21"/>
              </w:rPr>
            </w:pPr>
            <w:r w:rsidRPr="000549B1">
              <w:rPr>
                <w:b/>
                <w:bCs/>
                <w:kern w:val="0"/>
                <w:szCs w:val="21"/>
                <w:lang w:bidi="ar"/>
              </w:rPr>
              <w:t>水质均值</w:t>
            </w:r>
          </w:p>
        </w:tc>
        <w:tc>
          <w:tcPr>
            <w:tcW w:w="408" w:type="pct"/>
            <w:tcBorders>
              <w:top w:val="single" w:sz="4" w:space="0" w:color="000000"/>
              <w:left w:val="single" w:sz="4" w:space="0" w:color="000000"/>
              <w:bottom w:val="single" w:sz="4" w:space="0" w:color="000000"/>
              <w:right w:val="single" w:sz="4" w:space="0" w:color="000000"/>
            </w:tcBorders>
            <w:vAlign w:val="center"/>
          </w:tcPr>
          <w:p w14:paraId="475F0D33" w14:textId="77777777" w:rsidR="00054437" w:rsidRPr="000549B1" w:rsidRDefault="00000000">
            <w:pPr>
              <w:widowControl/>
              <w:jc w:val="center"/>
              <w:textAlignment w:val="center"/>
              <w:rPr>
                <w:b/>
                <w:bCs/>
                <w:szCs w:val="21"/>
              </w:rPr>
            </w:pPr>
            <w:r w:rsidRPr="000549B1">
              <w:rPr>
                <w:b/>
                <w:bCs/>
                <w:kern w:val="0"/>
                <w:szCs w:val="21"/>
                <w:lang w:bidi="ar"/>
              </w:rPr>
              <w:t>水质类别</w:t>
            </w:r>
          </w:p>
        </w:tc>
      </w:tr>
      <w:tr w:rsidR="000549B1" w:rsidRPr="000549B1" w14:paraId="07F347E6" w14:textId="77777777">
        <w:trPr>
          <w:trHeight w:val="300"/>
        </w:trPr>
        <w:tc>
          <w:tcPr>
            <w:tcW w:w="774" w:type="pct"/>
            <w:tcBorders>
              <w:top w:val="single" w:sz="4" w:space="0" w:color="000000"/>
              <w:left w:val="single" w:sz="4" w:space="0" w:color="000000"/>
              <w:bottom w:val="single" w:sz="4" w:space="0" w:color="000000"/>
              <w:right w:val="single" w:sz="4" w:space="0" w:color="000000"/>
            </w:tcBorders>
            <w:vAlign w:val="center"/>
          </w:tcPr>
          <w:p w14:paraId="665B18BB" w14:textId="77777777" w:rsidR="00054437" w:rsidRPr="000549B1" w:rsidRDefault="00000000">
            <w:pPr>
              <w:widowControl/>
              <w:jc w:val="center"/>
              <w:textAlignment w:val="center"/>
              <w:rPr>
                <w:b/>
                <w:bCs/>
                <w:szCs w:val="21"/>
              </w:rPr>
            </w:pPr>
            <w:r w:rsidRPr="000549B1">
              <w:rPr>
                <w:b/>
                <w:bCs/>
                <w:kern w:val="0"/>
                <w:szCs w:val="21"/>
                <w:lang w:bidi="ar"/>
              </w:rPr>
              <w:t>pH</w:t>
            </w:r>
          </w:p>
        </w:tc>
        <w:tc>
          <w:tcPr>
            <w:tcW w:w="628" w:type="pct"/>
            <w:tcBorders>
              <w:top w:val="single" w:sz="4" w:space="0" w:color="000000"/>
              <w:left w:val="single" w:sz="4" w:space="0" w:color="000000"/>
              <w:bottom w:val="single" w:sz="4" w:space="0" w:color="000000"/>
              <w:right w:val="single" w:sz="4" w:space="0" w:color="000000"/>
            </w:tcBorders>
            <w:vAlign w:val="center"/>
          </w:tcPr>
          <w:p w14:paraId="4FD0AF26" w14:textId="77777777" w:rsidR="00054437" w:rsidRPr="000549B1" w:rsidRDefault="00000000">
            <w:pPr>
              <w:widowControl/>
              <w:jc w:val="center"/>
              <w:textAlignment w:val="center"/>
              <w:rPr>
                <w:szCs w:val="21"/>
              </w:rPr>
            </w:pPr>
            <w:r w:rsidRPr="000549B1">
              <w:rPr>
                <w:kern w:val="0"/>
                <w:szCs w:val="21"/>
                <w:lang w:bidi="ar"/>
              </w:rPr>
              <w:t>8.1</w:t>
            </w:r>
          </w:p>
        </w:tc>
        <w:tc>
          <w:tcPr>
            <w:tcW w:w="415" w:type="pct"/>
            <w:tcBorders>
              <w:top w:val="single" w:sz="4" w:space="0" w:color="000000"/>
              <w:left w:val="single" w:sz="4" w:space="0" w:color="000000"/>
              <w:bottom w:val="single" w:sz="4" w:space="0" w:color="000000"/>
              <w:right w:val="single" w:sz="4" w:space="0" w:color="000000"/>
            </w:tcBorders>
          </w:tcPr>
          <w:p w14:paraId="13DC3041" w14:textId="77777777" w:rsidR="00054437" w:rsidRPr="000549B1" w:rsidRDefault="00000000">
            <w:pPr>
              <w:widowControl/>
              <w:jc w:val="center"/>
              <w:textAlignment w:val="top"/>
              <w:rPr>
                <w:szCs w:val="21"/>
              </w:rPr>
            </w:pPr>
            <w:r w:rsidRPr="000549B1">
              <w:rPr>
                <w:kern w:val="0"/>
                <w:szCs w:val="21"/>
                <w:lang w:bidi="ar"/>
              </w:rPr>
              <w:t>I</w:t>
            </w:r>
          </w:p>
        </w:tc>
        <w:tc>
          <w:tcPr>
            <w:tcW w:w="665" w:type="pct"/>
            <w:tcBorders>
              <w:top w:val="single" w:sz="4" w:space="0" w:color="000000"/>
              <w:left w:val="single" w:sz="4" w:space="0" w:color="000000"/>
              <w:bottom w:val="single" w:sz="4" w:space="0" w:color="000000"/>
              <w:right w:val="single" w:sz="4" w:space="0" w:color="000000"/>
            </w:tcBorders>
            <w:noWrap/>
            <w:vAlign w:val="center"/>
          </w:tcPr>
          <w:p w14:paraId="0133F33A" w14:textId="77777777" w:rsidR="00054437" w:rsidRPr="000549B1" w:rsidRDefault="00000000">
            <w:pPr>
              <w:widowControl/>
              <w:jc w:val="center"/>
              <w:textAlignment w:val="center"/>
              <w:rPr>
                <w:szCs w:val="21"/>
              </w:rPr>
            </w:pPr>
            <w:r w:rsidRPr="000549B1">
              <w:rPr>
                <w:kern w:val="0"/>
                <w:szCs w:val="21"/>
                <w:lang w:bidi="ar"/>
              </w:rPr>
              <w:t>8.37</w:t>
            </w:r>
          </w:p>
        </w:tc>
        <w:tc>
          <w:tcPr>
            <w:tcW w:w="415" w:type="pct"/>
            <w:tcBorders>
              <w:top w:val="single" w:sz="4" w:space="0" w:color="000000"/>
              <w:left w:val="single" w:sz="4" w:space="0" w:color="000000"/>
              <w:bottom w:val="single" w:sz="4" w:space="0" w:color="000000"/>
              <w:right w:val="single" w:sz="4" w:space="0" w:color="000000"/>
            </w:tcBorders>
          </w:tcPr>
          <w:p w14:paraId="4106A1BB" w14:textId="77777777" w:rsidR="00054437" w:rsidRPr="000549B1" w:rsidRDefault="00000000">
            <w:pPr>
              <w:widowControl/>
              <w:jc w:val="center"/>
              <w:textAlignment w:val="top"/>
              <w:rPr>
                <w:szCs w:val="21"/>
              </w:rPr>
            </w:pPr>
            <w:r w:rsidRPr="000549B1">
              <w:rPr>
                <w:kern w:val="0"/>
                <w:szCs w:val="21"/>
                <w:lang w:bidi="ar"/>
              </w:rPr>
              <w:t>I</w:t>
            </w:r>
          </w:p>
        </w:tc>
        <w:tc>
          <w:tcPr>
            <w:tcW w:w="625" w:type="pct"/>
            <w:tcBorders>
              <w:top w:val="single" w:sz="4" w:space="0" w:color="000000"/>
              <w:left w:val="single" w:sz="4" w:space="0" w:color="000000"/>
              <w:bottom w:val="single" w:sz="4" w:space="0" w:color="000000"/>
              <w:right w:val="single" w:sz="4" w:space="0" w:color="000000"/>
            </w:tcBorders>
            <w:vAlign w:val="center"/>
          </w:tcPr>
          <w:p w14:paraId="36775C7A" w14:textId="77777777" w:rsidR="00054437" w:rsidRPr="000549B1" w:rsidRDefault="00000000">
            <w:pPr>
              <w:widowControl/>
              <w:jc w:val="center"/>
              <w:textAlignment w:val="center"/>
              <w:rPr>
                <w:szCs w:val="21"/>
              </w:rPr>
            </w:pPr>
            <w:r w:rsidRPr="000549B1">
              <w:rPr>
                <w:kern w:val="0"/>
                <w:szCs w:val="21"/>
                <w:lang w:bidi="ar"/>
              </w:rPr>
              <w:t>8.1</w:t>
            </w:r>
          </w:p>
        </w:tc>
        <w:tc>
          <w:tcPr>
            <w:tcW w:w="408" w:type="pct"/>
            <w:tcBorders>
              <w:top w:val="single" w:sz="4" w:space="0" w:color="000000"/>
              <w:left w:val="single" w:sz="4" w:space="0" w:color="000000"/>
              <w:bottom w:val="single" w:sz="4" w:space="0" w:color="000000"/>
              <w:right w:val="single" w:sz="4" w:space="0" w:color="000000"/>
            </w:tcBorders>
            <w:vAlign w:val="center"/>
          </w:tcPr>
          <w:p w14:paraId="1C237596" w14:textId="77777777" w:rsidR="00054437" w:rsidRPr="000549B1" w:rsidRDefault="00000000">
            <w:pPr>
              <w:widowControl/>
              <w:jc w:val="center"/>
              <w:textAlignment w:val="center"/>
              <w:rPr>
                <w:szCs w:val="21"/>
              </w:rPr>
            </w:pPr>
            <w:r w:rsidRPr="000549B1">
              <w:rPr>
                <w:kern w:val="0"/>
                <w:szCs w:val="21"/>
                <w:lang w:bidi="ar"/>
              </w:rPr>
              <w:t>I</w:t>
            </w:r>
          </w:p>
        </w:tc>
        <w:tc>
          <w:tcPr>
            <w:tcW w:w="657" w:type="pct"/>
            <w:tcBorders>
              <w:top w:val="single" w:sz="4" w:space="0" w:color="000000"/>
              <w:left w:val="single" w:sz="4" w:space="0" w:color="000000"/>
              <w:bottom w:val="single" w:sz="4" w:space="0" w:color="000000"/>
              <w:right w:val="single" w:sz="4" w:space="0" w:color="000000"/>
            </w:tcBorders>
            <w:noWrap/>
            <w:vAlign w:val="center"/>
          </w:tcPr>
          <w:p w14:paraId="1762B6FD" w14:textId="77777777" w:rsidR="00054437" w:rsidRPr="000549B1" w:rsidRDefault="00000000">
            <w:pPr>
              <w:widowControl/>
              <w:jc w:val="center"/>
              <w:textAlignment w:val="center"/>
              <w:rPr>
                <w:szCs w:val="21"/>
              </w:rPr>
            </w:pPr>
            <w:r w:rsidRPr="000549B1">
              <w:rPr>
                <w:kern w:val="0"/>
                <w:szCs w:val="21"/>
                <w:lang w:bidi="ar"/>
              </w:rPr>
              <w:t>8.47</w:t>
            </w:r>
          </w:p>
        </w:tc>
        <w:tc>
          <w:tcPr>
            <w:tcW w:w="408" w:type="pct"/>
            <w:tcBorders>
              <w:top w:val="single" w:sz="4" w:space="0" w:color="000000"/>
              <w:left w:val="single" w:sz="4" w:space="0" w:color="000000"/>
              <w:bottom w:val="single" w:sz="4" w:space="0" w:color="000000"/>
              <w:right w:val="single" w:sz="4" w:space="0" w:color="000000"/>
            </w:tcBorders>
          </w:tcPr>
          <w:p w14:paraId="4112C3EE" w14:textId="77777777" w:rsidR="00054437" w:rsidRPr="000549B1" w:rsidRDefault="00000000">
            <w:pPr>
              <w:widowControl/>
              <w:jc w:val="center"/>
              <w:textAlignment w:val="top"/>
              <w:rPr>
                <w:szCs w:val="21"/>
              </w:rPr>
            </w:pPr>
            <w:r w:rsidRPr="000549B1">
              <w:rPr>
                <w:kern w:val="0"/>
                <w:szCs w:val="21"/>
                <w:lang w:bidi="ar"/>
              </w:rPr>
              <w:t>I</w:t>
            </w:r>
          </w:p>
        </w:tc>
      </w:tr>
      <w:tr w:rsidR="000549B1" w:rsidRPr="000549B1" w14:paraId="252931B8" w14:textId="77777777">
        <w:trPr>
          <w:trHeight w:val="300"/>
        </w:trPr>
        <w:tc>
          <w:tcPr>
            <w:tcW w:w="774" w:type="pct"/>
            <w:tcBorders>
              <w:top w:val="single" w:sz="4" w:space="0" w:color="000000"/>
              <w:left w:val="single" w:sz="4" w:space="0" w:color="000000"/>
              <w:bottom w:val="single" w:sz="4" w:space="0" w:color="000000"/>
              <w:right w:val="single" w:sz="4" w:space="0" w:color="000000"/>
            </w:tcBorders>
            <w:vAlign w:val="center"/>
          </w:tcPr>
          <w:p w14:paraId="1B19EC24" w14:textId="77777777" w:rsidR="00054437" w:rsidRPr="000549B1" w:rsidRDefault="00000000">
            <w:pPr>
              <w:widowControl/>
              <w:jc w:val="center"/>
              <w:textAlignment w:val="center"/>
              <w:rPr>
                <w:b/>
                <w:bCs/>
                <w:szCs w:val="21"/>
              </w:rPr>
            </w:pPr>
            <w:r w:rsidRPr="000549B1">
              <w:rPr>
                <w:b/>
                <w:bCs/>
                <w:kern w:val="0"/>
                <w:szCs w:val="21"/>
                <w:lang w:bidi="ar"/>
              </w:rPr>
              <w:t>水温</w:t>
            </w:r>
          </w:p>
        </w:tc>
        <w:tc>
          <w:tcPr>
            <w:tcW w:w="628" w:type="pct"/>
            <w:tcBorders>
              <w:top w:val="single" w:sz="4" w:space="0" w:color="000000"/>
              <w:left w:val="single" w:sz="4" w:space="0" w:color="000000"/>
              <w:bottom w:val="single" w:sz="4" w:space="0" w:color="000000"/>
              <w:right w:val="single" w:sz="4" w:space="0" w:color="000000"/>
            </w:tcBorders>
            <w:vAlign w:val="center"/>
          </w:tcPr>
          <w:p w14:paraId="4C84F3A6" w14:textId="77777777" w:rsidR="00054437" w:rsidRPr="000549B1" w:rsidRDefault="00000000">
            <w:pPr>
              <w:widowControl/>
              <w:jc w:val="center"/>
              <w:textAlignment w:val="center"/>
              <w:rPr>
                <w:szCs w:val="21"/>
              </w:rPr>
            </w:pPr>
            <w:r w:rsidRPr="000549B1">
              <w:rPr>
                <w:kern w:val="0"/>
                <w:szCs w:val="21"/>
                <w:lang w:bidi="ar"/>
              </w:rPr>
              <w:t>8.7</w:t>
            </w:r>
          </w:p>
        </w:tc>
        <w:tc>
          <w:tcPr>
            <w:tcW w:w="415" w:type="pct"/>
            <w:tcBorders>
              <w:top w:val="single" w:sz="4" w:space="0" w:color="000000"/>
              <w:left w:val="single" w:sz="4" w:space="0" w:color="000000"/>
              <w:bottom w:val="single" w:sz="4" w:space="0" w:color="000000"/>
              <w:right w:val="single" w:sz="4" w:space="0" w:color="000000"/>
            </w:tcBorders>
          </w:tcPr>
          <w:p w14:paraId="23840797" w14:textId="77777777" w:rsidR="00054437" w:rsidRPr="000549B1" w:rsidRDefault="00000000">
            <w:pPr>
              <w:widowControl/>
              <w:jc w:val="center"/>
              <w:textAlignment w:val="top"/>
              <w:rPr>
                <w:szCs w:val="21"/>
              </w:rPr>
            </w:pPr>
            <w:r w:rsidRPr="000549B1">
              <w:rPr>
                <w:kern w:val="0"/>
                <w:szCs w:val="21"/>
                <w:lang w:bidi="ar"/>
              </w:rPr>
              <w:t>I</w:t>
            </w:r>
          </w:p>
        </w:tc>
        <w:tc>
          <w:tcPr>
            <w:tcW w:w="665" w:type="pct"/>
            <w:tcBorders>
              <w:top w:val="single" w:sz="4" w:space="0" w:color="000000"/>
              <w:left w:val="single" w:sz="4" w:space="0" w:color="000000"/>
              <w:bottom w:val="single" w:sz="4" w:space="0" w:color="000000"/>
              <w:right w:val="single" w:sz="4" w:space="0" w:color="000000"/>
            </w:tcBorders>
            <w:noWrap/>
            <w:vAlign w:val="center"/>
          </w:tcPr>
          <w:p w14:paraId="1B23EEFE" w14:textId="77777777" w:rsidR="00054437" w:rsidRPr="000549B1" w:rsidRDefault="00000000">
            <w:pPr>
              <w:widowControl/>
              <w:jc w:val="center"/>
              <w:textAlignment w:val="center"/>
              <w:rPr>
                <w:szCs w:val="21"/>
              </w:rPr>
            </w:pPr>
            <w:r w:rsidRPr="000549B1">
              <w:rPr>
                <w:kern w:val="0"/>
                <w:szCs w:val="21"/>
                <w:lang w:bidi="ar"/>
              </w:rPr>
              <w:t>10.37</w:t>
            </w:r>
          </w:p>
        </w:tc>
        <w:tc>
          <w:tcPr>
            <w:tcW w:w="415" w:type="pct"/>
            <w:tcBorders>
              <w:top w:val="single" w:sz="4" w:space="0" w:color="000000"/>
              <w:left w:val="single" w:sz="4" w:space="0" w:color="000000"/>
              <w:bottom w:val="single" w:sz="4" w:space="0" w:color="000000"/>
              <w:right w:val="single" w:sz="4" w:space="0" w:color="000000"/>
            </w:tcBorders>
          </w:tcPr>
          <w:p w14:paraId="4C945685" w14:textId="77777777" w:rsidR="00054437" w:rsidRPr="000549B1" w:rsidRDefault="00000000">
            <w:pPr>
              <w:widowControl/>
              <w:jc w:val="center"/>
              <w:textAlignment w:val="top"/>
              <w:rPr>
                <w:szCs w:val="21"/>
              </w:rPr>
            </w:pPr>
            <w:r w:rsidRPr="000549B1">
              <w:rPr>
                <w:kern w:val="0"/>
                <w:szCs w:val="21"/>
                <w:lang w:bidi="ar"/>
              </w:rPr>
              <w:t>I</w:t>
            </w:r>
          </w:p>
        </w:tc>
        <w:tc>
          <w:tcPr>
            <w:tcW w:w="625" w:type="pct"/>
            <w:tcBorders>
              <w:top w:val="single" w:sz="4" w:space="0" w:color="000000"/>
              <w:left w:val="single" w:sz="4" w:space="0" w:color="000000"/>
              <w:bottom w:val="single" w:sz="4" w:space="0" w:color="000000"/>
              <w:right w:val="single" w:sz="4" w:space="0" w:color="000000"/>
            </w:tcBorders>
            <w:vAlign w:val="center"/>
          </w:tcPr>
          <w:p w14:paraId="71C81AC2" w14:textId="77777777" w:rsidR="00054437" w:rsidRPr="000549B1" w:rsidRDefault="00000000">
            <w:pPr>
              <w:widowControl/>
              <w:jc w:val="center"/>
              <w:textAlignment w:val="center"/>
              <w:rPr>
                <w:szCs w:val="21"/>
              </w:rPr>
            </w:pPr>
            <w:r w:rsidRPr="000549B1">
              <w:rPr>
                <w:kern w:val="0"/>
                <w:szCs w:val="21"/>
                <w:lang w:bidi="ar"/>
              </w:rPr>
              <w:t>6.3</w:t>
            </w:r>
          </w:p>
        </w:tc>
        <w:tc>
          <w:tcPr>
            <w:tcW w:w="408" w:type="pct"/>
            <w:tcBorders>
              <w:top w:val="single" w:sz="4" w:space="0" w:color="000000"/>
              <w:left w:val="single" w:sz="4" w:space="0" w:color="000000"/>
              <w:bottom w:val="single" w:sz="4" w:space="0" w:color="000000"/>
              <w:right w:val="single" w:sz="4" w:space="0" w:color="000000"/>
            </w:tcBorders>
            <w:vAlign w:val="center"/>
          </w:tcPr>
          <w:p w14:paraId="24B77AA4" w14:textId="77777777" w:rsidR="00054437" w:rsidRPr="000549B1" w:rsidRDefault="00000000">
            <w:pPr>
              <w:widowControl/>
              <w:jc w:val="center"/>
              <w:textAlignment w:val="center"/>
              <w:rPr>
                <w:szCs w:val="21"/>
              </w:rPr>
            </w:pPr>
            <w:r w:rsidRPr="000549B1">
              <w:rPr>
                <w:kern w:val="0"/>
                <w:szCs w:val="21"/>
                <w:lang w:bidi="ar"/>
              </w:rPr>
              <w:t>I</w:t>
            </w:r>
          </w:p>
        </w:tc>
        <w:tc>
          <w:tcPr>
            <w:tcW w:w="657" w:type="pct"/>
            <w:tcBorders>
              <w:top w:val="single" w:sz="4" w:space="0" w:color="000000"/>
              <w:left w:val="single" w:sz="4" w:space="0" w:color="000000"/>
              <w:bottom w:val="single" w:sz="4" w:space="0" w:color="000000"/>
              <w:right w:val="single" w:sz="4" w:space="0" w:color="000000"/>
            </w:tcBorders>
            <w:noWrap/>
            <w:vAlign w:val="center"/>
          </w:tcPr>
          <w:p w14:paraId="2DE8AA4A" w14:textId="77777777" w:rsidR="00054437" w:rsidRPr="000549B1" w:rsidRDefault="00000000">
            <w:pPr>
              <w:widowControl/>
              <w:jc w:val="center"/>
              <w:textAlignment w:val="center"/>
              <w:rPr>
                <w:szCs w:val="21"/>
              </w:rPr>
            </w:pPr>
            <w:r w:rsidRPr="000549B1">
              <w:rPr>
                <w:kern w:val="0"/>
                <w:szCs w:val="21"/>
                <w:lang w:bidi="ar"/>
              </w:rPr>
              <w:t>13.27</w:t>
            </w:r>
          </w:p>
        </w:tc>
        <w:tc>
          <w:tcPr>
            <w:tcW w:w="408" w:type="pct"/>
            <w:tcBorders>
              <w:top w:val="single" w:sz="4" w:space="0" w:color="000000"/>
              <w:left w:val="single" w:sz="4" w:space="0" w:color="000000"/>
              <w:bottom w:val="single" w:sz="4" w:space="0" w:color="000000"/>
              <w:right w:val="single" w:sz="4" w:space="0" w:color="000000"/>
            </w:tcBorders>
          </w:tcPr>
          <w:p w14:paraId="51D9A203" w14:textId="77777777" w:rsidR="00054437" w:rsidRPr="000549B1" w:rsidRDefault="00000000">
            <w:pPr>
              <w:widowControl/>
              <w:jc w:val="center"/>
              <w:textAlignment w:val="top"/>
              <w:rPr>
                <w:szCs w:val="21"/>
              </w:rPr>
            </w:pPr>
            <w:r w:rsidRPr="000549B1">
              <w:rPr>
                <w:kern w:val="0"/>
                <w:szCs w:val="21"/>
                <w:lang w:bidi="ar"/>
              </w:rPr>
              <w:t>I</w:t>
            </w:r>
          </w:p>
        </w:tc>
      </w:tr>
      <w:tr w:rsidR="000549B1" w:rsidRPr="000549B1" w14:paraId="76AA3D56" w14:textId="77777777">
        <w:trPr>
          <w:trHeight w:val="300"/>
        </w:trPr>
        <w:tc>
          <w:tcPr>
            <w:tcW w:w="774" w:type="pct"/>
            <w:tcBorders>
              <w:top w:val="single" w:sz="4" w:space="0" w:color="000000"/>
              <w:left w:val="single" w:sz="4" w:space="0" w:color="000000"/>
              <w:bottom w:val="single" w:sz="4" w:space="0" w:color="000000"/>
              <w:right w:val="single" w:sz="4" w:space="0" w:color="000000"/>
            </w:tcBorders>
            <w:vAlign w:val="center"/>
          </w:tcPr>
          <w:p w14:paraId="38653783" w14:textId="77777777" w:rsidR="00054437" w:rsidRPr="000549B1" w:rsidRDefault="00000000">
            <w:pPr>
              <w:widowControl/>
              <w:jc w:val="center"/>
              <w:textAlignment w:val="center"/>
              <w:rPr>
                <w:b/>
                <w:bCs/>
                <w:szCs w:val="21"/>
              </w:rPr>
            </w:pPr>
            <w:r w:rsidRPr="000549B1">
              <w:rPr>
                <w:b/>
                <w:bCs/>
                <w:kern w:val="0"/>
                <w:szCs w:val="21"/>
                <w:lang w:bidi="ar"/>
              </w:rPr>
              <w:t>溶解氧</w:t>
            </w:r>
          </w:p>
        </w:tc>
        <w:tc>
          <w:tcPr>
            <w:tcW w:w="628" w:type="pct"/>
            <w:tcBorders>
              <w:top w:val="single" w:sz="4" w:space="0" w:color="000000"/>
              <w:left w:val="single" w:sz="4" w:space="0" w:color="000000"/>
              <w:bottom w:val="single" w:sz="4" w:space="0" w:color="000000"/>
              <w:right w:val="single" w:sz="4" w:space="0" w:color="000000"/>
            </w:tcBorders>
            <w:vAlign w:val="center"/>
          </w:tcPr>
          <w:p w14:paraId="1E0F6400" w14:textId="77777777" w:rsidR="00054437" w:rsidRPr="000549B1" w:rsidRDefault="00000000">
            <w:pPr>
              <w:widowControl/>
              <w:jc w:val="center"/>
              <w:textAlignment w:val="center"/>
              <w:rPr>
                <w:szCs w:val="21"/>
              </w:rPr>
            </w:pPr>
            <w:r w:rsidRPr="000549B1">
              <w:rPr>
                <w:kern w:val="0"/>
                <w:szCs w:val="21"/>
                <w:lang w:bidi="ar"/>
              </w:rPr>
              <w:t>7.34</w:t>
            </w:r>
          </w:p>
        </w:tc>
        <w:tc>
          <w:tcPr>
            <w:tcW w:w="415" w:type="pct"/>
            <w:tcBorders>
              <w:top w:val="single" w:sz="4" w:space="0" w:color="000000"/>
              <w:left w:val="single" w:sz="4" w:space="0" w:color="000000"/>
              <w:bottom w:val="single" w:sz="4" w:space="0" w:color="000000"/>
              <w:right w:val="single" w:sz="4" w:space="0" w:color="000000"/>
            </w:tcBorders>
            <w:vAlign w:val="center"/>
          </w:tcPr>
          <w:p w14:paraId="4F7C0B72" w14:textId="77777777" w:rsidR="00054437" w:rsidRPr="000549B1" w:rsidRDefault="00000000">
            <w:pPr>
              <w:widowControl/>
              <w:jc w:val="center"/>
              <w:textAlignment w:val="center"/>
              <w:rPr>
                <w:szCs w:val="21"/>
              </w:rPr>
            </w:pPr>
            <w:r w:rsidRPr="000549B1">
              <w:rPr>
                <w:kern w:val="0"/>
                <w:szCs w:val="21"/>
                <w:lang w:bidi="ar"/>
              </w:rPr>
              <w:t>Ⅱ</w:t>
            </w:r>
          </w:p>
        </w:tc>
        <w:tc>
          <w:tcPr>
            <w:tcW w:w="665" w:type="pct"/>
            <w:tcBorders>
              <w:top w:val="single" w:sz="4" w:space="0" w:color="000000"/>
              <w:left w:val="single" w:sz="4" w:space="0" w:color="000000"/>
              <w:bottom w:val="single" w:sz="4" w:space="0" w:color="000000"/>
              <w:right w:val="single" w:sz="4" w:space="0" w:color="000000"/>
            </w:tcBorders>
            <w:noWrap/>
            <w:vAlign w:val="center"/>
          </w:tcPr>
          <w:p w14:paraId="64CFFE23" w14:textId="77777777" w:rsidR="00054437" w:rsidRPr="000549B1" w:rsidRDefault="00000000">
            <w:pPr>
              <w:widowControl/>
              <w:jc w:val="center"/>
              <w:textAlignment w:val="center"/>
              <w:rPr>
                <w:szCs w:val="21"/>
              </w:rPr>
            </w:pPr>
            <w:r w:rsidRPr="000549B1">
              <w:rPr>
                <w:kern w:val="0"/>
                <w:szCs w:val="21"/>
                <w:lang w:bidi="ar"/>
              </w:rPr>
              <w:t>7.38</w:t>
            </w:r>
          </w:p>
        </w:tc>
        <w:tc>
          <w:tcPr>
            <w:tcW w:w="415" w:type="pct"/>
            <w:tcBorders>
              <w:top w:val="single" w:sz="4" w:space="0" w:color="000000"/>
              <w:left w:val="single" w:sz="4" w:space="0" w:color="000000"/>
              <w:bottom w:val="single" w:sz="4" w:space="0" w:color="000000"/>
              <w:right w:val="single" w:sz="4" w:space="0" w:color="000000"/>
            </w:tcBorders>
            <w:vAlign w:val="center"/>
          </w:tcPr>
          <w:p w14:paraId="1A5569DF" w14:textId="77777777" w:rsidR="00054437" w:rsidRPr="000549B1" w:rsidRDefault="00000000">
            <w:pPr>
              <w:widowControl/>
              <w:jc w:val="center"/>
              <w:textAlignment w:val="center"/>
              <w:rPr>
                <w:szCs w:val="21"/>
              </w:rPr>
            </w:pPr>
            <w:r w:rsidRPr="000549B1">
              <w:rPr>
                <w:kern w:val="0"/>
                <w:szCs w:val="21"/>
                <w:lang w:bidi="ar"/>
              </w:rPr>
              <w:t>Ⅱ</w:t>
            </w:r>
          </w:p>
        </w:tc>
        <w:tc>
          <w:tcPr>
            <w:tcW w:w="625" w:type="pct"/>
            <w:tcBorders>
              <w:top w:val="single" w:sz="4" w:space="0" w:color="000000"/>
              <w:left w:val="single" w:sz="4" w:space="0" w:color="000000"/>
              <w:bottom w:val="single" w:sz="4" w:space="0" w:color="000000"/>
              <w:right w:val="single" w:sz="4" w:space="0" w:color="000000"/>
            </w:tcBorders>
            <w:vAlign w:val="center"/>
          </w:tcPr>
          <w:p w14:paraId="59CB4BBA" w14:textId="77777777" w:rsidR="00054437" w:rsidRPr="000549B1" w:rsidRDefault="00000000">
            <w:pPr>
              <w:widowControl/>
              <w:jc w:val="center"/>
              <w:textAlignment w:val="center"/>
              <w:rPr>
                <w:szCs w:val="21"/>
              </w:rPr>
            </w:pPr>
            <w:r w:rsidRPr="000549B1">
              <w:rPr>
                <w:kern w:val="0"/>
                <w:szCs w:val="21"/>
                <w:lang w:bidi="ar"/>
              </w:rPr>
              <w:t>7.51</w:t>
            </w:r>
          </w:p>
        </w:tc>
        <w:tc>
          <w:tcPr>
            <w:tcW w:w="408" w:type="pct"/>
            <w:tcBorders>
              <w:top w:val="single" w:sz="4" w:space="0" w:color="000000"/>
              <w:left w:val="single" w:sz="4" w:space="0" w:color="000000"/>
              <w:bottom w:val="single" w:sz="4" w:space="0" w:color="000000"/>
              <w:right w:val="single" w:sz="4" w:space="0" w:color="000000"/>
            </w:tcBorders>
            <w:vAlign w:val="center"/>
          </w:tcPr>
          <w:p w14:paraId="672515DB" w14:textId="77777777" w:rsidR="00054437" w:rsidRPr="000549B1" w:rsidRDefault="00000000">
            <w:pPr>
              <w:widowControl/>
              <w:jc w:val="center"/>
              <w:textAlignment w:val="center"/>
              <w:rPr>
                <w:szCs w:val="21"/>
              </w:rPr>
            </w:pPr>
            <w:r w:rsidRPr="000549B1">
              <w:rPr>
                <w:kern w:val="0"/>
                <w:szCs w:val="21"/>
                <w:lang w:bidi="ar"/>
              </w:rPr>
              <w:t>I</w:t>
            </w:r>
          </w:p>
        </w:tc>
        <w:tc>
          <w:tcPr>
            <w:tcW w:w="657" w:type="pct"/>
            <w:tcBorders>
              <w:top w:val="single" w:sz="4" w:space="0" w:color="000000"/>
              <w:left w:val="single" w:sz="4" w:space="0" w:color="000000"/>
              <w:bottom w:val="single" w:sz="4" w:space="0" w:color="000000"/>
              <w:right w:val="single" w:sz="4" w:space="0" w:color="000000"/>
            </w:tcBorders>
            <w:noWrap/>
            <w:vAlign w:val="center"/>
          </w:tcPr>
          <w:p w14:paraId="14C452FF" w14:textId="77777777" w:rsidR="00054437" w:rsidRPr="000549B1" w:rsidRDefault="00000000">
            <w:pPr>
              <w:widowControl/>
              <w:jc w:val="center"/>
              <w:textAlignment w:val="center"/>
              <w:rPr>
                <w:szCs w:val="21"/>
              </w:rPr>
            </w:pPr>
            <w:r w:rsidRPr="000549B1">
              <w:rPr>
                <w:kern w:val="0"/>
                <w:szCs w:val="21"/>
                <w:lang w:bidi="ar"/>
              </w:rPr>
              <w:t>5.59</w:t>
            </w:r>
          </w:p>
        </w:tc>
        <w:tc>
          <w:tcPr>
            <w:tcW w:w="408" w:type="pct"/>
            <w:tcBorders>
              <w:top w:val="single" w:sz="4" w:space="0" w:color="000000"/>
              <w:left w:val="single" w:sz="4" w:space="0" w:color="000000"/>
              <w:bottom w:val="single" w:sz="4" w:space="0" w:color="000000"/>
              <w:right w:val="single" w:sz="4" w:space="0" w:color="000000"/>
            </w:tcBorders>
          </w:tcPr>
          <w:p w14:paraId="4AB0AB58" w14:textId="77777777" w:rsidR="00054437" w:rsidRPr="000549B1" w:rsidRDefault="00000000">
            <w:pPr>
              <w:widowControl/>
              <w:jc w:val="center"/>
              <w:textAlignment w:val="top"/>
              <w:rPr>
                <w:szCs w:val="21"/>
              </w:rPr>
            </w:pPr>
            <w:r w:rsidRPr="000549B1">
              <w:rPr>
                <w:rFonts w:eastAsia="仿宋"/>
                <w:kern w:val="0"/>
                <w:szCs w:val="21"/>
                <w:lang w:bidi="ar"/>
              </w:rPr>
              <w:t>Ш</w:t>
            </w:r>
          </w:p>
        </w:tc>
      </w:tr>
      <w:tr w:rsidR="000549B1" w:rsidRPr="000549B1" w14:paraId="1884D288" w14:textId="77777777">
        <w:trPr>
          <w:trHeight w:val="300"/>
        </w:trPr>
        <w:tc>
          <w:tcPr>
            <w:tcW w:w="774" w:type="pct"/>
            <w:tcBorders>
              <w:top w:val="single" w:sz="4" w:space="0" w:color="000000"/>
              <w:left w:val="single" w:sz="4" w:space="0" w:color="000000"/>
              <w:bottom w:val="single" w:sz="4" w:space="0" w:color="000000"/>
              <w:right w:val="single" w:sz="4" w:space="0" w:color="000000"/>
            </w:tcBorders>
            <w:vAlign w:val="center"/>
          </w:tcPr>
          <w:p w14:paraId="7BFFFB6F" w14:textId="77777777" w:rsidR="00054437" w:rsidRPr="000549B1" w:rsidRDefault="00000000">
            <w:pPr>
              <w:widowControl/>
              <w:jc w:val="center"/>
              <w:textAlignment w:val="center"/>
              <w:rPr>
                <w:b/>
                <w:bCs/>
                <w:szCs w:val="21"/>
              </w:rPr>
            </w:pPr>
            <w:r w:rsidRPr="000549B1">
              <w:rPr>
                <w:b/>
                <w:bCs/>
                <w:kern w:val="0"/>
                <w:szCs w:val="21"/>
                <w:lang w:bidi="ar"/>
              </w:rPr>
              <w:t>COD</w:t>
            </w:r>
          </w:p>
        </w:tc>
        <w:tc>
          <w:tcPr>
            <w:tcW w:w="628" w:type="pct"/>
            <w:tcBorders>
              <w:top w:val="single" w:sz="4" w:space="0" w:color="000000"/>
              <w:left w:val="single" w:sz="4" w:space="0" w:color="000000"/>
              <w:bottom w:val="single" w:sz="4" w:space="0" w:color="000000"/>
              <w:right w:val="single" w:sz="4" w:space="0" w:color="000000"/>
            </w:tcBorders>
            <w:vAlign w:val="center"/>
          </w:tcPr>
          <w:p w14:paraId="265DC072" w14:textId="77777777" w:rsidR="00054437" w:rsidRPr="000549B1" w:rsidRDefault="00000000">
            <w:pPr>
              <w:widowControl/>
              <w:jc w:val="center"/>
              <w:textAlignment w:val="center"/>
              <w:rPr>
                <w:szCs w:val="21"/>
              </w:rPr>
            </w:pPr>
            <w:r w:rsidRPr="000549B1">
              <w:rPr>
                <w:kern w:val="0"/>
                <w:szCs w:val="21"/>
                <w:lang w:bidi="ar"/>
              </w:rPr>
              <w:t>6</w:t>
            </w:r>
          </w:p>
        </w:tc>
        <w:tc>
          <w:tcPr>
            <w:tcW w:w="415" w:type="pct"/>
            <w:tcBorders>
              <w:top w:val="single" w:sz="4" w:space="0" w:color="000000"/>
              <w:left w:val="single" w:sz="4" w:space="0" w:color="000000"/>
              <w:bottom w:val="single" w:sz="4" w:space="0" w:color="000000"/>
              <w:right w:val="single" w:sz="4" w:space="0" w:color="000000"/>
            </w:tcBorders>
          </w:tcPr>
          <w:p w14:paraId="75AC9746" w14:textId="77777777" w:rsidR="00054437" w:rsidRPr="000549B1" w:rsidRDefault="00000000">
            <w:pPr>
              <w:widowControl/>
              <w:jc w:val="center"/>
              <w:textAlignment w:val="top"/>
              <w:rPr>
                <w:szCs w:val="21"/>
              </w:rPr>
            </w:pPr>
            <w:r w:rsidRPr="000549B1">
              <w:rPr>
                <w:kern w:val="0"/>
                <w:szCs w:val="21"/>
                <w:lang w:bidi="ar"/>
              </w:rPr>
              <w:t>I</w:t>
            </w:r>
          </w:p>
        </w:tc>
        <w:tc>
          <w:tcPr>
            <w:tcW w:w="665" w:type="pct"/>
            <w:tcBorders>
              <w:top w:val="single" w:sz="4" w:space="0" w:color="000000"/>
              <w:left w:val="single" w:sz="4" w:space="0" w:color="000000"/>
              <w:bottom w:val="single" w:sz="4" w:space="0" w:color="000000"/>
              <w:right w:val="single" w:sz="4" w:space="0" w:color="000000"/>
            </w:tcBorders>
            <w:noWrap/>
            <w:vAlign w:val="center"/>
          </w:tcPr>
          <w:p w14:paraId="79344BAB" w14:textId="77777777" w:rsidR="00054437" w:rsidRPr="000549B1" w:rsidRDefault="00000000">
            <w:pPr>
              <w:widowControl/>
              <w:jc w:val="center"/>
              <w:textAlignment w:val="center"/>
              <w:rPr>
                <w:szCs w:val="21"/>
              </w:rPr>
            </w:pPr>
            <w:r w:rsidRPr="000549B1">
              <w:rPr>
                <w:kern w:val="0"/>
                <w:szCs w:val="21"/>
                <w:lang w:bidi="ar"/>
              </w:rPr>
              <w:t>5.00</w:t>
            </w:r>
          </w:p>
        </w:tc>
        <w:tc>
          <w:tcPr>
            <w:tcW w:w="415" w:type="pct"/>
            <w:tcBorders>
              <w:top w:val="single" w:sz="4" w:space="0" w:color="000000"/>
              <w:left w:val="single" w:sz="4" w:space="0" w:color="000000"/>
              <w:bottom w:val="single" w:sz="4" w:space="0" w:color="000000"/>
              <w:right w:val="single" w:sz="4" w:space="0" w:color="000000"/>
            </w:tcBorders>
          </w:tcPr>
          <w:p w14:paraId="6647C70B" w14:textId="77777777" w:rsidR="00054437" w:rsidRPr="000549B1" w:rsidRDefault="00000000">
            <w:pPr>
              <w:widowControl/>
              <w:jc w:val="center"/>
              <w:textAlignment w:val="top"/>
              <w:rPr>
                <w:szCs w:val="21"/>
              </w:rPr>
            </w:pPr>
            <w:r w:rsidRPr="000549B1">
              <w:rPr>
                <w:kern w:val="0"/>
                <w:szCs w:val="21"/>
                <w:lang w:bidi="ar"/>
              </w:rPr>
              <w:t>I</w:t>
            </w:r>
          </w:p>
        </w:tc>
        <w:tc>
          <w:tcPr>
            <w:tcW w:w="625" w:type="pct"/>
            <w:tcBorders>
              <w:top w:val="single" w:sz="4" w:space="0" w:color="000000"/>
              <w:left w:val="single" w:sz="4" w:space="0" w:color="000000"/>
              <w:bottom w:val="single" w:sz="4" w:space="0" w:color="000000"/>
              <w:right w:val="single" w:sz="4" w:space="0" w:color="000000"/>
            </w:tcBorders>
            <w:vAlign w:val="center"/>
          </w:tcPr>
          <w:p w14:paraId="6AABEECC" w14:textId="77777777" w:rsidR="00054437" w:rsidRPr="000549B1" w:rsidRDefault="00000000">
            <w:pPr>
              <w:widowControl/>
              <w:jc w:val="center"/>
              <w:textAlignment w:val="center"/>
              <w:rPr>
                <w:szCs w:val="21"/>
              </w:rPr>
            </w:pPr>
            <w:r w:rsidRPr="000549B1">
              <w:rPr>
                <w:kern w:val="0"/>
                <w:szCs w:val="21"/>
                <w:lang w:bidi="ar"/>
              </w:rPr>
              <w:t>6.33</w:t>
            </w:r>
          </w:p>
        </w:tc>
        <w:tc>
          <w:tcPr>
            <w:tcW w:w="408" w:type="pct"/>
            <w:tcBorders>
              <w:top w:val="single" w:sz="4" w:space="0" w:color="000000"/>
              <w:left w:val="single" w:sz="4" w:space="0" w:color="000000"/>
              <w:bottom w:val="single" w:sz="4" w:space="0" w:color="000000"/>
              <w:right w:val="single" w:sz="4" w:space="0" w:color="000000"/>
            </w:tcBorders>
            <w:vAlign w:val="center"/>
          </w:tcPr>
          <w:p w14:paraId="60F50756" w14:textId="77777777" w:rsidR="00054437" w:rsidRPr="000549B1" w:rsidRDefault="00000000">
            <w:pPr>
              <w:widowControl/>
              <w:jc w:val="center"/>
              <w:textAlignment w:val="center"/>
              <w:rPr>
                <w:szCs w:val="21"/>
              </w:rPr>
            </w:pPr>
            <w:r w:rsidRPr="000549B1">
              <w:rPr>
                <w:kern w:val="0"/>
                <w:szCs w:val="21"/>
                <w:lang w:bidi="ar"/>
              </w:rPr>
              <w:t>I</w:t>
            </w:r>
          </w:p>
        </w:tc>
        <w:tc>
          <w:tcPr>
            <w:tcW w:w="657" w:type="pct"/>
            <w:tcBorders>
              <w:top w:val="single" w:sz="4" w:space="0" w:color="000000"/>
              <w:left w:val="single" w:sz="4" w:space="0" w:color="000000"/>
              <w:bottom w:val="single" w:sz="4" w:space="0" w:color="000000"/>
              <w:right w:val="single" w:sz="4" w:space="0" w:color="000000"/>
            </w:tcBorders>
            <w:noWrap/>
            <w:vAlign w:val="center"/>
          </w:tcPr>
          <w:p w14:paraId="3327586B" w14:textId="77777777" w:rsidR="00054437" w:rsidRPr="000549B1" w:rsidRDefault="00000000">
            <w:pPr>
              <w:widowControl/>
              <w:jc w:val="center"/>
              <w:textAlignment w:val="center"/>
              <w:rPr>
                <w:szCs w:val="21"/>
              </w:rPr>
            </w:pPr>
            <w:r w:rsidRPr="000549B1">
              <w:rPr>
                <w:kern w:val="0"/>
                <w:szCs w:val="21"/>
                <w:lang w:bidi="ar"/>
              </w:rPr>
              <w:t>8.67</w:t>
            </w:r>
          </w:p>
        </w:tc>
        <w:tc>
          <w:tcPr>
            <w:tcW w:w="408" w:type="pct"/>
            <w:tcBorders>
              <w:top w:val="single" w:sz="4" w:space="0" w:color="000000"/>
              <w:left w:val="single" w:sz="4" w:space="0" w:color="000000"/>
              <w:bottom w:val="single" w:sz="4" w:space="0" w:color="000000"/>
              <w:right w:val="single" w:sz="4" w:space="0" w:color="000000"/>
            </w:tcBorders>
          </w:tcPr>
          <w:p w14:paraId="0777C31D" w14:textId="77777777" w:rsidR="00054437" w:rsidRPr="000549B1" w:rsidRDefault="00000000">
            <w:pPr>
              <w:widowControl/>
              <w:jc w:val="center"/>
              <w:textAlignment w:val="top"/>
              <w:rPr>
                <w:szCs w:val="21"/>
              </w:rPr>
            </w:pPr>
            <w:r w:rsidRPr="000549B1">
              <w:rPr>
                <w:kern w:val="0"/>
                <w:szCs w:val="21"/>
                <w:lang w:bidi="ar"/>
              </w:rPr>
              <w:t>I</w:t>
            </w:r>
          </w:p>
        </w:tc>
      </w:tr>
      <w:tr w:rsidR="000549B1" w:rsidRPr="000549B1" w14:paraId="509412EB" w14:textId="77777777">
        <w:trPr>
          <w:trHeight w:val="330"/>
        </w:trPr>
        <w:tc>
          <w:tcPr>
            <w:tcW w:w="774" w:type="pct"/>
            <w:tcBorders>
              <w:top w:val="single" w:sz="4" w:space="0" w:color="000000"/>
              <w:left w:val="single" w:sz="4" w:space="0" w:color="000000"/>
              <w:bottom w:val="single" w:sz="4" w:space="0" w:color="000000"/>
              <w:right w:val="single" w:sz="4" w:space="0" w:color="000000"/>
            </w:tcBorders>
            <w:vAlign w:val="center"/>
          </w:tcPr>
          <w:p w14:paraId="3A8D5837" w14:textId="77777777" w:rsidR="00054437" w:rsidRPr="000549B1" w:rsidRDefault="00000000">
            <w:pPr>
              <w:widowControl/>
              <w:jc w:val="center"/>
              <w:textAlignment w:val="center"/>
              <w:rPr>
                <w:b/>
                <w:bCs/>
                <w:szCs w:val="21"/>
              </w:rPr>
            </w:pPr>
            <w:r w:rsidRPr="000549B1">
              <w:rPr>
                <w:b/>
                <w:bCs/>
                <w:kern w:val="0"/>
                <w:szCs w:val="21"/>
                <w:lang w:bidi="ar"/>
              </w:rPr>
              <w:t>BOD</w:t>
            </w:r>
            <w:r w:rsidRPr="000549B1">
              <w:rPr>
                <w:rStyle w:val="font101"/>
                <w:color w:val="auto"/>
                <w:szCs w:val="21"/>
                <w:lang w:bidi="ar"/>
              </w:rPr>
              <w:t>5</w:t>
            </w:r>
          </w:p>
        </w:tc>
        <w:tc>
          <w:tcPr>
            <w:tcW w:w="628" w:type="pct"/>
            <w:tcBorders>
              <w:top w:val="single" w:sz="4" w:space="0" w:color="000000"/>
              <w:left w:val="single" w:sz="4" w:space="0" w:color="000000"/>
              <w:bottom w:val="single" w:sz="4" w:space="0" w:color="000000"/>
              <w:right w:val="single" w:sz="4" w:space="0" w:color="000000"/>
            </w:tcBorders>
            <w:vAlign w:val="center"/>
          </w:tcPr>
          <w:p w14:paraId="5B7E0148" w14:textId="77777777" w:rsidR="00054437" w:rsidRPr="000549B1" w:rsidRDefault="00000000">
            <w:pPr>
              <w:widowControl/>
              <w:jc w:val="center"/>
              <w:textAlignment w:val="center"/>
              <w:rPr>
                <w:szCs w:val="21"/>
              </w:rPr>
            </w:pPr>
            <w:r w:rsidRPr="000549B1">
              <w:rPr>
                <w:kern w:val="0"/>
                <w:szCs w:val="21"/>
                <w:lang w:bidi="ar"/>
              </w:rPr>
              <w:t>1.3</w:t>
            </w:r>
          </w:p>
        </w:tc>
        <w:tc>
          <w:tcPr>
            <w:tcW w:w="415" w:type="pct"/>
            <w:tcBorders>
              <w:top w:val="single" w:sz="4" w:space="0" w:color="000000"/>
              <w:left w:val="single" w:sz="4" w:space="0" w:color="000000"/>
              <w:bottom w:val="single" w:sz="4" w:space="0" w:color="000000"/>
              <w:right w:val="single" w:sz="4" w:space="0" w:color="000000"/>
            </w:tcBorders>
          </w:tcPr>
          <w:p w14:paraId="0C04160E" w14:textId="77777777" w:rsidR="00054437" w:rsidRPr="000549B1" w:rsidRDefault="00000000">
            <w:pPr>
              <w:widowControl/>
              <w:jc w:val="center"/>
              <w:textAlignment w:val="top"/>
              <w:rPr>
                <w:szCs w:val="21"/>
              </w:rPr>
            </w:pPr>
            <w:r w:rsidRPr="000549B1">
              <w:rPr>
                <w:kern w:val="0"/>
                <w:szCs w:val="21"/>
                <w:lang w:bidi="ar"/>
              </w:rPr>
              <w:t>I</w:t>
            </w:r>
          </w:p>
        </w:tc>
        <w:tc>
          <w:tcPr>
            <w:tcW w:w="665" w:type="pct"/>
            <w:tcBorders>
              <w:top w:val="single" w:sz="4" w:space="0" w:color="000000"/>
              <w:left w:val="single" w:sz="4" w:space="0" w:color="000000"/>
              <w:bottom w:val="single" w:sz="4" w:space="0" w:color="000000"/>
              <w:right w:val="single" w:sz="4" w:space="0" w:color="000000"/>
            </w:tcBorders>
            <w:noWrap/>
            <w:vAlign w:val="center"/>
          </w:tcPr>
          <w:p w14:paraId="13CEC3F9" w14:textId="77777777" w:rsidR="00054437" w:rsidRPr="000549B1" w:rsidRDefault="00000000">
            <w:pPr>
              <w:widowControl/>
              <w:jc w:val="center"/>
              <w:textAlignment w:val="center"/>
              <w:rPr>
                <w:szCs w:val="21"/>
              </w:rPr>
            </w:pPr>
            <w:r w:rsidRPr="000549B1">
              <w:rPr>
                <w:kern w:val="0"/>
                <w:szCs w:val="21"/>
                <w:lang w:bidi="ar"/>
              </w:rPr>
              <w:t>0.80</w:t>
            </w:r>
          </w:p>
        </w:tc>
        <w:tc>
          <w:tcPr>
            <w:tcW w:w="415" w:type="pct"/>
            <w:tcBorders>
              <w:top w:val="single" w:sz="4" w:space="0" w:color="000000"/>
              <w:left w:val="single" w:sz="4" w:space="0" w:color="000000"/>
              <w:bottom w:val="single" w:sz="4" w:space="0" w:color="000000"/>
              <w:right w:val="single" w:sz="4" w:space="0" w:color="000000"/>
            </w:tcBorders>
          </w:tcPr>
          <w:p w14:paraId="7E40D35D" w14:textId="77777777" w:rsidR="00054437" w:rsidRPr="000549B1" w:rsidRDefault="00000000">
            <w:pPr>
              <w:widowControl/>
              <w:jc w:val="center"/>
              <w:textAlignment w:val="top"/>
              <w:rPr>
                <w:szCs w:val="21"/>
              </w:rPr>
            </w:pPr>
            <w:r w:rsidRPr="000549B1">
              <w:rPr>
                <w:kern w:val="0"/>
                <w:szCs w:val="21"/>
                <w:lang w:bidi="ar"/>
              </w:rPr>
              <w:t>I</w:t>
            </w:r>
          </w:p>
        </w:tc>
        <w:tc>
          <w:tcPr>
            <w:tcW w:w="625" w:type="pct"/>
            <w:tcBorders>
              <w:top w:val="single" w:sz="4" w:space="0" w:color="000000"/>
              <w:left w:val="single" w:sz="4" w:space="0" w:color="000000"/>
              <w:bottom w:val="single" w:sz="4" w:space="0" w:color="000000"/>
              <w:right w:val="single" w:sz="4" w:space="0" w:color="000000"/>
            </w:tcBorders>
            <w:vAlign w:val="center"/>
          </w:tcPr>
          <w:p w14:paraId="17F98190" w14:textId="77777777" w:rsidR="00054437" w:rsidRPr="000549B1" w:rsidRDefault="00000000">
            <w:pPr>
              <w:widowControl/>
              <w:jc w:val="center"/>
              <w:textAlignment w:val="center"/>
              <w:rPr>
                <w:szCs w:val="21"/>
              </w:rPr>
            </w:pPr>
            <w:r w:rsidRPr="000549B1">
              <w:rPr>
                <w:kern w:val="0"/>
                <w:szCs w:val="21"/>
                <w:lang w:bidi="ar"/>
              </w:rPr>
              <w:t>0.51</w:t>
            </w:r>
          </w:p>
        </w:tc>
        <w:tc>
          <w:tcPr>
            <w:tcW w:w="408" w:type="pct"/>
            <w:tcBorders>
              <w:top w:val="single" w:sz="4" w:space="0" w:color="000000"/>
              <w:left w:val="single" w:sz="4" w:space="0" w:color="000000"/>
              <w:bottom w:val="single" w:sz="4" w:space="0" w:color="000000"/>
              <w:right w:val="single" w:sz="4" w:space="0" w:color="000000"/>
            </w:tcBorders>
            <w:vAlign w:val="center"/>
          </w:tcPr>
          <w:p w14:paraId="59EC1EA5" w14:textId="77777777" w:rsidR="00054437" w:rsidRPr="000549B1" w:rsidRDefault="00000000">
            <w:pPr>
              <w:widowControl/>
              <w:jc w:val="center"/>
              <w:textAlignment w:val="center"/>
              <w:rPr>
                <w:szCs w:val="21"/>
              </w:rPr>
            </w:pPr>
            <w:r w:rsidRPr="000549B1">
              <w:rPr>
                <w:kern w:val="0"/>
                <w:szCs w:val="21"/>
                <w:lang w:bidi="ar"/>
              </w:rPr>
              <w:t>I</w:t>
            </w:r>
          </w:p>
        </w:tc>
        <w:tc>
          <w:tcPr>
            <w:tcW w:w="657" w:type="pct"/>
            <w:tcBorders>
              <w:top w:val="single" w:sz="4" w:space="0" w:color="000000"/>
              <w:left w:val="single" w:sz="4" w:space="0" w:color="000000"/>
              <w:bottom w:val="single" w:sz="4" w:space="0" w:color="000000"/>
              <w:right w:val="single" w:sz="4" w:space="0" w:color="000000"/>
            </w:tcBorders>
            <w:noWrap/>
            <w:vAlign w:val="center"/>
          </w:tcPr>
          <w:p w14:paraId="526075A9" w14:textId="77777777" w:rsidR="00054437" w:rsidRPr="000549B1" w:rsidRDefault="00000000">
            <w:pPr>
              <w:widowControl/>
              <w:jc w:val="center"/>
              <w:textAlignment w:val="center"/>
              <w:rPr>
                <w:szCs w:val="21"/>
              </w:rPr>
            </w:pPr>
            <w:r w:rsidRPr="000549B1">
              <w:rPr>
                <w:kern w:val="0"/>
                <w:szCs w:val="21"/>
                <w:lang w:bidi="ar"/>
              </w:rPr>
              <w:t>2.63</w:t>
            </w:r>
          </w:p>
        </w:tc>
        <w:tc>
          <w:tcPr>
            <w:tcW w:w="408" w:type="pct"/>
            <w:tcBorders>
              <w:top w:val="single" w:sz="4" w:space="0" w:color="000000"/>
              <w:left w:val="single" w:sz="4" w:space="0" w:color="000000"/>
              <w:bottom w:val="single" w:sz="4" w:space="0" w:color="000000"/>
              <w:right w:val="single" w:sz="4" w:space="0" w:color="000000"/>
            </w:tcBorders>
          </w:tcPr>
          <w:p w14:paraId="598EA671" w14:textId="77777777" w:rsidR="00054437" w:rsidRPr="000549B1" w:rsidRDefault="00000000">
            <w:pPr>
              <w:widowControl/>
              <w:jc w:val="center"/>
              <w:textAlignment w:val="top"/>
              <w:rPr>
                <w:szCs w:val="21"/>
              </w:rPr>
            </w:pPr>
            <w:r w:rsidRPr="000549B1">
              <w:rPr>
                <w:kern w:val="0"/>
                <w:szCs w:val="21"/>
                <w:lang w:bidi="ar"/>
              </w:rPr>
              <w:t>I</w:t>
            </w:r>
          </w:p>
        </w:tc>
      </w:tr>
      <w:tr w:rsidR="000549B1" w:rsidRPr="000549B1" w14:paraId="6FEF7C99" w14:textId="77777777">
        <w:trPr>
          <w:trHeight w:val="330"/>
        </w:trPr>
        <w:tc>
          <w:tcPr>
            <w:tcW w:w="774" w:type="pct"/>
            <w:tcBorders>
              <w:top w:val="single" w:sz="4" w:space="0" w:color="000000"/>
              <w:left w:val="single" w:sz="4" w:space="0" w:color="000000"/>
              <w:bottom w:val="single" w:sz="4" w:space="0" w:color="000000"/>
              <w:right w:val="single" w:sz="4" w:space="0" w:color="000000"/>
            </w:tcBorders>
            <w:vAlign w:val="center"/>
          </w:tcPr>
          <w:p w14:paraId="5BA6A15A" w14:textId="77777777" w:rsidR="00054437" w:rsidRPr="000549B1" w:rsidRDefault="00000000">
            <w:pPr>
              <w:widowControl/>
              <w:jc w:val="center"/>
              <w:textAlignment w:val="center"/>
              <w:rPr>
                <w:b/>
                <w:bCs/>
                <w:szCs w:val="21"/>
              </w:rPr>
            </w:pPr>
            <w:r w:rsidRPr="000549B1">
              <w:rPr>
                <w:b/>
                <w:bCs/>
                <w:kern w:val="0"/>
                <w:szCs w:val="21"/>
                <w:lang w:bidi="ar"/>
              </w:rPr>
              <w:t>COD</w:t>
            </w:r>
            <w:r w:rsidRPr="000549B1">
              <w:rPr>
                <w:rStyle w:val="font101"/>
                <w:color w:val="auto"/>
                <w:szCs w:val="21"/>
                <w:lang w:bidi="ar"/>
              </w:rPr>
              <w:t>Mn</w:t>
            </w:r>
          </w:p>
        </w:tc>
        <w:tc>
          <w:tcPr>
            <w:tcW w:w="628" w:type="pct"/>
            <w:tcBorders>
              <w:top w:val="single" w:sz="4" w:space="0" w:color="000000"/>
              <w:left w:val="single" w:sz="4" w:space="0" w:color="000000"/>
              <w:bottom w:val="single" w:sz="4" w:space="0" w:color="000000"/>
              <w:right w:val="single" w:sz="4" w:space="0" w:color="000000"/>
            </w:tcBorders>
            <w:vAlign w:val="center"/>
          </w:tcPr>
          <w:p w14:paraId="2288EDB0" w14:textId="77777777" w:rsidR="00054437" w:rsidRPr="000549B1" w:rsidRDefault="00000000">
            <w:pPr>
              <w:widowControl/>
              <w:jc w:val="center"/>
              <w:textAlignment w:val="center"/>
              <w:rPr>
                <w:szCs w:val="21"/>
              </w:rPr>
            </w:pPr>
            <w:r w:rsidRPr="000549B1">
              <w:rPr>
                <w:kern w:val="0"/>
                <w:szCs w:val="21"/>
                <w:lang w:bidi="ar"/>
              </w:rPr>
              <w:t>1.7</w:t>
            </w:r>
          </w:p>
        </w:tc>
        <w:tc>
          <w:tcPr>
            <w:tcW w:w="415" w:type="pct"/>
            <w:tcBorders>
              <w:top w:val="single" w:sz="4" w:space="0" w:color="000000"/>
              <w:left w:val="single" w:sz="4" w:space="0" w:color="000000"/>
              <w:bottom w:val="single" w:sz="4" w:space="0" w:color="000000"/>
              <w:right w:val="single" w:sz="4" w:space="0" w:color="000000"/>
            </w:tcBorders>
          </w:tcPr>
          <w:p w14:paraId="7A13334E" w14:textId="77777777" w:rsidR="00054437" w:rsidRPr="000549B1" w:rsidRDefault="00000000">
            <w:pPr>
              <w:widowControl/>
              <w:jc w:val="center"/>
              <w:textAlignment w:val="top"/>
              <w:rPr>
                <w:szCs w:val="21"/>
              </w:rPr>
            </w:pPr>
            <w:r w:rsidRPr="000549B1">
              <w:rPr>
                <w:kern w:val="0"/>
                <w:szCs w:val="21"/>
                <w:lang w:bidi="ar"/>
              </w:rPr>
              <w:t>I</w:t>
            </w:r>
          </w:p>
        </w:tc>
        <w:tc>
          <w:tcPr>
            <w:tcW w:w="665" w:type="pct"/>
            <w:tcBorders>
              <w:top w:val="single" w:sz="4" w:space="0" w:color="000000"/>
              <w:left w:val="single" w:sz="4" w:space="0" w:color="000000"/>
              <w:bottom w:val="single" w:sz="4" w:space="0" w:color="000000"/>
              <w:right w:val="single" w:sz="4" w:space="0" w:color="000000"/>
            </w:tcBorders>
            <w:noWrap/>
            <w:vAlign w:val="center"/>
          </w:tcPr>
          <w:p w14:paraId="4DA42448" w14:textId="77777777" w:rsidR="00054437" w:rsidRPr="000549B1" w:rsidRDefault="00000000">
            <w:pPr>
              <w:widowControl/>
              <w:jc w:val="center"/>
              <w:textAlignment w:val="center"/>
              <w:rPr>
                <w:szCs w:val="21"/>
              </w:rPr>
            </w:pPr>
            <w:r w:rsidRPr="000549B1">
              <w:rPr>
                <w:kern w:val="0"/>
                <w:szCs w:val="21"/>
                <w:lang w:bidi="ar"/>
              </w:rPr>
              <w:t>1.77</w:t>
            </w:r>
          </w:p>
        </w:tc>
        <w:tc>
          <w:tcPr>
            <w:tcW w:w="415" w:type="pct"/>
            <w:tcBorders>
              <w:top w:val="single" w:sz="4" w:space="0" w:color="000000"/>
              <w:left w:val="single" w:sz="4" w:space="0" w:color="000000"/>
              <w:bottom w:val="single" w:sz="4" w:space="0" w:color="000000"/>
              <w:right w:val="single" w:sz="4" w:space="0" w:color="000000"/>
            </w:tcBorders>
          </w:tcPr>
          <w:p w14:paraId="2D10BC31" w14:textId="77777777" w:rsidR="00054437" w:rsidRPr="000549B1" w:rsidRDefault="00000000">
            <w:pPr>
              <w:widowControl/>
              <w:jc w:val="center"/>
              <w:textAlignment w:val="top"/>
              <w:rPr>
                <w:szCs w:val="21"/>
              </w:rPr>
            </w:pPr>
            <w:r w:rsidRPr="000549B1">
              <w:rPr>
                <w:kern w:val="0"/>
                <w:szCs w:val="21"/>
                <w:lang w:bidi="ar"/>
              </w:rPr>
              <w:t>I</w:t>
            </w:r>
          </w:p>
        </w:tc>
        <w:tc>
          <w:tcPr>
            <w:tcW w:w="625" w:type="pct"/>
            <w:tcBorders>
              <w:top w:val="single" w:sz="4" w:space="0" w:color="000000"/>
              <w:left w:val="single" w:sz="4" w:space="0" w:color="000000"/>
              <w:bottom w:val="single" w:sz="4" w:space="0" w:color="000000"/>
              <w:right w:val="single" w:sz="4" w:space="0" w:color="000000"/>
            </w:tcBorders>
            <w:vAlign w:val="center"/>
          </w:tcPr>
          <w:p w14:paraId="76107C10" w14:textId="77777777" w:rsidR="00054437" w:rsidRPr="000549B1" w:rsidRDefault="00000000">
            <w:pPr>
              <w:widowControl/>
              <w:jc w:val="center"/>
              <w:textAlignment w:val="center"/>
              <w:rPr>
                <w:szCs w:val="21"/>
              </w:rPr>
            </w:pPr>
            <w:r w:rsidRPr="000549B1">
              <w:rPr>
                <w:kern w:val="0"/>
                <w:szCs w:val="21"/>
                <w:lang w:bidi="ar"/>
              </w:rPr>
              <w:t>2.07</w:t>
            </w:r>
          </w:p>
        </w:tc>
        <w:tc>
          <w:tcPr>
            <w:tcW w:w="408" w:type="pct"/>
            <w:tcBorders>
              <w:top w:val="single" w:sz="4" w:space="0" w:color="000000"/>
              <w:left w:val="single" w:sz="4" w:space="0" w:color="000000"/>
              <w:bottom w:val="single" w:sz="4" w:space="0" w:color="000000"/>
              <w:right w:val="single" w:sz="4" w:space="0" w:color="000000"/>
            </w:tcBorders>
            <w:vAlign w:val="center"/>
          </w:tcPr>
          <w:p w14:paraId="717470F7" w14:textId="77777777" w:rsidR="00054437" w:rsidRPr="000549B1" w:rsidRDefault="00000000">
            <w:pPr>
              <w:widowControl/>
              <w:jc w:val="center"/>
              <w:textAlignment w:val="center"/>
              <w:rPr>
                <w:szCs w:val="21"/>
              </w:rPr>
            </w:pPr>
            <w:r w:rsidRPr="000549B1">
              <w:rPr>
                <w:kern w:val="0"/>
                <w:szCs w:val="21"/>
                <w:lang w:bidi="ar"/>
              </w:rPr>
              <w:t>Ⅱ</w:t>
            </w:r>
          </w:p>
        </w:tc>
        <w:tc>
          <w:tcPr>
            <w:tcW w:w="657" w:type="pct"/>
            <w:tcBorders>
              <w:top w:val="single" w:sz="4" w:space="0" w:color="000000"/>
              <w:left w:val="single" w:sz="4" w:space="0" w:color="000000"/>
              <w:bottom w:val="single" w:sz="4" w:space="0" w:color="000000"/>
              <w:right w:val="single" w:sz="4" w:space="0" w:color="000000"/>
            </w:tcBorders>
            <w:noWrap/>
            <w:vAlign w:val="center"/>
          </w:tcPr>
          <w:p w14:paraId="1B1E9703" w14:textId="77777777" w:rsidR="00054437" w:rsidRPr="000549B1" w:rsidRDefault="00000000">
            <w:pPr>
              <w:widowControl/>
              <w:jc w:val="center"/>
              <w:textAlignment w:val="center"/>
              <w:rPr>
                <w:szCs w:val="21"/>
              </w:rPr>
            </w:pPr>
            <w:r w:rsidRPr="000549B1">
              <w:rPr>
                <w:kern w:val="0"/>
                <w:szCs w:val="21"/>
                <w:lang w:bidi="ar"/>
              </w:rPr>
              <w:t>2.10</w:t>
            </w:r>
          </w:p>
        </w:tc>
        <w:tc>
          <w:tcPr>
            <w:tcW w:w="408" w:type="pct"/>
            <w:tcBorders>
              <w:top w:val="single" w:sz="4" w:space="0" w:color="000000"/>
              <w:left w:val="single" w:sz="4" w:space="0" w:color="000000"/>
              <w:bottom w:val="single" w:sz="4" w:space="0" w:color="000000"/>
              <w:right w:val="single" w:sz="4" w:space="0" w:color="000000"/>
            </w:tcBorders>
            <w:vAlign w:val="center"/>
          </w:tcPr>
          <w:p w14:paraId="7F941B7D" w14:textId="77777777" w:rsidR="00054437" w:rsidRPr="000549B1" w:rsidRDefault="00000000">
            <w:pPr>
              <w:widowControl/>
              <w:jc w:val="center"/>
              <w:textAlignment w:val="center"/>
              <w:rPr>
                <w:szCs w:val="21"/>
              </w:rPr>
            </w:pPr>
            <w:r w:rsidRPr="000549B1">
              <w:rPr>
                <w:kern w:val="0"/>
                <w:szCs w:val="21"/>
                <w:lang w:bidi="ar"/>
              </w:rPr>
              <w:t>Ⅱ</w:t>
            </w:r>
          </w:p>
        </w:tc>
      </w:tr>
      <w:tr w:rsidR="000549B1" w:rsidRPr="000549B1" w14:paraId="57ED7475" w14:textId="77777777">
        <w:trPr>
          <w:trHeight w:val="300"/>
        </w:trPr>
        <w:tc>
          <w:tcPr>
            <w:tcW w:w="774" w:type="pct"/>
            <w:tcBorders>
              <w:top w:val="single" w:sz="4" w:space="0" w:color="000000"/>
              <w:left w:val="single" w:sz="4" w:space="0" w:color="000000"/>
              <w:bottom w:val="single" w:sz="4" w:space="0" w:color="000000"/>
              <w:right w:val="single" w:sz="4" w:space="0" w:color="000000"/>
            </w:tcBorders>
            <w:vAlign w:val="center"/>
          </w:tcPr>
          <w:p w14:paraId="518BF2E4" w14:textId="77777777" w:rsidR="00054437" w:rsidRPr="000549B1" w:rsidRDefault="00000000">
            <w:pPr>
              <w:widowControl/>
              <w:jc w:val="center"/>
              <w:textAlignment w:val="center"/>
              <w:rPr>
                <w:b/>
                <w:bCs/>
                <w:szCs w:val="21"/>
              </w:rPr>
            </w:pPr>
            <w:r w:rsidRPr="000549B1">
              <w:rPr>
                <w:b/>
                <w:bCs/>
                <w:kern w:val="0"/>
                <w:szCs w:val="21"/>
                <w:lang w:bidi="ar"/>
              </w:rPr>
              <w:t>氨氮</w:t>
            </w:r>
          </w:p>
        </w:tc>
        <w:tc>
          <w:tcPr>
            <w:tcW w:w="628" w:type="pct"/>
            <w:tcBorders>
              <w:top w:val="single" w:sz="4" w:space="0" w:color="000000"/>
              <w:left w:val="single" w:sz="4" w:space="0" w:color="000000"/>
              <w:bottom w:val="single" w:sz="4" w:space="0" w:color="000000"/>
              <w:right w:val="single" w:sz="4" w:space="0" w:color="000000"/>
            </w:tcBorders>
            <w:vAlign w:val="center"/>
          </w:tcPr>
          <w:p w14:paraId="00F1F1AB" w14:textId="77777777" w:rsidR="00054437" w:rsidRPr="000549B1" w:rsidRDefault="00000000">
            <w:pPr>
              <w:widowControl/>
              <w:jc w:val="center"/>
              <w:textAlignment w:val="center"/>
              <w:rPr>
                <w:szCs w:val="21"/>
              </w:rPr>
            </w:pPr>
            <w:r w:rsidRPr="000549B1">
              <w:rPr>
                <w:kern w:val="0"/>
                <w:szCs w:val="21"/>
                <w:lang w:bidi="ar"/>
              </w:rPr>
              <w:t>0.106</w:t>
            </w:r>
          </w:p>
        </w:tc>
        <w:tc>
          <w:tcPr>
            <w:tcW w:w="415" w:type="pct"/>
            <w:tcBorders>
              <w:top w:val="single" w:sz="4" w:space="0" w:color="000000"/>
              <w:left w:val="single" w:sz="4" w:space="0" w:color="000000"/>
              <w:bottom w:val="single" w:sz="4" w:space="0" w:color="000000"/>
              <w:right w:val="single" w:sz="4" w:space="0" w:color="000000"/>
            </w:tcBorders>
          </w:tcPr>
          <w:p w14:paraId="5CD0E29E" w14:textId="77777777" w:rsidR="00054437" w:rsidRPr="000549B1" w:rsidRDefault="00000000">
            <w:pPr>
              <w:widowControl/>
              <w:jc w:val="center"/>
              <w:textAlignment w:val="top"/>
              <w:rPr>
                <w:szCs w:val="21"/>
              </w:rPr>
            </w:pPr>
            <w:r w:rsidRPr="000549B1">
              <w:rPr>
                <w:kern w:val="0"/>
                <w:szCs w:val="21"/>
                <w:lang w:bidi="ar"/>
              </w:rPr>
              <w:t>I</w:t>
            </w:r>
          </w:p>
        </w:tc>
        <w:tc>
          <w:tcPr>
            <w:tcW w:w="665" w:type="pct"/>
            <w:tcBorders>
              <w:top w:val="single" w:sz="4" w:space="0" w:color="000000"/>
              <w:left w:val="single" w:sz="4" w:space="0" w:color="000000"/>
              <w:bottom w:val="single" w:sz="4" w:space="0" w:color="000000"/>
              <w:right w:val="single" w:sz="4" w:space="0" w:color="000000"/>
            </w:tcBorders>
            <w:noWrap/>
            <w:vAlign w:val="center"/>
          </w:tcPr>
          <w:p w14:paraId="5492BBC3" w14:textId="77777777" w:rsidR="00054437" w:rsidRPr="000549B1" w:rsidRDefault="00000000">
            <w:pPr>
              <w:widowControl/>
              <w:jc w:val="center"/>
              <w:textAlignment w:val="center"/>
              <w:rPr>
                <w:szCs w:val="21"/>
              </w:rPr>
            </w:pPr>
            <w:r w:rsidRPr="000549B1">
              <w:rPr>
                <w:kern w:val="0"/>
                <w:szCs w:val="21"/>
                <w:lang w:bidi="ar"/>
              </w:rPr>
              <w:t>0.09</w:t>
            </w:r>
          </w:p>
        </w:tc>
        <w:tc>
          <w:tcPr>
            <w:tcW w:w="415" w:type="pct"/>
            <w:tcBorders>
              <w:top w:val="single" w:sz="4" w:space="0" w:color="000000"/>
              <w:left w:val="single" w:sz="4" w:space="0" w:color="000000"/>
              <w:bottom w:val="single" w:sz="4" w:space="0" w:color="000000"/>
              <w:right w:val="single" w:sz="4" w:space="0" w:color="000000"/>
            </w:tcBorders>
          </w:tcPr>
          <w:p w14:paraId="1C3A1084" w14:textId="77777777" w:rsidR="00054437" w:rsidRPr="000549B1" w:rsidRDefault="00000000">
            <w:pPr>
              <w:widowControl/>
              <w:jc w:val="center"/>
              <w:textAlignment w:val="top"/>
              <w:rPr>
                <w:szCs w:val="21"/>
              </w:rPr>
            </w:pPr>
            <w:r w:rsidRPr="000549B1">
              <w:rPr>
                <w:kern w:val="0"/>
                <w:szCs w:val="21"/>
                <w:lang w:bidi="ar"/>
              </w:rPr>
              <w:t>I</w:t>
            </w:r>
          </w:p>
        </w:tc>
        <w:tc>
          <w:tcPr>
            <w:tcW w:w="625" w:type="pct"/>
            <w:tcBorders>
              <w:top w:val="single" w:sz="4" w:space="0" w:color="000000"/>
              <w:left w:val="single" w:sz="4" w:space="0" w:color="000000"/>
              <w:bottom w:val="single" w:sz="4" w:space="0" w:color="000000"/>
              <w:right w:val="single" w:sz="4" w:space="0" w:color="000000"/>
            </w:tcBorders>
            <w:vAlign w:val="center"/>
          </w:tcPr>
          <w:p w14:paraId="7A986846" w14:textId="77777777" w:rsidR="00054437" w:rsidRPr="000549B1" w:rsidRDefault="00000000">
            <w:pPr>
              <w:widowControl/>
              <w:jc w:val="center"/>
              <w:textAlignment w:val="center"/>
              <w:rPr>
                <w:szCs w:val="21"/>
              </w:rPr>
            </w:pPr>
            <w:r w:rsidRPr="000549B1">
              <w:rPr>
                <w:kern w:val="0"/>
                <w:szCs w:val="21"/>
                <w:lang w:bidi="ar"/>
              </w:rPr>
              <w:t>0.09</w:t>
            </w:r>
          </w:p>
        </w:tc>
        <w:tc>
          <w:tcPr>
            <w:tcW w:w="408" w:type="pct"/>
            <w:tcBorders>
              <w:top w:val="single" w:sz="4" w:space="0" w:color="000000"/>
              <w:left w:val="single" w:sz="4" w:space="0" w:color="000000"/>
              <w:bottom w:val="single" w:sz="4" w:space="0" w:color="000000"/>
              <w:right w:val="single" w:sz="4" w:space="0" w:color="000000"/>
            </w:tcBorders>
            <w:vAlign w:val="center"/>
          </w:tcPr>
          <w:p w14:paraId="43E53AD8" w14:textId="77777777" w:rsidR="00054437" w:rsidRPr="000549B1" w:rsidRDefault="00000000">
            <w:pPr>
              <w:widowControl/>
              <w:jc w:val="center"/>
              <w:textAlignment w:val="center"/>
              <w:rPr>
                <w:szCs w:val="21"/>
              </w:rPr>
            </w:pPr>
            <w:r w:rsidRPr="000549B1">
              <w:rPr>
                <w:kern w:val="0"/>
                <w:szCs w:val="21"/>
                <w:lang w:bidi="ar"/>
              </w:rPr>
              <w:t>I</w:t>
            </w:r>
          </w:p>
        </w:tc>
        <w:tc>
          <w:tcPr>
            <w:tcW w:w="657" w:type="pct"/>
            <w:tcBorders>
              <w:top w:val="single" w:sz="4" w:space="0" w:color="000000"/>
              <w:left w:val="single" w:sz="4" w:space="0" w:color="000000"/>
              <w:bottom w:val="single" w:sz="4" w:space="0" w:color="000000"/>
              <w:right w:val="single" w:sz="4" w:space="0" w:color="000000"/>
            </w:tcBorders>
            <w:noWrap/>
            <w:vAlign w:val="center"/>
          </w:tcPr>
          <w:p w14:paraId="4C0F3C39" w14:textId="77777777" w:rsidR="00054437" w:rsidRPr="000549B1" w:rsidRDefault="00000000">
            <w:pPr>
              <w:widowControl/>
              <w:jc w:val="center"/>
              <w:textAlignment w:val="center"/>
              <w:rPr>
                <w:szCs w:val="21"/>
              </w:rPr>
            </w:pPr>
            <w:r w:rsidRPr="000549B1">
              <w:rPr>
                <w:kern w:val="0"/>
                <w:szCs w:val="21"/>
                <w:lang w:bidi="ar"/>
              </w:rPr>
              <w:t>0.09</w:t>
            </w:r>
          </w:p>
        </w:tc>
        <w:tc>
          <w:tcPr>
            <w:tcW w:w="408" w:type="pct"/>
            <w:tcBorders>
              <w:top w:val="single" w:sz="4" w:space="0" w:color="000000"/>
              <w:left w:val="single" w:sz="4" w:space="0" w:color="000000"/>
              <w:bottom w:val="single" w:sz="4" w:space="0" w:color="000000"/>
              <w:right w:val="single" w:sz="4" w:space="0" w:color="000000"/>
            </w:tcBorders>
          </w:tcPr>
          <w:p w14:paraId="7F8622AE" w14:textId="77777777" w:rsidR="00054437" w:rsidRPr="000549B1" w:rsidRDefault="00000000">
            <w:pPr>
              <w:widowControl/>
              <w:jc w:val="center"/>
              <w:textAlignment w:val="top"/>
              <w:rPr>
                <w:szCs w:val="21"/>
              </w:rPr>
            </w:pPr>
            <w:r w:rsidRPr="000549B1">
              <w:rPr>
                <w:kern w:val="0"/>
                <w:szCs w:val="21"/>
                <w:lang w:bidi="ar"/>
              </w:rPr>
              <w:t>I</w:t>
            </w:r>
          </w:p>
        </w:tc>
      </w:tr>
      <w:tr w:rsidR="000549B1" w:rsidRPr="000549B1" w14:paraId="7FCDAE41" w14:textId="77777777">
        <w:trPr>
          <w:trHeight w:val="300"/>
        </w:trPr>
        <w:tc>
          <w:tcPr>
            <w:tcW w:w="774" w:type="pct"/>
            <w:tcBorders>
              <w:top w:val="single" w:sz="4" w:space="0" w:color="000000"/>
              <w:left w:val="single" w:sz="4" w:space="0" w:color="000000"/>
              <w:bottom w:val="single" w:sz="4" w:space="0" w:color="000000"/>
              <w:right w:val="single" w:sz="4" w:space="0" w:color="000000"/>
            </w:tcBorders>
            <w:vAlign w:val="center"/>
          </w:tcPr>
          <w:p w14:paraId="4B998119" w14:textId="77777777" w:rsidR="00054437" w:rsidRPr="000549B1" w:rsidRDefault="00000000">
            <w:pPr>
              <w:widowControl/>
              <w:jc w:val="center"/>
              <w:textAlignment w:val="center"/>
              <w:rPr>
                <w:b/>
                <w:bCs/>
                <w:szCs w:val="21"/>
              </w:rPr>
            </w:pPr>
            <w:r w:rsidRPr="000549B1">
              <w:rPr>
                <w:b/>
                <w:bCs/>
                <w:kern w:val="0"/>
                <w:szCs w:val="21"/>
                <w:lang w:bidi="ar"/>
              </w:rPr>
              <w:t>总磷</w:t>
            </w:r>
          </w:p>
        </w:tc>
        <w:tc>
          <w:tcPr>
            <w:tcW w:w="628" w:type="pct"/>
            <w:tcBorders>
              <w:top w:val="single" w:sz="4" w:space="0" w:color="000000"/>
              <w:left w:val="single" w:sz="4" w:space="0" w:color="000000"/>
              <w:bottom w:val="single" w:sz="4" w:space="0" w:color="000000"/>
              <w:right w:val="single" w:sz="4" w:space="0" w:color="000000"/>
            </w:tcBorders>
            <w:vAlign w:val="center"/>
          </w:tcPr>
          <w:p w14:paraId="5AFA78B1" w14:textId="77777777" w:rsidR="00054437" w:rsidRPr="000549B1" w:rsidRDefault="00000000">
            <w:pPr>
              <w:widowControl/>
              <w:jc w:val="center"/>
              <w:textAlignment w:val="center"/>
              <w:rPr>
                <w:szCs w:val="21"/>
              </w:rPr>
            </w:pPr>
            <w:r w:rsidRPr="000549B1">
              <w:rPr>
                <w:kern w:val="0"/>
                <w:szCs w:val="21"/>
                <w:lang w:bidi="ar"/>
              </w:rPr>
              <w:t>0.1</w:t>
            </w:r>
          </w:p>
        </w:tc>
        <w:tc>
          <w:tcPr>
            <w:tcW w:w="415" w:type="pct"/>
            <w:tcBorders>
              <w:top w:val="single" w:sz="4" w:space="0" w:color="000000"/>
              <w:left w:val="single" w:sz="4" w:space="0" w:color="000000"/>
              <w:bottom w:val="single" w:sz="4" w:space="0" w:color="000000"/>
              <w:right w:val="single" w:sz="4" w:space="0" w:color="000000"/>
            </w:tcBorders>
          </w:tcPr>
          <w:p w14:paraId="55F50B9F" w14:textId="77777777" w:rsidR="00054437" w:rsidRPr="000549B1" w:rsidRDefault="00000000">
            <w:pPr>
              <w:widowControl/>
              <w:jc w:val="center"/>
              <w:textAlignment w:val="top"/>
              <w:rPr>
                <w:szCs w:val="21"/>
              </w:rPr>
            </w:pPr>
            <w:r w:rsidRPr="000549B1">
              <w:rPr>
                <w:kern w:val="0"/>
                <w:szCs w:val="21"/>
                <w:lang w:bidi="ar"/>
              </w:rPr>
              <w:t>Ⅱ</w:t>
            </w:r>
          </w:p>
        </w:tc>
        <w:tc>
          <w:tcPr>
            <w:tcW w:w="665" w:type="pct"/>
            <w:tcBorders>
              <w:top w:val="single" w:sz="4" w:space="0" w:color="000000"/>
              <w:left w:val="single" w:sz="4" w:space="0" w:color="000000"/>
              <w:bottom w:val="single" w:sz="4" w:space="0" w:color="000000"/>
              <w:right w:val="single" w:sz="4" w:space="0" w:color="000000"/>
            </w:tcBorders>
            <w:noWrap/>
            <w:vAlign w:val="center"/>
          </w:tcPr>
          <w:p w14:paraId="34CBAD20" w14:textId="77777777" w:rsidR="00054437" w:rsidRPr="000549B1" w:rsidRDefault="00000000">
            <w:pPr>
              <w:widowControl/>
              <w:jc w:val="center"/>
              <w:textAlignment w:val="center"/>
              <w:rPr>
                <w:szCs w:val="21"/>
              </w:rPr>
            </w:pPr>
            <w:r w:rsidRPr="000549B1">
              <w:rPr>
                <w:kern w:val="0"/>
                <w:szCs w:val="21"/>
                <w:lang w:bidi="ar"/>
              </w:rPr>
              <w:t>0.05</w:t>
            </w:r>
          </w:p>
        </w:tc>
        <w:tc>
          <w:tcPr>
            <w:tcW w:w="415" w:type="pct"/>
            <w:tcBorders>
              <w:top w:val="single" w:sz="4" w:space="0" w:color="000000"/>
              <w:left w:val="single" w:sz="4" w:space="0" w:color="000000"/>
              <w:bottom w:val="single" w:sz="4" w:space="0" w:color="000000"/>
              <w:right w:val="single" w:sz="4" w:space="0" w:color="000000"/>
            </w:tcBorders>
          </w:tcPr>
          <w:p w14:paraId="04BD80B7" w14:textId="77777777" w:rsidR="00054437" w:rsidRPr="000549B1" w:rsidRDefault="00000000">
            <w:pPr>
              <w:widowControl/>
              <w:jc w:val="center"/>
              <w:textAlignment w:val="top"/>
              <w:rPr>
                <w:szCs w:val="21"/>
              </w:rPr>
            </w:pPr>
            <w:r w:rsidRPr="000549B1">
              <w:rPr>
                <w:kern w:val="0"/>
                <w:szCs w:val="21"/>
                <w:lang w:bidi="ar"/>
              </w:rPr>
              <w:t>Ⅱ</w:t>
            </w:r>
          </w:p>
        </w:tc>
        <w:tc>
          <w:tcPr>
            <w:tcW w:w="625" w:type="pct"/>
            <w:tcBorders>
              <w:top w:val="single" w:sz="4" w:space="0" w:color="000000"/>
              <w:left w:val="single" w:sz="4" w:space="0" w:color="000000"/>
              <w:bottom w:val="single" w:sz="4" w:space="0" w:color="000000"/>
              <w:right w:val="single" w:sz="4" w:space="0" w:color="000000"/>
            </w:tcBorders>
            <w:vAlign w:val="center"/>
          </w:tcPr>
          <w:p w14:paraId="74FFA905" w14:textId="77777777" w:rsidR="00054437" w:rsidRPr="000549B1" w:rsidRDefault="00000000">
            <w:pPr>
              <w:widowControl/>
              <w:jc w:val="center"/>
              <w:textAlignment w:val="center"/>
              <w:rPr>
                <w:szCs w:val="21"/>
              </w:rPr>
            </w:pPr>
            <w:r w:rsidRPr="000549B1">
              <w:rPr>
                <w:kern w:val="0"/>
                <w:szCs w:val="21"/>
                <w:lang w:bidi="ar"/>
              </w:rPr>
              <w:t>0.06</w:t>
            </w:r>
          </w:p>
        </w:tc>
        <w:tc>
          <w:tcPr>
            <w:tcW w:w="408" w:type="pct"/>
            <w:tcBorders>
              <w:top w:val="single" w:sz="4" w:space="0" w:color="000000"/>
              <w:left w:val="single" w:sz="4" w:space="0" w:color="000000"/>
              <w:bottom w:val="single" w:sz="4" w:space="0" w:color="000000"/>
              <w:right w:val="single" w:sz="4" w:space="0" w:color="000000"/>
            </w:tcBorders>
            <w:vAlign w:val="center"/>
          </w:tcPr>
          <w:p w14:paraId="0F041C08" w14:textId="77777777" w:rsidR="00054437" w:rsidRPr="000549B1" w:rsidRDefault="00000000">
            <w:pPr>
              <w:widowControl/>
              <w:jc w:val="center"/>
              <w:textAlignment w:val="center"/>
              <w:rPr>
                <w:szCs w:val="21"/>
              </w:rPr>
            </w:pPr>
            <w:r w:rsidRPr="000549B1">
              <w:rPr>
                <w:kern w:val="0"/>
                <w:szCs w:val="21"/>
                <w:lang w:bidi="ar"/>
              </w:rPr>
              <w:t>Ⅱ</w:t>
            </w:r>
          </w:p>
        </w:tc>
        <w:tc>
          <w:tcPr>
            <w:tcW w:w="657" w:type="pct"/>
            <w:tcBorders>
              <w:top w:val="single" w:sz="4" w:space="0" w:color="000000"/>
              <w:left w:val="single" w:sz="4" w:space="0" w:color="000000"/>
              <w:bottom w:val="single" w:sz="4" w:space="0" w:color="000000"/>
              <w:right w:val="single" w:sz="4" w:space="0" w:color="000000"/>
            </w:tcBorders>
            <w:noWrap/>
            <w:vAlign w:val="center"/>
          </w:tcPr>
          <w:p w14:paraId="2BB41215" w14:textId="77777777" w:rsidR="00054437" w:rsidRPr="000549B1" w:rsidRDefault="00000000">
            <w:pPr>
              <w:widowControl/>
              <w:jc w:val="center"/>
              <w:textAlignment w:val="center"/>
              <w:rPr>
                <w:szCs w:val="21"/>
              </w:rPr>
            </w:pPr>
            <w:r w:rsidRPr="000549B1">
              <w:rPr>
                <w:kern w:val="0"/>
                <w:szCs w:val="21"/>
                <w:lang w:bidi="ar"/>
              </w:rPr>
              <w:t>0.08</w:t>
            </w:r>
          </w:p>
        </w:tc>
        <w:tc>
          <w:tcPr>
            <w:tcW w:w="408" w:type="pct"/>
            <w:tcBorders>
              <w:top w:val="single" w:sz="4" w:space="0" w:color="000000"/>
              <w:left w:val="single" w:sz="4" w:space="0" w:color="000000"/>
              <w:bottom w:val="single" w:sz="4" w:space="0" w:color="000000"/>
              <w:right w:val="single" w:sz="4" w:space="0" w:color="000000"/>
            </w:tcBorders>
          </w:tcPr>
          <w:p w14:paraId="36268BCB" w14:textId="77777777" w:rsidR="00054437" w:rsidRPr="000549B1" w:rsidRDefault="00000000">
            <w:pPr>
              <w:widowControl/>
              <w:jc w:val="center"/>
              <w:textAlignment w:val="top"/>
              <w:rPr>
                <w:szCs w:val="21"/>
              </w:rPr>
            </w:pPr>
            <w:r w:rsidRPr="000549B1">
              <w:rPr>
                <w:kern w:val="0"/>
                <w:szCs w:val="21"/>
                <w:lang w:bidi="ar"/>
              </w:rPr>
              <w:t>Ⅱ</w:t>
            </w:r>
          </w:p>
        </w:tc>
      </w:tr>
      <w:tr w:rsidR="000549B1" w:rsidRPr="000549B1" w14:paraId="6AEDB287" w14:textId="77777777">
        <w:trPr>
          <w:trHeight w:val="300"/>
        </w:trPr>
        <w:tc>
          <w:tcPr>
            <w:tcW w:w="774" w:type="pct"/>
            <w:tcBorders>
              <w:top w:val="single" w:sz="4" w:space="0" w:color="000000"/>
              <w:left w:val="single" w:sz="4" w:space="0" w:color="000000"/>
              <w:bottom w:val="single" w:sz="4" w:space="0" w:color="000000"/>
              <w:right w:val="single" w:sz="4" w:space="0" w:color="000000"/>
            </w:tcBorders>
            <w:vAlign w:val="center"/>
          </w:tcPr>
          <w:p w14:paraId="10A2E6B5" w14:textId="77777777" w:rsidR="00054437" w:rsidRPr="000549B1" w:rsidRDefault="00000000">
            <w:pPr>
              <w:widowControl/>
              <w:jc w:val="center"/>
              <w:textAlignment w:val="center"/>
              <w:rPr>
                <w:b/>
                <w:bCs/>
                <w:szCs w:val="21"/>
              </w:rPr>
            </w:pPr>
            <w:r w:rsidRPr="000549B1">
              <w:rPr>
                <w:b/>
                <w:bCs/>
                <w:kern w:val="0"/>
                <w:szCs w:val="21"/>
                <w:lang w:bidi="ar"/>
              </w:rPr>
              <w:t>总氮</w:t>
            </w:r>
          </w:p>
        </w:tc>
        <w:tc>
          <w:tcPr>
            <w:tcW w:w="628" w:type="pct"/>
            <w:tcBorders>
              <w:top w:val="single" w:sz="4" w:space="0" w:color="000000"/>
              <w:left w:val="single" w:sz="4" w:space="0" w:color="000000"/>
              <w:bottom w:val="single" w:sz="4" w:space="0" w:color="000000"/>
              <w:right w:val="single" w:sz="4" w:space="0" w:color="000000"/>
            </w:tcBorders>
            <w:vAlign w:val="center"/>
          </w:tcPr>
          <w:p w14:paraId="5479613B" w14:textId="77777777" w:rsidR="00054437" w:rsidRPr="000549B1" w:rsidRDefault="00000000">
            <w:pPr>
              <w:widowControl/>
              <w:jc w:val="center"/>
              <w:textAlignment w:val="center"/>
              <w:rPr>
                <w:szCs w:val="21"/>
              </w:rPr>
            </w:pPr>
            <w:r w:rsidRPr="000549B1">
              <w:rPr>
                <w:kern w:val="0"/>
                <w:szCs w:val="21"/>
                <w:lang w:bidi="ar"/>
              </w:rPr>
              <w:t>2.52</w:t>
            </w:r>
          </w:p>
        </w:tc>
        <w:tc>
          <w:tcPr>
            <w:tcW w:w="415" w:type="pct"/>
            <w:tcBorders>
              <w:top w:val="single" w:sz="4" w:space="0" w:color="000000"/>
              <w:left w:val="single" w:sz="4" w:space="0" w:color="000000"/>
              <w:bottom w:val="single" w:sz="4" w:space="0" w:color="000000"/>
              <w:right w:val="single" w:sz="4" w:space="0" w:color="000000"/>
            </w:tcBorders>
          </w:tcPr>
          <w:p w14:paraId="4F93E61B" w14:textId="77777777" w:rsidR="00054437" w:rsidRPr="000549B1" w:rsidRDefault="00054437">
            <w:pPr>
              <w:jc w:val="center"/>
              <w:rPr>
                <w:szCs w:val="21"/>
              </w:rPr>
            </w:pPr>
          </w:p>
        </w:tc>
        <w:tc>
          <w:tcPr>
            <w:tcW w:w="665" w:type="pct"/>
            <w:tcBorders>
              <w:top w:val="single" w:sz="4" w:space="0" w:color="000000"/>
              <w:left w:val="single" w:sz="4" w:space="0" w:color="000000"/>
              <w:bottom w:val="single" w:sz="4" w:space="0" w:color="000000"/>
              <w:right w:val="single" w:sz="4" w:space="0" w:color="000000"/>
            </w:tcBorders>
            <w:noWrap/>
            <w:vAlign w:val="center"/>
          </w:tcPr>
          <w:p w14:paraId="77EF7332" w14:textId="77777777" w:rsidR="00054437" w:rsidRPr="000549B1" w:rsidRDefault="00000000">
            <w:pPr>
              <w:widowControl/>
              <w:jc w:val="center"/>
              <w:textAlignment w:val="center"/>
              <w:rPr>
                <w:szCs w:val="21"/>
              </w:rPr>
            </w:pPr>
            <w:r w:rsidRPr="000549B1">
              <w:rPr>
                <w:kern w:val="0"/>
                <w:szCs w:val="21"/>
                <w:lang w:bidi="ar"/>
              </w:rPr>
              <w:t>2.39</w:t>
            </w:r>
          </w:p>
        </w:tc>
        <w:tc>
          <w:tcPr>
            <w:tcW w:w="415" w:type="pct"/>
            <w:tcBorders>
              <w:top w:val="single" w:sz="4" w:space="0" w:color="000000"/>
              <w:left w:val="single" w:sz="4" w:space="0" w:color="000000"/>
              <w:bottom w:val="single" w:sz="4" w:space="0" w:color="000000"/>
              <w:right w:val="single" w:sz="4" w:space="0" w:color="000000"/>
            </w:tcBorders>
          </w:tcPr>
          <w:p w14:paraId="382339C1" w14:textId="77777777" w:rsidR="00054437" w:rsidRPr="000549B1" w:rsidRDefault="00054437">
            <w:pPr>
              <w:jc w:val="center"/>
              <w:rPr>
                <w:szCs w:val="21"/>
              </w:rPr>
            </w:pPr>
          </w:p>
        </w:tc>
        <w:tc>
          <w:tcPr>
            <w:tcW w:w="625" w:type="pct"/>
            <w:tcBorders>
              <w:top w:val="single" w:sz="4" w:space="0" w:color="000000"/>
              <w:left w:val="single" w:sz="4" w:space="0" w:color="000000"/>
              <w:bottom w:val="single" w:sz="4" w:space="0" w:color="000000"/>
              <w:right w:val="single" w:sz="4" w:space="0" w:color="000000"/>
            </w:tcBorders>
            <w:vAlign w:val="center"/>
          </w:tcPr>
          <w:p w14:paraId="3A6B6CDE" w14:textId="77777777" w:rsidR="00054437" w:rsidRPr="000549B1" w:rsidRDefault="00000000">
            <w:pPr>
              <w:widowControl/>
              <w:jc w:val="center"/>
              <w:textAlignment w:val="center"/>
              <w:rPr>
                <w:szCs w:val="21"/>
              </w:rPr>
            </w:pPr>
            <w:r w:rsidRPr="000549B1">
              <w:rPr>
                <w:kern w:val="0"/>
                <w:szCs w:val="21"/>
                <w:lang w:bidi="ar"/>
              </w:rPr>
              <w:t>2.33</w:t>
            </w:r>
          </w:p>
        </w:tc>
        <w:tc>
          <w:tcPr>
            <w:tcW w:w="408" w:type="pct"/>
            <w:tcBorders>
              <w:top w:val="single" w:sz="4" w:space="0" w:color="000000"/>
              <w:left w:val="single" w:sz="4" w:space="0" w:color="000000"/>
              <w:bottom w:val="single" w:sz="4" w:space="0" w:color="000000"/>
              <w:right w:val="single" w:sz="4" w:space="0" w:color="000000"/>
            </w:tcBorders>
            <w:vAlign w:val="center"/>
          </w:tcPr>
          <w:p w14:paraId="463C4CA0" w14:textId="77777777" w:rsidR="00054437" w:rsidRPr="000549B1" w:rsidRDefault="00054437">
            <w:pPr>
              <w:jc w:val="center"/>
              <w:rPr>
                <w:szCs w:val="21"/>
              </w:rPr>
            </w:pPr>
          </w:p>
        </w:tc>
        <w:tc>
          <w:tcPr>
            <w:tcW w:w="657" w:type="pct"/>
            <w:tcBorders>
              <w:top w:val="single" w:sz="4" w:space="0" w:color="000000"/>
              <w:left w:val="single" w:sz="4" w:space="0" w:color="000000"/>
              <w:bottom w:val="single" w:sz="4" w:space="0" w:color="000000"/>
              <w:right w:val="single" w:sz="4" w:space="0" w:color="000000"/>
            </w:tcBorders>
            <w:noWrap/>
            <w:vAlign w:val="center"/>
          </w:tcPr>
          <w:p w14:paraId="12547703" w14:textId="77777777" w:rsidR="00054437" w:rsidRPr="000549B1" w:rsidRDefault="00000000">
            <w:pPr>
              <w:widowControl/>
              <w:jc w:val="center"/>
              <w:textAlignment w:val="center"/>
              <w:rPr>
                <w:szCs w:val="21"/>
              </w:rPr>
            </w:pPr>
            <w:r w:rsidRPr="000549B1">
              <w:rPr>
                <w:kern w:val="0"/>
                <w:szCs w:val="21"/>
                <w:lang w:bidi="ar"/>
              </w:rPr>
              <w:t>2.50</w:t>
            </w:r>
          </w:p>
        </w:tc>
        <w:tc>
          <w:tcPr>
            <w:tcW w:w="408" w:type="pct"/>
            <w:tcBorders>
              <w:top w:val="single" w:sz="4" w:space="0" w:color="000000"/>
              <w:left w:val="single" w:sz="4" w:space="0" w:color="000000"/>
              <w:bottom w:val="single" w:sz="4" w:space="0" w:color="000000"/>
              <w:right w:val="single" w:sz="4" w:space="0" w:color="000000"/>
            </w:tcBorders>
            <w:vAlign w:val="center"/>
          </w:tcPr>
          <w:p w14:paraId="4D665C3F" w14:textId="77777777" w:rsidR="00054437" w:rsidRPr="000549B1" w:rsidRDefault="00054437">
            <w:pPr>
              <w:jc w:val="center"/>
              <w:rPr>
                <w:szCs w:val="21"/>
              </w:rPr>
            </w:pPr>
          </w:p>
        </w:tc>
      </w:tr>
      <w:tr w:rsidR="000549B1" w:rsidRPr="000549B1" w14:paraId="6E841E60" w14:textId="77777777">
        <w:trPr>
          <w:trHeight w:val="300"/>
        </w:trPr>
        <w:tc>
          <w:tcPr>
            <w:tcW w:w="774" w:type="pct"/>
            <w:tcBorders>
              <w:top w:val="single" w:sz="4" w:space="0" w:color="000000"/>
              <w:left w:val="single" w:sz="4" w:space="0" w:color="000000"/>
              <w:bottom w:val="single" w:sz="4" w:space="0" w:color="000000"/>
              <w:right w:val="single" w:sz="4" w:space="0" w:color="000000"/>
            </w:tcBorders>
            <w:vAlign w:val="center"/>
          </w:tcPr>
          <w:p w14:paraId="3BE6D67C" w14:textId="77777777" w:rsidR="00054437" w:rsidRPr="000549B1" w:rsidRDefault="00000000">
            <w:pPr>
              <w:widowControl/>
              <w:jc w:val="center"/>
              <w:textAlignment w:val="center"/>
              <w:rPr>
                <w:b/>
                <w:bCs/>
                <w:szCs w:val="21"/>
              </w:rPr>
            </w:pPr>
            <w:r w:rsidRPr="000549B1">
              <w:rPr>
                <w:b/>
                <w:bCs/>
                <w:kern w:val="0"/>
                <w:szCs w:val="21"/>
                <w:lang w:bidi="ar"/>
              </w:rPr>
              <w:t>氟化物</w:t>
            </w:r>
          </w:p>
        </w:tc>
        <w:tc>
          <w:tcPr>
            <w:tcW w:w="628" w:type="pct"/>
            <w:tcBorders>
              <w:top w:val="single" w:sz="4" w:space="0" w:color="000000"/>
              <w:left w:val="single" w:sz="4" w:space="0" w:color="000000"/>
              <w:bottom w:val="single" w:sz="4" w:space="0" w:color="000000"/>
              <w:right w:val="single" w:sz="4" w:space="0" w:color="000000"/>
            </w:tcBorders>
            <w:vAlign w:val="center"/>
          </w:tcPr>
          <w:p w14:paraId="21BF2D30" w14:textId="77777777" w:rsidR="00054437" w:rsidRPr="000549B1" w:rsidRDefault="00000000">
            <w:pPr>
              <w:widowControl/>
              <w:jc w:val="center"/>
              <w:textAlignment w:val="center"/>
              <w:rPr>
                <w:szCs w:val="21"/>
              </w:rPr>
            </w:pPr>
            <w:r w:rsidRPr="000549B1">
              <w:rPr>
                <w:kern w:val="0"/>
                <w:szCs w:val="21"/>
                <w:lang w:bidi="ar"/>
              </w:rPr>
              <w:t>0.273</w:t>
            </w:r>
          </w:p>
        </w:tc>
        <w:tc>
          <w:tcPr>
            <w:tcW w:w="415" w:type="pct"/>
            <w:tcBorders>
              <w:top w:val="single" w:sz="4" w:space="0" w:color="000000"/>
              <w:left w:val="single" w:sz="4" w:space="0" w:color="000000"/>
              <w:bottom w:val="single" w:sz="4" w:space="0" w:color="000000"/>
              <w:right w:val="single" w:sz="4" w:space="0" w:color="000000"/>
            </w:tcBorders>
          </w:tcPr>
          <w:p w14:paraId="3E35519F" w14:textId="77777777" w:rsidR="00054437" w:rsidRPr="000549B1" w:rsidRDefault="00000000">
            <w:pPr>
              <w:widowControl/>
              <w:jc w:val="center"/>
              <w:textAlignment w:val="top"/>
              <w:rPr>
                <w:szCs w:val="21"/>
              </w:rPr>
            </w:pPr>
            <w:r w:rsidRPr="000549B1">
              <w:rPr>
                <w:kern w:val="0"/>
                <w:szCs w:val="21"/>
                <w:lang w:bidi="ar"/>
              </w:rPr>
              <w:t>I</w:t>
            </w:r>
          </w:p>
        </w:tc>
        <w:tc>
          <w:tcPr>
            <w:tcW w:w="665" w:type="pct"/>
            <w:tcBorders>
              <w:top w:val="single" w:sz="4" w:space="0" w:color="000000"/>
              <w:left w:val="single" w:sz="4" w:space="0" w:color="000000"/>
              <w:bottom w:val="single" w:sz="4" w:space="0" w:color="000000"/>
              <w:right w:val="single" w:sz="4" w:space="0" w:color="000000"/>
            </w:tcBorders>
            <w:noWrap/>
            <w:vAlign w:val="center"/>
          </w:tcPr>
          <w:p w14:paraId="1E8909AB" w14:textId="77777777" w:rsidR="00054437" w:rsidRPr="000549B1" w:rsidRDefault="00000000">
            <w:pPr>
              <w:widowControl/>
              <w:jc w:val="center"/>
              <w:textAlignment w:val="center"/>
              <w:rPr>
                <w:szCs w:val="21"/>
              </w:rPr>
            </w:pPr>
            <w:r w:rsidRPr="000549B1">
              <w:rPr>
                <w:kern w:val="0"/>
                <w:szCs w:val="21"/>
                <w:lang w:bidi="ar"/>
              </w:rPr>
              <w:t>0.28</w:t>
            </w:r>
          </w:p>
        </w:tc>
        <w:tc>
          <w:tcPr>
            <w:tcW w:w="415" w:type="pct"/>
            <w:tcBorders>
              <w:top w:val="single" w:sz="4" w:space="0" w:color="000000"/>
              <w:left w:val="single" w:sz="4" w:space="0" w:color="000000"/>
              <w:bottom w:val="single" w:sz="4" w:space="0" w:color="000000"/>
              <w:right w:val="single" w:sz="4" w:space="0" w:color="000000"/>
            </w:tcBorders>
          </w:tcPr>
          <w:p w14:paraId="0A44B4D9" w14:textId="77777777" w:rsidR="00054437" w:rsidRPr="000549B1" w:rsidRDefault="00000000">
            <w:pPr>
              <w:widowControl/>
              <w:jc w:val="center"/>
              <w:textAlignment w:val="top"/>
              <w:rPr>
                <w:szCs w:val="21"/>
              </w:rPr>
            </w:pPr>
            <w:r w:rsidRPr="000549B1">
              <w:rPr>
                <w:kern w:val="0"/>
                <w:szCs w:val="21"/>
                <w:lang w:bidi="ar"/>
              </w:rPr>
              <w:t>I</w:t>
            </w:r>
          </w:p>
        </w:tc>
        <w:tc>
          <w:tcPr>
            <w:tcW w:w="625" w:type="pct"/>
            <w:tcBorders>
              <w:top w:val="single" w:sz="4" w:space="0" w:color="000000"/>
              <w:left w:val="single" w:sz="4" w:space="0" w:color="000000"/>
              <w:bottom w:val="single" w:sz="4" w:space="0" w:color="000000"/>
              <w:right w:val="single" w:sz="4" w:space="0" w:color="000000"/>
            </w:tcBorders>
            <w:vAlign w:val="center"/>
          </w:tcPr>
          <w:p w14:paraId="08DAA680" w14:textId="77777777" w:rsidR="00054437" w:rsidRPr="000549B1" w:rsidRDefault="00000000">
            <w:pPr>
              <w:widowControl/>
              <w:jc w:val="center"/>
              <w:textAlignment w:val="center"/>
              <w:rPr>
                <w:szCs w:val="21"/>
              </w:rPr>
            </w:pPr>
            <w:r w:rsidRPr="000549B1">
              <w:rPr>
                <w:kern w:val="0"/>
                <w:szCs w:val="21"/>
                <w:lang w:bidi="ar"/>
              </w:rPr>
              <w:t>0.2</w:t>
            </w:r>
          </w:p>
        </w:tc>
        <w:tc>
          <w:tcPr>
            <w:tcW w:w="408" w:type="pct"/>
            <w:tcBorders>
              <w:top w:val="single" w:sz="4" w:space="0" w:color="000000"/>
              <w:left w:val="single" w:sz="4" w:space="0" w:color="000000"/>
              <w:bottom w:val="single" w:sz="4" w:space="0" w:color="000000"/>
              <w:right w:val="single" w:sz="4" w:space="0" w:color="000000"/>
            </w:tcBorders>
            <w:vAlign w:val="center"/>
          </w:tcPr>
          <w:p w14:paraId="473242C8" w14:textId="77777777" w:rsidR="00054437" w:rsidRPr="000549B1" w:rsidRDefault="00000000">
            <w:pPr>
              <w:widowControl/>
              <w:jc w:val="center"/>
              <w:textAlignment w:val="center"/>
              <w:rPr>
                <w:szCs w:val="21"/>
              </w:rPr>
            </w:pPr>
            <w:r w:rsidRPr="000549B1">
              <w:rPr>
                <w:kern w:val="0"/>
                <w:szCs w:val="21"/>
                <w:lang w:bidi="ar"/>
              </w:rPr>
              <w:t>I</w:t>
            </w:r>
          </w:p>
        </w:tc>
        <w:tc>
          <w:tcPr>
            <w:tcW w:w="657" w:type="pct"/>
            <w:tcBorders>
              <w:top w:val="single" w:sz="4" w:space="0" w:color="000000"/>
              <w:left w:val="single" w:sz="4" w:space="0" w:color="000000"/>
              <w:bottom w:val="single" w:sz="4" w:space="0" w:color="000000"/>
              <w:right w:val="single" w:sz="4" w:space="0" w:color="000000"/>
            </w:tcBorders>
            <w:noWrap/>
            <w:vAlign w:val="center"/>
          </w:tcPr>
          <w:p w14:paraId="6E38DB07" w14:textId="77777777" w:rsidR="00054437" w:rsidRPr="000549B1" w:rsidRDefault="00000000">
            <w:pPr>
              <w:widowControl/>
              <w:jc w:val="center"/>
              <w:textAlignment w:val="center"/>
              <w:rPr>
                <w:szCs w:val="21"/>
              </w:rPr>
            </w:pPr>
            <w:r w:rsidRPr="000549B1">
              <w:rPr>
                <w:kern w:val="0"/>
                <w:szCs w:val="21"/>
                <w:lang w:bidi="ar"/>
              </w:rPr>
              <w:t>0.22</w:t>
            </w:r>
          </w:p>
        </w:tc>
        <w:tc>
          <w:tcPr>
            <w:tcW w:w="408" w:type="pct"/>
            <w:tcBorders>
              <w:top w:val="single" w:sz="4" w:space="0" w:color="000000"/>
              <w:left w:val="single" w:sz="4" w:space="0" w:color="000000"/>
              <w:bottom w:val="single" w:sz="4" w:space="0" w:color="000000"/>
              <w:right w:val="single" w:sz="4" w:space="0" w:color="000000"/>
            </w:tcBorders>
          </w:tcPr>
          <w:p w14:paraId="16379CB9" w14:textId="77777777" w:rsidR="00054437" w:rsidRPr="000549B1" w:rsidRDefault="00000000">
            <w:pPr>
              <w:widowControl/>
              <w:jc w:val="center"/>
              <w:textAlignment w:val="top"/>
              <w:rPr>
                <w:szCs w:val="21"/>
              </w:rPr>
            </w:pPr>
            <w:r w:rsidRPr="000549B1">
              <w:rPr>
                <w:kern w:val="0"/>
                <w:szCs w:val="21"/>
                <w:lang w:bidi="ar"/>
              </w:rPr>
              <w:t>I</w:t>
            </w:r>
          </w:p>
        </w:tc>
      </w:tr>
      <w:tr w:rsidR="000549B1" w:rsidRPr="000549B1" w14:paraId="291FBFAE" w14:textId="77777777">
        <w:trPr>
          <w:trHeight w:val="300"/>
        </w:trPr>
        <w:tc>
          <w:tcPr>
            <w:tcW w:w="774" w:type="pct"/>
            <w:tcBorders>
              <w:top w:val="single" w:sz="4" w:space="0" w:color="000000"/>
              <w:left w:val="single" w:sz="4" w:space="0" w:color="000000"/>
              <w:bottom w:val="single" w:sz="4" w:space="0" w:color="000000"/>
              <w:right w:val="single" w:sz="4" w:space="0" w:color="000000"/>
            </w:tcBorders>
            <w:vAlign w:val="center"/>
          </w:tcPr>
          <w:p w14:paraId="5D8E396A" w14:textId="77777777" w:rsidR="00054437" w:rsidRPr="000549B1" w:rsidRDefault="00000000">
            <w:pPr>
              <w:widowControl/>
              <w:jc w:val="center"/>
              <w:textAlignment w:val="center"/>
              <w:rPr>
                <w:b/>
                <w:bCs/>
                <w:szCs w:val="21"/>
              </w:rPr>
            </w:pPr>
            <w:r w:rsidRPr="000549B1">
              <w:rPr>
                <w:b/>
                <w:bCs/>
                <w:kern w:val="0"/>
                <w:szCs w:val="21"/>
                <w:lang w:bidi="ar"/>
              </w:rPr>
              <w:t>氰化物</w:t>
            </w:r>
          </w:p>
        </w:tc>
        <w:tc>
          <w:tcPr>
            <w:tcW w:w="628" w:type="pct"/>
            <w:tcBorders>
              <w:top w:val="single" w:sz="4" w:space="0" w:color="000000"/>
              <w:left w:val="single" w:sz="4" w:space="0" w:color="000000"/>
              <w:bottom w:val="single" w:sz="4" w:space="0" w:color="000000"/>
              <w:right w:val="single" w:sz="4" w:space="0" w:color="000000"/>
            </w:tcBorders>
            <w:vAlign w:val="center"/>
          </w:tcPr>
          <w:p w14:paraId="343D911E" w14:textId="77777777" w:rsidR="00054437" w:rsidRPr="000549B1" w:rsidRDefault="00000000">
            <w:pPr>
              <w:widowControl/>
              <w:jc w:val="center"/>
              <w:textAlignment w:val="center"/>
              <w:rPr>
                <w:szCs w:val="21"/>
              </w:rPr>
            </w:pPr>
            <w:r w:rsidRPr="000549B1">
              <w:rPr>
                <w:kern w:val="0"/>
                <w:szCs w:val="21"/>
                <w:lang w:bidi="ar"/>
              </w:rPr>
              <w:t>＜</w:t>
            </w:r>
            <w:r w:rsidRPr="000549B1">
              <w:rPr>
                <w:rStyle w:val="font61"/>
                <w:color w:val="auto"/>
                <w:szCs w:val="21"/>
                <w:lang w:bidi="ar"/>
              </w:rPr>
              <w:t>0.004</w:t>
            </w:r>
          </w:p>
        </w:tc>
        <w:tc>
          <w:tcPr>
            <w:tcW w:w="415" w:type="pct"/>
            <w:tcBorders>
              <w:top w:val="single" w:sz="4" w:space="0" w:color="000000"/>
              <w:left w:val="single" w:sz="4" w:space="0" w:color="000000"/>
              <w:bottom w:val="single" w:sz="4" w:space="0" w:color="000000"/>
              <w:right w:val="single" w:sz="4" w:space="0" w:color="000000"/>
            </w:tcBorders>
          </w:tcPr>
          <w:p w14:paraId="38F4FE2C" w14:textId="77777777" w:rsidR="00054437" w:rsidRPr="000549B1" w:rsidRDefault="00000000">
            <w:pPr>
              <w:widowControl/>
              <w:jc w:val="center"/>
              <w:textAlignment w:val="top"/>
              <w:rPr>
                <w:szCs w:val="21"/>
              </w:rPr>
            </w:pPr>
            <w:r w:rsidRPr="000549B1">
              <w:rPr>
                <w:kern w:val="0"/>
                <w:szCs w:val="21"/>
                <w:lang w:bidi="ar"/>
              </w:rPr>
              <w:t>I</w:t>
            </w:r>
          </w:p>
        </w:tc>
        <w:tc>
          <w:tcPr>
            <w:tcW w:w="665" w:type="pct"/>
            <w:tcBorders>
              <w:top w:val="single" w:sz="4" w:space="0" w:color="000000"/>
              <w:left w:val="single" w:sz="4" w:space="0" w:color="000000"/>
              <w:bottom w:val="single" w:sz="4" w:space="0" w:color="000000"/>
              <w:right w:val="single" w:sz="4" w:space="0" w:color="000000"/>
            </w:tcBorders>
            <w:noWrap/>
            <w:vAlign w:val="center"/>
          </w:tcPr>
          <w:p w14:paraId="29C7A265" w14:textId="77777777" w:rsidR="00054437" w:rsidRPr="000549B1" w:rsidRDefault="00000000">
            <w:pPr>
              <w:widowControl/>
              <w:jc w:val="center"/>
              <w:textAlignment w:val="center"/>
              <w:rPr>
                <w:szCs w:val="21"/>
              </w:rPr>
            </w:pPr>
            <w:r w:rsidRPr="000549B1">
              <w:rPr>
                <w:kern w:val="0"/>
                <w:szCs w:val="21"/>
                <w:lang w:bidi="ar"/>
              </w:rPr>
              <w:t>＜</w:t>
            </w:r>
            <w:r w:rsidRPr="000549B1">
              <w:rPr>
                <w:rStyle w:val="font71"/>
                <w:color w:val="auto"/>
                <w:szCs w:val="21"/>
                <w:lang w:bidi="ar"/>
              </w:rPr>
              <w:t>0.004</w:t>
            </w:r>
          </w:p>
        </w:tc>
        <w:tc>
          <w:tcPr>
            <w:tcW w:w="415" w:type="pct"/>
            <w:tcBorders>
              <w:top w:val="single" w:sz="4" w:space="0" w:color="000000"/>
              <w:left w:val="single" w:sz="4" w:space="0" w:color="000000"/>
              <w:bottom w:val="single" w:sz="4" w:space="0" w:color="000000"/>
              <w:right w:val="single" w:sz="4" w:space="0" w:color="000000"/>
            </w:tcBorders>
          </w:tcPr>
          <w:p w14:paraId="6AADD04F" w14:textId="77777777" w:rsidR="00054437" w:rsidRPr="000549B1" w:rsidRDefault="00000000">
            <w:pPr>
              <w:widowControl/>
              <w:jc w:val="center"/>
              <w:textAlignment w:val="top"/>
              <w:rPr>
                <w:szCs w:val="21"/>
              </w:rPr>
            </w:pPr>
            <w:r w:rsidRPr="000549B1">
              <w:rPr>
                <w:kern w:val="0"/>
                <w:szCs w:val="21"/>
                <w:lang w:bidi="ar"/>
              </w:rPr>
              <w:t>I</w:t>
            </w:r>
          </w:p>
        </w:tc>
        <w:tc>
          <w:tcPr>
            <w:tcW w:w="625" w:type="pct"/>
            <w:tcBorders>
              <w:top w:val="single" w:sz="4" w:space="0" w:color="000000"/>
              <w:left w:val="single" w:sz="4" w:space="0" w:color="000000"/>
              <w:bottom w:val="single" w:sz="4" w:space="0" w:color="000000"/>
              <w:right w:val="single" w:sz="4" w:space="0" w:color="000000"/>
            </w:tcBorders>
            <w:vAlign w:val="center"/>
          </w:tcPr>
          <w:p w14:paraId="291D5BD0" w14:textId="77777777" w:rsidR="00054437" w:rsidRPr="000549B1" w:rsidRDefault="00000000">
            <w:pPr>
              <w:widowControl/>
              <w:jc w:val="center"/>
              <w:textAlignment w:val="center"/>
              <w:rPr>
                <w:szCs w:val="21"/>
              </w:rPr>
            </w:pPr>
            <w:r w:rsidRPr="000549B1">
              <w:rPr>
                <w:kern w:val="0"/>
                <w:szCs w:val="21"/>
                <w:lang w:bidi="ar"/>
              </w:rPr>
              <w:t>&lt;0.004</w:t>
            </w:r>
          </w:p>
        </w:tc>
        <w:tc>
          <w:tcPr>
            <w:tcW w:w="408" w:type="pct"/>
            <w:tcBorders>
              <w:top w:val="single" w:sz="4" w:space="0" w:color="000000"/>
              <w:left w:val="single" w:sz="4" w:space="0" w:color="000000"/>
              <w:bottom w:val="single" w:sz="4" w:space="0" w:color="000000"/>
              <w:right w:val="single" w:sz="4" w:space="0" w:color="000000"/>
            </w:tcBorders>
            <w:vAlign w:val="center"/>
          </w:tcPr>
          <w:p w14:paraId="665810BA" w14:textId="77777777" w:rsidR="00054437" w:rsidRPr="000549B1" w:rsidRDefault="00000000">
            <w:pPr>
              <w:widowControl/>
              <w:jc w:val="center"/>
              <w:textAlignment w:val="center"/>
              <w:rPr>
                <w:szCs w:val="21"/>
              </w:rPr>
            </w:pPr>
            <w:r w:rsidRPr="000549B1">
              <w:rPr>
                <w:kern w:val="0"/>
                <w:szCs w:val="21"/>
                <w:lang w:bidi="ar"/>
              </w:rPr>
              <w:t>I</w:t>
            </w:r>
          </w:p>
        </w:tc>
        <w:tc>
          <w:tcPr>
            <w:tcW w:w="657" w:type="pct"/>
            <w:tcBorders>
              <w:top w:val="single" w:sz="4" w:space="0" w:color="000000"/>
              <w:left w:val="single" w:sz="4" w:space="0" w:color="000000"/>
              <w:bottom w:val="single" w:sz="4" w:space="0" w:color="000000"/>
              <w:right w:val="single" w:sz="4" w:space="0" w:color="000000"/>
            </w:tcBorders>
            <w:noWrap/>
            <w:vAlign w:val="center"/>
          </w:tcPr>
          <w:p w14:paraId="5B86AB6D" w14:textId="77777777" w:rsidR="00054437" w:rsidRPr="000549B1" w:rsidRDefault="00000000">
            <w:pPr>
              <w:widowControl/>
              <w:jc w:val="center"/>
              <w:textAlignment w:val="center"/>
              <w:rPr>
                <w:szCs w:val="21"/>
              </w:rPr>
            </w:pPr>
            <w:r w:rsidRPr="000549B1">
              <w:rPr>
                <w:kern w:val="0"/>
                <w:szCs w:val="21"/>
                <w:lang w:bidi="ar"/>
              </w:rPr>
              <w:t>＜</w:t>
            </w:r>
            <w:r w:rsidRPr="000549B1">
              <w:rPr>
                <w:rStyle w:val="font71"/>
                <w:color w:val="auto"/>
                <w:szCs w:val="21"/>
                <w:lang w:bidi="ar"/>
              </w:rPr>
              <w:t>0.004</w:t>
            </w:r>
          </w:p>
        </w:tc>
        <w:tc>
          <w:tcPr>
            <w:tcW w:w="408" w:type="pct"/>
            <w:tcBorders>
              <w:top w:val="single" w:sz="4" w:space="0" w:color="000000"/>
              <w:left w:val="single" w:sz="4" w:space="0" w:color="000000"/>
              <w:bottom w:val="single" w:sz="4" w:space="0" w:color="000000"/>
              <w:right w:val="single" w:sz="4" w:space="0" w:color="000000"/>
            </w:tcBorders>
          </w:tcPr>
          <w:p w14:paraId="586B581A" w14:textId="77777777" w:rsidR="00054437" w:rsidRPr="000549B1" w:rsidRDefault="00000000">
            <w:pPr>
              <w:widowControl/>
              <w:jc w:val="center"/>
              <w:textAlignment w:val="top"/>
              <w:rPr>
                <w:szCs w:val="21"/>
              </w:rPr>
            </w:pPr>
            <w:r w:rsidRPr="000549B1">
              <w:rPr>
                <w:kern w:val="0"/>
                <w:szCs w:val="21"/>
                <w:lang w:bidi="ar"/>
              </w:rPr>
              <w:t>I</w:t>
            </w:r>
          </w:p>
        </w:tc>
      </w:tr>
      <w:tr w:rsidR="000549B1" w:rsidRPr="000549B1" w14:paraId="7E6EB376" w14:textId="77777777">
        <w:trPr>
          <w:trHeight w:val="300"/>
        </w:trPr>
        <w:tc>
          <w:tcPr>
            <w:tcW w:w="774" w:type="pct"/>
            <w:tcBorders>
              <w:top w:val="single" w:sz="4" w:space="0" w:color="000000"/>
              <w:left w:val="single" w:sz="4" w:space="0" w:color="000000"/>
              <w:bottom w:val="single" w:sz="4" w:space="0" w:color="000000"/>
              <w:right w:val="single" w:sz="4" w:space="0" w:color="000000"/>
            </w:tcBorders>
            <w:vAlign w:val="center"/>
          </w:tcPr>
          <w:p w14:paraId="42092EB5" w14:textId="77777777" w:rsidR="00054437" w:rsidRPr="000549B1" w:rsidRDefault="00000000">
            <w:pPr>
              <w:widowControl/>
              <w:jc w:val="center"/>
              <w:textAlignment w:val="center"/>
              <w:rPr>
                <w:b/>
                <w:bCs/>
                <w:szCs w:val="21"/>
              </w:rPr>
            </w:pPr>
            <w:r w:rsidRPr="000549B1">
              <w:rPr>
                <w:b/>
                <w:bCs/>
                <w:kern w:val="0"/>
                <w:szCs w:val="21"/>
                <w:lang w:bidi="ar"/>
              </w:rPr>
              <w:t>铜</w:t>
            </w:r>
          </w:p>
        </w:tc>
        <w:tc>
          <w:tcPr>
            <w:tcW w:w="628" w:type="pct"/>
            <w:tcBorders>
              <w:top w:val="single" w:sz="4" w:space="0" w:color="000000"/>
              <w:left w:val="single" w:sz="4" w:space="0" w:color="000000"/>
              <w:bottom w:val="single" w:sz="4" w:space="0" w:color="000000"/>
              <w:right w:val="single" w:sz="4" w:space="0" w:color="000000"/>
            </w:tcBorders>
            <w:vAlign w:val="center"/>
          </w:tcPr>
          <w:p w14:paraId="7551ADF1" w14:textId="77777777" w:rsidR="00054437" w:rsidRPr="000549B1" w:rsidRDefault="00000000">
            <w:pPr>
              <w:widowControl/>
              <w:jc w:val="center"/>
              <w:textAlignment w:val="center"/>
              <w:rPr>
                <w:szCs w:val="21"/>
              </w:rPr>
            </w:pPr>
            <w:r w:rsidRPr="000549B1">
              <w:rPr>
                <w:kern w:val="0"/>
                <w:szCs w:val="21"/>
                <w:lang w:bidi="ar"/>
              </w:rPr>
              <w:t>＜</w:t>
            </w:r>
            <w:r w:rsidRPr="000549B1">
              <w:rPr>
                <w:rStyle w:val="font61"/>
                <w:color w:val="auto"/>
                <w:szCs w:val="21"/>
                <w:lang w:bidi="ar"/>
              </w:rPr>
              <w:t>0.006</w:t>
            </w:r>
          </w:p>
        </w:tc>
        <w:tc>
          <w:tcPr>
            <w:tcW w:w="415" w:type="pct"/>
            <w:tcBorders>
              <w:top w:val="single" w:sz="4" w:space="0" w:color="000000"/>
              <w:left w:val="single" w:sz="4" w:space="0" w:color="000000"/>
              <w:bottom w:val="single" w:sz="4" w:space="0" w:color="000000"/>
              <w:right w:val="single" w:sz="4" w:space="0" w:color="000000"/>
            </w:tcBorders>
          </w:tcPr>
          <w:p w14:paraId="598AEEBC" w14:textId="77777777" w:rsidR="00054437" w:rsidRPr="000549B1" w:rsidRDefault="00000000">
            <w:pPr>
              <w:widowControl/>
              <w:jc w:val="center"/>
              <w:textAlignment w:val="top"/>
              <w:rPr>
                <w:szCs w:val="21"/>
              </w:rPr>
            </w:pPr>
            <w:r w:rsidRPr="000549B1">
              <w:rPr>
                <w:kern w:val="0"/>
                <w:szCs w:val="21"/>
                <w:lang w:bidi="ar"/>
              </w:rPr>
              <w:t>I</w:t>
            </w:r>
          </w:p>
        </w:tc>
        <w:tc>
          <w:tcPr>
            <w:tcW w:w="665" w:type="pct"/>
            <w:tcBorders>
              <w:top w:val="single" w:sz="4" w:space="0" w:color="000000"/>
              <w:left w:val="single" w:sz="4" w:space="0" w:color="000000"/>
              <w:bottom w:val="single" w:sz="4" w:space="0" w:color="000000"/>
              <w:right w:val="single" w:sz="4" w:space="0" w:color="000000"/>
            </w:tcBorders>
            <w:noWrap/>
            <w:vAlign w:val="center"/>
          </w:tcPr>
          <w:p w14:paraId="41F589A0" w14:textId="77777777" w:rsidR="00054437" w:rsidRPr="000549B1" w:rsidRDefault="00000000">
            <w:pPr>
              <w:widowControl/>
              <w:jc w:val="center"/>
              <w:textAlignment w:val="center"/>
              <w:rPr>
                <w:szCs w:val="21"/>
              </w:rPr>
            </w:pPr>
            <w:r w:rsidRPr="000549B1">
              <w:rPr>
                <w:kern w:val="0"/>
                <w:szCs w:val="21"/>
                <w:lang w:bidi="ar"/>
              </w:rPr>
              <w:t>0.02</w:t>
            </w:r>
          </w:p>
        </w:tc>
        <w:tc>
          <w:tcPr>
            <w:tcW w:w="415" w:type="pct"/>
            <w:tcBorders>
              <w:top w:val="single" w:sz="4" w:space="0" w:color="000000"/>
              <w:left w:val="single" w:sz="4" w:space="0" w:color="000000"/>
              <w:bottom w:val="single" w:sz="4" w:space="0" w:color="000000"/>
              <w:right w:val="single" w:sz="4" w:space="0" w:color="000000"/>
            </w:tcBorders>
          </w:tcPr>
          <w:p w14:paraId="03AD851D" w14:textId="77777777" w:rsidR="00054437" w:rsidRPr="000549B1" w:rsidRDefault="00000000">
            <w:pPr>
              <w:widowControl/>
              <w:jc w:val="center"/>
              <w:textAlignment w:val="top"/>
              <w:rPr>
                <w:szCs w:val="21"/>
              </w:rPr>
            </w:pPr>
            <w:r w:rsidRPr="000549B1">
              <w:rPr>
                <w:kern w:val="0"/>
                <w:szCs w:val="21"/>
                <w:lang w:bidi="ar"/>
              </w:rPr>
              <w:t>Ⅱ</w:t>
            </w:r>
          </w:p>
        </w:tc>
        <w:tc>
          <w:tcPr>
            <w:tcW w:w="625" w:type="pct"/>
            <w:tcBorders>
              <w:top w:val="single" w:sz="4" w:space="0" w:color="000000"/>
              <w:left w:val="single" w:sz="4" w:space="0" w:color="000000"/>
              <w:bottom w:val="single" w:sz="4" w:space="0" w:color="000000"/>
              <w:right w:val="single" w:sz="4" w:space="0" w:color="000000"/>
            </w:tcBorders>
            <w:vAlign w:val="center"/>
          </w:tcPr>
          <w:p w14:paraId="32D84FAD" w14:textId="77777777" w:rsidR="00054437" w:rsidRPr="000549B1" w:rsidRDefault="00000000">
            <w:pPr>
              <w:widowControl/>
              <w:jc w:val="center"/>
              <w:textAlignment w:val="center"/>
              <w:rPr>
                <w:szCs w:val="21"/>
              </w:rPr>
            </w:pPr>
            <w:r w:rsidRPr="000549B1">
              <w:rPr>
                <w:kern w:val="0"/>
                <w:szCs w:val="21"/>
                <w:lang w:bidi="ar"/>
              </w:rPr>
              <w:t>&lt;0.006</w:t>
            </w:r>
          </w:p>
        </w:tc>
        <w:tc>
          <w:tcPr>
            <w:tcW w:w="408" w:type="pct"/>
            <w:tcBorders>
              <w:top w:val="single" w:sz="4" w:space="0" w:color="000000"/>
              <w:left w:val="single" w:sz="4" w:space="0" w:color="000000"/>
              <w:bottom w:val="single" w:sz="4" w:space="0" w:color="000000"/>
              <w:right w:val="single" w:sz="4" w:space="0" w:color="000000"/>
            </w:tcBorders>
            <w:vAlign w:val="center"/>
          </w:tcPr>
          <w:p w14:paraId="2F7564C8" w14:textId="77777777" w:rsidR="00054437" w:rsidRPr="000549B1" w:rsidRDefault="00000000">
            <w:pPr>
              <w:widowControl/>
              <w:jc w:val="center"/>
              <w:textAlignment w:val="center"/>
              <w:rPr>
                <w:szCs w:val="21"/>
              </w:rPr>
            </w:pPr>
            <w:r w:rsidRPr="000549B1">
              <w:rPr>
                <w:kern w:val="0"/>
                <w:szCs w:val="21"/>
                <w:lang w:bidi="ar"/>
              </w:rPr>
              <w:t>I</w:t>
            </w:r>
          </w:p>
        </w:tc>
        <w:tc>
          <w:tcPr>
            <w:tcW w:w="657" w:type="pct"/>
            <w:tcBorders>
              <w:top w:val="single" w:sz="4" w:space="0" w:color="000000"/>
              <w:left w:val="single" w:sz="4" w:space="0" w:color="000000"/>
              <w:bottom w:val="single" w:sz="4" w:space="0" w:color="000000"/>
              <w:right w:val="single" w:sz="4" w:space="0" w:color="000000"/>
            </w:tcBorders>
            <w:noWrap/>
            <w:vAlign w:val="center"/>
          </w:tcPr>
          <w:p w14:paraId="45A82AB1" w14:textId="77777777" w:rsidR="00054437" w:rsidRPr="000549B1" w:rsidRDefault="00000000">
            <w:pPr>
              <w:widowControl/>
              <w:jc w:val="center"/>
              <w:textAlignment w:val="center"/>
              <w:rPr>
                <w:szCs w:val="21"/>
              </w:rPr>
            </w:pPr>
            <w:r w:rsidRPr="000549B1">
              <w:rPr>
                <w:kern w:val="0"/>
                <w:szCs w:val="21"/>
                <w:lang w:bidi="ar"/>
              </w:rPr>
              <w:t>0.01</w:t>
            </w:r>
          </w:p>
        </w:tc>
        <w:tc>
          <w:tcPr>
            <w:tcW w:w="408" w:type="pct"/>
            <w:tcBorders>
              <w:top w:val="single" w:sz="4" w:space="0" w:color="000000"/>
              <w:left w:val="single" w:sz="4" w:space="0" w:color="000000"/>
              <w:bottom w:val="single" w:sz="4" w:space="0" w:color="000000"/>
              <w:right w:val="single" w:sz="4" w:space="0" w:color="000000"/>
            </w:tcBorders>
          </w:tcPr>
          <w:p w14:paraId="5F7AA091" w14:textId="77777777" w:rsidR="00054437" w:rsidRPr="000549B1" w:rsidRDefault="00000000">
            <w:pPr>
              <w:widowControl/>
              <w:jc w:val="center"/>
              <w:textAlignment w:val="top"/>
              <w:rPr>
                <w:szCs w:val="21"/>
              </w:rPr>
            </w:pPr>
            <w:r w:rsidRPr="000549B1">
              <w:rPr>
                <w:kern w:val="0"/>
                <w:szCs w:val="21"/>
                <w:lang w:bidi="ar"/>
              </w:rPr>
              <w:t>I</w:t>
            </w:r>
          </w:p>
        </w:tc>
      </w:tr>
      <w:tr w:rsidR="000549B1" w:rsidRPr="000549B1" w14:paraId="7E056FD0" w14:textId="77777777">
        <w:trPr>
          <w:trHeight w:val="300"/>
        </w:trPr>
        <w:tc>
          <w:tcPr>
            <w:tcW w:w="774" w:type="pct"/>
            <w:tcBorders>
              <w:top w:val="single" w:sz="4" w:space="0" w:color="000000"/>
              <w:left w:val="single" w:sz="4" w:space="0" w:color="000000"/>
              <w:bottom w:val="single" w:sz="4" w:space="0" w:color="000000"/>
              <w:right w:val="single" w:sz="4" w:space="0" w:color="000000"/>
            </w:tcBorders>
            <w:vAlign w:val="center"/>
          </w:tcPr>
          <w:p w14:paraId="77E7BF6F" w14:textId="77777777" w:rsidR="00054437" w:rsidRPr="000549B1" w:rsidRDefault="00000000">
            <w:pPr>
              <w:widowControl/>
              <w:jc w:val="center"/>
              <w:textAlignment w:val="center"/>
              <w:rPr>
                <w:b/>
                <w:bCs/>
                <w:szCs w:val="21"/>
              </w:rPr>
            </w:pPr>
            <w:r w:rsidRPr="000549B1">
              <w:rPr>
                <w:b/>
                <w:bCs/>
                <w:kern w:val="0"/>
                <w:szCs w:val="21"/>
                <w:lang w:bidi="ar"/>
              </w:rPr>
              <w:t>锌</w:t>
            </w:r>
          </w:p>
        </w:tc>
        <w:tc>
          <w:tcPr>
            <w:tcW w:w="628" w:type="pct"/>
            <w:tcBorders>
              <w:top w:val="single" w:sz="4" w:space="0" w:color="000000"/>
              <w:left w:val="single" w:sz="4" w:space="0" w:color="000000"/>
              <w:bottom w:val="single" w:sz="4" w:space="0" w:color="000000"/>
              <w:right w:val="single" w:sz="4" w:space="0" w:color="000000"/>
            </w:tcBorders>
            <w:vAlign w:val="center"/>
          </w:tcPr>
          <w:p w14:paraId="10A7F20C" w14:textId="77777777" w:rsidR="00054437" w:rsidRPr="000549B1" w:rsidRDefault="00000000">
            <w:pPr>
              <w:widowControl/>
              <w:jc w:val="center"/>
              <w:textAlignment w:val="center"/>
              <w:rPr>
                <w:szCs w:val="21"/>
              </w:rPr>
            </w:pPr>
            <w:r w:rsidRPr="000549B1">
              <w:rPr>
                <w:kern w:val="0"/>
                <w:szCs w:val="21"/>
                <w:lang w:bidi="ar"/>
              </w:rPr>
              <w:t>＜</w:t>
            </w:r>
            <w:r w:rsidRPr="000549B1">
              <w:rPr>
                <w:rStyle w:val="font61"/>
                <w:color w:val="auto"/>
                <w:szCs w:val="21"/>
                <w:lang w:bidi="ar"/>
              </w:rPr>
              <w:t>0.004</w:t>
            </w:r>
          </w:p>
        </w:tc>
        <w:tc>
          <w:tcPr>
            <w:tcW w:w="415" w:type="pct"/>
            <w:tcBorders>
              <w:top w:val="single" w:sz="4" w:space="0" w:color="000000"/>
              <w:left w:val="single" w:sz="4" w:space="0" w:color="000000"/>
              <w:bottom w:val="single" w:sz="4" w:space="0" w:color="000000"/>
              <w:right w:val="single" w:sz="4" w:space="0" w:color="000000"/>
            </w:tcBorders>
          </w:tcPr>
          <w:p w14:paraId="15FD7F6B" w14:textId="77777777" w:rsidR="00054437" w:rsidRPr="000549B1" w:rsidRDefault="00000000">
            <w:pPr>
              <w:widowControl/>
              <w:jc w:val="center"/>
              <w:textAlignment w:val="top"/>
              <w:rPr>
                <w:szCs w:val="21"/>
              </w:rPr>
            </w:pPr>
            <w:r w:rsidRPr="000549B1">
              <w:rPr>
                <w:kern w:val="0"/>
                <w:szCs w:val="21"/>
                <w:lang w:bidi="ar"/>
              </w:rPr>
              <w:t>I</w:t>
            </w:r>
          </w:p>
        </w:tc>
        <w:tc>
          <w:tcPr>
            <w:tcW w:w="665" w:type="pct"/>
            <w:tcBorders>
              <w:top w:val="single" w:sz="4" w:space="0" w:color="000000"/>
              <w:left w:val="single" w:sz="4" w:space="0" w:color="000000"/>
              <w:bottom w:val="single" w:sz="4" w:space="0" w:color="000000"/>
              <w:right w:val="single" w:sz="4" w:space="0" w:color="000000"/>
            </w:tcBorders>
            <w:noWrap/>
            <w:vAlign w:val="center"/>
          </w:tcPr>
          <w:p w14:paraId="390DE32B" w14:textId="77777777" w:rsidR="00054437" w:rsidRPr="000549B1" w:rsidRDefault="00000000">
            <w:pPr>
              <w:widowControl/>
              <w:jc w:val="center"/>
              <w:textAlignment w:val="center"/>
              <w:rPr>
                <w:szCs w:val="21"/>
              </w:rPr>
            </w:pPr>
            <w:r w:rsidRPr="000549B1">
              <w:rPr>
                <w:kern w:val="0"/>
                <w:szCs w:val="21"/>
                <w:lang w:bidi="ar"/>
              </w:rPr>
              <w:t>0.34</w:t>
            </w:r>
          </w:p>
        </w:tc>
        <w:tc>
          <w:tcPr>
            <w:tcW w:w="415" w:type="pct"/>
            <w:tcBorders>
              <w:top w:val="single" w:sz="4" w:space="0" w:color="000000"/>
              <w:left w:val="single" w:sz="4" w:space="0" w:color="000000"/>
              <w:bottom w:val="single" w:sz="4" w:space="0" w:color="000000"/>
              <w:right w:val="single" w:sz="4" w:space="0" w:color="000000"/>
            </w:tcBorders>
          </w:tcPr>
          <w:p w14:paraId="64D0C468" w14:textId="77777777" w:rsidR="00054437" w:rsidRPr="000549B1" w:rsidRDefault="00000000">
            <w:pPr>
              <w:widowControl/>
              <w:jc w:val="center"/>
              <w:textAlignment w:val="top"/>
              <w:rPr>
                <w:szCs w:val="21"/>
              </w:rPr>
            </w:pPr>
            <w:r w:rsidRPr="000549B1">
              <w:rPr>
                <w:kern w:val="0"/>
                <w:szCs w:val="21"/>
                <w:lang w:bidi="ar"/>
              </w:rPr>
              <w:t>I</w:t>
            </w:r>
          </w:p>
        </w:tc>
        <w:tc>
          <w:tcPr>
            <w:tcW w:w="625" w:type="pct"/>
            <w:tcBorders>
              <w:top w:val="single" w:sz="4" w:space="0" w:color="000000"/>
              <w:left w:val="single" w:sz="4" w:space="0" w:color="000000"/>
              <w:bottom w:val="single" w:sz="4" w:space="0" w:color="000000"/>
              <w:right w:val="single" w:sz="4" w:space="0" w:color="000000"/>
            </w:tcBorders>
            <w:vAlign w:val="center"/>
          </w:tcPr>
          <w:p w14:paraId="380BB72D" w14:textId="77777777" w:rsidR="00054437" w:rsidRPr="000549B1" w:rsidRDefault="00000000">
            <w:pPr>
              <w:widowControl/>
              <w:jc w:val="center"/>
              <w:textAlignment w:val="center"/>
              <w:rPr>
                <w:szCs w:val="21"/>
              </w:rPr>
            </w:pPr>
            <w:r w:rsidRPr="000549B1">
              <w:rPr>
                <w:kern w:val="0"/>
                <w:szCs w:val="21"/>
                <w:lang w:bidi="ar"/>
              </w:rPr>
              <w:t>&lt;0.004</w:t>
            </w:r>
          </w:p>
        </w:tc>
        <w:tc>
          <w:tcPr>
            <w:tcW w:w="408" w:type="pct"/>
            <w:tcBorders>
              <w:top w:val="single" w:sz="4" w:space="0" w:color="000000"/>
              <w:left w:val="single" w:sz="4" w:space="0" w:color="000000"/>
              <w:bottom w:val="single" w:sz="4" w:space="0" w:color="000000"/>
              <w:right w:val="single" w:sz="4" w:space="0" w:color="000000"/>
            </w:tcBorders>
            <w:vAlign w:val="center"/>
          </w:tcPr>
          <w:p w14:paraId="347F1AAE" w14:textId="77777777" w:rsidR="00054437" w:rsidRPr="000549B1" w:rsidRDefault="00000000">
            <w:pPr>
              <w:widowControl/>
              <w:jc w:val="center"/>
              <w:textAlignment w:val="center"/>
              <w:rPr>
                <w:szCs w:val="21"/>
              </w:rPr>
            </w:pPr>
            <w:r w:rsidRPr="000549B1">
              <w:rPr>
                <w:kern w:val="0"/>
                <w:szCs w:val="21"/>
                <w:lang w:bidi="ar"/>
              </w:rPr>
              <w:t>I</w:t>
            </w:r>
          </w:p>
        </w:tc>
        <w:tc>
          <w:tcPr>
            <w:tcW w:w="657" w:type="pct"/>
            <w:tcBorders>
              <w:top w:val="single" w:sz="4" w:space="0" w:color="000000"/>
              <w:left w:val="single" w:sz="4" w:space="0" w:color="000000"/>
              <w:bottom w:val="single" w:sz="4" w:space="0" w:color="000000"/>
              <w:right w:val="single" w:sz="4" w:space="0" w:color="000000"/>
            </w:tcBorders>
            <w:noWrap/>
            <w:vAlign w:val="center"/>
          </w:tcPr>
          <w:p w14:paraId="0B2F5D2E" w14:textId="77777777" w:rsidR="00054437" w:rsidRPr="000549B1" w:rsidRDefault="00000000">
            <w:pPr>
              <w:widowControl/>
              <w:jc w:val="center"/>
              <w:textAlignment w:val="center"/>
              <w:rPr>
                <w:szCs w:val="21"/>
              </w:rPr>
            </w:pPr>
            <w:r w:rsidRPr="000549B1">
              <w:rPr>
                <w:kern w:val="0"/>
                <w:szCs w:val="21"/>
                <w:lang w:bidi="ar"/>
              </w:rPr>
              <w:t>0.29</w:t>
            </w:r>
          </w:p>
        </w:tc>
        <w:tc>
          <w:tcPr>
            <w:tcW w:w="408" w:type="pct"/>
            <w:tcBorders>
              <w:top w:val="single" w:sz="4" w:space="0" w:color="000000"/>
              <w:left w:val="single" w:sz="4" w:space="0" w:color="000000"/>
              <w:bottom w:val="single" w:sz="4" w:space="0" w:color="000000"/>
              <w:right w:val="single" w:sz="4" w:space="0" w:color="000000"/>
            </w:tcBorders>
          </w:tcPr>
          <w:p w14:paraId="33166AA1" w14:textId="77777777" w:rsidR="00054437" w:rsidRPr="000549B1" w:rsidRDefault="00000000">
            <w:pPr>
              <w:widowControl/>
              <w:jc w:val="center"/>
              <w:textAlignment w:val="top"/>
              <w:rPr>
                <w:szCs w:val="21"/>
              </w:rPr>
            </w:pPr>
            <w:r w:rsidRPr="000549B1">
              <w:rPr>
                <w:kern w:val="0"/>
                <w:szCs w:val="21"/>
                <w:lang w:bidi="ar"/>
              </w:rPr>
              <w:t>I</w:t>
            </w:r>
          </w:p>
        </w:tc>
      </w:tr>
      <w:tr w:rsidR="000549B1" w:rsidRPr="000549B1" w14:paraId="25A4DB10" w14:textId="77777777">
        <w:trPr>
          <w:trHeight w:val="300"/>
        </w:trPr>
        <w:tc>
          <w:tcPr>
            <w:tcW w:w="774" w:type="pct"/>
            <w:tcBorders>
              <w:top w:val="single" w:sz="4" w:space="0" w:color="000000"/>
              <w:left w:val="single" w:sz="4" w:space="0" w:color="000000"/>
              <w:bottom w:val="single" w:sz="4" w:space="0" w:color="000000"/>
              <w:right w:val="single" w:sz="4" w:space="0" w:color="000000"/>
            </w:tcBorders>
            <w:vAlign w:val="center"/>
          </w:tcPr>
          <w:p w14:paraId="319F69C9" w14:textId="77777777" w:rsidR="00054437" w:rsidRPr="000549B1" w:rsidRDefault="00000000">
            <w:pPr>
              <w:widowControl/>
              <w:jc w:val="center"/>
              <w:textAlignment w:val="center"/>
              <w:rPr>
                <w:b/>
                <w:bCs/>
                <w:szCs w:val="21"/>
              </w:rPr>
            </w:pPr>
            <w:r w:rsidRPr="000549B1">
              <w:rPr>
                <w:b/>
                <w:bCs/>
                <w:kern w:val="0"/>
                <w:szCs w:val="21"/>
                <w:lang w:bidi="ar"/>
              </w:rPr>
              <w:t>硒</w:t>
            </w:r>
          </w:p>
        </w:tc>
        <w:tc>
          <w:tcPr>
            <w:tcW w:w="628" w:type="pct"/>
            <w:tcBorders>
              <w:top w:val="single" w:sz="4" w:space="0" w:color="000000"/>
              <w:left w:val="single" w:sz="4" w:space="0" w:color="000000"/>
              <w:bottom w:val="single" w:sz="4" w:space="0" w:color="000000"/>
              <w:right w:val="single" w:sz="4" w:space="0" w:color="000000"/>
            </w:tcBorders>
            <w:vAlign w:val="center"/>
          </w:tcPr>
          <w:p w14:paraId="4BAA1B29" w14:textId="77777777" w:rsidR="00054437" w:rsidRPr="000549B1" w:rsidRDefault="00000000">
            <w:pPr>
              <w:widowControl/>
              <w:jc w:val="center"/>
              <w:textAlignment w:val="center"/>
              <w:rPr>
                <w:szCs w:val="21"/>
              </w:rPr>
            </w:pPr>
            <w:r w:rsidRPr="000549B1">
              <w:rPr>
                <w:kern w:val="0"/>
                <w:szCs w:val="21"/>
                <w:lang w:bidi="ar"/>
              </w:rPr>
              <w:t>＜</w:t>
            </w:r>
            <w:r w:rsidRPr="000549B1">
              <w:rPr>
                <w:rStyle w:val="font61"/>
                <w:color w:val="auto"/>
                <w:szCs w:val="21"/>
                <w:lang w:bidi="ar"/>
              </w:rPr>
              <w:t>0.0004</w:t>
            </w:r>
          </w:p>
        </w:tc>
        <w:tc>
          <w:tcPr>
            <w:tcW w:w="415" w:type="pct"/>
            <w:tcBorders>
              <w:top w:val="single" w:sz="4" w:space="0" w:color="000000"/>
              <w:left w:val="single" w:sz="4" w:space="0" w:color="000000"/>
              <w:bottom w:val="single" w:sz="4" w:space="0" w:color="000000"/>
              <w:right w:val="single" w:sz="4" w:space="0" w:color="000000"/>
            </w:tcBorders>
          </w:tcPr>
          <w:p w14:paraId="57E0D740" w14:textId="77777777" w:rsidR="00054437" w:rsidRPr="000549B1" w:rsidRDefault="00000000">
            <w:pPr>
              <w:widowControl/>
              <w:jc w:val="center"/>
              <w:textAlignment w:val="top"/>
              <w:rPr>
                <w:szCs w:val="21"/>
              </w:rPr>
            </w:pPr>
            <w:r w:rsidRPr="000549B1">
              <w:rPr>
                <w:kern w:val="0"/>
                <w:szCs w:val="21"/>
                <w:lang w:bidi="ar"/>
              </w:rPr>
              <w:t>I</w:t>
            </w:r>
          </w:p>
        </w:tc>
        <w:tc>
          <w:tcPr>
            <w:tcW w:w="665" w:type="pct"/>
            <w:tcBorders>
              <w:top w:val="single" w:sz="4" w:space="0" w:color="000000"/>
              <w:left w:val="single" w:sz="4" w:space="0" w:color="000000"/>
              <w:bottom w:val="single" w:sz="4" w:space="0" w:color="000000"/>
              <w:right w:val="single" w:sz="4" w:space="0" w:color="000000"/>
            </w:tcBorders>
            <w:noWrap/>
            <w:vAlign w:val="center"/>
          </w:tcPr>
          <w:p w14:paraId="67AE868B" w14:textId="77777777" w:rsidR="00054437" w:rsidRPr="000549B1" w:rsidRDefault="00000000">
            <w:pPr>
              <w:widowControl/>
              <w:jc w:val="center"/>
              <w:textAlignment w:val="center"/>
              <w:rPr>
                <w:szCs w:val="21"/>
              </w:rPr>
            </w:pPr>
            <w:r w:rsidRPr="000549B1">
              <w:rPr>
                <w:kern w:val="0"/>
                <w:szCs w:val="21"/>
                <w:lang w:bidi="ar"/>
              </w:rPr>
              <w:t>0.00</w:t>
            </w:r>
          </w:p>
        </w:tc>
        <w:tc>
          <w:tcPr>
            <w:tcW w:w="415" w:type="pct"/>
            <w:tcBorders>
              <w:top w:val="single" w:sz="4" w:space="0" w:color="000000"/>
              <w:left w:val="single" w:sz="4" w:space="0" w:color="000000"/>
              <w:bottom w:val="single" w:sz="4" w:space="0" w:color="000000"/>
              <w:right w:val="single" w:sz="4" w:space="0" w:color="000000"/>
            </w:tcBorders>
          </w:tcPr>
          <w:p w14:paraId="2D6C6999" w14:textId="77777777" w:rsidR="00054437" w:rsidRPr="000549B1" w:rsidRDefault="00000000">
            <w:pPr>
              <w:widowControl/>
              <w:jc w:val="center"/>
              <w:textAlignment w:val="top"/>
              <w:rPr>
                <w:szCs w:val="21"/>
              </w:rPr>
            </w:pPr>
            <w:r w:rsidRPr="000549B1">
              <w:rPr>
                <w:kern w:val="0"/>
                <w:szCs w:val="21"/>
                <w:lang w:bidi="ar"/>
              </w:rPr>
              <w:t>I</w:t>
            </w:r>
          </w:p>
        </w:tc>
        <w:tc>
          <w:tcPr>
            <w:tcW w:w="625" w:type="pct"/>
            <w:tcBorders>
              <w:top w:val="single" w:sz="4" w:space="0" w:color="000000"/>
              <w:left w:val="single" w:sz="4" w:space="0" w:color="000000"/>
              <w:bottom w:val="single" w:sz="4" w:space="0" w:color="000000"/>
              <w:right w:val="single" w:sz="4" w:space="0" w:color="000000"/>
            </w:tcBorders>
            <w:vAlign w:val="center"/>
          </w:tcPr>
          <w:p w14:paraId="331BEA06" w14:textId="77777777" w:rsidR="00054437" w:rsidRPr="000549B1" w:rsidRDefault="00000000">
            <w:pPr>
              <w:widowControl/>
              <w:jc w:val="center"/>
              <w:textAlignment w:val="center"/>
              <w:rPr>
                <w:szCs w:val="21"/>
              </w:rPr>
            </w:pPr>
            <w:r w:rsidRPr="000549B1">
              <w:rPr>
                <w:kern w:val="0"/>
                <w:szCs w:val="21"/>
                <w:lang w:bidi="ar"/>
              </w:rPr>
              <w:t>&lt;0.0004</w:t>
            </w:r>
          </w:p>
        </w:tc>
        <w:tc>
          <w:tcPr>
            <w:tcW w:w="408" w:type="pct"/>
            <w:tcBorders>
              <w:top w:val="single" w:sz="4" w:space="0" w:color="000000"/>
              <w:left w:val="single" w:sz="4" w:space="0" w:color="000000"/>
              <w:bottom w:val="single" w:sz="4" w:space="0" w:color="000000"/>
              <w:right w:val="single" w:sz="4" w:space="0" w:color="000000"/>
            </w:tcBorders>
            <w:vAlign w:val="center"/>
          </w:tcPr>
          <w:p w14:paraId="50EDC10B" w14:textId="77777777" w:rsidR="00054437" w:rsidRPr="000549B1" w:rsidRDefault="00000000">
            <w:pPr>
              <w:widowControl/>
              <w:jc w:val="center"/>
              <w:textAlignment w:val="center"/>
              <w:rPr>
                <w:szCs w:val="21"/>
              </w:rPr>
            </w:pPr>
            <w:r w:rsidRPr="000549B1">
              <w:rPr>
                <w:kern w:val="0"/>
                <w:szCs w:val="21"/>
                <w:lang w:bidi="ar"/>
              </w:rPr>
              <w:t>I</w:t>
            </w:r>
          </w:p>
        </w:tc>
        <w:tc>
          <w:tcPr>
            <w:tcW w:w="657" w:type="pct"/>
            <w:tcBorders>
              <w:top w:val="single" w:sz="4" w:space="0" w:color="000000"/>
              <w:left w:val="single" w:sz="4" w:space="0" w:color="000000"/>
              <w:bottom w:val="single" w:sz="4" w:space="0" w:color="000000"/>
              <w:right w:val="single" w:sz="4" w:space="0" w:color="000000"/>
            </w:tcBorders>
            <w:noWrap/>
            <w:vAlign w:val="center"/>
          </w:tcPr>
          <w:p w14:paraId="4C13AD2B" w14:textId="77777777" w:rsidR="00054437" w:rsidRPr="000549B1" w:rsidRDefault="00000000">
            <w:pPr>
              <w:widowControl/>
              <w:jc w:val="center"/>
              <w:textAlignment w:val="center"/>
              <w:rPr>
                <w:szCs w:val="21"/>
              </w:rPr>
            </w:pPr>
            <w:r w:rsidRPr="000549B1">
              <w:rPr>
                <w:kern w:val="0"/>
                <w:szCs w:val="21"/>
                <w:lang w:bidi="ar"/>
              </w:rPr>
              <w:t>0.00</w:t>
            </w:r>
          </w:p>
        </w:tc>
        <w:tc>
          <w:tcPr>
            <w:tcW w:w="408" w:type="pct"/>
            <w:tcBorders>
              <w:top w:val="single" w:sz="4" w:space="0" w:color="000000"/>
              <w:left w:val="single" w:sz="4" w:space="0" w:color="000000"/>
              <w:bottom w:val="single" w:sz="4" w:space="0" w:color="000000"/>
              <w:right w:val="single" w:sz="4" w:space="0" w:color="000000"/>
            </w:tcBorders>
          </w:tcPr>
          <w:p w14:paraId="29E73339" w14:textId="77777777" w:rsidR="00054437" w:rsidRPr="000549B1" w:rsidRDefault="00000000">
            <w:pPr>
              <w:widowControl/>
              <w:jc w:val="center"/>
              <w:textAlignment w:val="top"/>
              <w:rPr>
                <w:szCs w:val="21"/>
              </w:rPr>
            </w:pPr>
            <w:r w:rsidRPr="000549B1">
              <w:rPr>
                <w:kern w:val="0"/>
                <w:szCs w:val="21"/>
                <w:lang w:bidi="ar"/>
              </w:rPr>
              <w:t>I</w:t>
            </w:r>
          </w:p>
        </w:tc>
      </w:tr>
      <w:tr w:rsidR="000549B1" w:rsidRPr="000549B1" w14:paraId="1B4F6A3B" w14:textId="77777777">
        <w:trPr>
          <w:trHeight w:val="300"/>
        </w:trPr>
        <w:tc>
          <w:tcPr>
            <w:tcW w:w="774" w:type="pct"/>
            <w:tcBorders>
              <w:top w:val="single" w:sz="4" w:space="0" w:color="000000"/>
              <w:left w:val="single" w:sz="4" w:space="0" w:color="000000"/>
              <w:bottom w:val="single" w:sz="4" w:space="0" w:color="000000"/>
              <w:right w:val="single" w:sz="4" w:space="0" w:color="000000"/>
            </w:tcBorders>
            <w:vAlign w:val="center"/>
          </w:tcPr>
          <w:p w14:paraId="4074C7FC" w14:textId="77777777" w:rsidR="00054437" w:rsidRPr="000549B1" w:rsidRDefault="00000000">
            <w:pPr>
              <w:widowControl/>
              <w:jc w:val="center"/>
              <w:textAlignment w:val="center"/>
              <w:rPr>
                <w:b/>
                <w:bCs/>
                <w:szCs w:val="21"/>
              </w:rPr>
            </w:pPr>
            <w:r w:rsidRPr="000549B1">
              <w:rPr>
                <w:b/>
                <w:bCs/>
                <w:kern w:val="0"/>
                <w:szCs w:val="21"/>
                <w:lang w:bidi="ar"/>
              </w:rPr>
              <w:t>砷</w:t>
            </w:r>
          </w:p>
        </w:tc>
        <w:tc>
          <w:tcPr>
            <w:tcW w:w="628" w:type="pct"/>
            <w:tcBorders>
              <w:top w:val="single" w:sz="4" w:space="0" w:color="000000"/>
              <w:left w:val="single" w:sz="4" w:space="0" w:color="000000"/>
              <w:bottom w:val="single" w:sz="4" w:space="0" w:color="000000"/>
              <w:right w:val="single" w:sz="4" w:space="0" w:color="000000"/>
            </w:tcBorders>
            <w:vAlign w:val="center"/>
          </w:tcPr>
          <w:p w14:paraId="5B28D9D9" w14:textId="77777777" w:rsidR="00054437" w:rsidRPr="000549B1" w:rsidRDefault="00000000">
            <w:pPr>
              <w:widowControl/>
              <w:jc w:val="center"/>
              <w:textAlignment w:val="center"/>
              <w:rPr>
                <w:szCs w:val="21"/>
              </w:rPr>
            </w:pPr>
            <w:r w:rsidRPr="000549B1">
              <w:rPr>
                <w:kern w:val="0"/>
                <w:szCs w:val="21"/>
                <w:lang w:bidi="ar"/>
              </w:rPr>
              <w:t>0.000617</w:t>
            </w:r>
          </w:p>
        </w:tc>
        <w:tc>
          <w:tcPr>
            <w:tcW w:w="415" w:type="pct"/>
            <w:tcBorders>
              <w:top w:val="single" w:sz="4" w:space="0" w:color="000000"/>
              <w:left w:val="single" w:sz="4" w:space="0" w:color="000000"/>
              <w:bottom w:val="single" w:sz="4" w:space="0" w:color="000000"/>
              <w:right w:val="single" w:sz="4" w:space="0" w:color="000000"/>
            </w:tcBorders>
          </w:tcPr>
          <w:p w14:paraId="493A48BA" w14:textId="77777777" w:rsidR="00054437" w:rsidRPr="000549B1" w:rsidRDefault="00000000">
            <w:pPr>
              <w:widowControl/>
              <w:jc w:val="center"/>
              <w:textAlignment w:val="top"/>
              <w:rPr>
                <w:szCs w:val="21"/>
              </w:rPr>
            </w:pPr>
            <w:r w:rsidRPr="000549B1">
              <w:rPr>
                <w:kern w:val="0"/>
                <w:szCs w:val="21"/>
                <w:lang w:bidi="ar"/>
              </w:rPr>
              <w:t>I</w:t>
            </w:r>
          </w:p>
        </w:tc>
        <w:tc>
          <w:tcPr>
            <w:tcW w:w="665" w:type="pct"/>
            <w:tcBorders>
              <w:top w:val="single" w:sz="4" w:space="0" w:color="000000"/>
              <w:left w:val="single" w:sz="4" w:space="0" w:color="000000"/>
              <w:bottom w:val="single" w:sz="4" w:space="0" w:color="000000"/>
              <w:right w:val="single" w:sz="4" w:space="0" w:color="000000"/>
            </w:tcBorders>
            <w:noWrap/>
            <w:vAlign w:val="center"/>
          </w:tcPr>
          <w:p w14:paraId="5C04DAD0" w14:textId="77777777" w:rsidR="00054437" w:rsidRPr="000549B1" w:rsidRDefault="00000000">
            <w:pPr>
              <w:widowControl/>
              <w:jc w:val="center"/>
              <w:textAlignment w:val="center"/>
              <w:rPr>
                <w:szCs w:val="21"/>
              </w:rPr>
            </w:pPr>
            <w:r w:rsidRPr="000549B1">
              <w:rPr>
                <w:kern w:val="0"/>
                <w:szCs w:val="21"/>
                <w:lang w:bidi="ar"/>
              </w:rPr>
              <w:t>0.00</w:t>
            </w:r>
          </w:p>
        </w:tc>
        <w:tc>
          <w:tcPr>
            <w:tcW w:w="415" w:type="pct"/>
            <w:tcBorders>
              <w:top w:val="single" w:sz="4" w:space="0" w:color="000000"/>
              <w:left w:val="single" w:sz="4" w:space="0" w:color="000000"/>
              <w:bottom w:val="single" w:sz="4" w:space="0" w:color="000000"/>
              <w:right w:val="single" w:sz="4" w:space="0" w:color="000000"/>
            </w:tcBorders>
          </w:tcPr>
          <w:p w14:paraId="414B5633" w14:textId="77777777" w:rsidR="00054437" w:rsidRPr="000549B1" w:rsidRDefault="00000000">
            <w:pPr>
              <w:widowControl/>
              <w:jc w:val="center"/>
              <w:textAlignment w:val="top"/>
              <w:rPr>
                <w:szCs w:val="21"/>
              </w:rPr>
            </w:pPr>
            <w:r w:rsidRPr="000549B1">
              <w:rPr>
                <w:kern w:val="0"/>
                <w:szCs w:val="21"/>
                <w:lang w:bidi="ar"/>
              </w:rPr>
              <w:t>I</w:t>
            </w:r>
          </w:p>
        </w:tc>
        <w:tc>
          <w:tcPr>
            <w:tcW w:w="625" w:type="pct"/>
            <w:tcBorders>
              <w:top w:val="single" w:sz="4" w:space="0" w:color="000000"/>
              <w:left w:val="single" w:sz="4" w:space="0" w:color="000000"/>
              <w:bottom w:val="single" w:sz="4" w:space="0" w:color="000000"/>
              <w:right w:val="single" w:sz="4" w:space="0" w:color="000000"/>
            </w:tcBorders>
            <w:vAlign w:val="center"/>
          </w:tcPr>
          <w:p w14:paraId="0236A6F1" w14:textId="77777777" w:rsidR="00054437" w:rsidRPr="000549B1" w:rsidRDefault="00000000">
            <w:pPr>
              <w:widowControl/>
              <w:jc w:val="center"/>
              <w:textAlignment w:val="center"/>
              <w:rPr>
                <w:szCs w:val="21"/>
              </w:rPr>
            </w:pPr>
            <w:r w:rsidRPr="000549B1">
              <w:rPr>
                <w:kern w:val="0"/>
                <w:szCs w:val="21"/>
                <w:lang w:bidi="ar"/>
              </w:rPr>
              <w:t>0.0006</w:t>
            </w:r>
          </w:p>
        </w:tc>
        <w:tc>
          <w:tcPr>
            <w:tcW w:w="408" w:type="pct"/>
            <w:tcBorders>
              <w:top w:val="single" w:sz="4" w:space="0" w:color="000000"/>
              <w:left w:val="single" w:sz="4" w:space="0" w:color="000000"/>
              <w:bottom w:val="single" w:sz="4" w:space="0" w:color="000000"/>
              <w:right w:val="single" w:sz="4" w:space="0" w:color="000000"/>
            </w:tcBorders>
            <w:vAlign w:val="center"/>
          </w:tcPr>
          <w:p w14:paraId="05AF18D0" w14:textId="77777777" w:rsidR="00054437" w:rsidRPr="000549B1" w:rsidRDefault="00000000">
            <w:pPr>
              <w:widowControl/>
              <w:jc w:val="center"/>
              <w:textAlignment w:val="center"/>
              <w:rPr>
                <w:szCs w:val="21"/>
              </w:rPr>
            </w:pPr>
            <w:r w:rsidRPr="000549B1">
              <w:rPr>
                <w:kern w:val="0"/>
                <w:szCs w:val="21"/>
                <w:lang w:bidi="ar"/>
              </w:rPr>
              <w:t>I</w:t>
            </w:r>
          </w:p>
        </w:tc>
        <w:tc>
          <w:tcPr>
            <w:tcW w:w="657" w:type="pct"/>
            <w:tcBorders>
              <w:top w:val="single" w:sz="4" w:space="0" w:color="000000"/>
              <w:left w:val="single" w:sz="4" w:space="0" w:color="000000"/>
              <w:bottom w:val="single" w:sz="4" w:space="0" w:color="000000"/>
              <w:right w:val="single" w:sz="4" w:space="0" w:color="000000"/>
            </w:tcBorders>
            <w:noWrap/>
            <w:vAlign w:val="center"/>
          </w:tcPr>
          <w:p w14:paraId="29578BF4" w14:textId="77777777" w:rsidR="00054437" w:rsidRPr="000549B1" w:rsidRDefault="00000000">
            <w:pPr>
              <w:widowControl/>
              <w:jc w:val="center"/>
              <w:textAlignment w:val="center"/>
              <w:rPr>
                <w:szCs w:val="21"/>
              </w:rPr>
            </w:pPr>
            <w:r w:rsidRPr="000549B1">
              <w:rPr>
                <w:kern w:val="0"/>
                <w:szCs w:val="21"/>
                <w:lang w:bidi="ar"/>
              </w:rPr>
              <w:t>0.00</w:t>
            </w:r>
          </w:p>
        </w:tc>
        <w:tc>
          <w:tcPr>
            <w:tcW w:w="408" w:type="pct"/>
            <w:tcBorders>
              <w:top w:val="single" w:sz="4" w:space="0" w:color="000000"/>
              <w:left w:val="single" w:sz="4" w:space="0" w:color="000000"/>
              <w:bottom w:val="single" w:sz="4" w:space="0" w:color="000000"/>
              <w:right w:val="single" w:sz="4" w:space="0" w:color="000000"/>
            </w:tcBorders>
          </w:tcPr>
          <w:p w14:paraId="1EA0D671" w14:textId="77777777" w:rsidR="00054437" w:rsidRPr="000549B1" w:rsidRDefault="00000000">
            <w:pPr>
              <w:widowControl/>
              <w:jc w:val="center"/>
              <w:textAlignment w:val="top"/>
              <w:rPr>
                <w:szCs w:val="21"/>
              </w:rPr>
            </w:pPr>
            <w:r w:rsidRPr="000549B1">
              <w:rPr>
                <w:kern w:val="0"/>
                <w:szCs w:val="21"/>
                <w:lang w:bidi="ar"/>
              </w:rPr>
              <w:t>I</w:t>
            </w:r>
          </w:p>
        </w:tc>
      </w:tr>
      <w:tr w:rsidR="000549B1" w:rsidRPr="000549B1" w14:paraId="73FB641D" w14:textId="77777777">
        <w:trPr>
          <w:trHeight w:val="300"/>
        </w:trPr>
        <w:tc>
          <w:tcPr>
            <w:tcW w:w="774" w:type="pct"/>
            <w:tcBorders>
              <w:top w:val="single" w:sz="4" w:space="0" w:color="000000"/>
              <w:left w:val="single" w:sz="4" w:space="0" w:color="000000"/>
              <w:bottom w:val="single" w:sz="4" w:space="0" w:color="000000"/>
              <w:right w:val="single" w:sz="4" w:space="0" w:color="000000"/>
            </w:tcBorders>
            <w:vAlign w:val="center"/>
          </w:tcPr>
          <w:p w14:paraId="50AB2BF7" w14:textId="77777777" w:rsidR="00054437" w:rsidRPr="000549B1" w:rsidRDefault="00000000">
            <w:pPr>
              <w:widowControl/>
              <w:jc w:val="center"/>
              <w:textAlignment w:val="center"/>
              <w:rPr>
                <w:b/>
                <w:bCs/>
                <w:szCs w:val="21"/>
              </w:rPr>
            </w:pPr>
            <w:r w:rsidRPr="000549B1">
              <w:rPr>
                <w:b/>
                <w:bCs/>
                <w:kern w:val="0"/>
                <w:szCs w:val="21"/>
                <w:lang w:bidi="ar"/>
              </w:rPr>
              <w:t>汞</w:t>
            </w:r>
          </w:p>
        </w:tc>
        <w:tc>
          <w:tcPr>
            <w:tcW w:w="628" w:type="pct"/>
            <w:tcBorders>
              <w:top w:val="single" w:sz="4" w:space="0" w:color="000000"/>
              <w:left w:val="single" w:sz="4" w:space="0" w:color="000000"/>
              <w:bottom w:val="single" w:sz="4" w:space="0" w:color="000000"/>
              <w:right w:val="single" w:sz="4" w:space="0" w:color="000000"/>
            </w:tcBorders>
            <w:vAlign w:val="center"/>
          </w:tcPr>
          <w:p w14:paraId="51C292B6" w14:textId="77777777" w:rsidR="00054437" w:rsidRPr="000549B1" w:rsidRDefault="00000000">
            <w:pPr>
              <w:widowControl/>
              <w:jc w:val="center"/>
              <w:textAlignment w:val="center"/>
              <w:rPr>
                <w:szCs w:val="21"/>
              </w:rPr>
            </w:pPr>
            <w:r w:rsidRPr="000549B1">
              <w:rPr>
                <w:kern w:val="0"/>
                <w:szCs w:val="21"/>
                <w:lang w:bidi="ar"/>
              </w:rPr>
              <w:t>＜</w:t>
            </w:r>
            <w:r w:rsidRPr="000549B1">
              <w:rPr>
                <w:rStyle w:val="font61"/>
                <w:color w:val="auto"/>
                <w:szCs w:val="21"/>
                <w:lang w:bidi="ar"/>
              </w:rPr>
              <w:t>0.00004</w:t>
            </w:r>
          </w:p>
        </w:tc>
        <w:tc>
          <w:tcPr>
            <w:tcW w:w="415" w:type="pct"/>
            <w:tcBorders>
              <w:top w:val="single" w:sz="4" w:space="0" w:color="000000"/>
              <w:left w:val="single" w:sz="4" w:space="0" w:color="000000"/>
              <w:bottom w:val="single" w:sz="4" w:space="0" w:color="000000"/>
              <w:right w:val="single" w:sz="4" w:space="0" w:color="000000"/>
            </w:tcBorders>
          </w:tcPr>
          <w:p w14:paraId="30832889" w14:textId="77777777" w:rsidR="00054437" w:rsidRPr="000549B1" w:rsidRDefault="00000000">
            <w:pPr>
              <w:widowControl/>
              <w:jc w:val="center"/>
              <w:textAlignment w:val="top"/>
              <w:rPr>
                <w:szCs w:val="21"/>
              </w:rPr>
            </w:pPr>
            <w:r w:rsidRPr="000549B1">
              <w:rPr>
                <w:kern w:val="0"/>
                <w:szCs w:val="21"/>
                <w:lang w:bidi="ar"/>
              </w:rPr>
              <w:t>I</w:t>
            </w:r>
          </w:p>
        </w:tc>
        <w:tc>
          <w:tcPr>
            <w:tcW w:w="665" w:type="pct"/>
            <w:tcBorders>
              <w:top w:val="single" w:sz="4" w:space="0" w:color="000000"/>
              <w:left w:val="single" w:sz="4" w:space="0" w:color="000000"/>
              <w:bottom w:val="single" w:sz="4" w:space="0" w:color="000000"/>
              <w:right w:val="single" w:sz="4" w:space="0" w:color="000000"/>
            </w:tcBorders>
            <w:noWrap/>
            <w:vAlign w:val="center"/>
          </w:tcPr>
          <w:p w14:paraId="32B6D022" w14:textId="77777777" w:rsidR="00054437" w:rsidRPr="000549B1" w:rsidRDefault="00000000">
            <w:pPr>
              <w:widowControl/>
              <w:jc w:val="center"/>
              <w:textAlignment w:val="center"/>
              <w:rPr>
                <w:szCs w:val="21"/>
              </w:rPr>
            </w:pPr>
            <w:r w:rsidRPr="000549B1">
              <w:rPr>
                <w:kern w:val="0"/>
                <w:szCs w:val="21"/>
                <w:lang w:bidi="ar"/>
              </w:rPr>
              <w:t>＜</w:t>
            </w:r>
            <w:r w:rsidRPr="000549B1">
              <w:rPr>
                <w:rStyle w:val="font71"/>
                <w:color w:val="auto"/>
                <w:szCs w:val="21"/>
                <w:lang w:bidi="ar"/>
              </w:rPr>
              <w:t>0.00004</w:t>
            </w:r>
          </w:p>
        </w:tc>
        <w:tc>
          <w:tcPr>
            <w:tcW w:w="415" w:type="pct"/>
            <w:tcBorders>
              <w:top w:val="single" w:sz="4" w:space="0" w:color="000000"/>
              <w:left w:val="single" w:sz="4" w:space="0" w:color="000000"/>
              <w:bottom w:val="single" w:sz="4" w:space="0" w:color="000000"/>
              <w:right w:val="single" w:sz="4" w:space="0" w:color="000000"/>
            </w:tcBorders>
          </w:tcPr>
          <w:p w14:paraId="2A5B8351" w14:textId="77777777" w:rsidR="00054437" w:rsidRPr="000549B1" w:rsidRDefault="00000000">
            <w:pPr>
              <w:widowControl/>
              <w:jc w:val="center"/>
              <w:textAlignment w:val="top"/>
              <w:rPr>
                <w:szCs w:val="21"/>
              </w:rPr>
            </w:pPr>
            <w:r w:rsidRPr="000549B1">
              <w:rPr>
                <w:kern w:val="0"/>
                <w:szCs w:val="21"/>
                <w:lang w:bidi="ar"/>
              </w:rPr>
              <w:t>I</w:t>
            </w:r>
          </w:p>
        </w:tc>
        <w:tc>
          <w:tcPr>
            <w:tcW w:w="625" w:type="pct"/>
            <w:tcBorders>
              <w:top w:val="single" w:sz="4" w:space="0" w:color="000000"/>
              <w:left w:val="single" w:sz="4" w:space="0" w:color="000000"/>
              <w:bottom w:val="single" w:sz="4" w:space="0" w:color="000000"/>
              <w:right w:val="single" w:sz="4" w:space="0" w:color="000000"/>
            </w:tcBorders>
            <w:vAlign w:val="center"/>
          </w:tcPr>
          <w:p w14:paraId="13C98189" w14:textId="77777777" w:rsidR="00054437" w:rsidRPr="000549B1" w:rsidRDefault="00000000">
            <w:pPr>
              <w:widowControl/>
              <w:jc w:val="center"/>
              <w:textAlignment w:val="center"/>
              <w:rPr>
                <w:szCs w:val="21"/>
              </w:rPr>
            </w:pPr>
            <w:r w:rsidRPr="000549B1">
              <w:rPr>
                <w:kern w:val="0"/>
                <w:szCs w:val="21"/>
                <w:lang w:bidi="ar"/>
              </w:rPr>
              <w:t>&lt;0.00004</w:t>
            </w:r>
          </w:p>
        </w:tc>
        <w:tc>
          <w:tcPr>
            <w:tcW w:w="408" w:type="pct"/>
            <w:tcBorders>
              <w:top w:val="single" w:sz="4" w:space="0" w:color="000000"/>
              <w:left w:val="single" w:sz="4" w:space="0" w:color="000000"/>
              <w:bottom w:val="single" w:sz="4" w:space="0" w:color="000000"/>
              <w:right w:val="single" w:sz="4" w:space="0" w:color="000000"/>
            </w:tcBorders>
            <w:vAlign w:val="center"/>
          </w:tcPr>
          <w:p w14:paraId="347B26B5" w14:textId="77777777" w:rsidR="00054437" w:rsidRPr="000549B1" w:rsidRDefault="00000000">
            <w:pPr>
              <w:widowControl/>
              <w:jc w:val="center"/>
              <w:textAlignment w:val="center"/>
              <w:rPr>
                <w:szCs w:val="21"/>
              </w:rPr>
            </w:pPr>
            <w:r w:rsidRPr="000549B1">
              <w:rPr>
                <w:kern w:val="0"/>
                <w:szCs w:val="21"/>
                <w:lang w:bidi="ar"/>
              </w:rPr>
              <w:t>I</w:t>
            </w:r>
          </w:p>
        </w:tc>
        <w:tc>
          <w:tcPr>
            <w:tcW w:w="657" w:type="pct"/>
            <w:tcBorders>
              <w:top w:val="single" w:sz="4" w:space="0" w:color="000000"/>
              <w:left w:val="single" w:sz="4" w:space="0" w:color="000000"/>
              <w:bottom w:val="single" w:sz="4" w:space="0" w:color="000000"/>
              <w:right w:val="single" w:sz="4" w:space="0" w:color="000000"/>
            </w:tcBorders>
            <w:noWrap/>
            <w:vAlign w:val="center"/>
          </w:tcPr>
          <w:p w14:paraId="7388C199" w14:textId="77777777" w:rsidR="00054437" w:rsidRPr="000549B1" w:rsidRDefault="00000000">
            <w:pPr>
              <w:widowControl/>
              <w:jc w:val="center"/>
              <w:textAlignment w:val="center"/>
              <w:rPr>
                <w:szCs w:val="21"/>
              </w:rPr>
            </w:pPr>
            <w:r w:rsidRPr="000549B1">
              <w:rPr>
                <w:kern w:val="0"/>
                <w:szCs w:val="21"/>
                <w:lang w:bidi="ar"/>
              </w:rPr>
              <w:t>＜</w:t>
            </w:r>
            <w:r w:rsidRPr="000549B1">
              <w:rPr>
                <w:rStyle w:val="font71"/>
                <w:color w:val="auto"/>
                <w:szCs w:val="21"/>
                <w:lang w:bidi="ar"/>
              </w:rPr>
              <w:t>0.00004</w:t>
            </w:r>
          </w:p>
        </w:tc>
        <w:tc>
          <w:tcPr>
            <w:tcW w:w="408" w:type="pct"/>
            <w:tcBorders>
              <w:top w:val="single" w:sz="4" w:space="0" w:color="000000"/>
              <w:left w:val="single" w:sz="4" w:space="0" w:color="000000"/>
              <w:bottom w:val="single" w:sz="4" w:space="0" w:color="000000"/>
              <w:right w:val="single" w:sz="4" w:space="0" w:color="000000"/>
            </w:tcBorders>
          </w:tcPr>
          <w:p w14:paraId="6077EE3C" w14:textId="77777777" w:rsidR="00054437" w:rsidRPr="000549B1" w:rsidRDefault="00000000">
            <w:pPr>
              <w:widowControl/>
              <w:jc w:val="center"/>
              <w:textAlignment w:val="top"/>
              <w:rPr>
                <w:szCs w:val="21"/>
              </w:rPr>
            </w:pPr>
            <w:r w:rsidRPr="000549B1">
              <w:rPr>
                <w:kern w:val="0"/>
                <w:szCs w:val="21"/>
                <w:lang w:bidi="ar"/>
              </w:rPr>
              <w:t>I</w:t>
            </w:r>
          </w:p>
        </w:tc>
      </w:tr>
      <w:tr w:rsidR="000549B1" w:rsidRPr="000549B1" w14:paraId="007C380A" w14:textId="77777777">
        <w:trPr>
          <w:trHeight w:val="300"/>
        </w:trPr>
        <w:tc>
          <w:tcPr>
            <w:tcW w:w="774" w:type="pct"/>
            <w:tcBorders>
              <w:top w:val="single" w:sz="4" w:space="0" w:color="000000"/>
              <w:left w:val="single" w:sz="4" w:space="0" w:color="000000"/>
              <w:bottom w:val="single" w:sz="4" w:space="0" w:color="000000"/>
              <w:right w:val="single" w:sz="4" w:space="0" w:color="000000"/>
            </w:tcBorders>
            <w:vAlign w:val="center"/>
          </w:tcPr>
          <w:p w14:paraId="0E3C9118" w14:textId="77777777" w:rsidR="00054437" w:rsidRPr="000549B1" w:rsidRDefault="00000000">
            <w:pPr>
              <w:widowControl/>
              <w:jc w:val="center"/>
              <w:textAlignment w:val="center"/>
              <w:rPr>
                <w:b/>
                <w:bCs/>
                <w:szCs w:val="21"/>
              </w:rPr>
            </w:pPr>
            <w:r w:rsidRPr="000549B1">
              <w:rPr>
                <w:b/>
                <w:bCs/>
                <w:kern w:val="0"/>
                <w:szCs w:val="21"/>
                <w:lang w:bidi="ar"/>
              </w:rPr>
              <w:t>镉</w:t>
            </w:r>
          </w:p>
        </w:tc>
        <w:tc>
          <w:tcPr>
            <w:tcW w:w="628" w:type="pct"/>
            <w:tcBorders>
              <w:top w:val="single" w:sz="4" w:space="0" w:color="000000"/>
              <w:left w:val="single" w:sz="4" w:space="0" w:color="000000"/>
              <w:bottom w:val="single" w:sz="4" w:space="0" w:color="000000"/>
              <w:right w:val="single" w:sz="4" w:space="0" w:color="000000"/>
            </w:tcBorders>
            <w:vAlign w:val="center"/>
          </w:tcPr>
          <w:p w14:paraId="4496F034" w14:textId="77777777" w:rsidR="00054437" w:rsidRPr="000549B1" w:rsidRDefault="00000000">
            <w:pPr>
              <w:widowControl/>
              <w:jc w:val="center"/>
              <w:textAlignment w:val="center"/>
              <w:rPr>
                <w:szCs w:val="21"/>
              </w:rPr>
            </w:pPr>
            <w:r w:rsidRPr="000549B1">
              <w:rPr>
                <w:kern w:val="0"/>
                <w:szCs w:val="21"/>
                <w:lang w:bidi="ar"/>
              </w:rPr>
              <w:t>0.0001</w:t>
            </w:r>
          </w:p>
        </w:tc>
        <w:tc>
          <w:tcPr>
            <w:tcW w:w="415" w:type="pct"/>
            <w:tcBorders>
              <w:top w:val="single" w:sz="4" w:space="0" w:color="000000"/>
              <w:left w:val="single" w:sz="4" w:space="0" w:color="000000"/>
              <w:bottom w:val="single" w:sz="4" w:space="0" w:color="000000"/>
              <w:right w:val="single" w:sz="4" w:space="0" w:color="000000"/>
            </w:tcBorders>
          </w:tcPr>
          <w:p w14:paraId="6D89D45A" w14:textId="77777777" w:rsidR="00054437" w:rsidRPr="000549B1" w:rsidRDefault="00000000">
            <w:pPr>
              <w:widowControl/>
              <w:jc w:val="center"/>
              <w:textAlignment w:val="top"/>
              <w:rPr>
                <w:szCs w:val="21"/>
              </w:rPr>
            </w:pPr>
            <w:r w:rsidRPr="000549B1">
              <w:rPr>
                <w:kern w:val="0"/>
                <w:szCs w:val="21"/>
                <w:lang w:bidi="ar"/>
              </w:rPr>
              <w:t>I</w:t>
            </w:r>
          </w:p>
        </w:tc>
        <w:tc>
          <w:tcPr>
            <w:tcW w:w="665" w:type="pct"/>
            <w:tcBorders>
              <w:top w:val="single" w:sz="4" w:space="0" w:color="000000"/>
              <w:left w:val="single" w:sz="4" w:space="0" w:color="000000"/>
              <w:bottom w:val="single" w:sz="4" w:space="0" w:color="000000"/>
              <w:right w:val="single" w:sz="4" w:space="0" w:color="000000"/>
            </w:tcBorders>
            <w:noWrap/>
            <w:vAlign w:val="center"/>
          </w:tcPr>
          <w:p w14:paraId="5BA47C40" w14:textId="77777777" w:rsidR="00054437" w:rsidRPr="000549B1" w:rsidRDefault="00000000">
            <w:pPr>
              <w:widowControl/>
              <w:jc w:val="center"/>
              <w:textAlignment w:val="center"/>
              <w:rPr>
                <w:szCs w:val="21"/>
              </w:rPr>
            </w:pPr>
            <w:r w:rsidRPr="000549B1">
              <w:rPr>
                <w:kern w:val="0"/>
                <w:szCs w:val="21"/>
                <w:lang w:bidi="ar"/>
              </w:rPr>
              <w:t>＜</w:t>
            </w:r>
            <w:r w:rsidRPr="000549B1">
              <w:rPr>
                <w:rStyle w:val="font71"/>
                <w:color w:val="auto"/>
                <w:szCs w:val="21"/>
                <w:lang w:bidi="ar"/>
              </w:rPr>
              <w:t>0.00005</w:t>
            </w:r>
          </w:p>
        </w:tc>
        <w:tc>
          <w:tcPr>
            <w:tcW w:w="415" w:type="pct"/>
            <w:tcBorders>
              <w:top w:val="single" w:sz="4" w:space="0" w:color="000000"/>
              <w:left w:val="single" w:sz="4" w:space="0" w:color="000000"/>
              <w:bottom w:val="single" w:sz="4" w:space="0" w:color="000000"/>
              <w:right w:val="single" w:sz="4" w:space="0" w:color="000000"/>
            </w:tcBorders>
          </w:tcPr>
          <w:p w14:paraId="503F9152" w14:textId="77777777" w:rsidR="00054437" w:rsidRPr="000549B1" w:rsidRDefault="00000000">
            <w:pPr>
              <w:widowControl/>
              <w:jc w:val="center"/>
              <w:textAlignment w:val="top"/>
              <w:rPr>
                <w:szCs w:val="21"/>
              </w:rPr>
            </w:pPr>
            <w:r w:rsidRPr="000549B1">
              <w:rPr>
                <w:kern w:val="0"/>
                <w:szCs w:val="21"/>
                <w:lang w:bidi="ar"/>
              </w:rPr>
              <w:t>I</w:t>
            </w:r>
          </w:p>
        </w:tc>
        <w:tc>
          <w:tcPr>
            <w:tcW w:w="625" w:type="pct"/>
            <w:tcBorders>
              <w:top w:val="single" w:sz="4" w:space="0" w:color="000000"/>
              <w:left w:val="single" w:sz="4" w:space="0" w:color="000000"/>
              <w:bottom w:val="single" w:sz="4" w:space="0" w:color="000000"/>
              <w:right w:val="single" w:sz="4" w:space="0" w:color="000000"/>
            </w:tcBorders>
            <w:vAlign w:val="center"/>
          </w:tcPr>
          <w:p w14:paraId="31B6CA1C" w14:textId="77777777" w:rsidR="00054437" w:rsidRPr="000549B1" w:rsidRDefault="00000000">
            <w:pPr>
              <w:widowControl/>
              <w:jc w:val="center"/>
              <w:textAlignment w:val="center"/>
              <w:rPr>
                <w:szCs w:val="21"/>
              </w:rPr>
            </w:pPr>
            <w:r w:rsidRPr="000549B1">
              <w:rPr>
                <w:kern w:val="0"/>
                <w:szCs w:val="21"/>
                <w:lang w:bidi="ar"/>
              </w:rPr>
              <w:t>&lt;0.00005</w:t>
            </w:r>
          </w:p>
        </w:tc>
        <w:tc>
          <w:tcPr>
            <w:tcW w:w="408" w:type="pct"/>
            <w:tcBorders>
              <w:top w:val="single" w:sz="4" w:space="0" w:color="000000"/>
              <w:left w:val="single" w:sz="4" w:space="0" w:color="000000"/>
              <w:bottom w:val="single" w:sz="4" w:space="0" w:color="000000"/>
              <w:right w:val="single" w:sz="4" w:space="0" w:color="000000"/>
            </w:tcBorders>
            <w:vAlign w:val="center"/>
          </w:tcPr>
          <w:p w14:paraId="4C746D69" w14:textId="77777777" w:rsidR="00054437" w:rsidRPr="000549B1" w:rsidRDefault="00000000">
            <w:pPr>
              <w:widowControl/>
              <w:jc w:val="center"/>
              <w:textAlignment w:val="center"/>
              <w:rPr>
                <w:szCs w:val="21"/>
              </w:rPr>
            </w:pPr>
            <w:r w:rsidRPr="000549B1">
              <w:rPr>
                <w:kern w:val="0"/>
                <w:szCs w:val="21"/>
                <w:lang w:bidi="ar"/>
              </w:rPr>
              <w:t>I</w:t>
            </w:r>
          </w:p>
        </w:tc>
        <w:tc>
          <w:tcPr>
            <w:tcW w:w="657" w:type="pct"/>
            <w:tcBorders>
              <w:top w:val="single" w:sz="4" w:space="0" w:color="000000"/>
              <w:left w:val="single" w:sz="4" w:space="0" w:color="000000"/>
              <w:bottom w:val="single" w:sz="4" w:space="0" w:color="000000"/>
              <w:right w:val="single" w:sz="4" w:space="0" w:color="000000"/>
            </w:tcBorders>
            <w:noWrap/>
            <w:vAlign w:val="center"/>
          </w:tcPr>
          <w:p w14:paraId="29963BCC" w14:textId="77777777" w:rsidR="00054437" w:rsidRPr="000549B1" w:rsidRDefault="00000000">
            <w:pPr>
              <w:widowControl/>
              <w:jc w:val="center"/>
              <w:textAlignment w:val="center"/>
              <w:rPr>
                <w:szCs w:val="21"/>
              </w:rPr>
            </w:pPr>
            <w:r w:rsidRPr="000549B1">
              <w:rPr>
                <w:kern w:val="0"/>
                <w:szCs w:val="21"/>
                <w:lang w:bidi="ar"/>
              </w:rPr>
              <w:t>＜</w:t>
            </w:r>
            <w:r w:rsidRPr="000549B1">
              <w:rPr>
                <w:rStyle w:val="font71"/>
                <w:color w:val="auto"/>
                <w:szCs w:val="21"/>
                <w:lang w:bidi="ar"/>
              </w:rPr>
              <w:t>0.00005</w:t>
            </w:r>
          </w:p>
        </w:tc>
        <w:tc>
          <w:tcPr>
            <w:tcW w:w="408" w:type="pct"/>
            <w:tcBorders>
              <w:top w:val="single" w:sz="4" w:space="0" w:color="000000"/>
              <w:left w:val="single" w:sz="4" w:space="0" w:color="000000"/>
              <w:bottom w:val="single" w:sz="4" w:space="0" w:color="000000"/>
              <w:right w:val="single" w:sz="4" w:space="0" w:color="000000"/>
            </w:tcBorders>
          </w:tcPr>
          <w:p w14:paraId="0380D51C" w14:textId="77777777" w:rsidR="00054437" w:rsidRPr="000549B1" w:rsidRDefault="00000000">
            <w:pPr>
              <w:widowControl/>
              <w:jc w:val="center"/>
              <w:textAlignment w:val="top"/>
              <w:rPr>
                <w:szCs w:val="21"/>
              </w:rPr>
            </w:pPr>
            <w:r w:rsidRPr="000549B1">
              <w:rPr>
                <w:kern w:val="0"/>
                <w:szCs w:val="21"/>
                <w:lang w:bidi="ar"/>
              </w:rPr>
              <w:t>I</w:t>
            </w:r>
          </w:p>
        </w:tc>
      </w:tr>
      <w:tr w:rsidR="000549B1" w:rsidRPr="000549B1" w14:paraId="4A227072" w14:textId="77777777">
        <w:trPr>
          <w:trHeight w:val="300"/>
        </w:trPr>
        <w:tc>
          <w:tcPr>
            <w:tcW w:w="774" w:type="pct"/>
            <w:tcBorders>
              <w:top w:val="single" w:sz="4" w:space="0" w:color="000000"/>
              <w:left w:val="single" w:sz="4" w:space="0" w:color="000000"/>
              <w:bottom w:val="single" w:sz="4" w:space="0" w:color="000000"/>
              <w:right w:val="single" w:sz="4" w:space="0" w:color="000000"/>
            </w:tcBorders>
            <w:vAlign w:val="center"/>
          </w:tcPr>
          <w:p w14:paraId="387E9932" w14:textId="77777777" w:rsidR="00054437" w:rsidRPr="000549B1" w:rsidRDefault="00000000">
            <w:pPr>
              <w:widowControl/>
              <w:jc w:val="center"/>
              <w:textAlignment w:val="center"/>
              <w:rPr>
                <w:b/>
                <w:bCs/>
                <w:szCs w:val="21"/>
              </w:rPr>
            </w:pPr>
            <w:r w:rsidRPr="000549B1">
              <w:rPr>
                <w:b/>
                <w:bCs/>
                <w:kern w:val="0"/>
                <w:szCs w:val="21"/>
                <w:lang w:bidi="ar"/>
              </w:rPr>
              <w:t>铅</w:t>
            </w:r>
          </w:p>
        </w:tc>
        <w:tc>
          <w:tcPr>
            <w:tcW w:w="628" w:type="pct"/>
            <w:tcBorders>
              <w:top w:val="single" w:sz="4" w:space="0" w:color="000000"/>
              <w:left w:val="single" w:sz="4" w:space="0" w:color="000000"/>
              <w:bottom w:val="single" w:sz="4" w:space="0" w:color="000000"/>
              <w:right w:val="single" w:sz="4" w:space="0" w:color="000000"/>
            </w:tcBorders>
            <w:vAlign w:val="center"/>
          </w:tcPr>
          <w:p w14:paraId="6BC7EA87" w14:textId="77777777" w:rsidR="00054437" w:rsidRPr="000549B1" w:rsidRDefault="00000000">
            <w:pPr>
              <w:widowControl/>
              <w:jc w:val="center"/>
              <w:textAlignment w:val="center"/>
              <w:rPr>
                <w:szCs w:val="21"/>
              </w:rPr>
            </w:pPr>
            <w:r w:rsidRPr="000549B1">
              <w:rPr>
                <w:kern w:val="0"/>
                <w:szCs w:val="21"/>
                <w:lang w:bidi="ar"/>
              </w:rPr>
              <w:t>0.00016</w:t>
            </w:r>
          </w:p>
        </w:tc>
        <w:tc>
          <w:tcPr>
            <w:tcW w:w="415" w:type="pct"/>
            <w:tcBorders>
              <w:top w:val="single" w:sz="4" w:space="0" w:color="000000"/>
              <w:left w:val="single" w:sz="4" w:space="0" w:color="000000"/>
              <w:bottom w:val="single" w:sz="4" w:space="0" w:color="000000"/>
              <w:right w:val="single" w:sz="4" w:space="0" w:color="000000"/>
            </w:tcBorders>
          </w:tcPr>
          <w:p w14:paraId="6F7D40C4" w14:textId="77777777" w:rsidR="00054437" w:rsidRPr="000549B1" w:rsidRDefault="00000000">
            <w:pPr>
              <w:widowControl/>
              <w:jc w:val="center"/>
              <w:textAlignment w:val="top"/>
              <w:rPr>
                <w:szCs w:val="21"/>
              </w:rPr>
            </w:pPr>
            <w:r w:rsidRPr="000549B1">
              <w:rPr>
                <w:kern w:val="0"/>
                <w:szCs w:val="21"/>
                <w:lang w:bidi="ar"/>
              </w:rPr>
              <w:t>I</w:t>
            </w:r>
          </w:p>
        </w:tc>
        <w:tc>
          <w:tcPr>
            <w:tcW w:w="665" w:type="pct"/>
            <w:tcBorders>
              <w:top w:val="single" w:sz="4" w:space="0" w:color="000000"/>
              <w:left w:val="single" w:sz="4" w:space="0" w:color="000000"/>
              <w:bottom w:val="single" w:sz="4" w:space="0" w:color="000000"/>
              <w:right w:val="single" w:sz="4" w:space="0" w:color="000000"/>
            </w:tcBorders>
            <w:noWrap/>
            <w:vAlign w:val="center"/>
          </w:tcPr>
          <w:p w14:paraId="332A85A2" w14:textId="77777777" w:rsidR="00054437" w:rsidRPr="000549B1" w:rsidRDefault="00000000">
            <w:pPr>
              <w:widowControl/>
              <w:jc w:val="center"/>
              <w:textAlignment w:val="center"/>
              <w:rPr>
                <w:szCs w:val="21"/>
              </w:rPr>
            </w:pPr>
            <w:r w:rsidRPr="000549B1">
              <w:rPr>
                <w:kern w:val="0"/>
                <w:szCs w:val="21"/>
                <w:lang w:bidi="ar"/>
              </w:rPr>
              <w:t>0.00</w:t>
            </w:r>
          </w:p>
        </w:tc>
        <w:tc>
          <w:tcPr>
            <w:tcW w:w="415" w:type="pct"/>
            <w:tcBorders>
              <w:top w:val="single" w:sz="4" w:space="0" w:color="000000"/>
              <w:left w:val="single" w:sz="4" w:space="0" w:color="000000"/>
              <w:bottom w:val="single" w:sz="4" w:space="0" w:color="000000"/>
              <w:right w:val="single" w:sz="4" w:space="0" w:color="000000"/>
            </w:tcBorders>
          </w:tcPr>
          <w:p w14:paraId="01555705" w14:textId="77777777" w:rsidR="00054437" w:rsidRPr="000549B1" w:rsidRDefault="00000000">
            <w:pPr>
              <w:widowControl/>
              <w:jc w:val="center"/>
              <w:textAlignment w:val="top"/>
              <w:rPr>
                <w:szCs w:val="21"/>
              </w:rPr>
            </w:pPr>
            <w:r w:rsidRPr="000549B1">
              <w:rPr>
                <w:kern w:val="0"/>
                <w:szCs w:val="21"/>
                <w:lang w:bidi="ar"/>
              </w:rPr>
              <w:t>I</w:t>
            </w:r>
          </w:p>
        </w:tc>
        <w:tc>
          <w:tcPr>
            <w:tcW w:w="625" w:type="pct"/>
            <w:tcBorders>
              <w:top w:val="single" w:sz="4" w:space="0" w:color="000000"/>
              <w:left w:val="single" w:sz="4" w:space="0" w:color="000000"/>
              <w:bottom w:val="single" w:sz="4" w:space="0" w:color="000000"/>
              <w:right w:val="single" w:sz="4" w:space="0" w:color="000000"/>
            </w:tcBorders>
            <w:vAlign w:val="center"/>
          </w:tcPr>
          <w:p w14:paraId="41F81303" w14:textId="77777777" w:rsidR="00054437" w:rsidRPr="000549B1" w:rsidRDefault="00000000">
            <w:pPr>
              <w:widowControl/>
              <w:jc w:val="center"/>
              <w:textAlignment w:val="center"/>
              <w:rPr>
                <w:szCs w:val="21"/>
              </w:rPr>
            </w:pPr>
            <w:r w:rsidRPr="000549B1">
              <w:rPr>
                <w:kern w:val="0"/>
                <w:szCs w:val="21"/>
                <w:lang w:bidi="ar"/>
              </w:rPr>
              <w:t>0.0003</w:t>
            </w:r>
          </w:p>
        </w:tc>
        <w:tc>
          <w:tcPr>
            <w:tcW w:w="408" w:type="pct"/>
            <w:tcBorders>
              <w:top w:val="single" w:sz="4" w:space="0" w:color="000000"/>
              <w:left w:val="single" w:sz="4" w:space="0" w:color="000000"/>
              <w:bottom w:val="single" w:sz="4" w:space="0" w:color="000000"/>
              <w:right w:val="single" w:sz="4" w:space="0" w:color="000000"/>
            </w:tcBorders>
            <w:vAlign w:val="center"/>
          </w:tcPr>
          <w:p w14:paraId="64FE3CC5" w14:textId="77777777" w:rsidR="00054437" w:rsidRPr="000549B1" w:rsidRDefault="00000000">
            <w:pPr>
              <w:widowControl/>
              <w:jc w:val="center"/>
              <w:textAlignment w:val="center"/>
              <w:rPr>
                <w:szCs w:val="21"/>
              </w:rPr>
            </w:pPr>
            <w:r w:rsidRPr="000549B1">
              <w:rPr>
                <w:kern w:val="0"/>
                <w:szCs w:val="21"/>
                <w:lang w:bidi="ar"/>
              </w:rPr>
              <w:t>I</w:t>
            </w:r>
          </w:p>
        </w:tc>
        <w:tc>
          <w:tcPr>
            <w:tcW w:w="657" w:type="pct"/>
            <w:tcBorders>
              <w:top w:val="single" w:sz="4" w:space="0" w:color="000000"/>
              <w:left w:val="single" w:sz="4" w:space="0" w:color="000000"/>
              <w:bottom w:val="single" w:sz="4" w:space="0" w:color="000000"/>
              <w:right w:val="single" w:sz="4" w:space="0" w:color="000000"/>
            </w:tcBorders>
            <w:noWrap/>
            <w:vAlign w:val="center"/>
          </w:tcPr>
          <w:p w14:paraId="086E3F57" w14:textId="77777777" w:rsidR="00054437" w:rsidRPr="000549B1" w:rsidRDefault="00000000">
            <w:pPr>
              <w:widowControl/>
              <w:jc w:val="center"/>
              <w:textAlignment w:val="center"/>
              <w:rPr>
                <w:szCs w:val="21"/>
              </w:rPr>
            </w:pPr>
            <w:r w:rsidRPr="000549B1">
              <w:rPr>
                <w:kern w:val="0"/>
                <w:szCs w:val="21"/>
                <w:lang w:bidi="ar"/>
              </w:rPr>
              <w:t>0.00</w:t>
            </w:r>
          </w:p>
        </w:tc>
        <w:tc>
          <w:tcPr>
            <w:tcW w:w="408" w:type="pct"/>
            <w:tcBorders>
              <w:top w:val="single" w:sz="4" w:space="0" w:color="000000"/>
              <w:left w:val="single" w:sz="4" w:space="0" w:color="000000"/>
              <w:bottom w:val="single" w:sz="4" w:space="0" w:color="000000"/>
              <w:right w:val="single" w:sz="4" w:space="0" w:color="000000"/>
            </w:tcBorders>
          </w:tcPr>
          <w:p w14:paraId="0880A40E" w14:textId="77777777" w:rsidR="00054437" w:rsidRPr="000549B1" w:rsidRDefault="00000000">
            <w:pPr>
              <w:widowControl/>
              <w:jc w:val="center"/>
              <w:textAlignment w:val="top"/>
              <w:rPr>
                <w:szCs w:val="21"/>
              </w:rPr>
            </w:pPr>
            <w:r w:rsidRPr="000549B1">
              <w:rPr>
                <w:kern w:val="0"/>
                <w:szCs w:val="21"/>
                <w:lang w:bidi="ar"/>
              </w:rPr>
              <w:t>I</w:t>
            </w:r>
          </w:p>
        </w:tc>
      </w:tr>
      <w:tr w:rsidR="000549B1" w:rsidRPr="000549B1" w14:paraId="226B4B34" w14:textId="77777777">
        <w:trPr>
          <w:trHeight w:val="300"/>
        </w:trPr>
        <w:tc>
          <w:tcPr>
            <w:tcW w:w="774" w:type="pct"/>
            <w:tcBorders>
              <w:top w:val="single" w:sz="4" w:space="0" w:color="000000"/>
              <w:left w:val="single" w:sz="4" w:space="0" w:color="000000"/>
              <w:bottom w:val="single" w:sz="4" w:space="0" w:color="000000"/>
              <w:right w:val="single" w:sz="4" w:space="0" w:color="000000"/>
            </w:tcBorders>
            <w:vAlign w:val="center"/>
          </w:tcPr>
          <w:p w14:paraId="2640AA92" w14:textId="77777777" w:rsidR="00054437" w:rsidRPr="000549B1" w:rsidRDefault="00000000">
            <w:pPr>
              <w:widowControl/>
              <w:jc w:val="center"/>
              <w:textAlignment w:val="center"/>
              <w:rPr>
                <w:b/>
                <w:bCs/>
                <w:szCs w:val="21"/>
              </w:rPr>
            </w:pPr>
            <w:r w:rsidRPr="000549B1">
              <w:rPr>
                <w:b/>
                <w:bCs/>
                <w:kern w:val="0"/>
                <w:szCs w:val="21"/>
                <w:lang w:bidi="ar"/>
              </w:rPr>
              <w:t>六价铬</w:t>
            </w:r>
          </w:p>
        </w:tc>
        <w:tc>
          <w:tcPr>
            <w:tcW w:w="628" w:type="pct"/>
            <w:tcBorders>
              <w:top w:val="single" w:sz="4" w:space="0" w:color="000000"/>
              <w:left w:val="single" w:sz="4" w:space="0" w:color="000000"/>
              <w:bottom w:val="single" w:sz="4" w:space="0" w:color="000000"/>
              <w:right w:val="single" w:sz="4" w:space="0" w:color="000000"/>
            </w:tcBorders>
            <w:vAlign w:val="center"/>
          </w:tcPr>
          <w:p w14:paraId="19DC5EC2" w14:textId="77777777" w:rsidR="00054437" w:rsidRPr="000549B1" w:rsidRDefault="00000000">
            <w:pPr>
              <w:widowControl/>
              <w:jc w:val="center"/>
              <w:textAlignment w:val="center"/>
              <w:rPr>
                <w:szCs w:val="21"/>
              </w:rPr>
            </w:pPr>
            <w:r w:rsidRPr="000549B1">
              <w:rPr>
                <w:kern w:val="0"/>
                <w:szCs w:val="21"/>
                <w:lang w:bidi="ar"/>
              </w:rPr>
              <w:t>0.01</w:t>
            </w:r>
          </w:p>
        </w:tc>
        <w:tc>
          <w:tcPr>
            <w:tcW w:w="415" w:type="pct"/>
            <w:tcBorders>
              <w:top w:val="single" w:sz="4" w:space="0" w:color="000000"/>
              <w:left w:val="single" w:sz="4" w:space="0" w:color="000000"/>
              <w:bottom w:val="single" w:sz="4" w:space="0" w:color="000000"/>
              <w:right w:val="single" w:sz="4" w:space="0" w:color="000000"/>
            </w:tcBorders>
          </w:tcPr>
          <w:p w14:paraId="362C0966" w14:textId="77777777" w:rsidR="00054437" w:rsidRPr="000549B1" w:rsidRDefault="00000000">
            <w:pPr>
              <w:widowControl/>
              <w:jc w:val="center"/>
              <w:textAlignment w:val="top"/>
              <w:rPr>
                <w:szCs w:val="21"/>
              </w:rPr>
            </w:pPr>
            <w:r w:rsidRPr="000549B1">
              <w:rPr>
                <w:kern w:val="0"/>
                <w:szCs w:val="21"/>
                <w:lang w:bidi="ar"/>
              </w:rPr>
              <w:t>I</w:t>
            </w:r>
          </w:p>
        </w:tc>
        <w:tc>
          <w:tcPr>
            <w:tcW w:w="665" w:type="pct"/>
            <w:tcBorders>
              <w:top w:val="single" w:sz="4" w:space="0" w:color="000000"/>
              <w:left w:val="single" w:sz="4" w:space="0" w:color="000000"/>
              <w:bottom w:val="single" w:sz="4" w:space="0" w:color="000000"/>
              <w:right w:val="single" w:sz="4" w:space="0" w:color="000000"/>
            </w:tcBorders>
            <w:noWrap/>
            <w:vAlign w:val="center"/>
          </w:tcPr>
          <w:p w14:paraId="52716E7D" w14:textId="77777777" w:rsidR="00054437" w:rsidRPr="000549B1" w:rsidRDefault="00000000">
            <w:pPr>
              <w:widowControl/>
              <w:jc w:val="center"/>
              <w:textAlignment w:val="center"/>
              <w:rPr>
                <w:szCs w:val="21"/>
              </w:rPr>
            </w:pPr>
            <w:r w:rsidRPr="000549B1">
              <w:rPr>
                <w:kern w:val="0"/>
                <w:szCs w:val="21"/>
                <w:lang w:bidi="ar"/>
              </w:rPr>
              <w:t>0.01</w:t>
            </w:r>
          </w:p>
        </w:tc>
        <w:tc>
          <w:tcPr>
            <w:tcW w:w="415" w:type="pct"/>
            <w:tcBorders>
              <w:top w:val="single" w:sz="4" w:space="0" w:color="000000"/>
              <w:left w:val="single" w:sz="4" w:space="0" w:color="000000"/>
              <w:bottom w:val="single" w:sz="4" w:space="0" w:color="000000"/>
              <w:right w:val="single" w:sz="4" w:space="0" w:color="000000"/>
            </w:tcBorders>
          </w:tcPr>
          <w:p w14:paraId="64A8827B" w14:textId="77777777" w:rsidR="00054437" w:rsidRPr="000549B1" w:rsidRDefault="00000000">
            <w:pPr>
              <w:widowControl/>
              <w:jc w:val="center"/>
              <w:textAlignment w:val="top"/>
              <w:rPr>
                <w:szCs w:val="21"/>
              </w:rPr>
            </w:pPr>
            <w:r w:rsidRPr="000549B1">
              <w:rPr>
                <w:kern w:val="0"/>
                <w:szCs w:val="21"/>
                <w:lang w:bidi="ar"/>
              </w:rPr>
              <w:t>I</w:t>
            </w:r>
          </w:p>
        </w:tc>
        <w:tc>
          <w:tcPr>
            <w:tcW w:w="625" w:type="pct"/>
            <w:tcBorders>
              <w:top w:val="single" w:sz="4" w:space="0" w:color="000000"/>
              <w:left w:val="single" w:sz="4" w:space="0" w:color="000000"/>
              <w:bottom w:val="single" w:sz="4" w:space="0" w:color="000000"/>
              <w:right w:val="single" w:sz="4" w:space="0" w:color="000000"/>
            </w:tcBorders>
            <w:vAlign w:val="center"/>
          </w:tcPr>
          <w:p w14:paraId="2FA2970E" w14:textId="77777777" w:rsidR="00054437" w:rsidRPr="000549B1" w:rsidRDefault="00000000">
            <w:pPr>
              <w:widowControl/>
              <w:jc w:val="center"/>
              <w:textAlignment w:val="center"/>
              <w:rPr>
                <w:szCs w:val="21"/>
              </w:rPr>
            </w:pPr>
            <w:r w:rsidRPr="000549B1">
              <w:rPr>
                <w:kern w:val="0"/>
                <w:szCs w:val="21"/>
                <w:lang w:bidi="ar"/>
              </w:rPr>
              <w:t>&lt;0.004</w:t>
            </w:r>
          </w:p>
        </w:tc>
        <w:tc>
          <w:tcPr>
            <w:tcW w:w="408" w:type="pct"/>
            <w:tcBorders>
              <w:top w:val="single" w:sz="4" w:space="0" w:color="000000"/>
              <w:left w:val="single" w:sz="4" w:space="0" w:color="000000"/>
              <w:bottom w:val="single" w:sz="4" w:space="0" w:color="000000"/>
              <w:right w:val="single" w:sz="4" w:space="0" w:color="000000"/>
            </w:tcBorders>
          </w:tcPr>
          <w:p w14:paraId="0B89BCEB" w14:textId="77777777" w:rsidR="00054437" w:rsidRPr="000549B1" w:rsidRDefault="00000000">
            <w:pPr>
              <w:widowControl/>
              <w:jc w:val="center"/>
              <w:textAlignment w:val="top"/>
              <w:rPr>
                <w:szCs w:val="21"/>
              </w:rPr>
            </w:pPr>
            <w:r w:rsidRPr="000549B1">
              <w:rPr>
                <w:kern w:val="0"/>
                <w:szCs w:val="21"/>
                <w:lang w:bidi="ar"/>
              </w:rPr>
              <w:t>I</w:t>
            </w:r>
          </w:p>
        </w:tc>
        <w:tc>
          <w:tcPr>
            <w:tcW w:w="657" w:type="pct"/>
            <w:tcBorders>
              <w:top w:val="single" w:sz="4" w:space="0" w:color="000000"/>
              <w:left w:val="single" w:sz="4" w:space="0" w:color="000000"/>
              <w:bottom w:val="single" w:sz="4" w:space="0" w:color="000000"/>
              <w:right w:val="single" w:sz="4" w:space="0" w:color="000000"/>
            </w:tcBorders>
            <w:noWrap/>
            <w:vAlign w:val="center"/>
          </w:tcPr>
          <w:p w14:paraId="3E214C20" w14:textId="77777777" w:rsidR="00054437" w:rsidRPr="000549B1" w:rsidRDefault="00000000">
            <w:pPr>
              <w:widowControl/>
              <w:jc w:val="center"/>
              <w:textAlignment w:val="center"/>
              <w:rPr>
                <w:szCs w:val="21"/>
              </w:rPr>
            </w:pPr>
            <w:r w:rsidRPr="000549B1">
              <w:rPr>
                <w:kern w:val="0"/>
                <w:szCs w:val="21"/>
                <w:lang w:bidi="ar"/>
              </w:rPr>
              <w:t>＜</w:t>
            </w:r>
            <w:r w:rsidRPr="000549B1">
              <w:rPr>
                <w:rStyle w:val="font71"/>
                <w:color w:val="auto"/>
                <w:szCs w:val="21"/>
                <w:lang w:bidi="ar"/>
              </w:rPr>
              <w:t>0.004</w:t>
            </w:r>
          </w:p>
        </w:tc>
        <w:tc>
          <w:tcPr>
            <w:tcW w:w="408" w:type="pct"/>
            <w:tcBorders>
              <w:top w:val="single" w:sz="4" w:space="0" w:color="000000"/>
              <w:left w:val="single" w:sz="4" w:space="0" w:color="000000"/>
              <w:bottom w:val="single" w:sz="4" w:space="0" w:color="000000"/>
              <w:right w:val="single" w:sz="4" w:space="0" w:color="000000"/>
            </w:tcBorders>
          </w:tcPr>
          <w:p w14:paraId="1E724FC7" w14:textId="77777777" w:rsidR="00054437" w:rsidRPr="000549B1" w:rsidRDefault="00000000">
            <w:pPr>
              <w:widowControl/>
              <w:jc w:val="center"/>
              <w:textAlignment w:val="top"/>
              <w:rPr>
                <w:szCs w:val="21"/>
              </w:rPr>
            </w:pPr>
            <w:r w:rsidRPr="000549B1">
              <w:rPr>
                <w:kern w:val="0"/>
                <w:szCs w:val="21"/>
                <w:lang w:bidi="ar"/>
              </w:rPr>
              <w:t>I</w:t>
            </w:r>
          </w:p>
        </w:tc>
      </w:tr>
      <w:tr w:rsidR="000549B1" w:rsidRPr="000549B1" w14:paraId="3D365D0E" w14:textId="77777777">
        <w:trPr>
          <w:trHeight w:val="480"/>
        </w:trPr>
        <w:tc>
          <w:tcPr>
            <w:tcW w:w="774" w:type="pct"/>
            <w:tcBorders>
              <w:top w:val="single" w:sz="4" w:space="0" w:color="000000"/>
              <w:left w:val="single" w:sz="4" w:space="0" w:color="000000"/>
              <w:bottom w:val="single" w:sz="4" w:space="0" w:color="000000"/>
              <w:right w:val="single" w:sz="4" w:space="0" w:color="000000"/>
            </w:tcBorders>
            <w:vAlign w:val="center"/>
          </w:tcPr>
          <w:p w14:paraId="0930CF6E" w14:textId="77777777" w:rsidR="00054437" w:rsidRPr="000549B1" w:rsidRDefault="00000000">
            <w:pPr>
              <w:widowControl/>
              <w:jc w:val="center"/>
              <w:textAlignment w:val="center"/>
              <w:rPr>
                <w:b/>
                <w:bCs/>
                <w:szCs w:val="21"/>
              </w:rPr>
            </w:pPr>
            <w:r w:rsidRPr="000549B1">
              <w:rPr>
                <w:b/>
                <w:bCs/>
                <w:kern w:val="0"/>
                <w:szCs w:val="21"/>
                <w:lang w:bidi="ar"/>
              </w:rPr>
              <w:t>阴离子表面活性剂</w:t>
            </w:r>
          </w:p>
        </w:tc>
        <w:tc>
          <w:tcPr>
            <w:tcW w:w="628" w:type="pct"/>
            <w:tcBorders>
              <w:top w:val="single" w:sz="4" w:space="0" w:color="000000"/>
              <w:left w:val="single" w:sz="4" w:space="0" w:color="000000"/>
              <w:bottom w:val="single" w:sz="4" w:space="0" w:color="000000"/>
              <w:right w:val="single" w:sz="4" w:space="0" w:color="000000"/>
            </w:tcBorders>
            <w:vAlign w:val="center"/>
          </w:tcPr>
          <w:p w14:paraId="309251A7" w14:textId="77777777" w:rsidR="00054437" w:rsidRPr="000549B1" w:rsidRDefault="00000000">
            <w:pPr>
              <w:widowControl/>
              <w:jc w:val="center"/>
              <w:textAlignment w:val="center"/>
              <w:rPr>
                <w:szCs w:val="21"/>
              </w:rPr>
            </w:pPr>
            <w:r w:rsidRPr="000549B1">
              <w:rPr>
                <w:kern w:val="0"/>
                <w:szCs w:val="21"/>
                <w:lang w:bidi="ar"/>
              </w:rPr>
              <w:t>＜</w:t>
            </w:r>
            <w:r w:rsidRPr="000549B1">
              <w:rPr>
                <w:rStyle w:val="font61"/>
                <w:color w:val="auto"/>
                <w:szCs w:val="21"/>
                <w:lang w:bidi="ar"/>
              </w:rPr>
              <w:t>0.05</w:t>
            </w:r>
          </w:p>
        </w:tc>
        <w:tc>
          <w:tcPr>
            <w:tcW w:w="415" w:type="pct"/>
            <w:tcBorders>
              <w:top w:val="single" w:sz="4" w:space="0" w:color="000000"/>
              <w:left w:val="single" w:sz="4" w:space="0" w:color="000000"/>
              <w:bottom w:val="single" w:sz="4" w:space="0" w:color="000000"/>
              <w:right w:val="single" w:sz="4" w:space="0" w:color="000000"/>
            </w:tcBorders>
          </w:tcPr>
          <w:p w14:paraId="78535153" w14:textId="77777777" w:rsidR="00054437" w:rsidRPr="000549B1" w:rsidRDefault="00000000">
            <w:pPr>
              <w:widowControl/>
              <w:jc w:val="center"/>
              <w:textAlignment w:val="top"/>
              <w:rPr>
                <w:szCs w:val="21"/>
              </w:rPr>
            </w:pPr>
            <w:r w:rsidRPr="000549B1">
              <w:rPr>
                <w:kern w:val="0"/>
                <w:szCs w:val="21"/>
                <w:lang w:bidi="ar"/>
              </w:rPr>
              <w:t>I</w:t>
            </w:r>
          </w:p>
        </w:tc>
        <w:tc>
          <w:tcPr>
            <w:tcW w:w="665" w:type="pct"/>
            <w:tcBorders>
              <w:top w:val="single" w:sz="4" w:space="0" w:color="000000"/>
              <w:left w:val="single" w:sz="4" w:space="0" w:color="000000"/>
              <w:bottom w:val="single" w:sz="4" w:space="0" w:color="000000"/>
              <w:right w:val="single" w:sz="4" w:space="0" w:color="000000"/>
            </w:tcBorders>
            <w:noWrap/>
            <w:vAlign w:val="center"/>
          </w:tcPr>
          <w:p w14:paraId="2F63DF4E" w14:textId="77777777" w:rsidR="00054437" w:rsidRPr="000549B1" w:rsidRDefault="00000000">
            <w:pPr>
              <w:widowControl/>
              <w:jc w:val="center"/>
              <w:textAlignment w:val="center"/>
              <w:rPr>
                <w:szCs w:val="21"/>
              </w:rPr>
            </w:pPr>
            <w:r w:rsidRPr="000549B1">
              <w:rPr>
                <w:kern w:val="0"/>
                <w:szCs w:val="21"/>
                <w:lang w:bidi="ar"/>
              </w:rPr>
              <w:t>＜</w:t>
            </w:r>
            <w:r w:rsidRPr="000549B1">
              <w:rPr>
                <w:rStyle w:val="font71"/>
                <w:color w:val="auto"/>
                <w:szCs w:val="21"/>
                <w:lang w:bidi="ar"/>
              </w:rPr>
              <w:t>0.05</w:t>
            </w:r>
          </w:p>
        </w:tc>
        <w:tc>
          <w:tcPr>
            <w:tcW w:w="415" w:type="pct"/>
            <w:tcBorders>
              <w:top w:val="single" w:sz="4" w:space="0" w:color="000000"/>
              <w:left w:val="single" w:sz="4" w:space="0" w:color="000000"/>
              <w:bottom w:val="single" w:sz="4" w:space="0" w:color="000000"/>
              <w:right w:val="single" w:sz="4" w:space="0" w:color="000000"/>
            </w:tcBorders>
          </w:tcPr>
          <w:p w14:paraId="257A7A72" w14:textId="77777777" w:rsidR="00054437" w:rsidRPr="000549B1" w:rsidRDefault="00000000">
            <w:pPr>
              <w:widowControl/>
              <w:jc w:val="center"/>
              <w:textAlignment w:val="top"/>
              <w:rPr>
                <w:szCs w:val="21"/>
              </w:rPr>
            </w:pPr>
            <w:r w:rsidRPr="000549B1">
              <w:rPr>
                <w:kern w:val="0"/>
                <w:szCs w:val="21"/>
                <w:lang w:bidi="ar"/>
              </w:rPr>
              <w:t>I</w:t>
            </w:r>
          </w:p>
        </w:tc>
        <w:tc>
          <w:tcPr>
            <w:tcW w:w="625" w:type="pct"/>
            <w:tcBorders>
              <w:top w:val="single" w:sz="4" w:space="0" w:color="000000"/>
              <w:left w:val="single" w:sz="4" w:space="0" w:color="000000"/>
              <w:bottom w:val="single" w:sz="4" w:space="0" w:color="000000"/>
              <w:right w:val="single" w:sz="4" w:space="0" w:color="000000"/>
            </w:tcBorders>
            <w:vAlign w:val="center"/>
          </w:tcPr>
          <w:p w14:paraId="66B82959" w14:textId="77777777" w:rsidR="00054437" w:rsidRPr="000549B1" w:rsidRDefault="00000000">
            <w:pPr>
              <w:widowControl/>
              <w:jc w:val="center"/>
              <w:textAlignment w:val="center"/>
              <w:rPr>
                <w:szCs w:val="21"/>
              </w:rPr>
            </w:pPr>
            <w:r w:rsidRPr="000549B1">
              <w:rPr>
                <w:kern w:val="0"/>
                <w:szCs w:val="21"/>
                <w:lang w:bidi="ar"/>
              </w:rPr>
              <w:t>&lt;0.05</w:t>
            </w:r>
          </w:p>
        </w:tc>
        <w:tc>
          <w:tcPr>
            <w:tcW w:w="408" w:type="pct"/>
            <w:tcBorders>
              <w:top w:val="single" w:sz="4" w:space="0" w:color="000000"/>
              <w:left w:val="single" w:sz="4" w:space="0" w:color="000000"/>
              <w:bottom w:val="single" w:sz="4" w:space="0" w:color="000000"/>
              <w:right w:val="single" w:sz="4" w:space="0" w:color="000000"/>
            </w:tcBorders>
            <w:vAlign w:val="center"/>
          </w:tcPr>
          <w:p w14:paraId="4217358A" w14:textId="77777777" w:rsidR="00054437" w:rsidRPr="000549B1" w:rsidRDefault="00000000">
            <w:pPr>
              <w:widowControl/>
              <w:jc w:val="center"/>
              <w:textAlignment w:val="center"/>
              <w:rPr>
                <w:szCs w:val="21"/>
              </w:rPr>
            </w:pPr>
            <w:r w:rsidRPr="000549B1">
              <w:rPr>
                <w:kern w:val="0"/>
                <w:szCs w:val="21"/>
                <w:lang w:bidi="ar"/>
              </w:rPr>
              <w:t>I</w:t>
            </w:r>
          </w:p>
        </w:tc>
        <w:tc>
          <w:tcPr>
            <w:tcW w:w="657" w:type="pct"/>
            <w:tcBorders>
              <w:top w:val="single" w:sz="4" w:space="0" w:color="000000"/>
              <w:left w:val="single" w:sz="4" w:space="0" w:color="000000"/>
              <w:bottom w:val="single" w:sz="4" w:space="0" w:color="000000"/>
              <w:right w:val="single" w:sz="4" w:space="0" w:color="000000"/>
            </w:tcBorders>
            <w:noWrap/>
            <w:vAlign w:val="center"/>
          </w:tcPr>
          <w:p w14:paraId="0F6DD2CA" w14:textId="77777777" w:rsidR="00054437" w:rsidRPr="000549B1" w:rsidRDefault="00000000">
            <w:pPr>
              <w:widowControl/>
              <w:jc w:val="center"/>
              <w:textAlignment w:val="center"/>
              <w:rPr>
                <w:szCs w:val="21"/>
              </w:rPr>
            </w:pPr>
            <w:r w:rsidRPr="000549B1">
              <w:rPr>
                <w:kern w:val="0"/>
                <w:szCs w:val="21"/>
                <w:lang w:bidi="ar"/>
              </w:rPr>
              <w:t>＜</w:t>
            </w:r>
            <w:r w:rsidRPr="000549B1">
              <w:rPr>
                <w:rStyle w:val="font71"/>
                <w:color w:val="auto"/>
                <w:szCs w:val="21"/>
                <w:lang w:bidi="ar"/>
              </w:rPr>
              <w:t>0.05</w:t>
            </w:r>
          </w:p>
        </w:tc>
        <w:tc>
          <w:tcPr>
            <w:tcW w:w="408" w:type="pct"/>
            <w:tcBorders>
              <w:top w:val="single" w:sz="4" w:space="0" w:color="000000"/>
              <w:left w:val="single" w:sz="4" w:space="0" w:color="000000"/>
              <w:bottom w:val="single" w:sz="4" w:space="0" w:color="000000"/>
              <w:right w:val="single" w:sz="4" w:space="0" w:color="000000"/>
            </w:tcBorders>
          </w:tcPr>
          <w:p w14:paraId="033C5931" w14:textId="77777777" w:rsidR="00054437" w:rsidRPr="000549B1" w:rsidRDefault="00000000">
            <w:pPr>
              <w:widowControl/>
              <w:jc w:val="center"/>
              <w:textAlignment w:val="top"/>
              <w:rPr>
                <w:szCs w:val="21"/>
              </w:rPr>
            </w:pPr>
            <w:r w:rsidRPr="000549B1">
              <w:rPr>
                <w:kern w:val="0"/>
                <w:szCs w:val="21"/>
                <w:lang w:bidi="ar"/>
              </w:rPr>
              <w:t>I</w:t>
            </w:r>
          </w:p>
        </w:tc>
      </w:tr>
      <w:tr w:rsidR="000549B1" w:rsidRPr="000549B1" w14:paraId="2F857C5E" w14:textId="77777777">
        <w:trPr>
          <w:trHeight w:val="300"/>
        </w:trPr>
        <w:tc>
          <w:tcPr>
            <w:tcW w:w="774" w:type="pct"/>
            <w:tcBorders>
              <w:top w:val="single" w:sz="4" w:space="0" w:color="000000"/>
              <w:left w:val="single" w:sz="4" w:space="0" w:color="000000"/>
              <w:bottom w:val="single" w:sz="4" w:space="0" w:color="000000"/>
              <w:right w:val="single" w:sz="4" w:space="0" w:color="000000"/>
            </w:tcBorders>
            <w:vAlign w:val="center"/>
          </w:tcPr>
          <w:p w14:paraId="699CBB07" w14:textId="77777777" w:rsidR="00054437" w:rsidRPr="000549B1" w:rsidRDefault="00000000">
            <w:pPr>
              <w:widowControl/>
              <w:jc w:val="center"/>
              <w:textAlignment w:val="center"/>
              <w:rPr>
                <w:b/>
                <w:bCs/>
                <w:szCs w:val="21"/>
              </w:rPr>
            </w:pPr>
            <w:r w:rsidRPr="000549B1">
              <w:rPr>
                <w:b/>
                <w:bCs/>
                <w:kern w:val="0"/>
                <w:szCs w:val="21"/>
                <w:lang w:bidi="ar"/>
              </w:rPr>
              <w:t>硫化物</w:t>
            </w:r>
          </w:p>
        </w:tc>
        <w:tc>
          <w:tcPr>
            <w:tcW w:w="628" w:type="pct"/>
            <w:tcBorders>
              <w:top w:val="single" w:sz="4" w:space="0" w:color="000000"/>
              <w:left w:val="single" w:sz="4" w:space="0" w:color="000000"/>
              <w:bottom w:val="single" w:sz="4" w:space="0" w:color="000000"/>
              <w:right w:val="single" w:sz="4" w:space="0" w:color="000000"/>
            </w:tcBorders>
            <w:vAlign w:val="center"/>
          </w:tcPr>
          <w:p w14:paraId="3CBFDD53" w14:textId="77777777" w:rsidR="00054437" w:rsidRPr="000549B1" w:rsidRDefault="00000000">
            <w:pPr>
              <w:widowControl/>
              <w:jc w:val="center"/>
              <w:textAlignment w:val="center"/>
              <w:rPr>
                <w:szCs w:val="21"/>
              </w:rPr>
            </w:pPr>
            <w:r w:rsidRPr="000549B1">
              <w:rPr>
                <w:kern w:val="0"/>
                <w:szCs w:val="21"/>
                <w:lang w:bidi="ar"/>
              </w:rPr>
              <w:t>＜</w:t>
            </w:r>
            <w:r w:rsidRPr="000549B1">
              <w:rPr>
                <w:rStyle w:val="font61"/>
                <w:color w:val="auto"/>
                <w:szCs w:val="21"/>
                <w:lang w:bidi="ar"/>
              </w:rPr>
              <w:t>0.01</w:t>
            </w:r>
          </w:p>
        </w:tc>
        <w:tc>
          <w:tcPr>
            <w:tcW w:w="415" w:type="pct"/>
            <w:tcBorders>
              <w:top w:val="single" w:sz="4" w:space="0" w:color="000000"/>
              <w:left w:val="single" w:sz="4" w:space="0" w:color="000000"/>
              <w:bottom w:val="single" w:sz="4" w:space="0" w:color="000000"/>
              <w:right w:val="single" w:sz="4" w:space="0" w:color="000000"/>
            </w:tcBorders>
          </w:tcPr>
          <w:p w14:paraId="279A9491" w14:textId="77777777" w:rsidR="00054437" w:rsidRPr="000549B1" w:rsidRDefault="00000000">
            <w:pPr>
              <w:widowControl/>
              <w:jc w:val="center"/>
              <w:textAlignment w:val="top"/>
              <w:rPr>
                <w:szCs w:val="21"/>
              </w:rPr>
            </w:pPr>
            <w:r w:rsidRPr="000549B1">
              <w:rPr>
                <w:kern w:val="0"/>
                <w:szCs w:val="21"/>
                <w:lang w:bidi="ar"/>
              </w:rPr>
              <w:t>I</w:t>
            </w:r>
          </w:p>
        </w:tc>
        <w:tc>
          <w:tcPr>
            <w:tcW w:w="665" w:type="pct"/>
            <w:tcBorders>
              <w:top w:val="single" w:sz="4" w:space="0" w:color="000000"/>
              <w:left w:val="single" w:sz="4" w:space="0" w:color="000000"/>
              <w:bottom w:val="single" w:sz="4" w:space="0" w:color="000000"/>
              <w:right w:val="single" w:sz="4" w:space="0" w:color="000000"/>
            </w:tcBorders>
            <w:noWrap/>
            <w:vAlign w:val="center"/>
          </w:tcPr>
          <w:p w14:paraId="7042493A" w14:textId="77777777" w:rsidR="00054437" w:rsidRPr="000549B1" w:rsidRDefault="00000000">
            <w:pPr>
              <w:widowControl/>
              <w:jc w:val="center"/>
              <w:textAlignment w:val="center"/>
              <w:rPr>
                <w:szCs w:val="21"/>
              </w:rPr>
            </w:pPr>
            <w:r w:rsidRPr="000549B1">
              <w:rPr>
                <w:kern w:val="0"/>
                <w:szCs w:val="21"/>
                <w:lang w:bidi="ar"/>
              </w:rPr>
              <w:t>＜</w:t>
            </w:r>
            <w:r w:rsidRPr="000549B1">
              <w:rPr>
                <w:rStyle w:val="font71"/>
                <w:color w:val="auto"/>
                <w:szCs w:val="21"/>
                <w:lang w:bidi="ar"/>
              </w:rPr>
              <w:t>0.01</w:t>
            </w:r>
          </w:p>
        </w:tc>
        <w:tc>
          <w:tcPr>
            <w:tcW w:w="415" w:type="pct"/>
            <w:tcBorders>
              <w:top w:val="single" w:sz="4" w:space="0" w:color="000000"/>
              <w:left w:val="single" w:sz="4" w:space="0" w:color="000000"/>
              <w:bottom w:val="single" w:sz="4" w:space="0" w:color="000000"/>
              <w:right w:val="single" w:sz="4" w:space="0" w:color="000000"/>
            </w:tcBorders>
          </w:tcPr>
          <w:p w14:paraId="3A002C02" w14:textId="77777777" w:rsidR="00054437" w:rsidRPr="000549B1" w:rsidRDefault="00000000">
            <w:pPr>
              <w:widowControl/>
              <w:jc w:val="center"/>
              <w:textAlignment w:val="top"/>
              <w:rPr>
                <w:szCs w:val="21"/>
              </w:rPr>
            </w:pPr>
            <w:r w:rsidRPr="000549B1">
              <w:rPr>
                <w:kern w:val="0"/>
                <w:szCs w:val="21"/>
                <w:lang w:bidi="ar"/>
              </w:rPr>
              <w:t>I</w:t>
            </w:r>
          </w:p>
        </w:tc>
        <w:tc>
          <w:tcPr>
            <w:tcW w:w="625" w:type="pct"/>
            <w:tcBorders>
              <w:top w:val="single" w:sz="4" w:space="0" w:color="000000"/>
              <w:left w:val="single" w:sz="4" w:space="0" w:color="000000"/>
              <w:bottom w:val="single" w:sz="4" w:space="0" w:color="000000"/>
              <w:right w:val="single" w:sz="4" w:space="0" w:color="000000"/>
            </w:tcBorders>
            <w:vAlign w:val="center"/>
          </w:tcPr>
          <w:p w14:paraId="33A51EF8" w14:textId="77777777" w:rsidR="00054437" w:rsidRPr="000549B1" w:rsidRDefault="00000000">
            <w:pPr>
              <w:widowControl/>
              <w:jc w:val="center"/>
              <w:textAlignment w:val="center"/>
              <w:rPr>
                <w:szCs w:val="21"/>
              </w:rPr>
            </w:pPr>
            <w:r w:rsidRPr="000549B1">
              <w:rPr>
                <w:kern w:val="0"/>
                <w:szCs w:val="21"/>
                <w:lang w:bidi="ar"/>
              </w:rPr>
              <w:t>&lt;0.01</w:t>
            </w:r>
          </w:p>
        </w:tc>
        <w:tc>
          <w:tcPr>
            <w:tcW w:w="408" w:type="pct"/>
            <w:tcBorders>
              <w:top w:val="single" w:sz="4" w:space="0" w:color="000000"/>
              <w:left w:val="single" w:sz="4" w:space="0" w:color="000000"/>
              <w:bottom w:val="single" w:sz="4" w:space="0" w:color="000000"/>
              <w:right w:val="single" w:sz="4" w:space="0" w:color="000000"/>
            </w:tcBorders>
            <w:vAlign w:val="center"/>
          </w:tcPr>
          <w:p w14:paraId="60A1EC8E" w14:textId="77777777" w:rsidR="00054437" w:rsidRPr="000549B1" w:rsidRDefault="00000000">
            <w:pPr>
              <w:widowControl/>
              <w:jc w:val="center"/>
              <w:textAlignment w:val="center"/>
              <w:rPr>
                <w:szCs w:val="21"/>
              </w:rPr>
            </w:pPr>
            <w:r w:rsidRPr="000549B1">
              <w:rPr>
                <w:kern w:val="0"/>
                <w:szCs w:val="21"/>
                <w:lang w:bidi="ar"/>
              </w:rPr>
              <w:t>I</w:t>
            </w:r>
          </w:p>
        </w:tc>
        <w:tc>
          <w:tcPr>
            <w:tcW w:w="657" w:type="pct"/>
            <w:tcBorders>
              <w:top w:val="single" w:sz="4" w:space="0" w:color="000000"/>
              <w:left w:val="single" w:sz="4" w:space="0" w:color="000000"/>
              <w:bottom w:val="single" w:sz="4" w:space="0" w:color="000000"/>
              <w:right w:val="single" w:sz="4" w:space="0" w:color="000000"/>
            </w:tcBorders>
            <w:noWrap/>
            <w:vAlign w:val="center"/>
          </w:tcPr>
          <w:p w14:paraId="3EFCE2F8" w14:textId="77777777" w:rsidR="00054437" w:rsidRPr="000549B1" w:rsidRDefault="00000000">
            <w:pPr>
              <w:widowControl/>
              <w:jc w:val="center"/>
              <w:textAlignment w:val="center"/>
              <w:rPr>
                <w:szCs w:val="21"/>
              </w:rPr>
            </w:pPr>
            <w:r w:rsidRPr="000549B1">
              <w:rPr>
                <w:kern w:val="0"/>
                <w:szCs w:val="21"/>
                <w:lang w:bidi="ar"/>
              </w:rPr>
              <w:t>＜</w:t>
            </w:r>
            <w:r w:rsidRPr="000549B1">
              <w:rPr>
                <w:rStyle w:val="font71"/>
                <w:color w:val="auto"/>
                <w:szCs w:val="21"/>
                <w:lang w:bidi="ar"/>
              </w:rPr>
              <w:t>0.01</w:t>
            </w:r>
          </w:p>
        </w:tc>
        <w:tc>
          <w:tcPr>
            <w:tcW w:w="408" w:type="pct"/>
            <w:tcBorders>
              <w:top w:val="single" w:sz="4" w:space="0" w:color="000000"/>
              <w:left w:val="single" w:sz="4" w:space="0" w:color="000000"/>
              <w:bottom w:val="single" w:sz="4" w:space="0" w:color="000000"/>
              <w:right w:val="single" w:sz="4" w:space="0" w:color="000000"/>
            </w:tcBorders>
          </w:tcPr>
          <w:p w14:paraId="069C26B4" w14:textId="77777777" w:rsidR="00054437" w:rsidRPr="000549B1" w:rsidRDefault="00000000">
            <w:pPr>
              <w:widowControl/>
              <w:jc w:val="center"/>
              <w:textAlignment w:val="top"/>
              <w:rPr>
                <w:szCs w:val="21"/>
              </w:rPr>
            </w:pPr>
            <w:r w:rsidRPr="000549B1">
              <w:rPr>
                <w:kern w:val="0"/>
                <w:szCs w:val="21"/>
                <w:lang w:bidi="ar"/>
              </w:rPr>
              <w:t>I</w:t>
            </w:r>
          </w:p>
        </w:tc>
      </w:tr>
      <w:tr w:rsidR="000549B1" w:rsidRPr="000549B1" w14:paraId="12D54167" w14:textId="77777777">
        <w:trPr>
          <w:trHeight w:val="300"/>
        </w:trPr>
        <w:tc>
          <w:tcPr>
            <w:tcW w:w="774" w:type="pct"/>
            <w:tcBorders>
              <w:top w:val="single" w:sz="4" w:space="0" w:color="000000"/>
              <w:left w:val="single" w:sz="4" w:space="0" w:color="000000"/>
              <w:bottom w:val="single" w:sz="4" w:space="0" w:color="000000"/>
              <w:right w:val="single" w:sz="4" w:space="0" w:color="000000"/>
            </w:tcBorders>
            <w:vAlign w:val="center"/>
          </w:tcPr>
          <w:p w14:paraId="2F00E5BC" w14:textId="77777777" w:rsidR="00054437" w:rsidRPr="000549B1" w:rsidRDefault="00000000">
            <w:pPr>
              <w:widowControl/>
              <w:jc w:val="center"/>
              <w:textAlignment w:val="center"/>
              <w:rPr>
                <w:b/>
                <w:bCs/>
                <w:szCs w:val="21"/>
              </w:rPr>
            </w:pPr>
            <w:r w:rsidRPr="000549B1">
              <w:rPr>
                <w:b/>
                <w:bCs/>
                <w:kern w:val="0"/>
                <w:szCs w:val="21"/>
                <w:lang w:bidi="ar"/>
              </w:rPr>
              <w:t>挥发酚</w:t>
            </w:r>
          </w:p>
        </w:tc>
        <w:tc>
          <w:tcPr>
            <w:tcW w:w="628" w:type="pct"/>
            <w:tcBorders>
              <w:top w:val="single" w:sz="4" w:space="0" w:color="000000"/>
              <w:left w:val="single" w:sz="4" w:space="0" w:color="000000"/>
              <w:bottom w:val="single" w:sz="4" w:space="0" w:color="000000"/>
              <w:right w:val="single" w:sz="4" w:space="0" w:color="000000"/>
            </w:tcBorders>
            <w:vAlign w:val="center"/>
          </w:tcPr>
          <w:p w14:paraId="507A30FE" w14:textId="77777777" w:rsidR="00054437" w:rsidRPr="000549B1" w:rsidRDefault="00000000">
            <w:pPr>
              <w:widowControl/>
              <w:jc w:val="center"/>
              <w:textAlignment w:val="center"/>
              <w:rPr>
                <w:szCs w:val="21"/>
              </w:rPr>
            </w:pPr>
            <w:r w:rsidRPr="000549B1">
              <w:rPr>
                <w:kern w:val="0"/>
                <w:szCs w:val="21"/>
                <w:lang w:bidi="ar"/>
              </w:rPr>
              <w:t>＜</w:t>
            </w:r>
            <w:r w:rsidRPr="000549B1">
              <w:rPr>
                <w:rStyle w:val="font61"/>
                <w:color w:val="auto"/>
                <w:szCs w:val="21"/>
                <w:lang w:bidi="ar"/>
              </w:rPr>
              <w:t>0.0003</w:t>
            </w:r>
          </w:p>
        </w:tc>
        <w:tc>
          <w:tcPr>
            <w:tcW w:w="415" w:type="pct"/>
            <w:tcBorders>
              <w:top w:val="single" w:sz="4" w:space="0" w:color="000000"/>
              <w:left w:val="single" w:sz="4" w:space="0" w:color="000000"/>
              <w:bottom w:val="single" w:sz="4" w:space="0" w:color="000000"/>
              <w:right w:val="single" w:sz="4" w:space="0" w:color="000000"/>
            </w:tcBorders>
          </w:tcPr>
          <w:p w14:paraId="7AB655FD" w14:textId="77777777" w:rsidR="00054437" w:rsidRPr="000549B1" w:rsidRDefault="00000000">
            <w:pPr>
              <w:widowControl/>
              <w:jc w:val="center"/>
              <w:textAlignment w:val="top"/>
              <w:rPr>
                <w:szCs w:val="21"/>
              </w:rPr>
            </w:pPr>
            <w:r w:rsidRPr="000549B1">
              <w:rPr>
                <w:kern w:val="0"/>
                <w:szCs w:val="21"/>
                <w:lang w:bidi="ar"/>
              </w:rPr>
              <w:t>I</w:t>
            </w:r>
          </w:p>
        </w:tc>
        <w:tc>
          <w:tcPr>
            <w:tcW w:w="665" w:type="pct"/>
            <w:tcBorders>
              <w:top w:val="single" w:sz="4" w:space="0" w:color="000000"/>
              <w:left w:val="single" w:sz="4" w:space="0" w:color="000000"/>
              <w:bottom w:val="single" w:sz="4" w:space="0" w:color="000000"/>
              <w:right w:val="single" w:sz="4" w:space="0" w:color="000000"/>
            </w:tcBorders>
            <w:noWrap/>
            <w:vAlign w:val="center"/>
          </w:tcPr>
          <w:p w14:paraId="400DC352" w14:textId="77777777" w:rsidR="00054437" w:rsidRPr="000549B1" w:rsidRDefault="00000000">
            <w:pPr>
              <w:widowControl/>
              <w:jc w:val="center"/>
              <w:textAlignment w:val="center"/>
              <w:rPr>
                <w:szCs w:val="21"/>
              </w:rPr>
            </w:pPr>
            <w:r w:rsidRPr="000549B1">
              <w:rPr>
                <w:kern w:val="0"/>
                <w:szCs w:val="21"/>
                <w:lang w:bidi="ar"/>
              </w:rPr>
              <w:t>＜</w:t>
            </w:r>
            <w:r w:rsidRPr="000549B1">
              <w:rPr>
                <w:rStyle w:val="font71"/>
                <w:color w:val="auto"/>
                <w:szCs w:val="21"/>
                <w:lang w:bidi="ar"/>
              </w:rPr>
              <w:t>0.0003</w:t>
            </w:r>
          </w:p>
        </w:tc>
        <w:tc>
          <w:tcPr>
            <w:tcW w:w="415" w:type="pct"/>
            <w:tcBorders>
              <w:top w:val="single" w:sz="4" w:space="0" w:color="000000"/>
              <w:left w:val="single" w:sz="4" w:space="0" w:color="000000"/>
              <w:bottom w:val="single" w:sz="4" w:space="0" w:color="000000"/>
              <w:right w:val="single" w:sz="4" w:space="0" w:color="000000"/>
            </w:tcBorders>
          </w:tcPr>
          <w:p w14:paraId="6B0AF6BB" w14:textId="77777777" w:rsidR="00054437" w:rsidRPr="000549B1" w:rsidRDefault="00000000">
            <w:pPr>
              <w:widowControl/>
              <w:jc w:val="center"/>
              <w:textAlignment w:val="top"/>
              <w:rPr>
                <w:szCs w:val="21"/>
              </w:rPr>
            </w:pPr>
            <w:r w:rsidRPr="000549B1">
              <w:rPr>
                <w:kern w:val="0"/>
                <w:szCs w:val="21"/>
                <w:lang w:bidi="ar"/>
              </w:rPr>
              <w:t>I</w:t>
            </w:r>
          </w:p>
        </w:tc>
        <w:tc>
          <w:tcPr>
            <w:tcW w:w="625" w:type="pct"/>
            <w:tcBorders>
              <w:top w:val="single" w:sz="4" w:space="0" w:color="000000"/>
              <w:left w:val="single" w:sz="4" w:space="0" w:color="000000"/>
              <w:bottom w:val="single" w:sz="4" w:space="0" w:color="000000"/>
              <w:right w:val="single" w:sz="4" w:space="0" w:color="000000"/>
            </w:tcBorders>
            <w:vAlign w:val="center"/>
          </w:tcPr>
          <w:p w14:paraId="1EA84AE3" w14:textId="77777777" w:rsidR="00054437" w:rsidRPr="000549B1" w:rsidRDefault="00000000">
            <w:pPr>
              <w:widowControl/>
              <w:jc w:val="center"/>
              <w:textAlignment w:val="center"/>
              <w:rPr>
                <w:szCs w:val="21"/>
              </w:rPr>
            </w:pPr>
            <w:r w:rsidRPr="000549B1">
              <w:rPr>
                <w:kern w:val="0"/>
                <w:szCs w:val="21"/>
                <w:lang w:bidi="ar"/>
              </w:rPr>
              <w:t>&lt;0.0003</w:t>
            </w:r>
          </w:p>
        </w:tc>
        <w:tc>
          <w:tcPr>
            <w:tcW w:w="408" w:type="pct"/>
            <w:tcBorders>
              <w:top w:val="single" w:sz="4" w:space="0" w:color="000000"/>
              <w:left w:val="single" w:sz="4" w:space="0" w:color="000000"/>
              <w:bottom w:val="single" w:sz="4" w:space="0" w:color="000000"/>
              <w:right w:val="single" w:sz="4" w:space="0" w:color="000000"/>
            </w:tcBorders>
            <w:vAlign w:val="center"/>
          </w:tcPr>
          <w:p w14:paraId="394DB01F" w14:textId="77777777" w:rsidR="00054437" w:rsidRPr="000549B1" w:rsidRDefault="00000000">
            <w:pPr>
              <w:widowControl/>
              <w:jc w:val="center"/>
              <w:textAlignment w:val="center"/>
              <w:rPr>
                <w:szCs w:val="21"/>
              </w:rPr>
            </w:pPr>
            <w:r w:rsidRPr="000549B1">
              <w:rPr>
                <w:kern w:val="0"/>
                <w:szCs w:val="21"/>
                <w:lang w:bidi="ar"/>
              </w:rPr>
              <w:t>I</w:t>
            </w:r>
          </w:p>
        </w:tc>
        <w:tc>
          <w:tcPr>
            <w:tcW w:w="657" w:type="pct"/>
            <w:tcBorders>
              <w:top w:val="single" w:sz="4" w:space="0" w:color="000000"/>
              <w:left w:val="single" w:sz="4" w:space="0" w:color="000000"/>
              <w:bottom w:val="single" w:sz="4" w:space="0" w:color="000000"/>
              <w:right w:val="single" w:sz="4" w:space="0" w:color="000000"/>
            </w:tcBorders>
            <w:noWrap/>
            <w:vAlign w:val="center"/>
          </w:tcPr>
          <w:p w14:paraId="746A5DF0" w14:textId="77777777" w:rsidR="00054437" w:rsidRPr="000549B1" w:rsidRDefault="00000000">
            <w:pPr>
              <w:widowControl/>
              <w:jc w:val="center"/>
              <w:textAlignment w:val="center"/>
              <w:rPr>
                <w:szCs w:val="21"/>
              </w:rPr>
            </w:pPr>
            <w:r w:rsidRPr="000549B1">
              <w:rPr>
                <w:kern w:val="0"/>
                <w:szCs w:val="21"/>
                <w:lang w:bidi="ar"/>
              </w:rPr>
              <w:t>＜</w:t>
            </w:r>
            <w:r w:rsidRPr="000549B1">
              <w:rPr>
                <w:rStyle w:val="font71"/>
                <w:color w:val="auto"/>
                <w:szCs w:val="21"/>
                <w:lang w:bidi="ar"/>
              </w:rPr>
              <w:t>0.0003</w:t>
            </w:r>
          </w:p>
        </w:tc>
        <w:tc>
          <w:tcPr>
            <w:tcW w:w="408" w:type="pct"/>
            <w:tcBorders>
              <w:top w:val="single" w:sz="4" w:space="0" w:color="000000"/>
              <w:left w:val="single" w:sz="4" w:space="0" w:color="000000"/>
              <w:bottom w:val="single" w:sz="4" w:space="0" w:color="000000"/>
              <w:right w:val="single" w:sz="4" w:space="0" w:color="000000"/>
            </w:tcBorders>
          </w:tcPr>
          <w:p w14:paraId="2FA2C7BC" w14:textId="77777777" w:rsidR="00054437" w:rsidRPr="000549B1" w:rsidRDefault="00000000">
            <w:pPr>
              <w:widowControl/>
              <w:jc w:val="center"/>
              <w:textAlignment w:val="top"/>
              <w:rPr>
                <w:szCs w:val="21"/>
              </w:rPr>
            </w:pPr>
            <w:r w:rsidRPr="000549B1">
              <w:rPr>
                <w:kern w:val="0"/>
                <w:szCs w:val="21"/>
                <w:lang w:bidi="ar"/>
              </w:rPr>
              <w:t>I</w:t>
            </w:r>
          </w:p>
        </w:tc>
      </w:tr>
      <w:tr w:rsidR="000549B1" w:rsidRPr="000549B1" w14:paraId="1BCEC7E8" w14:textId="77777777">
        <w:trPr>
          <w:trHeight w:val="300"/>
        </w:trPr>
        <w:tc>
          <w:tcPr>
            <w:tcW w:w="774" w:type="pct"/>
            <w:tcBorders>
              <w:top w:val="single" w:sz="4" w:space="0" w:color="000000"/>
              <w:left w:val="single" w:sz="4" w:space="0" w:color="000000"/>
              <w:bottom w:val="single" w:sz="4" w:space="0" w:color="000000"/>
              <w:right w:val="single" w:sz="4" w:space="0" w:color="000000"/>
            </w:tcBorders>
            <w:vAlign w:val="center"/>
          </w:tcPr>
          <w:p w14:paraId="1A3AD88C" w14:textId="77777777" w:rsidR="00054437" w:rsidRPr="000549B1" w:rsidRDefault="00000000">
            <w:pPr>
              <w:widowControl/>
              <w:jc w:val="center"/>
              <w:textAlignment w:val="center"/>
              <w:rPr>
                <w:b/>
                <w:bCs/>
                <w:szCs w:val="21"/>
              </w:rPr>
            </w:pPr>
            <w:r w:rsidRPr="000549B1">
              <w:rPr>
                <w:b/>
                <w:bCs/>
                <w:kern w:val="0"/>
                <w:szCs w:val="21"/>
                <w:lang w:bidi="ar"/>
              </w:rPr>
              <w:t>石油类</w:t>
            </w:r>
          </w:p>
        </w:tc>
        <w:tc>
          <w:tcPr>
            <w:tcW w:w="628" w:type="pct"/>
            <w:tcBorders>
              <w:top w:val="single" w:sz="4" w:space="0" w:color="000000"/>
              <w:left w:val="single" w:sz="4" w:space="0" w:color="000000"/>
              <w:bottom w:val="single" w:sz="4" w:space="0" w:color="000000"/>
              <w:right w:val="single" w:sz="4" w:space="0" w:color="000000"/>
            </w:tcBorders>
            <w:vAlign w:val="center"/>
          </w:tcPr>
          <w:p w14:paraId="5E923B50" w14:textId="77777777" w:rsidR="00054437" w:rsidRPr="000549B1" w:rsidRDefault="00000000">
            <w:pPr>
              <w:widowControl/>
              <w:jc w:val="center"/>
              <w:textAlignment w:val="center"/>
              <w:rPr>
                <w:szCs w:val="21"/>
              </w:rPr>
            </w:pPr>
            <w:r w:rsidRPr="000549B1">
              <w:rPr>
                <w:kern w:val="0"/>
                <w:szCs w:val="21"/>
                <w:lang w:bidi="ar"/>
              </w:rPr>
              <w:t>＜</w:t>
            </w:r>
            <w:r w:rsidRPr="000549B1">
              <w:rPr>
                <w:rStyle w:val="font61"/>
                <w:color w:val="auto"/>
                <w:szCs w:val="21"/>
                <w:lang w:bidi="ar"/>
              </w:rPr>
              <w:t>0.01</w:t>
            </w:r>
          </w:p>
        </w:tc>
        <w:tc>
          <w:tcPr>
            <w:tcW w:w="415" w:type="pct"/>
            <w:tcBorders>
              <w:top w:val="single" w:sz="4" w:space="0" w:color="000000"/>
              <w:left w:val="single" w:sz="4" w:space="0" w:color="000000"/>
              <w:bottom w:val="single" w:sz="4" w:space="0" w:color="000000"/>
              <w:right w:val="single" w:sz="4" w:space="0" w:color="000000"/>
            </w:tcBorders>
          </w:tcPr>
          <w:p w14:paraId="2AFA5EB4" w14:textId="77777777" w:rsidR="00054437" w:rsidRPr="000549B1" w:rsidRDefault="00000000">
            <w:pPr>
              <w:widowControl/>
              <w:jc w:val="center"/>
              <w:textAlignment w:val="top"/>
              <w:rPr>
                <w:szCs w:val="21"/>
              </w:rPr>
            </w:pPr>
            <w:r w:rsidRPr="000549B1">
              <w:rPr>
                <w:kern w:val="0"/>
                <w:szCs w:val="21"/>
                <w:lang w:bidi="ar"/>
              </w:rPr>
              <w:t>I</w:t>
            </w:r>
          </w:p>
        </w:tc>
        <w:tc>
          <w:tcPr>
            <w:tcW w:w="665" w:type="pct"/>
            <w:tcBorders>
              <w:top w:val="single" w:sz="4" w:space="0" w:color="000000"/>
              <w:left w:val="single" w:sz="4" w:space="0" w:color="000000"/>
              <w:bottom w:val="single" w:sz="4" w:space="0" w:color="000000"/>
              <w:right w:val="single" w:sz="4" w:space="0" w:color="000000"/>
            </w:tcBorders>
            <w:noWrap/>
            <w:vAlign w:val="center"/>
          </w:tcPr>
          <w:p w14:paraId="620FF5C8" w14:textId="77777777" w:rsidR="00054437" w:rsidRPr="000549B1" w:rsidRDefault="00000000">
            <w:pPr>
              <w:widowControl/>
              <w:jc w:val="center"/>
              <w:textAlignment w:val="center"/>
              <w:rPr>
                <w:szCs w:val="21"/>
              </w:rPr>
            </w:pPr>
            <w:r w:rsidRPr="000549B1">
              <w:rPr>
                <w:kern w:val="0"/>
                <w:szCs w:val="21"/>
                <w:lang w:bidi="ar"/>
              </w:rPr>
              <w:t>＜</w:t>
            </w:r>
            <w:r w:rsidRPr="000549B1">
              <w:rPr>
                <w:rStyle w:val="font71"/>
                <w:color w:val="auto"/>
                <w:szCs w:val="21"/>
                <w:lang w:bidi="ar"/>
              </w:rPr>
              <w:t>0.01</w:t>
            </w:r>
          </w:p>
        </w:tc>
        <w:tc>
          <w:tcPr>
            <w:tcW w:w="415" w:type="pct"/>
            <w:tcBorders>
              <w:top w:val="single" w:sz="4" w:space="0" w:color="000000"/>
              <w:left w:val="single" w:sz="4" w:space="0" w:color="000000"/>
              <w:bottom w:val="single" w:sz="4" w:space="0" w:color="000000"/>
              <w:right w:val="single" w:sz="4" w:space="0" w:color="000000"/>
            </w:tcBorders>
          </w:tcPr>
          <w:p w14:paraId="1954E40F" w14:textId="77777777" w:rsidR="00054437" w:rsidRPr="000549B1" w:rsidRDefault="00000000">
            <w:pPr>
              <w:widowControl/>
              <w:jc w:val="center"/>
              <w:textAlignment w:val="top"/>
              <w:rPr>
                <w:szCs w:val="21"/>
              </w:rPr>
            </w:pPr>
            <w:r w:rsidRPr="000549B1">
              <w:rPr>
                <w:kern w:val="0"/>
                <w:szCs w:val="21"/>
                <w:lang w:bidi="ar"/>
              </w:rPr>
              <w:t>I</w:t>
            </w:r>
          </w:p>
        </w:tc>
        <w:tc>
          <w:tcPr>
            <w:tcW w:w="625" w:type="pct"/>
            <w:tcBorders>
              <w:top w:val="single" w:sz="4" w:space="0" w:color="000000"/>
              <w:left w:val="single" w:sz="4" w:space="0" w:color="000000"/>
              <w:bottom w:val="single" w:sz="4" w:space="0" w:color="000000"/>
              <w:right w:val="single" w:sz="4" w:space="0" w:color="000000"/>
            </w:tcBorders>
            <w:vAlign w:val="center"/>
          </w:tcPr>
          <w:p w14:paraId="68BDC43A" w14:textId="77777777" w:rsidR="00054437" w:rsidRPr="000549B1" w:rsidRDefault="00000000">
            <w:pPr>
              <w:widowControl/>
              <w:jc w:val="center"/>
              <w:textAlignment w:val="center"/>
              <w:rPr>
                <w:szCs w:val="21"/>
              </w:rPr>
            </w:pPr>
            <w:r w:rsidRPr="000549B1">
              <w:rPr>
                <w:kern w:val="0"/>
                <w:szCs w:val="21"/>
                <w:lang w:bidi="ar"/>
              </w:rPr>
              <w:t>&lt;0.01</w:t>
            </w:r>
          </w:p>
        </w:tc>
        <w:tc>
          <w:tcPr>
            <w:tcW w:w="408" w:type="pct"/>
            <w:tcBorders>
              <w:top w:val="single" w:sz="4" w:space="0" w:color="000000"/>
              <w:left w:val="single" w:sz="4" w:space="0" w:color="000000"/>
              <w:bottom w:val="single" w:sz="4" w:space="0" w:color="000000"/>
              <w:right w:val="single" w:sz="4" w:space="0" w:color="000000"/>
            </w:tcBorders>
            <w:vAlign w:val="center"/>
          </w:tcPr>
          <w:p w14:paraId="531DC86D" w14:textId="77777777" w:rsidR="00054437" w:rsidRPr="000549B1" w:rsidRDefault="00000000">
            <w:pPr>
              <w:widowControl/>
              <w:jc w:val="center"/>
              <w:textAlignment w:val="center"/>
              <w:rPr>
                <w:szCs w:val="21"/>
              </w:rPr>
            </w:pPr>
            <w:r w:rsidRPr="000549B1">
              <w:rPr>
                <w:kern w:val="0"/>
                <w:szCs w:val="21"/>
                <w:lang w:bidi="ar"/>
              </w:rPr>
              <w:t>I</w:t>
            </w:r>
          </w:p>
        </w:tc>
        <w:tc>
          <w:tcPr>
            <w:tcW w:w="657" w:type="pct"/>
            <w:tcBorders>
              <w:top w:val="single" w:sz="4" w:space="0" w:color="000000"/>
              <w:left w:val="single" w:sz="4" w:space="0" w:color="000000"/>
              <w:bottom w:val="single" w:sz="4" w:space="0" w:color="000000"/>
              <w:right w:val="single" w:sz="4" w:space="0" w:color="000000"/>
            </w:tcBorders>
            <w:noWrap/>
            <w:vAlign w:val="center"/>
          </w:tcPr>
          <w:p w14:paraId="389ED1E5" w14:textId="77777777" w:rsidR="00054437" w:rsidRPr="000549B1" w:rsidRDefault="00000000">
            <w:pPr>
              <w:widowControl/>
              <w:jc w:val="center"/>
              <w:textAlignment w:val="center"/>
              <w:rPr>
                <w:szCs w:val="21"/>
              </w:rPr>
            </w:pPr>
            <w:r w:rsidRPr="000549B1">
              <w:rPr>
                <w:kern w:val="0"/>
                <w:szCs w:val="21"/>
                <w:lang w:bidi="ar"/>
              </w:rPr>
              <w:t>＜</w:t>
            </w:r>
            <w:r w:rsidRPr="000549B1">
              <w:rPr>
                <w:rStyle w:val="font71"/>
                <w:color w:val="auto"/>
                <w:szCs w:val="21"/>
                <w:lang w:bidi="ar"/>
              </w:rPr>
              <w:t>0.01</w:t>
            </w:r>
          </w:p>
        </w:tc>
        <w:tc>
          <w:tcPr>
            <w:tcW w:w="408" w:type="pct"/>
            <w:tcBorders>
              <w:top w:val="single" w:sz="4" w:space="0" w:color="000000"/>
              <w:left w:val="single" w:sz="4" w:space="0" w:color="000000"/>
              <w:bottom w:val="single" w:sz="4" w:space="0" w:color="000000"/>
              <w:right w:val="single" w:sz="4" w:space="0" w:color="000000"/>
            </w:tcBorders>
          </w:tcPr>
          <w:p w14:paraId="3FE6FEEE" w14:textId="77777777" w:rsidR="00054437" w:rsidRPr="000549B1" w:rsidRDefault="00000000">
            <w:pPr>
              <w:widowControl/>
              <w:jc w:val="center"/>
              <w:textAlignment w:val="top"/>
              <w:rPr>
                <w:szCs w:val="21"/>
              </w:rPr>
            </w:pPr>
            <w:r w:rsidRPr="000549B1">
              <w:rPr>
                <w:kern w:val="0"/>
                <w:szCs w:val="21"/>
                <w:lang w:bidi="ar"/>
              </w:rPr>
              <w:t>I</w:t>
            </w:r>
          </w:p>
        </w:tc>
      </w:tr>
      <w:tr w:rsidR="000549B1" w:rsidRPr="000549B1" w14:paraId="425AF551" w14:textId="77777777">
        <w:trPr>
          <w:trHeight w:val="300"/>
        </w:trPr>
        <w:tc>
          <w:tcPr>
            <w:tcW w:w="774" w:type="pct"/>
            <w:tcBorders>
              <w:top w:val="single" w:sz="4" w:space="0" w:color="000000"/>
              <w:left w:val="single" w:sz="4" w:space="0" w:color="000000"/>
              <w:bottom w:val="single" w:sz="4" w:space="0" w:color="000000"/>
              <w:right w:val="single" w:sz="4" w:space="0" w:color="000000"/>
            </w:tcBorders>
            <w:vAlign w:val="center"/>
          </w:tcPr>
          <w:p w14:paraId="66D7C1C8" w14:textId="77777777" w:rsidR="00054437" w:rsidRPr="000549B1" w:rsidRDefault="00000000">
            <w:pPr>
              <w:widowControl/>
              <w:jc w:val="center"/>
              <w:textAlignment w:val="center"/>
              <w:rPr>
                <w:b/>
                <w:bCs/>
                <w:szCs w:val="21"/>
              </w:rPr>
            </w:pPr>
            <w:r w:rsidRPr="000549B1">
              <w:rPr>
                <w:b/>
                <w:bCs/>
                <w:kern w:val="0"/>
                <w:szCs w:val="21"/>
                <w:lang w:bidi="ar"/>
              </w:rPr>
              <w:t>浊度</w:t>
            </w:r>
          </w:p>
        </w:tc>
        <w:tc>
          <w:tcPr>
            <w:tcW w:w="628" w:type="pct"/>
            <w:tcBorders>
              <w:top w:val="single" w:sz="4" w:space="0" w:color="000000"/>
              <w:left w:val="single" w:sz="4" w:space="0" w:color="000000"/>
              <w:bottom w:val="single" w:sz="4" w:space="0" w:color="000000"/>
              <w:right w:val="single" w:sz="4" w:space="0" w:color="000000"/>
            </w:tcBorders>
            <w:vAlign w:val="center"/>
          </w:tcPr>
          <w:p w14:paraId="7E31FFD3" w14:textId="77777777" w:rsidR="00054437" w:rsidRPr="000549B1" w:rsidRDefault="00000000">
            <w:pPr>
              <w:widowControl/>
              <w:jc w:val="center"/>
              <w:textAlignment w:val="center"/>
              <w:rPr>
                <w:szCs w:val="21"/>
              </w:rPr>
            </w:pPr>
            <w:r w:rsidRPr="000549B1">
              <w:rPr>
                <w:kern w:val="0"/>
                <w:szCs w:val="21"/>
                <w:lang w:bidi="ar"/>
              </w:rPr>
              <w:t>8.4</w:t>
            </w:r>
          </w:p>
        </w:tc>
        <w:tc>
          <w:tcPr>
            <w:tcW w:w="415" w:type="pct"/>
            <w:tcBorders>
              <w:top w:val="single" w:sz="4" w:space="0" w:color="000000"/>
              <w:left w:val="single" w:sz="4" w:space="0" w:color="000000"/>
              <w:bottom w:val="single" w:sz="4" w:space="0" w:color="000000"/>
              <w:right w:val="single" w:sz="4" w:space="0" w:color="000000"/>
            </w:tcBorders>
          </w:tcPr>
          <w:p w14:paraId="5F30509D" w14:textId="77777777" w:rsidR="00054437" w:rsidRPr="000549B1" w:rsidRDefault="00054437">
            <w:pPr>
              <w:jc w:val="center"/>
              <w:rPr>
                <w:szCs w:val="21"/>
              </w:rPr>
            </w:pPr>
          </w:p>
        </w:tc>
        <w:tc>
          <w:tcPr>
            <w:tcW w:w="665" w:type="pct"/>
            <w:tcBorders>
              <w:top w:val="single" w:sz="4" w:space="0" w:color="000000"/>
              <w:left w:val="single" w:sz="4" w:space="0" w:color="000000"/>
              <w:bottom w:val="single" w:sz="4" w:space="0" w:color="000000"/>
              <w:right w:val="single" w:sz="4" w:space="0" w:color="000000"/>
            </w:tcBorders>
            <w:noWrap/>
            <w:vAlign w:val="center"/>
          </w:tcPr>
          <w:p w14:paraId="5B9186C0" w14:textId="77777777" w:rsidR="00054437" w:rsidRPr="000549B1" w:rsidRDefault="00000000">
            <w:pPr>
              <w:widowControl/>
              <w:jc w:val="center"/>
              <w:textAlignment w:val="center"/>
              <w:rPr>
                <w:szCs w:val="21"/>
              </w:rPr>
            </w:pPr>
            <w:r w:rsidRPr="000549B1">
              <w:rPr>
                <w:kern w:val="0"/>
                <w:szCs w:val="21"/>
                <w:lang w:bidi="ar"/>
              </w:rPr>
              <w:t>6.20</w:t>
            </w:r>
          </w:p>
        </w:tc>
        <w:tc>
          <w:tcPr>
            <w:tcW w:w="415" w:type="pct"/>
            <w:tcBorders>
              <w:top w:val="single" w:sz="4" w:space="0" w:color="000000"/>
              <w:left w:val="single" w:sz="4" w:space="0" w:color="000000"/>
              <w:bottom w:val="single" w:sz="4" w:space="0" w:color="000000"/>
              <w:right w:val="single" w:sz="4" w:space="0" w:color="000000"/>
            </w:tcBorders>
          </w:tcPr>
          <w:p w14:paraId="78EB6D48" w14:textId="77777777" w:rsidR="00054437" w:rsidRPr="000549B1" w:rsidRDefault="00054437">
            <w:pPr>
              <w:jc w:val="center"/>
              <w:rPr>
                <w:szCs w:val="21"/>
              </w:rPr>
            </w:pPr>
          </w:p>
        </w:tc>
        <w:tc>
          <w:tcPr>
            <w:tcW w:w="625" w:type="pct"/>
            <w:tcBorders>
              <w:top w:val="single" w:sz="4" w:space="0" w:color="000000"/>
              <w:left w:val="single" w:sz="4" w:space="0" w:color="000000"/>
              <w:bottom w:val="single" w:sz="4" w:space="0" w:color="000000"/>
              <w:right w:val="single" w:sz="4" w:space="0" w:color="000000"/>
            </w:tcBorders>
            <w:vAlign w:val="center"/>
          </w:tcPr>
          <w:p w14:paraId="7ACC54D2" w14:textId="77777777" w:rsidR="00054437" w:rsidRPr="000549B1" w:rsidRDefault="00000000">
            <w:pPr>
              <w:widowControl/>
              <w:jc w:val="center"/>
              <w:textAlignment w:val="center"/>
              <w:rPr>
                <w:szCs w:val="21"/>
              </w:rPr>
            </w:pPr>
            <w:r w:rsidRPr="000549B1">
              <w:rPr>
                <w:kern w:val="0"/>
                <w:szCs w:val="21"/>
                <w:lang w:bidi="ar"/>
              </w:rPr>
              <w:t>8.3</w:t>
            </w:r>
          </w:p>
        </w:tc>
        <w:tc>
          <w:tcPr>
            <w:tcW w:w="408" w:type="pct"/>
            <w:tcBorders>
              <w:top w:val="single" w:sz="4" w:space="0" w:color="000000"/>
              <w:left w:val="single" w:sz="4" w:space="0" w:color="000000"/>
              <w:bottom w:val="single" w:sz="4" w:space="0" w:color="000000"/>
              <w:right w:val="single" w:sz="4" w:space="0" w:color="000000"/>
            </w:tcBorders>
            <w:vAlign w:val="center"/>
          </w:tcPr>
          <w:p w14:paraId="0BDEEB43" w14:textId="77777777" w:rsidR="00054437" w:rsidRPr="000549B1" w:rsidRDefault="00054437">
            <w:pPr>
              <w:jc w:val="center"/>
              <w:rPr>
                <w:szCs w:val="21"/>
              </w:rPr>
            </w:pPr>
          </w:p>
        </w:tc>
        <w:tc>
          <w:tcPr>
            <w:tcW w:w="657" w:type="pct"/>
            <w:tcBorders>
              <w:top w:val="single" w:sz="4" w:space="0" w:color="000000"/>
              <w:left w:val="single" w:sz="4" w:space="0" w:color="000000"/>
              <w:bottom w:val="single" w:sz="4" w:space="0" w:color="000000"/>
              <w:right w:val="single" w:sz="4" w:space="0" w:color="000000"/>
            </w:tcBorders>
            <w:noWrap/>
            <w:vAlign w:val="center"/>
          </w:tcPr>
          <w:p w14:paraId="01F41D45" w14:textId="77777777" w:rsidR="00054437" w:rsidRPr="000549B1" w:rsidRDefault="00000000">
            <w:pPr>
              <w:widowControl/>
              <w:jc w:val="center"/>
              <w:textAlignment w:val="center"/>
              <w:rPr>
                <w:szCs w:val="21"/>
              </w:rPr>
            </w:pPr>
            <w:r w:rsidRPr="000549B1">
              <w:rPr>
                <w:kern w:val="0"/>
                <w:szCs w:val="21"/>
                <w:lang w:bidi="ar"/>
              </w:rPr>
              <w:t>3.80</w:t>
            </w:r>
          </w:p>
        </w:tc>
        <w:tc>
          <w:tcPr>
            <w:tcW w:w="408" w:type="pct"/>
            <w:tcBorders>
              <w:top w:val="single" w:sz="4" w:space="0" w:color="000000"/>
              <w:left w:val="single" w:sz="4" w:space="0" w:color="000000"/>
              <w:bottom w:val="single" w:sz="4" w:space="0" w:color="000000"/>
              <w:right w:val="single" w:sz="4" w:space="0" w:color="000000"/>
            </w:tcBorders>
            <w:vAlign w:val="center"/>
          </w:tcPr>
          <w:p w14:paraId="0D138ED3" w14:textId="77777777" w:rsidR="00054437" w:rsidRPr="000549B1" w:rsidRDefault="00054437">
            <w:pPr>
              <w:jc w:val="center"/>
              <w:rPr>
                <w:szCs w:val="21"/>
              </w:rPr>
            </w:pPr>
          </w:p>
        </w:tc>
      </w:tr>
      <w:tr w:rsidR="000549B1" w:rsidRPr="000549B1" w14:paraId="0DD6818C" w14:textId="77777777">
        <w:trPr>
          <w:trHeight w:val="270"/>
        </w:trPr>
        <w:tc>
          <w:tcPr>
            <w:tcW w:w="774" w:type="pct"/>
            <w:tcBorders>
              <w:top w:val="single" w:sz="4" w:space="0" w:color="000000"/>
              <w:left w:val="single" w:sz="4" w:space="0" w:color="000000"/>
              <w:bottom w:val="single" w:sz="4" w:space="0" w:color="000000"/>
              <w:right w:val="single" w:sz="4" w:space="0" w:color="000000"/>
            </w:tcBorders>
            <w:vAlign w:val="center"/>
          </w:tcPr>
          <w:p w14:paraId="36820BE5" w14:textId="77777777" w:rsidR="00054437" w:rsidRPr="000549B1" w:rsidRDefault="00000000">
            <w:pPr>
              <w:widowControl/>
              <w:jc w:val="center"/>
              <w:textAlignment w:val="center"/>
              <w:rPr>
                <w:b/>
                <w:bCs/>
                <w:szCs w:val="21"/>
              </w:rPr>
            </w:pPr>
            <w:r w:rsidRPr="000549B1">
              <w:rPr>
                <w:b/>
                <w:bCs/>
                <w:kern w:val="0"/>
                <w:szCs w:val="21"/>
                <w:lang w:bidi="ar"/>
              </w:rPr>
              <w:t>水质类别</w:t>
            </w:r>
          </w:p>
        </w:tc>
        <w:tc>
          <w:tcPr>
            <w:tcW w:w="1043" w:type="pct"/>
            <w:gridSpan w:val="2"/>
            <w:tcBorders>
              <w:top w:val="single" w:sz="4" w:space="0" w:color="000000"/>
              <w:left w:val="single" w:sz="4" w:space="0" w:color="000000"/>
              <w:bottom w:val="single" w:sz="4" w:space="0" w:color="000000"/>
              <w:right w:val="single" w:sz="4" w:space="0" w:color="000000"/>
            </w:tcBorders>
            <w:vAlign w:val="center"/>
          </w:tcPr>
          <w:p w14:paraId="360F14D4" w14:textId="77777777" w:rsidR="00054437" w:rsidRPr="000549B1" w:rsidRDefault="00000000">
            <w:pPr>
              <w:widowControl/>
              <w:jc w:val="center"/>
              <w:textAlignment w:val="center"/>
              <w:rPr>
                <w:b/>
                <w:bCs/>
                <w:szCs w:val="21"/>
              </w:rPr>
            </w:pPr>
            <w:r w:rsidRPr="000549B1">
              <w:rPr>
                <w:b/>
                <w:bCs/>
                <w:kern w:val="0"/>
                <w:szCs w:val="21"/>
                <w:lang w:bidi="ar"/>
              </w:rPr>
              <w:t>Ⅱ</w:t>
            </w:r>
            <w:r w:rsidRPr="000549B1">
              <w:rPr>
                <w:b/>
                <w:bCs/>
                <w:kern w:val="0"/>
                <w:szCs w:val="21"/>
                <w:lang w:bidi="ar"/>
              </w:rPr>
              <w:t>类</w:t>
            </w:r>
          </w:p>
        </w:tc>
        <w:tc>
          <w:tcPr>
            <w:tcW w:w="1080" w:type="pct"/>
            <w:gridSpan w:val="2"/>
            <w:tcBorders>
              <w:top w:val="single" w:sz="4" w:space="0" w:color="000000"/>
              <w:left w:val="single" w:sz="4" w:space="0" w:color="000000"/>
              <w:bottom w:val="single" w:sz="4" w:space="0" w:color="000000"/>
              <w:right w:val="single" w:sz="4" w:space="0" w:color="000000"/>
            </w:tcBorders>
            <w:vAlign w:val="center"/>
          </w:tcPr>
          <w:p w14:paraId="7B9ECB2D" w14:textId="77777777" w:rsidR="00054437" w:rsidRPr="000549B1" w:rsidRDefault="00000000">
            <w:pPr>
              <w:widowControl/>
              <w:jc w:val="center"/>
              <w:textAlignment w:val="center"/>
              <w:rPr>
                <w:b/>
                <w:bCs/>
                <w:szCs w:val="21"/>
              </w:rPr>
            </w:pPr>
            <w:r w:rsidRPr="000549B1">
              <w:rPr>
                <w:b/>
                <w:bCs/>
                <w:kern w:val="0"/>
                <w:szCs w:val="21"/>
                <w:lang w:bidi="ar"/>
              </w:rPr>
              <w:t>Ⅱ</w:t>
            </w:r>
            <w:r w:rsidRPr="000549B1">
              <w:rPr>
                <w:b/>
                <w:bCs/>
                <w:kern w:val="0"/>
                <w:szCs w:val="21"/>
                <w:lang w:bidi="ar"/>
              </w:rPr>
              <w:t>类</w:t>
            </w:r>
          </w:p>
        </w:tc>
        <w:tc>
          <w:tcPr>
            <w:tcW w:w="1033" w:type="pct"/>
            <w:gridSpan w:val="2"/>
            <w:tcBorders>
              <w:top w:val="single" w:sz="4" w:space="0" w:color="000000"/>
              <w:left w:val="single" w:sz="4" w:space="0" w:color="000000"/>
              <w:bottom w:val="single" w:sz="4" w:space="0" w:color="000000"/>
              <w:right w:val="single" w:sz="4" w:space="0" w:color="000000"/>
            </w:tcBorders>
            <w:vAlign w:val="center"/>
          </w:tcPr>
          <w:p w14:paraId="15E5661A" w14:textId="77777777" w:rsidR="00054437" w:rsidRPr="000549B1" w:rsidRDefault="00000000">
            <w:pPr>
              <w:widowControl/>
              <w:jc w:val="center"/>
              <w:textAlignment w:val="center"/>
              <w:rPr>
                <w:b/>
                <w:bCs/>
                <w:szCs w:val="21"/>
              </w:rPr>
            </w:pPr>
            <w:r w:rsidRPr="000549B1">
              <w:rPr>
                <w:b/>
                <w:bCs/>
                <w:kern w:val="0"/>
                <w:szCs w:val="21"/>
                <w:lang w:bidi="ar"/>
              </w:rPr>
              <w:t>Ⅱ</w:t>
            </w:r>
            <w:r w:rsidRPr="000549B1">
              <w:rPr>
                <w:b/>
                <w:bCs/>
                <w:kern w:val="0"/>
                <w:szCs w:val="21"/>
                <w:lang w:bidi="ar"/>
              </w:rPr>
              <w:t>类</w:t>
            </w:r>
          </w:p>
        </w:tc>
        <w:tc>
          <w:tcPr>
            <w:tcW w:w="1066" w:type="pct"/>
            <w:gridSpan w:val="2"/>
            <w:tcBorders>
              <w:top w:val="single" w:sz="4" w:space="0" w:color="000000"/>
              <w:left w:val="single" w:sz="4" w:space="0" w:color="000000"/>
              <w:bottom w:val="single" w:sz="4" w:space="0" w:color="000000"/>
              <w:right w:val="single" w:sz="4" w:space="0" w:color="000000"/>
            </w:tcBorders>
            <w:vAlign w:val="center"/>
          </w:tcPr>
          <w:p w14:paraId="1C8AA487" w14:textId="77777777" w:rsidR="00054437" w:rsidRPr="000549B1" w:rsidRDefault="00000000">
            <w:pPr>
              <w:widowControl/>
              <w:jc w:val="center"/>
              <w:textAlignment w:val="center"/>
              <w:rPr>
                <w:b/>
                <w:bCs/>
                <w:szCs w:val="21"/>
              </w:rPr>
            </w:pPr>
            <w:r w:rsidRPr="000549B1">
              <w:rPr>
                <w:rFonts w:eastAsia="仿宋"/>
                <w:b/>
                <w:bCs/>
                <w:kern w:val="0"/>
                <w:szCs w:val="21"/>
                <w:lang w:bidi="ar"/>
              </w:rPr>
              <w:t>Ш</w:t>
            </w:r>
            <w:r w:rsidRPr="000549B1">
              <w:rPr>
                <w:b/>
                <w:bCs/>
                <w:kern w:val="0"/>
                <w:szCs w:val="21"/>
                <w:lang w:bidi="ar"/>
              </w:rPr>
              <w:t>类</w:t>
            </w:r>
          </w:p>
        </w:tc>
      </w:tr>
    </w:tbl>
    <w:p w14:paraId="79349BAB" w14:textId="77777777" w:rsidR="00054437" w:rsidRPr="000549B1" w:rsidRDefault="00000000">
      <w:pPr>
        <w:pStyle w:val="4"/>
        <w:rPr>
          <w:rFonts w:ascii="Times New Roman" w:hAnsi="Times New Roman"/>
        </w:rPr>
      </w:pPr>
      <w:r w:rsidRPr="000549B1">
        <w:rPr>
          <w:rFonts w:ascii="Times New Roman" w:hAnsi="Times New Roman"/>
        </w:rPr>
        <w:t>沙珠玉河流域水质现状</w:t>
      </w:r>
    </w:p>
    <w:p w14:paraId="7244D7B8" w14:textId="77777777" w:rsidR="00054437" w:rsidRPr="000549B1" w:rsidRDefault="00000000">
      <w:pPr>
        <w:snapToGrid w:val="0"/>
        <w:spacing w:line="360" w:lineRule="auto"/>
        <w:ind w:firstLineChars="200" w:firstLine="480"/>
        <w:rPr>
          <w:bCs/>
          <w:sz w:val="24"/>
          <w:szCs w:val="24"/>
        </w:rPr>
      </w:pPr>
      <w:r w:rsidRPr="000549B1">
        <w:rPr>
          <w:bCs/>
          <w:sz w:val="24"/>
          <w:szCs w:val="24"/>
        </w:rPr>
        <w:t>根据《青海省水功能区划（</w:t>
      </w:r>
      <w:r w:rsidRPr="000549B1">
        <w:rPr>
          <w:bCs/>
          <w:sz w:val="24"/>
          <w:szCs w:val="24"/>
        </w:rPr>
        <w:t>2015-2020</w:t>
      </w:r>
      <w:r w:rsidRPr="000549B1">
        <w:rPr>
          <w:bCs/>
          <w:sz w:val="24"/>
          <w:szCs w:val="24"/>
        </w:rPr>
        <w:t>年）》，沙珠玉河执行《地表水环境质量标准》（</w:t>
      </w:r>
      <w:r w:rsidRPr="000549B1">
        <w:rPr>
          <w:bCs/>
          <w:sz w:val="24"/>
          <w:szCs w:val="24"/>
        </w:rPr>
        <w:t>GB3838-2002</w:t>
      </w:r>
      <w:r w:rsidRPr="000549B1">
        <w:rPr>
          <w:bCs/>
          <w:sz w:val="24"/>
          <w:szCs w:val="24"/>
        </w:rPr>
        <w:t>）中的</w:t>
      </w:r>
      <w:r w:rsidRPr="000549B1">
        <w:rPr>
          <w:bCs/>
          <w:sz w:val="24"/>
          <w:szCs w:val="24"/>
        </w:rPr>
        <w:t>Ⅲ</w:t>
      </w:r>
      <w:r w:rsidRPr="000549B1">
        <w:rPr>
          <w:bCs/>
          <w:sz w:val="24"/>
          <w:szCs w:val="24"/>
        </w:rPr>
        <w:t>类水质标准。沙珠玉河的支流切吉河、直亥买沟等均未划分水功能区，水质目标与沙珠玉河干流保持一致，定为</w:t>
      </w:r>
      <w:r w:rsidRPr="000549B1">
        <w:rPr>
          <w:bCs/>
          <w:sz w:val="24"/>
          <w:szCs w:val="24"/>
        </w:rPr>
        <w:t>Ⅲ</w:t>
      </w:r>
      <w:r w:rsidRPr="000549B1">
        <w:rPr>
          <w:bCs/>
          <w:sz w:val="24"/>
          <w:szCs w:val="24"/>
        </w:rPr>
        <w:t>类。</w:t>
      </w:r>
    </w:p>
    <w:p w14:paraId="56149D90" w14:textId="77777777" w:rsidR="00054437" w:rsidRPr="000549B1" w:rsidRDefault="00000000">
      <w:pPr>
        <w:widowControl/>
        <w:snapToGrid w:val="0"/>
        <w:spacing w:line="360" w:lineRule="auto"/>
        <w:ind w:firstLineChars="200" w:firstLine="480"/>
        <w:rPr>
          <w:bCs/>
          <w:sz w:val="24"/>
          <w:szCs w:val="24"/>
        </w:rPr>
      </w:pPr>
      <w:r w:rsidRPr="000549B1">
        <w:rPr>
          <w:bCs/>
          <w:sz w:val="24"/>
          <w:szCs w:val="24"/>
        </w:rPr>
        <w:t>本次评价对沙珠玉河流域典型断面开展水质监测，根据实测数据评价结果可知：</w:t>
      </w:r>
      <w:r w:rsidRPr="000549B1">
        <w:rPr>
          <w:bCs/>
          <w:sz w:val="24"/>
          <w:szCs w:val="24"/>
        </w:rPr>
        <w:t>2025</w:t>
      </w:r>
      <w:r w:rsidRPr="000549B1">
        <w:rPr>
          <w:bCs/>
          <w:sz w:val="24"/>
          <w:szCs w:val="24"/>
        </w:rPr>
        <w:t>年现状监测的</w:t>
      </w:r>
      <w:r w:rsidRPr="000549B1">
        <w:rPr>
          <w:bCs/>
          <w:sz w:val="24"/>
          <w:szCs w:val="24"/>
        </w:rPr>
        <w:t>4</w:t>
      </w:r>
      <w:r w:rsidRPr="000549B1">
        <w:rPr>
          <w:bCs/>
          <w:sz w:val="24"/>
          <w:szCs w:val="24"/>
        </w:rPr>
        <w:t>个断面在枯水期、丰水期均可满足</w:t>
      </w:r>
      <w:r w:rsidRPr="000549B1">
        <w:rPr>
          <w:bCs/>
          <w:sz w:val="24"/>
          <w:szCs w:val="24"/>
        </w:rPr>
        <w:t>Ⅱ~Ш</w:t>
      </w:r>
      <w:r w:rsidRPr="000549B1">
        <w:rPr>
          <w:bCs/>
          <w:sz w:val="24"/>
          <w:szCs w:val="24"/>
        </w:rPr>
        <w:t>类水质类别要求。其中：切吉河上游（拟建大河坝水库坝址处）监测断面在枯水期</w:t>
      </w:r>
      <w:r w:rsidRPr="000549B1">
        <w:rPr>
          <w:bCs/>
          <w:sz w:val="24"/>
          <w:szCs w:val="24"/>
        </w:rPr>
        <w:t>4</w:t>
      </w:r>
      <w:r w:rsidRPr="000549B1">
        <w:rPr>
          <w:bCs/>
          <w:sz w:val="24"/>
          <w:szCs w:val="24"/>
        </w:rPr>
        <w:t>月份的水质类别为</w:t>
      </w:r>
      <w:r w:rsidRPr="000549B1">
        <w:rPr>
          <w:bCs/>
          <w:sz w:val="24"/>
          <w:szCs w:val="24"/>
        </w:rPr>
        <w:t>Ш</w:t>
      </w:r>
      <w:r w:rsidRPr="000549B1">
        <w:rPr>
          <w:bCs/>
          <w:sz w:val="24"/>
          <w:szCs w:val="24"/>
        </w:rPr>
        <w:t>类、丰水期</w:t>
      </w:r>
      <w:r w:rsidRPr="000549B1">
        <w:rPr>
          <w:bCs/>
          <w:sz w:val="24"/>
          <w:szCs w:val="24"/>
        </w:rPr>
        <w:t>9</w:t>
      </w:r>
      <w:r w:rsidRPr="000549B1">
        <w:rPr>
          <w:bCs/>
          <w:sz w:val="24"/>
          <w:szCs w:val="24"/>
        </w:rPr>
        <w:t>月份的水质类别为</w:t>
      </w:r>
      <w:r w:rsidRPr="000549B1">
        <w:rPr>
          <w:bCs/>
          <w:sz w:val="24"/>
          <w:szCs w:val="24"/>
        </w:rPr>
        <w:t>Ⅱ</w:t>
      </w:r>
      <w:r w:rsidRPr="000549B1">
        <w:rPr>
          <w:bCs/>
          <w:sz w:val="24"/>
          <w:szCs w:val="24"/>
        </w:rPr>
        <w:t>类，切吉河水库库区、切吉河下游（拟建大河坝水库坝址下游</w:t>
      </w:r>
      <w:r w:rsidRPr="000549B1">
        <w:rPr>
          <w:bCs/>
          <w:sz w:val="24"/>
          <w:szCs w:val="24"/>
        </w:rPr>
        <w:t>6km</w:t>
      </w:r>
      <w:r w:rsidRPr="000549B1">
        <w:rPr>
          <w:bCs/>
          <w:sz w:val="24"/>
          <w:szCs w:val="24"/>
        </w:rPr>
        <w:t>处）监测断面，在枯水期</w:t>
      </w:r>
      <w:r w:rsidRPr="000549B1">
        <w:rPr>
          <w:bCs/>
          <w:sz w:val="24"/>
          <w:szCs w:val="24"/>
        </w:rPr>
        <w:t>4</w:t>
      </w:r>
      <w:r w:rsidRPr="000549B1">
        <w:rPr>
          <w:bCs/>
          <w:sz w:val="24"/>
          <w:szCs w:val="24"/>
        </w:rPr>
        <w:t>月份和丰水期</w:t>
      </w:r>
      <w:r w:rsidRPr="000549B1">
        <w:rPr>
          <w:bCs/>
          <w:sz w:val="24"/>
          <w:szCs w:val="24"/>
        </w:rPr>
        <w:t>9</w:t>
      </w:r>
      <w:r w:rsidRPr="000549B1">
        <w:rPr>
          <w:bCs/>
          <w:sz w:val="24"/>
          <w:szCs w:val="24"/>
        </w:rPr>
        <w:t>月份的水质类别均为</w:t>
      </w:r>
      <w:r w:rsidRPr="000549B1">
        <w:rPr>
          <w:bCs/>
          <w:sz w:val="24"/>
          <w:szCs w:val="24"/>
        </w:rPr>
        <w:t>Ⅱ</w:t>
      </w:r>
      <w:r w:rsidRPr="000549B1">
        <w:rPr>
          <w:bCs/>
          <w:sz w:val="24"/>
          <w:szCs w:val="24"/>
        </w:rPr>
        <w:t>类；直亥买沟下游监测断面在枯水期</w:t>
      </w:r>
      <w:r w:rsidRPr="000549B1">
        <w:rPr>
          <w:bCs/>
          <w:sz w:val="24"/>
          <w:szCs w:val="24"/>
        </w:rPr>
        <w:t>4</w:t>
      </w:r>
      <w:r w:rsidRPr="000549B1">
        <w:rPr>
          <w:bCs/>
          <w:sz w:val="24"/>
          <w:szCs w:val="24"/>
        </w:rPr>
        <w:t>月份的水质类别为</w:t>
      </w:r>
      <w:r w:rsidRPr="000549B1">
        <w:rPr>
          <w:bCs/>
          <w:sz w:val="24"/>
          <w:szCs w:val="24"/>
        </w:rPr>
        <w:t>Ⅱ</w:t>
      </w:r>
      <w:r w:rsidRPr="000549B1">
        <w:rPr>
          <w:bCs/>
          <w:sz w:val="24"/>
          <w:szCs w:val="24"/>
        </w:rPr>
        <w:t>类、丰水期</w:t>
      </w:r>
      <w:r w:rsidRPr="000549B1">
        <w:rPr>
          <w:bCs/>
          <w:sz w:val="24"/>
          <w:szCs w:val="24"/>
        </w:rPr>
        <w:t>9</w:t>
      </w:r>
      <w:r w:rsidRPr="000549B1">
        <w:rPr>
          <w:bCs/>
          <w:sz w:val="24"/>
          <w:szCs w:val="24"/>
        </w:rPr>
        <w:t>月份的水质类别为</w:t>
      </w:r>
      <w:r w:rsidRPr="000549B1">
        <w:rPr>
          <w:bCs/>
          <w:sz w:val="24"/>
          <w:szCs w:val="24"/>
        </w:rPr>
        <w:t>Ш</w:t>
      </w:r>
      <w:r w:rsidRPr="000549B1">
        <w:rPr>
          <w:bCs/>
          <w:sz w:val="24"/>
          <w:szCs w:val="24"/>
        </w:rPr>
        <w:t>类。</w:t>
      </w:r>
    </w:p>
    <w:p w14:paraId="6FED708E" w14:textId="77777777" w:rsidR="00054437" w:rsidRPr="000549B1" w:rsidRDefault="00000000">
      <w:pPr>
        <w:widowControl/>
        <w:snapToGrid w:val="0"/>
        <w:spacing w:line="360" w:lineRule="auto"/>
        <w:ind w:firstLineChars="200" w:firstLine="480"/>
        <w:rPr>
          <w:bCs/>
          <w:sz w:val="24"/>
          <w:szCs w:val="24"/>
        </w:rPr>
      </w:pPr>
      <w:r w:rsidRPr="000549B1">
        <w:rPr>
          <w:bCs/>
          <w:sz w:val="24"/>
          <w:szCs w:val="24"/>
        </w:rPr>
        <w:t>综上分析，沙珠玉河典型断面各期指标均可达到《地表水环境质量标准》（</w:t>
      </w:r>
      <w:r w:rsidRPr="000549B1">
        <w:rPr>
          <w:bCs/>
          <w:sz w:val="24"/>
          <w:szCs w:val="24"/>
        </w:rPr>
        <w:t>GB3838-2002</w:t>
      </w:r>
      <w:r w:rsidRPr="000549B1">
        <w:rPr>
          <w:bCs/>
          <w:sz w:val="24"/>
          <w:szCs w:val="24"/>
        </w:rPr>
        <w:t>）中的</w:t>
      </w:r>
      <w:r w:rsidRPr="000549B1">
        <w:rPr>
          <w:bCs/>
          <w:sz w:val="24"/>
          <w:szCs w:val="24"/>
        </w:rPr>
        <w:t>Ⅱ~Ⅲ</w:t>
      </w:r>
      <w:r w:rsidRPr="000549B1">
        <w:rPr>
          <w:bCs/>
          <w:sz w:val="24"/>
          <w:szCs w:val="24"/>
        </w:rPr>
        <w:t>类水质标准，能够满足水功能区水质目标要求，流域水环境现状良好。</w:t>
      </w:r>
    </w:p>
    <w:p w14:paraId="0303F039" w14:textId="77777777" w:rsidR="00054437" w:rsidRPr="000549B1" w:rsidRDefault="00000000">
      <w:pPr>
        <w:pStyle w:val="4"/>
        <w:rPr>
          <w:rFonts w:ascii="Times New Roman" w:hAnsi="Times New Roman"/>
        </w:rPr>
      </w:pPr>
      <w:r w:rsidRPr="000549B1">
        <w:rPr>
          <w:rFonts w:ascii="Times New Roman" w:hAnsi="Times New Roman"/>
        </w:rPr>
        <w:t>沙珠玉河流域集中式饮用水水源地水质现状</w:t>
      </w:r>
    </w:p>
    <w:p w14:paraId="5C227446" w14:textId="07BF3334" w:rsidR="00372953" w:rsidRPr="00372953" w:rsidRDefault="00372953" w:rsidP="00372953">
      <w:pPr>
        <w:widowControl/>
        <w:snapToGrid w:val="0"/>
        <w:spacing w:line="360" w:lineRule="auto"/>
        <w:ind w:firstLineChars="200" w:firstLine="480"/>
        <w:rPr>
          <w:bCs/>
          <w:sz w:val="24"/>
          <w:szCs w:val="24"/>
        </w:rPr>
      </w:pPr>
      <w:r w:rsidRPr="00372953">
        <w:rPr>
          <w:rFonts w:hint="eastAsia"/>
          <w:bCs/>
          <w:sz w:val="24"/>
          <w:szCs w:val="24"/>
        </w:rPr>
        <w:t>根据</w:t>
      </w:r>
      <w:r w:rsidRPr="00372953">
        <w:rPr>
          <w:rFonts w:hint="eastAsia"/>
          <w:bCs/>
          <w:sz w:val="24"/>
          <w:szCs w:val="24"/>
        </w:rPr>
        <w:t>2025</w:t>
      </w:r>
      <w:r w:rsidRPr="00372953">
        <w:rPr>
          <w:rFonts w:hint="eastAsia"/>
          <w:bCs/>
          <w:sz w:val="24"/>
          <w:szCs w:val="24"/>
        </w:rPr>
        <w:t>年青海省生态环境厅网站资料、青海省海南州生态环境局提供的水源地相关资料及数据，共和县、兴海县共有集中式饮用水水源地</w:t>
      </w:r>
      <w:r w:rsidRPr="00372953">
        <w:rPr>
          <w:rFonts w:hint="eastAsia"/>
          <w:bCs/>
          <w:sz w:val="24"/>
          <w:szCs w:val="24"/>
        </w:rPr>
        <w:t>10</w:t>
      </w:r>
      <w:r w:rsidRPr="00372953">
        <w:rPr>
          <w:rFonts w:hint="eastAsia"/>
          <w:bCs/>
          <w:sz w:val="24"/>
          <w:szCs w:val="24"/>
        </w:rPr>
        <w:t>处。其中：地级市水源地</w:t>
      </w:r>
      <w:r w:rsidRPr="00372953">
        <w:rPr>
          <w:rFonts w:hint="eastAsia"/>
          <w:bCs/>
          <w:sz w:val="24"/>
          <w:szCs w:val="24"/>
        </w:rPr>
        <w:t>2</w:t>
      </w:r>
      <w:r w:rsidRPr="00372953">
        <w:rPr>
          <w:rFonts w:hint="eastAsia"/>
          <w:bCs/>
          <w:sz w:val="24"/>
          <w:szCs w:val="24"/>
        </w:rPr>
        <w:t>处、县级水源地</w:t>
      </w:r>
      <w:r w:rsidRPr="00372953">
        <w:rPr>
          <w:rFonts w:hint="eastAsia"/>
          <w:bCs/>
          <w:sz w:val="24"/>
          <w:szCs w:val="24"/>
        </w:rPr>
        <w:t>2</w:t>
      </w:r>
      <w:r w:rsidRPr="00372953">
        <w:rPr>
          <w:rFonts w:hint="eastAsia"/>
          <w:bCs/>
          <w:sz w:val="24"/>
          <w:szCs w:val="24"/>
        </w:rPr>
        <w:t>处、乡镇级水源地</w:t>
      </w:r>
      <w:r w:rsidRPr="00372953">
        <w:rPr>
          <w:rFonts w:hint="eastAsia"/>
          <w:bCs/>
          <w:sz w:val="24"/>
          <w:szCs w:val="24"/>
        </w:rPr>
        <w:t>6</w:t>
      </w:r>
      <w:r w:rsidRPr="00372953">
        <w:rPr>
          <w:rFonts w:hint="eastAsia"/>
          <w:bCs/>
          <w:sz w:val="24"/>
          <w:szCs w:val="24"/>
        </w:rPr>
        <w:t>处；</w:t>
      </w:r>
      <w:r w:rsidRPr="00372953">
        <w:rPr>
          <w:rFonts w:hint="eastAsia"/>
          <w:bCs/>
          <w:sz w:val="24"/>
          <w:szCs w:val="24"/>
        </w:rPr>
        <w:t>5</w:t>
      </w:r>
      <w:r w:rsidRPr="00372953">
        <w:rPr>
          <w:rFonts w:hint="eastAsia"/>
          <w:bCs/>
          <w:sz w:val="24"/>
          <w:szCs w:val="24"/>
        </w:rPr>
        <w:t>处已划定饮用水水源保护区，</w:t>
      </w:r>
      <w:r w:rsidRPr="00372953">
        <w:rPr>
          <w:rFonts w:hint="eastAsia"/>
          <w:bCs/>
          <w:sz w:val="24"/>
          <w:szCs w:val="24"/>
        </w:rPr>
        <w:t>1</w:t>
      </w:r>
      <w:r w:rsidRPr="00372953">
        <w:rPr>
          <w:rFonts w:hint="eastAsia"/>
          <w:bCs/>
          <w:sz w:val="24"/>
          <w:szCs w:val="24"/>
        </w:rPr>
        <w:t>处已编制饮用水水源保护区划分技术报告（尚未批复），其他</w:t>
      </w:r>
      <w:r w:rsidRPr="00372953">
        <w:rPr>
          <w:rFonts w:hint="eastAsia"/>
          <w:bCs/>
          <w:sz w:val="24"/>
          <w:szCs w:val="24"/>
        </w:rPr>
        <w:t>4</w:t>
      </w:r>
      <w:r w:rsidRPr="00372953">
        <w:rPr>
          <w:rFonts w:hint="eastAsia"/>
          <w:bCs/>
          <w:sz w:val="24"/>
          <w:szCs w:val="24"/>
        </w:rPr>
        <w:t>处尚未开展该项工作。详见</w:t>
      </w:r>
      <w:r w:rsidRPr="00372953">
        <w:rPr>
          <w:bCs/>
          <w:sz w:val="24"/>
          <w:szCs w:val="24"/>
        </w:rPr>
        <w:t>表</w:t>
      </w:r>
      <w:r w:rsidRPr="00372953">
        <w:rPr>
          <w:bCs/>
          <w:sz w:val="24"/>
          <w:szCs w:val="24"/>
        </w:rPr>
        <w:t xml:space="preserve"> 3.3</w:t>
      </w:r>
      <w:r w:rsidRPr="00372953">
        <w:rPr>
          <w:bCs/>
          <w:sz w:val="24"/>
          <w:szCs w:val="24"/>
        </w:rPr>
        <w:noBreakHyphen/>
        <w:t>21</w:t>
      </w:r>
    </w:p>
    <w:p w14:paraId="30D39BB7" w14:textId="77777777" w:rsidR="00372953" w:rsidRPr="00372953" w:rsidRDefault="00372953" w:rsidP="00372953">
      <w:pPr>
        <w:widowControl/>
        <w:snapToGrid w:val="0"/>
        <w:spacing w:line="360" w:lineRule="auto"/>
        <w:ind w:firstLineChars="200" w:firstLine="480"/>
        <w:rPr>
          <w:bCs/>
          <w:sz w:val="24"/>
          <w:szCs w:val="24"/>
        </w:rPr>
      </w:pPr>
      <w:r w:rsidRPr="00372953">
        <w:rPr>
          <w:rFonts w:hint="eastAsia"/>
          <w:bCs/>
          <w:sz w:val="24"/>
          <w:szCs w:val="24"/>
        </w:rPr>
        <w:t>经识别，</w:t>
      </w:r>
      <w:r w:rsidRPr="00372953">
        <w:rPr>
          <w:bCs/>
          <w:sz w:val="24"/>
          <w:szCs w:val="24"/>
        </w:rPr>
        <w:t>沙珠玉河流域共</w:t>
      </w:r>
      <w:r w:rsidRPr="00372953">
        <w:rPr>
          <w:rFonts w:hint="eastAsia"/>
          <w:bCs/>
          <w:sz w:val="24"/>
          <w:szCs w:val="24"/>
        </w:rPr>
        <w:t>涉及集中式饮用水水源地</w:t>
      </w:r>
      <w:r w:rsidRPr="00372953">
        <w:rPr>
          <w:rFonts w:hint="eastAsia"/>
          <w:bCs/>
          <w:sz w:val="24"/>
          <w:szCs w:val="24"/>
        </w:rPr>
        <w:t>4</w:t>
      </w:r>
      <w:r w:rsidRPr="00372953">
        <w:rPr>
          <w:rFonts w:hint="eastAsia"/>
          <w:bCs/>
          <w:sz w:val="24"/>
          <w:szCs w:val="24"/>
        </w:rPr>
        <w:t>处，其中：</w:t>
      </w:r>
      <w:r w:rsidRPr="00372953">
        <w:rPr>
          <w:bCs/>
          <w:sz w:val="24"/>
          <w:szCs w:val="24"/>
        </w:rPr>
        <w:t>地市级</w:t>
      </w:r>
      <w:r w:rsidRPr="00372953">
        <w:rPr>
          <w:rFonts w:hint="eastAsia"/>
          <w:bCs/>
          <w:sz w:val="24"/>
          <w:szCs w:val="24"/>
        </w:rPr>
        <w:t>、</w:t>
      </w:r>
      <w:r w:rsidRPr="00372953">
        <w:rPr>
          <w:bCs/>
          <w:sz w:val="24"/>
          <w:szCs w:val="24"/>
        </w:rPr>
        <w:t>乡镇级水源地</w:t>
      </w:r>
      <w:r w:rsidRPr="00372953">
        <w:rPr>
          <w:rFonts w:hint="eastAsia"/>
          <w:bCs/>
          <w:sz w:val="24"/>
          <w:szCs w:val="24"/>
        </w:rPr>
        <w:t>各</w:t>
      </w:r>
      <w:r w:rsidRPr="00372953">
        <w:rPr>
          <w:rFonts w:hint="eastAsia"/>
          <w:bCs/>
          <w:sz w:val="24"/>
          <w:szCs w:val="24"/>
        </w:rPr>
        <w:t>2</w:t>
      </w:r>
      <w:r w:rsidRPr="00372953">
        <w:rPr>
          <w:rFonts w:hint="eastAsia"/>
          <w:bCs/>
          <w:sz w:val="24"/>
          <w:szCs w:val="24"/>
        </w:rPr>
        <w:t>处，分别是</w:t>
      </w:r>
      <w:r w:rsidRPr="00372953">
        <w:rPr>
          <w:bCs/>
          <w:sz w:val="24"/>
          <w:szCs w:val="24"/>
        </w:rPr>
        <w:t>共和县切吉滩集中式饮用水水源地</w:t>
      </w:r>
      <w:r w:rsidRPr="00372953">
        <w:rPr>
          <w:rFonts w:hint="eastAsia"/>
          <w:bCs/>
          <w:sz w:val="24"/>
          <w:szCs w:val="24"/>
        </w:rPr>
        <w:t>、共和县</w:t>
      </w:r>
      <w:r w:rsidRPr="00372953">
        <w:rPr>
          <w:bCs/>
          <w:sz w:val="24"/>
          <w:szCs w:val="24"/>
        </w:rPr>
        <w:t>恰让水库水源地</w:t>
      </w:r>
      <w:r w:rsidRPr="00372953">
        <w:rPr>
          <w:rFonts w:hint="eastAsia"/>
          <w:bCs/>
          <w:sz w:val="24"/>
          <w:szCs w:val="24"/>
        </w:rPr>
        <w:t>，共和县</w:t>
      </w:r>
      <w:r w:rsidRPr="00372953">
        <w:rPr>
          <w:bCs/>
          <w:sz w:val="24"/>
          <w:szCs w:val="24"/>
        </w:rPr>
        <w:t>切吉水库水源地</w:t>
      </w:r>
      <w:r w:rsidRPr="00372953">
        <w:rPr>
          <w:rFonts w:hint="eastAsia"/>
          <w:bCs/>
          <w:sz w:val="24"/>
          <w:szCs w:val="24"/>
        </w:rPr>
        <w:t>、</w:t>
      </w:r>
      <w:r w:rsidRPr="00372953">
        <w:rPr>
          <w:bCs/>
          <w:sz w:val="24"/>
          <w:szCs w:val="24"/>
        </w:rPr>
        <w:t>兴海县河卡镇满丈饮用水水源地</w:t>
      </w:r>
      <w:r w:rsidRPr="00372953">
        <w:rPr>
          <w:rFonts w:hint="eastAsia"/>
          <w:bCs/>
          <w:sz w:val="24"/>
          <w:szCs w:val="24"/>
        </w:rPr>
        <w:t>。</w:t>
      </w:r>
    </w:p>
    <w:p w14:paraId="41097FBE" w14:textId="77777777" w:rsidR="00372953" w:rsidRPr="00372953" w:rsidRDefault="00372953" w:rsidP="00372953">
      <w:pPr>
        <w:widowControl/>
        <w:snapToGrid w:val="0"/>
        <w:spacing w:line="360" w:lineRule="auto"/>
        <w:ind w:firstLineChars="200" w:firstLine="480"/>
        <w:rPr>
          <w:bCs/>
          <w:sz w:val="24"/>
          <w:szCs w:val="24"/>
        </w:rPr>
      </w:pPr>
      <w:r w:rsidRPr="00372953">
        <w:rPr>
          <w:rFonts w:hint="eastAsia"/>
          <w:bCs/>
          <w:sz w:val="24"/>
          <w:szCs w:val="24"/>
        </w:rPr>
        <w:t>根据青海省生态环境厅、兴海县生态环境局提供的监测数据，</w:t>
      </w:r>
      <w:r w:rsidRPr="00372953">
        <w:rPr>
          <w:bCs/>
          <w:sz w:val="24"/>
          <w:szCs w:val="24"/>
        </w:rPr>
        <w:t>共和县切吉滩集中式饮用水水源地</w:t>
      </w:r>
      <w:r w:rsidRPr="00372953">
        <w:rPr>
          <w:rFonts w:hint="eastAsia"/>
          <w:bCs/>
          <w:sz w:val="24"/>
          <w:szCs w:val="24"/>
        </w:rPr>
        <w:t>、共和县</w:t>
      </w:r>
      <w:r w:rsidRPr="00372953">
        <w:rPr>
          <w:bCs/>
          <w:sz w:val="24"/>
          <w:szCs w:val="24"/>
        </w:rPr>
        <w:t>恰让水库水源地</w:t>
      </w:r>
      <w:r w:rsidRPr="00372953">
        <w:rPr>
          <w:rFonts w:hint="eastAsia"/>
          <w:bCs/>
          <w:sz w:val="24"/>
          <w:szCs w:val="24"/>
        </w:rPr>
        <w:t>、</w:t>
      </w:r>
      <w:r w:rsidRPr="00372953">
        <w:rPr>
          <w:bCs/>
          <w:sz w:val="24"/>
          <w:szCs w:val="24"/>
        </w:rPr>
        <w:t>兴海县河卡镇满丈饮用水水源地</w:t>
      </w:r>
      <w:r w:rsidRPr="00372953">
        <w:rPr>
          <w:rFonts w:hint="eastAsia"/>
          <w:bCs/>
          <w:sz w:val="24"/>
          <w:szCs w:val="24"/>
        </w:rPr>
        <w:t>等现有水源地水质均达标；根据本次开展的两期补充监测结果，切吉水库库区</w:t>
      </w:r>
      <w:r w:rsidRPr="00372953">
        <w:rPr>
          <w:bCs/>
          <w:sz w:val="24"/>
          <w:szCs w:val="24"/>
        </w:rPr>
        <w:t>在枯水期</w:t>
      </w:r>
      <w:r w:rsidRPr="00372953">
        <w:rPr>
          <w:bCs/>
          <w:sz w:val="24"/>
          <w:szCs w:val="24"/>
        </w:rPr>
        <w:t>4</w:t>
      </w:r>
      <w:r w:rsidRPr="00372953">
        <w:rPr>
          <w:bCs/>
          <w:sz w:val="24"/>
          <w:szCs w:val="24"/>
        </w:rPr>
        <w:t>月份和丰水期</w:t>
      </w:r>
      <w:r w:rsidRPr="00372953">
        <w:rPr>
          <w:bCs/>
          <w:sz w:val="24"/>
          <w:szCs w:val="24"/>
        </w:rPr>
        <w:t>9</w:t>
      </w:r>
      <w:r w:rsidRPr="00372953">
        <w:rPr>
          <w:bCs/>
          <w:sz w:val="24"/>
          <w:szCs w:val="24"/>
        </w:rPr>
        <w:t>月份的水质类别均为</w:t>
      </w:r>
      <w:r w:rsidRPr="00372953">
        <w:rPr>
          <w:bCs/>
          <w:sz w:val="24"/>
          <w:szCs w:val="24"/>
        </w:rPr>
        <w:t>Ⅱ</w:t>
      </w:r>
      <w:r w:rsidRPr="00372953">
        <w:rPr>
          <w:bCs/>
          <w:sz w:val="24"/>
          <w:szCs w:val="24"/>
        </w:rPr>
        <w:t>类</w:t>
      </w:r>
      <w:r w:rsidRPr="00372953">
        <w:rPr>
          <w:rFonts w:hint="eastAsia"/>
          <w:bCs/>
          <w:sz w:val="24"/>
          <w:szCs w:val="24"/>
        </w:rPr>
        <w:t>，水质达标。</w:t>
      </w:r>
    </w:p>
    <w:p w14:paraId="247661B5" w14:textId="18C66D83" w:rsidR="00372953" w:rsidRPr="00372953" w:rsidRDefault="00372953" w:rsidP="00372953">
      <w:pPr>
        <w:adjustRightInd w:val="0"/>
        <w:snapToGrid w:val="0"/>
        <w:spacing w:beforeLines="50" w:before="156" w:line="348" w:lineRule="auto"/>
        <w:ind w:firstLine="482"/>
        <w:rPr>
          <w:kern w:val="0"/>
          <w:sz w:val="24"/>
          <w:szCs w:val="24"/>
        </w:rPr>
      </w:pPr>
      <w:r w:rsidRPr="00372953">
        <w:rPr>
          <w:rFonts w:hint="eastAsia"/>
          <w:bCs/>
          <w:sz w:val="24"/>
          <w:szCs w:val="24"/>
        </w:rPr>
        <w:t>此外，根据</w:t>
      </w:r>
      <w:r w:rsidRPr="00372953">
        <w:rPr>
          <w:rFonts w:hint="eastAsia"/>
          <w:bCs/>
          <w:sz w:val="24"/>
          <w:szCs w:val="24"/>
        </w:rPr>
        <w:t>2025</w:t>
      </w:r>
      <w:r w:rsidRPr="00372953">
        <w:rPr>
          <w:rFonts w:hint="eastAsia"/>
          <w:bCs/>
          <w:sz w:val="24"/>
          <w:szCs w:val="24"/>
        </w:rPr>
        <w:t>年</w:t>
      </w:r>
      <w:r w:rsidRPr="00372953">
        <w:rPr>
          <w:rFonts w:hint="eastAsia"/>
          <w:bCs/>
          <w:sz w:val="24"/>
          <w:szCs w:val="24"/>
        </w:rPr>
        <w:t>4</w:t>
      </w:r>
      <w:r w:rsidRPr="00372953">
        <w:rPr>
          <w:rFonts w:hint="eastAsia"/>
          <w:bCs/>
          <w:sz w:val="24"/>
          <w:szCs w:val="24"/>
        </w:rPr>
        <w:t>月、</w:t>
      </w:r>
      <w:r w:rsidRPr="00372953">
        <w:rPr>
          <w:rFonts w:hint="eastAsia"/>
          <w:bCs/>
          <w:sz w:val="24"/>
          <w:szCs w:val="24"/>
        </w:rPr>
        <w:t>9</w:t>
      </w:r>
      <w:r w:rsidRPr="00372953">
        <w:rPr>
          <w:rFonts w:hint="eastAsia"/>
          <w:bCs/>
          <w:sz w:val="24"/>
          <w:szCs w:val="24"/>
        </w:rPr>
        <w:t>月两期监测数据（详见表</w:t>
      </w:r>
      <w:r w:rsidRPr="00372953">
        <w:rPr>
          <w:rFonts w:hint="eastAsia"/>
          <w:bCs/>
          <w:sz w:val="24"/>
          <w:szCs w:val="24"/>
        </w:rPr>
        <w:t xml:space="preserve"> </w:t>
      </w:r>
      <w:r w:rsidRPr="00372953">
        <w:rPr>
          <w:bCs/>
          <w:sz w:val="24"/>
          <w:szCs w:val="24"/>
        </w:rPr>
        <w:t>3.3</w:t>
      </w:r>
      <w:r w:rsidRPr="00372953">
        <w:rPr>
          <w:bCs/>
          <w:sz w:val="24"/>
          <w:szCs w:val="24"/>
        </w:rPr>
        <w:noBreakHyphen/>
        <w:t>22</w:t>
      </w:r>
      <w:r w:rsidRPr="00372953">
        <w:rPr>
          <w:rFonts w:hint="eastAsia"/>
          <w:bCs/>
          <w:sz w:val="24"/>
          <w:szCs w:val="24"/>
        </w:rPr>
        <w:t>）分析可知，切</w:t>
      </w:r>
      <w:r w:rsidRPr="00372953">
        <w:rPr>
          <w:rFonts w:hint="eastAsia"/>
          <w:kern w:val="0"/>
          <w:sz w:val="24"/>
          <w:szCs w:val="24"/>
        </w:rPr>
        <w:t>吉水库上游（</w:t>
      </w:r>
      <w:r w:rsidRPr="00372953">
        <w:rPr>
          <w:rFonts w:hint="eastAsia"/>
          <w:kern w:val="0"/>
          <w:sz w:val="24"/>
          <w:szCs w:val="24"/>
        </w:rPr>
        <w:t>2km</w:t>
      </w:r>
      <w:r w:rsidRPr="00372953">
        <w:rPr>
          <w:rFonts w:hint="eastAsia"/>
          <w:kern w:val="0"/>
          <w:sz w:val="24"/>
          <w:szCs w:val="24"/>
        </w:rPr>
        <w:t>处）水质可满足集中式生活饮用水地表水源地硫酸盐、氯化物、硝酸盐、铁、锰</w:t>
      </w:r>
      <w:r w:rsidRPr="00372953">
        <w:rPr>
          <w:rFonts w:hint="eastAsia"/>
          <w:kern w:val="0"/>
          <w:sz w:val="24"/>
          <w:szCs w:val="24"/>
        </w:rPr>
        <w:t>5</w:t>
      </w:r>
      <w:r w:rsidRPr="00372953">
        <w:rPr>
          <w:rFonts w:hint="eastAsia"/>
          <w:kern w:val="0"/>
          <w:sz w:val="24"/>
          <w:szCs w:val="24"/>
        </w:rPr>
        <w:t>项补充项目标准。</w:t>
      </w:r>
    </w:p>
    <w:p w14:paraId="1B59B932" w14:textId="4559FE30" w:rsidR="00372953" w:rsidRPr="00372953" w:rsidRDefault="00372953" w:rsidP="00372953">
      <w:pPr>
        <w:widowControl/>
        <w:snapToGrid w:val="0"/>
        <w:spacing w:line="360" w:lineRule="auto"/>
        <w:ind w:firstLineChars="200" w:firstLine="480"/>
        <w:rPr>
          <w:bCs/>
          <w:sz w:val="24"/>
          <w:szCs w:val="24"/>
        </w:rPr>
      </w:pPr>
      <w:r w:rsidRPr="00372953">
        <w:rPr>
          <w:rFonts w:hint="eastAsia"/>
          <w:bCs/>
          <w:sz w:val="24"/>
          <w:szCs w:val="24"/>
        </w:rPr>
        <w:t>综上，根据历史监测及补充监测分析结果，沙珠玉河流域内的</w:t>
      </w:r>
      <w:r w:rsidRPr="00372953">
        <w:rPr>
          <w:rFonts w:hint="eastAsia"/>
          <w:bCs/>
          <w:sz w:val="24"/>
          <w:szCs w:val="24"/>
        </w:rPr>
        <w:t>4</w:t>
      </w:r>
      <w:r w:rsidRPr="00372953">
        <w:rPr>
          <w:rFonts w:hint="eastAsia"/>
          <w:bCs/>
          <w:sz w:val="24"/>
          <w:szCs w:val="24"/>
        </w:rPr>
        <w:t>处集中式饮用水水源地水质均达标。</w:t>
      </w:r>
    </w:p>
    <w:p w14:paraId="68666593" w14:textId="77777777" w:rsidR="00372953" w:rsidRDefault="00372953" w:rsidP="00372953">
      <w:pPr>
        <w:pStyle w:val="20"/>
        <w:sectPr w:rsidR="00372953">
          <w:footerReference w:type="default" r:id="rId74"/>
          <w:pgSz w:w="11906" w:h="16838"/>
          <w:pgMar w:top="1440" w:right="1800" w:bottom="1440" w:left="1800" w:header="851" w:footer="992" w:gutter="0"/>
          <w:cols w:space="720"/>
          <w:docGrid w:type="lines" w:linePitch="312"/>
        </w:sectPr>
      </w:pPr>
    </w:p>
    <w:p w14:paraId="00BE9A7A" w14:textId="430732F5" w:rsidR="00372953" w:rsidRPr="00372953" w:rsidRDefault="00372953" w:rsidP="00372953">
      <w:pPr>
        <w:pStyle w:val="aff8"/>
      </w:pPr>
      <w:bookmarkStart w:id="232" w:name="_Ref216443966"/>
      <w:r w:rsidRPr="00372953">
        <w:t>表</w:t>
      </w:r>
      <w:r w:rsidRPr="00372953">
        <w:t xml:space="preserve"> </w:t>
      </w:r>
      <w:fldSimple w:instr=" STYLEREF 2 \s ">
        <w:r>
          <w:rPr>
            <w:noProof/>
          </w:rPr>
          <w:t>3.3</w:t>
        </w:r>
      </w:fldSimple>
      <w:r w:rsidRPr="00372953">
        <w:noBreakHyphen/>
      </w:r>
      <w:r w:rsidRPr="00372953">
        <w:fldChar w:fldCharType="begin"/>
      </w:r>
      <w:r w:rsidRPr="00372953">
        <w:instrText xml:space="preserve"> SEQ </w:instrText>
      </w:r>
      <w:r w:rsidRPr="00372953">
        <w:instrText>表</w:instrText>
      </w:r>
      <w:r w:rsidRPr="00372953">
        <w:instrText xml:space="preserve"> \* ARABIC \s 2 </w:instrText>
      </w:r>
      <w:r w:rsidRPr="00372953">
        <w:fldChar w:fldCharType="separate"/>
      </w:r>
      <w:r>
        <w:rPr>
          <w:noProof/>
        </w:rPr>
        <w:t>21</w:t>
      </w:r>
      <w:r w:rsidRPr="00372953">
        <w:fldChar w:fldCharType="end"/>
      </w:r>
      <w:bookmarkEnd w:id="232"/>
      <w:r w:rsidRPr="00372953">
        <w:rPr>
          <w:rFonts w:hint="eastAsia"/>
        </w:rPr>
        <w:t xml:space="preserve"> </w:t>
      </w:r>
      <w:r w:rsidRPr="00372953">
        <w:rPr>
          <w:rFonts w:hint="eastAsia"/>
        </w:rPr>
        <w:t>共和县、兴海县现有集中式饮用水水源地一览表</w:t>
      </w:r>
    </w:p>
    <w:tbl>
      <w:tblPr>
        <w:tblW w:w="0" w:type="auto"/>
        <w:tblLook w:val="04A0" w:firstRow="1" w:lastRow="0" w:firstColumn="1" w:lastColumn="0" w:noHBand="0" w:noVBand="1"/>
      </w:tblPr>
      <w:tblGrid>
        <w:gridCol w:w="466"/>
        <w:gridCol w:w="826"/>
        <w:gridCol w:w="2043"/>
        <w:gridCol w:w="826"/>
        <w:gridCol w:w="742"/>
        <w:gridCol w:w="604"/>
        <w:gridCol w:w="715"/>
        <w:gridCol w:w="853"/>
        <w:gridCol w:w="1173"/>
        <w:gridCol w:w="1287"/>
        <w:gridCol w:w="1287"/>
        <w:gridCol w:w="811"/>
        <w:gridCol w:w="1297"/>
        <w:gridCol w:w="1018"/>
      </w:tblGrid>
      <w:tr w:rsidR="00372953" w:rsidRPr="00372953" w14:paraId="0A9B2E87" w14:textId="77777777" w:rsidTr="007E48A3">
        <w:trPr>
          <w:trHeight w:val="540"/>
        </w:trPr>
        <w:tc>
          <w:tcPr>
            <w:tcW w:w="0" w:type="auto"/>
            <w:tcBorders>
              <w:top w:val="single" w:sz="4" w:space="0" w:color="000000"/>
              <w:left w:val="single" w:sz="4" w:space="0" w:color="000000"/>
              <w:bottom w:val="nil"/>
              <w:right w:val="single" w:sz="4" w:space="0" w:color="000000"/>
            </w:tcBorders>
            <w:vAlign w:val="center"/>
          </w:tcPr>
          <w:p w14:paraId="2B38EC26" w14:textId="77777777" w:rsidR="00372953" w:rsidRPr="00372953" w:rsidRDefault="00372953" w:rsidP="007E48A3">
            <w:pPr>
              <w:widowControl/>
              <w:jc w:val="center"/>
              <w:textAlignment w:val="center"/>
              <w:rPr>
                <w:b/>
                <w:bCs/>
                <w:kern w:val="0"/>
                <w:sz w:val="18"/>
                <w:szCs w:val="18"/>
                <w:lang w:bidi="ar"/>
              </w:rPr>
            </w:pPr>
            <w:r w:rsidRPr="00372953">
              <w:rPr>
                <w:b/>
                <w:bCs/>
                <w:kern w:val="0"/>
                <w:sz w:val="18"/>
                <w:szCs w:val="18"/>
                <w:lang w:bidi="ar"/>
              </w:rPr>
              <w:t>序号</w:t>
            </w:r>
          </w:p>
        </w:tc>
        <w:tc>
          <w:tcPr>
            <w:tcW w:w="0" w:type="auto"/>
            <w:tcBorders>
              <w:top w:val="single" w:sz="4" w:space="0" w:color="000000"/>
              <w:left w:val="single" w:sz="4" w:space="0" w:color="000000"/>
              <w:bottom w:val="nil"/>
              <w:right w:val="single" w:sz="4" w:space="0" w:color="000000"/>
            </w:tcBorders>
            <w:vAlign w:val="center"/>
          </w:tcPr>
          <w:p w14:paraId="41C83FA1" w14:textId="77777777" w:rsidR="00372953" w:rsidRPr="00372953" w:rsidRDefault="00372953" w:rsidP="007E48A3">
            <w:pPr>
              <w:widowControl/>
              <w:jc w:val="center"/>
              <w:textAlignment w:val="center"/>
              <w:rPr>
                <w:b/>
                <w:bCs/>
                <w:sz w:val="18"/>
                <w:szCs w:val="18"/>
              </w:rPr>
            </w:pPr>
            <w:r w:rsidRPr="00372953">
              <w:rPr>
                <w:b/>
                <w:bCs/>
                <w:kern w:val="0"/>
                <w:sz w:val="18"/>
                <w:szCs w:val="18"/>
                <w:lang w:bidi="ar"/>
              </w:rPr>
              <w:t>所在区县</w:t>
            </w:r>
          </w:p>
        </w:tc>
        <w:tc>
          <w:tcPr>
            <w:tcW w:w="0" w:type="auto"/>
            <w:tcBorders>
              <w:top w:val="single" w:sz="4" w:space="0" w:color="000000"/>
              <w:left w:val="single" w:sz="4" w:space="0" w:color="000000"/>
              <w:bottom w:val="nil"/>
              <w:right w:val="single" w:sz="4" w:space="0" w:color="000000"/>
            </w:tcBorders>
            <w:vAlign w:val="center"/>
          </w:tcPr>
          <w:p w14:paraId="3A3DCFF4" w14:textId="77777777" w:rsidR="00372953" w:rsidRPr="00372953" w:rsidRDefault="00372953" w:rsidP="007E48A3">
            <w:pPr>
              <w:widowControl/>
              <w:jc w:val="center"/>
              <w:textAlignment w:val="center"/>
              <w:rPr>
                <w:b/>
                <w:bCs/>
                <w:sz w:val="18"/>
                <w:szCs w:val="18"/>
              </w:rPr>
            </w:pPr>
            <w:r w:rsidRPr="00372953">
              <w:rPr>
                <w:b/>
                <w:bCs/>
                <w:kern w:val="0"/>
                <w:sz w:val="18"/>
                <w:szCs w:val="18"/>
                <w:lang w:bidi="ar"/>
              </w:rPr>
              <w:t>水源名称</w:t>
            </w:r>
          </w:p>
        </w:tc>
        <w:tc>
          <w:tcPr>
            <w:tcW w:w="0" w:type="auto"/>
            <w:tcBorders>
              <w:top w:val="single" w:sz="4" w:space="0" w:color="000000"/>
              <w:left w:val="single" w:sz="4" w:space="0" w:color="000000"/>
              <w:bottom w:val="nil"/>
              <w:right w:val="single" w:sz="4" w:space="0" w:color="000000"/>
            </w:tcBorders>
            <w:vAlign w:val="center"/>
          </w:tcPr>
          <w:p w14:paraId="705F984F" w14:textId="77777777" w:rsidR="00372953" w:rsidRPr="00372953" w:rsidRDefault="00372953" w:rsidP="007E48A3">
            <w:pPr>
              <w:widowControl/>
              <w:jc w:val="center"/>
              <w:textAlignment w:val="center"/>
              <w:rPr>
                <w:b/>
                <w:bCs/>
                <w:sz w:val="18"/>
                <w:szCs w:val="18"/>
              </w:rPr>
            </w:pPr>
            <w:r w:rsidRPr="00372953">
              <w:rPr>
                <w:b/>
                <w:bCs/>
                <w:kern w:val="0"/>
                <w:sz w:val="18"/>
                <w:szCs w:val="18"/>
                <w:lang w:bidi="ar"/>
              </w:rPr>
              <w:t>水源类型</w:t>
            </w:r>
          </w:p>
        </w:tc>
        <w:tc>
          <w:tcPr>
            <w:tcW w:w="0" w:type="auto"/>
            <w:tcBorders>
              <w:top w:val="single" w:sz="4" w:space="0" w:color="000000"/>
              <w:left w:val="single" w:sz="4" w:space="0" w:color="000000"/>
              <w:bottom w:val="nil"/>
              <w:right w:val="single" w:sz="4" w:space="0" w:color="000000"/>
            </w:tcBorders>
            <w:vAlign w:val="center"/>
          </w:tcPr>
          <w:p w14:paraId="1E62F248" w14:textId="77777777" w:rsidR="00372953" w:rsidRPr="00372953" w:rsidRDefault="00372953" w:rsidP="007E48A3">
            <w:pPr>
              <w:widowControl/>
              <w:jc w:val="center"/>
              <w:textAlignment w:val="center"/>
              <w:rPr>
                <w:b/>
                <w:bCs/>
                <w:sz w:val="18"/>
                <w:szCs w:val="18"/>
              </w:rPr>
            </w:pPr>
            <w:r w:rsidRPr="00372953">
              <w:rPr>
                <w:b/>
                <w:bCs/>
                <w:kern w:val="0"/>
                <w:sz w:val="18"/>
                <w:szCs w:val="18"/>
                <w:lang w:bidi="ar"/>
              </w:rPr>
              <w:t>供水服务对象</w:t>
            </w:r>
          </w:p>
        </w:tc>
        <w:tc>
          <w:tcPr>
            <w:tcW w:w="0" w:type="auto"/>
            <w:tcBorders>
              <w:top w:val="single" w:sz="4" w:space="0" w:color="000000"/>
              <w:left w:val="single" w:sz="4" w:space="0" w:color="000000"/>
              <w:bottom w:val="nil"/>
              <w:right w:val="single" w:sz="4" w:space="0" w:color="000000"/>
            </w:tcBorders>
            <w:vAlign w:val="center"/>
          </w:tcPr>
          <w:p w14:paraId="54F57711" w14:textId="77777777" w:rsidR="00372953" w:rsidRPr="00372953" w:rsidRDefault="00372953" w:rsidP="007E48A3">
            <w:pPr>
              <w:widowControl/>
              <w:jc w:val="center"/>
              <w:textAlignment w:val="center"/>
              <w:rPr>
                <w:b/>
                <w:bCs/>
                <w:sz w:val="18"/>
                <w:szCs w:val="18"/>
              </w:rPr>
            </w:pPr>
            <w:r w:rsidRPr="00372953">
              <w:rPr>
                <w:b/>
                <w:bCs/>
                <w:kern w:val="0"/>
                <w:sz w:val="18"/>
                <w:szCs w:val="18"/>
                <w:lang w:bidi="ar"/>
              </w:rPr>
              <w:t>水源状态</w:t>
            </w:r>
          </w:p>
        </w:tc>
        <w:tc>
          <w:tcPr>
            <w:tcW w:w="0" w:type="auto"/>
            <w:tcBorders>
              <w:top w:val="single" w:sz="4" w:space="0" w:color="000000"/>
              <w:left w:val="single" w:sz="4" w:space="0" w:color="000000"/>
              <w:bottom w:val="nil"/>
              <w:right w:val="single" w:sz="4" w:space="0" w:color="000000"/>
            </w:tcBorders>
            <w:vAlign w:val="center"/>
          </w:tcPr>
          <w:p w14:paraId="67E5A8E1" w14:textId="77777777" w:rsidR="00372953" w:rsidRPr="00372953" w:rsidRDefault="00372953" w:rsidP="007E48A3">
            <w:pPr>
              <w:widowControl/>
              <w:jc w:val="center"/>
              <w:textAlignment w:val="center"/>
              <w:rPr>
                <w:b/>
                <w:bCs/>
                <w:sz w:val="18"/>
                <w:szCs w:val="18"/>
              </w:rPr>
            </w:pPr>
            <w:r w:rsidRPr="00372953">
              <w:rPr>
                <w:b/>
                <w:bCs/>
                <w:kern w:val="0"/>
                <w:sz w:val="18"/>
                <w:szCs w:val="18"/>
                <w:lang w:bidi="ar"/>
              </w:rPr>
              <w:t>建成时间</w:t>
            </w:r>
          </w:p>
        </w:tc>
        <w:tc>
          <w:tcPr>
            <w:tcW w:w="0" w:type="auto"/>
            <w:tcBorders>
              <w:top w:val="single" w:sz="4" w:space="0" w:color="000000"/>
              <w:left w:val="single" w:sz="4" w:space="0" w:color="000000"/>
              <w:bottom w:val="nil"/>
              <w:right w:val="single" w:sz="4" w:space="0" w:color="000000"/>
            </w:tcBorders>
            <w:vAlign w:val="center"/>
          </w:tcPr>
          <w:p w14:paraId="708CBA8B" w14:textId="77777777" w:rsidR="00372953" w:rsidRPr="00372953" w:rsidRDefault="00372953" w:rsidP="007E48A3">
            <w:pPr>
              <w:widowControl/>
              <w:jc w:val="center"/>
              <w:textAlignment w:val="center"/>
              <w:rPr>
                <w:b/>
                <w:bCs/>
                <w:sz w:val="18"/>
                <w:szCs w:val="18"/>
              </w:rPr>
            </w:pPr>
            <w:r w:rsidRPr="00372953">
              <w:rPr>
                <w:b/>
                <w:bCs/>
                <w:kern w:val="0"/>
                <w:sz w:val="18"/>
                <w:szCs w:val="18"/>
                <w:lang w:bidi="ar"/>
              </w:rPr>
              <w:t>投入运行时间</w:t>
            </w:r>
          </w:p>
        </w:tc>
        <w:tc>
          <w:tcPr>
            <w:tcW w:w="0" w:type="auto"/>
            <w:tcBorders>
              <w:top w:val="single" w:sz="4" w:space="0" w:color="000000"/>
              <w:left w:val="single" w:sz="4" w:space="0" w:color="000000"/>
              <w:bottom w:val="nil"/>
              <w:right w:val="single" w:sz="4" w:space="0" w:color="000000"/>
            </w:tcBorders>
            <w:vAlign w:val="center"/>
          </w:tcPr>
          <w:p w14:paraId="61DD5B88" w14:textId="77777777" w:rsidR="00372953" w:rsidRPr="00372953" w:rsidRDefault="00372953" w:rsidP="007E48A3">
            <w:pPr>
              <w:widowControl/>
              <w:jc w:val="center"/>
              <w:textAlignment w:val="center"/>
              <w:rPr>
                <w:b/>
                <w:bCs/>
                <w:sz w:val="18"/>
                <w:szCs w:val="18"/>
              </w:rPr>
            </w:pPr>
            <w:r w:rsidRPr="00372953">
              <w:rPr>
                <w:b/>
                <w:bCs/>
                <w:kern w:val="0"/>
                <w:sz w:val="18"/>
                <w:szCs w:val="18"/>
                <w:lang w:bidi="ar"/>
              </w:rPr>
              <w:t>供水服务人口（人）</w:t>
            </w:r>
          </w:p>
        </w:tc>
        <w:tc>
          <w:tcPr>
            <w:tcW w:w="0" w:type="auto"/>
            <w:tcBorders>
              <w:top w:val="single" w:sz="4" w:space="0" w:color="000000"/>
              <w:left w:val="single" w:sz="4" w:space="0" w:color="000000"/>
              <w:bottom w:val="nil"/>
              <w:right w:val="single" w:sz="4" w:space="0" w:color="000000"/>
            </w:tcBorders>
            <w:vAlign w:val="center"/>
          </w:tcPr>
          <w:p w14:paraId="040D661F" w14:textId="77777777" w:rsidR="00372953" w:rsidRPr="00372953" w:rsidRDefault="00372953" w:rsidP="007E48A3">
            <w:pPr>
              <w:widowControl/>
              <w:jc w:val="center"/>
              <w:textAlignment w:val="center"/>
              <w:rPr>
                <w:b/>
                <w:bCs/>
                <w:sz w:val="18"/>
                <w:szCs w:val="18"/>
              </w:rPr>
            </w:pPr>
            <w:r w:rsidRPr="00372953">
              <w:rPr>
                <w:b/>
                <w:bCs/>
                <w:kern w:val="0"/>
                <w:sz w:val="18"/>
                <w:szCs w:val="18"/>
                <w:lang w:bidi="ar"/>
              </w:rPr>
              <w:t>日均供水能力（吨</w:t>
            </w:r>
            <w:r w:rsidRPr="00372953">
              <w:rPr>
                <w:b/>
                <w:bCs/>
                <w:kern w:val="0"/>
                <w:sz w:val="18"/>
                <w:szCs w:val="18"/>
                <w:lang w:bidi="ar"/>
              </w:rPr>
              <w:t>/</w:t>
            </w:r>
            <w:r w:rsidRPr="00372953">
              <w:rPr>
                <w:b/>
                <w:bCs/>
                <w:kern w:val="0"/>
                <w:sz w:val="18"/>
                <w:szCs w:val="18"/>
                <w:lang w:bidi="ar"/>
              </w:rPr>
              <w:t>天）</w:t>
            </w:r>
          </w:p>
        </w:tc>
        <w:tc>
          <w:tcPr>
            <w:tcW w:w="0" w:type="auto"/>
            <w:tcBorders>
              <w:top w:val="single" w:sz="4" w:space="0" w:color="000000"/>
              <w:left w:val="single" w:sz="4" w:space="0" w:color="000000"/>
              <w:bottom w:val="nil"/>
              <w:right w:val="single" w:sz="4" w:space="0" w:color="000000"/>
            </w:tcBorders>
            <w:vAlign w:val="center"/>
          </w:tcPr>
          <w:p w14:paraId="11137474" w14:textId="77777777" w:rsidR="00372953" w:rsidRPr="00372953" w:rsidRDefault="00372953" w:rsidP="007E48A3">
            <w:pPr>
              <w:widowControl/>
              <w:jc w:val="center"/>
              <w:textAlignment w:val="center"/>
              <w:rPr>
                <w:b/>
                <w:bCs/>
                <w:sz w:val="18"/>
                <w:szCs w:val="18"/>
              </w:rPr>
            </w:pPr>
            <w:r w:rsidRPr="00372953">
              <w:rPr>
                <w:b/>
                <w:bCs/>
                <w:kern w:val="0"/>
                <w:sz w:val="18"/>
                <w:szCs w:val="18"/>
                <w:lang w:bidi="ar"/>
              </w:rPr>
              <w:t>年实际取水量</w:t>
            </w:r>
            <w:r w:rsidRPr="00372953">
              <w:rPr>
                <w:b/>
                <w:bCs/>
                <w:kern w:val="0"/>
                <w:sz w:val="18"/>
                <w:szCs w:val="18"/>
                <w:lang w:bidi="ar"/>
              </w:rPr>
              <w:t>(</w:t>
            </w:r>
            <w:r w:rsidRPr="00372953">
              <w:rPr>
                <w:b/>
                <w:bCs/>
                <w:kern w:val="0"/>
                <w:sz w:val="18"/>
                <w:szCs w:val="18"/>
                <w:lang w:bidi="ar"/>
              </w:rPr>
              <w:t>万吨</w:t>
            </w:r>
            <w:r w:rsidRPr="00372953">
              <w:rPr>
                <w:b/>
                <w:bCs/>
                <w:kern w:val="0"/>
                <w:sz w:val="18"/>
                <w:szCs w:val="18"/>
                <w:lang w:bidi="ar"/>
              </w:rPr>
              <w:t>)</w:t>
            </w:r>
          </w:p>
        </w:tc>
        <w:tc>
          <w:tcPr>
            <w:tcW w:w="0" w:type="auto"/>
            <w:tcBorders>
              <w:top w:val="single" w:sz="4" w:space="0" w:color="000000"/>
              <w:left w:val="single" w:sz="4" w:space="0" w:color="000000"/>
              <w:bottom w:val="nil"/>
              <w:right w:val="single" w:sz="4" w:space="0" w:color="000000"/>
            </w:tcBorders>
            <w:vAlign w:val="center"/>
          </w:tcPr>
          <w:p w14:paraId="32673AAB" w14:textId="77777777" w:rsidR="00372953" w:rsidRPr="00372953" w:rsidRDefault="00372953" w:rsidP="007E48A3">
            <w:pPr>
              <w:widowControl/>
              <w:jc w:val="center"/>
              <w:textAlignment w:val="center"/>
              <w:rPr>
                <w:b/>
                <w:bCs/>
                <w:sz w:val="18"/>
                <w:szCs w:val="18"/>
              </w:rPr>
            </w:pPr>
            <w:r w:rsidRPr="00372953">
              <w:rPr>
                <w:b/>
                <w:bCs/>
                <w:kern w:val="0"/>
                <w:sz w:val="18"/>
                <w:szCs w:val="18"/>
                <w:lang w:bidi="ar"/>
              </w:rPr>
              <w:t>保护区划定情况</w:t>
            </w:r>
          </w:p>
        </w:tc>
        <w:tc>
          <w:tcPr>
            <w:tcW w:w="0" w:type="auto"/>
            <w:tcBorders>
              <w:top w:val="single" w:sz="4" w:space="0" w:color="000000"/>
              <w:left w:val="single" w:sz="4" w:space="0" w:color="000000"/>
              <w:bottom w:val="nil"/>
              <w:right w:val="single" w:sz="4" w:space="0" w:color="000000"/>
            </w:tcBorders>
            <w:vAlign w:val="center"/>
          </w:tcPr>
          <w:p w14:paraId="3D427243" w14:textId="77777777" w:rsidR="00372953" w:rsidRPr="00372953" w:rsidRDefault="00372953" w:rsidP="007E48A3">
            <w:pPr>
              <w:widowControl/>
              <w:jc w:val="center"/>
              <w:textAlignment w:val="center"/>
              <w:rPr>
                <w:b/>
                <w:bCs/>
                <w:sz w:val="18"/>
                <w:szCs w:val="18"/>
              </w:rPr>
            </w:pPr>
            <w:r w:rsidRPr="00372953">
              <w:rPr>
                <w:b/>
                <w:bCs/>
                <w:kern w:val="0"/>
                <w:sz w:val="18"/>
                <w:szCs w:val="18"/>
                <w:lang w:bidi="ar"/>
              </w:rPr>
              <w:t>保护区划定文号</w:t>
            </w:r>
          </w:p>
        </w:tc>
        <w:tc>
          <w:tcPr>
            <w:tcW w:w="0" w:type="auto"/>
            <w:tcBorders>
              <w:top w:val="single" w:sz="4" w:space="0" w:color="000000"/>
              <w:left w:val="single" w:sz="4" w:space="0" w:color="000000"/>
              <w:bottom w:val="single" w:sz="4" w:space="0" w:color="000000"/>
              <w:right w:val="single" w:sz="4" w:space="0" w:color="000000"/>
            </w:tcBorders>
            <w:vAlign w:val="center"/>
          </w:tcPr>
          <w:p w14:paraId="39263A66" w14:textId="77777777" w:rsidR="00372953" w:rsidRPr="00372953" w:rsidRDefault="00372953" w:rsidP="007E48A3">
            <w:pPr>
              <w:widowControl/>
              <w:jc w:val="center"/>
              <w:textAlignment w:val="center"/>
              <w:rPr>
                <w:b/>
                <w:bCs/>
                <w:sz w:val="18"/>
                <w:szCs w:val="18"/>
              </w:rPr>
            </w:pPr>
            <w:r w:rsidRPr="00372953">
              <w:rPr>
                <w:b/>
                <w:bCs/>
                <w:kern w:val="0"/>
                <w:sz w:val="18"/>
                <w:szCs w:val="18"/>
                <w:lang w:bidi="ar"/>
              </w:rPr>
              <w:t>是否位于沙珠玉河流域</w:t>
            </w:r>
          </w:p>
        </w:tc>
      </w:tr>
      <w:tr w:rsidR="00372953" w:rsidRPr="00372953" w14:paraId="01D81EA4" w14:textId="77777777" w:rsidTr="007E48A3">
        <w:trPr>
          <w:trHeight w:val="420"/>
        </w:trPr>
        <w:tc>
          <w:tcPr>
            <w:tcW w:w="0" w:type="auto"/>
            <w:tcBorders>
              <w:top w:val="single" w:sz="4" w:space="0" w:color="000000"/>
              <w:left w:val="single" w:sz="4" w:space="0" w:color="000000"/>
              <w:bottom w:val="single" w:sz="4" w:space="0" w:color="000000"/>
              <w:right w:val="single" w:sz="4" w:space="0" w:color="000000"/>
            </w:tcBorders>
            <w:vAlign w:val="center"/>
          </w:tcPr>
          <w:p w14:paraId="7E54B1DA" w14:textId="77777777" w:rsidR="00372953" w:rsidRPr="00372953" w:rsidRDefault="00372953" w:rsidP="007E48A3">
            <w:pPr>
              <w:widowControl/>
              <w:jc w:val="center"/>
              <w:textAlignment w:val="center"/>
              <w:rPr>
                <w:kern w:val="0"/>
                <w:sz w:val="18"/>
                <w:szCs w:val="18"/>
                <w:lang w:bidi="ar"/>
              </w:rPr>
            </w:pPr>
            <w:r w:rsidRPr="00372953">
              <w:rPr>
                <w:kern w:val="0"/>
                <w:sz w:val="18"/>
                <w:szCs w:val="18"/>
                <w:lang w:bidi="ar"/>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1237FCF9" w14:textId="77777777" w:rsidR="00372953" w:rsidRPr="00372953" w:rsidRDefault="00372953" w:rsidP="007E48A3">
            <w:pPr>
              <w:widowControl/>
              <w:jc w:val="center"/>
              <w:textAlignment w:val="center"/>
              <w:rPr>
                <w:sz w:val="18"/>
                <w:szCs w:val="18"/>
              </w:rPr>
            </w:pPr>
            <w:r w:rsidRPr="00372953">
              <w:rPr>
                <w:kern w:val="0"/>
                <w:sz w:val="18"/>
                <w:szCs w:val="18"/>
                <w:lang w:bidi="ar"/>
              </w:rPr>
              <w:t>共和县</w:t>
            </w:r>
          </w:p>
        </w:tc>
        <w:tc>
          <w:tcPr>
            <w:tcW w:w="0" w:type="auto"/>
            <w:tcBorders>
              <w:top w:val="single" w:sz="4" w:space="0" w:color="000000"/>
              <w:left w:val="single" w:sz="4" w:space="0" w:color="000000"/>
              <w:bottom w:val="single" w:sz="4" w:space="0" w:color="000000"/>
              <w:right w:val="single" w:sz="4" w:space="0" w:color="000000"/>
            </w:tcBorders>
            <w:vAlign w:val="center"/>
          </w:tcPr>
          <w:p w14:paraId="08F08AD7" w14:textId="77777777" w:rsidR="00372953" w:rsidRPr="00372953" w:rsidRDefault="00372953" w:rsidP="007E48A3">
            <w:pPr>
              <w:widowControl/>
              <w:jc w:val="center"/>
              <w:textAlignment w:val="center"/>
              <w:rPr>
                <w:sz w:val="18"/>
                <w:szCs w:val="18"/>
              </w:rPr>
            </w:pPr>
            <w:r w:rsidRPr="00372953">
              <w:rPr>
                <w:kern w:val="0"/>
                <w:sz w:val="18"/>
                <w:szCs w:val="18"/>
                <w:lang w:bidi="ar"/>
              </w:rPr>
              <w:t>共和县切吉滩集中式饮用水水源地</w:t>
            </w:r>
          </w:p>
        </w:tc>
        <w:tc>
          <w:tcPr>
            <w:tcW w:w="0" w:type="auto"/>
            <w:tcBorders>
              <w:top w:val="single" w:sz="4" w:space="0" w:color="000000"/>
              <w:left w:val="single" w:sz="4" w:space="0" w:color="000000"/>
              <w:bottom w:val="single" w:sz="4" w:space="0" w:color="000000"/>
              <w:right w:val="single" w:sz="4" w:space="0" w:color="000000"/>
            </w:tcBorders>
            <w:vAlign w:val="center"/>
          </w:tcPr>
          <w:p w14:paraId="0F0B1E4B" w14:textId="77777777" w:rsidR="00372953" w:rsidRPr="00372953" w:rsidRDefault="00372953" w:rsidP="007E48A3">
            <w:pPr>
              <w:widowControl/>
              <w:jc w:val="center"/>
              <w:textAlignment w:val="center"/>
              <w:rPr>
                <w:sz w:val="18"/>
                <w:szCs w:val="18"/>
              </w:rPr>
            </w:pPr>
            <w:r w:rsidRPr="00372953">
              <w:rPr>
                <w:kern w:val="0"/>
                <w:sz w:val="18"/>
                <w:szCs w:val="18"/>
                <w:lang w:bidi="ar"/>
              </w:rPr>
              <w:t>地下水</w:t>
            </w:r>
          </w:p>
        </w:tc>
        <w:tc>
          <w:tcPr>
            <w:tcW w:w="0" w:type="auto"/>
            <w:tcBorders>
              <w:top w:val="single" w:sz="4" w:space="0" w:color="000000"/>
              <w:left w:val="single" w:sz="4" w:space="0" w:color="000000"/>
              <w:bottom w:val="single" w:sz="4" w:space="0" w:color="000000"/>
              <w:right w:val="single" w:sz="4" w:space="0" w:color="000000"/>
            </w:tcBorders>
            <w:vAlign w:val="center"/>
          </w:tcPr>
          <w:p w14:paraId="3895E1F6" w14:textId="77777777" w:rsidR="00372953" w:rsidRPr="00372953" w:rsidRDefault="00372953" w:rsidP="007E48A3">
            <w:pPr>
              <w:widowControl/>
              <w:jc w:val="center"/>
              <w:textAlignment w:val="center"/>
              <w:rPr>
                <w:sz w:val="18"/>
                <w:szCs w:val="18"/>
              </w:rPr>
            </w:pPr>
            <w:r w:rsidRPr="00372953">
              <w:rPr>
                <w:kern w:val="0"/>
                <w:sz w:val="18"/>
                <w:szCs w:val="18"/>
                <w:lang w:bidi="ar"/>
              </w:rPr>
              <w:t>地市级</w:t>
            </w:r>
          </w:p>
        </w:tc>
        <w:tc>
          <w:tcPr>
            <w:tcW w:w="0" w:type="auto"/>
            <w:tcBorders>
              <w:top w:val="single" w:sz="4" w:space="0" w:color="000000"/>
              <w:left w:val="single" w:sz="4" w:space="0" w:color="000000"/>
              <w:bottom w:val="single" w:sz="4" w:space="0" w:color="000000"/>
              <w:right w:val="single" w:sz="4" w:space="0" w:color="000000"/>
            </w:tcBorders>
            <w:vAlign w:val="center"/>
          </w:tcPr>
          <w:p w14:paraId="690A757A" w14:textId="77777777" w:rsidR="00372953" w:rsidRPr="00372953" w:rsidRDefault="00372953" w:rsidP="007E48A3">
            <w:pPr>
              <w:widowControl/>
              <w:jc w:val="center"/>
              <w:textAlignment w:val="center"/>
              <w:rPr>
                <w:sz w:val="18"/>
                <w:szCs w:val="18"/>
              </w:rPr>
            </w:pPr>
            <w:r w:rsidRPr="00372953">
              <w:rPr>
                <w:kern w:val="0"/>
                <w:sz w:val="18"/>
                <w:szCs w:val="18"/>
                <w:lang w:bidi="ar"/>
              </w:rPr>
              <w:t>在用</w:t>
            </w:r>
          </w:p>
        </w:tc>
        <w:tc>
          <w:tcPr>
            <w:tcW w:w="0" w:type="auto"/>
            <w:tcBorders>
              <w:top w:val="single" w:sz="4" w:space="0" w:color="000000"/>
              <w:left w:val="single" w:sz="4" w:space="0" w:color="000000"/>
              <w:bottom w:val="single" w:sz="4" w:space="0" w:color="000000"/>
              <w:right w:val="single" w:sz="4" w:space="0" w:color="000000"/>
            </w:tcBorders>
            <w:vAlign w:val="center"/>
          </w:tcPr>
          <w:p w14:paraId="5149C4BA" w14:textId="77777777" w:rsidR="00372953" w:rsidRPr="00372953" w:rsidRDefault="00372953" w:rsidP="007E48A3">
            <w:pPr>
              <w:widowControl/>
              <w:jc w:val="center"/>
              <w:textAlignment w:val="center"/>
              <w:rPr>
                <w:sz w:val="18"/>
                <w:szCs w:val="18"/>
              </w:rPr>
            </w:pPr>
            <w:r w:rsidRPr="00372953">
              <w:rPr>
                <w:kern w:val="0"/>
                <w:sz w:val="18"/>
                <w:szCs w:val="18"/>
                <w:lang w:bidi="ar"/>
              </w:rPr>
              <w:t>2014</w:t>
            </w:r>
          </w:p>
        </w:tc>
        <w:tc>
          <w:tcPr>
            <w:tcW w:w="0" w:type="auto"/>
            <w:tcBorders>
              <w:top w:val="single" w:sz="4" w:space="0" w:color="000000"/>
              <w:left w:val="single" w:sz="4" w:space="0" w:color="000000"/>
              <w:bottom w:val="single" w:sz="4" w:space="0" w:color="000000"/>
              <w:right w:val="single" w:sz="4" w:space="0" w:color="000000"/>
            </w:tcBorders>
            <w:vAlign w:val="center"/>
          </w:tcPr>
          <w:p w14:paraId="160CF3A2" w14:textId="77777777" w:rsidR="00372953" w:rsidRPr="00372953" w:rsidRDefault="00372953" w:rsidP="007E48A3">
            <w:pPr>
              <w:widowControl/>
              <w:jc w:val="center"/>
              <w:textAlignment w:val="center"/>
              <w:rPr>
                <w:sz w:val="18"/>
                <w:szCs w:val="18"/>
              </w:rPr>
            </w:pPr>
            <w:r w:rsidRPr="00372953">
              <w:rPr>
                <w:kern w:val="0"/>
                <w:sz w:val="18"/>
                <w:szCs w:val="18"/>
                <w:lang w:bidi="ar"/>
              </w:rPr>
              <w:t>2014</w:t>
            </w:r>
          </w:p>
        </w:tc>
        <w:tc>
          <w:tcPr>
            <w:tcW w:w="0" w:type="auto"/>
            <w:tcBorders>
              <w:top w:val="single" w:sz="4" w:space="0" w:color="000000"/>
              <w:left w:val="single" w:sz="4" w:space="0" w:color="000000"/>
              <w:bottom w:val="single" w:sz="4" w:space="0" w:color="000000"/>
              <w:right w:val="single" w:sz="4" w:space="0" w:color="000000"/>
            </w:tcBorders>
            <w:vAlign w:val="center"/>
          </w:tcPr>
          <w:p w14:paraId="09EB3C16" w14:textId="77777777" w:rsidR="00372953" w:rsidRPr="00372953" w:rsidRDefault="00372953" w:rsidP="007E48A3">
            <w:pPr>
              <w:widowControl/>
              <w:jc w:val="center"/>
              <w:textAlignment w:val="center"/>
              <w:rPr>
                <w:sz w:val="18"/>
                <w:szCs w:val="18"/>
              </w:rPr>
            </w:pPr>
            <w:r w:rsidRPr="00372953">
              <w:rPr>
                <w:kern w:val="0"/>
                <w:sz w:val="18"/>
                <w:szCs w:val="18"/>
                <w:lang w:bidi="ar"/>
              </w:rPr>
              <w:t>51400</w:t>
            </w:r>
          </w:p>
        </w:tc>
        <w:tc>
          <w:tcPr>
            <w:tcW w:w="0" w:type="auto"/>
            <w:tcBorders>
              <w:top w:val="single" w:sz="4" w:space="0" w:color="000000"/>
              <w:left w:val="single" w:sz="4" w:space="0" w:color="000000"/>
              <w:bottom w:val="single" w:sz="4" w:space="0" w:color="000000"/>
              <w:right w:val="single" w:sz="4" w:space="0" w:color="000000"/>
            </w:tcBorders>
            <w:vAlign w:val="center"/>
          </w:tcPr>
          <w:p w14:paraId="206CCE3E" w14:textId="77777777" w:rsidR="00372953" w:rsidRPr="00372953" w:rsidRDefault="00372953" w:rsidP="007E48A3">
            <w:pPr>
              <w:widowControl/>
              <w:jc w:val="center"/>
              <w:textAlignment w:val="center"/>
              <w:rPr>
                <w:sz w:val="18"/>
                <w:szCs w:val="18"/>
              </w:rPr>
            </w:pPr>
            <w:r w:rsidRPr="00372953">
              <w:rPr>
                <w:kern w:val="0"/>
                <w:sz w:val="18"/>
                <w:szCs w:val="18"/>
                <w:lang w:bidi="ar"/>
              </w:rPr>
              <w:t>20900</w:t>
            </w:r>
          </w:p>
        </w:tc>
        <w:tc>
          <w:tcPr>
            <w:tcW w:w="0" w:type="auto"/>
            <w:tcBorders>
              <w:top w:val="single" w:sz="4" w:space="0" w:color="000000"/>
              <w:left w:val="single" w:sz="4" w:space="0" w:color="000000"/>
              <w:bottom w:val="single" w:sz="4" w:space="0" w:color="000000"/>
              <w:right w:val="single" w:sz="4" w:space="0" w:color="000000"/>
            </w:tcBorders>
            <w:vAlign w:val="center"/>
          </w:tcPr>
          <w:p w14:paraId="0930E77C" w14:textId="77777777" w:rsidR="00372953" w:rsidRPr="00372953" w:rsidRDefault="00372953" w:rsidP="007E48A3">
            <w:pPr>
              <w:widowControl/>
              <w:jc w:val="center"/>
              <w:textAlignment w:val="center"/>
              <w:rPr>
                <w:sz w:val="18"/>
                <w:szCs w:val="18"/>
              </w:rPr>
            </w:pPr>
            <w:r w:rsidRPr="00372953">
              <w:rPr>
                <w:kern w:val="0"/>
                <w:sz w:val="18"/>
                <w:szCs w:val="18"/>
                <w:lang w:bidi="ar"/>
              </w:rPr>
              <w:t>457.4</w:t>
            </w:r>
          </w:p>
        </w:tc>
        <w:tc>
          <w:tcPr>
            <w:tcW w:w="0" w:type="auto"/>
            <w:tcBorders>
              <w:top w:val="single" w:sz="4" w:space="0" w:color="000000"/>
              <w:left w:val="single" w:sz="4" w:space="0" w:color="000000"/>
              <w:bottom w:val="single" w:sz="4" w:space="0" w:color="000000"/>
              <w:right w:val="single" w:sz="4" w:space="0" w:color="000000"/>
            </w:tcBorders>
            <w:vAlign w:val="center"/>
          </w:tcPr>
          <w:p w14:paraId="342D340C" w14:textId="77777777" w:rsidR="00372953" w:rsidRPr="00372953" w:rsidRDefault="00372953" w:rsidP="007E48A3">
            <w:pPr>
              <w:widowControl/>
              <w:jc w:val="center"/>
              <w:textAlignment w:val="center"/>
              <w:rPr>
                <w:sz w:val="18"/>
                <w:szCs w:val="18"/>
              </w:rPr>
            </w:pPr>
            <w:r w:rsidRPr="00372953">
              <w:rPr>
                <w:kern w:val="0"/>
                <w:sz w:val="18"/>
                <w:szCs w:val="18"/>
                <w:lang w:bidi="ar"/>
              </w:rPr>
              <w:t>已划定</w:t>
            </w:r>
          </w:p>
        </w:tc>
        <w:tc>
          <w:tcPr>
            <w:tcW w:w="0" w:type="auto"/>
            <w:tcBorders>
              <w:top w:val="single" w:sz="4" w:space="0" w:color="000000"/>
              <w:left w:val="single" w:sz="4" w:space="0" w:color="000000"/>
              <w:bottom w:val="single" w:sz="4" w:space="0" w:color="000000"/>
              <w:right w:val="single" w:sz="4" w:space="0" w:color="000000"/>
            </w:tcBorders>
            <w:vAlign w:val="center"/>
          </w:tcPr>
          <w:p w14:paraId="45328C72" w14:textId="77777777" w:rsidR="00372953" w:rsidRPr="00372953" w:rsidRDefault="00372953" w:rsidP="007E48A3">
            <w:pPr>
              <w:widowControl/>
              <w:jc w:val="center"/>
              <w:textAlignment w:val="center"/>
              <w:rPr>
                <w:sz w:val="18"/>
                <w:szCs w:val="18"/>
              </w:rPr>
            </w:pPr>
            <w:r w:rsidRPr="00372953">
              <w:rPr>
                <w:kern w:val="0"/>
                <w:sz w:val="18"/>
                <w:szCs w:val="18"/>
                <w:lang w:bidi="ar"/>
              </w:rPr>
              <w:t>青政函〔</w:t>
            </w:r>
            <w:r w:rsidRPr="00372953">
              <w:rPr>
                <w:kern w:val="0"/>
                <w:sz w:val="18"/>
                <w:szCs w:val="18"/>
                <w:lang w:bidi="ar"/>
              </w:rPr>
              <w:t>2019</w:t>
            </w:r>
            <w:r w:rsidRPr="00372953">
              <w:rPr>
                <w:kern w:val="0"/>
                <w:sz w:val="18"/>
                <w:szCs w:val="18"/>
                <w:lang w:bidi="ar"/>
              </w:rPr>
              <w:t>〕</w:t>
            </w:r>
            <w:r w:rsidRPr="00372953">
              <w:rPr>
                <w:kern w:val="0"/>
                <w:sz w:val="18"/>
                <w:szCs w:val="18"/>
                <w:lang w:bidi="ar"/>
              </w:rPr>
              <w:t>5</w:t>
            </w:r>
            <w:r w:rsidRPr="00372953">
              <w:rPr>
                <w:kern w:val="0"/>
                <w:sz w:val="18"/>
                <w:szCs w:val="18"/>
                <w:lang w:bidi="ar"/>
              </w:rPr>
              <w:t>号</w:t>
            </w:r>
          </w:p>
        </w:tc>
        <w:tc>
          <w:tcPr>
            <w:tcW w:w="0" w:type="auto"/>
            <w:tcBorders>
              <w:top w:val="single" w:sz="4" w:space="0" w:color="000000"/>
              <w:left w:val="single" w:sz="4" w:space="0" w:color="000000"/>
              <w:bottom w:val="single" w:sz="4" w:space="0" w:color="000000"/>
              <w:right w:val="single" w:sz="4" w:space="0" w:color="000000"/>
            </w:tcBorders>
            <w:vAlign w:val="center"/>
          </w:tcPr>
          <w:p w14:paraId="3F42D452" w14:textId="77777777" w:rsidR="00372953" w:rsidRPr="00372953" w:rsidRDefault="00372953" w:rsidP="007E48A3">
            <w:pPr>
              <w:widowControl/>
              <w:jc w:val="center"/>
              <w:textAlignment w:val="center"/>
              <w:rPr>
                <w:sz w:val="18"/>
                <w:szCs w:val="18"/>
              </w:rPr>
            </w:pPr>
            <w:r w:rsidRPr="00372953">
              <w:rPr>
                <w:kern w:val="0"/>
                <w:sz w:val="18"/>
                <w:szCs w:val="18"/>
                <w:lang w:bidi="ar"/>
              </w:rPr>
              <w:t>是</w:t>
            </w:r>
          </w:p>
        </w:tc>
      </w:tr>
      <w:tr w:rsidR="00372953" w:rsidRPr="00372953" w14:paraId="2F40A529" w14:textId="77777777" w:rsidTr="007E48A3">
        <w:trPr>
          <w:trHeight w:val="270"/>
        </w:trPr>
        <w:tc>
          <w:tcPr>
            <w:tcW w:w="0" w:type="auto"/>
            <w:tcBorders>
              <w:top w:val="single" w:sz="4" w:space="0" w:color="000000"/>
              <w:left w:val="single" w:sz="4" w:space="0" w:color="000000"/>
              <w:bottom w:val="single" w:sz="4" w:space="0" w:color="000000"/>
              <w:right w:val="single" w:sz="4" w:space="0" w:color="000000"/>
            </w:tcBorders>
            <w:vAlign w:val="center"/>
          </w:tcPr>
          <w:p w14:paraId="5B1C2CAE" w14:textId="77777777" w:rsidR="00372953" w:rsidRPr="00372953" w:rsidRDefault="00372953" w:rsidP="007E48A3">
            <w:pPr>
              <w:widowControl/>
              <w:jc w:val="center"/>
              <w:textAlignment w:val="center"/>
              <w:rPr>
                <w:kern w:val="0"/>
                <w:sz w:val="18"/>
                <w:szCs w:val="18"/>
                <w:lang w:bidi="ar"/>
              </w:rPr>
            </w:pPr>
            <w:r w:rsidRPr="00372953">
              <w:rPr>
                <w:kern w:val="0"/>
                <w:sz w:val="18"/>
                <w:szCs w:val="18"/>
                <w:lang w:bidi="ar"/>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62EAE468" w14:textId="77777777" w:rsidR="00372953" w:rsidRPr="00372953" w:rsidRDefault="00372953" w:rsidP="007E48A3">
            <w:pPr>
              <w:widowControl/>
              <w:jc w:val="center"/>
              <w:textAlignment w:val="center"/>
              <w:rPr>
                <w:sz w:val="18"/>
                <w:szCs w:val="18"/>
              </w:rPr>
            </w:pPr>
            <w:r w:rsidRPr="00372953">
              <w:rPr>
                <w:kern w:val="0"/>
                <w:sz w:val="18"/>
                <w:szCs w:val="18"/>
                <w:lang w:bidi="ar"/>
              </w:rPr>
              <w:t>共和县</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849486A" w14:textId="77777777" w:rsidR="00372953" w:rsidRPr="00372953" w:rsidRDefault="00372953" w:rsidP="007E48A3">
            <w:pPr>
              <w:widowControl/>
              <w:jc w:val="center"/>
              <w:textAlignment w:val="center"/>
              <w:rPr>
                <w:sz w:val="18"/>
                <w:szCs w:val="18"/>
              </w:rPr>
            </w:pPr>
            <w:r w:rsidRPr="00372953">
              <w:rPr>
                <w:kern w:val="0"/>
                <w:sz w:val="18"/>
                <w:szCs w:val="18"/>
                <w:lang w:bidi="ar"/>
              </w:rPr>
              <w:t>恰让水库水源地</w:t>
            </w:r>
          </w:p>
        </w:tc>
        <w:tc>
          <w:tcPr>
            <w:tcW w:w="0" w:type="auto"/>
            <w:tcBorders>
              <w:top w:val="single" w:sz="4" w:space="0" w:color="000000"/>
              <w:left w:val="single" w:sz="4" w:space="0" w:color="000000"/>
              <w:bottom w:val="single" w:sz="4" w:space="0" w:color="000000"/>
              <w:right w:val="single" w:sz="4" w:space="0" w:color="000000"/>
            </w:tcBorders>
            <w:vAlign w:val="center"/>
          </w:tcPr>
          <w:p w14:paraId="5E6BF428" w14:textId="77777777" w:rsidR="00372953" w:rsidRPr="00372953" w:rsidRDefault="00372953" w:rsidP="007E48A3">
            <w:pPr>
              <w:widowControl/>
              <w:jc w:val="center"/>
              <w:textAlignment w:val="center"/>
              <w:rPr>
                <w:sz w:val="18"/>
                <w:szCs w:val="18"/>
              </w:rPr>
            </w:pPr>
            <w:r w:rsidRPr="00372953">
              <w:rPr>
                <w:kern w:val="0"/>
                <w:sz w:val="18"/>
                <w:szCs w:val="18"/>
                <w:lang w:bidi="ar"/>
              </w:rPr>
              <w:t>水库型</w:t>
            </w:r>
          </w:p>
        </w:tc>
        <w:tc>
          <w:tcPr>
            <w:tcW w:w="0" w:type="auto"/>
            <w:tcBorders>
              <w:top w:val="single" w:sz="4" w:space="0" w:color="000000"/>
              <w:left w:val="single" w:sz="4" w:space="0" w:color="000000"/>
              <w:bottom w:val="single" w:sz="4" w:space="0" w:color="000000"/>
              <w:right w:val="single" w:sz="4" w:space="0" w:color="000000"/>
            </w:tcBorders>
            <w:vAlign w:val="center"/>
          </w:tcPr>
          <w:p w14:paraId="6E8280B7" w14:textId="77777777" w:rsidR="00372953" w:rsidRPr="00372953" w:rsidRDefault="00372953" w:rsidP="007E48A3">
            <w:pPr>
              <w:widowControl/>
              <w:jc w:val="center"/>
              <w:textAlignment w:val="center"/>
              <w:rPr>
                <w:sz w:val="18"/>
                <w:szCs w:val="18"/>
              </w:rPr>
            </w:pPr>
            <w:r w:rsidRPr="00372953">
              <w:rPr>
                <w:kern w:val="0"/>
                <w:sz w:val="18"/>
                <w:szCs w:val="18"/>
                <w:lang w:bidi="ar"/>
              </w:rPr>
              <w:t>地市级</w:t>
            </w:r>
          </w:p>
        </w:tc>
        <w:tc>
          <w:tcPr>
            <w:tcW w:w="0" w:type="auto"/>
            <w:tcBorders>
              <w:top w:val="single" w:sz="4" w:space="0" w:color="000000"/>
              <w:left w:val="single" w:sz="4" w:space="0" w:color="000000"/>
              <w:bottom w:val="single" w:sz="4" w:space="0" w:color="000000"/>
              <w:right w:val="single" w:sz="4" w:space="0" w:color="000000"/>
            </w:tcBorders>
            <w:vAlign w:val="center"/>
          </w:tcPr>
          <w:p w14:paraId="1F90D2AF" w14:textId="77777777" w:rsidR="00372953" w:rsidRPr="00372953" w:rsidRDefault="00372953" w:rsidP="007E48A3">
            <w:pPr>
              <w:widowControl/>
              <w:jc w:val="center"/>
              <w:textAlignment w:val="center"/>
              <w:rPr>
                <w:sz w:val="18"/>
                <w:szCs w:val="18"/>
              </w:rPr>
            </w:pPr>
            <w:r w:rsidRPr="00372953">
              <w:rPr>
                <w:kern w:val="0"/>
                <w:sz w:val="18"/>
                <w:szCs w:val="18"/>
                <w:lang w:bidi="ar"/>
              </w:rPr>
              <w:t>备用</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1EF5420" w14:textId="77777777" w:rsidR="00372953" w:rsidRPr="00372953" w:rsidRDefault="00372953" w:rsidP="007E48A3">
            <w:pPr>
              <w:widowControl/>
              <w:jc w:val="center"/>
              <w:textAlignment w:val="center"/>
              <w:rPr>
                <w:sz w:val="18"/>
                <w:szCs w:val="18"/>
              </w:rPr>
            </w:pPr>
            <w:r w:rsidRPr="00372953">
              <w:rPr>
                <w:kern w:val="0"/>
                <w:sz w:val="18"/>
                <w:szCs w:val="18"/>
                <w:lang w:bidi="ar"/>
              </w:rPr>
              <w:t>2010</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57B0D38" w14:textId="77777777" w:rsidR="00372953" w:rsidRPr="00372953" w:rsidRDefault="00372953" w:rsidP="007E48A3">
            <w:pPr>
              <w:widowControl/>
              <w:jc w:val="center"/>
              <w:textAlignment w:val="center"/>
              <w:rPr>
                <w:sz w:val="18"/>
                <w:szCs w:val="18"/>
              </w:rPr>
            </w:pPr>
            <w:r w:rsidRPr="00372953">
              <w:rPr>
                <w:kern w:val="0"/>
                <w:sz w:val="18"/>
                <w:szCs w:val="18"/>
                <w:lang w:bidi="ar"/>
              </w:rPr>
              <w:t>2012</w:t>
            </w:r>
          </w:p>
        </w:tc>
        <w:tc>
          <w:tcPr>
            <w:tcW w:w="0" w:type="auto"/>
            <w:tcBorders>
              <w:top w:val="single" w:sz="4" w:space="0" w:color="000000"/>
              <w:left w:val="single" w:sz="4" w:space="0" w:color="000000"/>
              <w:bottom w:val="single" w:sz="4" w:space="0" w:color="000000"/>
              <w:right w:val="single" w:sz="4" w:space="0" w:color="000000"/>
            </w:tcBorders>
            <w:vAlign w:val="center"/>
          </w:tcPr>
          <w:p w14:paraId="7CB6DCA8" w14:textId="77777777" w:rsidR="00372953" w:rsidRPr="00372953" w:rsidRDefault="00372953" w:rsidP="007E48A3">
            <w:pPr>
              <w:widowControl/>
              <w:jc w:val="center"/>
              <w:textAlignment w:val="center"/>
              <w:rPr>
                <w:sz w:val="18"/>
                <w:szCs w:val="18"/>
              </w:rPr>
            </w:pPr>
            <w:r w:rsidRPr="00372953">
              <w:rPr>
                <w:kern w:val="0"/>
                <w:sz w:val="18"/>
                <w:szCs w:val="18"/>
                <w:lang w:bidi="ar"/>
              </w:rPr>
              <w:t>47000</w:t>
            </w:r>
          </w:p>
        </w:tc>
        <w:tc>
          <w:tcPr>
            <w:tcW w:w="0" w:type="auto"/>
            <w:tcBorders>
              <w:top w:val="single" w:sz="4" w:space="0" w:color="000000"/>
              <w:left w:val="single" w:sz="4" w:space="0" w:color="000000"/>
              <w:bottom w:val="single" w:sz="4" w:space="0" w:color="000000"/>
              <w:right w:val="single" w:sz="4" w:space="0" w:color="000000"/>
            </w:tcBorders>
            <w:vAlign w:val="center"/>
          </w:tcPr>
          <w:p w14:paraId="0E3C0588" w14:textId="77777777" w:rsidR="00372953" w:rsidRPr="00372953" w:rsidRDefault="00372953" w:rsidP="007E48A3">
            <w:pPr>
              <w:widowControl/>
              <w:jc w:val="center"/>
              <w:textAlignment w:val="center"/>
              <w:rPr>
                <w:sz w:val="18"/>
                <w:szCs w:val="18"/>
              </w:rPr>
            </w:pPr>
            <w:r w:rsidRPr="00372953">
              <w:rPr>
                <w:kern w:val="0"/>
                <w:sz w:val="18"/>
                <w:szCs w:val="18"/>
                <w:lang w:bidi="ar"/>
              </w:rPr>
              <w:t>11000</w:t>
            </w:r>
          </w:p>
        </w:tc>
        <w:tc>
          <w:tcPr>
            <w:tcW w:w="0" w:type="auto"/>
            <w:tcBorders>
              <w:top w:val="single" w:sz="4" w:space="0" w:color="000000"/>
              <w:left w:val="single" w:sz="4" w:space="0" w:color="000000"/>
              <w:bottom w:val="single" w:sz="4" w:space="0" w:color="000000"/>
              <w:right w:val="single" w:sz="4" w:space="0" w:color="000000"/>
            </w:tcBorders>
            <w:vAlign w:val="center"/>
          </w:tcPr>
          <w:p w14:paraId="2FACE67C" w14:textId="77777777" w:rsidR="00372953" w:rsidRPr="00372953" w:rsidRDefault="00372953" w:rsidP="007E48A3">
            <w:pPr>
              <w:widowControl/>
              <w:jc w:val="center"/>
              <w:textAlignment w:val="center"/>
              <w:rPr>
                <w:sz w:val="18"/>
                <w:szCs w:val="18"/>
              </w:rPr>
            </w:pPr>
            <w:r w:rsidRPr="00372953">
              <w:rPr>
                <w:kern w:val="0"/>
                <w:sz w:val="18"/>
                <w:szCs w:val="18"/>
                <w:lang w:bidi="ar"/>
              </w:rPr>
              <w:t>0</w:t>
            </w:r>
          </w:p>
        </w:tc>
        <w:tc>
          <w:tcPr>
            <w:tcW w:w="0" w:type="auto"/>
            <w:tcBorders>
              <w:top w:val="single" w:sz="4" w:space="0" w:color="000000"/>
              <w:left w:val="single" w:sz="4" w:space="0" w:color="000000"/>
              <w:bottom w:val="single" w:sz="4" w:space="0" w:color="000000"/>
              <w:right w:val="single" w:sz="4" w:space="0" w:color="000000"/>
            </w:tcBorders>
            <w:vAlign w:val="center"/>
          </w:tcPr>
          <w:p w14:paraId="1712DFBE" w14:textId="77777777" w:rsidR="00372953" w:rsidRPr="00372953" w:rsidRDefault="00372953" w:rsidP="007E48A3">
            <w:pPr>
              <w:widowControl/>
              <w:jc w:val="center"/>
              <w:textAlignment w:val="center"/>
              <w:rPr>
                <w:sz w:val="18"/>
                <w:szCs w:val="18"/>
              </w:rPr>
            </w:pPr>
            <w:r w:rsidRPr="00372953">
              <w:rPr>
                <w:kern w:val="0"/>
                <w:sz w:val="18"/>
                <w:szCs w:val="18"/>
                <w:lang w:bidi="ar"/>
              </w:rPr>
              <w:t>已划定</w:t>
            </w:r>
          </w:p>
        </w:tc>
        <w:tc>
          <w:tcPr>
            <w:tcW w:w="0" w:type="auto"/>
            <w:tcBorders>
              <w:top w:val="single" w:sz="4" w:space="0" w:color="000000"/>
              <w:left w:val="single" w:sz="4" w:space="0" w:color="000000"/>
              <w:bottom w:val="single" w:sz="4" w:space="0" w:color="000000"/>
              <w:right w:val="single" w:sz="4" w:space="0" w:color="000000"/>
            </w:tcBorders>
            <w:vAlign w:val="center"/>
          </w:tcPr>
          <w:p w14:paraId="4A1E3472" w14:textId="77777777" w:rsidR="00372953" w:rsidRPr="00372953" w:rsidRDefault="00372953" w:rsidP="007E48A3">
            <w:pPr>
              <w:widowControl/>
              <w:jc w:val="center"/>
              <w:textAlignment w:val="center"/>
              <w:rPr>
                <w:sz w:val="18"/>
                <w:szCs w:val="18"/>
              </w:rPr>
            </w:pPr>
            <w:r w:rsidRPr="00372953">
              <w:rPr>
                <w:kern w:val="0"/>
                <w:sz w:val="18"/>
                <w:szCs w:val="18"/>
                <w:lang w:bidi="ar"/>
              </w:rPr>
              <w:t>青政函〔</w:t>
            </w:r>
            <w:r w:rsidRPr="00372953">
              <w:rPr>
                <w:kern w:val="0"/>
                <w:sz w:val="18"/>
                <w:szCs w:val="18"/>
                <w:lang w:bidi="ar"/>
              </w:rPr>
              <w:t>2011</w:t>
            </w:r>
            <w:r w:rsidRPr="00372953">
              <w:rPr>
                <w:kern w:val="0"/>
                <w:sz w:val="18"/>
                <w:szCs w:val="18"/>
                <w:lang w:bidi="ar"/>
              </w:rPr>
              <w:t>〕</w:t>
            </w:r>
            <w:r w:rsidRPr="00372953">
              <w:rPr>
                <w:kern w:val="0"/>
                <w:sz w:val="18"/>
                <w:szCs w:val="18"/>
                <w:lang w:bidi="ar"/>
              </w:rPr>
              <w:t>19</w:t>
            </w:r>
            <w:r w:rsidRPr="00372953">
              <w:rPr>
                <w:kern w:val="0"/>
                <w:sz w:val="18"/>
                <w:szCs w:val="18"/>
                <w:lang w:bidi="ar"/>
              </w:rPr>
              <w:t>号</w:t>
            </w:r>
          </w:p>
        </w:tc>
        <w:tc>
          <w:tcPr>
            <w:tcW w:w="0" w:type="auto"/>
            <w:tcBorders>
              <w:top w:val="single" w:sz="4" w:space="0" w:color="000000"/>
              <w:left w:val="single" w:sz="4" w:space="0" w:color="000000"/>
              <w:bottom w:val="single" w:sz="4" w:space="0" w:color="000000"/>
              <w:right w:val="single" w:sz="4" w:space="0" w:color="000000"/>
            </w:tcBorders>
            <w:vAlign w:val="center"/>
          </w:tcPr>
          <w:p w14:paraId="03CECAA4" w14:textId="77777777" w:rsidR="00372953" w:rsidRPr="00372953" w:rsidRDefault="00372953" w:rsidP="007E48A3">
            <w:pPr>
              <w:widowControl/>
              <w:jc w:val="center"/>
              <w:textAlignment w:val="center"/>
              <w:rPr>
                <w:sz w:val="18"/>
                <w:szCs w:val="18"/>
              </w:rPr>
            </w:pPr>
            <w:r w:rsidRPr="00372953">
              <w:rPr>
                <w:kern w:val="0"/>
                <w:sz w:val="18"/>
                <w:szCs w:val="18"/>
                <w:lang w:bidi="ar"/>
              </w:rPr>
              <w:t>是</w:t>
            </w:r>
          </w:p>
        </w:tc>
      </w:tr>
      <w:tr w:rsidR="00372953" w:rsidRPr="00372953" w14:paraId="4632817F" w14:textId="77777777" w:rsidTr="007E48A3">
        <w:trPr>
          <w:trHeight w:val="420"/>
        </w:trPr>
        <w:tc>
          <w:tcPr>
            <w:tcW w:w="0" w:type="auto"/>
            <w:tcBorders>
              <w:top w:val="single" w:sz="4" w:space="0" w:color="000000"/>
              <w:left w:val="single" w:sz="4" w:space="0" w:color="000000"/>
              <w:bottom w:val="single" w:sz="4" w:space="0" w:color="000000"/>
              <w:right w:val="single" w:sz="4" w:space="0" w:color="000000"/>
            </w:tcBorders>
            <w:noWrap/>
            <w:vAlign w:val="center"/>
          </w:tcPr>
          <w:p w14:paraId="5E0CD67B" w14:textId="77777777" w:rsidR="00372953" w:rsidRPr="00372953" w:rsidRDefault="00372953" w:rsidP="007E48A3">
            <w:pPr>
              <w:widowControl/>
              <w:jc w:val="center"/>
              <w:textAlignment w:val="center"/>
              <w:rPr>
                <w:kern w:val="0"/>
                <w:sz w:val="18"/>
                <w:szCs w:val="18"/>
                <w:lang w:bidi="ar"/>
              </w:rPr>
            </w:pPr>
            <w:r w:rsidRPr="00372953">
              <w:rPr>
                <w:kern w:val="0"/>
                <w:sz w:val="18"/>
                <w:szCs w:val="18"/>
                <w:lang w:bidi="ar"/>
              </w:rPr>
              <w:t>3</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D8D1C8E" w14:textId="77777777" w:rsidR="00372953" w:rsidRPr="00372953" w:rsidRDefault="00372953" w:rsidP="007E48A3">
            <w:pPr>
              <w:widowControl/>
              <w:jc w:val="center"/>
              <w:textAlignment w:val="center"/>
              <w:rPr>
                <w:sz w:val="18"/>
                <w:szCs w:val="18"/>
              </w:rPr>
            </w:pPr>
            <w:r w:rsidRPr="00372953">
              <w:rPr>
                <w:kern w:val="0"/>
                <w:sz w:val="18"/>
                <w:szCs w:val="18"/>
                <w:lang w:bidi="ar"/>
              </w:rPr>
              <w:t>兴海县</w:t>
            </w:r>
          </w:p>
        </w:tc>
        <w:tc>
          <w:tcPr>
            <w:tcW w:w="0" w:type="auto"/>
            <w:tcBorders>
              <w:top w:val="single" w:sz="4" w:space="0" w:color="000000"/>
              <w:left w:val="single" w:sz="4" w:space="0" w:color="000000"/>
              <w:bottom w:val="single" w:sz="4" w:space="0" w:color="000000"/>
              <w:right w:val="single" w:sz="4" w:space="0" w:color="000000"/>
            </w:tcBorders>
            <w:vAlign w:val="center"/>
          </w:tcPr>
          <w:p w14:paraId="198D2E55" w14:textId="77777777" w:rsidR="00372953" w:rsidRPr="00372953" w:rsidRDefault="00372953" w:rsidP="007E48A3">
            <w:pPr>
              <w:widowControl/>
              <w:jc w:val="center"/>
              <w:textAlignment w:val="center"/>
              <w:rPr>
                <w:sz w:val="18"/>
                <w:szCs w:val="18"/>
              </w:rPr>
            </w:pPr>
            <w:r w:rsidRPr="00372953">
              <w:rPr>
                <w:kern w:val="0"/>
                <w:sz w:val="18"/>
                <w:szCs w:val="18"/>
                <w:lang w:bidi="ar"/>
              </w:rPr>
              <w:t>兴海县日干水库饮用水水源地</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83735F0" w14:textId="77777777" w:rsidR="00372953" w:rsidRPr="00372953" w:rsidRDefault="00372953" w:rsidP="007E48A3">
            <w:pPr>
              <w:widowControl/>
              <w:jc w:val="center"/>
              <w:textAlignment w:val="center"/>
              <w:rPr>
                <w:sz w:val="18"/>
                <w:szCs w:val="18"/>
              </w:rPr>
            </w:pPr>
            <w:r w:rsidRPr="00372953">
              <w:rPr>
                <w:kern w:val="0"/>
                <w:sz w:val="18"/>
                <w:szCs w:val="18"/>
                <w:lang w:bidi="ar"/>
              </w:rPr>
              <w:t>湖库型</w:t>
            </w:r>
          </w:p>
        </w:tc>
        <w:tc>
          <w:tcPr>
            <w:tcW w:w="0" w:type="auto"/>
            <w:tcBorders>
              <w:top w:val="single" w:sz="4" w:space="0" w:color="000000"/>
              <w:left w:val="single" w:sz="4" w:space="0" w:color="000000"/>
              <w:bottom w:val="single" w:sz="4" w:space="0" w:color="000000"/>
              <w:right w:val="single" w:sz="4" w:space="0" w:color="000000"/>
            </w:tcBorders>
            <w:vAlign w:val="center"/>
          </w:tcPr>
          <w:p w14:paraId="591D27D4" w14:textId="77777777" w:rsidR="00372953" w:rsidRPr="00372953" w:rsidRDefault="00372953" w:rsidP="007E48A3">
            <w:pPr>
              <w:widowControl/>
              <w:jc w:val="center"/>
              <w:textAlignment w:val="center"/>
              <w:rPr>
                <w:sz w:val="18"/>
                <w:szCs w:val="18"/>
              </w:rPr>
            </w:pPr>
            <w:r w:rsidRPr="00372953">
              <w:rPr>
                <w:kern w:val="0"/>
                <w:sz w:val="18"/>
                <w:szCs w:val="18"/>
                <w:lang w:bidi="ar"/>
              </w:rPr>
              <w:t>县级</w:t>
            </w:r>
          </w:p>
        </w:tc>
        <w:tc>
          <w:tcPr>
            <w:tcW w:w="0" w:type="auto"/>
            <w:tcBorders>
              <w:top w:val="single" w:sz="4" w:space="0" w:color="000000"/>
              <w:left w:val="single" w:sz="4" w:space="0" w:color="000000"/>
              <w:bottom w:val="single" w:sz="4" w:space="0" w:color="000000"/>
              <w:right w:val="single" w:sz="4" w:space="0" w:color="000000"/>
            </w:tcBorders>
            <w:vAlign w:val="center"/>
          </w:tcPr>
          <w:p w14:paraId="4E8DE295" w14:textId="77777777" w:rsidR="00372953" w:rsidRPr="00372953" w:rsidRDefault="00372953" w:rsidP="007E48A3">
            <w:pPr>
              <w:widowControl/>
              <w:jc w:val="center"/>
              <w:textAlignment w:val="center"/>
              <w:rPr>
                <w:sz w:val="18"/>
                <w:szCs w:val="18"/>
              </w:rPr>
            </w:pPr>
            <w:r w:rsidRPr="00372953">
              <w:rPr>
                <w:kern w:val="0"/>
                <w:sz w:val="18"/>
                <w:szCs w:val="18"/>
                <w:lang w:bidi="ar"/>
              </w:rPr>
              <w:t>在用</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43A3D8E" w14:textId="77777777" w:rsidR="00372953" w:rsidRPr="00372953" w:rsidRDefault="00372953" w:rsidP="007E48A3">
            <w:pPr>
              <w:widowControl/>
              <w:jc w:val="center"/>
              <w:textAlignment w:val="center"/>
              <w:rPr>
                <w:sz w:val="18"/>
                <w:szCs w:val="18"/>
              </w:rPr>
            </w:pPr>
            <w:r w:rsidRPr="00372953">
              <w:rPr>
                <w:kern w:val="0"/>
                <w:sz w:val="18"/>
                <w:szCs w:val="18"/>
                <w:lang w:bidi="ar"/>
              </w:rPr>
              <w:t>2014</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95838BE" w14:textId="77777777" w:rsidR="00372953" w:rsidRPr="00372953" w:rsidRDefault="00372953" w:rsidP="007E48A3">
            <w:pPr>
              <w:widowControl/>
              <w:jc w:val="center"/>
              <w:textAlignment w:val="center"/>
              <w:rPr>
                <w:sz w:val="18"/>
                <w:szCs w:val="18"/>
              </w:rPr>
            </w:pPr>
            <w:r w:rsidRPr="00372953">
              <w:rPr>
                <w:kern w:val="0"/>
                <w:sz w:val="18"/>
                <w:szCs w:val="18"/>
                <w:lang w:bidi="ar"/>
              </w:rPr>
              <w:t>2015</w:t>
            </w:r>
          </w:p>
        </w:tc>
        <w:tc>
          <w:tcPr>
            <w:tcW w:w="0" w:type="auto"/>
            <w:tcBorders>
              <w:top w:val="single" w:sz="4" w:space="0" w:color="000000"/>
              <w:left w:val="single" w:sz="4" w:space="0" w:color="000000"/>
              <w:bottom w:val="single" w:sz="4" w:space="0" w:color="000000"/>
              <w:right w:val="single" w:sz="4" w:space="0" w:color="000000"/>
            </w:tcBorders>
            <w:vAlign w:val="center"/>
          </w:tcPr>
          <w:p w14:paraId="0885A7CB" w14:textId="77777777" w:rsidR="00372953" w:rsidRPr="00372953" w:rsidRDefault="00372953" w:rsidP="007E48A3">
            <w:pPr>
              <w:widowControl/>
              <w:jc w:val="center"/>
              <w:textAlignment w:val="center"/>
              <w:rPr>
                <w:sz w:val="18"/>
                <w:szCs w:val="18"/>
              </w:rPr>
            </w:pPr>
            <w:r w:rsidRPr="00372953">
              <w:rPr>
                <w:kern w:val="0"/>
                <w:sz w:val="18"/>
                <w:szCs w:val="18"/>
                <w:lang w:bidi="ar"/>
              </w:rPr>
              <w:t>38430</w:t>
            </w:r>
          </w:p>
        </w:tc>
        <w:tc>
          <w:tcPr>
            <w:tcW w:w="0" w:type="auto"/>
            <w:tcBorders>
              <w:top w:val="single" w:sz="4" w:space="0" w:color="000000"/>
              <w:left w:val="single" w:sz="4" w:space="0" w:color="000000"/>
              <w:bottom w:val="single" w:sz="4" w:space="0" w:color="000000"/>
              <w:right w:val="single" w:sz="4" w:space="0" w:color="000000"/>
            </w:tcBorders>
            <w:vAlign w:val="center"/>
          </w:tcPr>
          <w:p w14:paraId="0A82D743" w14:textId="77777777" w:rsidR="00372953" w:rsidRPr="00372953" w:rsidRDefault="00372953" w:rsidP="007E48A3">
            <w:pPr>
              <w:widowControl/>
              <w:jc w:val="center"/>
              <w:textAlignment w:val="center"/>
              <w:rPr>
                <w:sz w:val="18"/>
                <w:szCs w:val="18"/>
              </w:rPr>
            </w:pPr>
            <w:r w:rsidRPr="00372953">
              <w:rPr>
                <w:kern w:val="0"/>
                <w:sz w:val="18"/>
                <w:szCs w:val="18"/>
                <w:lang w:bidi="ar"/>
              </w:rPr>
              <w:t>5000</w:t>
            </w:r>
          </w:p>
        </w:tc>
        <w:tc>
          <w:tcPr>
            <w:tcW w:w="0" w:type="auto"/>
            <w:tcBorders>
              <w:top w:val="single" w:sz="4" w:space="0" w:color="000000"/>
              <w:left w:val="single" w:sz="4" w:space="0" w:color="000000"/>
              <w:bottom w:val="single" w:sz="4" w:space="0" w:color="000000"/>
              <w:right w:val="single" w:sz="4" w:space="0" w:color="000000"/>
            </w:tcBorders>
            <w:vAlign w:val="center"/>
          </w:tcPr>
          <w:p w14:paraId="5888E7E0" w14:textId="77777777" w:rsidR="00372953" w:rsidRPr="00372953" w:rsidRDefault="00372953" w:rsidP="007E48A3">
            <w:pPr>
              <w:widowControl/>
              <w:jc w:val="center"/>
              <w:textAlignment w:val="center"/>
              <w:rPr>
                <w:sz w:val="18"/>
                <w:szCs w:val="18"/>
              </w:rPr>
            </w:pPr>
            <w:r w:rsidRPr="00372953">
              <w:rPr>
                <w:kern w:val="0"/>
                <w:sz w:val="18"/>
                <w:szCs w:val="18"/>
                <w:lang w:bidi="ar"/>
              </w:rPr>
              <w:t>124.2</w:t>
            </w:r>
          </w:p>
        </w:tc>
        <w:tc>
          <w:tcPr>
            <w:tcW w:w="0" w:type="auto"/>
            <w:tcBorders>
              <w:top w:val="single" w:sz="4" w:space="0" w:color="000000"/>
              <w:left w:val="single" w:sz="4" w:space="0" w:color="000000"/>
              <w:bottom w:val="single" w:sz="4" w:space="0" w:color="000000"/>
              <w:right w:val="single" w:sz="4" w:space="0" w:color="000000"/>
            </w:tcBorders>
            <w:vAlign w:val="center"/>
          </w:tcPr>
          <w:p w14:paraId="1734619B" w14:textId="77777777" w:rsidR="00372953" w:rsidRPr="00372953" w:rsidRDefault="00372953" w:rsidP="007E48A3">
            <w:pPr>
              <w:widowControl/>
              <w:jc w:val="center"/>
              <w:textAlignment w:val="center"/>
              <w:rPr>
                <w:sz w:val="18"/>
                <w:szCs w:val="18"/>
              </w:rPr>
            </w:pPr>
            <w:r w:rsidRPr="00372953">
              <w:rPr>
                <w:kern w:val="0"/>
                <w:sz w:val="18"/>
                <w:szCs w:val="18"/>
                <w:lang w:bidi="ar"/>
              </w:rPr>
              <w:t>已划定</w:t>
            </w:r>
          </w:p>
        </w:tc>
        <w:tc>
          <w:tcPr>
            <w:tcW w:w="0" w:type="auto"/>
            <w:tcBorders>
              <w:top w:val="single" w:sz="4" w:space="0" w:color="000000"/>
              <w:left w:val="single" w:sz="4" w:space="0" w:color="000000"/>
              <w:bottom w:val="single" w:sz="4" w:space="0" w:color="000000"/>
              <w:right w:val="single" w:sz="4" w:space="0" w:color="000000"/>
            </w:tcBorders>
            <w:vAlign w:val="center"/>
          </w:tcPr>
          <w:p w14:paraId="4F9139FF" w14:textId="77777777" w:rsidR="00372953" w:rsidRPr="00372953" w:rsidRDefault="00372953" w:rsidP="007E48A3">
            <w:pPr>
              <w:widowControl/>
              <w:jc w:val="center"/>
              <w:textAlignment w:val="center"/>
              <w:rPr>
                <w:sz w:val="18"/>
                <w:szCs w:val="18"/>
              </w:rPr>
            </w:pPr>
            <w:r w:rsidRPr="00372953">
              <w:rPr>
                <w:kern w:val="0"/>
                <w:sz w:val="18"/>
                <w:szCs w:val="18"/>
                <w:lang w:bidi="ar"/>
              </w:rPr>
              <w:t>青政函〔</w:t>
            </w:r>
            <w:r w:rsidRPr="00372953">
              <w:rPr>
                <w:kern w:val="0"/>
                <w:sz w:val="18"/>
                <w:szCs w:val="18"/>
                <w:lang w:bidi="ar"/>
              </w:rPr>
              <w:t>2019</w:t>
            </w:r>
            <w:r w:rsidRPr="00372953">
              <w:rPr>
                <w:kern w:val="0"/>
                <w:sz w:val="18"/>
                <w:szCs w:val="18"/>
                <w:lang w:bidi="ar"/>
              </w:rPr>
              <w:t>〕</w:t>
            </w:r>
            <w:r w:rsidRPr="00372953">
              <w:rPr>
                <w:kern w:val="0"/>
                <w:sz w:val="18"/>
                <w:szCs w:val="18"/>
                <w:lang w:bidi="ar"/>
              </w:rPr>
              <w:t>1</w:t>
            </w:r>
            <w:r w:rsidRPr="00372953">
              <w:rPr>
                <w:kern w:val="0"/>
                <w:sz w:val="18"/>
                <w:szCs w:val="18"/>
                <w:lang w:bidi="ar"/>
              </w:rPr>
              <w:t>号</w:t>
            </w:r>
          </w:p>
        </w:tc>
        <w:tc>
          <w:tcPr>
            <w:tcW w:w="0" w:type="auto"/>
            <w:tcBorders>
              <w:top w:val="single" w:sz="4" w:space="0" w:color="000000"/>
              <w:left w:val="single" w:sz="4" w:space="0" w:color="000000"/>
              <w:bottom w:val="single" w:sz="4" w:space="0" w:color="000000"/>
              <w:right w:val="single" w:sz="4" w:space="0" w:color="000000"/>
            </w:tcBorders>
            <w:vAlign w:val="center"/>
          </w:tcPr>
          <w:p w14:paraId="116AB871" w14:textId="77777777" w:rsidR="00372953" w:rsidRPr="00372953" w:rsidRDefault="00372953" w:rsidP="007E48A3">
            <w:pPr>
              <w:widowControl/>
              <w:jc w:val="center"/>
              <w:textAlignment w:val="center"/>
              <w:rPr>
                <w:sz w:val="18"/>
                <w:szCs w:val="18"/>
              </w:rPr>
            </w:pPr>
            <w:r w:rsidRPr="00372953">
              <w:rPr>
                <w:kern w:val="0"/>
                <w:sz w:val="18"/>
                <w:szCs w:val="18"/>
                <w:lang w:bidi="ar"/>
              </w:rPr>
              <w:t>否</w:t>
            </w:r>
          </w:p>
        </w:tc>
      </w:tr>
      <w:tr w:rsidR="00372953" w:rsidRPr="00372953" w14:paraId="2AB9A1C9" w14:textId="77777777" w:rsidTr="007E48A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1A9EB2B1" w14:textId="77777777" w:rsidR="00372953" w:rsidRPr="00372953" w:rsidRDefault="00372953" w:rsidP="007E48A3">
            <w:pPr>
              <w:widowControl/>
              <w:jc w:val="center"/>
              <w:textAlignment w:val="center"/>
              <w:rPr>
                <w:kern w:val="0"/>
                <w:sz w:val="18"/>
                <w:szCs w:val="18"/>
                <w:lang w:bidi="ar"/>
              </w:rPr>
            </w:pPr>
            <w:r w:rsidRPr="00372953">
              <w:rPr>
                <w:kern w:val="0"/>
                <w:sz w:val="18"/>
                <w:szCs w:val="18"/>
                <w:lang w:bidi="ar"/>
              </w:rPr>
              <w:t>4</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539E3B3" w14:textId="77777777" w:rsidR="00372953" w:rsidRPr="00372953" w:rsidRDefault="00372953" w:rsidP="007E48A3">
            <w:pPr>
              <w:widowControl/>
              <w:jc w:val="center"/>
              <w:textAlignment w:val="center"/>
              <w:rPr>
                <w:sz w:val="18"/>
                <w:szCs w:val="18"/>
              </w:rPr>
            </w:pPr>
            <w:r w:rsidRPr="00372953">
              <w:rPr>
                <w:kern w:val="0"/>
                <w:sz w:val="18"/>
                <w:szCs w:val="18"/>
                <w:lang w:bidi="ar"/>
              </w:rPr>
              <w:t>兴海县</w:t>
            </w:r>
          </w:p>
        </w:tc>
        <w:tc>
          <w:tcPr>
            <w:tcW w:w="0" w:type="auto"/>
            <w:tcBorders>
              <w:top w:val="single" w:sz="4" w:space="0" w:color="000000"/>
              <w:left w:val="single" w:sz="4" w:space="0" w:color="000000"/>
              <w:bottom w:val="single" w:sz="4" w:space="0" w:color="000000"/>
              <w:right w:val="single" w:sz="4" w:space="0" w:color="000000"/>
            </w:tcBorders>
            <w:vAlign w:val="center"/>
          </w:tcPr>
          <w:p w14:paraId="28E13B19" w14:textId="77777777" w:rsidR="00372953" w:rsidRPr="00372953" w:rsidRDefault="00372953" w:rsidP="007E48A3">
            <w:pPr>
              <w:widowControl/>
              <w:jc w:val="center"/>
              <w:textAlignment w:val="center"/>
              <w:rPr>
                <w:sz w:val="18"/>
                <w:szCs w:val="18"/>
              </w:rPr>
            </w:pPr>
            <w:r w:rsidRPr="00372953">
              <w:rPr>
                <w:kern w:val="0"/>
                <w:sz w:val="18"/>
                <w:szCs w:val="18"/>
                <w:lang w:bidi="ar"/>
              </w:rPr>
              <w:t>龙曲沟水源地</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3A4E53A" w14:textId="77777777" w:rsidR="00372953" w:rsidRPr="00372953" w:rsidRDefault="00372953" w:rsidP="007E48A3">
            <w:pPr>
              <w:widowControl/>
              <w:jc w:val="center"/>
              <w:textAlignment w:val="center"/>
              <w:rPr>
                <w:sz w:val="18"/>
                <w:szCs w:val="18"/>
              </w:rPr>
            </w:pPr>
            <w:r w:rsidRPr="00372953">
              <w:rPr>
                <w:kern w:val="0"/>
                <w:sz w:val="18"/>
                <w:szCs w:val="18"/>
                <w:lang w:bidi="ar"/>
              </w:rPr>
              <w:t>河流型</w:t>
            </w:r>
          </w:p>
        </w:tc>
        <w:tc>
          <w:tcPr>
            <w:tcW w:w="0" w:type="auto"/>
            <w:tcBorders>
              <w:top w:val="single" w:sz="4" w:space="0" w:color="000000"/>
              <w:left w:val="single" w:sz="4" w:space="0" w:color="000000"/>
              <w:bottom w:val="single" w:sz="4" w:space="0" w:color="000000"/>
              <w:right w:val="single" w:sz="4" w:space="0" w:color="000000"/>
            </w:tcBorders>
            <w:vAlign w:val="center"/>
          </w:tcPr>
          <w:p w14:paraId="47FAD649" w14:textId="77777777" w:rsidR="00372953" w:rsidRPr="00372953" w:rsidRDefault="00372953" w:rsidP="007E48A3">
            <w:pPr>
              <w:widowControl/>
              <w:jc w:val="center"/>
              <w:textAlignment w:val="center"/>
              <w:rPr>
                <w:sz w:val="18"/>
                <w:szCs w:val="18"/>
              </w:rPr>
            </w:pPr>
            <w:r w:rsidRPr="00372953">
              <w:rPr>
                <w:kern w:val="0"/>
                <w:sz w:val="18"/>
                <w:szCs w:val="18"/>
                <w:lang w:bidi="ar"/>
              </w:rPr>
              <w:t>县级</w:t>
            </w:r>
          </w:p>
        </w:tc>
        <w:tc>
          <w:tcPr>
            <w:tcW w:w="0" w:type="auto"/>
            <w:tcBorders>
              <w:top w:val="single" w:sz="4" w:space="0" w:color="000000"/>
              <w:left w:val="single" w:sz="4" w:space="0" w:color="000000"/>
              <w:bottom w:val="single" w:sz="4" w:space="0" w:color="000000"/>
              <w:right w:val="single" w:sz="4" w:space="0" w:color="000000"/>
            </w:tcBorders>
            <w:vAlign w:val="center"/>
          </w:tcPr>
          <w:p w14:paraId="7CFB7DCA" w14:textId="77777777" w:rsidR="00372953" w:rsidRPr="00372953" w:rsidRDefault="00372953" w:rsidP="007E48A3">
            <w:pPr>
              <w:widowControl/>
              <w:jc w:val="center"/>
              <w:textAlignment w:val="center"/>
              <w:rPr>
                <w:sz w:val="18"/>
                <w:szCs w:val="18"/>
              </w:rPr>
            </w:pPr>
            <w:r w:rsidRPr="00372953">
              <w:rPr>
                <w:kern w:val="0"/>
                <w:sz w:val="18"/>
                <w:szCs w:val="18"/>
                <w:lang w:bidi="ar"/>
              </w:rPr>
              <w:t>备用</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715B554" w14:textId="77777777" w:rsidR="00372953" w:rsidRPr="00372953" w:rsidRDefault="00372953" w:rsidP="007E48A3">
            <w:pPr>
              <w:widowControl/>
              <w:jc w:val="center"/>
              <w:textAlignment w:val="center"/>
              <w:rPr>
                <w:sz w:val="18"/>
                <w:szCs w:val="18"/>
              </w:rPr>
            </w:pPr>
            <w:r w:rsidRPr="00372953">
              <w:rPr>
                <w:kern w:val="0"/>
                <w:sz w:val="18"/>
                <w:szCs w:val="18"/>
                <w:lang w:bidi="ar"/>
              </w:rPr>
              <w:t>1986</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6DA3699" w14:textId="77777777" w:rsidR="00372953" w:rsidRPr="00372953" w:rsidRDefault="00372953" w:rsidP="007E48A3">
            <w:pPr>
              <w:widowControl/>
              <w:jc w:val="center"/>
              <w:textAlignment w:val="center"/>
              <w:rPr>
                <w:sz w:val="18"/>
                <w:szCs w:val="18"/>
              </w:rPr>
            </w:pPr>
            <w:r w:rsidRPr="00372953">
              <w:rPr>
                <w:kern w:val="0"/>
                <w:sz w:val="18"/>
                <w:szCs w:val="18"/>
                <w:lang w:bidi="ar"/>
              </w:rPr>
              <w:t>1986</w:t>
            </w:r>
          </w:p>
        </w:tc>
        <w:tc>
          <w:tcPr>
            <w:tcW w:w="0" w:type="auto"/>
            <w:tcBorders>
              <w:top w:val="single" w:sz="4" w:space="0" w:color="000000"/>
              <w:left w:val="single" w:sz="4" w:space="0" w:color="000000"/>
              <w:bottom w:val="single" w:sz="4" w:space="0" w:color="000000"/>
              <w:right w:val="single" w:sz="4" w:space="0" w:color="000000"/>
            </w:tcBorders>
            <w:vAlign w:val="center"/>
          </w:tcPr>
          <w:p w14:paraId="2C6D78AE" w14:textId="77777777" w:rsidR="00372953" w:rsidRPr="00372953" w:rsidRDefault="00372953" w:rsidP="007E48A3">
            <w:pPr>
              <w:widowControl/>
              <w:jc w:val="center"/>
              <w:textAlignment w:val="center"/>
              <w:rPr>
                <w:sz w:val="18"/>
                <w:szCs w:val="18"/>
              </w:rPr>
            </w:pPr>
            <w:r w:rsidRPr="00372953">
              <w:rPr>
                <w:kern w:val="0"/>
                <w:sz w:val="18"/>
                <w:szCs w:val="18"/>
                <w:lang w:bidi="ar"/>
              </w:rPr>
              <w:t>14000</w:t>
            </w:r>
          </w:p>
        </w:tc>
        <w:tc>
          <w:tcPr>
            <w:tcW w:w="0" w:type="auto"/>
            <w:tcBorders>
              <w:top w:val="single" w:sz="4" w:space="0" w:color="000000"/>
              <w:left w:val="single" w:sz="4" w:space="0" w:color="000000"/>
              <w:bottom w:val="single" w:sz="4" w:space="0" w:color="000000"/>
              <w:right w:val="single" w:sz="4" w:space="0" w:color="000000"/>
            </w:tcBorders>
            <w:vAlign w:val="center"/>
          </w:tcPr>
          <w:p w14:paraId="7EBB70AA" w14:textId="77777777" w:rsidR="00372953" w:rsidRPr="00372953" w:rsidRDefault="00372953" w:rsidP="007E48A3">
            <w:pPr>
              <w:widowControl/>
              <w:jc w:val="center"/>
              <w:textAlignment w:val="center"/>
              <w:rPr>
                <w:sz w:val="18"/>
                <w:szCs w:val="18"/>
              </w:rPr>
            </w:pPr>
            <w:r w:rsidRPr="00372953">
              <w:rPr>
                <w:kern w:val="0"/>
                <w:sz w:val="18"/>
                <w:szCs w:val="18"/>
                <w:lang w:bidi="ar"/>
              </w:rPr>
              <w:t>2700</w:t>
            </w:r>
          </w:p>
        </w:tc>
        <w:tc>
          <w:tcPr>
            <w:tcW w:w="0" w:type="auto"/>
            <w:tcBorders>
              <w:top w:val="single" w:sz="4" w:space="0" w:color="000000"/>
              <w:left w:val="single" w:sz="4" w:space="0" w:color="000000"/>
              <w:bottom w:val="single" w:sz="4" w:space="0" w:color="000000"/>
              <w:right w:val="single" w:sz="4" w:space="0" w:color="000000"/>
            </w:tcBorders>
            <w:vAlign w:val="center"/>
          </w:tcPr>
          <w:p w14:paraId="77DE3891" w14:textId="77777777" w:rsidR="00372953" w:rsidRPr="00372953" w:rsidRDefault="00372953" w:rsidP="007E48A3">
            <w:pPr>
              <w:widowControl/>
              <w:jc w:val="center"/>
              <w:textAlignment w:val="center"/>
              <w:rPr>
                <w:sz w:val="18"/>
                <w:szCs w:val="18"/>
              </w:rPr>
            </w:pPr>
            <w:r w:rsidRPr="00372953">
              <w:rPr>
                <w:kern w:val="0"/>
                <w:sz w:val="18"/>
                <w:szCs w:val="18"/>
                <w:lang w:bidi="ar"/>
              </w:rPr>
              <w:t>0</w:t>
            </w:r>
          </w:p>
        </w:tc>
        <w:tc>
          <w:tcPr>
            <w:tcW w:w="0" w:type="auto"/>
            <w:tcBorders>
              <w:top w:val="single" w:sz="4" w:space="0" w:color="000000"/>
              <w:left w:val="single" w:sz="4" w:space="0" w:color="000000"/>
              <w:bottom w:val="single" w:sz="4" w:space="0" w:color="000000"/>
              <w:right w:val="single" w:sz="4" w:space="0" w:color="000000"/>
            </w:tcBorders>
            <w:vAlign w:val="center"/>
          </w:tcPr>
          <w:p w14:paraId="232D1AF9" w14:textId="77777777" w:rsidR="00372953" w:rsidRPr="00372953" w:rsidRDefault="00372953" w:rsidP="007E48A3">
            <w:pPr>
              <w:widowControl/>
              <w:jc w:val="center"/>
              <w:textAlignment w:val="center"/>
              <w:rPr>
                <w:sz w:val="18"/>
                <w:szCs w:val="18"/>
              </w:rPr>
            </w:pPr>
            <w:r w:rsidRPr="00372953">
              <w:rPr>
                <w:kern w:val="0"/>
                <w:sz w:val="18"/>
                <w:szCs w:val="18"/>
                <w:lang w:bidi="ar"/>
              </w:rPr>
              <w:t>已划定</w:t>
            </w:r>
          </w:p>
        </w:tc>
        <w:tc>
          <w:tcPr>
            <w:tcW w:w="0" w:type="auto"/>
            <w:tcBorders>
              <w:top w:val="single" w:sz="4" w:space="0" w:color="000000"/>
              <w:left w:val="single" w:sz="4" w:space="0" w:color="000000"/>
              <w:bottom w:val="single" w:sz="4" w:space="0" w:color="000000"/>
              <w:right w:val="single" w:sz="4" w:space="0" w:color="000000"/>
            </w:tcBorders>
            <w:vAlign w:val="center"/>
          </w:tcPr>
          <w:p w14:paraId="14708585" w14:textId="77777777" w:rsidR="00372953" w:rsidRPr="00372953" w:rsidRDefault="00372953" w:rsidP="007E48A3">
            <w:pPr>
              <w:widowControl/>
              <w:jc w:val="center"/>
              <w:textAlignment w:val="center"/>
              <w:rPr>
                <w:sz w:val="18"/>
                <w:szCs w:val="18"/>
              </w:rPr>
            </w:pPr>
            <w:r w:rsidRPr="00372953">
              <w:rPr>
                <w:kern w:val="0"/>
                <w:sz w:val="18"/>
                <w:szCs w:val="18"/>
                <w:lang w:bidi="ar"/>
              </w:rPr>
              <w:t>青政函〔</w:t>
            </w:r>
            <w:r w:rsidRPr="00372953">
              <w:rPr>
                <w:kern w:val="0"/>
                <w:sz w:val="18"/>
                <w:szCs w:val="18"/>
                <w:lang w:bidi="ar"/>
              </w:rPr>
              <w:t>2011</w:t>
            </w:r>
            <w:r w:rsidRPr="00372953">
              <w:rPr>
                <w:kern w:val="0"/>
                <w:sz w:val="18"/>
                <w:szCs w:val="18"/>
                <w:lang w:bidi="ar"/>
              </w:rPr>
              <w:t>〕</w:t>
            </w:r>
            <w:r w:rsidRPr="00372953">
              <w:rPr>
                <w:kern w:val="0"/>
                <w:sz w:val="18"/>
                <w:szCs w:val="18"/>
                <w:lang w:bidi="ar"/>
              </w:rPr>
              <w:t>19</w:t>
            </w:r>
            <w:r w:rsidRPr="00372953">
              <w:rPr>
                <w:kern w:val="0"/>
                <w:sz w:val="18"/>
                <w:szCs w:val="18"/>
                <w:lang w:bidi="ar"/>
              </w:rPr>
              <w:t>号</w:t>
            </w:r>
          </w:p>
        </w:tc>
        <w:tc>
          <w:tcPr>
            <w:tcW w:w="0" w:type="auto"/>
            <w:tcBorders>
              <w:top w:val="single" w:sz="4" w:space="0" w:color="000000"/>
              <w:left w:val="single" w:sz="4" w:space="0" w:color="000000"/>
              <w:bottom w:val="single" w:sz="4" w:space="0" w:color="000000"/>
              <w:right w:val="single" w:sz="4" w:space="0" w:color="000000"/>
            </w:tcBorders>
            <w:vAlign w:val="center"/>
          </w:tcPr>
          <w:p w14:paraId="3BBF0899" w14:textId="77777777" w:rsidR="00372953" w:rsidRPr="00372953" w:rsidRDefault="00372953" w:rsidP="007E48A3">
            <w:pPr>
              <w:widowControl/>
              <w:jc w:val="center"/>
              <w:textAlignment w:val="center"/>
              <w:rPr>
                <w:sz w:val="18"/>
                <w:szCs w:val="18"/>
              </w:rPr>
            </w:pPr>
            <w:r w:rsidRPr="00372953">
              <w:rPr>
                <w:kern w:val="0"/>
                <w:sz w:val="18"/>
                <w:szCs w:val="18"/>
                <w:lang w:bidi="ar"/>
              </w:rPr>
              <w:t>否</w:t>
            </w:r>
          </w:p>
        </w:tc>
      </w:tr>
      <w:tr w:rsidR="00372953" w:rsidRPr="00372953" w14:paraId="6E6A895B" w14:textId="77777777" w:rsidTr="007E48A3">
        <w:trPr>
          <w:trHeight w:val="270"/>
        </w:trPr>
        <w:tc>
          <w:tcPr>
            <w:tcW w:w="0" w:type="auto"/>
            <w:tcBorders>
              <w:top w:val="single" w:sz="4" w:space="0" w:color="000000"/>
              <w:left w:val="single" w:sz="4" w:space="0" w:color="000000"/>
              <w:bottom w:val="single" w:sz="4" w:space="0" w:color="000000"/>
              <w:right w:val="single" w:sz="4" w:space="0" w:color="000000"/>
            </w:tcBorders>
            <w:vAlign w:val="center"/>
          </w:tcPr>
          <w:p w14:paraId="2E806B72" w14:textId="77777777" w:rsidR="00372953" w:rsidRPr="00372953" w:rsidRDefault="00372953" w:rsidP="007E48A3">
            <w:pPr>
              <w:widowControl/>
              <w:jc w:val="center"/>
              <w:textAlignment w:val="center"/>
              <w:rPr>
                <w:kern w:val="0"/>
                <w:sz w:val="18"/>
                <w:szCs w:val="18"/>
                <w:lang w:bidi="ar"/>
              </w:rPr>
            </w:pPr>
            <w:r w:rsidRPr="00372953">
              <w:rPr>
                <w:kern w:val="0"/>
                <w:sz w:val="18"/>
                <w:szCs w:val="18"/>
                <w:lang w:bidi="ar"/>
              </w:rPr>
              <w:t>5</w:t>
            </w:r>
          </w:p>
        </w:tc>
        <w:tc>
          <w:tcPr>
            <w:tcW w:w="0" w:type="auto"/>
            <w:tcBorders>
              <w:top w:val="single" w:sz="4" w:space="0" w:color="000000"/>
              <w:left w:val="single" w:sz="4" w:space="0" w:color="000000"/>
              <w:bottom w:val="single" w:sz="4" w:space="0" w:color="000000"/>
              <w:right w:val="single" w:sz="4" w:space="0" w:color="000000"/>
            </w:tcBorders>
            <w:vAlign w:val="center"/>
          </w:tcPr>
          <w:p w14:paraId="0FA6BC93" w14:textId="77777777" w:rsidR="00372953" w:rsidRPr="00372953" w:rsidRDefault="00372953" w:rsidP="007E48A3">
            <w:pPr>
              <w:widowControl/>
              <w:jc w:val="center"/>
              <w:textAlignment w:val="center"/>
              <w:rPr>
                <w:sz w:val="18"/>
                <w:szCs w:val="18"/>
              </w:rPr>
            </w:pPr>
            <w:r w:rsidRPr="00372953">
              <w:rPr>
                <w:kern w:val="0"/>
                <w:sz w:val="18"/>
                <w:szCs w:val="18"/>
                <w:lang w:bidi="ar"/>
              </w:rPr>
              <w:t>共和县</w:t>
            </w:r>
          </w:p>
        </w:tc>
        <w:tc>
          <w:tcPr>
            <w:tcW w:w="0" w:type="auto"/>
            <w:tcBorders>
              <w:top w:val="single" w:sz="4" w:space="0" w:color="000000"/>
              <w:left w:val="single" w:sz="4" w:space="0" w:color="000000"/>
              <w:bottom w:val="single" w:sz="4" w:space="0" w:color="000000"/>
              <w:right w:val="single" w:sz="4" w:space="0" w:color="000000"/>
            </w:tcBorders>
            <w:vAlign w:val="center"/>
          </w:tcPr>
          <w:p w14:paraId="0A9D03CF" w14:textId="77777777" w:rsidR="00372953" w:rsidRPr="00372953" w:rsidRDefault="00372953" w:rsidP="007E48A3">
            <w:pPr>
              <w:widowControl/>
              <w:jc w:val="center"/>
              <w:textAlignment w:val="center"/>
              <w:rPr>
                <w:sz w:val="18"/>
                <w:szCs w:val="18"/>
              </w:rPr>
            </w:pPr>
            <w:r w:rsidRPr="00372953">
              <w:rPr>
                <w:kern w:val="0"/>
                <w:sz w:val="18"/>
                <w:szCs w:val="18"/>
                <w:lang w:bidi="ar"/>
              </w:rPr>
              <w:t>切吉水库水源地</w:t>
            </w:r>
          </w:p>
        </w:tc>
        <w:tc>
          <w:tcPr>
            <w:tcW w:w="0" w:type="auto"/>
            <w:tcBorders>
              <w:top w:val="single" w:sz="4" w:space="0" w:color="000000"/>
              <w:left w:val="single" w:sz="4" w:space="0" w:color="000000"/>
              <w:bottom w:val="single" w:sz="4" w:space="0" w:color="000000"/>
              <w:right w:val="single" w:sz="4" w:space="0" w:color="000000"/>
            </w:tcBorders>
            <w:vAlign w:val="center"/>
          </w:tcPr>
          <w:p w14:paraId="44A7DCB6" w14:textId="77777777" w:rsidR="00372953" w:rsidRPr="00372953" w:rsidRDefault="00372953" w:rsidP="007E48A3">
            <w:pPr>
              <w:widowControl/>
              <w:jc w:val="center"/>
              <w:textAlignment w:val="center"/>
              <w:rPr>
                <w:sz w:val="18"/>
                <w:szCs w:val="18"/>
              </w:rPr>
            </w:pPr>
            <w:r w:rsidRPr="00372953">
              <w:rPr>
                <w:kern w:val="0"/>
                <w:sz w:val="18"/>
                <w:szCs w:val="18"/>
                <w:lang w:bidi="ar"/>
              </w:rPr>
              <w:t>地表水</w:t>
            </w:r>
          </w:p>
        </w:tc>
        <w:tc>
          <w:tcPr>
            <w:tcW w:w="0" w:type="auto"/>
            <w:tcBorders>
              <w:top w:val="single" w:sz="4" w:space="0" w:color="000000"/>
              <w:left w:val="single" w:sz="4" w:space="0" w:color="000000"/>
              <w:bottom w:val="single" w:sz="4" w:space="0" w:color="000000"/>
              <w:right w:val="single" w:sz="4" w:space="0" w:color="000000"/>
            </w:tcBorders>
            <w:vAlign w:val="center"/>
          </w:tcPr>
          <w:p w14:paraId="76CB1B04" w14:textId="77777777" w:rsidR="00372953" w:rsidRPr="00372953" w:rsidRDefault="00372953" w:rsidP="007E48A3">
            <w:pPr>
              <w:widowControl/>
              <w:jc w:val="center"/>
              <w:textAlignment w:val="center"/>
              <w:rPr>
                <w:sz w:val="18"/>
                <w:szCs w:val="18"/>
              </w:rPr>
            </w:pPr>
            <w:r w:rsidRPr="00372953">
              <w:rPr>
                <w:kern w:val="0"/>
                <w:sz w:val="18"/>
                <w:szCs w:val="18"/>
                <w:lang w:bidi="ar"/>
              </w:rPr>
              <w:t>乡镇</w:t>
            </w:r>
          </w:p>
        </w:tc>
        <w:tc>
          <w:tcPr>
            <w:tcW w:w="0" w:type="auto"/>
            <w:tcBorders>
              <w:top w:val="single" w:sz="4" w:space="0" w:color="000000"/>
              <w:left w:val="single" w:sz="4" w:space="0" w:color="000000"/>
              <w:bottom w:val="single" w:sz="4" w:space="0" w:color="000000"/>
              <w:right w:val="single" w:sz="4" w:space="0" w:color="000000"/>
            </w:tcBorders>
            <w:vAlign w:val="center"/>
          </w:tcPr>
          <w:p w14:paraId="68D84DAE" w14:textId="77777777" w:rsidR="00372953" w:rsidRPr="00372953" w:rsidRDefault="00372953" w:rsidP="007E48A3">
            <w:pPr>
              <w:widowControl/>
              <w:jc w:val="center"/>
              <w:textAlignment w:val="center"/>
              <w:rPr>
                <w:sz w:val="18"/>
                <w:szCs w:val="18"/>
              </w:rPr>
            </w:pPr>
            <w:r w:rsidRPr="00372953">
              <w:rPr>
                <w:kern w:val="0"/>
                <w:sz w:val="18"/>
                <w:szCs w:val="18"/>
                <w:lang w:bidi="ar"/>
              </w:rPr>
              <w:t>在用</w:t>
            </w:r>
          </w:p>
        </w:tc>
        <w:tc>
          <w:tcPr>
            <w:tcW w:w="0" w:type="auto"/>
            <w:tcBorders>
              <w:top w:val="single" w:sz="4" w:space="0" w:color="000000"/>
              <w:left w:val="single" w:sz="4" w:space="0" w:color="000000"/>
              <w:bottom w:val="single" w:sz="4" w:space="0" w:color="000000"/>
              <w:right w:val="single" w:sz="4" w:space="0" w:color="000000"/>
            </w:tcBorders>
            <w:vAlign w:val="center"/>
          </w:tcPr>
          <w:p w14:paraId="4D28F556" w14:textId="77777777" w:rsidR="00372953" w:rsidRPr="00372953" w:rsidRDefault="00372953" w:rsidP="007E48A3">
            <w:pPr>
              <w:widowControl/>
              <w:jc w:val="center"/>
              <w:textAlignment w:val="center"/>
              <w:rPr>
                <w:sz w:val="18"/>
                <w:szCs w:val="18"/>
              </w:rPr>
            </w:pPr>
            <w:r w:rsidRPr="00372953">
              <w:rPr>
                <w:kern w:val="0"/>
                <w:sz w:val="18"/>
                <w:szCs w:val="18"/>
                <w:lang w:bidi="ar"/>
              </w:rPr>
              <w:t>2010</w:t>
            </w:r>
          </w:p>
        </w:tc>
        <w:tc>
          <w:tcPr>
            <w:tcW w:w="0" w:type="auto"/>
            <w:tcBorders>
              <w:top w:val="single" w:sz="4" w:space="0" w:color="000000"/>
              <w:left w:val="single" w:sz="4" w:space="0" w:color="000000"/>
              <w:bottom w:val="single" w:sz="4" w:space="0" w:color="000000"/>
              <w:right w:val="single" w:sz="4" w:space="0" w:color="000000"/>
            </w:tcBorders>
            <w:vAlign w:val="center"/>
          </w:tcPr>
          <w:p w14:paraId="3758B803" w14:textId="77777777" w:rsidR="00372953" w:rsidRPr="00372953" w:rsidRDefault="00372953" w:rsidP="007E48A3">
            <w:pPr>
              <w:widowControl/>
              <w:jc w:val="center"/>
              <w:textAlignment w:val="center"/>
              <w:rPr>
                <w:sz w:val="18"/>
                <w:szCs w:val="18"/>
              </w:rPr>
            </w:pPr>
            <w:r w:rsidRPr="00372953">
              <w:rPr>
                <w:kern w:val="0"/>
                <w:sz w:val="18"/>
                <w:szCs w:val="18"/>
                <w:lang w:bidi="ar"/>
              </w:rPr>
              <w:t>2010</w:t>
            </w:r>
          </w:p>
        </w:tc>
        <w:tc>
          <w:tcPr>
            <w:tcW w:w="0" w:type="auto"/>
            <w:tcBorders>
              <w:top w:val="single" w:sz="4" w:space="0" w:color="000000"/>
              <w:left w:val="single" w:sz="4" w:space="0" w:color="000000"/>
              <w:bottom w:val="single" w:sz="4" w:space="0" w:color="000000"/>
              <w:right w:val="single" w:sz="4" w:space="0" w:color="000000"/>
            </w:tcBorders>
            <w:vAlign w:val="center"/>
          </w:tcPr>
          <w:p w14:paraId="619827C6" w14:textId="77777777" w:rsidR="00372953" w:rsidRPr="00372953" w:rsidRDefault="00372953" w:rsidP="007E48A3">
            <w:pPr>
              <w:widowControl/>
              <w:jc w:val="center"/>
              <w:textAlignment w:val="center"/>
              <w:rPr>
                <w:sz w:val="18"/>
                <w:szCs w:val="18"/>
              </w:rPr>
            </w:pPr>
            <w:r w:rsidRPr="00372953">
              <w:rPr>
                <w:kern w:val="0"/>
                <w:sz w:val="18"/>
                <w:szCs w:val="18"/>
                <w:lang w:bidi="ar"/>
              </w:rPr>
              <w:t>2937</w:t>
            </w:r>
          </w:p>
        </w:tc>
        <w:tc>
          <w:tcPr>
            <w:tcW w:w="0" w:type="auto"/>
            <w:tcBorders>
              <w:top w:val="single" w:sz="4" w:space="0" w:color="000000"/>
              <w:left w:val="single" w:sz="4" w:space="0" w:color="000000"/>
              <w:bottom w:val="single" w:sz="4" w:space="0" w:color="000000"/>
              <w:right w:val="single" w:sz="4" w:space="0" w:color="000000"/>
            </w:tcBorders>
            <w:vAlign w:val="center"/>
          </w:tcPr>
          <w:p w14:paraId="253ACB38" w14:textId="77777777" w:rsidR="00372953" w:rsidRPr="00372953" w:rsidRDefault="00372953" w:rsidP="007E48A3">
            <w:pPr>
              <w:widowControl/>
              <w:jc w:val="center"/>
              <w:textAlignment w:val="center"/>
              <w:rPr>
                <w:sz w:val="18"/>
                <w:szCs w:val="18"/>
              </w:rPr>
            </w:pPr>
            <w:r w:rsidRPr="00372953">
              <w:rPr>
                <w:kern w:val="0"/>
                <w:sz w:val="18"/>
                <w:szCs w:val="18"/>
                <w:lang w:bidi="ar"/>
              </w:rPr>
              <w:t>536.544</w:t>
            </w:r>
          </w:p>
        </w:tc>
        <w:tc>
          <w:tcPr>
            <w:tcW w:w="0" w:type="auto"/>
            <w:tcBorders>
              <w:top w:val="single" w:sz="4" w:space="0" w:color="000000"/>
              <w:left w:val="single" w:sz="4" w:space="0" w:color="000000"/>
              <w:bottom w:val="single" w:sz="4" w:space="0" w:color="000000"/>
              <w:right w:val="single" w:sz="4" w:space="0" w:color="000000"/>
            </w:tcBorders>
            <w:vAlign w:val="center"/>
          </w:tcPr>
          <w:p w14:paraId="5B92F996" w14:textId="77777777" w:rsidR="00372953" w:rsidRPr="00372953" w:rsidRDefault="00372953" w:rsidP="007E48A3">
            <w:pPr>
              <w:jc w:val="center"/>
              <w:rPr>
                <w:sz w:val="18"/>
                <w:szCs w:val="18"/>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307DCBF4" w14:textId="77777777" w:rsidR="00372953" w:rsidRPr="00372953" w:rsidRDefault="00372953" w:rsidP="007E48A3">
            <w:pPr>
              <w:widowControl/>
              <w:jc w:val="center"/>
              <w:textAlignment w:val="center"/>
              <w:rPr>
                <w:sz w:val="18"/>
                <w:szCs w:val="18"/>
              </w:rPr>
            </w:pPr>
            <w:r w:rsidRPr="00372953">
              <w:rPr>
                <w:kern w:val="0"/>
                <w:sz w:val="18"/>
                <w:szCs w:val="18"/>
                <w:lang w:bidi="ar"/>
              </w:rPr>
              <w:t>未划定</w:t>
            </w:r>
          </w:p>
        </w:tc>
        <w:tc>
          <w:tcPr>
            <w:tcW w:w="0" w:type="auto"/>
            <w:tcBorders>
              <w:top w:val="single" w:sz="4" w:space="0" w:color="000000"/>
              <w:left w:val="single" w:sz="4" w:space="0" w:color="000000"/>
              <w:bottom w:val="single" w:sz="4" w:space="0" w:color="000000"/>
              <w:right w:val="single" w:sz="4" w:space="0" w:color="000000"/>
            </w:tcBorders>
            <w:vAlign w:val="center"/>
          </w:tcPr>
          <w:p w14:paraId="65062F06" w14:textId="77777777" w:rsidR="00372953" w:rsidRPr="00372953" w:rsidRDefault="00372953" w:rsidP="007E48A3">
            <w:pPr>
              <w:widowControl/>
              <w:jc w:val="center"/>
              <w:textAlignment w:val="center"/>
              <w:rPr>
                <w:sz w:val="18"/>
                <w:szCs w:val="18"/>
              </w:rPr>
            </w:pPr>
            <w:r w:rsidRPr="00372953">
              <w:rPr>
                <w:kern w:val="0"/>
                <w:sz w:val="18"/>
                <w:szCs w:val="18"/>
                <w:lang w:bidi="ar"/>
              </w:rPr>
              <w:t>无</w:t>
            </w:r>
          </w:p>
        </w:tc>
        <w:tc>
          <w:tcPr>
            <w:tcW w:w="0" w:type="auto"/>
            <w:tcBorders>
              <w:top w:val="single" w:sz="4" w:space="0" w:color="000000"/>
              <w:left w:val="single" w:sz="4" w:space="0" w:color="000000"/>
              <w:bottom w:val="single" w:sz="4" w:space="0" w:color="000000"/>
              <w:right w:val="single" w:sz="4" w:space="0" w:color="000000"/>
            </w:tcBorders>
            <w:vAlign w:val="center"/>
          </w:tcPr>
          <w:p w14:paraId="3946DBC9" w14:textId="77777777" w:rsidR="00372953" w:rsidRPr="00372953" w:rsidRDefault="00372953" w:rsidP="007E48A3">
            <w:pPr>
              <w:widowControl/>
              <w:jc w:val="center"/>
              <w:textAlignment w:val="center"/>
              <w:rPr>
                <w:sz w:val="18"/>
                <w:szCs w:val="18"/>
              </w:rPr>
            </w:pPr>
            <w:r w:rsidRPr="00372953">
              <w:rPr>
                <w:kern w:val="0"/>
                <w:sz w:val="18"/>
                <w:szCs w:val="18"/>
                <w:lang w:bidi="ar"/>
              </w:rPr>
              <w:t>是</w:t>
            </w:r>
          </w:p>
        </w:tc>
      </w:tr>
      <w:tr w:rsidR="00372953" w:rsidRPr="00372953" w14:paraId="7CC93F9F" w14:textId="77777777" w:rsidTr="007E48A3">
        <w:trPr>
          <w:trHeight w:val="420"/>
        </w:trPr>
        <w:tc>
          <w:tcPr>
            <w:tcW w:w="0" w:type="auto"/>
            <w:tcBorders>
              <w:top w:val="single" w:sz="4" w:space="0" w:color="000000"/>
              <w:left w:val="single" w:sz="4" w:space="0" w:color="000000"/>
              <w:bottom w:val="single" w:sz="4" w:space="0" w:color="000000"/>
              <w:right w:val="single" w:sz="4" w:space="0" w:color="000000"/>
            </w:tcBorders>
            <w:vAlign w:val="center"/>
          </w:tcPr>
          <w:p w14:paraId="08245203" w14:textId="77777777" w:rsidR="00372953" w:rsidRPr="00372953" w:rsidRDefault="00372953" w:rsidP="007E48A3">
            <w:pPr>
              <w:widowControl/>
              <w:jc w:val="center"/>
              <w:textAlignment w:val="center"/>
              <w:rPr>
                <w:kern w:val="0"/>
                <w:sz w:val="18"/>
                <w:szCs w:val="18"/>
                <w:lang w:bidi="ar"/>
              </w:rPr>
            </w:pPr>
            <w:r w:rsidRPr="00372953">
              <w:rPr>
                <w:kern w:val="0"/>
                <w:sz w:val="18"/>
                <w:szCs w:val="18"/>
                <w:lang w:bidi="ar"/>
              </w:rPr>
              <w:t>6</w:t>
            </w:r>
          </w:p>
        </w:tc>
        <w:tc>
          <w:tcPr>
            <w:tcW w:w="0" w:type="auto"/>
            <w:tcBorders>
              <w:top w:val="single" w:sz="4" w:space="0" w:color="000000"/>
              <w:left w:val="single" w:sz="4" w:space="0" w:color="000000"/>
              <w:bottom w:val="single" w:sz="4" w:space="0" w:color="000000"/>
              <w:right w:val="single" w:sz="4" w:space="0" w:color="000000"/>
            </w:tcBorders>
            <w:vAlign w:val="center"/>
          </w:tcPr>
          <w:p w14:paraId="746AEA92" w14:textId="77777777" w:rsidR="00372953" w:rsidRPr="00372953" w:rsidRDefault="00372953" w:rsidP="007E48A3">
            <w:pPr>
              <w:widowControl/>
              <w:jc w:val="center"/>
              <w:textAlignment w:val="center"/>
              <w:rPr>
                <w:sz w:val="18"/>
                <w:szCs w:val="18"/>
              </w:rPr>
            </w:pPr>
            <w:r w:rsidRPr="00372953">
              <w:rPr>
                <w:kern w:val="0"/>
                <w:sz w:val="18"/>
                <w:szCs w:val="18"/>
                <w:lang w:bidi="ar"/>
              </w:rPr>
              <w:t>共和县</w:t>
            </w:r>
          </w:p>
        </w:tc>
        <w:tc>
          <w:tcPr>
            <w:tcW w:w="0" w:type="auto"/>
            <w:tcBorders>
              <w:top w:val="single" w:sz="4" w:space="0" w:color="000000"/>
              <w:left w:val="single" w:sz="4" w:space="0" w:color="000000"/>
              <w:bottom w:val="single" w:sz="4" w:space="0" w:color="000000"/>
              <w:right w:val="single" w:sz="4" w:space="0" w:color="000000"/>
            </w:tcBorders>
            <w:vAlign w:val="center"/>
          </w:tcPr>
          <w:p w14:paraId="44B5C6B2" w14:textId="77777777" w:rsidR="00372953" w:rsidRPr="00372953" w:rsidRDefault="00372953" w:rsidP="007E48A3">
            <w:pPr>
              <w:widowControl/>
              <w:jc w:val="center"/>
              <w:textAlignment w:val="center"/>
              <w:rPr>
                <w:sz w:val="18"/>
                <w:szCs w:val="18"/>
              </w:rPr>
            </w:pPr>
            <w:r w:rsidRPr="00372953">
              <w:rPr>
                <w:kern w:val="0"/>
                <w:sz w:val="18"/>
                <w:szCs w:val="18"/>
                <w:lang w:bidi="ar"/>
              </w:rPr>
              <w:t>塔迈村达曲乎</w:t>
            </w:r>
            <w:r w:rsidRPr="00372953">
              <w:rPr>
                <w:kern w:val="0"/>
                <w:sz w:val="18"/>
                <w:szCs w:val="18"/>
                <w:lang w:bidi="ar"/>
              </w:rPr>
              <w:t>3#</w:t>
            </w:r>
            <w:r w:rsidRPr="00372953">
              <w:rPr>
                <w:kern w:val="0"/>
                <w:sz w:val="18"/>
                <w:szCs w:val="18"/>
                <w:lang w:bidi="ar"/>
              </w:rPr>
              <w:t>机井（上）水源地</w:t>
            </w:r>
          </w:p>
        </w:tc>
        <w:tc>
          <w:tcPr>
            <w:tcW w:w="0" w:type="auto"/>
            <w:tcBorders>
              <w:top w:val="single" w:sz="4" w:space="0" w:color="000000"/>
              <w:left w:val="single" w:sz="4" w:space="0" w:color="000000"/>
              <w:bottom w:val="single" w:sz="4" w:space="0" w:color="000000"/>
              <w:right w:val="single" w:sz="4" w:space="0" w:color="000000"/>
            </w:tcBorders>
            <w:vAlign w:val="center"/>
          </w:tcPr>
          <w:p w14:paraId="0C94649F" w14:textId="77777777" w:rsidR="00372953" w:rsidRPr="00372953" w:rsidRDefault="00372953" w:rsidP="007E48A3">
            <w:pPr>
              <w:widowControl/>
              <w:jc w:val="center"/>
              <w:textAlignment w:val="center"/>
              <w:rPr>
                <w:sz w:val="18"/>
                <w:szCs w:val="18"/>
              </w:rPr>
            </w:pPr>
            <w:r w:rsidRPr="00372953">
              <w:rPr>
                <w:kern w:val="0"/>
                <w:sz w:val="18"/>
                <w:szCs w:val="18"/>
                <w:lang w:bidi="ar"/>
              </w:rPr>
              <w:t>地下水</w:t>
            </w:r>
          </w:p>
        </w:tc>
        <w:tc>
          <w:tcPr>
            <w:tcW w:w="0" w:type="auto"/>
            <w:tcBorders>
              <w:top w:val="single" w:sz="4" w:space="0" w:color="000000"/>
              <w:left w:val="single" w:sz="4" w:space="0" w:color="000000"/>
              <w:bottom w:val="single" w:sz="4" w:space="0" w:color="000000"/>
              <w:right w:val="single" w:sz="4" w:space="0" w:color="000000"/>
            </w:tcBorders>
            <w:vAlign w:val="center"/>
          </w:tcPr>
          <w:p w14:paraId="33E4E5F4" w14:textId="77777777" w:rsidR="00372953" w:rsidRPr="00372953" w:rsidRDefault="00372953" w:rsidP="007E48A3">
            <w:pPr>
              <w:widowControl/>
              <w:jc w:val="center"/>
              <w:textAlignment w:val="center"/>
              <w:rPr>
                <w:sz w:val="18"/>
                <w:szCs w:val="18"/>
              </w:rPr>
            </w:pPr>
            <w:r w:rsidRPr="00372953">
              <w:rPr>
                <w:kern w:val="0"/>
                <w:sz w:val="18"/>
                <w:szCs w:val="18"/>
                <w:lang w:bidi="ar"/>
              </w:rPr>
              <w:t>乡镇</w:t>
            </w:r>
          </w:p>
        </w:tc>
        <w:tc>
          <w:tcPr>
            <w:tcW w:w="0" w:type="auto"/>
            <w:tcBorders>
              <w:top w:val="single" w:sz="4" w:space="0" w:color="000000"/>
              <w:left w:val="single" w:sz="4" w:space="0" w:color="000000"/>
              <w:bottom w:val="single" w:sz="4" w:space="0" w:color="000000"/>
              <w:right w:val="single" w:sz="4" w:space="0" w:color="000000"/>
            </w:tcBorders>
            <w:vAlign w:val="center"/>
          </w:tcPr>
          <w:p w14:paraId="6F569256" w14:textId="77777777" w:rsidR="00372953" w:rsidRPr="00372953" w:rsidRDefault="00372953" w:rsidP="007E48A3">
            <w:pPr>
              <w:widowControl/>
              <w:jc w:val="center"/>
              <w:textAlignment w:val="center"/>
              <w:rPr>
                <w:sz w:val="18"/>
                <w:szCs w:val="18"/>
              </w:rPr>
            </w:pPr>
            <w:r w:rsidRPr="00372953">
              <w:rPr>
                <w:kern w:val="0"/>
                <w:sz w:val="18"/>
                <w:szCs w:val="18"/>
                <w:lang w:bidi="ar"/>
              </w:rPr>
              <w:t>在用</w:t>
            </w:r>
          </w:p>
        </w:tc>
        <w:tc>
          <w:tcPr>
            <w:tcW w:w="0" w:type="auto"/>
            <w:tcBorders>
              <w:top w:val="single" w:sz="4" w:space="0" w:color="000000"/>
              <w:left w:val="single" w:sz="4" w:space="0" w:color="000000"/>
              <w:bottom w:val="single" w:sz="4" w:space="0" w:color="000000"/>
              <w:right w:val="single" w:sz="4" w:space="0" w:color="000000"/>
            </w:tcBorders>
            <w:vAlign w:val="center"/>
          </w:tcPr>
          <w:p w14:paraId="6738DF22" w14:textId="77777777" w:rsidR="00372953" w:rsidRPr="00372953" w:rsidRDefault="00372953" w:rsidP="007E48A3">
            <w:pPr>
              <w:widowControl/>
              <w:jc w:val="center"/>
              <w:textAlignment w:val="center"/>
              <w:rPr>
                <w:sz w:val="18"/>
                <w:szCs w:val="18"/>
              </w:rPr>
            </w:pPr>
            <w:r w:rsidRPr="00372953">
              <w:rPr>
                <w:kern w:val="0"/>
                <w:sz w:val="18"/>
                <w:szCs w:val="18"/>
                <w:lang w:bidi="ar"/>
              </w:rPr>
              <w:t>2013</w:t>
            </w:r>
          </w:p>
        </w:tc>
        <w:tc>
          <w:tcPr>
            <w:tcW w:w="0" w:type="auto"/>
            <w:tcBorders>
              <w:top w:val="single" w:sz="4" w:space="0" w:color="000000"/>
              <w:left w:val="single" w:sz="4" w:space="0" w:color="000000"/>
              <w:bottom w:val="single" w:sz="4" w:space="0" w:color="000000"/>
              <w:right w:val="single" w:sz="4" w:space="0" w:color="000000"/>
            </w:tcBorders>
            <w:vAlign w:val="center"/>
          </w:tcPr>
          <w:p w14:paraId="0BD4F8CA" w14:textId="77777777" w:rsidR="00372953" w:rsidRPr="00372953" w:rsidRDefault="00372953" w:rsidP="007E48A3">
            <w:pPr>
              <w:widowControl/>
              <w:jc w:val="center"/>
              <w:textAlignment w:val="center"/>
              <w:rPr>
                <w:sz w:val="18"/>
                <w:szCs w:val="18"/>
              </w:rPr>
            </w:pPr>
            <w:r w:rsidRPr="00372953">
              <w:rPr>
                <w:kern w:val="0"/>
                <w:sz w:val="18"/>
                <w:szCs w:val="18"/>
                <w:lang w:bidi="ar"/>
              </w:rPr>
              <w:t>2013</w:t>
            </w:r>
          </w:p>
        </w:tc>
        <w:tc>
          <w:tcPr>
            <w:tcW w:w="0" w:type="auto"/>
            <w:tcBorders>
              <w:top w:val="single" w:sz="4" w:space="0" w:color="000000"/>
              <w:left w:val="single" w:sz="4" w:space="0" w:color="000000"/>
              <w:bottom w:val="single" w:sz="4" w:space="0" w:color="000000"/>
              <w:right w:val="single" w:sz="4" w:space="0" w:color="000000"/>
            </w:tcBorders>
            <w:vAlign w:val="center"/>
          </w:tcPr>
          <w:p w14:paraId="04592445" w14:textId="77777777" w:rsidR="00372953" w:rsidRPr="00372953" w:rsidRDefault="00372953" w:rsidP="007E48A3">
            <w:pPr>
              <w:widowControl/>
              <w:jc w:val="center"/>
              <w:textAlignment w:val="center"/>
              <w:rPr>
                <w:sz w:val="18"/>
                <w:szCs w:val="18"/>
              </w:rPr>
            </w:pPr>
            <w:r w:rsidRPr="00372953">
              <w:rPr>
                <w:kern w:val="0"/>
                <w:sz w:val="18"/>
                <w:szCs w:val="18"/>
                <w:lang w:bidi="ar"/>
              </w:rPr>
              <w:t>2380</w:t>
            </w:r>
          </w:p>
        </w:tc>
        <w:tc>
          <w:tcPr>
            <w:tcW w:w="0" w:type="auto"/>
            <w:tcBorders>
              <w:top w:val="single" w:sz="4" w:space="0" w:color="000000"/>
              <w:left w:val="single" w:sz="4" w:space="0" w:color="000000"/>
              <w:bottom w:val="single" w:sz="4" w:space="0" w:color="000000"/>
              <w:right w:val="single" w:sz="4" w:space="0" w:color="000000"/>
            </w:tcBorders>
            <w:vAlign w:val="center"/>
          </w:tcPr>
          <w:p w14:paraId="6AD11819" w14:textId="77777777" w:rsidR="00372953" w:rsidRPr="00372953" w:rsidRDefault="00372953" w:rsidP="007E48A3">
            <w:pPr>
              <w:widowControl/>
              <w:jc w:val="center"/>
              <w:textAlignment w:val="center"/>
              <w:rPr>
                <w:sz w:val="18"/>
                <w:szCs w:val="18"/>
              </w:rPr>
            </w:pPr>
            <w:r w:rsidRPr="00372953">
              <w:rPr>
                <w:kern w:val="0"/>
                <w:sz w:val="18"/>
                <w:szCs w:val="18"/>
                <w:lang w:bidi="ar"/>
              </w:rPr>
              <w:t>479.05</w:t>
            </w:r>
          </w:p>
        </w:tc>
        <w:tc>
          <w:tcPr>
            <w:tcW w:w="0" w:type="auto"/>
            <w:tcBorders>
              <w:top w:val="single" w:sz="4" w:space="0" w:color="000000"/>
              <w:left w:val="single" w:sz="4" w:space="0" w:color="000000"/>
              <w:bottom w:val="single" w:sz="4" w:space="0" w:color="000000"/>
              <w:right w:val="single" w:sz="4" w:space="0" w:color="000000"/>
            </w:tcBorders>
            <w:vAlign w:val="center"/>
          </w:tcPr>
          <w:p w14:paraId="7296574A" w14:textId="77777777" w:rsidR="00372953" w:rsidRPr="00372953" w:rsidRDefault="00372953" w:rsidP="007E48A3">
            <w:pPr>
              <w:jc w:val="center"/>
              <w:rPr>
                <w:sz w:val="18"/>
                <w:szCs w:val="18"/>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0C9F946B" w14:textId="77777777" w:rsidR="00372953" w:rsidRPr="00372953" w:rsidRDefault="00372953" w:rsidP="007E48A3">
            <w:pPr>
              <w:widowControl/>
              <w:jc w:val="center"/>
              <w:textAlignment w:val="center"/>
              <w:rPr>
                <w:sz w:val="18"/>
                <w:szCs w:val="18"/>
              </w:rPr>
            </w:pPr>
            <w:r w:rsidRPr="00372953">
              <w:rPr>
                <w:kern w:val="0"/>
                <w:sz w:val="18"/>
                <w:szCs w:val="18"/>
                <w:lang w:bidi="ar"/>
              </w:rPr>
              <w:t>未划定</w:t>
            </w:r>
          </w:p>
        </w:tc>
        <w:tc>
          <w:tcPr>
            <w:tcW w:w="0" w:type="auto"/>
            <w:tcBorders>
              <w:top w:val="single" w:sz="4" w:space="0" w:color="000000"/>
              <w:left w:val="single" w:sz="4" w:space="0" w:color="000000"/>
              <w:bottom w:val="single" w:sz="4" w:space="0" w:color="000000"/>
              <w:right w:val="single" w:sz="4" w:space="0" w:color="000000"/>
            </w:tcBorders>
            <w:vAlign w:val="center"/>
          </w:tcPr>
          <w:p w14:paraId="610D7AF3" w14:textId="77777777" w:rsidR="00372953" w:rsidRPr="00372953" w:rsidRDefault="00372953" w:rsidP="007E48A3">
            <w:pPr>
              <w:widowControl/>
              <w:jc w:val="center"/>
              <w:textAlignment w:val="center"/>
              <w:rPr>
                <w:sz w:val="18"/>
                <w:szCs w:val="18"/>
              </w:rPr>
            </w:pPr>
            <w:r w:rsidRPr="00372953">
              <w:rPr>
                <w:kern w:val="0"/>
                <w:sz w:val="18"/>
                <w:szCs w:val="18"/>
                <w:lang w:bidi="ar"/>
              </w:rPr>
              <w:t>无</w:t>
            </w:r>
          </w:p>
        </w:tc>
        <w:tc>
          <w:tcPr>
            <w:tcW w:w="0" w:type="auto"/>
            <w:tcBorders>
              <w:top w:val="single" w:sz="4" w:space="0" w:color="000000"/>
              <w:left w:val="single" w:sz="4" w:space="0" w:color="000000"/>
              <w:bottom w:val="single" w:sz="4" w:space="0" w:color="000000"/>
              <w:right w:val="single" w:sz="4" w:space="0" w:color="000000"/>
            </w:tcBorders>
            <w:vAlign w:val="center"/>
          </w:tcPr>
          <w:p w14:paraId="5D32B150" w14:textId="77777777" w:rsidR="00372953" w:rsidRPr="00372953" w:rsidRDefault="00372953" w:rsidP="007E48A3">
            <w:pPr>
              <w:widowControl/>
              <w:jc w:val="center"/>
              <w:textAlignment w:val="center"/>
              <w:rPr>
                <w:sz w:val="18"/>
                <w:szCs w:val="18"/>
              </w:rPr>
            </w:pPr>
            <w:r w:rsidRPr="00372953">
              <w:rPr>
                <w:kern w:val="0"/>
                <w:sz w:val="18"/>
                <w:szCs w:val="18"/>
                <w:lang w:bidi="ar"/>
              </w:rPr>
              <w:t>否</w:t>
            </w:r>
          </w:p>
        </w:tc>
      </w:tr>
      <w:tr w:rsidR="00372953" w:rsidRPr="00372953" w14:paraId="0516DE94" w14:textId="77777777" w:rsidTr="007E48A3">
        <w:trPr>
          <w:trHeight w:val="420"/>
        </w:trPr>
        <w:tc>
          <w:tcPr>
            <w:tcW w:w="0" w:type="auto"/>
            <w:tcBorders>
              <w:top w:val="single" w:sz="4" w:space="0" w:color="000000"/>
              <w:left w:val="single" w:sz="4" w:space="0" w:color="000000"/>
              <w:bottom w:val="single" w:sz="4" w:space="0" w:color="000000"/>
              <w:right w:val="single" w:sz="4" w:space="0" w:color="000000"/>
            </w:tcBorders>
            <w:vAlign w:val="center"/>
          </w:tcPr>
          <w:p w14:paraId="4F9AB6BD" w14:textId="77777777" w:rsidR="00372953" w:rsidRPr="00372953" w:rsidRDefault="00372953" w:rsidP="007E48A3">
            <w:pPr>
              <w:widowControl/>
              <w:jc w:val="center"/>
              <w:textAlignment w:val="center"/>
              <w:rPr>
                <w:kern w:val="0"/>
                <w:sz w:val="18"/>
                <w:szCs w:val="18"/>
                <w:lang w:bidi="ar"/>
              </w:rPr>
            </w:pPr>
            <w:r w:rsidRPr="00372953">
              <w:rPr>
                <w:kern w:val="0"/>
                <w:sz w:val="18"/>
                <w:szCs w:val="18"/>
                <w:lang w:bidi="ar"/>
              </w:rPr>
              <w:t>7</w:t>
            </w:r>
          </w:p>
        </w:tc>
        <w:tc>
          <w:tcPr>
            <w:tcW w:w="0" w:type="auto"/>
            <w:tcBorders>
              <w:top w:val="single" w:sz="4" w:space="0" w:color="000000"/>
              <w:left w:val="single" w:sz="4" w:space="0" w:color="000000"/>
              <w:bottom w:val="single" w:sz="4" w:space="0" w:color="000000"/>
              <w:right w:val="single" w:sz="4" w:space="0" w:color="000000"/>
            </w:tcBorders>
            <w:vAlign w:val="center"/>
          </w:tcPr>
          <w:p w14:paraId="7D6153C9" w14:textId="77777777" w:rsidR="00372953" w:rsidRPr="00372953" w:rsidRDefault="00372953" w:rsidP="007E48A3">
            <w:pPr>
              <w:widowControl/>
              <w:jc w:val="center"/>
              <w:textAlignment w:val="center"/>
              <w:rPr>
                <w:sz w:val="18"/>
                <w:szCs w:val="18"/>
              </w:rPr>
            </w:pPr>
            <w:r w:rsidRPr="00372953">
              <w:rPr>
                <w:kern w:val="0"/>
                <w:sz w:val="18"/>
                <w:szCs w:val="18"/>
                <w:lang w:bidi="ar"/>
              </w:rPr>
              <w:t>兴海县</w:t>
            </w:r>
          </w:p>
        </w:tc>
        <w:tc>
          <w:tcPr>
            <w:tcW w:w="0" w:type="auto"/>
            <w:tcBorders>
              <w:top w:val="single" w:sz="4" w:space="0" w:color="000000"/>
              <w:left w:val="single" w:sz="4" w:space="0" w:color="000000"/>
              <w:bottom w:val="single" w:sz="4" w:space="0" w:color="000000"/>
              <w:right w:val="single" w:sz="4" w:space="0" w:color="000000"/>
            </w:tcBorders>
            <w:vAlign w:val="center"/>
          </w:tcPr>
          <w:p w14:paraId="19D85223" w14:textId="77777777" w:rsidR="00372953" w:rsidRPr="00372953" w:rsidRDefault="00372953" w:rsidP="007E48A3">
            <w:pPr>
              <w:widowControl/>
              <w:jc w:val="center"/>
              <w:textAlignment w:val="center"/>
              <w:rPr>
                <w:sz w:val="18"/>
                <w:szCs w:val="18"/>
              </w:rPr>
            </w:pPr>
            <w:r w:rsidRPr="00372953">
              <w:rPr>
                <w:kern w:val="0"/>
                <w:sz w:val="18"/>
                <w:szCs w:val="18"/>
                <w:lang w:bidi="ar"/>
              </w:rPr>
              <w:t>大米滩曲什安河水源地</w:t>
            </w:r>
          </w:p>
        </w:tc>
        <w:tc>
          <w:tcPr>
            <w:tcW w:w="0" w:type="auto"/>
            <w:tcBorders>
              <w:top w:val="single" w:sz="4" w:space="0" w:color="000000"/>
              <w:left w:val="single" w:sz="4" w:space="0" w:color="000000"/>
              <w:bottom w:val="single" w:sz="4" w:space="0" w:color="000000"/>
              <w:right w:val="single" w:sz="4" w:space="0" w:color="000000"/>
            </w:tcBorders>
            <w:vAlign w:val="center"/>
          </w:tcPr>
          <w:p w14:paraId="1AD3D5F8" w14:textId="77777777" w:rsidR="00372953" w:rsidRPr="00372953" w:rsidRDefault="00372953" w:rsidP="007E48A3">
            <w:pPr>
              <w:widowControl/>
              <w:jc w:val="center"/>
              <w:textAlignment w:val="center"/>
              <w:rPr>
                <w:sz w:val="18"/>
                <w:szCs w:val="18"/>
              </w:rPr>
            </w:pPr>
            <w:r w:rsidRPr="00372953">
              <w:rPr>
                <w:kern w:val="0"/>
                <w:sz w:val="18"/>
                <w:szCs w:val="18"/>
                <w:lang w:bidi="ar"/>
              </w:rPr>
              <w:t>河流型</w:t>
            </w:r>
          </w:p>
        </w:tc>
        <w:tc>
          <w:tcPr>
            <w:tcW w:w="0" w:type="auto"/>
            <w:tcBorders>
              <w:top w:val="single" w:sz="4" w:space="0" w:color="000000"/>
              <w:left w:val="single" w:sz="4" w:space="0" w:color="000000"/>
              <w:bottom w:val="single" w:sz="4" w:space="0" w:color="000000"/>
              <w:right w:val="single" w:sz="4" w:space="0" w:color="000000"/>
            </w:tcBorders>
            <w:vAlign w:val="center"/>
          </w:tcPr>
          <w:p w14:paraId="4BC448FC" w14:textId="77777777" w:rsidR="00372953" w:rsidRPr="00372953" w:rsidRDefault="00372953" w:rsidP="007E48A3">
            <w:pPr>
              <w:widowControl/>
              <w:jc w:val="center"/>
              <w:textAlignment w:val="center"/>
              <w:rPr>
                <w:sz w:val="18"/>
                <w:szCs w:val="18"/>
              </w:rPr>
            </w:pPr>
            <w:r w:rsidRPr="00372953">
              <w:rPr>
                <w:kern w:val="0"/>
                <w:sz w:val="18"/>
                <w:szCs w:val="18"/>
                <w:lang w:bidi="ar"/>
              </w:rPr>
              <w:t>乡镇</w:t>
            </w:r>
          </w:p>
        </w:tc>
        <w:tc>
          <w:tcPr>
            <w:tcW w:w="0" w:type="auto"/>
            <w:tcBorders>
              <w:top w:val="single" w:sz="4" w:space="0" w:color="000000"/>
              <w:left w:val="single" w:sz="4" w:space="0" w:color="000000"/>
              <w:bottom w:val="single" w:sz="4" w:space="0" w:color="000000"/>
              <w:right w:val="single" w:sz="4" w:space="0" w:color="000000"/>
            </w:tcBorders>
            <w:vAlign w:val="center"/>
          </w:tcPr>
          <w:p w14:paraId="4430C6BC" w14:textId="77777777" w:rsidR="00372953" w:rsidRPr="00372953" w:rsidRDefault="00372953" w:rsidP="007E48A3">
            <w:pPr>
              <w:widowControl/>
              <w:jc w:val="center"/>
              <w:textAlignment w:val="center"/>
              <w:rPr>
                <w:sz w:val="18"/>
                <w:szCs w:val="18"/>
              </w:rPr>
            </w:pPr>
            <w:r w:rsidRPr="00372953">
              <w:rPr>
                <w:kern w:val="0"/>
                <w:sz w:val="18"/>
                <w:szCs w:val="18"/>
                <w:lang w:bidi="ar"/>
              </w:rPr>
              <w:t>在用</w:t>
            </w:r>
          </w:p>
        </w:tc>
        <w:tc>
          <w:tcPr>
            <w:tcW w:w="0" w:type="auto"/>
            <w:tcBorders>
              <w:top w:val="single" w:sz="4" w:space="0" w:color="000000"/>
              <w:left w:val="single" w:sz="4" w:space="0" w:color="000000"/>
              <w:bottom w:val="single" w:sz="4" w:space="0" w:color="000000"/>
              <w:right w:val="single" w:sz="4" w:space="0" w:color="000000"/>
            </w:tcBorders>
            <w:vAlign w:val="center"/>
          </w:tcPr>
          <w:p w14:paraId="1E44F650" w14:textId="77777777" w:rsidR="00372953" w:rsidRPr="00372953" w:rsidRDefault="00372953" w:rsidP="007E48A3">
            <w:pPr>
              <w:widowControl/>
              <w:jc w:val="center"/>
              <w:textAlignment w:val="center"/>
              <w:rPr>
                <w:sz w:val="18"/>
                <w:szCs w:val="18"/>
              </w:rPr>
            </w:pPr>
            <w:r w:rsidRPr="00372953">
              <w:rPr>
                <w:kern w:val="0"/>
                <w:sz w:val="18"/>
                <w:szCs w:val="18"/>
                <w:lang w:bidi="ar"/>
              </w:rPr>
              <w:t>2014</w:t>
            </w:r>
          </w:p>
        </w:tc>
        <w:tc>
          <w:tcPr>
            <w:tcW w:w="0" w:type="auto"/>
            <w:tcBorders>
              <w:top w:val="single" w:sz="4" w:space="0" w:color="000000"/>
              <w:left w:val="single" w:sz="4" w:space="0" w:color="000000"/>
              <w:bottom w:val="single" w:sz="4" w:space="0" w:color="000000"/>
              <w:right w:val="single" w:sz="4" w:space="0" w:color="000000"/>
            </w:tcBorders>
            <w:vAlign w:val="center"/>
          </w:tcPr>
          <w:p w14:paraId="56AA10A3" w14:textId="77777777" w:rsidR="00372953" w:rsidRPr="00372953" w:rsidRDefault="00372953" w:rsidP="007E48A3">
            <w:pPr>
              <w:widowControl/>
              <w:jc w:val="center"/>
              <w:textAlignment w:val="center"/>
              <w:rPr>
                <w:sz w:val="18"/>
                <w:szCs w:val="18"/>
              </w:rPr>
            </w:pPr>
            <w:r w:rsidRPr="00372953">
              <w:rPr>
                <w:kern w:val="0"/>
                <w:sz w:val="18"/>
                <w:szCs w:val="18"/>
                <w:lang w:bidi="ar"/>
              </w:rPr>
              <w:t>2014</w:t>
            </w:r>
          </w:p>
        </w:tc>
        <w:tc>
          <w:tcPr>
            <w:tcW w:w="0" w:type="auto"/>
            <w:tcBorders>
              <w:top w:val="single" w:sz="4" w:space="0" w:color="000000"/>
              <w:left w:val="single" w:sz="4" w:space="0" w:color="000000"/>
              <w:bottom w:val="single" w:sz="4" w:space="0" w:color="000000"/>
              <w:right w:val="single" w:sz="4" w:space="0" w:color="000000"/>
            </w:tcBorders>
            <w:vAlign w:val="center"/>
          </w:tcPr>
          <w:p w14:paraId="554D122F" w14:textId="77777777" w:rsidR="00372953" w:rsidRPr="00372953" w:rsidRDefault="00372953" w:rsidP="007E48A3">
            <w:pPr>
              <w:widowControl/>
              <w:jc w:val="center"/>
              <w:textAlignment w:val="center"/>
              <w:rPr>
                <w:sz w:val="18"/>
                <w:szCs w:val="18"/>
              </w:rPr>
            </w:pPr>
            <w:r w:rsidRPr="00372953">
              <w:rPr>
                <w:kern w:val="0"/>
                <w:sz w:val="18"/>
                <w:szCs w:val="18"/>
                <w:lang w:bidi="ar"/>
              </w:rPr>
              <w:t>1200</w:t>
            </w:r>
          </w:p>
        </w:tc>
        <w:tc>
          <w:tcPr>
            <w:tcW w:w="0" w:type="auto"/>
            <w:tcBorders>
              <w:top w:val="single" w:sz="4" w:space="0" w:color="000000"/>
              <w:left w:val="single" w:sz="4" w:space="0" w:color="000000"/>
              <w:bottom w:val="single" w:sz="4" w:space="0" w:color="000000"/>
              <w:right w:val="single" w:sz="4" w:space="0" w:color="000000"/>
            </w:tcBorders>
            <w:vAlign w:val="center"/>
          </w:tcPr>
          <w:p w14:paraId="08BF6E2B" w14:textId="77777777" w:rsidR="00372953" w:rsidRPr="00372953" w:rsidRDefault="00372953" w:rsidP="007E48A3">
            <w:pPr>
              <w:widowControl/>
              <w:jc w:val="center"/>
              <w:textAlignment w:val="center"/>
              <w:rPr>
                <w:sz w:val="18"/>
                <w:szCs w:val="18"/>
              </w:rPr>
            </w:pPr>
            <w:r w:rsidRPr="00372953">
              <w:rPr>
                <w:kern w:val="0"/>
                <w:sz w:val="18"/>
                <w:szCs w:val="18"/>
                <w:lang w:bidi="ar"/>
              </w:rPr>
              <w:t>337</w:t>
            </w:r>
          </w:p>
        </w:tc>
        <w:tc>
          <w:tcPr>
            <w:tcW w:w="0" w:type="auto"/>
            <w:tcBorders>
              <w:top w:val="single" w:sz="4" w:space="0" w:color="000000"/>
              <w:left w:val="single" w:sz="4" w:space="0" w:color="000000"/>
              <w:bottom w:val="single" w:sz="4" w:space="0" w:color="000000"/>
              <w:right w:val="single" w:sz="4" w:space="0" w:color="000000"/>
            </w:tcBorders>
            <w:vAlign w:val="center"/>
          </w:tcPr>
          <w:p w14:paraId="32F219F9" w14:textId="77777777" w:rsidR="00372953" w:rsidRPr="00372953" w:rsidRDefault="00372953" w:rsidP="007E48A3">
            <w:pPr>
              <w:widowControl/>
              <w:jc w:val="center"/>
              <w:textAlignment w:val="center"/>
              <w:rPr>
                <w:sz w:val="18"/>
                <w:szCs w:val="18"/>
              </w:rPr>
            </w:pPr>
            <w:r w:rsidRPr="00372953">
              <w:rPr>
                <w:kern w:val="0"/>
                <w:sz w:val="18"/>
                <w:szCs w:val="18"/>
                <w:lang w:bidi="ar"/>
              </w:rPr>
              <w:t>12.13</w:t>
            </w:r>
          </w:p>
        </w:tc>
        <w:tc>
          <w:tcPr>
            <w:tcW w:w="0" w:type="auto"/>
            <w:tcBorders>
              <w:top w:val="single" w:sz="4" w:space="0" w:color="000000"/>
              <w:left w:val="single" w:sz="4" w:space="0" w:color="000000"/>
              <w:bottom w:val="single" w:sz="4" w:space="0" w:color="000000"/>
              <w:right w:val="single" w:sz="4" w:space="0" w:color="000000"/>
            </w:tcBorders>
            <w:vAlign w:val="center"/>
          </w:tcPr>
          <w:p w14:paraId="0CDB41B2" w14:textId="77777777" w:rsidR="00372953" w:rsidRPr="00372953" w:rsidRDefault="00372953" w:rsidP="007E48A3">
            <w:pPr>
              <w:widowControl/>
              <w:jc w:val="center"/>
              <w:textAlignment w:val="center"/>
              <w:rPr>
                <w:sz w:val="18"/>
                <w:szCs w:val="18"/>
              </w:rPr>
            </w:pPr>
            <w:r w:rsidRPr="00372953">
              <w:rPr>
                <w:kern w:val="0"/>
                <w:sz w:val="18"/>
                <w:szCs w:val="18"/>
                <w:lang w:bidi="ar"/>
              </w:rPr>
              <w:t>未划定</w:t>
            </w:r>
          </w:p>
        </w:tc>
        <w:tc>
          <w:tcPr>
            <w:tcW w:w="0" w:type="auto"/>
            <w:tcBorders>
              <w:top w:val="single" w:sz="4" w:space="0" w:color="000000"/>
              <w:left w:val="single" w:sz="4" w:space="0" w:color="000000"/>
              <w:bottom w:val="single" w:sz="4" w:space="0" w:color="000000"/>
              <w:right w:val="single" w:sz="4" w:space="0" w:color="000000"/>
            </w:tcBorders>
            <w:vAlign w:val="center"/>
          </w:tcPr>
          <w:p w14:paraId="52741424" w14:textId="77777777" w:rsidR="00372953" w:rsidRPr="00372953" w:rsidRDefault="00372953" w:rsidP="007E48A3">
            <w:pPr>
              <w:widowControl/>
              <w:jc w:val="center"/>
              <w:textAlignment w:val="center"/>
              <w:rPr>
                <w:sz w:val="18"/>
                <w:szCs w:val="18"/>
              </w:rPr>
            </w:pPr>
            <w:r w:rsidRPr="00372953">
              <w:rPr>
                <w:kern w:val="0"/>
                <w:sz w:val="18"/>
                <w:szCs w:val="18"/>
                <w:lang w:bidi="ar"/>
              </w:rPr>
              <w:t>无</w:t>
            </w:r>
          </w:p>
        </w:tc>
        <w:tc>
          <w:tcPr>
            <w:tcW w:w="0" w:type="auto"/>
            <w:tcBorders>
              <w:top w:val="single" w:sz="4" w:space="0" w:color="000000"/>
              <w:left w:val="single" w:sz="4" w:space="0" w:color="000000"/>
              <w:bottom w:val="single" w:sz="4" w:space="0" w:color="000000"/>
              <w:right w:val="single" w:sz="4" w:space="0" w:color="000000"/>
            </w:tcBorders>
            <w:vAlign w:val="center"/>
          </w:tcPr>
          <w:p w14:paraId="4A35980C" w14:textId="77777777" w:rsidR="00372953" w:rsidRPr="00372953" w:rsidRDefault="00372953" w:rsidP="007E48A3">
            <w:pPr>
              <w:widowControl/>
              <w:jc w:val="center"/>
              <w:textAlignment w:val="center"/>
              <w:rPr>
                <w:sz w:val="18"/>
                <w:szCs w:val="18"/>
              </w:rPr>
            </w:pPr>
            <w:r w:rsidRPr="00372953">
              <w:rPr>
                <w:kern w:val="0"/>
                <w:sz w:val="18"/>
                <w:szCs w:val="18"/>
                <w:lang w:bidi="ar"/>
              </w:rPr>
              <w:t>否</w:t>
            </w:r>
          </w:p>
        </w:tc>
      </w:tr>
      <w:tr w:rsidR="00372953" w:rsidRPr="00372953" w14:paraId="0777D043" w14:textId="77777777" w:rsidTr="007E48A3">
        <w:trPr>
          <w:trHeight w:val="420"/>
        </w:trPr>
        <w:tc>
          <w:tcPr>
            <w:tcW w:w="0" w:type="auto"/>
            <w:tcBorders>
              <w:top w:val="single" w:sz="4" w:space="0" w:color="000000"/>
              <w:left w:val="single" w:sz="4" w:space="0" w:color="000000"/>
              <w:bottom w:val="single" w:sz="4" w:space="0" w:color="000000"/>
              <w:right w:val="single" w:sz="4" w:space="0" w:color="000000"/>
            </w:tcBorders>
            <w:vAlign w:val="center"/>
          </w:tcPr>
          <w:p w14:paraId="59657B8D" w14:textId="77777777" w:rsidR="00372953" w:rsidRPr="00372953" w:rsidRDefault="00372953" w:rsidP="007E48A3">
            <w:pPr>
              <w:widowControl/>
              <w:jc w:val="center"/>
              <w:textAlignment w:val="center"/>
              <w:rPr>
                <w:kern w:val="0"/>
                <w:sz w:val="18"/>
                <w:szCs w:val="18"/>
                <w:lang w:bidi="ar"/>
              </w:rPr>
            </w:pPr>
            <w:r w:rsidRPr="00372953">
              <w:rPr>
                <w:kern w:val="0"/>
                <w:sz w:val="18"/>
                <w:szCs w:val="18"/>
                <w:lang w:bidi="ar"/>
              </w:rPr>
              <w:t>8</w:t>
            </w:r>
          </w:p>
        </w:tc>
        <w:tc>
          <w:tcPr>
            <w:tcW w:w="0" w:type="auto"/>
            <w:tcBorders>
              <w:top w:val="single" w:sz="4" w:space="0" w:color="000000"/>
              <w:left w:val="single" w:sz="4" w:space="0" w:color="000000"/>
              <w:bottom w:val="single" w:sz="4" w:space="0" w:color="000000"/>
              <w:right w:val="single" w:sz="4" w:space="0" w:color="000000"/>
            </w:tcBorders>
            <w:vAlign w:val="center"/>
          </w:tcPr>
          <w:p w14:paraId="2541BB5F" w14:textId="77777777" w:rsidR="00372953" w:rsidRPr="00372953" w:rsidRDefault="00372953" w:rsidP="007E48A3">
            <w:pPr>
              <w:widowControl/>
              <w:jc w:val="center"/>
              <w:textAlignment w:val="center"/>
              <w:rPr>
                <w:sz w:val="18"/>
                <w:szCs w:val="18"/>
              </w:rPr>
            </w:pPr>
            <w:r w:rsidRPr="00372953">
              <w:rPr>
                <w:kern w:val="0"/>
                <w:sz w:val="18"/>
                <w:szCs w:val="18"/>
                <w:lang w:bidi="ar"/>
              </w:rPr>
              <w:t>兴海县</w:t>
            </w:r>
          </w:p>
        </w:tc>
        <w:tc>
          <w:tcPr>
            <w:tcW w:w="0" w:type="auto"/>
            <w:tcBorders>
              <w:top w:val="single" w:sz="4" w:space="0" w:color="000000"/>
              <w:left w:val="single" w:sz="4" w:space="0" w:color="000000"/>
              <w:bottom w:val="single" w:sz="4" w:space="0" w:color="000000"/>
              <w:right w:val="single" w:sz="4" w:space="0" w:color="000000"/>
            </w:tcBorders>
            <w:vAlign w:val="center"/>
          </w:tcPr>
          <w:p w14:paraId="65BDFB9C" w14:textId="77777777" w:rsidR="00372953" w:rsidRPr="00372953" w:rsidRDefault="00372953" w:rsidP="007E48A3">
            <w:pPr>
              <w:widowControl/>
              <w:jc w:val="center"/>
              <w:textAlignment w:val="center"/>
              <w:rPr>
                <w:sz w:val="18"/>
                <w:szCs w:val="18"/>
              </w:rPr>
            </w:pPr>
            <w:r w:rsidRPr="00372953">
              <w:rPr>
                <w:kern w:val="0"/>
                <w:sz w:val="18"/>
                <w:szCs w:val="18"/>
                <w:lang w:bidi="ar"/>
              </w:rPr>
              <w:t>兴海县河卡镇满丈饮用水水源地</w:t>
            </w:r>
          </w:p>
        </w:tc>
        <w:tc>
          <w:tcPr>
            <w:tcW w:w="0" w:type="auto"/>
            <w:tcBorders>
              <w:top w:val="single" w:sz="4" w:space="0" w:color="000000"/>
              <w:left w:val="single" w:sz="4" w:space="0" w:color="000000"/>
              <w:bottom w:val="single" w:sz="4" w:space="0" w:color="000000"/>
              <w:right w:val="single" w:sz="4" w:space="0" w:color="000000"/>
            </w:tcBorders>
            <w:vAlign w:val="center"/>
          </w:tcPr>
          <w:p w14:paraId="446A702E" w14:textId="77777777" w:rsidR="00372953" w:rsidRPr="00372953" w:rsidRDefault="00372953" w:rsidP="007E48A3">
            <w:pPr>
              <w:widowControl/>
              <w:jc w:val="center"/>
              <w:textAlignment w:val="center"/>
              <w:rPr>
                <w:sz w:val="18"/>
                <w:szCs w:val="18"/>
              </w:rPr>
            </w:pPr>
            <w:r w:rsidRPr="00372953">
              <w:rPr>
                <w:kern w:val="0"/>
                <w:sz w:val="18"/>
                <w:szCs w:val="18"/>
                <w:lang w:bidi="ar"/>
              </w:rPr>
              <w:t>河流型</w:t>
            </w:r>
          </w:p>
        </w:tc>
        <w:tc>
          <w:tcPr>
            <w:tcW w:w="0" w:type="auto"/>
            <w:tcBorders>
              <w:top w:val="single" w:sz="4" w:space="0" w:color="000000"/>
              <w:left w:val="single" w:sz="4" w:space="0" w:color="000000"/>
              <w:bottom w:val="single" w:sz="4" w:space="0" w:color="000000"/>
              <w:right w:val="single" w:sz="4" w:space="0" w:color="000000"/>
            </w:tcBorders>
            <w:vAlign w:val="center"/>
          </w:tcPr>
          <w:p w14:paraId="425E6CC0" w14:textId="77777777" w:rsidR="00372953" w:rsidRPr="00372953" w:rsidRDefault="00372953" w:rsidP="007E48A3">
            <w:pPr>
              <w:widowControl/>
              <w:jc w:val="center"/>
              <w:textAlignment w:val="center"/>
              <w:rPr>
                <w:sz w:val="18"/>
                <w:szCs w:val="18"/>
              </w:rPr>
            </w:pPr>
            <w:r w:rsidRPr="00372953">
              <w:rPr>
                <w:kern w:val="0"/>
                <w:sz w:val="18"/>
                <w:szCs w:val="18"/>
                <w:lang w:bidi="ar"/>
              </w:rPr>
              <w:t>乡镇</w:t>
            </w:r>
          </w:p>
        </w:tc>
        <w:tc>
          <w:tcPr>
            <w:tcW w:w="0" w:type="auto"/>
            <w:tcBorders>
              <w:top w:val="single" w:sz="4" w:space="0" w:color="000000"/>
              <w:left w:val="single" w:sz="4" w:space="0" w:color="000000"/>
              <w:bottom w:val="single" w:sz="4" w:space="0" w:color="000000"/>
              <w:right w:val="single" w:sz="4" w:space="0" w:color="000000"/>
            </w:tcBorders>
            <w:vAlign w:val="center"/>
          </w:tcPr>
          <w:p w14:paraId="3B7EEC00" w14:textId="77777777" w:rsidR="00372953" w:rsidRPr="00372953" w:rsidRDefault="00372953" w:rsidP="007E48A3">
            <w:pPr>
              <w:widowControl/>
              <w:jc w:val="center"/>
              <w:textAlignment w:val="center"/>
              <w:rPr>
                <w:sz w:val="18"/>
                <w:szCs w:val="18"/>
              </w:rPr>
            </w:pPr>
            <w:r w:rsidRPr="00372953">
              <w:rPr>
                <w:kern w:val="0"/>
                <w:sz w:val="18"/>
                <w:szCs w:val="18"/>
                <w:lang w:bidi="ar"/>
              </w:rPr>
              <w:t>在用</w:t>
            </w:r>
          </w:p>
        </w:tc>
        <w:tc>
          <w:tcPr>
            <w:tcW w:w="0" w:type="auto"/>
            <w:tcBorders>
              <w:top w:val="single" w:sz="4" w:space="0" w:color="000000"/>
              <w:left w:val="single" w:sz="4" w:space="0" w:color="000000"/>
              <w:bottom w:val="single" w:sz="4" w:space="0" w:color="000000"/>
              <w:right w:val="single" w:sz="4" w:space="0" w:color="000000"/>
            </w:tcBorders>
            <w:vAlign w:val="center"/>
          </w:tcPr>
          <w:p w14:paraId="0F308535" w14:textId="77777777" w:rsidR="00372953" w:rsidRPr="00372953" w:rsidRDefault="00372953" w:rsidP="007E48A3">
            <w:pPr>
              <w:widowControl/>
              <w:jc w:val="center"/>
              <w:textAlignment w:val="center"/>
              <w:rPr>
                <w:sz w:val="18"/>
                <w:szCs w:val="18"/>
              </w:rPr>
            </w:pPr>
            <w:r w:rsidRPr="00372953">
              <w:rPr>
                <w:kern w:val="0"/>
                <w:sz w:val="18"/>
                <w:szCs w:val="18"/>
                <w:lang w:bidi="ar"/>
              </w:rPr>
              <w:t>2012</w:t>
            </w:r>
          </w:p>
        </w:tc>
        <w:tc>
          <w:tcPr>
            <w:tcW w:w="0" w:type="auto"/>
            <w:tcBorders>
              <w:top w:val="single" w:sz="4" w:space="0" w:color="000000"/>
              <w:left w:val="single" w:sz="4" w:space="0" w:color="000000"/>
              <w:bottom w:val="single" w:sz="4" w:space="0" w:color="000000"/>
              <w:right w:val="single" w:sz="4" w:space="0" w:color="000000"/>
            </w:tcBorders>
            <w:vAlign w:val="center"/>
          </w:tcPr>
          <w:p w14:paraId="5373077D" w14:textId="77777777" w:rsidR="00372953" w:rsidRPr="00372953" w:rsidRDefault="00372953" w:rsidP="007E48A3">
            <w:pPr>
              <w:widowControl/>
              <w:jc w:val="center"/>
              <w:textAlignment w:val="center"/>
              <w:rPr>
                <w:sz w:val="18"/>
                <w:szCs w:val="18"/>
              </w:rPr>
            </w:pPr>
            <w:r w:rsidRPr="00372953">
              <w:rPr>
                <w:kern w:val="0"/>
                <w:sz w:val="18"/>
                <w:szCs w:val="18"/>
                <w:lang w:bidi="ar"/>
              </w:rPr>
              <w:t>2012</w:t>
            </w:r>
          </w:p>
        </w:tc>
        <w:tc>
          <w:tcPr>
            <w:tcW w:w="0" w:type="auto"/>
            <w:tcBorders>
              <w:top w:val="single" w:sz="4" w:space="0" w:color="000000"/>
              <w:left w:val="single" w:sz="4" w:space="0" w:color="000000"/>
              <w:bottom w:val="single" w:sz="4" w:space="0" w:color="000000"/>
              <w:right w:val="single" w:sz="4" w:space="0" w:color="000000"/>
            </w:tcBorders>
            <w:vAlign w:val="center"/>
          </w:tcPr>
          <w:p w14:paraId="7EF319F4" w14:textId="77777777" w:rsidR="00372953" w:rsidRPr="00372953" w:rsidRDefault="00372953" w:rsidP="007E48A3">
            <w:pPr>
              <w:widowControl/>
              <w:jc w:val="center"/>
              <w:textAlignment w:val="center"/>
              <w:rPr>
                <w:sz w:val="18"/>
                <w:szCs w:val="18"/>
              </w:rPr>
            </w:pPr>
            <w:r w:rsidRPr="00372953">
              <w:rPr>
                <w:kern w:val="0"/>
                <w:sz w:val="18"/>
                <w:szCs w:val="18"/>
                <w:lang w:bidi="ar"/>
              </w:rPr>
              <w:t>10000</w:t>
            </w:r>
          </w:p>
        </w:tc>
        <w:tc>
          <w:tcPr>
            <w:tcW w:w="0" w:type="auto"/>
            <w:tcBorders>
              <w:top w:val="single" w:sz="4" w:space="0" w:color="000000"/>
              <w:left w:val="single" w:sz="4" w:space="0" w:color="000000"/>
              <w:bottom w:val="single" w:sz="4" w:space="0" w:color="000000"/>
              <w:right w:val="single" w:sz="4" w:space="0" w:color="000000"/>
            </w:tcBorders>
            <w:vAlign w:val="center"/>
          </w:tcPr>
          <w:p w14:paraId="4F3793C9" w14:textId="77777777" w:rsidR="00372953" w:rsidRPr="00372953" w:rsidRDefault="00372953" w:rsidP="007E48A3">
            <w:pPr>
              <w:widowControl/>
              <w:jc w:val="center"/>
              <w:textAlignment w:val="center"/>
              <w:rPr>
                <w:sz w:val="18"/>
                <w:szCs w:val="18"/>
              </w:rPr>
            </w:pPr>
            <w:r w:rsidRPr="00372953">
              <w:rPr>
                <w:kern w:val="0"/>
                <w:sz w:val="18"/>
                <w:szCs w:val="18"/>
                <w:lang w:bidi="ar"/>
              </w:rPr>
              <w:t>1875</w:t>
            </w:r>
          </w:p>
        </w:tc>
        <w:tc>
          <w:tcPr>
            <w:tcW w:w="0" w:type="auto"/>
            <w:tcBorders>
              <w:top w:val="single" w:sz="4" w:space="0" w:color="000000"/>
              <w:left w:val="single" w:sz="4" w:space="0" w:color="000000"/>
              <w:bottom w:val="single" w:sz="4" w:space="0" w:color="000000"/>
              <w:right w:val="single" w:sz="4" w:space="0" w:color="000000"/>
            </w:tcBorders>
            <w:vAlign w:val="center"/>
          </w:tcPr>
          <w:p w14:paraId="222D6076" w14:textId="77777777" w:rsidR="00372953" w:rsidRPr="00372953" w:rsidRDefault="00372953" w:rsidP="007E48A3">
            <w:pPr>
              <w:widowControl/>
              <w:jc w:val="center"/>
              <w:textAlignment w:val="center"/>
              <w:rPr>
                <w:sz w:val="18"/>
                <w:szCs w:val="18"/>
              </w:rPr>
            </w:pPr>
            <w:r w:rsidRPr="00372953">
              <w:rPr>
                <w:kern w:val="0"/>
                <w:sz w:val="18"/>
                <w:szCs w:val="18"/>
                <w:lang w:bidi="ar"/>
              </w:rPr>
              <w:t>68.5</w:t>
            </w:r>
          </w:p>
        </w:tc>
        <w:tc>
          <w:tcPr>
            <w:tcW w:w="0" w:type="auto"/>
            <w:tcBorders>
              <w:top w:val="single" w:sz="4" w:space="0" w:color="000000"/>
              <w:left w:val="single" w:sz="4" w:space="0" w:color="000000"/>
              <w:bottom w:val="single" w:sz="4" w:space="0" w:color="000000"/>
              <w:right w:val="single" w:sz="4" w:space="0" w:color="000000"/>
            </w:tcBorders>
            <w:vAlign w:val="center"/>
          </w:tcPr>
          <w:p w14:paraId="41DA4B8F" w14:textId="77777777" w:rsidR="00372953" w:rsidRPr="00372953" w:rsidRDefault="00372953" w:rsidP="007E48A3">
            <w:pPr>
              <w:widowControl/>
              <w:jc w:val="center"/>
              <w:textAlignment w:val="center"/>
              <w:rPr>
                <w:sz w:val="18"/>
                <w:szCs w:val="18"/>
              </w:rPr>
            </w:pPr>
            <w:r w:rsidRPr="00372953">
              <w:rPr>
                <w:kern w:val="0"/>
                <w:sz w:val="18"/>
                <w:szCs w:val="18"/>
                <w:lang w:bidi="ar"/>
              </w:rPr>
              <w:t>已划定</w:t>
            </w:r>
          </w:p>
        </w:tc>
        <w:tc>
          <w:tcPr>
            <w:tcW w:w="0" w:type="auto"/>
            <w:tcBorders>
              <w:top w:val="single" w:sz="4" w:space="0" w:color="000000"/>
              <w:left w:val="single" w:sz="4" w:space="0" w:color="000000"/>
              <w:bottom w:val="single" w:sz="4" w:space="0" w:color="000000"/>
              <w:right w:val="single" w:sz="4" w:space="0" w:color="000000"/>
            </w:tcBorders>
            <w:vAlign w:val="center"/>
          </w:tcPr>
          <w:p w14:paraId="6E918BBB" w14:textId="77777777" w:rsidR="00372953" w:rsidRPr="00372953" w:rsidRDefault="00372953" w:rsidP="007E48A3">
            <w:pPr>
              <w:widowControl/>
              <w:jc w:val="center"/>
              <w:textAlignment w:val="center"/>
              <w:rPr>
                <w:sz w:val="18"/>
                <w:szCs w:val="18"/>
              </w:rPr>
            </w:pPr>
            <w:r w:rsidRPr="00372953">
              <w:rPr>
                <w:kern w:val="0"/>
                <w:sz w:val="18"/>
                <w:szCs w:val="18"/>
                <w:lang w:bidi="ar"/>
              </w:rPr>
              <w:t>青政函</w:t>
            </w:r>
            <w:r w:rsidRPr="00372953">
              <w:rPr>
                <w:kern w:val="0"/>
                <w:sz w:val="18"/>
                <w:szCs w:val="18"/>
                <w:lang w:bidi="ar"/>
              </w:rPr>
              <w:t>(2020</w:t>
            </w:r>
            <w:r w:rsidRPr="00372953">
              <w:rPr>
                <w:kern w:val="0"/>
                <w:sz w:val="18"/>
                <w:szCs w:val="18"/>
                <w:lang w:bidi="ar"/>
              </w:rPr>
              <w:t>〕</w:t>
            </w:r>
            <w:r w:rsidRPr="00372953">
              <w:rPr>
                <w:kern w:val="0"/>
                <w:sz w:val="18"/>
                <w:szCs w:val="18"/>
                <w:lang w:bidi="ar"/>
              </w:rPr>
              <w:t>103</w:t>
            </w:r>
            <w:r w:rsidRPr="00372953">
              <w:rPr>
                <w:kern w:val="0"/>
                <w:sz w:val="18"/>
                <w:szCs w:val="18"/>
                <w:lang w:bidi="ar"/>
              </w:rPr>
              <w:t>号</w:t>
            </w:r>
          </w:p>
        </w:tc>
        <w:tc>
          <w:tcPr>
            <w:tcW w:w="0" w:type="auto"/>
            <w:tcBorders>
              <w:top w:val="single" w:sz="4" w:space="0" w:color="000000"/>
              <w:left w:val="single" w:sz="4" w:space="0" w:color="000000"/>
              <w:bottom w:val="single" w:sz="4" w:space="0" w:color="000000"/>
              <w:right w:val="single" w:sz="4" w:space="0" w:color="000000"/>
            </w:tcBorders>
            <w:vAlign w:val="center"/>
          </w:tcPr>
          <w:p w14:paraId="60AA7C84" w14:textId="77777777" w:rsidR="00372953" w:rsidRPr="00372953" w:rsidRDefault="00372953" w:rsidP="007E48A3">
            <w:pPr>
              <w:widowControl/>
              <w:jc w:val="center"/>
              <w:textAlignment w:val="center"/>
              <w:rPr>
                <w:sz w:val="18"/>
                <w:szCs w:val="18"/>
              </w:rPr>
            </w:pPr>
            <w:r w:rsidRPr="00372953">
              <w:rPr>
                <w:kern w:val="0"/>
                <w:sz w:val="18"/>
                <w:szCs w:val="18"/>
                <w:lang w:bidi="ar"/>
              </w:rPr>
              <w:t>是</w:t>
            </w:r>
          </w:p>
        </w:tc>
      </w:tr>
      <w:tr w:rsidR="00372953" w:rsidRPr="00372953" w14:paraId="25EAB4A1" w14:textId="77777777" w:rsidTr="007E48A3">
        <w:trPr>
          <w:trHeight w:val="420"/>
        </w:trPr>
        <w:tc>
          <w:tcPr>
            <w:tcW w:w="0" w:type="auto"/>
            <w:tcBorders>
              <w:top w:val="single" w:sz="4" w:space="0" w:color="000000"/>
              <w:left w:val="single" w:sz="4" w:space="0" w:color="000000"/>
              <w:bottom w:val="single" w:sz="4" w:space="0" w:color="000000"/>
              <w:right w:val="single" w:sz="4" w:space="0" w:color="000000"/>
            </w:tcBorders>
            <w:vAlign w:val="center"/>
          </w:tcPr>
          <w:p w14:paraId="1A7D5AEE" w14:textId="77777777" w:rsidR="00372953" w:rsidRPr="00372953" w:rsidRDefault="00372953" w:rsidP="007E48A3">
            <w:pPr>
              <w:widowControl/>
              <w:jc w:val="center"/>
              <w:textAlignment w:val="center"/>
              <w:rPr>
                <w:kern w:val="0"/>
                <w:sz w:val="18"/>
                <w:szCs w:val="18"/>
                <w:lang w:bidi="ar"/>
              </w:rPr>
            </w:pPr>
            <w:r w:rsidRPr="00372953">
              <w:rPr>
                <w:kern w:val="0"/>
                <w:sz w:val="18"/>
                <w:szCs w:val="18"/>
                <w:lang w:bidi="ar"/>
              </w:rPr>
              <w:t>9</w:t>
            </w:r>
          </w:p>
        </w:tc>
        <w:tc>
          <w:tcPr>
            <w:tcW w:w="0" w:type="auto"/>
            <w:tcBorders>
              <w:top w:val="single" w:sz="4" w:space="0" w:color="000000"/>
              <w:left w:val="single" w:sz="4" w:space="0" w:color="000000"/>
              <w:bottom w:val="single" w:sz="4" w:space="0" w:color="000000"/>
              <w:right w:val="single" w:sz="4" w:space="0" w:color="000000"/>
            </w:tcBorders>
            <w:vAlign w:val="center"/>
          </w:tcPr>
          <w:p w14:paraId="561625F7" w14:textId="77777777" w:rsidR="00372953" w:rsidRPr="00372953" w:rsidRDefault="00372953" w:rsidP="007E48A3">
            <w:pPr>
              <w:widowControl/>
              <w:jc w:val="center"/>
              <w:textAlignment w:val="center"/>
              <w:rPr>
                <w:sz w:val="18"/>
                <w:szCs w:val="18"/>
              </w:rPr>
            </w:pPr>
            <w:r w:rsidRPr="00372953">
              <w:rPr>
                <w:kern w:val="0"/>
                <w:sz w:val="18"/>
                <w:szCs w:val="18"/>
                <w:lang w:bidi="ar"/>
              </w:rPr>
              <w:t>兴海县</w:t>
            </w:r>
          </w:p>
        </w:tc>
        <w:tc>
          <w:tcPr>
            <w:tcW w:w="0" w:type="auto"/>
            <w:tcBorders>
              <w:top w:val="single" w:sz="4" w:space="0" w:color="000000"/>
              <w:left w:val="single" w:sz="4" w:space="0" w:color="000000"/>
              <w:bottom w:val="single" w:sz="4" w:space="0" w:color="000000"/>
              <w:right w:val="single" w:sz="4" w:space="0" w:color="000000"/>
            </w:tcBorders>
            <w:vAlign w:val="center"/>
          </w:tcPr>
          <w:p w14:paraId="2ABB55D7" w14:textId="77777777" w:rsidR="00372953" w:rsidRPr="00372953" w:rsidRDefault="00372953" w:rsidP="007E48A3">
            <w:pPr>
              <w:widowControl/>
              <w:jc w:val="center"/>
              <w:textAlignment w:val="center"/>
              <w:rPr>
                <w:sz w:val="18"/>
                <w:szCs w:val="18"/>
              </w:rPr>
            </w:pPr>
            <w:r w:rsidRPr="00372953">
              <w:rPr>
                <w:kern w:val="0"/>
                <w:sz w:val="18"/>
                <w:szCs w:val="18"/>
                <w:lang w:bidi="ar"/>
              </w:rPr>
              <w:t>中铁乡民族村河流型水源地</w:t>
            </w:r>
          </w:p>
        </w:tc>
        <w:tc>
          <w:tcPr>
            <w:tcW w:w="0" w:type="auto"/>
            <w:tcBorders>
              <w:top w:val="single" w:sz="4" w:space="0" w:color="000000"/>
              <w:left w:val="single" w:sz="4" w:space="0" w:color="000000"/>
              <w:bottom w:val="single" w:sz="4" w:space="0" w:color="000000"/>
              <w:right w:val="single" w:sz="4" w:space="0" w:color="000000"/>
            </w:tcBorders>
            <w:vAlign w:val="center"/>
          </w:tcPr>
          <w:p w14:paraId="6FD8DC2A" w14:textId="77777777" w:rsidR="00372953" w:rsidRPr="00372953" w:rsidRDefault="00372953" w:rsidP="007E48A3">
            <w:pPr>
              <w:widowControl/>
              <w:jc w:val="center"/>
              <w:textAlignment w:val="center"/>
              <w:rPr>
                <w:sz w:val="18"/>
                <w:szCs w:val="18"/>
              </w:rPr>
            </w:pPr>
            <w:r w:rsidRPr="00372953">
              <w:rPr>
                <w:kern w:val="0"/>
                <w:sz w:val="18"/>
                <w:szCs w:val="18"/>
                <w:lang w:bidi="ar"/>
              </w:rPr>
              <w:t>河流型</w:t>
            </w:r>
          </w:p>
        </w:tc>
        <w:tc>
          <w:tcPr>
            <w:tcW w:w="0" w:type="auto"/>
            <w:tcBorders>
              <w:top w:val="single" w:sz="4" w:space="0" w:color="000000"/>
              <w:left w:val="single" w:sz="4" w:space="0" w:color="000000"/>
              <w:bottom w:val="single" w:sz="4" w:space="0" w:color="000000"/>
              <w:right w:val="single" w:sz="4" w:space="0" w:color="000000"/>
            </w:tcBorders>
            <w:vAlign w:val="center"/>
          </w:tcPr>
          <w:p w14:paraId="6D8326E6" w14:textId="77777777" w:rsidR="00372953" w:rsidRPr="00372953" w:rsidRDefault="00372953" w:rsidP="007E48A3">
            <w:pPr>
              <w:widowControl/>
              <w:jc w:val="center"/>
              <w:textAlignment w:val="center"/>
              <w:rPr>
                <w:sz w:val="18"/>
                <w:szCs w:val="18"/>
              </w:rPr>
            </w:pPr>
            <w:r w:rsidRPr="00372953">
              <w:rPr>
                <w:kern w:val="0"/>
                <w:sz w:val="18"/>
                <w:szCs w:val="18"/>
                <w:lang w:bidi="ar"/>
              </w:rPr>
              <w:t>乡镇</w:t>
            </w:r>
          </w:p>
        </w:tc>
        <w:tc>
          <w:tcPr>
            <w:tcW w:w="0" w:type="auto"/>
            <w:tcBorders>
              <w:top w:val="single" w:sz="4" w:space="0" w:color="000000"/>
              <w:left w:val="single" w:sz="4" w:space="0" w:color="000000"/>
              <w:bottom w:val="single" w:sz="4" w:space="0" w:color="000000"/>
              <w:right w:val="single" w:sz="4" w:space="0" w:color="000000"/>
            </w:tcBorders>
            <w:vAlign w:val="center"/>
          </w:tcPr>
          <w:p w14:paraId="5B783845" w14:textId="77777777" w:rsidR="00372953" w:rsidRPr="00372953" w:rsidRDefault="00372953" w:rsidP="007E48A3">
            <w:pPr>
              <w:widowControl/>
              <w:jc w:val="center"/>
              <w:textAlignment w:val="center"/>
              <w:rPr>
                <w:sz w:val="18"/>
                <w:szCs w:val="18"/>
              </w:rPr>
            </w:pPr>
            <w:r w:rsidRPr="00372953">
              <w:rPr>
                <w:kern w:val="0"/>
                <w:sz w:val="18"/>
                <w:szCs w:val="18"/>
                <w:lang w:bidi="ar"/>
              </w:rPr>
              <w:t>在用</w:t>
            </w:r>
          </w:p>
        </w:tc>
        <w:tc>
          <w:tcPr>
            <w:tcW w:w="0" w:type="auto"/>
            <w:tcBorders>
              <w:top w:val="single" w:sz="4" w:space="0" w:color="000000"/>
              <w:left w:val="single" w:sz="4" w:space="0" w:color="000000"/>
              <w:bottom w:val="single" w:sz="4" w:space="0" w:color="000000"/>
              <w:right w:val="single" w:sz="4" w:space="0" w:color="000000"/>
            </w:tcBorders>
            <w:vAlign w:val="center"/>
          </w:tcPr>
          <w:p w14:paraId="2E138C81" w14:textId="77777777" w:rsidR="00372953" w:rsidRPr="00372953" w:rsidRDefault="00372953" w:rsidP="007E48A3">
            <w:pPr>
              <w:widowControl/>
              <w:jc w:val="center"/>
              <w:textAlignment w:val="center"/>
              <w:rPr>
                <w:sz w:val="18"/>
                <w:szCs w:val="18"/>
              </w:rPr>
            </w:pPr>
            <w:r w:rsidRPr="00372953">
              <w:rPr>
                <w:kern w:val="0"/>
                <w:sz w:val="18"/>
                <w:szCs w:val="18"/>
                <w:lang w:bidi="ar"/>
              </w:rPr>
              <w:t>2008</w:t>
            </w:r>
          </w:p>
        </w:tc>
        <w:tc>
          <w:tcPr>
            <w:tcW w:w="0" w:type="auto"/>
            <w:tcBorders>
              <w:top w:val="single" w:sz="4" w:space="0" w:color="000000"/>
              <w:left w:val="single" w:sz="4" w:space="0" w:color="000000"/>
              <w:bottom w:val="single" w:sz="4" w:space="0" w:color="000000"/>
              <w:right w:val="single" w:sz="4" w:space="0" w:color="000000"/>
            </w:tcBorders>
            <w:vAlign w:val="center"/>
          </w:tcPr>
          <w:p w14:paraId="3F01F7BF" w14:textId="77777777" w:rsidR="00372953" w:rsidRPr="00372953" w:rsidRDefault="00372953" w:rsidP="007E48A3">
            <w:pPr>
              <w:widowControl/>
              <w:jc w:val="center"/>
              <w:textAlignment w:val="center"/>
              <w:rPr>
                <w:sz w:val="18"/>
                <w:szCs w:val="18"/>
              </w:rPr>
            </w:pPr>
            <w:r w:rsidRPr="00372953">
              <w:rPr>
                <w:kern w:val="0"/>
                <w:sz w:val="18"/>
                <w:szCs w:val="18"/>
                <w:lang w:bidi="ar"/>
              </w:rPr>
              <w:t>2008</w:t>
            </w:r>
          </w:p>
        </w:tc>
        <w:tc>
          <w:tcPr>
            <w:tcW w:w="0" w:type="auto"/>
            <w:tcBorders>
              <w:top w:val="single" w:sz="4" w:space="0" w:color="000000"/>
              <w:left w:val="single" w:sz="4" w:space="0" w:color="000000"/>
              <w:bottom w:val="single" w:sz="4" w:space="0" w:color="000000"/>
              <w:right w:val="single" w:sz="4" w:space="0" w:color="000000"/>
            </w:tcBorders>
            <w:vAlign w:val="center"/>
          </w:tcPr>
          <w:p w14:paraId="498A2DC8" w14:textId="77777777" w:rsidR="00372953" w:rsidRPr="00372953" w:rsidRDefault="00372953" w:rsidP="007E48A3">
            <w:pPr>
              <w:widowControl/>
              <w:jc w:val="center"/>
              <w:textAlignment w:val="center"/>
              <w:rPr>
                <w:sz w:val="18"/>
                <w:szCs w:val="18"/>
              </w:rPr>
            </w:pPr>
            <w:r w:rsidRPr="00372953">
              <w:rPr>
                <w:kern w:val="0"/>
                <w:sz w:val="18"/>
                <w:szCs w:val="18"/>
                <w:lang w:bidi="ar"/>
              </w:rPr>
              <w:t>1608</w:t>
            </w:r>
          </w:p>
        </w:tc>
        <w:tc>
          <w:tcPr>
            <w:tcW w:w="0" w:type="auto"/>
            <w:tcBorders>
              <w:top w:val="single" w:sz="4" w:space="0" w:color="000000"/>
              <w:left w:val="single" w:sz="4" w:space="0" w:color="000000"/>
              <w:bottom w:val="single" w:sz="4" w:space="0" w:color="000000"/>
              <w:right w:val="single" w:sz="4" w:space="0" w:color="000000"/>
            </w:tcBorders>
            <w:vAlign w:val="center"/>
          </w:tcPr>
          <w:p w14:paraId="550B31DD" w14:textId="77777777" w:rsidR="00372953" w:rsidRPr="00372953" w:rsidRDefault="00372953" w:rsidP="007E48A3">
            <w:pPr>
              <w:widowControl/>
              <w:jc w:val="center"/>
              <w:textAlignment w:val="center"/>
              <w:rPr>
                <w:sz w:val="18"/>
                <w:szCs w:val="18"/>
              </w:rPr>
            </w:pPr>
            <w:r w:rsidRPr="00372953">
              <w:rPr>
                <w:kern w:val="0"/>
                <w:sz w:val="18"/>
                <w:szCs w:val="18"/>
                <w:lang w:bidi="ar"/>
              </w:rPr>
              <w:t>747.9</w:t>
            </w:r>
          </w:p>
        </w:tc>
        <w:tc>
          <w:tcPr>
            <w:tcW w:w="0" w:type="auto"/>
            <w:tcBorders>
              <w:top w:val="single" w:sz="4" w:space="0" w:color="000000"/>
              <w:left w:val="single" w:sz="4" w:space="0" w:color="000000"/>
              <w:bottom w:val="single" w:sz="4" w:space="0" w:color="000000"/>
              <w:right w:val="single" w:sz="4" w:space="0" w:color="000000"/>
            </w:tcBorders>
            <w:vAlign w:val="center"/>
          </w:tcPr>
          <w:p w14:paraId="2984CDD1" w14:textId="77777777" w:rsidR="00372953" w:rsidRPr="00372953" w:rsidRDefault="00372953" w:rsidP="007E48A3">
            <w:pPr>
              <w:widowControl/>
              <w:jc w:val="center"/>
              <w:textAlignment w:val="center"/>
              <w:rPr>
                <w:sz w:val="18"/>
                <w:szCs w:val="18"/>
              </w:rPr>
            </w:pPr>
            <w:r w:rsidRPr="00372953">
              <w:rPr>
                <w:kern w:val="0"/>
                <w:sz w:val="18"/>
                <w:szCs w:val="18"/>
                <w:lang w:bidi="ar"/>
              </w:rPr>
              <w:t>26</w:t>
            </w:r>
          </w:p>
        </w:tc>
        <w:tc>
          <w:tcPr>
            <w:tcW w:w="0" w:type="auto"/>
            <w:tcBorders>
              <w:top w:val="single" w:sz="4" w:space="0" w:color="000000"/>
              <w:left w:val="single" w:sz="4" w:space="0" w:color="000000"/>
              <w:bottom w:val="single" w:sz="4" w:space="0" w:color="000000"/>
              <w:right w:val="single" w:sz="4" w:space="0" w:color="000000"/>
            </w:tcBorders>
            <w:vAlign w:val="center"/>
          </w:tcPr>
          <w:p w14:paraId="66D89F4B" w14:textId="77777777" w:rsidR="00372953" w:rsidRPr="00372953" w:rsidRDefault="00372953" w:rsidP="007E48A3">
            <w:pPr>
              <w:widowControl/>
              <w:jc w:val="center"/>
              <w:textAlignment w:val="center"/>
              <w:rPr>
                <w:sz w:val="18"/>
                <w:szCs w:val="18"/>
              </w:rPr>
            </w:pPr>
            <w:r w:rsidRPr="00372953">
              <w:rPr>
                <w:kern w:val="0"/>
                <w:sz w:val="18"/>
                <w:szCs w:val="18"/>
                <w:lang w:bidi="ar"/>
              </w:rPr>
              <w:t>未划定</w:t>
            </w:r>
          </w:p>
        </w:tc>
        <w:tc>
          <w:tcPr>
            <w:tcW w:w="0" w:type="auto"/>
            <w:tcBorders>
              <w:top w:val="single" w:sz="4" w:space="0" w:color="000000"/>
              <w:left w:val="single" w:sz="4" w:space="0" w:color="000000"/>
              <w:bottom w:val="single" w:sz="4" w:space="0" w:color="000000"/>
              <w:right w:val="single" w:sz="4" w:space="0" w:color="000000"/>
            </w:tcBorders>
            <w:vAlign w:val="center"/>
          </w:tcPr>
          <w:p w14:paraId="1F63EE51" w14:textId="77777777" w:rsidR="00372953" w:rsidRPr="00372953" w:rsidRDefault="00372953" w:rsidP="007E48A3">
            <w:pPr>
              <w:widowControl/>
              <w:jc w:val="center"/>
              <w:textAlignment w:val="center"/>
              <w:rPr>
                <w:sz w:val="18"/>
                <w:szCs w:val="18"/>
              </w:rPr>
            </w:pPr>
            <w:r w:rsidRPr="00372953">
              <w:rPr>
                <w:kern w:val="0"/>
                <w:sz w:val="18"/>
                <w:szCs w:val="18"/>
                <w:lang w:bidi="ar"/>
              </w:rPr>
              <w:t>无</w:t>
            </w:r>
          </w:p>
        </w:tc>
        <w:tc>
          <w:tcPr>
            <w:tcW w:w="0" w:type="auto"/>
            <w:tcBorders>
              <w:top w:val="single" w:sz="4" w:space="0" w:color="000000"/>
              <w:left w:val="single" w:sz="4" w:space="0" w:color="000000"/>
              <w:bottom w:val="single" w:sz="4" w:space="0" w:color="000000"/>
              <w:right w:val="single" w:sz="4" w:space="0" w:color="000000"/>
            </w:tcBorders>
            <w:vAlign w:val="center"/>
          </w:tcPr>
          <w:p w14:paraId="57BA6CBF" w14:textId="77777777" w:rsidR="00372953" w:rsidRPr="00372953" w:rsidRDefault="00372953" w:rsidP="007E48A3">
            <w:pPr>
              <w:widowControl/>
              <w:jc w:val="center"/>
              <w:textAlignment w:val="center"/>
              <w:rPr>
                <w:sz w:val="18"/>
                <w:szCs w:val="18"/>
              </w:rPr>
            </w:pPr>
            <w:r w:rsidRPr="00372953">
              <w:rPr>
                <w:kern w:val="0"/>
                <w:sz w:val="18"/>
                <w:szCs w:val="18"/>
                <w:lang w:bidi="ar"/>
              </w:rPr>
              <w:t>否</w:t>
            </w:r>
          </w:p>
        </w:tc>
      </w:tr>
      <w:tr w:rsidR="00372953" w:rsidRPr="00372953" w14:paraId="30D6772B" w14:textId="77777777" w:rsidTr="007E48A3">
        <w:trPr>
          <w:trHeight w:val="420"/>
        </w:trPr>
        <w:tc>
          <w:tcPr>
            <w:tcW w:w="0" w:type="auto"/>
            <w:tcBorders>
              <w:top w:val="single" w:sz="4" w:space="0" w:color="000000"/>
              <w:left w:val="single" w:sz="4" w:space="0" w:color="000000"/>
              <w:bottom w:val="single" w:sz="4" w:space="0" w:color="000000"/>
              <w:right w:val="single" w:sz="4" w:space="0" w:color="000000"/>
            </w:tcBorders>
            <w:vAlign w:val="center"/>
          </w:tcPr>
          <w:p w14:paraId="382044C7" w14:textId="77777777" w:rsidR="00372953" w:rsidRPr="00372953" w:rsidRDefault="00372953" w:rsidP="007E48A3">
            <w:pPr>
              <w:widowControl/>
              <w:jc w:val="center"/>
              <w:textAlignment w:val="center"/>
              <w:rPr>
                <w:kern w:val="0"/>
                <w:sz w:val="18"/>
                <w:szCs w:val="18"/>
                <w:lang w:bidi="ar"/>
              </w:rPr>
            </w:pPr>
            <w:r w:rsidRPr="00372953">
              <w:rPr>
                <w:kern w:val="0"/>
                <w:sz w:val="18"/>
                <w:szCs w:val="18"/>
                <w:lang w:bidi="ar"/>
              </w:rPr>
              <w:t>10</w:t>
            </w:r>
          </w:p>
        </w:tc>
        <w:tc>
          <w:tcPr>
            <w:tcW w:w="0" w:type="auto"/>
            <w:tcBorders>
              <w:top w:val="single" w:sz="4" w:space="0" w:color="000000"/>
              <w:left w:val="single" w:sz="4" w:space="0" w:color="000000"/>
              <w:bottom w:val="single" w:sz="4" w:space="0" w:color="000000"/>
              <w:right w:val="single" w:sz="4" w:space="0" w:color="000000"/>
            </w:tcBorders>
            <w:vAlign w:val="center"/>
          </w:tcPr>
          <w:p w14:paraId="48FB5A4A" w14:textId="77777777" w:rsidR="00372953" w:rsidRPr="00372953" w:rsidRDefault="00372953" w:rsidP="007E48A3">
            <w:pPr>
              <w:widowControl/>
              <w:jc w:val="center"/>
              <w:textAlignment w:val="center"/>
              <w:rPr>
                <w:sz w:val="18"/>
                <w:szCs w:val="18"/>
              </w:rPr>
            </w:pPr>
            <w:r w:rsidRPr="00372953">
              <w:rPr>
                <w:kern w:val="0"/>
                <w:sz w:val="18"/>
                <w:szCs w:val="18"/>
                <w:lang w:bidi="ar"/>
              </w:rPr>
              <w:t>兴海县</w:t>
            </w:r>
          </w:p>
        </w:tc>
        <w:tc>
          <w:tcPr>
            <w:tcW w:w="0" w:type="auto"/>
            <w:tcBorders>
              <w:top w:val="single" w:sz="4" w:space="0" w:color="000000"/>
              <w:left w:val="single" w:sz="4" w:space="0" w:color="000000"/>
              <w:bottom w:val="single" w:sz="4" w:space="0" w:color="000000"/>
              <w:right w:val="single" w:sz="4" w:space="0" w:color="000000"/>
            </w:tcBorders>
            <w:vAlign w:val="center"/>
          </w:tcPr>
          <w:p w14:paraId="6DC3941C" w14:textId="77777777" w:rsidR="00372953" w:rsidRPr="00372953" w:rsidRDefault="00372953" w:rsidP="007E48A3">
            <w:pPr>
              <w:widowControl/>
              <w:jc w:val="center"/>
              <w:textAlignment w:val="center"/>
              <w:rPr>
                <w:sz w:val="18"/>
                <w:szCs w:val="18"/>
              </w:rPr>
            </w:pPr>
            <w:r w:rsidRPr="00372953">
              <w:rPr>
                <w:kern w:val="0"/>
                <w:sz w:val="18"/>
                <w:szCs w:val="18"/>
                <w:lang w:bidi="ar"/>
              </w:rPr>
              <w:t>龙藏乡赛日巴村河流型水源地</w:t>
            </w:r>
          </w:p>
        </w:tc>
        <w:tc>
          <w:tcPr>
            <w:tcW w:w="0" w:type="auto"/>
            <w:tcBorders>
              <w:top w:val="single" w:sz="4" w:space="0" w:color="000000"/>
              <w:left w:val="single" w:sz="4" w:space="0" w:color="000000"/>
              <w:bottom w:val="single" w:sz="4" w:space="0" w:color="000000"/>
              <w:right w:val="single" w:sz="4" w:space="0" w:color="000000"/>
            </w:tcBorders>
            <w:vAlign w:val="center"/>
          </w:tcPr>
          <w:p w14:paraId="0315DE1A" w14:textId="77777777" w:rsidR="00372953" w:rsidRPr="00372953" w:rsidRDefault="00372953" w:rsidP="007E48A3">
            <w:pPr>
              <w:widowControl/>
              <w:jc w:val="center"/>
              <w:textAlignment w:val="center"/>
              <w:rPr>
                <w:sz w:val="18"/>
                <w:szCs w:val="18"/>
              </w:rPr>
            </w:pPr>
            <w:r w:rsidRPr="00372953">
              <w:rPr>
                <w:kern w:val="0"/>
                <w:sz w:val="18"/>
                <w:szCs w:val="18"/>
                <w:lang w:bidi="ar"/>
              </w:rPr>
              <w:t>河流型</w:t>
            </w:r>
          </w:p>
        </w:tc>
        <w:tc>
          <w:tcPr>
            <w:tcW w:w="0" w:type="auto"/>
            <w:tcBorders>
              <w:top w:val="single" w:sz="4" w:space="0" w:color="000000"/>
              <w:left w:val="single" w:sz="4" w:space="0" w:color="000000"/>
              <w:bottom w:val="single" w:sz="4" w:space="0" w:color="000000"/>
              <w:right w:val="single" w:sz="4" w:space="0" w:color="000000"/>
            </w:tcBorders>
            <w:vAlign w:val="center"/>
          </w:tcPr>
          <w:p w14:paraId="78F63C85" w14:textId="77777777" w:rsidR="00372953" w:rsidRPr="00372953" w:rsidRDefault="00372953" w:rsidP="007E48A3">
            <w:pPr>
              <w:widowControl/>
              <w:jc w:val="center"/>
              <w:textAlignment w:val="center"/>
              <w:rPr>
                <w:sz w:val="18"/>
                <w:szCs w:val="18"/>
              </w:rPr>
            </w:pPr>
            <w:r w:rsidRPr="00372953">
              <w:rPr>
                <w:kern w:val="0"/>
                <w:sz w:val="18"/>
                <w:szCs w:val="18"/>
                <w:lang w:bidi="ar"/>
              </w:rPr>
              <w:t>乡镇</w:t>
            </w:r>
          </w:p>
        </w:tc>
        <w:tc>
          <w:tcPr>
            <w:tcW w:w="0" w:type="auto"/>
            <w:tcBorders>
              <w:top w:val="single" w:sz="4" w:space="0" w:color="000000"/>
              <w:left w:val="single" w:sz="4" w:space="0" w:color="000000"/>
              <w:bottom w:val="single" w:sz="4" w:space="0" w:color="000000"/>
              <w:right w:val="single" w:sz="4" w:space="0" w:color="000000"/>
            </w:tcBorders>
            <w:vAlign w:val="center"/>
          </w:tcPr>
          <w:p w14:paraId="197CB98D" w14:textId="77777777" w:rsidR="00372953" w:rsidRPr="00372953" w:rsidRDefault="00372953" w:rsidP="007E48A3">
            <w:pPr>
              <w:widowControl/>
              <w:jc w:val="center"/>
              <w:textAlignment w:val="center"/>
              <w:rPr>
                <w:sz w:val="18"/>
                <w:szCs w:val="18"/>
              </w:rPr>
            </w:pPr>
            <w:r w:rsidRPr="00372953">
              <w:rPr>
                <w:kern w:val="0"/>
                <w:sz w:val="18"/>
                <w:szCs w:val="18"/>
                <w:lang w:bidi="ar"/>
              </w:rPr>
              <w:t>在用</w:t>
            </w:r>
          </w:p>
        </w:tc>
        <w:tc>
          <w:tcPr>
            <w:tcW w:w="0" w:type="auto"/>
            <w:tcBorders>
              <w:top w:val="single" w:sz="4" w:space="0" w:color="000000"/>
              <w:left w:val="single" w:sz="4" w:space="0" w:color="000000"/>
              <w:bottom w:val="single" w:sz="4" w:space="0" w:color="000000"/>
              <w:right w:val="single" w:sz="4" w:space="0" w:color="000000"/>
            </w:tcBorders>
            <w:vAlign w:val="center"/>
          </w:tcPr>
          <w:p w14:paraId="60E70ABF" w14:textId="77777777" w:rsidR="00372953" w:rsidRPr="00372953" w:rsidRDefault="00372953" w:rsidP="007E48A3">
            <w:pPr>
              <w:widowControl/>
              <w:jc w:val="center"/>
              <w:textAlignment w:val="center"/>
              <w:rPr>
                <w:sz w:val="18"/>
                <w:szCs w:val="18"/>
              </w:rPr>
            </w:pPr>
            <w:r w:rsidRPr="00372953">
              <w:rPr>
                <w:kern w:val="0"/>
                <w:sz w:val="18"/>
                <w:szCs w:val="18"/>
                <w:lang w:bidi="ar"/>
              </w:rPr>
              <w:t>2009</w:t>
            </w:r>
          </w:p>
        </w:tc>
        <w:tc>
          <w:tcPr>
            <w:tcW w:w="0" w:type="auto"/>
            <w:tcBorders>
              <w:top w:val="single" w:sz="4" w:space="0" w:color="000000"/>
              <w:left w:val="single" w:sz="4" w:space="0" w:color="000000"/>
              <w:bottom w:val="single" w:sz="4" w:space="0" w:color="000000"/>
              <w:right w:val="single" w:sz="4" w:space="0" w:color="000000"/>
            </w:tcBorders>
            <w:vAlign w:val="center"/>
          </w:tcPr>
          <w:p w14:paraId="1A9427E4" w14:textId="77777777" w:rsidR="00372953" w:rsidRPr="00372953" w:rsidRDefault="00372953" w:rsidP="007E48A3">
            <w:pPr>
              <w:widowControl/>
              <w:jc w:val="center"/>
              <w:textAlignment w:val="center"/>
              <w:rPr>
                <w:sz w:val="18"/>
                <w:szCs w:val="18"/>
              </w:rPr>
            </w:pPr>
            <w:r w:rsidRPr="00372953">
              <w:rPr>
                <w:kern w:val="0"/>
                <w:sz w:val="18"/>
                <w:szCs w:val="18"/>
                <w:lang w:bidi="ar"/>
              </w:rPr>
              <w:t>2009</w:t>
            </w:r>
          </w:p>
        </w:tc>
        <w:tc>
          <w:tcPr>
            <w:tcW w:w="0" w:type="auto"/>
            <w:tcBorders>
              <w:top w:val="single" w:sz="4" w:space="0" w:color="000000"/>
              <w:left w:val="single" w:sz="4" w:space="0" w:color="000000"/>
              <w:bottom w:val="single" w:sz="4" w:space="0" w:color="000000"/>
              <w:right w:val="single" w:sz="4" w:space="0" w:color="000000"/>
            </w:tcBorders>
            <w:vAlign w:val="center"/>
          </w:tcPr>
          <w:p w14:paraId="40CB1BE3" w14:textId="77777777" w:rsidR="00372953" w:rsidRPr="00372953" w:rsidRDefault="00372953" w:rsidP="007E48A3">
            <w:pPr>
              <w:widowControl/>
              <w:jc w:val="center"/>
              <w:textAlignment w:val="center"/>
              <w:rPr>
                <w:sz w:val="18"/>
                <w:szCs w:val="18"/>
              </w:rPr>
            </w:pPr>
            <w:r w:rsidRPr="00372953">
              <w:rPr>
                <w:kern w:val="0"/>
                <w:sz w:val="18"/>
                <w:szCs w:val="18"/>
                <w:lang w:bidi="ar"/>
              </w:rPr>
              <w:t>1042</w:t>
            </w:r>
          </w:p>
        </w:tc>
        <w:tc>
          <w:tcPr>
            <w:tcW w:w="0" w:type="auto"/>
            <w:tcBorders>
              <w:top w:val="single" w:sz="4" w:space="0" w:color="000000"/>
              <w:left w:val="single" w:sz="4" w:space="0" w:color="000000"/>
              <w:bottom w:val="single" w:sz="4" w:space="0" w:color="000000"/>
              <w:right w:val="single" w:sz="4" w:space="0" w:color="000000"/>
            </w:tcBorders>
            <w:vAlign w:val="center"/>
          </w:tcPr>
          <w:p w14:paraId="4AF9A6EF" w14:textId="77777777" w:rsidR="00372953" w:rsidRPr="00372953" w:rsidRDefault="00372953" w:rsidP="007E48A3">
            <w:pPr>
              <w:widowControl/>
              <w:jc w:val="center"/>
              <w:textAlignment w:val="center"/>
              <w:rPr>
                <w:sz w:val="18"/>
                <w:szCs w:val="18"/>
              </w:rPr>
            </w:pPr>
            <w:r w:rsidRPr="00372953">
              <w:rPr>
                <w:kern w:val="0"/>
                <w:sz w:val="18"/>
                <w:szCs w:val="18"/>
                <w:lang w:bidi="ar"/>
              </w:rPr>
              <w:t>376.55</w:t>
            </w:r>
          </w:p>
        </w:tc>
        <w:tc>
          <w:tcPr>
            <w:tcW w:w="0" w:type="auto"/>
            <w:tcBorders>
              <w:top w:val="single" w:sz="4" w:space="0" w:color="000000"/>
              <w:left w:val="single" w:sz="4" w:space="0" w:color="000000"/>
              <w:bottom w:val="single" w:sz="4" w:space="0" w:color="000000"/>
              <w:right w:val="single" w:sz="4" w:space="0" w:color="000000"/>
            </w:tcBorders>
            <w:vAlign w:val="center"/>
          </w:tcPr>
          <w:p w14:paraId="66860600" w14:textId="77777777" w:rsidR="00372953" w:rsidRPr="00372953" w:rsidRDefault="00372953" w:rsidP="007E48A3">
            <w:pPr>
              <w:widowControl/>
              <w:jc w:val="center"/>
              <w:textAlignment w:val="center"/>
              <w:rPr>
                <w:sz w:val="18"/>
                <w:szCs w:val="18"/>
              </w:rPr>
            </w:pPr>
            <w:r w:rsidRPr="00372953">
              <w:rPr>
                <w:kern w:val="0"/>
                <w:sz w:val="18"/>
                <w:szCs w:val="18"/>
                <w:lang w:bidi="ar"/>
              </w:rPr>
              <w:t>13.744075</w:t>
            </w:r>
          </w:p>
        </w:tc>
        <w:tc>
          <w:tcPr>
            <w:tcW w:w="0" w:type="auto"/>
            <w:tcBorders>
              <w:top w:val="single" w:sz="4" w:space="0" w:color="000000"/>
              <w:left w:val="single" w:sz="4" w:space="0" w:color="000000"/>
              <w:bottom w:val="single" w:sz="4" w:space="0" w:color="000000"/>
              <w:right w:val="single" w:sz="4" w:space="0" w:color="000000"/>
            </w:tcBorders>
            <w:vAlign w:val="center"/>
          </w:tcPr>
          <w:p w14:paraId="3EA10C69" w14:textId="77777777" w:rsidR="00372953" w:rsidRPr="00372953" w:rsidRDefault="00372953" w:rsidP="007E48A3">
            <w:pPr>
              <w:widowControl/>
              <w:jc w:val="center"/>
              <w:textAlignment w:val="center"/>
              <w:rPr>
                <w:sz w:val="18"/>
                <w:szCs w:val="18"/>
              </w:rPr>
            </w:pPr>
            <w:r w:rsidRPr="00372953">
              <w:rPr>
                <w:kern w:val="0"/>
                <w:sz w:val="18"/>
                <w:szCs w:val="18"/>
                <w:lang w:bidi="ar"/>
              </w:rPr>
              <w:t>未划定</w:t>
            </w:r>
          </w:p>
        </w:tc>
        <w:tc>
          <w:tcPr>
            <w:tcW w:w="0" w:type="auto"/>
            <w:tcBorders>
              <w:top w:val="single" w:sz="4" w:space="0" w:color="000000"/>
              <w:left w:val="single" w:sz="4" w:space="0" w:color="000000"/>
              <w:bottom w:val="single" w:sz="4" w:space="0" w:color="000000"/>
              <w:right w:val="single" w:sz="4" w:space="0" w:color="000000"/>
            </w:tcBorders>
            <w:vAlign w:val="center"/>
          </w:tcPr>
          <w:p w14:paraId="4365ECE3" w14:textId="77777777" w:rsidR="00372953" w:rsidRPr="00372953" w:rsidRDefault="00372953" w:rsidP="007E48A3">
            <w:pPr>
              <w:widowControl/>
              <w:jc w:val="center"/>
              <w:textAlignment w:val="center"/>
              <w:rPr>
                <w:sz w:val="18"/>
                <w:szCs w:val="18"/>
              </w:rPr>
            </w:pPr>
            <w:r w:rsidRPr="00372953">
              <w:rPr>
                <w:kern w:val="0"/>
                <w:sz w:val="18"/>
                <w:szCs w:val="18"/>
                <w:lang w:bidi="ar"/>
              </w:rPr>
              <w:t>无</w:t>
            </w:r>
          </w:p>
        </w:tc>
        <w:tc>
          <w:tcPr>
            <w:tcW w:w="0" w:type="auto"/>
            <w:tcBorders>
              <w:top w:val="single" w:sz="4" w:space="0" w:color="000000"/>
              <w:left w:val="single" w:sz="4" w:space="0" w:color="000000"/>
              <w:bottom w:val="single" w:sz="4" w:space="0" w:color="000000"/>
              <w:right w:val="single" w:sz="4" w:space="0" w:color="000000"/>
            </w:tcBorders>
            <w:vAlign w:val="center"/>
          </w:tcPr>
          <w:p w14:paraId="383DAB04" w14:textId="77777777" w:rsidR="00372953" w:rsidRPr="00372953" w:rsidRDefault="00372953" w:rsidP="007E48A3">
            <w:pPr>
              <w:widowControl/>
              <w:jc w:val="center"/>
              <w:textAlignment w:val="center"/>
              <w:rPr>
                <w:sz w:val="18"/>
                <w:szCs w:val="18"/>
              </w:rPr>
            </w:pPr>
            <w:r w:rsidRPr="00372953">
              <w:rPr>
                <w:kern w:val="0"/>
                <w:sz w:val="18"/>
                <w:szCs w:val="18"/>
                <w:lang w:bidi="ar"/>
              </w:rPr>
              <w:t>否</w:t>
            </w:r>
          </w:p>
        </w:tc>
      </w:tr>
    </w:tbl>
    <w:p w14:paraId="2EA687BC" w14:textId="77777777" w:rsidR="00372953" w:rsidRDefault="00372953" w:rsidP="00372953">
      <w:pPr>
        <w:widowControl/>
        <w:snapToGrid w:val="0"/>
        <w:spacing w:line="360" w:lineRule="auto"/>
        <w:rPr>
          <w:bCs/>
          <w:color w:val="0000FF"/>
          <w:sz w:val="24"/>
          <w:szCs w:val="24"/>
        </w:rPr>
        <w:sectPr w:rsidR="00372953" w:rsidSect="00372953">
          <w:pgSz w:w="16838" w:h="11906" w:orient="landscape"/>
          <w:pgMar w:top="1800" w:right="1440" w:bottom="1800" w:left="1440" w:header="851" w:footer="992" w:gutter="0"/>
          <w:cols w:space="425"/>
          <w:docGrid w:type="lines" w:linePitch="312"/>
        </w:sectPr>
      </w:pPr>
    </w:p>
    <w:p w14:paraId="45B20C57" w14:textId="1F316317" w:rsidR="00372953" w:rsidRPr="00372953" w:rsidRDefault="00372953" w:rsidP="00372953">
      <w:pPr>
        <w:pStyle w:val="aff8"/>
      </w:pPr>
      <w:bookmarkStart w:id="233" w:name="_Ref216443987"/>
      <w:r w:rsidRPr="00372953">
        <w:rPr>
          <w:rFonts w:hint="eastAsia"/>
        </w:rPr>
        <w:t>表</w:t>
      </w:r>
      <w:r w:rsidRPr="00372953">
        <w:rPr>
          <w:rFonts w:hint="eastAsia"/>
        </w:rPr>
        <w:t xml:space="preserve"> </w:t>
      </w:r>
      <w:r w:rsidRPr="00372953">
        <w:fldChar w:fldCharType="begin"/>
      </w:r>
      <w:r w:rsidRPr="00372953">
        <w:instrText xml:space="preserve"> </w:instrText>
      </w:r>
      <w:r w:rsidRPr="00372953">
        <w:rPr>
          <w:rFonts w:hint="eastAsia"/>
        </w:rPr>
        <w:instrText>STYLEREF 2 \s</w:instrText>
      </w:r>
      <w:r w:rsidRPr="00372953">
        <w:instrText xml:space="preserve"> </w:instrText>
      </w:r>
      <w:r w:rsidRPr="00372953">
        <w:fldChar w:fldCharType="separate"/>
      </w:r>
      <w:r>
        <w:rPr>
          <w:noProof/>
        </w:rPr>
        <w:t>3.3</w:t>
      </w:r>
      <w:r w:rsidRPr="00372953">
        <w:fldChar w:fldCharType="end"/>
      </w:r>
      <w:r w:rsidRPr="00372953">
        <w:noBreakHyphen/>
      </w:r>
      <w:r w:rsidRPr="00372953">
        <w:fldChar w:fldCharType="begin"/>
      </w:r>
      <w:r w:rsidRPr="00372953">
        <w:instrText xml:space="preserve"> </w:instrText>
      </w:r>
      <w:r w:rsidRPr="00372953">
        <w:rPr>
          <w:rFonts w:hint="eastAsia"/>
        </w:rPr>
        <w:instrText xml:space="preserve">SEQ </w:instrText>
      </w:r>
      <w:r w:rsidRPr="00372953">
        <w:rPr>
          <w:rFonts w:hint="eastAsia"/>
        </w:rPr>
        <w:instrText>表</w:instrText>
      </w:r>
      <w:r w:rsidRPr="00372953">
        <w:rPr>
          <w:rFonts w:hint="eastAsia"/>
        </w:rPr>
        <w:instrText xml:space="preserve"> \* ARABIC \s 2</w:instrText>
      </w:r>
      <w:r w:rsidRPr="00372953">
        <w:instrText xml:space="preserve"> </w:instrText>
      </w:r>
      <w:r w:rsidRPr="00372953">
        <w:fldChar w:fldCharType="separate"/>
      </w:r>
      <w:r>
        <w:rPr>
          <w:noProof/>
        </w:rPr>
        <w:t>22</w:t>
      </w:r>
      <w:r w:rsidRPr="00372953">
        <w:fldChar w:fldCharType="end"/>
      </w:r>
      <w:bookmarkEnd w:id="233"/>
      <w:r w:rsidRPr="00372953">
        <w:rPr>
          <w:rFonts w:hint="eastAsia"/>
        </w:rPr>
        <w:t>沙珠河流域典型集中式生活饮用水地表水源地项目监测成果</w:t>
      </w:r>
    </w:p>
    <w:p w14:paraId="5A9045AA" w14:textId="469B4790" w:rsidR="00372953" w:rsidRPr="00372953" w:rsidRDefault="00372953" w:rsidP="00372953">
      <w:pPr>
        <w:pStyle w:val="aff8"/>
      </w:pPr>
      <w:r>
        <w:rPr>
          <w:rFonts w:hint="eastAsia"/>
        </w:rPr>
        <w:t xml:space="preserve">                                                                   </w:t>
      </w:r>
      <w:r w:rsidRPr="00372953">
        <w:rPr>
          <w:rFonts w:hint="eastAsia"/>
        </w:rPr>
        <w:t>单位：</w:t>
      </w:r>
      <w:r w:rsidRPr="00372953">
        <w:rPr>
          <w:rFonts w:hint="eastAsia"/>
        </w:rPr>
        <w:t>mg/L</w:t>
      </w:r>
    </w:p>
    <w:tbl>
      <w:tblPr>
        <w:tblW w:w="4941" w:type="pct"/>
        <w:tblInd w:w="108" w:type="dxa"/>
        <w:tblLook w:val="04A0" w:firstRow="1" w:lastRow="0" w:firstColumn="1" w:lastColumn="0" w:noHBand="0" w:noVBand="1"/>
      </w:tblPr>
      <w:tblGrid>
        <w:gridCol w:w="1142"/>
        <w:gridCol w:w="1392"/>
        <w:gridCol w:w="1267"/>
        <w:gridCol w:w="1141"/>
        <w:gridCol w:w="1266"/>
        <w:gridCol w:w="1010"/>
        <w:gridCol w:w="980"/>
      </w:tblGrid>
      <w:tr w:rsidR="00372953" w:rsidRPr="00372953" w14:paraId="7A43DAAA" w14:textId="77777777" w:rsidTr="007E48A3">
        <w:trPr>
          <w:trHeight w:val="451"/>
        </w:trPr>
        <w:tc>
          <w:tcPr>
            <w:tcW w:w="696" w:type="pct"/>
            <w:tcBorders>
              <w:top w:val="single" w:sz="4" w:space="0" w:color="auto"/>
              <w:left w:val="single" w:sz="4" w:space="0" w:color="auto"/>
              <w:bottom w:val="single" w:sz="4" w:space="0" w:color="auto"/>
              <w:right w:val="single" w:sz="4" w:space="0" w:color="auto"/>
            </w:tcBorders>
            <w:vAlign w:val="center"/>
          </w:tcPr>
          <w:p w14:paraId="6BCD5F59" w14:textId="77777777" w:rsidR="00372953" w:rsidRPr="00372953" w:rsidRDefault="00372953" w:rsidP="007E48A3">
            <w:pPr>
              <w:widowControl/>
              <w:spacing w:line="240" w:lineRule="exact"/>
              <w:jc w:val="center"/>
              <w:rPr>
                <w:b/>
                <w:bCs/>
                <w:kern w:val="0"/>
                <w:szCs w:val="21"/>
              </w:rPr>
            </w:pPr>
            <w:r w:rsidRPr="00372953">
              <w:rPr>
                <w:b/>
                <w:bCs/>
                <w:kern w:val="0"/>
                <w:szCs w:val="21"/>
              </w:rPr>
              <w:t>断面</w:t>
            </w:r>
          </w:p>
        </w:tc>
        <w:tc>
          <w:tcPr>
            <w:tcW w:w="848" w:type="pct"/>
            <w:tcBorders>
              <w:top w:val="single" w:sz="4" w:space="0" w:color="auto"/>
              <w:left w:val="nil"/>
              <w:bottom w:val="single" w:sz="4" w:space="0" w:color="auto"/>
              <w:right w:val="single" w:sz="4" w:space="0" w:color="auto"/>
            </w:tcBorders>
            <w:vAlign w:val="center"/>
          </w:tcPr>
          <w:p w14:paraId="40CFDC4F" w14:textId="77777777" w:rsidR="00372953" w:rsidRPr="00372953" w:rsidRDefault="00372953" w:rsidP="007E48A3">
            <w:pPr>
              <w:widowControl/>
              <w:spacing w:line="240" w:lineRule="exact"/>
              <w:jc w:val="center"/>
              <w:rPr>
                <w:b/>
                <w:bCs/>
                <w:kern w:val="0"/>
                <w:szCs w:val="21"/>
              </w:rPr>
            </w:pPr>
            <w:r w:rsidRPr="00372953">
              <w:rPr>
                <w:b/>
                <w:bCs/>
                <w:kern w:val="0"/>
                <w:szCs w:val="21"/>
              </w:rPr>
              <w:t>水期</w:t>
            </w:r>
          </w:p>
        </w:tc>
        <w:tc>
          <w:tcPr>
            <w:tcW w:w="772" w:type="pct"/>
            <w:tcBorders>
              <w:top w:val="single" w:sz="4" w:space="0" w:color="auto"/>
              <w:left w:val="nil"/>
              <w:bottom w:val="single" w:sz="4" w:space="0" w:color="auto"/>
              <w:right w:val="single" w:sz="4" w:space="0" w:color="auto"/>
            </w:tcBorders>
            <w:vAlign w:val="center"/>
          </w:tcPr>
          <w:p w14:paraId="014389A9" w14:textId="77777777" w:rsidR="00372953" w:rsidRPr="00372953" w:rsidRDefault="00372953" w:rsidP="007E48A3">
            <w:pPr>
              <w:widowControl/>
              <w:spacing w:line="240" w:lineRule="exact"/>
              <w:jc w:val="center"/>
              <w:rPr>
                <w:b/>
                <w:bCs/>
                <w:kern w:val="0"/>
                <w:szCs w:val="21"/>
              </w:rPr>
            </w:pPr>
            <w:r w:rsidRPr="00372953">
              <w:rPr>
                <w:b/>
                <w:bCs/>
                <w:kern w:val="0"/>
                <w:szCs w:val="21"/>
              </w:rPr>
              <w:t>氯化物</w:t>
            </w:r>
          </w:p>
        </w:tc>
        <w:tc>
          <w:tcPr>
            <w:tcW w:w="695" w:type="pct"/>
            <w:tcBorders>
              <w:top w:val="single" w:sz="4" w:space="0" w:color="auto"/>
              <w:left w:val="nil"/>
              <w:bottom w:val="single" w:sz="4" w:space="0" w:color="auto"/>
              <w:right w:val="single" w:sz="4" w:space="0" w:color="auto"/>
            </w:tcBorders>
            <w:vAlign w:val="center"/>
          </w:tcPr>
          <w:p w14:paraId="1704CC66" w14:textId="77777777" w:rsidR="00372953" w:rsidRPr="00372953" w:rsidRDefault="00372953" w:rsidP="007E48A3">
            <w:pPr>
              <w:widowControl/>
              <w:spacing w:line="240" w:lineRule="exact"/>
              <w:jc w:val="center"/>
              <w:rPr>
                <w:b/>
                <w:bCs/>
                <w:kern w:val="0"/>
                <w:szCs w:val="21"/>
              </w:rPr>
            </w:pPr>
            <w:r w:rsidRPr="00372953">
              <w:rPr>
                <w:b/>
                <w:bCs/>
                <w:kern w:val="0"/>
                <w:szCs w:val="21"/>
              </w:rPr>
              <w:t>硝酸盐</w:t>
            </w:r>
          </w:p>
        </w:tc>
        <w:tc>
          <w:tcPr>
            <w:tcW w:w="771" w:type="pct"/>
            <w:tcBorders>
              <w:top w:val="single" w:sz="4" w:space="0" w:color="auto"/>
              <w:left w:val="nil"/>
              <w:bottom w:val="single" w:sz="4" w:space="0" w:color="auto"/>
              <w:right w:val="single" w:sz="4" w:space="0" w:color="auto"/>
            </w:tcBorders>
            <w:vAlign w:val="center"/>
          </w:tcPr>
          <w:p w14:paraId="2E221AC8" w14:textId="77777777" w:rsidR="00372953" w:rsidRPr="00372953" w:rsidRDefault="00372953" w:rsidP="007E48A3">
            <w:pPr>
              <w:widowControl/>
              <w:spacing w:line="240" w:lineRule="exact"/>
              <w:jc w:val="center"/>
              <w:rPr>
                <w:b/>
                <w:bCs/>
                <w:kern w:val="0"/>
                <w:szCs w:val="21"/>
              </w:rPr>
            </w:pPr>
            <w:r w:rsidRPr="00372953">
              <w:rPr>
                <w:b/>
                <w:bCs/>
                <w:kern w:val="0"/>
                <w:szCs w:val="21"/>
              </w:rPr>
              <w:t>硫酸盐</w:t>
            </w:r>
          </w:p>
        </w:tc>
        <w:tc>
          <w:tcPr>
            <w:tcW w:w="616" w:type="pct"/>
            <w:tcBorders>
              <w:top w:val="single" w:sz="4" w:space="0" w:color="auto"/>
              <w:left w:val="nil"/>
              <w:bottom w:val="single" w:sz="4" w:space="0" w:color="auto"/>
              <w:right w:val="single" w:sz="4" w:space="0" w:color="auto"/>
            </w:tcBorders>
            <w:vAlign w:val="center"/>
          </w:tcPr>
          <w:p w14:paraId="6D6A32B3" w14:textId="77777777" w:rsidR="00372953" w:rsidRPr="00372953" w:rsidRDefault="00372953" w:rsidP="007E48A3">
            <w:pPr>
              <w:widowControl/>
              <w:spacing w:line="240" w:lineRule="exact"/>
              <w:jc w:val="center"/>
              <w:rPr>
                <w:b/>
                <w:bCs/>
                <w:kern w:val="0"/>
                <w:szCs w:val="21"/>
              </w:rPr>
            </w:pPr>
            <w:r w:rsidRPr="00372953">
              <w:rPr>
                <w:b/>
                <w:bCs/>
                <w:kern w:val="0"/>
                <w:szCs w:val="21"/>
              </w:rPr>
              <w:t>锰</w:t>
            </w:r>
          </w:p>
        </w:tc>
        <w:tc>
          <w:tcPr>
            <w:tcW w:w="598" w:type="pct"/>
            <w:tcBorders>
              <w:top w:val="single" w:sz="4" w:space="0" w:color="auto"/>
              <w:left w:val="nil"/>
              <w:bottom w:val="single" w:sz="4" w:space="0" w:color="auto"/>
              <w:right w:val="single" w:sz="4" w:space="0" w:color="auto"/>
            </w:tcBorders>
            <w:vAlign w:val="center"/>
          </w:tcPr>
          <w:p w14:paraId="1E27DC87" w14:textId="77777777" w:rsidR="00372953" w:rsidRPr="00372953" w:rsidRDefault="00372953" w:rsidP="007E48A3">
            <w:pPr>
              <w:widowControl/>
              <w:spacing w:line="240" w:lineRule="exact"/>
              <w:jc w:val="center"/>
              <w:rPr>
                <w:b/>
                <w:bCs/>
                <w:kern w:val="0"/>
                <w:szCs w:val="21"/>
              </w:rPr>
            </w:pPr>
            <w:r w:rsidRPr="00372953">
              <w:rPr>
                <w:b/>
                <w:bCs/>
                <w:kern w:val="0"/>
                <w:szCs w:val="21"/>
              </w:rPr>
              <w:t>铁</w:t>
            </w:r>
          </w:p>
        </w:tc>
      </w:tr>
      <w:tr w:rsidR="00372953" w:rsidRPr="00372953" w14:paraId="644FE467" w14:textId="77777777" w:rsidTr="007E48A3">
        <w:trPr>
          <w:trHeight w:val="54"/>
        </w:trPr>
        <w:tc>
          <w:tcPr>
            <w:tcW w:w="696" w:type="pct"/>
            <w:vMerge w:val="restart"/>
            <w:tcBorders>
              <w:top w:val="nil"/>
              <w:left w:val="single" w:sz="4" w:space="0" w:color="auto"/>
              <w:bottom w:val="single" w:sz="4" w:space="0" w:color="000000"/>
              <w:right w:val="single" w:sz="4" w:space="0" w:color="auto"/>
            </w:tcBorders>
            <w:vAlign w:val="center"/>
          </w:tcPr>
          <w:p w14:paraId="1828B1BB" w14:textId="77777777" w:rsidR="00372953" w:rsidRPr="00372953" w:rsidRDefault="00372953" w:rsidP="007E48A3">
            <w:pPr>
              <w:widowControl/>
              <w:spacing w:line="240" w:lineRule="exact"/>
              <w:jc w:val="center"/>
              <w:rPr>
                <w:kern w:val="0"/>
                <w:szCs w:val="21"/>
              </w:rPr>
            </w:pPr>
            <w:r w:rsidRPr="00372953">
              <w:rPr>
                <w:kern w:val="0"/>
                <w:szCs w:val="21"/>
              </w:rPr>
              <w:t>切吉水库上游</w:t>
            </w:r>
            <w:r w:rsidRPr="00372953">
              <w:rPr>
                <w:kern w:val="0"/>
                <w:szCs w:val="21"/>
              </w:rPr>
              <w:t>2km</w:t>
            </w:r>
            <w:r w:rsidRPr="00372953">
              <w:rPr>
                <w:kern w:val="0"/>
                <w:szCs w:val="21"/>
              </w:rPr>
              <w:t>处</w:t>
            </w:r>
          </w:p>
        </w:tc>
        <w:tc>
          <w:tcPr>
            <w:tcW w:w="848" w:type="pct"/>
            <w:vMerge w:val="restart"/>
            <w:tcBorders>
              <w:top w:val="nil"/>
              <w:left w:val="single" w:sz="4" w:space="0" w:color="auto"/>
              <w:bottom w:val="single" w:sz="4" w:space="0" w:color="auto"/>
              <w:right w:val="single" w:sz="4" w:space="0" w:color="auto"/>
            </w:tcBorders>
            <w:vAlign w:val="center"/>
          </w:tcPr>
          <w:p w14:paraId="6C372414" w14:textId="77777777" w:rsidR="00372953" w:rsidRPr="00372953" w:rsidRDefault="00372953" w:rsidP="007E48A3">
            <w:pPr>
              <w:widowControl/>
              <w:spacing w:line="240" w:lineRule="exact"/>
              <w:jc w:val="center"/>
              <w:rPr>
                <w:kern w:val="0"/>
                <w:szCs w:val="21"/>
              </w:rPr>
            </w:pPr>
            <w:r w:rsidRPr="00372953">
              <w:rPr>
                <w:kern w:val="0"/>
                <w:szCs w:val="21"/>
              </w:rPr>
              <w:t>枯水期</w:t>
            </w:r>
            <w:r w:rsidRPr="00372953">
              <w:rPr>
                <w:kern w:val="0"/>
                <w:szCs w:val="21"/>
              </w:rPr>
              <w:t>4</w:t>
            </w:r>
            <w:r w:rsidRPr="00372953">
              <w:rPr>
                <w:kern w:val="0"/>
                <w:szCs w:val="21"/>
              </w:rPr>
              <w:t>月</w:t>
            </w:r>
          </w:p>
        </w:tc>
        <w:tc>
          <w:tcPr>
            <w:tcW w:w="772" w:type="pct"/>
            <w:tcBorders>
              <w:top w:val="nil"/>
              <w:left w:val="nil"/>
              <w:bottom w:val="single" w:sz="4" w:space="0" w:color="auto"/>
              <w:right w:val="single" w:sz="4" w:space="0" w:color="auto"/>
            </w:tcBorders>
            <w:vAlign w:val="center"/>
          </w:tcPr>
          <w:p w14:paraId="1A70089B" w14:textId="77777777" w:rsidR="00372953" w:rsidRPr="00372953" w:rsidRDefault="00372953" w:rsidP="007E48A3">
            <w:pPr>
              <w:widowControl/>
              <w:spacing w:line="240" w:lineRule="exact"/>
              <w:jc w:val="center"/>
              <w:rPr>
                <w:kern w:val="0"/>
                <w:szCs w:val="21"/>
              </w:rPr>
            </w:pPr>
            <w:r w:rsidRPr="00372953">
              <w:rPr>
                <w:kern w:val="0"/>
                <w:szCs w:val="21"/>
              </w:rPr>
              <w:t>17.2</w:t>
            </w:r>
          </w:p>
        </w:tc>
        <w:tc>
          <w:tcPr>
            <w:tcW w:w="695" w:type="pct"/>
            <w:tcBorders>
              <w:top w:val="nil"/>
              <w:left w:val="nil"/>
              <w:bottom w:val="single" w:sz="4" w:space="0" w:color="auto"/>
              <w:right w:val="single" w:sz="4" w:space="0" w:color="auto"/>
            </w:tcBorders>
            <w:vAlign w:val="center"/>
          </w:tcPr>
          <w:p w14:paraId="5706E72B" w14:textId="77777777" w:rsidR="00372953" w:rsidRPr="00372953" w:rsidRDefault="00372953" w:rsidP="007E48A3">
            <w:pPr>
              <w:widowControl/>
              <w:spacing w:line="240" w:lineRule="exact"/>
              <w:jc w:val="center"/>
              <w:rPr>
                <w:kern w:val="0"/>
                <w:szCs w:val="21"/>
              </w:rPr>
            </w:pPr>
            <w:r w:rsidRPr="00372953">
              <w:rPr>
                <w:kern w:val="0"/>
                <w:szCs w:val="21"/>
              </w:rPr>
              <w:t>2.09</w:t>
            </w:r>
          </w:p>
        </w:tc>
        <w:tc>
          <w:tcPr>
            <w:tcW w:w="771" w:type="pct"/>
            <w:tcBorders>
              <w:top w:val="nil"/>
              <w:left w:val="nil"/>
              <w:bottom w:val="single" w:sz="4" w:space="0" w:color="auto"/>
              <w:right w:val="single" w:sz="4" w:space="0" w:color="auto"/>
            </w:tcBorders>
            <w:vAlign w:val="center"/>
          </w:tcPr>
          <w:p w14:paraId="3EDF33B0" w14:textId="77777777" w:rsidR="00372953" w:rsidRPr="00372953" w:rsidRDefault="00372953" w:rsidP="007E48A3">
            <w:pPr>
              <w:widowControl/>
              <w:spacing w:line="240" w:lineRule="exact"/>
              <w:jc w:val="center"/>
              <w:rPr>
                <w:kern w:val="0"/>
                <w:szCs w:val="21"/>
              </w:rPr>
            </w:pPr>
            <w:r w:rsidRPr="00372953">
              <w:rPr>
                <w:kern w:val="0"/>
                <w:szCs w:val="21"/>
              </w:rPr>
              <w:t>53.4</w:t>
            </w:r>
          </w:p>
        </w:tc>
        <w:tc>
          <w:tcPr>
            <w:tcW w:w="616" w:type="pct"/>
            <w:tcBorders>
              <w:top w:val="nil"/>
              <w:left w:val="nil"/>
              <w:bottom w:val="single" w:sz="4" w:space="0" w:color="auto"/>
              <w:right w:val="single" w:sz="4" w:space="0" w:color="auto"/>
            </w:tcBorders>
            <w:vAlign w:val="center"/>
          </w:tcPr>
          <w:p w14:paraId="13CEC354" w14:textId="77777777" w:rsidR="00372953" w:rsidRPr="00372953" w:rsidRDefault="00372953" w:rsidP="007E48A3">
            <w:pPr>
              <w:widowControl/>
              <w:spacing w:line="240" w:lineRule="exact"/>
              <w:jc w:val="center"/>
              <w:rPr>
                <w:kern w:val="0"/>
                <w:szCs w:val="21"/>
              </w:rPr>
            </w:pPr>
            <w:r w:rsidRPr="00372953">
              <w:rPr>
                <w:kern w:val="0"/>
                <w:szCs w:val="21"/>
              </w:rPr>
              <w:t>0.004</w:t>
            </w:r>
          </w:p>
        </w:tc>
        <w:tc>
          <w:tcPr>
            <w:tcW w:w="598" w:type="pct"/>
            <w:tcBorders>
              <w:top w:val="nil"/>
              <w:left w:val="nil"/>
              <w:bottom w:val="single" w:sz="4" w:space="0" w:color="auto"/>
              <w:right w:val="single" w:sz="4" w:space="0" w:color="auto"/>
            </w:tcBorders>
            <w:vAlign w:val="center"/>
          </w:tcPr>
          <w:p w14:paraId="7E281F90" w14:textId="77777777" w:rsidR="00372953" w:rsidRPr="00372953" w:rsidRDefault="00372953" w:rsidP="007E48A3">
            <w:pPr>
              <w:widowControl/>
              <w:spacing w:line="240" w:lineRule="exact"/>
              <w:jc w:val="center"/>
              <w:rPr>
                <w:kern w:val="0"/>
                <w:szCs w:val="21"/>
              </w:rPr>
            </w:pPr>
            <w:r w:rsidRPr="00372953">
              <w:rPr>
                <w:kern w:val="0"/>
                <w:szCs w:val="21"/>
              </w:rPr>
              <w:t>0.04</w:t>
            </w:r>
          </w:p>
        </w:tc>
      </w:tr>
      <w:tr w:rsidR="00372953" w:rsidRPr="00372953" w14:paraId="2EB8D7D4" w14:textId="77777777" w:rsidTr="007E48A3">
        <w:trPr>
          <w:trHeight w:val="300"/>
        </w:trPr>
        <w:tc>
          <w:tcPr>
            <w:tcW w:w="696" w:type="pct"/>
            <w:vMerge/>
            <w:tcBorders>
              <w:top w:val="nil"/>
              <w:left w:val="single" w:sz="4" w:space="0" w:color="auto"/>
              <w:bottom w:val="single" w:sz="4" w:space="0" w:color="000000"/>
              <w:right w:val="single" w:sz="4" w:space="0" w:color="auto"/>
            </w:tcBorders>
            <w:vAlign w:val="center"/>
          </w:tcPr>
          <w:p w14:paraId="67FA1E74" w14:textId="77777777" w:rsidR="00372953" w:rsidRPr="00372953" w:rsidRDefault="00372953" w:rsidP="007E48A3">
            <w:pPr>
              <w:widowControl/>
              <w:spacing w:line="240" w:lineRule="exact"/>
              <w:jc w:val="center"/>
              <w:rPr>
                <w:kern w:val="0"/>
                <w:szCs w:val="21"/>
              </w:rPr>
            </w:pPr>
          </w:p>
        </w:tc>
        <w:tc>
          <w:tcPr>
            <w:tcW w:w="848" w:type="pct"/>
            <w:vMerge/>
            <w:tcBorders>
              <w:top w:val="nil"/>
              <w:left w:val="single" w:sz="4" w:space="0" w:color="auto"/>
              <w:bottom w:val="single" w:sz="4" w:space="0" w:color="auto"/>
              <w:right w:val="single" w:sz="4" w:space="0" w:color="auto"/>
            </w:tcBorders>
            <w:vAlign w:val="center"/>
          </w:tcPr>
          <w:p w14:paraId="016F3C95" w14:textId="77777777" w:rsidR="00372953" w:rsidRPr="00372953" w:rsidRDefault="00372953" w:rsidP="007E48A3">
            <w:pPr>
              <w:widowControl/>
              <w:spacing w:line="240" w:lineRule="exact"/>
              <w:jc w:val="center"/>
              <w:rPr>
                <w:kern w:val="0"/>
                <w:szCs w:val="21"/>
              </w:rPr>
            </w:pPr>
          </w:p>
        </w:tc>
        <w:tc>
          <w:tcPr>
            <w:tcW w:w="772" w:type="pct"/>
            <w:tcBorders>
              <w:top w:val="nil"/>
              <w:left w:val="nil"/>
              <w:bottom w:val="single" w:sz="4" w:space="0" w:color="auto"/>
              <w:right w:val="single" w:sz="4" w:space="0" w:color="auto"/>
            </w:tcBorders>
            <w:vAlign w:val="center"/>
          </w:tcPr>
          <w:p w14:paraId="2373DDF2" w14:textId="77777777" w:rsidR="00372953" w:rsidRPr="00372953" w:rsidRDefault="00372953" w:rsidP="007E48A3">
            <w:pPr>
              <w:widowControl/>
              <w:spacing w:line="240" w:lineRule="exact"/>
              <w:jc w:val="center"/>
              <w:rPr>
                <w:kern w:val="0"/>
                <w:szCs w:val="21"/>
              </w:rPr>
            </w:pPr>
            <w:r w:rsidRPr="00372953">
              <w:rPr>
                <w:kern w:val="0"/>
                <w:szCs w:val="21"/>
              </w:rPr>
              <w:t>达标</w:t>
            </w:r>
          </w:p>
        </w:tc>
        <w:tc>
          <w:tcPr>
            <w:tcW w:w="695" w:type="pct"/>
            <w:tcBorders>
              <w:top w:val="nil"/>
              <w:left w:val="nil"/>
              <w:bottom w:val="single" w:sz="4" w:space="0" w:color="auto"/>
              <w:right w:val="single" w:sz="4" w:space="0" w:color="auto"/>
            </w:tcBorders>
            <w:vAlign w:val="center"/>
          </w:tcPr>
          <w:p w14:paraId="2F166123" w14:textId="77777777" w:rsidR="00372953" w:rsidRPr="00372953" w:rsidRDefault="00372953" w:rsidP="007E48A3">
            <w:pPr>
              <w:widowControl/>
              <w:spacing w:line="240" w:lineRule="exact"/>
              <w:jc w:val="center"/>
              <w:rPr>
                <w:kern w:val="0"/>
                <w:szCs w:val="21"/>
              </w:rPr>
            </w:pPr>
            <w:r w:rsidRPr="00372953">
              <w:rPr>
                <w:kern w:val="0"/>
                <w:szCs w:val="21"/>
              </w:rPr>
              <w:t>达标</w:t>
            </w:r>
          </w:p>
        </w:tc>
        <w:tc>
          <w:tcPr>
            <w:tcW w:w="771" w:type="pct"/>
            <w:tcBorders>
              <w:top w:val="nil"/>
              <w:left w:val="nil"/>
              <w:bottom w:val="single" w:sz="4" w:space="0" w:color="auto"/>
              <w:right w:val="single" w:sz="4" w:space="0" w:color="auto"/>
            </w:tcBorders>
            <w:vAlign w:val="center"/>
          </w:tcPr>
          <w:p w14:paraId="089940FD" w14:textId="77777777" w:rsidR="00372953" w:rsidRPr="00372953" w:rsidRDefault="00372953" w:rsidP="007E48A3">
            <w:pPr>
              <w:widowControl/>
              <w:spacing w:line="240" w:lineRule="exact"/>
              <w:jc w:val="center"/>
              <w:rPr>
                <w:kern w:val="0"/>
                <w:szCs w:val="21"/>
              </w:rPr>
            </w:pPr>
            <w:r w:rsidRPr="00372953">
              <w:rPr>
                <w:kern w:val="0"/>
                <w:szCs w:val="21"/>
              </w:rPr>
              <w:t>达标</w:t>
            </w:r>
          </w:p>
        </w:tc>
        <w:tc>
          <w:tcPr>
            <w:tcW w:w="616" w:type="pct"/>
            <w:tcBorders>
              <w:top w:val="nil"/>
              <w:left w:val="nil"/>
              <w:bottom w:val="single" w:sz="4" w:space="0" w:color="auto"/>
              <w:right w:val="single" w:sz="4" w:space="0" w:color="auto"/>
            </w:tcBorders>
            <w:vAlign w:val="center"/>
          </w:tcPr>
          <w:p w14:paraId="7A5EEDC1" w14:textId="77777777" w:rsidR="00372953" w:rsidRPr="00372953" w:rsidRDefault="00372953" w:rsidP="007E48A3">
            <w:pPr>
              <w:widowControl/>
              <w:spacing w:line="240" w:lineRule="exact"/>
              <w:jc w:val="center"/>
              <w:rPr>
                <w:kern w:val="0"/>
                <w:szCs w:val="21"/>
              </w:rPr>
            </w:pPr>
            <w:r w:rsidRPr="00372953">
              <w:rPr>
                <w:kern w:val="0"/>
                <w:szCs w:val="21"/>
              </w:rPr>
              <w:t>达标</w:t>
            </w:r>
          </w:p>
        </w:tc>
        <w:tc>
          <w:tcPr>
            <w:tcW w:w="598" w:type="pct"/>
            <w:tcBorders>
              <w:top w:val="nil"/>
              <w:left w:val="nil"/>
              <w:bottom w:val="single" w:sz="4" w:space="0" w:color="auto"/>
              <w:right w:val="single" w:sz="4" w:space="0" w:color="auto"/>
            </w:tcBorders>
            <w:vAlign w:val="center"/>
          </w:tcPr>
          <w:p w14:paraId="26D40461" w14:textId="77777777" w:rsidR="00372953" w:rsidRPr="00372953" w:rsidRDefault="00372953" w:rsidP="007E48A3">
            <w:pPr>
              <w:widowControl/>
              <w:spacing w:line="240" w:lineRule="exact"/>
              <w:jc w:val="center"/>
              <w:rPr>
                <w:kern w:val="0"/>
                <w:szCs w:val="21"/>
              </w:rPr>
            </w:pPr>
            <w:r w:rsidRPr="00372953">
              <w:rPr>
                <w:kern w:val="0"/>
                <w:szCs w:val="21"/>
              </w:rPr>
              <w:t>达标</w:t>
            </w:r>
          </w:p>
        </w:tc>
      </w:tr>
      <w:tr w:rsidR="00372953" w:rsidRPr="00372953" w14:paraId="6EA4322E" w14:textId="77777777" w:rsidTr="007E48A3">
        <w:trPr>
          <w:trHeight w:val="291"/>
        </w:trPr>
        <w:tc>
          <w:tcPr>
            <w:tcW w:w="696" w:type="pct"/>
            <w:vMerge/>
            <w:tcBorders>
              <w:top w:val="nil"/>
              <w:left w:val="single" w:sz="4" w:space="0" w:color="auto"/>
              <w:bottom w:val="single" w:sz="4" w:space="0" w:color="000000"/>
              <w:right w:val="single" w:sz="4" w:space="0" w:color="auto"/>
            </w:tcBorders>
            <w:vAlign w:val="center"/>
          </w:tcPr>
          <w:p w14:paraId="043CAAA6" w14:textId="77777777" w:rsidR="00372953" w:rsidRPr="00372953" w:rsidRDefault="00372953" w:rsidP="007E48A3">
            <w:pPr>
              <w:widowControl/>
              <w:spacing w:line="240" w:lineRule="exact"/>
              <w:jc w:val="center"/>
              <w:rPr>
                <w:kern w:val="0"/>
                <w:szCs w:val="21"/>
              </w:rPr>
            </w:pPr>
          </w:p>
        </w:tc>
        <w:tc>
          <w:tcPr>
            <w:tcW w:w="848" w:type="pct"/>
            <w:vMerge w:val="restart"/>
            <w:tcBorders>
              <w:top w:val="nil"/>
              <w:left w:val="single" w:sz="4" w:space="0" w:color="auto"/>
              <w:bottom w:val="single" w:sz="4" w:space="0" w:color="auto"/>
              <w:right w:val="single" w:sz="4" w:space="0" w:color="auto"/>
            </w:tcBorders>
            <w:vAlign w:val="center"/>
          </w:tcPr>
          <w:p w14:paraId="266B527C" w14:textId="77777777" w:rsidR="00372953" w:rsidRPr="00372953" w:rsidRDefault="00372953" w:rsidP="007E48A3">
            <w:pPr>
              <w:widowControl/>
              <w:spacing w:line="240" w:lineRule="exact"/>
              <w:jc w:val="center"/>
              <w:rPr>
                <w:kern w:val="0"/>
                <w:szCs w:val="21"/>
              </w:rPr>
            </w:pPr>
            <w:r w:rsidRPr="00372953">
              <w:rPr>
                <w:kern w:val="0"/>
                <w:szCs w:val="21"/>
              </w:rPr>
              <w:t>丰水期</w:t>
            </w:r>
            <w:r w:rsidRPr="00372953">
              <w:rPr>
                <w:kern w:val="0"/>
                <w:szCs w:val="21"/>
              </w:rPr>
              <w:t>9</w:t>
            </w:r>
            <w:r w:rsidRPr="00372953">
              <w:rPr>
                <w:kern w:val="0"/>
                <w:szCs w:val="21"/>
              </w:rPr>
              <w:t>月</w:t>
            </w:r>
          </w:p>
        </w:tc>
        <w:tc>
          <w:tcPr>
            <w:tcW w:w="772" w:type="pct"/>
            <w:tcBorders>
              <w:top w:val="nil"/>
              <w:left w:val="nil"/>
              <w:bottom w:val="single" w:sz="4" w:space="0" w:color="auto"/>
              <w:right w:val="single" w:sz="4" w:space="0" w:color="auto"/>
            </w:tcBorders>
            <w:noWrap/>
            <w:vAlign w:val="center"/>
          </w:tcPr>
          <w:p w14:paraId="7E483104" w14:textId="77777777" w:rsidR="00372953" w:rsidRPr="00372953" w:rsidRDefault="00372953" w:rsidP="007E48A3">
            <w:pPr>
              <w:widowControl/>
              <w:spacing w:line="240" w:lineRule="exact"/>
              <w:jc w:val="center"/>
              <w:rPr>
                <w:kern w:val="0"/>
                <w:szCs w:val="21"/>
              </w:rPr>
            </w:pPr>
            <w:r w:rsidRPr="00372953">
              <w:rPr>
                <w:kern w:val="0"/>
                <w:szCs w:val="21"/>
              </w:rPr>
              <w:t xml:space="preserve">15.90 </w:t>
            </w:r>
          </w:p>
        </w:tc>
        <w:tc>
          <w:tcPr>
            <w:tcW w:w="695" w:type="pct"/>
            <w:tcBorders>
              <w:top w:val="nil"/>
              <w:left w:val="nil"/>
              <w:bottom w:val="single" w:sz="4" w:space="0" w:color="auto"/>
              <w:right w:val="single" w:sz="4" w:space="0" w:color="auto"/>
            </w:tcBorders>
            <w:noWrap/>
            <w:vAlign w:val="center"/>
          </w:tcPr>
          <w:p w14:paraId="328D5BB8" w14:textId="77777777" w:rsidR="00372953" w:rsidRPr="00372953" w:rsidRDefault="00372953" w:rsidP="007E48A3">
            <w:pPr>
              <w:widowControl/>
              <w:spacing w:line="240" w:lineRule="exact"/>
              <w:jc w:val="center"/>
              <w:rPr>
                <w:kern w:val="0"/>
                <w:szCs w:val="21"/>
              </w:rPr>
            </w:pPr>
            <w:r w:rsidRPr="00372953">
              <w:rPr>
                <w:kern w:val="0"/>
                <w:szCs w:val="21"/>
              </w:rPr>
              <w:t xml:space="preserve">2.17 </w:t>
            </w:r>
          </w:p>
        </w:tc>
        <w:tc>
          <w:tcPr>
            <w:tcW w:w="771" w:type="pct"/>
            <w:tcBorders>
              <w:top w:val="nil"/>
              <w:left w:val="nil"/>
              <w:bottom w:val="single" w:sz="4" w:space="0" w:color="auto"/>
              <w:right w:val="single" w:sz="4" w:space="0" w:color="auto"/>
            </w:tcBorders>
            <w:noWrap/>
            <w:vAlign w:val="center"/>
          </w:tcPr>
          <w:p w14:paraId="74045FA8" w14:textId="77777777" w:rsidR="00372953" w:rsidRPr="00372953" w:rsidRDefault="00372953" w:rsidP="007E48A3">
            <w:pPr>
              <w:widowControl/>
              <w:spacing w:line="240" w:lineRule="exact"/>
              <w:jc w:val="center"/>
              <w:rPr>
                <w:kern w:val="0"/>
                <w:szCs w:val="21"/>
              </w:rPr>
            </w:pPr>
            <w:r w:rsidRPr="00372953">
              <w:rPr>
                <w:kern w:val="0"/>
                <w:szCs w:val="21"/>
              </w:rPr>
              <w:t xml:space="preserve">51.70 </w:t>
            </w:r>
          </w:p>
        </w:tc>
        <w:tc>
          <w:tcPr>
            <w:tcW w:w="616" w:type="pct"/>
            <w:tcBorders>
              <w:top w:val="nil"/>
              <w:left w:val="nil"/>
              <w:bottom w:val="single" w:sz="4" w:space="0" w:color="auto"/>
              <w:right w:val="single" w:sz="4" w:space="0" w:color="auto"/>
            </w:tcBorders>
            <w:noWrap/>
            <w:vAlign w:val="center"/>
          </w:tcPr>
          <w:p w14:paraId="66D6AA9D" w14:textId="77777777" w:rsidR="00372953" w:rsidRPr="00372953" w:rsidRDefault="00372953" w:rsidP="007E48A3">
            <w:pPr>
              <w:widowControl/>
              <w:spacing w:line="240" w:lineRule="exact"/>
              <w:jc w:val="center"/>
              <w:rPr>
                <w:kern w:val="0"/>
                <w:szCs w:val="21"/>
              </w:rPr>
            </w:pPr>
            <w:r w:rsidRPr="00372953">
              <w:rPr>
                <w:kern w:val="0"/>
                <w:szCs w:val="21"/>
              </w:rPr>
              <w:t xml:space="preserve">0.01 </w:t>
            </w:r>
          </w:p>
        </w:tc>
        <w:tc>
          <w:tcPr>
            <w:tcW w:w="598" w:type="pct"/>
            <w:tcBorders>
              <w:top w:val="nil"/>
              <w:left w:val="nil"/>
              <w:bottom w:val="single" w:sz="4" w:space="0" w:color="auto"/>
              <w:right w:val="single" w:sz="4" w:space="0" w:color="auto"/>
            </w:tcBorders>
            <w:noWrap/>
            <w:vAlign w:val="center"/>
          </w:tcPr>
          <w:p w14:paraId="545C292B" w14:textId="77777777" w:rsidR="00372953" w:rsidRPr="00372953" w:rsidRDefault="00372953" w:rsidP="007E48A3">
            <w:pPr>
              <w:widowControl/>
              <w:spacing w:line="240" w:lineRule="exact"/>
              <w:jc w:val="center"/>
              <w:rPr>
                <w:kern w:val="0"/>
                <w:szCs w:val="21"/>
              </w:rPr>
            </w:pPr>
            <w:r w:rsidRPr="00372953">
              <w:rPr>
                <w:kern w:val="0"/>
                <w:szCs w:val="21"/>
              </w:rPr>
              <w:t xml:space="preserve">0.20 </w:t>
            </w:r>
          </w:p>
        </w:tc>
      </w:tr>
      <w:tr w:rsidR="00372953" w:rsidRPr="00372953" w14:paraId="5AA43423" w14:textId="77777777" w:rsidTr="007E48A3">
        <w:trPr>
          <w:trHeight w:val="54"/>
        </w:trPr>
        <w:tc>
          <w:tcPr>
            <w:tcW w:w="696" w:type="pct"/>
            <w:vMerge/>
            <w:tcBorders>
              <w:top w:val="nil"/>
              <w:left w:val="single" w:sz="4" w:space="0" w:color="auto"/>
              <w:bottom w:val="single" w:sz="4" w:space="0" w:color="000000"/>
              <w:right w:val="single" w:sz="4" w:space="0" w:color="auto"/>
            </w:tcBorders>
            <w:vAlign w:val="center"/>
          </w:tcPr>
          <w:p w14:paraId="2C260D91" w14:textId="77777777" w:rsidR="00372953" w:rsidRPr="00372953" w:rsidRDefault="00372953" w:rsidP="007E48A3">
            <w:pPr>
              <w:widowControl/>
              <w:spacing w:line="240" w:lineRule="exact"/>
              <w:jc w:val="center"/>
              <w:rPr>
                <w:kern w:val="0"/>
                <w:szCs w:val="21"/>
              </w:rPr>
            </w:pPr>
          </w:p>
        </w:tc>
        <w:tc>
          <w:tcPr>
            <w:tcW w:w="848" w:type="pct"/>
            <w:vMerge/>
            <w:tcBorders>
              <w:top w:val="nil"/>
              <w:left w:val="single" w:sz="4" w:space="0" w:color="auto"/>
              <w:bottom w:val="single" w:sz="4" w:space="0" w:color="auto"/>
              <w:right w:val="single" w:sz="4" w:space="0" w:color="auto"/>
            </w:tcBorders>
            <w:vAlign w:val="center"/>
          </w:tcPr>
          <w:p w14:paraId="4AE33B15" w14:textId="77777777" w:rsidR="00372953" w:rsidRPr="00372953" w:rsidRDefault="00372953" w:rsidP="007E48A3">
            <w:pPr>
              <w:widowControl/>
              <w:spacing w:line="240" w:lineRule="exact"/>
              <w:jc w:val="center"/>
              <w:rPr>
                <w:kern w:val="0"/>
                <w:szCs w:val="21"/>
              </w:rPr>
            </w:pPr>
          </w:p>
        </w:tc>
        <w:tc>
          <w:tcPr>
            <w:tcW w:w="772" w:type="pct"/>
            <w:tcBorders>
              <w:top w:val="nil"/>
              <w:left w:val="nil"/>
              <w:bottom w:val="single" w:sz="4" w:space="0" w:color="auto"/>
              <w:right w:val="single" w:sz="4" w:space="0" w:color="auto"/>
            </w:tcBorders>
          </w:tcPr>
          <w:p w14:paraId="0A5E7271" w14:textId="77777777" w:rsidR="00372953" w:rsidRPr="00372953" w:rsidRDefault="00372953" w:rsidP="007E48A3">
            <w:pPr>
              <w:widowControl/>
              <w:spacing w:line="240" w:lineRule="exact"/>
              <w:jc w:val="center"/>
              <w:rPr>
                <w:kern w:val="0"/>
                <w:szCs w:val="21"/>
              </w:rPr>
            </w:pPr>
            <w:r w:rsidRPr="00372953">
              <w:rPr>
                <w:kern w:val="0"/>
                <w:szCs w:val="21"/>
              </w:rPr>
              <w:t>达标</w:t>
            </w:r>
          </w:p>
        </w:tc>
        <w:tc>
          <w:tcPr>
            <w:tcW w:w="695" w:type="pct"/>
            <w:tcBorders>
              <w:top w:val="nil"/>
              <w:left w:val="nil"/>
              <w:bottom w:val="single" w:sz="4" w:space="0" w:color="auto"/>
              <w:right w:val="single" w:sz="4" w:space="0" w:color="auto"/>
            </w:tcBorders>
          </w:tcPr>
          <w:p w14:paraId="64591C69" w14:textId="77777777" w:rsidR="00372953" w:rsidRPr="00372953" w:rsidRDefault="00372953" w:rsidP="007E48A3">
            <w:pPr>
              <w:widowControl/>
              <w:spacing w:line="240" w:lineRule="exact"/>
              <w:jc w:val="center"/>
              <w:rPr>
                <w:kern w:val="0"/>
                <w:szCs w:val="21"/>
              </w:rPr>
            </w:pPr>
            <w:r w:rsidRPr="00372953">
              <w:rPr>
                <w:kern w:val="0"/>
                <w:szCs w:val="21"/>
              </w:rPr>
              <w:t>达标</w:t>
            </w:r>
          </w:p>
        </w:tc>
        <w:tc>
          <w:tcPr>
            <w:tcW w:w="771" w:type="pct"/>
            <w:tcBorders>
              <w:top w:val="nil"/>
              <w:left w:val="nil"/>
              <w:bottom w:val="single" w:sz="4" w:space="0" w:color="auto"/>
              <w:right w:val="single" w:sz="4" w:space="0" w:color="auto"/>
            </w:tcBorders>
          </w:tcPr>
          <w:p w14:paraId="49A3CD4C" w14:textId="77777777" w:rsidR="00372953" w:rsidRPr="00372953" w:rsidRDefault="00372953" w:rsidP="007E48A3">
            <w:pPr>
              <w:widowControl/>
              <w:spacing w:line="240" w:lineRule="exact"/>
              <w:jc w:val="center"/>
              <w:rPr>
                <w:kern w:val="0"/>
                <w:szCs w:val="21"/>
              </w:rPr>
            </w:pPr>
            <w:r w:rsidRPr="00372953">
              <w:rPr>
                <w:kern w:val="0"/>
                <w:szCs w:val="21"/>
              </w:rPr>
              <w:t>达标</w:t>
            </w:r>
          </w:p>
        </w:tc>
        <w:tc>
          <w:tcPr>
            <w:tcW w:w="616" w:type="pct"/>
            <w:tcBorders>
              <w:top w:val="nil"/>
              <w:left w:val="nil"/>
              <w:bottom w:val="single" w:sz="4" w:space="0" w:color="auto"/>
              <w:right w:val="single" w:sz="4" w:space="0" w:color="auto"/>
            </w:tcBorders>
          </w:tcPr>
          <w:p w14:paraId="2C07BEB1" w14:textId="77777777" w:rsidR="00372953" w:rsidRPr="00372953" w:rsidRDefault="00372953" w:rsidP="007E48A3">
            <w:pPr>
              <w:widowControl/>
              <w:spacing w:line="240" w:lineRule="exact"/>
              <w:jc w:val="center"/>
              <w:rPr>
                <w:kern w:val="0"/>
                <w:szCs w:val="21"/>
              </w:rPr>
            </w:pPr>
            <w:r w:rsidRPr="00372953">
              <w:rPr>
                <w:kern w:val="0"/>
                <w:szCs w:val="21"/>
              </w:rPr>
              <w:t>达标</w:t>
            </w:r>
          </w:p>
        </w:tc>
        <w:tc>
          <w:tcPr>
            <w:tcW w:w="598" w:type="pct"/>
            <w:tcBorders>
              <w:top w:val="nil"/>
              <w:left w:val="nil"/>
              <w:bottom w:val="single" w:sz="4" w:space="0" w:color="auto"/>
              <w:right w:val="single" w:sz="4" w:space="0" w:color="auto"/>
            </w:tcBorders>
          </w:tcPr>
          <w:p w14:paraId="402B5D39" w14:textId="77777777" w:rsidR="00372953" w:rsidRPr="00372953" w:rsidRDefault="00372953" w:rsidP="007E48A3">
            <w:pPr>
              <w:widowControl/>
              <w:spacing w:line="240" w:lineRule="exact"/>
              <w:jc w:val="center"/>
              <w:rPr>
                <w:kern w:val="0"/>
                <w:szCs w:val="21"/>
              </w:rPr>
            </w:pPr>
            <w:r w:rsidRPr="00372953">
              <w:rPr>
                <w:kern w:val="0"/>
                <w:szCs w:val="21"/>
              </w:rPr>
              <w:t>达标</w:t>
            </w:r>
          </w:p>
        </w:tc>
      </w:tr>
    </w:tbl>
    <w:p w14:paraId="68711A26" w14:textId="77777777" w:rsidR="00372953" w:rsidRDefault="00372953" w:rsidP="00372953">
      <w:pPr>
        <w:widowControl/>
        <w:snapToGrid w:val="0"/>
        <w:spacing w:line="360" w:lineRule="auto"/>
        <w:ind w:firstLineChars="200" w:firstLine="480"/>
        <w:rPr>
          <w:bCs/>
          <w:color w:val="0000FF"/>
          <w:sz w:val="24"/>
          <w:szCs w:val="24"/>
          <w:highlight w:val="green"/>
        </w:rPr>
      </w:pPr>
    </w:p>
    <w:p w14:paraId="5605122C" w14:textId="77777777" w:rsidR="00372953" w:rsidRDefault="00372953" w:rsidP="00372953">
      <w:pPr>
        <w:widowControl/>
        <w:snapToGrid w:val="0"/>
        <w:spacing w:line="360" w:lineRule="auto"/>
        <w:ind w:firstLineChars="200" w:firstLine="480"/>
        <w:rPr>
          <w:bCs/>
          <w:color w:val="0000FF"/>
          <w:sz w:val="24"/>
          <w:szCs w:val="24"/>
          <w:highlight w:val="green"/>
        </w:rPr>
      </w:pPr>
    </w:p>
    <w:p w14:paraId="1B97112E" w14:textId="77777777" w:rsidR="00372953" w:rsidRDefault="00372953" w:rsidP="00372953">
      <w:pPr>
        <w:widowControl/>
        <w:snapToGrid w:val="0"/>
        <w:spacing w:line="360" w:lineRule="auto"/>
        <w:ind w:firstLineChars="200" w:firstLine="480"/>
        <w:rPr>
          <w:bCs/>
          <w:color w:val="0000FF"/>
          <w:sz w:val="24"/>
          <w:szCs w:val="24"/>
          <w:highlight w:val="green"/>
        </w:rPr>
        <w:sectPr w:rsidR="00372953" w:rsidSect="00372953">
          <w:pgSz w:w="11906" w:h="16838"/>
          <w:pgMar w:top="1440" w:right="1800" w:bottom="1440" w:left="1800" w:header="851" w:footer="992" w:gutter="0"/>
          <w:cols w:space="425"/>
          <w:docGrid w:type="lines" w:linePitch="312"/>
        </w:sectPr>
      </w:pPr>
    </w:p>
    <w:p w14:paraId="0D7ADA78" w14:textId="79AF3F24" w:rsidR="00372953" w:rsidRPr="00372953" w:rsidRDefault="00372953" w:rsidP="00372953">
      <w:pPr>
        <w:pStyle w:val="aff8"/>
      </w:pPr>
      <w:r w:rsidRPr="00372953">
        <w:t>表</w:t>
      </w:r>
      <w:r w:rsidRPr="00372953">
        <w:t xml:space="preserve"> </w:t>
      </w:r>
      <w:fldSimple w:instr=" STYLEREF 2 \s ">
        <w:r>
          <w:rPr>
            <w:noProof/>
          </w:rPr>
          <w:t>3.3</w:t>
        </w:r>
      </w:fldSimple>
      <w:r w:rsidRPr="00372953">
        <w:noBreakHyphen/>
      </w:r>
      <w:r w:rsidRPr="00372953">
        <w:fldChar w:fldCharType="begin"/>
      </w:r>
      <w:r w:rsidRPr="00372953">
        <w:instrText xml:space="preserve"> SEQ </w:instrText>
      </w:r>
      <w:r w:rsidRPr="00372953">
        <w:instrText>表</w:instrText>
      </w:r>
      <w:r w:rsidRPr="00372953">
        <w:instrText xml:space="preserve"> \* ARABIC \s 2 </w:instrText>
      </w:r>
      <w:r w:rsidRPr="00372953">
        <w:fldChar w:fldCharType="separate"/>
      </w:r>
      <w:r>
        <w:rPr>
          <w:noProof/>
        </w:rPr>
        <w:t>23</w:t>
      </w:r>
      <w:r w:rsidRPr="00372953">
        <w:fldChar w:fldCharType="end"/>
      </w:r>
      <w:r w:rsidRPr="00372953">
        <w:rPr>
          <w:rFonts w:hint="eastAsia"/>
        </w:rPr>
        <w:t xml:space="preserve"> </w:t>
      </w:r>
      <w:r w:rsidRPr="00372953">
        <w:rPr>
          <w:rFonts w:hint="eastAsia"/>
        </w:rPr>
        <w:t>共和县、兴海县集中式生活饮用水水源地水质状况</w:t>
      </w:r>
    </w:p>
    <w:tbl>
      <w:tblPr>
        <w:tblW w:w="5000" w:type="pct"/>
        <w:tblLook w:val="04A0" w:firstRow="1" w:lastRow="0" w:firstColumn="1" w:lastColumn="0" w:noHBand="0" w:noVBand="1"/>
      </w:tblPr>
      <w:tblGrid>
        <w:gridCol w:w="484"/>
        <w:gridCol w:w="838"/>
        <w:gridCol w:w="2235"/>
        <w:gridCol w:w="837"/>
        <w:gridCol w:w="1428"/>
        <w:gridCol w:w="6023"/>
        <w:gridCol w:w="862"/>
        <w:gridCol w:w="1241"/>
      </w:tblGrid>
      <w:tr w:rsidR="00372953" w:rsidRPr="00372953" w14:paraId="03AFAB60" w14:textId="77777777" w:rsidTr="007E48A3">
        <w:trPr>
          <w:trHeight w:val="540"/>
        </w:trPr>
        <w:tc>
          <w:tcPr>
            <w:tcW w:w="173" w:type="pct"/>
            <w:tcBorders>
              <w:top w:val="single" w:sz="4" w:space="0" w:color="000000"/>
              <w:left w:val="single" w:sz="4" w:space="0" w:color="000000"/>
              <w:bottom w:val="nil"/>
              <w:right w:val="single" w:sz="4" w:space="0" w:color="000000"/>
            </w:tcBorders>
            <w:vAlign w:val="center"/>
          </w:tcPr>
          <w:p w14:paraId="3D1BEF62" w14:textId="77777777" w:rsidR="00372953" w:rsidRPr="00372953" w:rsidRDefault="00372953" w:rsidP="007E48A3">
            <w:pPr>
              <w:widowControl/>
              <w:jc w:val="center"/>
              <w:textAlignment w:val="center"/>
              <w:rPr>
                <w:rFonts w:eastAsiaTheme="minorEastAsia"/>
                <w:b/>
                <w:bCs/>
                <w:sz w:val="16"/>
                <w:szCs w:val="16"/>
              </w:rPr>
            </w:pPr>
            <w:r w:rsidRPr="00372953">
              <w:rPr>
                <w:rFonts w:eastAsiaTheme="minorEastAsia"/>
                <w:b/>
                <w:bCs/>
                <w:kern w:val="0"/>
                <w:sz w:val="16"/>
                <w:szCs w:val="16"/>
                <w:lang w:bidi="ar"/>
              </w:rPr>
              <w:t>序号</w:t>
            </w:r>
          </w:p>
        </w:tc>
        <w:tc>
          <w:tcPr>
            <w:tcW w:w="300" w:type="pct"/>
            <w:tcBorders>
              <w:top w:val="single" w:sz="4" w:space="0" w:color="000000"/>
              <w:left w:val="single" w:sz="4" w:space="0" w:color="000000"/>
              <w:bottom w:val="nil"/>
              <w:right w:val="single" w:sz="4" w:space="0" w:color="000000"/>
            </w:tcBorders>
            <w:vAlign w:val="center"/>
          </w:tcPr>
          <w:p w14:paraId="73BB4882" w14:textId="77777777" w:rsidR="00372953" w:rsidRPr="00372953" w:rsidRDefault="00372953" w:rsidP="007E48A3">
            <w:pPr>
              <w:widowControl/>
              <w:jc w:val="center"/>
              <w:textAlignment w:val="center"/>
              <w:rPr>
                <w:rFonts w:eastAsiaTheme="minorEastAsia"/>
                <w:b/>
                <w:bCs/>
                <w:sz w:val="16"/>
                <w:szCs w:val="16"/>
              </w:rPr>
            </w:pPr>
            <w:r w:rsidRPr="00372953">
              <w:rPr>
                <w:rFonts w:eastAsiaTheme="minorEastAsia"/>
                <w:b/>
                <w:bCs/>
                <w:kern w:val="0"/>
                <w:sz w:val="16"/>
                <w:szCs w:val="16"/>
                <w:lang w:bidi="ar"/>
              </w:rPr>
              <w:t>所在区县</w:t>
            </w:r>
          </w:p>
        </w:tc>
        <w:tc>
          <w:tcPr>
            <w:tcW w:w="800" w:type="pct"/>
            <w:tcBorders>
              <w:top w:val="single" w:sz="4" w:space="0" w:color="000000"/>
              <w:left w:val="single" w:sz="4" w:space="0" w:color="000000"/>
              <w:bottom w:val="nil"/>
              <w:right w:val="single" w:sz="4" w:space="0" w:color="000000"/>
            </w:tcBorders>
            <w:vAlign w:val="center"/>
          </w:tcPr>
          <w:p w14:paraId="72D98F1F" w14:textId="77777777" w:rsidR="00372953" w:rsidRPr="00372953" w:rsidRDefault="00372953" w:rsidP="007E48A3">
            <w:pPr>
              <w:widowControl/>
              <w:jc w:val="center"/>
              <w:textAlignment w:val="center"/>
              <w:rPr>
                <w:rFonts w:eastAsiaTheme="minorEastAsia"/>
                <w:b/>
                <w:bCs/>
                <w:sz w:val="16"/>
                <w:szCs w:val="16"/>
              </w:rPr>
            </w:pPr>
            <w:r w:rsidRPr="00372953">
              <w:rPr>
                <w:rFonts w:eastAsiaTheme="minorEastAsia"/>
                <w:b/>
                <w:bCs/>
                <w:kern w:val="0"/>
                <w:sz w:val="16"/>
                <w:szCs w:val="16"/>
                <w:lang w:bidi="ar"/>
              </w:rPr>
              <w:t>水源名称</w:t>
            </w:r>
          </w:p>
        </w:tc>
        <w:tc>
          <w:tcPr>
            <w:tcW w:w="300" w:type="pct"/>
            <w:tcBorders>
              <w:top w:val="single" w:sz="4" w:space="0" w:color="000000"/>
              <w:left w:val="single" w:sz="4" w:space="0" w:color="000000"/>
              <w:bottom w:val="nil"/>
              <w:right w:val="single" w:sz="4" w:space="0" w:color="000000"/>
            </w:tcBorders>
            <w:vAlign w:val="center"/>
          </w:tcPr>
          <w:p w14:paraId="1F5487AF" w14:textId="77777777" w:rsidR="00372953" w:rsidRPr="00372953" w:rsidRDefault="00372953" w:rsidP="007E48A3">
            <w:pPr>
              <w:widowControl/>
              <w:jc w:val="center"/>
              <w:textAlignment w:val="center"/>
              <w:rPr>
                <w:rFonts w:eastAsiaTheme="minorEastAsia"/>
                <w:b/>
                <w:bCs/>
                <w:sz w:val="16"/>
                <w:szCs w:val="16"/>
              </w:rPr>
            </w:pPr>
            <w:r w:rsidRPr="00372953">
              <w:rPr>
                <w:rFonts w:eastAsiaTheme="minorEastAsia"/>
                <w:b/>
                <w:bCs/>
                <w:kern w:val="0"/>
                <w:sz w:val="16"/>
                <w:szCs w:val="16"/>
                <w:lang w:bidi="ar"/>
              </w:rPr>
              <w:t>水源类型</w:t>
            </w:r>
          </w:p>
        </w:tc>
        <w:tc>
          <w:tcPr>
            <w:tcW w:w="512" w:type="pct"/>
            <w:tcBorders>
              <w:top w:val="single" w:sz="4" w:space="0" w:color="000000"/>
              <w:left w:val="single" w:sz="4" w:space="0" w:color="000000"/>
              <w:bottom w:val="nil"/>
              <w:right w:val="single" w:sz="4" w:space="0" w:color="000000"/>
            </w:tcBorders>
            <w:vAlign w:val="center"/>
          </w:tcPr>
          <w:p w14:paraId="08E5FBF3" w14:textId="77777777" w:rsidR="00372953" w:rsidRPr="00372953" w:rsidRDefault="00372953" w:rsidP="007E48A3">
            <w:pPr>
              <w:widowControl/>
              <w:jc w:val="center"/>
              <w:textAlignment w:val="center"/>
              <w:rPr>
                <w:rFonts w:eastAsiaTheme="minorEastAsia"/>
                <w:b/>
                <w:bCs/>
                <w:sz w:val="16"/>
                <w:szCs w:val="16"/>
              </w:rPr>
            </w:pPr>
            <w:r w:rsidRPr="00372953">
              <w:rPr>
                <w:rFonts w:eastAsiaTheme="minorEastAsia"/>
                <w:b/>
                <w:bCs/>
                <w:kern w:val="0"/>
                <w:sz w:val="16"/>
                <w:szCs w:val="16"/>
                <w:lang w:bidi="ar"/>
              </w:rPr>
              <w:t>委托单位</w:t>
            </w:r>
          </w:p>
        </w:tc>
        <w:tc>
          <w:tcPr>
            <w:tcW w:w="2157" w:type="pct"/>
            <w:tcBorders>
              <w:top w:val="single" w:sz="4" w:space="0" w:color="000000"/>
              <w:left w:val="single" w:sz="4" w:space="0" w:color="000000"/>
              <w:bottom w:val="nil"/>
              <w:right w:val="single" w:sz="4" w:space="0" w:color="000000"/>
            </w:tcBorders>
            <w:vAlign w:val="center"/>
          </w:tcPr>
          <w:p w14:paraId="79FF55AB" w14:textId="77777777" w:rsidR="00372953" w:rsidRPr="00372953" w:rsidRDefault="00372953" w:rsidP="007E48A3">
            <w:pPr>
              <w:widowControl/>
              <w:jc w:val="center"/>
              <w:textAlignment w:val="center"/>
              <w:rPr>
                <w:rFonts w:eastAsiaTheme="minorEastAsia"/>
                <w:b/>
                <w:bCs/>
                <w:sz w:val="16"/>
                <w:szCs w:val="16"/>
              </w:rPr>
            </w:pPr>
            <w:r w:rsidRPr="00372953">
              <w:rPr>
                <w:rFonts w:eastAsiaTheme="minorEastAsia"/>
                <w:b/>
                <w:bCs/>
                <w:kern w:val="0"/>
                <w:sz w:val="16"/>
                <w:szCs w:val="16"/>
                <w:lang w:bidi="ar"/>
              </w:rPr>
              <w:t>监测报告名称</w:t>
            </w:r>
          </w:p>
        </w:tc>
        <w:tc>
          <w:tcPr>
            <w:tcW w:w="309" w:type="pct"/>
            <w:tcBorders>
              <w:top w:val="single" w:sz="4" w:space="0" w:color="000000"/>
              <w:left w:val="single" w:sz="4" w:space="0" w:color="000000"/>
              <w:bottom w:val="nil"/>
              <w:right w:val="single" w:sz="4" w:space="0" w:color="000000"/>
            </w:tcBorders>
            <w:vAlign w:val="center"/>
          </w:tcPr>
          <w:p w14:paraId="53866A65" w14:textId="77777777" w:rsidR="00372953" w:rsidRPr="00372953" w:rsidRDefault="00372953" w:rsidP="007E48A3">
            <w:pPr>
              <w:widowControl/>
              <w:jc w:val="center"/>
              <w:textAlignment w:val="center"/>
              <w:rPr>
                <w:rFonts w:eastAsiaTheme="minorEastAsia"/>
                <w:b/>
                <w:bCs/>
                <w:sz w:val="16"/>
                <w:szCs w:val="16"/>
              </w:rPr>
            </w:pPr>
            <w:r w:rsidRPr="00372953">
              <w:rPr>
                <w:rFonts w:eastAsiaTheme="minorEastAsia"/>
                <w:b/>
                <w:bCs/>
                <w:kern w:val="0"/>
                <w:sz w:val="16"/>
                <w:szCs w:val="16"/>
                <w:lang w:bidi="ar"/>
              </w:rPr>
              <w:t>水质是否达标</w:t>
            </w:r>
          </w:p>
        </w:tc>
        <w:tc>
          <w:tcPr>
            <w:tcW w:w="445" w:type="pct"/>
            <w:tcBorders>
              <w:top w:val="single" w:sz="4" w:space="0" w:color="000000"/>
              <w:left w:val="single" w:sz="4" w:space="0" w:color="000000"/>
              <w:bottom w:val="single" w:sz="4" w:space="0" w:color="000000"/>
              <w:right w:val="single" w:sz="4" w:space="0" w:color="000000"/>
            </w:tcBorders>
            <w:vAlign w:val="center"/>
          </w:tcPr>
          <w:p w14:paraId="66AC8679" w14:textId="77777777" w:rsidR="00372953" w:rsidRPr="00372953" w:rsidRDefault="00372953" w:rsidP="007E48A3">
            <w:pPr>
              <w:widowControl/>
              <w:jc w:val="center"/>
              <w:textAlignment w:val="center"/>
              <w:rPr>
                <w:rFonts w:eastAsiaTheme="minorEastAsia"/>
                <w:b/>
                <w:bCs/>
                <w:sz w:val="16"/>
                <w:szCs w:val="16"/>
              </w:rPr>
            </w:pPr>
            <w:r w:rsidRPr="00372953">
              <w:rPr>
                <w:rFonts w:eastAsiaTheme="minorEastAsia"/>
                <w:b/>
                <w:bCs/>
                <w:kern w:val="0"/>
                <w:sz w:val="16"/>
                <w:szCs w:val="16"/>
                <w:lang w:bidi="ar"/>
              </w:rPr>
              <w:t>是否位于沙珠玉河流域</w:t>
            </w:r>
          </w:p>
        </w:tc>
      </w:tr>
      <w:tr w:rsidR="00372953" w:rsidRPr="00372953" w14:paraId="260DF70D" w14:textId="77777777" w:rsidTr="007E48A3">
        <w:trPr>
          <w:trHeight w:val="885"/>
        </w:trPr>
        <w:tc>
          <w:tcPr>
            <w:tcW w:w="173" w:type="pct"/>
            <w:tcBorders>
              <w:top w:val="single" w:sz="4" w:space="0" w:color="000000"/>
              <w:left w:val="single" w:sz="4" w:space="0" w:color="000000"/>
              <w:bottom w:val="single" w:sz="4" w:space="0" w:color="000000"/>
              <w:right w:val="single" w:sz="4" w:space="0" w:color="000000"/>
            </w:tcBorders>
            <w:vAlign w:val="center"/>
          </w:tcPr>
          <w:p w14:paraId="054E2612" w14:textId="77777777" w:rsidR="00372953" w:rsidRPr="00372953" w:rsidRDefault="00372953" w:rsidP="007E48A3">
            <w:pPr>
              <w:widowControl/>
              <w:jc w:val="center"/>
              <w:textAlignment w:val="center"/>
              <w:rPr>
                <w:rFonts w:eastAsiaTheme="minorEastAsia"/>
                <w:sz w:val="16"/>
                <w:szCs w:val="16"/>
              </w:rPr>
            </w:pPr>
            <w:r w:rsidRPr="00372953">
              <w:rPr>
                <w:rFonts w:eastAsiaTheme="minorEastAsia"/>
                <w:kern w:val="0"/>
                <w:sz w:val="16"/>
                <w:szCs w:val="16"/>
                <w:lang w:bidi="ar"/>
              </w:rPr>
              <w:t>1</w:t>
            </w:r>
          </w:p>
        </w:tc>
        <w:tc>
          <w:tcPr>
            <w:tcW w:w="300" w:type="pct"/>
            <w:tcBorders>
              <w:top w:val="single" w:sz="4" w:space="0" w:color="000000"/>
              <w:left w:val="single" w:sz="4" w:space="0" w:color="000000"/>
              <w:bottom w:val="single" w:sz="4" w:space="0" w:color="000000"/>
              <w:right w:val="single" w:sz="4" w:space="0" w:color="000000"/>
            </w:tcBorders>
            <w:vAlign w:val="center"/>
          </w:tcPr>
          <w:p w14:paraId="221729C0" w14:textId="77777777" w:rsidR="00372953" w:rsidRPr="00372953" w:rsidRDefault="00372953" w:rsidP="007E48A3">
            <w:pPr>
              <w:widowControl/>
              <w:jc w:val="center"/>
              <w:textAlignment w:val="center"/>
              <w:rPr>
                <w:rFonts w:eastAsiaTheme="minorEastAsia"/>
                <w:sz w:val="16"/>
                <w:szCs w:val="16"/>
              </w:rPr>
            </w:pPr>
            <w:r w:rsidRPr="00372953">
              <w:rPr>
                <w:rFonts w:eastAsiaTheme="minorEastAsia"/>
                <w:kern w:val="0"/>
                <w:sz w:val="16"/>
                <w:szCs w:val="16"/>
                <w:lang w:bidi="ar"/>
              </w:rPr>
              <w:t>共和县</w:t>
            </w:r>
          </w:p>
        </w:tc>
        <w:tc>
          <w:tcPr>
            <w:tcW w:w="800" w:type="pct"/>
            <w:tcBorders>
              <w:top w:val="single" w:sz="4" w:space="0" w:color="000000"/>
              <w:left w:val="single" w:sz="4" w:space="0" w:color="000000"/>
              <w:bottom w:val="single" w:sz="4" w:space="0" w:color="000000"/>
              <w:right w:val="single" w:sz="4" w:space="0" w:color="000000"/>
            </w:tcBorders>
            <w:vAlign w:val="center"/>
          </w:tcPr>
          <w:p w14:paraId="6DA980D7" w14:textId="77777777" w:rsidR="00372953" w:rsidRPr="00372953" w:rsidRDefault="00372953" w:rsidP="007E48A3">
            <w:pPr>
              <w:widowControl/>
              <w:jc w:val="center"/>
              <w:textAlignment w:val="center"/>
              <w:rPr>
                <w:rFonts w:eastAsiaTheme="minorEastAsia"/>
                <w:sz w:val="16"/>
                <w:szCs w:val="16"/>
              </w:rPr>
            </w:pPr>
            <w:r w:rsidRPr="00372953">
              <w:rPr>
                <w:rFonts w:eastAsiaTheme="minorEastAsia"/>
                <w:kern w:val="0"/>
                <w:sz w:val="16"/>
                <w:szCs w:val="16"/>
                <w:lang w:bidi="ar"/>
              </w:rPr>
              <w:t>共和县切吉滩集中式饮用水水源地</w:t>
            </w:r>
          </w:p>
        </w:tc>
        <w:tc>
          <w:tcPr>
            <w:tcW w:w="300" w:type="pct"/>
            <w:tcBorders>
              <w:top w:val="single" w:sz="4" w:space="0" w:color="000000"/>
              <w:left w:val="single" w:sz="4" w:space="0" w:color="000000"/>
              <w:bottom w:val="single" w:sz="4" w:space="0" w:color="000000"/>
              <w:right w:val="single" w:sz="4" w:space="0" w:color="000000"/>
            </w:tcBorders>
            <w:vAlign w:val="center"/>
          </w:tcPr>
          <w:p w14:paraId="1AC0ACFF" w14:textId="77777777" w:rsidR="00372953" w:rsidRPr="00372953" w:rsidRDefault="00372953" w:rsidP="007E48A3">
            <w:pPr>
              <w:widowControl/>
              <w:jc w:val="center"/>
              <w:textAlignment w:val="center"/>
              <w:rPr>
                <w:rFonts w:eastAsiaTheme="minorEastAsia"/>
                <w:sz w:val="16"/>
                <w:szCs w:val="16"/>
              </w:rPr>
            </w:pPr>
            <w:r w:rsidRPr="00372953">
              <w:rPr>
                <w:rFonts w:eastAsiaTheme="minorEastAsia"/>
                <w:kern w:val="0"/>
                <w:sz w:val="16"/>
                <w:szCs w:val="16"/>
                <w:lang w:bidi="ar"/>
              </w:rPr>
              <w:t>地下水</w:t>
            </w:r>
          </w:p>
        </w:tc>
        <w:tc>
          <w:tcPr>
            <w:tcW w:w="512" w:type="pct"/>
            <w:tcBorders>
              <w:top w:val="single" w:sz="4" w:space="0" w:color="000000"/>
              <w:left w:val="single" w:sz="4" w:space="0" w:color="000000"/>
              <w:bottom w:val="single" w:sz="4" w:space="0" w:color="000000"/>
              <w:right w:val="single" w:sz="4" w:space="0" w:color="000000"/>
            </w:tcBorders>
            <w:vAlign w:val="center"/>
          </w:tcPr>
          <w:p w14:paraId="6CB973E6" w14:textId="77777777" w:rsidR="00372953" w:rsidRPr="00372953" w:rsidRDefault="00372953" w:rsidP="007E48A3">
            <w:pPr>
              <w:widowControl/>
              <w:jc w:val="center"/>
              <w:textAlignment w:val="center"/>
              <w:rPr>
                <w:rFonts w:eastAsiaTheme="minorEastAsia"/>
                <w:sz w:val="16"/>
                <w:szCs w:val="16"/>
              </w:rPr>
            </w:pPr>
            <w:r w:rsidRPr="00372953">
              <w:rPr>
                <w:rFonts w:eastAsiaTheme="minorEastAsia"/>
                <w:kern w:val="0"/>
                <w:sz w:val="16"/>
                <w:szCs w:val="16"/>
                <w:lang w:bidi="ar"/>
              </w:rPr>
              <w:t>青海省生态环境厅</w:t>
            </w:r>
          </w:p>
        </w:tc>
        <w:tc>
          <w:tcPr>
            <w:tcW w:w="2157" w:type="pct"/>
            <w:tcBorders>
              <w:top w:val="single" w:sz="4" w:space="0" w:color="000000"/>
              <w:left w:val="single" w:sz="4" w:space="0" w:color="000000"/>
              <w:bottom w:val="single" w:sz="4" w:space="0" w:color="000000"/>
              <w:right w:val="single" w:sz="4" w:space="0" w:color="000000"/>
            </w:tcBorders>
            <w:vAlign w:val="center"/>
          </w:tcPr>
          <w:p w14:paraId="21A0206A" w14:textId="77777777" w:rsidR="00372953" w:rsidRPr="00372953" w:rsidRDefault="00372953" w:rsidP="007E48A3">
            <w:pPr>
              <w:widowControl/>
              <w:jc w:val="center"/>
              <w:textAlignment w:val="center"/>
              <w:rPr>
                <w:rFonts w:eastAsiaTheme="minorEastAsia"/>
                <w:sz w:val="16"/>
                <w:szCs w:val="16"/>
              </w:rPr>
            </w:pPr>
            <w:r w:rsidRPr="00372953">
              <w:rPr>
                <w:rFonts w:eastAsiaTheme="minorEastAsia"/>
                <w:kern w:val="0"/>
                <w:sz w:val="16"/>
                <w:szCs w:val="16"/>
                <w:lang w:bidi="ar"/>
              </w:rPr>
              <w:t>2024</w:t>
            </w:r>
            <w:r w:rsidRPr="00372953">
              <w:rPr>
                <w:rFonts w:eastAsiaTheme="minorEastAsia"/>
                <w:kern w:val="0"/>
                <w:sz w:val="16"/>
                <w:szCs w:val="16"/>
                <w:lang w:bidi="ar"/>
              </w:rPr>
              <w:t>年</w:t>
            </w:r>
            <w:r w:rsidRPr="00372953">
              <w:rPr>
                <w:rFonts w:eastAsiaTheme="minorEastAsia"/>
                <w:kern w:val="0"/>
                <w:sz w:val="16"/>
                <w:szCs w:val="16"/>
                <w:lang w:bidi="ar"/>
              </w:rPr>
              <w:t>1~12</w:t>
            </w:r>
            <w:r w:rsidRPr="00372953">
              <w:rPr>
                <w:rFonts w:eastAsiaTheme="minorEastAsia"/>
                <w:kern w:val="0"/>
                <w:sz w:val="16"/>
                <w:szCs w:val="16"/>
                <w:lang w:bidi="ar"/>
              </w:rPr>
              <w:t>月青海省集中式生活饮用水水源地水质监测</w:t>
            </w:r>
            <w:r w:rsidRPr="00372953">
              <w:rPr>
                <w:rFonts w:eastAsiaTheme="minorEastAsia"/>
                <w:kern w:val="0"/>
                <w:sz w:val="16"/>
                <w:szCs w:val="16"/>
                <w:lang w:bidi="ar"/>
              </w:rPr>
              <w:t>(</w:t>
            </w:r>
            <w:r w:rsidRPr="00372953">
              <w:rPr>
                <w:rFonts w:eastAsiaTheme="minorEastAsia"/>
                <w:kern w:val="0"/>
                <w:sz w:val="16"/>
                <w:szCs w:val="16"/>
                <w:lang w:bidi="ar"/>
              </w:rPr>
              <w:t>海南州</w:t>
            </w:r>
            <w:r w:rsidRPr="00372953">
              <w:rPr>
                <w:rFonts w:eastAsiaTheme="minorEastAsia"/>
                <w:kern w:val="0"/>
                <w:sz w:val="16"/>
                <w:szCs w:val="16"/>
                <w:lang w:bidi="ar"/>
              </w:rPr>
              <w:t>)</w:t>
            </w:r>
            <w:r w:rsidRPr="00372953">
              <w:rPr>
                <w:rFonts w:eastAsiaTheme="minorEastAsia"/>
                <w:kern w:val="0"/>
                <w:sz w:val="16"/>
                <w:szCs w:val="16"/>
                <w:lang w:bidi="ar"/>
              </w:rPr>
              <w:t>；</w:t>
            </w:r>
            <w:r w:rsidRPr="00372953">
              <w:rPr>
                <w:rFonts w:eastAsiaTheme="minorEastAsia"/>
                <w:kern w:val="0"/>
                <w:sz w:val="16"/>
                <w:szCs w:val="16"/>
                <w:lang w:bidi="ar"/>
              </w:rPr>
              <w:t>2024</w:t>
            </w:r>
            <w:r w:rsidRPr="00372953">
              <w:rPr>
                <w:rFonts w:eastAsiaTheme="minorEastAsia"/>
                <w:kern w:val="0"/>
                <w:sz w:val="16"/>
                <w:szCs w:val="16"/>
                <w:lang w:bidi="ar"/>
              </w:rPr>
              <w:t>年青海省集中式生活饮用水水源地水质监测（海南州全分析）；</w:t>
            </w:r>
            <w:r w:rsidRPr="00372953">
              <w:rPr>
                <w:rFonts w:eastAsiaTheme="minorEastAsia"/>
                <w:kern w:val="0"/>
                <w:sz w:val="16"/>
                <w:szCs w:val="16"/>
                <w:lang w:bidi="ar"/>
              </w:rPr>
              <w:t>2025</w:t>
            </w:r>
            <w:r w:rsidRPr="00372953">
              <w:rPr>
                <w:rFonts w:eastAsiaTheme="minorEastAsia"/>
                <w:kern w:val="0"/>
                <w:sz w:val="16"/>
                <w:szCs w:val="16"/>
                <w:lang w:bidi="ar"/>
              </w:rPr>
              <w:t>年</w:t>
            </w:r>
            <w:r w:rsidRPr="00372953">
              <w:rPr>
                <w:rFonts w:eastAsiaTheme="minorEastAsia"/>
                <w:kern w:val="0"/>
                <w:sz w:val="16"/>
                <w:szCs w:val="16"/>
                <w:lang w:bidi="ar"/>
              </w:rPr>
              <w:t>1~10</w:t>
            </w:r>
            <w:r w:rsidRPr="00372953">
              <w:rPr>
                <w:rFonts w:eastAsiaTheme="minorEastAsia"/>
                <w:kern w:val="0"/>
                <w:sz w:val="16"/>
                <w:szCs w:val="16"/>
                <w:lang w:bidi="ar"/>
              </w:rPr>
              <w:t>月</w:t>
            </w:r>
            <w:r w:rsidRPr="00372953">
              <w:rPr>
                <w:rFonts w:eastAsiaTheme="minorEastAsia"/>
                <w:kern w:val="0"/>
                <w:sz w:val="16"/>
                <w:szCs w:val="16"/>
                <w:lang w:bidi="ar"/>
              </w:rPr>
              <w:t>“</w:t>
            </w:r>
            <w:r w:rsidRPr="00372953">
              <w:rPr>
                <w:rFonts w:eastAsiaTheme="minorEastAsia"/>
                <w:kern w:val="0"/>
                <w:sz w:val="16"/>
                <w:szCs w:val="16"/>
                <w:lang w:bidi="ar"/>
              </w:rPr>
              <w:t>青海省地级以上城市（海南州）集中式饮用水水源地水质状况</w:t>
            </w:r>
            <w:r w:rsidRPr="00372953">
              <w:rPr>
                <w:rFonts w:eastAsiaTheme="minorEastAsia"/>
                <w:kern w:val="0"/>
                <w:sz w:val="16"/>
                <w:szCs w:val="16"/>
                <w:lang w:bidi="ar"/>
              </w:rPr>
              <w:t>”</w:t>
            </w:r>
            <w:r w:rsidRPr="00372953">
              <w:rPr>
                <w:rFonts w:eastAsiaTheme="minorEastAsia"/>
                <w:kern w:val="0"/>
                <w:sz w:val="16"/>
                <w:szCs w:val="16"/>
                <w:lang w:bidi="ar"/>
              </w:rPr>
              <w:t>（青海省生态环境厅网站）</w:t>
            </w:r>
          </w:p>
        </w:tc>
        <w:tc>
          <w:tcPr>
            <w:tcW w:w="309" w:type="pct"/>
            <w:tcBorders>
              <w:top w:val="single" w:sz="4" w:space="0" w:color="000000"/>
              <w:left w:val="single" w:sz="4" w:space="0" w:color="000000"/>
              <w:bottom w:val="single" w:sz="4" w:space="0" w:color="000000"/>
              <w:right w:val="single" w:sz="4" w:space="0" w:color="000000"/>
            </w:tcBorders>
            <w:noWrap/>
            <w:vAlign w:val="center"/>
          </w:tcPr>
          <w:p w14:paraId="17083EAE" w14:textId="77777777" w:rsidR="00372953" w:rsidRPr="00372953" w:rsidRDefault="00372953" w:rsidP="007E48A3">
            <w:pPr>
              <w:widowControl/>
              <w:jc w:val="center"/>
              <w:textAlignment w:val="center"/>
              <w:rPr>
                <w:rFonts w:eastAsiaTheme="minorEastAsia"/>
                <w:sz w:val="16"/>
                <w:szCs w:val="16"/>
              </w:rPr>
            </w:pPr>
            <w:r w:rsidRPr="00372953">
              <w:rPr>
                <w:rFonts w:eastAsiaTheme="minorEastAsia"/>
                <w:kern w:val="0"/>
                <w:sz w:val="16"/>
                <w:szCs w:val="16"/>
                <w:lang w:bidi="ar"/>
              </w:rPr>
              <w:t>是</w:t>
            </w:r>
          </w:p>
        </w:tc>
        <w:tc>
          <w:tcPr>
            <w:tcW w:w="445" w:type="pct"/>
            <w:tcBorders>
              <w:top w:val="single" w:sz="4" w:space="0" w:color="000000"/>
              <w:left w:val="single" w:sz="4" w:space="0" w:color="000000"/>
              <w:bottom w:val="single" w:sz="4" w:space="0" w:color="000000"/>
              <w:right w:val="single" w:sz="4" w:space="0" w:color="000000"/>
            </w:tcBorders>
            <w:vAlign w:val="center"/>
          </w:tcPr>
          <w:p w14:paraId="32594738" w14:textId="77777777" w:rsidR="00372953" w:rsidRPr="00372953" w:rsidRDefault="00372953" w:rsidP="007E48A3">
            <w:pPr>
              <w:widowControl/>
              <w:jc w:val="center"/>
              <w:textAlignment w:val="center"/>
              <w:rPr>
                <w:rFonts w:eastAsiaTheme="minorEastAsia"/>
                <w:sz w:val="16"/>
                <w:szCs w:val="16"/>
              </w:rPr>
            </w:pPr>
            <w:r w:rsidRPr="00372953">
              <w:rPr>
                <w:rFonts w:eastAsiaTheme="minorEastAsia"/>
                <w:kern w:val="0"/>
                <w:sz w:val="16"/>
                <w:szCs w:val="16"/>
                <w:lang w:bidi="ar"/>
              </w:rPr>
              <w:t>是</w:t>
            </w:r>
          </w:p>
        </w:tc>
      </w:tr>
      <w:tr w:rsidR="00372953" w:rsidRPr="00372953" w14:paraId="1995639E" w14:textId="77777777" w:rsidTr="007E48A3">
        <w:trPr>
          <w:trHeight w:val="435"/>
        </w:trPr>
        <w:tc>
          <w:tcPr>
            <w:tcW w:w="173" w:type="pct"/>
            <w:tcBorders>
              <w:top w:val="single" w:sz="4" w:space="0" w:color="000000"/>
              <w:left w:val="single" w:sz="4" w:space="0" w:color="000000"/>
              <w:bottom w:val="single" w:sz="4" w:space="0" w:color="000000"/>
              <w:right w:val="single" w:sz="4" w:space="0" w:color="000000"/>
            </w:tcBorders>
            <w:vAlign w:val="center"/>
          </w:tcPr>
          <w:p w14:paraId="00CB810C" w14:textId="77777777" w:rsidR="00372953" w:rsidRPr="00372953" w:rsidRDefault="00372953" w:rsidP="007E48A3">
            <w:pPr>
              <w:widowControl/>
              <w:jc w:val="center"/>
              <w:textAlignment w:val="center"/>
              <w:rPr>
                <w:rFonts w:eastAsiaTheme="minorEastAsia"/>
                <w:sz w:val="16"/>
                <w:szCs w:val="16"/>
              </w:rPr>
            </w:pPr>
            <w:r w:rsidRPr="00372953">
              <w:rPr>
                <w:rFonts w:eastAsiaTheme="minorEastAsia"/>
                <w:kern w:val="0"/>
                <w:sz w:val="16"/>
                <w:szCs w:val="16"/>
                <w:lang w:bidi="ar"/>
              </w:rPr>
              <w:t>2</w:t>
            </w:r>
          </w:p>
        </w:tc>
        <w:tc>
          <w:tcPr>
            <w:tcW w:w="300" w:type="pct"/>
            <w:tcBorders>
              <w:top w:val="single" w:sz="4" w:space="0" w:color="000000"/>
              <w:left w:val="single" w:sz="4" w:space="0" w:color="000000"/>
              <w:bottom w:val="single" w:sz="4" w:space="0" w:color="000000"/>
              <w:right w:val="single" w:sz="4" w:space="0" w:color="000000"/>
            </w:tcBorders>
            <w:vAlign w:val="center"/>
          </w:tcPr>
          <w:p w14:paraId="1A225C3D" w14:textId="77777777" w:rsidR="00372953" w:rsidRPr="00372953" w:rsidRDefault="00372953" w:rsidP="007E48A3">
            <w:pPr>
              <w:widowControl/>
              <w:jc w:val="center"/>
              <w:textAlignment w:val="center"/>
              <w:rPr>
                <w:rFonts w:eastAsiaTheme="minorEastAsia"/>
                <w:sz w:val="16"/>
                <w:szCs w:val="16"/>
              </w:rPr>
            </w:pPr>
            <w:r w:rsidRPr="00372953">
              <w:rPr>
                <w:rFonts w:eastAsiaTheme="minorEastAsia"/>
                <w:kern w:val="0"/>
                <w:sz w:val="16"/>
                <w:szCs w:val="16"/>
                <w:lang w:bidi="ar"/>
              </w:rPr>
              <w:t>共和县</w:t>
            </w:r>
          </w:p>
        </w:tc>
        <w:tc>
          <w:tcPr>
            <w:tcW w:w="800" w:type="pct"/>
            <w:tcBorders>
              <w:top w:val="single" w:sz="4" w:space="0" w:color="000000"/>
              <w:left w:val="single" w:sz="4" w:space="0" w:color="000000"/>
              <w:bottom w:val="single" w:sz="4" w:space="0" w:color="000000"/>
              <w:right w:val="single" w:sz="4" w:space="0" w:color="000000"/>
            </w:tcBorders>
            <w:noWrap/>
            <w:vAlign w:val="center"/>
          </w:tcPr>
          <w:p w14:paraId="33395073" w14:textId="77777777" w:rsidR="00372953" w:rsidRPr="00372953" w:rsidRDefault="00372953" w:rsidP="007E48A3">
            <w:pPr>
              <w:widowControl/>
              <w:jc w:val="center"/>
              <w:textAlignment w:val="center"/>
              <w:rPr>
                <w:rFonts w:eastAsiaTheme="minorEastAsia"/>
                <w:sz w:val="16"/>
                <w:szCs w:val="16"/>
              </w:rPr>
            </w:pPr>
            <w:r w:rsidRPr="00372953">
              <w:rPr>
                <w:rFonts w:eastAsiaTheme="minorEastAsia"/>
                <w:kern w:val="0"/>
                <w:sz w:val="16"/>
                <w:szCs w:val="16"/>
                <w:lang w:bidi="ar"/>
              </w:rPr>
              <w:t>恰让水库水源地</w:t>
            </w:r>
          </w:p>
        </w:tc>
        <w:tc>
          <w:tcPr>
            <w:tcW w:w="300" w:type="pct"/>
            <w:tcBorders>
              <w:top w:val="single" w:sz="4" w:space="0" w:color="000000"/>
              <w:left w:val="single" w:sz="4" w:space="0" w:color="000000"/>
              <w:bottom w:val="single" w:sz="4" w:space="0" w:color="000000"/>
              <w:right w:val="single" w:sz="4" w:space="0" w:color="000000"/>
            </w:tcBorders>
            <w:vAlign w:val="center"/>
          </w:tcPr>
          <w:p w14:paraId="38D02B46" w14:textId="77777777" w:rsidR="00372953" w:rsidRPr="00372953" w:rsidRDefault="00372953" w:rsidP="007E48A3">
            <w:pPr>
              <w:widowControl/>
              <w:jc w:val="center"/>
              <w:textAlignment w:val="center"/>
              <w:rPr>
                <w:rFonts w:eastAsiaTheme="minorEastAsia"/>
                <w:sz w:val="16"/>
                <w:szCs w:val="16"/>
              </w:rPr>
            </w:pPr>
            <w:r w:rsidRPr="00372953">
              <w:rPr>
                <w:rFonts w:eastAsiaTheme="minorEastAsia"/>
                <w:kern w:val="0"/>
                <w:sz w:val="16"/>
                <w:szCs w:val="16"/>
                <w:lang w:bidi="ar"/>
              </w:rPr>
              <w:t>水库型</w:t>
            </w:r>
          </w:p>
        </w:tc>
        <w:tc>
          <w:tcPr>
            <w:tcW w:w="512" w:type="pct"/>
            <w:tcBorders>
              <w:top w:val="single" w:sz="4" w:space="0" w:color="000000"/>
              <w:left w:val="single" w:sz="4" w:space="0" w:color="000000"/>
              <w:bottom w:val="single" w:sz="4" w:space="0" w:color="000000"/>
              <w:right w:val="single" w:sz="4" w:space="0" w:color="000000"/>
            </w:tcBorders>
            <w:vAlign w:val="center"/>
          </w:tcPr>
          <w:p w14:paraId="2518F64F" w14:textId="77777777" w:rsidR="00372953" w:rsidRPr="00372953" w:rsidRDefault="00372953" w:rsidP="007E48A3">
            <w:pPr>
              <w:widowControl/>
              <w:jc w:val="center"/>
              <w:textAlignment w:val="center"/>
              <w:rPr>
                <w:rFonts w:eastAsiaTheme="minorEastAsia"/>
                <w:sz w:val="16"/>
                <w:szCs w:val="16"/>
              </w:rPr>
            </w:pPr>
            <w:r w:rsidRPr="00372953">
              <w:rPr>
                <w:rFonts w:eastAsiaTheme="minorEastAsia"/>
                <w:kern w:val="0"/>
                <w:sz w:val="16"/>
                <w:szCs w:val="16"/>
                <w:lang w:bidi="ar"/>
              </w:rPr>
              <w:t>青海省生态环境厅</w:t>
            </w:r>
          </w:p>
        </w:tc>
        <w:tc>
          <w:tcPr>
            <w:tcW w:w="2157" w:type="pct"/>
            <w:tcBorders>
              <w:top w:val="single" w:sz="4" w:space="0" w:color="000000"/>
              <w:left w:val="single" w:sz="4" w:space="0" w:color="000000"/>
              <w:bottom w:val="single" w:sz="4" w:space="0" w:color="000000"/>
              <w:right w:val="single" w:sz="4" w:space="0" w:color="000000"/>
            </w:tcBorders>
            <w:vAlign w:val="center"/>
          </w:tcPr>
          <w:p w14:paraId="49ADF6A3" w14:textId="77777777" w:rsidR="00372953" w:rsidRPr="00372953" w:rsidRDefault="00372953" w:rsidP="007E48A3">
            <w:pPr>
              <w:widowControl/>
              <w:jc w:val="center"/>
              <w:textAlignment w:val="center"/>
              <w:rPr>
                <w:rFonts w:eastAsiaTheme="minorEastAsia"/>
                <w:sz w:val="16"/>
                <w:szCs w:val="16"/>
              </w:rPr>
            </w:pPr>
            <w:r w:rsidRPr="00372953">
              <w:rPr>
                <w:rFonts w:eastAsiaTheme="minorEastAsia"/>
                <w:kern w:val="0"/>
                <w:sz w:val="16"/>
                <w:szCs w:val="16"/>
                <w:lang w:bidi="ar"/>
              </w:rPr>
              <w:t>2024</w:t>
            </w:r>
            <w:r w:rsidRPr="00372953">
              <w:rPr>
                <w:rFonts w:eastAsiaTheme="minorEastAsia"/>
                <w:kern w:val="0"/>
                <w:sz w:val="16"/>
                <w:szCs w:val="16"/>
                <w:lang w:bidi="ar"/>
              </w:rPr>
              <w:t>年青海省集中式生活饮用水水源地水质监测（海南州全分析）</w:t>
            </w:r>
          </w:p>
        </w:tc>
        <w:tc>
          <w:tcPr>
            <w:tcW w:w="309" w:type="pct"/>
            <w:tcBorders>
              <w:top w:val="single" w:sz="4" w:space="0" w:color="000000"/>
              <w:left w:val="single" w:sz="4" w:space="0" w:color="000000"/>
              <w:bottom w:val="single" w:sz="4" w:space="0" w:color="000000"/>
              <w:right w:val="single" w:sz="4" w:space="0" w:color="000000"/>
            </w:tcBorders>
            <w:noWrap/>
            <w:vAlign w:val="center"/>
          </w:tcPr>
          <w:p w14:paraId="31DB9F10" w14:textId="77777777" w:rsidR="00372953" w:rsidRPr="00372953" w:rsidRDefault="00372953" w:rsidP="007E48A3">
            <w:pPr>
              <w:widowControl/>
              <w:jc w:val="center"/>
              <w:textAlignment w:val="center"/>
              <w:rPr>
                <w:rFonts w:eastAsiaTheme="minorEastAsia"/>
                <w:sz w:val="16"/>
                <w:szCs w:val="16"/>
              </w:rPr>
            </w:pPr>
            <w:r w:rsidRPr="00372953">
              <w:rPr>
                <w:rFonts w:eastAsiaTheme="minorEastAsia"/>
                <w:kern w:val="0"/>
                <w:sz w:val="16"/>
                <w:szCs w:val="16"/>
                <w:lang w:bidi="ar"/>
              </w:rPr>
              <w:t>是</w:t>
            </w:r>
          </w:p>
        </w:tc>
        <w:tc>
          <w:tcPr>
            <w:tcW w:w="445" w:type="pct"/>
            <w:tcBorders>
              <w:top w:val="single" w:sz="4" w:space="0" w:color="000000"/>
              <w:left w:val="single" w:sz="4" w:space="0" w:color="000000"/>
              <w:bottom w:val="single" w:sz="4" w:space="0" w:color="000000"/>
              <w:right w:val="single" w:sz="4" w:space="0" w:color="000000"/>
            </w:tcBorders>
            <w:vAlign w:val="center"/>
          </w:tcPr>
          <w:p w14:paraId="5171E61A" w14:textId="77777777" w:rsidR="00372953" w:rsidRPr="00372953" w:rsidRDefault="00372953" w:rsidP="007E48A3">
            <w:pPr>
              <w:widowControl/>
              <w:jc w:val="center"/>
              <w:textAlignment w:val="center"/>
              <w:rPr>
                <w:rFonts w:eastAsiaTheme="minorEastAsia"/>
                <w:sz w:val="16"/>
                <w:szCs w:val="16"/>
              </w:rPr>
            </w:pPr>
            <w:r w:rsidRPr="00372953">
              <w:rPr>
                <w:rFonts w:eastAsiaTheme="minorEastAsia"/>
                <w:kern w:val="0"/>
                <w:sz w:val="16"/>
                <w:szCs w:val="16"/>
                <w:lang w:bidi="ar"/>
              </w:rPr>
              <w:t>是</w:t>
            </w:r>
          </w:p>
        </w:tc>
      </w:tr>
      <w:tr w:rsidR="00372953" w:rsidRPr="00372953" w14:paraId="23949691" w14:textId="77777777" w:rsidTr="007E48A3">
        <w:trPr>
          <w:trHeight w:val="885"/>
        </w:trPr>
        <w:tc>
          <w:tcPr>
            <w:tcW w:w="173" w:type="pct"/>
            <w:tcBorders>
              <w:top w:val="single" w:sz="4" w:space="0" w:color="000000"/>
              <w:left w:val="single" w:sz="4" w:space="0" w:color="000000"/>
              <w:bottom w:val="single" w:sz="4" w:space="0" w:color="000000"/>
              <w:right w:val="single" w:sz="4" w:space="0" w:color="000000"/>
            </w:tcBorders>
            <w:vAlign w:val="center"/>
          </w:tcPr>
          <w:p w14:paraId="131B54A8" w14:textId="77777777" w:rsidR="00372953" w:rsidRPr="00372953" w:rsidRDefault="00372953" w:rsidP="007E48A3">
            <w:pPr>
              <w:widowControl/>
              <w:jc w:val="center"/>
              <w:textAlignment w:val="center"/>
              <w:rPr>
                <w:rFonts w:eastAsiaTheme="minorEastAsia"/>
                <w:sz w:val="16"/>
                <w:szCs w:val="16"/>
              </w:rPr>
            </w:pPr>
            <w:r w:rsidRPr="00372953">
              <w:rPr>
                <w:rFonts w:eastAsiaTheme="minorEastAsia"/>
                <w:kern w:val="0"/>
                <w:sz w:val="16"/>
                <w:szCs w:val="16"/>
                <w:lang w:bidi="ar"/>
              </w:rPr>
              <w:t>3</w:t>
            </w:r>
          </w:p>
        </w:tc>
        <w:tc>
          <w:tcPr>
            <w:tcW w:w="300" w:type="pct"/>
            <w:tcBorders>
              <w:top w:val="single" w:sz="4" w:space="0" w:color="000000"/>
              <w:left w:val="single" w:sz="4" w:space="0" w:color="000000"/>
              <w:bottom w:val="single" w:sz="4" w:space="0" w:color="000000"/>
              <w:right w:val="single" w:sz="4" w:space="0" w:color="000000"/>
            </w:tcBorders>
            <w:noWrap/>
            <w:vAlign w:val="center"/>
          </w:tcPr>
          <w:p w14:paraId="1A8B639C" w14:textId="77777777" w:rsidR="00372953" w:rsidRPr="00372953" w:rsidRDefault="00372953" w:rsidP="007E48A3">
            <w:pPr>
              <w:widowControl/>
              <w:jc w:val="center"/>
              <w:textAlignment w:val="center"/>
              <w:rPr>
                <w:rFonts w:eastAsiaTheme="minorEastAsia"/>
                <w:sz w:val="16"/>
                <w:szCs w:val="16"/>
              </w:rPr>
            </w:pPr>
            <w:r w:rsidRPr="00372953">
              <w:rPr>
                <w:rFonts w:eastAsiaTheme="minorEastAsia"/>
                <w:kern w:val="0"/>
                <w:sz w:val="16"/>
                <w:szCs w:val="16"/>
                <w:lang w:bidi="ar"/>
              </w:rPr>
              <w:t>兴海县</w:t>
            </w:r>
          </w:p>
        </w:tc>
        <w:tc>
          <w:tcPr>
            <w:tcW w:w="800" w:type="pct"/>
            <w:tcBorders>
              <w:top w:val="single" w:sz="4" w:space="0" w:color="000000"/>
              <w:left w:val="single" w:sz="4" w:space="0" w:color="000000"/>
              <w:bottom w:val="single" w:sz="4" w:space="0" w:color="000000"/>
              <w:right w:val="single" w:sz="4" w:space="0" w:color="000000"/>
            </w:tcBorders>
            <w:vAlign w:val="center"/>
          </w:tcPr>
          <w:p w14:paraId="70792273" w14:textId="77777777" w:rsidR="00372953" w:rsidRPr="00372953" w:rsidRDefault="00372953" w:rsidP="007E48A3">
            <w:pPr>
              <w:widowControl/>
              <w:jc w:val="center"/>
              <w:textAlignment w:val="center"/>
              <w:rPr>
                <w:rFonts w:eastAsiaTheme="minorEastAsia"/>
                <w:sz w:val="16"/>
                <w:szCs w:val="16"/>
              </w:rPr>
            </w:pPr>
            <w:r w:rsidRPr="00372953">
              <w:rPr>
                <w:rFonts w:eastAsiaTheme="minorEastAsia"/>
                <w:kern w:val="0"/>
                <w:sz w:val="16"/>
                <w:szCs w:val="16"/>
                <w:lang w:bidi="ar"/>
              </w:rPr>
              <w:t>兴海县日干水库饮用水水源地</w:t>
            </w:r>
          </w:p>
        </w:tc>
        <w:tc>
          <w:tcPr>
            <w:tcW w:w="300" w:type="pct"/>
            <w:tcBorders>
              <w:top w:val="single" w:sz="4" w:space="0" w:color="000000"/>
              <w:left w:val="single" w:sz="4" w:space="0" w:color="000000"/>
              <w:bottom w:val="single" w:sz="4" w:space="0" w:color="000000"/>
              <w:right w:val="single" w:sz="4" w:space="0" w:color="000000"/>
            </w:tcBorders>
            <w:noWrap/>
            <w:vAlign w:val="center"/>
          </w:tcPr>
          <w:p w14:paraId="722B7A41" w14:textId="77777777" w:rsidR="00372953" w:rsidRPr="00372953" w:rsidRDefault="00372953" w:rsidP="007E48A3">
            <w:pPr>
              <w:widowControl/>
              <w:jc w:val="center"/>
              <w:textAlignment w:val="center"/>
              <w:rPr>
                <w:rFonts w:eastAsiaTheme="minorEastAsia"/>
                <w:sz w:val="16"/>
                <w:szCs w:val="16"/>
              </w:rPr>
            </w:pPr>
            <w:r w:rsidRPr="00372953">
              <w:rPr>
                <w:rFonts w:eastAsiaTheme="minorEastAsia"/>
                <w:kern w:val="0"/>
                <w:sz w:val="16"/>
                <w:szCs w:val="16"/>
                <w:lang w:bidi="ar"/>
              </w:rPr>
              <w:t>水库型</w:t>
            </w:r>
          </w:p>
        </w:tc>
        <w:tc>
          <w:tcPr>
            <w:tcW w:w="512" w:type="pct"/>
            <w:tcBorders>
              <w:top w:val="single" w:sz="4" w:space="0" w:color="000000"/>
              <w:left w:val="single" w:sz="4" w:space="0" w:color="000000"/>
              <w:bottom w:val="single" w:sz="4" w:space="0" w:color="000000"/>
              <w:right w:val="single" w:sz="4" w:space="0" w:color="000000"/>
            </w:tcBorders>
            <w:vAlign w:val="center"/>
          </w:tcPr>
          <w:p w14:paraId="08FDFFC9" w14:textId="77777777" w:rsidR="00372953" w:rsidRPr="00372953" w:rsidRDefault="00372953" w:rsidP="007E48A3">
            <w:pPr>
              <w:widowControl/>
              <w:jc w:val="center"/>
              <w:textAlignment w:val="center"/>
              <w:rPr>
                <w:rFonts w:eastAsiaTheme="minorEastAsia"/>
                <w:sz w:val="16"/>
                <w:szCs w:val="16"/>
              </w:rPr>
            </w:pPr>
            <w:r w:rsidRPr="00372953">
              <w:rPr>
                <w:rFonts w:eastAsiaTheme="minorEastAsia"/>
                <w:kern w:val="0"/>
                <w:sz w:val="16"/>
                <w:szCs w:val="16"/>
                <w:lang w:bidi="ar"/>
              </w:rPr>
              <w:t>青海省生态环境厅</w:t>
            </w:r>
          </w:p>
        </w:tc>
        <w:tc>
          <w:tcPr>
            <w:tcW w:w="2157" w:type="pct"/>
            <w:tcBorders>
              <w:top w:val="single" w:sz="4" w:space="0" w:color="000000"/>
              <w:left w:val="single" w:sz="4" w:space="0" w:color="000000"/>
              <w:bottom w:val="single" w:sz="4" w:space="0" w:color="000000"/>
              <w:right w:val="single" w:sz="4" w:space="0" w:color="000000"/>
            </w:tcBorders>
            <w:vAlign w:val="center"/>
          </w:tcPr>
          <w:p w14:paraId="134A725A" w14:textId="77777777" w:rsidR="00372953" w:rsidRPr="00372953" w:rsidRDefault="00372953" w:rsidP="007E48A3">
            <w:pPr>
              <w:widowControl/>
              <w:jc w:val="center"/>
              <w:textAlignment w:val="center"/>
              <w:rPr>
                <w:rFonts w:eastAsiaTheme="minorEastAsia"/>
                <w:sz w:val="16"/>
                <w:szCs w:val="16"/>
              </w:rPr>
            </w:pPr>
            <w:r w:rsidRPr="00372953">
              <w:rPr>
                <w:rFonts w:eastAsiaTheme="minorEastAsia"/>
                <w:kern w:val="0"/>
                <w:sz w:val="16"/>
                <w:szCs w:val="16"/>
                <w:lang w:bidi="ar"/>
              </w:rPr>
              <w:t>2024</w:t>
            </w:r>
            <w:r w:rsidRPr="00372953">
              <w:rPr>
                <w:rFonts w:eastAsiaTheme="minorEastAsia"/>
                <w:kern w:val="0"/>
                <w:sz w:val="16"/>
                <w:szCs w:val="16"/>
                <w:lang w:bidi="ar"/>
              </w:rPr>
              <w:t>年第一</w:t>
            </w:r>
            <w:r w:rsidRPr="00372953">
              <w:rPr>
                <w:rFonts w:eastAsiaTheme="minorEastAsia"/>
                <w:kern w:val="0"/>
                <w:sz w:val="16"/>
                <w:szCs w:val="16"/>
                <w:lang w:bidi="ar"/>
              </w:rPr>
              <w:t>~</w:t>
            </w:r>
            <w:r w:rsidRPr="00372953">
              <w:rPr>
                <w:rFonts w:eastAsiaTheme="minorEastAsia"/>
                <w:kern w:val="0"/>
                <w:sz w:val="16"/>
                <w:szCs w:val="16"/>
                <w:lang w:bidi="ar"/>
              </w:rPr>
              <w:t>四季度青海省集中式生活饮用水水源地水质监测</w:t>
            </w:r>
            <w:r w:rsidRPr="00372953">
              <w:rPr>
                <w:rFonts w:eastAsiaTheme="minorEastAsia"/>
                <w:kern w:val="0"/>
                <w:sz w:val="16"/>
                <w:szCs w:val="16"/>
                <w:lang w:bidi="ar"/>
              </w:rPr>
              <w:t>(</w:t>
            </w:r>
            <w:r w:rsidRPr="00372953">
              <w:rPr>
                <w:rFonts w:eastAsiaTheme="minorEastAsia"/>
                <w:kern w:val="0"/>
                <w:sz w:val="16"/>
                <w:szCs w:val="16"/>
                <w:lang w:bidi="ar"/>
              </w:rPr>
              <w:t>海南州</w:t>
            </w:r>
            <w:r w:rsidRPr="00372953">
              <w:rPr>
                <w:rFonts w:eastAsiaTheme="minorEastAsia"/>
                <w:kern w:val="0"/>
                <w:sz w:val="16"/>
                <w:szCs w:val="16"/>
                <w:lang w:bidi="ar"/>
              </w:rPr>
              <w:t>)</w:t>
            </w:r>
            <w:r w:rsidRPr="00372953">
              <w:rPr>
                <w:rFonts w:eastAsiaTheme="minorEastAsia"/>
                <w:kern w:val="0"/>
                <w:sz w:val="16"/>
                <w:szCs w:val="16"/>
                <w:lang w:bidi="ar"/>
              </w:rPr>
              <w:t>；</w:t>
            </w:r>
            <w:r w:rsidRPr="00372953">
              <w:rPr>
                <w:rFonts w:eastAsiaTheme="minorEastAsia"/>
                <w:kern w:val="0"/>
                <w:sz w:val="16"/>
                <w:szCs w:val="16"/>
                <w:lang w:bidi="ar"/>
              </w:rPr>
              <w:t>2024</w:t>
            </w:r>
            <w:r w:rsidRPr="00372953">
              <w:rPr>
                <w:rFonts w:eastAsiaTheme="minorEastAsia"/>
                <w:kern w:val="0"/>
                <w:sz w:val="16"/>
                <w:szCs w:val="16"/>
                <w:lang w:bidi="ar"/>
              </w:rPr>
              <w:t>年青海省集中式生活饮用水水源地水质监测（海南州全分析）；</w:t>
            </w:r>
            <w:r w:rsidRPr="00372953">
              <w:rPr>
                <w:rFonts w:eastAsiaTheme="minorEastAsia"/>
                <w:kern w:val="0"/>
                <w:sz w:val="16"/>
                <w:szCs w:val="16"/>
                <w:lang w:bidi="ar"/>
              </w:rPr>
              <w:t>2025</w:t>
            </w:r>
            <w:r w:rsidRPr="00372953">
              <w:rPr>
                <w:rFonts w:eastAsiaTheme="minorEastAsia"/>
                <w:kern w:val="0"/>
                <w:sz w:val="16"/>
                <w:szCs w:val="16"/>
                <w:lang w:bidi="ar"/>
              </w:rPr>
              <w:t>年（第一</w:t>
            </w:r>
            <w:r w:rsidRPr="00372953">
              <w:rPr>
                <w:rFonts w:eastAsiaTheme="minorEastAsia"/>
                <w:kern w:val="0"/>
                <w:sz w:val="16"/>
                <w:szCs w:val="16"/>
                <w:lang w:bidi="ar"/>
              </w:rPr>
              <w:t>~</w:t>
            </w:r>
            <w:r w:rsidRPr="00372953">
              <w:rPr>
                <w:rFonts w:eastAsiaTheme="minorEastAsia"/>
                <w:kern w:val="0"/>
                <w:sz w:val="16"/>
                <w:szCs w:val="16"/>
                <w:lang w:bidi="ar"/>
              </w:rPr>
              <w:t>三季度）青海省县级城镇集中式饮用水水源地水质状况（青海省生态环境厅网站）</w:t>
            </w:r>
          </w:p>
        </w:tc>
        <w:tc>
          <w:tcPr>
            <w:tcW w:w="309" w:type="pct"/>
            <w:tcBorders>
              <w:top w:val="single" w:sz="4" w:space="0" w:color="000000"/>
              <w:left w:val="single" w:sz="4" w:space="0" w:color="000000"/>
              <w:bottom w:val="single" w:sz="4" w:space="0" w:color="000000"/>
              <w:right w:val="single" w:sz="4" w:space="0" w:color="000000"/>
            </w:tcBorders>
            <w:noWrap/>
            <w:vAlign w:val="center"/>
          </w:tcPr>
          <w:p w14:paraId="2A11A03E" w14:textId="77777777" w:rsidR="00372953" w:rsidRPr="00372953" w:rsidRDefault="00372953" w:rsidP="007E48A3">
            <w:pPr>
              <w:widowControl/>
              <w:jc w:val="center"/>
              <w:textAlignment w:val="center"/>
              <w:rPr>
                <w:rFonts w:eastAsiaTheme="minorEastAsia"/>
                <w:sz w:val="16"/>
                <w:szCs w:val="16"/>
              </w:rPr>
            </w:pPr>
            <w:r w:rsidRPr="00372953">
              <w:rPr>
                <w:rFonts w:eastAsiaTheme="minorEastAsia"/>
                <w:kern w:val="0"/>
                <w:sz w:val="16"/>
                <w:szCs w:val="16"/>
                <w:lang w:bidi="ar"/>
              </w:rPr>
              <w:t>是</w:t>
            </w:r>
          </w:p>
        </w:tc>
        <w:tc>
          <w:tcPr>
            <w:tcW w:w="445" w:type="pct"/>
            <w:tcBorders>
              <w:top w:val="single" w:sz="4" w:space="0" w:color="000000"/>
              <w:left w:val="single" w:sz="4" w:space="0" w:color="000000"/>
              <w:bottom w:val="single" w:sz="4" w:space="0" w:color="000000"/>
              <w:right w:val="single" w:sz="4" w:space="0" w:color="000000"/>
            </w:tcBorders>
            <w:vAlign w:val="center"/>
          </w:tcPr>
          <w:p w14:paraId="013D312F" w14:textId="77777777" w:rsidR="00372953" w:rsidRPr="00372953" w:rsidRDefault="00372953" w:rsidP="007E48A3">
            <w:pPr>
              <w:widowControl/>
              <w:jc w:val="center"/>
              <w:textAlignment w:val="center"/>
              <w:rPr>
                <w:rFonts w:eastAsiaTheme="minorEastAsia"/>
                <w:sz w:val="16"/>
                <w:szCs w:val="16"/>
              </w:rPr>
            </w:pPr>
            <w:r w:rsidRPr="00372953">
              <w:rPr>
                <w:rFonts w:eastAsiaTheme="minorEastAsia"/>
                <w:kern w:val="0"/>
                <w:sz w:val="16"/>
                <w:szCs w:val="16"/>
                <w:lang w:bidi="ar"/>
              </w:rPr>
              <w:t>否</w:t>
            </w:r>
          </w:p>
        </w:tc>
      </w:tr>
      <w:tr w:rsidR="00372953" w:rsidRPr="00372953" w14:paraId="6913F234" w14:textId="77777777" w:rsidTr="007E48A3">
        <w:trPr>
          <w:trHeight w:val="435"/>
        </w:trPr>
        <w:tc>
          <w:tcPr>
            <w:tcW w:w="173" w:type="pct"/>
            <w:tcBorders>
              <w:top w:val="single" w:sz="4" w:space="0" w:color="000000"/>
              <w:left w:val="single" w:sz="4" w:space="0" w:color="000000"/>
              <w:bottom w:val="single" w:sz="4" w:space="0" w:color="000000"/>
              <w:right w:val="single" w:sz="4" w:space="0" w:color="000000"/>
            </w:tcBorders>
            <w:vAlign w:val="center"/>
          </w:tcPr>
          <w:p w14:paraId="1660FEE3" w14:textId="77777777" w:rsidR="00372953" w:rsidRPr="00372953" w:rsidRDefault="00372953" w:rsidP="007E48A3">
            <w:pPr>
              <w:widowControl/>
              <w:jc w:val="center"/>
              <w:textAlignment w:val="center"/>
              <w:rPr>
                <w:rFonts w:eastAsiaTheme="minorEastAsia"/>
                <w:sz w:val="16"/>
                <w:szCs w:val="16"/>
              </w:rPr>
            </w:pPr>
            <w:r w:rsidRPr="00372953">
              <w:rPr>
                <w:rFonts w:eastAsiaTheme="minorEastAsia"/>
                <w:kern w:val="0"/>
                <w:sz w:val="16"/>
                <w:szCs w:val="16"/>
                <w:lang w:bidi="ar"/>
              </w:rPr>
              <w:t>4</w:t>
            </w:r>
          </w:p>
        </w:tc>
        <w:tc>
          <w:tcPr>
            <w:tcW w:w="300" w:type="pct"/>
            <w:tcBorders>
              <w:top w:val="single" w:sz="4" w:space="0" w:color="000000"/>
              <w:left w:val="single" w:sz="4" w:space="0" w:color="000000"/>
              <w:bottom w:val="single" w:sz="4" w:space="0" w:color="000000"/>
              <w:right w:val="single" w:sz="4" w:space="0" w:color="000000"/>
            </w:tcBorders>
            <w:noWrap/>
            <w:vAlign w:val="center"/>
          </w:tcPr>
          <w:p w14:paraId="221F1103" w14:textId="77777777" w:rsidR="00372953" w:rsidRPr="00372953" w:rsidRDefault="00372953" w:rsidP="007E48A3">
            <w:pPr>
              <w:widowControl/>
              <w:jc w:val="center"/>
              <w:textAlignment w:val="center"/>
              <w:rPr>
                <w:rFonts w:eastAsiaTheme="minorEastAsia"/>
                <w:sz w:val="16"/>
                <w:szCs w:val="16"/>
              </w:rPr>
            </w:pPr>
            <w:r w:rsidRPr="00372953">
              <w:rPr>
                <w:rFonts w:eastAsiaTheme="minorEastAsia"/>
                <w:kern w:val="0"/>
                <w:sz w:val="16"/>
                <w:szCs w:val="16"/>
                <w:lang w:bidi="ar"/>
              </w:rPr>
              <w:t>兴海县</w:t>
            </w:r>
          </w:p>
        </w:tc>
        <w:tc>
          <w:tcPr>
            <w:tcW w:w="800" w:type="pct"/>
            <w:tcBorders>
              <w:top w:val="single" w:sz="4" w:space="0" w:color="000000"/>
              <w:left w:val="single" w:sz="4" w:space="0" w:color="000000"/>
              <w:bottom w:val="single" w:sz="4" w:space="0" w:color="000000"/>
              <w:right w:val="single" w:sz="4" w:space="0" w:color="000000"/>
            </w:tcBorders>
            <w:vAlign w:val="center"/>
          </w:tcPr>
          <w:p w14:paraId="1CDC6750" w14:textId="77777777" w:rsidR="00372953" w:rsidRPr="00372953" w:rsidRDefault="00372953" w:rsidP="007E48A3">
            <w:pPr>
              <w:widowControl/>
              <w:jc w:val="center"/>
              <w:textAlignment w:val="center"/>
              <w:rPr>
                <w:rFonts w:eastAsiaTheme="minorEastAsia"/>
                <w:sz w:val="16"/>
                <w:szCs w:val="16"/>
              </w:rPr>
            </w:pPr>
            <w:r w:rsidRPr="00372953">
              <w:rPr>
                <w:rFonts w:eastAsiaTheme="minorEastAsia"/>
                <w:kern w:val="0"/>
                <w:sz w:val="16"/>
                <w:szCs w:val="16"/>
                <w:lang w:bidi="ar"/>
              </w:rPr>
              <w:t>龙曲沟水源地</w:t>
            </w:r>
          </w:p>
        </w:tc>
        <w:tc>
          <w:tcPr>
            <w:tcW w:w="300" w:type="pct"/>
            <w:tcBorders>
              <w:top w:val="single" w:sz="4" w:space="0" w:color="000000"/>
              <w:left w:val="single" w:sz="4" w:space="0" w:color="000000"/>
              <w:bottom w:val="single" w:sz="4" w:space="0" w:color="000000"/>
              <w:right w:val="single" w:sz="4" w:space="0" w:color="000000"/>
            </w:tcBorders>
            <w:noWrap/>
            <w:vAlign w:val="center"/>
          </w:tcPr>
          <w:p w14:paraId="4E742145" w14:textId="77777777" w:rsidR="00372953" w:rsidRPr="00372953" w:rsidRDefault="00372953" w:rsidP="007E48A3">
            <w:pPr>
              <w:widowControl/>
              <w:jc w:val="center"/>
              <w:textAlignment w:val="center"/>
              <w:rPr>
                <w:rFonts w:eastAsiaTheme="minorEastAsia"/>
                <w:sz w:val="16"/>
                <w:szCs w:val="16"/>
              </w:rPr>
            </w:pPr>
            <w:r w:rsidRPr="00372953">
              <w:rPr>
                <w:rFonts w:eastAsiaTheme="minorEastAsia"/>
                <w:kern w:val="0"/>
                <w:sz w:val="16"/>
                <w:szCs w:val="16"/>
                <w:lang w:bidi="ar"/>
              </w:rPr>
              <w:t>河流型</w:t>
            </w:r>
          </w:p>
        </w:tc>
        <w:tc>
          <w:tcPr>
            <w:tcW w:w="512" w:type="pct"/>
            <w:tcBorders>
              <w:top w:val="single" w:sz="4" w:space="0" w:color="000000"/>
              <w:left w:val="single" w:sz="4" w:space="0" w:color="000000"/>
              <w:bottom w:val="single" w:sz="4" w:space="0" w:color="000000"/>
              <w:right w:val="single" w:sz="4" w:space="0" w:color="000000"/>
            </w:tcBorders>
            <w:vAlign w:val="center"/>
          </w:tcPr>
          <w:p w14:paraId="582D34E9" w14:textId="77777777" w:rsidR="00372953" w:rsidRPr="00372953" w:rsidRDefault="00372953" w:rsidP="007E48A3">
            <w:pPr>
              <w:widowControl/>
              <w:jc w:val="center"/>
              <w:textAlignment w:val="center"/>
              <w:rPr>
                <w:rFonts w:eastAsiaTheme="minorEastAsia"/>
                <w:sz w:val="16"/>
                <w:szCs w:val="16"/>
              </w:rPr>
            </w:pPr>
            <w:r w:rsidRPr="00372953">
              <w:rPr>
                <w:rFonts w:eastAsiaTheme="minorEastAsia"/>
                <w:kern w:val="0"/>
                <w:sz w:val="16"/>
                <w:szCs w:val="16"/>
                <w:lang w:bidi="ar"/>
              </w:rPr>
              <w:t>青海省生态环境厅</w:t>
            </w:r>
          </w:p>
        </w:tc>
        <w:tc>
          <w:tcPr>
            <w:tcW w:w="2157" w:type="pct"/>
            <w:tcBorders>
              <w:top w:val="single" w:sz="4" w:space="0" w:color="000000"/>
              <w:left w:val="single" w:sz="4" w:space="0" w:color="000000"/>
              <w:bottom w:val="single" w:sz="4" w:space="0" w:color="000000"/>
              <w:right w:val="single" w:sz="4" w:space="0" w:color="000000"/>
            </w:tcBorders>
            <w:vAlign w:val="center"/>
          </w:tcPr>
          <w:p w14:paraId="5953B2E6" w14:textId="77777777" w:rsidR="00372953" w:rsidRPr="00372953" w:rsidRDefault="00372953" w:rsidP="007E48A3">
            <w:pPr>
              <w:widowControl/>
              <w:jc w:val="center"/>
              <w:textAlignment w:val="center"/>
              <w:rPr>
                <w:rFonts w:eastAsiaTheme="minorEastAsia"/>
                <w:sz w:val="16"/>
                <w:szCs w:val="16"/>
              </w:rPr>
            </w:pPr>
            <w:r w:rsidRPr="00372953">
              <w:rPr>
                <w:rFonts w:eastAsiaTheme="minorEastAsia"/>
                <w:kern w:val="0"/>
                <w:sz w:val="16"/>
                <w:szCs w:val="16"/>
                <w:lang w:bidi="ar"/>
              </w:rPr>
              <w:t>2024</w:t>
            </w:r>
            <w:r w:rsidRPr="00372953">
              <w:rPr>
                <w:rFonts w:eastAsiaTheme="minorEastAsia"/>
                <w:kern w:val="0"/>
                <w:sz w:val="16"/>
                <w:szCs w:val="16"/>
                <w:lang w:bidi="ar"/>
              </w:rPr>
              <w:t>年青海省集中式生活饮用水水源地水质监测（海南州全分析）</w:t>
            </w:r>
          </w:p>
        </w:tc>
        <w:tc>
          <w:tcPr>
            <w:tcW w:w="309" w:type="pct"/>
            <w:tcBorders>
              <w:top w:val="single" w:sz="4" w:space="0" w:color="000000"/>
              <w:left w:val="single" w:sz="4" w:space="0" w:color="000000"/>
              <w:bottom w:val="single" w:sz="4" w:space="0" w:color="000000"/>
              <w:right w:val="single" w:sz="4" w:space="0" w:color="000000"/>
            </w:tcBorders>
            <w:noWrap/>
            <w:vAlign w:val="center"/>
          </w:tcPr>
          <w:p w14:paraId="7B02FCBD" w14:textId="77777777" w:rsidR="00372953" w:rsidRPr="00372953" w:rsidRDefault="00372953" w:rsidP="007E48A3">
            <w:pPr>
              <w:widowControl/>
              <w:jc w:val="center"/>
              <w:textAlignment w:val="center"/>
              <w:rPr>
                <w:rFonts w:eastAsiaTheme="minorEastAsia"/>
                <w:sz w:val="16"/>
                <w:szCs w:val="16"/>
              </w:rPr>
            </w:pPr>
            <w:r w:rsidRPr="00372953">
              <w:rPr>
                <w:rFonts w:eastAsiaTheme="minorEastAsia"/>
                <w:kern w:val="0"/>
                <w:sz w:val="16"/>
                <w:szCs w:val="16"/>
                <w:lang w:bidi="ar"/>
              </w:rPr>
              <w:t>是</w:t>
            </w:r>
          </w:p>
        </w:tc>
        <w:tc>
          <w:tcPr>
            <w:tcW w:w="445" w:type="pct"/>
            <w:tcBorders>
              <w:top w:val="single" w:sz="4" w:space="0" w:color="000000"/>
              <w:left w:val="single" w:sz="4" w:space="0" w:color="000000"/>
              <w:bottom w:val="single" w:sz="4" w:space="0" w:color="000000"/>
              <w:right w:val="single" w:sz="4" w:space="0" w:color="000000"/>
            </w:tcBorders>
            <w:vAlign w:val="center"/>
          </w:tcPr>
          <w:p w14:paraId="3CA6E109" w14:textId="77777777" w:rsidR="00372953" w:rsidRPr="00372953" w:rsidRDefault="00372953" w:rsidP="007E48A3">
            <w:pPr>
              <w:widowControl/>
              <w:jc w:val="center"/>
              <w:textAlignment w:val="center"/>
              <w:rPr>
                <w:rFonts w:eastAsiaTheme="minorEastAsia"/>
                <w:sz w:val="16"/>
                <w:szCs w:val="16"/>
              </w:rPr>
            </w:pPr>
            <w:r w:rsidRPr="00372953">
              <w:rPr>
                <w:rFonts w:eastAsiaTheme="minorEastAsia"/>
                <w:kern w:val="0"/>
                <w:sz w:val="16"/>
                <w:szCs w:val="16"/>
                <w:lang w:bidi="ar"/>
              </w:rPr>
              <w:t>否</w:t>
            </w:r>
          </w:p>
        </w:tc>
      </w:tr>
      <w:tr w:rsidR="00372953" w:rsidRPr="00372953" w14:paraId="61A98FA8" w14:textId="77777777" w:rsidTr="007E48A3">
        <w:trPr>
          <w:trHeight w:val="630"/>
        </w:trPr>
        <w:tc>
          <w:tcPr>
            <w:tcW w:w="173" w:type="pct"/>
            <w:tcBorders>
              <w:top w:val="single" w:sz="4" w:space="0" w:color="000000"/>
              <w:left w:val="single" w:sz="4" w:space="0" w:color="000000"/>
              <w:bottom w:val="single" w:sz="4" w:space="0" w:color="000000"/>
              <w:right w:val="single" w:sz="4" w:space="0" w:color="000000"/>
            </w:tcBorders>
            <w:vAlign w:val="center"/>
          </w:tcPr>
          <w:p w14:paraId="3D3FB039" w14:textId="77777777" w:rsidR="00372953" w:rsidRPr="00372953" w:rsidRDefault="00372953" w:rsidP="007E48A3">
            <w:pPr>
              <w:widowControl/>
              <w:jc w:val="center"/>
              <w:textAlignment w:val="center"/>
              <w:rPr>
                <w:rFonts w:eastAsiaTheme="minorEastAsia"/>
                <w:sz w:val="16"/>
                <w:szCs w:val="16"/>
              </w:rPr>
            </w:pPr>
            <w:r w:rsidRPr="00372953">
              <w:rPr>
                <w:rFonts w:eastAsiaTheme="minorEastAsia"/>
                <w:kern w:val="0"/>
                <w:sz w:val="16"/>
                <w:szCs w:val="16"/>
                <w:lang w:bidi="ar"/>
              </w:rPr>
              <w:t>5</w:t>
            </w:r>
          </w:p>
        </w:tc>
        <w:tc>
          <w:tcPr>
            <w:tcW w:w="300" w:type="pct"/>
            <w:tcBorders>
              <w:top w:val="single" w:sz="4" w:space="0" w:color="000000"/>
              <w:left w:val="single" w:sz="4" w:space="0" w:color="000000"/>
              <w:bottom w:val="single" w:sz="4" w:space="0" w:color="000000"/>
              <w:right w:val="single" w:sz="4" w:space="0" w:color="000000"/>
            </w:tcBorders>
            <w:vAlign w:val="center"/>
          </w:tcPr>
          <w:p w14:paraId="4F5853CC" w14:textId="77777777" w:rsidR="00372953" w:rsidRPr="00372953" w:rsidRDefault="00372953" w:rsidP="007E48A3">
            <w:pPr>
              <w:widowControl/>
              <w:jc w:val="center"/>
              <w:textAlignment w:val="center"/>
              <w:rPr>
                <w:rFonts w:eastAsiaTheme="minorEastAsia"/>
                <w:sz w:val="16"/>
                <w:szCs w:val="16"/>
              </w:rPr>
            </w:pPr>
            <w:r w:rsidRPr="00372953">
              <w:rPr>
                <w:rFonts w:eastAsiaTheme="minorEastAsia"/>
                <w:kern w:val="0"/>
                <w:sz w:val="16"/>
                <w:szCs w:val="16"/>
                <w:lang w:bidi="ar"/>
              </w:rPr>
              <w:t>共和县</w:t>
            </w:r>
          </w:p>
        </w:tc>
        <w:tc>
          <w:tcPr>
            <w:tcW w:w="800" w:type="pct"/>
            <w:tcBorders>
              <w:top w:val="single" w:sz="4" w:space="0" w:color="000000"/>
              <w:left w:val="single" w:sz="4" w:space="0" w:color="000000"/>
              <w:bottom w:val="single" w:sz="4" w:space="0" w:color="000000"/>
              <w:right w:val="single" w:sz="4" w:space="0" w:color="000000"/>
            </w:tcBorders>
            <w:vAlign w:val="center"/>
          </w:tcPr>
          <w:p w14:paraId="0A9391D4" w14:textId="77777777" w:rsidR="00372953" w:rsidRPr="00372953" w:rsidRDefault="00372953" w:rsidP="007E48A3">
            <w:pPr>
              <w:widowControl/>
              <w:jc w:val="center"/>
              <w:textAlignment w:val="center"/>
              <w:rPr>
                <w:rFonts w:eastAsiaTheme="minorEastAsia"/>
                <w:sz w:val="16"/>
                <w:szCs w:val="16"/>
              </w:rPr>
            </w:pPr>
            <w:r w:rsidRPr="00372953">
              <w:rPr>
                <w:rFonts w:eastAsiaTheme="minorEastAsia"/>
                <w:kern w:val="0"/>
                <w:sz w:val="16"/>
                <w:szCs w:val="16"/>
                <w:lang w:bidi="ar"/>
              </w:rPr>
              <w:t>切吉水库水源地</w:t>
            </w:r>
          </w:p>
        </w:tc>
        <w:tc>
          <w:tcPr>
            <w:tcW w:w="300" w:type="pct"/>
            <w:tcBorders>
              <w:top w:val="single" w:sz="4" w:space="0" w:color="000000"/>
              <w:left w:val="single" w:sz="4" w:space="0" w:color="000000"/>
              <w:bottom w:val="single" w:sz="4" w:space="0" w:color="000000"/>
              <w:right w:val="single" w:sz="4" w:space="0" w:color="000000"/>
            </w:tcBorders>
            <w:vAlign w:val="center"/>
          </w:tcPr>
          <w:p w14:paraId="5A4E27E3" w14:textId="77777777" w:rsidR="00372953" w:rsidRPr="00372953" w:rsidRDefault="00372953" w:rsidP="007E48A3">
            <w:pPr>
              <w:widowControl/>
              <w:jc w:val="center"/>
              <w:textAlignment w:val="center"/>
              <w:rPr>
                <w:rFonts w:eastAsiaTheme="minorEastAsia"/>
                <w:sz w:val="16"/>
                <w:szCs w:val="16"/>
              </w:rPr>
            </w:pPr>
            <w:r w:rsidRPr="00372953">
              <w:rPr>
                <w:rFonts w:eastAsiaTheme="minorEastAsia"/>
                <w:kern w:val="0"/>
                <w:sz w:val="16"/>
                <w:szCs w:val="16"/>
                <w:lang w:bidi="ar"/>
              </w:rPr>
              <w:t>地表水</w:t>
            </w:r>
          </w:p>
        </w:tc>
        <w:tc>
          <w:tcPr>
            <w:tcW w:w="512" w:type="pct"/>
            <w:tcBorders>
              <w:top w:val="single" w:sz="4" w:space="0" w:color="000000"/>
              <w:left w:val="single" w:sz="4" w:space="0" w:color="000000"/>
              <w:bottom w:val="single" w:sz="4" w:space="0" w:color="000000"/>
              <w:right w:val="single" w:sz="4" w:space="0" w:color="000000"/>
            </w:tcBorders>
            <w:vAlign w:val="center"/>
          </w:tcPr>
          <w:p w14:paraId="035D2050" w14:textId="77777777" w:rsidR="00372953" w:rsidRPr="00372953" w:rsidRDefault="00372953" w:rsidP="007E48A3">
            <w:pPr>
              <w:widowControl/>
              <w:jc w:val="center"/>
              <w:textAlignment w:val="center"/>
              <w:rPr>
                <w:rFonts w:eastAsiaTheme="minorEastAsia"/>
                <w:sz w:val="16"/>
                <w:szCs w:val="16"/>
              </w:rPr>
            </w:pPr>
            <w:r w:rsidRPr="00372953">
              <w:rPr>
                <w:rFonts w:eastAsiaTheme="minorEastAsia"/>
                <w:kern w:val="0"/>
                <w:sz w:val="16"/>
                <w:szCs w:val="16"/>
                <w:lang w:bidi="ar"/>
              </w:rPr>
              <w:t>黄河水资源保护科学研究院</w:t>
            </w:r>
          </w:p>
        </w:tc>
        <w:tc>
          <w:tcPr>
            <w:tcW w:w="2157" w:type="pct"/>
            <w:tcBorders>
              <w:top w:val="single" w:sz="4" w:space="0" w:color="000000"/>
              <w:left w:val="single" w:sz="4" w:space="0" w:color="000000"/>
              <w:bottom w:val="single" w:sz="4" w:space="0" w:color="000000"/>
              <w:right w:val="single" w:sz="4" w:space="0" w:color="000000"/>
            </w:tcBorders>
            <w:vAlign w:val="center"/>
          </w:tcPr>
          <w:p w14:paraId="26AD3F4E" w14:textId="77777777" w:rsidR="00372953" w:rsidRPr="00372953" w:rsidRDefault="00372953" w:rsidP="007E48A3">
            <w:pPr>
              <w:widowControl/>
              <w:jc w:val="center"/>
              <w:textAlignment w:val="center"/>
              <w:rPr>
                <w:rFonts w:eastAsiaTheme="minorEastAsia"/>
                <w:sz w:val="16"/>
                <w:szCs w:val="16"/>
              </w:rPr>
            </w:pPr>
            <w:r w:rsidRPr="00372953">
              <w:rPr>
                <w:rFonts w:eastAsiaTheme="minorEastAsia"/>
                <w:kern w:val="0"/>
                <w:sz w:val="16"/>
                <w:szCs w:val="16"/>
                <w:lang w:bidi="ar"/>
              </w:rPr>
              <w:t>2025</w:t>
            </w:r>
            <w:r w:rsidRPr="00372953">
              <w:rPr>
                <w:rFonts w:eastAsiaTheme="minorEastAsia"/>
                <w:kern w:val="0"/>
                <w:sz w:val="16"/>
                <w:szCs w:val="16"/>
                <w:lang w:bidi="ar"/>
              </w:rPr>
              <w:t>年青海省海南州</w:t>
            </w:r>
            <w:r w:rsidRPr="00372953">
              <w:rPr>
                <w:rFonts w:eastAsiaTheme="minorEastAsia"/>
                <w:kern w:val="0"/>
                <w:sz w:val="16"/>
                <w:szCs w:val="16"/>
                <w:lang w:bidi="ar"/>
              </w:rPr>
              <w:t>“</w:t>
            </w:r>
            <w:r w:rsidRPr="00372953">
              <w:rPr>
                <w:rFonts w:eastAsiaTheme="minorEastAsia"/>
                <w:kern w:val="0"/>
                <w:sz w:val="16"/>
                <w:szCs w:val="16"/>
                <w:lang w:bidi="ar"/>
              </w:rPr>
              <w:t>三滩</w:t>
            </w:r>
            <w:r w:rsidRPr="00372953">
              <w:rPr>
                <w:rFonts w:eastAsiaTheme="minorEastAsia"/>
                <w:kern w:val="0"/>
                <w:sz w:val="16"/>
                <w:szCs w:val="16"/>
                <w:lang w:bidi="ar"/>
              </w:rPr>
              <w:t>”</w:t>
            </w:r>
            <w:r w:rsidRPr="00372953">
              <w:rPr>
                <w:rFonts w:eastAsiaTheme="minorEastAsia"/>
                <w:kern w:val="0"/>
                <w:sz w:val="16"/>
                <w:szCs w:val="16"/>
                <w:lang w:bidi="ar"/>
              </w:rPr>
              <w:t>引水生态治理一期工程环境监测项目检测报告（地表水）（</w:t>
            </w:r>
            <w:r w:rsidRPr="00372953">
              <w:rPr>
                <w:rFonts w:eastAsiaTheme="minorEastAsia"/>
                <w:kern w:val="0"/>
                <w:sz w:val="16"/>
                <w:szCs w:val="16"/>
                <w:lang w:bidi="ar"/>
              </w:rPr>
              <w:t>4</w:t>
            </w:r>
            <w:r w:rsidRPr="00372953">
              <w:rPr>
                <w:rFonts w:eastAsiaTheme="minorEastAsia"/>
                <w:kern w:val="0"/>
                <w:sz w:val="16"/>
                <w:szCs w:val="16"/>
                <w:lang w:bidi="ar"/>
              </w:rPr>
              <w:t>月、</w:t>
            </w:r>
            <w:r w:rsidRPr="00372953">
              <w:rPr>
                <w:rFonts w:eastAsiaTheme="minorEastAsia"/>
                <w:kern w:val="0"/>
                <w:sz w:val="16"/>
                <w:szCs w:val="16"/>
                <w:lang w:bidi="ar"/>
              </w:rPr>
              <w:t>9</w:t>
            </w:r>
            <w:r w:rsidRPr="00372953">
              <w:rPr>
                <w:rFonts w:eastAsiaTheme="minorEastAsia"/>
                <w:kern w:val="0"/>
                <w:sz w:val="16"/>
                <w:szCs w:val="16"/>
                <w:lang w:bidi="ar"/>
              </w:rPr>
              <w:t>月各</w:t>
            </w:r>
            <w:r w:rsidRPr="00372953">
              <w:rPr>
                <w:rFonts w:eastAsiaTheme="minorEastAsia"/>
                <w:kern w:val="0"/>
                <w:sz w:val="16"/>
                <w:szCs w:val="16"/>
                <w:lang w:bidi="ar"/>
              </w:rPr>
              <w:t>1</w:t>
            </w:r>
            <w:r w:rsidRPr="00372953">
              <w:rPr>
                <w:rFonts w:eastAsiaTheme="minorEastAsia"/>
                <w:kern w:val="0"/>
                <w:sz w:val="16"/>
                <w:szCs w:val="16"/>
                <w:lang w:bidi="ar"/>
              </w:rPr>
              <w:t>期）</w:t>
            </w:r>
          </w:p>
        </w:tc>
        <w:tc>
          <w:tcPr>
            <w:tcW w:w="309" w:type="pct"/>
            <w:tcBorders>
              <w:top w:val="single" w:sz="4" w:space="0" w:color="000000"/>
              <w:left w:val="single" w:sz="4" w:space="0" w:color="000000"/>
              <w:bottom w:val="single" w:sz="4" w:space="0" w:color="000000"/>
              <w:right w:val="single" w:sz="4" w:space="0" w:color="000000"/>
            </w:tcBorders>
            <w:noWrap/>
            <w:vAlign w:val="center"/>
          </w:tcPr>
          <w:p w14:paraId="5F626D8C" w14:textId="77777777" w:rsidR="00372953" w:rsidRPr="00372953" w:rsidRDefault="00372953" w:rsidP="007E48A3">
            <w:pPr>
              <w:widowControl/>
              <w:jc w:val="center"/>
              <w:textAlignment w:val="center"/>
              <w:rPr>
                <w:rFonts w:eastAsiaTheme="minorEastAsia"/>
                <w:sz w:val="16"/>
                <w:szCs w:val="16"/>
              </w:rPr>
            </w:pPr>
            <w:r w:rsidRPr="00372953">
              <w:rPr>
                <w:rFonts w:eastAsiaTheme="minorEastAsia"/>
                <w:kern w:val="0"/>
                <w:sz w:val="16"/>
                <w:szCs w:val="16"/>
                <w:lang w:bidi="ar"/>
              </w:rPr>
              <w:t>是</w:t>
            </w:r>
          </w:p>
        </w:tc>
        <w:tc>
          <w:tcPr>
            <w:tcW w:w="445" w:type="pct"/>
            <w:tcBorders>
              <w:top w:val="single" w:sz="4" w:space="0" w:color="000000"/>
              <w:left w:val="single" w:sz="4" w:space="0" w:color="000000"/>
              <w:bottom w:val="single" w:sz="4" w:space="0" w:color="000000"/>
              <w:right w:val="single" w:sz="4" w:space="0" w:color="000000"/>
            </w:tcBorders>
            <w:vAlign w:val="center"/>
          </w:tcPr>
          <w:p w14:paraId="5E11885F" w14:textId="77777777" w:rsidR="00372953" w:rsidRPr="00372953" w:rsidRDefault="00372953" w:rsidP="007E48A3">
            <w:pPr>
              <w:widowControl/>
              <w:jc w:val="center"/>
              <w:textAlignment w:val="center"/>
              <w:rPr>
                <w:rFonts w:eastAsiaTheme="minorEastAsia"/>
                <w:sz w:val="16"/>
                <w:szCs w:val="16"/>
              </w:rPr>
            </w:pPr>
            <w:r w:rsidRPr="00372953">
              <w:rPr>
                <w:rFonts w:eastAsiaTheme="minorEastAsia"/>
                <w:kern w:val="0"/>
                <w:sz w:val="16"/>
                <w:szCs w:val="16"/>
                <w:lang w:bidi="ar"/>
              </w:rPr>
              <w:t>是</w:t>
            </w:r>
          </w:p>
        </w:tc>
      </w:tr>
      <w:tr w:rsidR="00372953" w:rsidRPr="00372953" w14:paraId="2827F762" w14:textId="77777777" w:rsidTr="007E48A3">
        <w:trPr>
          <w:trHeight w:val="435"/>
        </w:trPr>
        <w:tc>
          <w:tcPr>
            <w:tcW w:w="173" w:type="pct"/>
            <w:tcBorders>
              <w:top w:val="single" w:sz="4" w:space="0" w:color="000000"/>
              <w:left w:val="single" w:sz="4" w:space="0" w:color="000000"/>
              <w:bottom w:val="single" w:sz="4" w:space="0" w:color="000000"/>
              <w:right w:val="single" w:sz="4" w:space="0" w:color="000000"/>
            </w:tcBorders>
            <w:vAlign w:val="center"/>
          </w:tcPr>
          <w:p w14:paraId="40F9167E" w14:textId="77777777" w:rsidR="00372953" w:rsidRPr="00372953" w:rsidRDefault="00372953" w:rsidP="007E48A3">
            <w:pPr>
              <w:widowControl/>
              <w:jc w:val="center"/>
              <w:textAlignment w:val="center"/>
              <w:rPr>
                <w:rFonts w:eastAsiaTheme="minorEastAsia"/>
                <w:sz w:val="16"/>
                <w:szCs w:val="16"/>
              </w:rPr>
            </w:pPr>
            <w:r w:rsidRPr="00372953">
              <w:rPr>
                <w:rFonts w:eastAsiaTheme="minorEastAsia"/>
                <w:kern w:val="0"/>
                <w:sz w:val="16"/>
                <w:szCs w:val="16"/>
                <w:lang w:bidi="ar"/>
              </w:rPr>
              <w:t>6</w:t>
            </w:r>
          </w:p>
        </w:tc>
        <w:tc>
          <w:tcPr>
            <w:tcW w:w="300" w:type="pct"/>
            <w:tcBorders>
              <w:top w:val="single" w:sz="4" w:space="0" w:color="000000"/>
              <w:left w:val="single" w:sz="4" w:space="0" w:color="000000"/>
              <w:bottom w:val="single" w:sz="4" w:space="0" w:color="000000"/>
              <w:right w:val="single" w:sz="4" w:space="0" w:color="000000"/>
            </w:tcBorders>
            <w:vAlign w:val="center"/>
          </w:tcPr>
          <w:p w14:paraId="2EE0C048" w14:textId="77777777" w:rsidR="00372953" w:rsidRPr="00372953" w:rsidRDefault="00372953" w:rsidP="007E48A3">
            <w:pPr>
              <w:widowControl/>
              <w:jc w:val="center"/>
              <w:textAlignment w:val="center"/>
              <w:rPr>
                <w:rFonts w:eastAsiaTheme="minorEastAsia"/>
                <w:sz w:val="16"/>
                <w:szCs w:val="16"/>
              </w:rPr>
            </w:pPr>
            <w:r w:rsidRPr="00372953">
              <w:rPr>
                <w:rFonts w:eastAsiaTheme="minorEastAsia"/>
                <w:kern w:val="0"/>
                <w:sz w:val="16"/>
                <w:szCs w:val="16"/>
                <w:lang w:bidi="ar"/>
              </w:rPr>
              <w:t>共和县</w:t>
            </w:r>
          </w:p>
        </w:tc>
        <w:tc>
          <w:tcPr>
            <w:tcW w:w="800" w:type="pct"/>
            <w:tcBorders>
              <w:top w:val="single" w:sz="4" w:space="0" w:color="000000"/>
              <w:left w:val="single" w:sz="4" w:space="0" w:color="000000"/>
              <w:bottom w:val="single" w:sz="4" w:space="0" w:color="000000"/>
              <w:right w:val="single" w:sz="4" w:space="0" w:color="000000"/>
            </w:tcBorders>
            <w:vAlign w:val="center"/>
          </w:tcPr>
          <w:p w14:paraId="7F3D6232" w14:textId="77777777" w:rsidR="00372953" w:rsidRPr="00372953" w:rsidRDefault="00372953" w:rsidP="007E48A3">
            <w:pPr>
              <w:widowControl/>
              <w:jc w:val="center"/>
              <w:textAlignment w:val="center"/>
              <w:rPr>
                <w:rFonts w:eastAsiaTheme="minorEastAsia"/>
                <w:sz w:val="16"/>
                <w:szCs w:val="16"/>
              </w:rPr>
            </w:pPr>
            <w:r w:rsidRPr="00372953">
              <w:rPr>
                <w:rFonts w:eastAsiaTheme="minorEastAsia"/>
                <w:kern w:val="0"/>
                <w:sz w:val="16"/>
                <w:szCs w:val="16"/>
                <w:lang w:bidi="ar"/>
              </w:rPr>
              <w:t>塔迈村达曲乎</w:t>
            </w:r>
            <w:r w:rsidRPr="00372953">
              <w:rPr>
                <w:rFonts w:eastAsiaTheme="minorEastAsia"/>
                <w:kern w:val="0"/>
                <w:sz w:val="16"/>
                <w:szCs w:val="16"/>
                <w:lang w:bidi="ar"/>
              </w:rPr>
              <w:t>3#</w:t>
            </w:r>
            <w:r w:rsidRPr="00372953">
              <w:rPr>
                <w:rFonts w:eastAsiaTheme="minorEastAsia"/>
                <w:kern w:val="0"/>
                <w:sz w:val="16"/>
                <w:szCs w:val="16"/>
                <w:lang w:bidi="ar"/>
              </w:rPr>
              <w:t>机井（上）水源地</w:t>
            </w:r>
          </w:p>
        </w:tc>
        <w:tc>
          <w:tcPr>
            <w:tcW w:w="300" w:type="pct"/>
            <w:tcBorders>
              <w:top w:val="single" w:sz="4" w:space="0" w:color="000000"/>
              <w:left w:val="single" w:sz="4" w:space="0" w:color="000000"/>
              <w:bottom w:val="single" w:sz="4" w:space="0" w:color="000000"/>
              <w:right w:val="single" w:sz="4" w:space="0" w:color="000000"/>
            </w:tcBorders>
            <w:vAlign w:val="center"/>
          </w:tcPr>
          <w:p w14:paraId="70ED0269" w14:textId="77777777" w:rsidR="00372953" w:rsidRPr="00372953" w:rsidRDefault="00372953" w:rsidP="007E48A3">
            <w:pPr>
              <w:widowControl/>
              <w:jc w:val="center"/>
              <w:textAlignment w:val="center"/>
              <w:rPr>
                <w:rFonts w:eastAsiaTheme="minorEastAsia"/>
                <w:sz w:val="16"/>
                <w:szCs w:val="16"/>
              </w:rPr>
            </w:pPr>
            <w:r w:rsidRPr="00372953">
              <w:rPr>
                <w:rFonts w:eastAsiaTheme="minorEastAsia"/>
                <w:kern w:val="0"/>
                <w:sz w:val="16"/>
                <w:szCs w:val="16"/>
                <w:lang w:bidi="ar"/>
              </w:rPr>
              <w:t>地下水</w:t>
            </w:r>
          </w:p>
        </w:tc>
        <w:tc>
          <w:tcPr>
            <w:tcW w:w="512" w:type="pct"/>
            <w:tcBorders>
              <w:top w:val="single" w:sz="4" w:space="0" w:color="000000"/>
              <w:left w:val="single" w:sz="4" w:space="0" w:color="000000"/>
              <w:bottom w:val="single" w:sz="4" w:space="0" w:color="000000"/>
              <w:right w:val="single" w:sz="4" w:space="0" w:color="000000"/>
            </w:tcBorders>
            <w:vAlign w:val="center"/>
          </w:tcPr>
          <w:p w14:paraId="4F8265DD" w14:textId="77777777" w:rsidR="00372953" w:rsidRPr="00372953" w:rsidRDefault="00372953" w:rsidP="007E48A3">
            <w:pPr>
              <w:jc w:val="center"/>
              <w:rPr>
                <w:rFonts w:eastAsiaTheme="minorEastAsia"/>
                <w:sz w:val="16"/>
                <w:szCs w:val="16"/>
              </w:rPr>
            </w:pPr>
            <w:r w:rsidRPr="00372953">
              <w:rPr>
                <w:rFonts w:eastAsiaTheme="minorEastAsia"/>
                <w:sz w:val="16"/>
                <w:szCs w:val="16"/>
              </w:rPr>
              <w:t>/</w:t>
            </w:r>
          </w:p>
        </w:tc>
        <w:tc>
          <w:tcPr>
            <w:tcW w:w="2157" w:type="pct"/>
            <w:tcBorders>
              <w:top w:val="single" w:sz="4" w:space="0" w:color="000000"/>
              <w:left w:val="single" w:sz="4" w:space="0" w:color="000000"/>
              <w:bottom w:val="single" w:sz="4" w:space="0" w:color="000000"/>
              <w:right w:val="single" w:sz="4" w:space="0" w:color="000000"/>
            </w:tcBorders>
            <w:vAlign w:val="center"/>
          </w:tcPr>
          <w:p w14:paraId="588AA288" w14:textId="77777777" w:rsidR="00372953" w:rsidRPr="00372953" w:rsidRDefault="00372953" w:rsidP="007E48A3">
            <w:pPr>
              <w:jc w:val="center"/>
              <w:rPr>
                <w:rFonts w:eastAsiaTheme="minorEastAsia"/>
                <w:sz w:val="16"/>
                <w:szCs w:val="16"/>
              </w:rPr>
            </w:pPr>
            <w:r w:rsidRPr="00372953">
              <w:rPr>
                <w:rFonts w:eastAsiaTheme="minorEastAsia"/>
                <w:kern w:val="0"/>
                <w:sz w:val="16"/>
                <w:szCs w:val="16"/>
                <w:lang w:bidi="ar"/>
              </w:rPr>
              <w:t>《共和县水资源开发利用和保护综合规划》（</w:t>
            </w:r>
            <w:r w:rsidRPr="00372953">
              <w:rPr>
                <w:rFonts w:eastAsiaTheme="minorEastAsia"/>
                <w:kern w:val="0"/>
                <w:sz w:val="16"/>
                <w:szCs w:val="16"/>
                <w:lang w:bidi="ar"/>
              </w:rPr>
              <w:t>2022</w:t>
            </w:r>
            <w:r w:rsidRPr="00372953">
              <w:rPr>
                <w:rFonts w:eastAsiaTheme="minorEastAsia"/>
                <w:kern w:val="0"/>
                <w:sz w:val="16"/>
                <w:szCs w:val="16"/>
                <w:lang w:bidi="ar"/>
              </w:rPr>
              <w:t>年</w:t>
            </w:r>
            <w:r w:rsidRPr="00372953">
              <w:rPr>
                <w:rFonts w:eastAsiaTheme="minorEastAsia"/>
                <w:kern w:val="0"/>
                <w:sz w:val="16"/>
                <w:szCs w:val="16"/>
                <w:lang w:bidi="ar"/>
              </w:rPr>
              <w:t>11</w:t>
            </w:r>
            <w:r w:rsidRPr="00372953">
              <w:rPr>
                <w:rFonts w:eastAsiaTheme="minorEastAsia"/>
                <w:kern w:val="0"/>
                <w:sz w:val="16"/>
                <w:szCs w:val="16"/>
                <w:lang w:bidi="ar"/>
              </w:rPr>
              <w:t>月）</w:t>
            </w:r>
          </w:p>
        </w:tc>
        <w:tc>
          <w:tcPr>
            <w:tcW w:w="309" w:type="pct"/>
            <w:tcBorders>
              <w:top w:val="single" w:sz="4" w:space="0" w:color="000000"/>
              <w:left w:val="single" w:sz="4" w:space="0" w:color="000000"/>
              <w:bottom w:val="single" w:sz="4" w:space="0" w:color="000000"/>
              <w:right w:val="single" w:sz="4" w:space="0" w:color="000000"/>
            </w:tcBorders>
            <w:vAlign w:val="center"/>
          </w:tcPr>
          <w:p w14:paraId="598A0DAD" w14:textId="77777777" w:rsidR="00372953" w:rsidRPr="00372953" w:rsidRDefault="00372953" w:rsidP="007E48A3">
            <w:pPr>
              <w:jc w:val="center"/>
              <w:rPr>
                <w:rFonts w:eastAsiaTheme="minorEastAsia"/>
                <w:sz w:val="16"/>
                <w:szCs w:val="16"/>
              </w:rPr>
            </w:pPr>
            <w:r w:rsidRPr="00372953">
              <w:rPr>
                <w:rFonts w:eastAsiaTheme="minorEastAsia"/>
                <w:sz w:val="16"/>
                <w:szCs w:val="16"/>
              </w:rPr>
              <w:t>是</w:t>
            </w:r>
          </w:p>
        </w:tc>
        <w:tc>
          <w:tcPr>
            <w:tcW w:w="445" w:type="pct"/>
            <w:tcBorders>
              <w:top w:val="single" w:sz="4" w:space="0" w:color="000000"/>
              <w:left w:val="single" w:sz="4" w:space="0" w:color="000000"/>
              <w:bottom w:val="single" w:sz="4" w:space="0" w:color="000000"/>
              <w:right w:val="single" w:sz="4" w:space="0" w:color="000000"/>
            </w:tcBorders>
            <w:vAlign w:val="center"/>
          </w:tcPr>
          <w:p w14:paraId="203B909F" w14:textId="77777777" w:rsidR="00372953" w:rsidRPr="00372953" w:rsidRDefault="00372953" w:rsidP="007E48A3">
            <w:pPr>
              <w:widowControl/>
              <w:jc w:val="center"/>
              <w:textAlignment w:val="center"/>
              <w:rPr>
                <w:rFonts w:eastAsiaTheme="minorEastAsia"/>
                <w:sz w:val="16"/>
                <w:szCs w:val="16"/>
              </w:rPr>
            </w:pPr>
            <w:r w:rsidRPr="00372953">
              <w:rPr>
                <w:rFonts w:eastAsiaTheme="minorEastAsia"/>
                <w:kern w:val="0"/>
                <w:sz w:val="16"/>
                <w:szCs w:val="16"/>
                <w:lang w:bidi="ar"/>
              </w:rPr>
              <w:t>否</w:t>
            </w:r>
          </w:p>
        </w:tc>
      </w:tr>
      <w:tr w:rsidR="00372953" w:rsidRPr="00372953" w14:paraId="4B134D69" w14:textId="77777777" w:rsidTr="007E48A3">
        <w:trPr>
          <w:trHeight w:val="435"/>
        </w:trPr>
        <w:tc>
          <w:tcPr>
            <w:tcW w:w="173" w:type="pct"/>
            <w:tcBorders>
              <w:top w:val="single" w:sz="4" w:space="0" w:color="000000"/>
              <w:left w:val="single" w:sz="4" w:space="0" w:color="000000"/>
              <w:bottom w:val="single" w:sz="4" w:space="0" w:color="000000"/>
              <w:right w:val="single" w:sz="4" w:space="0" w:color="000000"/>
            </w:tcBorders>
            <w:vAlign w:val="center"/>
          </w:tcPr>
          <w:p w14:paraId="204A395A" w14:textId="77777777" w:rsidR="00372953" w:rsidRPr="00372953" w:rsidRDefault="00372953" w:rsidP="007E48A3">
            <w:pPr>
              <w:widowControl/>
              <w:jc w:val="center"/>
              <w:textAlignment w:val="center"/>
              <w:rPr>
                <w:rFonts w:eastAsiaTheme="minorEastAsia"/>
                <w:sz w:val="16"/>
                <w:szCs w:val="16"/>
              </w:rPr>
            </w:pPr>
            <w:r w:rsidRPr="00372953">
              <w:rPr>
                <w:rFonts w:eastAsiaTheme="minorEastAsia"/>
                <w:kern w:val="0"/>
                <w:sz w:val="16"/>
                <w:szCs w:val="16"/>
                <w:lang w:bidi="ar"/>
              </w:rPr>
              <w:t>7</w:t>
            </w:r>
          </w:p>
        </w:tc>
        <w:tc>
          <w:tcPr>
            <w:tcW w:w="300" w:type="pct"/>
            <w:tcBorders>
              <w:top w:val="single" w:sz="4" w:space="0" w:color="000000"/>
              <w:left w:val="single" w:sz="4" w:space="0" w:color="000000"/>
              <w:bottom w:val="single" w:sz="4" w:space="0" w:color="000000"/>
              <w:right w:val="single" w:sz="4" w:space="0" w:color="000000"/>
            </w:tcBorders>
            <w:vAlign w:val="center"/>
          </w:tcPr>
          <w:p w14:paraId="5A8707DD" w14:textId="77777777" w:rsidR="00372953" w:rsidRPr="00372953" w:rsidRDefault="00372953" w:rsidP="007E48A3">
            <w:pPr>
              <w:widowControl/>
              <w:jc w:val="center"/>
              <w:textAlignment w:val="center"/>
              <w:rPr>
                <w:rFonts w:eastAsiaTheme="minorEastAsia"/>
                <w:sz w:val="16"/>
                <w:szCs w:val="16"/>
              </w:rPr>
            </w:pPr>
            <w:r w:rsidRPr="00372953">
              <w:rPr>
                <w:rFonts w:eastAsiaTheme="minorEastAsia"/>
                <w:kern w:val="0"/>
                <w:sz w:val="16"/>
                <w:szCs w:val="16"/>
                <w:lang w:bidi="ar"/>
              </w:rPr>
              <w:t>兴海县</w:t>
            </w:r>
          </w:p>
        </w:tc>
        <w:tc>
          <w:tcPr>
            <w:tcW w:w="800" w:type="pct"/>
            <w:tcBorders>
              <w:top w:val="single" w:sz="4" w:space="0" w:color="000000"/>
              <w:left w:val="single" w:sz="4" w:space="0" w:color="000000"/>
              <w:bottom w:val="single" w:sz="4" w:space="0" w:color="000000"/>
              <w:right w:val="single" w:sz="4" w:space="0" w:color="000000"/>
            </w:tcBorders>
            <w:vAlign w:val="center"/>
          </w:tcPr>
          <w:p w14:paraId="09457EC8" w14:textId="77777777" w:rsidR="00372953" w:rsidRPr="00372953" w:rsidRDefault="00372953" w:rsidP="007E48A3">
            <w:pPr>
              <w:widowControl/>
              <w:jc w:val="center"/>
              <w:textAlignment w:val="center"/>
              <w:rPr>
                <w:rFonts w:eastAsiaTheme="minorEastAsia"/>
                <w:sz w:val="16"/>
                <w:szCs w:val="16"/>
              </w:rPr>
            </w:pPr>
            <w:r w:rsidRPr="00372953">
              <w:rPr>
                <w:rFonts w:eastAsiaTheme="minorEastAsia"/>
                <w:kern w:val="0"/>
                <w:sz w:val="16"/>
                <w:szCs w:val="16"/>
                <w:lang w:bidi="ar"/>
              </w:rPr>
              <w:t>大米滩曲什安河水源地</w:t>
            </w:r>
          </w:p>
        </w:tc>
        <w:tc>
          <w:tcPr>
            <w:tcW w:w="300" w:type="pct"/>
            <w:tcBorders>
              <w:top w:val="single" w:sz="4" w:space="0" w:color="000000"/>
              <w:left w:val="single" w:sz="4" w:space="0" w:color="000000"/>
              <w:bottom w:val="single" w:sz="4" w:space="0" w:color="000000"/>
              <w:right w:val="single" w:sz="4" w:space="0" w:color="000000"/>
            </w:tcBorders>
            <w:vAlign w:val="center"/>
          </w:tcPr>
          <w:p w14:paraId="4A1D7BCC" w14:textId="77777777" w:rsidR="00372953" w:rsidRPr="00372953" w:rsidRDefault="00372953" w:rsidP="007E48A3">
            <w:pPr>
              <w:widowControl/>
              <w:jc w:val="center"/>
              <w:textAlignment w:val="center"/>
              <w:rPr>
                <w:rFonts w:eastAsiaTheme="minorEastAsia"/>
                <w:sz w:val="16"/>
                <w:szCs w:val="16"/>
              </w:rPr>
            </w:pPr>
            <w:r w:rsidRPr="00372953">
              <w:rPr>
                <w:rFonts w:eastAsiaTheme="minorEastAsia"/>
                <w:kern w:val="0"/>
                <w:sz w:val="16"/>
                <w:szCs w:val="16"/>
                <w:lang w:bidi="ar"/>
              </w:rPr>
              <w:t>河流型</w:t>
            </w:r>
          </w:p>
        </w:tc>
        <w:tc>
          <w:tcPr>
            <w:tcW w:w="512" w:type="pct"/>
            <w:tcBorders>
              <w:top w:val="single" w:sz="4" w:space="0" w:color="000000"/>
              <w:left w:val="single" w:sz="4" w:space="0" w:color="000000"/>
              <w:bottom w:val="single" w:sz="4" w:space="0" w:color="000000"/>
              <w:right w:val="single" w:sz="4" w:space="0" w:color="000000"/>
            </w:tcBorders>
            <w:vAlign w:val="center"/>
          </w:tcPr>
          <w:p w14:paraId="68232357" w14:textId="77777777" w:rsidR="00372953" w:rsidRPr="00372953" w:rsidRDefault="00372953" w:rsidP="007E48A3">
            <w:pPr>
              <w:widowControl/>
              <w:jc w:val="center"/>
              <w:textAlignment w:val="center"/>
              <w:rPr>
                <w:rFonts w:eastAsiaTheme="minorEastAsia"/>
                <w:sz w:val="16"/>
                <w:szCs w:val="16"/>
              </w:rPr>
            </w:pPr>
            <w:r w:rsidRPr="00372953">
              <w:rPr>
                <w:rFonts w:eastAsiaTheme="minorEastAsia"/>
                <w:kern w:val="0"/>
                <w:sz w:val="16"/>
                <w:szCs w:val="16"/>
                <w:lang w:bidi="ar"/>
              </w:rPr>
              <w:t>兴海县生态环境局</w:t>
            </w:r>
          </w:p>
        </w:tc>
        <w:tc>
          <w:tcPr>
            <w:tcW w:w="2157" w:type="pct"/>
            <w:tcBorders>
              <w:top w:val="single" w:sz="4" w:space="0" w:color="000000"/>
              <w:left w:val="single" w:sz="4" w:space="0" w:color="000000"/>
              <w:bottom w:val="single" w:sz="4" w:space="0" w:color="000000"/>
              <w:right w:val="single" w:sz="4" w:space="0" w:color="000000"/>
            </w:tcBorders>
            <w:vAlign w:val="center"/>
          </w:tcPr>
          <w:p w14:paraId="270F9F77" w14:textId="77777777" w:rsidR="00372953" w:rsidRPr="00372953" w:rsidRDefault="00372953" w:rsidP="007E48A3">
            <w:pPr>
              <w:widowControl/>
              <w:jc w:val="center"/>
              <w:textAlignment w:val="center"/>
              <w:rPr>
                <w:rFonts w:eastAsiaTheme="minorEastAsia"/>
                <w:sz w:val="16"/>
                <w:szCs w:val="16"/>
              </w:rPr>
            </w:pPr>
            <w:r w:rsidRPr="00372953">
              <w:rPr>
                <w:rFonts w:eastAsiaTheme="minorEastAsia"/>
                <w:kern w:val="0"/>
                <w:sz w:val="16"/>
                <w:szCs w:val="16"/>
                <w:lang w:bidi="ar"/>
              </w:rPr>
              <w:t>2025</w:t>
            </w:r>
            <w:r w:rsidRPr="00372953">
              <w:rPr>
                <w:rFonts w:eastAsiaTheme="minorEastAsia"/>
                <w:kern w:val="0"/>
                <w:sz w:val="16"/>
                <w:szCs w:val="16"/>
                <w:lang w:bidi="ar"/>
              </w:rPr>
              <w:t>年兴海县曲什安饮用水源地水质检测（第一季度）、（第二季度）</w:t>
            </w:r>
          </w:p>
        </w:tc>
        <w:tc>
          <w:tcPr>
            <w:tcW w:w="309" w:type="pct"/>
            <w:tcBorders>
              <w:top w:val="single" w:sz="4" w:space="0" w:color="000000"/>
              <w:left w:val="single" w:sz="4" w:space="0" w:color="000000"/>
              <w:bottom w:val="single" w:sz="4" w:space="0" w:color="000000"/>
              <w:right w:val="single" w:sz="4" w:space="0" w:color="000000"/>
            </w:tcBorders>
            <w:vAlign w:val="center"/>
          </w:tcPr>
          <w:p w14:paraId="1D65706C" w14:textId="77777777" w:rsidR="00372953" w:rsidRPr="00372953" w:rsidRDefault="00372953" w:rsidP="007E48A3">
            <w:pPr>
              <w:widowControl/>
              <w:jc w:val="center"/>
              <w:textAlignment w:val="center"/>
              <w:rPr>
                <w:rFonts w:eastAsiaTheme="minorEastAsia"/>
                <w:sz w:val="16"/>
                <w:szCs w:val="16"/>
              </w:rPr>
            </w:pPr>
            <w:r w:rsidRPr="00372953">
              <w:rPr>
                <w:rFonts w:eastAsiaTheme="minorEastAsia"/>
                <w:kern w:val="0"/>
                <w:sz w:val="16"/>
                <w:szCs w:val="16"/>
                <w:lang w:bidi="ar"/>
              </w:rPr>
              <w:t>是</w:t>
            </w:r>
          </w:p>
        </w:tc>
        <w:tc>
          <w:tcPr>
            <w:tcW w:w="445" w:type="pct"/>
            <w:tcBorders>
              <w:top w:val="single" w:sz="4" w:space="0" w:color="000000"/>
              <w:left w:val="single" w:sz="4" w:space="0" w:color="000000"/>
              <w:bottom w:val="single" w:sz="4" w:space="0" w:color="000000"/>
              <w:right w:val="single" w:sz="4" w:space="0" w:color="000000"/>
            </w:tcBorders>
            <w:vAlign w:val="center"/>
          </w:tcPr>
          <w:p w14:paraId="5796B10E" w14:textId="77777777" w:rsidR="00372953" w:rsidRPr="00372953" w:rsidRDefault="00372953" w:rsidP="007E48A3">
            <w:pPr>
              <w:widowControl/>
              <w:jc w:val="center"/>
              <w:textAlignment w:val="center"/>
              <w:rPr>
                <w:rFonts w:eastAsiaTheme="minorEastAsia"/>
                <w:sz w:val="16"/>
                <w:szCs w:val="16"/>
              </w:rPr>
            </w:pPr>
            <w:r w:rsidRPr="00372953">
              <w:rPr>
                <w:rFonts w:eastAsiaTheme="minorEastAsia"/>
                <w:kern w:val="0"/>
                <w:sz w:val="16"/>
                <w:szCs w:val="16"/>
                <w:lang w:bidi="ar"/>
              </w:rPr>
              <w:t>否</w:t>
            </w:r>
          </w:p>
        </w:tc>
      </w:tr>
      <w:tr w:rsidR="00372953" w:rsidRPr="00372953" w14:paraId="7AE1308A" w14:textId="77777777" w:rsidTr="007E48A3">
        <w:trPr>
          <w:trHeight w:val="855"/>
        </w:trPr>
        <w:tc>
          <w:tcPr>
            <w:tcW w:w="173" w:type="pct"/>
            <w:tcBorders>
              <w:top w:val="single" w:sz="4" w:space="0" w:color="000000"/>
              <w:left w:val="single" w:sz="4" w:space="0" w:color="000000"/>
              <w:bottom w:val="single" w:sz="4" w:space="0" w:color="000000"/>
              <w:right w:val="single" w:sz="4" w:space="0" w:color="000000"/>
            </w:tcBorders>
            <w:vAlign w:val="center"/>
          </w:tcPr>
          <w:p w14:paraId="3E8DA17E" w14:textId="77777777" w:rsidR="00372953" w:rsidRPr="00372953" w:rsidRDefault="00372953" w:rsidP="007E48A3">
            <w:pPr>
              <w:widowControl/>
              <w:jc w:val="center"/>
              <w:textAlignment w:val="center"/>
              <w:rPr>
                <w:rFonts w:eastAsiaTheme="minorEastAsia"/>
                <w:sz w:val="16"/>
                <w:szCs w:val="16"/>
              </w:rPr>
            </w:pPr>
            <w:r w:rsidRPr="00372953">
              <w:rPr>
                <w:rFonts w:eastAsiaTheme="minorEastAsia"/>
                <w:kern w:val="0"/>
                <w:sz w:val="16"/>
                <w:szCs w:val="16"/>
                <w:lang w:bidi="ar"/>
              </w:rPr>
              <w:t>8</w:t>
            </w:r>
          </w:p>
        </w:tc>
        <w:tc>
          <w:tcPr>
            <w:tcW w:w="300" w:type="pct"/>
            <w:tcBorders>
              <w:top w:val="single" w:sz="4" w:space="0" w:color="000000"/>
              <w:left w:val="single" w:sz="4" w:space="0" w:color="000000"/>
              <w:bottom w:val="single" w:sz="4" w:space="0" w:color="000000"/>
              <w:right w:val="single" w:sz="4" w:space="0" w:color="000000"/>
            </w:tcBorders>
            <w:vAlign w:val="center"/>
          </w:tcPr>
          <w:p w14:paraId="5A792B46" w14:textId="77777777" w:rsidR="00372953" w:rsidRPr="00372953" w:rsidRDefault="00372953" w:rsidP="007E48A3">
            <w:pPr>
              <w:widowControl/>
              <w:jc w:val="center"/>
              <w:textAlignment w:val="center"/>
              <w:rPr>
                <w:rFonts w:eastAsiaTheme="minorEastAsia"/>
                <w:sz w:val="16"/>
                <w:szCs w:val="16"/>
              </w:rPr>
            </w:pPr>
            <w:r w:rsidRPr="00372953">
              <w:rPr>
                <w:rFonts w:eastAsiaTheme="minorEastAsia"/>
                <w:kern w:val="0"/>
                <w:sz w:val="16"/>
                <w:szCs w:val="16"/>
                <w:lang w:bidi="ar"/>
              </w:rPr>
              <w:t>兴海县</w:t>
            </w:r>
          </w:p>
        </w:tc>
        <w:tc>
          <w:tcPr>
            <w:tcW w:w="800" w:type="pct"/>
            <w:tcBorders>
              <w:top w:val="single" w:sz="4" w:space="0" w:color="000000"/>
              <w:left w:val="single" w:sz="4" w:space="0" w:color="000000"/>
              <w:bottom w:val="single" w:sz="4" w:space="0" w:color="000000"/>
              <w:right w:val="single" w:sz="4" w:space="0" w:color="000000"/>
            </w:tcBorders>
            <w:vAlign w:val="center"/>
          </w:tcPr>
          <w:p w14:paraId="757E07B9" w14:textId="77777777" w:rsidR="00372953" w:rsidRPr="00372953" w:rsidRDefault="00372953" w:rsidP="007E48A3">
            <w:pPr>
              <w:widowControl/>
              <w:jc w:val="center"/>
              <w:textAlignment w:val="center"/>
              <w:rPr>
                <w:rFonts w:eastAsiaTheme="minorEastAsia"/>
                <w:sz w:val="16"/>
                <w:szCs w:val="16"/>
              </w:rPr>
            </w:pPr>
            <w:r w:rsidRPr="00372953">
              <w:rPr>
                <w:rFonts w:eastAsiaTheme="minorEastAsia"/>
                <w:kern w:val="0"/>
                <w:sz w:val="16"/>
                <w:szCs w:val="16"/>
                <w:lang w:bidi="ar"/>
              </w:rPr>
              <w:t>兴海县河卡镇满丈饮用水水源地</w:t>
            </w:r>
          </w:p>
        </w:tc>
        <w:tc>
          <w:tcPr>
            <w:tcW w:w="300" w:type="pct"/>
            <w:tcBorders>
              <w:top w:val="single" w:sz="4" w:space="0" w:color="000000"/>
              <w:left w:val="single" w:sz="4" w:space="0" w:color="000000"/>
              <w:bottom w:val="single" w:sz="4" w:space="0" w:color="000000"/>
              <w:right w:val="single" w:sz="4" w:space="0" w:color="000000"/>
            </w:tcBorders>
            <w:vAlign w:val="center"/>
          </w:tcPr>
          <w:p w14:paraId="7EFB489A" w14:textId="77777777" w:rsidR="00372953" w:rsidRPr="00372953" w:rsidRDefault="00372953" w:rsidP="007E48A3">
            <w:pPr>
              <w:widowControl/>
              <w:jc w:val="center"/>
              <w:textAlignment w:val="center"/>
              <w:rPr>
                <w:rFonts w:eastAsiaTheme="minorEastAsia"/>
                <w:sz w:val="16"/>
                <w:szCs w:val="16"/>
              </w:rPr>
            </w:pPr>
            <w:r w:rsidRPr="00372953">
              <w:rPr>
                <w:rFonts w:eastAsiaTheme="minorEastAsia"/>
                <w:kern w:val="0"/>
                <w:sz w:val="16"/>
                <w:szCs w:val="16"/>
                <w:lang w:bidi="ar"/>
              </w:rPr>
              <w:t>河流型</w:t>
            </w:r>
          </w:p>
        </w:tc>
        <w:tc>
          <w:tcPr>
            <w:tcW w:w="512" w:type="pct"/>
            <w:tcBorders>
              <w:top w:val="single" w:sz="4" w:space="0" w:color="000000"/>
              <w:left w:val="single" w:sz="4" w:space="0" w:color="000000"/>
              <w:bottom w:val="single" w:sz="4" w:space="0" w:color="000000"/>
              <w:right w:val="single" w:sz="4" w:space="0" w:color="000000"/>
            </w:tcBorders>
            <w:vAlign w:val="center"/>
          </w:tcPr>
          <w:p w14:paraId="091D3AA7" w14:textId="77777777" w:rsidR="00372953" w:rsidRPr="00372953" w:rsidRDefault="00372953" w:rsidP="007E48A3">
            <w:pPr>
              <w:widowControl/>
              <w:jc w:val="center"/>
              <w:textAlignment w:val="center"/>
              <w:rPr>
                <w:rFonts w:eastAsiaTheme="minorEastAsia"/>
                <w:sz w:val="16"/>
                <w:szCs w:val="16"/>
              </w:rPr>
            </w:pPr>
            <w:r w:rsidRPr="00372953">
              <w:rPr>
                <w:rFonts w:eastAsiaTheme="minorEastAsia"/>
                <w:kern w:val="0"/>
                <w:sz w:val="16"/>
                <w:szCs w:val="16"/>
                <w:lang w:bidi="ar"/>
              </w:rPr>
              <w:t>兴海县生态环境局</w:t>
            </w:r>
          </w:p>
        </w:tc>
        <w:tc>
          <w:tcPr>
            <w:tcW w:w="2157" w:type="pct"/>
            <w:tcBorders>
              <w:top w:val="single" w:sz="4" w:space="0" w:color="000000"/>
              <w:left w:val="single" w:sz="4" w:space="0" w:color="000000"/>
              <w:bottom w:val="single" w:sz="4" w:space="0" w:color="000000"/>
              <w:right w:val="single" w:sz="4" w:space="0" w:color="000000"/>
            </w:tcBorders>
            <w:vAlign w:val="center"/>
          </w:tcPr>
          <w:p w14:paraId="415FD223" w14:textId="77777777" w:rsidR="00372953" w:rsidRPr="00372953" w:rsidRDefault="00372953" w:rsidP="007E48A3">
            <w:pPr>
              <w:widowControl/>
              <w:jc w:val="center"/>
              <w:textAlignment w:val="center"/>
              <w:rPr>
                <w:rFonts w:eastAsiaTheme="minorEastAsia"/>
                <w:sz w:val="16"/>
                <w:szCs w:val="16"/>
              </w:rPr>
            </w:pPr>
            <w:r w:rsidRPr="00372953">
              <w:rPr>
                <w:rFonts w:eastAsiaTheme="minorEastAsia"/>
                <w:kern w:val="0"/>
                <w:sz w:val="16"/>
                <w:szCs w:val="16"/>
                <w:lang w:bidi="ar"/>
              </w:rPr>
              <w:t>海南州兴海县河卡镇集中式饮用水源地水</w:t>
            </w:r>
            <w:r w:rsidRPr="00372953">
              <w:rPr>
                <w:rFonts w:eastAsiaTheme="minorEastAsia"/>
                <w:kern w:val="0"/>
                <w:sz w:val="16"/>
                <w:szCs w:val="16"/>
                <w:lang w:bidi="ar"/>
              </w:rPr>
              <w:br/>
            </w:r>
            <w:r w:rsidRPr="00372953">
              <w:rPr>
                <w:rFonts w:eastAsiaTheme="minorEastAsia"/>
                <w:kern w:val="0"/>
                <w:sz w:val="16"/>
                <w:szCs w:val="16"/>
                <w:lang w:bidi="ar"/>
              </w:rPr>
              <w:t>质检测（第一季度）地表水、（第二季度）地表水</w:t>
            </w:r>
          </w:p>
        </w:tc>
        <w:tc>
          <w:tcPr>
            <w:tcW w:w="309" w:type="pct"/>
            <w:tcBorders>
              <w:top w:val="single" w:sz="4" w:space="0" w:color="000000"/>
              <w:left w:val="single" w:sz="4" w:space="0" w:color="000000"/>
              <w:bottom w:val="single" w:sz="4" w:space="0" w:color="000000"/>
              <w:right w:val="single" w:sz="4" w:space="0" w:color="000000"/>
            </w:tcBorders>
            <w:vAlign w:val="center"/>
          </w:tcPr>
          <w:p w14:paraId="140D6EC5" w14:textId="77777777" w:rsidR="00372953" w:rsidRPr="00372953" w:rsidRDefault="00372953" w:rsidP="007E48A3">
            <w:pPr>
              <w:widowControl/>
              <w:jc w:val="center"/>
              <w:textAlignment w:val="center"/>
              <w:rPr>
                <w:rFonts w:eastAsiaTheme="minorEastAsia"/>
                <w:sz w:val="16"/>
                <w:szCs w:val="16"/>
              </w:rPr>
            </w:pPr>
            <w:r w:rsidRPr="00372953">
              <w:rPr>
                <w:rFonts w:eastAsiaTheme="minorEastAsia"/>
                <w:kern w:val="0"/>
                <w:sz w:val="16"/>
                <w:szCs w:val="16"/>
                <w:lang w:bidi="ar"/>
              </w:rPr>
              <w:t>是</w:t>
            </w:r>
          </w:p>
        </w:tc>
        <w:tc>
          <w:tcPr>
            <w:tcW w:w="445" w:type="pct"/>
            <w:tcBorders>
              <w:top w:val="single" w:sz="4" w:space="0" w:color="000000"/>
              <w:left w:val="single" w:sz="4" w:space="0" w:color="000000"/>
              <w:bottom w:val="single" w:sz="4" w:space="0" w:color="000000"/>
              <w:right w:val="single" w:sz="4" w:space="0" w:color="000000"/>
            </w:tcBorders>
            <w:vAlign w:val="center"/>
          </w:tcPr>
          <w:p w14:paraId="625F3E2D" w14:textId="77777777" w:rsidR="00372953" w:rsidRPr="00372953" w:rsidRDefault="00372953" w:rsidP="007E48A3">
            <w:pPr>
              <w:widowControl/>
              <w:jc w:val="center"/>
              <w:textAlignment w:val="center"/>
              <w:rPr>
                <w:rFonts w:eastAsiaTheme="minorEastAsia"/>
                <w:sz w:val="16"/>
                <w:szCs w:val="16"/>
              </w:rPr>
            </w:pPr>
            <w:r w:rsidRPr="00372953">
              <w:rPr>
                <w:rFonts w:eastAsiaTheme="minorEastAsia"/>
                <w:kern w:val="0"/>
                <w:sz w:val="16"/>
                <w:szCs w:val="16"/>
                <w:lang w:bidi="ar"/>
              </w:rPr>
              <w:t>是</w:t>
            </w:r>
          </w:p>
        </w:tc>
      </w:tr>
      <w:tr w:rsidR="00372953" w:rsidRPr="00372953" w14:paraId="63E00993" w14:textId="77777777" w:rsidTr="007E48A3">
        <w:trPr>
          <w:trHeight w:val="420"/>
        </w:trPr>
        <w:tc>
          <w:tcPr>
            <w:tcW w:w="173" w:type="pct"/>
            <w:tcBorders>
              <w:top w:val="single" w:sz="4" w:space="0" w:color="000000"/>
              <w:left w:val="single" w:sz="4" w:space="0" w:color="000000"/>
              <w:bottom w:val="single" w:sz="4" w:space="0" w:color="000000"/>
              <w:right w:val="single" w:sz="4" w:space="0" w:color="000000"/>
            </w:tcBorders>
            <w:vAlign w:val="center"/>
          </w:tcPr>
          <w:p w14:paraId="2C10296D" w14:textId="77777777" w:rsidR="00372953" w:rsidRPr="00372953" w:rsidRDefault="00372953" w:rsidP="007E48A3">
            <w:pPr>
              <w:widowControl/>
              <w:jc w:val="center"/>
              <w:textAlignment w:val="center"/>
              <w:rPr>
                <w:rFonts w:eastAsiaTheme="minorEastAsia"/>
                <w:sz w:val="16"/>
                <w:szCs w:val="16"/>
              </w:rPr>
            </w:pPr>
            <w:r w:rsidRPr="00372953">
              <w:rPr>
                <w:rFonts w:eastAsiaTheme="minorEastAsia"/>
                <w:kern w:val="0"/>
                <w:sz w:val="16"/>
                <w:szCs w:val="16"/>
                <w:lang w:bidi="ar"/>
              </w:rPr>
              <w:t>9</w:t>
            </w:r>
          </w:p>
        </w:tc>
        <w:tc>
          <w:tcPr>
            <w:tcW w:w="300" w:type="pct"/>
            <w:tcBorders>
              <w:top w:val="single" w:sz="4" w:space="0" w:color="000000"/>
              <w:left w:val="single" w:sz="4" w:space="0" w:color="000000"/>
              <w:bottom w:val="single" w:sz="4" w:space="0" w:color="000000"/>
              <w:right w:val="single" w:sz="4" w:space="0" w:color="000000"/>
            </w:tcBorders>
            <w:vAlign w:val="center"/>
          </w:tcPr>
          <w:p w14:paraId="031207DA" w14:textId="77777777" w:rsidR="00372953" w:rsidRPr="00372953" w:rsidRDefault="00372953" w:rsidP="007E48A3">
            <w:pPr>
              <w:widowControl/>
              <w:jc w:val="center"/>
              <w:textAlignment w:val="center"/>
              <w:rPr>
                <w:rFonts w:eastAsiaTheme="minorEastAsia"/>
                <w:sz w:val="16"/>
                <w:szCs w:val="16"/>
              </w:rPr>
            </w:pPr>
            <w:r w:rsidRPr="00372953">
              <w:rPr>
                <w:rFonts w:eastAsiaTheme="minorEastAsia"/>
                <w:kern w:val="0"/>
                <w:sz w:val="16"/>
                <w:szCs w:val="16"/>
                <w:lang w:bidi="ar"/>
              </w:rPr>
              <w:t>兴海县</w:t>
            </w:r>
          </w:p>
        </w:tc>
        <w:tc>
          <w:tcPr>
            <w:tcW w:w="800" w:type="pct"/>
            <w:tcBorders>
              <w:top w:val="single" w:sz="4" w:space="0" w:color="000000"/>
              <w:left w:val="single" w:sz="4" w:space="0" w:color="000000"/>
              <w:bottom w:val="single" w:sz="4" w:space="0" w:color="000000"/>
              <w:right w:val="single" w:sz="4" w:space="0" w:color="000000"/>
            </w:tcBorders>
            <w:vAlign w:val="center"/>
          </w:tcPr>
          <w:p w14:paraId="65C3F416" w14:textId="77777777" w:rsidR="00372953" w:rsidRPr="00372953" w:rsidRDefault="00372953" w:rsidP="007E48A3">
            <w:pPr>
              <w:widowControl/>
              <w:jc w:val="center"/>
              <w:textAlignment w:val="center"/>
              <w:rPr>
                <w:rFonts w:eastAsiaTheme="minorEastAsia"/>
                <w:sz w:val="16"/>
                <w:szCs w:val="16"/>
              </w:rPr>
            </w:pPr>
            <w:r w:rsidRPr="00372953">
              <w:rPr>
                <w:rFonts w:eastAsiaTheme="minorEastAsia"/>
                <w:kern w:val="0"/>
                <w:sz w:val="16"/>
                <w:szCs w:val="16"/>
                <w:lang w:bidi="ar"/>
              </w:rPr>
              <w:t>中铁乡民族村河流型水源地</w:t>
            </w:r>
          </w:p>
        </w:tc>
        <w:tc>
          <w:tcPr>
            <w:tcW w:w="300" w:type="pct"/>
            <w:tcBorders>
              <w:top w:val="single" w:sz="4" w:space="0" w:color="000000"/>
              <w:left w:val="single" w:sz="4" w:space="0" w:color="000000"/>
              <w:bottom w:val="single" w:sz="4" w:space="0" w:color="000000"/>
              <w:right w:val="single" w:sz="4" w:space="0" w:color="000000"/>
            </w:tcBorders>
            <w:vAlign w:val="center"/>
          </w:tcPr>
          <w:p w14:paraId="2977CB2F" w14:textId="77777777" w:rsidR="00372953" w:rsidRPr="00372953" w:rsidRDefault="00372953" w:rsidP="007E48A3">
            <w:pPr>
              <w:widowControl/>
              <w:jc w:val="center"/>
              <w:textAlignment w:val="center"/>
              <w:rPr>
                <w:rFonts w:eastAsiaTheme="minorEastAsia"/>
                <w:sz w:val="16"/>
                <w:szCs w:val="16"/>
              </w:rPr>
            </w:pPr>
            <w:r w:rsidRPr="00372953">
              <w:rPr>
                <w:rFonts w:eastAsiaTheme="minorEastAsia"/>
                <w:kern w:val="0"/>
                <w:sz w:val="16"/>
                <w:szCs w:val="16"/>
                <w:lang w:bidi="ar"/>
              </w:rPr>
              <w:t>河流型</w:t>
            </w:r>
          </w:p>
        </w:tc>
        <w:tc>
          <w:tcPr>
            <w:tcW w:w="512" w:type="pct"/>
            <w:tcBorders>
              <w:top w:val="single" w:sz="4" w:space="0" w:color="000000"/>
              <w:left w:val="single" w:sz="4" w:space="0" w:color="000000"/>
              <w:bottom w:val="single" w:sz="4" w:space="0" w:color="000000"/>
              <w:right w:val="single" w:sz="4" w:space="0" w:color="000000"/>
            </w:tcBorders>
            <w:vAlign w:val="center"/>
          </w:tcPr>
          <w:p w14:paraId="73BA96B9" w14:textId="77777777" w:rsidR="00372953" w:rsidRPr="00372953" w:rsidRDefault="00372953" w:rsidP="007E48A3">
            <w:pPr>
              <w:jc w:val="center"/>
              <w:rPr>
                <w:rFonts w:eastAsiaTheme="minorEastAsia"/>
                <w:sz w:val="16"/>
                <w:szCs w:val="16"/>
              </w:rPr>
            </w:pPr>
            <w:r w:rsidRPr="00372953">
              <w:rPr>
                <w:rFonts w:eastAsiaTheme="minorEastAsia"/>
                <w:sz w:val="16"/>
                <w:szCs w:val="16"/>
              </w:rPr>
              <w:t>/</w:t>
            </w:r>
          </w:p>
        </w:tc>
        <w:tc>
          <w:tcPr>
            <w:tcW w:w="2157" w:type="pct"/>
            <w:tcBorders>
              <w:top w:val="single" w:sz="4" w:space="0" w:color="000000"/>
              <w:left w:val="single" w:sz="4" w:space="0" w:color="000000"/>
              <w:bottom w:val="single" w:sz="4" w:space="0" w:color="000000"/>
              <w:right w:val="single" w:sz="4" w:space="0" w:color="000000"/>
            </w:tcBorders>
            <w:vAlign w:val="center"/>
          </w:tcPr>
          <w:p w14:paraId="58353071" w14:textId="77777777" w:rsidR="00372953" w:rsidRPr="00372953" w:rsidRDefault="00372953" w:rsidP="007E48A3">
            <w:pPr>
              <w:jc w:val="center"/>
              <w:rPr>
                <w:rFonts w:eastAsiaTheme="minorEastAsia"/>
                <w:sz w:val="16"/>
                <w:szCs w:val="16"/>
              </w:rPr>
            </w:pPr>
            <w:r w:rsidRPr="00372953">
              <w:rPr>
                <w:rFonts w:eastAsiaTheme="minorEastAsia"/>
                <w:sz w:val="16"/>
                <w:szCs w:val="16"/>
              </w:rPr>
              <w:t>/</w:t>
            </w:r>
          </w:p>
        </w:tc>
        <w:tc>
          <w:tcPr>
            <w:tcW w:w="309" w:type="pct"/>
            <w:tcBorders>
              <w:top w:val="single" w:sz="4" w:space="0" w:color="000000"/>
              <w:left w:val="single" w:sz="4" w:space="0" w:color="000000"/>
              <w:bottom w:val="single" w:sz="4" w:space="0" w:color="000000"/>
              <w:right w:val="single" w:sz="4" w:space="0" w:color="000000"/>
            </w:tcBorders>
            <w:vAlign w:val="center"/>
          </w:tcPr>
          <w:p w14:paraId="0B9034FF" w14:textId="77777777" w:rsidR="00372953" w:rsidRPr="00372953" w:rsidRDefault="00372953" w:rsidP="007E48A3">
            <w:pPr>
              <w:jc w:val="center"/>
              <w:rPr>
                <w:rFonts w:eastAsiaTheme="minorEastAsia"/>
                <w:sz w:val="16"/>
                <w:szCs w:val="16"/>
              </w:rPr>
            </w:pPr>
            <w:r w:rsidRPr="00372953">
              <w:rPr>
                <w:rFonts w:eastAsiaTheme="minorEastAsia"/>
                <w:sz w:val="16"/>
                <w:szCs w:val="16"/>
              </w:rPr>
              <w:t>/</w:t>
            </w:r>
          </w:p>
        </w:tc>
        <w:tc>
          <w:tcPr>
            <w:tcW w:w="445" w:type="pct"/>
            <w:tcBorders>
              <w:top w:val="single" w:sz="4" w:space="0" w:color="000000"/>
              <w:left w:val="single" w:sz="4" w:space="0" w:color="000000"/>
              <w:bottom w:val="single" w:sz="4" w:space="0" w:color="000000"/>
              <w:right w:val="single" w:sz="4" w:space="0" w:color="000000"/>
            </w:tcBorders>
            <w:vAlign w:val="center"/>
          </w:tcPr>
          <w:p w14:paraId="364DDB3A" w14:textId="77777777" w:rsidR="00372953" w:rsidRPr="00372953" w:rsidRDefault="00372953" w:rsidP="007E48A3">
            <w:pPr>
              <w:widowControl/>
              <w:jc w:val="center"/>
              <w:textAlignment w:val="center"/>
              <w:rPr>
                <w:rFonts w:eastAsiaTheme="minorEastAsia"/>
                <w:sz w:val="16"/>
                <w:szCs w:val="16"/>
              </w:rPr>
            </w:pPr>
            <w:r w:rsidRPr="00372953">
              <w:rPr>
                <w:rFonts w:eastAsiaTheme="minorEastAsia"/>
                <w:kern w:val="0"/>
                <w:sz w:val="16"/>
                <w:szCs w:val="16"/>
                <w:lang w:bidi="ar"/>
              </w:rPr>
              <w:t>否</w:t>
            </w:r>
          </w:p>
        </w:tc>
      </w:tr>
      <w:tr w:rsidR="00372953" w:rsidRPr="00372953" w14:paraId="658433CE" w14:textId="77777777" w:rsidTr="007E48A3">
        <w:trPr>
          <w:trHeight w:val="420"/>
        </w:trPr>
        <w:tc>
          <w:tcPr>
            <w:tcW w:w="173" w:type="pct"/>
            <w:tcBorders>
              <w:top w:val="single" w:sz="4" w:space="0" w:color="000000"/>
              <w:left w:val="single" w:sz="4" w:space="0" w:color="000000"/>
              <w:bottom w:val="single" w:sz="4" w:space="0" w:color="000000"/>
              <w:right w:val="single" w:sz="4" w:space="0" w:color="000000"/>
            </w:tcBorders>
            <w:vAlign w:val="center"/>
          </w:tcPr>
          <w:p w14:paraId="24DC2D83" w14:textId="77777777" w:rsidR="00372953" w:rsidRPr="00372953" w:rsidRDefault="00372953" w:rsidP="007E48A3">
            <w:pPr>
              <w:widowControl/>
              <w:jc w:val="center"/>
              <w:textAlignment w:val="center"/>
              <w:rPr>
                <w:rFonts w:eastAsiaTheme="minorEastAsia"/>
                <w:sz w:val="16"/>
                <w:szCs w:val="16"/>
              </w:rPr>
            </w:pPr>
            <w:r w:rsidRPr="00372953">
              <w:rPr>
                <w:rFonts w:eastAsiaTheme="minorEastAsia"/>
                <w:kern w:val="0"/>
                <w:sz w:val="16"/>
                <w:szCs w:val="16"/>
                <w:lang w:bidi="ar"/>
              </w:rPr>
              <w:t>10</w:t>
            </w:r>
          </w:p>
        </w:tc>
        <w:tc>
          <w:tcPr>
            <w:tcW w:w="300" w:type="pct"/>
            <w:tcBorders>
              <w:top w:val="single" w:sz="4" w:space="0" w:color="000000"/>
              <w:left w:val="single" w:sz="4" w:space="0" w:color="000000"/>
              <w:bottom w:val="single" w:sz="4" w:space="0" w:color="000000"/>
              <w:right w:val="single" w:sz="4" w:space="0" w:color="000000"/>
            </w:tcBorders>
            <w:vAlign w:val="center"/>
          </w:tcPr>
          <w:p w14:paraId="2DCABDA7" w14:textId="77777777" w:rsidR="00372953" w:rsidRPr="00372953" w:rsidRDefault="00372953" w:rsidP="007E48A3">
            <w:pPr>
              <w:widowControl/>
              <w:jc w:val="center"/>
              <w:textAlignment w:val="center"/>
              <w:rPr>
                <w:rFonts w:eastAsiaTheme="minorEastAsia"/>
                <w:sz w:val="16"/>
                <w:szCs w:val="16"/>
              </w:rPr>
            </w:pPr>
            <w:r w:rsidRPr="00372953">
              <w:rPr>
                <w:rFonts w:eastAsiaTheme="minorEastAsia"/>
                <w:kern w:val="0"/>
                <w:sz w:val="16"/>
                <w:szCs w:val="16"/>
                <w:lang w:bidi="ar"/>
              </w:rPr>
              <w:t>兴海县</w:t>
            </w:r>
          </w:p>
        </w:tc>
        <w:tc>
          <w:tcPr>
            <w:tcW w:w="800" w:type="pct"/>
            <w:tcBorders>
              <w:top w:val="single" w:sz="4" w:space="0" w:color="000000"/>
              <w:left w:val="single" w:sz="4" w:space="0" w:color="000000"/>
              <w:bottom w:val="single" w:sz="4" w:space="0" w:color="000000"/>
              <w:right w:val="single" w:sz="4" w:space="0" w:color="000000"/>
            </w:tcBorders>
            <w:vAlign w:val="center"/>
          </w:tcPr>
          <w:p w14:paraId="55DA78F2" w14:textId="77777777" w:rsidR="00372953" w:rsidRPr="00372953" w:rsidRDefault="00372953" w:rsidP="007E48A3">
            <w:pPr>
              <w:widowControl/>
              <w:jc w:val="center"/>
              <w:textAlignment w:val="center"/>
              <w:rPr>
                <w:rFonts w:eastAsiaTheme="minorEastAsia"/>
                <w:sz w:val="16"/>
                <w:szCs w:val="16"/>
              </w:rPr>
            </w:pPr>
            <w:r w:rsidRPr="00372953">
              <w:rPr>
                <w:rFonts w:eastAsiaTheme="minorEastAsia"/>
                <w:kern w:val="0"/>
                <w:sz w:val="16"/>
                <w:szCs w:val="16"/>
                <w:lang w:bidi="ar"/>
              </w:rPr>
              <w:t>龙藏乡赛日巴村河流型水源地</w:t>
            </w:r>
          </w:p>
        </w:tc>
        <w:tc>
          <w:tcPr>
            <w:tcW w:w="300" w:type="pct"/>
            <w:tcBorders>
              <w:top w:val="single" w:sz="4" w:space="0" w:color="000000"/>
              <w:left w:val="single" w:sz="4" w:space="0" w:color="000000"/>
              <w:bottom w:val="single" w:sz="4" w:space="0" w:color="000000"/>
              <w:right w:val="single" w:sz="4" w:space="0" w:color="000000"/>
            </w:tcBorders>
            <w:vAlign w:val="center"/>
          </w:tcPr>
          <w:p w14:paraId="395ECE7B" w14:textId="77777777" w:rsidR="00372953" w:rsidRPr="00372953" w:rsidRDefault="00372953" w:rsidP="007E48A3">
            <w:pPr>
              <w:widowControl/>
              <w:jc w:val="center"/>
              <w:textAlignment w:val="center"/>
              <w:rPr>
                <w:rFonts w:eastAsiaTheme="minorEastAsia"/>
                <w:sz w:val="16"/>
                <w:szCs w:val="16"/>
              </w:rPr>
            </w:pPr>
            <w:r w:rsidRPr="00372953">
              <w:rPr>
                <w:rFonts w:eastAsiaTheme="minorEastAsia"/>
                <w:kern w:val="0"/>
                <w:sz w:val="16"/>
                <w:szCs w:val="16"/>
                <w:lang w:bidi="ar"/>
              </w:rPr>
              <w:t>河流型</w:t>
            </w:r>
          </w:p>
        </w:tc>
        <w:tc>
          <w:tcPr>
            <w:tcW w:w="512" w:type="pct"/>
            <w:tcBorders>
              <w:top w:val="single" w:sz="4" w:space="0" w:color="000000"/>
              <w:left w:val="single" w:sz="4" w:space="0" w:color="000000"/>
              <w:bottom w:val="single" w:sz="4" w:space="0" w:color="000000"/>
              <w:right w:val="single" w:sz="4" w:space="0" w:color="000000"/>
            </w:tcBorders>
            <w:vAlign w:val="center"/>
          </w:tcPr>
          <w:p w14:paraId="0524141D" w14:textId="77777777" w:rsidR="00372953" w:rsidRPr="00372953" w:rsidRDefault="00372953" w:rsidP="007E48A3">
            <w:pPr>
              <w:jc w:val="center"/>
              <w:rPr>
                <w:rFonts w:eastAsiaTheme="minorEastAsia"/>
                <w:sz w:val="16"/>
                <w:szCs w:val="16"/>
              </w:rPr>
            </w:pPr>
            <w:r w:rsidRPr="00372953">
              <w:rPr>
                <w:rFonts w:eastAsiaTheme="minorEastAsia"/>
                <w:sz w:val="16"/>
                <w:szCs w:val="16"/>
              </w:rPr>
              <w:t>/</w:t>
            </w:r>
          </w:p>
        </w:tc>
        <w:tc>
          <w:tcPr>
            <w:tcW w:w="2157" w:type="pct"/>
            <w:tcBorders>
              <w:top w:val="single" w:sz="4" w:space="0" w:color="000000"/>
              <w:left w:val="single" w:sz="4" w:space="0" w:color="000000"/>
              <w:bottom w:val="single" w:sz="4" w:space="0" w:color="000000"/>
              <w:right w:val="single" w:sz="4" w:space="0" w:color="000000"/>
            </w:tcBorders>
            <w:vAlign w:val="center"/>
          </w:tcPr>
          <w:p w14:paraId="54243E54" w14:textId="77777777" w:rsidR="00372953" w:rsidRPr="00372953" w:rsidRDefault="00372953" w:rsidP="007E48A3">
            <w:pPr>
              <w:jc w:val="center"/>
              <w:rPr>
                <w:rFonts w:eastAsiaTheme="minorEastAsia"/>
                <w:sz w:val="16"/>
                <w:szCs w:val="16"/>
              </w:rPr>
            </w:pPr>
            <w:r w:rsidRPr="00372953">
              <w:rPr>
                <w:rFonts w:eastAsiaTheme="minorEastAsia"/>
                <w:sz w:val="16"/>
                <w:szCs w:val="16"/>
              </w:rPr>
              <w:t>/</w:t>
            </w:r>
          </w:p>
        </w:tc>
        <w:tc>
          <w:tcPr>
            <w:tcW w:w="309" w:type="pct"/>
            <w:tcBorders>
              <w:top w:val="single" w:sz="4" w:space="0" w:color="000000"/>
              <w:left w:val="single" w:sz="4" w:space="0" w:color="000000"/>
              <w:bottom w:val="single" w:sz="4" w:space="0" w:color="000000"/>
              <w:right w:val="single" w:sz="4" w:space="0" w:color="000000"/>
            </w:tcBorders>
            <w:vAlign w:val="center"/>
          </w:tcPr>
          <w:p w14:paraId="0D77F349" w14:textId="77777777" w:rsidR="00372953" w:rsidRPr="00372953" w:rsidRDefault="00372953" w:rsidP="007E48A3">
            <w:pPr>
              <w:jc w:val="center"/>
              <w:rPr>
                <w:rFonts w:eastAsiaTheme="minorEastAsia"/>
                <w:sz w:val="16"/>
                <w:szCs w:val="16"/>
              </w:rPr>
            </w:pPr>
            <w:r w:rsidRPr="00372953">
              <w:rPr>
                <w:rFonts w:eastAsiaTheme="minorEastAsia"/>
                <w:sz w:val="16"/>
                <w:szCs w:val="16"/>
              </w:rPr>
              <w:t>/</w:t>
            </w:r>
          </w:p>
        </w:tc>
        <w:tc>
          <w:tcPr>
            <w:tcW w:w="445" w:type="pct"/>
            <w:tcBorders>
              <w:top w:val="single" w:sz="4" w:space="0" w:color="000000"/>
              <w:left w:val="single" w:sz="4" w:space="0" w:color="000000"/>
              <w:bottom w:val="single" w:sz="4" w:space="0" w:color="000000"/>
              <w:right w:val="single" w:sz="4" w:space="0" w:color="000000"/>
            </w:tcBorders>
            <w:vAlign w:val="center"/>
          </w:tcPr>
          <w:p w14:paraId="4DBCF808" w14:textId="77777777" w:rsidR="00372953" w:rsidRPr="00372953" w:rsidRDefault="00372953" w:rsidP="007E48A3">
            <w:pPr>
              <w:widowControl/>
              <w:jc w:val="center"/>
              <w:textAlignment w:val="center"/>
              <w:rPr>
                <w:rFonts w:eastAsiaTheme="minorEastAsia"/>
                <w:sz w:val="16"/>
                <w:szCs w:val="16"/>
              </w:rPr>
            </w:pPr>
            <w:r w:rsidRPr="00372953">
              <w:rPr>
                <w:rFonts w:eastAsiaTheme="minorEastAsia"/>
                <w:kern w:val="0"/>
                <w:sz w:val="16"/>
                <w:szCs w:val="16"/>
                <w:lang w:bidi="ar"/>
              </w:rPr>
              <w:t>否</w:t>
            </w:r>
          </w:p>
        </w:tc>
      </w:tr>
    </w:tbl>
    <w:p w14:paraId="0E0C1642" w14:textId="77777777" w:rsidR="00372953" w:rsidRDefault="00372953" w:rsidP="00372953">
      <w:pPr>
        <w:sectPr w:rsidR="00372953" w:rsidSect="00372953">
          <w:pgSz w:w="16838" w:h="11906" w:orient="landscape"/>
          <w:pgMar w:top="1800" w:right="1440" w:bottom="1800" w:left="1440" w:header="851" w:footer="992" w:gutter="0"/>
          <w:cols w:space="720"/>
          <w:docGrid w:type="lines" w:linePitch="312"/>
        </w:sectPr>
      </w:pPr>
    </w:p>
    <w:p w14:paraId="4BB3DA87" w14:textId="4307D0BF" w:rsidR="00054437" w:rsidRPr="000549B1" w:rsidRDefault="00361F83">
      <w:pPr>
        <w:adjustRightInd w:val="0"/>
        <w:snapToGrid w:val="0"/>
        <w:spacing w:beforeLines="50" w:before="156" w:line="348" w:lineRule="auto"/>
        <w:jc w:val="center"/>
      </w:pPr>
      <w:r w:rsidRPr="000549B1">
        <w:rPr>
          <w:noProof/>
        </w:rPr>
        <w:drawing>
          <wp:inline distT="0" distB="0" distL="0" distR="0" wp14:anchorId="1DDFF6F2" wp14:editId="46C74AA3">
            <wp:extent cx="5074597" cy="5342964"/>
            <wp:effectExtent l="0" t="0" r="0" b="0"/>
            <wp:docPr id="31778786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787860" name="图片 317787860"/>
                    <pic:cNvPicPr/>
                  </pic:nvPicPr>
                  <pic:blipFill rotWithShape="1">
                    <a:blip r:embed="rId75" cstate="email">
                      <a:extLst>
                        <a:ext uri="{28A0092B-C50C-407E-A947-70E740481C1C}">
                          <a14:useLocalDpi xmlns:a14="http://schemas.microsoft.com/office/drawing/2010/main"/>
                        </a:ext>
                      </a:extLst>
                    </a:blip>
                    <a:srcRect l="-850" r="-121"/>
                    <a:stretch>
                      <a:fillRect/>
                    </a:stretch>
                  </pic:blipFill>
                  <pic:spPr bwMode="auto">
                    <a:xfrm>
                      <a:off x="0" y="0"/>
                      <a:ext cx="5089595" cy="5358755"/>
                    </a:xfrm>
                    <a:prstGeom prst="rect">
                      <a:avLst/>
                    </a:prstGeom>
                    <a:ln>
                      <a:noFill/>
                    </a:ln>
                    <a:extLst>
                      <a:ext uri="{53640926-AAD7-44D8-BBD7-CCE9431645EC}">
                        <a14:shadowObscured xmlns:a14="http://schemas.microsoft.com/office/drawing/2010/main"/>
                      </a:ext>
                    </a:extLst>
                  </pic:spPr>
                </pic:pic>
              </a:graphicData>
            </a:graphic>
          </wp:inline>
        </w:drawing>
      </w:r>
    </w:p>
    <w:p w14:paraId="4DD35365" w14:textId="0A7343AE" w:rsidR="00054437" w:rsidRPr="000549B1" w:rsidRDefault="00000000">
      <w:pPr>
        <w:pStyle w:val="aff8"/>
        <w:rPr>
          <w:color w:val="auto"/>
        </w:rPr>
      </w:pPr>
      <w:r w:rsidRPr="000549B1">
        <w:rPr>
          <w:color w:val="auto"/>
        </w:rPr>
        <w:t>图</w:t>
      </w:r>
      <w:r w:rsidR="00F1314B">
        <w:rPr>
          <w:color w:val="auto"/>
        </w:rPr>
        <w:fldChar w:fldCharType="begin"/>
      </w:r>
      <w:r w:rsidR="00F1314B">
        <w:rPr>
          <w:color w:val="auto"/>
        </w:rPr>
        <w:instrText xml:space="preserve"> STYLEREF 2 \s </w:instrText>
      </w:r>
      <w:r w:rsidR="00F1314B">
        <w:rPr>
          <w:color w:val="auto"/>
        </w:rPr>
        <w:fldChar w:fldCharType="separate"/>
      </w:r>
      <w:r w:rsidR="00372953">
        <w:rPr>
          <w:noProof/>
          <w:color w:val="auto"/>
        </w:rPr>
        <w:t>3.3</w:t>
      </w:r>
      <w:r w:rsidR="00F1314B">
        <w:rPr>
          <w:color w:val="auto"/>
        </w:rPr>
        <w:fldChar w:fldCharType="end"/>
      </w:r>
      <w:r w:rsidR="00F1314B">
        <w:rPr>
          <w:color w:val="auto"/>
        </w:rPr>
        <w:noBreakHyphen/>
      </w:r>
      <w:r w:rsidR="00F1314B">
        <w:rPr>
          <w:color w:val="auto"/>
        </w:rPr>
        <w:fldChar w:fldCharType="begin"/>
      </w:r>
      <w:r w:rsidR="00F1314B">
        <w:rPr>
          <w:color w:val="auto"/>
        </w:rPr>
        <w:instrText xml:space="preserve"> SEQ </w:instrText>
      </w:r>
      <w:r w:rsidR="00F1314B">
        <w:rPr>
          <w:color w:val="auto"/>
        </w:rPr>
        <w:instrText>图</w:instrText>
      </w:r>
      <w:r w:rsidR="00F1314B">
        <w:rPr>
          <w:color w:val="auto"/>
        </w:rPr>
        <w:instrText xml:space="preserve"> \* ARABIC \s 2 </w:instrText>
      </w:r>
      <w:r w:rsidR="00F1314B">
        <w:rPr>
          <w:color w:val="auto"/>
        </w:rPr>
        <w:fldChar w:fldCharType="separate"/>
      </w:r>
      <w:r w:rsidR="00372953">
        <w:rPr>
          <w:noProof/>
          <w:color w:val="auto"/>
        </w:rPr>
        <w:t>8</w:t>
      </w:r>
      <w:r w:rsidR="00F1314B">
        <w:rPr>
          <w:color w:val="auto"/>
        </w:rPr>
        <w:fldChar w:fldCharType="end"/>
      </w:r>
      <w:r w:rsidRPr="000549B1">
        <w:rPr>
          <w:color w:val="auto"/>
        </w:rPr>
        <w:t>沙珠河流域集中式饮用水水源地分布示意图</w:t>
      </w:r>
    </w:p>
    <w:p w14:paraId="28992210" w14:textId="77777777" w:rsidR="00054437" w:rsidRPr="000549B1" w:rsidRDefault="00000000">
      <w:pPr>
        <w:pStyle w:val="4"/>
        <w:rPr>
          <w:rFonts w:ascii="Times New Roman" w:hAnsi="Times New Roman"/>
        </w:rPr>
      </w:pPr>
      <w:r w:rsidRPr="000549B1">
        <w:rPr>
          <w:rFonts w:ascii="Times New Roman" w:hAnsi="Times New Roman"/>
        </w:rPr>
        <w:t>沙珠玉河流域重要湖库水质状况</w:t>
      </w:r>
    </w:p>
    <w:p w14:paraId="15BC7FE1" w14:textId="77777777" w:rsidR="00054437" w:rsidRPr="000549B1" w:rsidRDefault="00000000">
      <w:pPr>
        <w:snapToGrid w:val="0"/>
        <w:spacing w:line="360" w:lineRule="auto"/>
        <w:ind w:firstLineChars="200" w:firstLine="480"/>
        <w:rPr>
          <w:bCs/>
          <w:sz w:val="24"/>
          <w:szCs w:val="24"/>
        </w:rPr>
      </w:pPr>
      <w:r w:rsidRPr="000549B1">
        <w:rPr>
          <w:bCs/>
          <w:sz w:val="24"/>
          <w:szCs w:val="24"/>
        </w:rPr>
        <w:t>（</w:t>
      </w:r>
      <w:r w:rsidRPr="000549B1">
        <w:rPr>
          <w:bCs/>
          <w:sz w:val="24"/>
          <w:szCs w:val="24"/>
        </w:rPr>
        <w:t>1</w:t>
      </w:r>
      <w:r w:rsidRPr="000549B1">
        <w:rPr>
          <w:bCs/>
          <w:sz w:val="24"/>
          <w:szCs w:val="24"/>
        </w:rPr>
        <w:t>）历史监测</w:t>
      </w:r>
    </w:p>
    <w:p w14:paraId="7B8299D3" w14:textId="77777777" w:rsidR="00054437" w:rsidRPr="000549B1" w:rsidRDefault="00000000">
      <w:pPr>
        <w:snapToGrid w:val="0"/>
        <w:spacing w:line="360" w:lineRule="auto"/>
        <w:ind w:firstLineChars="200" w:firstLine="480"/>
        <w:rPr>
          <w:bCs/>
          <w:sz w:val="24"/>
          <w:szCs w:val="24"/>
        </w:rPr>
      </w:pPr>
      <w:r w:rsidRPr="000549B1">
        <w:rPr>
          <w:bCs/>
          <w:sz w:val="24"/>
          <w:szCs w:val="24"/>
        </w:rPr>
        <w:t>湖泊、水库营养状态评价，遵循《地表水资源质量评价技术规程》（</w:t>
      </w:r>
      <w:r w:rsidRPr="000549B1">
        <w:rPr>
          <w:bCs/>
          <w:sz w:val="24"/>
          <w:szCs w:val="24"/>
        </w:rPr>
        <w:t>SL395-2007</w:t>
      </w:r>
      <w:r w:rsidRPr="000549B1">
        <w:rPr>
          <w:bCs/>
          <w:sz w:val="24"/>
          <w:szCs w:val="24"/>
        </w:rPr>
        <w:t>）中湖泊（水库）营养状态标准及分级方法，评价项目为总磷、总氮、叶绿素</w:t>
      </w:r>
      <w:r w:rsidRPr="000549B1">
        <w:rPr>
          <w:bCs/>
          <w:sz w:val="24"/>
          <w:szCs w:val="24"/>
        </w:rPr>
        <w:t>a</w:t>
      </w:r>
      <w:r w:rsidRPr="000549B1">
        <w:rPr>
          <w:bCs/>
          <w:sz w:val="24"/>
          <w:szCs w:val="24"/>
        </w:rPr>
        <w:t>、高锰酸盐指数和透明度</w:t>
      </w:r>
      <w:r w:rsidRPr="000549B1">
        <w:rPr>
          <w:bCs/>
          <w:sz w:val="24"/>
          <w:szCs w:val="24"/>
        </w:rPr>
        <w:t>5</w:t>
      </w:r>
      <w:r w:rsidRPr="000549B1">
        <w:rPr>
          <w:bCs/>
          <w:sz w:val="24"/>
          <w:szCs w:val="24"/>
        </w:rPr>
        <w:t>项。湖泊、水库水质类别的评价方法同河流水质类别评价。</w:t>
      </w:r>
    </w:p>
    <w:p w14:paraId="5C54319B" w14:textId="1C14EE78" w:rsidR="00054437" w:rsidRPr="000549B1" w:rsidRDefault="00000000">
      <w:pPr>
        <w:snapToGrid w:val="0"/>
        <w:spacing w:line="360" w:lineRule="auto"/>
        <w:ind w:firstLineChars="200" w:firstLine="480"/>
        <w:rPr>
          <w:bCs/>
          <w:sz w:val="24"/>
          <w:szCs w:val="24"/>
        </w:rPr>
      </w:pPr>
      <w:r w:rsidRPr="000549B1">
        <w:rPr>
          <w:bCs/>
          <w:sz w:val="24"/>
          <w:szCs w:val="24"/>
        </w:rPr>
        <w:t>依据湖泊、水库</w:t>
      </w:r>
      <w:r w:rsidRPr="000549B1">
        <w:rPr>
          <w:bCs/>
          <w:sz w:val="24"/>
          <w:szCs w:val="24"/>
        </w:rPr>
        <w:t>2020</w:t>
      </w:r>
      <w:r w:rsidRPr="000549B1">
        <w:rPr>
          <w:bCs/>
          <w:sz w:val="24"/>
          <w:szCs w:val="24"/>
        </w:rPr>
        <w:t>年前后</w:t>
      </w:r>
      <w:r w:rsidRPr="000549B1">
        <w:rPr>
          <w:bCs/>
          <w:sz w:val="24"/>
          <w:szCs w:val="24"/>
        </w:rPr>
        <w:t>3</w:t>
      </w:r>
      <w:r w:rsidRPr="000549B1">
        <w:rPr>
          <w:bCs/>
          <w:sz w:val="24"/>
          <w:szCs w:val="24"/>
        </w:rPr>
        <w:t>年内的水质监测数据进行评价分级，沙珠玉河流域范围内湖泊和水库的营养状态指数均在</w:t>
      </w:r>
      <w:r w:rsidRPr="000549B1">
        <w:rPr>
          <w:bCs/>
          <w:sz w:val="24"/>
          <w:szCs w:val="24"/>
        </w:rPr>
        <w:t>24</w:t>
      </w:r>
      <w:r w:rsidRPr="000549B1">
        <w:rPr>
          <w:bCs/>
          <w:sz w:val="24"/>
          <w:szCs w:val="24"/>
        </w:rPr>
        <w:t>～</w:t>
      </w:r>
      <w:r w:rsidRPr="000549B1">
        <w:rPr>
          <w:bCs/>
          <w:sz w:val="24"/>
          <w:szCs w:val="24"/>
        </w:rPr>
        <w:t>36</w:t>
      </w:r>
      <w:r w:rsidRPr="000549B1">
        <w:rPr>
          <w:bCs/>
          <w:sz w:val="24"/>
          <w:szCs w:val="24"/>
        </w:rPr>
        <w:t>之间，营养状态分级均为中营养。详见</w:t>
      </w:r>
      <w:r w:rsidR="00372953" w:rsidRPr="00372953">
        <w:rPr>
          <w:bCs/>
          <w:sz w:val="24"/>
          <w:szCs w:val="24"/>
        </w:rPr>
        <w:t>表</w:t>
      </w:r>
      <w:r w:rsidR="00372953" w:rsidRPr="00372953">
        <w:rPr>
          <w:bCs/>
          <w:sz w:val="24"/>
          <w:szCs w:val="24"/>
        </w:rPr>
        <w:t>3.3</w:t>
      </w:r>
      <w:r w:rsidR="00372953" w:rsidRPr="00372953">
        <w:rPr>
          <w:bCs/>
          <w:sz w:val="24"/>
          <w:szCs w:val="24"/>
        </w:rPr>
        <w:noBreakHyphen/>
        <w:t>24</w:t>
      </w:r>
      <w:r w:rsidRPr="000549B1">
        <w:rPr>
          <w:bCs/>
          <w:sz w:val="24"/>
          <w:szCs w:val="24"/>
        </w:rPr>
        <w:t>。</w:t>
      </w:r>
    </w:p>
    <w:p w14:paraId="24FFEE30" w14:textId="57786B6C" w:rsidR="00054437" w:rsidRPr="000549B1" w:rsidRDefault="00000000">
      <w:pPr>
        <w:pStyle w:val="aff8"/>
        <w:rPr>
          <w:color w:val="auto"/>
        </w:rPr>
      </w:pPr>
      <w:bookmarkStart w:id="234" w:name="_Ref214979304"/>
      <w:r w:rsidRPr="000549B1">
        <w:rPr>
          <w:color w:val="auto"/>
        </w:rPr>
        <w:t>表</w:t>
      </w:r>
      <w:r w:rsidR="00372953">
        <w:rPr>
          <w:color w:val="auto"/>
        </w:rPr>
        <w:fldChar w:fldCharType="begin"/>
      </w:r>
      <w:r w:rsidR="00372953">
        <w:rPr>
          <w:color w:val="auto"/>
        </w:rPr>
        <w:instrText xml:space="preserve"> STYLEREF 2 \s </w:instrText>
      </w:r>
      <w:r w:rsidR="00372953">
        <w:rPr>
          <w:color w:val="auto"/>
        </w:rPr>
        <w:fldChar w:fldCharType="separate"/>
      </w:r>
      <w:r w:rsidR="00372953">
        <w:rPr>
          <w:noProof/>
          <w:color w:val="auto"/>
        </w:rPr>
        <w:t>3.3</w:t>
      </w:r>
      <w:r w:rsidR="00372953">
        <w:rPr>
          <w:color w:val="auto"/>
        </w:rPr>
        <w:fldChar w:fldCharType="end"/>
      </w:r>
      <w:r w:rsidR="00372953">
        <w:rPr>
          <w:color w:val="auto"/>
        </w:rPr>
        <w:noBreakHyphen/>
      </w:r>
      <w:r w:rsidR="00372953">
        <w:rPr>
          <w:color w:val="auto"/>
        </w:rPr>
        <w:fldChar w:fldCharType="begin"/>
      </w:r>
      <w:r w:rsidR="00372953">
        <w:rPr>
          <w:color w:val="auto"/>
        </w:rPr>
        <w:instrText xml:space="preserve"> SEQ </w:instrText>
      </w:r>
      <w:r w:rsidR="00372953">
        <w:rPr>
          <w:color w:val="auto"/>
        </w:rPr>
        <w:instrText>表</w:instrText>
      </w:r>
      <w:r w:rsidR="00372953">
        <w:rPr>
          <w:color w:val="auto"/>
        </w:rPr>
        <w:instrText xml:space="preserve"> \* ARABIC \s 2 </w:instrText>
      </w:r>
      <w:r w:rsidR="00372953">
        <w:rPr>
          <w:color w:val="auto"/>
        </w:rPr>
        <w:fldChar w:fldCharType="separate"/>
      </w:r>
      <w:r w:rsidR="00372953">
        <w:rPr>
          <w:noProof/>
          <w:color w:val="auto"/>
        </w:rPr>
        <w:t>24</w:t>
      </w:r>
      <w:r w:rsidR="00372953">
        <w:rPr>
          <w:color w:val="auto"/>
        </w:rPr>
        <w:fldChar w:fldCharType="end"/>
      </w:r>
      <w:bookmarkEnd w:id="234"/>
      <w:r w:rsidRPr="000549B1">
        <w:rPr>
          <w:color w:val="auto"/>
        </w:rPr>
        <w:t>沙珠玉河流域主要湖泊、水库水质状况</w:t>
      </w:r>
    </w:p>
    <w:tbl>
      <w:tblPr>
        <w:tblStyle w:val="aff"/>
        <w:tblW w:w="0" w:type="auto"/>
        <w:tblLook w:val="04A0" w:firstRow="1" w:lastRow="0" w:firstColumn="1" w:lastColumn="0" w:noHBand="0" w:noVBand="1"/>
      </w:tblPr>
      <w:tblGrid>
        <w:gridCol w:w="636"/>
        <w:gridCol w:w="1471"/>
        <w:gridCol w:w="1682"/>
        <w:gridCol w:w="1553"/>
        <w:gridCol w:w="1054"/>
        <w:gridCol w:w="846"/>
        <w:gridCol w:w="1054"/>
      </w:tblGrid>
      <w:tr w:rsidR="000549B1" w:rsidRPr="000549B1" w14:paraId="0A5A9E88" w14:textId="77777777">
        <w:tc>
          <w:tcPr>
            <w:tcW w:w="0" w:type="auto"/>
            <w:vAlign w:val="center"/>
          </w:tcPr>
          <w:p w14:paraId="096169FA" w14:textId="77777777" w:rsidR="00054437" w:rsidRPr="000549B1" w:rsidRDefault="00000000">
            <w:pPr>
              <w:widowControl/>
              <w:spacing w:line="0" w:lineRule="atLeast"/>
              <w:jc w:val="center"/>
              <w:textAlignment w:val="center"/>
              <w:rPr>
                <w:b/>
                <w:szCs w:val="21"/>
              </w:rPr>
            </w:pPr>
            <w:r w:rsidRPr="000549B1">
              <w:rPr>
                <w:rFonts w:eastAsiaTheme="minorEastAsia"/>
                <w:b/>
                <w:kern w:val="0"/>
                <w:szCs w:val="21"/>
              </w:rPr>
              <w:t>序号</w:t>
            </w:r>
          </w:p>
        </w:tc>
        <w:tc>
          <w:tcPr>
            <w:tcW w:w="0" w:type="auto"/>
            <w:vAlign w:val="center"/>
          </w:tcPr>
          <w:p w14:paraId="792B5AAF" w14:textId="77777777" w:rsidR="00054437" w:rsidRPr="000549B1" w:rsidRDefault="00000000">
            <w:pPr>
              <w:widowControl/>
              <w:spacing w:line="0" w:lineRule="atLeast"/>
              <w:jc w:val="center"/>
              <w:textAlignment w:val="center"/>
              <w:rPr>
                <w:b/>
                <w:szCs w:val="21"/>
              </w:rPr>
            </w:pPr>
            <w:r w:rsidRPr="000549B1">
              <w:rPr>
                <w:rFonts w:eastAsiaTheme="minorEastAsia"/>
                <w:b/>
                <w:szCs w:val="21"/>
              </w:rPr>
              <w:t>水资源三级区</w:t>
            </w:r>
          </w:p>
        </w:tc>
        <w:tc>
          <w:tcPr>
            <w:tcW w:w="0" w:type="auto"/>
            <w:vAlign w:val="center"/>
          </w:tcPr>
          <w:p w14:paraId="0F42D4A1" w14:textId="77777777" w:rsidR="00054437" w:rsidRPr="000549B1" w:rsidRDefault="00000000">
            <w:pPr>
              <w:widowControl/>
              <w:spacing w:line="0" w:lineRule="atLeast"/>
              <w:jc w:val="center"/>
              <w:textAlignment w:val="center"/>
              <w:rPr>
                <w:b/>
                <w:szCs w:val="21"/>
              </w:rPr>
            </w:pPr>
            <w:r w:rsidRPr="000549B1">
              <w:rPr>
                <w:rFonts w:eastAsiaTheme="minorEastAsia"/>
                <w:b/>
                <w:kern w:val="0"/>
                <w:szCs w:val="21"/>
              </w:rPr>
              <w:t>湖泊、水库名称</w:t>
            </w:r>
          </w:p>
        </w:tc>
        <w:tc>
          <w:tcPr>
            <w:tcW w:w="0" w:type="auto"/>
            <w:vAlign w:val="center"/>
          </w:tcPr>
          <w:p w14:paraId="11E3CB14" w14:textId="77777777" w:rsidR="00054437" w:rsidRPr="000549B1" w:rsidRDefault="00000000">
            <w:pPr>
              <w:widowControl/>
              <w:spacing w:line="0" w:lineRule="atLeast"/>
              <w:jc w:val="center"/>
              <w:textAlignment w:val="center"/>
              <w:rPr>
                <w:b/>
                <w:szCs w:val="21"/>
              </w:rPr>
            </w:pPr>
            <w:r w:rsidRPr="000549B1">
              <w:rPr>
                <w:rFonts w:eastAsiaTheme="minorEastAsia"/>
                <w:b/>
                <w:kern w:val="0"/>
                <w:szCs w:val="21"/>
              </w:rPr>
              <w:t>库容（万</w:t>
            </w:r>
            <w:r w:rsidRPr="000549B1">
              <w:rPr>
                <w:rFonts w:eastAsiaTheme="minorEastAsia"/>
                <w:b/>
                <w:kern w:val="0"/>
                <w:szCs w:val="21"/>
              </w:rPr>
              <w:t>m³</w:t>
            </w:r>
            <w:r w:rsidRPr="000549B1">
              <w:rPr>
                <w:rFonts w:eastAsiaTheme="minorEastAsia"/>
                <w:b/>
                <w:kern w:val="0"/>
                <w:szCs w:val="21"/>
              </w:rPr>
              <w:t>）</w:t>
            </w:r>
          </w:p>
        </w:tc>
        <w:tc>
          <w:tcPr>
            <w:tcW w:w="0" w:type="auto"/>
            <w:vAlign w:val="center"/>
          </w:tcPr>
          <w:p w14:paraId="6AF286A5" w14:textId="77777777" w:rsidR="00054437" w:rsidRPr="000549B1" w:rsidRDefault="00000000">
            <w:pPr>
              <w:widowControl/>
              <w:spacing w:line="0" w:lineRule="atLeast"/>
              <w:jc w:val="center"/>
              <w:textAlignment w:val="center"/>
              <w:rPr>
                <w:b/>
                <w:szCs w:val="21"/>
              </w:rPr>
            </w:pPr>
            <w:r w:rsidRPr="000549B1">
              <w:rPr>
                <w:rFonts w:eastAsiaTheme="minorEastAsia"/>
                <w:b/>
                <w:kern w:val="0"/>
                <w:szCs w:val="21"/>
              </w:rPr>
              <w:t>水质类别</w:t>
            </w:r>
          </w:p>
        </w:tc>
        <w:tc>
          <w:tcPr>
            <w:tcW w:w="0" w:type="auto"/>
            <w:vAlign w:val="center"/>
          </w:tcPr>
          <w:p w14:paraId="7524539C" w14:textId="77777777" w:rsidR="00054437" w:rsidRPr="000549B1" w:rsidRDefault="00000000">
            <w:pPr>
              <w:widowControl/>
              <w:spacing w:line="0" w:lineRule="atLeast"/>
              <w:jc w:val="center"/>
              <w:textAlignment w:val="center"/>
              <w:rPr>
                <w:b/>
                <w:szCs w:val="21"/>
              </w:rPr>
            </w:pPr>
            <w:r w:rsidRPr="000549B1">
              <w:rPr>
                <w:rFonts w:eastAsiaTheme="minorEastAsia"/>
                <w:b/>
                <w:kern w:val="0"/>
                <w:szCs w:val="21"/>
              </w:rPr>
              <w:t>评分值</w:t>
            </w:r>
          </w:p>
        </w:tc>
        <w:tc>
          <w:tcPr>
            <w:tcW w:w="0" w:type="auto"/>
            <w:vAlign w:val="center"/>
          </w:tcPr>
          <w:p w14:paraId="0DA888A0" w14:textId="77777777" w:rsidR="00054437" w:rsidRPr="000549B1" w:rsidRDefault="00000000">
            <w:pPr>
              <w:widowControl/>
              <w:spacing w:line="0" w:lineRule="atLeast"/>
              <w:jc w:val="center"/>
              <w:textAlignment w:val="center"/>
              <w:rPr>
                <w:rFonts w:eastAsiaTheme="minorEastAsia"/>
                <w:b/>
                <w:kern w:val="0"/>
                <w:szCs w:val="21"/>
              </w:rPr>
            </w:pPr>
            <w:r w:rsidRPr="000549B1">
              <w:rPr>
                <w:rFonts w:eastAsiaTheme="minorEastAsia"/>
                <w:b/>
                <w:kern w:val="0"/>
                <w:szCs w:val="21"/>
              </w:rPr>
              <w:t>营养程度</w:t>
            </w:r>
          </w:p>
          <w:p w14:paraId="158E2CD5" w14:textId="77777777" w:rsidR="00054437" w:rsidRPr="000549B1" w:rsidRDefault="00000000">
            <w:pPr>
              <w:widowControl/>
              <w:spacing w:line="0" w:lineRule="atLeast"/>
              <w:jc w:val="center"/>
              <w:textAlignment w:val="center"/>
              <w:rPr>
                <w:b/>
                <w:szCs w:val="21"/>
              </w:rPr>
            </w:pPr>
            <w:r w:rsidRPr="000549B1">
              <w:rPr>
                <w:rFonts w:eastAsiaTheme="minorEastAsia"/>
                <w:b/>
                <w:kern w:val="0"/>
                <w:szCs w:val="21"/>
              </w:rPr>
              <w:t>分级</w:t>
            </w:r>
          </w:p>
        </w:tc>
      </w:tr>
      <w:tr w:rsidR="000549B1" w:rsidRPr="000549B1" w14:paraId="6899EC3F" w14:textId="77777777">
        <w:tc>
          <w:tcPr>
            <w:tcW w:w="0" w:type="auto"/>
            <w:vAlign w:val="center"/>
          </w:tcPr>
          <w:p w14:paraId="51806EE5" w14:textId="77777777" w:rsidR="00054437" w:rsidRPr="000549B1" w:rsidRDefault="00000000">
            <w:pPr>
              <w:widowControl/>
              <w:jc w:val="center"/>
              <w:textAlignment w:val="center"/>
              <w:rPr>
                <w:bCs/>
                <w:szCs w:val="21"/>
              </w:rPr>
            </w:pPr>
            <w:r w:rsidRPr="000549B1">
              <w:rPr>
                <w:rFonts w:eastAsiaTheme="minorEastAsia"/>
                <w:bCs/>
                <w:kern w:val="0"/>
                <w:szCs w:val="21"/>
              </w:rPr>
              <w:t>1</w:t>
            </w:r>
          </w:p>
        </w:tc>
        <w:tc>
          <w:tcPr>
            <w:tcW w:w="0" w:type="auto"/>
            <w:vAlign w:val="center"/>
          </w:tcPr>
          <w:p w14:paraId="472B1677" w14:textId="77777777" w:rsidR="00054437" w:rsidRPr="000549B1" w:rsidRDefault="00000000">
            <w:pPr>
              <w:widowControl/>
              <w:jc w:val="center"/>
              <w:textAlignment w:val="center"/>
              <w:rPr>
                <w:bCs/>
                <w:szCs w:val="21"/>
              </w:rPr>
            </w:pPr>
            <w:r w:rsidRPr="000549B1">
              <w:rPr>
                <w:rFonts w:eastAsiaTheme="minorEastAsia"/>
                <w:bCs/>
                <w:kern w:val="0"/>
                <w:szCs w:val="21"/>
              </w:rPr>
              <w:t>青海湖水系</w:t>
            </w:r>
          </w:p>
        </w:tc>
        <w:tc>
          <w:tcPr>
            <w:tcW w:w="0" w:type="auto"/>
            <w:vAlign w:val="center"/>
          </w:tcPr>
          <w:p w14:paraId="5B09B3D0" w14:textId="77777777" w:rsidR="00054437" w:rsidRPr="000549B1" w:rsidRDefault="00000000">
            <w:pPr>
              <w:widowControl/>
              <w:jc w:val="center"/>
              <w:textAlignment w:val="center"/>
              <w:rPr>
                <w:bCs/>
                <w:szCs w:val="21"/>
              </w:rPr>
            </w:pPr>
            <w:r w:rsidRPr="000549B1">
              <w:rPr>
                <w:rFonts w:eastAsiaTheme="minorEastAsia"/>
                <w:bCs/>
                <w:kern w:val="0"/>
                <w:szCs w:val="21"/>
              </w:rPr>
              <w:t>恰让水库</w:t>
            </w:r>
          </w:p>
        </w:tc>
        <w:tc>
          <w:tcPr>
            <w:tcW w:w="0" w:type="auto"/>
            <w:vAlign w:val="center"/>
          </w:tcPr>
          <w:p w14:paraId="1E441193" w14:textId="77777777" w:rsidR="00054437" w:rsidRPr="000549B1" w:rsidRDefault="00000000">
            <w:pPr>
              <w:widowControl/>
              <w:jc w:val="center"/>
              <w:textAlignment w:val="center"/>
              <w:rPr>
                <w:bCs/>
                <w:szCs w:val="21"/>
              </w:rPr>
            </w:pPr>
            <w:r w:rsidRPr="000549B1">
              <w:rPr>
                <w:rFonts w:eastAsiaTheme="minorEastAsia"/>
                <w:bCs/>
                <w:kern w:val="0"/>
                <w:szCs w:val="21"/>
              </w:rPr>
              <w:t>312</w:t>
            </w:r>
          </w:p>
        </w:tc>
        <w:tc>
          <w:tcPr>
            <w:tcW w:w="0" w:type="auto"/>
            <w:vAlign w:val="center"/>
          </w:tcPr>
          <w:p w14:paraId="3462F42B" w14:textId="77777777" w:rsidR="00054437" w:rsidRPr="000549B1" w:rsidRDefault="00000000">
            <w:pPr>
              <w:widowControl/>
              <w:jc w:val="center"/>
              <w:textAlignment w:val="center"/>
              <w:rPr>
                <w:bCs/>
                <w:szCs w:val="21"/>
              </w:rPr>
            </w:pPr>
            <w:r w:rsidRPr="000549B1">
              <w:rPr>
                <w:rFonts w:eastAsiaTheme="minorEastAsia"/>
                <w:bCs/>
                <w:szCs w:val="21"/>
              </w:rPr>
              <w:t>Ⅲ</w:t>
            </w:r>
          </w:p>
        </w:tc>
        <w:tc>
          <w:tcPr>
            <w:tcW w:w="0" w:type="auto"/>
            <w:vAlign w:val="center"/>
          </w:tcPr>
          <w:p w14:paraId="533DDF33" w14:textId="77777777" w:rsidR="00054437" w:rsidRPr="000549B1" w:rsidRDefault="00000000">
            <w:pPr>
              <w:widowControl/>
              <w:jc w:val="center"/>
              <w:textAlignment w:val="center"/>
              <w:rPr>
                <w:bCs/>
                <w:szCs w:val="21"/>
              </w:rPr>
            </w:pPr>
            <w:r w:rsidRPr="000549B1">
              <w:rPr>
                <w:rFonts w:eastAsiaTheme="minorEastAsia"/>
                <w:bCs/>
                <w:kern w:val="0"/>
                <w:szCs w:val="21"/>
              </w:rPr>
              <w:t>24.3</w:t>
            </w:r>
          </w:p>
        </w:tc>
        <w:tc>
          <w:tcPr>
            <w:tcW w:w="0" w:type="auto"/>
            <w:vAlign w:val="center"/>
          </w:tcPr>
          <w:p w14:paraId="07A88F9B" w14:textId="77777777" w:rsidR="00054437" w:rsidRPr="000549B1" w:rsidRDefault="00000000">
            <w:pPr>
              <w:widowControl/>
              <w:jc w:val="center"/>
              <w:textAlignment w:val="center"/>
              <w:rPr>
                <w:bCs/>
                <w:szCs w:val="21"/>
              </w:rPr>
            </w:pPr>
            <w:r w:rsidRPr="000549B1">
              <w:rPr>
                <w:rFonts w:eastAsiaTheme="minorEastAsia"/>
                <w:bCs/>
                <w:kern w:val="0"/>
                <w:szCs w:val="21"/>
              </w:rPr>
              <w:t>中营养</w:t>
            </w:r>
          </w:p>
        </w:tc>
      </w:tr>
      <w:tr w:rsidR="000549B1" w:rsidRPr="000549B1" w14:paraId="29AD97CB" w14:textId="77777777">
        <w:tc>
          <w:tcPr>
            <w:tcW w:w="0" w:type="auto"/>
            <w:vAlign w:val="center"/>
          </w:tcPr>
          <w:p w14:paraId="74091CE7" w14:textId="77777777" w:rsidR="00054437" w:rsidRPr="000549B1" w:rsidRDefault="00000000">
            <w:pPr>
              <w:widowControl/>
              <w:jc w:val="center"/>
              <w:textAlignment w:val="center"/>
              <w:rPr>
                <w:bCs/>
                <w:szCs w:val="21"/>
              </w:rPr>
            </w:pPr>
            <w:r w:rsidRPr="000549B1">
              <w:rPr>
                <w:rFonts w:eastAsiaTheme="minorEastAsia"/>
                <w:bCs/>
                <w:kern w:val="0"/>
                <w:szCs w:val="21"/>
              </w:rPr>
              <w:t>2</w:t>
            </w:r>
          </w:p>
        </w:tc>
        <w:tc>
          <w:tcPr>
            <w:tcW w:w="0" w:type="auto"/>
            <w:vAlign w:val="center"/>
          </w:tcPr>
          <w:p w14:paraId="1CA6B8F7" w14:textId="77777777" w:rsidR="00054437" w:rsidRPr="000549B1" w:rsidRDefault="00000000">
            <w:pPr>
              <w:widowControl/>
              <w:jc w:val="center"/>
              <w:textAlignment w:val="center"/>
              <w:rPr>
                <w:bCs/>
                <w:szCs w:val="21"/>
              </w:rPr>
            </w:pPr>
            <w:r w:rsidRPr="000549B1">
              <w:rPr>
                <w:rFonts w:eastAsiaTheme="minorEastAsia"/>
                <w:bCs/>
                <w:kern w:val="0"/>
                <w:szCs w:val="21"/>
              </w:rPr>
              <w:t>青海湖水系</w:t>
            </w:r>
          </w:p>
        </w:tc>
        <w:tc>
          <w:tcPr>
            <w:tcW w:w="0" w:type="auto"/>
            <w:vAlign w:val="center"/>
          </w:tcPr>
          <w:p w14:paraId="431296B3" w14:textId="77777777" w:rsidR="00054437" w:rsidRPr="000549B1" w:rsidRDefault="00000000">
            <w:pPr>
              <w:widowControl/>
              <w:jc w:val="center"/>
              <w:textAlignment w:val="center"/>
              <w:rPr>
                <w:bCs/>
                <w:szCs w:val="21"/>
              </w:rPr>
            </w:pPr>
            <w:r w:rsidRPr="000549B1">
              <w:rPr>
                <w:rFonts w:eastAsiaTheme="minorEastAsia"/>
                <w:bCs/>
                <w:kern w:val="0"/>
                <w:szCs w:val="21"/>
              </w:rPr>
              <w:t>切吉水库</w:t>
            </w:r>
          </w:p>
        </w:tc>
        <w:tc>
          <w:tcPr>
            <w:tcW w:w="0" w:type="auto"/>
            <w:vAlign w:val="center"/>
          </w:tcPr>
          <w:p w14:paraId="3B2C28FE" w14:textId="77777777" w:rsidR="00054437" w:rsidRPr="000549B1" w:rsidRDefault="00000000">
            <w:pPr>
              <w:widowControl/>
              <w:jc w:val="center"/>
              <w:textAlignment w:val="center"/>
              <w:rPr>
                <w:bCs/>
                <w:szCs w:val="21"/>
              </w:rPr>
            </w:pPr>
            <w:r w:rsidRPr="000549B1">
              <w:rPr>
                <w:rFonts w:eastAsiaTheme="minorEastAsia"/>
                <w:bCs/>
                <w:kern w:val="0"/>
                <w:szCs w:val="21"/>
              </w:rPr>
              <w:t>410</w:t>
            </w:r>
          </w:p>
        </w:tc>
        <w:tc>
          <w:tcPr>
            <w:tcW w:w="0" w:type="auto"/>
            <w:vAlign w:val="center"/>
          </w:tcPr>
          <w:p w14:paraId="282D7B8E" w14:textId="77777777" w:rsidR="00054437" w:rsidRPr="000549B1" w:rsidRDefault="00000000">
            <w:pPr>
              <w:widowControl/>
              <w:jc w:val="center"/>
              <w:textAlignment w:val="center"/>
              <w:rPr>
                <w:bCs/>
                <w:szCs w:val="21"/>
              </w:rPr>
            </w:pPr>
            <w:r w:rsidRPr="000549B1">
              <w:rPr>
                <w:rFonts w:eastAsiaTheme="minorEastAsia"/>
                <w:bCs/>
                <w:szCs w:val="21"/>
              </w:rPr>
              <w:t>Ⅲ</w:t>
            </w:r>
          </w:p>
        </w:tc>
        <w:tc>
          <w:tcPr>
            <w:tcW w:w="0" w:type="auto"/>
            <w:vAlign w:val="center"/>
          </w:tcPr>
          <w:p w14:paraId="73E9C3E9" w14:textId="77777777" w:rsidR="00054437" w:rsidRPr="000549B1" w:rsidRDefault="00000000">
            <w:pPr>
              <w:widowControl/>
              <w:jc w:val="center"/>
              <w:textAlignment w:val="center"/>
              <w:rPr>
                <w:bCs/>
                <w:szCs w:val="21"/>
              </w:rPr>
            </w:pPr>
            <w:r w:rsidRPr="000549B1">
              <w:rPr>
                <w:rFonts w:eastAsiaTheme="minorEastAsia"/>
                <w:bCs/>
                <w:kern w:val="0"/>
                <w:szCs w:val="21"/>
              </w:rPr>
              <w:t>35.2</w:t>
            </w:r>
          </w:p>
        </w:tc>
        <w:tc>
          <w:tcPr>
            <w:tcW w:w="0" w:type="auto"/>
            <w:vAlign w:val="center"/>
          </w:tcPr>
          <w:p w14:paraId="6A0DACDD" w14:textId="77777777" w:rsidR="00054437" w:rsidRPr="000549B1" w:rsidRDefault="00000000">
            <w:pPr>
              <w:widowControl/>
              <w:jc w:val="center"/>
              <w:textAlignment w:val="center"/>
              <w:rPr>
                <w:bCs/>
                <w:szCs w:val="21"/>
              </w:rPr>
            </w:pPr>
            <w:r w:rsidRPr="000549B1">
              <w:rPr>
                <w:rFonts w:eastAsiaTheme="minorEastAsia"/>
                <w:bCs/>
                <w:kern w:val="0"/>
                <w:szCs w:val="21"/>
              </w:rPr>
              <w:t>中营养</w:t>
            </w:r>
          </w:p>
        </w:tc>
      </w:tr>
      <w:tr w:rsidR="000549B1" w:rsidRPr="000549B1" w14:paraId="720C6BF8" w14:textId="77777777">
        <w:tc>
          <w:tcPr>
            <w:tcW w:w="0" w:type="auto"/>
            <w:vAlign w:val="center"/>
          </w:tcPr>
          <w:p w14:paraId="03A503BE" w14:textId="77777777" w:rsidR="00054437" w:rsidRPr="000549B1" w:rsidRDefault="00000000">
            <w:pPr>
              <w:widowControl/>
              <w:jc w:val="center"/>
              <w:textAlignment w:val="center"/>
              <w:rPr>
                <w:bCs/>
                <w:szCs w:val="21"/>
              </w:rPr>
            </w:pPr>
            <w:r w:rsidRPr="000549B1">
              <w:rPr>
                <w:rFonts w:eastAsiaTheme="minorEastAsia"/>
                <w:bCs/>
                <w:kern w:val="0"/>
                <w:szCs w:val="21"/>
              </w:rPr>
              <w:t>3</w:t>
            </w:r>
          </w:p>
        </w:tc>
        <w:tc>
          <w:tcPr>
            <w:tcW w:w="0" w:type="auto"/>
            <w:vAlign w:val="center"/>
          </w:tcPr>
          <w:p w14:paraId="6C8D3DF4" w14:textId="77777777" w:rsidR="00054437" w:rsidRPr="000549B1" w:rsidRDefault="00000000">
            <w:pPr>
              <w:widowControl/>
              <w:jc w:val="center"/>
              <w:textAlignment w:val="center"/>
              <w:rPr>
                <w:bCs/>
                <w:szCs w:val="21"/>
              </w:rPr>
            </w:pPr>
            <w:r w:rsidRPr="000549B1">
              <w:rPr>
                <w:rFonts w:eastAsiaTheme="minorEastAsia"/>
                <w:bCs/>
                <w:kern w:val="0"/>
                <w:szCs w:val="21"/>
              </w:rPr>
              <w:t>青海湖水系</w:t>
            </w:r>
          </w:p>
        </w:tc>
        <w:tc>
          <w:tcPr>
            <w:tcW w:w="0" w:type="auto"/>
            <w:vAlign w:val="center"/>
          </w:tcPr>
          <w:p w14:paraId="018EA0BF" w14:textId="77777777" w:rsidR="00054437" w:rsidRPr="000549B1" w:rsidRDefault="00000000">
            <w:pPr>
              <w:widowControl/>
              <w:jc w:val="center"/>
              <w:textAlignment w:val="center"/>
              <w:rPr>
                <w:bCs/>
                <w:szCs w:val="21"/>
              </w:rPr>
            </w:pPr>
            <w:r w:rsidRPr="000549B1">
              <w:rPr>
                <w:rFonts w:eastAsiaTheme="minorEastAsia"/>
                <w:bCs/>
                <w:kern w:val="0"/>
                <w:szCs w:val="21"/>
              </w:rPr>
              <w:t>娘堂水库</w:t>
            </w:r>
          </w:p>
        </w:tc>
        <w:tc>
          <w:tcPr>
            <w:tcW w:w="0" w:type="auto"/>
            <w:vAlign w:val="center"/>
          </w:tcPr>
          <w:p w14:paraId="57B97077" w14:textId="77777777" w:rsidR="00054437" w:rsidRPr="000549B1" w:rsidRDefault="00000000">
            <w:pPr>
              <w:widowControl/>
              <w:jc w:val="center"/>
              <w:textAlignment w:val="center"/>
              <w:rPr>
                <w:bCs/>
                <w:szCs w:val="21"/>
              </w:rPr>
            </w:pPr>
            <w:r w:rsidRPr="000549B1">
              <w:rPr>
                <w:rFonts w:eastAsiaTheme="minorEastAsia"/>
                <w:bCs/>
                <w:kern w:val="0"/>
                <w:szCs w:val="21"/>
              </w:rPr>
              <w:t>1080</w:t>
            </w:r>
          </w:p>
        </w:tc>
        <w:tc>
          <w:tcPr>
            <w:tcW w:w="0" w:type="auto"/>
            <w:vAlign w:val="center"/>
          </w:tcPr>
          <w:p w14:paraId="001C5E1A" w14:textId="77777777" w:rsidR="00054437" w:rsidRPr="000549B1" w:rsidRDefault="00000000">
            <w:pPr>
              <w:widowControl/>
              <w:jc w:val="center"/>
              <w:textAlignment w:val="center"/>
              <w:rPr>
                <w:bCs/>
                <w:szCs w:val="21"/>
              </w:rPr>
            </w:pPr>
            <w:r w:rsidRPr="000549B1">
              <w:rPr>
                <w:rFonts w:eastAsiaTheme="minorEastAsia"/>
                <w:bCs/>
                <w:kern w:val="0"/>
                <w:szCs w:val="21"/>
              </w:rPr>
              <w:t>Ⅱ</w:t>
            </w:r>
          </w:p>
        </w:tc>
        <w:tc>
          <w:tcPr>
            <w:tcW w:w="0" w:type="auto"/>
            <w:vAlign w:val="center"/>
          </w:tcPr>
          <w:p w14:paraId="5B52B45B" w14:textId="77777777" w:rsidR="00054437" w:rsidRPr="000549B1" w:rsidRDefault="00000000">
            <w:pPr>
              <w:widowControl/>
              <w:jc w:val="center"/>
              <w:textAlignment w:val="center"/>
              <w:rPr>
                <w:bCs/>
                <w:szCs w:val="21"/>
              </w:rPr>
            </w:pPr>
            <w:r w:rsidRPr="000549B1">
              <w:rPr>
                <w:rFonts w:eastAsiaTheme="minorEastAsia"/>
                <w:bCs/>
                <w:kern w:val="0"/>
                <w:szCs w:val="21"/>
              </w:rPr>
              <w:t>31.0</w:t>
            </w:r>
          </w:p>
        </w:tc>
        <w:tc>
          <w:tcPr>
            <w:tcW w:w="0" w:type="auto"/>
            <w:vAlign w:val="center"/>
          </w:tcPr>
          <w:p w14:paraId="0EDDE7A5" w14:textId="77777777" w:rsidR="00054437" w:rsidRPr="000549B1" w:rsidRDefault="00000000">
            <w:pPr>
              <w:widowControl/>
              <w:jc w:val="center"/>
              <w:textAlignment w:val="center"/>
              <w:rPr>
                <w:bCs/>
                <w:szCs w:val="21"/>
              </w:rPr>
            </w:pPr>
            <w:r w:rsidRPr="000549B1">
              <w:rPr>
                <w:rFonts w:eastAsiaTheme="minorEastAsia"/>
                <w:bCs/>
                <w:kern w:val="0"/>
                <w:szCs w:val="21"/>
              </w:rPr>
              <w:t>中营养</w:t>
            </w:r>
          </w:p>
        </w:tc>
      </w:tr>
    </w:tbl>
    <w:p w14:paraId="619710CA" w14:textId="77777777" w:rsidR="00054437" w:rsidRPr="000549B1" w:rsidRDefault="00000000">
      <w:pPr>
        <w:snapToGrid w:val="0"/>
        <w:spacing w:beforeLines="50" w:before="156" w:line="360" w:lineRule="auto"/>
        <w:ind w:firstLineChars="200" w:firstLine="480"/>
        <w:rPr>
          <w:bCs/>
          <w:sz w:val="24"/>
          <w:szCs w:val="24"/>
        </w:rPr>
      </w:pPr>
      <w:r w:rsidRPr="000549B1">
        <w:rPr>
          <w:bCs/>
          <w:sz w:val="24"/>
          <w:szCs w:val="24"/>
        </w:rPr>
        <w:t>依据</w:t>
      </w:r>
      <w:r w:rsidRPr="000549B1">
        <w:rPr>
          <w:bCs/>
          <w:sz w:val="24"/>
          <w:szCs w:val="24"/>
        </w:rPr>
        <w:t>2020</w:t>
      </w:r>
      <w:r w:rsidRPr="000549B1">
        <w:rPr>
          <w:bCs/>
          <w:sz w:val="24"/>
          <w:szCs w:val="24"/>
        </w:rPr>
        <w:t>年前后</w:t>
      </w:r>
      <w:r w:rsidRPr="000549B1">
        <w:rPr>
          <w:bCs/>
          <w:sz w:val="24"/>
          <w:szCs w:val="24"/>
        </w:rPr>
        <w:t>3</w:t>
      </w:r>
      <w:r w:rsidRPr="000549B1">
        <w:rPr>
          <w:bCs/>
          <w:sz w:val="24"/>
          <w:szCs w:val="24"/>
        </w:rPr>
        <w:t>年内的水质监测数据对沙珠玉河流域范围内</w:t>
      </w:r>
      <w:r w:rsidRPr="000549B1">
        <w:rPr>
          <w:bCs/>
          <w:sz w:val="24"/>
          <w:szCs w:val="24"/>
        </w:rPr>
        <w:t>3</w:t>
      </w:r>
      <w:r w:rsidRPr="000549B1">
        <w:rPr>
          <w:bCs/>
          <w:sz w:val="24"/>
          <w:szCs w:val="24"/>
        </w:rPr>
        <w:t>个水库进行评价，娘堂水库水质类别为</w:t>
      </w:r>
      <w:r w:rsidRPr="000549B1">
        <w:rPr>
          <w:bCs/>
          <w:sz w:val="24"/>
          <w:szCs w:val="24"/>
        </w:rPr>
        <w:t>Ⅱ</w:t>
      </w:r>
      <w:r w:rsidRPr="000549B1">
        <w:rPr>
          <w:bCs/>
          <w:sz w:val="24"/>
          <w:szCs w:val="24"/>
        </w:rPr>
        <w:t>类，恰让水库、切吉水库水质类别为</w:t>
      </w:r>
      <w:r w:rsidRPr="000549B1">
        <w:rPr>
          <w:bCs/>
          <w:sz w:val="24"/>
          <w:szCs w:val="24"/>
        </w:rPr>
        <w:t>Ⅲ</w:t>
      </w:r>
      <w:r w:rsidRPr="000549B1">
        <w:rPr>
          <w:bCs/>
          <w:sz w:val="24"/>
          <w:szCs w:val="24"/>
        </w:rPr>
        <w:t>类，沙珠玉河流域内水库水质良好。</w:t>
      </w:r>
    </w:p>
    <w:p w14:paraId="7B6BED6C" w14:textId="77777777" w:rsidR="00054437" w:rsidRPr="000549B1" w:rsidRDefault="00000000">
      <w:pPr>
        <w:snapToGrid w:val="0"/>
        <w:spacing w:beforeLines="50" w:before="156" w:line="360" w:lineRule="auto"/>
        <w:ind w:firstLineChars="200" w:firstLine="480"/>
        <w:rPr>
          <w:bCs/>
          <w:sz w:val="24"/>
          <w:szCs w:val="24"/>
        </w:rPr>
      </w:pPr>
      <w:r w:rsidRPr="000549B1">
        <w:rPr>
          <w:bCs/>
          <w:sz w:val="24"/>
          <w:szCs w:val="24"/>
        </w:rPr>
        <w:t>（</w:t>
      </w:r>
      <w:r w:rsidRPr="000549B1">
        <w:rPr>
          <w:bCs/>
          <w:sz w:val="24"/>
          <w:szCs w:val="24"/>
        </w:rPr>
        <w:t>2</w:t>
      </w:r>
      <w:r w:rsidRPr="000549B1">
        <w:rPr>
          <w:bCs/>
          <w:sz w:val="24"/>
          <w:szCs w:val="24"/>
        </w:rPr>
        <w:t>）补充监测</w:t>
      </w:r>
    </w:p>
    <w:p w14:paraId="04DDE500" w14:textId="77777777" w:rsidR="000B0AAF" w:rsidRPr="000B0AAF" w:rsidRDefault="000B0AAF" w:rsidP="000B0AAF">
      <w:pPr>
        <w:adjustRightInd w:val="0"/>
        <w:snapToGrid w:val="0"/>
        <w:spacing w:line="348" w:lineRule="auto"/>
        <w:ind w:firstLine="482"/>
        <w:rPr>
          <w:kern w:val="0"/>
          <w:sz w:val="24"/>
          <w:szCs w:val="24"/>
        </w:rPr>
      </w:pPr>
      <w:r w:rsidRPr="000B0AAF">
        <w:rPr>
          <w:rFonts w:hint="eastAsia"/>
          <w:kern w:val="0"/>
          <w:sz w:val="24"/>
          <w:szCs w:val="24"/>
        </w:rPr>
        <w:t>2025</w:t>
      </w:r>
      <w:r w:rsidRPr="000B0AAF">
        <w:rPr>
          <w:rFonts w:hint="eastAsia"/>
          <w:kern w:val="0"/>
          <w:sz w:val="24"/>
          <w:szCs w:val="24"/>
        </w:rPr>
        <w:t>年</w:t>
      </w:r>
      <w:r w:rsidRPr="000B0AAF">
        <w:rPr>
          <w:rFonts w:hint="eastAsia"/>
          <w:kern w:val="0"/>
          <w:sz w:val="24"/>
          <w:szCs w:val="24"/>
        </w:rPr>
        <w:t>4</w:t>
      </w:r>
      <w:r w:rsidRPr="000B0AAF">
        <w:rPr>
          <w:rFonts w:hint="eastAsia"/>
          <w:kern w:val="0"/>
          <w:sz w:val="24"/>
          <w:szCs w:val="24"/>
        </w:rPr>
        <w:t>月</w:t>
      </w:r>
      <w:r w:rsidRPr="000B0AAF">
        <w:rPr>
          <w:rFonts w:hint="eastAsia"/>
          <w:kern w:val="0"/>
          <w:sz w:val="24"/>
          <w:szCs w:val="24"/>
        </w:rPr>
        <w:t>22</w:t>
      </w:r>
      <w:r w:rsidRPr="000B0AAF">
        <w:rPr>
          <w:rFonts w:hint="eastAsia"/>
          <w:kern w:val="0"/>
          <w:sz w:val="24"/>
          <w:szCs w:val="24"/>
        </w:rPr>
        <w:t>日</w:t>
      </w:r>
      <w:r w:rsidRPr="000B0AAF">
        <w:rPr>
          <w:rFonts w:hint="eastAsia"/>
          <w:kern w:val="0"/>
          <w:sz w:val="24"/>
          <w:szCs w:val="24"/>
        </w:rPr>
        <w:t>-25</w:t>
      </w:r>
      <w:r w:rsidRPr="000B0AAF">
        <w:rPr>
          <w:rFonts w:hint="eastAsia"/>
          <w:kern w:val="0"/>
          <w:sz w:val="24"/>
          <w:szCs w:val="24"/>
        </w:rPr>
        <w:t>日，在《地表水环境质量标准》（</w:t>
      </w:r>
      <w:r w:rsidRPr="000B0AAF">
        <w:rPr>
          <w:rFonts w:hint="eastAsia"/>
          <w:kern w:val="0"/>
          <w:sz w:val="24"/>
          <w:szCs w:val="24"/>
        </w:rPr>
        <w:t>GB3838-2002</w:t>
      </w:r>
      <w:r w:rsidRPr="000B0AAF">
        <w:rPr>
          <w:rFonts w:hint="eastAsia"/>
          <w:kern w:val="0"/>
          <w:sz w:val="24"/>
          <w:szCs w:val="24"/>
        </w:rPr>
        <w:t>）表</w:t>
      </w:r>
      <w:r w:rsidRPr="000B0AAF">
        <w:rPr>
          <w:rFonts w:hint="eastAsia"/>
          <w:kern w:val="0"/>
          <w:sz w:val="24"/>
          <w:szCs w:val="24"/>
        </w:rPr>
        <w:t>1</w:t>
      </w:r>
      <w:r w:rsidRPr="000B0AAF">
        <w:rPr>
          <w:rFonts w:hint="eastAsia"/>
          <w:kern w:val="0"/>
          <w:sz w:val="24"/>
          <w:szCs w:val="24"/>
        </w:rPr>
        <w:t>基本项目包含的总磷、总氮、高锰酸盐指数</w:t>
      </w:r>
      <w:r w:rsidRPr="000B0AAF">
        <w:rPr>
          <w:rFonts w:hint="eastAsia"/>
          <w:kern w:val="0"/>
          <w:sz w:val="24"/>
          <w:szCs w:val="24"/>
        </w:rPr>
        <w:t>3</w:t>
      </w:r>
      <w:r w:rsidRPr="000B0AAF">
        <w:rPr>
          <w:rFonts w:hint="eastAsia"/>
          <w:kern w:val="0"/>
          <w:sz w:val="24"/>
          <w:szCs w:val="24"/>
        </w:rPr>
        <w:t>个因子的基础上，在切吉水库上游</w:t>
      </w:r>
      <w:r w:rsidRPr="000B0AAF">
        <w:rPr>
          <w:rFonts w:hint="eastAsia"/>
          <w:kern w:val="0"/>
          <w:sz w:val="24"/>
          <w:szCs w:val="24"/>
        </w:rPr>
        <w:t>2km</w:t>
      </w:r>
      <w:r w:rsidRPr="000B0AAF">
        <w:rPr>
          <w:rFonts w:hint="eastAsia"/>
          <w:kern w:val="0"/>
          <w:sz w:val="24"/>
          <w:szCs w:val="24"/>
        </w:rPr>
        <w:t>（拟建大河坝水库坝址断面）对叶绿素</w:t>
      </w:r>
      <w:r w:rsidRPr="000B0AAF">
        <w:rPr>
          <w:rFonts w:hint="eastAsia"/>
          <w:kern w:val="0"/>
          <w:sz w:val="24"/>
          <w:szCs w:val="24"/>
        </w:rPr>
        <w:t>a</w:t>
      </w:r>
      <w:r w:rsidRPr="000B0AAF">
        <w:rPr>
          <w:rFonts w:hint="eastAsia"/>
          <w:kern w:val="0"/>
          <w:sz w:val="24"/>
          <w:szCs w:val="24"/>
        </w:rPr>
        <w:t>、透明度</w:t>
      </w:r>
      <w:r w:rsidRPr="000B0AAF">
        <w:rPr>
          <w:rFonts w:hint="eastAsia"/>
          <w:kern w:val="0"/>
          <w:sz w:val="24"/>
          <w:szCs w:val="24"/>
        </w:rPr>
        <w:t>2</w:t>
      </w:r>
      <w:r w:rsidRPr="000B0AAF">
        <w:rPr>
          <w:rFonts w:hint="eastAsia"/>
          <w:kern w:val="0"/>
          <w:sz w:val="24"/>
          <w:szCs w:val="24"/>
        </w:rPr>
        <w:t>个与富营养化评价有关的因子进行了补充监测。</w:t>
      </w:r>
    </w:p>
    <w:p w14:paraId="69CE0E07" w14:textId="5C649FC0" w:rsidR="00054437" w:rsidRPr="000B0AAF" w:rsidRDefault="000B0AAF" w:rsidP="000B0AAF">
      <w:pPr>
        <w:adjustRightInd w:val="0"/>
        <w:snapToGrid w:val="0"/>
        <w:spacing w:line="348" w:lineRule="auto"/>
        <w:ind w:firstLine="482"/>
        <w:rPr>
          <w:kern w:val="0"/>
          <w:sz w:val="24"/>
          <w:szCs w:val="24"/>
        </w:rPr>
      </w:pPr>
      <w:r w:rsidRPr="000B0AAF">
        <w:rPr>
          <w:rFonts w:hint="eastAsia"/>
          <w:kern w:val="0"/>
          <w:sz w:val="24"/>
          <w:szCs w:val="24"/>
        </w:rPr>
        <w:t>根据《地表水环境质量评价办法（试行）》（环办〔</w:t>
      </w:r>
      <w:r w:rsidRPr="000B0AAF">
        <w:rPr>
          <w:rFonts w:hint="eastAsia"/>
          <w:kern w:val="0"/>
          <w:sz w:val="24"/>
          <w:szCs w:val="24"/>
        </w:rPr>
        <w:t>2011</w:t>
      </w:r>
      <w:r w:rsidRPr="000B0AAF">
        <w:rPr>
          <w:rFonts w:hint="eastAsia"/>
          <w:kern w:val="0"/>
          <w:sz w:val="24"/>
          <w:szCs w:val="24"/>
        </w:rPr>
        <w:t>〕</w:t>
      </w:r>
      <w:r w:rsidRPr="000B0AAF">
        <w:rPr>
          <w:rFonts w:hint="eastAsia"/>
          <w:kern w:val="0"/>
          <w:sz w:val="24"/>
          <w:szCs w:val="24"/>
        </w:rPr>
        <w:t>22</w:t>
      </w:r>
      <w:r w:rsidRPr="000B0AAF">
        <w:rPr>
          <w:rFonts w:hint="eastAsia"/>
          <w:kern w:val="0"/>
          <w:sz w:val="24"/>
          <w:szCs w:val="24"/>
        </w:rPr>
        <w:t>号）对监测断面进行营养状态评价可知：</w:t>
      </w:r>
      <w:r w:rsidRPr="000B0AAF">
        <w:rPr>
          <w:rFonts w:hint="eastAsia"/>
          <w:kern w:val="0"/>
          <w:sz w:val="24"/>
          <w:szCs w:val="24"/>
        </w:rPr>
        <w:t>2025</w:t>
      </w:r>
      <w:r w:rsidRPr="000B0AAF">
        <w:rPr>
          <w:rFonts w:hint="eastAsia"/>
          <w:kern w:val="0"/>
          <w:sz w:val="24"/>
          <w:szCs w:val="24"/>
        </w:rPr>
        <w:t>年</w:t>
      </w:r>
      <w:r w:rsidRPr="000B0AAF">
        <w:rPr>
          <w:rFonts w:hint="eastAsia"/>
          <w:kern w:val="0"/>
          <w:sz w:val="24"/>
          <w:szCs w:val="24"/>
        </w:rPr>
        <w:t>4</w:t>
      </w:r>
      <w:r w:rsidRPr="000B0AAF">
        <w:rPr>
          <w:rFonts w:hint="eastAsia"/>
          <w:kern w:val="0"/>
          <w:sz w:val="24"/>
          <w:szCs w:val="24"/>
        </w:rPr>
        <w:t>月，切吉水库上游（拟建大河坝水库坝址断面）现状水质为中营养状态。营养状态评价结果详见</w:t>
      </w:r>
      <w:r w:rsidR="00372953" w:rsidRPr="000B0AAF">
        <w:rPr>
          <w:kern w:val="0"/>
          <w:sz w:val="24"/>
          <w:szCs w:val="24"/>
        </w:rPr>
        <w:t>表</w:t>
      </w:r>
      <w:r w:rsidR="00372953" w:rsidRPr="000B0AAF">
        <w:rPr>
          <w:kern w:val="0"/>
          <w:sz w:val="24"/>
          <w:szCs w:val="24"/>
        </w:rPr>
        <w:t>3.3</w:t>
      </w:r>
      <w:r w:rsidR="00372953" w:rsidRPr="000B0AAF">
        <w:rPr>
          <w:kern w:val="0"/>
          <w:sz w:val="24"/>
          <w:szCs w:val="24"/>
        </w:rPr>
        <w:noBreakHyphen/>
        <w:t>25</w:t>
      </w:r>
      <w:r w:rsidRPr="000B0AAF">
        <w:rPr>
          <w:kern w:val="0"/>
          <w:sz w:val="24"/>
          <w:szCs w:val="24"/>
        </w:rPr>
        <w:t>。</w:t>
      </w:r>
    </w:p>
    <w:p w14:paraId="20FD0D51" w14:textId="66574363" w:rsidR="00054437" w:rsidRPr="000549B1" w:rsidRDefault="00000000">
      <w:pPr>
        <w:pStyle w:val="aff8"/>
        <w:rPr>
          <w:color w:val="auto"/>
        </w:rPr>
      </w:pPr>
      <w:bookmarkStart w:id="235" w:name="_Ref214979360"/>
      <w:r w:rsidRPr="000549B1">
        <w:rPr>
          <w:color w:val="auto"/>
        </w:rPr>
        <w:t>表</w:t>
      </w:r>
      <w:r w:rsidR="00372953">
        <w:rPr>
          <w:color w:val="auto"/>
        </w:rPr>
        <w:fldChar w:fldCharType="begin"/>
      </w:r>
      <w:r w:rsidR="00372953">
        <w:rPr>
          <w:color w:val="auto"/>
        </w:rPr>
        <w:instrText xml:space="preserve"> STYLEREF 2 \s </w:instrText>
      </w:r>
      <w:r w:rsidR="00372953">
        <w:rPr>
          <w:color w:val="auto"/>
        </w:rPr>
        <w:fldChar w:fldCharType="separate"/>
      </w:r>
      <w:r w:rsidR="00372953">
        <w:rPr>
          <w:noProof/>
          <w:color w:val="auto"/>
        </w:rPr>
        <w:t>3.3</w:t>
      </w:r>
      <w:r w:rsidR="00372953">
        <w:rPr>
          <w:color w:val="auto"/>
        </w:rPr>
        <w:fldChar w:fldCharType="end"/>
      </w:r>
      <w:r w:rsidR="00372953">
        <w:rPr>
          <w:color w:val="auto"/>
        </w:rPr>
        <w:noBreakHyphen/>
      </w:r>
      <w:r w:rsidR="00372953">
        <w:rPr>
          <w:color w:val="auto"/>
        </w:rPr>
        <w:fldChar w:fldCharType="begin"/>
      </w:r>
      <w:r w:rsidR="00372953">
        <w:rPr>
          <w:color w:val="auto"/>
        </w:rPr>
        <w:instrText xml:space="preserve"> SEQ </w:instrText>
      </w:r>
      <w:r w:rsidR="00372953">
        <w:rPr>
          <w:color w:val="auto"/>
        </w:rPr>
        <w:instrText>表</w:instrText>
      </w:r>
      <w:r w:rsidR="00372953">
        <w:rPr>
          <w:color w:val="auto"/>
        </w:rPr>
        <w:instrText xml:space="preserve"> \* ARABIC \s 2 </w:instrText>
      </w:r>
      <w:r w:rsidR="00372953">
        <w:rPr>
          <w:color w:val="auto"/>
        </w:rPr>
        <w:fldChar w:fldCharType="separate"/>
      </w:r>
      <w:r w:rsidR="00372953">
        <w:rPr>
          <w:noProof/>
          <w:color w:val="auto"/>
        </w:rPr>
        <w:t>25</w:t>
      </w:r>
      <w:r w:rsidR="00372953">
        <w:rPr>
          <w:color w:val="auto"/>
        </w:rPr>
        <w:fldChar w:fldCharType="end"/>
      </w:r>
      <w:bookmarkEnd w:id="235"/>
      <w:r w:rsidRPr="000549B1">
        <w:rPr>
          <w:color w:val="auto"/>
        </w:rPr>
        <w:t>切吉水库上游</w:t>
      </w:r>
      <w:r w:rsidRPr="000549B1">
        <w:rPr>
          <w:color w:val="auto"/>
        </w:rPr>
        <w:t>2km</w:t>
      </w:r>
      <w:r w:rsidRPr="000549B1">
        <w:rPr>
          <w:color w:val="auto"/>
        </w:rPr>
        <w:t>断面富营养化评价结果</w:t>
      </w:r>
    </w:p>
    <w:tbl>
      <w:tblPr>
        <w:tblW w:w="49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1"/>
        <w:gridCol w:w="2533"/>
        <w:gridCol w:w="1393"/>
        <w:gridCol w:w="1232"/>
      </w:tblGrid>
      <w:tr w:rsidR="000549B1" w:rsidRPr="000549B1" w14:paraId="07CCA497" w14:textId="77777777">
        <w:trPr>
          <w:trHeight w:val="312"/>
          <w:tblHeader/>
          <w:jc w:val="center"/>
        </w:trPr>
        <w:tc>
          <w:tcPr>
            <w:tcW w:w="1889" w:type="pct"/>
            <w:vAlign w:val="center"/>
          </w:tcPr>
          <w:p w14:paraId="26F4B00C" w14:textId="77777777" w:rsidR="00054437" w:rsidRPr="000549B1" w:rsidRDefault="00000000">
            <w:pPr>
              <w:widowControl/>
              <w:spacing w:line="360" w:lineRule="exact"/>
              <w:jc w:val="center"/>
              <w:rPr>
                <w:kern w:val="0"/>
                <w:szCs w:val="21"/>
              </w:rPr>
            </w:pPr>
            <w:r w:rsidRPr="000549B1">
              <w:rPr>
                <w:kern w:val="0"/>
                <w:szCs w:val="21"/>
              </w:rPr>
              <w:t>评价项目</w:t>
            </w:r>
          </w:p>
        </w:tc>
        <w:tc>
          <w:tcPr>
            <w:tcW w:w="1528" w:type="pct"/>
            <w:vAlign w:val="center"/>
          </w:tcPr>
          <w:p w14:paraId="14128B1D" w14:textId="77777777" w:rsidR="00054437" w:rsidRPr="000549B1" w:rsidRDefault="00000000">
            <w:pPr>
              <w:widowControl/>
              <w:spacing w:line="360" w:lineRule="exact"/>
              <w:jc w:val="center"/>
              <w:rPr>
                <w:kern w:val="0"/>
                <w:szCs w:val="21"/>
              </w:rPr>
            </w:pPr>
            <w:r w:rsidRPr="000549B1">
              <w:rPr>
                <w:kern w:val="0"/>
                <w:szCs w:val="21"/>
              </w:rPr>
              <w:t>监测结果</w:t>
            </w:r>
          </w:p>
        </w:tc>
        <w:tc>
          <w:tcPr>
            <w:tcW w:w="840" w:type="pct"/>
            <w:vAlign w:val="center"/>
          </w:tcPr>
          <w:p w14:paraId="266F8757" w14:textId="77777777" w:rsidR="00054437" w:rsidRPr="000549B1" w:rsidRDefault="00000000">
            <w:pPr>
              <w:widowControl/>
              <w:spacing w:line="360" w:lineRule="exact"/>
              <w:jc w:val="center"/>
              <w:rPr>
                <w:kern w:val="0"/>
                <w:szCs w:val="21"/>
              </w:rPr>
            </w:pPr>
            <w:r w:rsidRPr="000549B1">
              <w:rPr>
                <w:kern w:val="0"/>
                <w:szCs w:val="21"/>
              </w:rPr>
              <w:t>营养状态指数</w:t>
            </w:r>
            <w:r w:rsidRPr="000549B1">
              <w:rPr>
                <w:kern w:val="0"/>
                <w:szCs w:val="21"/>
              </w:rPr>
              <w:t>TSI</w:t>
            </w:r>
          </w:p>
        </w:tc>
        <w:tc>
          <w:tcPr>
            <w:tcW w:w="743" w:type="pct"/>
            <w:vAlign w:val="center"/>
          </w:tcPr>
          <w:p w14:paraId="1FA7EA1A" w14:textId="77777777" w:rsidR="00054437" w:rsidRPr="000549B1" w:rsidRDefault="00000000">
            <w:pPr>
              <w:widowControl/>
              <w:spacing w:line="360" w:lineRule="exact"/>
              <w:jc w:val="center"/>
              <w:rPr>
                <w:kern w:val="0"/>
                <w:szCs w:val="21"/>
              </w:rPr>
            </w:pPr>
            <w:r w:rsidRPr="000549B1">
              <w:rPr>
                <w:kern w:val="0"/>
                <w:szCs w:val="21"/>
              </w:rPr>
              <w:t>营养状态</w:t>
            </w:r>
          </w:p>
        </w:tc>
      </w:tr>
      <w:tr w:rsidR="000549B1" w:rsidRPr="000549B1" w14:paraId="0B7C686C" w14:textId="77777777">
        <w:trPr>
          <w:trHeight w:val="340"/>
          <w:jc w:val="center"/>
        </w:trPr>
        <w:tc>
          <w:tcPr>
            <w:tcW w:w="1889" w:type="pct"/>
            <w:vAlign w:val="center"/>
          </w:tcPr>
          <w:p w14:paraId="50D2F0B9" w14:textId="77777777" w:rsidR="00054437" w:rsidRPr="000549B1" w:rsidRDefault="00000000">
            <w:pPr>
              <w:widowControl/>
              <w:spacing w:line="360" w:lineRule="exact"/>
              <w:jc w:val="center"/>
              <w:rPr>
                <w:kern w:val="0"/>
                <w:szCs w:val="21"/>
              </w:rPr>
            </w:pPr>
            <w:r w:rsidRPr="000549B1">
              <w:rPr>
                <w:kern w:val="0"/>
                <w:szCs w:val="21"/>
              </w:rPr>
              <w:t>叶绿素</w:t>
            </w:r>
            <w:r w:rsidRPr="000549B1">
              <w:rPr>
                <w:kern w:val="0"/>
                <w:szCs w:val="21"/>
              </w:rPr>
              <w:t>a</w:t>
            </w:r>
            <w:r w:rsidRPr="000549B1">
              <w:rPr>
                <w:kern w:val="0"/>
                <w:szCs w:val="21"/>
              </w:rPr>
              <w:t>（</w:t>
            </w:r>
            <w:r w:rsidRPr="000549B1">
              <w:rPr>
                <w:kern w:val="0"/>
                <w:szCs w:val="21"/>
              </w:rPr>
              <w:t>chla)</w:t>
            </w:r>
          </w:p>
        </w:tc>
        <w:tc>
          <w:tcPr>
            <w:tcW w:w="1528" w:type="pct"/>
            <w:vAlign w:val="center"/>
          </w:tcPr>
          <w:p w14:paraId="4769C811" w14:textId="77777777" w:rsidR="00054437" w:rsidRPr="000549B1" w:rsidRDefault="00000000">
            <w:pPr>
              <w:widowControl/>
              <w:spacing w:line="360" w:lineRule="exact"/>
              <w:jc w:val="center"/>
              <w:rPr>
                <w:kern w:val="0"/>
                <w:szCs w:val="21"/>
              </w:rPr>
            </w:pPr>
            <w:r w:rsidRPr="000549B1">
              <w:rPr>
                <w:kern w:val="0"/>
                <w:szCs w:val="21"/>
              </w:rPr>
              <w:t>＜</w:t>
            </w:r>
            <w:r w:rsidRPr="000549B1">
              <w:rPr>
                <w:kern w:val="0"/>
                <w:szCs w:val="21"/>
              </w:rPr>
              <w:t>2ug/L</w:t>
            </w:r>
          </w:p>
        </w:tc>
        <w:tc>
          <w:tcPr>
            <w:tcW w:w="840" w:type="pct"/>
            <w:vMerge w:val="restart"/>
            <w:noWrap/>
            <w:vAlign w:val="center"/>
          </w:tcPr>
          <w:p w14:paraId="402D0C5E" w14:textId="77777777" w:rsidR="00054437" w:rsidRPr="000549B1" w:rsidRDefault="00000000">
            <w:pPr>
              <w:spacing w:line="360" w:lineRule="exact"/>
              <w:jc w:val="center"/>
              <w:rPr>
                <w:kern w:val="0"/>
                <w:szCs w:val="21"/>
              </w:rPr>
            </w:pPr>
            <w:r w:rsidRPr="000549B1">
              <w:rPr>
                <w:kern w:val="0"/>
                <w:szCs w:val="21"/>
              </w:rPr>
              <w:t>49.21</w:t>
            </w:r>
          </w:p>
        </w:tc>
        <w:tc>
          <w:tcPr>
            <w:tcW w:w="743" w:type="pct"/>
            <w:vMerge w:val="restart"/>
            <w:noWrap/>
            <w:vAlign w:val="center"/>
          </w:tcPr>
          <w:p w14:paraId="1B4043F9" w14:textId="77777777" w:rsidR="00054437" w:rsidRPr="000549B1" w:rsidRDefault="00000000">
            <w:pPr>
              <w:spacing w:line="360" w:lineRule="exact"/>
              <w:jc w:val="center"/>
              <w:rPr>
                <w:kern w:val="0"/>
                <w:szCs w:val="21"/>
              </w:rPr>
            </w:pPr>
            <w:r w:rsidRPr="000549B1">
              <w:rPr>
                <w:kern w:val="0"/>
                <w:szCs w:val="21"/>
              </w:rPr>
              <w:t>中营养</w:t>
            </w:r>
          </w:p>
        </w:tc>
      </w:tr>
      <w:tr w:rsidR="000549B1" w:rsidRPr="000549B1" w14:paraId="379CB36D" w14:textId="77777777">
        <w:trPr>
          <w:trHeight w:val="340"/>
          <w:jc w:val="center"/>
        </w:trPr>
        <w:tc>
          <w:tcPr>
            <w:tcW w:w="1889" w:type="pct"/>
            <w:vAlign w:val="center"/>
          </w:tcPr>
          <w:p w14:paraId="3EBEBD38" w14:textId="77777777" w:rsidR="00054437" w:rsidRPr="000549B1" w:rsidRDefault="00000000">
            <w:pPr>
              <w:widowControl/>
              <w:spacing w:line="360" w:lineRule="exact"/>
              <w:jc w:val="center"/>
              <w:rPr>
                <w:kern w:val="0"/>
                <w:szCs w:val="21"/>
              </w:rPr>
            </w:pPr>
            <w:r w:rsidRPr="000549B1">
              <w:rPr>
                <w:kern w:val="0"/>
                <w:szCs w:val="21"/>
              </w:rPr>
              <w:t>总磷（</w:t>
            </w:r>
            <w:r w:rsidRPr="000549B1">
              <w:rPr>
                <w:kern w:val="0"/>
                <w:szCs w:val="21"/>
              </w:rPr>
              <w:t>TP)</w:t>
            </w:r>
          </w:p>
        </w:tc>
        <w:tc>
          <w:tcPr>
            <w:tcW w:w="1528" w:type="pct"/>
            <w:vAlign w:val="center"/>
          </w:tcPr>
          <w:p w14:paraId="366DD9D9" w14:textId="77777777" w:rsidR="00054437" w:rsidRPr="000549B1" w:rsidRDefault="00000000">
            <w:pPr>
              <w:widowControl/>
              <w:spacing w:line="360" w:lineRule="exact"/>
              <w:jc w:val="center"/>
              <w:rPr>
                <w:kern w:val="0"/>
                <w:szCs w:val="21"/>
              </w:rPr>
            </w:pPr>
            <w:r w:rsidRPr="000549B1">
              <w:rPr>
                <w:kern w:val="0"/>
                <w:szCs w:val="21"/>
              </w:rPr>
              <w:t>0.05mg/L</w:t>
            </w:r>
          </w:p>
        </w:tc>
        <w:tc>
          <w:tcPr>
            <w:tcW w:w="840" w:type="pct"/>
            <w:vMerge/>
            <w:noWrap/>
            <w:vAlign w:val="center"/>
          </w:tcPr>
          <w:p w14:paraId="2F4B1EC4" w14:textId="77777777" w:rsidR="00054437" w:rsidRPr="000549B1" w:rsidRDefault="00054437">
            <w:pPr>
              <w:spacing w:line="360" w:lineRule="exact"/>
              <w:jc w:val="center"/>
              <w:rPr>
                <w:kern w:val="0"/>
                <w:szCs w:val="21"/>
              </w:rPr>
            </w:pPr>
          </w:p>
        </w:tc>
        <w:tc>
          <w:tcPr>
            <w:tcW w:w="743" w:type="pct"/>
            <w:vMerge/>
            <w:noWrap/>
            <w:vAlign w:val="center"/>
          </w:tcPr>
          <w:p w14:paraId="6FE8233C" w14:textId="77777777" w:rsidR="00054437" w:rsidRPr="000549B1" w:rsidRDefault="00054437">
            <w:pPr>
              <w:spacing w:line="360" w:lineRule="exact"/>
              <w:jc w:val="center"/>
              <w:rPr>
                <w:kern w:val="0"/>
                <w:szCs w:val="21"/>
              </w:rPr>
            </w:pPr>
          </w:p>
        </w:tc>
      </w:tr>
      <w:tr w:rsidR="000549B1" w:rsidRPr="000549B1" w14:paraId="1139B7B6" w14:textId="77777777">
        <w:trPr>
          <w:trHeight w:val="340"/>
          <w:jc w:val="center"/>
        </w:trPr>
        <w:tc>
          <w:tcPr>
            <w:tcW w:w="1889" w:type="pct"/>
            <w:vAlign w:val="center"/>
          </w:tcPr>
          <w:p w14:paraId="119C358A" w14:textId="77777777" w:rsidR="00054437" w:rsidRPr="000549B1" w:rsidRDefault="00000000">
            <w:pPr>
              <w:widowControl/>
              <w:spacing w:line="360" w:lineRule="exact"/>
              <w:jc w:val="center"/>
              <w:rPr>
                <w:kern w:val="0"/>
                <w:szCs w:val="21"/>
              </w:rPr>
            </w:pPr>
            <w:r w:rsidRPr="000549B1">
              <w:rPr>
                <w:kern w:val="0"/>
                <w:szCs w:val="21"/>
              </w:rPr>
              <w:t>总氮（</w:t>
            </w:r>
            <w:r w:rsidRPr="000549B1">
              <w:rPr>
                <w:kern w:val="0"/>
                <w:szCs w:val="21"/>
              </w:rPr>
              <w:t>TN</w:t>
            </w:r>
            <w:r w:rsidRPr="000549B1">
              <w:rPr>
                <w:kern w:val="0"/>
                <w:szCs w:val="21"/>
              </w:rPr>
              <w:t>）</w:t>
            </w:r>
          </w:p>
        </w:tc>
        <w:tc>
          <w:tcPr>
            <w:tcW w:w="1528" w:type="pct"/>
            <w:vAlign w:val="center"/>
          </w:tcPr>
          <w:p w14:paraId="30BEB9EA" w14:textId="77777777" w:rsidR="00054437" w:rsidRPr="000549B1" w:rsidRDefault="00000000">
            <w:pPr>
              <w:widowControl/>
              <w:spacing w:line="360" w:lineRule="exact"/>
              <w:jc w:val="center"/>
              <w:rPr>
                <w:kern w:val="0"/>
                <w:szCs w:val="21"/>
              </w:rPr>
            </w:pPr>
            <w:r w:rsidRPr="000549B1">
              <w:rPr>
                <w:kern w:val="0"/>
                <w:szCs w:val="21"/>
              </w:rPr>
              <w:t>2.66mg/L</w:t>
            </w:r>
          </w:p>
        </w:tc>
        <w:tc>
          <w:tcPr>
            <w:tcW w:w="840" w:type="pct"/>
            <w:vMerge/>
            <w:noWrap/>
            <w:vAlign w:val="center"/>
          </w:tcPr>
          <w:p w14:paraId="1FEF0420" w14:textId="77777777" w:rsidR="00054437" w:rsidRPr="000549B1" w:rsidRDefault="00054437">
            <w:pPr>
              <w:spacing w:line="360" w:lineRule="exact"/>
              <w:jc w:val="center"/>
              <w:rPr>
                <w:kern w:val="0"/>
                <w:szCs w:val="21"/>
              </w:rPr>
            </w:pPr>
          </w:p>
        </w:tc>
        <w:tc>
          <w:tcPr>
            <w:tcW w:w="743" w:type="pct"/>
            <w:vMerge/>
            <w:noWrap/>
            <w:vAlign w:val="center"/>
          </w:tcPr>
          <w:p w14:paraId="2F7E095B" w14:textId="77777777" w:rsidR="00054437" w:rsidRPr="000549B1" w:rsidRDefault="00054437">
            <w:pPr>
              <w:spacing w:line="360" w:lineRule="exact"/>
              <w:jc w:val="center"/>
              <w:rPr>
                <w:kern w:val="0"/>
                <w:szCs w:val="21"/>
              </w:rPr>
            </w:pPr>
          </w:p>
        </w:tc>
      </w:tr>
      <w:tr w:rsidR="000549B1" w:rsidRPr="000549B1" w14:paraId="62803D8C" w14:textId="77777777">
        <w:trPr>
          <w:trHeight w:val="340"/>
          <w:jc w:val="center"/>
        </w:trPr>
        <w:tc>
          <w:tcPr>
            <w:tcW w:w="1889" w:type="pct"/>
            <w:vAlign w:val="center"/>
          </w:tcPr>
          <w:p w14:paraId="6E4977D0" w14:textId="77777777" w:rsidR="00054437" w:rsidRPr="000549B1" w:rsidRDefault="00000000">
            <w:pPr>
              <w:widowControl/>
              <w:spacing w:line="360" w:lineRule="exact"/>
              <w:jc w:val="center"/>
              <w:rPr>
                <w:kern w:val="0"/>
                <w:szCs w:val="21"/>
              </w:rPr>
            </w:pPr>
            <w:r w:rsidRPr="000549B1">
              <w:rPr>
                <w:kern w:val="0"/>
                <w:szCs w:val="21"/>
              </w:rPr>
              <w:t>透明度（</w:t>
            </w:r>
            <w:r w:rsidRPr="000549B1">
              <w:rPr>
                <w:kern w:val="0"/>
                <w:szCs w:val="21"/>
              </w:rPr>
              <w:t>SD</w:t>
            </w:r>
            <w:r w:rsidRPr="000549B1">
              <w:rPr>
                <w:kern w:val="0"/>
                <w:szCs w:val="21"/>
              </w:rPr>
              <w:t>）</w:t>
            </w:r>
          </w:p>
        </w:tc>
        <w:tc>
          <w:tcPr>
            <w:tcW w:w="1528" w:type="pct"/>
            <w:vAlign w:val="center"/>
          </w:tcPr>
          <w:p w14:paraId="13865755" w14:textId="77777777" w:rsidR="00054437" w:rsidRPr="000549B1" w:rsidRDefault="00000000">
            <w:pPr>
              <w:widowControl/>
              <w:spacing w:line="360" w:lineRule="exact"/>
              <w:jc w:val="center"/>
              <w:rPr>
                <w:kern w:val="0"/>
                <w:szCs w:val="21"/>
              </w:rPr>
            </w:pPr>
            <w:r w:rsidRPr="000549B1">
              <w:rPr>
                <w:kern w:val="0"/>
                <w:szCs w:val="21"/>
              </w:rPr>
              <w:t>＞</w:t>
            </w:r>
            <w:r w:rsidRPr="000549B1">
              <w:rPr>
                <w:kern w:val="0"/>
                <w:szCs w:val="21"/>
              </w:rPr>
              <w:t>40cm</w:t>
            </w:r>
          </w:p>
        </w:tc>
        <w:tc>
          <w:tcPr>
            <w:tcW w:w="840" w:type="pct"/>
            <w:vMerge/>
            <w:noWrap/>
            <w:vAlign w:val="center"/>
          </w:tcPr>
          <w:p w14:paraId="23D11998" w14:textId="77777777" w:rsidR="00054437" w:rsidRPr="000549B1" w:rsidRDefault="00054437">
            <w:pPr>
              <w:spacing w:line="360" w:lineRule="exact"/>
              <w:jc w:val="center"/>
              <w:rPr>
                <w:kern w:val="0"/>
                <w:szCs w:val="21"/>
              </w:rPr>
            </w:pPr>
          </w:p>
        </w:tc>
        <w:tc>
          <w:tcPr>
            <w:tcW w:w="743" w:type="pct"/>
            <w:vMerge/>
            <w:noWrap/>
            <w:vAlign w:val="center"/>
          </w:tcPr>
          <w:p w14:paraId="27CF9B29" w14:textId="77777777" w:rsidR="00054437" w:rsidRPr="000549B1" w:rsidRDefault="00054437">
            <w:pPr>
              <w:spacing w:line="360" w:lineRule="exact"/>
              <w:jc w:val="center"/>
              <w:rPr>
                <w:kern w:val="0"/>
                <w:szCs w:val="21"/>
              </w:rPr>
            </w:pPr>
          </w:p>
        </w:tc>
      </w:tr>
      <w:tr w:rsidR="000549B1" w:rsidRPr="000549B1" w14:paraId="30FFF227" w14:textId="77777777">
        <w:trPr>
          <w:trHeight w:val="340"/>
          <w:jc w:val="center"/>
        </w:trPr>
        <w:tc>
          <w:tcPr>
            <w:tcW w:w="1889" w:type="pct"/>
            <w:vAlign w:val="center"/>
          </w:tcPr>
          <w:p w14:paraId="6CC612E7" w14:textId="77777777" w:rsidR="00054437" w:rsidRPr="000549B1" w:rsidRDefault="00000000">
            <w:pPr>
              <w:widowControl/>
              <w:spacing w:line="360" w:lineRule="exact"/>
              <w:jc w:val="center"/>
              <w:rPr>
                <w:kern w:val="0"/>
                <w:szCs w:val="21"/>
              </w:rPr>
            </w:pPr>
            <w:r w:rsidRPr="000549B1">
              <w:rPr>
                <w:kern w:val="0"/>
                <w:szCs w:val="21"/>
              </w:rPr>
              <w:t>高锰酸盐指数（</w:t>
            </w:r>
            <w:r w:rsidRPr="000549B1">
              <w:rPr>
                <w:kern w:val="0"/>
                <w:szCs w:val="21"/>
              </w:rPr>
              <w:t>COD</w:t>
            </w:r>
            <w:r w:rsidRPr="000549B1">
              <w:rPr>
                <w:kern w:val="0"/>
                <w:szCs w:val="21"/>
                <w:vertAlign w:val="subscript"/>
              </w:rPr>
              <w:t>Mn</w:t>
            </w:r>
            <w:r w:rsidRPr="000549B1">
              <w:rPr>
                <w:kern w:val="0"/>
                <w:szCs w:val="21"/>
              </w:rPr>
              <w:t>）</w:t>
            </w:r>
          </w:p>
        </w:tc>
        <w:tc>
          <w:tcPr>
            <w:tcW w:w="1528" w:type="pct"/>
            <w:vAlign w:val="center"/>
          </w:tcPr>
          <w:p w14:paraId="05D0091B" w14:textId="77777777" w:rsidR="00054437" w:rsidRPr="000549B1" w:rsidRDefault="00000000">
            <w:pPr>
              <w:widowControl/>
              <w:spacing w:line="360" w:lineRule="exact"/>
              <w:jc w:val="center"/>
              <w:rPr>
                <w:kern w:val="0"/>
                <w:szCs w:val="21"/>
              </w:rPr>
            </w:pPr>
            <w:r w:rsidRPr="000549B1">
              <w:rPr>
                <w:kern w:val="0"/>
                <w:szCs w:val="21"/>
              </w:rPr>
              <w:t>3.7mg/L</w:t>
            </w:r>
          </w:p>
        </w:tc>
        <w:tc>
          <w:tcPr>
            <w:tcW w:w="840" w:type="pct"/>
            <w:vMerge/>
            <w:noWrap/>
            <w:vAlign w:val="center"/>
          </w:tcPr>
          <w:p w14:paraId="18F9F48D" w14:textId="77777777" w:rsidR="00054437" w:rsidRPr="000549B1" w:rsidRDefault="00054437">
            <w:pPr>
              <w:widowControl/>
              <w:spacing w:line="360" w:lineRule="exact"/>
              <w:jc w:val="center"/>
              <w:rPr>
                <w:kern w:val="0"/>
                <w:szCs w:val="21"/>
              </w:rPr>
            </w:pPr>
          </w:p>
        </w:tc>
        <w:tc>
          <w:tcPr>
            <w:tcW w:w="743" w:type="pct"/>
            <w:vMerge/>
            <w:noWrap/>
            <w:vAlign w:val="center"/>
          </w:tcPr>
          <w:p w14:paraId="4827915A" w14:textId="77777777" w:rsidR="00054437" w:rsidRPr="000549B1" w:rsidRDefault="00054437">
            <w:pPr>
              <w:widowControl/>
              <w:spacing w:line="360" w:lineRule="exact"/>
              <w:jc w:val="center"/>
              <w:rPr>
                <w:kern w:val="0"/>
                <w:szCs w:val="21"/>
              </w:rPr>
            </w:pPr>
          </w:p>
        </w:tc>
      </w:tr>
    </w:tbl>
    <w:p w14:paraId="65F98E71" w14:textId="77777777" w:rsidR="00054437" w:rsidRDefault="00000000">
      <w:pPr>
        <w:jc w:val="left"/>
        <w:rPr>
          <w:spacing w:val="5"/>
          <w:sz w:val="18"/>
          <w:lang w:bidi="he-IL"/>
        </w:rPr>
      </w:pPr>
      <w:r w:rsidRPr="000549B1">
        <w:rPr>
          <w:spacing w:val="5"/>
          <w:sz w:val="18"/>
          <w:lang w:bidi="he-IL"/>
        </w:rPr>
        <w:t>注：经监测分析，监测点位叶绿素浓度低于检出限，故营养状态评价采用叶绿素检出限浓度限值</w:t>
      </w:r>
      <w:r w:rsidRPr="000549B1">
        <w:rPr>
          <w:spacing w:val="5"/>
          <w:sz w:val="18"/>
          <w:lang w:bidi="he-IL"/>
        </w:rPr>
        <w:t>2μg/L</w:t>
      </w:r>
      <w:r w:rsidRPr="000549B1">
        <w:rPr>
          <w:spacing w:val="5"/>
          <w:sz w:val="18"/>
          <w:lang w:bidi="he-IL"/>
        </w:rPr>
        <w:t>。</w:t>
      </w:r>
    </w:p>
    <w:p w14:paraId="7C9F07F5" w14:textId="77777777" w:rsidR="00372953" w:rsidRPr="000549B1" w:rsidRDefault="00372953" w:rsidP="00372953">
      <w:pPr>
        <w:pStyle w:val="3"/>
      </w:pPr>
      <w:bookmarkStart w:id="236" w:name="_Toc216107014"/>
      <w:r w:rsidRPr="000549B1">
        <w:t>水环境承载能力现状</w:t>
      </w:r>
      <w:bookmarkEnd w:id="236"/>
    </w:p>
    <w:p w14:paraId="7C01352A" w14:textId="77777777" w:rsidR="00372953" w:rsidRPr="000549B1" w:rsidRDefault="00372953" w:rsidP="00372953">
      <w:pPr>
        <w:pStyle w:val="4"/>
        <w:rPr>
          <w:rFonts w:ascii="Times New Roman" w:hAnsi="Times New Roman"/>
        </w:rPr>
      </w:pPr>
      <w:r w:rsidRPr="000549B1">
        <w:rPr>
          <w:rFonts w:ascii="Times New Roman" w:hAnsi="Times New Roman"/>
        </w:rPr>
        <w:t>纳污能力核定</w:t>
      </w:r>
    </w:p>
    <w:p w14:paraId="440A502A" w14:textId="77777777" w:rsidR="000B0AAF" w:rsidRPr="000B0AAF" w:rsidRDefault="000B0AAF" w:rsidP="000B0AAF">
      <w:pPr>
        <w:spacing w:line="360" w:lineRule="auto"/>
        <w:ind w:firstLineChars="200" w:firstLine="480"/>
        <w:rPr>
          <w:rFonts w:asciiTheme="minorEastAsia" w:eastAsiaTheme="minorEastAsia" w:hAnsiTheme="minorEastAsia" w:cstheme="minorEastAsia" w:hint="eastAsia"/>
          <w:sz w:val="24"/>
          <w:szCs w:val="24"/>
        </w:rPr>
      </w:pPr>
      <w:r w:rsidRPr="000B0AAF">
        <w:rPr>
          <w:rFonts w:asciiTheme="minorEastAsia" w:eastAsiaTheme="minorEastAsia" w:hAnsiTheme="minorEastAsia" w:cstheme="minorEastAsia" w:hint="eastAsia"/>
          <w:sz w:val="24"/>
          <w:szCs w:val="24"/>
        </w:rPr>
        <w:t>水功能区纳污能力复核包括对现状年和规划年纳污能力的复核，计算原则参照全国水资源综合规划技术细则，保护区、保留区和缓冲区现状水质良好，原则上维持现状水质，纳污能力则采用规划年污染物入河预测量。开发利用区纳污能力根据各二级水功能区的设计条件和水质目标，选择适当的水质模型进行计算。</w:t>
      </w:r>
    </w:p>
    <w:p w14:paraId="1B649076" w14:textId="77D0328A" w:rsidR="00372953" w:rsidRPr="000B0AAF" w:rsidRDefault="000B0AAF" w:rsidP="000B0AAF">
      <w:pPr>
        <w:spacing w:line="360" w:lineRule="auto"/>
        <w:ind w:firstLineChars="200" w:firstLine="480"/>
        <w:rPr>
          <w:rFonts w:asciiTheme="minorEastAsia" w:eastAsiaTheme="minorEastAsia" w:hAnsiTheme="minorEastAsia" w:cstheme="minorEastAsia" w:hint="eastAsia"/>
          <w:sz w:val="24"/>
          <w:szCs w:val="24"/>
        </w:rPr>
      </w:pPr>
      <w:r w:rsidRPr="000B0AAF">
        <w:rPr>
          <w:rFonts w:asciiTheme="minorEastAsia" w:eastAsiaTheme="minorEastAsia" w:hAnsiTheme="minorEastAsia" w:cstheme="minorEastAsia" w:hint="eastAsia"/>
          <w:sz w:val="24"/>
          <w:szCs w:val="24"/>
        </w:rPr>
        <w:t>首先明确水功能区纳污能力的计算条件，包括COD（COD）和氨氮（NH</w:t>
      </w:r>
      <w:r w:rsidRPr="000B0AAF">
        <w:rPr>
          <w:rFonts w:asciiTheme="minorEastAsia" w:eastAsiaTheme="minorEastAsia" w:hAnsiTheme="minorEastAsia" w:cstheme="minorEastAsia" w:hint="eastAsia"/>
          <w:sz w:val="24"/>
          <w:szCs w:val="24"/>
          <w:vertAlign w:val="subscript"/>
        </w:rPr>
        <w:t>3</w:t>
      </w:r>
      <w:r w:rsidRPr="000B0AAF">
        <w:rPr>
          <w:rFonts w:asciiTheme="minorEastAsia" w:eastAsiaTheme="minorEastAsia" w:hAnsiTheme="minorEastAsia" w:cstheme="minorEastAsia" w:hint="eastAsia"/>
          <w:sz w:val="24"/>
          <w:szCs w:val="24"/>
        </w:rPr>
        <w:t>-N）两项水质指标分别对应于功能区水质保护目标的目标浓度值C</w:t>
      </w:r>
      <w:r w:rsidRPr="000B0AAF">
        <w:rPr>
          <w:rFonts w:asciiTheme="minorEastAsia" w:eastAsiaTheme="minorEastAsia" w:hAnsiTheme="minorEastAsia" w:cstheme="minorEastAsia" w:hint="eastAsia"/>
          <w:sz w:val="24"/>
          <w:szCs w:val="24"/>
          <w:vertAlign w:val="subscript"/>
        </w:rPr>
        <w:t>S</w:t>
      </w:r>
      <w:r w:rsidRPr="000B0AAF">
        <w:rPr>
          <w:rFonts w:asciiTheme="minorEastAsia" w:eastAsiaTheme="minorEastAsia" w:hAnsiTheme="minorEastAsia" w:cstheme="minorEastAsia" w:hint="eastAsia"/>
          <w:sz w:val="24"/>
          <w:szCs w:val="24"/>
        </w:rPr>
        <w:t>；其次，选择适宜的水量水质模型及其模型参数值，用来模拟污染物在水功能区段水体内的稀释与自净规律；最后，利用数学模型，根据纳污能力计算条件，进行水功能区纳污能力的计算。为保持相关成果的一致性，</w:t>
      </w:r>
      <w:r w:rsidRPr="000B0AAF">
        <w:rPr>
          <w:rFonts w:asciiTheme="minorEastAsia" w:eastAsiaTheme="minorEastAsia" w:hAnsiTheme="minorEastAsia" w:cstheme="minorEastAsia"/>
          <w:sz w:val="24"/>
          <w:szCs w:val="24"/>
        </w:rPr>
        <w:t>本次引用《共和县水资源开发利用和保护综合规划》（海南州共和县水利局、青海省水利水电科学研究院有限公司，2022年11月）中针对沙珠玉河2025年水功能区纳污能力复核计算成果</w:t>
      </w:r>
      <w:r w:rsidR="00372953" w:rsidRPr="000B0AAF">
        <w:rPr>
          <w:rFonts w:eastAsiaTheme="minorEastAsia"/>
          <w:sz w:val="24"/>
          <w:szCs w:val="24"/>
        </w:rPr>
        <w:t>。</w:t>
      </w:r>
    </w:p>
    <w:p w14:paraId="7C06B51D" w14:textId="77777777" w:rsidR="00372953" w:rsidRPr="000549B1" w:rsidRDefault="00372953" w:rsidP="00372953">
      <w:pPr>
        <w:pStyle w:val="17"/>
        <w:ind w:firstLine="482"/>
        <w:rPr>
          <w:b/>
          <w:bCs/>
        </w:rPr>
      </w:pPr>
      <w:bookmarkStart w:id="237" w:name="_Toc307469491"/>
      <w:r w:rsidRPr="000549B1">
        <w:rPr>
          <w:b/>
          <w:bCs/>
        </w:rPr>
        <w:t>（</w:t>
      </w:r>
      <w:r w:rsidRPr="000549B1">
        <w:rPr>
          <w:b/>
          <w:bCs/>
        </w:rPr>
        <w:t>1</w:t>
      </w:r>
      <w:r w:rsidRPr="000549B1">
        <w:rPr>
          <w:b/>
          <w:bCs/>
        </w:rPr>
        <w:t>）控制因子及水质标准</w:t>
      </w:r>
      <w:bookmarkEnd w:id="237"/>
    </w:p>
    <w:p w14:paraId="285F06DB" w14:textId="4CB0C889" w:rsidR="00372953" w:rsidRPr="000549B1" w:rsidRDefault="00372953" w:rsidP="00372953">
      <w:pPr>
        <w:pStyle w:val="x"/>
      </w:pPr>
      <w:r w:rsidRPr="000549B1">
        <w:t>根据全国水资源综合规划技术细则，结合水质现状评价结果，选取</w:t>
      </w:r>
      <w:r w:rsidRPr="000549B1">
        <w:t>COD</w:t>
      </w:r>
      <w:r w:rsidRPr="000549B1">
        <w:t>（</w:t>
      </w:r>
      <w:r w:rsidRPr="000549B1">
        <w:t>COD</w:t>
      </w:r>
      <w:r w:rsidRPr="000549B1">
        <w:t>）、氨氮（</w:t>
      </w:r>
      <w:r w:rsidRPr="000549B1">
        <w:t>NH</w:t>
      </w:r>
      <w:r w:rsidRPr="000549B1">
        <w:rPr>
          <w:vertAlign w:val="subscript"/>
        </w:rPr>
        <w:t>3</w:t>
      </w:r>
      <w:r w:rsidRPr="000549B1">
        <w:t>-N</w:t>
      </w:r>
      <w:r w:rsidRPr="000549B1">
        <w:t>）作为控制因子。两个控制因子不同水质类别标准限值见表</w:t>
      </w:r>
      <w:r>
        <w:t>3.3</w:t>
      </w:r>
      <w:r>
        <w:noBreakHyphen/>
        <w:t>26</w:t>
      </w:r>
      <w:r w:rsidRPr="000549B1">
        <w:t>。</w:t>
      </w:r>
    </w:p>
    <w:p w14:paraId="6096D9FF" w14:textId="080D47F9" w:rsidR="00372953" w:rsidRPr="000549B1" w:rsidRDefault="00372953" w:rsidP="00372953">
      <w:pPr>
        <w:pStyle w:val="aff8"/>
        <w:rPr>
          <w:color w:val="auto"/>
        </w:rPr>
      </w:pPr>
      <w:bookmarkStart w:id="238" w:name="_Ref214978787"/>
      <w:r w:rsidRPr="000549B1">
        <w:rPr>
          <w:color w:val="auto"/>
        </w:rPr>
        <w:t>表</w:t>
      </w:r>
      <w:r>
        <w:rPr>
          <w:color w:val="auto"/>
        </w:rPr>
        <w:fldChar w:fldCharType="begin"/>
      </w:r>
      <w:r>
        <w:rPr>
          <w:color w:val="auto"/>
        </w:rPr>
        <w:instrText xml:space="preserve"> STYLEREF 2 \s </w:instrText>
      </w:r>
      <w:r>
        <w:rPr>
          <w:color w:val="auto"/>
        </w:rPr>
        <w:fldChar w:fldCharType="separate"/>
      </w:r>
      <w:r>
        <w:rPr>
          <w:noProof/>
          <w:color w:val="auto"/>
        </w:rPr>
        <w:t>3.3</w:t>
      </w:r>
      <w:r>
        <w:rPr>
          <w:color w:val="auto"/>
        </w:rPr>
        <w:fldChar w:fldCharType="end"/>
      </w:r>
      <w:r>
        <w:rPr>
          <w:color w:val="auto"/>
        </w:rPr>
        <w:noBreakHyphen/>
      </w:r>
      <w:r>
        <w:rPr>
          <w:color w:val="auto"/>
        </w:rPr>
        <w:fldChar w:fldCharType="begin"/>
      </w:r>
      <w:r>
        <w:rPr>
          <w:color w:val="auto"/>
        </w:rPr>
        <w:instrText xml:space="preserve"> SEQ </w:instrText>
      </w:r>
      <w:r>
        <w:rPr>
          <w:color w:val="auto"/>
        </w:rPr>
        <w:instrText>表</w:instrText>
      </w:r>
      <w:r>
        <w:rPr>
          <w:color w:val="auto"/>
        </w:rPr>
        <w:instrText xml:space="preserve"> \* ARABIC \s 2 </w:instrText>
      </w:r>
      <w:r>
        <w:rPr>
          <w:color w:val="auto"/>
        </w:rPr>
        <w:fldChar w:fldCharType="separate"/>
      </w:r>
      <w:r>
        <w:rPr>
          <w:noProof/>
          <w:color w:val="auto"/>
        </w:rPr>
        <w:t>26</w:t>
      </w:r>
      <w:r>
        <w:rPr>
          <w:color w:val="auto"/>
        </w:rPr>
        <w:fldChar w:fldCharType="end"/>
      </w:r>
      <w:bookmarkEnd w:id="238"/>
      <w:r w:rsidRPr="000549B1">
        <w:rPr>
          <w:color w:val="auto"/>
        </w:rPr>
        <w:t>主要水质控制因子标准限值</w:t>
      </w:r>
    </w:p>
    <w:tbl>
      <w:tblPr>
        <w:tblW w:w="8260" w:type="dxa"/>
        <w:jc w:val="center"/>
        <w:tblLayout w:type="fixed"/>
        <w:tblLook w:val="04A0" w:firstRow="1" w:lastRow="0" w:firstColumn="1" w:lastColumn="0" w:noHBand="0" w:noVBand="1"/>
      </w:tblPr>
      <w:tblGrid>
        <w:gridCol w:w="2006"/>
        <w:gridCol w:w="1408"/>
        <w:gridCol w:w="1268"/>
        <w:gridCol w:w="1226"/>
        <w:gridCol w:w="1201"/>
        <w:gridCol w:w="1151"/>
      </w:tblGrid>
      <w:tr w:rsidR="00372953" w:rsidRPr="000549B1" w14:paraId="34E3E43C" w14:textId="77777777" w:rsidTr="007E48A3">
        <w:trPr>
          <w:trHeight w:val="397"/>
          <w:jc w:val="center"/>
        </w:trPr>
        <w:tc>
          <w:tcPr>
            <w:tcW w:w="2006" w:type="dxa"/>
            <w:tcBorders>
              <w:top w:val="single" w:sz="4" w:space="0" w:color="auto"/>
              <w:left w:val="single" w:sz="4" w:space="0" w:color="auto"/>
              <w:bottom w:val="single" w:sz="4" w:space="0" w:color="auto"/>
              <w:right w:val="single" w:sz="4" w:space="0" w:color="auto"/>
            </w:tcBorders>
            <w:vAlign w:val="center"/>
          </w:tcPr>
          <w:p w14:paraId="1635EEB2" w14:textId="77777777" w:rsidR="00372953" w:rsidRPr="000549B1" w:rsidRDefault="00372953" w:rsidP="007E48A3">
            <w:pPr>
              <w:widowControl/>
              <w:spacing w:line="0" w:lineRule="atLeast"/>
              <w:jc w:val="center"/>
              <w:textAlignment w:val="center"/>
              <w:rPr>
                <w:rFonts w:eastAsiaTheme="minorEastAsia"/>
                <w:b/>
                <w:kern w:val="0"/>
                <w:szCs w:val="21"/>
              </w:rPr>
            </w:pPr>
            <w:r w:rsidRPr="000549B1">
              <w:rPr>
                <w:rFonts w:eastAsiaTheme="minorEastAsia"/>
                <w:b/>
                <w:kern w:val="0"/>
                <w:szCs w:val="21"/>
              </w:rPr>
              <w:t>水质控制因子</w:t>
            </w:r>
          </w:p>
        </w:tc>
        <w:tc>
          <w:tcPr>
            <w:tcW w:w="1408" w:type="dxa"/>
            <w:tcBorders>
              <w:top w:val="single" w:sz="4" w:space="0" w:color="auto"/>
              <w:left w:val="nil"/>
              <w:bottom w:val="single" w:sz="4" w:space="0" w:color="auto"/>
              <w:right w:val="single" w:sz="4" w:space="0" w:color="auto"/>
            </w:tcBorders>
            <w:vAlign w:val="center"/>
          </w:tcPr>
          <w:p w14:paraId="2E12DB16" w14:textId="77777777" w:rsidR="00372953" w:rsidRPr="000549B1" w:rsidRDefault="00372953" w:rsidP="007E48A3">
            <w:pPr>
              <w:widowControl/>
              <w:spacing w:line="0" w:lineRule="atLeast"/>
              <w:jc w:val="center"/>
              <w:textAlignment w:val="center"/>
              <w:rPr>
                <w:rFonts w:eastAsiaTheme="minorEastAsia"/>
                <w:b/>
                <w:kern w:val="0"/>
                <w:szCs w:val="21"/>
              </w:rPr>
            </w:pPr>
            <w:r w:rsidRPr="000549B1">
              <w:rPr>
                <w:rFonts w:eastAsiaTheme="minorEastAsia"/>
                <w:b/>
                <w:kern w:val="0"/>
                <w:szCs w:val="21"/>
              </w:rPr>
              <w:t>Ⅰ</w:t>
            </w:r>
            <w:r w:rsidRPr="000549B1">
              <w:rPr>
                <w:rFonts w:eastAsiaTheme="minorEastAsia"/>
                <w:b/>
                <w:kern w:val="0"/>
                <w:szCs w:val="21"/>
              </w:rPr>
              <w:t>类</w:t>
            </w:r>
          </w:p>
        </w:tc>
        <w:tc>
          <w:tcPr>
            <w:tcW w:w="1268" w:type="dxa"/>
            <w:tcBorders>
              <w:top w:val="single" w:sz="4" w:space="0" w:color="auto"/>
              <w:left w:val="nil"/>
              <w:bottom w:val="single" w:sz="4" w:space="0" w:color="auto"/>
              <w:right w:val="single" w:sz="4" w:space="0" w:color="auto"/>
            </w:tcBorders>
            <w:vAlign w:val="center"/>
          </w:tcPr>
          <w:p w14:paraId="246BAC37" w14:textId="77777777" w:rsidR="00372953" w:rsidRPr="000549B1" w:rsidRDefault="00372953" w:rsidP="007E48A3">
            <w:pPr>
              <w:widowControl/>
              <w:spacing w:line="0" w:lineRule="atLeast"/>
              <w:jc w:val="center"/>
              <w:textAlignment w:val="center"/>
              <w:rPr>
                <w:rFonts w:eastAsiaTheme="minorEastAsia"/>
                <w:b/>
                <w:kern w:val="0"/>
                <w:szCs w:val="21"/>
              </w:rPr>
            </w:pPr>
            <w:r w:rsidRPr="000549B1">
              <w:rPr>
                <w:rFonts w:eastAsiaTheme="minorEastAsia"/>
                <w:b/>
                <w:kern w:val="0"/>
                <w:szCs w:val="21"/>
              </w:rPr>
              <w:t>Ⅱ</w:t>
            </w:r>
            <w:r w:rsidRPr="000549B1">
              <w:rPr>
                <w:rFonts w:eastAsiaTheme="minorEastAsia"/>
                <w:b/>
                <w:kern w:val="0"/>
                <w:szCs w:val="21"/>
              </w:rPr>
              <w:t>类</w:t>
            </w:r>
          </w:p>
        </w:tc>
        <w:tc>
          <w:tcPr>
            <w:tcW w:w="1226" w:type="dxa"/>
            <w:tcBorders>
              <w:top w:val="single" w:sz="4" w:space="0" w:color="auto"/>
              <w:left w:val="nil"/>
              <w:bottom w:val="single" w:sz="4" w:space="0" w:color="auto"/>
              <w:right w:val="single" w:sz="4" w:space="0" w:color="auto"/>
            </w:tcBorders>
            <w:vAlign w:val="center"/>
          </w:tcPr>
          <w:p w14:paraId="51BA8FEC" w14:textId="77777777" w:rsidR="00372953" w:rsidRPr="000549B1" w:rsidRDefault="00372953" w:rsidP="007E48A3">
            <w:pPr>
              <w:widowControl/>
              <w:spacing w:line="0" w:lineRule="atLeast"/>
              <w:jc w:val="center"/>
              <w:textAlignment w:val="center"/>
              <w:rPr>
                <w:rFonts w:eastAsiaTheme="minorEastAsia"/>
                <w:b/>
                <w:kern w:val="0"/>
                <w:szCs w:val="21"/>
              </w:rPr>
            </w:pPr>
            <w:r w:rsidRPr="000549B1">
              <w:rPr>
                <w:rFonts w:eastAsiaTheme="minorEastAsia"/>
                <w:b/>
                <w:kern w:val="0"/>
                <w:szCs w:val="21"/>
              </w:rPr>
              <w:t>Ⅲ</w:t>
            </w:r>
            <w:r w:rsidRPr="000549B1">
              <w:rPr>
                <w:rFonts w:eastAsiaTheme="minorEastAsia"/>
                <w:b/>
                <w:kern w:val="0"/>
                <w:szCs w:val="21"/>
              </w:rPr>
              <w:t>类</w:t>
            </w:r>
          </w:p>
        </w:tc>
        <w:tc>
          <w:tcPr>
            <w:tcW w:w="1201" w:type="dxa"/>
            <w:tcBorders>
              <w:top w:val="single" w:sz="4" w:space="0" w:color="auto"/>
              <w:left w:val="nil"/>
              <w:bottom w:val="single" w:sz="4" w:space="0" w:color="auto"/>
              <w:right w:val="single" w:sz="4" w:space="0" w:color="auto"/>
            </w:tcBorders>
            <w:vAlign w:val="center"/>
          </w:tcPr>
          <w:p w14:paraId="7D3037AF" w14:textId="77777777" w:rsidR="00372953" w:rsidRPr="000549B1" w:rsidRDefault="00372953" w:rsidP="007E48A3">
            <w:pPr>
              <w:widowControl/>
              <w:spacing w:line="0" w:lineRule="atLeast"/>
              <w:jc w:val="center"/>
              <w:textAlignment w:val="center"/>
              <w:rPr>
                <w:rFonts w:eastAsiaTheme="minorEastAsia"/>
                <w:b/>
                <w:kern w:val="0"/>
                <w:szCs w:val="21"/>
              </w:rPr>
            </w:pPr>
            <w:r w:rsidRPr="000549B1">
              <w:rPr>
                <w:rFonts w:eastAsiaTheme="minorEastAsia"/>
                <w:b/>
                <w:kern w:val="0"/>
                <w:szCs w:val="21"/>
              </w:rPr>
              <w:t>Ⅳ</w:t>
            </w:r>
            <w:r w:rsidRPr="000549B1">
              <w:rPr>
                <w:rFonts w:eastAsiaTheme="minorEastAsia"/>
                <w:b/>
                <w:kern w:val="0"/>
                <w:szCs w:val="21"/>
              </w:rPr>
              <w:t>类</w:t>
            </w:r>
          </w:p>
        </w:tc>
        <w:tc>
          <w:tcPr>
            <w:tcW w:w="1151" w:type="dxa"/>
            <w:tcBorders>
              <w:top w:val="single" w:sz="4" w:space="0" w:color="auto"/>
              <w:left w:val="nil"/>
              <w:bottom w:val="single" w:sz="4" w:space="0" w:color="auto"/>
              <w:right w:val="single" w:sz="4" w:space="0" w:color="auto"/>
            </w:tcBorders>
            <w:vAlign w:val="center"/>
          </w:tcPr>
          <w:p w14:paraId="3DD52471" w14:textId="77777777" w:rsidR="00372953" w:rsidRPr="000549B1" w:rsidRDefault="00372953" w:rsidP="007E48A3">
            <w:pPr>
              <w:widowControl/>
              <w:spacing w:line="0" w:lineRule="atLeast"/>
              <w:jc w:val="center"/>
              <w:textAlignment w:val="center"/>
              <w:rPr>
                <w:rFonts w:eastAsiaTheme="minorEastAsia"/>
                <w:b/>
                <w:kern w:val="0"/>
                <w:szCs w:val="21"/>
              </w:rPr>
            </w:pPr>
            <w:r w:rsidRPr="000549B1">
              <w:rPr>
                <w:rFonts w:eastAsiaTheme="minorEastAsia"/>
                <w:b/>
                <w:kern w:val="0"/>
                <w:szCs w:val="21"/>
              </w:rPr>
              <w:t>Ⅴ</w:t>
            </w:r>
            <w:r w:rsidRPr="000549B1">
              <w:rPr>
                <w:rFonts w:eastAsiaTheme="minorEastAsia"/>
                <w:b/>
                <w:kern w:val="0"/>
                <w:szCs w:val="21"/>
              </w:rPr>
              <w:t>类</w:t>
            </w:r>
          </w:p>
        </w:tc>
      </w:tr>
      <w:tr w:rsidR="00372953" w:rsidRPr="000549B1" w14:paraId="2E8D0801" w14:textId="77777777" w:rsidTr="007E48A3">
        <w:trPr>
          <w:trHeight w:val="397"/>
          <w:jc w:val="center"/>
        </w:trPr>
        <w:tc>
          <w:tcPr>
            <w:tcW w:w="2006" w:type="dxa"/>
            <w:tcBorders>
              <w:top w:val="nil"/>
              <w:left w:val="single" w:sz="4" w:space="0" w:color="auto"/>
              <w:bottom w:val="single" w:sz="4" w:space="0" w:color="auto"/>
              <w:right w:val="single" w:sz="4" w:space="0" w:color="auto"/>
            </w:tcBorders>
            <w:vAlign w:val="center"/>
          </w:tcPr>
          <w:p w14:paraId="25B79BD4" w14:textId="77777777" w:rsidR="00372953" w:rsidRPr="000549B1" w:rsidRDefault="00372953" w:rsidP="007E48A3">
            <w:pPr>
              <w:widowControl/>
              <w:spacing w:line="0" w:lineRule="atLeast"/>
              <w:jc w:val="center"/>
              <w:textAlignment w:val="center"/>
              <w:rPr>
                <w:rFonts w:eastAsiaTheme="minorEastAsia"/>
                <w:kern w:val="0"/>
                <w:szCs w:val="21"/>
              </w:rPr>
            </w:pPr>
            <w:r w:rsidRPr="000549B1">
              <w:rPr>
                <w:rFonts w:eastAsiaTheme="minorEastAsia"/>
                <w:kern w:val="0"/>
                <w:szCs w:val="21"/>
              </w:rPr>
              <w:t>COD</w:t>
            </w:r>
            <w:r w:rsidRPr="000549B1">
              <w:rPr>
                <w:rFonts w:eastAsiaTheme="minorEastAsia"/>
                <w:kern w:val="0"/>
                <w:szCs w:val="21"/>
              </w:rPr>
              <w:t>（</w:t>
            </w:r>
            <w:r w:rsidRPr="000549B1">
              <w:rPr>
                <w:rFonts w:eastAsiaTheme="minorEastAsia"/>
                <w:kern w:val="0"/>
                <w:szCs w:val="21"/>
              </w:rPr>
              <w:t>COD</w:t>
            </w:r>
            <w:r w:rsidRPr="000549B1">
              <w:rPr>
                <w:rFonts w:eastAsiaTheme="minorEastAsia"/>
                <w:kern w:val="0"/>
                <w:szCs w:val="21"/>
              </w:rPr>
              <w:t>）</w:t>
            </w:r>
          </w:p>
          <w:p w14:paraId="0FE1D92D" w14:textId="77777777" w:rsidR="00372953" w:rsidRPr="000549B1" w:rsidRDefault="00372953" w:rsidP="007E48A3">
            <w:pPr>
              <w:widowControl/>
              <w:spacing w:line="0" w:lineRule="atLeast"/>
              <w:jc w:val="center"/>
              <w:textAlignment w:val="center"/>
              <w:rPr>
                <w:rFonts w:eastAsiaTheme="minorEastAsia"/>
                <w:kern w:val="0"/>
                <w:szCs w:val="21"/>
              </w:rPr>
            </w:pPr>
            <w:r w:rsidRPr="000549B1">
              <w:rPr>
                <w:rFonts w:eastAsiaTheme="minorEastAsia"/>
                <w:kern w:val="0"/>
                <w:szCs w:val="21"/>
              </w:rPr>
              <w:t>（</w:t>
            </w:r>
            <w:r w:rsidRPr="000549B1">
              <w:rPr>
                <w:rFonts w:eastAsiaTheme="minorEastAsia"/>
                <w:szCs w:val="21"/>
              </w:rPr>
              <w:t>mg/L</w:t>
            </w:r>
            <w:r w:rsidRPr="000549B1">
              <w:rPr>
                <w:rFonts w:eastAsiaTheme="minorEastAsia"/>
                <w:kern w:val="0"/>
                <w:szCs w:val="21"/>
              </w:rPr>
              <w:t>）</w:t>
            </w:r>
          </w:p>
        </w:tc>
        <w:tc>
          <w:tcPr>
            <w:tcW w:w="1408" w:type="dxa"/>
            <w:tcBorders>
              <w:top w:val="nil"/>
              <w:left w:val="nil"/>
              <w:bottom w:val="single" w:sz="4" w:space="0" w:color="auto"/>
              <w:right w:val="single" w:sz="4" w:space="0" w:color="auto"/>
            </w:tcBorders>
            <w:vAlign w:val="center"/>
          </w:tcPr>
          <w:p w14:paraId="66555FEC" w14:textId="77777777" w:rsidR="00372953" w:rsidRPr="000549B1" w:rsidRDefault="00372953" w:rsidP="007E48A3">
            <w:pPr>
              <w:widowControl/>
              <w:spacing w:line="0" w:lineRule="atLeast"/>
              <w:jc w:val="center"/>
              <w:textAlignment w:val="center"/>
              <w:rPr>
                <w:rFonts w:eastAsiaTheme="minorEastAsia"/>
                <w:kern w:val="0"/>
                <w:szCs w:val="21"/>
              </w:rPr>
            </w:pPr>
            <w:r w:rsidRPr="000549B1">
              <w:rPr>
                <w:rFonts w:eastAsiaTheme="minorEastAsia"/>
                <w:kern w:val="0"/>
                <w:szCs w:val="21"/>
              </w:rPr>
              <w:t>≤15</w:t>
            </w:r>
          </w:p>
        </w:tc>
        <w:tc>
          <w:tcPr>
            <w:tcW w:w="1268" w:type="dxa"/>
            <w:tcBorders>
              <w:top w:val="nil"/>
              <w:left w:val="nil"/>
              <w:bottom w:val="single" w:sz="4" w:space="0" w:color="auto"/>
              <w:right w:val="single" w:sz="4" w:space="0" w:color="auto"/>
            </w:tcBorders>
            <w:vAlign w:val="center"/>
          </w:tcPr>
          <w:p w14:paraId="744DD2FF" w14:textId="77777777" w:rsidR="00372953" w:rsidRPr="000549B1" w:rsidRDefault="00372953" w:rsidP="007E48A3">
            <w:pPr>
              <w:widowControl/>
              <w:spacing w:line="0" w:lineRule="atLeast"/>
              <w:jc w:val="center"/>
              <w:textAlignment w:val="center"/>
              <w:rPr>
                <w:rFonts w:eastAsiaTheme="minorEastAsia"/>
                <w:kern w:val="0"/>
                <w:szCs w:val="21"/>
              </w:rPr>
            </w:pPr>
            <w:r w:rsidRPr="000549B1">
              <w:rPr>
                <w:rFonts w:eastAsiaTheme="minorEastAsia"/>
                <w:kern w:val="0"/>
                <w:szCs w:val="21"/>
              </w:rPr>
              <w:t>≤15</w:t>
            </w:r>
          </w:p>
        </w:tc>
        <w:tc>
          <w:tcPr>
            <w:tcW w:w="1226" w:type="dxa"/>
            <w:tcBorders>
              <w:top w:val="nil"/>
              <w:left w:val="nil"/>
              <w:bottom w:val="single" w:sz="4" w:space="0" w:color="auto"/>
              <w:right w:val="single" w:sz="4" w:space="0" w:color="auto"/>
            </w:tcBorders>
            <w:vAlign w:val="center"/>
          </w:tcPr>
          <w:p w14:paraId="68A480E9" w14:textId="77777777" w:rsidR="00372953" w:rsidRPr="000549B1" w:rsidRDefault="00372953" w:rsidP="007E48A3">
            <w:pPr>
              <w:widowControl/>
              <w:spacing w:line="0" w:lineRule="atLeast"/>
              <w:jc w:val="center"/>
              <w:textAlignment w:val="center"/>
              <w:rPr>
                <w:rFonts w:eastAsiaTheme="minorEastAsia"/>
                <w:kern w:val="0"/>
                <w:szCs w:val="21"/>
              </w:rPr>
            </w:pPr>
            <w:r w:rsidRPr="000549B1">
              <w:rPr>
                <w:rFonts w:eastAsiaTheme="minorEastAsia"/>
                <w:kern w:val="0"/>
                <w:szCs w:val="21"/>
              </w:rPr>
              <w:t>≤20</w:t>
            </w:r>
          </w:p>
        </w:tc>
        <w:tc>
          <w:tcPr>
            <w:tcW w:w="1201" w:type="dxa"/>
            <w:tcBorders>
              <w:top w:val="nil"/>
              <w:left w:val="nil"/>
              <w:bottom w:val="single" w:sz="4" w:space="0" w:color="auto"/>
              <w:right w:val="single" w:sz="4" w:space="0" w:color="auto"/>
            </w:tcBorders>
            <w:vAlign w:val="center"/>
          </w:tcPr>
          <w:p w14:paraId="09F269A7" w14:textId="77777777" w:rsidR="00372953" w:rsidRPr="000549B1" w:rsidRDefault="00372953" w:rsidP="007E48A3">
            <w:pPr>
              <w:widowControl/>
              <w:spacing w:line="0" w:lineRule="atLeast"/>
              <w:jc w:val="center"/>
              <w:textAlignment w:val="center"/>
              <w:rPr>
                <w:rFonts w:eastAsiaTheme="minorEastAsia"/>
                <w:kern w:val="0"/>
                <w:szCs w:val="21"/>
              </w:rPr>
            </w:pPr>
            <w:r w:rsidRPr="000549B1">
              <w:rPr>
                <w:rFonts w:eastAsiaTheme="minorEastAsia"/>
                <w:kern w:val="0"/>
                <w:szCs w:val="21"/>
              </w:rPr>
              <w:t>≤30</w:t>
            </w:r>
          </w:p>
        </w:tc>
        <w:tc>
          <w:tcPr>
            <w:tcW w:w="1151" w:type="dxa"/>
            <w:tcBorders>
              <w:top w:val="nil"/>
              <w:left w:val="nil"/>
              <w:bottom w:val="single" w:sz="4" w:space="0" w:color="auto"/>
              <w:right w:val="single" w:sz="4" w:space="0" w:color="auto"/>
            </w:tcBorders>
            <w:vAlign w:val="center"/>
          </w:tcPr>
          <w:p w14:paraId="33CBDA93" w14:textId="77777777" w:rsidR="00372953" w:rsidRPr="000549B1" w:rsidRDefault="00372953" w:rsidP="007E48A3">
            <w:pPr>
              <w:widowControl/>
              <w:spacing w:line="0" w:lineRule="atLeast"/>
              <w:jc w:val="center"/>
              <w:textAlignment w:val="center"/>
              <w:rPr>
                <w:rFonts w:eastAsiaTheme="minorEastAsia"/>
                <w:kern w:val="0"/>
                <w:szCs w:val="21"/>
              </w:rPr>
            </w:pPr>
            <w:r w:rsidRPr="000549B1">
              <w:rPr>
                <w:rFonts w:eastAsiaTheme="minorEastAsia"/>
                <w:kern w:val="0"/>
                <w:szCs w:val="21"/>
              </w:rPr>
              <w:t>≤40</w:t>
            </w:r>
          </w:p>
        </w:tc>
      </w:tr>
      <w:tr w:rsidR="00372953" w:rsidRPr="000549B1" w14:paraId="7826A304" w14:textId="77777777" w:rsidTr="007E48A3">
        <w:trPr>
          <w:trHeight w:val="397"/>
          <w:jc w:val="center"/>
        </w:trPr>
        <w:tc>
          <w:tcPr>
            <w:tcW w:w="2006" w:type="dxa"/>
            <w:tcBorders>
              <w:top w:val="nil"/>
              <w:left w:val="single" w:sz="4" w:space="0" w:color="auto"/>
              <w:bottom w:val="single" w:sz="4" w:space="0" w:color="auto"/>
              <w:right w:val="single" w:sz="4" w:space="0" w:color="auto"/>
            </w:tcBorders>
            <w:vAlign w:val="center"/>
          </w:tcPr>
          <w:p w14:paraId="7378D697" w14:textId="77777777" w:rsidR="00372953" w:rsidRPr="000549B1" w:rsidRDefault="00372953" w:rsidP="007E48A3">
            <w:pPr>
              <w:widowControl/>
              <w:spacing w:line="0" w:lineRule="atLeast"/>
              <w:jc w:val="center"/>
              <w:textAlignment w:val="center"/>
              <w:rPr>
                <w:rFonts w:eastAsiaTheme="minorEastAsia"/>
                <w:kern w:val="0"/>
                <w:szCs w:val="21"/>
              </w:rPr>
            </w:pPr>
            <w:r w:rsidRPr="000549B1">
              <w:rPr>
                <w:rFonts w:eastAsiaTheme="minorEastAsia"/>
                <w:kern w:val="0"/>
                <w:szCs w:val="21"/>
              </w:rPr>
              <w:t>氨氮（</w:t>
            </w:r>
            <w:r w:rsidRPr="000549B1">
              <w:rPr>
                <w:rFonts w:eastAsiaTheme="minorEastAsia"/>
                <w:kern w:val="0"/>
                <w:szCs w:val="21"/>
              </w:rPr>
              <w:t>NH</w:t>
            </w:r>
            <w:r w:rsidRPr="000549B1">
              <w:rPr>
                <w:rFonts w:eastAsiaTheme="minorEastAsia"/>
                <w:kern w:val="0"/>
                <w:szCs w:val="21"/>
                <w:vertAlign w:val="subscript"/>
              </w:rPr>
              <w:t>3</w:t>
            </w:r>
            <w:r w:rsidRPr="000549B1">
              <w:rPr>
                <w:rFonts w:eastAsiaTheme="minorEastAsia"/>
                <w:kern w:val="0"/>
                <w:szCs w:val="21"/>
              </w:rPr>
              <w:t>-N</w:t>
            </w:r>
            <w:r w:rsidRPr="000549B1">
              <w:rPr>
                <w:rFonts w:eastAsiaTheme="minorEastAsia"/>
                <w:kern w:val="0"/>
                <w:szCs w:val="21"/>
              </w:rPr>
              <w:t>）</w:t>
            </w:r>
          </w:p>
          <w:p w14:paraId="7DCD62F3" w14:textId="77777777" w:rsidR="00372953" w:rsidRPr="000549B1" w:rsidRDefault="00372953" w:rsidP="007E48A3">
            <w:pPr>
              <w:widowControl/>
              <w:spacing w:line="0" w:lineRule="atLeast"/>
              <w:jc w:val="center"/>
              <w:textAlignment w:val="center"/>
              <w:rPr>
                <w:rFonts w:eastAsiaTheme="minorEastAsia"/>
                <w:kern w:val="0"/>
                <w:szCs w:val="21"/>
              </w:rPr>
            </w:pPr>
            <w:r w:rsidRPr="000549B1">
              <w:rPr>
                <w:rFonts w:eastAsiaTheme="minorEastAsia"/>
                <w:kern w:val="0"/>
                <w:szCs w:val="21"/>
              </w:rPr>
              <w:t>（</w:t>
            </w:r>
            <w:r w:rsidRPr="000549B1">
              <w:rPr>
                <w:rFonts w:eastAsiaTheme="minorEastAsia"/>
                <w:szCs w:val="21"/>
              </w:rPr>
              <w:t>mg/L</w:t>
            </w:r>
            <w:r w:rsidRPr="000549B1">
              <w:rPr>
                <w:rFonts w:eastAsiaTheme="minorEastAsia"/>
                <w:kern w:val="0"/>
                <w:szCs w:val="21"/>
              </w:rPr>
              <w:t>）</w:t>
            </w:r>
          </w:p>
        </w:tc>
        <w:tc>
          <w:tcPr>
            <w:tcW w:w="1408" w:type="dxa"/>
            <w:tcBorders>
              <w:top w:val="nil"/>
              <w:left w:val="nil"/>
              <w:bottom w:val="single" w:sz="4" w:space="0" w:color="auto"/>
              <w:right w:val="single" w:sz="4" w:space="0" w:color="auto"/>
            </w:tcBorders>
            <w:vAlign w:val="center"/>
          </w:tcPr>
          <w:p w14:paraId="4B5A0D78" w14:textId="77777777" w:rsidR="00372953" w:rsidRPr="000549B1" w:rsidRDefault="00372953" w:rsidP="007E48A3">
            <w:pPr>
              <w:widowControl/>
              <w:spacing w:line="0" w:lineRule="atLeast"/>
              <w:jc w:val="center"/>
              <w:textAlignment w:val="center"/>
              <w:rPr>
                <w:rFonts w:eastAsiaTheme="minorEastAsia"/>
                <w:kern w:val="0"/>
                <w:szCs w:val="21"/>
              </w:rPr>
            </w:pPr>
            <w:r w:rsidRPr="000549B1">
              <w:rPr>
                <w:rFonts w:eastAsiaTheme="minorEastAsia"/>
                <w:kern w:val="0"/>
                <w:szCs w:val="21"/>
              </w:rPr>
              <w:t>≤0.15</w:t>
            </w:r>
          </w:p>
        </w:tc>
        <w:tc>
          <w:tcPr>
            <w:tcW w:w="1268" w:type="dxa"/>
            <w:tcBorders>
              <w:top w:val="nil"/>
              <w:left w:val="nil"/>
              <w:bottom w:val="single" w:sz="4" w:space="0" w:color="auto"/>
              <w:right w:val="single" w:sz="4" w:space="0" w:color="auto"/>
            </w:tcBorders>
            <w:vAlign w:val="center"/>
          </w:tcPr>
          <w:p w14:paraId="58C3A4E9" w14:textId="77777777" w:rsidR="00372953" w:rsidRPr="000549B1" w:rsidRDefault="00372953" w:rsidP="007E48A3">
            <w:pPr>
              <w:widowControl/>
              <w:spacing w:line="0" w:lineRule="atLeast"/>
              <w:jc w:val="center"/>
              <w:textAlignment w:val="center"/>
              <w:rPr>
                <w:rFonts w:eastAsiaTheme="minorEastAsia"/>
                <w:kern w:val="0"/>
                <w:szCs w:val="21"/>
              </w:rPr>
            </w:pPr>
            <w:r w:rsidRPr="000549B1">
              <w:rPr>
                <w:rFonts w:eastAsiaTheme="minorEastAsia"/>
                <w:kern w:val="0"/>
                <w:szCs w:val="21"/>
              </w:rPr>
              <w:t>≤0.5</w:t>
            </w:r>
          </w:p>
        </w:tc>
        <w:tc>
          <w:tcPr>
            <w:tcW w:w="1226" w:type="dxa"/>
            <w:tcBorders>
              <w:top w:val="nil"/>
              <w:left w:val="nil"/>
              <w:bottom w:val="single" w:sz="4" w:space="0" w:color="auto"/>
              <w:right w:val="single" w:sz="4" w:space="0" w:color="auto"/>
            </w:tcBorders>
            <w:vAlign w:val="center"/>
          </w:tcPr>
          <w:p w14:paraId="649A6332" w14:textId="77777777" w:rsidR="00372953" w:rsidRPr="000549B1" w:rsidRDefault="00372953" w:rsidP="007E48A3">
            <w:pPr>
              <w:widowControl/>
              <w:spacing w:line="0" w:lineRule="atLeast"/>
              <w:jc w:val="center"/>
              <w:textAlignment w:val="center"/>
              <w:rPr>
                <w:rFonts w:eastAsiaTheme="minorEastAsia"/>
                <w:kern w:val="0"/>
                <w:szCs w:val="21"/>
              </w:rPr>
            </w:pPr>
            <w:r w:rsidRPr="000549B1">
              <w:rPr>
                <w:rFonts w:eastAsiaTheme="minorEastAsia"/>
                <w:kern w:val="0"/>
                <w:szCs w:val="21"/>
              </w:rPr>
              <w:t>≤1.0</w:t>
            </w:r>
          </w:p>
        </w:tc>
        <w:tc>
          <w:tcPr>
            <w:tcW w:w="1201" w:type="dxa"/>
            <w:tcBorders>
              <w:top w:val="nil"/>
              <w:left w:val="nil"/>
              <w:bottom w:val="single" w:sz="4" w:space="0" w:color="auto"/>
              <w:right w:val="single" w:sz="4" w:space="0" w:color="auto"/>
            </w:tcBorders>
            <w:vAlign w:val="center"/>
          </w:tcPr>
          <w:p w14:paraId="11DC6C3A" w14:textId="77777777" w:rsidR="00372953" w:rsidRPr="000549B1" w:rsidRDefault="00372953" w:rsidP="007E48A3">
            <w:pPr>
              <w:widowControl/>
              <w:spacing w:line="0" w:lineRule="atLeast"/>
              <w:jc w:val="center"/>
              <w:textAlignment w:val="center"/>
              <w:rPr>
                <w:rFonts w:eastAsiaTheme="minorEastAsia"/>
                <w:kern w:val="0"/>
                <w:szCs w:val="21"/>
              </w:rPr>
            </w:pPr>
            <w:r w:rsidRPr="000549B1">
              <w:rPr>
                <w:rFonts w:eastAsiaTheme="minorEastAsia"/>
                <w:kern w:val="0"/>
                <w:szCs w:val="21"/>
              </w:rPr>
              <w:t>≤1.5</w:t>
            </w:r>
          </w:p>
        </w:tc>
        <w:tc>
          <w:tcPr>
            <w:tcW w:w="1151" w:type="dxa"/>
            <w:tcBorders>
              <w:top w:val="nil"/>
              <w:left w:val="nil"/>
              <w:bottom w:val="single" w:sz="4" w:space="0" w:color="auto"/>
              <w:right w:val="single" w:sz="4" w:space="0" w:color="auto"/>
            </w:tcBorders>
            <w:vAlign w:val="center"/>
          </w:tcPr>
          <w:p w14:paraId="5030B899" w14:textId="77777777" w:rsidR="00372953" w:rsidRPr="000549B1" w:rsidRDefault="00372953" w:rsidP="007E48A3">
            <w:pPr>
              <w:widowControl/>
              <w:spacing w:line="0" w:lineRule="atLeast"/>
              <w:jc w:val="center"/>
              <w:textAlignment w:val="center"/>
              <w:rPr>
                <w:rFonts w:eastAsiaTheme="minorEastAsia"/>
                <w:kern w:val="0"/>
                <w:szCs w:val="21"/>
              </w:rPr>
            </w:pPr>
            <w:r w:rsidRPr="000549B1">
              <w:rPr>
                <w:rFonts w:eastAsiaTheme="minorEastAsia"/>
                <w:kern w:val="0"/>
                <w:szCs w:val="21"/>
              </w:rPr>
              <w:t>≤2.0</w:t>
            </w:r>
          </w:p>
        </w:tc>
      </w:tr>
    </w:tbl>
    <w:p w14:paraId="7D48BDB2" w14:textId="77777777" w:rsidR="00372953" w:rsidRPr="000549B1" w:rsidRDefault="00372953" w:rsidP="00372953">
      <w:pPr>
        <w:pStyle w:val="17"/>
        <w:ind w:firstLine="482"/>
        <w:rPr>
          <w:b/>
          <w:bCs/>
        </w:rPr>
      </w:pPr>
      <w:bookmarkStart w:id="239" w:name="_Toc307469492"/>
      <w:r w:rsidRPr="000549B1">
        <w:rPr>
          <w:b/>
          <w:bCs/>
        </w:rPr>
        <w:t>（</w:t>
      </w:r>
      <w:r w:rsidRPr="000549B1">
        <w:rPr>
          <w:b/>
          <w:bCs/>
        </w:rPr>
        <w:t>2</w:t>
      </w:r>
      <w:r w:rsidRPr="000549B1">
        <w:rPr>
          <w:b/>
          <w:bCs/>
        </w:rPr>
        <w:t>）设计条件</w:t>
      </w:r>
      <w:bookmarkEnd w:id="239"/>
    </w:p>
    <w:p w14:paraId="6AA24F92" w14:textId="77777777" w:rsidR="00372953" w:rsidRPr="000549B1" w:rsidRDefault="00372953" w:rsidP="00372953">
      <w:pPr>
        <w:spacing w:line="360" w:lineRule="auto"/>
        <w:ind w:firstLineChars="200" w:firstLine="480"/>
        <w:rPr>
          <w:rFonts w:eastAsiaTheme="minorEastAsia"/>
          <w:sz w:val="24"/>
          <w:szCs w:val="24"/>
        </w:rPr>
      </w:pPr>
      <w:r w:rsidRPr="000549B1">
        <w:rPr>
          <w:rFonts w:ascii="宋体" w:hAnsi="宋体" w:cs="宋体" w:hint="eastAsia"/>
          <w:sz w:val="24"/>
          <w:szCs w:val="24"/>
        </w:rPr>
        <w:t>①</w:t>
      </w:r>
      <w:r w:rsidRPr="000549B1">
        <w:rPr>
          <w:rFonts w:eastAsiaTheme="minorEastAsia"/>
          <w:sz w:val="24"/>
          <w:szCs w:val="24"/>
        </w:rPr>
        <w:t>设计流量</w:t>
      </w:r>
    </w:p>
    <w:p w14:paraId="6FD38242" w14:textId="77777777" w:rsidR="00372953" w:rsidRPr="000549B1" w:rsidRDefault="00372953" w:rsidP="00372953">
      <w:pPr>
        <w:widowControl/>
        <w:shd w:val="clear" w:color="auto" w:fill="FFFFFF"/>
        <w:spacing w:line="360" w:lineRule="auto"/>
        <w:ind w:firstLineChars="200" w:firstLine="480"/>
        <w:rPr>
          <w:rFonts w:eastAsiaTheme="minorEastAsia"/>
          <w:sz w:val="24"/>
          <w:szCs w:val="24"/>
        </w:rPr>
      </w:pPr>
      <w:r w:rsidRPr="000549B1">
        <w:rPr>
          <w:rFonts w:eastAsiaTheme="minorEastAsia"/>
          <w:sz w:val="24"/>
          <w:szCs w:val="24"/>
        </w:rPr>
        <w:t>按照《水域纳污能力计算规程》（</w:t>
      </w:r>
      <w:r w:rsidRPr="000549B1">
        <w:rPr>
          <w:rFonts w:eastAsiaTheme="minorEastAsia"/>
          <w:sz w:val="24"/>
          <w:szCs w:val="24"/>
        </w:rPr>
        <w:t>GB/T25173―2010</w:t>
      </w:r>
      <w:r w:rsidRPr="000549B1">
        <w:rPr>
          <w:rFonts w:eastAsiaTheme="minorEastAsia"/>
          <w:sz w:val="24"/>
          <w:szCs w:val="24"/>
        </w:rPr>
        <w:t>），有水文资料的水功能区，采用已有水文站的实测流量资料，对历年最枯月流量进行统计，将从大到小排列，将频率计算结果点绘成对数频率曲线，用</w:t>
      </w:r>
      <w:r w:rsidRPr="000549B1">
        <w:rPr>
          <w:rFonts w:eastAsiaTheme="minorEastAsia"/>
          <w:sz w:val="24"/>
          <w:szCs w:val="24"/>
        </w:rPr>
        <w:t>p-Ⅲ</w:t>
      </w:r>
      <w:r w:rsidRPr="000549B1">
        <w:rPr>
          <w:rFonts w:eastAsiaTheme="minorEastAsia"/>
          <w:sz w:val="24"/>
          <w:szCs w:val="24"/>
        </w:rPr>
        <w:t>型曲线与之适配，根据</w:t>
      </w:r>
      <w:r w:rsidRPr="000549B1">
        <w:rPr>
          <w:rFonts w:eastAsiaTheme="minorEastAsia"/>
          <w:sz w:val="24"/>
          <w:szCs w:val="24"/>
        </w:rPr>
        <w:t>p-Ⅲ</w:t>
      </w:r>
      <w:r w:rsidRPr="000549B1">
        <w:rPr>
          <w:rFonts w:eastAsiaTheme="minorEastAsia"/>
          <w:sz w:val="24"/>
          <w:szCs w:val="24"/>
        </w:rPr>
        <w:t>型曲线查</w:t>
      </w:r>
      <w:r w:rsidRPr="000549B1">
        <w:rPr>
          <w:rFonts w:eastAsiaTheme="minorEastAsia"/>
          <w:sz w:val="24"/>
          <w:szCs w:val="24"/>
        </w:rPr>
        <w:t>90%</w:t>
      </w:r>
      <w:r w:rsidRPr="000549B1">
        <w:rPr>
          <w:rFonts w:eastAsiaTheme="minorEastAsia"/>
          <w:sz w:val="24"/>
          <w:szCs w:val="24"/>
        </w:rPr>
        <w:t>保证率所得流量即为设计流量；无水文资料的水功能区，根据适用条件可采用水文比拟、降雨径流、相关分析等方法推求设计流量，设计流量采用最枯月</w:t>
      </w:r>
      <w:r w:rsidRPr="000549B1">
        <w:rPr>
          <w:rFonts w:eastAsiaTheme="minorEastAsia"/>
          <w:sz w:val="24"/>
          <w:szCs w:val="24"/>
        </w:rPr>
        <w:t>90%</w:t>
      </w:r>
      <w:r w:rsidRPr="000549B1">
        <w:rPr>
          <w:rFonts w:eastAsiaTheme="minorEastAsia"/>
          <w:sz w:val="24"/>
          <w:szCs w:val="24"/>
        </w:rPr>
        <w:t>保证率流量。</w:t>
      </w:r>
    </w:p>
    <w:p w14:paraId="2038FF3C" w14:textId="77777777" w:rsidR="00372953" w:rsidRPr="000549B1" w:rsidRDefault="00372953" w:rsidP="00372953">
      <w:pPr>
        <w:spacing w:line="360" w:lineRule="auto"/>
        <w:ind w:firstLine="480"/>
        <w:rPr>
          <w:rFonts w:eastAsiaTheme="minorEastAsia"/>
          <w:sz w:val="24"/>
          <w:szCs w:val="24"/>
        </w:rPr>
      </w:pPr>
      <w:r w:rsidRPr="000549B1">
        <w:rPr>
          <w:rFonts w:ascii="宋体" w:hAnsi="宋体" w:cs="宋体" w:hint="eastAsia"/>
          <w:sz w:val="24"/>
          <w:szCs w:val="24"/>
        </w:rPr>
        <w:t>②</w:t>
      </w:r>
      <w:r w:rsidRPr="000549B1">
        <w:rPr>
          <w:rFonts w:eastAsiaTheme="minorEastAsia"/>
          <w:sz w:val="24"/>
          <w:szCs w:val="24"/>
        </w:rPr>
        <w:t>断面设计流速确定（</w:t>
      </w:r>
      <w:r w:rsidRPr="000549B1">
        <w:rPr>
          <w:rFonts w:eastAsiaTheme="minorEastAsia"/>
          <w:sz w:val="24"/>
          <w:szCs w:val="24"/>
        </w:rPr>
        <w:t>u</w:t>
      </w:r>
      <w:r w:rsidRPr="000549B1">
        <w:rPr>
          <w:rFonts w:eastAsiaTheme="minorEastAsia"/>
          <w:sz w:val="24"/>
          <w:szCs w:val="24"/>
        </w:rPr>
        <w:t>）</w:t>
      </w:r>
    </w:p>
    <w:p w14:paraId="45A471F2" w14:textId="77777777" w:rsidR="00372953" w:rsidRPr="000549B1" w:rsidRDefault="00372953" w:rsidP="00372953">
      <w:pPr>
        <w:spacing w:line="360" w:lineRule="auto"/>
        <w:ind w:firstLineChars="200" w:firstLine="480"/>
        <w:rPr>
          <w:rFonts w:eastAsiaTheme="minorEastAsia"/>
          <w:sz w:val="24"/>
          <w:szCs w:val="24"/>
        </w:rPr>
      </w:pPr>
      <w:r w:rsidRPr="000549B1">
        <w:rPr>
          <w:rFonts w:eastAsiaTheme="minorEastAsia"/>
          <w:sz w:val="24"/>
          <w:szCs w:val="24"/>
        </w:rPr>
        <w:t>利用各水文站实测流量、流速资料，建立流量</w:t>
      </w:r>
      <w:r w:rsidRPr="000549B1">
        <w:rPr>
          <w:rFonts w:eastAsiaTheme="minorEastAsia"/>
          <w:sz w:val="24"/>
          <w:szCs w:val="24"/>
        </w:rPr>
        <w:t>-</w:t>
      </w:r>
      <w:r w:rsidRPr="000549B1">
        <w:rPr>
          <w:rFonts w:eastAsiaTheme="minorEastAsia"/>
          <w:sz w:val="24"/>
          <w:szCs w:val="24"/>
        </w:rPr>
        <w:t>流速关系曲线，分析计算设计流量下的断面平均流速。</w:t>
      </w:r>
    </w:p>
    <w:p w14:paraId="50B41FE3" w14:textId="77777777" w:rsidR="00372953" w:rsidRPr="000549B1" w:rsidRDefault="00372953" w:rsidP="00372953">
      <w:pPr>
        <w:spacing w:line="360" w:lineRule="auto"/>
        <w:ind w:firstLine="480"/>
        <w:rPr>
          <w:rFonts w:eastAsiaTheme="minorEastAsia"/>
          <w:sz w:val="24"/>
          <w:szCs w:val="24"/>
        </w:rPr>
      </w:pPr>
      <w:r w:rsidRPr="000549B1">
        <w:rPr>
          <w:rFonts w:ascii="宋体" w:hAnsi="宋体" w:cs="宋体" w:hint="eastAsia"/>
          <w:sz w:val="24"/>
          <w:szCs w:val="24"/>
        </w:rPr>
        <w:t>③</w:t>
      </w:r>
      <w:r w:rsidRPr="000549B1">
        <w:rPr>
          <w:rFonts w:eastAsiaTheme="minorEastAsia"/>
          <w:sz w:val="24"/>
          <w:szCs w:val="24"/>
        </w:rPr>
        <w:t>综合衰减系数（</w:t>
      </w:r>
      <w:r w:rsidRPr="000549B1">
        <w:rPr>
          <w:rFonts w:eastAsiaTheme="minorEastAsia"/>
          <w:sz w:val="24"/>
          <w:szCs w:val="24"/>
        </w:rPr>
        <w:t>K</w:t>
      </w:r>
      <w:r w:rsidRPr="000549B1">
        <w:rPr>
          <w:rFonts w:eastAsiaTheme="minorEastAsia"/>
          <w:sz w:val="24"/>
          <w:szCs w:val="24"/>
        </w:rPr>
        <w:t>）的确定</w:t>
      </w:r>
    </w:p>
    <w:p w14:paraId="2938328A" w14:textId="77777777" w:rsidR="00372953" w:rsidRPr="000549B1" w:rsidRDefault="00372953" w:rsidP="00372953">
      <w:pPr>
        <w:adjustRightInd w:val="0"/>
        <w:spacing w:line="360" w:lineRule="auto"/>
        <w:ind w:firstLineChars="200" w:firstLine="480"/>
        <w:rPr>
          <w:rFonts w:eastAsiaTheme="minorEastAsia"/>
          <w:sz w:val="24"/>
          <w:szCs w:val="24"/>
        </w:rPr>
      </w:pPr>
      <w:r w:rsidRPr="000549B1">
        <w:rPr>
          <w:rFonts w:eastAsiaTheme="minorEastAsia"/>
          <w:sz w:val="24"/>
          <w:szCs w:val="24"/>
        </w:rPr>
        <w:t>综合衰减系数</w:t>
      </w:r>
      <w:r w:rsidRPr="000549B1">
        <w:rPr>
          <w:rFonts w:eastAsiaTheme="minorEastAsia"/>
          <w:sz w:val="24"/>
          <w:szCs w:val="24"/>
        </w:rPr>
        <w:t>K</w:t>
      </w:r>
      <w:r w:rsidRPr="000549B1">
        <w:rPr>
          <w:rFonts w:eastAsiaTheme="minorEastAsia"/>
          <w:sz w:val="24"/>
          <w:szCs w:val="24"/>
        </w:rPr>
        <w:t>是反映污染物沿程变化的综合系数，体现污染物自身的变化和环境对污染物的影响，是计算水体纳污能力的一项重要参数。对于不同的污染物，在不同的环境条件下，其值是不同的，该系数常用自然条件下的实测资料率定。</w:t>
      </w:r>
    </w:p>
    <w:p w14:paraId="6BF7A143" w14:textId="3641BA72" w:rsidR="00372953" w:rsidRPr="000549B1" w:rsidRDefault="00372953" w:rsidP="00372953">
      <w:pPr>
        <w:adjustRightInd w:val="0"/>
        <w:spacing w:line="360" w:lineRule="auto"/>
        <w:ind w:firstLineChars="200" w:firstLine="480"/>
        <w:rPr>
          <w:rFonts w:eastAsiaTheme="minorEastAsia"/>
          <w:sz w:val="24"/>
          <w:szCs w:val="24"/>
        </w:rPr>
      </w:pPr>
      <w:r w:rsidRPr="000549B1">
        <w:rPr>
          <w:rFonts w:eastAsiaTheme="minorEastAsia"/>
          <w:sz w:val="24"/>
          <w:szCs w:val="24"/>
        </w:rPr>
        <w:t>综合衰减系数</w:t>
      </w:r>
      <w:r w:rsidRPr="000549B1">
        <w:rPr>
          <w:rFonts w:eastAsiaTheme="minorEastAsia"/>
          <w:sz w:val="24"/>
          <w:szCs w:val="24"/>
        </w:rPr>
        <w:t>K</w:t>
      </w:r>
      <w:r w:rsidRPr="000549B1">
        <w:rPr>
          <w:rFonts w:eastAsiaTheme="minorEastAsia"/>
          <w:sz w:val="24"/>
          <w:szCs w:val="24"/>
        </w:rPr>
        <w:t>的判定方法主要有实验室估值法、实测资料反推法，资料借鉴法等，本次纳污能力计算中的综合衰减系数</w:t>
      </w:r>
      <w:r w:rsidRPr="000549B1">
        <w:rPr>
          <w:rFonts w:eastAsiaTheme="minorEastAsia"/>
          <w:sz w:val="24"/>
          <w:szCs w:val="24"/>
        </w:rPr>
        <w:t>K</w:t>
      </w:r>
      <w:r w:rsidRPr="000549B1">
        <w:rPr>
          <w:rFonts w:eastAsiaTheme="minorEastAsia"/>
          <w:sz w:val="24"/>
          <w:szCs w:val="24"/>
        </w:rPr>
        <w:t>主要采用资料借鉴法，确定共和县水功能区</w:t>
      </w:r>
      <w:r w:rsidRPr="000549B1">
        <w:rPr>
          <w:rFonts w:eastAsiaTheme="minorEastAsia"/>
          <w:sz w:val="24"/>
          <w:szCs w:val="24"/>
        </w:rPr>
        <w:t>COD</w:t>
      </w:r>
      <w:r w:rsidRPr="000549B1">
        <w:rPr>
          <w:rFonts w:eastAsiaTheme="minorEastAsia"/>
          <w:sz w:val="24"/>
          <w:szCs w:val="24"/>
        </w:rPr>
        <w:t>及氨氮衰减系数取值范围，见</w:t>
      </w:r>
      <w:r w:rsidRPr="00372953">
        <w:rPr>
          <w:rFonts w:eastAsiaTheme="minorEastAsia"/>
          <w:sz w:val="24"/>
          <w:szCs w:val="24"/>
        </w:rPr>
        <w:t>表</w:t>
      </w:r>
      <w:r w:rsidRPr="00372953">
        <w:rPr>
          <w:rFonts w:eastAsiaTheme="minorEastAsia"/>
          <w:sz w:val="24"/>
          <w:szCs w:val="24"/>
        </w:rPr>
        <w:t>3.3</w:t>
      </w:r>
      <w:r w:rsidRPr="00372953">
        <w:rPr>
          <w:rFonts w:eastAsiaTheme="minorEastAsia"/>
          <w:sz w:val="24"/>
          <w:szCs w:val="24"/>
        </w:rPr>
        <w:noBreakHyphen/>
        <w:t>27</w:t>
      </w:r>
      <w:r w:rsidRPr="000549B1">
        <w:rPr>
          <w:rFonts w:eastAsiaTheme="minorEastAsia"/>
          <w:sz w:val="24"/>
          <w:szCs w:val="24"/>
        </w:rPr>
        <w:t>。</w:t>
      </w:r>
    </w:p>
    <w:p w14:paraId="15F26BF9" w14:textId="3B68CE02" w:rsidR="00372953" w:rsidRPr="000549B1" w:rsidRDefault="00372953" w:rsidP="00372953">
      <w:pPr>
        <w:pStyle w:val="aff8"/>
        <w:rPr>
          <w:color w:val="auto"/>
        </w:rPr>
      </w:pPr>
      <w:bookmarkStart w:id="240" w:name="_Ref214978815"/>
      <w:r w:rsidRPr="000549B1">
        <w:rPr>
          <w:color w:val="auto"/>
        </w:rPr>
        <w:t>表</w:t>
      </w:r>
      <w:r>
        <w:rPr>
          <w:color w:val="auto"/>
        </w:rPr>
        <w:fldChar w:fldCharType="begin"/>
      </w:r>
      <w:r>
        <w:rPr>
          <w:color w:val="auto"/>
        </w:rPr>
        <w:instrText xml:space="preserve"> STYLEREF 2 \s </w:instrText>
      </w:r>
      <w:r>
        <w:rPr>
          <w:color w:val="auto"/>
        </w:rPr>
        <w:fldChar w:fldCharType="separate"/>
      </w:r>
      <w:r>
        <w:rPr>
          <w:noProof/>
          <w:color w:val="auto"/>
        </w:rPr>
        <w:t>3.3</w:t>
      </w:r>
      <w:r>
        <w:rPr>
          <w:color w:val="auto"/>
        </w:rPr>
        <w:fldChar w:fldCharType="end"/>
      </w:r>
      <w:r>
        <w:rPr>
          <w:color w:val="auto"/>
        </w:rPr>
        <w:noBreakHyphen/>
      </w:r>
      <w:r>
        <w:rPr>
          <w:color w:val="auto"/>
        </w:rPr>
        <w:fldChar w:fldCharType="begin"/>
      </w:r>
      <w:r>
        <w:rPr>
          <w:color w:val="auto"/>
        </w:rPr>
        <w:instrText xml:space="preserve"> SEQ </w:instrText>
      </w:r>
      <w:r>
        <w:rPr>
          <w:color w:val="auto"/>
        </w:rPr>
        <w:instrText>表</w:instrText>
      </w:r>
      <w:r>
        <w:rPr>
          <w:color w:val="auto"/>
        </w:rPr>
        <w:instrText xml:space="preserve"> \* ARABIC \s 2 </w:instrText>
      </w:r>
      <w:r>
        <w:rPr>
          <w:color w:val="auto"/>
        </w:rPr>
        <w:fldChar w:fldCharType="separate"/>
      </w:r>
      <w:r>
        <w:rPr>
          <w:noProof/>
          <w:color w:val="auto"/>
        </w:rPr>
        <w:t>27</w:t>
      </w:r>
      <w:r>
        <w:rPr>
          <w:color w:val="auto"/>
        </w:rPr>
        <w:fldChar w:fldCharType="end"/>
      </w:r>
      <w:bookmarkEnd w:id="240"/>
      <w:r w:rsidR="000B0AAF">
        <w:rPr>
          <w:rFonts w:hint="eastAsia"/>
          <w:color w:val="auto"/>
        </w:rPr>
        <w:t xml:space="preserve"> </w:t>
      </w:r>
      <w:r w:rsidRPr="000549B1">
        <w:rPr>
          <w:color w:val="auto"/>
        </w:rPr>
        <w:t>COD</w:t>
      </w:r>
      <w:r w:rsidRPr="000549B1">
        <w:rPr>
          <w:color w:val="auto"/>
        </w:rPr>
        <w:t>及氨氮衰减系数取值范围</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19"/>
        <w:gridCol w:w="3530"/>
        <w:gridCol w:w="2158"/>
      </w:tblGrid>
      <w:tr w:rsidR="00372953" w:rsidRPr="000549B1" w14:paraId="5AD49CAA" w14:textId="77777777" w:rsidTr="007E48A3">
        <w:trPr>
          <w:trHeight w:val="397"/>
          <w:jc w:val="center"/>
        </w:trPr>
        <w:tc>
          <w:tcPr>
            <w:tcW w:w="2619" w:type="dxa"/>
            <w:vAlign w:val="center"/>
          </w:tcPr>
          <w:p w14:paraId="1024E0D7" w14:textId="77777777" w:rsidR="00372953" w:rsidRPr="000549B1" w:rsidRDefault="00372953" w:rsidP="007E48A3">
            <w:pPr>
              <w:jc w:val="center"/>
              <w:rPr>
                <w:rFonts w:eastAsiaTheme="minorEastAsia"/>
                <w:b/>
                <w:kern w:val="0"/>
                <w:szCs w:val="21"/>
              </w:rPr>
            </w:pPr>
            <w:r w:rsidRPr="000549B1">
              <w:rPr>
                <w:rFonts w:eastAsiaTheme="minorEastAsia"/>
                <w:b/>
                <w:kern w:val="0"/>
                <w:szCs w:val="21"/>
              </w:rPr>
              <w:t>所属河流水系</w:t>
            </w:r>
          </w:p>
        </w:tc>
        <w:tc>
          <w:tcPr>
            <w:tcW w:w="3530" w:type="dxa"/>
            <w:vAlign w:val="center"/>
          </w:tcPr>
          <w:p w14:paraId="71D2401D" w14:textId="77777777" w:rsidR="00372953" w:rsidRPr="000549B1" w:rsidRDefault="00372953" w:rsidP="007E48A3">
            <w:pPr>
              <w:jc w:val="center"/>
              <w:rPr>
                <w:rFonts w:eastAsiaTheme="minorEastAsia"/>
                <w:b/>
                <w:kern w:val="0"/>
                <w:szCs w:val="21"/>
              </w:rPr>
            </w:pPr>
            <w:r w:rsidRPr="000549B1">
              <w:rPr>
                <w:rFonts w:eastAsiaTheme="minorEastAsia"/>
                <w:b/>
                <w:kern w:val="0"/>
                <w:szCs w:val="21"/>
              </w:rPr>
              <w:t>COD</w:t>
            </w:r>
            <w:r w:rsidRPr="000549B1">
              <w:rPr>
                <w:rFonts w:eastAsiaTheme="minorEastAsia"/>
                <w:b/>
                <w:kern w:val="0"/>
                <w:szCs w:val="21"/>
              </w:rPr>
              <w:t>（</w:t>
            </w:r>
            <w:r w:rsidRPr="000549B1">
              <w:rPr>
                <w:rFonts w:eastAsiaTheme="minorEastAsia"/>
                <w:b/>
                <w:kern w:val="0"/>
                <w:szCs w:val="21"/>
              </w:rPr>
              <w:t>COD</w:t>
            </w:r>
            <w:r w:rsidRPr="000549B1">
              <w:rPr>
                <w:rFonts w:eastAsiaTheme="minorEastAsia"/>
                <w:b/>
                <w:kern w:val="0"/>
                <w:szCs w:val="21"/>
              </w:rPr>
              <w:t>）的</w:t>
            </w:r>
            <w:r w:rsidRPr="000549B1">
              <w:rPr>
                <w:rFonts w:eastAsiaTheme="minorEastAsia"/>
                <w:b/>
                <w:kern w:val="0"/>
                <w:szCs w:val="21"/>
              </w:rPr>
              <w:t>K</w:t>
            </w:r>
            <w:r w:rsidRPr="000549B1">
              <w:rPr>
                <w:rFonts w:eastAsiaTheme="minorEastAsia"/>
                <w:b/>
                <w:kern w:val="0"/>
                <w:szCs w:val="21"/>
              </w:rPr>
              <w:t>值</w:t>
            </w:r>
          </w:p>
        </w:tc>
        <w:tc>
          <w:tcPr>
            <w:tcW w:w="2158" w:type="dxa"/>
            <w:vAlign w:val="center"/>
          </w:tcPr>
          <w:p w14:paraId="29F29897" w14:textId="77777777" w:rsidR="00372953" w:rsidRPr="000549B1" w:rsidRDefault="00372953" w:rsidP="007E48A3">
            <w:pPr>
              <w:jc w:val="center"/>
              <w:rPr>
                <w:rFonts w:eastAsiaTheme="minorEastAsia"/>
                <w:b/>
                <w:kern w:val="0"/>
                <w:szCs w:val="21"/>
              </w:rPr>
            </w:pPr>
            <w:r w:rsidRPr="000549B1">
              <w:rPr>
                <w:rFonts w:eastAsiaTheme="minorEastAsia"/>
                <w:b/>
                <w:kern w:val="0"/>
                <w:szCs w:val="21"/>
              </w:rPr>
              <w:t>氨氮（</w:t>
            </w:r>
            <w:r w:rsidRPr="000549B1">
              <w:rPr>
                <w:rFonts w:eastAsiaTheme="minorEastAsia"/>
                <w:b/>
                <w:kern w:val="0"/>
                <w:szCs w:val="21"/>
              </w:rPr>
              <w:t>NH</w:t>
            </w:r>
            <w:r w:rsidRPr="000549B1">
              <w:rPr>
                <w:rFonts w:eastAsiaTheme="minorEastAsia"/>
                <w:b/>
                <w:kern w:val="0"/>
                <w:szCs w:val="21"/>
                <w:vertAlign w:val="subscript"/>
              </w:rPr>
              <w:t>3</w:t>
            </w:r>
            <w:r w:rsidRPr="000549B1">
              <w:rPr>
                <w:rFonts w:eastAsiaTheme="minorEastAsia"/>
                <w:b/>
                <w:kern w:val="0"/>
                <w:szCs w:val="21"/>
              </w:rPr>
              <w:t>-N</w:t>
            </w:r>
            <w:r w:rsidRPr="000549B1">
              <w:rPr>
                <w:rFonts w:eastAsiaTheme="minorEastAsia"/>
                <w:b/>
                <w:kern w:val="0"/>
                <w:szCs w:val="21"/>
              </w:rPr>
              <w:t>）的</w:t>
            </w:r>
            <w:r w:rsidRPr="000549B1">
              <w:rPr>
                <w:rFonts w:eastAsiaTheme="minorEastAsia"/>
                <w:b/>
                <w:kern w:val="0"/>
                <w:szCs w:val="21"/>
              </w:rPr>
              <w:t>K</w:t>
            </w:r>
            <w:r w:rsidRPr="000549B1">
              <w:rPr>
                <w:rFonts w:eastAsiaTheme="minorEastAsia"/>
                <w:b/>
                <w:kern w:val="0"/>
                <w:szCs w:val="21"/>
              </w:rPr>
              <w:t>值</w:t>
            </w:r>
          </w:p>
        </w:tc>
      </w:tr>
      <w:tr w:rsidR="00372953" w:rsidRPr="000549B1" w14:paraId="1E687989" w14:textId="77777777" w:rsidTr="007E48A3">
        <w:trPr>
          <w:trHeight w:val="397"/>
          <w:jc w:val="center"/>
        </w:trPr>
        <w:tc>
          <w:tcPr>
            <w:tcW w:w="2619" w:type="dxa"/>
            <w:vAlign w:val="center"/>
          </w:tcPr>
          <w:p w14:paraId="298B0E5C" w14:textId="77777777" w:rsidR="00372953" w:rsidRPr="000549B1" w:rsidRDefault="00372953" w:rsidP="007E48A3">
            <w:pPr>
              <w:jc w:val="center"/>
              <w:rPr>
                <w:rFonts w:eastAsiaTheme="minorEastAsia"/>
                <w:kern w:val="0"/>
                <w:szCs w:val="21"/>
              </w:rPr>
            </w:pPr>
            <w:r w:rsidRPr="000549B1">
              <w:rPr>
                <w:rFonts w:eastAsiaTheme="minorEastAsia"/>
                <w:kern w:val="0"/>
                <w:szCs w:val="21"/>
              </w:rPr>
              <w:t>黄河干流及其他支流</w:t>
            </w:r>
          </w:p>
        </w:tc>
        <w:tc>
          <w:tcPr>
            <w:tcW w:w="3530" w:type="dxa"/>
            <w:vAlign w:val="center"/>
          </w:tcPr>
          <w:p w14:paraId="56B2A8C7" w14:textId="77777777" w:rsidR="00372953" w:rsidRPr="000549B1" w:rsidRDefault="00372953" w:rsidP="007E48A3">
            <w:pPr>
              <w:jc w:val="center"/>
              <w:rPr>
                <w:rFonts w:eastAsiaTheme="minorEastAsia"/>
                <w:kern w:val="0"/>
                <w:szCs w:val="21"/>
              </w:rPr>
            </w:pPr>
            <w:r w:rsidRPr="000549B1">
              <w:rPr>
                <w:rFonts w:eastAsiaTheme="minorEastAsia"/>
                <w:kern w:val="0"/>
                <w:szCs w:val="21"/>
              </w:rPr>
              <w:t>0.15</w:t>
            </w:r>
            <w:r w:rsidRPr="000549B1">
              <w:rPr>
                <w:rFonts w:eastAsiaTheme="minorEastAsia"/>
                <w:kern w:val="0"/>
                <w:szCs w:val="21"/>
              </w:rPr>
              <w:t>～</w:t>
            </w:r>
            <w:r w:rsidRPr="000549B1">
              <w:rPr>
                <w:rFonts w:eastAsiaTheme="minorEastAsia"/>
                <w:kern w:val="0"/>
                <w:szCs w:val="21"/>
              </w:rPr>
              <w:t>0.4/d</w:t>
            </w:r>
          </w:p>
        </w:tc>
        <w:tc>
          <w:tcPr>
            <w:tcW w:w="2158" w:type="dxa"/>
            <w:vAlign w:val="center"/>
          </w:tcPr>
          <w:p w14:paraId="1F01AD77" w14:textId="77777777" w:rsidR="00372953" w:rsidRPr="000549B1" w:rsidRDefault="00372953" w:rsidP="007E48A3">
            <w:pPr>
              <w:jc w:val="center"/>
              <w:rPr>
                <w:rFonts w:eastAsiaTheme="minorEastAsia"/>
                <w:kern w:val="0"/>
                <w:szCs w:val="21"/>
              </w:rPr>
            </w:pPr>
            <w:r w:rsidRPr="000549B1">
              <w:rPr>
                <w:rFonts w:eastAsiaTheme="minorEastAsia"/>
                <w:kern w:val="0"/>
                <w:szCs w:val="21"/>
              </w:rPr>
              <w:t>0.1</w:t>
            </w:r>
            <w:r w:rsidRPr="000549B1">
              <w:rPr>
                <w:rFonts w:eastAsiaTheme="minorEastAsia"/>
                <w:kern w:val="0"/>
                <w:szCs w:val="21"/>
              </w:rPr>
              <w:t>～</w:t>
            </w:r>
            <w:r w:rsidRPr="000549B1">
              <w:rPr>
                <w:rFonts w:eastAsiaTheme="minorEastAsia"/>
                <w:kern w:val="0"/>
                <w:szCs w:val="21"/>
              </w:rPr>
              <w:t>0.35/d</w:t>
            </w:r>
          </w:p>
        </w:tc>
      </w:tr>
      <w:tr w:rsidR="00372953" w:rsidRPr="000549B1" w14:paraId="37C76DCF" w14:textId="77777777" w:rsidTr="007E48A3">
        <w:trPr>
          <w:trHeight w:val="397"/>
          <w:jc w:val="center"/>
        </w:trPr>
        <w:tc>
          <w:tcPr>
            <w:tcW w:w="2619" w:type="dxa"/>
            <w:vAlign w:val="center"/>
          </w:tcPr>
          <w:p w14:paraId="290B454D" w14:textId="77777777" w:rsidR="00372953" w:rsidRPr="000549B1" w:rsidRDefault="00372953" w:rsidP="007E48A3">
            <w:pPr>
              <w:jc w:val="center"/>
              <w:rPr>
                <w:rFonts w:eastAsiaTheme="minorEastAsia"/>
                <w:kern w:val="0"/>
                <w:szCs w:val="21"/>
              </w:rPr>
            </w:pPr>
            <w:r w:rsidRPr="000549B1">
              <w:rPr>
                <w:rFonts w:eastAsiaTheme="minorEastAsia"/>
                <w:kern w:val="0"/>
                <w:szCs w:val="21"/>
              </w:rPr>
              <w:t>青海湖水系</w:t>
            </w:r>
          </w:p>
        </w:tc>
        <w:tc>
          <w:tcPr>
            <w:tcW w:w="3530" w:type="dxa"/>
            <w:vAlign w:val="center"/>
          </w:tcPr>
          <w:p w14:paraId="306E6E38" w14:textId="77777777" w:rsidR="00372953" w:rsidRPr="000549B1" w:rsidRDefault="00372953" w:rsidP="007E48A3">
            <w:pPr>
              <w:jc w:val="center"/>
              <w:rPr>
                <w:rFonts w:eastAsiaTheme="minorEastAsia"/>
                <w:kern w:val="0"/>
                <w:szCs w:val="21"/>
              </w:rPr>
            </w:pPr>
            <w:r w:rsidRPr="000549B1">
              <w:rPr>
                <w:rFonts w:eastAsiaTheme="minorEastAsia"/>
                <w:kern w:val="0"/>
                <w:szCs w:val="21"/>
              </w:rPr>
              <w:t>0.15</w:t>
            </w:r>
            <w:r w:rsidRPr="000549B1">
              <w:rPr>
                <w:rFonts w:eastAsiaTheme="minorEastAsia"/>
                <w:kern w:val="0"/>
                <w:szCs w:val="21"/>
              </w:rPr>
              <w:t>～</w:t>
            </w:r>
            <w:r w:rsidRPr="000549B1">
              <w:rPr>
                <w:rFonts w:eastAsiaTheme="minorEastAsia"/>
                <w:kern w:val="0"/>
                <w:szCs w:val="21"/>
              </w:rPr>
              <w:t>0.4/d</w:t>
            </w:r>
          </w:p>
        </w:tc>
        <w:tc>
          <w:tcPr>
            <w:tcW w:w="2158" w:type="dxa"/>
            <w:vAlign w:val="center"/>
          </w:tcPr>
          <w:p w14:paraId="17872C9E" w14:textId="77777777" w:rsidR="00372953" w:rsidRPr="000549B1" w:rsidRDefault="00372953" w:rsidP="007E48A3">
            <w:pPr>
              <w:jc w:val="center"/>
              <w:rPr>
                <w:rFonts w:eastAsiaTheme="minorEastAsia"/>
                <w:kern w:val="0"/>
                <w:szCs w:val="21"/>
              </w:rPr>
            </w:pPr>
            <w:r w:rsidRPr="000549B1">
              <w:rPr>
                <w:rFonts w:eastAsiaTheme="minorEastAsia"/>
                <w:kern w:val="0"/>
                <w:szCs w:val="21"/>
              </w:rPr>
              <w:t>0.1</w:t>
            </w:r>
            <w:r w:rsidRPr="000549B1">
              <w:rPr>
                <w:rFonts w:eastAsiaTheme="minorEastAsia"/>
                <w:kern w:val="0"/>
                <w:szCs w:val="21"/>
              </w:rPr>
              <w:t>～</w:t>
            </w:r>
            <w:r w:rsidRPr="000549B1">
              <w:rPr>
                <w:rFonts w:eastAsiaTheme="minorEastAsia"/>
                <w:kern w:val="0"/>
                <w:szCs w:val="21"/>
              </w:rPr>
              <w:t>0.35/d</w:t>
            </w:r>
          </w:p>
        </w:tc>
      </w:tr>
    </w:tbl>
    <w:p w14:paraId="78CC71D1" w14:textId="77777777" w:rsidR="00372953" w:rsidRPr="000549B1" w:rsidRDefault="00372953" w:rsidP="00372953">
      <w:pPr>
        <w:pStyle w:val="17"/>
        <w:ind w:firstLine="482"/>
        <w:rPr>
          <w:b/>
          <w:bCs/>
        </w:rPr>
      </w:pPr>
      <w:r w:rsidRPr="000549B1">
        <w:rPr>
          <w:b/>
          <w:bCs/>
        </w:rPr>
        <w:t>（</w:t>
      </w:r>
      <w:r w:rsidRPr="000549B1">
        <w:rPr>
          <w:b/>
          <w:bCs/>
        </w:rPr>
        <w:t>3</w:t>
      </w:r>
      <w:r w:rsidRPr="000549B1">
        <w:rPr>
          <w:b/>
          <w:bCs/>
        </w:rPr>
        <w:t>）背景浓度和控制断面浓度</w:t>
      </w:r>
    </w:p>
    <w:p w14:paraId="5637540A" w14:textId="77777777" w:rsidR="00372953" w:rsidRPr="000549B1" w:rsidRDefault="00372953" w:rsidP="00372953">
      <w:pPr>
        <w:adjustRightInd w:val="0"/>
        <w:spacing w:line="360" w:lineRule="auto"/>
        <w:ind w:firstLineChars="200" w:firstLine="480"/>
        <w:rPr>
          <w:rFonts w:eastAsiaTheme="minorEastAsia"/>
          <w:sz w:val="24"/>
          <w:szCs w:val="24"/>
        </w:rPr>
      </w:pPr>
      <w:r w:rsidRPr="000549B1">
        <w:rPr>
          <w:rFonts w:eastAsiaTheme="minorEastAsia"/>
          <w:sz w:val="24"/>
          <w:szCs w:val="24"/>
        </w:rPr>
        <w:t>初始断面背景浓度</w:t>
      </w:r>
      <w:r w:rsidRPr="000549B1">
        <w:rPr>
          <w:rFonts w:eastAsiaTheme="minorEastAsia"/>
          <w:sz w:val="24"/>
          <w:szCs w:val="24"/>
        </w:rPr>
        <w:t>C</w:t>
      </w:r>
      <w:r w:rsidRPr="000549B1">
        <w:rPr>
          <w:rFonts w:eastAsiaTheme="minorEastAsia"/>
          <w:sz w:val="24"/>
          <w:szCs w:val="24"/>
          <w:vertAlign w:val="subscript"/>
        </w:rPr>
        <w:t>0</w:t>
      </w:r>
      <w:r w:rsidRPr="000549B1">
        <w:rPr>
          <w:rFonts w:eastAsiaTheme="minorEastAsia"/>
          <w:sz w:val="24"/>
          <w:szCs w:val="24"/>
        </w:rPr>
        <w:t>原则上采用上一个计算单元的水质控制目标。</w:t>
      </w:r>
    </w:p>
    <w:p w14:paraId="239FD9E1" w14:textId="77777777" w:rsidR="00372953" w:rsidRPr="000549B1" w:rsidRDefault="00372953" w:rsidP="00372953">
      <w:pPr>
        <w:spacing w:line="360" w:lineRule="auto"/>
        <w:ind w:firstLineChars="200" w:firstLine="480"/>
        <w:rPr>
          <w:rFonts w:eastAsiaTheme="minorEastAsia"/>
          <w:sz w:val="24"/>
          <w:szCs w:val="24"/>
        </w:rPr>
      </w:pPr>
      <w:r w:rsidRPr="000549B1">
        <w:rPr>
          <w:rFonts w:eastAsiaTheme="minorEastAsia"/>
          <w:sz w:val="24"/>
          <w:szCs w:val="24"/>
        </w:rPr>
        <w:t>计算单元的控制断面浓度</w:t>
      </w:r>
      <w:r w:rsidRPr="000549B1">
        <w:rPr>
          <w:rFonts w:eastAsiaTheme="minorEastAsia"/>
          <w:sz w:val="24"/>
          <w:szCs w:val="24"/>
        </w:rPr>
        <w:t>C</w:t>
      </w:r>
      <w:r w:rsidRPr="000549B1">
        <w:rPr>
          <w:rFonts w:eastAsiaTheme="minorEastAsia"/>
          <w:sz w:val="24"/>
          <w:szCs w:val="24"/>
          <w:vertAlign w:val="subscript"/>
        </w:rPr>
        <w:t>s</w:t>
      </w:r>
      <w:r w:rsidRPr="000549B1">
        <w:rPr>
          <w:rFonts w:eastAsiaTheme="minorEastAsia"/>
          <w:sz w:val="24"/>
          <w:szCs w:val="24"/>
        </w:rPr>
        <w:t>原则上采用该单元所处的功能区水质目标确定。考虑到上下游水资源开发程度不同，结合实际情况，可在水质控制目标范围内作适当调整。</w:t>
      </w:r>
    </w:p>
    <w:p w14:paraId="467642D6" w14:textId="77777777" w:rsidR="00372953" w:rsidRPr="000549B1" w:rsidRDefault="00372953" w:rsidP="00372953">
      <w:pPr>
        <w:spacing w:line="360" w:lineRule="auto"/>
        <w:ind w:firstLineChars="200" w:firstLine="480"/>
        <w:rPr>
          <w:rFonts w:eastAsiaTheme="minorEastAsia"/>
          <w:sz w:val="24"/>
          <w:szCs w:val="24"/>
        </w:rPr>
      </w:pPr>
      <w:r w:rsidRPr="000549B1">
        <w:rPr>
          <w:rFonts w:eastAsiaTheme="minorEastAsia"/>
          <w:sz w:val="24"/>
          <w:szCs w:val="24"/>
        </w:rPr>
        <w:t>《水域纳污能力计算规程》（</w:t>
      </w:r>
      <w:r w:rsidRPr="000549B1">
        <w:rPr>
          <w:rFonts w:eastAsiaTheme="minorEastAsia"/>
          <w:sz w:val="24"/>
          <w:szCs w:val="24"/>
        </w:rPr>
        <w:t>SL348―2006</w:t>
      </w:r>
      <w:r w:rsidRPr="000549B1">
        <w:rPr>
          <w:rFonts w:eastAsiaTheme="minorEastAsia"/>
          <w:sz w:val="24"/>
          <w:szCs w:val="24"/>
        </w:rPr>
        <w:t>）规定，污染物在河段横断面上均匀混合、流量</w:t>
      </w:r>
      <w:r w:rsidRPr="000549B1">
        <w:rPr>
          <w:rFonts w:eastAsiaTheme="minorEastAsia"/>
          <w:sz w:val="24"/>
          <w:szCs w:val="24"/>
        </w:rPr>
        <w:t>Q&lt;150m</w:t>
      </w:r>
      <w:r w:rsidRPr="000549B1">
        <w:rPr>
          <w:rFonts w:eastAsiaTheme="minorEastAsia"/>
          <w:sz w:val="24"/>
          <w:szCs w:val="24"/>
          <w:vertAlign w:val="superscript"/>
        </w:rPr>
        <w:t>3</w:t>
      </w:r>
      <w:r w:rsidRPr="000549B1">
        <w:rPr>
          <w:rFonts w:eastAsiaTheme="minorEastAsia"/>
          <w:sz w:val="24"/>
          <w:szCs w:val="24"/>
        </w:rPr>
        <w:t>/s</w:t>
      </w:r>
      <w:r w:rsidRPr="000549B1">
        <w:rPr>
          <w:rFonts w:eastAsiaTheme="minorEastAsia"/>
          <w:sz w:val="24"/>
          <w:szCs w:val="24"/>
        </w:rPr>
        <w:t>的中小河段，可采用一维水质模型进行水域纳污能力的计算，本次采用一维水质模型进行计算。</w:t>
      </w:r>
    </w:p>
    <w:p w14:paraId="41EEEB20" w14:textId="77777777" w:rsidR="00372953" w:rsidRPr="000549B1" w:rsidRDefault="00372953" w:rsidP="00372953">
      <w:pPr>
        <w:adjustRightInd w:val="0"/>
        <w:spacing w:line="360" w:lineRule="auto"/>
        <w:ind w:firstLineChars="200" w:firstLine="480"/>
        <w:rPr>
          <w:rFonts w:eastAsiaTheme="minorEastAsia"/>
          <w:sz w:val="24"/>
          <w:szCs w:val="24"/>
        </w:rPr>
      </w:pPr>
      <w:r w:rsidRPr="000549B1">
        <w:rPr>
          <w:rFonts w:eastAsiaTheme="minorEastAsia"/>
          <w:sz w:val="24"/>
          <w:szCs w:val="24"/>
        </w:rPr>
        <w:t>污染物浓度计算：</w:t>
      </w:r>
    </w:p>
    <w:p w14:paraId="05BF0D3C" w14:textId="77777777" w:rsidR="00372953" w:rsidRPr="000549B1" w:rsidRDefault="00372953" w:rsidP="00372953">
      <w:pPr>
        <w:adjustRightInd w:val="0"/>
        <w:spacing w:line="360" w:lineRule="auto"/>
        <w:jc w:val="center"/>
        <w:rPr>
          <w:rFonts w:eastAsiaTheme="minorEastAsia"/>
          <w:sz w:val="24"/>
          <w:szCs w:val="24"/>
        </w:rPr>
      </w:pPr>
      <w:r w:rsidRPr="000549B1">
        <w:rPr>
          <w:rFonts w:eastAsiaTheme="minorEastAsia"/>
          <w:noProof/>
          <w:sz w:val="24"/>
          <w:szCs w:val="24"/>
        </w:rPr>
        <w:drawing>
          <wp:inline distT="0" distB="0" distL="114300" distR="114300" wp14:anchorId="6A6A4251" wp14:editId="097F067B">
            <wp:extent cx="3857625" cy="190500"/>
            <wp:effectExtent l="0" t="0" r="0" b="0"/>
            <wp:docPr id="97" name="E657119C-6982-421D-8BA7-E74DEB70A7DA-31" descr="latexm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E657119C-6982-421D-8BA7-E74DEB70A7DA-31" descr="latexmath"/>
                    <pic:cNvPicPr>
                      <a:picLocks noChangeAspect="1"/>
                    </pic:cNvPicPr>
                  </pic:nvPicPr>
                  <pic:blipFill>
                    <a:blip r:embed="rId76">
                      <a:extLst>
                        <a:ext uri="{96DAC541-7B7A-43D3-8B79-37D633B846F1}">
                          <asvg:svgBlip xmlns:asvg="http://schemas.microsoft.com/office/drawing/2016/SVG/main" r:embed="rId77"/>
                        </a:ext>
                      </a:extLst>
                    </a:blip>
                    <a:stretch>
                      <a:fillRect/>
                    </a:stretch>
                  </pic:blipFill>
                  <pic:spPr>
                    <a:xfrm>
                      <a:off x="0" y="0"/>
                      <a:ext cx="3857625" cy="190500"/>
                    </a:xfrm>
                    <a:prstGeom prst="rect">
                      <a:avLst/>
                    </a:prstGeom>
                  </pic:spPr>
                </pic:pic>
              </a:graphicData>
            </a:graphic>
          </wp:inline>
        </w:drawing>
      </w:r>
    </w:p>
    <w:p w14:paraId="0D6B6BC6" w14:textId="77777777" w:rsidR="00372953" w:rsidRPr="000549B1" w:rsidRDefault="00372953" w:rsidP="00372953">
      <w:pPr>
        <w:adjustRightInd w:val="0"/>
        <w:spacing w:line="360" w:lineRule="auto"/>
        <w:ind w:firstLineChars="200" w:firstLine="480"/>
        <w:rPr>
          <w:rFonts w:eastAsiaTheme="minorEastAsia"/>
          <w:sz w:val="24"/>
          <w:szCs w:val="24"/>
        </w:rPr>
      </w:pPr>
      <w:r w:rsidRPr="000549B1">
        <w:rPr>
          <w:rFonts w:eastAsiaTheme="minorEastAsia"/>
          <w:sz w:val="24"/>
          <w:szCs w:val="24"/>
        </w:rPr>
        <w:t>相应的水域纳污能力计算：</w:t>
      </w:r>
    </w:p>
    <w:p w14:paraId="6D124E83" w14:textId="77777777" w:rsidR="00372953" w:rsidRPr="000549B1" w:rsidRDefault="00372953" w:rsidP="00372953">
      <w:pPr>
        <w:adjustRightInd w:val="0"/>
        <w:spacing w:line="360" w:lineRule="auto"/>
        <w:jc w:val="center"/>
        <w:rPr>
          <w:rFonts w:eastAsiaTheme="minorEastAsia"/>
          <w:sz w:val="24"/>
          <w:szCs w:val="24"/>
        </w:rPr>
      </w:pPr>
      <w:r w:rsidRPr="000549B1">
        <w:rPr>
          <w:rFonts w:eastAsiaTheme="minorEastAsia"/>
          <w:noProof/>
          <w:sz w:val="24"/>
          <w:szCs w:val="24"/>
        </w:rPr>
        <w:drawing>
          <wp:inline distT="0" distB="0" distL="114300" distR="114300" wp14:anchorId="6928431F" wp14:editId="48A3DD12">
            <wp:extent cx="1895475" cy="190500"/>
            <wp:effectExtent l="0" t="0" r="0" b="0"/>
            <wp:docPr id="98" name="E657119C-6982-421D-8BA7-E74DEB70A7DA-32" descr="latexm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E657119C-6982-421D-8BA7-E74DEB70A7DA-32" descr="latexmath"/>
                    <pic:cNvPicPr>
                      <a:picLocks noChangeAspect="1"/>
                    </pic:cNvPicPr>
                  </pic:nvPicPr>
                  <pic:blipFill>
                    <a:blip r:embed="rId78">
                      <a:extLst>
                        <a:ext uri="{96DAC541-7B7A-43D3-8B79-37D633B846F1}">
                          <asvg:svgBlip xmlns:asvg="http://schemas.microsoft.com/office/drawing/2016/SVG/main" r:embed="rId79"/>
                        </a:ext>
                      </a:extLst>
                    </a:blip>
                    <a:stretch>
                      <a:fillRect/>
                    </a:stretch>
                  </pic:blipFill>
                  <pic:spPr>
                    <a:xfrm>
                      <a:off x="0" y="0"/>
                      <a:ext cx="1895475" cy="190500"/>
                    </a:xfrm>
                    <a:prstGeom prst="rect">
                      <a:avLst/>
                    </a:prstGeom>
                  </pic:spPr>
                </pic:pic>
              </a:graphicData>
            </a:graphic>
          </wp:inline>
        </w:drawing>
      </w:r>
    </w:p>
    <w:p w14:paraId="725AF1A5" w14:textId="77777777" w:rsidR="00372953" w:rsidRPr="000549B1" w:rsidRDefault="00372953" w:rsidP="00372953">
      <w:pPr>
        <w:adjustRightInd w:val="0"/>
        <w:spacing w:line="360" w:lineRule="auto"/>
        <w:rPr>
          <w:rFonts w:eastAsiaTheme="minorEastAsia"/>
          <w:sz w:val="24"/>
          <w:szCs w:val="24"/>
        </w:rPr>
      </w:pPr>
      <w:r w:rsidRPr="000549B1">
        <w:rPr>
          <w:rFonts w:eastAsiaTheme="minorEastAsia"/>
          <w:sz w:val="24"/>
          <w:szCs w:val="24"/>
        </w:rPr>
        <w:t>式中：</w:t>
      </w:r>
    </w:p>
    <w:p w14:paraId="25F54319" w14:textId="77777777" w:rsidR="00372953" w:rsidRPr="000549B1" w:rsidRDefault="00372953" w:rsidP="00372953">
      <w:pPr>
        <w:adjustRightInd w:val="0"/>
        <w:spacing w:line="360" w:lineRule="auto"/>
        <w:ind w:firstLineChars="200" w:firstLine="480"/>
        <w:rPr>
          <w:rFonts w:eastAsiaTheme="minorEastAsia"/>
          <w:sz w:val="24"/>
          <w:szCs w:val="24"/>
        </w:rPr>
      </w:pPr>
      <w:r w:rsidRPr="000549B1">
        <w:rPr>
          <w:rFonts w:eastAsiaTheme="minorEastAsia"/>
          <w:noProof/>
          <w:sz w:val="24"/>
          <w:szCs w:val="24"/>
        </w:rPr>
        <w:drawing>
          <wp:inline distT="0" distB="0" distL="114300" distR="114300" wp14:anchorId="5164C917" wp14:editId="2283511F">
            <wp:extent cx="161925" cy="133350"/>
            <wp:effectExtent l="0" t="0" r="9525" b="0"/>
            <wp:docPr id="1" name="E657119C-6982-421D-8BA7-E74DEB70A7DA-33" descr="latexm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657119C-6982-421D-8BA7-E74DEB70A7DA-33" descr="latexmath"/>
                    <pic:cNvPicPr>
                      <a:picLocks noChangeAspect="1"/>
                    </pic:cNvPicPr>
                  </pic:nvPicPr>
                  <pic:blipFill>
                    <a:blip r:embed="rId80">
                      <a:extLst>
                        <a:ext uri="{96DAC541-7B7A-43D3-8B79-37D633B846F1}">
                          <asvg:svgBlip xmlns:asvg="http://schemas.microsoft.com/office/drawing/2016/SVG/main" r:embed="rId81"/>
                        </a:ext>
                      </a:extLst>
                    </a:blip>
                    <a:stretch>
                      <a:fillRect/>
                    </a:stretch>
                  </pic:blipFill>
                  <pic:spPr>
                    <a:xfrm>
                      <a:off x="0" y="0"/>
                      <a:ext cx="161925" cy="133350"/>
                    </a:xfrm>
                    <a:prstGeom prst="rect">
                      <a:avLst/>
                    </a:prstGeom>
                  </pic:spPr>
                </pic:pic>
              </a:graphicData>
            </a:graphic>
          </wp:inline>
        </w:drawing>
      </w:r>
      <w:r w:rsidRPr="000549B1">
        <w:rPr>
          <w:rFonts w:eastAsiaTheme="minorEastAsia"/>
          <w:sz w:val="24"/>
          <w:szCs w:val="24"/>
        </w:rPr>
        <w:t>——</w:t>
      </w:r>
      <w:r w:rsidRPr="000549B1">
        <w:rPr>
          <w:rFonts w:eastAsiaTheme="minorEastAsia"/>
          <w:sz w:val="24"/>
          <w:szCs w:val="24"/>
        </w:rPr>
        <w:t>计算单元的纳污能力，</w:t>
      </w:r>
      <w:r w:rsidRPr="000549B1">
        <w:rPr>
          <w:rFonts w:eastAsiaTheme="minorEastAsia"/>
          <w:sz w:val="24"/>
          <w:szCs w:val="24"/>
        </w:rPr>
        <w:t>g/s</w:t>
      </w:r>
      <w:r w:rsidRPr="000549B1">
        <w:rPr>
          <w:rFonts w:eastAsiaTheme="minorEastAsia"/>
          <w:sz w:val="24"/>
          <w:szCs w:val="24"/>
        </w:rPr>
        <w:t>；</w:t>
      </w:r>
    </w:p>
    <w:p w14:paraId="4D1BEF2C" w14:textId="77777777" w:rsidR="00372953" w:rsidRPr="000549B1" w:rsidRDefault="00372953" w:rsidP="00372953">
      <w:pPr>
        <w:adjustRightInd w:val="0"/>
        <w:spacing w:line="360" w:lineRule="auto"/>
        <w:ind w:firstLineChars="200" w:firstLine="480"/>
        <w:rPr>
          <w:rFonts w:eastAsiaTheme="minorEastAsia"/>
          <w:sz w:val="24"/>
          <w:szCs w:val="24"/>
        </w:rPr>
      </w:pPr>
      <w:r w:rsidRPr="000549B1">
        <w:rPr>
          <w:rFonts w:eastAsiaTheme="minorEastAsia"/>
          <w:noProof/>
          <w:sz w:val="24"/>
          <w:szCs w:val="24"/>
        </w:rPr>
        <w:drawing>
          <wp:inline distT="0" distB="0" distL="114300" distR="114300" wp14:anchorId="22CBDCF8" wp14:editId="01E8CD3F">
            <wp:extent cx="133350" cy="171450"/>
            <wp:effectExtent l="0" t="0" r="0" b="0"/>
            <wp:docPr id="88" name="E657119C-6982-421D-8BA7-E74DEB70A7DA-34" descr="latexm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E657119C-6982-421D-8BA7-E74DEB70A7DA-34" descr="latexmath"/>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0" y="0"/>
                      <a:ext cx="133350" cy="171450"/>
                    </a:xfrm>
                    <a:prstGeom prst="rect">
                      <a:avLst/>
                    </a:prstGeom>
                  </pic:spPr>
                </pic:pic>
              </a:graphicData>
            </a:graphic>
          </wp:inline>
        </w:drawing>
      </w:r>
      <w:r w:rsidRPr="000549B1">
        <w:rPr>
          <w:rFonts w:eastAsiaTheme="minorEastAsia"/>
          <w:sz w:val="24"/>
          <w:szCs w:val="24"/>
        </w:rPr>
        <w:t>——</w:t>
      </w:r>
      <w:r w:rsidRPr="000549B1">
        <w:rPr>
          <w:rFonts w:eastAsiaTheme="minorEastAsia"/>
          <w:sz w:val="24"/>
          <w:szCs w:val="24"/>
        </w:rPr>
        <w:t>河段设计流量，</w:t>
      </w:r>
      <w:r w:rsidRPr="000549B1">
        <w:rPr>
          <w:rFonts w:eastAsiaTheme="minorEastAsia"/>
          <w:sz w:val="24"/>
          <w:szCs w:val="24"/>
        </w:rPr>
        <w:t>m</w:t>
      </w:r>
      <w:r w:rsidRPr="000549B1">
        <w:rPr>
          <w:rFonts w:eastAsiaTheme="minorEastAsia"/>
          <w:sz w:val="24"/>
          <w:szCs w:val="24"/>
          <w:vertAlign w:val="superscript"/>
        </w:rPr>
        <w:t>3</w:t>
      </w:r>
      <w:r w:rsidRPr="000549B1">
        <w:rPr>
          <w:rFonts w:eastAsiaTheme="minorEastAsia"/>
          <w:sz w:val="24"/>
          <w:szCs w:val="24"/>
        </w:rPr>
        <w:t>/s</w:t>
      </w:r>
      <w:r w:rsidRPr="000549B1">
        <w:rPr>
          <w:rFonts w:eastAsiaTheme="minorEastAsia"/>
          <w:sz w:val="24"/>
          <w:szCs w:val="24"/>
        </w:rPr>
        <w:t>；</w:t>
      </w:r>
    </w:p>
    <w:p w14:paraId="43B343B3" w14:textId="77777777" w:rsidR="00372953" w:rsidRPr="000549B1" w:rsidRDefault="00372953" w:rsidP="00372953">
      <w:pPr>
        <w:adjustRightInd w:val="0"/>
        <w:spacing w:line="360" w:lineRule="auto"/>
        <w:ind w:firstLineChars="200" w:firstLine="480"/>
        <w:rPr>
          <w:rFonts w:eastAsiaTheme="minorEastAsia"/>
          <w:sz w:val="24"/>
          <w:szCs w:val="24"/>
        </w:rPr>
      </w:pPr>
      <w:r w:rsidRPr="000549B1">
        <w:rPr>
          <w:rFonts w:eastAsiaTheme="minorEastAsia"/>
          <w:noProof/>
          <w:sz w:val="24"/>
          <w:szCs w:val="24"/>
        </w:rPr>
        <w:drawing>
          <wp:inline distT="0" distB="0" distL="114300" distR="114300" wp14:anchorId="5B16915F" wp14:editId="0BD3DF28">
            <wp:extent cx="209550" cy="171450"/>
            <wp:effectExtent l="0" t="0" r="0" b="0"/>
            <wp:docPr id="89" name="E657119C-6982-421D-8BA7-E74DEB70A7DA-35" descr="latexm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E657119C-6982-421D-8BA7-E74DEB70A7DA-35" descr="latexmath"/>
                    <pic:cNvPicPr>
                      <a:picLocks noChangeAspect="1"/>
                    </pic:cNvPicPr>
                  </pic:nvPicPr>
                  <pic:blipFill>
                    <a:blip r:embed="rId82">
                      <a:extLst>
                        <a:ext uri="{96DAC541-7B7A-43D3-8B79-37D633B846F1}">
                          <asvg:svgBlip xmlns:asvg="http://schemas.microsoft.com/office/drawing/2016/SVG/main" r:embed="rId83"/>
                        </a:ext>
                      </a:extLst>
                    </a:blip>
                    <a:stretch>
                      <a:fillRect/>
                    </a:stretch>
                  </pic:blipFill>
                  <pic:spPr>
                    <a:xfrm>
                      <a:off x="0" y="0"/>
                      <a:ext cx="209550" cy="171450"/>
                    </a:xfrm>
                    <a:prstGeom prst="rect">
                      <a:avLst/>
                    </a:prstGeom>
                  </pic:spPr>
                </pic:pic>
              </a:graphicData>
            </a:graphic>
          </wp:inline>
        </w:drawing>
      </w:r>
      <w:r w:rsidRPr="000549B1">
        <w:rPr>
          <w:rFonts w:eastAsiaTheme="minorEastAsia"/>
          <w:sz w:val="24"/>
          <w:szCs w:val="24"/>
        </w:rPr>
        <w:t>——</w:t>
      </w:r>
      <w:r w:rsidRPr="000549B1">
        <w:rPr>
          <w:rFonts w:eastAsiaTheme="minorEastAsia"/>
          <w:sz w:val="24"/>
          <w:szCs w:val="24"/>
        </w:rPr>
        <w:t>废污排放水流量，</w:t>
      </w:r>
      <w:r w:rsidRPr="000549B1">
        <w:rPr>
          <w:rFonts w:eastAsiaTheme="minorEastAsia"/>
          <w:sz w:val="24"/>
          <w:szCs w:val="24"/>
        </w:rPr>
        <w:t>m</w:t>
      </w:r>
      <w:r w:rsidRPr="000549B1">
        <w:rPr>
          <w:rFonts w:eastAsiaTheme="minorEastAsia"/>
          <w:sz w:val="24"/>
          <w:szCs w:val="24"/>
          <w:vertAlign w:val="superscript"/>
        </w:rPr>
        <w:t>3</w:t>
      </w:r>
      <w:r w:rsidRPr="000549B1">
        <w:rPr>
          <w:rFonts w:eastAsiaTheme="minorEastAsia"/>
          <w:sz w:val="24"/>
          <w:szCs w:val="24"/>
        </w:rPr>
        <w:t>/s</w:t>
      </w:r>
      <w:r w:rsidRPr="000549B1">
        <w:rPr>
          <w:rFonts w:eastAsiaTheme="minorEastAsia"/>
          <w:sz w:val="24"/>
          <w:szCs w:val="24"/>
        </w:rPr>
        <w:t>；</w:t>
      </w:r>
    </w:p>
    <w:p w14:paraId="4F390643" w14:textId="77777777" w:rsidR="00372953" w:rsidRPr="000549B1" w:rsidRDefault="00372953" w:rsidP="00372953">
      <w:pPr>
        <w:adjustRightInd w:val="0"/>
        <w:spacing w:line="360" w:lineRule="auto"/>
        <w:ind w:firstLineChars="200" w:firstLine="480"/>
        <w:rPr>
          <w:rFonts w:eastAsiaTheme="minorEastAsia"/>
          <w:sz w:val="24"/>
          <w:szCs w:val="24"/>
        </w:rPr>
      </w:pPr>
      <w:r w:rsidRPr="000549B1">
        <w:rPr>
          <w:rFonts w:eastAsiaTheme="minorEastAsia"/>
          <w:noProof/>
          <w:sz w:val="24"/>
          <w:szCs w:val="24"/>
        </w:rPr>
        <w:drawing>
          <wp:inline distT="0" distB="0" distL="114300" distR="114300" wp14:anchorId="5A24AC64" wp14:editId="4BF64E45">
            <wp:extent cx="180975" cy="161925"/>
            <wp:effectExtent l="0" t="0" r="9525" b="9525"/>
            <wp:docPr id="90" name="E657119C-6982-421D-8BA7-E74DEB70A7DA-36" descr="latexm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E657119C-6982-421D-8BA7-E74DEB70A7DA-36" descr="latexmath"/>
                    <pic:cNvPicPr>
                      <a:picLocks noChangeAspect="1"/>
                    </pic:cNvPicPr>
                  </pic:nvPicPr>
                  <pic:blipFill>
                    <a:blip r:embed="rId84">
                      <a:extLst>
                        <a:ext uri="{96DAC541-7B7A-43D3-8B79-37D633B846F1}">
                          <asvg:svgBlip xmlns:asvg="http://schemas.microsoft.com/office/drawing/2016/SVG/main" r:embed="rId85"/>
                        </a:ext>
                      </a:extLst>
                    </a:blip>
                    <a:stretch>
                      <a:fillRect/>
                    </a:stretch>
                  </pic:blipFill>
                  <pic:spPr>
                    <a:xfrm>
                      <a:off x="0" y="0"/>
                      <a:ext cx="180975" cy="161925"/>
                    </a:xfrm>
                    <a:prstGeom prst="rect">
                      <a:avLst/>
                    </a:prstGeom>
                  </pic:spPr>
                </pic:pic>
              </a:graphicData>
            </a:graphic>
          </wp:inline>
        </w:drawing>
      </w:r>
      <w:r w:rsidRPr="000549B1">
        <w:rPr>
          <w:rFonts w:eastAsiaTheme="minorEastAsia"/>
          <w:sz w:val="24"/>
          <w:szCs w:val="24"/>
        </w:rPr>
        <w:t>——</w:t>
      </w:r>
      <w:r w:rsidRPr="000549B1">
        <w:rPr>
          <w:rFonts w:eastAsiaTheme="minorEastAsia"/>
          <w:sz w:val="24"/>
          <w:szCs w:val="24"/>
        </w:rPr>
        <w:t>计算单元水质目标值，</w:t>
      </w:r>
      <w:r w:rsidRPr="000549B1">
        <w:rPr>
          <w:rFonts w:eastAsiaTheme="minorEastAsia"/>
          <w:sz w:val="24"/>
          <w:szCs w:val="24"/>
        </w:rPr>
        <w:t>mg/L</w:t>
      </w:r>
      <w:r w:rsidRPr="000549B1">
        <w:rPr>
          <w:rFonts w:eastAsiaTheme="minorEastAsia"/>
          <w:sz w:val="24"/>
          <w:szCs w:val="24"/>
        </w:rPr>
        <w:t>；</w:t>
      </w:r>
    </w:p>
    <w:p w14:paraId="59B2292E" w14:textId="77777777" w:rsidR="00372953" w:rsidRPr="000549B1" w:rsidRDefault="00372953" w:rsidP="00372953">
      <w:pPr>
        <w:adjustRightInd w:val="0"/>
        <w:spacing w:line="360" w:lineRule="auto"/>
        <w:ind w:firstLineChars="200" w:firstLine="480"/>
        <w:rPr>
          <w:rFonts w:eastAsiaTheme="minorEastAsia"/>
          <w:sz w:val="24"/>
          <w:szCs w:val="24"/>
        </w:rPr>
      </w:pPr>
      <w:r w:rsidRPr="000549B1">
        <w:rPr>
          <w:rFonts w:eastAsiaTheme="minorEastAsia"/>
          <w:noProof/>
          <w:sz w:val="24"/>
          <w:szCs w:val="24"/>
        </w:rPr>
        <w:drawing>
          <wp:inline distT="0" distB="0" distL="114300" distR="114300" wp14:anchorId="43259405" wp14:editId="13AC4D53">
            <wp:extent cx="180975" cy="161925"/>
            <wp:effectExtent l="0" t="0" r="9525" b="9525"/>
            <wp:docPr id="91" name="E657119C-6982-421D-8BA7-E74DEB70A7DA-37" descr="latexm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E657119C-6982-421D-8BA7-E74DEB70A7DA-37" descr="latexmath"/>
                    <pic:cNvPicPr>
                      <a:picLocks noChangeAspect="1"/>
                    </pic:cNvPicPr>
                  </pic:nvPicPr>
                  <pic:blipFill>
                    <a:blip r:embed="rId86">
                      <a:extLst>
                        <a:ext uri="{96DAC541-7B7A-43D3-8B79-37D633B846F1}">
                          <asvg:svgBlip xmlns:asvg="http://schemas.microsoft.com/office/drawing/2016/SVG/main" r:embed="rId87"/>
                        </a:ext>
                      </a:extLst>
                    </a:blip>
                    <a:stretch>
                      <a:fillRect/>
                    </a:stretch>
                  </pic:blipFill>
                  <pic:spPr>
                    <a:xfrm>
                      <a:off x="0" y="0"/>
                      <a:ext cx="180975" cy="161925"/>
                    </a:xfrm>
                    <a:prstGeom prst="rect">
                      <a:avLst/>
                    </a:prstGeom>
                  </pic:spPr>
                </pic:pic>
              </a:graphicData>
            </a:graphic>
          </wp:inline>
        </w:drawing>
      </w:r>
      <w:r w:rsidRPr="000549B1">
        <w:rPr>
          <w:rFonts w:eastAsiaTheme="minorEastAsia"/>
          <w:sz w:val="24"/>
          <w:szCs w:val="24"/>
        </w:rPr>
        <w:t>——</w:t>
      </w:r>
      <w:r w:rsidRPr="000549B1">
        <w:rPr>
          <w:rFonts w:eastAsiaTheme="minorEastAsia"/>
          <w:sz w:val="24"/>
          <w:szCs w:val="24"/>
        </w:rPr>
        <w:t>计算单元上断面污染物浓度，</w:t>
      </w:r>
      <w:r w:rsidRPr="000549B1">
        <w:rPr>
          <w:rFonts w:eastAsiaTheme="minorEastAsia"/>
          <w:sz w:val="24"/>
          <w:szCs w:val="24"/>
        </w:rPr>
        <w:t>mg/L</w:t>
      </w:r>
      <w:r w:rsidRPr="000549B1">
        <w:rPr>
          <w:rFonts w:eastAsiaTheme="minorEastAsia"/>
          <w:sz w:val="24"/>
          <w:szCs w:val="24"/>
        </w:rPr>
        <w:t>；</w:t>
      </w:r>
    </w:p>
    <w:p w14:paraId="22E2B8AF" w14:textId="77777777" w:rsidR="00372953" w:rsidRPr="000549B1" w:rsidRDefault="00372953" w:rsidP="00372953">
      <w:pPr>
        <w:adjustRightInd w:val="0"/>
        <w:spacing w:line="360" w:lineRule="auto"/>
        <w:ind w:firstLineChars="200" w:firstLine="480"/>
        <w:rPr>
          <w:rFonts w:eastAsiaTheme="minorEastAsia"/>
          <w:sz w:val="24"/>
          <w:szCs w:val="24"/>
        </w:rPr>
      </w:pPr>
      <w:r w:rsidRPr="000549B1">
        <w:rPr>
          <w:rFonts w:eastAsiaTheme="minorEastAsia"/>
          <w:noProof/>
          <w:sz w:val="24"/>
          <w:szCs w:val="24"/>
        </w:rPr>
        <w:drawing>
          <wp:inline distT="0" distB="0" distL="114300" distR="114300" wp14:anchorId="541F23E5" wp14:editId="49B0F19E">
            <wp:extent cx="142875" cy="133350"/>
            <wp:effectExtent l="0" t="0" r="9525" b="0"/>
            <wp:docPr id="92" name="E657119C-6982-421D-8BA7-E74DEB70A7DA-38" descr="latexm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E657119C-6982-421D-8BA7-E74DEB70A7DA-38" descr="latexmath"/>
                    <pic:cNvPicPr>
                      <a:picLocks noChangeAspect="1"/>
                    </pic:cNvPicPr>
                  </pic:nvPicPr>
                  <pic:blipFill>
                    <a:blip r:embed="rId88">
                      <a:extLst>
                        <a:ext uri="{96DAC541-7B7A-43D3-8B79-37D633B846F1}">
                          <asvg:svgBlip xmlns:asvg="http://schemas.microsoft.com/office/drawing/2016/SVG/main" r:embed="rId89"/>
                        </a:ext>
                      </a:extLst>
                    </a:blip>
                    <a:stretch>
                      <a:fillRect/>
                    </a:stretch>
                  </pic:blipFill>
                  <pic:spPr>
                    <a:xfrm>
                      <a:off x="0" y="0"/>
                      <a:ext cx="142875" cy="133350"/>
                    </a:xfrm>
                    <a:prstGeom prst="rect">
                      <a:avLst/>
                    </a:prstGeom>
                  </pic:spPr>
                </pic:pic>
              </a:graphicData>
            </a:graphic>
          </wp:inline>
        </w:drawing>
      </w:r>
      <w:r w:rsidRPr="000549B1">
        <w:rPr>
          <w:rFonts w:eastAsiaTheme="minorEastAsia"/>
          <w:sz w:val="24"/>
          <w:szCs w:val="24"/>
        </w:rPr>
        <w:t>——</w:t>
      </w:r>
      <w:r w:rsidRPr="000549B1">
        <w:rPr>
          <w:rFonts w:eastAsiaTheme="minorEastAsia"/>
          <w:sz w:val="24"/>
          <w:szCs w:val="24"/>
        </w:rPr>
        <w:t>污染物综合降解系数，</w:t>
      </w:r>
      <w:r w:rsidRPr="000549B1">
        <w:rPr>
          <w:rFonts w:eastAsiaTheme="minorEastAsia"/>
          <w:sz w:val="24"/>
          <w:szCs w:val="24"/>
        </w:rPr>
        <w:t>1/d</w:t>
      </w:r>
      <w:r w:rsidRPr="000549B1">
        <w:rPr>
          <w:rFonts w:eastAsiaTheme="minorEastAsia"/>
          <w:sz w:val="24"/>
          <w:szCs w:val="24"/>
        </w:rPr>
        <w:t>；</w:t>
      </w:r>
    </w:p>
    <w:p w14:paraId="6ED3C56C" w14:textId="77777777" w:rsidR="00372953" w:rsidRPr="000549B1" w:rsidRDefault="00372953" w:rsidP="00372953">
      <w:pPr>
        <w:adjustRightInd w:val="0"/>
        <w:spacing w:line="360" w:lineRule="auto"/>
        <w:ind w:firstLineChars="200" w:firstLine="480"/>
        <w:rPr>
          <w:rFonts w:eastAsiaTheme="minorEastAsia"/>
          <w:sz w:val="24"/>
          <w:szCs w:val="24"/>
        </w:rPr>
      </w:pPr>
      <w:r w:rsidRPr="000549B1">
        <w:rPr>
          <w:rFonts w:eastAsiaTheme="minorEastAsia"/>
          <w:noProof/>
          <w:sz w:val="24"/>
          <w:szCs w:val="24"/>
        </w:rPr>
        <w:drawing>
          <wp:inline distT="0" distB="0" distL="114300" distR="114300" wp14:anchorId="243203AE" wp14:editId="2DC3F66A">
            <wp:extent cx="114300" cy="133350"/>
            <wp:effectExtent l="0" t="0" r="0" b="0"/>
            <wp:docPr id="93" name="E657119C-6982-421D-8BA7-E74DEB70A7DA-39" descr="latexm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E657119C-6982-421D-8BA7-E74DEB70A7DA-39" descr="latexmath"/>
                    <pic:cNvPicPr>
                      <a:picLocks noChangeAspect="1"/>
                    </pic:cNvPicPr>
                  </pic:nvPicPr>
                  <pic:blipFill>
                    <a:blip r:embed="rId90">
                      <a:extLst>
                        <a:ext uri="{96DAC541-7B7A-43D3-8B79-37D633B846F1}">
                          <asvg:svgBlip xmlns:asvg="http://schemas.microsoft.com/office/drawing/2016/SVG/main" r:embed="rId91"/>
                        </a:ext>
                      </a:extLst>
                    </a:blip>
                    <a:stretch>
                      <a:fillRect/>
                    </a:stretch>
                  </pic:blipFill>
                  <pic:spPr>
                    <a:xfrm>
                      <a:off x="0" y="0"/>
                      <a:ext cx="114300" cy="133350"/>
                    </a:xfrm>
                    <a:prstGeom prst="rect">
                      <a:avLst/>
                    </a:prstGeom>
                  </pic:spPr>
                </pic:pic>
              </a:graphicData>
            </a:graphic>
          </wp:inline>
        </w:drawing>
      </w:r>
      <w:r w:rsidRPr="000549B1">
        <w:rPr>
          <w:rFonts w:eastAsiaTheme="minorEastAsia"/>
          <w:sz w:val="24"/>
          <w:szCs w:val="24"/>
        </w:rPr>
        <w:t>——</w:t>
      </w:r>
      <w:r w:rsidRPr="000549B1">
        <w:rPr>
          <w:rFonts w:eastAsiaTheme="minorEastAsia"/>
          <w:sz w:val="24"/>
          <w:szCs w:val="24"/>
        </w:rPr>
        <w:t>河段，</w:t>
      </w:r>
      <w:r w:rsidRPr="000549B1">
        <w:rPr>
          <w:rFonts w:eastAsiaTheme="minorEastAsia"/>
          <w:sz w:val="24"/>
          <w:szCs w:val="24"/>
        </w:rPr>
        <w:t>km</w:t>
      </w:r>
      <w:r w:rsidRPr="000549B1">
        <w:rPr>
          <w:rFonts w:eastAsiaTheme="minorEastAsia"/>
          <w:sz w:val="24"/>
          <w:szCs w:val="24"/>
        </w:rPr>
        <w:t>；</w:t>
      </w:r>
    </w:p>
    <w:p w14:paraId="4D49B4BF" w14:textId="77777777" w:rsidR="00372953" w:rsidRPr="000549B1" w:rsidRDefault="00372953" w:rsidP="00372953">
      <w:pPr>
        <w:adjustRightInd w:val="0"/>
        <w:spacing w:line="360" w:lineRule="auto"/>
        <w:ind w:firstLineChars="200" w:firstLine="480"/>
        <w:rPr>
          <w:rFonts w:eastAsiaTheme="minorEastAsia"/>
          <w:sz w:val="24"/>
          <w:szCs w:val="24"/>
        </w:rPr>
      </w:pPr>
      <w:r w:rsidRPr="000549B1">
        <w:rPr>
          <w:rFonts w:eastAsiaTheme="minorEastAsia"/>
          <w:noProof/>
          <w:sz w:val="24"/>
          <w:szCs w:val="24"/>
        </w:rPr>
        <w:drawing>
          <wp:inline distT="0" distB="0" distL="114300" distR="114300" wp14:anchorId="51D10FEE" wp14:editId="5C5D0BFB">
            <wp:extent cx="114300" cy="104775"/>
            <wp:effectExtent l="0" t="0" r="0" b="9525"/>
            <wp:docPr id="94" name="E657119C-6982-421D-8BA7-E74DEB70A7DA-40" descr="latexm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E657119C-6982-421D-8BA7-E74DEB70A7DA-40" descr="latexmath"/>
                    <pic:cNvPicPr>
                      <a:picLocks noChangeAspect="1"/>
                    </pic:cNvPicPr>
                  </pic:nvPicPr>
                  <pic:blipFill>
                    <a:blip r:embed="rId92">
                      <a:extLst>
                        <a:ext uri="{96DAC541-7B7A-43D3-8B79-37D633B846F1}">
                          <asvg:svgBlip xmlns:asvg="http://schemas.microsoft.com/office/drawing/2016/SVG/main" r:embed="rId93"/>
                        </a:ext>
                      </a:extLst>
                    </a:blip>
                    <a:stretch>
                      <a:fillRect/>
                    </a:stretch>
                  </pic:blipFill>
                  <pic:spPr>
                    <a:xfrm>
                      <a:off x="0" y="0"/>
                      <a:ext cx="114300" cy="104775"/>
                    </a:xfrm>
                    <a:prstGeom prst="rect">
                      <a:avLst/>
                    </a:prstGeom>
                  </pic:spPr>
                </pic:pic>
              </a:graphicData>
            </a:graphic>
          </wp:inline>
        </w:drawing>
      </w:r>
      <w:r w:rsidRPr="000549B1">
        <w:rPr>
          <w:rFonts w:eastAsiaTheme="minorEastAsia"/>
          <w:sz w:val="24"/>
          <w:szCs w:val="24"/>
        </w:rPr>
        <w:t>——</w:t>
      </w:r>
      <w:r w:rsidRPr="000549B1">
        <w:rPr>
          <w:rFonts w:eastAsiaTheme="minorEastAsia"/>
          <w:sz w:val="24"/>
          <w:szCs w:val="24"/>
        </w:rPr>
        <w:t>设计流速，</w:t>
      </w:r>
      <w:r w:rsidRPr="000549B1">
        <w:rPr>
          <w:rFonts w:eastAsiaTheme="minorEastAsia"/>
          <w:sz w:val="24"/>
          <w:szCs w:val="24"/>
        </w:rPr>
        <w:t>m/s</w:t>
      </w:r>
      <w:r w:rsidRPr="000549B1">
        <w:rPr>
          <w:rFonts w:eastAsiaTheme="minorEastAsia"/>
          <w:sz w:val="24"/>
          <w:szCs w:val="24"/>
        </w:rPr>
        <w:t>。</w:t>
      </w:r>
    </w:p>
    <w:p w14:paraId="1FA7EE9D" w14:textId="5FFECEFD" w:rsidR="00372953" w:rsidRPr="000549B1" w:rsidRDefault="00372953" w:rsidP="00372953">
      <w:pPr>
        <w:pStyle w:val="a2"/>
        <w:spacing w:line="360" w:lineRule="auto"/>
        <w:ind w:firstLine="600"/>
        <w:rPr>
          <w:rFonts w:eastAsiaTheme="minorEastAsia"/>
          <w:sz w:val="24"/>
          <w:szCs w:val="24"/>
        </w:rPr>
      </w:pPr>
      <w:r w:rsidRPr="000549B1">
        <w:rPr>
          <w:rFonts w:eastAsiaTheme="minorEastAsia"/>
          <w:sz w:val="24"/>
          <w:szCs w:val="24"/>
        </w:rPr>
        <w:t>根据水功能纳污能力复核数据得知，共和县沙珠玉河流域</w:t>
      </w:r>
      <w:r w:rsidRPr="000549B1">
        <w:rPr>
          <w:rFonts w:eastAsiaTheme="minorEastAsia"/>
          <w:sz w:val="24"/>
          <w:szCs w:val="24"/>
        </w:rPr>
        <w:t>COD</w:t>
      </w:r>
      <w:r w:rsidRPr="000549B1">
        <w:rPr>
          <w:rFonts w:eastAsiaTheme="minorEastAsia"/>
          <w:sz w:val="24"/>
          <w:szCs w:val="24"/>
        </w:rPr>
        <w:t>的纳污能力为</w:t>
      </w:r>
      <w:r w:rsidRPr="000549B1">
        <w:rPr>
          <w:rFonts w:eastAsiaTheme="minorEastAsia"/>
          <w:sz w:val="24"/>
          <w:szCs w:val="24"/>
        </w:rPr>
        <w:t>654.16t/a</w:t>
      </w:r>
      <w:r w:rsidRPr="000549B1">
        <w:rPr>
          <w:rFonts w:eastAsiaTheme="minorEastAsia"/>
          <w:sz w:val="24"/>
          <w:szCs w:val="24"/>
        </w:rPr>
        <w:t>，氨氮的纳污能力为</w:t>
      </w:r>
      <w:r w:rsidRPr="000549B1">
        <w:rPr>
          <w:rFonts w:eastAsiaTheme="minorEastAsia"/>
          <w:sz w:val="24"/>
          <w:szCs w:val="24"/>
        </w:rPr>
        <w:t>30.6t/a</w:t>
      </w:r>
      <w:r w:rsidRPr="000549B1">
        <w:rPr>
          <w:rFonts w:eastAsiaTheme="minorEastAsia"/>
          <w:sz w:val="24"/>
          <w:szCs w:val="24"/>
        </w:rPr>
        <w:t>。见</w:t>
      </w:r>
      <w:r w:rsidRPr="00372953">
        <w:rPr>
          <w:rFonts w:eastAsiaTheme="minorEastAsia"/>
          <w:sz w:val="24"/>
          <w:szCs w:val="24"/>
        </w:rPr>
        <w:t>表</w:t>
      </w:r>
      <w:r w:rsidRPr="00372953">
        <w:rPr>
          <w:rFonts w:eastAsiaTheme="minorEastAsia"/>
          <w:sz w:val="24"/>
          <w:szCs w:val="24"/>
        </w:rPr>
        <w:t>3.3</w:t>
      </w:r>
      <w:r w:rsidRPr="00372953">
        <w:rPr>
          <w:rFonts w:eastAsiaTheme="minorEastAsia"/>
          <w:sz w:val="24"/>
          <w:szCs w:val="24"/>
        </w:rPr>
        <w:noBreakHyphen/>
        <w:t>28</w:t>
      </w:r>
      <w:r w:rsidRPr="000549B1">
        <w:rPr>
          <w:rFonts w:eastAsiaTheme="minorEastAsia"/>
          <w:sz w:val="24"/>
          <w:szCs w:val="24"/>
        </w:rPr>
        <w:t>。</w:t>
      </w:r>
    </w:p>
    <w:p w14:paraId="0879ADBE" w14:textId="502EA9B4" w:rsidR="00372953" w:rsidRPr="000549B1" w:rsidRDefault="00372953" w:rsidP="00372953">
      <w:pPr>
        <w:pStyle w:val="aff8"/>
        <w:rPr>
          <w:color w:val="auto"/>
        </w:rPr>
      </w:pPr>
      <w:bookmarkStart w:id="241" w:name="_Ref214978849"/>
      <w:r w:rsidRPr="000549B1">
        <w:rPr>
          <w:color w:val="auto"/>
        </w:rPr>
        <w:t>表</w:t>
      </w:r>
      <w:r>
        <w:rPr>
          <w:color w:val="auto"/>
        </w:rPr>
        <w:fldChar w:fldCharType="begin"/>
      </w:r>
      <w:r>
        <w:rPr>
          <w:color w:val="auto"/>
        </w:rPr>
        <w:instrText xml:space="preserve"> STYLEREF 2 \s </w:instrText>
      </w:r>
      <w:r>
        <w:rPr>
          <w:color w:val="auto"/>
        </w:rPr>
        <w:fldChar w:fldCharType="separate"/>
      </w:r>
      <w:r>
        <w:rPr>
          <w:noProof/>
          <w:color w:val="auto"/>
        </w:rPr>
        <w:t>3.3</w:t>
      </w:r>
      <w:r>
        <w:rPr>
          <w:color w:val="auto"/>
        </w:rPr>
        <w:fldChar w:fldCharType="end"/>
      </w:r>
      <w:r>
        <w:rPr>
          <w:color w:val="auto"/>
        </w:rPr>
        <w:noBreakHyphen/>
      </w:r>
      <w:r>
        <w:rPr>
          <w:color w:val="auto"/>
        </w:rPr>
        <w:fldChar w:fldCharType="begin"/>
      </w:r>
      <w:r>
        <w:rPr>
          <w:color w:val="auto"/>
        </w:rPr>
        <w:instrText xml:space="preserve"> SEQ </w:instrText>
      </w:r>
      <w:r>
        <w:rPr>
          <w:color w:val="auto"/>
        </w:rPr>
        <w:instrText>表</w:instrText>
      </w:r>
      <w:r>
        <w:rPr>
          <w:color w:val="auto"/>
        </w:rPr>
        <w:instrText xml:space="preserve"> \* ARABIC \s 2 </w:instrText>
      </w:r>
      <w:r>
        <w:rPr>
          <w:color w:val="auto"/>
        </w:rPr>
        <w:fldChar w:fldCharType="separate"/>
      </w:r>
      <w:r>
        <w:rPr>
          <w:noProof/>
          <w:color w:val="auto"/>
        </w:rPr>
        <w:t>28</w:t>
      </w:r>
      <w:r>
        <w:rPr>
          <w:color w:val="auto"/>
        </w:rPr>
        <w:fldChar w:fldCharType="end"/>
      </w:r>
      <w:bookmarkEnd w:id="241"/>
      <w:r w:rsidRPr="000549B1">
        <w:rPr>
          <w:color w:val="auto"/>
        </w:rPr>
        <w:t>共和县沙珠玉河流域水功能区纳污能力复核成果表</w:t>
      </w:r>
    </w:p>
    <w:tbl>
      <w:tblPr>
        <w:tblW w:w="5000" w:type="pct"/>
        <w:tblLayout w:type="fixed"/>
        <w:tblLook w:val="04A0" w:firstRow="1" w:lastRow="0" w:firstColumn="1" w:lastColumn="0" w:noHBand="0" w:noVBand="1"/>
      </w:tblPr>
      <w:tblGrid>
        <w:gridCol w:w="378"/>
        <w:gridCol w:w="378"/>
        <w:gridCol w:w="377"/>
        <w:gridCol w:w="720"/>
        <w:gridCol w:w="702"/>
        <w:gridCol w:w="838"/>
        <w:gridCol w:w="795"/>
        <w:gridCol w:w="798"/>
        <w:gridCol w:w="879"/>
        <w:gridCol w:w="838"/>
        <w:gridCol w:w="795"/>
        <w:gridCol w:w="798"/>
      </w:tblGrid>
      <w:tr w:rsidR="000B0AAF" w:rsidRPr="000B0AAF" w14:paraId="1D09C38F" w14:textId="77777777" w:rsidTr="000B0AAF">
        <w:trPr>
          <w:trHeight w:val="397"/>
        </w:trPr>
        <w:tc>
          <w:tcPr>
            <w:tcW w:w="228" w:type="pct"/>
            <w:vMerge w:val="restart"/>
            <w:tcBorders>
              <w:top w:val="single" w:sz="4" w:space="0" w:color="auto"/>
              <w:left w:val="single" w:sz="4" w:space="0" w:color="auto"/>
              <w:bottom w:val="single" w:sz="4" w:space="0" w:color="000000"/>
              <w:right w:val="single" w:sz="4" w:space="0" w:color="auto"/>
            </w:tcBorders>
            <w:vAlign w:val="center"/>
          </w:tcPr>
          <w:p w14:paraId="1497EF9F" w14:textId="77777777" w:rsidR="000B0AAF" w:rsidRPr="000B0AAF" w:rsidRDefault="000B0AAF" w:rsidP="007E48A3">
            <w:pPr>
              <w:spacing w:line="0" w:lineRule="atLeast"/>
              <w:jc w:val="center"/>
              <w:rPr>
                <w:rFonts w:eastAsiaTheme="minorEastAsia"/>
                <w:b/>
                <w:kern w:val="0"/>
                <w:sz w:val="18"/>
                <w:szCs w:val="18"/>
              </w:rPr>
            </w:pPr>
            <w:r w:rsidRPr="000B0AAF">
              <w:rPr>
                <w:rFonts w:eastAsiaTheme="minorEastAsia"/>
                <w:b/>
                <w:kern w:val="0"/>
                <w:sz w:val="18"/>
                <w:szCs w:val="18"/>
              </w:rPr>
              <w:t>水资源三级区</w:t>
            </w:r>
          </w:p>
        </w:tc>
        <w:tc>
          <w:tcPr>
            <w:tcW w:w="455" w:type="pct"/>
            <w:gridSpan w:val="2"/>
            <w:tcBorders>
              <w:top w:val="single" w:sz="4" w:space="0" w:color="auto"/>
              <w:left w:val="nil"/>
              <w:bottom w:val="single" w:sz="4" w:space="0" w:color="auto"/>
              <w:right w:val="nil"/>
            </w:tcBorders>
            <w:vAlign w:val="center"/>
          </w:tcPr>
          <w:p w14:paraId="23D06F5F" w14:textId="77777777" w:rsidR="000B0AAF" w:rsidRPr="000B0AAF" w:rsidRDefault="000B0AAF" w:rsidP="007E48A3">
            <w:pPr>
              <w:spacing w:line="0" w:lineRule="atLeast"/>
              <w:jc w:val="center"/>
              <w:rPr>
                <w:rFonts w:eastAsiaTheme="minorEastAsia"/>
                <w:b/>
                <w:kern w:val="0"/>
                <w:sz w:val="18"/>
                <w:szCs w:val="18"/>
              </w:rPr>
            </w:pPr>
            <w:r w:rsidRPr="000B0AAF">
              <w:rPr>
                <w:rFonts w:eastAsiaTheme="minorEastAsia"/>
                <w:b/>
                <w:kern w:val="0"/>
                <w:sz w:val="18"/>
                <w:szCs w:val="18"/>
              </w:rPr>
              <w:t>水功能区</w:t>
            </w:r>
          </w:p>
        </w:tc>
        <w:tc>
          <w:tcPr>
            <w:tcW w:w="434" w:type="pct"/>
            <w:vMerge w:val="restart"/>
            <w:tcBorders>
              <w:top w:val="single" w:sz="4" w:space="0" w:color="auto"/>
              <w:left w:val="single" w:sz="4" w:space="0" w:color="auto"/>
              <w:bottom w:val="single" w:sz="4" w:space="0" w:color="000000"/>
              <w:right w:val="single" w:sz="4" w:space="0" w:color="auto"/>
            </w:tcBorders>
            <w:vAlign w:val="center"/>
          </w:tcPr>
          <w:p w14:paraId="0E4D435E" w14:textId="77777777" w:rsidR="000B0AAF" w:rsidRPr="000B0AAF" w:rsidRDefault="000B0AAF" w:rsidP="007E48A3">
            <w:pPr>
              <w:spacing w:line="0" w:lineRule="atLeast"/>
              <w:jc w:val="center"/>
              <w:rPr>
                <w:rFonts w:eastAsiaTheme="minorEastAsia"/>
                <w:b/>
                <w:kern w:val="0"/>
                <w:sz w:val="18"/>
                <w:szCs w:val="18"/>
              </w:rPr>
            </w:pPr>
            <w:r w:rsidRPr="000B0AAF">
              <w:rPr>
                <w:rFonts w:eastAsiaTheme="minorEastAsia"/>
                <w:b/>
                <w:kern w:val="0"/>
                <w:sz w:val="18"/>
                <w:szCs w:val="18"/>
              </w:rPr>
              <w:t>年份</w:t>
            </w:r>
          </w:p>
        </w:tc>
        <w:tc>
          <w:tcPr>
            <w:tcW w:w="1888" w:type="pct"/>
            <w:gridSpan w:val="4"/>
            <w:tcBorders>
              <w:top w:val="single" w:sz="4" w:space="0" w:color="auto"/>
              <w:left w:val="nil"/>
              <w:bottom w:val="single" w:sz="4" w:space="0" w:color="auto"/>
              <w:right w:val="single" w:sz="4" w:space="0" w:color="000000"/>
            </w:tcBorders>
            <w:noWrap/>
            <w:vAlign w:val="center"/>
          </w:tcPr>
          <w:p w14:paraId="451E14EF" w14:textId="77777777" w:rsidR="000B0AAF" w:rsidRPr="000B0AAF" w:rsidRDefault="000B0AAF" w:rsidP="007E48A3">
            <w:pPr>
              <w:spacing w:line="0" w:lineRule="atLeast"/>
              <w:jc w:val="center"/>
              <w:rPr>
                <w:rFonts w:eastAsiaTheme="minorEastAsia"/>
                <w:b/>
                <w:kern w:val="0"/>
                <w:sz w:val="18"/>
                <w:szCs w:val="18"/>
              </w:rPr>
            </w:pPr>
            <w:r w:rsidRPr="000B0AAF">
              <w:rPr>
                <w:rFonts w:eastAsiaTheme="minorEastAsia"/>
                <w:b/>
                <w:kern w:val="0"/>
                <w:sz w:val="18"/>
                <w:szCs w:val="18"/>
              </w:rPr>
              <w:t>化学需氧量</w:t>
            </w:r>
          </w:p>
        </w:tc>
        <w:tc>
          <w:tcPr>
            <w:tcW w:w="1995" w:type="pct"/>
            <w:gridSpan w:val="4"/>
            <w:tcBorders>
              <w:top w:val="single" w:sz="4" w:space="0" w:color="auto"/>
              <w:left w:val="nil"/>
              <w:bottom w:val="single" w:sz="4" w:space="0" w:color="auto"/>
              <w:right w:val="single" w:sz="4" w:space="0" w:color="000000"/>
            </w:tcBorders>
            <w:noWrap/>
            <w:vAlign w:val="center"/>
          </w:tcPr>
          <w:p w14:paraId="2E15FFF9" w14:textId="77777777" w:rsidR="000B0AAF" w:rsidRPr="000B0AAF" w:rsidRDefault="000B0AAF" w:rsidP="007E48A3">
            <w:pPr>
              <w:spacing w:line="0" w:lineRule="atLeast"/>
              <w:jc w:val="center"/>
              <w:rPr>
                <w:rFonts w:eastAsiaTheme="minorEastAsia"/>
                <w:b/>
                <w:kern w:val="0"/>
                <w:sz w:val="18"/>
                <w:szCs w:val="18"/>
              </w:rPr>
            </w:pPr>
            <w:r w:rsidRPr="000B0AAF">
              <w:rPr>
                <w:rFonts w:eastAsiaTheme="minorEastAsia"/>
                <w:b/>
                <w:kern w:val="0"/>
                <w:sz w:val="18"/>
                <w:szCs w:val="18"/>
              </w:rPr>
              <w:t>氨氮</w:t>
            </w:r>
          </w:p>
        </w:tc>
      </w:tr>
      <w:tr w:rsidR="000B0AAF" w:rsidRPr="000B0AAF" w14:paraId="6B79D5C5" w14:textId="77777777" w:rsidTr="000B0AAF">
        <w:trPr>
          <w:trHeight w:val="397"/>
        </w:trPr>
        <w:tc>
          <w:tcPr>
            <w:tcW w:w="228" w:type="pct"/>
            <w:vMerge/>
            <w:tcBorders>
              <w:top w:val="single" w:sz="4" w:space="0" w:color="auto"/>
              <w:left w:val="single" w:sz="4" w:space="0" w:color="auto"/>
              <w:bottom w:val="single" w:sz="4" w:space="0" w:color="000000"/>
              <w:right w:val="single" w:sz="4" w:space="0" w:color="auto"/>
            </w:tcBorders>
            <w:vAlign w:val="center"/>
          </w:tcPr>
          <w:p w14:paraId="1A9FFF19" w14:textId="77777777" w:rsidR="000B0AAF" w:rsidRPr="000B0AAF" w:rsidRDefault="000B0AAF" w:rsidP="007E48A3">
            <w:pPr>
              <w:spacing w:line="0" w:lineRule="atLeast"/>
              <w:jc w:val="center"/>
              <w:rPr>
                <w:rFonts w:eastAsiaTheme="minorEastAsia"/>
                <w:b/>
                <w:kern w:val="0"/>
                <w:sz w:val="18"/>
                <w:szCs w:val="18"/>
              </w:rPr>
            </w:pPr>
          </w:p>
        </w:tc>
        <w:tc>
          <w:tcPr>
            <w:tcW w:w="228" w:type="pct"/>
            <w:tcBorders>
              <w:top w:val="nil"/>
              <w:left w:val="nil"/>
              <w:bottom w:val="single" w:sz="4" w:space="0" w:color="auto"/>
              <w:right w:val="single" w:sz="4" w:space="0" w:color="auto"/>
            </w:tcBorders>
            <w:vAlign w:val="center"/>
          </w:tcPr>
          <w:p w14:paraId="070A13C3" w14:textId="77777777" w:rsidR="000B0AAF" w:rsidRPr="000B0AAF" w:rsidRDefault="000B0AAF" w:rsidP="007E48A3">
            <w:pPr>
              <w:spacing w:line="0" w:lineRule="atLeast"/>
              <w:jc w:val="center"/>
              <w:rPr>
                <w:rFonts w:eastAsiaTheme="minorEastAsia"/>
                <w:b/>
                <w:kern w:val="0"/>
                <w:sz w:val="18"/>
                <w:szCs w:val="18"/>
              </w:rPr>
            </w:pPr>
            <w:r w:rsidRPr="000B0AAF">
              <w:rPr>
                <w:rFonts w:eastAsiaTheme="minorEastAsia"/>
                <w:b/>
                <w:kern w:val="0"/>
                <w:sz w:val="18"/>
                <w:szCs w:val="18"/>
              </w:rPr>
              <w:t>一级区</w:t>
            </w:r>
          </w:p>
        </w:tc>
        <w:tc>
          <w:tcPr>
            <w:tcW w:w="227" w:type="pct"/>
            <w:tcBorders>
              <w:top w:val="nil"/>
              <w:left w:val="nil"/>
              <w:bottom w:val="single" w:sz="4" w:space="0" w:color="auto"/>
              <w:right w:val="single" w:sz="4" w:space="0" w:color="auto"/>
            </w:tcBorders>
            <w:vAlign w:val="center"/>
          </w:tcPr>
          <w:p w14:paraId="28A4E3BA" w14:textId="77777777" w:rsidR="000B0AAF" w:rsidRPr="000B0AAF" w:rsidRDefault="000B0AAF" w:rsidP="007E48A3">
            <w:pPr>
              <w:spacing w:line="0" w:lineRule="atLeast"/>
              <w:jc w:val="center"/>
              <w:rPr>
                <w:rFonts w:eastAsiaTheme="minorEastAsia"/>
                <w:b/>
                <w:kern w:val="0"/>
                <w:sz w:val="18"/>
                <w:szCs w:val="18"/>
              </w:rPr>
            </w:pPr>
            <w:r w:rsidRPr="000B0AAF">
              <w:rPr>
                <w:rFonts w:eastAsiaTheme="minorEastAsia"/>
                <w:b/>
                <w:kern w:val="0"/>
                <w:sz w:val="18"/>
                <w:szCs w:val="18"/>
              </w:rPr>
              <w:t>二级区</w:t>
            </w:r>
          </w:p>
        </w:tc>
        <w:tc>
          <w:tcPr>
            <w:tcW w:w="434" w:type="pct"/>
            <w:vMerge/>
            <w:tcBorders>
              <w:top w:val="single" w:sz="4" w:space="0" w:color="auto"/>
              <w:left w:val="single" w:sz="4" w:space="0" w:color="auto"/>
              <w:bottom w:val="single" w:sz="4" w:space="0" w:color="000000"/>
              <w:right w:val="single" w:sz="4" w:space="0" w:color="auto"/>
            </w:tcBorders>
            <w:vAlign w:val="center"/>
          </w:tcPr>
          <w:p w14:paraId="58C11FC6" w14:textId="77777777" w:rsidR="000B0AAF" w:rsidRPr="000B0AAF" w:rsidRDefault="000B0AAF" w:rsidP="007E48A3">
            <w:pPr>
              <w:spacing w:line="0" w:lineRule="atLeast"/>
              <w:jc w:val="center"/>
              <w:rPr>
                <w:rFonts w:eastAsiaTheme="minorEastAsia"/>
                <w:b/>
                <w:kern w:val="0"/>
                <w:sz w:val="18"/>
                <w:szCs w:val="18"/>
              </w:rPr>
            </w:pPr>
          </w:p>
        </w:tc>
        <w:tc>
          <w:tcPr>
            <w:tcW w:w="423" w:type="pct"/>
            <w:tcBorders>
              <w:top w:val="nil"/>
              <w:left w:val="nil"/>
              <w:bottom w:val="single" w:sz="4" w:space="0" w:color="auto"/>
              <w:right w:val="single" w:sz="4" w:space="0" w:color="auto"/>
            </w:tcBorders>
            <w:vAlign w:val="center"/>
          </w:tcPr>
          <w:p w14:paraId="03ECDA88" w14:textId="77777777" w:rsidR="000B0AAF" w:rsidRPr="000B0AAF" w:rsidRDefault="000B0AAF" w:rsidP="007E48A3">
            <w:pPr>
              <w:spacing w:line="0" w:lineRule="atLeast"/>
              <w:jc w:val="center"/>
              <w:rPr>
                <w:rFonts w:eastAsiaTheme="minorEastAsia"/>
                <w:b/>
                <w:kern w:val="0"/>
                <w:sz w:val="18"/>
                <w:szCs w:val="18"/>
              </w:rPr>
            </w:pPr>
            <w:r w:rsidRPr="000B0AAF">
              <w:rPr>
                <w:rFonts w:eastAsiaTheme="minorEastAsia"/>
                <w:b/>
                <w:kern w:val="0"/>
                <w:sz w:val="18"/>
                <w:szCs w:val="18"/>
              </w:rPr>
              <w:t>水质目标（</w:t>
            </w:r>
            <w:r w:rsidRPr="000B0AAF">
              <w:rPr>
                <w:rFonts w:eastAsiaTheme="minorEastAsia"/>
                <w:b/>
                <w:kern w:val="0"/>
                <w:sz w:val="18"/>
                <w:szCs w:val="18"/>
              </w:rPr>
              <w:t>mg/L</w:t>
            </w:r>
            <w:r w:rsidRPr="000B0AAF">
              <w:rPr>
                <w:rFonts w:eastAsiaTheme="minorEastAsia"/>
                <w:b/>
                <w:kern w:val="0"/>
                <w:sz w:val="18"/>
                <w:szCs w:val="18"/>
              </w:rPr>
              <w:t>）</w:t>
            </w:r>
          </w:p>
        </w:tc>
        <w:tc>
          <w:tcPr>
            <w:tcW w:w="505" w:type="pct"/>
            <w:tcBorders>
              <w:top w:val="nil"/>
              <w:left w:val="nil"/>
              <w:bottom w:val="single" w:sz="4" w:space="0" w:color="auto"/>
              <w:right w:val="single" w:sz="4" w:space="0" w:color="auto"/>
            </w:tcBorders>
            <w:vAlign w:val="center"/>
          </w:tcPr>
          <w:p w14:paraId="30884097" w14:textId="77777777" w:rsidR="000B0AAF" w:rsidRPr="000B0AAF" w:rsidRDefault="000B0AAF" w:rsidP="007E48A3">
            <w:pPr>
              <w:spacing w:line="0" w:lineRule="atLeast"/>
              <w:jc w:val="center"/>
              <w:rPr>
                <w:rFonts w:eastAsiaTheme="minorEastAsia"/>
                <w:b/>
                <w:kern w:val="0"/>
                <w:sz w:val="18"/>
                <w:szCs w:val="18"/>
              </w:rPr>
            </w:pPr>
            <w:r w:rsidRPr="000B0AAF">
              <w:rPr>
                <w:rFonts w:eastAsiaTheme="minorEastAsia"/>
                <w:b/>
                <w:kern w:val="0"/>
                <w:sz w:val="18"/>
                <w:szCs w:val="18"/>
              </w:rPr>
              <w:t>设计水量（</w:t>
            </w:r>
            <w:r w:rsidRPr="000B0AAF">
              <w:rPr>
                <w:rFonts w:eastAsiaTheme="minorEastAsia"/>
                <w:b/>
                <w:kern w:val="0"/>
                <w:sz w:val="18"/>
                <w:szCs w:val="18"/>
              </w:rPr>
              <w:t>m</w:t>
            </w:r>
            <w:r w:rsidRPr="000B0AAF">
              <w:rPr>
                <w:rFonts w:eastAsiaTheme="minorEastAsia"/>
                <w:b/>
                <w:kern w:val="0"/>
                <w:sz w:val="18"/>
                <w:szCs w:val="18"/>
                <w:vertAlign w:val="superscript"/>
              </w:rPr>
              <w:t>3</w:t>
            </w:r>
            <w:r w:rsidRPr="000B0AAF">
              <w:rPr>
                <w:rFonts w:eastAsiaTheme="minorEastAsia"/>
                <w:b/>
                <w:kern w:val="0"/>
                <w:sz w:val="18"/>
                <w:szCs w:val="18"/>
              </w:rPr>
              <w:t>/s</w:t>
            </w:r>
            <w:r w:rsidRPr="000B0AAF">
              <w:rPr>
                <w:rFonts w:eastAsiaTheme="minorEastAsia"/>
                <w:b/>
                <w:kern w:val="0"/>
                <w:sz w:val="18"/>
                <w:szCs w:val="18"/>
              </w:rPr>
              <w:t>）</w:t>
            </w:r>
          </w:p>
        </w:tc>
        <w:tc>
          <w:tcPr>
            <w:tcW w:w="479" w:type="pct"/>
            <w:tcBorders>
              <w:top w:val="nil"/>
              <w:left w:val="nil"/>
              <w:bottom w:val="single" w:sz="4" w:space="0" w:color="auto"/>
              <w:right w:val="single" w:sz="4" w:space="0" w:color="auto"/>
            </w:tcBorders>
            <w:vAlign w:val="center"/>
          </w:tcPr>
          <w:p w14:paraId="7622A8A2" w14:textId="77777777" w:rsidR="000B0AAF" w:rsidRPr="000B0AAF" w:rsidRDefault="000B0AAF" w:rsidP="007E48A3">
            <w:pPr>
              <w:spacing w:line="0" w:lineRule="atLeast"/>
              <w:jc w:val="center"/>
              <w:rPr>
                <w:rFonts w:eastAsiaTheme="minorEastAsia"/>
                <w:b/>
                <w:kern w:val="0"/>
                <w:sz w:val="18"/>
                <w:szCs w:val="18"/>
              </w:rPr>
            </w:pPr>
            <w:r w:rsidRPr="000B0AAF">
              <w:rPr>
                <w:rFonts w:eastAsiaTheme="minorEastAsia"/>
                <w:b/>
                <w:kern w:val="0"/>
                <w:sz w:val="18"/>
                <w:szCs w:val="18"/>
              </w:rPr>
              <w:t>综合衰减系数（</w:t>
            </w:r>
            <w:r w:rsidRPr="000B0AAF">
              <w:rPr>
                <w:rFonts w:eastAsiaTheme="minorEastAsia"/>
                <w:b/>
                <w:kern w:val="0"/>
                <w:sz w:val="18"/>
                <w:szCs w:val="18"/>
              </w:rPr>
              <w:t>1/d</w:t>
            </w:r>
            <w:r w:rsidRPr="000B0AAF">
              <w:rPr>
                <w:rFonts w:eastAsiaTheme="minorEastAsia"/>
                <w:b/>
                <w:kern w:val="0"/>
                <w:sz w:val="18"/>
                <w:szCs w:val="18"/>
              </w:rPr>
              <w:t>）</w:t>
            </w:r>
          </w:p>
        </w:tc>
        <w:tc>
          <w:tcPr>
            <w:tcW w:w="481" w:type="pct"/>
            <w:tcBorders>
              <w:top w:val="nil"/>
              <w:left w:val="nil"/>
              <w:bottom w:val="single" w:sz="4" w:space="0" w:color="auto"/>
              <w:right w:val="single" w:sz="4" w:space="0" w:color="auto"/>
            </w:tcBorders>
            <w:vAlign w:val="center"/>
          </w:tcPr>
          <w:p w14:paraId="2AAC4F81" w14:textId="77777777" w:rsidR="000B0AAF" w:rsidRPr="000B0AAF" w:rsidRDefault="000B0AAF" w:rsidP="007E48A3">
            <w:pPr>
              <w:spacing w:line="0" w:lineRule="atLeast"/>
              <w:jc w:val="center"/>
              <w:rPr>
                <w:rFonts w:eastAsiaTheme="minorEastAsia"/>
                <w:b/>
                <w:kern w:val="0"/>
                <w:sz w:val="18"/>
                <w:szCs w:val="18"/>
              </w:rPr>
            </w:pPr>
            <w:r w:rsidRPr="000B0AAF">
              <w:rPr>
                <w:rFonts w:eastAsiaTheme="minorEastAsia"/>
                <w:b/>
                <w:kern w:val="0"/>
                <w:sz w:val="18"/>
                <w:szCs w:val="18"/>
              </w:rPr>
              <w:t>纳污能力（</w:t>
            </w:r>
            <w:r w:rsidRPr="000B0AAF">
              <w:rPr>
                <w:rFonts w:eastAsiaTheme="minorEastAsia"/>
                <w:b/>
                <w:kern w:val="0"/>
                <w:sz w:val="18"/>
                <w:szCs w:val="18"/>
              </w:rPr>
              <w:t>t/a</w:t>
            </w:r>
            <w:r w:rsidRPr="000B0AAF">
              <w:rPr>
                <w:rFonts w:eastAsiaTheme="minorEastAsia"/>
                <w:b/>
                <w:kern w:val="0"/>
                <w:sz w:val="18"/>
                <w:szCs w:val="18"/>
              </w:rPr>
              <w:t>）</w:t>
            </w:r>
          </w:p>
        </w:tc>
        <w:tc>
          <w:tcPr>
            <w:tcW w:w="530" w:type="pct"/>
            <w:tcBorders>
              <w:top w:val="nil"/>
              <w:left w:val="nil"/>
              <w:bottom w:val="single" w:sz="4" w:space="0" w:color="auto"/>
              <w:right w:val="single" w:sz="4" w:space="0" w:color="auto"/>
            </w:tcBorders>
            <w:vAlign w:val="center"/>
          </w:tcPr>
          <w:p w14:paraId="2F72DD0F" w14:textId="77777777" w:rsidR="000B0AAF" w:rsidRPr="000B0AAF" w:rsidRDefault="000B0AAF" w:rsidP="007E48A3">
            <w:pPr>
              <w:spacing w:line="0" w:lineRule="atLeast"/>
              <w:jc w:val="center"/>
              <w:rPr>
                <w:rFonts w:eastAsiaTheme="minorEastAsia"/>
                <w:b/>
                <w:kern w:val="0"/>
                <w:sz w:val="18"/>
                <w:szCs w:val="18"/>
              </w:rPr>
            </w:pPr>
            <w:r w:rsidRPr="000B0AAF">
              <w:rPr>
                <w:rFonts w:eastAsiaTheme="minorEastAsia"/>
                <w:b/>
                <w:kern w:val="0"/>
                <w:sz w:val="18"/>
                <w:szCs w:val="18"/>
              </w:rPr>
              <w:t>水质目标（</w:t>
            </w:r>
            <w:r w:rsidRPr="000B0AAF">
              <w:rPr>
                <w:rFonts w:eastAsiaTheme="minorEastAsia"/>
                <w:b/>
                <w:kern w:val="0"/>
                <w:sz w:val="18"/>
                <w:szCs w:val="18"/>
              </w:rPr>
              <w:t>mg/L</w:t>
            </w:r>
            <w:r w:rsidRPr="000B0AAF">
              <w:rPr>
                <w:rFonts w:eastAsiaTheme="minorEastAsia"/>
                <w:b/>
                <w:kern w:val="0"/>
                <w:sz w:val="18"/>
                <w:szCs w:val="18"/>
              </w:rPr>
              <w:t>）</w:t>
            </w:r>
          </w:p>
        </w:tc>
        <w:tc>
          <w:tcPr>
            <w:tcW w:w="505" w:type="pct"/>
            <w:tcBorders>
              <w:top w:val="nil"/>
              <w:left w:val="nil"/>
              <w:bottom w:val="single" w:sz="4" w:space="0" w:color="auto"/>
              <w:right w:val="single" w:sz="4" w:space="0" w:color="auto"/>
            </w:tcBorders>
            <w:vAlign w:val="center"/>
          </w:tcPr>
          <w:p w14:paraId="64975014" w14:textId="77777777" w:rsidR="000B0AAF" w:rsidRPr="000B0AAF" w:rsidRDefault="000B0AAF" w:rsidP="007E48A3">
            <w:pPr>
              <w:spacing w:line="0" w:lineRule="atLeast"/>
              <w:jc w:val="center"/>
              <w:rPr>
                <w:rFonts w:eastAsiaTheme="minorEastAsia"/>
                <w:b/>
                <w:kern w:val="0"/>
                <w:sz w:val="18"/>
                <w:szCs w:val="18"/>
              </w:rPr>
            </w:pPr>
            <w:r w:rsidRPr="000B0AAF">
              <w:rPr>
                <w:rFonts w:eastAsiaTheme="minorEastAsia"/>
                <w:b/>
                <w:kern w:val="0"/>
                <w:sz w:val="18"/>
                <w:szCs w:val="18"/>
              </w:rPr>
              <w:t>设计水量（</w:t>
            </w:r>
            <w:r w:rsidRPr="000B0AAF">
              <w:rPr>
                <w:rFonts w:eastAsiaTheme="minorEastAsia"/>
                <w:b/>
                <w:kern w:val="0"/>
                <w:sz w:val="18"/>
                <w:szCs w:val="18"/>
              </w:rPr>
              <w:t>m</w:t>
            </w:r>
            <w:r w:rsidRPr="000B0AAF">
              <w:rPr>
                <w:rFonts w:eastAsiaTheme="minorEastAsia"/>
                <w:b/>
                <w:kern w:val="0"/>
                <w:sz w:val="18"/>
                <w:szCs w:val="18"/>
                <w:vertAlign w:val="superscript"/>
              </w:rPr>
              <w:t>3</w:t>
            </w:r>
            <w:r w:rsidRPr="000B0AAF">
              <w:rPr>
                <w:rFonts w:eastAsiaTheme="minorEastAsia"/>
                <w:b/>
                <w:kern w:val="0"/>
                <w:sz w:val="18"/>
                <w:szCs w:val="18"/>
              </w:rPr>
              <w:t>/s</w:t>
            </w:r>
            <w:r w:rsidRPr="000B0AAF">
              <w:rPr>
                <w:rFonts w:eastAsiaTheme="minorEastAsia"/>
                <w:b/>
                <w:kern w:val="0"/>
                <w:sz w:val="18"/>
                <w:szCs w:val="18"/>
              </w:rPr>
              <w:t>）</w:t>
            </w:r>
          </w:p>
        </w:tc>
        <w:tc>
          <w:tcPr>
            <w:tcW w:w="479" w:type="pct"/>
            <w:tcBorders>
              <w:top w:val="nil"/>
              <w:left w:val="nil"/>
              <w:bottom w:val="single" w:sz="4" w:space="0" w:color="auto"/>
              <w:right w:val="single" w:sz="4" w:space="0" w:color="auto"/>
            </w:tcBorders>
            <w:vAlign w:val="center"/>
          </w:tcPr>
          <w:p w14:paraId="1BE801FC" w14:textId="77777777" w:rsidR="000B0AAF" w:rsidRPr="000B0AAF" w:rsidRDefault="000B0AAF" w:rsidP="007E48A3">
            <w:pPr>
              <w:spacing w:line="0" w:lineRule="atLeast"/>
              <w:jc w:val="center"/>
              <w:rPr>
                <w:rFonts w:eastAsiaTheme="minorEastAsia"/>
                <w:b/>
                <w:kern w:val="0"/>
                <w:sz w:val="18"/>
                <w:szCs w:val="18"/>
              </w:rPr>
            </w:pPr>
            <w:r w:rsidRPr="000B0AAF">
              <w:rPr>
                <w:rFonts w:eastAsiaTheme="minorEastAsia"/>
                <w:b/>
                <w:kern w:val="0"/>
                <w:sz w:val="18"/>
                <w:szCs w:val="18"/>
              </w:rPr>
              <w:t>综合衰减系数（</w:t>
            </w:r>
            <w:r w:rsidRPr="000B0AAF">
              <w:rPr>
                <w:rFonts w:eastAsiaTheme="minorEastAsia"/>
                <w:b/>
                <w:kern w:val="0"/>
                <w:sz w:val="18"/>
                <w:szCs w:val="18"/>
              </w:rPr>
              <w:t>1/d</w:t>
            </w:r>
            <w:r w:rsidRPr="000B0AAF">
              <w:rPr>
                <w:rFonts w:eastAsiaTheme="minorEastAsia"/>
                <w:b/>
                <w:kern w:val="0"/>
                <w:sz w:val="18"/>
                <w:szCs w:val="18"/>
              </w:rPr>
              <w:t>）</w:t>
            </w:r>
          </w:p>
        </w:tc>
        <w:tc>
          <w:tcPr>
            <w:tcW w:w="481" w:type="pct"/>
            <w:tcBorders>
              <w:top w:val="nil"/>
              <w:left w:val="nil"/>
              <w:bottom w:val="single" w:sz="4" w:space="0" w:color="auto"/>
              <w:right w:val="single" w:sz="4" w:space="0" w:color="auto"/>
            </w:tcBorders>
            <w:vAlign w:val="center"/>
          </w:tcPr>
          <w:p w14:paraId="2EA0D78C" w14:textId="77777777" w:rsidR="000B0AAF" w:rsidRPr="000B0AAF" w:rsidRDefault="000B0AAF" w:rsidP="007E48A3">
            <w:pPr>
              <w:spacing w:line="0" w:lineRule="atLeast"/>
              <w:jc w:val="center"/>
              <w:rPr>
                <w:rFonts w:eastAsiaTheme="minorEastAsia"/>
                <w:b/>
                <w:kern w:val="0"/>
                <w:sz w:val="18"/>
                <w:szCs w:val="18"/>
              </w:rPr>
            </w:pPr>
            <w:r w:rsidRPr="000B0AAF">
              <w:rPr>
                <w:rFonts w:eastAsiaTheme="minorEastAsia"/>
                <w:b/>
                <w:kern w:val="0"/>
                <w:sz w:val="18"/>
                <w:szCs w:val="18"/>
              </w:rPr>
              <w:t>纳污能力（</w:t>
            </w:r>
            <w:r w:rsidRPr="000B0AAF">
              <w:rPr>
                <w:rFonts w:eastAsiaTheme="minorEastAsia"/>
                <w:b/>
                <w:kern w:val="0"/>
                <w:sz w:val="18"/>
                <w:szCs w:val="18"/>
              </w:rPr>
              <w:t>t/a</w:t>
            </w:r>
            <w:r w:rsidRPr="000B0AAF">
              <w:rPr>
                <w:rFonts w:eastAsiaTheme="minorEastAsia"/>
                <w:b/>
                <w:kern w:val="0"/>
                <w:sz w:val="18"/>
                <w:szCs w:val="18"/>
              </w:rPr>
              <w:t>）</w:t>
            </w:r>
          </w:p>
        </w:tc>
      </w:tr>
      <w:tr w:rsidR="000B0AAF" w:rsidRPr="000B0AAF" w14:paraId="24CC9252" w14:textId="77777777" w:rsidTr="000B0AAF">
        <w:trPr>
          <w:trHeight w:val="1242"/>
        </w:trPr>
        <w:tc>
          <w:tcPr>
            <w:tcW w:w="228" w:type="pct"/>
            <w:vMerge w:val="restart"/>
            <w:tcBorders>
              <w:top w:val="nil"/>
              <w:left w:val="single" w:sz="4" w:space="0" w:color="auto"/>
              <w:right w:val="single" w:sz="4" w:space="0" w:color="auto"/>
            </w:tcBorders>
            <w:vAlign w:val="center"/>
          </w:tcPr>
          <w:p w14:paraId="3C0AE472" w14:textId="77777777" w:rsidR="000B0AAF" w:rsidRPr="000B0AAF" w:rsidRDefault="000B0AAF" w:rsidP="007E48A3">
            <w:pPr>
              <w:spacing w:line="0" w:lineRule="atLeast"/>
              <w:jc w:val="center"/>
              <w:rPr>
                <w:rFonts w:eastAsiaTheme="minorEastAsia"/>
                <w:kern w:val="0"/>
                <w:sz w:val="18"/>
                <w:szCs w:val="18"/>
              </w:rPr>
            </w:pPr>
            <w:r w:rsidRPr="000B0AAF">
              <w:rPr>
                <w:rFonts w:eastAsiaTheme="minorEastAsia"/>
                <w:kern w:val="0"/>
                <w:sz w:val="18"/>
                <w:szCs w:val="18"/>
              </w:rPr>
              <w:t>青海湖水系</w:t>
            </w:r>
          </w:p>
        </w:tc>
        <w:tc>
          <w:tcPr>
            <w:tcW w:w="228" w:type="pct"/>
            <w:vMerge w:val="restart"/>
            <w:tcBorders>
              <w:top w:val="nil"/>
              <w:left w:val="single" w:sz="4" w:space="0" w:color="auto"/>
              <w:right w:val="single" w:sz="4" w:space="0" w:color="auto"/>
            </w:tcBorders>
            <w:vAlign w:val="center"/>
          </w:tcPr>
          <w:p w14:paraId="08EAC940" w14:textId="77777777" w:rsidR="000B0AAF" w:rsidRPr="000B0AAF" w:rsidRDefault="000B0AAF" w:rsidP="007E48A3">
            <w:pPr>
              <w:spacing w:line="0" w:lineRule="atLeast"/>
              <w:jc w:val="center"/>
              <w:rPr>
                <w:rFonts w:eastAsiaTheme="minorEastAsia"/>
                <w:kern w:val="0"/>
                <w:sz w:val="18"/>
                <w:szCs w:val="18"/>
              </w:rPr>
            </w:pPr>
            <w:r w:rsidRPr="000B0AAF">
              <w:rPr>
                <w:rFonts w:eastAsiaTheme="minorEastAsia"/>
                <w:kern w:val="0"/>
                <w:sz w:val="18"/>
                <w:szCs w:val="18"/>
              </w:rPr>
              <w:t>沙珠玉河共和开发利用区</w:t>
            </w:r>
          </w:p>
        </w:tc>
        <w:tc>
          <w:tcPr>
            <w:tcW w:w="227" w:type="pct"/>
            <w:vMerge w:val="restart"/>
            <w:tcBorders>
              <w:top w:val="nil"/>
              <w:left w:val="single" w:sz="4" w:space="0" w:color="auto"/>
              <w:right w:val="single" w:sz="4" w:space="0" w:color="auto"/>
            </w:tcBorders>
            <w:vAlign w:val="center"/>
          </w:tcPr>
          <w:p w14:paraId="32375BF1" w14:textId="77777777" w:rsidR="000B0AAF" w:rsidRPr="000B0AAF" w:rsidRDefault="000B0AAF" w:rsidP="007E48A3">
            <w:pPr>
              <w:spacing w:line="0" w:lineRule="atLeast"/>
              <w:jc w:val="center"/>
              <w:rPr>
                <w:rFonts w:eastAsiaTheme="minorEastAsia"/>
                <w:kern w:val="0"/>
                <w:sz w:val="18"/>
                <w:szCs w:val="18"/>
              </w:rPr>
            </w:pPr>
            <w:r w:rsidRPr="000B0AAF">
              <w:rPr>
                <w:rFonts w:eastAsiaTheme="minorEastAsia"/>
                <w:kern w:val="0"/>
                <w:sz w:val="18"/>
                <w:szCs w:val="18"/>
              </w:rPr>
              <w:t>沙珠玉河共和农业用水区</w:t>
            </w:r>
          </w:p>
        </w:tc>
        <w:tc>
          <w:tcPr>
            <w:tcW w:w="434" w:type="pct"/>
            <w:tcBorders>
              <w:top w:val="nil"/>
              <w:left w:val="nil"/>
              <w:bottom w:val="single" w:sz="4" w:space="0" w:color="auto"/>
              <w:right w:val="single" w:sz="4" w:space="0" w:color="auto"/>
            </w:tcBorders>
            <w:noWrap/>
            <w:vAlign w:val="center"/>
          </w:tcPr>
          <w:p w14:paraId="10CEEF2A" w14:textId="77777777" w:rsidR="000B0AAF" w:rsidRPr="000B0AAF" w:rsidRDefault="000B0AAF" w:rsidP="007E48A3">
            <w:pPr>
              <w:spacing w:line="0" w:lineRule="atLeast"/>
              <w:jc w:val="center"/>
              <w:rPr>
                <w:rFonts w:eastAsiaTheme="minorEastAsia"/>
                <w:kern w:val="0"/>
                <w:sz w:val="18"/>
                <w:szCs w:val="18"/>
              </w:rPr>
            </w:pPr>
            <w:r w:rsidRPr="000B0AAF">
              <w:rPr>
                <w:rFonts w:eastAsiaTheme="minorEastAsia"/>
                <w:kern w:val="0"/>
                <w:sz w:val="18"/>
                <w:szCs w:val="18"/>
              </w:rPr>
              <w:t>2025</w:t>
            </w:r>
          </w:p>
        </w:tc>
        <w:tc>
          <w:tcPr>
            <w:tcW w:w="423" w:type="pct"/>
            <w:tcBorders>
              <w:top w:val="nil"/>
              <w:left w:val="nil"/>
              <w:bottom w:val="single" w:sz="4" w:space="0" w:color="auto"/>
              <w:right w:val="single" w:sz="4" w:space="0" w:color="auto"/>
            </w:tcBorders>
            <w:noWrap/>
            <w:vAlign w:val="center"/>
          </w:tcPr>
          <w:p w14:paraId="6DB9E417" w14:textId="77777777" w:rsidR="000B0AAF" w:rsidRPr="000B0AAF" w:rsidRDefault="000B0AAF" w:rsidP="007E48A3">
            <w:pPr>
              <w:spacing w:line="0" w:lineRule="atLeast"/>
              <w:jc w:val="center"/>
              <w:rPr>
                <w:rFonts w:eastAsiaTheme="minorEastAsia"/>
                <w:kern w:val="0"/>
                <w:sz w:val="18"/>
                <w:szCs w:val="18"/>
              </w:rPr>
            </w:pPr>
            <w:r w:rsidRPr="000B0AAF">
              <w:rPr>
                <w:rFonts w:eastAsiaTheme="minorEastAsia"/>
                <w:kern w:val="0"/>
                <w:sz w:val="18"/>
                <w:szCs w:val="18"/>
              </w:rPr>
              <w:t>20</w:t>
            </w:r>
          </w:p>
        </w:tc>
        <w:tc>
          <w:tcPr>
            <w:tcW w:w="505" w:type="pct"/>
            <w:tcBorders>
              <w:top w:val="nil"/>
              <w:left w:val="nil"/>
              <w:bottom w:val="single" w:sz="4" w:space="0" w:color="auto"/>
              <w:right w:val="single" w:sz="4" w:space="0" w:color="auto"/>
            </w:tcBorders>
            <w:noWrap/>
            <w:vAlign w:val="center"/>
          </w:tcPr>
          <w:p w14:paraId="0F702B4A" w14:textId="77777777" w:rsidR="000B0AAF" w:rsidRPr="000B0AAF" w:rsidRDefault="000B0AAF" w:rsidP="007E48A3">
            <w:pPr>
              <w:spacing w:line="0" w:lineRule="atLeast"/>
              <w:jc w:val="center"/>
              <w:rPr>
                <w:rFonts w:eastAsiaTheme="minorEastAsia"/>
                <w:kern w:val="0"/>
                <w:sz w:val="18"/>
                <w:szCs w:val="18"/>
              </w:rPr>
            </w:pPr>
            <w:r w:rsidRPr="000B0AAF">
              <w:rPr>
                <w:rFonts w:eastAsiaTheme="minorEastAsia"/>
                <w:kern w:val="0"/>
                <w:sz w:val="18"/>
                <w:szCs w:val="18"/>
              </w:rPr>
              <w:t>0.68</w:t>
            </w:r>
          </w:p>
        </w:tc>
        <w:tc>
          <w:tcPr>
            <w:tcW w:w="479" w:type="pct"/>
            <w:tcBorders>
              <w:top w:val="nil"/>
              <w:left w:val="nil"/>
              <w:bottom w:val="single" w:sz="4" w:space="0" w:color="auto"/>
              <w:right w:val="single" w:sz="4" w:space="0" w:color="auto"/>
            </w:tcBorders>
            <w:noWrap/>
            <w:vAlign w:val="center"/>
          </w:tcPr>
          <w:p w14:paraId="5D395CC5" w14:textId="77777777" w:rsidR="000B0AAF" w:rsidRPr="000B0AAF" w:rsidRDefault="000B0AAF" w:rsidP="007E48A3">
            <w:pPr>
              <w:spacing w:line="0" w:lineRule="atLeast"/>
              <w:jc w:val="center"/>
              <w:rPr>
                <w:rFonts w:eastAsiaTheme="minorEastAsia"/>
                <w:kern w:val="0"/>
                <w:sz w:val="18"/>
                <w:szCs w:val="18"/>
              </w:rPr>
            </w:pPr>
            <w:r w:rsidRPr="000B0AAF">
              <w:rPr>
                <w:rFonts w:eastAsiaTheme="minorEastAsia"/>
                <w:kern w:val="0"/>
                <w:sz w:val="18"/>
                <w:szCs w:val="18"/>
              </w:rPr>
              <w:t>0.2</w:t>
            </w:r>
          </w:p>
        </w:tc>
        <w:tc>
          <w:tcPr>
            <w:tcW w:w="481" w:type="pct"/>
            <w:tcBorders>
              <w:top w:val="nil"/>
              <w:left w:val="nil"/>
              <w:bottom w:val="single" w:sz="4" w:space="0" w:color="auto"/>
              <w:right w:val="single" w:sz="4" w:space="0" w:color="auto"/>
            </w:tcBorders>
            <w:noWrap/>
            <w:vAlign w:val="center"/>
          </w:tcPr>
          <w:p w14:paraId="7CA8D5D1" w14:textId="77777777" w:rsidR="000B0AAF" w:rsidRPr="000B0AAF" w:rsidRDefault="000B0AAF" w:rsidP="007E48A3">
            <w:pPr>
              <w:spacing w:line="0" w:lineRule="atLeast"/>
              <w:jc w:val="center"/>
              <w:rPr>
                <w:rFonts w:eastAsiaTheme="minorEastAsia"/>
                <w:kern w:val="0"/>
                <w:sz w:val="18"/>
                <w:szCs w:val="18"/>
              </w:rPr>
            </w:pPr>
            <w:r w:rsidRPr="000B0AAF">
              <w:rPr>
                <w:rFonts w:eastAsiaTheme="minorEastAsia"/>
                <w:kern w:val="0"/>
                <w:sz w:val="18"/>
                <w:szCs w:val="18"/>
              </w:rPr>
              <w:t>654.16</w:t>
            </w:r>
          </w:p>
        </w:tc>
        <w:tc>
          <w:tcPr>
            <w:tcW w:w="530" w:type="pct"/>
            <w:tcBorders>
              <w:top w:val="nil"/>
              <w:left w:val="nil"/>
              <w:bottom w:val="single" w:sz="4" w:space="0" w:color="auto"/>
              <w:right w:val="single" w:sz="4" w:space="0" w:color="auto"/>
            </w:tcBorders>
            <w:noWrap/>
            <w:vAlign w:val="center"/>
          </w:tcPr>
          <w:p w14:paraId="741FB479" w14:textId="77777777" w:rsidR="000B0AAF" w:rsidRPr="000B0AAF" w:rsidRDefault="000B0AAF" w:rsidP="007E48A3">
            <w:pPr>
              <w:spacing w:line="0" w:lineRule="atLeast"/>
              <w:jc w:val="center"/>
              <w:rPr>
                <w:rFonts w:eastAsiaTheme="minorEastAsia"/>
                <w:kern w:val="0"/>
                <w:sz w:val="18"/>
                <w:szCs w:val="18"/>
              </w:rPr>
            </w:pPr>
            <w:r w:rsidRPr="000B0AAF">
              <w:rPr>
                <w:rFonts w:eastAsiaTheme="minorEastAsia"/>
                <w:kern w:val="0"/>
                <w:sz w:val="18"/>
                <w:szCs w:val="18"/>
              </w:rPr>
              <w:t>1.0</w:t>
            </w:r>
          </w:p>
        </w:tc>
        <w:tc>
          <w:tcPr>
            <w:tcW w:w="505" w:type="pct"/>
            <w:tcBorders>
              <w:top w:val="nil"/>
              <w:left w:val="nil"/>
              <w:bottom w:val="single" w:sz="4" w:space="0" w:color="auto"/>
              <w:right w:val="single" w:sz="4" w:space="0" w:color="auto"/>
            </w:tcBorders>
            <w:noWrap/>
            <w:vAlign w:val="center"/>
          </w:tcPr>
          <w:p w14:paraId="7F5B8867" w14:textId="77777777" w:rsidR="000B0AAF" w:rsidRPr="000B0AAF" w:rsidRDefault="000B0AAF" w:rsidP="007E48A3">
            <w:pPr>
              <w:spacing w:line="0" w:lineRule="atLeast"/>
              <w:jc w:val="center"/>
              <w:rPr>
                <w:rFonts w:eastAsiaTheme="minorEastAsia"/>
                <w:kern w:val="0"/>
                <w:sz w:val="18"/>
                <w:szCs w:val="18"/>
              </w:rPr>
            </w:pPr>
            <w:r w:rsidRPr="000B0AAF">
              <w:rPr>
                <w:rFonts w:eastAsiaTheme="minorEastAsia"/>
                <w:kern w:val="0"/>
                <w:sz w:val="18"/>
                <w:szCs w:val="18"/>
              </w:rPr>
              <w:t>0.68</w:t>
            </w:r>
          </w:p>
        </w:tc>
        <w:tc>
          <w:tcPr>
            <w:tcW w:w="479" w:type="pct"/>
            <w:tcBorders>
              <w:top w:val="nil"/>
              <w:left w:val="nil"/>
              <w:bottom w:val="single" w:sz="4" w:space="0" w:color="auto"/>
              <w:right w:val="single" w:sz="4" w:space="0" w:color="auto"/>
            </w:tcBorders>
            <w:noWrap/>
            <w:vAlign w:val="center"/>
          </w:tcPr>
          <w:p w14:paraId="758CE0C2" w14:textId="77777777" w:rsidR="000B0AAF" w:rsidRPr="000B0AAF" w:rsidRDefault="000B0AAF" w:rsidP="007E48A3">
            <w:pPr>
              <w:spacing w:line="0" w:lineRule="atLeast"/>
              <w:jc w:val="center"/>
              <w:rPr>
                <w:rFonts w:eastAsiaTheme="minorEastAsia"/>
                <w:kern w:val="0"/>
                <w:sz w:val="18"/>
                <w:szCs w:val="18"/>
              </w:rPr>
            </w:pPr>
            <w:r w:rsidRPr="000B0AAF">
              <w:rPr>
                <w:rFonts w:eastAsiaTheme="minorEastAsia"/>
                <w:kern w:val="0"/>
                <w:sz w:val="18"/>
                <w:szCs w:val="18"/>
              </w:rPr>
              <w:t>0.15</w:t>
            </w:r>
          </w:p>
        </w:tc>
        <w:tc>
          <w:tcPr>
            <w:tcW w:w="481" w:type="pct"/>
            <w:tcBorders>
              <w:top w:val="nil"/>
              <w:left w:val="nil"/>
              <w:bottom w:val="single" w:sz="4" w:space="0" w:color="auto"/>
              <w:right w:val="single" w:sz="4" w:space="0" w:color="auto"/>
            </w:tcBorders>
            <w:noWrap/>
            <w:vAlign w:val="center"/>
          </w:tcPr>
          <w:p w14:paraId="389770BB" w14:textId="77777777" w:rsidR="000B0AAF" w:rsidRPr="000B0AAF" w:rsidRDefault="000B0AAF" w:rsidP="007E48A3">
            <w:pPr>
              <w:spacing w:line="0" w:lineRule="atLeast"/>
              <w:jc w:val="center"/>
              <w:rPr>
                <w:rFonts w:eastAsiaTheme="minorEastAsia"/>
                <w:kern w:val="0"/>
                <w:sz w:val="18"/>
                <w:szCs w:val="18"/>
              </w:rPr>
            </w:pPr>
            <w:r w:rsidRPr="000B0AAF">
              <w:rPr>
                <w:rFonts w:eastAsiaTheme="minorEastAsia"/>
                <w:kern w:val="0"/>
                <w:sz w:val="18"/>
                <w:szCs w:val="18"/>
              </w:rPr>
              <w:t>30.6</w:t>
            </w:r>
          </w:p>
        </w:tc>
      </w:tr>
      <w:tr w:rsidR="000B0AAF" w:rsidRPr="000B0AAF" w14:paraId="57304BD6" w14:textId="77777777" w:rsidTr="000B0AAF">
        <w:trPr>
          <w:trHeight w:val="397"/>
        </w:trPr>
        <w:tc>
          <w:tcPr>
            <w:tcW w:w="228" w:type="pct"/>
            <w:vMerge/>
            <w:tcBorders>
              <w:left w:val="single" w:sz="4" w:space="0" w:color="auto"/>
              <w:bottom w:val="single" w:sz="4" w:space="0" w:color="000000"/>
              <w:right w:val="single" w:sz="4" w:space="0" w:color="auto"/>
            </w:tcBorders>
            <w:vAlign w:val="center"/>
          </w:tcPr>
          <w:p w14:paraId="57162C34" w14:textId="77777777" w:rsidR="000B0AAF" w:rsidRPr="000B0AAF" w:rsidRDefault="000B0AAF" w:rsidP="007E48A3">
            <w:pPr>
              <w:spacing w:line="0" w:lineRule="atLeast"/>
              <w:jc w:val="center"/>
              <w:rPr>
                <w:rFonts w:eastAsiaTheme="minorEastAsia"/>
                <w:kern w:val="0"/>
                <w:sz w:val="18"/>
                <w:szCs w:val="18"/>
              </w:rPr>
            </w:pPr>
          </w:p>
        </w:tc>
        <w:tc>
          <w:tcPr>
            <w:tcW w:w="228" w:type="pct"/>
            <w:vMerge/>
            <w:tcBorders>
              <w:left w:val="single" w:sz="4" w:space="0" w:color="auto"/>
              <w:bottom w:val="single" w:sz="4" w:space="0" w:color="000000"/>
              <w:right w:val="single" w:sz="4" w:space="0" w:color="auto"/>
            </w:tcBorders>
            <w:vAlign w:val="center"/>
          </w:tcPr>
          <w:p w14:paraId="08AAAD9F" w14:textId="77777777" w:rsidR="000B0AAF" w:rsidRPr="000B0AAF" w:rsidRDefault="000B0AAF" w:rsidP="007E48A3">
            <w:pPr>
              <w:spacing w:line="0" w:lineRule="atLeast"/>
              <w:jc w:val="center"/>
              <w:rPr>
                <w:rFonts w:eastAsiaTheme="minorEastAsia"/>
                <w:kern w:val="0"/>
                <w:sz w:val="18"/>
                <w:szCs w:val="18"/>
              </w:rPr>
            </w:pPr>
          </w:p>
        </w:tc>
        <w:tc>
          <w:tcPr>
            <w:tcW w:w="227" w:type="pct"/>
            <w:vMerge/>
            <w:tcBorders>
              <w:left w:val="single" w:sz="4" w:space="0" w:color="auto"/>
              <w:bottom w:val="single" w:sz="4" w:space="0" w:color="000000"/>
              <w:right w:val="single" w:sz="4" w:space="0" w:color="auto"/>
            </w:tcBorders>
            <w:vAlign w:val="center"/>
          </w:tcPr>
          <w:p w14:paraId="16D3615D" w14:textId="77777777" w:rsidR="000B0AAF" w:rsidRPr="000B0AAF" w:rsidRDefault="000B0AAF" w:rsidP="007E48A3">
            <w:pPr>
              <w:spacing w:line="0" w:lineRule="atLeast"/>
              <w:jc w:val="center"/>
              <w:rPr>
                <w:rFonts w:eastAsiaTheme="minorEastAsia"/>
                <w:kern w:val="0"/>
                <w:sz w:val="18"/>
                <w:szCs w:val="18"/>
              </w:rPr>
            </w:pPr>
          </w:p>
        </w:tc>
        <w:tc>
          <w:tcPr>
            <w:tcW w:w="434" w:type="pct"/>
            <w:tcBorders>
              <w:top w:val="nil"/>
              <w:left w:val="nil"/>
              <w:bottom w:val="single" w:sz="4" w:space="0" w:color="auto"/>
              <w:right w:val="single" w:sz="4" w:space="0" w:color="auto"/>
            </w:tcBorders>
            <w:noWrap/>
            <w:vAlign w:val="center"/>
          </w:tcPr>
          <w:p w14:paraId="464AF3E4" w14:textId="77777777" w:rsidR="000B0AAF" w:rsidRPr="000B0AAF" w:rsidRDefault="000B0AAF" w:rsidP="007E48A3">
            <w:pPr>
              <w:spacing w:line="0" w:lineRule="atLeast"/>
              <w:jc w:val="center"/>
              <w:rPr>
                <w:rFonts w:eastAsiaTheme="minorEastAsia"/>
                <w:kern w:val="0"/>
                <w:sz w:val="18"/>
                <w:szCs w:val="18"/>
              </w:rPr>
            </w:pPr>
            <w:r w:rsidRPr="000B0AAF">
              <w:rPr>
                <w:rFonts w:eastAsiaTheme="minorEastAsia"/>
                <w:kern w:val="0"/>
                <w:sz w:val="18"/>
                <w:szCs w:val="18"/>
              </w:rPr>
              <w:t>2035</w:t>
            </w:r>
          </w:p>
        </w:tc>
        <w:tc>
          <w:tcPr>
            <w:tcW w:w="423" w:type="pct"/>
            <w:tcBorders>
              <w:top w:val="nil"/>
              <w:left w:val="nil"/>
              <w:bottom w:val="single" w:sz="4" w:space="0" w:color="auto"/>
              <w:right w:val="single" w:sz="4" w:space="0" w:color="auto"/>
            </w:tcBorders>
            <w:noWrap/>
            <w:vAlign w:val="center"/>
          </w:tcPr>
          <w:p w14:paraId="447B5A21" w14:textId="77777777" w:rsidR="000B0AAF" w:rsidRPr="000B0AAF" w:rsidRDefault="000B0AAF" w:rsidP="007E48A3">
            <w:pPr>
              <w:spacing w:line="0" w:lineRule="atLeast"/>
              <w:jc w:val="center"/>
              <w:rPr>
                <w:rFonts w:eastAsiaTheme="minorEastAsia"/>
                <w:kern w:val="0"/>
                <w:sz w:val="18"/>
                <w:szCs w:val="18"/>
              </w:rPr>
            </w:pPr>
            <w:r w:rsidRPr="000B0AAF">
              <w:rPr>
                <w:rFonts w:eastAsiaTheme="minorEastAsia"/>
                <w:kern w:val="0"/>
                <w:sz w:val="18"/>
                <w:szCs w:val="18"/>
              </w:rPr>
              <w:t>20</w:t>
            </w:r>
          </w:p>
        </w:tc>
        <w:tc>
          <w:tcPr>
            <w:tcW w:w="505" w:type="pct"/>
            <w:tcBorders>
              <w:top w:val="nil"/>
              <w:left w:val="nil"/>
              <w:bottom w:val="single" w:sz="4" w:space="0" w:color="auto"/>
              <w:right w:val="single" w:sz="4" w:space="0" w:color="auto"/>
            </w:tcBorders>
            <w:noWrap/>
            <w:vAlign w:val="center"/>
          </w:tcPr>
          <w:p w14:paraId="4B3D77D5" w14:textId="77777777" w:rsidR="000B0AAF" w:rsidRPr="000B0AAF" w:rsidRDefault="000B0AAF" w:rsidP="007E48A3">
            <w:pPr>
              <w:spacing w:line="0" w:lineRule="atLeast"/>
              <w:jc w:val="center"/>
              <w:rPr>
                <w:rFonts w:eastAsiaTheme="minorEastAsia"/>
                <w:kern w:val="0"/>
                <w:sz w:val="18"/>
                <w:szCs w:val="18"/>
              </w:rPr>
            </w:pPr>
            <w:r w:rsidRPr="000B0AAF">
              <w:rPr>
                <w:rFonts w:eastAsiaTheme="minorEastAsia"/>
                <w:kern w:val="0"/>
                <w:sz w:val="18"/>
                <w:szCs w:val="18"/>
              </w:rPr>
              <w:t>0.68</w:t>
            </w:r>
          </w:p>
        </w:tc>
        <w:tc>
          <w:tcPr>
            <w:tcW w:w="479" w:type="pct"/>
            <w:tcBorders>
              <w:top w:val="nil"/>
              <w:left w:val="nil"/>
              <w:bottom w:val="single" w:sz="4" w:space="0" w:color="auto"/>
              <w:right w:val="single" w:sz="4" w:space="0" w:color="auto"/>
            </w:tcBorders>
            <w:noWrap/>
            <w:vAlign w:val="center"/>
          </w:tcPr>
          <w:p w14:paraId="102B0A09" w14:textId="77777777" w:rsidR="000B0AAF" w:rsidRPr="000B0AAF" w:rsidRDefault="000B0AAF" w:rsidP="007E48A3">
            <w:pPr>
              <w:spacing w:line="0" w:lineRule="atLeast"/>
              <w:jc w:val="center"/>
              <w:rPr>
                <w:rFonts w:eastAsiaTheme="minorEastAsia"/>
                <w:kern w:val="0"/>
                <w:sz w:val="18"/>
                <w:szCs w:val="18"/>
              </w:rPr>
            </w:pPr>
            <w:r w:rsidRPr="000B0AAF">
              <w:rPr>
                <w:rFonts w:eastAsiaTheme="minorEastAsia"/>
                <w:kern w:val="0"/>
                <w:sz w:val="18"/>
                <w:szCs w:val="18"/>
              </w:rPr>
              <w:t>0.2</w:t>
            </w:r>
          </w:p>
        </w:tc>
        <w:tc>
          <w:tcPr>
            <w:tcW w:w="481" w:type="pct"/>
            <w:tcBorders>
              <w:top w:val="nil"/>
              <w:left w:val="nil"/>
              <w:bottom w:val="single" w:sz="4" w:space="0" w:color="auto"/>
              <w:right w:val="single" w:sz="4" w:space="0" w:color="auto"/>
            </w:tcBorders>
            <w:noWrap/>
            <w:vAlign w:val="center"/>
          </w:tcPr>
          <w:p w14:paraId="5E2CC513" w14:textId="77777777" w:rsidR="000B0AAF" w:rsidRPr="000B0AAF" w:rsidRDefault="000B0AAF" w:rsidP="007E48A3">
            <w:pPr>
              <w:spacing w:line="0" w:lineRule="atLeast"/>
              <w:jc w:val="center"/>
              <w:rPr>
                <w:rFonts w:eastAsiaTheme="minorEastAsia"/>
                <w:kern w:val="0"/>
                <w:sz w:val="18"/>
                <w:szCs w:val="18"/>
              </w:rPr>
            </w:pPr>
            <w:r w:rsidRPr="000B0AAF">
              <w:rPr>
                <w:rFonts w:eastAsiaTheme="minorEastAsia"/>
                <w:kern w:val="0"/>
                <w:sz w:val="18"/>
                <w:szCs w:val="18"/>
              </w:rPr>
              <w:t>654.16</w:t>
            </w:r>
          </w:p>
        </w:tc>
        <w:tc>
          <w:tcPr>
            <w:tcW w:w="530" w:type="pct"/>
            <w:tcBorders>
              <w:top w:val="nil"/>
              <w:left w:val="nil"/>
              <w:bottom w:val="single" w:sz="4" w:space="0" w:color="auto"/>
              <w:right w:val="single" w:sz="4" w:space="0" w:color="auto"/>
            </w:tcBorders>
            <w:noWrap/>
            <w:vAlign w:val="center"/>
          </w:tcPr>
          <w:p w14:paraId="76914084" w14:textId="77777777" w:rsidR="000B0AAF" w:rsidRPr="000B0AAF" w:rsidRDefault="000B0AAF" w:rsidP="007E48A3">
            <w:pPr>
              <w:spacing w:line="0" w:lineRule="atLeast"/>
              <w:jc w:val="center"/>
              <w:rPr>
                <w:rFonts w:eastAsiaTheme="minorEastAsia"/>
                <w:kern w:val="0"/>
                <w:sz w:val="18"/>
                <w:szCs w:val="18"/>
              </w:rPr>
            </w:pPr>
            <w:r w:rsidRPr="000B0AAF">
              <w:rPr>
                <w:rFonts w:eastAsiaTheme="minorEastAsia"/>
                <w:kern w:val="0"/>
                <w:sz w:val="18"/>
                <w:szCs w:val="18"/>
              </w:rPr>
              <w:t>1.0</w:t>
            </w:r>
          </w:p>
        </w:tc>
        <w:tc>
          <w:tcPr>
            <w:tcW w:w="505" w:type="pct"/>
            <w:tcBorders>
              <w:top w:val="nil"/>
              <w:left w:val="nil"/>
              <w:bottom w:val="single" w:sz="4" w:space="0" w:color="auto"/>
              <w:right w:val="single" w:sz="4" w:space="0" w:color="auto"/>
            </w:tcBorders>
            <w:noWrap/>
            <w:vAlign w:val="center"/>
          </w:tcPr>
          <w:p w14:paraId="3D650742" w14:textId="77777777" w:rsidR="000B0AAF" w:rsidRPr="000B0AAF" w:rsidRDefault="000B0AAF" w:rsidP="007E48A3">
            <w:pPr>
              <w:spacing w:line="0" w:lineRule="atLeast"/>
              <w:jc w:val="center"/>
              <w:rPr>
                <w:rFonts w:eastAsiaTheme="minorEastAsia"/>
                <w:kern w:val="0"/>
                <w:sz w:val="18"/>
                <w:szCs w:val="18"/>
              </w:rPr>
            </w:pPr>
            <w:r w:rsidRPr="000B0AAF">
              <w:rPr>
                <w:rFonts w:eastAsiaTheme="minorEastAsia"/>
                <w:kern w:val="0"/>
                <w:sz w:val="18"/>
                <w:szCs w:val="18"/>
              </w:rPr>
              <w:t>0.68</w:t>
            </w:r>
          </w:p>
        </w:tc>
        <w:tc>
          <w:tcPr>
            <w:tcW w:w="479" w:type="pct"/>
            <w:tcBorders>
              <w:top w:val="nil"/>
              <w:left w:val="nil"/>
              <w:bottom w:val="single" w:sz="4" w:space="0" w:color="auto"/>
              <w:right w:val="single" w:sz="4" w:space="0" w:color="auto"/>
            </w:tcBorders>
            <w:noWrap/>
            <w:vAlign w:val="center"/>
          </w:tcPr>
          <w:p w14:paraId="67D439D4" w14:textId="77777777" w:rsidR="000B0AAF" w:rsidRPr="000B0AAF" w:rsidRDefault="000B0AAF" w:rsidP="007E48A3">
            <w:pPr>
              <w:spacing w:line="0" w:lineRule="atLeast"/>
              <w:jc w:val="center"/>
              <w:rPr>
                <w:rFonts w:eastAsiaTheme="minorEastAsia"/>
                <w:kern w:val="0"/>
                <w:sz w:val="18"/>
                <w:szCs w:val="18"/>
              </w:rPr>
            </w:pPr>
            <w:r w:rsidRPr="000B0AAF">
              <w:rPr>
                <w:rFonts w:eastAsiaTheme="minorEastAsia"/>
                <w:kern w:val="0"/>
                <w:sz w:val="18"/>
                <w:szCs w:val="18"/>
              </w:rPr>
              <w:t>0.15</w:t>
            </w:r>
          </w:p>
        </w:tc>
        <w:tc>
          <w:tcPr>
            <w:tcW w:w="481" w:type="pct"/>
            <w:tcBorders>
              <w:top w:val="nil"/>
              <w:left w:val="nil"/>
              <w:bottom w:val="single" w:sz="4" w:space="0" w:color="auto"/>
              <w:right w:val="single" w:sz="4" w:space="0" w:color="auto"/>
            </w:tcBorders>
            <w:noWrap/>
            <w:vAlign w:val="center"/>
          </w:tcPr>
          <w:p w14:paraId="53BB6576" w14:textId="77777777" w:rsidR="000B0AAF" w:rsidRPr="000B0AAF" w:rsidRDefault="000B0AAF" w:rsidP="007E48A3">
            <w:pPr>
              <w:spacing w:line="0" w:lineRule="atLeast"/>
              <w:jc w:val="center"/>
              <w:rPr>
                <w:rFonts w:eastAsiaTheme="minorEastAsia"/>
                <w:kern w:val="0"/>
                <w:sz w:val="18"/>
                <w:szCs w:val="18"/>
              </w:rPr>
            </w:pPr>
            <w:r w:rsidRPr="000B0AAF">
              <w:rPr>
                <w:rFonts w:eastAsiaTheme="minorEastAsia"/>
                <w:kern w:val="0"/>
                <w:sz w:val="18"/>
                <w:szCs w:val="18"/>
              </w:rPr>
              <w:t>30.6</w:t>
            </w:r>
          </w:p>
        </w:tc>
      </w:tr>
    </w:tbl>
    <w:p w14:paraId="7BC619A6" w14:textId="77777777" w:rsidR="00372953" w:rsidRPr="000549B1" w:rsidRDefault="00372953" w:rsidP="00372953">
      <w:pPr>
        <w:pStyle w:val="4"/>
        <w:rPr>
          <w:rFonts w:ascii="Times New Roman" w:hAnsi="Times New Roman"/>
        </w:rPr>
      </w:pPr>
      <w:r w:rsidRPr="000549B1">
        <w:rPr>
          <w:rFonts w:ascii="Times New Roman" w:hAnsi="Times New Roman"/>
        </w:rPr>
        <w:t>水环境承载状况分析</w:t>
      </w:r>
    </w:p>
    <w:p w14:paraId="79D302B1" w14:textId="0732717F" w:rsidR="00372953" w:rsidRDefault="00372953" w:rsidP="00372953">
      <w:pPr>
        <w:snapToGrid w:val="0"/>
        <w:spacing w:line="360" w:lineRule="auto"/>
        <w:ind w:firstLineChars="196" w:firstLine="470"/>
        <w:rPr>
          <w:rFonts w:eastAsiaTheme="minorEastAsia"/>
          <w:bCs/>
          <w:sz w:val="24"/>
          <w:szCs w:val="24"/>
        </w:rPr>
      </w:pPr>
      <w:r w:rsidRPr="000549B1">
        <w:rPr>
          <w:rFonts w:eastAsiaTheme="minorEastAsia"/>
          <w:bCs/>
          <w:sz w:val="24"/>
          <w:szCs w:val="24"/>
        </w:rPr>
        <w:t>现状年沙珠玉河流域主要污染物入河量</w:t>
      </w:r>
      <w:r w:rsidRPr="00372953">
        <w:rPr>
          <w:rFonts w:eastAsiaTheme="minorEastAsia" w:hint="eastAsia"/>
          <w:bCs/>
          <w:sz w:val="24"/>
          <w:szCs w:val="24"/>
        </w:rPr>
        <w:t>COD333.02t/a</w:t>
      </w:r>
      <w:r w:rsidRPr="00372953">
        <w:rPr>
          <w:rFonts w:eastAsiaTheme="minorEastAsia" w:hint="eastAsia"/>
          <w:bCs/>
          <w:sz w:val="24"/>
          <w:szCs w:val="24"/>
        </w:rPr>
        <w:t>、氨氮</w:t>
      </w:r>
      <w:r w:rsidRPr="00372953">
        <w:rPr>
          <w:rFonts w:eastAsiaTheme="minorEastAsia" w:hint="eastAsia"/>
          <w:bCs/>
          <w:sz w:val="24"/>
          <w:szCs w:val="24"/>
        </w:rPr>
        <w:t>4.37t/a</w:t>
      </w:r>
      <w:r w:rsidRPr="00372953">
        <w:rPr>
          <w:rFonts w:eastAsiaTheme="minorEastAsia"/>
          <w:bCs/>
          <w:sz w:val="24"/>
          <w:szCs w:val="24"/>
        </w:rPr>
        <w:t>，未</w:t>
      </w:r>
      <w:r w:rsidRPr="000549B1">
        <w:rPr>
          <w:rFonts w:eastAsiaTheme="minorEastAsia"/>
          <w:bCs/>
          <w:sz w:val="24"/>
          <w:szCs w:val="24"/>
        </w:rPr>
        <w:t>超出水体纳污能力；支流切吉河、直亥买沟未划分水功能区，现状监测水质均为</w:t>
      </w:r>
      <w:r w:rsidRPr="000549B1">
        <w:rPr>
          <w:rFonts w:eastAsiaTheme="minorEastAsia"/>
          <w:bCs/>
          <w:sz w:val="24"/>
          <w:szCs w:val="24"/>
        </w:rPr>
        <w:t>Ⅱ~Ⅲ</w:t>
      </w:r>
      <w:r w:rsidRPr="000549B1">
        <w:rPr>
          <w:rFonts w:eastAsiaTheme="minorEastAsia"/>
          <w:bCs/>
          <w:sz w:val="24"/>
          <w:szCs w:val="24"/>
        </w:rPr>
        <w:t>类，流域总体水质较好。沙珠玉河流域现状年水环境承载能力评价结果见</w:t>
      </w:r>
      <w:r w:rsidRPr="00372953">
        <w:rPr>
          <w:rFonts w:eastAsiaTheme="minorEastAsia"/>
          <w:bCs/>
          <w:sz w:val="24"/>
          <w:szCs w:val="24"/>
        </w:rPr>
        <w:t>表</w:t>
      </w:r>
      <w:r w:rsidRPr="00372953">
        <w:rPr>
          <w:rFonts w:eastAsiaTheme="minorEastAsia"/>
          <w:bCs/>
          <w:sz w:val="24"/>
          <w:szCs w:val="24"/>
        </w:rPr>
        <w:t>3.3</w:t>
      </w:r>
      <w:r w:rsidRPr="00372953">
        <w:rPr>
          <w:rFonts w:eastAsiaTheme="minorEastAsia"/>
          <w:bCs/>
          <w:sz w:val="24"/>
          <w:szCs w:val="24"/>
        </w:rPr>
        <w:noBreakHyphen/>
        <w:t>29</w:t>
      </w:r>
      <w:r w:rsidRPr="000549B1">
        <w:rPr>
          <w:rFonts w:eastAsiaTheme="minorEastAsia"/>
          <w:bCs/>
          <w:sz w:val="24"/>
          <w:szCs w:val="24"/>
        </w:rPr>
        <w:t>。</w:t>
      </w:r>
    </w:p>
    <w:p w14:paraId="2F1B3737" w14:textId="524CC40B" w:rsidR="00372953" w:rsidRPr="000549B1" w:rsidRDefault="00372953" w:rsidP="00372953">
      <w:pPr>
        <w:pStyle w:val="aff8"/>
        <w:rPr>
          <w:rFonts w:eastAsiaTheme="minorEastAsia"/>
          <w:color w:val="auto"/>
          <w:szCs w:val="21"/>
        </w:rPr>
      </w:pPr>
      <w:bookmarkStart w:id="242" w:name="_Ref214978895"/>
      <w:r w:rsidRPr="000549B1">
        <w:rPr>
          <w:color w:val="auto"/>
        </w:rPr>
        <w:t>表</w:t>
      </w:r>
      <w:r>
        <w:rPr>
          <w:color w:val="auto"/>
        </w:rPr>
        <w:fldChar w:fldCharType="begin"/>
      </w:r>
      <w:r>
        <w:rPr>
          <w:color w:val="auto"/>
        </w:rPr>
        <w:instrText xml:space="preserve"> STYLEREF 2 \s </w:instrText>
      </w:r>
      <w:r>
        <w:rPr>
          <w:color w:val="auto"/>
        </w:rPr>
        <w:fldChar w:fldCharType="separate"/>
      </w:r>
      <w:r>
        <w:rPr>
          <w:noProof/>
          <w:color w:val="auto"/>
        </w:rPr>
        <w:t>3.3</w:t>
      </w:r>
      <w:r>
        <w:rPr>
          <w:color w:val="auto"/>
        </w:rPr>
        <w:fldChar w:fldCharType="end"/>
      </w:r>
      <w:r>
        <w:rPr>
          <w:color w:val="auto"/>
        </w:rPr>
        <w:noBreakHyphen/>
      </w:r>
      <w:r>
        <w:rPr>
          <w:color w:val="auto"/>
        </w:rPr>
        <w:fldChar w:fldCharType="begin"/>
      </w:r>
      <w:r>
        <w:rPr>
          <w:color w:val="auto"/>
        </w:rPr>
        <w:instrText xml:space="preserve"> SEQ </w:instrText>
      </w:r>
      <w:r>
        <w:rPr>
          <w:color w:val="auto"/>
        </w:rPr>
        <w:instrText>表</w:instrText>
      </w:r>
      <w:r>
        <w:rPr>
          <w:color w:val="auto"/>
        </w:rPr>
        <w:instrText xml:space="preserve"> \* ARABIC \s 2 </w:instrText>
      </w:r>
      <w:r>
        <w:rPr>
          <w:color w:val="auto"/>
        </w:rPr>
        <w:fldChar w:fldCharType="separate"/>
      </w:r>
      <w:r>
        <w:rPr>
          <w:noProof/>
          <w:color w:val="auto"/>
        </w:rPr>
        <w:t>29</w:t>
      </w:r>
      <w:r>
        <w:rPr>
          <w:color w:val="auto"/>
        </w:rPr>
        <w:fldChar w:fldCharType="end"/>
      </w:r>
      <w:bookmarkEnd w:id="242"/>
      <w:r w:rsidRPr="000549B1">
        <w:rPr>
          <w:rFonts w:eastAsiaTheme="minorEastAsia"/>
          <w:color w:val="auto"/>
          <w:szCs w:val="21"/>
        </w:rPr>
        <w:t>流域现状年水环境承载能力评价表</w:t>
      </w:r>
    </w:p>
    <w:tbl>
      <w:tblPr>
        <w:tblW w:w="8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0"/>
        <w:gridCol w:w="1786"/>
        <w:gridCol w:w="2537"/>
        <w:gridCol w:w="850"/>
        <w:gridCol w:w="810"/>
        <w:gridCol w:w="823"/>
        <w:gridCol w:w="898"/>
      </w:tblGrid>
      <w:tr w:rsidR="00372953" w:rsidRPr="000549B1" w14:paraId="63435498" w14:textId="77777777" w:rsidTr="007E48A3">
        <w:trPr>
          <w:trHeight w:val="508"/>
          <w:jc w:val="center"/>
        </w:trPr>
        <w:tc>
          <w:tcPr>
            <w:tcW w:w="650" w:type="dxa"/>
            <w:vMerge w:val="restart"/>
            <w:tcMar>
              <w:left w:w="57" w:type="dxa"/>
              <w:right w:w="57" w:type="dxa"/>
            </w:tcMar>
            <w:vAlign w:val="center"/>
          </w:tcPr>
          <w:p w14:paraId="4221F6A6" w14:textId="77777777" w:rsidR="00372953" w:rsidRPr="000549B1" w:rsidRDefault="00372953" w:rsidP="007E48A3">
            <w:pPr>
              <w:widowControl/>
              <w:snapToGrid w:val="0"/>
              <w:jc w:val="center"/>
              <w:rPr>
                <w:bCs/>
                <w:kern w:val="0"/>
                <w:szCs w:val="21"/>
              </w:rPr>
            </w:pPr>
            <w:r w:rsidRPr="000549B1">
              <w:rPr>
                <w:bCs/>
                <w:kern w:val="0"/>
                <w:szCs w:val="21"/>
              </w:rPr>
              <w:t>河流</w:t>
            </w:r>
          </w:p>
        </w:tc>
        <w:tc>
          <w:tcPr>
            <w:tcW w:w="1786" w:type="dxa"/>
            <w:vMerge w:val="restart"/>
            <w:tcMar>
              <w:left w:w="57" w:type="dxa"/>
              <w:right w:w="57" w:type="dxa"/>
            </w:tcMar>
            <w:vAlign w:val="center"/>
          </w:tcPr>
          <w:p w14:paraId="2C000497" w14:textId="77777777" w:rsidR="00372953" w:rsidRPr="000549B1" w:rsidRDefault="00372953" w:rsidP="007E48A3">
            <w:pPr>
              <w:widowControl/>
              <w:snapToGrid w:val="0"/>
              <w:jc w:val="center"/>
              <w:rPr>
                <w:bCs/>
                <w:kern w:val="0"/>
                <w:szCs w:val="21"/>
              </w:rPr>
            </w:pPr>
            <w:r w:rsidRPr="000549B1">
              <w:rPr>
                <w:bCs/>
                <w:kern w:val="0"/>
                <w:szCs w:val="21"/>
              </w:rPr>
              <w:t>一级水功能区名称</w:t>
            </w:r>
          </w:p>
        </w:tc>
        <w:tc>
          <w:tcPr>
            <w:tcW w:w="2537" w:type="dxa"/>
            <w:vMerge w:val="restart"/>
            <w:tcMar>
              <w:left w:w="57" w:type="dxa"/>
              <w:right w:w="57" w:type="dxa"/>
            </w:tcMar>
            <w:vAlign w:val="center"/>
          </w:tcPr>
          <w:p w14:paraId="17BCD6DF" w14:textId="77777777" w:rsidR="00372953" w:rsidRPr="000549B1" w:rsidRDefault="00372953" w:rsidP="007E48A3">
            <w:pPr>
              <w:widowControl/>
              <w:snapToGrid w:val="0"/>
              <w:jc w:val="center"/>
              <w:rPr>
                <w:bCs/>
                <w:kern w:val="0"/>
                <w:szCs w:val="21"/>
              </w:rPr>
            </w:pPr>
            <w:r w:rsidRPr="000549B1">
              <w:rPr>
                <w:bCs/>
                <w:kern w:val="0"/>
                <w:szCs w:val="21"/>
              </w:rPr>
              <w:t>二级水功能区名称</w:t>
            </w:r>
          </w:p>
        </w:tc>
        <w:tc>
          <w:tcPr>
            <w:tcW w:w="1660" w:type="dxa"/>
            <w:gridSpan w:val="2"/>
            <w:tcMar>
              <w:left w:w="57" w:type="dxa"/>
              <w:right w:w="57" w:type="dxa"/>
            </w:tcMar>
            <w:vAlign w:val="center"/>
          </w:tcPr>
          <w:p w14:paraId="428BDD76" w14:textId="77777777" w:rsidR="00372953" w:rsidRPr="000549B1" w:rsidRDefault="00372953" w:rsidP="007E48A3">
            <w:pPr>
              <w:widowControl/>
              <w:snapToGrid w:val="0"/>
              <w:jc w:val="center"/>
              <w:rPr>
                <w:bCs/>
                <w:kern w:val="0"/>
                <w:szCs w:val="21"/>
              </w:rPr>
            </w:pPr>
            <w:r w:rsidRPr="000549B1">
              <w:rPr>
                <w:bCs/>
                <w:kern w:val="0"/>
                <w:szCs w:val="21"/>
              </w:rPr>
              <w:t>现状纳污能力（</w:t>
            </w:r>
            <w:r w:rsidRPr="000549B1">
              <w:rPr>
                <w:bCs/>
                <w:kern w:val="0"/>
                <w:szCs w:val="21"/>
              </w:rPr>
              <w:t>t/a</w:t>
            </w:r>
            <w:r w:rsidRPr="000549B1">
              <w:rPr>
                <w:bCs/>
                <w:kern w:val="0"/>
                <w:szCs w:val="21"/>
              </w:rPr>
              <w:t>）</w:t>
            </w:r>
          </w:p>
        </w:tc>
        <w:tc>
          <w:tcPr>
            <w:tcW w:w="1721" w:type="dxa"/>
            <w:gridSpan w:val="2"/>
            <w:tcMar>
              <w:left w:w="57" w:type="dxa"/>
              <w:right w:w="57" w:type="dxa"/>
            </w:tcMar>
            <w:vAlign w:val="center"/>
          </w:tcPr>
          <w:p w14:paraId="0ABBD768" w14:textId="77777777" w:rsidR="00372953" w:rsidRPr="000549B1" w:rsidRDefault="00372953" w:rsidP="007E48A3">
            <w:pPr>
              <w:widowControl/>
              <w:snapToGrid w:val="0"/>
              <w:jc w:val="center"/>
              <w:rPr>
                <w:bCs/>
                <w:kern w:val="0"/>
                <w:szCs w:val="21"/>
              </w:rPr>
            </w:pPr>
            <w:r w:rsidRPr="000549B1">
              <w:rPr>
                <w:bCs/>
                <w:kern w:val="0"/>
                <w:szCs w:val="21"/>
              </w:rPr>
              <w:t>现状污染物入河量（</w:t>
            </w:r>
            <w:r w:rsidRPr="000549B1">
              <w:rPr>
                <w:bCs/>
                <w:kern w:val="0"/>
                <w:szCs w:val="21"/>
              </w:rPr>
              <w:t>t/a</w:t>
            </w:r>
            <w:r w:rsidRPr="000549B1">
              <w:rPr>
                <w:bCs/>
                <w:kern w:val="0"/>
                <w:szCs w:val="21"/>
              </w:rPr>
              <w:t>）</w:t>
            </w:r>
          </w:p>
        </w:tc>
      </w:tr>
      <w:tr w:rsidR="00372953" w:rsidRPr="000549B1" w14:paraId="33B78698" w14:textId="77777777" w:rsidTr="007E48A3">
        <w:trPr>
          <w:trHeight w:val="258"/>
          <w:jc w:val="center"/>
        </w:trPr>
        <w:tc>
          <w:tcPr>
            <w:tcW w:w="650" w:type="dxa"/>
            <w:vMerge/>
            <w:tcMar>
              <w:left w:w="57" w:type="dxa"/>
              <w:right w:w="57" w:type="dxa"/>
            </w:tcMar>
            <w:vAlign w:val="center"/>
          </w:tcPr>
          <w:p w14:paraId="291144AE" w14:textId="77777777" w:rsidR="00372953" w:rsidRPr="000549B1" w:rsidRDefault="00372953" w:rsidP="007E48A3">
            <w:pPr>
              <w:widowControl/>
              <w:snapToGrid w:val="0"/>
              <w:jc w:val="center"/>
              <w:rPr>
                <w:bCs/>
                <w:kern w:val="0"/>
                <w:szCs w:val="21"/>
              </w:rPr>
            </w:pPr>
          </w:p>
        </w:tc>
        <w:tc>
          <w:tcPr>
            <w:tcW w:w="1786" w:type="dxa"/>
            <w:vMerge/>
            <w:tcMar>
              <w:left w:w="57" w:type="dxa"/>
              <w:right w:w="57" w:type="dxa"/>
            </w:tcMar>
            <w:vAlign w:val="center"/>
          </w:tcPr>
          <w:p w14:paraId="16848B8C" w14:textId="77777777" w:rsidR="00372953" w:rsidRPr="000549B1" w:rsidRDefault="00372953" w:rsidP="007E48A3">
            <w:pPr>
              <w:widowControl/>
              <w:snapToGrid w:val="0"/>
              <w:jc w:val="center"/>
              <w:rPr>
                <w:bCs/>
                <w:kern w:val="0"/>
                <w:szCs w:val="21"/>
              </w:rPr>
            </w:pPr>
          </w:p>
        </w:tc>
        <w:tc>
          <w:tcPr>
            <w:tcW w:w="2537" w:type="dxa"/>
            <w:vMerge/>
            <w:tcMar>
              <w:left w:w="57" w:type="dxa"/>
              <w:right w:w="57" w:type="dxa"/>
            </w:tcMar>
            <w:vAlign w:val="center"/>
          </w:tcPr>
          <w:p w14:paraId="75EA4682" w14:textId="77777777" w:rsidR="00372953" w:rsidRPr="000549B1" w:rsidRDefault="00372953" w:rsidP="007E48A3">
            <w:pPr>
              <w:widowControl/>
              <w:snapToGrid w:val="0"/>
              <w:jc w:val="center"/>
              <w:rPr>
                <w:bCs/>
                <w:kern w:val="0"/>
                <w:szCs w:val="21"/>
              </w:rPr>
            </w:pPr>
          </w:p>
        </w:tc>
        <w:tc>
          <w:tcPr>
            <w:tcW w:w="850" w:type="dxa"/>
            <w:tcMar>
              <w:left w:w="57" w:type="dxa"/>
              <w:right w:w="57" w:type="dxa"/>
            </w:tcMar>
            <w:vAlign w:val="center"/>
          </w:tcPr>
          <w:p w14:paraId="379FE276" w14:textId="77777777" w:rsidR="00372953" w:rsidRPr="000549B1" w:rsidRDefault="00372953" w:rsidP="007E48A3">
            <w:pPr>
              <w:widowControl/>
              <w:snapToGrid w:val="0"/>
              <w:jc w:val="center"/>
              <w:rPr>
                <w:bCs/>
                <w:kern w:val="0"/>
                <w:szCs w:val="21"/>
              </w:rPr>
            </w:pPr>
            <w:r w:rsidRPr="000549B1">
              <w:rPr>
                <w:bCs/>
                <w:kern w:val="0"/>
                <w:szCs w:val="21"/>
              </w:rPr>
              <w:t>COD</w:t>
            </w:r>
          </w:p>
        </w:tc>
        <w:tc>
          <w:tcPr>
            <w:tcW w:w="810" w:type="dxa"/>
            <w:tcMar>
              <w:left w:w="57" w:type="dxa"/>
              <w:right w:w="57" w:type="dxa"/>
            </w:tcMar>
            <w:vAlign w:val="center"/>
          </w:tcPr>
          <w:p w14:paraId="0BBF9ED0" w14:textId="77777777" w:rsidR="00372953" w:rsidRPr="000549B1" w:rsidRDefault="00372953" w:rsidP="007E48A3">
            <w:pPr>
              <w:widowControl/>
              <w:snapToGrid w:val="0"/>
              <w:jc w:val="center"/>
              <w:rPr>
                <w:bCs/>
                <w:kern w:val="0"/>
                <w:szCs w:val="21"/>
              </w:rPr>
            </w:pPr>
            <w:r w:rsidRPr="000549B1">
              <w:rPr>
                <w:bCs/>
                <w:kern w:val="0"/>
                <w:szCs w:val="21"/>
              </w:rPr>
              <w:t>氨氮</w:t>
            </w:r>
          </w:p>
        </w:tc>
        <w:tc>
          <w:tcPr>
            <w:tcW w:w="823" w:type="dxa"/>
            <w:tcMar>
              <w:left w:w="57" w:type="dxa"/>
              <w:right w:w="57" w:type="dxa"/>
            </w:tcMar>
            <w:vAlign w:val="center"/>
          </w:tcPr>
          <w:p w14:paraId="513C5226" w14:textId="77777777" w:rsidR="00372953" w:rsidRPr="000549B1" w:rsidRDefault="00372953" w:rsidP="007E48A3">
            <w:pPr>
              <w:widowControl/>
              <w:snapToGrid w:val="0"/>
              <w:jc w:val="center"/>
              <w:rPr>
                <w:bCs/>
                <w:kern w:val="0"/>
                <w:szCs w:val="21"/>
              </w:rPr>
            </w:pPr>
            <w:r w:rsidRPr="000549B1">
              <w:rPr>
                <w:bCs/>
                <w:kern w:val="0"/>
                <w:szCs w:val="21"/>
              </w:rPr>
              <w:t>COD</w:t>
            </w:r>
          </w:p>
        </w:tc>
        <w:tc>
          <w:tcPr>
            <w:tcW w:w="898" w:type="dxa"/>
            <w:tcMar>
              <w:left w:w="57" w:type="dxa"/>
              <w:right w:w="57" w:type="dxa"/>
            </w:tcMar>
            <w:vAlign w:val="center"/>
          </w:tcPr>
          <w:p w14:paraId="12286BAD" w14:textId="77777777" w:rsidR="00372953" w:rsidRPr="000549B1" w:rsidRDefault="00372953" w:rsidP="007E48A3">
            <w:pPr>
              <w:widowControl/>
              <w:snapToGrid w:val="0"/>
              <w:jc w:val="center"/>
              <w:rPr>
                <w:bCs/>
                <w:kern w:val="0"/>
                <w:szCs w:val="21"/>
              </w:rPr>
            </w:pPr>
            <w:r w:rsidRPr="000549B1">
              <w:rPr>
                <w:bCs/>
                <w:kern w:val="0"/>
                <w:szCs w:val="21"/>
              </w:rPr>
              <w:t>氨氮</w:t>
            </w:r>
          </w:p>
        </w:tc>
      </w:tr>
      <w:tr w:rsidR="00372953" w:rsidRPr="000549B1" w14:paraId="53EDF203" w14:textId="77777777" w:rsidTr="007E48A3">
        <w:trPr>
          <w:trHeight w:val="90"/>
          <w:jc w:val="center"/>
        </w:trPr>
        <w:tc>
          <w:tcPr>
            <w:tcW w:w="650" w:type="dxa"/>
            <w:tcMar>
              <w:left w:w="57" w:type="dxa"/>
              <w:right w:w="57" w:type="dxa"/>
            </w:tcMar>
            <w:vAlign w:val="center"/>
          </w:tcPr>
          <w:p w14:paraId="22B33848" w14:textId="77777777" w:rsidR="00372953" w:rsidRPr="000549B1" w:rsidRDefault="00372953" w:rsidP="00372953">
            <w:pPr>
              <w:widowControl/>
              <w:snapToGrid w:val="0"/>
              <w:jc w:val="center"/>
              <w:rPr>
                <w:bCs/>
                <w:kern w:val="0"/>
                <w:szCs w:val="21"/>
              </w:rPr>
            </w:pPr>
            <w:r w:rsidRPr="000549B1">
              <w:rPr>
                <w:bCs/>
                <w:kern w:val="0"/>
                <w:szCs w:val="21"/>
              </w:rPr>
              <w:t>沙珠玉河</w:t>
            </w:r>
          </w:p>
        </w:tc>
        <w:tc>
          <w:tcPr>
            <w:tcW w:w="1786" w:type="dxa"/>
            <w:tcMar>
              <w:left w:w="57" w:type="dxa"/>
              <w:right w:w="57" w:type="dxa"/>
            </w:tcMar>
            <w:vAlign w:val="center"/>
          </w:tcPr>
          <w:p w14:paraId="5082EB6F" w14:textId="77777777" w:rsidR="00372953" w:rsidRPr="000549B1" w:rsidRDefault="00372953" w:rsidP="00372953">
            <w:pPr>
              <w:widowControl/>
              <w:snapToGrid w:val="0"/>
              <w:jc w:val="center"/>
              <w:rPr>
                <w:bCs/>
                <w:kern w:val="0"/>
                <w:szCs w:val="21"/>
              </w:rPr>
            </w:pPr>
            <w:r w:rsidRPr="000549B1">
              <w:rPr>
                <w:kern w:val="0"/>
                <w:szCs w:val="21"/>
                <w:lang w:bidi="ar"/>
              </w:rPr>
              <w:t>沙珠玉共和开发利用区</w:t>
            </w:r>
          </w:p>
        </w:tc>
        <w:tc>
          <w:tcPr>
            <w:tcW w:w="2537" w:type="dxa"/>
            <w:tcMar>
              <w:left w:w="57" w:type="dxa"/>
              <w:right w:w="57" w:type="dxa"/>
            </w:tcMar>
            <w:vAlign w:val="center"/>
          </w:tcPr>
          <w:p w14:paraId="498EF3E4" w14:textId="77777777" w:rsidR="00372953" w:rsidRPr="00372953" w:rsidRDefault="00372953" w:rsidP="00372953">
            <w:pPr>
              <w:widowControl/>
              <w:snapToGrid w:val="0"/>
              <w:jc w:val="center"/>
              <w:rPr>
                <w:bCs/>
                <w:kern w:val="0"/>
                <w:szCs w:val="21"/>
              </w:rPr>
            </w:pPr>
            <w:r w:rsidRPr="00372953">
              <w:rPr>
                <w:kern w:val="0"/>
                <w:szCs w:val="21"/>
                <w:lang w:bidi="ar"/>
              </w:rPr>
              <w:t>沙珠玉共和农业用水区</w:t>
            </w:r>
          </w:p>
        </w:tc>
        <w:tc>
          <w:tcPr>
            <w:tcW w:w="850" w:type="dxa"/>
            <w:tcMar>
              <w:left w:w="57" w:type="dxa"/>
              <w:right w:w="57" w:type="dxa"/>
            </w:tcMar>
            <w:vAlign w:val="center"/>
          </w:tcPr>
          <w:p w14:paraId="0C2F4141" w14:textId="4C652DCF" w:rsidR="00372953" w:rsidRPr="00372953" w:rsidRDefault="00372953" w:rsidP="00372953">
            <w:pPr>
              <w:snapToGrid w:val="0"/>
              <w:jc w:val="center"/>
              <w:rPr>
                <w:bCs/>
                <w:kern w:val="0"/>
                <w:szCs w:val="21"/>
              </w:rPr>
            </w:pPr>
            <w:r w:rsidRPr="00372953">
              <w:rPr>
                <w:rFonts w:hint="eastAsia"/>
                <w:bCs/>
                <w:sz w:val="18"/>
                <w:szCs w:val="18"/>
              </w:rPr>
              <w:t>654.16</w:t>
            </w:r>
          </w:p>
        </w:tc>
        <w:tc>
          <w:tcPr>
            <w:tcW w:w="810" w:type="dxa"/>
            <w:tcMar>
              <w:left w:w="57" w:type="dxa"/>
              <w:right w:w="57" w:type="dxa"/>
            </w:tcMar>
            <w:vAlign w:val="center"/>
          </w:tcPr>
          <w:p w14:paraId="0BE722C6" w14:textId="3F1D79A8" w:rsidR="00372953" w:rsidRPr="00372953" w:rsidRDefault="00372953" w:rsidP="00372953">
            <w:pPr>
              <w:snapToGrid w:val="0"/>
              <w:jc w:val="center"/>
              <w:rPr>
                <w:bCs/>
                <w:kern w:val="0"/>
                <w:szCs w:val="21"/>
              </w:rPr>
            </w:pPr>
            <w:r w:rsidRPr="00372953">
              <w:rPr>
                <w:rFonts w:hint="eastAsia"/>
                <w:bCs/>
                <w:sz w:val="18"/>
                <w:szCs w:val="18"/>
              </w:rPr>
              <w:t>30.6</w:t>
            </w:r>
          </w:p>
        </w:tc>
        <w:tc>
          <w:tcPr>
            <w:tcW w:w="823" w:type="dxa"/>
            <w:tcMar>
              <w:left w:w="57" w:type="dxa"/>
              <w:right w:w="57" w:type="dxa"/>
            </w:tcMar>
            <w:vAlign w:val="center"/>
          </w:tcPr>
          <w:p w14:paraId="3D2DB655" w14:textId="344D0C55" w:rsidR="00372953" w:rsidRPr="00372953" w:rsidRDefault="00372953" w:rsidP="00372953">
            <w:pPr>
              <w:widowControl/>
              <w:snapToGrid w:val="0"/>
              <w:spacing w:line="240" w:lineRule="exact"/>
              <w:jc w:val="center"/>
              <w:rPr>
                <w:bCs/>
                <w:szCs w:val="21"/>
              </w:rPr>
            </w:pPr>
            <w:r w:rsidRPr="00372953">
              <w:rPr>
                <w:rFonts w:hint="eastAsia"/>
                <w:bCs/>
                <w:kern w:val="0"/>
                <w:sz w:val="18"/>
                <w:szCs w:val="18"/>
              </w:rPr>
              <w:t>333.02</w:t>
            </w:r>
          </w:p>
        </w:tc>
        <w:tc>
          <w:tcPr>
            <w:tcW w:w="898" w:type="dxa"/>
            <w:tcMar>
              <w:left w:w="57" w:type="dxa"/>
              <w:right w:w="57" w:type="dxa"/>
            </w:tcMar>
            <w:vAlign w:val="center"/>
          </w:tcPr>
          <w:p w14:paraId="1DB8C1C2" w14:textId="2357CDF2" w:rsidR="00372953" w:rsidRPr="00372953" w:rsidRDefault="00372953" w:rsidP="00372953">
            <w:pPr>
              <w:widowControl/>
              <w:snapToGrid w:val="0"/>
              <w:spacing w:line="240" w:lineRule="exact"/>
              <w:jc w:val="center"/>
              <w:rPr>
                <w:bCs/>
                <w:szCs w:val="21"/>
              </w:rPr>
            </w:pPr>
            <w:r w:rsidRPr="00372953">
              <w:rPr>
                <w:rFonts w:hint="eastAsia"/>
                <w:bCs/>
                <w:kern w:val="0"/>
                <w:sz w:val="18"/>
                <w:szCs w:val="18"/>
              </w:rPr>
              <w:t>4.37</w:t>
            </w:r>
          </w:p>
        </w:tc>
      </w:tr>
    </w:tbl>
    <w:p w14:paraId="50678752" w14:textId="77777777" w:rsidR="000B0AAF" w:rsidRPr="000B0AAF" w:rsidRDefault="000B0AAF" w:rsidP="00325ED0">
      <w:pPr>
        <w:pStyle w:val="x"/>
      </w:pPr>
      <w:r w:rsidRPr="000B0AAF">
        <w:rPr>
          <w:rFonts w:eastAsiaTheme="minorEastAsia" w:hint="eastAsia"/>
        </w:rPr>
        <w:t>支流切吉河、直亥买沟未划分水功能区，</w:t>
      </w:r>
      <w:r w:rsidRPr="000B0AAF">
        <w:rPr>
          <w:rFonts w:eastAsiaTheme="minorEastAsia"/>
        </w:rPr>
        <w:t>现状</w:t>
      </w:r>
      <w:r w:rsidRPr="000B0AAF">
        <w:rPr>
          <w:rFonts w:eastAsiaTheme="minorEastAsia" w:hint="eastAsia"/>
        </w:rPr>
        <w:t>两期</w:t>
      </w:r>
      <w:r w:rsidRPr="000B0AAF">
        <w:rPr>
          <w:rFonts w:eastAsiaTheme="minorEastAsia"/>
        </w:rPr>
        <w:t>监</w:t>
      </w:r>
      <w:r w:rsidRPr="000B0AAF">
        <w:rPr>
          <w:rFonts w:eastAsiaTheme="minorEastAsia" w:hint="eastAsia"/>
        </w:rPr>
        <w:t>测结果显示，沙珠玉河流域</w:t>
      </w:r>
      <w:r w:rsidRPr="000B0AAF">
        <w:t>切吉河上游监测断面在枯水期</w:t>
      </w:r>
      <w:r w:rsidRPr="000B0AAF">
        <w:t>4</w:t>
      </w:r>
      <w:r w:rsidRPr="000B0AAF">
        <w:t>月份的水质类别为</w:t>
      </w:r>
      <w:r w:rsidRPr="000B0AAF">
        <w:t>Ш</w:t>
      </w:r>
      <w:r w:rsidRPr="000B0AAF">
        <w:t>类、丰水期</w:t>
      </w:r>
      <w:r w:rsidRPr="000B0AAF">
        <w:t>9</w:t>
      </w:r>
      <w:r w:rsidRPr="000B0AAF">
        <w:t>月份的水质类别为</w:t>
      </w:r>
      <w:r w:rsidRPr="000B0AAF">
        <w:t>Ⅱ</w:t>
      </w:r>
      <w:r w:rsidRPr="000B0AAF">
        <w:t>类，切吉河水库库区、切吉河下游监测断面，在枯水期</w:t>
      </w:r>
      <w:r w:rsidRPr="000B0AAF">
        <w:t>4</w:t>
      </w:r>
      <w:r w:rsidRPr="000B0AAF">
        <w:t>月份和丰水期</w:t>
      </w:r>
      <w:r w:rsidRPr="000B0AAF">
        <w:t>9</w:t>
      </w:r>
      <w:r w:rsidRPr="000B0AAF">
        <w:t>月份的水质类别均为</w:t>
      </w:r>
      <w:r w:rsidRPr="000B0AAF">
        <w:t>Ⅱ</w:t>
      </w:r>
      <w:r w:rsidRPr="000B0AAF">
        <w:t>类；直亥买沟下游监测断面在枯水期</w:t>
      </w:r>
      <w:r w:rsidRPr="000B0AAF">
        <w:t>4</w:t>
      </w:r>
      <w:r w:rsidRPr="000B0AAF">
        <w:t>月份的水质类别为</w:t>
      </w:r>
      <w:r w:rsidRPr="000B0AAF">
        <w:t>Ⅱ</w:t>
      </w:r>
      <w:r w:rsidRPr="000B0AAF">
        <w:t>类、丰水期</w:t>
      </w:r>
      <w:r w:rsidRPr="000B0AAF">
        <w:t>9</w:t>
      </w:r>
      <w:r w:rsidRPr="000B0AAF">
        <w:t>月份的水质类别为</w:t>
      </w:r>
      <w:r w:rsidRPr="000B0AAF">
        <w:t>Ш</w:t>
      </w:r>
      <w:r w:rsidRPr="000B0AAF">
        <w:t>类。</w:t>
      </w:r>
    </w:p>
    <w:p w14:paraId="2EBF3FF0" w14:textId="77777777" w:rsidR="000B0AAF" w:rsidRPr="000B0AAF" w:rsidRDefault="000B0AAF" w:rsidP="00325ED0">
      <w:pPr>
        <w:pStyle w:val="x"/>
        <w:rPr>
          <w:rFonts w:eastAsiaTheme="minorEastAsia"/>
        </w:rPr>
      </w:pPr>
      <w:r w:rsidRPr="000B0AAF">
        <w:rPr>
          <w:rFonts w:hint="eastAsia"/>
        </w:rPr>
        <w:t>综上分析，沙珠玉河流域主要污染物入河量未超过水功能区纳污能力，</w:t>
      </w:r>
      <w:r w:rsidRPr="000B0AAF">
        <w:rPr>
          <w:rFonts w:eastAsiaTheme="minorEastAsia" w:hint="eastAsia"/>
        </w:rPr>
        <w:t>切吉水库上游、切吉水库库区及下游、直亥买沟等</w:t>
      </w:r>
      <w:r w:rsidRPr="000B0AAF">
        <w:rPr>
          <w:rFonts w:hint="eastAsia"/>
        </w:rPr>
        <w:t>典型断面</w:t>
      </w:r>
      <w:r w:rsidRPr="000B0AAF">
        <w:t>各</w:t>
      </w:r>
      <w:r w:rsidRPr="000B0AAF">
        <w:rPr>
          <w:rFonts w:hint="eastAsia"/>
        </w:rPr>
        <w:t>项</w:t>
      </w:r>
      <w:r w:rsidRPr="000B0AAF">
        <w:t>指标</w:t>
      </w:r>
      <w:r w:rsidRPr="000B0AAF">
        <w:rPr>
          <w:rFonts w:hint="eastAsia"/>
        </w:rPr>
        <w:t>在丰、枯水期</w:t>
      </w:r>
      <w:r w:rsidRPr="000B0AAF">
        <w:rPr>
          <w:rFonts w:eastAsiaTheme="minorEastAsia" w:hint="eastAsia"/>
        </w:rPr>
        <w:t>均可满足《地表水环境质量标准》（</w:t>
      </w:r>
      <w:r w:rsidRPr="000B0AAF">
        <w:rPr>
          <w:rFonts w:eastAsiaTheme="minorEastAsia" w:hint="eastAsia"/>
        </w:rPr>
        <w:t>GB3838-2002</w:t>
      </w:r>
      <w:r w:rsidRPr="000B0AAF">
        <w:rPr>
          <w:rFonts w:eastAsiaTheme="minorEastAsia" w:hint="eastAsia"/>
        </w:rPr>
        <w:t>）中的Ⅱ</w:t>
      </w:r>
      <w:r w:rsidRPr="000B0AAF">
        <w:rPr>
          <w:rFonts w:eastAsiaTheme="minorEastAsia"/>
        </w:rPr>
        <w:t>~</w:t>
      </w:r>
      <w:r w:rsidRPr="000B0AAF">
        <w:rPr>
          <w:rFonts w:eastAsiaTheme="minorEastAsia" w:hint="eastAsia"/>
        </w:rPr>
        <w:t>Ⅲ类水质标准。沙珠玉河流域水环境状况总体良好。</w:t>
      </w:r>
    </w:p>
    <w:p w14:paraId="48AC869A" w14:textId="77777777" w:rsidR="00054437" w:rsidRPr="000549B1" w:rsidRDefault="00000000">
      <w:pPr>
        <w:pStyle w:val="2"/>
        <w:rPr>
          <w:rFonts w:ascii="Times New Roman" w:hAnsi="Times New Roman"/>
        </w:rPr>
      </w:pPr>
      <w:bookmarkStart w:id="243" w:name="_Toc216107016"/>
      <w:bookmarkStart w:id="244" w:name="_Ref214957193"/>
      <w:r w:rsidRPr="000549B1">
        <w:rPr>
          <w:rFonts w:ascii="Times New Roman" w:hAnsi="Times New Roman"/>
        </w:rPr>
        <w:t>环境敏感区调查与评价</w:t>
      </w:r>
      <w:bookmarkEnd w:id="243"/>
    </w:p>
    <w:p w14:paraId="300870A6" w14:textId="77777777" w:rsidR="00054437" w:rsidRPr="000549B1" w:rsidRDefault="00000000">
      <w:pPr>
        <w:pStyle w:val="zhang3"/>
        <w:spacing w:before="156" w:after="156"/>
      </w:pPr>
      <w:r w:rsidRPr="000549B1">
        <w:t>生态保护红线</w:t>
      </w:r>
    </w:p>
    <w:p w14:paraId="785D753B" w14:textId="77777777" w:rsidR="00054437" w:rsidRPr="000549B1" w:rsidRDefault="00000000">
      <w:pPr>
        <w:pStyle w:val="x"/>
        <w:ind w:firstLine="480"/>
        <w:rPr>
          <w:bCs/>
        </w:rPr>
      </w:pPr>
      <w:r w:rsidRPr="000549B1">
        <w:rPr>
          <w:bCs/>
        </w:rPr>
        <w:t>经识别，规划范围内涉及柴达木盆地土地沙化防控与生物多样维护生态保护红线、青海湖水源涵养与生物多样性维护生态保护红线，主要作用是土地沙化防控与水源涵养与生物多样性维护。</w:t>
      </w:r>
    </w:p>
    <w:p w14:paraId="22BDFB0A" w14:textId="77777777" w:rsidR="00054437" w:rsidRPr="000549B1" w:rsidRDefault="00000000">
      <w:pPr>
        <w:pStyle w:val="zhang3"/>
        <w:spacing w:before="156" w:after="156"/>
      </w:pPr>
      <w:r w:rsidRPr="000549B1">
        <w:t>自然保护区</w:t>
      </w:r>
    </w:p>
    <w:p w14:paraId="076BB714" w14:textId="77777777" w:rsidR="00054437" w:rsidRPr="000549B1" w:rsidRDefault="00000000">
      <w:pPr>
        <w:pStyle w:val="x"/>
      </w:pPr>
      <w:r w:rsidRPr="000549B1">
        <w:t>经调查，规划范围内涉及青海湖国家级自然保护区。该自然保护区地处青藏高原东北部，行政隶属海北州刚察县、海晏县、海南州共和县两州三县，总面积</w:t>
      </w:r>
      <w:r w:rsidRPr="000549B1">
        <w:t>4952km</w:t>
      </w:r>
      <w:r w:rsidRPr="000549B1">
        <w:rPr>
          <w:vertAlign w:val="superscript"/>
        </w:rPr>
        <w:t>2</w:t>
      </w:r>
      <w:r w:rsidRPr="000549B1">
        <w:t>，其中陆地面积</w:t>
      </w:r>
      <w:r w:rsidRPr="000549B1">
        <w:t>535.5km</w:t>
      </w:r>
      <w:r w:rsidRPr="000549B1">
        <w:rPr>
          <w:vertAlign w:val="superscript"/>
        </w:rPr>
        <w:t>2</w:t>
      </w:r>
      <w:r w:rsidRPr="000549B1">
        <w:t>。保护区以青海湖为主，由五个小岛和大小泉湾及沿湖沼泽湿地组成。保护区划分为核心区和缓冲区，其中核心区包括鸟岛、海心山、三块石、沙岛、泉湾等区域，其余地区均为缓冲区。</w:t>
      </w:r>
    </w:p>
    <w:p w14:paraId="23101354" w14:textId="77777777" w:rsidR="00054437" w:rsidRPr="000549B1" w:rsidRDefault="00000000">
      <w:pPr>
        <w:pStyle w:val="zhang3"/>
        <w:spacing w:before="156" w:after="156"/>
      </w:pPr>
      <w:r w:rsidRPr="000549B1">
        <w:t>风景名胜区</w:t>
      </w:r>
    </w:p>
    <w:p w14:paraId="0D8D1F02" w14:textId="77777777" w:rsidR="00054437" w:rsidRPr="000549B1" w:rsidRDefault="00000000">
      <w:pPr>
        <w:pStyle w:val="x"/>
      </w:pPr>
      <w:r w:rsidRPr="000549B1">
        <w:t>经调查，规划范围内涉及青海湖国家级风景名胜区，青海湖国家级风景名胜区地处青藏高原东北部，位于青海省西北部的青海湖盆地内，地跨海南州共和县、海北州海晏县和刚察县，位于东经</w:t>
      </w:r>
      <w:r w:rsidRPr="000549B1">
        <w:t>99°36′</w:t>
      </w:r>
      <w:r w:rsidRPr="000549B1">
        <w:t>～</w:t>
      </w:r>
      <w:r w:rsidRPr="000549B1">
        <w:t>100°16′</w:t>
      </w:r>
      <w:r w:rsidRPr="000549B1">
        <w:t>、北纬</w:t>
      </w:r>
      <w:r w:rsidRPr="000549B1">
        <w:t>36°32′</w:t>
      </w:r>
      <w:r w:rsidRPr="000549B1">
        <w:t>～</w:t>
      </w:r>
      <w:r w:rsidRPr="000549B1">
        <w:t>37°15′</w:t>
      </w:r>
      <w:r w:rsidRPr="000549B1">
        <w:t>之间，总面积</w:t>
      </w:r>
      <w:r w:rsidRPr="000549B1">
        <w:t>7577.84</w:t>
      </w:r>
      <w:r w:rsidRPr="000549B1">
        <w:t>平方千米，核心景区面积界定为</w:t>
      </w:r>
      <w:r w:rsidRPr="000549B1">
        <w:t>4635.61km</w:t>
      </w:r>
      <w:r w:rsidRPr="000549B1">
        <w:rPr>
          <w:vertAlign w:val="superscript"/>
        </w:rPr>
        <w:t>2</w:t>
      </w:r>
      <w:r w:rsidRPr="000549B1">
        <w:t>。青海湖国家级风景名胜区是自然景观与历史文化景观相融合的特大型湖泊型国家级风景名胜区。青海湖风景区地貌类型主要有高原湖泊及湖积、洪积、风积地貌等。青海湖周边主要由洪积平原和低山等构成。</w:t>
      </w:r>
    </w:p>
    <w:p w14:paraId="5A0F450A" w14:textId="76EDEE76" w:rsidR="00054437" w:rsidRPr="000549B1" w:rsidRDefault="00000000">
      <w:pPr>
        <w:pStyle w:val="zhang3"/>
        <w:spacing w:before="156" w:after="156"/>
      </w:pPr>
      <w:bookmarkStart w:id="245" w:name="_Hlk216033548"/>
      <w:r w:rsidRPr="000549B1">
        <w:t>饮用水</w:t>
      </w:r>
      <w:r w:rsidRPr="000549B1">
        <w:rPr>
          <w:rFonts w:hint="eastAsia"/>
        </w:rPr>
        <w:t>水源</w:t>
      </w:r>
      <w:r w:rsidRPr="000549B1">
        <w:t>保护区</w:t>
      </w:r>
    </w:p>
    <w:bookmarkEnd w:id="245"/>
    <w:p w14:paraId="27EEDFCD" w14:textId="1DECB91D" w:rsidR="00054437" w:rsidRPr="000549B1" w:rsidRDefault="00000000">
      <w:pPr>
        <w:pStyle w:val="x"/>
      </w:pPr>
      <w:r w:rsidRPr="000549B1">
        <w:t>经识别，</w:t>
      </w:r>
      <w:r w:rsidR="000E1302" w:rsidRPr="000549B1">
        <w:rPr>
          <w:rFonts w:hint="eastAsia"/>
        </w:rPr>
        <w:t>沙珠玉河流域共有集中式饮用水水源地</w:t>
      </w:r>
      <w:r w:rsidR="000E1302" w:rsidRPr="000549B1">
        <w:rPr>
          <w:rFonts w:hint="eastAsia"/>
        </w:rPr>
        <w:t>4</w:t>
      </w:r>
      <w:r w:rsidR="000E1302" w:rsidRPr="000549B1">
        <w:rPr>
          <w:rFonts w:hint="eastAsia"/>
        </w:rPr>
        <w:t>处，其中</w:t>
      </w:r>
      <w:r w:rsidR="000E1302" w:rsidRPr="000549B1">
        <w:rPr>
          <w:rFonts w:hint="eastAsia"/>
        </w:rPr>
        <w:t>3</w:t>
      </w:r>
      <w:r w:rsidR="000E1302" w:rsidRPr="000549B1">
        <w:rPr>
          <w:rFonts w:hint="eastAsia"/>
        </w:rPr>
        <w:t>处已划分饮用水水源保护区，</w:t>
      </w:r>
      <w:r w:rsidRPr="000549B1">
        <w:t>分别是地下水型、水库型水源地；乡镇级水源地</w:t>
      </w:r>
      <w:r w:rsidRPr="000549B1">
        <w:t>1</w:t>
      </w:r>
      <w:r w:rsidRPr="000549B1">
        <w:t>处，为河流型水源地。根据《共和县水资源开发利用和保护综合规划》（</w:t>
      </w:r>
      <w:r w:rsidRPr="000549B1">
        <w:t>2022</w:t>
      </w:r>
      <w:r w:rsidRPr="000549B1">
        <w:t>年</w:t>
      </w:r>
      <w:r w:rsidRPr="000549B1">
        <w:t>11</w:t>
      </w:r>
      <w:r w:rsidRPr="000549B1">
        <w:t>月）相关资料及成果，共和县饮用水水源地现状水质均达到《地表水环境质量标准》（</w:t>
      </w:r>
      <w:r w:rsidRPr="000549B1">
        <w:t>GB3838-2002</w:t>
      </w:r>
      <w:r w:rsidRPr="000549B1">
        <w:t>）中的</w:t>
      </w:r>
      <w:r w:rsidRPr="000549B1">
        <w:t>Ⅲ</w:t>
      </w:r>
      <w:r w:rsidRPr="000549B1">
        <w:t>类水质标准，全部达标。</w:t>
      </w:r>
    </w:p>
    <w:p w14:paraId="2DDA731B" w14:textId="749CFA73" w:rsidR="00054437" w:rsidRPr="000549B1" w:rsidRDefault="00000000">
      <w:pPr>
        <w:pStyle w:val="aff8"/>
        <w:rPr>
          <w:color w:val="auto"/>
        </w:rPr>
      </w:pPr>
      <w:r w:rsidRPr="000549B1">
        <w:rPr>
          <w:color w:val="auto"/>
        </w:rPr>
        <w:t>表</w:t>
      </w:r>
      <w:r w:rsidR="00372953">
        <w:rPr>
          <w:color w:val="auto"/>
        </w:rPr>
        <w:fldChar w:fldCharType="begin"/>
      </w:r>
      <w:r w:rsidR="00372953">
        <w:rPr>
          <w:color w:val="auto"/>
        </w:rPr>
        <w:instrText xml:space="preserve"> STYLEREF 2 \s </w:instrText>
      </w:r>
      <w:r w:rsidR="00372953">
        <w:rPr>
          <w:color w:val="auto"/>
        </w:rPr>
        <w:fldChar w:fldCharType="separate"/>
      </w:r>
      <w:r w:rsidR="00372953">
        <w:rPr>
          <w:noProof/>
          <w:color w:val="auto"/>
        </w:rPr>
        <w:t>3.4</w:t>
      </w:r>
      <w:r w:rsidR="00372953">
        <w:rPr>
          <w:color w:val="auto"/>
        </w:rPr>
        <w:fldChar w:fldCharType="end"/>
      </w:r>
      <w:r w:rsidR="00372953">
        <w:rPr>
          <w:color w:val="auto"/>
        </w:rPr>
        <w:noBreakHyphen/>
      </w:r>
      <w:r w:rsidR="00372953">
        <w:rPr>
          <w:color w:val="auto"/>
        </w:rPr>
        <w:fldChar w:fldCharType="begin"/>
      </w:r>
      <w:r w:rsidR="00372953">
        <w:rPr>
          <w:color w:val="auto"/>
        </w:rPr>
        <w:instrText xml:space="preserve"> SEQ </w:instrText>
      </w:r>
      <w:r w:rsidR="00372953">
        <w:rPr>
          <w:color w:val="auto"/>
        </w:rPr>
        <w:instrText>表</w:instrText>
      </w:r>
      <w:r w:rsidR="00372953">
        <w:rPr>
          <w:color w:val="auto"/>
        </w:rPr>
        <w:instrText xml:space="preserve"> \* ARABIC \s 2 </w:instrText>
      </w:r>
      <w:r w:rsidR="00372953">
        <w:rPr>
          <w:color w:val="auto"/>
        </w:rPr>
        <w:fldChar w:fldCharType="separate"/>
      </w:r>
      <w:r w:rsidR="00372953">
        <w:rPr>
          <w:noProof/>
          <w:color w:val="auto"/>
        </w:rPr>
        <w:t>1</w:t>
      </w:r>
      <w:r w:rsidR="00372953">
        <w:rPr>
          <w:color w:val="auto"/>
        </w:rPr>
        <w:fldChar w:fldCharType="end"/>
      </w:r>
      <w:r w:rsidRPr="000549B1">
        <w:rPr>
          <w:color w:val="auto"/>
        </w:rPr>
        <w:t>共和县集中式生活饮用水水源地水质状况</w:t>
      </w:r>
    </w:p>
    <w:tbl>
      <w:tblPr>
        <w:tblW w:w="43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6"/>
        <w:gridCol w:w="900"/>
        <w:gridCol w:w="1560"/>
        <w:gridCol w:w="894"/>
        <w:gridCol w:w="677"/>
        <w:gridCol w:w="1121"/>
        <w:gridCol w:w="1348"/>
      </w:tblGrid>
      <w:tr w:rsidR="000549B1" w:rsidRPr="000549B1" w14:paraId="0163F857" w14:textId="77777777">
        <w:trPr>
          <w:trHeight w:val="682"/>
          <w:jc w:val="center"/>
        </w:trPr>
        <w:tc>
          <w:tcPr>
            <w:tcW w:w="471" w:type="pct"/>
            <w:shd w:val="clear" w:color="auto" w:fill="FFFFFF"/>
            <w:vAlign w:val="center"/>
          </w:tcPr>
          <w:p w14:paraId="62379003" w14:textId="77777777" w:rsidR="00054437" w:rsidRPr="000549B1" w:rsidRDefault="00000000">
            <w:pPr>
              <w:widowControl/>
              <w:adjustRightInd w:val="0"/>
              <w:snapToGrid w:val="0"/>
              <w:jc w:val="center"/>
              <w:rPr>
                <w:rFonts w:eastAsia="仿宋"/>
                <w:b/>
                <w:bCs/>
                <w:kern w:val="0"/>
                <w:szCs w:val="21"/>
              </w:rPr>
            </w:pPr>
            <w:r w:rsidRPr="000549B1">
              <w:rPr>
                <w:b/>
                <w:bCs/>
                <w:kern w:val="0"/>
                <w:szCs w:val="21"/>
              </w:rPr>
              <w:t>序号</w:t>
            </w:r>
          </w:p>
        </w:tc>
        <w:tc>
          <w:tcPr>
            <w:tcW w:w="627" w:type="pct"/>
            <w:shd w:val="clear" w:color="auto" w:fill="FFFFFF"/>
            <w:vAlign w:val="center"/>
          </w:tcPr>
          <w:p w14:paraId="7E946466" w14:textId="77777777" w:rsidR="00054437" w:rsidRPr="000549B1" w:rsidRDefault="00000000">
            <w:pPr>
              <w:widowControl/>
              <w:adjustRightInd w:val="0"/>
              <w:snapToGrid w:val="0"/>
              <w:jc w:val="center"/>
              <w:rPr>
                <w:b/>
                <w:bCs/>
                <w:kern w:val="0"/>
                <w:szCs w:val="21"/>
              </w:rPr>
            </w:pPr>
            <w:r w:rsidRPr="000549B1">
              <w:rPr>
                <w:b/>
                <w:bCs/>
                <w:kern w:val="0"/>
                <w:szCs w:val="21"/>
              </w:rPr>
              <w:t>所在市州</w:t>
            </w:r>
          </w:p>
        </w:tc>
        <w:tc>
          <w:tcPr>
            <w:tcW w:w="1087" w:type="pct"/>
            <w:shd w:val="clear" w:color="auto" w:fill="FFFFFF"/>
            <w:vAlign w:val="center"/>
          </w:tcPr>
          <w:p w14:paraId="72C54229" w14:textId="77777777" w:rsidR="00054437" w:rsidRPr="000549B1" w:rsidRDefault="00000000">
            <w:pPr>
              <w:widowControl/>
              <w:adjustRightInd w:val="0"/>
              <w:snapToGrid w:val="0"/>
              <w:jc w:val="center"/>
              <w:rPr>
                <w:b/>
                <w:bCs/>
                <w:kern w:val="0"/>
                <w:szCs w:val="21"/>
              </w:rPr>
            </w:pPr>
            <w:r w:rsidRPr="000549B1">
              <w:rPr>
                <w:b/>
                <w:bCs/>
                <w:kern w:val="0"/>
                <w:szCs w:val="21"/>
              </w:rPr>
              <w:t>饮用水</w:t>
            </w:r>
          </w:p>
          <w:p w14:paraId="2D259C6E" w14:textId="77777777" w:rsidR="00054437" w:rsidRPr="000549B1" w:rsidRDefault="00000000">
            <w:pPr>
              <w:widowControl/>
              <w:adjustRightInd w:val="0"/>
              <w:snapToGrid w:val="0"/>
              <w:jc w:val="center"/>
              <w:rPr>
                <w:b/>
                <w:bCs/>
                <w:kern w:val="0"/>
                <w:szCs w:val="21"/>
              </w:rPr>
            </w:pPr>
            <w:r w:rsidRPr="000549B1">
              <w:rPr>
                <w:b/>
                <w:bCs/>
                <w:kern w:val="0"/>
                <w:szCs w:val="21"/>
              </w:rPr>
              <w:t>水源地名称</w:t>
            </w:r>
          </w:p>
        </w:tc>
        <w:tc>
          <w:tcPr>
            <w:tcW w:w="623" w:type="pct"/>
            <w:shd w:val="clear" w:color="auto" w:fill="FFFFFF"/>
            <w:vAlign w:val="center"/>
          </w:tcPr>
          <w:p w14:paraId="63DD152E" w14:textId="77777777" w:rsidR="00054437" w:rsidRPr="000549B1" w:rsidRDefault="00000000">
            <w:pPr>
              <w:widowControl/>
              <w:adjustRightInd w:val="0"/>
              <w:snapToGrid w:val="0"/>
              <w:jc w:val="center"/>
              <w:rPr>
                <w:b/>
                <w:bCs/>
                <w:kern w:val="0"/>
                <w:szCs w:val="21"/>
              </w:rPr>
            </w:pPr>
            <w:r w:rsidRPr="000549B1">
              <w:rPr>
                <w:b/>
                <w:bCs/>
                <w:kern w:val="0"/>
                <w:szCs w:val="21"/>
              </w:rPr>
              <w:t>水源</w:t>
            </w:r>
          </w:p>
          <w:p w14:paraId="229C68FF" w14:textId="77777777" w:rsidR="00054437" w:rsidRPr="000549B1" w:rsidRDefault="00000000">
            <w:pPr>
              <w:widowControl/>
              <w:adjustRightInd w:val="0"/>
              <w:snapToGrid w:val="0"/>
              <w:jc w:val="center"/>
              <w:rPr>
                <w:b/>
                <w:bCs/>
                <w:kern w:val="0"/>
                <w:szCs w:val="21"/>
              </w:rPr>
            </w:pPr>
            <w:r w:rsidRPr="000549B1">
              <w:rPr>
                <w:b/>
                <w:bCs/>
                <w:kern w:val="0"/>
                <w:szCs w:val="21"/>
              </w:rPr>
              <w:t>类型</w:t>
            </w:r>
          </w:p>
        </w:tc>
        <w:tc>
          <w:tcPr>
            <w:tcW w:w="472" w:type="pct"/>
            <w:shd w:val="clear" w:color="auto" w:fill="FFFFFF"/>
            <w:vAlign w:val="center"/>
          </w:tcPr>
          <w:p w14:paraId="4359B284" w14:textId="77777777" w:rsidR="00054437" w:rsidRPr="000549B1" w:rsidRDefault="00000000">
            <w:pPr>
              <w:widowControl/>
              <w:adjustRightInd w:val="0"/>
              <w:snapToGrid w:val="0"/>
              <w:jc w:val="center"/>
              <w:rPr>
                <w:b/>
                <w:bCs/>
                <w:kern w:val="0"/>
                <w:szCs w:val="21"/>
              </w:rPr>
            </w:pPr>
            <w:r w:rsidRPr="000549B1">
              <w:rPr>
                <w:b/>
                <w:bCs/>
                <w:kern w:val="0"/>
                <w:szCs w:val="21"/>
              </w:rPr>
              <w:t>级别</w:t>
            </w:r>
          </w:p>
        </w:tc>
        <w:tc>
          <w:tcPr>
            <w:tcW w:w="781" w:type="pct"/>
            <w:shd w:val="clear" w:color="auto" w:fill="FFFFFF"/>
            <w:vAlign w:val="center"/>
          </w:tcPr>
          <w:p w14:paraId="31AB6327" w14:textId="77777777" w:rsidR="00054437" w:rsidRPr="000549B1" w:rsidRDefault="00000000">
            <w:pPr>
              <w:widowControl/>
              <w:adjustRightInd w:val="0"/>
              <w:snapToGrid w:val="0"/>
              <w:jc w:val="center"/>
              <w:rPr>
                <w:b/>
                <w:bCs/>
                <w:kern w:val="0"/>
                <w:szCs w:val="21"/>
              </w:rPr>
            </w:pPr>
            <w:r w:rsidRPr="000549B1">
              <w:rPr>
                <w:b/>
                <w:bCs/>
                <w:kern w:val="0"/>
                <w:szCs w:val="21"/>
              </w:rPr>
              <w:t>水质目标</w:t>
            </w:r>
          </w:p>
        </w:tc>
        <w:tc>
          <w:tcPr>
            <w:tcW w:w="939" w:type="pct"/>
            <w:shd w:val="clear" w:color="auto" w:fill="FFFFFF"/>
            <w:vAlign w:val="center"/>
          </w:tcPr>
          <w:p w14:paraId="1FC4AA00" w14:textId="77777777" w:rsidR="00054437" w:rsidRPr="000549B1" w:rsidRDefault="00000000">
            <w:pPr>
              <w:widowControl/>
              <w:adjustRightInd w:val="0"/>
              <w:snapToGrid w:val="0"/>
              <w:jc w:val="center"/>
              <w:rPr>
                <w:b/>
                <w:bCs/>
                <w:kern w:val="0"/>
                <w:szCs w:val="21"/>
              </w:rPr>
            </w:pPr>
            <w:r w:rsidRPr="000549B1">
              <w:rPr>
                <w:b/>
                <w:bCs/>
                <w:kern w:val="0"/>
                <w:szCs w:val="21"/>
              </w:rPr>
              <w:t>现状年水质</w:t>
            </w:r>
          </w:p>
          <w:p w14:paraId="59242ECD" w14:textId="77777777" w:rsidR="00054437" w:rsidRPr="000549B1" w:rsidRDefault="00000000">
            <w:pPr>
              <w:widowControl/>
              <w:adjustRightInd w:val="0"/>
              <w:snapToGrid w:val="0"/>
              <w:jc w:val="center"/>
              <w:rPr>
                <w:b/>
                <w:bCs/>
                <w:kern w:val="0"/>
                <w:szCs w:val="21"/>
              </w:rPr>
            </w:pPr>
            <w:r w:rsidRPr="000549B1">
              <w:rPr>
                <w:b/>
                <w:bCs/>
                <w:kern w:val="0"/>
                <w:szCs w:val="21"/>
              </w:rPr>
              <w:t>类别</w:t>
            </w:r>
          </w:p>
        </w:tc>
      </w:tr>
      <w:tr w:rsidR="000549B1" w:rsidRPr="000549B1" w14:paraId="509F15BA" w14:textId="77777777">
        <w:trPr>
          <w:trHeight w:val="682"/>
          <w:jc w:val="center"/>
        </w:trPr>
        <w:tc>
          <w:tcPr>
            <w:tcW w:w="471" w:type="pct"/>
            <w:vAlign w:val="center"/>
          </w:tcPr>
          <w:p w14:paraId="19812C89" w14:textId="77777777" w:rsidR="00054437" w:rsidRPr="000549B1" w:rsidRDefault="00000000">
            <w:pPr>
              <w:widowControl/>
              <w:adjustRightInd w:val="0"/>
              <w:snapToGrid w:val="0"/>
              <w:jc w:val="center"/>
              <w:rPr>
                <w:kern w:val="0"/>
                <w:szCs w:val="21"/>
              </w:rPr>
            </w:pPr>
            <w:r w:rsidRPr="000549B1">
              <w:rPr>
                <w:kern w:val="0"/>
                <w:szCs w:val="21"/>
              </w:rPr>
              <w:t>1</w:t>
            </w:r>
          </w:p>
        </w:tc>
        <w:tc>
          <w:tcPr>
            <w:tcW w:w="627" w:type="pct"/>
            <w:shd w:val="clear" w:color="auto" w:fill="FFFFFF"/>
            <w:vAlign w:val="center"/>
          </w:tcPr>
          <w:p w14:paraId="17491102" w14:textId="77777777" w:rsidR="00054437" w:rsidRPr="000549B1" w:rsidRDefault="00000000">
            <w:pPr>
              <w:widowControl/>
              <w:adjustRightInd w:val="0"/>
              <w:snapToGrid w:val="0"/>
              <w:jc w:val="center"/>
              <w:rPr>
                <w:kern w:val="0"/>
                <w:szCs w:val="21"/>
              </w:rPr>
            </w:pPr>
            <w:r w:rsidRPr="000549B1">
              <w:rPr>
                <w:kern w:val="0"/>
                <w:szCs w:val="21"/>
              </w:rPr>
              <w:t>海南州</w:t>
            </w:r>
          </w:p>
        </w:tc>
        <w:tc>
          <w:tcPr>
            <w:tcW w:w="1087" w:type="pct"/>
            <w:shd w:val="clear" w:color="auto" w:fill="FFFFFF"/>
            <w:vAlign w:val="center"/>
          </w:tcPr>
          <w:p w14:paraId="1611E438" w14:textId="77777777" w:rsidR="00054437" w:rsidRPr="000549B1" w:rsidRDefault="00000000">
            <w:pPr>
              <w:widowControl/>
              <w:adjustRightInd w:val="0"/>
              <w:snapToGrid w:val="0"/>
              <w:jc w:val="center"/>
              <w:rPr>
                <w:kern w:val="0"/>
                <w:szCs w:val="21"/>
              </w:rPr>
            </w:pPr>
            <w:r w:rsidRPr="000549B1">
              <w:rPr>
                <w:kern w:val="0"/>
                <w:szCs w:val="21"/>
              </w:rPr>
              <w:t>共和县切吉滩集中式饮用水水源地</w:t>
            </w:r>
          </w:p>
        </w:tc>
        <w:tc>
          <w:tcPr>
            <w:tcW w:w="623" w:type="pct"/>
            <w:shd w:val="clear" w:color="auto" w:fill="FFFFFF"/>
            <w:vAlign w:val="center"/>
          </w:tcPr>
          <w:p w14:paraId="4E4BA3BE" w14:textId="77777777" w:rsidR="00054437" w:rsidRPr="000549B1" w:rsidRDefault="00000000">
            <w:pPr>
              <w:widowControl/>
              <w:adjustRightInd w:val="0"/>
              <w:snapToGrid w:val="0"/>
              <w:jc w:val="center"/>
              <w:rPr>
                <w:kern w:val="0"/>
                <w:szCs w:val="21"/>
              </w:rPr>
            </w:pPr>
            <w:r w:rsidRPr="000549B1">
              <w:rPr>
                <w:kern w:val="0"/>
                <w:szCs w:val="21"/>
              </w:rPr>
              <w:t>地下水</w:t>
            </w:r>
          </w:p>
        </w:tc>
        <w:tc>
          <w:tcPr>
            <w:tcW w:w="472" w:type="pct"/>
            <w:shd w:val="clear" w:color="auto" w:fill="FFFFFF"/>
            <w:vAlign w:val="center"/>
          </w:tcPr>
          <w:p w14:paraId="581CBA20" w14:textId="77777777" w:rsidR="00054437" w:rsidRPr="000549B1" w:rsidRDefault="00000000">
            <w:pPr>
              <w:widowControl/>
              <w:adjustRightInd w:val="0"/>
              <w:snapToGrid w:val="0"/>
              <w:jc w:val="center"/>
              <w:rPr>
                <w:kern w:val="0"/>
                <w:szCs w:val="21"/>
              </w:rPr>
            </w:pPr>
            <w:r w:rsidRPr="000549B1">
              <w:rPr>
                <w:kern w:val="0"/>
                <w:szCs w:val="21"/>
              </w:rPr>
              <w:t>地市级</w:t>
            </w:r>
          </w:p>
        </w:tc>
        <w:tc>
          <w:tcPr>
            <w:tcW w:w="781" w:type="pct"/>
            <w:shd w:val="clear" w:color="auto" w:fill="FFFFFF"/>
            <w:vAlign w:val="center"/>
          </w:tcPr>
          <w:p w14:paraId="1EEA1211" w14:textId="77777777" w:rsidR="00054437" w:rsidRPr="000549B1" w:rsidRDefault="00000000">
            <w:pPr>
              <w:widowControl/>
              <w:adjustRightInd w:val="0"/>
              <w:snapToGrid w:val="0"/>
              <w:jc w:val="center"/>
              <w:rPr>
                <w:kern w:val="0"/>
                <w:szCs w:val="21"/>
              </w:rPr>
            </w:pPr>
            <w:r w:rsidRPr="000549B1">
              <w:rPr>
                <w:kern w:val="0"/>
                <w:szCs w:val="21"/>
              </w:rPr>
              <w:t>Ⅲ</w:t>
            </w:r>
            <w:r w:rsidRPr="000549B1">
              <w:rPr>
                <w:kern w:val="0"/>
                <w:szCs w:val="21"/>
              </w:rPr>
              <w:t>类</w:t>
            </w:r>
          </w:p>
        </w:tc>
        <w:tc>
          <w:tcPr>
            <w:tcW w:w="939" w:type="pct"/>
            <w:shd w:val="clear" w:color="auto" w:fill="FFFFFF"/>
            <w:vAlign w:val="center"/>
          </w:tcPr>
          <w:p w14:paraId="17B27997" w14:textId="77777777" w:rsidR="00054437" w:rsidRPr="000549B1" w:rsidRDefault="00000000">
            <w:pPr>
              <w:widowControl/>
              <w:adjustRightInd w:val="0"/>
              <w:snapToGrid w:val="0"/>
              <w:jc w:val="center"/>
              <w:rPr>
                <w:kern w:val="0"/>
                <w:szCs w:val="21"/>
              </w:rPr>
            </w:pPr>
            <w:r w:rsidRPr="000549B1">
              <w:rPr>
                <w:kern w:val="0"/>
                <w:szCs w:val="21"/>
              </w:rPr>
              <w:t>Ⅲ</w:t>
            </w:r>
            <w:r w:rsidRPr="000549B1">
              <w:rPr>
                <w:kern w:val="0"/>
                <w:szCs w:val="21"/>
              </w:rPr>
              <w:t>类</w:t>
            </w:r>
          </w:p>
        </w:tc>
      </w:tr>
      <w:tr w:rsidR="000549B1" w:rsidRPr="000549B1" w14:paraId="07D3EA39" w14:textId="77777777">
        <w:trPr>
          <w:trHeight w:val="682"/>
          <w:jc w:val="center"/>
        </w:trPr>
        <w:tc>
          <w:tcPr>
            <w:tcW w:w="471" w:type="pct"/>
            <w:vAlign w:val="center"/>
          </w:tcPr>
          <w:p w14:paraId="70713632" w14:textId="77777777" w:rsidR="00054437" w:rsidRPr="000549B1" w:rsidRDefault="00000000">
            <w:pPr>
              <w:widowControl/>
              <w:adjustRightInd w:val="0"/>
              <w:snapToGrid w:val="0"/>
              <w:jc w:val="center"/>
              <w:rPr>
                <w:kern w:val="0"/>
                <w:szCs w:val="21"/>
              </w:rPr>
            </w:pPr>
            <w:r w:rsidRPr="000549B1">
              <w:rPr>
                <w:kern w:val="0"/>
                <w:szCs w:val="21"/>
              </w:rPr>
              <w:t>2</w:t>
            </w:r>
          </w:p>
        </w:tc>
        <w:tc>
          <w:tcPr>
            <w:tcW w:w="627" w:type="pct"/>
            <w:shd w:val="clear" w:color="auto" w:fill="FFFFFF"/>
            <w:vAlign w:val="center"/>
          </w:tcPr>
          <w:p w14:paraId="4D9F5786" w14:textId="77777777" w:rsidR="00054437" w:rsidRPr="000549B1" w:rsidRDefault="00000000">
            <w:pPr>
              <w:widowControl/>
              <w:adjustRightInd w:val="0"/>
              <w:snapToGrid w:val="0"/>
              <w:jc w:val="center"/>
              <w:rPr>
                <w:kern w:val="0"/>
                <w:szCs w:val="21"/>
              </w:rPr>
            </w:pPr>
            <w:r w:rsidRPr="000549B1">
              <w:rPr>
                <w:kern w:val="0"/>
                <w:szCs w:val="21"/>
              </w:rPr>
              <w:t>海南州</w:t>
            </w:r>
          </w:p>
        </w:tc>
        <w:tc>
          <w:tcPr>
            <w:tcW w:w="1087" w:type="pct"/>
            <w:shd w:val="clear" w:color="auto" w:fill="FFFFFF"/>
            <w:vAlign w:val="center"/>
          </w:tcPr>
          <w:p w14:paraId="2EDE57D4" w14:textId="77777777" w:rsidR="00054437" w:rsidRPr="000549B1" w:rsidRDefault="00000000">
            <w:pPr>
              <w:widowControl/>
              <w:adjustRightInd w:val="0"/>
              <w:snapToGrid w:val="0"/>
              <w:jc w:val="center"/>
              <w:rPr>
                <w:kern w:val="0"/>
                <w:szCs w:val="21"/>
              </w:rPr>
            </w:pPr>
            <w:r w:rsidRPr="000549B1">
              <w:rPr>
                <w:kern w:val="0"/>
                <w:szCs w:val="21"/>
              </w:rPr>
              <w:t>河卡镇满丈水源地</w:t>
            </w:r>
          </w:p>
        </w:tc>
        <w:tc>
          <w:tcPr>
            <w:tcW w:w="623" w:type="pct"/>
            <w:shd w:val="clear" w:color="auto" w:fill="FFFFFF"/>
            <w:vAlign w:val="center"/>
          </w:tcPr>
          <w:p w14:paraId="2281F2F9" w14:textId="77777777" w:rsidR="00054437" w:rsidRPr="000549B1" w:rsidRDefault="00000000">
            <w:pPr>
              <w:widowControl/>
              <w:adjustRightInd w:val="0"/>
              <w:snapToGrid w:val="0"/>
              <w:jc w:val="center"/>
              <w:rPr>
                <w:kern w:val="0"/>
                <w:szCs w:val="21"/>
              </w:rPr>
            </w:pPr>
            <w:r w:rsidRPr="000549B1">
              <w:rPr>
                <w:kern w:val="0"/>
                <w:szCs w:val="21"/>
              </w:rPr>
              <w:t>河流型</w:t>
            </w:r>
          </w:p>
        </w:tc>
        <w:tc>
          <w:tcPr>
            <w:tcW w:w="472" w:type="pct"/>
            <w:shd w:val="clear" w:color="auto" w:fill="FFFFFF"/>
            <w:vAlign w:val="center"/>
          </w:tcPr>
          <w:p w14:paraId="33ECC94C" w14:textId="77777777" w:rsidR="00054437" w:rsidRPr="000549B1" w:rsidRDefault="00000000">
            <w:pPr>
              <w:widowControl/>
              <w:adjustRightInd w:val="0"/>
              <w:snapToGrid w:val="0"/>
              <w:jc w:val="center"/>
              <w:rPr>
                <w:kern w:val="0"/>
                <w:szCs w:val="21"/>
              </w:rPr>
            </w:pPr>
            <w:r w:rsidRPr="000549B1">
              <w:rPr>
                <w:kern w:val="0"/>
                <w:szCs w:val="21"/>
              </w:rPr>
              <w:t>乡镇级</w:t>
            </w:r>
          </w:p>
        </w:tc>
        <w:tc>
          <w:tcPr>
            <w:tcW w:w="781" w:type="pct"/>
            <w:shd w:val="clear" w:color="auto" w:fill="FFFFFF"/>
            <w:vAlign w:val="center"/>
          </w:tcPr>
          <w:p w14:paraId="4C29F499" w14:textId="77777777" w:rsidR="00054437" w:rsidRPr="000549B1" w:rsidRDefault="00000000">
            <w:pPr>
              <w:widowControl/>
              <w:adjustRightInd w:val="0"/>
              <w:snapToGrid w:val="0"/>
              <w:jc w:val="center"/>
              <w:rPr>
                <w:kern w:val="0"/>
                <w:szCs w:val="21"/>
              </w:rPr>
            </w:pPr>
            <w:r w:rsidRPr="000549B1">
              <w:rPr>
                <w:kern w:val="0"/>
                <w:szCs w:val="21"/>
              </w:rPr>
              <w:t>Ⅲ</w:t>
            </w:r>
            <w:r w:rsidRPr="000549B1">
              <w:rPr>
                <w:kern w:val="0"/>
                <w:szCs w:val="21"/>
              </w:rPr>
              <w:t>类</w:t>
            </w:r>
          </w:p>
        </w:tc>
        <w:tc>
          <w:tcPr>
            <w:tcW w:w="939" w:type="pct"/>
            <w:shd w:val="clear" w:color="auto" w:fill="FFFFFF"/>
            <w:vAlign w:val="center"/>
          </w:tcPr>
          <w:p w14:paraId="04B8F64C" w14:textId="77777777" w:rsidR="00054437" w:rsidRPr="000549B1" w:rsidRDefault="00000000">
            <w:pPr>
              <w:widowControl/>
              <w:adjustRightInd w:val="0"/>
              <w:snapToGrid w:val="0"/>
              <w:jc w:val="center"/>
              <w:rPr>
                <w:kern w:val="0"/>
                <w:szCs w:val="21"/>
              </w:rPr>
            </w:pPr>
            <w:r w:rsidRPr="000549B1">
              <w:rPr>
                <w:kern w:val="0"/>
                <w:szCs w:val="21"/>
              </w:rPr>
              <w:t>Ⅲ</w:t>
            </w:r>
            <w:r w:rsidRPr="000549B1">
              <w:rPr>
                <w:kern w:val="0"/>
                <w:szCs w:val="21"/>
              </w:rPr>
              <w:t>类</w:t>
            </w:r>
          </w:p>
        </w:tc>
      </w:tr>
      <w:tr w:rsidR="000549B1" w:rsidRPr="000549B1" w14:paraId="7ACD5EB4" w14:textId="77777777">
        <w:trPr>
          <w:trHeight w:val="682"/>
          <w:jc w:val="center"/>
        </w:trPr>
        <w:tc>
          <w:tcPr>
            <w:tcW w:w="471" w:type="pct"/>
            <w:vAlign w:val="center"/>
          </w:tcPr>
          <w:p w14:paraId="0FB01D67" w14:textId="77777777" w:rsidR="00054437" w:rsidRPr="000549B1" w:rsidRDefault="00000000">
            <w:pPr>
              <w:widowControl/>
              <w:adjustRightInd w:val="0"/>
              <w:snapToGrid w:val="0"/>
              <w:jc w:val="center"/>
              <w:rPr>
                <w:kern w:val="0"/>
                <w:szCs w:val="21"/>
              </w:rPr>
            </w:pPr>
            <w:r w:rsidRPr="000549B1">
              <w:rPr>
                <w:kern w:val="0"/>
                <w:szCs w:val="21"/>
              </w:rPr>
              <w:t>3</w:t>
            </w:r>
          </w:p>
        </w:tc>
        <w:tc>
          <w:tcPr>
            <w:tcW w:w="627" w:type="pct"/>
            <w:shd w:val="clear" w:color="auto" w:fill="FFFFFF"/>
            <w:vAlign w:val="center"/>
          </w:tcPr>
          <w:p w14:paraId="64D91E11" w14:textId="77777777" w:rsidR="00054437" w:rsidRPr="000549B1" w:rsidRDefault="00000000">
            <w:pPr>
              <w:widowControl/>
              <w:adjustRightInd w:val="0"/>
              <w:snapToGrid w:val="0"/>
              <w:jc w:val="center"/>
              <w:rPr>
                <w:kern w:val="0"/>
                <w:szCs w:val="21"/>
              </w:rPr>
            </w:pPr>
            <w:r w:rsidRPr="000549B1">
              <w:rPr>
                <w:kern w:val="0"/>
                <w:szCs w:val="21"/>
              </w:rPr>
              <w:t>海南州</w:t>
            </w:r>
          </w:p>
        </w:tc>
        <w:tc>
          <w:tcPr>
            <w:tcW w:w="1087" w:type="pct"/>
            <w:shd w:val="clear" w:color="auto" w:fill="FFFFFF"/>
            <w:vAlign w:val="center"/>
          </w:tcPr>
          <w:p w14:paraId="09087102" w14:textId="77777777" w:rsidR="00054437" w:rsidRPr="000549B1" w:rsidRDefault="00000000">
            <w:pPr>
              <w:widowControl/>
              <w:adjustRightInd w:val="0"/>
              <w:snapToGrid w:val="0"/>
              <w:jc w:val="center"/>
              <w:rPr>
                <w:kern w:val="0"/>
                <w:szCs w:val="21"/>
              </w:rPr>
            </w:pPr>
            <w:r w:rsidRPr="000549B1">
              <w:rPr>
                <w:kern w:val="0"/>
                <w:szCs w:val="21"/>
              </w:rPr>
              <w:t>恰让水库</w:t>
            </w:r>
          </w:p>
        </w:tc>
        <w:tc>
          <w:tcPr>
            <w:tcW w:w="623" w:type="pct"/>
            <w:shd w:val="clear" w:color="auto" w:fill="FFFFFF"/>
            <w:vAlign w:val="center"/>
          </w:tcPr>
          <w:p w14:paraId="2581BBD1" w14:textId="77777777" w:rsidR="00054437" w:rsidRPr="000549B1" w:rsidRDefault="00000000">
            <w:pPr>
              <w:widowControl/>
              <w:adjustRightInd w:val="0"/>
              <w:snapToGrid w:val="0"/>
              <w:jc w:val="center"/>
              <w:rPr>
                <w:kern w:val="0"/>
                <w:szCs w:val="21"/>
              </w:rPr>
            </w:pPr>
            <w:r w:rsidRPr="000549B1">
              <w:rPr>
                <w:kern w:val="0"/>
                <w:szCs w:val="21"/>
              </w:rPr>
              <w:t>水库型</w:t>
            </w:r>
          </w:p>
        </w:tc>
        <w:tc>
          <w:tcPr>
            <w:tcW w:w="758" w:type="dxa"/>
            <w:shd w:val="clear" w:color="auto" w:fill="FFFFFF"/>
            <w:vAlign w:val="center"/>
          </w:tcPr>
          <w:p w14:paraId="2F0E4AFF" w14:textId="77777777" w:rsidR="00054437" w:rsidRPr="000549B1" w:rsidRDefault="00000000">
            <w:pPr>
              <w:widowControl/>
              <w:adjustRightInd w:val="0"/>
              <w:snapToGrid w:val="0"/>
              <w:jc w:val="center"/>
              <w:rPr>
                <w:kern w:val="0"/>
                <w:szCs w:val="21"/>
              </w:rPr>
            </w:pPr>
            <w:r w:rsidRPr="000549B1">
              <w:rPr>
                <w:kern w:val="0"/>
                <w:szCs w:val="21"/>
              </w:rPr>
              <w:t>地市级</w:t>
            </w:r>
          </w:p>
        </w:tc>
        <w:tc>
          <w:tcPr>
            <w:tcW w:w="1255" w:type="dxa"/>
            <w:shd w:val="clear" w:color="auto" w:fill="FFFFFF"/>
            <w:vAlign w:val="center"/>
          </w:tcPr>
          <w:p w14:paraId="0E575549" w14:textId="77777777" w:rsidR="00054437" w:rsidRPr="000549B1" w:rsidRDefault="00000000">
            <w:pPr>
              <w:widowControl/>
              <w:adjustRightInd w:val="0"/>
              <w:snapToGrid w:val="0"/>
              <w:jc w:val="center"/>
              <w:rPr>
                <w:rFonts w:eastAsia="微软雅黑"/>
                <w:kern w:val="0"/>
                <w:szCs w:val="21"/>
              </w:rPr>
            </w:pPr>
            <w:r w:rsidRPr="000549B1">
              <w:rPr>
                <w:kern w:val="0"/>
                <w:szCs w:val="21"/>
              </w:rPr>
              <w:t>Ⅲ</w:t>
            </w:r>
            <w:r w:rsidRPr="000549B1">
              <w:rPr>
                <w:kern w:val="0"/>
                <w:szCs w:val="21"/>
              </w:rPr>
              <w:t>类</w:t>
            </w:r>
          </w:p>
        </w:tc>
        <w:tc>
          <w:tcPr>
            <w:tcW w:w="1508" w:type="dxa"/>
            <w:shd w:val="clear" w:color="auto" w:fill="FFFFFF"/>
            <w:vAlign w:val="center"/>
          </w:tcPr>
          <w:p w14:paraId="4A1EB8DF" w14:textId="77777777" w:rsidR="00054437" w:rsidRPr="000549B1" w:rsidRDefault="00000000">
            <w:pPr>
              <w:widowControl/>
              <w:adjustRightInd w:val="0"/>
              <w:snapToGrid w:val="0"/>
              <w:jc w:val="center"/>
              <w:rPr>
                <w:rFonts w:eastAsia="微软雅黑"/>
                <w:kern w:val="0"/>
                <w:szCs w:val="21"/>
              </w:rPr>
            </w:pPr>
            <w:r w:rsidRPr="000549B1">
              <w:rPr>
                <w:kern w:val="0"/>
                <w:szCs w:val="21"/>
              </w:rPr>
              <w:t>Ⅲ</w:t>
            </w:r>
            <w:r w:rsidRPr="000549B1">
              <w:rPr>
                <w:kern w:val="0"/>
                <w:szCs w:val="21"/>
              </w:rPr>
              <w:t>类</w:t>
            </w:r>
          </w:p>
        </w:tc>
      </w:tr>
    </w:tbl>
    <w:p w14:paraId="0B2665C8" w14:textId="77777777" w:rsidR="00054437" w:rsidRPr="000549B1" w:rsidRDefault="00000000">
      <w:pPr>
        <w:pStyle w:val="2"/>
        <w:rPr>
          <w:rFonts w:ascii="Times New Roman" w:hAnsi="Times New Roman"/>
        </w:rPr>
      </w:pPr>
      <w:bookmarkStart w:id="246" w:name="_Toc216107017"/>
      <w:r w:rsidRPr="000549B1">
        <w:rPr>
          <w:rFonts w:ascii="Times New Roman" w:hAnsi="Times New Roman"/>
        </w:rPr>
        <w:t>陆生生态</w:t>
      </w:r>
      <w:r w:rsidRPr="000549B1">
        <w:rPr>
          <w:rFonts w:ascii="Times New Roman" w:hAnsi="Times New Roman" w:hint="eastAsia"/>
        </w:rPr>
        <w:t>现状</w:t>
      </w:r>
      <w:r w:rsidRPr="000549B1">
        <w:rPr>
          <w:rFonts w:ascii="Times New Roman" w:hAnsi="Times New Roman"/>
        </w:rPr>
        <w:t>调查与评价</w:t>
      </w:r>
      <w:bookmarkEnd w:id="204"/>
      <w:bookmarkEnd w:id="205"/>
      <w:bookmarkEnd w:id="206"/>
      <w:bookmarkEnd w:id="207"/>
      <w:bookmarkEnd w:id="244"/>
      <w:bookmarkEnd w:id="246"/>
    </w:p>
    <w:p w14:paraId="13B50F9B" w14:textId="77777777" w:rsidR="00054437" w:rsidRPr="000549B1" w:rsidRDefault="00000000">
      <w:pPr>
        <w:pStyle w:val="3"/>
      </w:pPr>
      <w:bookmarkStart w:id="247" w:name="_Toc216107018"/>
      <w:r w:rsidRPr="000549B1">
        <w:t>土地利用现状</w:t>
      </w:r>
      <w:bookmarkEnd w:id="247"/>
    </w:p>
    <w:p w14:paraId="24245E9D" w14:textId="3FBC118B" w:rsidR="00054437" w:rsidRPr="000549B1" w:rsidRDefault="00000000">
      <w:pPr>
        <w:pStyle w:val="0A0"/>
        <w:ind w:firstLine="480"/>
        <w:rPr>
          <w:b w:val="0"/>
          <w:bCs/>
        </w:rPr>
      </w:pPr>
      <w:r w:rsidRPr="000549B1">
        <w:rPr>
          <w:b w:val="0"/>
          <w:bCs/>
        </w:rPr>
        <w:t>经调查，评价区总面积为</w:t>
      </w:r>
      <w:r w:rsidRPr="000549B1">
        <w:rPr>
          <w:b w:val="0"/>
          <w:bCs/>
        </w:rPr>
        <w:t>86</w:t>
      </w:r>
      <w:r w:rsidR="00B81685" w:rsidRPr="000549B1">
        <w:rPr>
          <w:rFonts w:hint="eastAsia"/>
          <w:b w:val="0"/>
          <w:bCs/>
        </w:rPr>
        <w:t>60</w:t>
      </w:r>
      <w:r w:rsidRPr="000549B1">
        <w:rPr>
          <w:b w:val="0"/>
          <w:bCs/>
        </w:rPr>
        <w:t>.</w:t>
      </w:r>
      <w:r w:rsidR="00B81685" w:rsidRPr="000549B1">
        <w:rPr>
          <w:rFonts w:hint="eastAsia"/>
          <w:b w:val="0"/>
          <w:bCs/>
        </w:rPr>
        <w:t>00</w:t>
      </w:r>
      <w:r w:rsidRPr="000549B1">
        <w:rPr>
          <w:b w:val="0"/>
          <w:bCs/>
        </w:rPr>
        <w:t>km</w:t>
      </w:r>
      <w:r w:rsidRPr="000549B1">
        <w:rPr>
          <w:b w:val="0"/>
          <w:bCs/>
          <w:vertAlign w:val="superscript"/>
        </w:rPr>
        <w:t>2</w:t>
      </w:r>
      <w:r w:rsidRPr="000549B1">
        <w:rPr>
          <w:b w:val="0"/>
          <w:bCs/>
        </w:rPr>
        <w:t>，土地利用类型包括耕地、园地、林地、草地、住宅用地、公共管理与公共服务用地、工矿仓储用地、交通运输用地、水域及水利设施用地和其他用地，土地利用类型详见</w:t>
      </w:r>
      <w:r w:rsidR="00F32CCA" w:rsidRPr="00F32CCA">
        <w:rPr>
          <w:b w:val="0"/>
          <w:bCs/>
        </w:rPr>
        <w:t>表</w:t>
      </w:r>
      <w:r w:rsidR="00F32CCA" w:rsidRPr="00F32CCA">
        <w:rPr>
          <w:b w:val="0"/>
          <w:bCs/>
        </w:rPr>
        <w:t>3.5</w:t>
      </w:r>
      <w:r w:rsidR="00F32CCA" w:rsidRPr="00F32CCA">
        <w:rPr>
          <w:b w:val="0"/>
          <w:bCs/>
        </w:rPr>
        <w:noBreakHyphen/>
        <w:t>1</w:t>
      </w:r>
      <w:r w:rsidRPr="000549B1">
        <w:rPr>
          <w:b w:val="0"/>
          <w:bCs/>
        </w:rPr>
        <w:t>。</w:t>
      </w:r>
    </w:p>
    <w:p w14:paraId="224E7472" w14:textId="048318E5" w:rsidR="00054437" w:rsidRPr="000549B1" w:rsidRDefault="00000000">
      <w:pPr>
        <w:pStyle w:val="0A51"/>
        <w:ind w:firstLine="422"/>
      </w:pPr>
      <w:bookmarkStart w:id="248" w:name="_Ref214957889"/>
      <w:bookmarkStart w:id="249" w:name="_Ref214957883"/>
      <w:r w:rsidRPr="000549B1">
        <w:t>表</w:t>
      </w:r>
      <w:fldSimple w:instr=" STYLEREF 2 \s ">
        <w:r w:rsidR="00372953">
          <w:rPr>
            <w:noProof/>
          </w:rPr>
          <w:t>3.5</w:t>
        </w:r>
      </w:fldSimple>
      <w:r w:rsidR="00372953">
        <w:noBreakHyphen/>
      </w:r>
      <w:r w:rsidR="00372953">
        <w:fldChar w:fldCharType="begin"/>
      </w:r>
      <w:r w:rsidR="00372953">
        <w:instrText xml:space="preserve"> SEQ </w:instrText>
      </w:r>
      <w:r w:rsidR="00372953">
        <w:instrText>表</w:instrText>
      </w:r>
      <w:r w:rsidR="00372953">
        <w:instrText xml:space="preserve"> \* ARABIC \s 2 </w:instrText>
      </w:r>
      <w:r w:rsidR="00372953">
        <w:fldChar w:fldCharType="separate"/>
      </w:r>
      <w:r w:rsidR="00372953">
        <w:rPr>
          <w:noProof/>
        </w:rPr>
        <w:t>1</w:t>
      </w:r>
      <w:r w:rsidR="00372953">
        <w:fldChar w:fldCharType="end"/>
      </w:r>
      <w:bookmarkEnd w:id="248"/>
      <w:r w:rsidRPr="000549B1">
        <w:t>评价区土地利用现状情况</w:t>
      </w:r>
      <w:bookmarkEnd w:id="24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1169"/>
        <w:gridCol w:w="848"/>
        <w:gridCol w:w="2316"/>
        <w:gridCol w:w="1422"/>
        <w:gridCol w:w="1270"/>
      </w:tblGrid>
      <w:tr w:rsidR="000549B1" w:rsidRPr="000549B1" w14:paraId="14F032B3" w14:textId="77777777">
        <w:trPr>
          <w:tblHeader/>
          <w:jc w:val="center"/>
        </w:trPr>
        <w:tc>
          <w:tcPr>
            <w:tcW w:w="1271" w:type="dxa"/>
            <w:noWrap/>
            <w:vAlign w:val="center"/>
          </w:tcPr>
          <w:p w14:paraId="36D5F0DD" w14:textId="77777777" w:rsidR="00054437" w:rsidRPr="000549B1" w:rsidRDefault="00000000">
            <w:pPr>
              <w:pStyle w:val="CharCharCharCharChar"/>
              <w:rPr>
                <w:b/>
                <w:bCs/>
                <w:color w:val="auto"/>
              </w:rPr>
            </w:pPr>
            <w:r w:rsidRPr="000549B1">
              <w:rPr>
                <w:b/>
                <w:bCs/>
                <w:color w:val="auto"/>
              </w:rPr>
              <w:t>一级分类</w:t>
            </w:r>
          </w:p>
        </w:tc>
        <w:tc>
          <w:tcPr>
            <w:tcW w:w="1762" w:type="dxa"/>
            <w:vAlign w:val="center"/>
          </w:tcPr>
          <w:p w14:paraId="488611A5" w14:textId="77777777" w:rsidR="00054437" w:rsidRPr="000549B1" w:rsidRDefault="00000000">
            <w:pPr>
              <w:pStyle w:val="CharCharCharCharChar"/>
              <w:rPr>
                <w:b/>
                <w:bCs/>
                <w:color w:val="auto"/>
              </w:rPr>
            </w:pPr>
            <w:r w:rsidRPr="000549B1">
              <w:rPr>
                <w:b/>
                <w:bCs/>
                <w:color w:val="auto"/>
              </w:rPr>
              <w:t>面积（</w:t>
            </w:r>
            <w:r w:rsidRPr="000549B1">
              <w:rPr>
                <w:b/>
                <w:bCs/>
                <w:color w:val="auto"/>
              </w:rPr>
              <w:t>km</w:t>
            </w:r>
            <w:r w:rsidRPr="000549B1">
              <w:rPr>
                <w:b/>
                <w:bCs/>
                <w:color w:val="auto"/>
                <w:vertAlign w:val="superscript"/>
              </w:rPr>
              <w:t>2</w:t>
            </w:r>
            <w:r w:rsidRPr="000549B1">
              <w:rPr>
                <w:b/>
                <w:bCs/>
                <w:color w:val="auto"/>
              </w:rPr>
              <w:t>）</w:t>
            </w:r>
          </w:p>
        </w:tc>
        <w:tc>
          <w:tcPr>
            <w:tcW w:w="0" w:type="auto"/>
            <w:vAlign w:val="center"/>
          </w:tcPr>
          <w:p w14:paraId="5A5FCC18" w14:textId="77777777" w:rsidR="00054437" w:rsidRPr="000549B1" w:rsidRDefault="00000000">
            <w:pPr>
              <w:pStyle w:val="CharCharCharCharChar"/>
              <w:rPr>
                <w:b/>
                <w:bCs/>
                <w:color w:val="auto"/>
              </w:rPr>
            </w:pPr>
            <w:r w:rsidRPr="000549B1">
              <w:rPr>
                <w:b/>
                <w:bCs/>
                <w:color w:val="auto"/>
              </w:rPr>
              <w:t>比例（</w:t>
            </w:r>
            <w:r w:rsidRPr="000549B1">
              <w:rPr>
                <w:b/>
                <w:bCs/>
                <w:color w:val="auto"/>
              </w:rPr>
              <w:t>%</w:t>
            </w:r>
            <w:r w:rsidRPr="000549B1">
              <w:rPr>
                <w:b/>
                <w:bCs/>
                <w:color w:val="auto"/>
              </w:rPr>
              <w:t>）</w:t>
            </w:r>
          </w:p>
        </w:tc>
        <w:tc>
          <w:tcPr>
            <w:tcW w:w="0" w:type="auto"/>
            <w:noWrap/>
            <w:vAlign w:val="center"/>
          </w:tcPr>
          <w:p w14:paraId="282596CD" w14:textId="77777777" w:rsidR="00054437" w:rsidRPr="000549B1" w:rsidRDefault="00000000">
            <w:pPr>
              <w:pStyle w:val="CharCharCharCharChar"/>
              <w:rPr>
                <w:b/>
                <w:bCs/>
                <w:color w:val="auto"/>
              </w:rPr>
            </w:pPr>
            <w:r w:rsidRPr="000549B1">
              <w:rPr>
                <w:b/>
                <w:bCs/>
                <w:color w:val="auto"/>
              </w:rPr>
              <w:t>二级分类</w:t>
            </w:r>
          </w:p>
        </w:tc>
        <w:tc>
          <w:tcPr>
            <w:tcW w:w="0" w:type="auto"/>
            <w:noWrap/>
            <w:vAlign w:val="center"/>
          </w:tcPr>
          <w:p w14:paraId="45170765" w14:textId="77777777" w:rsidR="00054437" w:rsidRPr="000549B1" w:rsidRDefault="00000000">
            <w:pPr>
              <w:pStyle w:val="CharCharCharCharChar"/>
              <w:rPr>
                <w:b/>
                <w:bCs/>
                <w:color w:val="auto"/>
              </w:rPr>
            </w:pPr>
            <w:r w:rsidRPr="000549B1">
              <w:rPr>
                <w:b/>
                <w:bCs/>
                <w:color w:val="auto"/>
              </w:rPr>
              <w:t>面积（</w:t>
            </w:r>
            <w:r w:rsidRPr="000549B1">
              <w:rPr>
                <w:b/>
                <w:bCs/>
                <w:color w:val="auto"/>
              </w:rPr>
              <w:t>km</w:t>
            </w:r>
            <w:r w:rsidRPr="000549B1">
              <w:rPr>
                <w:b/>
                <w:bCs/>
                <w:color w:val="auto"/>
                <w:vertAlign w:val="superscript"/>
              </w:rPr>
              <w:t>2</w:t>
            </w:r>
            <w:r w:rsidRPr="000549B1">
              <w:rPr>
                <w:b/>
                <w:bCs/>
                <w:color w:val="auto"/>
              </w:rPr>
              <w:t>）</w:t>
            </w:r>
          </w:p>
        </w:tc>
        <w:tc>
          <w:tcPr>
            <w:tcW w:w="0" w:type="auto"/>
            <w:noWrap/>
            <w:vAlign w:val="center"/>
          </w:tcPr>
          <w:p w14:paraId="1F838E20" w14:textId="77777777" w:rsidR="00054437" w:rsidRPr="000549B1" w:rsidRDefault="00000000">
            <w:pPr>
              <w:pStyle w:val="CharCharCharCharChar"/>
              <w:rPr>
                <w:b/>
                <w:bCs/>
                <w:color w:val="auto"/>
              </w:rPr>
            </w:pPr>
            <w:r w:rsidRPr="000549B1">
              <w:rPr>
                <w:b/>
                <w:bCs/>
                <w:color w:val="auto"/>
              </w:rPr>
              <w:t>比例（</w:t>
            </w:r>
            <w:r w:rsidRPr="000549B1">
              <w:rPr>
                <w:b/>
                <w:bCs/>
                <w:color w:val="auto"/>
              </w:rPr>
              <w:t>%</w:t>
            </w:r>
            <w:r w:rsidRPr="000549B1">
              <w:rPr>
                <w:b/>
                <w:bCs/>
                <w:color w:val="auto"/>
              </w:rPr>
              <w:t>）</w:t>
            </w:r>
          </w:p>
        </w:tc>
      </w:tr>
      <w:tr w:rsidR="000549B1" w:rsidRPr="000549B1" w14:paraId="371387AA" w14:textId="77777777">
        <w:trPr>
          <w:jc w:val="center"/>
        </w:trPr>
        <w:tc>
          <w:tcPr>
            <w:tcW w:w="1271" w:type="dxa"/>
            <w:vMerge w:val="restart"/>
            <w:noWrap/>
            <w:vAlign w:val="center"/>
          </w:tcPr>
          <w:p w14:paraId="5DD5C508" w14:textId="77777777" w:rsidR="00054437" w:rsidRPr="000549B1" w:rsidRDefault="00000000">
            <w:pPr>
              <w:pStyle w:val="CharCharCharCharChar"/>
              <w:rPr>
                <w:color w:val="auto"/>
                <w:szCs w:val="21"/>
              </w:rPr>
            </w:pPr>
            <w:r w:rsidRPr="000549B1">
              <w:rPr>
                <w:color w:val="auto"/>
                <w:szCs w:val="21"/>
              </w:rPr>
              <w:t>耕地</w:t>
            </w:r>
          </w:p>
        </w:tc>
        <w:tc>
          <w:tcPr>
            <w:tcW w:w="1762" w:type="dxa"/>
            <w:vMerge w:val="restart"/>
            <w:vAlign w:val="center"/>
          </w:tcPr>
          <w:p w14:paraId="6CF4B319" w14:textId="77777777" w:rsidR="00054437" w:rsidRPr="000549B1" w:rsidRDefault="00000000">
            <w:pPr>
              <w:pStyle w:val="CharCharCharCharChar"/>
              <w:rPr>
                <w:color w:val="auto"/>
                <w:szCs w:val="21"/>
              </w:rPr>
            </w:pPr>
            <w:r w:rsidRPr="000549B1">
              <w:rPr>
                <w:color w:val="auto"/>
                <w:szCs w:val="21"/>
              </w:rPr>
              <w:t>177.61</w:t>
            </w:r>
          </w:p>
        </w:tc>
        <w:tc>
          <w:tcPr>
            <w:tcW w:w="0" w:type="auto"/>
            <w:vMerge w:val="restart"/>
            <w:vAlign w:val="center"/>
          </w:tcPr>
          <w:p w14:paraId="0287B534" w14:textId="77777777" w:rsidR="00054437" w:rsidRPr="000549B1" w:rsidRDefault="00000000">
            <w:pPr>
              <w:pStyle w:val="CharCharCharCharChar"/>
              <w:rPr>
                <w:color w:val="auto"/>
                <w:szCs w:val="21"/>
              </w:rPr>
            </w:pPr>
            <w:r w:rsidRPr="000549B1">
              <w:rPr>
                <w:color w:val="auto"/>
                <w:szCs w:val="21"/>
              </w:rPr>
              <w:t>2.05</w:t>
            </w:r>
          </w:p>
        </w:tc>
        <w:tc>
          <w:tcPr>
            <w:tcW w:w="0" w:type="auto"/>
            <w:noWrap/>
            <w:vAlign w:val="center"/>
          </w:tcPr>
          <w:p w14:paraId="2B3F4DC1" w14:textId="77777777" w:rsidR="00054437" w:rsidRPr="000549B1" w:rsidRDefault="00000000">
            <w:pPr>
              <w:pStyle w:val="CharCharCharCharChar"/>
              <w:rPr>
                <w:color w:val="auto"/>
                <w:szCs w:val="21"/>
              </w:rPr>
            </w:pPr>
            <w:r w:rsidRPr="000549B1">
              <w:rPr>
                <w:color w:val="auto"/>
                <w:szCs w:val="21"/>
              </w:rPr>
              <w:t>旱地</w:t>
            </w:r>
          </w:p>
        </w:tc>
        <w:tc>
          <w:tcPr>
            <w:tcW w:w="0" w:type="auto"/>
            <w:noWrap/>
            <w:vAlign w:val="center"/>
          </w:tcPr>
          <w:p w14:paraId="3696B1FE" w14:textId="77777777" w:rsidR="00054437" w:rsidRPr="000549B1" w:rsidRDefault="00000000">
            <w:pPr>
              <w:pStyle w:val="CharCharCharCharChar"/>
              <w:rPr>
                <w:color w:val="auto"/>
                <w:szCs w:val="21"/>
              </w:rPr>
            </w:pPr>
            <w:r w:rsidRPr="000549B1">
              <w:rPr>
                <w:color w:val="auto"/>
                <w:szCs w:val="21"/>
              </w:rPr>
              <w:t>65.42</w:t>
            </w:r>
          </w:p>
        </w:tc>
        <w:tc>
          <w:tcPr>
            <w:tcW w:w="0" w:type="auto"/>
            <w:noWrap/>
            <w:vAlign w:val="center"/>
          </w:tcPr>
          <w:p w14:paraId="4E3735B0" w14:textId="77777777" w:rsidR="00054437" w:rsidRPr="000549B1" w:rsidRDefault="00000000">
            <w:pPr>
              <w:pStyle w:val="CharCharCharCharChar"/>
              <w:rPr>
                <w:color w:val="auto"/>
                <w:szCs w:val="21"/>
              </w:rPr>
            </w:pPr>
            <w:r w:rsidRPr="000549B1">
              <w:rPr>
                <w:color w:val="auto"/>
                <w:szCs w:val="21"/>
              </w:rPr>
              <w:t>0.75</w:t>
            </w:r>
          </w:p>
        </w:tc>
      </w:tr>
      <w:tr w:rsidR="000549B1" w:rsidRPr="000549B1" w14:paraId="0D351406" w14:textId="77777777">
        <w:trPr>
          <w:jc w:val="center"/>
        </w:trPr>
        <w:tc>
          <w:tcPr>
            <w:tcW w:w="1271" w:type="dxa"/>
            <w:vMerge/>
            <w:noWrap/>
            <w:vAlign w:val="center"/>
          </w:tcPr>
          <w:p w14:paraId="03485FBA" w14:textId="77777777" w:rsidR="00054437" w:rsidRPr="000549B1" w:rsidRDefault="00054437">
            <w:pPr>
              <w:pStyle w:val="CharCharCharCharChar"/>
              <w:rPr>
                <w:color w:val="auto"/>
                <w:szCs w:val="21"/>
              </w:rPr>
            </w:pPr>
          </w:p>
        </w:tc>
        <w:tc>
          <w:tcPr>
            <w:tcW w:w="1762" w:type="dxa"/>
            <w:vMerge/>
            <w:vAlign w:val="center"/>
          </w:tcPr>
          <w:p w14:paraId="0A8D0351" w14:textId="77777777" w:rsidR="00054437" w:rsidRPr="000549B1" w:rsidRDefault="00054437">
            <w:pPr>
              <w:pStyle w:val="CharCharCharCharChar"/>
              <w:rPr>
                <w:color w:val="auto"/>
                <w:szCs w:val="21"/>
              </w:rPr>
            </w:pPr>
          </w:p>
        </w:tc>
        <w:tc>
          <w:tcPr>
            <w:tcW w:w="0" w:type="auto"/>
            <w:vMerge/>
            <w:vAlign w:val="center"/>
          </w:tcPr>
          <w:p w14:paraId="5EC4FC5D" w14:textId="77777777" w:rsidR="00054437" w:rsidRPr="000549B1" w:rsidRDefault="00054437">
            <w:pPr>
              <w:pStyle w:val="CharCharCharCharChar"/>
              <w:rPr>
                <w:color w:val="auto"/>
                <w:szCs w:val="21"/>
              </w:rPr>
            </w:pPr>
          </w:p>
        </w:tc>
        <w:tc>
          <w:tcPr>
            <w:tcW w:w="0" w:type="auto"/>
            <w:noWrap/>
            <w:vAlign w:val="center"/>
          </w:tcPr>
          <w:p w14:paraId="461266A0" w14:textId="77777777" w:rsidR="00054437" w:rsidRPr="000549B1" w:rsidRDefault="00000000">
            <w:pPr>
              <w:pStyle w:val="CharCharCharCharChar"/>
              <w:rPr>
                <w:color w:val="auto"/>
                <w:szCs w:val="21"/>
              </w:rPr>
            </w:pPr>
            <w:r w:rsidRPr="000549B1">
              <w:rPr>
                <w:color w:val="auto"/>
                <w:szCs w:val="21"/>
              </w:rPr>
              <w:t>水浇地</w:t>
            </w:r>
          </w:p>
        </w:tc>
        <w:tc>
          <w:tcPr>
            <w:tcW w:w="0" w:type="auto"/>
            <w:noWrap/>
            <w:vAlign w:val="center"/>
          </w:tcPr>
          <w:p w14:paraId="4AF7D36D" w14:textId="77777777" w:rsidR="00054437" w:rsidRPr="000549B1" w:rsidRDefault="00000000">
            <w:pPr>
              <w:pStyle w:val="CharCharCharCharChar"/>
              <w:rPr>
                <w:color w:val="auto"/>
                <w:szCs w:val="21"/>
              </w:rPr>
            </w:pPr>
            <w:r w:rsidRPr="000549B1">
              <w:rPr>
                <w:color w:val="auto"/>
                <w:szCs w:val="21"/>
              </w:rPr>
              <w:t>112.19</w:t>
            </w:r>
          </w:p>
        </w:tc>
        <w:tc>
          <w:tcPr>
            <w:tcW w:w="0" w:type="auto"/>
            <w:noWrap/>
            <w:vAlign w:val="center"/>
          </w:tcPr>
          <w:p w14:paraId="2076EB7E" w14:textId="77777777" w:rsidR="00054437" w:rsidRPr="000549B1" w:rsidRDefault="00000000">
            <w:pPr>
              <w:pStyle w:val="CharCharCharCharChar"/>
              <w:rPr>
                <w:color w:val="auto"/>
                <w:szCs w:val="21"/>
              </w:rPr>
            </w:pPr>
            <w:r w:rsidRPr="000549B1">
              <w:rPr>
                <w:color w:val="auto"/>
                <w:szCs w:val="21"/>
              </w:rPr>
              <w:t>1.29</w:t>
            </w:r>
          </w:p>
        </w:tc>
      </w:tr>
      <w:tr w:rsidR="000549B1" w:rsidRPr="000549B1" w14:paraId="789E5E0C" w14:textId="77777777">
        <w:trPr>
          <w:jc w:val="center"/>
        </w:trPr>
        <w:tc>
          <w:tcPr>
            <w:tcW w:w="1271" w:type="dxa"/>
            <w:noWrap/>
            <w:vAlign w:val="center"/>
          </w:tcPr>
          <w:p w14:paraId="484DD616" w14:textId="77777777" w:rsidR="00054437" w:rsidRPr="000549B1" w:rsidRDefault="00000000">
            <w:pPr>
              <w:pStyle w:val="CharCharCharCharChar"/>
              <w:rPr>
                <w:color w:val="auto"/>
                <w:szCs w:val="21"/>
              </w:rPr>
            </w:pPr>
            <w:r w:rsidRPr="000549B1">
              <w:rPr>
                <w:color w:val="auto"/>
                <w:szCs w:val="21"/>
              </w:rPr>
              <w:t>园地</w:t>
            </w:r>
          </w:p>
        </w:tc>
        <w:tc>
          <w:tcPr>
            <w:tcW w:w="1762" w:type="dxa"/>
            <w:vAlign w:val="center"/>
          </w:tcPr>
          <w:p w14:paraId="6D1AF4C3" w14:textId="77777777" w:rsidR="00054437" w:rsidRPr="000549B1" w:rsidRDefault="00000000">
            <w:pPr>
              <w:pStyle w:val="CharCharCharCharChar"/>
              <w:rPr>
                <w:color w:val="auto"/>
                <w:szCs w:val="21"/>
              </w:rPr>
            </w:pPr>
            <w:r w:rsidRPr="000549B1">
              <w:rPr>
                <w:color w:val="auto"/>
                <w:szCs w:val="21"/>
              </w:rPr>
              <w:t>18.33</w:t>
            </w:r>
          </w:p>
        </w:tc>
        <w:tc>
          <w:tcPr>
            <w:tcW w:w="0" w:type="auto"/>
            <w:vAlign w:val="center"/>
          </w:tcPr>
          <w:p w14:paraId="3E2CD6D3" w14:textId="77777777" w:rsidR="00054437" w:rsidRPr="000549B1" w:rsidRDefault="00000000">
            <w:pPr>
              <w:pStyle w:val="CharCharCharCharChar"/>
              <w:rPr>
                <w:color w:val="auto"/>
                <w:szCs w:val="21"/>
              </w:rPr>
            </w:pPr>
            <w:r w:rsidRPr="000549B1">
              <w:rPr>
                <w:color w:val="auto"/>
                <w:szCs w:val="21"/>
              </w:rPr>
              <w:t>0.21</w:t>
            </w:r>
          </w:p>
        </w:tc>
        <w:tc>
          <w:tcPr>
            <w:tcW w:w="0" w:type="auto"/>
            <w:noWrap/>
            <w:vAlign w:val="center"/>
          </w:tcPr>
          <w:p w14:paraId="593A2B67" w14:textId="77777777" w:rsidR="00054437" w:rsidRPr="000549B1" w:rsidRDefault="00000000">
            <w:pPr>
              <w:pStyle w:val="CharCharCharCharChar"/>
              <w:rPr>
                <w:color w:val="auto"/>
                <w:szCs w:val="21"/>
              </w:rPr>
            </w:pPr>
            <w:r w:rsidRPr="000549B1">
              <w:rPr>
                <w:color w:val="auto"/>
                <w:szCs w:val="21"/>
              </w:rPr>
              <w:t>果园</w:t>
            </w:r>
          </w:p>
        </w:tc>
        <w:tc>
          <w:tcPr>
            <w:tcW w:w="0" w:type="auto"/>
            <w:noWrap/>
            <w:vAlign w:val="center"/>
          </w:tcPr>
          <w:p w14:paraId="279FE496" w14:textId="77777777" w:rsidR="00054437" w:rsidRPr="000549B1" w:rsidRDefault="00000000">
            <w:pPr>
              <w:pStyle w:val="CharCharCharCharChar"/>
              <w:rPr>
                <w:color w:val="auto"/>
                <w:szCs w:val="21"/>
              </w:rPr>
            </w:pPr>
            <w:r w:rsidRPr="000549B1">
              <w:rPr>
                <w:color w:val="auto"/>
                <w:szCs w:val="21"/>
              </w:rPr>
              <w:t>18.33</w:t>
            </w:r>
          </w:p>
        </w:tc>
        <w:tc>
          <w:tcPr>
            <w:tcW w:w="0" w:type="auto"/>
            <w:noWrap/>
            <w:vAlign w:val="center"/>
          </w:tcPr>
          <w:p w14:paraId="3C1123FC" w14:textId="77777777" w:rsidR="00054437" w:rsidRPr="000549B1" w:rsidRDefault="00000000">
            <w:pPr>
              <w:pStyle w:val="CharCharCharCharChar"/>
              <w:rPr>
                <w:color w:val="auto"/>
                <w:szCs w:val="21"/>
              </w:rPr>
            </w:pPr>
            <w:r w:rsidRPr="000549B1">
              <w:rPr>
                <w:color w:val="auto"/>
                <w:szCs w:val="21"/>
              </w:rPr>
              <w:t>0.21</w:t>
            </w:r>
          </w:p>
        </w:tc>
      </w:tr>
      <w:tr w:rsidR="000549B1" w:rsidRPr="000549B1" w14:paraId="4964E3E2" w14:textId="77777777">
        <w:trPr>
          <w:jc w:val="center"/>
        </w:trPr>
        <w:tc>
          <w:tcPr>
            <w:tcW w:w="1271" w:type="dxa"/>
            <w:vMerge w:val="restart"/>
            <w:noWrap/>
            <w:vAlign w:val="center"/>
          </w:tcPr>
          <w:p w14:paraId="6E8AFAF3" w14:textId="77777777" w:rsidR="00054437" w:rsidRPr="000549B1" w:rsidRDefault="00000000">
            <w:pPr>
              <w:pStyle w:val="CharCharCharCharChar"/>
              <w:rPr>
                <w:color w:val="auto"/>
                <w:szCs w:val="21"/>
              </w:rPr>
            </w:pPr>
            <w:r w:rsidRPr="000549B1">
              <w:rPr>
                <w:color w:val="auto"/>
                <w:szCs w:val="21"/>
              </w:rPr>
              <w:t>林地</w:t>
            </w:r>
          </w:p>
        </w:tc>
        <w:tc>
          <w:tcPr>
            <w:tcW w:w="1762" w:type="dxa"/>
            <w:vMerge w:val="restart"/>
            <w:vAlign w:val="center"/>
          </w:tcPr>
          <w:p w14:paraId="64CA4193" w14:textId="77777777" w:rsidR="00054437" w:rsidRPr="000549B1" w:rsidRDefault="00000000">
            <w:pPr>
              <w:pStyle w:val="CharCharCharCharChar"/>
              <w:rPr>
                <w:color w:val="auto"/>
                <w:szCs w:val="21"/>
              </w:rPr>
            </w:pPr>
            <w:r w:rsidRPr="000549B1">
              <w:rPr>
                <w:color w:val="auto"/>
                <w:szCs w:val="21"/>
              </w:rPr>
              <w:t>309.55</w:t>
            </w:r>
          </w:p>
        </w:tc>
        <w:tc>
          <w:tcPr>
            <w:tcW w:w="0" w:type="auto"/>
            <w:vMerge w:val="restart"/>
            <w:vAlign w:val="center"/>
          </w:tcPr>
          <w:p w14:paraId="3E4283A3" w14:textId="77777777" w:rsidR="00054437" w:rsidRPr="000549B1" w:rsidRDefault="00000000">
            <w:pPr>
              <w:pStyle w:val="CharCharCharCharChar"/>
              <w:rPr>
                <w:color w:val="auto"/>
                <w:szCs w:val="21"/>
              </w:rPr>
            </w:pPr>
            <w:r w:rsidRPr="000549B1">
              <w:rPr>
                <w:color w:val="auto"/>
                <w:szCs w:val="21"/>
              </w:rPr>
              <w:t>3.57</w:t>
            </w:r>
          </w:p>
        </w:tc>
        <w:tc>
          <w:tcPr>
            <w:tcW w:w="0" w:type="auto"/>
            <w:noWrap/>
            <w:vAlign w:val="center"/>
          </w:tcPr>
          <w:p w14:paraId="18C0D8E3" w14:textId="77777777" w:rsidR="00054437" w:rsidRPr="000549B1" w:rsidRDefault="00000000">
            <w:pPr>
              <w:pStyle w:val="CharCharCharCharChar"/>
              <w:rPr>
                <w:color w:val="auto"/>
                <w:szCs w:val="21"/>
              </w:rPr>
            </w:pPr>
            <w:r w:rsidRPr="000549B1">
              <w:rPr>
                <w:color w:val="auto"/>
                <w:szCs w:val="21"/>
              </w:rPr>
              <w:t>乔木林地</w:t>
            </w:r>
          </w:p>
        </w:tc>
        <w:tc>
          <w:tcPr>
            <w:tcW w:w="0" w:type="auto"/>
            <w:noWrap/>
            <w:vAlign w:val="center"/>
          </w:tcPr>
          <w:p w14:paraId="394D39AF" w14:textId="77777777" w:rsidR="00054437" w:rsidRPr="000549B1" w:rsidRDefault="00000000">
            <w:pPr>
              <w:pStyle w:val="CharCharCharCharChar"/>
              <w:rPr>
                <w:color w:val="auto"/>
                <w:szCs w:val="21"/>
              </w:rPr>
            </w:pPr>
            <w:r w:rsidRPr="000549B1">
              <w:rPr>
                <w:color w:val="auto"/>
                <w:szCs w:val="21"/>
              </w:rPr>
              <w:t>90.57</w:t>
            </w:r>
          </w:p>
        </w:tc>
        <w:tc>
          <w:tcPr>
            <w:tcW w:w="0" w:type="auto"/>
            <w:noWrap/>
            <w:vAlign w:val="center"/>
          </w:tcPr>
          <w:p w14:paraId="62AAB169" w14:textId="77777777" w:rsidR="00054437" w:rsidRPr="000549B1" w:rsidRDefault="00000000">
            <w:pPr>
              <w:pStyle w:val="CharCharCharCharChar"/>
              <w:rPr>
                <w:color w:val="auto"/>
                <w:szCs w:val="21"/>
              </w:rPr>
            </w:pPr>
            <w:r w:rsidRPr="000549B1">
              <w:rPr>
                <w:color w:val="auto"/>
                <w:szCs w:val="21"/>
              </w:rPr>
              <w:t>1.04</w:t>
            </w:r>
          </w:p>
        </w:tc>
      </w:tr>
      <w:tr w:rsidR="000549B1" w:rsidRPr="000549B1" w14:paraId="60046AE5" w14:textId="77777777">
        <w:trPr>
          <w:jc w:val="center"/>
        </w:trPr>
        <w:tc>
          <w:tcPr>
            <w:tcW w:w="1271" w:type="dxa"/>
            <w:vMerge/>
            <w:vAlign w:val="center"/>
          </w:tcPr>
          <w:p w14:paraId="3E872DAB" w14:textId="77777777" w:rsidR="00054437" w:rsidRPr="000549B1" w:rsidRDefault="00054437">
            <w:pPr>
              <w:pStyle w:val="CharCharCharCharChar"/>
              <w:rPr>
                <w:color w:val="auto"/>
                <w:szCs w:val="21"/>
              </w:rPr>
            </w:pPr>
          </w:p>
        </w:tc>
        <w:tc>
          <w:tcPr>
            <w:tcW w:w="1762" w:type="dxa"/>
            <w:vMerge/>
            <w:vAlign w:val="center"/>
          </w:tcPr>
          <w:p w14:paraId="62EFC76B" w14:textId="77777777" w:rsidR="00054437" w:rsidRPr="000549B1" w:rsidRDefault="00054437">
            <w:pPr>
              <w:pStyle w:val="CharCharCharCharChar"/>
              <w:rPr>
                <w:color w:val="auto"/>
                <w:szCs w:val="21"/>
              </w:rPr>
            </w:pPr>
          </w:p>
        </w:tc>
        <w:tc>
          <w:tcPr>
            <w:tcW w:w="0" w:type="auto"/>
            <w:vMerge/>
            <w:vAlign w:val="center"/>
          </w:tcPr>
          <w:p w14:paraId="23C24CF5" w14:textId="77777777" w:rsidR="00054437" w:rsidRPr="000549B1" w:rsidRDefault="00054437">
            <w:pPr>
              <w:pStyle w:val="CharCharCharCharChar"/>
              <w:rPr>
                <w:color w:val="auto"/>
                <w:szCs w:val="21"/>
              </w:rPr>
            </w:pPr>
          </w:p>
        </w:tc>
        <w:tc>
          <w:tcPr>
            <w:tcW w:w="0" w:type="auto"/>
            <w:noWrap/>
            <w:vAlign w:val="center"/>
          </w:tcPr>
          <w:p w14:paraId="700F1ADC" w14:textId="77777777" w:rsidR="00054437" w:rsidRPr="000549B1" w:rsidRDefault="00000000">
            <w:pPr>
              <w:pStyle w:val="CharCharCharCharChar"/>
              <w:rPr>
                <w:color w:val="auto"/>
                <w:szCs w:val="21"/>
              </w:rPr>
            </w:pPr>
            <w:r w:rsidRPr="000549B1">
              <w:rPr>
                <w:color w:val="auto"/>
                <w:szCs w:val="21"/>
              </w:rPr>
              <w:t>灌木林地</w:t>
            </w:r>
          </w:p>
        </w:tc>
        <w:tc>
          <w:tcPr>
            <w:tcW w:w="0" w:type="auto"/>
            <w:noWrap/>
            <w:vAlign w:val="center"/>
          </w:tcPr>
          <w:p w14:paraId="0E864B2F" w14:textId="77777777" w:rsidR="00054437" w:rsidRPr="000549B1" w:rsidRDefault="00000000">
            <w:pPr>
              <w:pStyle w:val="CharCharCharCharChar"/>
              <w:rPr>
                <w:color w:val="auto"/>
                <w:szCs w:val="21"/>
              </w:rPr>
            </w:pPr>
            <w:r w:rsidRPr="000549B1">
              <w:rPr>
                <w:color w:val="auto"/>
                <w:szCs w:val="21"/>
              </w:rPr>
              <w:t>214.94</w:t>
            </w:r>
          </w:p>
        </w:tc>
        <w:tc>
          <w:tcPr>
            <w:tcW w:w="0" w:type="auto"/>
            <w:noWrap/>
            <w:vAlign w:val="center"/>
          </w:tcPr>
          <w:p w14:paraId="50FEF4DC" w14:textId="77777777" w:rsidR="00054437" w:rsidRPr="000549B1" w:rsidRDefault="00000000">
            <w:pPr>
              <w:pStyle w:val="CharCharCharCharChar"/>
              <w:rPr>
                <w:color w:val="auto"/>
                <w:szCs w:val="21"/>
              </w:rPr>
            </w:pPr>
            <w:r w:rsidRPr="000549B1">
              <w:rPr>
                <w:color w:val="auto"/>
                <w:szCs w:val="21"/>
              </w:rPr>
              <w:t>2.48</w:t>
            </w:r>
          </w:p>
        </w:tc>
      </w:tr>
      <w:tr w:rsidR="000549B1" w:rsidRPr="000549B1" w14:paraId="3346F16C" w14:textId="77777777">
        <w:trPr>
          <w:jc w:val="center"/>
        </w:trPr>
        <w:tc>
          <w:tcPr>
            <w:tcW w:w="1271" w:type="dxa"/>
            <w:vMerge/>
            <w:vAlign w:val="center"/>
          </w:tcPr>
          <w:p w14:paraId="2485BE44" w14:textId="77777777" w:rsidR="00054437" w:rsidRPr="000549B1" w:rsidRDefault="00054437">
            <w:pPr>
              <w:pStyle w:val="CharCharCharCharChar"/>
              <w:rPr>
                <w:color w:val="auto"/>
                <w:szCs w:val="21"/>
              </w:rPr>
            </w:pPr>
          </w:p>
        </w:tc>
        <w:tc>
          <w:tcPr>
            <w:tcW w:w="1762" w:type="dxa"/>
            <w:vMerge/>
            <w:vAlign w:val="center"/>
          </w:tcPr>
          <w:p w14:paraId="39E0FFD5" w14:textId="77777777" w:rsidR="00054437" w:rsidRPr="000549B1" w:rsidRDefault="00054437">
            <w:pPr>
              <w:pStyle w:val="CharCharCharCharChar"/>
              <w:rPr>
                <w:color w:val="auto"/>
                <w:szCs w:val="21"/>
              </w:rPr>
            </w:pPr>
          </w:p>
        </w:tc>
        <w:tc>
          <w:tcPr>
            <w:tcW w:w="0" w:type="auto"/>
            <w:vMerge/>
            <w:vAlign w:val="center"/>
          </w:tcPr>
          <w:p w14:paraId="07C37303" w14:textId="77777777" w:rsidR="00054437" w:rsidRPr="000549B1" w:rsidRDefault="00054437">
            <w:pPr>
              <w:pStyle w:val="CharCharCharCharChar"/>
              <w:rPr>
                <w:color w:val="auto"/>
                <w:szCs w:val="21"/>
              </w:rPr>
            </w:pPr>
          </w:p>
        </w:tc>
        <w:tc>
          <w:tcPr>
            <w:tcW w:w="0" w:type="auto"/>
            <w:noWrap/>
            <w:vAlign w:val="center"/>
          </w:tcPr>
          <w:p w14:paraId="701FEB64" w14:textId="77777777" w:rsidR="00054437" w:rsidRPr="000549B1" w:rsidRDefault="00000000">
            <w:pPr>
              <w:pStyle w:val="CharCharCharCharChar"/>
              <w:rPr>
                <w:color w:val="auto"/>
                <w:szCs w:val="21"/>
              </w:rPr>
            </w:pPr>
            <w:r w:rsidRPr="000549B1">
              <w:rPr>
                <w:color w:val="auto"/>
                <w:szCs w:val="21"/>
              </w:rPr>
              <w:t>其他林地</w:t>
            </w:r>
          </w:p>
        </w:tc>
        <w:tc>
          <w:tcPr>
            <w:tcW w:w="0" w:type="auto"/>
            <w:noWrap/>
            <w:vAlign w:val="center"/>
          </w:tcPr>
          <w:p w14:paraId="1396491A" w14:textId="77777777" w:rsidR="00054437" w:rsidRPr="000549B1" w:rsidRDefault="00000000">
            <w:pPr>
              <w:pStyle w:val="CharCharCharCharChar"/>
              <w:rPr>
                <w:color w:val="auto"/>
                <w:szCs w:val="21"/>
              </w:rPr>
            </w:pPr>
            <w:r w:rsidRPr="000549B1">
              <w:rPr>
                <w:color w:val="auto"/>
                <w:szCs w:val="21"/>
              </w:rPr>
              <w:t>4.04</w:t>
            </w:r>
          </w:p>
        </w:tc>
        <w:tc>
          <w:tcPr>
            <w:tcW w:w="0" w:type="auto"/>
            <w:noWrap/>
            <w:vAlign w:val="center"/>
          </w:tcPr>
          <w:p w14:paraId="077F21F9" w14:textId="77777777" w:rsidR="00054437" w:rsidRPr="000549B1" w:rsidRDefault="00000000">
            <w:pPr>
              <w:pStyle w:val="CharCharCharCharChar"/>
              <w:rPr>
                <w:color w:val="auto"/>
                <w:szCs w:val="21"/>
              </w:rPr>
            </w:pPr>
            <w:r w:rsidRPr="000549B1">
              <w:rPr>
                <w:color w:val="auto"/>
                <w:szCs w:val="21"/>
              </w:rPr>
              <w:t>0.05</w:t>
            </w:r>
          </w:p>
        </w:tc>
      </w:tr>
      <w:tr w:rsidR="000549B1" w:rsidRPr="000549B1" w14:paraId="04E02EEF" w14:textId="77777777">
        <w:trPr>
          <w:jc w:val="center"/>
        </w:trPr>
        <w:tc>
          <w:tcPr>
            <w:tcW w:w="1271" w:type="dxa"/>
            <w:vMerge w:val="restart"/>
            <w:noWrap/>
            <w:vAlign w:val="center"/>
          </w:tcPr>
          <w:p w14:paraId="43A89D44" w14:textId="77777777" w:rsidR="00054437" w:rsidRPr="000549B1" w:rsidRDefault="00000000">
            <w:pPr>
              <w:pStyle w:val="CharCharCharCharChar"/>
              <w:rPr>
                <w:color w:val="auto"/>
                <w:szCs w:val="21"/>
              </w:rPr>
            </w:pPr>
            <w:r w:rsidRPr="000549B1">
              <w:rPr>
                <w:color w:val="auto"/>
                <w:szCs w:val="21"/>
              </w:rPr>
              <w:t>草地</w:t>
            </w:r>
          </w:p>
        </w:tc>
        <w:tc>
          <w:tcPr>
            <w:tcW w:w="1762" w:type="dxa"/>
            <w:vMerge w:val="restart"/>
            <w:vAlign w:val="center"/>
          </w:tcPr>
          <w:p w14:paraId="36A61C29" w14:textId="77777777" w:rsidR="00054437" w:rsidRPr="000549B1" w:rsidRDefault="00000000">
            <w:pPr>
              <w:pStyle w:val="CharCharCharCharChar"/>
              <w:rPr>
                <w:color w:val="auto"/>
                <w:szCs w:val="21"/>
              </w:rPr>
            </w:pPr>
            <w:r w:rsidRPr="000549B1">
              <w:rPr>
                <w:color w:val="auto"/>
                <w:szCs w:val="21"/>
              </w:rPr>
              <w:t>7833.59</w:t>
            </w:r>
          </w:p>
        </w:tc>
        <w:tc>
          <w:tcPr>
            <w:tcW w:w="0" w:type="auto"/>
            <w:vMerge w:val="restart"/>
            <w:vAlign w:val="center"/>
          </w:tcPr>
          <w:p w14:paraId="1D931E4C" w14:textId="77777777" w:rsidR="00054437" w:rsidRPr="000549B1" w:rsidRDefault="00000000">
            <w:pPr>
              <w:pStyle w:val="CharCharCharCharChar"/>
              <w:rPr>
                <w:color w:val="auto"/>
                <w:szCs w:val="21"/>
              </w:rPr>
            </w:pPr>
            <w:r w:rsidRPr="000549B1">
              <w:rPr>
                <w:color w:val="auto"/>
                <w:szCs w:val="21"/>
              </w:rPr>
              <w:t>90.38</w:t>
            </w:r>
          </w:p>
        </w:tc>
        <w:tc>
          <w:tcPr>
            <w:tcW w:w="0" w:type="auto"/>
            <w:noWrap/>
            <w:vAlign w:val="center"/>
          </w:tcPr>
          <w:p w14:paraId="2FFE1570" w14:textId="77777777" w:rsidR="00054437" w:rsidRPr="000549B1" w:rsidRDefault="00000000">
            <w:pPr>
              <w:pStyle w:val="CharCharCharCharChar"/>
              <w:rPr>
                <w:color w:val="auto"/>
                <w:szCs w:val="21"/>
              </w:rPr>
            </w:pPr>
            <w:r w:rsidRPr="000549B1">
              <w:rPr>
                <w:color w:val="auto"/>
                <w:szCs w:val="21"/>
              </w:rPr>
              <w:t>天然牧草地</w:t>
            </w:r>
          </w:p>
        </w:tc>
        <w:tc>
          <w:tcPr>
            <w:tcW w:w="0" w:type="auto"/>
            <w:noWrap/>
            <w:vAlign w:val="center"/>
          </w:tcPr>
          <w:p w14:paraId="41893CA2" w14:textId="77777777" w:rsidR="00054437" w:rsidRPr="000549B1" w:rsidRDefault="00000000">
            <w:pPr>
              <w:pStyle w:val="CharCharCharCharChar"/>
              <w:rPr>
                <w:color w:val="auto"/>
                <w:szCs w:val="21"/>
              </w:rPr>
            </w:pPr>
            <w:r w:rsidRPr="000549B1">
              <w:rPr>
                <w:color w:val="auto"/>
                <w:szCs w:val="21"/>
              </w:rPr>
              <w:t>7515.44</w:t>
            </w:r>
          </w:p>
        </w:tc>
        <w:tc>
          <w:tcPr>
            <w:tcW w:w="0" w:type="auto"/>
            <w:noWrap/>
            <w:vAlign w:val="center"/>
          </w:tcPr>
          <w:p w14:paraId="48E7EF9D" w14:textId="77777777" w:rsidR="00054437" w:rsidRPr="000549B1" w:rsidRDefault="00000000">
            <w:pPr>
              <w:pStyle w:val="CharCharCharCharChar"/>
              <w:rPr>
                <w:color w:val="auto"/>
                <w:szCs w:val="21"/>
              </w:rPr>
            </w:pPr>
            <w:r w:rsidRPr="000549B1">
              <w:rPr>
                <w:color w:val="auto"/>
                <w:szCs w:val="21"/>
              </w:rPr>
              <w:t>86.71</w:t>
            </w:r>
          </w:p>
        </w:tc>
      </w:tr>
      <w:tr w:rsidR="000549B1" w:rsidRPr="000549B1" w14:paraId="549263BF" w14:textId="77777777">
        <w:trPr>
          <w:jc w:val="center"/>
        </w:trPr>
        <w:tc>
          <w:tcPr>
            <w:tcW w:w="1271" w:type="dxa"/>
            <w:vMerge/>
            <w:noWrap/>
            <w:vAlign w:val="center"/>
          </w:tcPr>
          <w:p w14:paraId="27753296" w14:textId="77777777" w:rsidR="00054437" w:rsidRPr="000549B1" w:rsidRDefault="00054437">
            <w:pPr>
              <w:pStyle w:val="CharCharCharCharChar"/>
              <w:rPr>
                <w:color w:val="auto"/>
                <w:szCs w:val="21"/>
              </w:rPr>
            </w:pPr>
          </w:p>
        </w:tc>
        <w:tc>
          <w:tcPr>
            <w:tcW w:w="1762" w:type="dxa"/>
            <w:vMerge/>
            <w:vAlign w:val="center"/>
          </w:tcPr>
          <w:p w14:paraId="56225AF7" w14:textId="77777777" w:rsidR="00054437" w:rsidRPr="000549B1" w:rsidRDefault="00054437">
            <w:pPr>
              <w:pStyle w:val="CharCharCharCharChar"/>
              <w:rPr>
                <w:color w:val="auto"/>
                <w:szCs w:val="21"/>
              </w:rPr>
            </w:pPr>
          </w:p>
        </w:tc>
        <w:tc>
          <w:tcPr>
            <w:tcW w:w="0" w:type="auto"/>
            <w:vMerge/>
            <w:vAlign w:val="center"/>
          </w:tcPr>
          <w:p w14:paraId="7F089197" w14:textId="77777777" w:rsidR="00054437" w:rsidRPr="000549B1" w:rsidRDefault="00054437">
            <w:pPr>
              <w:pStyle w:val="CharCharCharCharChar"/>
              <w:rPr>
                <w:color w:val="auto"/>
                <w:szCs w:val="21"/>
              </w:rPr>
            </w:pPr>
          </w:p>
        </w:tc>
        <w:tc>
          <w:tcPr>
            <w:tcW w:w="0" w:type="auto"/>
            <w:noWrap/>
            <w:vAlign w:val="center"/>
          </w:tcPr>
          <w:p w14:paraId="06C64239" w14:textId="77777777" w:rsidR="00054437" w:rsidRPr="000549B1" w:rsidRDefault="00000000">
            <w:pPr>
              <w:pStyle w:val="CharCharCharCharChar"/>
              <w:rPr>
                <w:color w:val="auto"/>
                <w:szCs w:val="21"/>
              </w:rPr>
            </w:pPr>
            <w:r w:rsidRPr="000549B1">
              <w:rPr>
                <w:color w:val="auto"/>
                <w:szCs w:val="21"/>
              </w:rPr>
              <w:t>人工牧草地</w:t>
            </w:r>
          </w:p>
        </w:tc>
        <w:tc>
          <w:tcPr>
            <w:tcW w:w="0" w:type="auto"/>
            <w:noWrap/>
            <w:vAlign w:val="center"/>
          </w:tcPr>
          <w:p w14:paraId="7EE73BA0" w14:textId="77777777" w:rsidR="00054437" w:rsidRPr="000549B1" w:rsidRDefault="00000000">
            <w:pPr>
              <w:pStyle w:val="CharCharCharCharChar"/>
              <w:rPr>
                <w:color w:val="auto"/>
                <w:szCs w:val="21"/>
              </w:rPr>
            </w:pPr>
            <w:r w:rsidRPr="000549B1">
              <w:rPr>
                <w:color w:val="auto"/>
                <w:szCs w:val="21"/>
              </w:rPr>
              <w:t>238.60</w:t>
            </w:r>
          </w:p>
        </w:tc>
        <w:tc>
          <w:tcPr>
            <w:tcW w:w="0" w:type="auto"/>
            <w:noWrap/>
            <w:vAlign w:val="center"/>
          </w:tcPr>
          <w:p w14:paraId="07E76ECD" w14:textId="77777777" w:rsidR="00054437" w:rsidRPr="000549B1" w:rsidRDefault="00000000">
            <w:pPr>
              <w:pStyle w:val="CharCharCharCharChar"/>
              <w:rPr>
                <w:color w:val="auto"/>
                <w:szCs w:val="21"/>
              </w:rPr>
            </w:pPr>
            <w:r w:rsidRPr="000549B1">
              <w:rPr>
                <w:color w:val="auto"/>
                <w:szCs w:val="21"/>
              </w:rPr>
              <w:t>2.75</w:t>
            </w:r>
          </w:p>
        </w:tc>
      </w:tr>
      <w:tr w:rsidR="000549B1" w:rsidRPr="000549B1" w14:paraId="6424697E" w14:textId="77777777">
        <w:trPr>
          <w:jc w:val="center"/>
        </w:trPr>
        <w:tc>
          <w:tcPr>
            <w:tcW w:w="1271" w:type="dxa"/>
            <w:vMerge/>
            <w:noWrap/>
            <w:vAlign w:val="center"/>
          </w:tcPr>
          <w:p w14:paraId="0F0975D9" w14:textId="77777777" w:rsidR="00054437" w:rsidRPr="000549B1" w:rsidRDefault="00054437">
            <w:pPr>
              <w:pStyle w:val="CharCharCharCharChar"/>
              <w:rPr>
                <w:color w:val="auto"/>
                <w:szCs w:val="21"/>
              </w:rPr>
            </w:pPr>
          </w:p>
        </w:tc>
        <w:tc>
          <w:tcPr>
            <w:tcW w:w="1762" w:type="dxa"/>
            <w:vMerge/>
            <w:vAlign w:val="center"/>
          </w:tcPr>
          <w:p w14:paraId="78FAC90A" w14:textId="77777777" w:rsidR="00054437" w:rsidRPr="000549B1" w:rsidRDefault="00054437">
            <w:pPr>
              <w:pStyle w:val="CharCharCharCharChar"/>
              <w:rPr>
                <w:color w:val="auto"/>
                <w:szCs w:val="21"/>
              </w:rPr>
            </w:pPr>
          </w:p>
        </w:tc>
        <w:tc>
          <w:tcPr>
            <w:tcW w:w="0" w:type="auto"/>
            <w:vMerge/>
            <w:vAlign w:val="center"/>
          </w:tcPr>
          <w:p w14:paraId="47FF8236" w14:textId="77777777" w:rsidR="00054437" w:rsidRPr="000549B1" w:rsidRDefault="00054437">
            <w:pPr>
              <w:pStyle w:val="CharCharCharCharChar"/>
              <w:rPr>
                <w:color w:val="auto"/>
                <w:szCs w:val="21"/>
              </w:rPr>
            </w:pPr>
          </w:p>
        </w:tc>
        <w:tc>
          <w:tcPr>
            <w:tcW w:w="0" w:type="auto"/>
            <w:noWrap/>
            <w:vAlign w:val="center"/>
          </w:tcPr>
          <w:p w14:paraId="30333BF1" w14:textId="77777777" w:rsidR="00054437" w:rsidRPr="000549B1" w:rsidRDefault="00000000">
            <w:pPr>
              <w:pStyle w:val="CharCharCharCharChar"/>
              <w:rPr>
                <w:color w:val="auto"/>
                <w:szCs w:val="21"/>
              </w:rPr>
            </w:pPr>
            <w:r w:rsidRPr="000549B1">
              <w:rPr>
                <w:color w:val="auto"/>
                <w:szCs w:val="21"/>
              </w:rPr>
              <w:t>沼泽草地</w:t>
            </w:r>
          </w:p>
        </w:tc>
        <w:tc>
          <w:tcPr>
            <w:tcW w:w="0" w:type="auto"/>
            <w:noWrap/>
            <w:vAlign w:val="center"/>
          </w:tcPr>
          <w:p w14:paraId="388F5CBA" w14:textId="77777777" w:rsidR="00054437" w:rsidRPr="000549B1" w:rsidRDefault="00000000">
            <w:pPr>
              <w:pStyle w:val="CharCharCharCharChar"/>
              <w:rPr>
                <w:color w:val="auto"/>
                <w:szCs w:val="21"/>
              </w:rPr>
            </w:pPr>
            <w:r w:rsidRPr="000549B1">
              <w:rPr>
                <w:color w:val="auto"/>
                <w:szCs w:val="21"/>
              </w:rPr>
              <w:t>62.73</w:t>
            </w:r>
          </w:p>
        </w:tc>
        <w:tc>
          <w:tcPr>
            <w:tcW w:w="0" w:type="auto"/>
            <w:noWrap/>
            <w:vAlign w:val="center"/>
          </w:tcPr>
          <w:p w14:paraId="6EE50CAE" w14:textId="77777777" w:rsidR="00054437" w:rsidRPr="000549B1" w:rsidRDefault="00000000">
            <w:pPr>
              <w:pStyle w:val="CharCharCharCharChar"/>
              <w:rPr>
                <w:color w:val="auto"/>
                <w:szCs w:val="21"/>
              </w:rPr>
            </w:pPr>
            <w:r w:rsidRPr="000549B1">
              <w:rPr>
                <w:color w:val="auto"/>
                <w:szCs w:val="21"/>
              </w:rPr>
              <w:t>0.72</w:t>
            </w:r>
          </w:p>
        </w:tc>
      </w:tr>
      <w:tr w:rsidR="000549B1" w:rsidRPr="000549B1" w14:paraId="5478AA2D" w14:textId="77777777">
        <w:trPr>
          <w:jc w:val="center"/>
        </w:trPr>
        <w:tc>
          <w:tcPr>
            <w:tcW w:w="1271" w:type="dxa"/>
            <w:vMerge/>
            <w:vAlign w:val="center"/>
          </w:tcPr>
          <w:p w14:paraId="63EFF165" w14:textId="77777777" w:rsidR="00054437" w:rsidRPr="000549B1" w:rsidRDefault="00054437">
            <w:pPr>
              <w:pStyle w:val="CharCharCharCharChar"/>
              <w:rPr>
                <w:color w:val="auto"/>
                <w:szCs w:val="21"/>
              </w:rPr>
            </w:pPr>
          </w:p>
        </w:tc>
        <w:tc>
          <w:tcPr>
            <w:tcW w:w="1762" w:type="dxa"/>
            <w:vMerge/>
            <w:vAlign w:val="center"/>
          </w:tcPr>
          <w:p w14:paraId="070C9BBE" w14:textId="77777777" w:rsidR="00054437" w:rsidRPr="000549B1" w:rsidRDefault="00054437">
            <w:pPr>
              <w:pStyle w:val="CharCharCharCharChar"/>
              <w:rPr>
                <w:color w:val="auto"/>
                <w:szCs w:val="21"/>
              </w:rPr>
            </w:pPr>
          </w:p>
        </w:tc>
        <w:tc>
          <w:tcPr>
            <w:tcW w:w="0" w:type="auto"/>
            <w:vMerge/>
            <w:vAlign w:val="center"/>
          </w:tcPr>
          <w:p w14:paraId="09BF78A8" w14:textId="77777777" w:rsidR="00054437" w:rsidRPr="000549B1" w:rsidRDefault="00054437">
            <w:pPr>
              <w:pStyle w:val="CharCharCharCharChar"/>
              <w:rPr>
                <w:color w:val="auto"/>
                <w:szCs w:val="21"/>
              </w:rPr>
            </w:pPr>
          </w:p>
        </w:tc>
        <w:tc>
          <w:tcPr>
            <w:tcW w:w="0" w:type="auto"/>
            <w:noWrap/>
            <w:vAlign w:val="center"/>
          </w:tcPr>
          <w:p w14:paraId="11847417" w14:textId="77777777" w:rsidR="00054437" w:rsidRPr="000549B1" w:rsidRDefault="00000000">
            <w:pPr>
              <w:pStyle w:val="CharCharCharCharChar"/>
              <w:rPr>
                <w:color w:val="auto"/>
                <w:szCs w:val="21"/>
              </w:rPr>
            </w:pPr>
            <w:r w:rsidRPr="000549B1">
              <w:rPr>
                <w:color w:val="auto"/>
                <w:szCs w:val="21"/>
              </w:rPr>
              <w:t>其它草地</w:t>
            </w:r>
          </w:p>
        </w:tc>
        <w:tc>
          <w:tcPr>
            <w:tcW w:w="0" w:type="auto"/>
            <w:noWrap/>
            <w:vAlign w:val="center"/>
          </w:tcPr>
          <w:p w14:paraId="21664C88" w14:textId="77777777" w:rsidR="00054437" w:rsidRPr="000549B1" w:rsidRDefault="00000000">
            <w:pPr>
              <w:pStyle w:val="CharCharCharCharChar"/>
              <w:rPr>
                <w:color w:val="auto"/>
                <w:szCs w:val="21"/>
              </w:rPr>
            </w:pPr>
            <w:r w:rsidRPr="000549B1">
              <w:rPr>
                <w:color w:val="auto"/>
                <w:szCs w:val="21"/>
              </w:rPr>
              <w:t>16.82</w:t>
            </w:r>
          </w:p>
        </w:tc>
        <w:tc>
          <w:tcPr>
            <w:tcW w:w="0" w:type="auto"/>
            <w:noWrap/>
            <w:vAlign w:val="center"/>
          </w:tcPr>
          <w:p w14:paraId="6C92BD65" w14:textId="77777777" w:rsidR="00054437" w:rsidRPr="000549B1" w:rsidRDefault="00000000">
            <w:pPr>
              <w:pStyle w:val="CharCharCharCharChar"/>
              <w:rPr>
                <w:color w:val="auto"/>
                <w:szCs w:val="21"/>
              </w:rPr>
            </w:pPr>
            <w:r w:rsidRPr="000549B1">
              <w:rPr>
                <w:color w:val="auto"/>
                <w:szCs w:val="21"/>
              </w:rPr>
              <w:t>0.19</w:t>
            </w:r>
          </w:p>
        </w:tc>
      </w:tr>
      <w:tr w:rsidR="000549B1" w:rsidRPr="000549B1" w14:paraId="37CE3AD2" w14:textId="77777777">
        <w:trPr>
          <w:jc w:val="center"/>
        </w:trPr>
        <w:tc>
          <w:tcPr>
            <w:tcW w:w="1271" w:type="dxa"/>
            <w:vMerge w:val="restart"/>
            <w:vAlign w:val="center"/>
          </w:tcPr>
          <w:p w14:paraId="34255C23" w14:textId="77777777" w:rsidR="00054437" w:rsidRPr="000549B1" w:rsidRDefault="00000000">
            <w:pPr>
              <w:pStyle w:val="CharCharCharCharChar"/>
              <w:rPr>
                <w:color w:val="auto"/>
                <w:szCs w:val="21"/>
              </w:rPr>
            </w:pPr>
            <w:r w:rsidRPr="000549B1">
              <w:rPr>
                <w:color w:val="auto"/>
                <w:szCs w:val="21"/>
              </w:rPr>
              <w:t>住宅用地</w:t>
            </w:r>
          </w:p>
        </w:tc>
        <w:tc>
          <w:tcPr>
            <w:tcW w:w="1762" w:type="dxa"/>
            <w:vMerge w:val="restart"/>
            <w:vAlign w:val="center"/>
          </w:tcPr>
          <w:p w14:paraId="184C71C0" w14:textId="77777777" w:rsidR="00054437" w:rsidRPr="000549B1" w:rsidRDefault="00000000">
            <w:pPr>
              <w:pStyle w:val="CharCharCharCharChar"/>
              <w:rPr>
                <w:color w:val="auto"/>
                <w:szCs w:val="21"/>
              </w:rPr>
            </w:pPr>
            <w:r w:rsidRPr="000549B1">
              <w:rPr>
                <w:color w:val="auto"/>
                <w:szCs w:val="21"/>
              </w:rPr>
              <w:t>11.81</w:t>
            </w:r>
          </w:p>
        </w:tc>
        <w:tc>
          <w:tcPr>
            <w:tcW w:w="0" w:type="auto"/>
            <w:vMerge w:val="restart"/>
            <w:vAlign w:val="center"/>
          </w:tcPr>
          <w:p w14:paraId="47B48DB8" w14:textId="77777777" w:rsidR="00054437" w:rsidRPr="000549B1" w:rsidRDefault="00000000">
            <w:pPr>
              <w:pStyle w:val="CharCharCharCharChar"/>
              <w:rPr>
                <w:color w:val="auto"/>
                <w:szCs w:val="21"/>
              </w:rPr>
            </w:pPr>
            <w:r w:rsidRPr="000549B1">
              <w:rPr>
                <w:color w:val="auto"/>
                <w:szCs w:val="21"/>
              </w:rPr>
              <w:t>0.21</w:t>
            </w:r>
          </w:p>
        </w:tc>
        <w:tc>
          <w:tcPr>
            <w:tcW w:w="0" w:type="auto"/>
            <w:noWrap/>
            <w:vAlign w:val="center"/>
          </w:tcPr>
          <w:p w14:paraId="74ADA3CF" w14:textId="77777777" w:rsidR="00054437" w:rsidRPr="000549B1" w:rsidRDefault="00000000">
            <w:pPr>
              <w:pStyle w:val="CharCharCharCharChar"/>
              <w:rPr>
                <w:color w:val="auto"/>
                <w:szCs w:val="21"/>
              </w:rPr>
            </w:pPr>
            <w:r w:rsidRPr="000549B1">
              <w:rPr>
                <w:color w:val="auto"/>
                <w:szCs w:val="21"/>
              </w:rPr>
              <w:t>城镇住宅用地</w:t>
            </w:r>
          </w:p>
        </w:tc>
        <w:tc>
          <w:tcPr>
            <w:tcW w:w="0" w:type="auto"/>
            <w:noWrap/>
            <w:vAlign w:val="center"/>
          </w:tcPr>
          <w:p w14:paraId="44721F7B" w14:textId="77777777" w:rsidR="00054437" w:rsidRPr="000549B1" w:rsidRDefault="00000000">
            <w:pPr>
              <w:pStyle w:val="CharCharCharCharChar"/>
              <w:rPr>
                <w:color w:val="auto"/>
                <w:szCs w:val="21"/>
              </w:rPr>
            </w:pPr>
            <w:r w:rsidRPr="000549B1">
              <w:rPr>
                <w:color w:val="auto"/>
                <w:szCs w:val="21"/>
              </w:rPr>
              <w:t>1.58</w:t>
            </w:r>
          </w:p>
        </w:tc>
        <w:tc>
          <w:tcPr>
            <w:tcW w:w="0" w:type="auto"/>
            <w:noWrap/>
            <w:vAlign w:val="center"/>
          </w:tcPr>
          <w:p w14:paraId="692E7F15" w14:textId="77777777" w:rsidR="00054437" w:rsidRPr="000549B1" w:rsidRDefault="00000000">
            <w:pPr>
              <w:pStyle w:val="CharCharCharCharChar"/>
              <w:rPr>
                <w:color w:val="auto"/>
                <w:szCs w:val="21"/>
              </w:rPr>
            </w:pPr>
            <w:r w:rsidRPr="000549B1">
              <w:rPr>
                <w:color w:val="auto"/>
                <w:szCs w:val="21"/>
              </w:rPr>
              <w:t>0.09</w:t>
            </w:r>
          </w:p>
        </w:tc>
      </w:tr>
      <w:tr w:rsidR="000549B1" w:rsidRPr="000549B1" w14:paraId="56A43FFF" w14:textId="77777777">
        <w:trPr>
          <w:jc w:val="center"/>
        </w:trPr>
        <w:tc>
          <w:tcPr>
            <w:tcW w:w="1271" w:type="dxa"/>
            <w:vMerge/>
            <w:vAlign w:val="center"/>
          </w:tcPr>
          <w:p w14:paraId="7DB35D3B" w14:textId="77777777" w:rsidR="00054437" w:rsidRPr="000549B1" w:rsidRDefault="00054437">
            <w:pPr>
              <w:pStyle w:val="CharCharCharCharChar"/>
              <w:rPr>
                <w:color w:val="auto"/>
                <w:szCs w:val="21"/>
              </w:rPr>
            </w:pPr>
          </w:p>
        </w:tc>
        <w:tc>
          <w:tcPr>
            <w:tcW w:w="1762" w:type="dxa"/>
            <w:vMerge/>
            <w:vAlign w:val="center"/>
          </w:tcPr>
          <w:p w14:paraId="650CA38E" w14:textId="77777777" w:rsidR="00054437" w:rsidRPr="000549B1" w:rsidRDefault="00054437">
            <w:pPr>
              <w:pStyle w:val="CharCharCharCharChar"/>
              <w:rPr>
                <w:color w:val="auto"/>
                <w:szCs w:val="21"/>
              </w:rPr>
            </w:pPr>
          </w:p>
        </w:tc>
        <w:tc>
          <w:tcPr>
            <w:tcW w:w="0" w:type="auto"/>
            <w:vMerge/>
            <w:vAlign w:val="center"/>
          </w:tcPr>
          <w:p w14:paraId="30EB79FE" w14:textId="77777777" w:rsidR="00054437" w:rsidRPr="000549B1" w:rsidRDefault="00054437">
            <w:pPr>
              <w:pStyle w:val="CharCharCharCharChar"/>
              <w:rPr>
                <w:color w:val="auto"/>
                <w:szCs w:val="21"/>
              </w:rPr>
            </w:pPr>
          </w:p>
        </w:tc>
        <w:tc>
          <w:tcPr>
            <w:tcW w:w="0" w:type="auto"/>
            <w:noWrap/>
            <w:vAlign w:val="center"/>
          </w:tcPr>
          <w:p w14:paraId="54B3E555" w14:textId="77777777" w:rsidR="00054437" w:rsidRPr="000549B1" w:rsidRDefault="00000000">
            <w:pPr>
              <w:pStyle w:val="CharCharCharCharChar"/>
              <w:rPr>
                <w:color w:val="auto"/>
                <w:szCs w:val="21"/>
              </w:rPr>
            </w:pPr>
            <w:r w:rsidRPr="000549B1">
              <w:rPr>
                <w:color w:val="auto"/>
                <w:szCs w:val="21"/>
              </w:rPr>
              <w:t>农村宅基地</w:t>
            </w:r>
          </w:p>
        </w:tc>
        <w:tc>
          <w:tcPr>
            <w:tcW w:w="0" w:type="auto"/>
            <w:noWrap/>
            <w:vAlign w:val="center"/>
          </w:tcPr>
          <w:p w14:paraId="1471C27A" w14:textId="77777777" w:rsidR="00054437" w:rsidRPr="000549B1" w:rsidRDefault="00000000">
            <w:pPr>
              <w:pStyle w:val="CharCharCharCharChar"/>
              <w:rPr>
                <w:color w:val="auto"/>
                <w:szCs w:val="21"/>
              </w:rPr>
            </w:pPr>
            <w:r w:rsidRPr="000549B1">
              <w:rPr>
                <w:color w:val="auto"/>
                <w:szCs w:val="21"/>
              </w:rPr>
              <w:t>10.23</w:t>
            </w:r>
          </w:p>
        </w:tc>
        <w:tc>
          <w:tcPr>
            <w:tcW w:w="0" w:type="auto"/>
            <w:noWrap/>
            <w:vAlign w:val="center"/>
          </w:tcPr>
          <w:p w14:paraId="6B3E7891" w14:textId="77777777" w:rsidR="00054437" w:rsidRPr="000549B1" w:rsidRDefault="00000000">
            <w:pPr>
              <w:pStyle w:val="CharCharCharCharChar"/>
              <w:rPr>
                <w:color w:val="auto"/>
                <w:szCs w:val="21"/>
              </w:rPr>
            </w:pPr>
            <w:r w:rsidRPr="000549B1">
              <w:rPr>
                <w:color w:val="auto"/>
                <w:szCs w:val="21"/>
              </w:rPr>
              <w:t>0.12</w:t>
            </w:r>
          </w:p>
        </w:tc>
      </w:tr>
      <w:tr w:rsidR="000549B1" w:rsidRPr="000549B1" w14:paraId="25F372EB" w14:textId="77777777">
        <w:trPr>
          <w:jc w:val="center"/>
        </w:trPr>
        <w:tc>
          <w:tcPr>
            <w:tcW w:w="1271" w:type="dxa"/>
            <w:vMerge w:val="restart"/>
            <w:vAlign w:val="center"/>
          </w:tcPr>
          <w:p w14:paraId="7637F412" w14:textId="77777777" w:rsidR="00054437" w:rsidRPr="000549B1" w:rsidRDefault="00000000">
            <w:pPr>
              <w:pStyle w:val="CharCharCharCharChar"/>
              <w:rPr>
                <w:color w:val="auto"/>
                <w:szCs w:val="21"/>
              </w:rPr>
            </w:pPr>
            <w:r w:rsidRPr="000549B1">
              <w:rPr>
                <w:color w:val="auto"/>
                <w:szCs w:val="21"/>
              </w:rPr>
              <w:t>公共管理与公共服务用地</w:t>
            </w:r>
          </w:p>
        </w:tc>
        <w:tc>
          <w:tcPr>
            <w:tcW w:w="1762" w:type="dxa"/>
            <w:vMerge w:val="restart"/>
            <w:vAlign w:val="center"/>
          </w:tcPr>
          <w:p w14:paraId="5B9B5FF5" w14:textId="77777777" w:rsidR="00054437" w:rsidRPr="000549B1" w:rsidRDefault="00000000">
            <w:pPr>
              <w:pStyle w:val="CharCharCharCharChar"/>
              <w:rPr>
                <w:color w:val="auto"/>
                <w:szCs w:val="21"/>
              </w:rPr>
            </w:pPr>
            <w:r w:rsidRPr="000549B1">
              <w:rPr>
                <w:color w:val="auto"/>
                <w:szCs w:val="21"/>
              </w:rPr>
              <w:t>1.36</w:t>
            </w:r>
          </w:p>
        </w:tc>
        <w:tc>
          <w:tcPr>
            <w:tcW w:w="0" w:type="auto"/>
            <w:vMerge w:val="restart"/>
            <w:vAlign w:val="center"/>
          </w:tcPr>
          <w:p w14:paraId="72BD18EF" w14:textId="77777777" w:rsidR="00054437" w:rsidRPr="000549B1" w:rsidRDefault="00000000">
            <w:pPr>
              <w:pStyle w:val="CharCharCharCharChar"/>
              <w:rPr>
                <w:color w:val="auto"/>
                <w:szCs w:val="21"/>
              </w:rPr>
            </w:pPr>
            <w:r w:rsidRPr="000549B1">
              <w:rPr>
                <w:color w:val="auto"/>
                <w:szCs w:val="21"/>
              </w:rPr>
              <w:t>0.02</w:t>
            </w:r>
          </w:p>
        </w:tc>
        <w:tc>
          <w:tcPr>
            <w:tcW w:w="0" w:type="auto"/>
            <w:noWrap/>
            <w:vAlign w:val="center"/>
          </w:tcPr>
          <w:p w14:paraId="5B728E58" w14:textId="77777777" w:rsidR="00054437" w:rsidRPr="000549B1" w:rsidRDefault="00000000">
            <w:pPr>
              <w:pStyle w:val="CharCharCharCharChar"/>
              <w:rPr>
                <w:color w:val="auto"/>
                <w:szCs w:val="21"/>
              </w:rPr>
            </w:pPr>
            <w:r w:rsidRPr="000549B1">
              <w:rPr>
                <w:color w:val="auto"/>
                <w:szCs w:val="21"/>
              </w:rPr>
              <w:t>机关团体新闻出版用地</w:t>
            </w:r>
          </w:p>
        </w:tc>
        <w:tc>
          <w:tcPr>
            <w:tcW w:w="0" w:type="auto"/>
            <w:noWrap/>
            <w:vAlign w:val="center"/>
          </w:tcPr>
          <w:p w14:paraId="54CBBA2E" w14:textId="77777777" w:rsidR="00054437" w:rsidRPr="000549B1" w:rsidRDefault="00000000">
            <w:pPr>
              <w:pStyle w:val="CharCharCharCharChar"/>
              <w:rPr>
                <w:color w:val="auto"/>
                <w:szCs w:val="21"/>
              </w:rPr>
            </w:pPr>
            <w:r w:rsidRPr="000549B1">
              <w:rPr>
                <w:color w:val="auto"/>
                <w:szCs w:val="21"/>
              </w:rPr>
              <w:t>0.35</w:t>
            </w:r>
          </w:p>
        </w:tc>
        <w:tc>
          <w:tcPr>
            <w:tcW w:w="0" w:type="auto"/>
            <w:noWrap/>
            <w:vAlign w:val="center"/>
          </w:tcPr>
          <w:p w14:paraId="26B26C5A" w14:textId="77777777" w:rsidR="00054437" w:rsidRPr="000549B1" w:rsidRDefault="00000000">
            <w:pPr>
              <w:pStyle w:val="CharCharCharCharChar"/>
              <w:rPr>
                <w:color w:val="auto"/>
                <w:szCs w:val="21"/>
              </w:rPr>
            </w:pPr>
            <w:r w:rsidRPr="000549B1">
              <w:rPr>
                <w:color w:val="auto"/>
                <w:szCs w:val="21"/>
              </w:rPr>
              <w:t>0.005</w:t>
            </w:r>
          </w:p>
        </w:tc>
      </w:tr>
      <w:tr w:rsidR="000549B1" w:rsidRPr="000549B1" w14:paraId="1ACC6C19" w14:textId="77777777">
        <w:trPr>
          <w:jc w:val="center"/>
        </w:trPr>
        <w:tc>
          <w:tcPr>
            <w:tcW w:w="1271" w:type="dxa"/>
            <w:vMerge/>
            <w:vAlign w:val="center"/>
          </w:tcPr>
          <w:p w14:paraId="078C5A05" w14:textId="77777777" w:rsidR="00054437" w:rsidRPr="000549B1" w:rsidRDefault="00054437">
            <w:pPr>
              <w:pStyle w:val="CharCharCharCharChar"/>
              <w:rPr>
                <w:color w:val="auto"/>
                <w:szCs w:val="21"/>
              </w:rPr>
            </w:pPr>
          </w:p>
        </w:tc>
        <w:tc>
          <w:tcPr>
            <w:tcW w:w="1762" w:type="dxa"/>
            <w:vMerge/>
            <w:vAlign w:val="center"/>
          </w:tcPr>
          <w:p w14:paraId="2E663195" w14:textId="77777777" w:rsidR="00054437" w:rsidRPr="000549B1" w:rsidRDefault="00054437">
            <w:pPr>
              <w:pStyle w:val="CharCharCharCharChar"/>
              <w:rPr>
                <w:color w:val="auto"/>
                <w:szCs w:val="21"/>
              </w:rPr>
            </w:pPr>
          </w:p>
        </w:tc>
        <w:tc>
          <w:tcPr>
            <w:tcW w:w="0" w:type="auto"/>
            <w:vMerge/>
            <w:vAlign w:val="center"/>
          </w:tcPr>
          <w:p w14:paraId="2188EAB6" w14:textId="77777777" w:rsidR="00054437" w:rsidRPr="000549B1" w:rsidRDefault="00054437">
            <w:pPr>
              <w:pStyle w:val="CharCharCharCharChar"/>
              <w:rPr>
                <w:color w:val="auto"/>
                <w:szCs w:val="21"/>
              </w:rPr>
            </w:pPr>
          </w:p>
        </w:tc>
        <w:tc>
          <w:tcPr>
            <w:tcW w:w="0" w:type="auto"/>
            <w:noWrap/>
            <w:vAlign w:val="center"/>
          </w:tcPr>
          <w:p w14:paraId="1CA109D5" w14:textId="77777777" w:rsidR="00054437" w:rsidRPr="000549B1" w:rsidRDefault="00000000">
            <w:pPr>
              <w:pStyle w:val="CharCharCharCharChar"/>
              <w:rPr>
                <w:color w:val="auto"/>
                <w:szCs w:val="21"/>
              </w:rPr>
            </w:pPr>
            <w:r w:rsidRPr="000549B1">
              <w:rPr>
                <w:color w:val="auto"/>
                <w:szCs w:val="21"/>
              </w:rPr>
              <w:t>科教文卫用地</w:t>
            </w:r>
          </w:p>
        </w:tc>
        <w:tc>
          <w:tcPr>
            <w:tcW w:w="0" w:type="auto"/>
            <w:noWrap/>
            <w:vAlign w:val="center"/>
          </w:tcPr>
          <w:p w14:paraId="6902EF51" w14:textId="77777777" w:rsidR="00054437" w:rsidRPr="000549B1" w:rsidRDefault="00000000">
            <w:pPr>
              <w:pStyle w:val="CharCharCharCharChar"/>
              <w:rPr>
                <w:color w:val="auto"/>
                <w:szCs w:val="21"/>
              </w:rPr>
            </w:pPr>
            <w:r w:rsidRPr="000549B1">
              <w:rPr>
                <w:color w:val="auto"/>
                <w:szCs w:val="21"/>
              </w:rPr>
              <w:t>0.56</w:t>
            </w:r>
          </w:p>
        </w:tc>
        <w:tc>
          <w:tcPr>
            <w:tcW w:w="0" w:type="auto"/>
            <w:noWrap/>
            <w:vAlign w:val="center"/>
          </w:tcPr>
          <w:p w14:paraId="30A3E672" w14:textId="77777777" w:rsidR="00054437" w:rsidRPr="000549B1" w:rsidRDefault="00000000">
            <w:pPr>
              <w:pStyle w:val="CharCharCharCharChar"/>
              <w:rPr>
                <w:color w:val="auto"/>
                <w:szCs w:val="21"/>
              </w:rPr>
            </w:pPr>
            <w:r w:rsidRPr="000549B1">
              <w:rPr>
                <w:color w:val="auto"/>
                <w:szCs w:val="21"/>
              </w:rPr>
              <w:t>0.01</w:t>
            </w:r>
          </w:p>
        </w:tc>
      </w:tr>
      <w:tr w:rsidR="000549B1" w:rsidRPr="000549B1" w14:paraId="7D6A8D70" w14:textId="77777777">
        <w:trPr>
          <w:jc w:val="center"/>
        </w:trPr>
        <w:tc>
          <w:tcPr>
            <w:tcW w:w="1271" w:type="dxa"/>
            <w:vMerge/>
            <w:vAlign w:val="center"/>
          </w:tcPr>
          <w:p w14:paraId="2F5BB5E7" w14:textId="77777777" w:rsidR="00054437" w:rsidRPr="000549B1" w:rsidRDefault="00054437">
            <w:pPr>
              <w:pStyle w:val="CharCharCharCharChar"/>
              <w:rPr>
                <w:color w:val="auto"/>
                <w:szCs w:val="21"/>
              </w:rPr>
            </w:pPr>
          </w:p>
        </w:tc>
        <w:tc>
          <w:tcPr>
            <w:tcW w:w="1762" w:type="dxa"/>
            <w:vMerge/>
            <w:vAlign w:val="center"/>
          </w:tcPr>
          <w:p w14:paraId="6C5E28F2" w14:textId="77777777" w:rsidR="00054437" w:rsidRPr="000549B1" w:rsidRDefault="00054437">
            <w:pPr>
              <w:pStyle w:val="CharCharCharCharChar"/>
              <w:rPr>
                <w:color w:val="auto"/>
                <w:szCs w:val="21"/>
              </w:rPr>
            </w:pPr>
          </w:p>
        </w:tc>
        <w:tc>
          <w:tcPr>
            <w:tcW w:w="0" w:type="auto"/>
            <w:vMerge/>
            <w:vAlign w:val="center"/>
          </w:tcPr>
          <w:p w14:paraId="7355B76F" w14:textId="77777777" w:rsidR="00054437" w:rsidRPr="000549B1" w:rsidRDefault="00054437">
            <w:pPr>
              <w:pStyle w:val="CharCharCharCharChar"/>
              <w:rPr>
                <w:color w:val="auto"/>
                <w:szCs w:val="21"/>
              </w:rPr>
            </w:pPr>
          </w:p>
        </w:tc>
        <w:tc>
          <w:tcPr>
            <w:tcW w:w="0" w:type="auto"/>
            <w:noWrap/>
            <w:vAlign w:val="center"/>
          </w:tcPr>
          <w:p w14:paraId="3A6B1057" w14:textId="77777777" w:rsidR="00054437" w:rsidRPr="000549B1" w:rsidRDefault="00000000">
            <w:pPr>
              <w:pStyle w:val="CharCharCharCharChar"/>
              <w:rPr>
                <w:color w:val="auto"/>
                <w:szCs w:val="21"/>
              </w:rPr>
            </w:pPr>
            <w:r w:rsidRPr="000549B1">
              <w:rPr>
                <w:color w:val="auto"/>
                <w:szCs w:val="21"/>
              </w:rPr>
              <w:t>公用设施用地</w:t>
            </w:r>
          </w:p>
        </w:tc>
        <w:tc>
          <w:tcPr>
            <w:tcW w:w="0" w:type="auto"/>
            <w:noWrap/>
            <w:vAlign w:val="center"/>
          </w:tcPr>
          <w:p w14:paraId="385EAC8D" w14:textId="77777777" w:rsidR="00054437" w:rsidRPr="000549B1" w:rsidRDefault="00000000">
            <w:pPr>
              <w:pStyle w:val="CharCharCharCharChar"/>
              <w:rPr>
                <w:color w:val="auto"/>
                <w:szCs w:val="21"/>
              </w:rPr>
            </w:pPr>
            <w:r w:rsidRPr="000549B1">
              <w:rPr>
                <w:color w:val="auto"/>
                <w:szCs w:val="21"/>
              </w:rPr>
              <w:t>0.35</w:t>
            </w:r>
          </w:p>
        </w:tc>
        <w:tc>
          <w:tcPr>
            <w:tcW w:w="0" w:type="auto"/>
            <w:noWrap/>
            <w:vAlign w:val="center"/>
          </w:tcPr>
          <w:p w14:paraId="230E79FC" w14:textId="77777777" w:rsidR="00054437" w:rsidRPr="000549B1" w:rsidRDefault="00000000">
            <w:pPr>
              <w:pStyle w:val="CharCharCharCharChar"/>
              <w:rPr>
                <w:color w:val="auto"/>
                <w:szCs w:val="21"/>
              </w:rPr>
            </w:pPr>
            <w:r w:rsidRPr="000549B1">
              <w:rPr>
                <w:color w:val="auto"/>
                <w:szCs w:val="21"/>
              </w:rPr>
              <w:t>0.005</w:t>
            </w:r>
          </w:p>
        </w:tc>
      </w:tr>
      <w:tr w:rsidR="000549B1" w:rsidRPr="000549B1" w14:paraId="1C80B2A0" w14:textId="77777777">
        <w:trPr>
          <w:jc w:val="center"/>
        </w:trPr>
        <w:tc>
          <w:tcPr>
            <w:tcW w:w="1271" w:type="dxa"/>
            <w:vMerge w:val="restart"/>
            <w:vAlign w:val="center"/>
          </w:tcPr>
          <w:p w14:paraId="7BC0FA2B" w14:textId="77777777" w:rsidR="00054437" w:rsidRPr="000549B1" w:rsidRDefault="00000000">
            <w:pPr>
              <w:pStyle w:val="CharCharCharCharChar"/>
              <w:rPr>
                <w:color w:val="auto"/>
                <w:szCs w:val="21"/>
              </w:rPr>
            </w:pPr>
            <w:r w:rsidRPr="000549B1">
              <w:rPr>
                <w:color w:val="auto"/>
                <w:szCs w:val="21"/>
              </w:rPr>
              <w:t>工矿仓储用地</w:t>
            </w:r>
          </w:p>
        </w:tc>
        <w:tc>
          <w:tcPr>
            <w:tcW w:w="1762" w:type="dxa"/>
            <w:vMerge w:val="restart"/>
            <w:vAlign w:val="center"/>
          </w:tcPr>
          <w:p w14:paraId="354A46D2" w14:textId="77777777" w:rsidR="00054437" w:rsidRPr="000549B1" w:rsidRDefault="00000000">
            <w:pPr>
              <w:pStyle w:val="CharCharCharCharChar"/>
              <w:rPr>
                <w:color w:val="auto"/>
                <w:szCs w:val="21"/>
              </w:rPr>
            </w:pPr>
            <w:r w:rsidRPr="000549B1">
              <w:rPr>
                <w:color w:val="auto"/>
                <w:szCs w:val="21"/>
              </w:rPr>
              <w:t>6.56</w:t>
            </w:r>
          </w:p>
        </w:tc>
        <w:tc>
          <w:tcPr>
            <w:tcW w:w="0" w:type="auto"/>
            <w:vMerge w:val="restart"/>
            <w:vAlign w:val="center"/>
          </w:tcPr>
          <w:p w14:paraId="7D8BC239" w14:textId="77777777" w:rsidR="00054437" w:rsidRPr="000549B1" w:rsidRDefault="00000000">
            <w:pPr>
              <w:pStyle w:val="CharCharCharCharChar"/>
              <w:rPr>
                <w:color w:val="auto"/>
                <w:szCs w:val="21"/>
              </w:rPr>
            </w:pPr>
            <w:r w:rsidRPr="000549B1">
              <w:rPr>
                <w:color w:val="auto"/>
                <w:szCs w:val="21"/>
              </w:rPr>
              <w:t>0.08</w:t>
            </w:r>
          </w:p>
        </w:tc>
        <w:tc>
          <w:tcPr>
            <w:tcW w:w="0" w:type="auto"/>
            <w:noWrap/>
            <w:vAlign w:val="center"/>
          </w:tcPr>
          <w:p w14:paraId="75A70009" w14:textId="77777777" w:rsidR="00054437" w:rsidRPr="000549B1" w:rsidRDefault="00000000">
            <w:pPr>
              <w:pStyle w:val="CharCharCharCharChar"/>
              <w:rPr>
                <w:color w:val="auto"/>
                <w:szCs w:val="21"/>
              </w:rPr>
            </w:pPr>
            <w:r w:rsidRPr="000549B1">
              <w:rPr>
                <w:color w:val="auto"/>
                <w:szCs w:val="21"/>
              </w:rPr>
              <w:t>工业用地</w:t>
            </w:r>
          </w:p>
        </w:tc>
        <w:tc>
          <w:tcPr>
            <w:tcW w:w="0" w:type="auto"/>
            <w:noWrap/>
            <w:vAlign w:val="center"/>
          </w:tcPr>
          <w:p w14:paraId="22B958E0" w14:textId="77777777" w:rsidR="00054437" w:rsidRPr="000549B1" w:rsidRDefault="00000000">
            <w:pPr>
              <w:pStyle w:val="CharCharCharCharChar"/>
              <w:rPr>
                <w:color w:val="auto"/>
                <w:szCs w:val="21"/>
              </w:rPr>
            </w:pPr>
            <w:r w:rsidRPr="000549B1">
              <w:rPr>
                <w:color w:val="auto"/>
                <w:szCs w:val="21"/>
              </w:rPr>
              <w:t>0.41</w:t>
            </w:r>
          </w:p>
        </w:tc>
        <w:tc>
          <w:tcPr>
            <w:tcW w:w="0" w:type="auto"/>
            <w:noWrap/>
            <w:vAlign w:val="center"/>
          </w:tcPr>
          <w:p w14:paraId="3B9349BD" w14:textId="77777777" w:rsidR="00054437" w:rsidRPr="000549B1" w:rsidRDefault="00000000">
            <w:pPr>
              <w:pStyle w:val="CharCharCharCharChar"/>
              <w:rPr>
                <w:color w:val="auto"/>
                <w:szCs w:val="21"/>
              </w:rPr>
            </w:pPr>
            <w:r w:rsidRPr="000549B1">
              <w:rPr>
                <w:color w:val="auto"/>
                <w:szCs w:val="21"/>
              </w:rPr>
              <w:t>0.06</w:t>
            </w:r>
          </w:p>
        </w:tc>
      </w:tr>
      <w:tr w:rsidR="000549B1" w:rsidRPr="000549B1" w14:paraId="69BD40EB" w14:textId="77777777">
        <w:trPr>
          <w:jc w:val="center"/>
        </w:trPr>
        <w:tc>
          <w:tcPr>
            <w:tcW w:w="1271" w:type="dxa"/>
            <w:vMerge/>
            <w:vAlign w:val="center"/>
          </w:tcPr>
          <w:p w14:paraId="10516B3C" w14:textId="77777777" w:rsidR="00054437" w:rsidRPr="000549B1" w:rsidRDefault="00054437">
            <w:pPr>
              <w:pStyle w:val="CharCharCharCharChar"/>
              <w:rPr>
                <w:color w:val="auto"/>
                <w:szCs w:val="21"/>
              </w:rPr>
            </w:pPr>
          </w:p>
        </w:tc>
        <w:tc>
          <w:tcPr>
            <w:tcW w:w="1762" w:type="dxa"/>
            <w:vMerge/>
            <w:vAlign w:val="center"/>
          </w:tcPr>
          <w:p w14:paraId="1E8B9EBC" w14:textId="77777777" w:rsidR="00054437" w:rsidRPr="000549B1" w:rsidRDefault="00054437">
            <w:pPr>
              <w:pStyle w:val="CharCharCharCharChar"/>
              <w:rPr>
                <w:color w:val="auto"/>
                <w:szCs w:val="21"/>
              </w:rPr>
            </w:pPr>
          </w:p>
        </w:tc>
        <w:tc>
          <w:tcPr>
            <w:tcW w:w="0" w:type="auto"/>
            <w:vMerge/>
            <w:vAlign w:val="center"/>
          </w:tcPr>
          <w:p w14:paraId="6D556624" w14:textId="77777777" w:rsidR="00054437" w:rsidRPr="000549B1" w:rsidRDefault="00054437">
            <w:pPr>
              <w:pStyle w:val="CharCharCharCharChar"/>
              <w:rPr>
                <w:color w:val="auto"/>
                <w:szCs w:val="21"/>
              </w:rPr>
            </w:pPr>
          </w:p>
        </w:tc>
        <w:tc>
          <w:tcPr>
            <w:tcW w:w="0" w:type="auto"/>
            <w:noWrap/>
            <w:vAlign w:val="center"/>
          </w:tcPr>
          <w:p w14:paraId="003C56BD" w14:textId="77777777" w:rsidR="00054437" w:rsidRPr="000549B1" w:rsidRDefault="00000000">
            <w:pPr>
              <w:pStyle w:val="CharCharCharCharChar"/>
              <w:rPr>
                <w:color w:val="auto"/>
                <w:szCs w:val="21"/>
              </w:rPr>
            </w:pPr>
            <w:r w:rsidRPr="000549B1">
              <w:rPr>
                <w:color w:val="auto"/>
                <w:szCs w:val="21"/>
              </w:rPr>
              <w:t>采矿用地</w:t>
            </w:r>
          </w:p>
        </w:tc>
        <w:tc>
          <w:tcPr>
            <w:tcW w:w="0" w:type="auto"/>
            <w:noWrap/>
            <w:vAlign w:val="center"/>
          </w:tcPr>
          <w:p w14:paraId="25D83441" w14:textId="77777777" w:rsidR="00054437" w:rsidRPr="000549B1" w:rsidRDefault="00000000">
            <w:pPr>
              <w:pStyle w:val="CharCharCharCharChar"/>
              <w:rPr>
                <w:color w:val="auto"/>
                <w:szCs w:val="21"/>
              </w:rPr>
            </w:pPr>
            <w:r w:rsidRPr="000549B1">
              <w:rPr>
                <w:color w:val="auto"/>
                <w:szCs w:val="21"/>
              </w:rPr>
              <w:t>1.15</w:t>
            </w:r>
          </w:p>
        </w:tc>
        <w:tc>
          <w:tcPr>
            <w:tcW w:w="0" w:type="auto"/>
            <w:noWrap/>
            <w:vAlign w:val="center"/>
          </w:tcPr>
          <w:p w14:paraId="72595FCD" w14:textId="77777777" w:rsidR="00054437" w:rsidRPr="000549B1" w:rsidRDefault="00000000">
            <w:pPr>
              <w:pStyle w:val="CharCharCharCharChar"/>
              <w:rPr>
                <w:color w:val="auto"/>
                <w:szCs w:val="21"/>
              </w:rPr>
            </w:pPr>
            <w:r w:rsidRPr="000549B1">
              <w:rPr>
                <w:color w:val="auto"/>
                <w:szCs w:val="21"/>
              </w:rPr>
              <w:t>0.02</w:t>
            </w:r>
          </w:p>
        </w:tc>
      </w:tr>
      <w:tr w:rsidR="000549B1" w:rsidRPr="000549B1" w14:paraId="78C15E3D" w14:textId="77777777">
        <w:trPr>
          <w:jc w:val="center"/>
        </w:trPr>
        <w:tc>
          <w:tcPr>
            <w:tcW w:w="1271" w:type="dxa"/>
            <w:vMerge w:val="restart"/>
            <w:vAlign w:val="center"/>
          </w:tcPr>
          <w:p w14:paraId="1C70648B" w14:textId="77777777" w:rsidR="00054437" w:rsidRPr="000549B1" w:rsidRDefault="00000000">
            <w:pPr>
              <w:pStyle w:val="CharCharCharCharChar"/>
              <w:rPr>
                <w:color w:val="auto"/>
                <w:szCs w:val="21"/>
              </w:rPr>
            </w:pPr>
            <w:r w:rsidRPr="000549B1">
              <w:rPr>
                <w:color w:val="auto"/>
                <w:szCs w:val="21"/>
              </w:rPr>
              <w:t>交通运输用地</w:t>
            </w:r>
          </w:p>
        </w:tc>
        <w:tc>
          <w:tcPr>
            <w:tcW w:w="1762" w:type="dxa"/>
            <w:vMerge w:val="restart"/>
            <w:vAlign w:val="center"/>
          </w:tcPr>
          <w:p w14:paraId="1ECDF4ED" w14:textId="77777777" w:rsidR="00054437" w:rsidRPr="000549B1" w:rsidRDefault="00000000">
            <w:pPr>
              <w:pStyle w:val="CharCharCharCharChar"/>
              <w:rPr>
                <w:color w:val="auto"/>
                <w:szCs w:val="21"/>
              </w:rPr>
            </w:pPr>
            <w:r w:rsidRPr="000549B1">
              <w:rPr>
                <w:color w:val="auto"/>
                <w:szCs w:val="21"/>
              </w:rPr>
              <w:t>42.37</w:t>
            </w:r>
          </w:p>
        </w:tc>
        <w:tc>
          <w:tcPr>
            <w:tcW w:w="0" w:type="auto"/>
            <w:vMerge w:val="restart"/>
            <w:vAlign w:val="center"/>
          </w:tcPr>
          <w:p w14:paraId="5E39E610" w14:textId="77777777" w:rsidR="00054437" w:rsidRPr="000549B1" w:rsidRDefault="00000000">
            <w:pPr>
              <w:pStyle w:val="CharCharCharCharChar"/>
              <w:rPr>
                <w:color w:val="auto"/>
                <w:szCs w:val="21"/>
              </w:rPr>
            </w:pPr>
            <w:r w:rsidRPr="000549B1">
              <w:rPr>
                <w:color w:val="auto"/>
                <w:szCs w:val="21"/>
              </w:rPr>
              <w:t>0.49</w:t>
            </w:r>
          </w:p>
        </w:tc>
        <w:tc>
          <w:tcPr>
            <w:tcW w:w="0" w:type="auto"/>
            <w:noWrap/>
            <w:vAlign w:val="center"/>
          </w:tcPr>
          <w:p w14:paraId="6E3BD5F7" w14:textId="77777777" w:rsidR="00054437" w:rsidRPr="000549B1" w:rsidRDefault="00000000">
            <w:pPr>
              <w:pStyle w:val="CharCharCharCharChar"/>
              <w:rPr>
                <w:color w:val="auto"/>
                <w:szCs w:val="21"/>
              </w:rPr>
            </w:pPr>
            <w:r w:rsidRPr="000549B1">
              <w:rPr>
                <w:color w:val="auto"/>
                <w:szCs w:val="21"/>
              </w:rPr>
              <w:t>城镇村道路用地</w:t>
            </w:r>
          </w:p>
        </w:tc>
        <w:tc>
          <w:tcPr>
            <w:tcW w:w="0" w:type="auto"/>
            <w:noWrap/>
            <w:vAlign w:val="center"/>
          </w:tcPr>
          <w:p w14:paraId="088C62FD" w14:textId="77777777" w:rsidR="00054437" w:rsidRPr="000549B1" w:rsidRDefault="00000000">
            <w:pPr>
              <w:pStyle w:val="CharCharCharCharChar"/>
              <w:rPr>
                <w:color w:val="auto"/>
                <w:szCs w:val="21"/>
              </w:rPr>
            </w:pPr>
            <w:r w:rsidRPr="000549B1">
              <w:rPr>
                <w:color w:val="auto"/>
                <w:szCs w:val="21"/>
              </w:rPr>
              <w:t>0.74</w:t>
            </w:r>
          </w:p>
        </w:tc>
        <w:tc>
          <w:tcPr>
            <w:tcW w:w="0" w:type="auto"/>
            <w:noWrap/>
            <w:vAlign w:val="center"/>
          </w:tcPr>
          <w:p w14:paraId="0CBE39F0" w14:textId="77777777" w:rsidR="00054437" w:rsidRPr="000549B1" w:rsidRDefault="00000000">
            <w:pPr>
              <w:pStyle w:val="CharCharCharCharChar"/>
              <w:rPr>
                <w:color w:val="auto"/>
                <w:szCs w:val="21"/>
              </w:rPr>
            </w:pPr>
            <w:r w:rsidRPr="000549B1">
              <w:rPr>
                <w:color w:val="auto"/>
                <w:szCs w:val="21"/>
              </w:rPr>
              <w:t>0.01</w:t>
            </w:r>
          </w:p>
        </w:tc>
      </w:tr>
      <w:tr w:rsidR="000549B1" w:rsidRPr="000549B1" w14:paraId="3A278A33" w14:textId="77777777">
        <w:trPr>
          <w:jc w:val="center"/>
        </w:trPr>
        <w:tc>
          <w:tcPr>
            <w:tcW w:w="1271" w:type="dxa"/>
            <w:vMerge/>
            <w:vAlign w:val="center"/>
          </w:tcPr>
          <w:p w14:paraId="2D4930E3" w14:textId="77777777" w:rsidR="00054437" w:rsidRPr="000549B1" w:rsidRDefault="00054437">
            <w:pPr>
              <w:pStyle w:val="CharCharCharCharChar"/>
              <w:rPr>
                <w:color w:val="auto"/>
                <w:szCs w:val="21"/>
              </w:rPr>
            </w:pPr>
          </w:p>
        </w:tc>
        <w:tc>
          <w:tcPr>
            <w:tcW w:w="1762" w:type="dxa"/>
            <w:vMerge/>
            <w:vAlign w:val="center"/>
          </w:tcPr>
          <w:p w14:paraId="6BE54F80" w14:textId="77777777" w:rsidR="00054437" w:rsidRPr="000549B1" w:rsidRDefault="00054437">
            <w:pPr>
              <w:pStyle w:val="CharCharCharCharChar"/>
              <w:rPr>
                <w:color w:val="auto"/>
                <w:szCs w:val="21"/>
              </w:rPr>
            </w:pPr>
          </w:p>
        </w:tc>
        <w:tc>
          <w:tcPr>
            <w:tcW w:w="0" w:type="auto"/>
            <w:vMerge/>
            <w:vAlign w:val="center"/>
          </w:tcPr>
          <w:p w14:paraId="5727D5F0" w14:textId="77777777" w:rsidR="00054437" w:rsidRPr="000549B1" w:rsidRDefault="00054437">
            <w:pPr>
              <w:pStyle w:val="CharCharCharCharChar"/>
              <w:rPr>
                <w:color w:val="auto"/>
                <w:szCs w:val="21"/>
              </w:rPr>
            </w:pPr>
          </w:p>
        </w:tc>
        <w:tc>
          <w:tcPr>
            <w:tcW w:w="0" w:type="auto"/>
            <w:noWrap/>
            <w:vAlign w:val="center"/>
          </w:tcPr>
          <w:p w14:paraId="2E473C85" w14:textId="77777777" w:rsidR="00054437" w:rsidRPr="000549B1" w:rsidRDefault="00000000">
            <w:pPr>
              <w:pStyle w:val="CharCharCharCharChar"/>
              <w:rPr>
                <w:color w:val="auto"/>
                <w:szCs w:val="21"/>
              </w:rPr>
            </w:pPr>
            <w:r w:rsidRPr="000549B1">
              <w:rPr>
                <w:color w:val="auto"/>
                <w:szCs w:val="21"/>
              </w:rPr>
              <w:t>公路用地</w:t>
            </w:r>
          </w:p>
        </w:tc>
        <w:tc>
          <w:tcPr>
            <w:tcW w:w="0" w:type="auto"/>
            <w:noWrap/>
            <w:vAlign w:val="center"/>
          </w:tcPr>
          <w:p w14:paraId="7DE9761B" w14:textId="77777777" w:rsidR="00054437" w:rsidRPr="000549B1" w:rsidRDefault="00000000">
            <w:pPr>
              <w:pStyle w:val="CharCharCharCharChar"/>
              <w:rPr>
                <w:color w:val="auto"/>
                <w:szCs w:val="21"/>
              </w:rPr>
            </w:pPr>
            <w:r w:rsidRPr="000549B1">
              <w:rPr>
                <w:color w:val="auto"/>
                <w:szCs w:val="21"/>
              </w:rPr>
              <w:t>17.46</w:t>
            </w:r>
          </w:p>
        </w:tc>
        <w:tc>
          <w:tcPr>
            <w:tcW w:w="0" w:type="auto"/>
            <w:noWrap/>
            <w:vAlign w:val="center"/>
          </w:tcPr>
          <w:p w14:paraId="0064E811" w14:textId="77777777" w:rsidR="00054437" w:rsidRPr="000549B1" w:rsidRDefault="00000000">
            <w:pPr>
              <w:pStyle w:val="CharCharCharCharChar"/>
              <w:rPr>
                <w:color w:val="auto"/>
                <w:szCs w:val="21"/>
              </w:rPr>
            </w:pPr>
            <w:r w:rsidRPr="000549B1">
              <w:rPr>
                <w:color w:val="auto"/>
                <w:szCs w:val="21"/>
              </w:rPr>
              <w:t>0.20</w:t>
            </w:r>
          </w:p>
        </w:tc>
      </w:tr>
      <w:tr w:rsidR="000549B1" w:rsidRPr="000549B1" w14:paraId="1798666C" w14:textId="77777777">
        <w:trPr>
          <w:jc w:val="center"/>
        </w:trPr>
        <w:tc>
          <w:tcPr>
            <w:tcW w:w="1271" w:type="dxa"/>
            <w:vMerge/>
            <w:vAlign w:val="center"/>
          </w:tcPr>
          <w:p w14:paraId="19ED9EF2" w14:textId="77777777" w:rsidR="00054437" w:rsidRPr="000549B1" w:rsidRDefault="00054437">
            <w:pPr>
              <w:pStyle w:val="CharCharCharCharChar"/>
              <w:rPr>
                <w:color w:val="auto"/>
                <w:szCs w:val="21"/>
              </w:rPr>
            </w:pPr>
          </w:p>
        </w:tc>
        <w:tc>
          <w:tcPr>
            <w:tcW w:w="1762" w:type="dxa"/>
            <w:vMerge/>
            <w:vAlign w:val="center"/>
          </w:tcPr>
          <w:p w14:paraId="4BF778AA" w14:textId="77777777" w:rsidR="00054437" w:rsidRPr="000549B1" w:rsidRDefault="00054437">
            <w:pPr>
              <w:pStyle w:val="CharCharCharCharChar"/>
              <w:rPr>
                <w:color w:val="auto"/>
                <w:szCs w:val="21"/>
              </w:rPr>
            </w:pPr>
          </w:p>
        </w:tc>
        <w:tc>
          <w:tcPr>
            <w:tcW w:w="0" w:type="auto"/>
            <w:vMerge/>
            <w:vAlign w:val="center"/>
          </w:tcPr>
          <w:p w14:paraId="6FDCE7EC" w14:textId="77777777" w:rsidR="00054437" w:rsidRPr="000549B1" w:rsidRDefault="00054437">
            <w:pPr>
              <w:pStyle w:val="CharCharCharCharChar"/>
              <w:rPr>
                <w:color w:val="auto"/>
                <w:szCs w:val="21"/>
              </w:rPr>
            </w:pPr>
          </w:p>
        </w:tc>
        <w:tc>
          <w:tcPr>
            <w:tcW w:w="0" w:type="auto"/>
            <w:noWrap/>
            <w:vAlign w:val="center"/>
          </w:tcPr>
          <w:p w14:paraId="08BA4498" w14:textId="77777777" w:rsidR="00054437" w:rsidRPr="000549B1" w:rsidRDefault="00000000">
            <w:pPr>
              <w:pStyle w:val="CharCharCharCharChar"/>
              <w:rPr>
                <w:color w:val="auto"/>
                <w:szCs w:val="21"/>
              </w:rPr>
            </w:pPr>
            <w:r w:rsidRPr="000549B1">
              <w:rPr>
                <w:color w:val="auto"/>
                <w:szCs w:val="21"/>
              </w:rPr>
              <w:t>农村道路</w:t>
            </w:r>
          </w:p>
        </w:tc>
        <w:tc>
          <w:tcPr>
            <w:tcW w:w="0" w:type="auto"/>
            <w:noWrap/>
            <w:vAlign w:val="center"/>
          </w:tcPr>
          <w:p w14:paraId="6CE6386F" w14:textId="77777777" w:rsidR="00054437" w:rsidRPr="000549B1" w:rsidRDefault="00000000">
            <w:pPr>
              <w:pStyle w:val="CharCharCharCharChar"/>
              <w:rPr>
                <w:color w:val="auto"/>
                <w:szCs w:val="21"/>
              </w:rPr>
            </w:pPr>
            <w:r w:rsidRPr="000549B1">
              <w:rPr>
                <w:color w:val="auto"/>
                <w:szCs w:val="21"/>
              </w:rPr>
              <w:t>24.21</w:t>
            </w:r>
          </w:p>
        </w:tc>
        <w:tc>
          <w:tcPr>
            <w:tcW w:w="0" w:type="auto"/>
            <w:noWrap/>
            <w:vAlign w:val="center"/>
          </w:tcPr>
          <w:p w14:paraId="570FE386" w14:textId="77777777" w:rsidR="00054437" w:rsidRPr="000549B1" w:rsidRDefault="00000000">
            <w:pPr>
              <w:pStyle w:val="CharCharCharCharChar"/>
              <w:rPr>
                <w:color w:val="auto"/>
                <w:szCs w:val="21"/>
              </w:rPr>
            </w:pPr>
            <w:r w:rsidRPr="000549B1">
              <w:rPr>
                <w:color w:val="auto"/>
                <w:szCs w:val="21"/>
              </w:rPr>
              <w:t>0.28</w:t>
            </w:r>
          </w:p>
        </w:tc>
      </w:tr>
      <w:tr w:rsidR="000549B1" w:rsidRPr="000549B1" w14:paraId="5349F127" w14:textId="77777777">
        <w:trPr>
          <w:jc w:val="center"/>
        </w:trPr>
        <w:tc>
          <w:tcPr>
            <w:tcW w:w="1271" w:type="dxa"/>
            <w:vMerge w:val="restart"/>
            <w:noWrap/>
            <w:vAlign w:val="center"/>
          </w:tcPr>
          <w:p w14:paraId="4C9DEF70" w14:textId="77777777" w:rsidR="00054437" w:rsidRPr="000549B1" w:rsidRDefault="00000000">
            <w:pPr>
              <w:pStyle w:val="CharCharCharCharChar"/>
              <w:rPr>
                <w:color w:val="auto"/>
                <w:szCs w:val="21"/>
              </w:rPr>
            </w:pPr>
            <w:r w:rsidRPr="000549B1">
              <w:rPr>
                <w:color w:val="auto"/>
                <w:szCs w:val="21"/>
              </w:rPr>
              <w:t>水域及水利设施用地</w:t>
            </w:r>
          </w:p>
        </w:tc>
        <w:tc>
          <w:tcPr>
            <w:tcW w:w="1762" w:type="dxa"/>
            <w:vMerge w:val="restart"/>
            <w:vAlign w:val="center"/>
          </w:tcPr>
          <w:p w14:paraId="61F769FC" w14:textId="77777777" w:rsidR="00054437" w:rsidRPr="000549B1" w:rsidRDefault="00000000">
            <w:pPr>
              <w:pStyle w:val="CharCharCharCharChar"/>
              <w:rPr>
                <w:color w:val="auto"/>
                <w:szCs w:val="21"/>
              </w:rPr>
            </w:pPr>
            <w:r w:rsidRPr="000549B1">
              <w:rPr>
                <w:color w:val="auto"/>
                <w:szCs w:val="21"/>
              </w:rPr>
              <w:t>207.96</w:t>
            </w:r>
          </w:p>
        </w:tc>
        <w:tc>
          <w:tcPr>
            <w:tcW w:w="0" w:type="auto"/>
            <w:vMerge w:val="restart"/>
            <w:vAlign w:val="center"/>
          </w:tcPr>
          <w:p w14:paraId="6BA9E1A1" w14:textId="77777777" w:rsidR="00054437" w:rsidRPr="000549B1" w:rsidRDefault="00000000">
            <w:pPr>
              <w:pStyle w:val="CharCharCharCharChar"/>
              <w:rPr>
                <w:color w:val="auto"/>
                <w:szCs w:val="21"/>
              </w:rPr>
            </w:pPr>
            <w:r w:rsidRPr="000549B1">
              <w:rPr>
                <w:color w:val="auto"/>
                <w:szCs w:val="21"/>
              </w:rPr>
              <w:t>2.40</w:t>
            </w:r>
          </w:p>
        </w:tc>
        <w:tc>
          <w:tcPr>
            <w:tcW w:w="0" w:type="auto"/>
            <w:noWrap/>
            <w:vAlign w:val="center"/>
          </w:tcPr>
          <w:p w14:paraId="6F41CBB5" w14:textId="77777777" w:rsidR="00054437" w:rsidRPr="000549B1" w:rsidRDefault="00000000">
            <w:pPr>
              <w:pStyle w:val="CharCharCharCharChar"/>
              <w:rPr>
                <w:color w:val="auto"/>
                <w:szCs w:val="21"/>
              </w:rPr>
            </w:pPr>
            <w:r w:rsidRPr="000549B1">
              <w:rPr>
                <w:color w:val="auto"/>
                <w:szCs w:val="21"/>
              </w:rPr>
              <w:t>坑塘水面</w:t>
            </w:r>
          </w:p>
        </w:tc>
        <w:tc>
          <w:tcPr>
            <w:tcW w:w="0" w:type="auto"/>
            <w:noWrap/>
            <w:vAlign w:val="center"/>
          </w:tcPr>
          <w:p w14:paraId="4A30C016" w14:textId="77777777" w:rsidR="00054437" w:rsidRPr="000549B1" w:rsidRDefault="00000000">
            <w:pPr>
              <w:pStyle w:val="CharCharCharCharChar"/>
              <w:rPr>
                <w:color w:val="auto"/>
                <w:szCs w:val="21"/>
              </w:rPr>
            </w:pPr>
            <w:r w:rsidRPr="000549B1">
              <w:rPr>
                <w:color w:val="auto"/>
                <w:szCs w:val="21"/>
              </w:rPr>
              <w:t>9.66</w:t>
            </w:r>
          </w:p>
        </w:tc>
        <w:tc>
          <w:tcPr>
            <w:tcW w:w="0" w:type="auto"/>
            <w:noWrap/>
            <w:vAlign w:val="center"/>
          </w:tcPr>
          <w:p w14:paraId="4B45E408" w14:textId="77777777" w:rsidR="00054437" w:rsidRPr="000549B1" w:rsidRDefault="00000000">
            <w:pPr>
              <w:pStyle w:val="CharCharCharCharChar"/>
              <w:rPr>
                <w:color w:val="auto"/>
                <w:szCs w:val="21"/>
              </w:rPr>
            </w:pPr>
            <w:r w:rsidRPr="000549B1">
              <w:rPr>
                <w:color w:val="auto"/>
                <w:szCs w:val="21"/>
              </w:rPr>
              <w:t>0.11</w:t>
            </w:r>
          </w:p>
        </w:tc>
      </w:tr>
      <w:tr w:rsidR="000549B1" w:rsidRPr="000549B1" w14:paraId="28437C3C" w14:textId="77777777">
        <w:trPr>
          <w:jc w:val="center"/>
        </w:trPr>
        <w:tc>
          <w:tcPr>
            <w:tcW w:w="1271" w:type="dxa"/>
            <w:vMerge/>
            <w:vAlign w:val="center"/>
          </w:tcPr>
          <w:p w14:paraId="56B554BC" w14:textId="77777777" w:rsidR="00054437" w:rsidRPr="000549B1" w:rsidRDefault="00054437">
            <w:pPr>
              <w:pStyle w:val="CharCharCharCharChar"/>
              <w:rPr>
                <w:color w:val="auto"/>
                <w:szCs w:val="21"/>
              </w:rPr>
            </w:pPr>
          </w:p>
        </w:tc>
        <w:tc>
          <w:tcPr>
            <w:tcW w:w="1762" w:type="dxa"/>
            <w:vMerge/>
            <w:vAlign w:val="center"/>
          </w:tcPr>
          <w:p w14:paraId="05809BE6" w14:textId="77777777" w:rsidR="00054437" w:rsidRPr="000549B1" w:rsidRDefault="00054437">
            <w:pPr>
              <w:pStyle w:val="CharCharCharCharChar"/>
              <w:rPr>
                <w:color w:val="auto"/>
                <w:szCs w:val="21"/>
              </w:rPr>
            </w:pPr>
          </w:p>
        </w:tc>
        <w:tc>
          <w:tcPr>
            <w:tcW w:w="0" w:type="auto"/>
            <w:vMerge/>
            <w:vAlign w:val="center"/>
          </w:tcPr>
          <w:p w14:paraId="31E973BD" w14:textId="77777777" w:rsidR="00054437" w:rsidRPr="000549B1" w:rsidRDefault="00054437">
            <w:pPr>
              <w:pStyle w:val="CharCharCharCharChar"/>
              <w:rPr>
                <w:color w:val="auto"/>
                <w:szCs w:val="21"/>
              </w:rPr>
            </w:pPr>
          </w:p>
        </w:tc>
        <w:tc>
          <w:tcPr>
            <w:tcW w:w="0" w:type="auto"/>
            <w:noWrap/>
            <w:vAlign w:val="center"/>
          </w:tcPr>
          <w:p w14:paraId="6409E171" w14:textId="77777777" w:rsidR="00054437" w:rsidRPr="000549B1" w:rsidRDefault="00000000">
            <w:pPr>
              <w:pStyle w:val="CharCharCharCharChar"/>
              <w:rPr>
                <w:color w:val="auto"/>
                <w:szCs w:val="21"/>
              </w:rPr>
            </w:pPr>
            <w:r w:rsidRPr="000549B1">
              <w:rPr>
                <w:color w:val="auto"/>
                <w:szCs w:val="21"/>
              </w:rPr>
              <w:t>河流水面</w:t>
            </w:r>
          </w:p>
        </w:tc>
        <w:tc>
          <w:tcPr>
            <w:tcW w:w="0" w:type="auto"/>
            <w:noWrap/>
            <w:vAlign w:val="center"/>
          </w:tcPr>
          <w:p w14:paraId="6A1A8656" w14:textId="77777777" w:rsidR="00054437" w:rsidRPr="000549B1" w:rsidRDefault="00000000">
            <w:pPr>
              <w:pStyle w:val="CharCharCharCharChar"/>
              <w:rPr>
                <w:color w:val="auto"/>
                <w:szCs w:val="21"/>
              </w:rPr>
            </w:pPr>
            <w:r w:rsidRPr="000549B1">
              <w:rPr>
                <w:color w:val="auto"/>
                <w:szCs w:val="21"/>
              </w:rPr>
              <w:t>50.17</w:t>
            </w:r>
          </w:p>
        </w:tc>
        <w:tc>
          <w:tcPr>
            <w:tcW w:w="0" w:type="auto"/>
            <w:noWrap/>
            <w:vAlign w:val="center"/>
          </w:tcPr>
          <w:p w14:paraId="16A08CBA" w14:textId="77777777" w:rsidR="00054437" w:rsidRPr="000549B1" w:rsidRDefault="00000000">
            <w:pPr>
              <w:pStyle w:val="CharCharCharCharChar"/>
              <w:rPr>
                <w:color w:val="auto"/>
                <w:szCs w:val="21"/>
              </w:rPr>
            </w:pPr>
            <w:r w:rsidRPr="000549B1">
              <w:rPr>
                <w:color w:val="auto"/>
                <w:szCs w:val="21"/>
              </w:rPr>
              <w:t>0.58</w:t>
            </w:r>
          </w:p>
        </w:tc>
      </w:tr>
      <w:tr w:rsidR="000549B1" w:rsidRPr="000549B1" w14:paraId="0383DFEF" w14:textId="77777777">
        <w:trPr>
          <w:jc w:val="center"/>
        </w:trPr>
        <w:tc>
          <w:tcPr>
            <w:tcW w:w="1271" w:type="dxa"/>
            <w:vMerge/>
            <w:vAlign w:val="center"/>
          </w:tcPr>
          <w:p w14:paraId="4001DA45" w14:textId="77777777" w:rsidR="00054437" w:rsidRPr="000549B1" w:rsidRDefault="00054437">
            <w:pPr>
              <w:pStyle w:val="CharCharCharCharChar"/>
              <w:rPr>
                <w:color w:val="auto"/>
                <w:szCs w:val="21"/>
              </w:rPr>
            </w:pPr>
          </w:p>
        </w:tc>
        <w:tc>
          <w:tcPr>
            <w:tcW w:w="1762" w:type="dxa"/>
            <w:vMerge/>
            <w:vAlign w:val="center"/>
          </w:tcPr>
          <w:p w14:paraId="221F660E" w14:textId="77777777" w:rsidR="00054437" w:rsidRPr="000549B1" w:rsidRDefault="00054437">
            <w:pPr>
              <w:pStyle w:val="CharCharCharCharChar"/>
              <w:rPr>
                <w:color w:val="auto"/>
                <w:szCs w:val="21"/>
              </w:rPr>
            </w:pPr>
          </w:p>
        </w:tc>
        <w:tc>
          <w:tcPr>
            <w:tcW w:w="0" w:type="auto"/>
            <w:vMerge/>
            <w:vAlign w:val="center"/>
          </w:tcPr>
          <w:p w14:paraId="299AEA86" w14:textId="77777777" w:rsidR="00054437" w:rsidRPr="000549B1" w:rsidRDefault="00054437">
            <w:pPr>
              <w:pStyle w:val="CharCharCharCharChar"/>
              <w:rPr>
                <w:color w:val="auto"/>
                <w:szCs w:val="21"/>
              </w:rPr>
            </w:pPr>
          </w:p>
        </w:tc>
        <w:tc>
          <w:tcPr>
            <w:tcW w:w="0" w:type="auto"/>
            <w:noWrap/>
            <w:vAlign w:val="center"/>
          </w:tcPr>
          <w:p w14:paraId="3723DC70" w14:textId="77777777" w:rsidR="00054437" w:rsidRPr="000549B1" w:rsidRDefault="00000000">
            <w:pPr>
              <w:pStyle w:val="CharCharCharCharChar"/>
              <w:rPr>
                <w:color w:val="auto"/>
                <w:szCs w:val="21"/>
              </w:rPr>
            </w:pPr>
            <w:r w:rsidRPr="000549B1">
              <w:rPr>
                <w:color w:val="auto"/>
                <w:szCs w:val="21"/>
              </w:rPr>
              <w:t>内陆滩涂</w:t>
            </w:r>
          </w:p>
        </w:tc>
        <w:tc>
          <w:tcPr>
            <w:tcW w:w="0" w:type="auto"/>
            <w:noWrap/>
            <w:vAlign w:val="center"/>
          </w:tcPr>
          <w:p w14:paraId="75CC92A5" w14:textId="77777777" w:rsidR="00054437" w:rsidRPr="000549B1" w:rsidRDefault="00000000">
            <w:pPr>
              <w:pStyle w:val="CharCharCharCharChar"/>
              <w:rPr>
                <w:color w:val="auto"/>
                <w:szCs w:val="21"/>
              </w:rPr>
            </w:pPr>
            <w:r w:rsidRPr="000549B1">
              <w:rPr>
                <w:color w:val="auto"/>
                <w:szCs w:val="21"/>
              </w:rPr>
              <w:t>127.13</w:t>
            </w:r>
          </w:p>
        </w:tc>
        <w:tc>
          <w:tcPr>
            <w:tcW w:w="0" w:type="auto"/>
            <w:noWrap/>
            <w:vAlign w:val="center"/>
          </w:tcPr>
          <w:p w14:paraId="4422BB9A" w14:textId="77777777" w:rsidR="00054437" w:rsidRPr="000549B1" w:rsidRDefault="00000000">
            <w:pPr>
              <w:pStyle w:val="CharCharCharCharChar"/>
              <w:rPr>
                <w:color w:val="auto"/>
                <w:szCs w:val="21"/>
              </w:rPr>
            </w:pPr>
            <w:r w:rsidRPr="000549B1">
              <w:rPr>
                <w:color w:val="auto"/>
                <w:szCs w:val="21"/>
              </w:rPr>
              <w:t>1.47</w:t>
            </w:r>
          </w:p>
        </w:tc>
      </w:tr>
      <w:tr w:rsidR="000549B1" w:rsidRPr="000549B1" w14:paraId="419966E8" w14:textId="77777777">
        <w:trPr>
          <w:jc w:val="center"/>
        </w:trPr>
        <w:tc>
          <w:tcPr>
            <w:tcW w:w="1271" w:type="dxa"/>
            <w:vMerge/>
            <w:vAlign w:val="center"/>
          </w:tcPr>
          <w:p w14:paraId="75329742" w14:textId="77777777" w:rsidR="00054437" w:rsidRPr="000549B1" w:rsidRDefault="00054437">
            <w:pPr>
              <w:pStyle w:val="CharCharCharCharChar"/>
              <w:rPr>
                <w:color w:val="auto"/>
                <w:szCs w:val="21"/>
              </w:rPr>
            </w:pPr>
          </w:p>
        </w:tc>
        <w:tc>
          <w:tcPr>
            <w:tcW w:w="1762" w:type="dxa"/>
            <w:vMerge/>
            <w:vAlign w:val="center"/>
          </w:tcPr>
          <w:p w14:paraId="30E1AB19" w14:textId="77777777" w:rsidR="00054437" w:rsidRPr="000549B1" w:rsidRDefault="00054437">
            <w:pPr>
              <w:pStyle w:val="CharCharCharCharChar"/>
              <w:rPr>
                <w:color w:val="auto"/>
                <w:szCs w:val="21"/>
              </w:rPr>
            </w:pPr>
          </w:p>
        </w:tc>
        <w:tc>
          <w:tcPr>
            <w:tcW w:w="0" w:type="auto"/>
            <w:vMerge/>
            <w:vAlign w:val="center"/>
          </w:tcPr>
          <w:p w14:paraId="5C6DBC1E" w14:textId="77777777" w:rsidR="00054437" w:rsidRPr="000549B1" w:rsidRDefault="00054437">
            <w:pPr>
              <w:pStyle w:val="CharCharCharCharChar"/>
              <w:rPr>
                <w:color w:val="auto"/>
                <w:szCs w:val="21"/>
              </w:rPr>
            </w:pPr>
          </w:p>
        </w:tc>
        <w:tc>
          <w:tcPr>
            <w:tcW w:w="0" w:type="auto"/>
            <w:noWrap/>
            <w:vAlign w:val="center"/>
          </w:tcPr>
          <w:p w14:paraId="78D6A329" w14:textId="77777777" w:rsidR="00054437" w:rsidRPr="000549B1" w:rsidRDefault="00000000">
            <w:pPr>
              <w:pStyle w:val="CharCharCharCharChar"/>
              <w:rPr>
                <w:color w:val="auto"/>
                <w:szCs w:val="21"/>
              </w:rPr>
            </w:pPr>
            <w:r w:rsidRPr="000549B1">
              <w:rPr>
                <w:color w:val="auto"/>
                <w:szCs w:val="21"/>
              </w:rPr>
              <w:t>湖泊水面</w:t>
            </w:r>
          </w:p>
        </w:tc>
        <w:tc>
          <w:tcPr>
            <w:tcW w:w="0" w:type="auto"/>
            <w:noWrap/>
            <w:vAlign w:val="center"/>
          </w:tcPr>
          <w:p w14:paraId="5D3E5B0C" w14:textId="77777777" w:rsidR="00054437" w:rsidRPr="000549B1" w:rsidRDefault="00000000">
            <w:pPr>
              <w:pStyle w:val="CharCharCharCharChar"/>
              <w:rPr>
                <w:color w:val="auto"/>
                <w:szCs w:val="21"/>
              </w:rPr>
            </w:pPr>
            <w:r w:rsidRPr="000549B1">
              <w:rPr>
                <w:color w:val="auto"/>
                <w:szCs w:val="21"/>
              </w:rPr>
              <w:t>6.09</w:t>
            </w:r>
          </w:p>
        </w:tc>
        <w:tc>
          <w:tcPr>
            <w:tcW w:w="0" w:type="auto"/>
            <w:noWrap/>
            <w:vAlign w:val="center"/>
          </w:tcPr>
          <w:p w14:paraId="3C37BEA4" w14:textId="77777777" w:rsidR="00054437" w:rsidRPr="000549B1" w:rsidRDefault="00000000">
            <w:pPr>
              <w:pStyle w:val="CharCharCharCharChar"/>
              <w:rPr>
                <w:color w:val="auto"/>
                <w:szCs w:val="21"/>
              </w:rPr>
            </w:pPr>
            <w:r w:rsidRPr="000549B1">
              <w:rPr>
                <w:color w:val="auto"/>
                <w:szCs w:val="21"/>
              </w:rPr>
              <w:t>0.07</w:t>
            </w:r>
          </w:p>
        </w:tc>
      </w:tr>
      <w:tr w:rsidR="000549B1" w:rsidRPr="000549B1" w14:paraId="776ADC06" w14:textId="77777777">
        <w:trPr>
          <w:jc w:val="center"/>
        </w:trPr>
        <w:tc>
          <w:tcPr>
            <w:tcW w:w="1271" w:type="dxa"/>
            <w:vMerge/>
            <w:vAlign w:val="center"/>
          </w:tcPr>
          <w:p w14:paraId="350D9724" w14:textId="77777777" w:rsidR="00054437" w:rsidRPr="000549B1" w:rsidRDefault="00054437">
            <w:pPr>
              <w:pStyle w:val="CharCharCharCharChar"/>
              <w:rPr>
                <w:color w:val="auto"/>
                <w:szCs w:val="21"/>
              </w:rPr>
            </w:pPr>
          </w:p>
        </w:tc>
        <w:tc>
          <w:tcPr>
            <w:tcW w:w="1762" w:type="dxa"/>
            <w:vMerge/>
            <w:vAlign w:val="center"/>
          </w:tcPr>
          <w:p w14:paraId="656C1725" w14:textId="77777777" w:rsidR="00054437" w:rsidRPr="000549B1" w:rsidRDefault="00054437">
            <w:pPr>
              <w:pStyle w:val="CharCharCharCharChar"/>
              <w:rPr>
                <w:color w:val="auto"/>
                <w:szCs w:val="21"/>
              </w:rPr>
            </w:pPr>
          </w:p>
        </w:tc>
        <w:tc>
          <w:tcPr>
            <w:tcW w:w="0" w:type="auto"/>
            <w:vMerge/>
            <w:vAlign w:val="center"/>
          </w:tcPr>
          <w:p w14:paraId="7EC0C2D3" w14:textId="77777777" w:rsidR="00054437" w:rsidRPr="000549B1" w:rsidRDefault="00054437">
            <w:pPr>
              <w:pStyle w:val="CharCharCharCharChar"/>
              <w:rPr>
                <w:color w:val="auto"/>
                <w:szCs w:val="21"/>
              </w:rPr>
            </w:pPr>
          </w:p>
        </w:tc>
        <w:tc>
          <w:tcPr>
            <w:tcW w:w="0" w:type="auto"/>
            <w:noWrap/>
            <w:vAlign w:val="center"/>
          </w:tcPr>
          <w:p w14:paraId="43FF176E" w14:textId="77777777" w:rsidR="00054437" w:rsidRPr="000549B1" w:rsidRDefault="00000000">
            <w:pPr>
              <w:pStyle w:val="CharCharCharCharChar"/>
              <w:rPr>
                <w:color w:val="auto"/>
                <w:szCs w:val="21"/>
              </w:rPr>
            </w:pPr>
            <w:r w:rsidRPr="000549B1">
              <w:rPr>
                <w:color w:val="auto"/>
                <w:szCs w:val="21"/>
              </w:rPr>
              <w:t>沟渠</w:t>
            </w:r>
          </w:p>
        </w:tc>
        <w:tc>
          <w:tcPr>
            <w:tcW w:w="0" w:type="auto"/>
            <w:noWrap/>
            <w:vAlign w:val="center"/>
          </w:tcPr>
          <w:p w14:paraId="2C32BDB0" w14:textId="77777777" w:rsidR="00054437" w:rsidRPr="000549B1" w:rsidRDefault="00000000">
            <w:pPr>
              <w:pStyle w:val="CharCharCharCharChar"/>
              <w:rPr>
                <w:color w:val="auto"/>
                <w:szCs w:val="21"/>
              </w:rPr>
            </w:pPr>
            <w:r w:rsidRPr="000549B1">
              <w:rPr>
                <w:color w:val="auto"/>
                <w:szCs w:val="21"/>
              </w:rPr>
              <w:t>14.91</w:t>
            </w:r>
          </w:p>
        </w:tc>
        <w:tc>
          <w:tcPr>
            <w:tcW w:w="0" w:type="auto"/>
            <w:noWrap/>
            <w:vAlign w:val="center"/>
          </w:tcPr>
          <w:p w14:paraId="31A3E3E7" w14:textId="77777777" w:rsidR="00054437" w:rsidRPr="000549B1" w:rsidRDefault="00000000">
            <w:pPr>
              <w:pStyle w:val="CharCharCharCharChar"/>
              <w:rPr>
                <w:color w:val="auto"/>
                <w:szCs w:val="21"/>
              </w:rPr>
            </w:pPr>
            <w:r w:rsidRPr="000549B1">
              <w:rPr>
                <w:color w:val="auto"/>
                <w:szCs w:val="21"/>
              </w:rPr>
              <w:t>0.17</w:t>
            </w:r>
          </w:p>
        </w:tc>
      </w:tr>
      <w:tr w:rsidR="000549B1" w:rsidRPr="000549B1" w14:paraId="4B14C28B" w14:textId="77777777">
        <w:trPr>
          <w:jc w:val="center"/>
        </w:trPr>
        <w:tc>
          <w:tcPr>
            <w:tcW w:w="1271" w:type="dxa"/>
            <w:vMerge w:val="restart"/>
            <w:noWrap/>
            <w:vAlign w:val="center"/>
          </w:tcPr>
          <w:p w14:paraId="5987BA7B" w14:textId="77777777" w:rsidR="00054437" w:rsidRPr="000549B1" w:rsidRDefault="00000000">
            <w:pPr>
              <w:pStyle w:val="CharCharCharCharChar"/>
              <w:rPr>
                <w:color w:val="auto"/>
                <w:szCs w:val="21"/>
              </w:rPr>
            </w:pPr>
            <w:r w:rsidRPr="000549B1">
              <w:rPr>
                <w:color w:val="auto"/>
                <w:szCs w:val="21"/>
              </w:rPr>
              <w:t>其他用地</w:t>
            </w:r>
          </w:p>
        </w:tc>
        <w:tc>
          <w:tcPr>
            <w:tcW w:w="1762" w:type="dxa"/>
            <w:vMerge w:val="restart"/>
            <w:vAlign w:val="center"/>
          </w:tcPr>
          <w:p w14:paraId="4709D487" w14:textId="77777777" w:rsidR="00054437" w:rsidRPr="000549B1" w:rsidRDefault="00000000">
            <w:pPr>
              <w:pStyle w:val="CharCharCharCharChar"/>
              <w:rPr>
                <w:color w:val="auto"/>
                <w:szCs w:val="21"/>
              </w:rPr>
            </w:pPr>
            <w:r w:rsidRPr="000549B1">
              <w:rPr>
                <w:color w:val="auto"/>
                <w:szCs w:val="21"/>
              </w:rPr>
              <w:t>52.32</w:t>
            </w:r>
          </w:p>
        </w:tc>
        <w:tc>
          <w:tcPr>
            <w:tcW w:w="0" w:type="auto"/>
            <w:vMerge w:val="restart"/>
            <w:vAlign w:val="center"/>
          </w:tcPr>
          <w:p w14:paraId="5F2B22B2" w14:textId="77777777" w:rsidR="00054437" w:rsidRPr="000549B1" w:rsidRDefault="00000000">
            <w:pPr>
              <w:pStyle w:val="CharCharCharCharChar"/>
              <w:rPr>
                <w:color w:val="auto"/>
                <w:szCs w:val="21"/>
              </w:rPr>
            </w:pPr>
            <w:r w:rsidRPr="000549B1">
              <w:rPr>
                <w:color w:val="auto"/>
                <w:szCs w:val="21"/>
              </w:rPr>
              <w:t>0.60</w:t>
            </w:r>
          </w:p>
        </w:tc>
        <w:tc>
          <w:tcPr>
            <w:tcW w:w="0" w:type="auto"/>
            <w:noWrap/>
            <w:vAlign w:val="center"/>
          </w:tcPr>
          <w:p w14:paraId="14DEF6D6" w14:textId="77777777" w:rsidR="00054437" w:rsidRPr="000549B1" w:rsidRDefault="00000000">
            <w:pPr>
              <w:pStyle w:val="CharCharCharCharChar"/>
              <w:rPr>
                <w:color w:val="auto"/>
                <w:szCs w:val="21"/>
              </w:rPr>
            </w:pPr>
            <w:r w:rsidRPr="000549B1">
              <w:rPr>
                <w:color w:val="auto"/>
                <w:szCs w:val="21"/>
              </w:rPr>
              <w:t>盐碱地</w:t>
            </w:r>
          </w:p>
        </w:tc>
        <w:tc>
          <w:tcPr>
            <w:tcW w:w="0" w:type="auto"/>
            <w:noWrap/>
            <w:vAlign w:val="center"/>
          </w:tcPr>
          <w:p w14:paraId="48B01FFF" w14:textId="77777777" w:rsidR="00054437" w:rsidRPr="000549B1" w:rsidRDefault="00000000">
            <w:pPr>
              <w:pStyle w:val="CharCharCharCharChar"/>
              <w:rPr>
                <w:color w:val="auto"/>
                <w:szCs w:val="21"/>
              </w:rPr>
            </w:pPr>
            <w:r w:rsidRPr="000549B1">
              <w:rPr>
                <w:color w:val="auto"/>
                <w:szCs w:val="21"/>
              </w:rPr>
              <w:t>2.77</w:t>
            </w:r>
          </w:p>
        </w:tc>
        <w:tc>
          <w:tcPr>
            <w:tcW w:w="0" w:type="auto"/>
            <w:noWrap/>
            <w:vAlign w:val="center"/>
          </w:tcPr>
          <w:p w14:paraId="27C85294" w14:textId="77777777" w:rsidR="00054437" w:rsidRPr="000549B1" w:rsidRDefault="00000000">
            <w:pPr>
              <w:pStyle w:val="CharCharCharCharChar"/>
              <w:rPr>
                <w:color w:val="auto"/>
                <w:szCs w:val="21"/>
              </w:rPr>
            </w:pPr>
            <w:r w:rsidRPr="000549B1">
              <w:rPr>
                <w:color w:val="auto"/>
                <w:szCs w:val="21"/>
              </w:rPr>
              <w:t>0.03</w:t>
            </w:r>
          </w:p>
        </w:tc>
      </w:tr>
      <w:tr w:rsidR="000549B1" w:rsidRPr="000549B1" w14:paraId="258AFAEE" w14:textId="77777777">
        <w:trPr>
          <w:jc w:val="center"/>
        </w:trPr>
        <w:tc>
          <w:tcPr>
            <w:tcW w:w="1271" w:type="dxa"/>
            <w:vMerge/>
            <w:vAlign w:val="center"/>
          </w:tcPr>
          <w:p w14:paraId="767832F9" w14:textId="77777777" w:rsidR="00054437" w:rsidRPr="000549B1" w:rsidRDefault="00054437">
            <w:pPr>
              <w:pStyle w:val="CharCharCharCharChar"/>
              <w:rPr>
                <w:color w:val="auto"/>
                <w:szCs w:val="21"/>
              </w:rPr>
            </w:pPr>
          </w:p>
        </w:tc>
        <w:tc>
          <w:tcPr>
            <w:tcW w:w="1762" w:type="dxa"/>
            <w:vMerge/>
            <w:vAlign w:val="center"/>
          </w:tcPr>
          <w:p w14:paraId="7C486A8C" w14:textId="77777777" w:rsidR="00054437" w:rsidRPr="000549B1" w:rsidRDefault="00054437">
            <w:pPr>
              <w:pStyle w:val="CharCharCharCharChar"/>
              <w:rPr>
                <w:color w:val="auto"/>
                <w:szCs w:val="21"/>
              </w:rPr>
            </w:pPr>
          </w:p>
        </w:tc>
        <w:tc>
          <w:tcPr>
            <w:tcW w:w="0" w:type="auto"/>
            <w:vMerge/>
            <w:vAlign w:val="center"/>
          </w:tcPr>
          <w:p w14:paraId="012C72E0" w14:textId="77777777" w:rsidR="00054437" w:rsidRPr="000549B1" w:rsidRDefault="00054437">
            <w:pPr>
              <w:pStyle w:val="CharCharCharCharChar"/>
              <w:rPr>
                <w:color w:val="auto"/>
                <w:szCs w:val="21"/>
              </w:rPr>
            </w:pPr>
          </w:p>
        </w:tc>
        <w:tc>
          <w:tcPr>
            <w:tcW w:w="0" w:type="auto"/>
            <w:noWrap/>
            <w:vAlign w:val="center"/>
          </w:tcPr>
          <w:p w14:paraId="213FB226" w14:textId="77777777" w:rsidR="00054437" w:rsidRPr="000549B1" w:rsidRDefault="00000000">
            <w:pPr>
              <w:pStyle w:val="CharCharCharCharChar"/>
              <w:rPr>
                <w:color w:val="auto"/>
                <w:szCs w:val="21"/>
              </w:rPr>
            </w:pPr>
            <w:r w:rsidRPr="000549B1">
              <w:rPr>
                <w:color w:val="auto"/>
                <w:szCs w:val="21"/>
              </w:rPr>
              <w:t>裸土地</w:t>
            </w:r>
          </w:p>
        </w:tc>
        <w:tc>
          <w:tcPr>
            <w:tcW w:w="0" w:type="auto"/>
            <w:noWrap/>
            <w:vAlign w:val="center"/>
          </w:tcPr>
          <w:p w14:paraId="23A22D2E" w14:textId="77777777" w:rsidR="00054437" w:rsidRPr="000549B1" w:rsidRDefault="00000000">
            <w:pPr>
              <w:pStyle w:val="CharCharCharCharChar"/>
              <w:rPr>
                <w:color w:val="auto"/>
                <w:szCs w:val="21"/>
              </w:rPr>
            </w:pPr>
            <w:r w:rsidRPr="000549B1">
              <w:rPr>
                <w:color w:val="auto"/>
                <w:szCs w:val="21"/>
              </w:rPr>
              <w:t>4.98</w:t>
            </w:r>
          </w:p>
        </w:tc>
        <w:tc>
          <w:tcPr>
            <w:tcW w:w="0" w:type="auto"/>
            <w:noWrap/>
            <w:vAlign w:val="center"/>
          </w:tcPr>
          <w:p w14:paraId="1FAC06BB" w14:textId="77777777" w:rsidR="00054437" w:rsidRPr="000549B1" w:rsidRDefault="00000000">
            <w:pPr>
              <w:pStyle w:val="CharCharCharCharChar"/>
              <w:rPr>
                <w:color w:val="auto"/>
                <w:szCs w:val="21"/>
              </w:rPr>
            </w:pPr>
            <w:r w:rsidRPr="000549B1">
              <w:rPr>
                <w:color w:val="auto"/>
                <w:szCs w:val="21"/>
              </w:rPr>
              <w:t>0.06</w:t>
            </w:r>
          </w:p>
        </w:tc>
      </w:tr>
      <w:tr w:rsidR="000549B1" w:rsidRPr="000549B1" w14:paraId="6F619ACD" w14:textId="77777777">
        <w:trPr>
          <w:jc w:val="center"/>
        </w:trPr>
        <w:tc>
          <w:tcPr>
            <w:tcW w:w="1271" w:type="dxa"/>
            <w:vMerge/>
            <w:vAlign w:val="center"/>
          </w:tcPr>
          <w:p w14:paraId="5FC94720" w14:textId="77777777" w:rsidR="00054437" w:rsidRPr="000549B1" w:rsidRDefault="00054437">
            <w:pPr>
              <w:pStyle w:val="CharCharCharCharChar"/>
              <w:rPr>
                <w:color w:val="auto"/>
                <w:szCs w:val="21"/>
              </w:rPr>
            </w:pPr>
          </w:p>
        </w:tc>
        <w:tc>
          <w:tcPr>
            <w:tcW w:w="1762" w:type="dxa"/>
            <w:vMerge/>
            <w:vAlign w:val="center"/>
          </w:tcPr>
          <w:p w14:paraId="47BA83D5" w14:textId="77777777" w:rsidR="00054437" w:rsidRPr="000549B1" w:rsidRDefault="00054437">
            <w:pPr>
              <w:pStyle w:val="CharCharCharCharChar"/>
              <w:rPr>
                <w:color w:val="auto"/>
                <w:szCs w:val="21"/>
              </w:rPr>
            </w:pPr>
          </w:p>
        </w:tc>
        <w:tc>
          <w:tcPr>
            <w:tcW w:w="0" w:type="auto"/>
            <w:vMerge/>
            <w:vAlign w:val="center"/>
          </w:tcPr>
          <w:p w14:paraId="5960656F" w14:textId="77777777" w:rsidR="00054437" w:rsidRPr="000549B1" w:rsidRDefault="00054437">
            <w:pPr>
              <w:pStyle w:val="CharCharCharCharChar"/>
              <w:rPr>
                <w:color w:val="auto"/>
                <w:szCs w:val="21"/>
              </w:rPr>
            </w:pPr>
          </w:p>
        </w:tc>
        <w:tc>
          <w:tcPr>
            <w:tcW w:w="0" w:type="auto"/>
            <w:noWrap/>
            <w:vAlign w:val="center"/>
          </w:tcPr>
          <w:p w14:paraId="6220321B" w14:textId="77777777" w:rsidR="00054437" w:rsidRPr="000549B1" w:rsidRDefault="00000000">
            <w:pPr>
              <w:pStyle w:val="CharCharCharCharChar"/>
              <w:rPr>
                <w:color w:val="auto"/>
                <w:szCs w:val="21"/>
              </w:rPr>
            </w:pPr>
            <w:r w:rsidRPr="000549B1">
              <w:rPr>
                <w:color w:val="auto"/>
                <w:szCs w:val="21"/>
              </w:rPr>
              <w:t>裸岩石砾地</w:t>
            </w:r>
          </w:p>
        </w:tc>
        <w:tc>
          <w:tcPr>
            <w:tcW w:w="0" w:type="auto"/>
            <w:noWrap/>
            <w:vAlign w:val="center"/>
          </w:tcPr>
          <w:p w14:paraId="082F2D66" w14:textId="77777777" w:rsidR="00054437" w:rsidRPr="000549B1" w:rsidRDefault="00000000">
            <w:pPr>
              <w:pStyle w:val="CharCharCharCharChar"/>
              <w:rPr>
                <w:color w:val="auto"/>
                <w:szCs w:val="21"/>
              </w:rPr>
            </w:pPr>
            <w:r w:rsidRPr="000549B1">
              <w:rPr>
                <w:color w:val="auto"/>
                <w:szCs w:val="21"/>
              </w:rPr>
              <w:t>44.57</w:t>
            </w:r>
          </w:p>
        </w:tc>
        <w:tc>
          <w:tcPr>
            <w:tcW w:w="0" w:type="auto"/>
            <w:noWrap/>
            <w:vAlign w:val="center"/>
          </w:tcPr>
          <w:p w14:paraId="14ED51A3" w14:textId="77777777" w:rsidR="00054437" w:rsidRPr="000549B1" w:rsidRDefault="00000000">
            <w:pPr>
              <w:pStyle w:val="CharCharCharCharChar"/>
              <w:rPr>
                <w:color w:val="auto"/>
                <w:szCs w:val="21"/>
              </w:rPr>
            </w:pPr>
            <w:r w:rsidRPr="000549B1">
              <w:rPr>
                <w:color w:val="auto"/>
                <w:szCs w:val="21"/>
              </w:rPr>
              <w:t>0.51</w:t>
            </w:r>
          </w:p>
        </w:tc>
      </w:tr>
      <w:tr w:rsidR="00054437" w:rsidRPr="000549B1" w14:paraId="614DA41D" w14:textId="77777777">
        <w:trPr>
          <w:jc w:val="center"/>
        </w:trPr>
        <w:tc>
          <w:tcPr>
            <w:tcW w:w="1271" w:type="dxa"/>
            <w:noWrap/>
            <w:vAlign w:val="center"/>
          </w:tcPr>
          <w:p w14:paraId="0E7C9A58" w14:textId="77777777" w:rsidR="00054437" w:rsidRPr="000549B1" w:rsidRDefault="00000000">
            <w:pPr>
              <w:pStyle w:val="CharCharCharCharChar"/>
              <w:rPr>
                <w:color w:val="auto"/>
                <w:szCs w:val="21"/>
              </w:rPr>
            </w:pPr>
            <w:r w:rsidRPr="000549B1">
              <w:rPr>
                <w:color w:val="auto"/>
                <w:szCs w:val="21"/>
              </w:rPr>
              <w:t>合计</w:t>
            </w:r>
          </w:p>
        </w:tc>
        <w:tc>
          <w:tcPr>
            <w:tcW w:w="1762" w:type="dxa"/>
            <w:vAlign w:val="center"/>
          </w:tcPr>
          <w:p w14:paraId="5D39DCC9" w14:textId="77777777" w:rsidR="00054437" w:rsidRPr="000549B1" w:rsidRDefault="00000000">
            <w:pPr>
              <w:pStyle w:val="CharCharCharCharChar"/>
              <w:rPr>
                <w:color w:val="auto"/>
                <w:szCs w:val="21"/>
              </w:rPr>
            </w:pPr>
            <w:r w:rsidRPr="000549B1">
              <w:rPr>
                <w:color w:val="auto"/>
                <w:szCs w:val="21"/>
              </w:rPr>
              <w:t>8667.60</w:t>
            </w:r>
          </w:p>
        </w:tc>
        <w:tc>
          <w:tcPr>
            <w:tcW w:w="0" w:type="auto"/>
            <w:vAlign w:val="center"/>
          </w:tcPr>
          <w:p w14:paraId="0FD7FB6A" w14:textId="77777777" w:rsidR="00054437" w:rsidRPr="000549B1" w:rsidRDefault="00000000">
            <w:pPr>
              <w:pStyle w:val="CharCharCharCharChar"/>
              <w:rPr>
                <w:color w:val="auto"/>
                <w:szCs w:val="21"/>
              </w:rPr>
            </w:pPr>
            <w:r w:rsidRPr="000549B1">
              <w:rPr>
                <w:color w:val="auto"/>
                <w:szCs w:val="21"/>
              </w:rPr>
              <w:t>100.00</w:t>
            </w:r>
          </w:p>
        </w:tc>
        <w:tc>
          <w:tcPr>
            <w:tcW w:w="0" w:type="auto"/>
            <w:noWrap/>
            <w:vAlign w:val="center"/>
          </w:tcPr>
          <w:p w14:paraId="6BD4D6AA" w14:textId="77777777" w:rsidR="00054437" w:rsidRPr="000549B1" w:rsidRDefault="00054437">
            <w:pPr>
              <w:pStyle w:val="CharCharCharCharChar"/>
              <w:rPr>
                <w:color w:val="auto"/>
                <w:szCs w:val="21"/>
              </w:rPr>
            </w:pPr>
          </w:p>
        </w:tc>
        <w:tc>
          <w:tcPr>
            <w:tcW w:w="0" w:type="auto"/>
            <w:noWrap/>
            <w:vAlign w:val="center"/>
          </w:tcPr>
          <w:p w14:paraId="5F3C2AB2" w14:textId="77777777" w:rsidR="00054437" w:rsidRPr="000549B1" w:rsidRDefault="00000000">
            <w:pPr>
              <w:pStyle w:val="CharCharCharCharChar"/>
              <w:rPr>
                <w:color w:val="auto"/>
                <w:szCs w:val="21"/>
              </w:rPr>
            </w:pPr>
            <w:r w:rsidRPr="000549B1">
              <w:rPr>
                <w:color w:val="auto"/>
                <w:szCs w:val="21"/>
              </w:rPr>
              <w:t>8667.60</w:t>
            </w:r>
          </w:p>
        </w:tc>
        <w:tc>
          <w:tcPr>
            <w:tcW w:w="0" w:type="auto"/>
            <w:noWrap/>
            <w:vAlign w:val="center"/>
          </w:tcPr>
          <w:p w14:paraId="223EE115" w14:textId="77777777" w:rsidR="00054437" w:rsidRPr="000549B1" w:rsidRDefault="00000000">
            <w:pPr>
              <w:pStyle w:val="CharCharCharCharChar"/>
              <w:rPr>
                <w:color w:val="auto"/>
                <w:szCs w:val="21"/>
              </w:rPr>
            </w:pPr>
            <w:r w:rsidRPr="000549B1">
              <w:rPr>
                <w:color w:val="auto"/>
                <w:szCs w:val="21"/>
              </w:rPr>
              <w:t>100.00</w:t>
            </w:r>
          </w:p>
        </w:tc>
      </w:tr>
    </w:tbl>
    <w:p w14:paraId="7A9DE34B" w14:textId="77777777" w:rsidR="00054437" w:rsidRPr="000549B1" w:rsidRDefault="00054437">
      <w:pPr>
        <w:pStyle w:val="0A0"/>
        <w:ind w:firstLine="482"/>
        <w:jc w:val="center"/>
        <w:rPr>
          <w:rFonts w:eastAsiaTheme="minorEastAsia"/>
        </w:rPr>
      </w:pPr>
    </w:p>
    <w:p w14:paraId="1625B0A1" w14:textId="3DBCE152" w:rsidR="00054437" w:rsidRPr="000549B1" w:rsidRDefault="00000000">
      <w:pPr>
        <w:pStyle w:val="0A0"/>
        <w:ind w:firstLine="480"/>
        <w:rPr>
          <w:b w:val="0"/>
          <w:bCs/>
        </w:rPr>
      </w:pPr>
      <w:r w:rsidRPr="000549B1">
        <w:rPr>
          <w:rFonts w:eastAsiaTheme="minorEastAsia"/>
          <w:b w:val="0"/>
          <w:bCs/>
        </w:rPr>
        <w:t>经分析，沙珠玉河流域土地利用以草地面积最大，为</w:t>
      </w:r>
      <w:r w:rsidRPr="000549B1">
        <w:rPr>
          <w:b w:val="0"/>
          <w:bCs/>
        </w:rPr>
        <w:t>7833.59</w:t>
      </w:r>
      <w:r w:rsidRPr="000549B1">
        <w:rPr>
          <w:rFonts w:eastAsiaTheme="minorEastAsia"/>
          <w:b w:val="0"/>
          <w:bCs/>
        </w:rPr>
        <w:t>km²</w:t>
      </w:r>
      <w:r w:rsidRPr="000549B1">
        <w:rPr>
          <w:rFonts w:eastAsiaTheme="minorEastAsia"/>
          <w:b w:val="0"/>
          <w:bCs/>
        </w:rPr>
        <w:t>，占流域</w:t>
      </w:r>
      <w:r w:rsidRPr="000549B1">
        <w:rPr>
          <w:b w:val="0"/>
          <w:bCs/>
        </w:rPr>
        <w:t>总面积的</w:t>
      </w:r>
      <w:r w:rsidRPr="000549B1">
        <w:rPr>
          <w:b w:val="0"/>
          <w:bCs/>
        </w:rPr>
        <w:t>90.38</w:t>
      </w:r>
      <w:r w:rsidRPr="000549B1">
        <w:rPr>
          <w:rFonts w:eastAsiaTheme="minorEastAsia"/>
          <w:b w:val="0"/>
          <w:bCs/>
        </w:rPr>
        <w:t>%</w:t>
      </w:r>
      <w:r w:rsidRPr="000549B1">
        <w:rPr>
          <w:rFonts w:eastAsiaTheme="minorEastAsia"/>
          <w:b w:val="0"/>
          <w:bCs/>
        </w:rPr>
        <w:t>，以天然牧草地为主。其次为林地，面积为</w:t>
      </w:r>
      <w:r w:rsidRPr="000549B1">
        <w:rPr>
          <w:b w:val="0"/>
          <w:bCs/>
        </w:rPr>
        <w:t>103.91</w:t>
      </w:r>
      <w:r w:rsidRPr="000549B1">
        <w:rPr>
          <w:rFonts w:eastAsiaTheme="minorEastAsia"/>
          <w:b w:val="0"/>
          <w:bCs/>
        </w:rPr>
        <w:t>km</w:t>
      </w:r>
      <w:r w:rsidRPr="000549B1">
        <w:rPr>
          <w:rFonts w:eastAsiaTheme="minorEastAsia"/>
          <w:b w:val="0"/>
          <w:bCs/>
          <w:vertAlign w:val="superscript"/>
        </w:rPr>
        <w:t>2</w:t>
      </w:r>
      <w:r w:rsidRPr="000549B1">
        <w:rPr>
          <w:rFonts w:eastAsiaTheme="minorEastAsia"/>
          <w:b w:val="0"/>
          <w:bCs/>
        </w:rPr>
        <w:t>，占比</w:t>
      </w:r>
      <w:r w:rsidRPr="000549B1">
        <w:rPr>
          <w:b w:val="0"/>
          <w:bCs/>
        </w:rPr>
        <w:t>3.57</w:t>
      </w:r>
      <w:r w:rsidRPr="000549B1">
        <w:rPr>
          <w:rFonts w:eastAsiaTheme="minorEastAsia"/>
          <w:b w:val="0"/>
          <w:bCs/>
        </w:rPr>
        <w:t>%</w:t>
      </w:r>
      <w:r w:rsidRPr="000549B1">
        <w:rPr>
          <w:rFonts w:eastAsiaTheme="minorEastAsia"/>
          <w:b w:val="0"/>
          <w:bCs/>
        </w:rPr>
        <w:t>，主要为</w:t>
      </w:r>
      <w:r w:rsidRPr="000549B1">
        <w:rPr>
          <w:b w:val="0"/>
          <w:bCs/>
        </w:rPr>
        <w:t>灌木林地</w:t>
      </w:r>
      <w:r w:rsidR="00B81685" w:rsidRPr="000549B1">
        <w:rPr>
          <w:rFonts w:hint="eastAsia"/>
          <w:b w:val="0"/>
          <w:bCs/>
        </w:rPr>
        <w:t>和</w:t>
      </w:r>
      <w:r w:rsidRPr="000549B1">
        <w:rPr>
          <w:rFonts w:eastAsiaTheme="minorEastAsia"/>
          <w:b w:val="0"/>
          <w:bCs/>
        </w:rPr>
        <w:t>乔木林地。</w:t>
      </w:r>
      <w:r w:rsidRPr="000549B1">
        <w:rPr>
          <w:b w:val="0"/>
          <w:bCs/>
        </w:rPr>
        <w:t>水域及水利设施用地和耕地也有一定面积的分布，面积分别为</w:t>
      </w:r>
      <w:r w:rsidRPr="000549B1">
        <w:rPr>
          <w:b w:val="0"/>
          <w:bCs/>
        </w:rPr>
        <w:t>207.96km</w:t>
      </w:r>
      <w:r w:rsidRPr="000549B1">
        <w:rPr>
          <w:b w:val="0"/>
          <w:bCs/>
          <w:vertAlign w:val="superscript"/>
        </w:rPr>
        <w:t>2</w:t>
      </w:r>
      <w:r w:rsidRPr="000549B1">
        <w:rPr>
          <w:b w:val="0"/>
          <w:bCs/>
        </w:rPr>
        <w:t>和</w:t>
      </w:r>
      <w:r w:rsidRPr="000549B1">
        <w:rPr>
          <w:b w:val="0"/>
          <w:bCs/>
        </w:rPr>
        <w:t>177.61km</w:t>
      </w:r>
      <w:r w:rsidRPr="000549B1">
        <w:rPr>
          <w:b w:val="0"/>
          <w:bCs/>
          <w:vertAlign w:val="superscript"/>
        </w:rPr>
        <w:t>2</w:t>
      </w:r>
      <w:r w:rsidRPr="000549B1">
        <w:rPr>
          <w:b w:val="0"/>
          <w:bCs/>
        </w:rPr>
        <w:t>，占比分别为</w:t>
      </w:r>
      <w:r w:rsidRPr="000549B1">
        <w:rPr>
          <w:b w:val="0"/>
          <w:bCs/>
        </w:rPr>
        <w:t>2.40%</w:t>
      </w:r>
      <w:r w:rsidRPr="000549B1">
        <w:rPr>
          <w:b w:val="0"/>
          <w:bCs/>
        </w:rPr>
        <w:t>和</w:t>
      </w:r>
      <w:r w:rsidRPr="000549B1">
        <w:rPr>
          <w:b w:val="0"/>
          <w:bCs/>
        </w:rPr>
        <w:t>2.05%</w:t>
      </w:r>
      <w:r w:rsidRPr="000549B1">
        <w:rPr>
          <w:b w:val="0"/>
          <w:bCs/>
        </w:rPr>
        <w:t>。园地、住宅用地、公共管理与公共服务用地、工矿仓储用地、交通运输用地和其他用地面积均较小，占地面积均不到流域面积的</w:t>
      </w:r>
      <w:r w:rsidRPr="000549B1">
        <w:rPr>
          <w:b w:val="0"/>
          <w:bCs/>
        </w:rPr>
        <w:t>1%</w:t>
      </w:r>
      <w:r w:rsidRPr="000549B1">
        <w:rPr>
          <w:b w:val="0"/>
          <w:bCs/>
        </w:rPr>
        <w:t>。</w:t>
      </w:r>
    </w:p>
    <w:tbl>
      <w:tblPr>
        <w:tblW w:w="5000" w:type="pct"/>
        <w:jc w:val="center"/>
        <w:tblLook w:val="04A0" w:firstRow="1" w:lastRow="0" w:firstColumn="1" w:lastColumn="0" w:noHBand="0" w:noVBand="1"/>
      </w:tblPr>
      <w:tblGrid>
        <w:gridCol w:w="4153"/>
        <w:gridCol w:w="4153"/>
      </w:tblGrid>
      <w:tr w:rsidR="000549B1" w:rsidRPr="000549B1" w14:paraId="30789F82" w14:textId="77777777">
        <w:trPr>
          <w:trHeight w:val="2534"/>
          <w:jc w:val="center"/>
        </w:trPr>
        <w:tc>
          <w:tcPr>
            <w:tcW w:w="2440" w:type="pct"/>
            <w:vAlign w:val="center"/>
          </w:tcPr>
          <w:p w14:paraId="3EF5D80C" w14:textId="77777777" w:rsidR="00054437" w:rsidRPr="000549B1" w:rsidRDefault="00000000">
            <w:pPr>
              <w:pStyle w:val="afff5"/>
            </w:pPr>
            <w:r w:rsidRPr="000549B1">
              <w:rPr>
                <w:noProof/>
              </w:rPr>
              <w:drawing>
                <wp:inline distT="0" distB="0" distL="0" distR="0" wp14:anchorId="523CB9EF" wp14:editId="05D13ABE">
                  <wp:extent cx="2844165" cy="1943735"/>
                  <wp:effectExtent l="0" t="0" r="635" b="12065"/>
                  <wp:docPr id="1475552639" name="图片 3"/>
                  <wp:cNvGraphicFramePr/>
                  <a:graphic xmlns:a="http://schemas.openxmlformats.org/drawingml/2006/main">
                    <a:graphicData uri="http://schemas.openxmlformats.org/drawingml/2006/picture">
                      <pic:pic xmlns:pic="http://schemas.openxmlformats.org/drawingml/2006/picture">
                        <pic:nvPicPr>
                          <pic:cNvPr id="1475552639" name="图片 3"/>
                          <pic:cNvPicPr>
                            <a:picLocks noChangeArrowheads="1"/>
                          </pic:cNvPicPr>
                        </pic:nvPicPr>
                        <pic:blipFill>
                          <a:blip r:embed="rId94" cstate="email">
                            <a:extLst>
                              <a:ext uri="{28A0092B-C50C-407E-A947-70E740481C1C}">
                                <a14:useLocalDpi xmlns:a14="http://schemas.microsoft.com/office/drawing/2010/main"/>
                              </a:ext>
                            </a:extLst>
                          </a:blip>
                          <a:srcRect/>
                          <a:stretch>
                            <a:fillRect/>
                          </a:stretch>
                        </pic:blipFill>
                        <pic:spPr>
                          <a:xfrm>
                            <a:off x="0" y="0"/>
                            <a:ext cx="2844165" cy="1943735"/>
                          </a:xfrm>
                          <a:prstGeom prst="rect">
                            <a:avLst/>
                          </a:prstGeom>
                          <a:noFill/>
                          <a:ln>
                            <a:noFill/>
                          </a:ln>
                        </pic:spPr>
                      </pic:pic>
                    </a:graphicData>
                  </a:graphic>
                </wp:inline>
              </w:drawing>
            </w:r>
          </w:p>
        </w:tc>
        <w:tc>
          <w:tcPr>
            <w:tcW w:w="2560" w:type="pct"/>
            <w:vAlign w:val="center"/>
          </w:tcPr>
          <w:p w14:paraId="786E09BD" w14:textId="77777777" w:rsidR="00054437" w:rsidRPr="000549B1" w:rsidRDefault="00000000">
            <w:pPr>
              <w:pStyle w:val="afff5"/>
            </w:pPr>
            <w:r w:rsidRPr="000549B1">
              <w:rPr>
                <w:noProof/>
              </w:rPr>
              <w:drawing>
                <wp:inline distT="0" distB="0" distL="0" distR="0" wp14:anchorId="2523CDF9" wp14:editId="2B23571A">
                  <wp:extent cx="2844165" cy="1943735"/>
                  <wp:effectExtent l="0" t="0" r="635" b="12065"/>
                  <wp:docPr id="650284092" name="图片 6"/>
                  <wp:cNvGraphicFramePr/>
                  <a:graphic xmlns:a="http://schemas.openxmlformats.org/drawingml/2006/main">
                    <a:graphicData uri="http://schemas.openxmlformats.org/drawingml/2006/picture">
                      <pic:pic xmlns:pic="http://schemas.openxmlformats.org/drawingml/2006/picture">
                        <pic:nvPicPr>
                          <pic:cNvPr id="650284092" name="图片 6"/>
                          <pic:cNvPicPr>
                            <a:picLocks noChangeArrowheads="1"/>
                          </pic:cNvPicPr>
                        </pic:nvPicPr>
                        <pic:blipFill>
                          <a:blip r:embed="rId95" cstate="email">
                            <a:extLst>
                              <a:ext uri="{28A0092B-C50C-407E-A947-70E740481C1C}">
                                <a14:useLocalDpi xmlns:a14="http://schemas.microsoft.com/office/drawing/2010/main"/>
                              </a:ext>
                            </a:extLst>
                          </a:blip>
                          <a:srcRect/>
                          <a:stretch>
                            <a:fillRect/>
                          </a:stretch>
                        </pic:blipFill>
                        <pic:spPr>
                          <a:xfrm>
                            <a:off x="0" y="0"/>
                            <a:ext cx="2844165" cy="1943735"/>
                          </a:xfrm>
                          <a:prstGeom prst="rect">
                            <a:avLst/>
                          </a:prstGeom>
                          <a:noFill/>
                          <a:ln>
                            <a:noFill/>
                          </a:ln>
                        </pic:spPr>
                      </pic:pic>
                    </a:graphicData>
                  </a:graphic>
                </wp:inline>
              </w:drawing>
            </w:r>
          </w:p>
        </w:tc>
      </w:tr>
      <w:tr w:rsidR="000549B1" w:rsidRPr="000549B1" w14:paraId="4502397D" w14:textId="77777777">
        <w:trPr>
          <w:jc w:val="center"/>
        </w:trPr>
        <w:tc>
          <w:tcPr>
            <w:tcW w:w="2440" w:type="pct"/>
            <w:vAlign w:val="center"/>
          </w:tcPr>
          <w:p w14:paraId="1E8BFDD8" w14:textId="77777777" w:rsidR="00054437" w:rsidRPr="000549B1" w:rsidRDefault="00000000">
            <w:pPr>
              <w:pStyle w:val="afff5"/>
              <w:ind w:firstLine="422"/>
              <w:rPr>
                <w:b/>
                <w:bCs/>
              </w:rPr>
            </w:pPr>
            <w:r w:rsidRPr="000549B1">
              <w:rPr>
                <w:b/>
                <w:bCs/>
              </w:rPr>
              <w:t>乔木林地</w:t>
            </w:r>
          </w:p>
        </w:tc>
        <w:tc>
          <w:tcPr>
            <w:tcW w:w="2560" w:type="pct"/>
            <w:vAlign w:val="center"/>
          </w:tcPr>
          <w:p w14:paraId="7B96031C" w14:textId="77777777" w:rsidR="00054437" w:rsidRPr="000549B1" w:rsidRDefault="00000000">
            <w:pPr>
              <w:pStyle w:val="afff5"/>
              <w:ind w:firstLine="422"/>
              <w:rPr>
                <w:b/>
                <w:bCs/>
              </w:rPr>
            </w:pPr>
            <w:r w:rsidRPr="000549B1">
              <w:rPr>
                <w:b/>
                <w:bCs/>
              </w:rPr>
              <w:t>灌木林地</w:t>
            </w:r>
          </w:p>
        </w:tc>
      </w:tr>
      <w:tr w:rsidR="000549B1" w:rsidRPr="000549B1" w14:paraId="25BFA962" w14:textId="77777777">
        <w:trPr>
          <w:trHeight w:val="2445"/>
          <w:jc w:val="center"/>
        </w:trPr>
        <w:tc>
          <w:tcPr>
            <w:tcW w:w="2440" w:type="pct"/>
            <w:vAlign w:val="center"/>
          </w:tcPr>
          <w:p w14:paraId="0164550B" w14:textId="77777777" w:rsidR="00054437" w:rsidRPr="000549B1" w:rsidRDefault="00000000">
            <w:pPr>
              <w:pStyle w:val="afff5"/>
            </w:pPr>
            <w:r w:rsidRPr="000549B1">
              <w:rPr>
                <w:noProof/>
              </w:rPr>
              <w:drawing>
                <wp:inline distT="0" distB="0" distL="0" distR="0" wp14:anchorId="736AECAF" wp14:editId="456E14DE">
                  <wp:extent cx="2844165" cy="1943735"/>
                  <wp:effectExtent l="0" t="0" r="635" b="12065"/>
                  <wp:docPr id="2113719783" name="图片 1"/>
                  <wp:cNvGraphicFramePr/>
                  <a:graphic xmlns:a="http://schemas.openxmlformats.org/drawingml/2006/main">
                    <a:graphicData uri="http://schemas.openxmlformats.org/drawingml/2006/picture">
                      <pic:pic xmlns:pic="http://schemas.openxmlformats.org/drawingml/2006/picture">
                        <pic:nvPicPr>
                          <pic:cNvPr id="2113719783" name="图片 1"/>
                          <pic:cNvPicPr/>
                        </pic:nvPicPr>
                        <pic:blipFill>
                          <a:blip r:embed="rId96" cstate="email">
                            <a:extLst>
                              <a:ext uri="{28A0092B-C50C-407E-A947-70E740481C1C}">
                                <a14:useLocalDpi xmlns:a14="http://schemas.microsoft.com/office/drawing/2010/main"/>
                              </a:ext>
                            </a:extLst>
                          </a:blip>
                          <a:stretch>
                            <a:fillRect/>
                          </a:stretch>
                        </pic:blipFill>
                        <pic:spPr>
                          <a:xfrm>
                            <a:off x="0" y="0"/>
                            <a:ext cx="2844165" cy="1943735"/>
                          </a:xfrm>
                          <a:prstGeom prst="rect">
                            <a:avLst/>
                          </a:prstGeom>
                        </pic:spPr>
                      </pic:pic>
                    </a:graphicData>
                  </a:graphic>
                </wp:inline>
              </w:drawing>
            </w:r>
          </w:p>
        </w:tc>
        <w:tc>
          <w:tcPr>
            <w:tcW w:w="2560" w:type="pct"/>
            <w:vAlign w:val="center"/>
          </w:tcPr>
          <w:p w14:paraId="011F384E" w14:textId="77777777" w:rsidR="00054437" w:rsidRPr="000549B1" w:rsidRDefault="00000000">
            <w:pPr>
              <w:pStyle w:val="afff5"/>
            </w:pPr>
            <w:r w:rsidRPr="000549B1">
              <w:rPr>
                <w:noProof/>
              </w:rPr>
              <w:drawing>
                <wp:inline distT="0" distB="0" distL="0" distR="0" wp14:anchorId="6B18C72E" wp14:editId="76CA2EB0">
                  <wp:extent cx="2844165" cy="1943735"/>
                  <wp:effectExtent l="0" t="0" r="635" b="12065"/>
                  <wp:docPr id="2004423373" name="图片 1"/>
                  <wp:cNvGraphicFramePr/>
                  <a:graphic xmlns:a="http://schemas.openxmlformats.org/drawingml/2006/main">
                    <a:graphicData uri="http://schemas.openxmlformats.org/drawingml/2006/picture">
                      <pic:pic xmlns:pic="http://schemas.openxmlformats.org/drawingml/2006/picture">
                        <pic:nvPicPr>
                          <pic:cNvPr id="2004423373" name="图片 1"/>
                          <pic:cNvPicPr/>
                        </pic:nvPicPr>
                        <pic:blipFill>
                          <a:blip r:embed="rId97" cstate="email">
                            <a:extLst>
                              <a:ext uri="{28A0092B-C50C-407E-A947-70E740481C1C}">
                                <a14:useLocalDpi xmlns:a14="http://schemas.microsoft.com/office/drawing/2010/main"/>
                              </a:ext>
                            </a:extLst>
                          </a:blip>
                          <a:stretch>
                            <a:fillRect/>
                          </a:stretch>
                        </pic:blipFill>
                        <pic:spPr>
                          <a:xfrm>
                            <a:off x="0" y="0"/>
                            <a:ext cx="2844165" cy="1943735"/>
                          </a:xfrm>
                          <a:prstGeom prst="rect">
                            <a:avLst/>
                          </a:prstGeom>
                        </pic:spPr>
                      </pic:pic>
                    </a:graphicData>
                  </a:graphic>
                </wp:inline>
              </w:drawing>
            </w:r>
          </w:p>
        </w:tc>
      </w:tr>
      <w:tr w:rsidR="000549B1" w:rsidRPr="000549B1" w14:paraId="5A875AAA" w14:textId="77777777">
        <w:trPr>
          <w:jc w:val="center"/>
        </w:trPr>
        <w:tc>
          <w:tcPr>
            <w:tcW w:w="2440" w:type="pct"/>
            <w:vAlign w:val="center"/>
          </w:tcPr>
          <w:p w14:paraId="44D1D78C" w14:textId="77777777" w:rsidR="00054437" w:rsidRPr="000549B1" w:rsidRDefault="00000000">
            <w:pPr>
              <w:pStyle w:val="afff5"/>
              <w:ind w:firstLine="422"/>
              <w:rPr>
                <w:b/>
                <w:bCs/>
              </w:rPr>
            </w:pPr>
            <w:r w:rsidRPr="000549B1">
              <w:rPr>
                <w:b/>
                <w:bCs/>
              </w:rPr>
              <w:t>天然牧草地</w:t>
            </w:r>
          </w:p>
        </w:tc>
        <w:tc>
          <w:tcPr>
            <w:tcW w:w="2560" w:type="pct"/>
            <w:vAlign w:val="center"/>
          </w:tcPr>
          <w:p w14:paraId="4146F73B" w14:textId="77777777" w:rsidR="00054437" w:rsidRPr="000549B1" w:rsidRDefault="00000000">
            <w:pPr>
              <w:pStyle w:val="afff5"/>
              <w:ind w:firstLine="422"/>
              <w:rPr>
                <w:b/>
                <w:bCs/>
              </w:rPr>
            </w:pPr>
            <w:r w:rsidRPr="000549B1">
              <w:rPr>
                <w:b/>
                <w:bCs/>
              </w:rPr>
              <w:t>人工牧草地</w:t>
            </w:r>
          </w:p>
        </w:tc>
      </w:tr>
      <w:tr w:rsidR="000549B1" w:rsidRPr="000549B1" w14:paraId="660D6951" w14:textId="77777777">
        <w:trPr>
          <w:jc w:val="center"/>
        </w:trPr>
        <w:tc>
          <w:tcPr>
            <w:tcW w:w="2440" w:type="pct"/>
            <w:vAlign w:val="center"/>
          </w:tcPr>
          <w:p w14:paraId="15AE097F" w14:textId="77777777" w:rsidR="00054437" w:rsidRPr="000549B1" w:rsidRDefault="00000000">
            <w:pPr>
              <w:pStyle w:val="afff5"/>
            </w:pPr>
            <w:r w:rsidRPr="000549B1">
              <w:rPr>
                <w:noProof/>
              </w:rPr>
              <w:drawing>
                <wp:inline distT="0" distB="0" distL="0" distR="0" wp14:anchorId="3CEC34FF" wp14:editId="231EFC85">
                  <wp:extent cx="2844165" cy="1943735"/>
                  <wp:effectExtent l="0" t="0" r="635" b="12065"/>
                  <wp:docPr id="1329753956" name="图片 8"/>
                  <wp:cNvGraphicFramePr/>
                  <a:graphic xmlns:a="http://schemas.openxmlformats.org/drawingml/2006/main">
                    <a:graphicData uri="http://schemas.openxmlformats.org/drawingml/2006/picture">
                      <pic:pic xmlns:pic="http://schemas.openxmlformats.org/drawingml/2006/picture">
                        <pic:nvPicPr>
                          <pic:cNvPr id="1329753956" name="图片 8"/>
                          <pic:cNvPicPr>
                            <a:picLocks noChangeArrowheads="1"/>
                          </pic:cNvPicPr>
                        </pic:nvPicPr>
                        <pic:blipFill>
                          <a:blip r:embed="rId98" cstate="email">
                            <a:extLst>
                              <a:ext uri="{28A0092B-C50C-407E-A947-70E740481C1C}">
                                <a14:useLocalDpi xmlns:a14="http://schemas.microsoft.com/office/drawing/2010/main"/>
                              </a:ext>
                            </a:extLst>
                          </a:blip>
                          <a:srcRect/>
                          <a:stretch>
                            <a:fillRect/>
                          </a:stretch>
                        </pic:blipFill>
                        <pic:spPr>
                          <a:xfrm>
                            <a:off x="0" y="0"/>
                            <a:ext cx="2844165" cy="1943735"/>
                          </a:xfrm>
                          <a:prstGeom prst="rect">
                            <a:avLst/>
                          </a:prstGeom>
                          <a:noFill/>
                          <a:ln>
                            <a:noFill/>
                          </a:ln>
                        </pic:spPr>
                      </pic:pic>
                    </a:graphicData>
                  </a:graphic>
                </wp:inline>
              </w:drawing>
            </w:r>
          </w:p>
        </w:tc>
        <w:tc>
          <w:tcPr>
            <w:tcW w:w="2560" w:type="pct"/>
            <w:vAlign w:val="center"/>
          </w:tcPr>
          <w:p w14:paraId="50AF0987" w14:textId="77777777" w:rsidR="00054437" w:rsidRPr="000549B1" w:rsidRDefault="00000000">
            <w:pPr>
              <w:pStyle w:val="afff5"/>
            </w:pPr>
            <w:r w:rsidRPr="000549B1">
              <w:rPr>
                <w:noProof/>
                <w:kern w:val="0"/>
                <w:szCs w:val="21"/>
              </w:rPr>
              <w:drawing>
                <wp:inline distT="0" distB="0" distL="0" distR="0" wp14:anchorId="16464E17" wp14:editId="78064200">
                  <wp:extent cx="2844165" cy="1943735"/>
                  <wp:effectExtent l="0" t="0" r="635" b="12065"/>
                  <wp:docPr id="546679900" name="图片 1"/>
                  <wp:cNvGraphicFramePr/>
                  <a:graphic xmlns:a="http://schemas.openxmlformats.org/drawingml/2006/main">
                    <a:graphicData uri="http://schemas.openxmlformats.org/drawingml/2006/picture">
                      <pic:pic xmlns:pic="http://schemas.openxmlformats.org/drawingml/2006/picture">
                        <pic:nvPicPr>
                          <pic:cNvPr id="546679900" name="图片 1"/>
                          <pic:cNvPicPr/>
                        </pic:nvPicPr>
                        <pic:blipFill>
                          <a:blip r:embed="rId99" cstate="email">
                            <a:extLst>
                              <a:ext uri="{28A0092B-C50C-407E-A947-70E740481C1C}">
                                <a14:useLocalDpi xmlns:a14="http://schemas.microsoft.com/office/drawing/2010/main"/>
                              </a:ext>
                            </a:extLst>
                          </a:blip>
                          <a:stretch>
                            <a:fillRect/>
                          </a:stretch>
                        </pic:blipFill>
                        <pic:spPr>
                          <a:xfrm>
                            <a:off x="0" y="0"/>
                            <a:ext cx="2844165" cy="1943735"/>
                          </a:xfrm>
                          <a:prstGeom prst="rect">
                            <a:avLst/>
                          </a:prstGeom>
                        </pic:spPr>
                      </pic:pic>
                    </a:graphicData>
                  </a:graphic>
                </wp:inline>
              </w:drawing>
            </w:r>
          </w:p>
        </w:tc>
      </w:tr>
      <w:tr w:rsidR="000549B1" w:rsidRPr="000549B1" w14:paraId="175716C9" w14:textId="77777777">
        <w:trPr>
          <w:jc w:val="center"/>
        </w:trPr>
        <w:tc>
          <w:tcPr>
            <w:tcW w:w="2440" w:type="pct"/>
            <w:vAlign w:val="center"/>
          </w:tcPr>
          <w:p w14:paraId="2B8E2A22" w14:textId="77777777" w:rsidR="00054437" w:rsidRPr="000549B1" w:rsidRDefault="00000000">
            <w:pPr>
              <w:pStyle w:val="afff5"/>
              <w:ind w:firstLine="422"/>
              <w:rPr>
                <w:b/>
                <w:bCs/>
              </w:rPr>
            </w:pPr>
            <w:r w:rsidRPr="000549B1">
              <w:rPr>
                <w:b/>
                <w:bCs/>
              </w:rPr>
              <w:t>河流水面</w:t>
            </w:r>
          </w:p>
        </w:tc>
        <w:tc>
          <w:tcPr>
            <w:tcW w:w="2560" w:type="pct"/>
            <w:vAlign w:val="center"/>
          </w:tcPr>
          <w:p w14:paraId="07F32ECD" w14:textId="77777777" w:rsidR="00054437" w:rsidRPr="000549B1" w:rsidRDefault="00000000">
            <w:pPr>
              <w:pStyle w:val="afff5"/>
              <w:ind w:firstLine="422"/>
              <w:rPr>
                <w:b/>
                <w:bCs/>
              </w:rPr>
            </w:pPr>
            <w:r w:rsidRPr="000549B1">
              <w:rPr>
                <w:b/>
                <w:bCs/>
              </w:rPr>
              <w:t>耕地</w:t>
            </w:r>
          </w:p>
        </w:tc>
      </w:tr>
      <w:tr w:rsidR="000549B1" w:rsidRPr="000549B1" w14:paraId="51450F23" w14:textId="77777777">
        <w:trPr>
          <w:jc w:val="center"/>
        </w:trPr>
        <w:tc>
          <w:tcPr>
            <w:tcW w:w="2440" w:type="pct"/>
            <w:vAlign w:val="center"/>
          </w:tcPr>
          <w:p w14:paraId="0311EC39" w14:textId="77777777" w:rsidR="00054437" w:rsidRPr="000549B1" w:rsidRDefault="00000000">
            <w:pPr>
              <w:pStyle w:val="afff5"/>
            </w:pPr>
            <w:r w:rsidRPr="000549B1">
              <w:rPr>
                <w:noProof/>
              </w:rPr>
              <w:drawing>
                <wp:inline distT="0" distB="0" distL="0" distR="0" wp14:anchorId="6B06DAEC" wp14:editId="042AC64E">
                  <wp:extent cx="2844165" cy="1943735"/>
                  <wp:effectExtent l="0" t="0" r="635" b="12065"/>
                  <wp:docPr id="422970276" name="图片 10"/>
                  <wp:cNvGraphicFramePr/>
                  <a:graphic xmlns:a="http://schemas.openxmlformats.org/drawingml/2006/main">
                    <a:graphicData uri="http://schemas.openxmlformats.org/drawingml/2006/picture">
                      <pic:pic xmlns:pic="http://schemas.openxmlformats.org/drawingml/2006/picture">
                        <pic:nvPicPr>
                          <pic:cNvPr id="422970276" name="图片 10"/>
                          <pic:cNvPicPr>
                            <a:picLocks noChangeArrowheads="1"/>
                          </pic:cNvPicPr>
                        </pic:nvPicPr>
                        <pic:blipFill>
                          <a:blip r:embed="rId100" cstate="email">
                            <a:extLst>
                              <a:ext uri="{28A0092B-C50C-407E-A947-70E740481C1C}">
                                <a14:useLocalDpi xmlns:a14="http://schemas.microsoft.com/office/drawing/2010/main"/>
                              </a:ext>
                            </a:extLst>
                          </a:blip>
                          <a:srcRect/>
                          <a:stretch>
                            <a:fillRect/>
                          </a:stretch>
                        </pic:blipFill>
                        <pic:spPr>
                          <a:xfrm>
                            <a:off x="0" y="0"/>
                            <a:ext cx="2844165" cy="1943735"/>
                          </a:xfrm>
                          <a:prstGeom prst="rect">
                            <a:avLst/>
                          </a:prstGeom>
                          <a:noFill/>
                          <a:ln>
                            <a:noFill/>
                          </a:ln>
                        </pic:spPr>
                      </pic:pic>
                    </a:graphicData>
                  </a:graphic>
                </wp:inline>
              </w:drawing>
            </w:r>
          </w:p>
        </w:tc>
        <w:tc>
          <w:tcPr>
            <w:tcW w:w="2560" w:type="pct"/>
            <w:vAlign w:val="center"/>
          </w:tcPr>
          <w:p w14:paraId="619FF9F5" w14:textId="77777777" w:rsidR="00054437" w:rsidRPr="000549B1" w:rsidRDefault="00000000">
            <w:pPr>
              <w:pStyle w:val="afff5"/>
            </w:pPr>
            <w:r w:rsidRPr="000549B1">
              <w:rPr>
                <w:noProof/>
              </w:rPr>
              <w:drawing>
                <wp:inline distT="0" distB="0" distL="0" distR="0" wp14:anchorId="631B0797" wp14:editId="01C52BB7">
                  <wp:extent cx="2844165" cy="1943735"/>
                  <wp:effectExtent l="0" t="0" r="635" b="12065"/>
                  <wp:docPr id="1549642651" name="图片 12"/>
                  <wp:cNvGraphicFramePr/>
                  <a:graphic xmlns:a="http://schemas.openxmlformats.org/drawingml/2006/main">
                    <a:graphicData uri="http://schemas.openxmlformats.org/drawingml/2006/picture">
                      <pic:pic xmlns:pic="http://schemas.openxmlformats.org/drawingml/2006/picture">
                        <pic:nvPicPr>
                          <pic:cNvPr id="1549642651" name="图片 12"/>
                          <pic:cNvPicPr>
                            <a:picLocks noChangeArrowheads="1"/>
                          </pic:cNvPicPr>
                        </pic:nvPicPr>
                        <pic:blipFill>
                          <a:blip r:embed="rId101" cstate="email">
                            <a:extLst>
                              <a:ext uri="{28A0092B-C50C-407E-A947-70E740481C1C}">
                                <a14:useLocalDpi xmlns:a14="http://schemas.microsoft.com/office/drawing/2010/main"/>
                              </a:ext>
                            </a:extLst>
                          </a:blip>
                          <a:srcRect/>
                          <a:stretch>
                            <a:fillRect/>
                          </a:stretch>
                        </pic:blipFill>
                        <pic:spPr>
                          <a:xfrm>
                            <a:off x="0" y="0"/>
                            <a:ext cx="2844165" cy="1943735"/>
                          </a:xfrm>
                          <a:prstGeom prst="rect">
                            <a:avLst/>
                          </a:prstGeom>
                          <a:noFill/>
                          <a:ln>
                            <a:noFill/>
                          </a:ln>
                        </pic:spPr>
                      </pic:pic>
                    </a:graphicData>
                  </a:graphic>
                </wp:inline>
              </w:drawing>
            </w:r>
          </w:p>
        </w:tc>
      </w:tr>
      <w:tr w:rsidR="000549B1" w:rsidRPr="000549B1" w14:paraId="2186EE66" w14:textId="77777777">
        <w:trPr>
          <w:jc w:val="center"/>
        </w:trPr>
        <w:tc>
          <w:tcPr>
            <w:tcW w:w="2440" w:type="pct"/>
            <w:vAlign w:val="center"/>
          </w:tcPr>
          <w:p w14:paraId="6162881B" w14:textId="77777777" w:rsidR="00054437" w:rsidRPr="000549B1" w:rsidRDefault="00000000">
            <w:pPr>
              <w:pStyle w:val="afff5"/>
              <w:ind w:firstLine="422"/>
              <w:rPr>
                <w:b/>
                <w:bCs/>
              </w:rPr>
            </w:pPr>
            <w:r w:rsidRPr="000549B1">
              <w:rPr>
                <w:b/>
                <w:bCs/>
              </w:rPr>
              <w:t>住宅用地</w:t>
            </w:r>
          </w:p>
        </w:tc>
        <w:tc>
          <w:tcPr>
            <w:tcW w:w="2560" w:type="pct"/>
            <w:vAlign w:val="center"/>
          </w:tcPr>
          <w:p w14:paraId="1C0C5E36" w14:textId="77777777" w:rsidR="00054437" w:rsidRPr="000549B1" w:rsidRDefault="00000000">
            <w:pPr>
              <w:pStyle w:val="afff5"/>
              <w:ind w:firstLine="422"/>
              <w:rPr>
                <w:b/>
                <w:bCs/>
              </w:rPr>
            </w:pPr>
            <w:r w:rsidRPr="000549B1">
              <w:rPr>
                <w:b/>
                <w:bCs/>
              </w:rPr>
              <w:t>裸岩石砾地</w:t>
            </w:r>
          </w:p>
        </w:tc>
      </w:tr>
    </w:tbl>
    <w:p w14:paraId="50747C0C" w14:textId="6F4321F3" w:rsidR="00054437" w:rsidRPr="000549B1" w:rsidRDefault="00000000">
      <w:pPr>
        <w:pStyle w:val="0A51"/>
        <w:ind w:firstLine="422"/>
        <w:rPr>
          <w:sz w:val="24"/>
          <w:szCs w:val="24"/>
        </w:rPr>
      </w:pPr>
      <w:bookmarkStart w:id="250" w:name="_Ref214959298"/>
      <w:r w:rsidRPr="000549B1">
        <w:t>图</w:t>
      </w:r>
      <w:fldSimple w:instr=" STYLEREF 2 \s ">
        <w:r w:rsidR="00F32CCA">
          <w:rPr>
            <w:noProof/>
          </w:rPr>
          <w:t>3.5</w:t>
        </w:r>
      </w:fldSimple>
      <w:r w:rsidR="00F1314B">
        <w:noBreakHyphen/>
      </w:r>
      <w:r w:rsidR="00F1314B">
        <w:fldChar w:fldCharType="begin"/>
      </w:r>
      <w:r w:rsidR="00F1314B">
        <w:instrText xml:space="preserve"> SEQ </w:instrText>
      </w:r>
      <w:r w:rsidR="00F1314B">
        <w:instrText>图</w:instrText>
      </w:r>
      <w:r w:rsidR="00F1314B">
        <w:instrText xml:space="preserve"> \* ARABIC \s 2 </w:instrText>
      </w:r>
      <w:r w:rsidR="00F1314B">
        <w:fldChar w:fldCharType="separate"/>
      </w:r>
      <w:r w:rsidR="00F32CCA">
        <w:rPr>
          <w:noProof/>
        </w:rPr>
        <w:t>1</w:t>
      </w:r>
      <w:r w:rsidR="00F1314B">
        <w:fldChar w:fldCharType="end"/>
      </w:r>
      <w:r w:rsidRPr="000549B1">
        <w:t>现场调查部分照片</w:t>
      </w:r>
      <w:bookmarkEnd w:id="250"/>
    </w:p>
    <w:p w14:paraId="1FC7ACA8" w14:textId="77777777" w:rsidR="00054437" w:rsidRPr="000549B1" w:rsidRDefault="00000000">
      <w:pPr>
        <w:pStyle w:val="3"/>
      </w:pPr>
      <w:bookmarkStart w:id="251" w:name="_Toc216107019"/>
      <w:r w:rsidRPr="000549B1">
        <w:t>植被现状</w:t>
      </w:r>
      <w:bookmarkEnd w:id="251"/>
    </w:p>
    <w:p w14:paraId="4A3769C5" w14:textId="77777777" w:rsidR="00054437" w:rsidRPr="000549B1" w:rsidRDefault="00000000">
      <w:pPr>
        <w:pStyle w:val="Z4"/>
        <w:rPr>
          <w:color w:val="auto"/>
        </w:rPr>
      </w:pPr>
      <w:r w:rsidRPr="000549B1">
        <w:rPr>
          <w:color w:val="auto"/>
        </w:rPr>
        <w:t>植被区划</w:t>
      </w:r>
    </w:p>
    <w:p w14:paraId="4AE18202" w14:textId="77777777" w:rsidR="00054437" w:rsidRPr="000549B1" w:rsidRDefault="00000000">
      <w:pPr>
        <w:spacing w:line="360" w:lineRule="auto"/>
        <w:ind w:firstLine="480"/>
        <w:rPr>
          <w:sz w:val="24"/>
          <w:szCs w:val="24"/>
        </w:rPr>
      </w:pPr>
      <w:r w:rsidRPr="000549B1">
        <w:rPr>
          <w:sz w:val="24"/>
          <w:szCs w:val="24"/>
        </w:rPr>
        <w:t>根据《中国植被区划》沙珠玉河流域涉及两个植被区，两个植被亚区，两个植被地带，两个植被地区，具体如下：</w:t>
      </w:r>
    </w:p>
    <w:p w14:paraId="48455F97" w14:textId="408FA1E5" w:rsidR="00054437" w:rsidRPr="000549B1" w:rsidRDefault="00B81685">
      <w:pPr>
        <w:spacing w:line="360" w:lineRule="auto"/>
        <w:ind w:firstLine="480"/>
        <w:rPr>
          <w:sz w:val="24"/>
          <w:szCs w:val="24"/>
        </w:rPr>
      </w:pPr>
      <w:r w:rsidRPr="000549B1">
        <w:rPr>
          <w:sz w:val="24"/>
          <w:szCs w:val="24"/>
        </w:rPr>
        <w:t>Ⅶ</w:t>
      </w:r>
      <w:r w:rsidRPr="000549B1">
        <w:rPr>
          <w:sz w:val="24"/>
          <w:szCs w:val="24"/>
        </w:rPr>
        <w:t>温带荒漠区域</w:t>
      </w:r>
    </w:p>
    <w:p w14:paraId="28710E08" w14:textId="77777777" w:rsidR="00054437" w:rsidRPr="000549B1" w:rsidRDefault="00000000">
      <w:pPr>
        <w:spacing w:line="360" w:lineRule="auto"/>
        <w:ind w:firstLine="480"/>
        <w:rPr>
          <w:sz w:val="24"/>
          <w:szCs w:val="24"/>
        </w:rPr>
      </w:pPr>
      <w:r w:rsidRPr="000549B1">
        <w:rPr>
          <w:sz w:val="24"/>
          <w:szCs w:val="24"/>
        </w:rPr>
        <w:t>VIIB</w:t>
      </w:r>
      <w:r w:rsidRPr="000549B1">
        <w:rPr>
          <w:sz w:val="24"/>
          <w:szCs w:val="24"/>
        </w:rPr>
        <w:t>东部温带荒漠亚区域</w:t>
      </w:r>
    </w:p>
    <w:p w14:paraId="14340B25" w14:textId="77777777" w:rsidR="00054437" w:rsidRPr="000549B1" w:rsidRDefault="00000000">
      <w:pPr>
        <w:spacing w:line="360" w:lineRule="auto"/>
        <w:ind w:firstLineChars="400" w:firstLine="960"/>
        <w:rPr>
          <w:sz w:val="24"/>
          <w:szCs w:val="24"/>
        </w:rPr>
      </w:pPr>
      <w:r w:rsidRPr="000549B1">
        <w:rPr>
          <w:sz w:val="24"/>
          <w:szCs w:val="24"/>
        </w:rPr>
        <w:t>VIIBi</w:t>
      </w:r>
      <w:r w:rsidRPr="000549B1">
        <w:rPr>
          <w:sz w:val="24"/>
          <w:szCs w:val="24"/>
        </w:rPr>
        <w:t>温带灌木、半灌木荒漠地带</w:t>
      </w:r>
    </w:p>
    <w:p w14:paraId="2B9C53CC" w14:textId="77777777" w:rsidR="00054437" w:rsidRPr="000549B1" w:rsidRDefault="00000000">
      <w:pPr>
        <w:spacing w:line="360" w:lineRule="auto"/>
        <w:ind w:firstLineChars="500" w:firstLine="1200"/>
        <w:rPr>
          <w:sz w:val="24"/>
          <w:szCs w:val="24"/>
        </w:rPr>
      </w:pPr>
      <w:r w:rsidRPr="000549B1">
        <w:rPr>
          <w:sz w:val="24"/>
          <w:szCs w:val="24"/>
        </w:rPr>
        <w:t>VIIBib</w:t>
      </w:r>
      <w:r w:rsidRPr="000549B1">
        <w:rPr>
          <w:sz w:val="24"/>
          <w:szCs w:val="24"/>
        </w:rPr>
        <w:t>温带灌木、半灌木荒漠亚地带</w:t>
      </w:r>
    </w:p>
    <w:p w14:paraId="27478C48" w14:textId="77777777" w:rsidR="00054437" w:rsidRPr="000549B1" w:rsidRDefault="00000000">
      <w:pPr>
        <w:spacing w:line="360" w:lineRule="auto"/>
        <w:ind w:firstLineChars="583" w:firstLine="1399"/>
        <w:rPr>
          <w:sz w:val="24"/>
          <w:szCs w:val="24"/>
        </w:rPr>
      </w:pPr>
      <w:r w:rsidRPr="000549B1">
        <w:rPr>
          <w:sz w:val="24"/>
          <w:szCs w:val="24"/>
        </w:rPr>
        <w:t>VIIBib-2</w:t>
      </w:r>
      <w:r w:rsidRPr="000549B1">
        <w:rPr>
          <w:sz w:val="24"/>
          <w:szCs w:val="24"/>
        </w:rPr>
        <w:t>东祁连山山地寒温性针叶林、山地草原区</w:t>
      </w:r>
    </w:p>
    <w:p w14:paraId="7EDD7175" w14:textId="77777777" w:rsidR="00054437" w:rsidRPr="000549B1" w:rsidRDefault="00000000">
      <w:pPr>
        <w:spacing w:line="360" w:lineRule="auto"/>
        <w:ind w:firstLine="480"/>
        <w:rPr>
          <w:sz w:val="24"/>
          <w:szCs w:val="24"/>
        </w:rPr>
      </w:pPr>
      <w:r w:rsidRPr="000549B1">
        <w:rPr>
          <w:sz w:val="24"/>
          <w:szCs w:val="24"/>
        </w:rPr>
        <w:t>VIII</w:t>
      </w:r>
      <w:r w:rsidRPr="000549B1">
        <w:rPr>
          <w:sz w:val="24"/>
          <w:szCs w:val="24"/>
        </w:rPr>
        <w:t>青藏高原高寒植被区域</w:t>
      </w:r>
    </w:p>
    <w:p w14:paraId="10568467" w14:textId="77777777" w:rsidR="00054437" w:rsidRPr="000549B1" w:rsidRDefault="00000000">
      <w:pPr>
        <w:spacing w:line="360" w:lineRule="auto"/>
        <w:ind w:firstLine="480"/>
        <w:rPr>
          <w:sz w:val="24"/>
          <w:szCs w:val="24"/>
        </w:rPr>
      </w:pPr>
      <w:r w:rsidRPr="000549B1">
        <w:rPr>
          <w:sz w:val="24"/>
          <w:szCs w:val="24"/>
        </w:rPr>
        <w:t>VIIIB</w:t>
      </w:r>
      <w:r w:rsidRPr="000549B1">
        <w:rPr>
          <w:sz w:val="24"/>
          <w:szCs w:val="24"/>
        </w:rPr>
        <w:t>青藏高原中部高寒草原亚区域</w:t>
      </w:r>
    </w:p>
    <w:p w14:paraId="6222104C" w14:textId="77777777" w:rsidR="00054437" w:rsidRPr="000549B1" w:rsidRDefault="00000000">
      <w:pPr>
        <w:spacing w:line="360" w:lineRule="auto"/>
        <w:ind w:firstLineChars="400" w:firstLine="960"/>
        <w:rPr>
          <w:sz w:val="24"/>
          <w:szCs w:val="24"/>
        </w:rPr>
      </w:pPr>
      <w:r w:rsidRPr="000549B1">
        <w:rPr>
          <w:sz w:val="24"/>
          <w:szCs w:val="24"/>
        </w:rPr>
        <w:t>VIIIBi</w:t>
      </w:r>
      <w:r w:rsidRPr="000549B1">
        <w:rPr>
          <w:sz w:val="24"/>
          <w:szCs w:val="24"/>
        </w:rPr>
        <w:t>高寒草原地带</w:t>
      </w:r>
    </w:p>
    <w:p w14:paraId="4FD82C3E" w14:textId="77777777" w:rsidR="00054437" w:rsidRPr="000549B1" w:rsidRDefault="00000000">
      <w:pPr>
        <w:spacing w:line="360" w:lineRule="auto"/>
        <w:ind w:firstLineChars="483" w:firstLine="1159"/>
        <w:rPr>
          <w:sz w:val="24"/>
          <w:szCs w:val="24"/>
        </w:rPr>
      </w:pPr>
      <w:r w:rsidRPr="000549B1">
        <w:rPr>
          <w:sz w:val="24"/>
          <w:szCs w:val="24"/>
        </w:rPr>
        <w:t>VIIIBi-1</w:t>
      </w:r>
      <w:r w:rsidRPr="000549B1">
        <w:rPr>
          <w:sz w:val="24"/>
          <w:szCs w:val="24"/>
        </w:rPr>
        <w:t>江河源高寒草原区</w:t>
      </w:r>
    </w:p>
    <w:p w14:paraId="3326314C" w14:textId="77777777" w:rsidR="00054437" w:rsidRPr="000549B1" w:rsidRDefault="00000000">
      <w:pPr>
        <w:spacing w:line="360" w:lineRule="auto"/>
        <w:ind w:firstLine="480"/>
        <w:rPr>
          <w:sz w:val="24"/>
          <w:szCs w:val="24"/>
        </w:rPr>
      </w:pPr>
      <w:r w:rsidRPr="000549B1">
        <w:rPr>
          <w:sz w:val="24"/>
          <w:szCs w:val="24"/>
        </w:rPr>
        <w:t>根据《青海植被》，评价区位于两个植被区，两个植被亚区，两个植被地带，两个植被地区，具体如下：</w:t>
      </w:r>
    </w:p>
    <w:p w14:paraId="5B3E043A" w14:textId="77777777" w:rsidR="00054437" w:rsidRPr="000549B1" w:rsidRDefault="00000000">
      <w:pPr>
        <w:spacing w:line="360" w:lineRule="auto"/>
        <w:ind w:firstLine="480"/>
        <w:rPr>
          <w:sz w:val="24"/>
          <w:szCs w:val="24"/>
        </w:rPr>
      </w:pPr>
      <w:r w:rsidRPr="000549B1">
        <w:rPr>
          <w:sz w:val="24"/>
          <w:szCs w:val="24"/>
        </w:rPr>
        <w:t>Ⅱ</w:t>
      </w:r>
      <w:r w:rsidRPr="000549B1">
        <w:rPr>
          <w:sz w:val="24"/>
          <w:szCs w:val="24"/>
        </w:rPr>
        <w:t>青海东北部和青南高原西部草原区</w:t>
      </w:r>
    </w:p>
    <w:p w14:paraId="75351A2E" w14:textId="77777777" w:rsidR="00054437" w:rsidRPr="000549B1" w:rsidRDefault="00000000">
      <w:pPr>
        <w:spacing w:line="360" w:lineRule="auto"/>
        <w:ind w:firstLineChars="300" w:firstLine="720"/>
        <w:rPr>
          <w:sz w:val="24"/>
          <w:szCs w:val="24"/>
        </w:rPr>
      </w:pPr>
      <w:r w:rsidRPr="000549B1">
        <w:rPr>
          <w:sz w:val="24"/>
          <w:szCs w:val="24"/>
        </w:rPr>
        <w:t>Ⅱ</w:t>
      </w:r>
      <w:r w:rsidRPr="000549B1">
        <w:rPr>
          <w:sz w:val="24"/>
          <w:szCs w:val="24"/>
          <w:vertAlign w:val="subscript"/>
        </w:rPr>
        <w:t>A</w:t>
      </w:r>
      <w:r w:rsidRPr="000549B1">
        <w:rPr>
          <w:sz w:val="24"/>
          <w:szCs w:val="24"/>
        </w:rPr>
        <w:t>青海东北部温性草原亚区</w:t>
      </w:r>
    </w:p>
    <w:p w14:paraId="113A533F" w14:textId="36F8B17B" w:rsidR="00054437" w:rsidRPr="000549B1" w:rsidRDefault="00000000">
      <w:pPr>
        <w:spacing w:line="360" w:lineRule="auto"/>
        <w:ind w:firstLine="480"/>
        <w:rPr>
          <w:sz w:val="24"/>
          <w:szCs w:val="24"/>
        </w:rPr>
      </w:pPr>
      <w:r w:rsidRPr="000549B1">
        <w:rPr>
          <w:sz w:val="24"/>
          <w:szCs w:val="24"/>
        </w:rPr>
        <w:t>Ⅱ</w:t>
      </w:r>
      <w:r w:rsidRPr="000549B1">
        <w:rPr>
          <w:sz w:val="24"/>
          <w:szCs w:val="24"/>
          <w:vertAlign w:val="subscript"/>
        </w:rPr>
        <w:t>Ai</w:t>
      </w:r>
      <w:r w:rsidRPr="000549B1">
        <w:rPr>
          <w:sz w:val="24"/>
          <w:szCs w:val="24"/>
        </w:rPr>
        <w:t>湟水</w:t>
      </w:r>
      <w:r w:rsidRPr="000549B1">
        <w:rPr>
          <w:sz w:val="24"/>
          <w:szCs w:val="24"/>
        </w:rPr>
        <w:t>-</w:t>
      </w:r>
      <w:r w:rsidR="00B81685" w:rsidRPr="000549B1">
        <w:rPr>
          <w:rFonts w:hint="eastAsia"/>
          <w:sz w:val="24"/>
          <w:szCs w:val="24"/>
        </w:rPr>
        <w:t>黄</w:t>
      </w:r>
      <w:r w:rsidRPr="000549B1">
        <w:rPr>
          <w:sz w:val="24"/>
          <w:szCs w:val="24"/>
        </w:rPr>
        <w:t>河流域森林、温性草原地带</w:t>
      </w:r>
    </w:p>
    <w:p w14:paraId="0598472C" w14:textId="7D5B3D9F" w:rsidR="00054437" w:rsidRPr="000549B1" w:rsidRDefault="00000000">
      <w:pPr>
        <w:spacing w:line="360" w:lineRule="auto"/>
        <w:ind w:firstLine="480"/>
        <w:rPr>
          <w:sz w:val="24"/>
          <w:szCs w:val="24"/>
        </w:rPr>
      </w:pPr>
      <w:r w:rsidRPr="000549B1">
        <w:rPr>
          <w:sz w:val="24"/>
          <w:szCs w:val="24"/>
        </w:rPr>
        <w:t>Ⅱ</w:t>
      </w:r>
      <w:r w:rsidRPr="000549B1">
        <w:rPr>
          <w:sz w:val="24"/>
          <w:szCs w:val="24"/>
          <w:vertAlign w:val="subscript"/>
        </w:rPr>
        <w:t>Ai-1</w:t>
      </w:r>
      <w:r w:rsidRPr="000549B1">
        <w:rPr>
          <w:sz w:val="24"/>
          <w:szCs w:val="24"/>
        </w:rPr>
        <w:t>湟水</w:t>
      </w:r>
      <w:r w:rsidRPr="000549B1">
        <w:rPr>
          <w:sz w:val="24"/>
          <w:szCs w:val="24"/>
        </w:rPr>
        <w:t>-</w:t>
      </w:r>
      <w:r w:rsidR="00B81685" w:rsidRPr="000549B1">
        <w:rPr>
          <w:rFonts w:hint="eastAsia"/>
          <w:sz w:val="24"/>
          <w:szCs w:val="24"/>
        </w:rPr>
        <w:t>黄</w:t>
      </w:r>
      <w:r w:rsidRPr="000549B1">
        <w:rPr>
          <w:sz w:val="24"/>
          <w:szCs w:val="24"/>
        </w:rPr>
        <w:t>河流域森林、温性草原地区</w:t>
      </w:r>
    </w:p>
    <w:p w14:paraId="3DEF07B3" w14:textId="77777777" w:rsidR="00054437" w:rsidRPr="000549B1" w:rsidRDefault="00000000">
      <w:pPr>
        <w:spacing w:line="360" w:lineRule="auto"/>
        <w:ind w:firstLineChars="300" w:firstLine="720"/>
        <w:rPr>
          <w:sz w:val="24"/>
          <w:szCs w:val="24"/>
        </w:rPr>
      </w:pPr>
      <w:r w:rsidRPr="000549B1">
        <w:rPr>
          <w:sz w:val="24"/>
          <w:szCs w:val="24"/>
        </w:rPr>
        <w:t>Ⅱ</w:t>
      </w:r>
      <w:r w:rsidRPr="000549B1">
        <w:rPr>
          <w:sz w:val="24"/>
          <w:szCs w:val="24"/>
          <w:vertAlign w:val="subscript"/>
        </w:rPr>
        <w:t>B</w:t>
      </w:r>
      <w:r w:rsidRPr="000549B1">
        <w:rPr>
          <w:sz w:val="24"/>
          <w:szCs w:val="24"/>
        </w:rPr>
        <w:t>青南高原西部高寒草原亚区</w:t>
      </w:r>
    </w:p>
    <w:p w14:paraId="16073805" w14:textId="77777777" w:rsidR="00054437" w:rsidRPr="000549B1" w:rsidRDefault="00000000">
      <w:pPr>
        <w:spacing w:line="360" w:lineRule="auto"/>
        <w:ind w:firstLine="480"/>
        <w:rPr>
          <w:sz w:val="24"/>
          <w:szCs w:val="24"/>
        </w:rPr>
      </w:pPr>
      <w:r w:rsidRPr="000549B1">
        <w:rPr>
          <w:sz w:val="24"/>
          <w:szCs w:val="24"/>
        </w:rPr>
        <w:t>Ⅱ</w:t>
      </w:r>
      <w:r w:rsidRPr="000549B1">
        <w:rPr>
          <w:sz w:val="24"/>
          <w:szCs w:val="24"/>
          <w:vertAlign w:val="subscript"/>
        </w:rPr>
        <w:t>Bi</w:t>
      </w:r>
      <w:r w:rsidRPr="000549B1">
        <w:rPr>
          <w:sz w:val="24"/>
          <w:szCs w:val="24"/>
        </w:rPr>
        <w:t>青南高原西部高寒草原地带</w:t>
      </w:r>
    </w:p>
    <w:p w14:paraId="2DFCD110" w14:textId="77777777" w:rsidR="00054437" w:rsidRPr="000549B1" w:rsidRDefault="00000000">
      <w:pPr>
        <w:spacing w:line="360" w:lineRule="auto"/>
        <w:ind w:firstLineChars="600" w:firstLine="1440"/>
        <w:rPr>
          <w:sz w:val="24"/>
          <w:szCs w:val="24"/>
        </w:rPr>
      </w:pPr>
      <w:r w:rsidRPr="000549B1">
        <w:rPr>
          <w:sz w:val="24"/>
          <w:szCs w:val="24"/>
        </w:rPr>
        <w:t>Ⅱ</w:t>
      </w:r>
      <w:r w:rsidRPr="000549B1">
        <w:rPr>
          <w:sz w:val="24"/>
          <w:szCs w:val="24"/>
          <w:vertAlign w:val="subscript"/>
        </w:rPr>
        <w:t>Bi-1</w:t>
      </w:r>
      <w:r w:rsidRPr="000549B1">
        <w:rPr>
          <w:sz w:val="24"/>
          <w:szCs w:val="24"/>
        </w:rPr>
        <w:t>花石峡</w:t>
      </w:r>
      <w:r w:rsidRPr="000549B1">
        <w:rPr>
          <w:sz w:val="24"/>
          <w:szCs w:val="24"/>
        </w:rPr>
        <w:t>-</w:t>
      </w:r>
      <w:r w:rsidRPr="000549B1">
        <w:rPr>
          <w:sz w:val="24"/>
          <w:szCs w:val="24"/>
        </w:rPr>
        <w:t>扎陵湖高寒草原地区</w:t>
      </w:r>
    </w:p>
    <w:p w14:paraId="56ED23F5" w14:textId="77777777" w:rsidR="00054437" w:rsidRPr="000549B1" w:rsidRDefault="00000000">
      <w:pPr>
        <w:jc w:val="center"/>
        <w:rPr>
          <w:b/>
          <w:bCs/>
        </w:rPr>
      </w:pPr>
      <w:r w:rsidRPr="000549B1">
        <w:rPr>
          <w:noProof/>
        </w:rPr>
        <w:drawing>
          <wp:inline distT="0" distB="0" distL="0" distR="0" wp14:anchorId="3BB7D634" wp14:editId="1DFCAEA8">
            <wp:extent cx="5635625" cy="3888105"/>
            <wp:effectExtent l="0" t="0" r="3175" b="10795"/>
            <wp:docPr id="561897105"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897105" name="图片 38"/>
                    <pic:cNvPicPr>
                      <a:picLocks noChangeAspect="1" noChangeArrowheads="1"/>
                    </pic:cNvPicPr>
                  </pic:nvPicPr>
                  <pic:blipFill>
                    <a:blip r:embed="rId102" cstate="email">
                      <a:extLst>
                        <a:ext uri="{28A0092B-C50C-407E-A947-70E740481C1C}">
                          <a14:useLocalDpi xmlns:a14="http://schemas.microsoft.com/office/drawing/2010/main"/>
                        </a:ext>
                      </a:extLst>
                    </a:blip>
                    <a:srcRect/>
                    <a:stretch>
                      <a:fillRect/>
                    </a:stretch>
                  </pic:blipFill>
                  <pic:spPr>
                    <a:xfrm>
                      <a:off x="0" y="0"/>
                      <a:ext cx="5635625" cy="3888105"/>
                    </a:xfrm>
                    <a:prstGeom prst="rect">
                      <a:avLst/>
                    </a:prstGeom>
                    <a:noFill/>
                    <a:ln>
                      <a:noFill/>
                    </a:ln>
                  </pic:spPr>
                </pic:pic>
              </a:graphicData>
            </a:graphic>
          </wp:inline>
        </w:drawing>
      </w:r>
    </w:p>
    <w:p w14:paraId="62896357" w14:textId="3B8943E1" w:rsidR="00054437" w:rsidRPr="000549B1" w:rsidRDefault="00000000">
      <w:pPr>
        <w:pStyle w:val="0A51"/>
        <w:ind w:firstLine="422"/>
      </w:pPr>
      <w:r w:rsidRPr="000549B1">
        <w:t>图</w:t>
      </w:r>
      <w:fldSimple w:instr=" STYLEREF 2 \s ">
        <w:r w:rsidR="00F32CCA">
          <w:rPr>
            <w:noProof/>
          </w:rPr>
          <w:t>3.5</w:t>
        </w:r>
      </w:fldSimple>
      <w:r w:rsidR="00F1314B">
        <w:noBreakHyphen/>
      </w:r>
      <w:r w:rsidR="00F1314B">
        <w:fldChar w:fldCharType="begin"/>
      </w:r>
      <w:r w:rsidR="00F1314B">
        <w:instrText xml:space="preserve"> SEQ </w:instrText>
      </w:r>
      <w:r w:rsidR="00F1314B">
        <w:instrText>图</w:instrText>
      </w:r>
      <w:r w:rsidR="00F1314B">
        <w:instrText xml:space="preserve"> \* ARABIC \s 2 </w:instrText>
      </w:r>
      <w:r w:rsidR="00F1314B">
        <w:fldChar w:fldCharType="separate"/>
      </w:r>
      <w:r w:rsidR="00F32CCA">
        <w:rPr>
          <w:noProof/>
        </w:rPr>
        <w:t>2</w:t>
      </w:r>
      <w:r w:rsidR="00F1314B">
        <w:fldChar w:fldCharType="end"/>
      </w:r>
      <w:r w:rsidRPr="000549B1">
        <w:t>评价区植被区划图</w:t>
      </w:r>
    </w:p>
    <w:p w14:paraId="4BB4EBAD" w14:textId="77777777" w:rsidR="00054437" w:rsidRPr="000549B1" w:rsidRDefault="00000000">
      <w:pPr>
        <w:pStyle w:val="Z4"/>
        <w:rPr>
          <w:color w:val="auto"/>
        </w:rPr>
      </w:pPr>
      <w:r w:rsidRPr="000549B1">
        <w:rPr>
          <w:color w:val="auto"/>
        </w:rPr>
        <w:t>植被类型及植被特征</w:t>
      </w:r>
    </w:p>
    <w:p w14:paraId="76C23B57" w14:textId="77777777" w:rsidR="00054437" w:rsidRPr="000549B1" w:rsidRDefault="00000000">
      <w:pPr>
        <w:spacing w:line="360" w:lineRule="auto"/>
        <w:ind w:firstLineChars="200" w:firstLine="480"/>
        <w:rPr>
          <w:sz w:val="24"/>
          <w:szCs w:val="24"/>
        </w:rPr>
      </w:pPr>
      <w:r w:rsidRPr="000549B1">
        <w:rPr>
          <w:sz w:val="24"/>
          <w:szCs w:val="24"/>
        </w:rPr>
        <w:t>（</w:t>
      </w:r>
      <w:r w:rsidRPr="000549B1">
        <w:rPr>
          <w:sz w:val="24"/>
          <w:szCs w:val="24"/>
        </w:rPr>
        <w:t>1</w:t>
      </w:r>
      <w:r w:rsidRPr="000549B1">
        <w:rPr>
          <w:sz w:val="24"/>
          <w:szCs w:val="24"/>
        </w:rPr>
        <w:t>）植被类型及分布</w:t>
      </w:r>
    </w:p>
    <w:p w14:paraId="146B5D3D" w14:textId="268AF9EB" w:rsidR="00054437" w:rsidRPr="000549B1" w:rsidRDefault="00B81685" w:rsidP="00B81685">
      <w:pPr>
        <w:spacing w:line="360" w:lineRule="auto"/>
        <w:ind w:firstLine="480"/>
      </w:pPr>
      <w:r w:rsidRPr="000549B1">
        <w:rPr>
          <w:sz w:val="24"/>
          <w:szCs w:val="24"/>
        </w:rPr>
        <w:t>按照《中国植被</w:t>
      </w:r>
      <w:r w:rsidRPr="000549B1">
        <w:rPr>
          <w:rFonts w:hint="eastAsia"/>
          <w:sz w:val="24"/>
          <w:szCs w:val="24"/>
        </w:rPr>
        <w:t>》《</w:t>
      </w:r>
      <w:r w:rsidRPr="000549B1">
        <w:rPr>
          <w:sz w:val="24"/>
          <w:szCs w:val="24"/>
        </w:rPr>
        <w:t>青海植物志</w:t>
      </w:r>
      <w:r w:rsidRPr="000549B1">
        <w:rPr>
          <w:rFonts w:hint="eastAsia"/>
          <w:sz w:val="24"/>
          <w:szCs w:val="24"/>
        </w:rPr>
        <w:t>》《</w:t>
      </w:r>
      <w:r w:rsidRPr="000549B1">
        <w:rPr>
          <w:sz w:val="24"/>
          <w:szCs w:val="24"/>
        </w:rPr>
        <w:t>青海植物名录</w:t>
      </w:r>
      <w:r w:rsidRPr="000549B1">
        <w:rPr>
          <w:sz w:val="24"/>
          <w:szCs w:val="24"/>
        </w:rPr>
        <w:t>(2022</w:t>
      </w:r>
      <w:r w:rsidRPr="000549B1">
        <w:rPr>
          <w:sz w:val="24"/>
          <w:szCs w:val="24"/>
        </w:rPr>
        <w:t>版</w:t>
      </w:r>
      <w:r w:rsidRPr="000549B1">
        <w:rPr>
          <w:sz w:val="24"/>
          <w:szCs w:val="24"/>
        </w:rPr>
        <w:t>)</w:t>
      </w:r>
      <w:r w:rsidRPr="000549B1">
        <w:rPr>
          <w:sz w:val="24"/>
          <w:szCs w:val="24"/>
        </w:rPr>
        <w:t>》中自然植被的分类系统，在样方调查的基础上，参考现有的资料和文献，遵循植物群落学</w:t>
      </w:r>
      <w:r w:rsidRPr="000549B1">
        <w:rPr>
          <w:sz w:val="24"/>
          <w:szCs w:val="24"/>
        </w:rPr>
        <w:t>-</w:t>
      </w:r>
      <w:r w:rsidRPr="000549B1">
        <w:rPr>
          <w:sz w:val="24"/>
          <w:szCs w:val="24"/>
        </w:rPr>
        <w:t>生态学的分类原则，采用植被型组、植被型、群系等基本单位，结合区域内现有群落中植物种类组成、群系建群种与优势种的外貌，将评价区植被划分为</w:t>
      </w:r>
      <w:r w:rsidRPr="000549B1">
        <w:rPr>
          <w:sz w:val="24"/>
          <w:szCs w:val="24"/>
        </w:rPr>
        <w:t>3</w:t>
      </w:r>
      <w:r w:rsidRPr="000549B1">
        <w:rPr>
          <w:sz w:val="24"/>
          <w:szCs w:val="24"/>
        </w:rPr>
        <w:t>个植被型组、</w:t>
      </w:r>
      <w:r w:rsidRPr="000549B1">
        <w:rPr>
          <w:sz w:val="24"/>
          <w:szCs w:val="24"/>
        </w:rPr>
        <w:t>3</w:t>
      </w:r>
      <w:r w:rsidRPr="000549B1">
        <w:rPr>
          <w:sz w:val="24"/>
          <w:szCs w:val="24"/>
        </w:rPr>
        <w:t>个植被型、</w:t>
      </w:r>
      <w:r w:rsidRPr="000549B1">
        <w:rPr>
          <w:sz w:val="24"/>
          <w:szCs w:val="24"/>
        </w:rPr>
        <w:t>10</w:t>
      </w:r>
      <w:r w:rsidRPr="000549B1">
        <w:rPr>
          <w:sz w:val="24"/>
          <w:szCs w:val="24"/>
        </w:rPr>
        <w:t>个群系。详见下</w:t>
      </w:r>
      <w:r w:rsidR="00F32CCA" w:rsidRPr="00F32CCA">
        <w:rPr>
          <w:sz w:val="24"/>
          <w:szCs w:val="24"/>
        </w:rPr>
        <w:t>表</w:t>
      </w:r>
      <w:r w:rsidR="00F32CCA" w:rsidRPr="00F32CCA">
        <w:rPr>
          <w:sz w:val="24"/>
          <w:szCs w:val="24"/>
        </w:rPr>
        <w:t>3.5</w:t>
      </w:r>
      <w:r w:rsidR="00F32CCA" w:rsidRPr="00F32CCA">
        <w:rPr>
          <w:sz w:val="24"/>
          <w:szCs w:val="24"/>
        </w:rPr>
        <w:noBreakHyphen/>
        <w:t>2</w:t>
      </w:r>
      <w:r w:rsidRPr="000549B1">
        <w:rPr>
          <w:sz w:val="24"/>
          <w:szCs w:val="24"/>
        </w:rPr>
        <w:t>。</w:t>
      </w:r>
    </w:p>
    <w:p w14:paraId="75E49E89" w14:textId="1EDF6C78" w:rsidR="00054437" w:rsidRPr="000549B1" w:rsidRDefault="00000000">
      <w:pPr>
        <w:pStyle w:val="0A51"/>
        <w:ind w:firstLine="422"/>
      </w:pPr>
      <w:bookmarkStart w:id="252" w:name="_Ref214959364"/>
      <w:r w:rsidRPr="000549B1">
        <w:t>表</w:t>
      </w:r>
      <w:fldSimple w:instr=" STYLEREF 2 \s ">
        <w:r w:rsidR="00372953">
          <w:rPr>
            <w:noProof/>
          </w:rPr>
          <w:t>3.5</w:t>
        </w:r>
      </w:fldSimple>
      <w:r w:rsidR="00372953">
        <w:noBreakHyphen/>
      </w:r>
      <w:r w:rsidR="00372953">
        <w:fldChar w:fldCharType="begin"/>
      </w:r>
      <w:r w:rsidR="00372953">
        <w:instrText xml:space="preserve"> SEQ </w:instrText>
      </w:r>
      <w:r w:rsidR="00372953">
        <w:instrText>表</w:instrText>
      </w:r>
      <w:r w:rsidR="00372953">
        <w:instrText xml:space="preserve"> \* ARABIC \s 2 </w:instrText>
      </w:r>
      <w:r w:rsidR="00372953">
        <w:fldChar w:fldCharType="separate"/>
      </w:r>
      <w:r w:rsidR="00372953">
        <w:rPr>
          <w:noProof/>
        </w:rPr>
        <w:t>2</w:t>
      </w:r>
      <w:r w:rsidR="00372953">
        <w:fldChar w:fldCharType="end"/>
      </w:r>
      <w:bookmarkEnd w:id="252"/>
      <w:r w:rsidRPr="000549B1">
        <w:t>评价区主要植被类型概况</w:t>
      </w:r>
    </w:p>
    <w:tbl>
      <w:tblPr>
        <w:tblW w:w="501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88"/>
        <w:gridCol w:w="551"/>
        <w:gridCol w:w="1427"/>
        <w:gridCol w:w="1259"/>
        <w:gridCol w:w="1265"/>
        <w:gridCol w:w="1887"/>
        <w:gridCol w:w="794"/>
        <w:gridCol w:w="642"/>
      </w:tblGrid>
      <w:tr w:rsidR="000549B1" w:rsidRPr="000549B1" w14:paraId="5BFDA8BB" w14:textId="77777777">
        <w:trPr>
          <w:trHeight w:val="20"/>
          <w:jc w:val="center"/>
        </w:trPr>
        <w:tc>
          <w:tcPr>
            <w:tcW w:w="294" w:type="pct"/>
            <w:tcBorders>
              <w:top w:val="single" w:sz="4" w:space="0" w:color="auto"/>
              <w:left w:val="single" w:sz="4" w:space="0" w:color="auto"/>
              <w:bottom w:val="single" w:sz="4" w:space="0" w:color="auto"/>
              <w:right w:val="single" w:sz="4" w:space="0" w:color="auto"/>
            </w:tcBorders>
            <w:vAlign w:val="center"/>
          </w:tcPr>
          <w:p w14:paraId="5EA2E282" w14:textId="77777777" w:rsidR="00054437" w:rsidRPr="000549B1" w:rsidRDefault="00000000">
            <w:pPr>
              <w:pStyle w:val="CharCharCharCharChar"/>
              <w:rPr>
                <w:b/>
                <w:bCs/>
                <w:color w:val="auto"/>
              </w:rPr>
            </w:pPr>
            <w:bookmarkStart w:id="253" w:name="_Hlk201236503"/>
            <w:bookmarkEnd w:id="253"/>
            <w:r w:rsidRPr="000549B1">
              <w:rPr>
                <w:b/>
                <w:bCs/>
                <w:color w:val="auto"/>
              </w:rPr>
              <w:t>类型</w:t>
            </w:r>
          </w:p>
        </w:tc>
        <w:tc>
          <w:tcPr>
            <w:tcW w:w="332" w:type="pct"/>
            <w:tcBorders>
              <w:top w:val="single" w:sz="4" w:space="0" w:color="auto"/>
              <w:left w:val="single" w:sz="4" w:space="0" w:color="auto"/>
              <w:bottom w:val="single" w:sz="4" w:space="0" w:color="auto"/>
              <w:right w:val="single" w:sz="4" w:space="0" w:color="auto"/>
            </w:tcBorders>
            <w:vAlign w:val="center"/>
          </w:tcPr>
          <w:p w14:paraId="29D86F11" w14:textId="77777777" w:rsidR="00054437" w:rsidRPr="000549B1" w:rsidRDefault="00000000">
            <w:pPr>
              <w:pStyle w:val="CharCharCharCharChar"/>
              <w:rPr>
                <w:b/>
                <w:bCs/>
                <w:color w:val="auto"/>
              </w:rPr>
            </w:pPr>
            <w:r w:rsidRPr="000549B1">
              <w:rPr>
                <w:b/>
                <w:bCs/>
                <w:color w:val="auto"/>
              </w:rPr>
              <w:t>植被</w:t>
            </w:r>
          </w:p>
          <w:p w14:paraId="6F29B0D8" w14:textId="77777777" w:rsidR="00054437" w:rsidRPr="000549B1" w:rsidRDefault="00000000">
            <w:pPr>
              <w:pStyle w:val="CharCharCharCharChar"/>
              <w:rPr>
                <w:b/>
                <w:bCs/>
                <w:color w:val="auto"/>
              </w:rPr>
            </w:pPr>
            <w:r w:rsidRPr="000549B1">
              <w:rPr>
                <w:b/>
                <w:bCs/>
                <w:color w:val="auto"/>
              </w:rPr>
              <w:t>型组</w:t>
            </w:r>
          </w:p>
        </w:tc>
        <w:tc>
          <w:tcPr>
            <w:tcW w:w="859" w:type="pct"/>
            <w:tcBorders>
              <w:top w:val="single" w:sz="4" w:space="0" w:color="auto"/>
              <w:left w:val="single" w:sz="4" w:space="0" w:color="auto"/>
              <w:bottom w:val="single" w:sz="4" w:space="0" w:color="auto"/>
              <w:right w:val="single" w:sz="4" w:space="0" w:color="auto"/>
            </w:tcBorders>
            <w:vAlign w:val="center"/>
          </w:tcPr>
          <w:p w14:paraId="2D724E39" w14:textId="77777777" w:rsidR="00054437" w:rsidRPr="000549B1" w:rsidRDefault="00000000">
            <w:pPr>
              <w:pStyle w:val="CharCharCharCharChar"/>
              <w:rPr>
                <w:b/>
                <w:bCs/>
                <w:color w:val="auto"/>
              </w:rPr>
            </w:pPr>
            <w:r w:rsidRPr="000549B1">
              <w:rPr>
                <w:b/>
                <w:bCs/>
                <w:color w:val="auto"/>
              </w:rPr>
              <w:t>植被型</w:t>
            </w:r>
          </w:p>
        </w:tc>
        <w:tc>
          <w:tcPr>
            <w:tcW w:w="757" w:type="pct"/>
            <w:tcBorders>
              <w:top w:val="single" w:sz="4" w:space="0" w:color="auto"/>
              <w:left w:val="single" w:sz="4" w:space="0" w:color="auto"/>
              <w:bottom w:val="single" w:sz="4" w:space="0" w:color="auto"/>
              <w:right w:val="single" w:sz="4" w:space="0" w:color="auto"/>
            </w:tcBorders>
            <w:vAlign w:val="center"/>
          </w:tcPr>
          <w:p w14:paraId="152FAF03" w14:textId="77777777" w:rsidR="00054437" w:rsidRPr="000549B1" w:rsidRDefault="00000000">
            <w:pPr>
              <w:pStyle w:val="CharCharCharCharChar"/>
              <w:rPr>
                <w:b/>
                <w:bCs/>
                <w:color w:val="auto"/>
              </w:rPr>
            </w:pPr>
            <w:r w:rsidRPr="000549B1">
              <w:rPr>
                <w:b/>
                <w:bCs/>
                <w:color w:val="auto"/>
              </w:rPr>
              <w:t>植被亚型</w:t>
            </w:r>
          </w:p>
        </w:tc>
        <w:tc>
          <w:tcPr>
            <w:tcW w:w="760" w:type="pct"/>
            <w:tcBorders>
              <w:top w:val="single" w:sz="4" w:space="0" w:color="auto"/>
              <w:left w:val="single" w:sz="4" w:space="0" w:color="auto"/>
              <w:bottom w:val="single" w:sz="4" w:space="0" w:color="auto"/>
              <w:right w:val="single" w:sz="4" w:space="0" w:color="auto"/>
            </w:tcBorders>
            <w:vAlign w:val="center"/>
          </w:tcPr>
          <w:p w14:paraId="6159B272" w14:textId="77777777" w:rsidR="00054437" w:rsidRPr="000549B1" w:rsidRDefault="00000000">
            <w:pPr>
              <w:pStyle w:val="CharCharCharCharChar"/>
              <w:rPr>
                <w:b/>
                <w:bCs/>
                <w:color w:val="auto"/>
              </w:rPr>
            </w:pPr>
            <w:r w:rsidRPr="000549B1">
              <w:rPr>
                <w:b/>
                <w:bCs/>
                <w:color w:val="auto"/>
              </w:rPr>
              <w:t>群系</w:t>
            </w:r>
          </w:p>
        </w:tc>
        <w:tc>
          <w:tcPr>
            <w:tcW w:w="1134" w:type="pct"/>
            <w:tcBorders>
              <w:top w:val="single" w:sz="4" w:space="0" w:color="auto"/>
              <w:left w:val="single" w:sz="4" w:space="0" w:color="auto"/>
              <w:bottom w:val="single" w:sz="4" w:space="0" w:color="auto"/>
              <w:right w:val="single" w:sz="4" w:space="0" w:color="auto"/>
            </w:tcBorders>
            <w:vAlign w:val="center"/>
          </w:tcPr>
          <w:p w14:paraId="491FADA2" w14:textId="77777777" w:rsidR="00054437" w:rsidRPr="000549B1" w:rsidRDefault="00000000">
            <w:pPr>
              <w:pStyle w:val="CharCharCharCharChar"/>
              <w:rPr>
                <w:b/>
                <w:bCs/>
                <w:color w:val="auto"/>
              </w:rPr>
            </w:pPr>
            <w:r w:rsidRPr="000549B1">
              <w:rPr>
                <w:b/>
                <w:bCs/>
                <w:color w:val="auto"/>
              </w:rPr>
              <w:t>分布区域</w:t>
            </w:r>
          </w:p>
        </w:tc>
        <w:tc>
          <w:tcPr>
            <w:tcW w:w="476" w:type="pct"/>
            <w:tcBorders>
              <w:top w:val="single" w:sz="4" w:space="0" w:color="auto"/>
              <w:left w:val="single" w:sz="4" w:space="0" w:color="auto"/>
              <w:bottom w:val="single" w:sz="4" w:space="0" w:color="auto"/>
              <w:right w:val="single" w:sz="4" w:space="0" w:color="auto"/>
            </w:tcBorders>
            <w:vAlign w:val="center"/>
          </w:tcPr>
          <w:p w14:paraId="5F55011B" w14:textId="77777777" w:rsidR="00054437" w:rsidRPr="000549B1" w:rsidRDefault="00000000">
            <w:pPr>
              <w:pStyle w:val="CharCharCharCharChar"/>
              <w:rPr>
                <w:b/>
                <w:bCs/>
                <w:color w:val="auto"/>
              </w:rPr>
            </w:pPr>
            <w:r w:rsidRPr="000549B1">
              <w:rPr>
                <w:b/>
                <w:bCs/>
                <w:color w:val="auto"/>
              </w:rPr>
              <w:t>面积</w:t>
            </w:r>
          </w:p>
          <w:p w14:paraId="5B18602B" w14:textId="77777777" w:rsidR="00054437" w:rsidRPr="000549B1" w:rsidRDefault="00000000">
            <w:pPr>
              <w:pStyle w:val="CharCharCharCharChar"/>
              <w:rPr>
                <w:b/>
                <w:bCs/>
                <w:color w:val="auto"/>
              </w:rPr>
            </w:pPr>
            <w:r w:rsidRPr="000549B1">
              <w:rPr>
                <w:b/>
                <w:bCs/>
                <w:color w:val="auto"/>
              </w:rPr>
              <w:t>（</w:t>
            </w:r>
            <w:r w:rsidRPr="000549B1">
              <w:rPr>
                <w:b/>
                <w:bCs/>
                <w:color w:val="auto"/>
              </w:rPr>
              <w:t>km</w:t>
            </w:r>
            <w:r w:rsidRPr="000549B1">
              <w:rPr>
                <w:b/>
                <w:bCs/>
                <w:color w:val="auto"/>
                <w:vertAlign w:val="superscript"/>
              </w:rPr>
              <w:t>2</w:t>
            </w:r>
            <w:r w:rsidRPr="000549B1">
              <w:rPr>
                <w:b/>
                <w:bCs/>
                <w:color w:val="auto"/>
              </w:rPr>
              <w:t>）</w:t>
            </w:r>
          </w:p>
        </w:tc>
        <w:tc>
          <w:tcPr>
            <w:tcW w:w="385" w:type="pct"/>
            <w:tcBorders>
              <w:top w:val="single" w:sz="4" w:space="0" w:color="auto"/>
              <w:left w:val="single" w:sz="4" w:space="0" w:color="auto"/>
              <w:bottom w:val="single" w:sz="4" w:space="0" w:color="auto"/>
              <w:right w:val="single" w:sz="4" w:space="0" w:color="auto"/>
            </w:tcBorders>
            <w:vAlign w:val="center"/>
          </w:tcPr>
          <w:p w14:paraId="512E3905" w14:textId="77777777" w:rsidR="00054437" w:rsidRPr="000549B1" w:rsidRDefault="00000000">
            <w:pPr>
              <w:pStyle w:val="CharCharCharCharChar"/>
              <w:rPr>
                <w:b/>
                <w:bCs/>
                <w:color w:val="auto"/>
              </w:rPr>
            </w:pPr>
            <w:r w:rsidRPr="000549B1">
              <w:rPr>
                <w:b/>
                <w:bCs/>
                <w:color w:val="auto"/>
              </w:rPr>
              <w:t>占比</w:t>
            </w:r>
          </w:p>
          <w:p w14:paraId="754E6821" w14:textId="77777777" w:rsidR="00054437" w:rsidRPr="000549B1" w:rsidRDefault="00000000">
            <w:pPr>
              <w:pStyle w:val="CharCharCharCharChar"/>
              <w:rPr>
                <w:b/>
                <w:bCs/>
                <w:color w:val="auto"/>
              </w:rPr>
            </w:pPr>
            <w:r w:rsidRPr="000549B1">
              <w:rPr>
                <w:b/>
                <w:bCs/>
                <w:color w:val="auto"/>
              </w:rPr>
              <w:t>（</w:t>
            </w:r>
            <w:r w:rsidRPr="000549B1">
              <w:rPr>
                <w:b/>
                <w:bCs/>
                <w:color w:val="auto"/>
              </w:rPr>
              <w:t>%</w:t>
            </w:r>
            <w:r w:rsidRPr="000549B1">
              <w:rPr>
                <w:b/>
                <w:bCs/>
                <w:color w:val="auto"/>
              </w:rPr>
              <w:t>）</w:t>
            </w:r>
          </w:p>
        </w:tc>
      </w:tr>
      <w:tr w:rsidR="000549B1" w:rsidRPr="000549B1" w14:paraId="7DAEAC82" w14:textId="77777777">
        <w:trPr>
          <w:trHeight w:val="20"/>
          <w:jc w:val="center"/>
        </w:trPr>
        <w:tc>
          <w:tcPr>
            <w:tcW w:w="294" w:type="pct"/>
            <w:vMerge w:val="restart"/>
            <w:tcBorders>
              <w:top w:val="single" w:sz="4" w:space="0" w:color="auto"/>
              <w:left w:val="single" w:sz="4" w:space="0" w:color="auto"/>
              <w:right w:val="single" w:sz="4" w:space="0" w:color="auto"/>
            </w:tcBorders>
            <w:vAlign w:val="center"/>
          </w:tcPr>
          <w:p w14:paraId="2D3EF9C2" w14:textId="77777777" w:rsidR="00054437" w:rsidRPr="000549B1" w:rsidRDefault="00000000">
            <w:pPr>
              <w:pStyle w:val="CharCharCharCharChar"/>
              <w:rPr>
                <w:color w:val="auto"/>
              </w:rPr>
            </w:pPr>
            <w:r w:rsidRPr="000549B1">
              <w:rPr>
                <w:color w:val="auto"/>
              </w:rPr>
              <w:t>自然植被</w:t>
            </w:r>
          </w:p>
        </w:tc>
        <w:tc>
          <w:tcPr>
            <w:tcW w:w="332" w:type="pct"/>
            <w:tcBorders>
              <w:top w:val="single" w:sz="4" w:space="0" w:color="auto"/>
              <w:left w:val="single" w:sz="4" w:space="0" w:color="auto"/>
              <w:bottom w:val="single" w:sz="4" w:space="0" w:color="auto"/>
              <w:right w:val="single" w:sz="4" w:space="0" w:color="auto"/>
            </w:tcBorders>
            <w:vAlign w:val="center"/>
          </w:tcPr>
          <w:p w14:paraId="64004990" w14:textId="77777777" w:rsidR="00054437" w:rsidRPr="000549B1" w:rsidRDefault="00000000">
            <w:pPr>
              <w:pStyle w:val="CharCharCharCharChar"/>
              <w:rPr>
                <w:color w:val="auto"/>
              </w:rPr>
            </w:pPr>
            <w:r w:rsidRPr="000549B1">
              <w:rPr>
                <w:color w:val="auto"/>
              </w:rPr>
              <w:t>森林</w:t>
            </w:r>
          </w:p>
        </w:tc>
        <w:tc>
          <w:tcPr>
            <w:tcW w:w="859" w:type="pct"/>
            <w:tcBorders>
              <w:top w:val="nil"/>
              <w:left w:val="single" w:sz="4" w:space="0" w:color="auto"/>
              <w:bottom w:val="single" w:sz="4" w:space="0" w:color="auto"/>
              <w:right w:val="single" w:sz="4" w:space="0" w:color="auto"/>
            </w:tcBorders>
            <w:vAlign w:val="center"/>
          </w:tcPr>
          <w:p w14:paraId="7A12FB17" w14:textId="77777777" w:rsidR="00054437" w:rsidRPr="000549B1" w:rsidRDefault="00000000">
            <w:pPr>
              <w:pStyle w:val="CharCharCharCharChar"/>
              <w:rPr>
                <w:color w:val="auto"/>
              </w:rPr>
            </w:pPr>
            <w:r w:rsidRPr="000549B1">
              <w:rPr>
                <w:color w:val="auto"/>
              </w:rPr>
              <w:t>（一）</w:t>
            </w:r>
          </w:p>
          <w:p w14:paraId="4537A322" w14:textId="77777777" w:rsidR="00054437" w:rsidRPr="000549B1" w:rsidRDefault="00000000">
            <w:pPr>
              <w:pStyle w:val="CharCharCharCharChar"/>
              <w:rPr>
                <w:color w:val="auto"/>
              </w:rPr>
            </w:pPr>
            <w:r w:rsidRPr="000549B1">
              <w:rPr>
                <w:color w:val="auto"/>
              </w:rPr>
              <w:t>落叶</w:t>
            </w:r>
          </w:p>
          <w:p w14:paraId="027A19E9" w14:textId="77777777" w:rsidR="00054437" w:rsidRPr="000549B1" w:rsidRDefault="00000000">
            <w:pPr>
              <w:pStyle w:val="CharCharCharCharChar"/>
              <w:rPr>
                <w:color w:val="auto"/>
              </w:rPr>
            </w:pPr>
            <w:r w:rsidRPr="000549B1">
              <w:rPr>
                <w:color w:val="auto"/>
              </w:rPr>
              <w:t>阔叶林</w:t>
            </w:r>
          </w:p>
        </w:tc>
        <w:tc>
          <w:tcPr>
            <w:tcW w:w="757" w:type="pct"/>
            <w:tcBorders>
              <w:top w:val="single" w:sz="4" w:space="0" w:color="auto"/>
              <w:left w:val="single" w:sz="4" w:space="0" w:color="auto"/>
              <w:bottom w:val="single" w:sz="4" w:space="0" w:color="auto"/>
              <w:right w:val="single" w:sz="4" w:space="0" w:color="auto"/>
            </w:tcBorders>
            <w:vAlign w:val="center"/>
          </w:tcPr>
          <w:p w14:paraId="2140A8DB" w14:textId="77777777" w:rsidR="00054437" w:rsidRPr="000549B1" w:rsidRDefault="00000000">
            <w:pPr>
              <w:pStyle w:val="CharCharCharCharChar"/>
              <w:rPr>
                <w:color w:val="auto"/>
              </w:rPr>
            </w:pPr>
            <w:r w:rsidRPr="000549B1">
              <w:rPr>
                <w:color w:val="auto"/>
              </w:rPr>
              <w:t>温带落叶阔叶林</w:t>
            </w:r>
          </w:p>
        </w:tc>
        <w:tc>
          <w:tcPr>
            <w:tcW w:w="760" w:type="pct"/>
            <w:tcBorders>
              <w:top w:val="single" w:sz="4" w:space="0" w:color="auto"/>
              <w:left w:val="single" w:sz="4" w:space="0" w:color="auto"/>
              <w:bottom w:val="single" w:sz="4" w:space="0" w:color="auto"/>
              <w:right w:val="single" w:sz="4" w:space="0" w:color="auto"/>
            </w:tcBorders>
            <w:vAlign w:val="center"/>
          </w:tcPr>
          <w:p w14:paraId="489AAFA7" w14:textId="77777777" w:rsidR="00054437" w:rsidRPr="000549B1" w:rsidRDefault="00000000">
            <w:pPr>
              <w:pStyle w:val="CharCharCharCharChar"/>
              <w:rPr>
                <w:color w:val="auto"/>
              </w:rPr>
            </w:pPr>
            <w:r w:rsidRPr="000549B1">
              <w:rPr>
                <w:color w:val="auto"/>
              </w:rPr>
              <w:t>杨树群系</w:t>
            </w:r>
          </w:p>
        </w:tc>
        <w:tc>
          <w:tcPr>
            <w:tcW w:w="1134" w:type="pct"/>
            <w:tcBorders>
              <w:top w:val="single" w:sz="4" w:space="0" w:color="auto"/>
              <w:left w:val="single" w:sz="4" w:space="0" w:color="auto"/>
              <w:bottom w:val="single" w:sz="4" w:space="0" w:color="auto"/>
              <w:right w:val="single" w:sz="4" w:space="0" w:color="auto"/>
            </w:tcBorders>
            <w:vAlign w:val="center"/>
          </w:tcPr>
          <w:p w14:paraId="71517F31" w14:textId="77777777" w:rsidR="00054437" w:rsidRPr="000549B1" w:rsidRDefault="00000000">
            <w:pPr>
              <w:pStyle w:val="CharCharCharCharChar"/>
              <w:rPr>
                <w:color w:val="auto"/>
              </w:rPr>
            </w:pPr>
            <w:r w:rsidRPr="000549B1">
              <w:rPr>
                <w:color w:val="auto"/>
              </w:rPr>
              <w:t>主要分布于村庄、农田和道路附近</w:t>
            </w:r>
          </w:p>
        </w:tc>
        <w:tc>
          <w:tcPr>
            <w:tcW w:w="476" w:type="pct"/>
            <w:tcBorders>
              <w:top w:val="single" w:sz="4" w:space="0" w:color="auto"/>
              <w:left w:val="single" w:sz="4" w:space="0" w:color="auto"/>
              <w:bottom w:val="single" w:sz="4" w:space="0" w:color="auto"/>
              <w:right w:val="single" w:sz="4" w:space="0" w:color="auto"/>
            </w:tcBorders>
            <w:vAlign w:val="center"/>
          </w:tcPr>
          <w:p w14:paraId="5E897FB9" w14:textId="77777777" w:rsidR="00054437" w:rsidRPr="000549B1" w:rsidRDefault="00000000">
            <w:pPr>
              <w:pStyle w:val="CharCharCharCharChar"/>
              <w:rPr>
                <w:color w:val="auto"/>
              </w:rPr>
            </w:pPr>
            <w:r w:rsidRPr="000549B1">
              <w:rPr>
                <w:color w:val="auto"/>
              </w:rPr>
              <w:t>90.57</w:t>
            </w:r>
          </w:p>
        </w:tc>
        <w:tc>
          <w:tcPr>
            <w:tcW w:w="385" w:type="pct"/>
            <w:tcBorders>
              <w:top w:val="single" w:sz="4" w:space="0" w:color="auto"/>
              <w:left w:val="single" w:sz="4" w:space="0" w:color="auto"/>
              <w:bottom w:val="single" w:sz="4" w:space="0" w:color="auto"/>
              <w:right w:val="single" w:sz="4" w:space="0" w:color="auto"/>
            </w:tcBorders>
            <w:vAlign w:val="center"/>
          </w:tcPr>
          <w:p w14:paraId="5BF5BF09" w14:textId="77777777" w:rsidR="00054437" w:rsidRPr="000549B1" w:rsidRDefault="00000000">
            <w:pPr>
              <w:pStyle w:val="CharCharCharCharChar"/>
              <w:rPr>
                <w:color w:val="auto"/>
              </w:rPr>
            </w:pPr>
            <w:r w:rsidRPr="000549B1">
              <w:rPr>
                <w:color w:val="auto"/>
              </w:rPr>
              <w:t>1.04</w:t>
            </w:r>
          </w:p>
        </w:tc>
      </w:tr>
      <w:tr w:rsidR="000549B1" w:rsidRPr="000549B1" w14:paraId="57955FBC" w14:textId="77777777">
        <w:trPr>
          <w:trHeight w:val="20"/>
          <w:jc w:val="center"/>
        </w:trPr>
        <w:tc>
          <w:tcPr>
            <w:tcW w:w="294" w:type="pct"/>
            <w:vMerge/>
            <w:tcBorders>
              <w:left w:val="single" w:sz="4" w:space="0" w:color="auto"/>
              <w:right w:val="single" w:sz="4" w:space="0" w:color="auto"/>
            </w:tcBorders>
            <w:vAlign w:val="center"/>
          </w:tcPr>
          <w:p w14:paraId="311CFB2D" w14:textId="77777777" w:rsidR="00054437" w:rsidRPr="000549B1" w:rsidRDefault="00054437">
            <w:pPr>
              <w:pStyle w:val="CharCharCharCharChar"/>
              <w:rPr>
                <w:color w:val="auto"/>
              </w:rPr>
            </w:pPr>
          </w:p>
        </w:tc>
        <w:tc>
          <w:tcPr>
            <w:tcW w:w="332" w:type="pct"/>
            <w:vMerge w:val="restart"/>
            <w:tcBorders>
              <w:top w:val="nil"/>
              <w:left w:val="single" w:sz="4" w:space="0" w:color="auto"/>
              <w:bottom w:val="single" w:sz="4" w:space="0" w:color="auto"/>
              <w:right w:val="single" w:sz="4" w:space="0" w:color="auto"/>
            </w:tcBorders>
            <w:vAlign w:val="center"/>
          </w:tcPr>
          <w:p w14:paraId="3FDCC23E" w14:textId="77777777" w:rsidR="00054437" w:rsidRPr="000549B1" w:rsidRDefault="00000000">
            <w:pPr>
              <w:pStyle w:val="CharCharCharCharChar"/>
              <w:rPr>
                <w:color w:val="auto"/>
              </w:rPr>
            </w:pPr>
            <w:r w:rsidRPr="000549B1">
              <w:rPr>
                <w:color w:val="auto"/>
              </w:rPr>
              <w:t>灌丛</w:t>
            </w:r>
          </w:p>
        </w:tc>
        <w:tc>
          <w:tcPr>
            <w:tcW w:w="859" w:type="pct"/>
            <w:vMerge w:val="restart"/>
            <w:tcBorders>
              <w:top w:val="nil"/>
              <w:left w:val="single" w:sz="4" w:space="0" w:color="auto"/>
              <w:bottom w:val="single" w:sz="4" w:space="0" w:color="auto"/>
              <w:right w:val="single" w:sz="4" w:space="0" w:color="auto"/>
            </w:tcBorders>
            <w:vAlign w:val="center"/>
          </w:tcPr>
          <w:p w14:paraId="131496A6" w14:textId="77777777" w:rsidR="00054437" w:rsidRPr="000549B1" w:rsidRDefault="00000000">
            <w:pPr>
              <w:pStyle w:val="CharCharCharCharChar"/>
              <w:rPr>
                <w:color w:val="auto"/>
              </w:rPr>
            </w:pPr>
            <w:r w:rsidRPr="000549B1">
              <w:rPr>
                <w:color w:val="auto"/>
              </w:rPr>
              <w:t>（二）</w:t>
            </w:r>
          </w:p>
          <w:p w14:paraId="17E414C8" w14:textId="77777777" w:rsidR="00054437" w:rsidRPr="000549B1" w:rsidRDefault="00000000">
            <w:pPr>
              <w:pStyle w:val="CharCharCharCharChar"/>
              <w:rPr>
                <w:color w:val="auto"/>
              </w:rPr>
            </w:pPr>
            <w:r w:rsidRPr="000549B1">
              <w:rPr>
                <w:color w:val="auto"/>
              </w:rPr>
              <w:t>温性</w:t>
            </w:r>
          </w:p>
          <w:p w14:paraId="23FDF228" w14:textId="77777777" w:rsidR="00054437" w:rsidRPr="000549B1" w:rsidRDefault="00000000">
            <w:pPr>
              <w:pStyle w:val="CharCharCharCharChar"/>
              <w:rPr>
                <w:color w:val="auto"/>
              </w:rPr>
            </w:pPr>
            <w:r w:rsidRPr="000549B1">
              <w:rPr>
                <w:color w:val="auto"/>
              </w:rPr>
              <w:t>落叶灌丛</w:t>
            </w:r>
          </w:p>
        </w:tc>
        <w:tc>
          <w:tcPr>
            <w:tcW w:w="757" w:type="pct"/>
            <w:tcBorders>
              <w:top w:val="single" w:sz="4" w:space="0" w:color="auto"/>
              <w:left w:val="single" w:sz="4" w:space="0" w:color="auto"/>
              <w:bottom w:val="single" w:sz="4" w:space="0" w:color="auto"/>
              <w:right w:val="single" w:sz="4" w:space="0" w:color="auto"/>
            </w:tcBorders>
            <w:vAlign w:val="center"/>
          </w:tcPr>
          <w:p w14:paraId="603FB688" w14:textId="77777777" w:rsidR="00054437" w:rsidRPr="000549B1" w:rsidRDefault="00000000">
            <w:pPr>
              <w:pStyle w:val="CharCharCharCharChar"/>
              <w:rPr>
                <w:color w:val="auto"/>
              </w:rPr>
            </w:pPr>
            <w:r w:rsidRPr="000549B1">
              <w:rPr>
                <w:color w:val="auto"/>
              </w:rPr>
              <w:t>温带落叶阔叶灌丛</w:t>
            </w:r>
          </w:p>
        </w:tc>
        <w:tc>
          <w:tcPr>
            <w:tcW w:w="760" w:type="pct"/>
            <w:tcBorders>
              <w:top w:val="single" w:sz="4" w:space="0" w:color="auto"/>
              <w:left w:val="single" w:sz="4" w:space="0" w:color="auto"/>
              <w:bottom w:val="single" w:sz="4" w:space="0" w:color="auto"/>
              <w:right w:val="single" w:sz="4" w:space="0" w:color="auto"/>
            </w:tcBorders>
            <w:vAlign w:val="center"/>
          </w:tcPr>
          <w:p w14:paraId="074A5C9F" w14:textId="77777777" w:rsidR="00054437" w:rsidRPr="000549B1" w:rsidRDefault="00000000">
            <w:pPr>
              <w:pStyle w:val="CharCharCharCharChar"/>
              <w:rPr>
                <w:color w:val="auto"/>
              </w:rPr>
            </w:pPr>
            <w:r w:rsidRPr="000549B1">
              <w:rPr>
                <w:color w:val="auto"/>
              </w:rPr>
              <w:t>柠条锦鸡儿群系</w:t>
            </w:r>
          </w:p>
        </w:tc>
        <w:tc>
          <w:tcPr>
            <w:tcW w:w="1134" w:type="pct"/>
            <w:tcBorders>
              <w:top w:val="single" w:sz="4" w:space="0" w:color="auto"/>
              <w:left w:val="single" w:sz="4" w:space="0" w:color="auto"/>
              <w:bottom w:val="single" w:sz="4" w:space="0" w:color="auto"/>
              <w:right w:val="single" w:sz="4" w:space="0" w:color="auto"/>
            </w:tcBorders>
            <w:vAlign w:val="center"/>
          </w:tcPr>
          <w:p w14:paraId="4ACFF1BD" w14:textId="77777777" w:rsidR="00054437" w:rsidRPr="000549B1" w:rsidRDefault="00000000">
            <w:pPr>
              <w:pStyle w:val="CharCharCharCharChar"/>
              <w:rPr>
                <w:color w:val="auto"/>
              </w:rPr>
            </w:pPr>
            <w:r w:rsidRPr="000549B1">
              <w:rPr>
                <w:color w:val="auto"/>
              </w:rPr>
              <w:t>主要分布于</w:t>
            </w:r>
            <w:bookmarkStart w:id="254" w:name="_Hlk208924870"/>
            <w:r w:rsidRPr="000549B1">
              <w:rPr>
                <w:color w:val="auto"/>
              </w:rPr>
              <w:t>共和县输水线路</w:t>
            </w:r>
            <w:r w:rsidRPr="000549B1">
              <w:rPr>
                <w:color w:val="auto"/>
              </w:rPr>
              <w:t>G0613</w:t>
            </w:r>
            <w:r w:rsidRPr="000549B1">
              <w:rPr>
                <w:color w:val="auto"/>
              </w:rPr>
              <w:t>公路两侧</w:t>
            </w:r>
            <w:bookmarkEnd w:id="254"/>
          </w:p>
        </w:tc>
        <w:tc>
          <w:tcPr>
            <w:tcW w:w="476" w:type="pct"/>
            <w:tcBorders>
              <w:top w:val="single" w:sz="4" w:space="0" w:color="auto"/>
              <w:left w:val="single" w:sz="4" w:space="0" w:color="auto"/>
              <w:bottom w:val="single" w:sz="4" w:space="0" w:color="auto"/>
              <w:right w:val="single" w:sz="4" w:space="0" w:color="auto"/>
            </w:tcBorders>
            <w:vAlign w:val="center"/>
          </w:tcPr>
          <w:p w14:paraId="2679BF6C" w14:textId="77777777" w:rsidR="00054437" w:rsidRPr="000549B1" w:rsidRDefault="00000000">
            <w:pPr>
              <w:pStyle w:val="CharCharCharCharChar"/>
              <w:rPr>
                <w:color w:val="auto"/>
              </w:rPr>
            </w:pPr>
            <w:r w:rsidRPr="000549B1">
              <w:rPr>
                <w:color w:val="auto"/>
              </w:rPr>
              <w:t>214.94</w:t>
            </w:r>
          </w:p>
        </w:tc>
        <w:tc>
          <w:tcPr>
            <w:tcW w:w="385" w:type="pct"/>
            <w:tcBorders>
              <w:top w:val="single" w:sz="4" w:space="0" w:color="auto"/>
              <w:left w:val="single" w:sz="4" w:space="0" w:color="auto"/>
              <w:bottom w:val="single" w:sz="4" w:space="0" w:color="auto"/>
              <w:right w:val="single" w:sz="4" w:space="0" w:color="auto"/>
            </w:tcBorders>
            <w:vAlign w:val="center"/>
          </w:tcPr>
          <w:p w14:paraId="27B14AF5" w14:textId="77777777" w:rsidR="00054437" w:rsidRPr="000549B1" w:rsidRDefault="00000000">
            <w:pPr>
              <w:pStyle w:val="CharCharCharCharChar"/>
              <w:rPr>
                <w:color w:val="auto"/>
              </w:rPr>
            </w:pPr>
            <w:r w:rsidRPr="000549B1">
              <w:rPr>
                <w:color w:val="auto"/>
              </w:rPr>
              <w:t>2.48</w:t>
            </w:r>
          </w:p>
        </w:tc>
      </w:tr>
      <w:tr w:rsidR="000549B1" w:rsidRPr="000549B1" w14:paraId="564BA7B6" w14:textId="77777777">
        <w:trPr>
          <w:trHeight w:val="20"/>
          <w:jc w:val="center"/>
        </w:trPr>
        <w:tc>
          <w:tcPr>
            <w:tcW w:w="294" w:type="pct"/>
            <w:vMerge/>
            <w:tcBorders>
              <w:left w:val="single" w:sz="4" w:space="0" w:color="auto"/>
              <w:right w:val="single" w:sz="4" w:space="0" w:color="auto"/>
            </w:tcBorders>
            <w:vAlign w:val="center"/>
          </w:tcPr>
          <w:p w14:paraId="18869B1F" w14:textId="77777777" w:rsidR="00054437" w:rsidRPr="000549B1" w:rsidRDefault="00054437">
            <w:pPr>
              <w:pStyle w:val="CharCharCharCharChar"/>
              <w:rPr>
                <w:color w:val="auto"/>
              </w:rPr>
            </w:pPr>
          </w:p>
        </w:tc>
        <w:tc>
          <w:tcPr>
            <w:tcW w:w="332" w:type="pct"/>
            <w:vMerge/>
            <w:tcBorders>
              <w:top w:val="nil"/>
              <w:left w:val="single" w:sz="4" w:space="0" w:color="auto"/>
              <w:bottom w:val="single" w:sz="4" w:space="0" w:color="auto"/>
              <w:right w:val="single" w:sz="4" w:space="0" w:color="auto"/>
            </w:tcBorders>
            <w:vAlign w:val="center"/>
          </w:tcPr>
          <w:p w14:paraId="7EF9B658" w14:textId="77777777" w:rsidR="00054437" w:rsidRPr="000549B1" w:rsidRDefault="00054437">
            <w:pPr>
              <w:pStyle w:val="CharCharCharCharChar"/>
              <w:rPr>
                <w:color w:val="auto"/>
              </w:rPr>
            </w:pPr>
          </w:p>
        </w:tc>
        <w:tc>
          <w:tcPr>
            <w:tcW w:w="859" w:type="pct"/>
            <w:vMerge/>
            <w:tcBorders>
              <w:top w:val="nil"/>
              <w:left w:val="single" w:sz="4" w:space="0" w:color="auto"/>
              <w:bottom w:val="single" w:sz="4" w:space="0" w:color="auto"/>
              <w:right w:val="single" w:sz="4" w:space="0" w:color="auto"/>
            </w:tcBorders>
            <w:vAlign w:val="center"/>
          </w:tcPr>
          <w:p w14:paraId="4CD5561D" w14:textId="77777777" w:rsidR="00054437" w:rsidRPr="000549B1" w:rsidRDefault="00054437">
            <w:pPr>
              <w:pStyle w:val="CharCharCharCharChar"/>
              <w:rPr>
                <w:color w:val="auto"/>
              </w:rPr>
            </w:pPr>
          </w:p>
        </w:tc>
        <w:tc>
          <w:tcPr>
            <w:tcW w:w="757" w:type="pct"/>
            <w:tcBorders>
              <w:top w:val="single" w:sz="4" w:space="0" w:color="auto"/>
              <w:left w:val="single" w:sz="4" w:space="0" w:color="auto"/>
              <w:bottom w:val="single" w:sz="4" w:space="0" w:color="auto"/>
              <w:right w:val="single" w:sz="4" w:space="0" w:color="auto"/>
            </w:tcBorders>
            <w:vAlign w:val="center"/>
          </w:tcPr>
          <w:p w14:paraId="2F557206" w14:textId="77777777" w:rsidR="00054437" w:rsidRPr="000549B1" w:rsidRDefault="00000000">
            <w:pPr>
              <w:pStyle w:val="CharCharCharCharChar"/>
              <w:rPr>
                <w:color w:val="auto"/>
              </w:rPr>
            </w:pPr>
            <w:r w:rsidRPr="000549B1">
              <w:rPr>
                <w:color w:val="auto"/>
              </w:rPr>
              <w:t>温带半灌木、矮半灌木荒漠</w:t>
            </w:r>
          </w:p>
        </w:tc>
        <w:tc>
          <w:tcPr>
            <w:tcW w:w="760" w:type="pct"/>
            <w:tcBorders>
              <w:top w:val="single" w:sz="4" w:space="0" w:color="auto"/>
              <w:left w:val="single" w:sz="4" w:space="0" w:color="auto"/>
              <w:bottom w:val="single" w:sz="4" w:space="0" w:color="auto"/>
              <w:right w:val="single" w:sz="4" w:space="0" w:color="auto"/>
            </w:tcBorders>
            <w:vAlign w:val="center"/>
          </w:tcPr>
          <w:p w14:paraId="7C0421B3" w14:textId="77777777" w:rsidR="00054437" w:rsidRPr="000549B1" w:rsidRDefault="00000000">
            <w:pPr>
              <w:pStyle w:val="CharCharCharCharChar"/>
              <w:rPr>
                <w:color w:val="auto"/>
              </w:rPr>
            </w:pPr>
            <w:r w:rsidRPr="000549B1">
              <w:rPr>
                <w:color w:val="auto"/>
              </w:rPr>
              <w:t>红砂群系</w:t>
            </w:r>
          </w:p>
        </w:tc>
        <w:tc>
          <w:tcPr>
            <w:tcW w:w="1134" w:type="pct"/>
            <w:tcBorders>
              <w:top w:val="single" w:sz="4" w:space="0" w:color="auto"/>
              <w:left w:val="single" w:sz="4" w:space="0" w:color="auto"/>
              <w:right w:val="single" w:sz="4" w:space="0" w:color="auto"/>
            </w:tcBorders>
            <w:vAlign w:val="center"/>
          </w:tcPr>
          <w:p w14:paraId="458DC1D8" w14:textId="77777777" w:rsidR="00054437" w:rsidRPr="000549B1" w:rsidRDefault="00000000">
            <w:pPr>
              <w:pStyle w:val="CharCharCharCharChar"/>
              <w:rPr>
                <w:color w:val="auto"/>
              </w:rPr>
            </w:pPr>
            <w:r w:rsidRPr="000549B1">
              <w:rPr>
                <w:color w:val="auto"/>
              </w:rPr>
              <w:t>分布于大河坝水库上下游河谷及附近山体的坡脚</w:t>
            </w:r>
          </w:p>
        </w:tc>
        <w:tc>
          <w:tcPr>
            <w:tcW w:w="476" w:type="pct"/>
            <w:tcBorders>
              <w:top w:val="single" w:sz="4" w:space="0" w:color="auto"/>
              <w:left w:val="single" w:sz="4" w:space="0" w:color="auto"/>
              <w:bottom w:val="single" w:sz="4" w:space="0" w:color="auto"/>
              <w:right w:val="single" w:sz="4" w:space="0" w:color="auto"/>
            </w:tcBorders>
            <w:vAlign w:val="center"/>
          </w:tcPr>
          <w:p w14:paraId="6A525202" w14:textId="77777777" w:rsidR="00054437" w:rsidRPr="000549B1" w:rsidRDefault="00000000">
            <w:pPr>
              <w:pStyle w:val="CharCharCharCharChar"/>
              <w:rPr>
                <w:color w:val="auto"/>
              </w:rPr>
            </w:pPr>
            <w:r w:rsidRPr="000549B1">
              <w:rPr>
                <w:color w:val="auto"/>
              </w:rPr>
              <w:t>104.04</w:t>
            </w:r>
          </w:p>
        </w:tc>
        <w:tc>
          <w:tcPr>
            <w:tcW w:w="385" w:type="pct"/>
            <w:tcBorders>
              <w:top w:val="single" w:sz="4" w:space="0" w:color="auto"/>
              <w:left w:val="single" w:sz="4" w:space="0" w:color="auto"/>
              <w:bottom w:val="single" w:sz="4" w:space="0" w:color="auto"/>
              <w:right w:val="single" w:sz="4" w:space="0" w:color="auto"/>
            </w:tcBorders>
            <w:vAlign w:val="center"/>
          </w:tcPr>
          <w:p w14:paraId="73210F0F" w14:textId="77777777" w:rsidR="00054437" w:rsidRPr="000549B1" w:rsidRDefault="00000000">
            <w:pPr>
              <w:pStyle w:val="CharCharCharCharChar"/>
              <w:rPr>
                <w:color w:val="auto"/>
              </w:rPr>
            </w:pPr>
            <w:r w:rsidRPr="000549B1">
              <w:rPr>
                <w:color w:val="auto"/>
              </w:rPr>
              <w:t>1.20</w:t>
            </w:r>
          </w:p>
        </w:tc>
      </w:tr>
      <w:tr w:rsidR="000549B1" w:rsidRPr="000549B1" w14:paraId="58FF1FE9" w14:textId="77777777">
        <w:trPr>
          <w:trHeight w:val="20"/>
          <w:jc w:val="center"/>
        </w:trPr>
        <w:tc>
          <w:tcPr>
            <w:tcW w:w="294" w:type="pct"/>
            <w:vMerge/>
            <w:tcBorders>
              <w:left w:val="single" w:sz="4" w:space="0" w:color="auto"/>
              <w:right w:val="single" w:sz="4" w:space="0" w:color="auto"/>
            </w:tcBorders>
            <w:vAlign w:val="center"/>
          </w:tcPr>
          <w:p w14:paraId="2F6DD54C" w14:textId="77777777" w:rsidR="00054437" w:rsidRPr="000549B1" w:rsidRDefault="00054437">
            <w:pPr>
              <w:pStyle w:val="CharCharCharCharChar"/>
              <w:rPr>
                <w:color w:val="auto"/>
              </w:rPr>
            </w:pPr>
          </w:p>
        </w:tc>
        <w:tc>
          <w:tcPr>
            <w:tcW w:w="332" w:type="pct"/>
            <w:vMerge w:val="restart"/>
            <w:tcBorders>
              <w:top w:val="nil"/>
              <w:left w:val="single" w:sz="4" w:space="0" w:color="auto"/>
              <w:right w:val="single" w:sz="4" w:space="0" w:color="auto"/>
            </w:tcBorders>
            <w:vAlign w:val="center"/>
          </w:tcPr>
          <w:p w14:paraId="239C98D5" w14:textId="77777777" w:rsidR="00054437" w:rsidRPr="000549B1" w:rsidRDefault="00000000">
            <w:pPr>
              <w:pStyle w:val="CharCharCharCharChar"/>
              <w:rPr>
                <w:color w:val="auto"/>
              </w:rPr>
            </w:pPr>
            <w:r w:rsidRPr="000549B1">
              <w:rPr>
                <w:color w:val="auto"/>
              </w:rPr>
              <w:t>草丛</w:t>
            </w:r>
          </w:p>
        </w:tc>
        <w:tc>
          <w:tcPr>
            <w:tcW w:w="859" w:type="pct"/>
            <w:vMerge w:val="restart"/>
            <w:tcBorders>
              <w:top w:val="nil"/>
              <w:left w:val="single" w:sz="4" w:space="0" w:color="auto"/>
              <w:right w:val="single" w:sz="4" w:space="0" w:color="auto"/>
            </w:tcBorders>
            <w:vAlign w:val="center"/>
          </w:tcPr>
          <w:p w14:paraId="499FDD26" w14:textId="77777777" w:rsidR="00054437" w:rsidRPr="000549B1" w:rsidRDefault="00000000">
            <w:pPr>
              <w:pStyle w:val="CharCharCharCharChar"/>
              <w:rPr>
                <w:color w:val="auto"/>
              </w:rPr>
            </w:pPr>
            <w:r w:rsidRPr="000549B1">
              <w:rPr>
                <w:color w:val="auto"/>
              </w:rPr>
              <w:t>（三）</w:t>
            </w:r>
          </w:p>
          <w:p w14:paraId="14F3D65F" w14:textId="77777777" w:rsidR="00054437" w:rsidRPr="000549B1" w:rsidRDefault="00000000">
            <w:pPr>
              <w:pStyle w:val="CharCharCharCharChar"/>
              <w:rPr>
                <w:color w:val="auto"/>
              </w:rPr>
            </w:pPr>
            <w:r w:rsidRPr="000549B1">
              <w:rPr>
                <w:color w:val="auto"/>
              </w:rPr>
              <w:t>草丛</w:t>
            </w:r>
          </w:p>
        </w:tc>
        <w:tc>
          <w:tcPr>
            <w:tcW w:w="757" w:type="pct"/>
            <w:vMerge w:val="restart"/>
            <w:tcBorders>
              <w:top w:val="single" w:sz="4" w:space="0" w:color="auto"/>
              <w:left w:val="single" w:sz="4" w:space="0" w:color="auto"/>
              <w:right w:val="single" w:sz="4" w:space="0" w:color="auto"/>
            </w:tcBorders>
            <w:vAlign w:val="center"/>
          </w:tcPr>
          <w:p w14:paraId="6973ACA3" w14:textId="77777777" w:rsidR="00054437" w:rsidRPr="000549B1" w:rsidRDefault="00000000">
            <w:pPr>
              <w:pStyle w:val="CharCharCharCharChar"/>
              <w:rPr>
                <w:color w:val="auto"/>
              </w:rPr>
            </w:pPr>
            <w:r w:rsidRPr="000549B1">
              <w:rPr>
                <w:color w:val="auto"/>
              </w:rPr>
              <w:t>温带丛生禾草典型草原</w:t>
            </w:r>
          </w:p>
        </w:tc>
        <w:tc>
          <w:tcPr>
            <w:tcW w:w="760" w:type="pct"/>
            <w:tcBorders>
              <w:top w:val="single" w:sz="4" w:space="0" w:color="auto"/>
              <w:left w:val="single" w:sz="4" w:space="0" w:color="auto"/>
              <w:bottom w:val="single" w:sz="4" w:space="0" w:color="auto"/>
              <w:right w:val="single" w:sz="4" w:space="0" w:color="auto"/>
            </w:tcBorders>
            <w:vAlign w:val="center"/>
          </w:tcPr>
          <w:p w14:paraId="15B2D6EA" w14:textId="77777777" w:rsidR="00054437" w:rsidRPr="000549B1" w:rsidRDefault="00000000">
            <w:pPr>
              <w:pStyle w:val="CharCharCharCharChar"/>
              <w:rPr>
                <w:color w:val="auto"/>
              </w:rPr>
            </w:pPr>
            <w:r w:rsidRPr="000549B1">
              <w:rPr>
                <w:color w:val="auto"/>
              </w:rPr>
              <w:t>芨芨草群系</w:t>
            </w:r>
          </w:p>
        </w:tc>
        <w:tc>
          <w:tcPr>
            <w:tcW w:w="1134" w:type="pct"/>
            <w:tcBorders>
              <w:top w:val="single" w:sz="4" w:space="0" w:color="auto"/>
              <w:left w:val="single" w:sz="4" w:space="0" w:color="auto"/>
              <w:bottom w:val="single" w:sz="4" w:space="0" w:color="auto"/>
              <w:right w:val="single" w:sz="4" w:space="0" w:color="auto"/>
            </w:tcBorders>
            <w:vAlign w:val="center"/>
          </w:tcPr>
          <w:p w14:paraId="08EB7F7D" w14:textId="77777777" w:rsidR="00054437" w:rsidRPr="000549B1" w:rsidRDefault="00000000">
            <w:pPr>
              <w:pStyle w:val="CharCharCharCharChar"/>
              <w:rPr>
                <w:color w:val="auto"/>
              </w:rPr>
            </w:pPr>
            <w:r w:rsidRPr="000549B1">
              <w:rPr>
                <w:color w:val="auto"/>
              </w:rPr>
              <w:t>灌区、输水线路范围内广泛分布</w:t>
            </w:r>
          </w:p>
        </w:tc>
        <w:tc>
          <w:tcPr>
            <w:tcW w:w="476" w:type="pct"/>
            <w:tcBorders>
              <w:top w:val="single" w:sz="4" w:space="0" w:color="auto"/>
              <w:left w:val="single" w:sz="4" w:space="0" w:color="auto"/>
              <w:bottom w:val="single" w:sz="4" w:space="0" w:color="auto"/>
              <w:right w:val="single" w:sz="4" w:space="0" w:color="auto"/>
            </w:tcBorders>
            <w:vAlign w:val="center"/>
          </w:tcPr>
          <w:p w14:paraId="4D86A5E4" w14:textId="77777777" w:rsidR="00054437" w:rsidRPr="000549B1" w:rsidRDefault="00000000">
            <w:pPr>
              <w:pStyle w:val="CharCharCharCharChar"/>
              <w:rPr>
                <w:color w:val="auto"/>
              </w:rPr>
            </w:pPr>
            <w:r w:rsidRPr="000549B1">
              <w:rPr>
                <w:color w:val="auto"/>
              </w:rPr>
              <w:t>6504.26</w:t>
            </w:r>
          </w:p>
        </w:tc>
        <w:tc>
          <w:tcPr>
            <w:tcW w:w="385" w:type="pct"/>
            <w:tcBorders>
              <w:top w:val="single" w:sz="4" w:space="0" w:color="auto"/>
              <w:left w:val="single" w:sz="4" w:space="0" w:color="auto"/>
              <w:bottom w:val="single" w:sz="4" w:space="0" w:color="auto"/>
              <w:right w:val="single" w:sz="4" w:space="0" w:color="auto"/>
            </w:tcBorders>
            <w:vAlign w:val="center"/>
          </w:tcPr>
          <w:p w14:paraId="4197009B" w14:textId="77777777" w:rsidR="00054437" w:rsidRPr="000549B1" w:rsidRDefault="00000000">
            <w:pPr>
              <w:pStyle w:val="CharCharCharCharChar"/>
              <w:rPr>
                <w:color w:val="auto"/>
              </w:rPr>
            </w:pPr>
            <w:r w:rsidRPr="000549B1">
              <w:rPr>
                <w:color w:val="auto"/>
              </w:rPr>
              <w:t>75.04</w:t>
            </w:r>
          </w:p>
        </w:tc>
      </w:tr>
      <w:tr w:rsidR="000549B1" w:rsidRPr="000549B1" w14:paraId="4CF664C7" w14:textId="77777777">
        <w:trPr>
          <w:trHeight w:val="20"/>
          <w:jc w:val="center"/>
        </w:trPr>
        <w:tc>
          <w:tcPr>
            <w:tcW w:w="294" w:type="pct"/>
            <w:vMerge/>
            <w:tcBorders>
              <w:left w:val="single" w:sz="4" w:space="0" w:color="auto"/>
              <w:right w:val="single" w:sz="4" w:space="0" w:color="auto"/>
            </w:tcBorders>
            <w:vAlign w:val="center"/>
          </w:tcPr>
          <w:p w14:paraId="4E78132C" w14:textId="77777777" w:rsidR="00054437" w:rsidRPr="000549B1" w:rsidRDefault="00054437">
            <w:pPr>
              <w:pStyle w:val="CharCharCharCharChar"/>
              <w:rPr>
                <w:color w:val="auto"/>
              </w:rPr>
            </w:pPr>
          </w:p>
        </w:tc>
        <w:tc>
          <w:tcPr>
            <w:tcW w:w="332" w:type="pct"/>
            <w:vMerge/>
            <w:tcBorders>
              <w:left w:val="single" w:sz="4" w:space="0" w:color="auto"/>
              <w:right w:val="single" w:sz="4" w:space="0" w:color="auto"/>
            </w:tcBorders>
            <w:vAlign w:val="center"/>
          </w:tcPr>
          <w:p w14:paraId="6F845D8B" w14:textId="77777777" w:rsidR="00054437" w:rsidRPr="000549B1" w:rsidRDefault="00054437">
            <w:pPr>
              <w:pStyle w:val="CharCharCharCharChar"/>
              <w:rPr>
                <w:color w:val="auto"/>
              </w:rPr>
            </w:pPr>
          </w:p>
        </w:tc>
        <w:tc>
          <w:tcPr>
            <w:tcW w:w="859" w:type="pct"/>
            <w:vMerge/>
            <w:tcBorders>
              <w:left w:val="single" w:sz="4" w:space="0" w:color="auto"/>
              <w:right w:val="single" w:sz="4" w:space="0" w:color="auto"/>
            </w:tcBorders>
            <w:vAlign w:val="center"/>
          </w:tcPr>
          <w:p w14:paraId="4405802D" w14:textId="77777777" w:rsidR="00054437" w:rsidRPr="000549B1" w:rsidRDefault="00054437">
            <w:pPr>
              <w:pStyle w:val="CharCharCharCharChar"/>
              <w:rPr>
                <w:color w:val="auto"/>
              </w:rPr>
            </w:pPr>
          </w:p>
        </w:tc>
        <w:tc>
          <w:tcPr>
            <w:tcW w:w="757" w:type="pct"/>
            <w:vMerge/>
            <w:tcBorders>
              <w:left w:val="single" w:sz="4" w:space="0" w:color="auto"/>
              <w:right w:val="single" w:sz="4" w:space="0" w:color="auto"/>
            </w:tcBorders>
            <w:vAlign w:val="center"/>
          </w:tcPr>
          <w:p w14:paraId="221320BB" w14:textId="77777777" w:rsidR="00054437" w:rsidRPr="000549B1" w:rsidRDefault="00054437">
            <w:pPr>
              <w:pStyle w:val="CharCharCharCharChar"/>
              <w:rPr>
                <w:color w:val="auto"/>
              </w:rPr>
            </w:pPr>
          </w:p>
        </w:tc>
        <w:tc>
          <w:tcPr>
            <w:tcW w:w="760" w:type="pct"/>
            <w:tcBorders>
              <w:top w:val="single" w:sz="4" w:space="0" w:color="auto"/>
              <w:left w:val="single" w:sz="4" w:space="0" w:color="auto"/>
              <w:bottom w:val="single" w:sz="4" w:space="0" w:color="auto"/>
              <w:right w:val="single" w:sz="4" w:space="0" w:color="auto"/>
            </w:tcBorders>
            <w:vAlign w:val="center"/>
          </w:tcPr>
          <w:p w14:paraId="52DB6C5E" w14:textId="77777777" w:rsidR="00054437" w:rsidRPr="000549B1" w:rsidRDefault="00000000">
            <w:pPr>
              <w:pStyle w:val="CharCharCharCharChar"/>
              <w:rPr>
                <w:color w:val="auto"/>
              </w:rPr>
            </w:pPr>
            <w:r w:rsidRPr="000549B1">
              <w:rPr>
                <w:color w:val="auto"/>
              </w:rPr>
              <w:t>披碱草群系</w:t>
            </w:r>
          </w:p>
        </w:tc>
        <w:tc>
          <w:tcPr>
            <w:tcW w:w="1134" w:type="pct"/>
            <w:vMerge w:val="restart"/>
            <w:tcBorders>
              <w:top w:val="single" w:sz="4" w:space="0" w:color="auto"/>
              <w:left w:val="single" w:sz="4" w:space="0" w:color="auto"/>
              <w:right w:val="single" w:sz="4" w:space="0" w:color="auto"/>
            </w:tcBorders>
            <w:vAlign w:val="center"/>
          </w:tcPr>
          <w:p w14:paraId="46D92219" w14:textId="77777777" w:rsidR="00054437" w:rsidRPr="000549B1" w:rsidRDefault="00000000">
            <w:pPr>
              <w:pStyle w:val="CharCharCharCharChar"/>
              <w:rPr>
                <w:color w:val="auto"/>
              </w:rPr>
            </w:pPr>
            <w:r w:rsidRPr="000549B1">
              <w:rPr>
                <w:color w:val="auto"/>
              </w:rPr>
              <w:t>评价区范围内广泛分布</w:t>
            </w:r>
          </w:p>
        </w:tc>
        <w:tc>
          <w:tcPr>
            <w:tcW w:w="476" w:type="pct"/>
            <w:tcBorders>
              <w:top w:val="single" w:sz="4" w:space="0" w:color="auto"/>
              <w:left w:val="single" w:sz="4" w:space="0" w:color="auto"/>
              <w:bottom w:val="single" w:sz="4" w:space="0" w:color="auto"/>
              <w:right w:val="single" w:sz="4" w:space="0" w:color="auto"/>
            </w:tcBorders>
            <w:vAlign w:val="center"/>
          </w:tcPr>
          <w:p w14:paraId="12FDEBA8" w14:textId="77777777" w:rsidR="00054437" w:rsidRPr="000549B1" w:rsidRDefault="00000000">
            <w:pPr>
              <w:pStyle w:val="CharCharCharCharChar"/>
              <w:rPr>
                <w:color w:val="auto"/>
              </w:rPr>
            </w:pPr>
            <w:r w:rsidRPr="000549B1">
              <w:rPr>
                <w:color w:val="auto"/>
              </w:rPr>
              <w:t>413.27</w:t>
            </w:r>
          </w:p>
        </w:tc>
        <w:tc>
          <w:tcPr>
            <w:tcW w:w="385" w:type="pct"/>
            <w:tcBorders>
              <w:top w:val="single" w:sz="4" w:space="0" w:color="auto"/>
              <w:left w:val="single" w:sz="4" w:space="0" w:color="auto"/>
              <w:bottom w:val="single" w:sz="4" w:space="0" w:color="auto"/>
              <w:right w:val="single" w:sz="4" w:space="0" w:color="auto"/>
            </w:tcBorders>
            <w:vAlign w:val="center"/>
          </w:tcPr>
          <w:p w14:paraId="324645F4" w14:textId="77777777" w:rsidR="00054437" w:rsidRPr="000549B1" w:rsidRDefault="00000000">
            <w:pPr>
              <w:pStyle w:val="CharCharCharCharChar"/>
              <w:rPr>
                <w:color w:val="auto"/>
              </w:rPr>
            </w:pPr>
            <w:r w:rsidRPr="000549B1">
              <w:rPr>
                <w:color w:val="auto"/>
              </w:rPr>
              <w:t>4.77</w:t>
            </w:r>
          </w:p>
        </w:tc>
      </w:tr>
      <w:tr w:rsidR="000549B1" w:rsidRPr="000549B1" w14:paraId="7B7DB3A0" w14:textId="77777777">
        <w:trPr>
          <w:trHeight w:val="20"/>
          <w:jc w:val="center"/>
        </w:trPr>
        <w:tc>
          <w:tcPr>
            <w:tcW w:w="294" w:type="pct"/>
            <w:vMerge/>
            <w:tcBorders>
              <w:left w:val="single" w:sz="4" w:space="0" w:color="auto"/>
              <w:right w:val="single" w:sz="4" w:space="0" w:color="auto"/>
            </w:tcBorders>
            <w:vAlign w:val="center"/>
          </w:tcPr>
          <w:p w14:paraId="2384F68B" w14:textId="77777777" w:rsidR="00054437" w:rsidRPr="000549B1" w:rsidRDefault="00054437">
            <w:pPr>
              <w:pStyle w:val="CharCharCharCharChar"/>
              <w:rPr>
                <w:color w:val="auto"/>
              </w:rPr>
            </w:pPr>
          </w:p>
        </w:tc>
        <w:tc>
          <w:tcPr>
            <w:tcW w:w="332" w:type="pct"/>
            <w:vMerge/>
            <w:tcBorders>
              <w:left w:val="single" w:sz="4" w:space="0" w:color="auto"/>
              <w:right w:val="single" w:sz="4" w:space="0" w:color="auto"/>
            </w:tcBorders>
            <w:vAlign w:val="center"/>
          </w:tcPr>
          <w:p w14:paraId="3EF2FA94" w14:textId="77777777" w:rsidR="00054437" w:rsidRPr="000549B1" w:rsidRDefault="00054437">
            <w:pPr>
              <w:pStyle w:val="CharCharCharCharChar"/>
              <w:rPr>
                <w:color w:val="auto"/>
              </w:rPr>
            </w:pPr>
          </w:p>
        </w:tc>
        <w:tc>
          <w:tcPr>
            <w:tcW w:w="859" w:type="pct"/>
            <w:vMerge/>
            <w:tcBorders>
              <w:left w:val="single" w:sz="4" w:space="0" w:color="auto"/>
              <w:right w:val="single" w:sz="4" w:space="0" w:color="auto"/>
            </w:tcBorders>
            <w:vAlign w:val="center"/>
          </w:tcPr>
          <w:p w14:paraId="0A83CF91" w14:textId="77777777" w:rsidR="00054437" w:rsidRPr="000549B1" w:rsidRDefault="00054437">
            <w:pPr>
              <w:pStyle w:val="CharCharCharCharChar"/>
              <w:rPr>
                <w:color w:val="auto"/>
              </w:rPr>
            </w:pPr>
          </w:p>
        </w:tc>
        <w:tc>
          <w:tcPr>
            <w:tcW w:w="757" w:type="pct"/>
            <w:vMerge/>
            <w:tcBorders>
              <w:left w:val="single" w:sz="4" w:space="0" w:color="auto"/>
              <w:right w:val="single" w:sz="4" w:space="0" w:color="auto"/>
            </w:tcBorders>
            <w:vAlign w:val="center"/>
          </w:tcPr>
          <w:p w14:paraId="7DBEB24F" w14:textId="77777777" w:rsidR="00054437" w:rsidRPr="000549B1" w:rsidRDefault="00054437">
            <w:pPr>
              <w:pStyle w:val="CharCharCharCharChar"/>
              <w:rPr>
                <w:color w:val="auto"/>
              </w:rPr>
            </w:pPr>
          </w:p>
        </w:tc>
        <w:tc>
          <w:tcPr>
            <w:tcW w:w="760" w:type="pct"/>
            <w:tcBorders>
              <w:top w:val="single" w:sz="4" w:space="0" w:color="auto"/>
              <w:left w:val="single" w:sz="4" w:space="0" w:color="auto"/>
              <w:bottom w:val="single" w:sz="4" w:space="0" w:color="auto"/>
              <w:right w:val="single" w:sz="4" w:space="0" w:color="auto"/>
            </w:tcBorders>
            <w:vAlign w:val="center"/>
          </w:tcPr>
          <w:p w14:paraId="17CB693A" w14:textId="77777777" w:rsidR="00054437" w:rsidRPr="000549B1" w:rsidRDefault="00000000">
            <w:pPr>
              <w:pStyle w:val="CharCharCharCharChar"/>
              <w:rPr>
                <w:color w:val="auto"/>
              </w:rPr>
            </w:pPr>
            <w:r w:rsidRPr="000549B1">
              <w:rPr>
                <w:color w:val="auto"/>
              </w:rPr>
              <w:t>冷蒿群系</w:t>
            </w:r>
          </w:p>
        </w:tc>
        <w:tc>
          <w:tcPr>
            <w:tcW w:w="1134" w:type="pct"/>
            <w:vMerge/>
            <w:tcBorders>
              <w:left w:val="single" w:sz="4" w:space="0" w:color="auto"/>
              <w:right w:val="single" w:sz="4" w:space="0" w:color="auto"/>
            </w:tcBorders>
            <w:vAlign w:val="center"/>
          </w:tcPr>
          <w:p w14:paraId="71909887" w14:textId="77777777" w:rsidR="00054437" w:rsidRPr="000549B1" w:rsidRDefault="00054437">
            <w:pPr>
              <w:pStyle w:val="CharCharCharCharChar"/>
              <w:rPr>
                <w:color w:val="auto"/>
              </w:rPr>
            </w:pPr>
          </w:p>
        </w:tc>
        <w:tc>
          <w:tcPr>
            <w:tcW w:w="476" w:type="pct"/>
            <w:tcBorders>
              <w:top w:val="single" w:sz="4" w:space="0" w:color="auto"/>
              <w:left w:val="single" w:sz="4" w:space="0" w:color="auto"/>
              <w:bottom w:val="single" w:sz="4" w:space="0" w:color="auto"/>
              <w:right w:val="single" w:sz="4" w:space="0" w:color="auto"/>
            </w:tcBorders>
            <w:vAlign w:val="center"/>
          </w:tcPr>
          <w:p w14:paraId="533877AA" w14:textId="77777777" w:rsidR="00054437" w:rsidRPr="000549B1" w:rsidRDefault="00000000">
            <w:pPr>
              <w:pStyle w:val="CharCharCharCharChar"/>
              <w:rPr>
                <w:color w:val="auto"/>
              </w:rPr>
            </w:pPr>
            <w:r w:rsidRPr="000549B1">
              <w:rPr>
                <w:color w:val="auto"/>
              </w:rPr>
              <w:t>239.93</w:t>
            </w:r>
          </w:p>
        </w:tc>
        <w:tc>
          <w:tcPr>
            <w:tcW w:w="385" w:type="pct"/>
            <w:tcBorders>
              <w:top w:val="single" w:sz="4" w:space="0" w:color="auto"/>
              <w:left w:val="single" w:sz="4" w:space="0" w:color="auto"/>
              <w:bottom w:val="single" w:sz="4" w:space="0" w:color="auto"/>
              <w:right w:val="single" w:sz="4" w:space="0" w:color="auto"/>
            </w:tcBorders>
            <w:vAlign w:val="center"/>
          </w:tcPr>
          <w:p w14:paraId="3853A214" w14:textId="77777777" w:rsidR="00054437" w:rsidRPr="000549B1" w:rsidRDefault="00000000">
            <w:pPr>
              <w:pStyle w:val="CharCharCharCharChar"/>
              <w:rPr>
                <w:color w:val="auto"/>
              </w:rPr>
            </w:pPr>
            <w:r w:rsidRPr="000549B1">
              <w:rPr>
                <w:color w:val="auto"/>
              </w:rPr>
              <w:t>2.77</w:t>
            </w:r>
          </w:p>
        </w:tc>
      </w:tr>
      <w:tr w:rsidR="000549B1" w:rsidRPr="000549B1" w14:paraId="72F2EC7A" w14:textId="77777777">
        <w:trPr>
          <w:trHeight w:val="20"/>
          <w:jc w:val="center"/>
        </w:trPr>
        <w:tc>
          <w:tcPr>
            <w:tcW w:w="294" w:type="pct"/>
            <w:vMerge/>
            <w:tcBorders>
              <w:left w:val="single" w:sz="4" w:space="0" w:color="auto"/>
              <w:right w:val="single" w:sz="4" w:space="0" w:color="auto"/>
            </w:tcBorders>
            <w:vAlign w:val="center"/>
          </w:tcPr>
          <w:p w14:paraId="20610394" w14:textId="77777777" w:rsidR="00054437" w:rsidRPr="000549B1" w:rsidRDefault="00054437">
            <w:pPr>
              <w:pStyle w:val="CharCharCharCharChar"/>
              <w:rPr>
                <w:color w:val="auto"/>
              </w:rPr>
            </w:pPr>
          </w:p>
        </w:tc>
        <w:tc>
          <w:tcPr>
            <w:tcW w:w="332" w:type="pct"/>
            <w:vMerge/>
            <w:tcBorders>
              <w:left w:val="single" w:sz="4" w:space="0" w:color="auto"/>
              <w:right w:val="single" w:sz="4" w:space="0" w:color="auto"/>
            </w:tcBorders>
            <w:vAlign w:val="center"/>
          </w:tcPr>
          <w:p w14:paraId="44D30162" w14:textId="77777777" w:rsidR="00054437" w:rsidRPr="000549B1" w:rsidRDefault="00054437">
            <w:pPr>
              <w:pStyle w:val="CharCharCharCharChar"/>
              <w:rPr>
                <w:color w:val="auto"/>
              </w:rPr>
            </w:pPr>
          </w:p>
        </w:tc>
        <w:tc>
          <w:tcPr>
            <w:tcW w:w="859" w:type="pct"/>
            <w:vMerge/>
            <w:tcBorders>
              <w:left w:val="single" w:sz="4" w:space="0" w:color="auto"/>
              <w:right w:val="single" w:sz="4" w:space="0" w:color="auto"/>
            </w:tcBorders>
            <w:vAlign w:val="center"/>
          </w:tcPr>
          <w:p w14:paraId="6DE8E46A" w14:textId="77777777" w:rsidR="00054437" w:rsidRPr="000549B1" w:rsidRDefault="00054437">
            <w:pPr>
              <w:pStyle w:val="CharCharCharCharChar"/>
              <w:rPr>
                <w:color w:val="auto"/>
              </w:rPr>
            </w:pPr>
          </w:p>
        </w:tc>
        <w:tc>
          <w:tcPr>
            <w:tcW w:w="757" w:type="pct"/>
            <w:vMerge/>
            <w:tcBorders>
              <w:left w:val="single" w:sz="4" w:space="0" w:color="auto"/>
              <w:right w:val="single" w:sz="4" w:space="0" w:color="auto"/>
            </w:tcBorders>
            <w:vAlign w:val="center"/>
          </w:tcPr>
          <w:p w14:paraId="1A8FB238" w14:textId="77777777" w:rsidR="00054437" w:rsidRPr="000549B1" w:rsidRDefault="00054437">
            <w:pPr>
              <w:pStyle w:val="CharCharCharCharChar"/>
              <w:rPr>
                <w:color w:val="auto"/>
              </w:rPr>
            </w:pPr>
          </w:p>
        </w:tc>
        <w:tc>
          <w:tcPr>
            <w:tcW w:w="760" w:type="pct"/>
            <w:tcBorders>
              <w:top w:val="single" w:sz="4" w:space="0" w:color="auto"/>
              <w:left w:val="single" w:sz="4" w:space="0" w:color="auto"/>
              <w:bottom w:val="single" w:sz="4" w:space="0" w:color="auto"/>
              <w:right w:val="single" w:sz="4" w:space="0" w:color="auto"/>
            </w:tcBorders>
            <w:vAlign w:val="center"/>
          </w:tcPr>
          <w:p w14:paraId="15B4BDA0" w14:textId="77777777" w:rsidR="00054437" w:rsidRPr="000549B1" w:rsidRDefault="00000000">
            <w:pPr>
              <w:pStyle w:val="CharCharCharCharChar"/>
              <w:rPr>
                <w:color w:val="auto"/>
              </w:rPr>
            </w:pPr>
            <w:r w:rsidRPr="000549B1">
              <w:rPr>
                <w:color w:val="auto"/>
              </w:rPr>
              <w:t>短花针茅</w:t>
            </w:r>
          </w:p>
        </w:tc>
        <w:tc>
          <w:tcPr>
            <w:tcW w:w="1134" w:type="pct"/>
            <w:vMerge/>
            <w:tcBorders>
              <w:left w:val="single" w:sz="4" w:space="0" w:color="auto"/>
              <w:right w:val="single" w:sz="4" w:space="0" w:color="auto"/>
            </w:tcBorders>
            <w:vAlign w:val="center"/>
          </w:tcPr>
          <w:p w14:paraId="51DB6E34" w14:textId="77777777" w:rsidR="00054437" w:rsidRPr="000549B1" w:rsidRDefault="00054437">
            <w:pPr>
              <w:pStyle w:val="CharCharCharCharChar"/>
              <w:rPr>
                <w:color w:val="auto"/>
              </w:rPr>
            </w:pPr>
          </w:p>
        </w:tc>
        <w:tc>
          <w:tcPr>
            <w:tcW w:w="476" w:type="pct"/>
            <w:tcBorders>
              <w:top w:val="single" w:sz="4" w:space="0" w:color="auto"/>
              <w:left w:val="single" w:sz="4" w:space="0" w:color="auto"/>
              <w:bottom w:val="single" w:sz="4" w:space="0" w:color="auto"/>
              <w:right w:val="single" w:sz="4" w:space="0" w:color="auto"/>
            </w:tcBorders>
            <w:vAlign w:val="center"/>
          </w:tcPr>
          <w:p w14:paraId="6A1F9AE1" w14:textId="77777777" w:rsidR="00054437" w:rsidRPr="000549B1" w:rsidRDefault="00000000">
            <w:pPr>
              <w:pStyle w:val="CharCharCharCharChar"/>
              <w:rPr>
                <w:color w:val="auto"/>
              </w:rPr>
            </w:pPr>
            <w:r w:rsidRPr="000549B1">
              <w:rPr>
                <w:color w:val="auto"/>
              </w:rPr>
              <w:t>167.98</w:t>
            </w:r>
          </w:p>
        </w:tc>
        <w:tc>
          <w:tcPr>
            <w:tcW w:w="385" w:type="pct"/>
            <w:tcBorders>
              <w:top w:val="single" w:sz="4" w:space="0" w:color="auto"/>
              <w:left w:val="single" w:sz="4" w:space="0" w:color="auto"/>
              <w:bottom w:val="single" w:sz="4" w:space="0" w:color="auto"/>
              <w:right w:val="single" w:sz="4" w:space="0" w:color="auto"/>
            </w:tcBorders>
            <w:vAlign w:val="center"/>
          </w:tcPr>
          <w:p w14:paraId="59858958" w14:textId="77777777" w:rsidR="00054437" w:rsidRPr="000549B1" w:rsidRDefault="00000000">
            <w:pPr>
              <w:pStyle w:val="CharCharCharCharChar"/>
              <w:rPr>
                <w:color w:val="auto"/>
              </w:rPr>
            </w:pPr>
            <w:r w:rsidRPr="000549B1">
              <w:rPr>
                <w:color w:val="auto"/>
              </w:rPr>
              <w:t>1.94</w:t>
            </w:r>
          </w:p>
        </w:tc>
      </w:tr>
      <w:tr w:rsidR="000549B1" w:rsidRPr="000549B1" w14:paraId="1B1DEE4B" w14:textId="77777777">
        <w:trPr>
          <w:trHeight w:val="20"/>
          <w:jc w:val="center"/>
        </w:trPr>
        <w:tc>
          <w:tcPr>
            <w:tcW w:w="294" w:type="pct"/>
            <w:vMerge/>
            <w:tcBorders>
              <w:left w:val="single" w:sz="4" w:space="0" w:color="auto"/>
              <w:right w:val="single" w:sz="4" w:space="0" w:color="auto"/>
            </w:tcBorders>
            <w:vAlign w:val="center"/>
          </w:tcPr>
          <w:p w14:paraId="6C66F9A8" w14:textId="77777777" w:rsidR="00054437" w:rsidRPr="000549B1" w:rsidRDefault="00054437">
            <w:pPr>
              <w:pStyle w:val="CharCharCharCharChar"/>
              <w:rPr>
                <w:color w:val="auto"/>
              </w:rPr>
            </w:pPr>
          </w:p>
        </w:tc>
        <w:tc>
          <w:tcPr>
            <w:tcW w:w="332" w:type="pct"/>
            <w:vMerge/>
            <w:tcBorders>
              <w:left w:val="single" w:sz="4" w:space="0" w:color="auto"/>
              <w:right w:val="single" w:sz="4" w:space="0" w:color="auto"/>
            </w:tcBorders>
            <w:vAlign w:val="center"/>
          </w:tcPr>
          <w:p w14:paraId="45848D41" w14:textId="77777777" w:rsidR="00054437" w:rsidRPr="000549B1" w:rsidRDefault="00054437">
            <w:pPr>
              <w:pStyle w:val="CharCharCharCharChar"/>
              <w:rPr>
                <w:color w:val="auto"/>
              </w:rPr>
            </w:pPr>
          </w:p>
        </w:tc>
        <w:tc>
          <w:tcPr>
            <w:tcW w:w="859" w:type="pct"/>
            <w:vMerge/>
            <w:tcBorders>
              <w:left w:val="single" w:sz="4" w:space="0" w:color="auto"/>
              <w:right w:val="single" w:sz="4" w:space="0" w:color="auto"/>
            </w:tcBorders>
            <w:vAlign w:val="center"/>
          </w:tcPr>
          <w:p w14:paraId="092BCDC2" w14:textId="77777777" w:rsidR="00054437" w:rsidRPr="000549B1" w:rsidRDefault="00054437">
            <w:pPr>
              <w:pStyle w:val="CharCharCharCharChar"/>
              <w:rPr>
                <w:color w:val="auto"/>
              </w:rPr>
            </w:pPr>
          </w:p>
        </w:tc>
        <w:tc>
          <w:tcPr>
            <w:tcW w:w="757" w:type="pct"/>
            <w:vMerge/>
            <w:tcBorders>
              <w:left w:val="single" w:sz="4" w:space="0" w:color="auto"/>
              <w:right w:val="single" w:sz="4" w:space="0" w:color="auto"/>
            </w:tcBorders>
            <w:vAlign w:val="center"/>
          </w:tcPr>
          <w:p w14:paraId="70814877" w14:textId="77777777" w:rsidR="00054437" w:rsidRPr="000549B1" w:rsidRDefault="00054437">
            <w:pPr>
              <w:pStyle w:val="CharCharCharCharChar"/>
              <w:rPr>
                <w:color w:val="auto"/>
              </w:rPr>
            </w:pPr>
          </w:p>
        </w:tc>
        <w:tc>
          <w:tcPr>
            <w:tcW w:w="760" w:type="pct"/>
            <w:tcBorders>
              <w:top w:val="single" w:sz="4" w:space="0" w:color="auto"/>
              <w:left w:val="single" w:sz="4" w:space="0" w:color="auto"/>
              <w:bottom w:val="single" w:sz="4" w:space="0" w:color="auto"/>
              <w:right w:val="single" w:sz="4" w:space="0" w:color="auto"/>
            </w:tcBorders>
            <w:vAlign w:val="center"/>
          </w:tcPr>
          <w:p w14:paraId="2AC5F7E4" w14:textId="77777777" w:rsidR="00054437" w:rsidRPr="000549B1" w:rsidRDefault="00000000">
            <w:pPr>
              <w:pStyle w:val="CharCharCharCharChar"/>
              <w:rPr>
                <w:color w:val="auto"/>
              </w:rPr>
            </w:pPr>
            <w:r w:rsidRPr="000549B1">
              <w:rPr>
                <w:color w:val="auto"/>
              </w:rPr>
              <w:t>狗娃花</w:t>
            </w:r>
          </w:p>
        </w:tc>
        <w:tc>
          <w:tcPr>
            <w:tcW w:w="1134" w:type="pct"/>
            <w:vMerge/>
            <w:tcBorders>
              <w:left w:val="single" w:sz="4" w:space="0" w:color="auto"/>
              <w:right w:val="single" w:sz="4" w:space="0" w:color="auto"/>
            </w:tcBorders>
            <w:vAlign w:val="center"/>
          </w:tcPr>
          <w:p w14:paraId="07C3A6A5" w14:textId="77777777" w:rsidR="00054437" w:rsidRPr="000549B1" w:rsidRDefault="00054437">
            <w:pPr>
              <w:pStyle w:val="CharCharCharCharChar"/>
              <w:rPr>
                <w:color w:val="auto"/>
              </w:rPr>
            </w:pPr>
          </w:p>
        </w:tc>
        <w:tc>
          <w:tcPr>
            <w:tcW w:w="476" w:type="pct"/>
            <w:tcBorders>
              <w:top w:val="single" w:sz="4" w:space="0" w:color="auto"/>
              <w:left w:val="single" w:sz="4" w:space="0" w:color="auto"/>
              <w:bottom w:val="single" w:sz="4" w:space="0" w:color="auto"/>
              <w:right w:val="single" w:sz="4" w:space="0" w:color="auto"/>
            </w:tcBorders>
            <w:vAlign w:val="center"/>
          </w:tcPr>
          <w:p w14:paraId="77DCBFFC" w14:textId="77777777" w:rsidR="00054437" w:rsidRPr="000549B1" w:rsidRDefault="00000000">
            <w:pPr>
              <w:pStyle w:val="CharCharCharCharChar"/>
              <w:rPr>
                <w:color w:val="auto"/>
              </w:rPr>
            </w:pPr>
            <w:r w:rsidRPr="000549B1">
              <w:rPr>
                <w:color w:val="auto"/>
              </w:rPr>
              <w:t>158.6</w:t>
            </w:r>
          </w:p>
        </w:tc>
        <w:tc>
          <w:tcPr>
            <w:tcW w:w="385" w:type="pct"/>
            <w:tcBorders>
              <w:top w:val="single" w:sz="4" w:space="0" w:color="auto"/>
              <w:left w:val="single" w:sz="4" w:space="0" w:color="auto"/>
              <w:bottom w:val="single" w:sz="4" w:space="0" w:color="auto"/>
              <w:right w:val="single" w:sz="4" w:space="0" w:color="auto"/>
            </w:tcBorders>
            <w:vAlign w:val="center"/>
          </w:tcPr>
          <w:p w14:paraId="6ABE21A7" w14:textId="77777777" w:rsidR="00054437" w:rsidRPr="000549B1" w:rsidRDefault="00000000">
            <w:pPr>
              <w:pStyle w:val="CharCharCharCharChar"/>
              <w:rPr>
                <w:color w:val="auto"/>
              </w:rPr>
            </w:pPr>
            <w:r w:rsidRPr="000549B1">
              <w:rPr>
                <w:color w:val="auto"/>
              </w:rPr>
              <w:t>1.83</w:t>
            </w:r>
          </w:p>
        </w:tc>
      </w:tr>
      <w:tr w:rsidR="000549B1" w:rsidRPr="000549B1" w14:paraId="1FA197A6" w14:textId="77777777">
        <w:trPr>
          <w:trHeight w:val="20"/>
          <w:jc w:val="center"/>
        </w:trPr>
        <w:tc>
          <w:tcPr>
            <w:tcW w:w="294" w:type="pct"/>
            <w:vMerge/>
            <w:tcBorders>
              <w:left w:val="single" w:sz="4" w:space="0" w:color="auto"/>
              <w:right w:val="single" w:sz="4" w:space="0" w:color="auto"/>
            </w:tcBorders>
            <w:vAlign w:val="center"/>
          </w:tcPr>
          <w:p w14:paraId="664B78ED" w14:textId="77777777" w:rsidR="00054437" w:rsidRPr="000549B1" w:rsidRDefault="00054437">
            <w:pPr>
              <w:pStyle w:val="CharCharCharCharChar"/>
              <w:rPr>
                <w:color w:val="auto"/>
              </w:rPr>
            </w:pPr>
          </w:p>
        </w:tc>
        <w:tc>
          <w:tcPr>
            <w:tcW w:w="332" w:type="pct"/>
            <w:vMerge/>
            <w:tcBorders>
              <w:left w:val="single" w:sz="4" w:space="0" w:color="auto"/>
              <w:bottom w:val="single" w:sz="4" w:space="0" w:color="auto"/>
              <w:right w:val="single" w:sz="4" w:space="0" w:color="auto"/>
            </w:tcBorders>
            <w:vAlign w:val="center"/>
          </w:tcPr>
          <w:p w14:paraId="786B1973" w14:textId="77777777" w:rsidR="00054437" w:rsidRPr="000549B1" w:rsidRDefault="00054437">
            <w:pPr>
              <w:pStyle w:val="CharCharCharCharChar"/>
              <w:rPr>
                <w:color w:val="auto"/>
              </w:rPr>
            </w:pPr>
          </w:p>
        </w:tc>
        <w:tc>
          <w:tcPr>
            <w:tcW w:w="859" w:type="pct"/>
            <w:vMerge/>
            <w:tcBorders>
              <w:left w:val="single" w:sz="4" w:space="0" w:color="auto"/>
              <w:bottom w:val="single" w:sz="4" w:space="0" w:color="auto"/>
              <w:right w:val="single" w:sz="4" w:space="0" w:color="auto"/>
            </w:tcBorders>
            <w:vAlign w:val="center"/>
          </w:tcPr>
          <w:p w14:paraId="3FBC4C8F" w14:textId="77777777" w:rsidR="00054437" w:rsidRPr="000549B1" w:rsidRDefault="00054437">
            <w:pPr>
              <w:pStyle w:val="CharCharCharCharChar"/>
              <w:rPr>
                <w:color w:val="auto"/>
              </w:rPr>
            </w:pPr>
          </w:p>
        </w:tc>
        <w:tc>
          <w:tcPr>
            <w:tcW w:w="757" w:type="pct"/>
            <w:vMerge/>
            <w:tcBorders>
              <w:left w:val="single" w:sz="4" w:space="0" w:color="auto"/>
              <w:bottom w:val="single" w:sz="4" w:space="0" w:color="auto"/>
              <w:right w:val="single" w:sz="4" w:space="0" w:color="auto"/>
            </w:tcBorders>
            <w:vAlign w:val="center"/>
          </w:tcPr>
          <w:p w14:paraId="35D1E67D" w14:textId="77777777" w:rsidR="00054437" w:rsidRPr="000549B1" w:rsidRDefault="00054437">
            <w:pPr>
              <w:pStyle w:val="CharCharCharCharChar"/>
              <w:rPr>
                <w:color w:val="auto"/>
              </w:rPr>
            </w:pPr>
          </w:p>
        </w:tc>
        <w:tc>
          <w:tcPr>
            <w:tcW w:w="760" w:type="pct"/>
            <w:tcBorders>
              <w:top w:val="single" w:sz="4" w:space="0" w:color="auto"/>
              <w:left w:val="single" w:sz="4" w:space="0" w:color="auto"/>
              <w:bottom w:val="single" w:sz="4" w:space="0" w:color="auto"/>
              <w:right w:val="single" w:sz="4" w:space="0" w:color="auto"/>
            </w:tcBorders>
            <w:vAlign w:val="center"/>
          </w:tcPr>
          <w:p w14:paraId="50840966" w14:textId="77777777" w:rsidR="00054437" w:rsidRPr="000549B1" w:rsidRDefault="00000000">
            <w:pPr>
              <w:pStyle w:val="CharCharCharCharChar"/>
              <w:rPr>
                <w:color w:val="auto"/>
              </w:rPr>
            </w:pPr>
            <w:r w:rsidRPr="000549B1">
              <w:rPr>
                <w:color w:val="auto"/>
              </w:rPr>
              <w:t>画眉草</w:t>
            </w:r>
          </w:p>
        </w:tc>
        <w:tc>
          <w:tcPr>
            <w:tcW w:w="1134" w:type="pct"/>
            <w:vMerge/>
            <w:tcBorders>
              <w:left w:val="single" w:sz="4" w:space="0" w:color="auto"/>
              <w:bottom w:val="single" w:sz="4" w:space="0" w:color="auto"/>
              <w:right w:val="single" w:sz="4" w:space="0" w:color="auto"/>
            </w:tcBorders>
            <w:vAlign w:val="center"/>
          </w:tcPr>
          <w:p w14:paraId="74696C89" w14:textId="77777777" w:rsidR="00054437" w:rsidRPr="000549B1" w:rsidRDefault="00054437">
            <w:pPr>
              <w:pStyle w:val="CharCharCharCharChar"/>
              <w:rPr>
                <w:color w:val="auto"/>
              </w:rPr>
            </w:pPr>
          </w:p>
        </w:tc>
        <w:tc>
          <w:tcPr>
            <w:tcW w:w="476" w:type="pct"/>
            <w:tcBorders>
              <w:top w:val="single" w:sz="4" w:space="0" w:color="auto"/>
              <w:left w:val="single" w:sz="4" w:space="0" w:color="auto"/>
              <w:bottom w:val="single" w:sz="4" w:space="0" w:color="auto"/>
              <w:right w:val="single" w:sz="4" w:space="0" w:color="auto"/>
            </w:tcBorders>
            <w:vAlign w:val="center"/>
          </w:tcPr>
          <w:p w14:paraId="0B75C5D9" w14:textId="77777777" w:rsidR="00054437" w:rsidRPr="000549B1" w:rsidRDefault="00000000">
            <w:pPr>
              <w:pStyle w:val="CharCharCharCharChar"/>
              <w:rPr>
                <w:color w:val="auto"/>
              </w:rPr>
            </w:pPr>
            <w:r w:rsidRPr="000549B1">
              <w:rPr>
                <w:color w:val="auto"/>
              </w:rPr>
              <w:t>86.82</w:t>
            </w:r>
          </w:p>
        </w:tc>
        <w:tc>
          <w:tcPr>
            <w:tcW w:w="385" w:type="pct"/>
            <w:tcBorders>
              <w:top w:val="single" w:sz="4" w:space="0" w:color="auto"/>
              <w:left w:val="single" w:sz="4" w:space="0" w:color="auto"/>
              <w:bottom w:val="single" w:sz="4" w:space="0" w:color="auto"/>
              <w:right w:val="single" w:sz="4" w:space="0" w:color="auto"/>
            </w:tcBorders>
            <w:vAlign w:val="center"/>
          </w:tcPr>
          <w:p w14:paraId="4033D5E5" w14:textId="77777777" w:rsidR="00054437" w:rsidRPr="000549B1" w:rsidRDefault="00000000">
            <w:pPr>
              <w:pStyle w:val="CharCharCharCharChar"/>
              <w:rPr>
                <w:color w:val="auto"/>
              </w:rPr>
            </w:pPr>
            <w:r w:rsidRPr="000549B1">
              <w:rPr>
                <w:color w:val="auto"/>
              </w:rPr>
              <w:t>1.00</w:t>
            </w:r>
          </w:p>
        </w:tc>
      </w:tr>
      <w:tr w:rsidR="000549B1" w:rsidRPr="000549B1" w14:paraId="5774BBE2" w14:textId="77777777">
        <w:trPr>
          <w:trHeight w:val="20"/>
          <w:jc w:val="center"/>
        </w:trPr>
        <w:tc>
          <w:tcPr>
            <w:tcW w:w="294" w:type="pct"/>
            <w:vMerge/>
            <w:tcBorders>
              <w:left w:val="single" w:sz="4" w:space="0" w:color="auto"/>
              <w:bottom w:val="single" w:sz="4" w:space="0" w:color="auto"/>
              <w:right w:val="single" w:sz="4" w:space="0" w:color="auto"/>
            </w:tcBorders>
            <w:vAlign w:val="center"/>
          </w:tcPr>
          <w:p w14:paraId="15436C89" w14:textId="77777777" w:rsidR="00054437" w:rsidRPr="000549B1" w:rsidRDefault="00054437">
            <w:pPr>
              <w:pStyle w:val="CharCharCharCharChar"/>
              <w:rPr>
                <w:color w:val="auto"/>
              </w:rPr>
            </w:pPr>
          </w:p>
        </w:tc>
        <w:tc>
          <w:tcPr>
            <w:tcW w:w="332" w:type="pct"/>
            <w:tcBorders>
              <w:left w:val="single" w:sz="4" w:space="0" w:color="auto"/>
              <w:bottom w:val="single" w:sz="4" w:space="0" w:color="auto"/>
              <w:right w:val="single" w:sz="4" w:space="0" w:color="auto"/>
            </w:tcBorders>
            <w:vAlign w:val="center"/>
          </w:tcPr>
          <w:p w14:paraId="56A78435" w14:textId="77777777" w:rsidR="00054437" w:rsidRPr="000549B1" w:rsidRDefault="00000000">
            <w:pPr>
              <w:pStyle w:val="CharCharCharCharChar"/>
              <w:rPr>
                <w:color w:val="auto"/>
              </w:rPr>
            </w:pPr>
            <w:r w:rsidRPr="000549B1">
              <w:rPr>
                <w:color w:val="auto"/>
              </w:rPr>
              <w:t>草甸</w:t>
            </w:r>
          </w:p>
        </w:tc>
        <w:tc>
          <w:tcPr>
            <w:tcW w:w="859" w:type="pct"/>
            <w:tcBorders>
              <w:left w:val="single" w:sz="4" w:space="0" w:color="auto"/>
              <w:bottom w:val="single" w:sz="4" w:space="0" w:color="auto"/>
              <w:right w:val="single" w:sz="4" w:space="0" w:color="auto"/>
            </w:tcBorders>
            <w:vAlign w:val="center"/>
          </w:tcPr>
          <w:p w14:paraId="7387C72F" w14:textId="77777777" w:rsidR="00054437" w:rsidRPr="000549B1" w:rsidRDefault="00000000">
            <w:pPr>
              <w:pStyle w:val="CharCharCharCharChar"/>
              <w:rPr>
                <w:color w:val="auto"/>
              </w:rPr>
            </w:pPr>
            <w:r w:rsidRPr="000549B1">
              <w:rPr>
                <w:color w:val="auto"/>
              </w:rPr>
              <w:t>（四）</w:t>
            </w:r>
          </w:p>
          <w:p w14:paraId="3AF13F6D" w14:textId="77777777" w:rsidR="00054437" w:rsidRPr="000549B1" w:rsidRDefault="00000000">
            <w:pPr>
              <w:pStyle w:val="CharCharCharCharChar"/>
              <w:rPr>
                <w:color w:val="auto"/>
              </w:rPr>
            </w:pPr>
            <w:r w:rsidRPr="000549B1">
              <w:rPr>
                <w:color w:val="auto"/>
              </w:rPr>
              <w:t>河漫滩草甸</w:t>
            </w:r>
          </w:p>
        </w:tc>
        <w:tc>
          <w:tcPr>
            <w:tcW w:w="757" w:type="pct"/>
            <w:tcBorders>
              <w:left w:val="single" w:sz="4" w:space="0" w:color="auto"/>
              <w:bottom w:val="single" w:sz="4" w:space="0" w:color="auto"/>
              <w:right w:val="single" w:sz="4" w:space="0" w:color="auto"/>
            </w:tcBorders>
            <w:vAlign w:val="center"/>
          </w:tcPr>
          <w:p w14:paraId="541AFB0F" w14:textId="77777777" w:rsidR="00054437" w:rsidRPr="000549B1" w:rsidRDefault="00000000">
            <w:pPr>
              <w:pStyle w:val="CharCharCharCharChar"/>
              <w:rPr>
                <w:color w:val="auto"/>
              </w:rPr>
            </w:pPr>
            <w:r w:rsidRPr="000549B1">
              <w:rPr>
                <w:color w:val="auto"/>
              </w:rPr>
              <w:t>温带禾草、杂类草草甸</w:t>
            </w:r>
          </w:p>
        </w:tc>
        <w:tc>
          <w:tcPr>
            <w:tcW w:w="760" w:type="pct"/>
            <w:tcBorders>
              <w:top w:val="single" w:sz="4" w:space="0" w:color="auto"/>
              <w:left w:val="single" w:sz="4" w:space="0" w:color="auto"/>
              <w:bottom w:val="single" w:sz="4" w:space="0" w:color="auto"/>
              <w:right w:val="single" w:sz="4" w:space="0" w:color="auto"/>
            </w:tcBorders>
            <w:vAlign w:val="center"/>
          </w:tcPr>
          <w:p w14:paraId="2A1E4CB6" w14:textId="77777777" w:rsidR="00054437" w:rsidRPr="000549B1" w:rsidRDefault="00000000">
            <w:pPr>
              <w:pStyle w:val="CharCharCharCharChar"/>
              <w:rPr>
                <w:color w:val="auto"/>
              </w:rPr>
            </w:pPr>
            <w:r w:rsidRPr="000549B1">
              <w:rPr>
                <w:color w:val="auto"/>
              </w:rPr>
              <w:t>麻花艽</w:t>
            </w:r>
          </w:p>
        </w:tc>
        <w:tc>
          <w:tcPr>
            <w:tcW w:w="1134" w:type="pct"/>
            <w:tcBorders>
              <w:left w:val="single" w:sz="4" w:space="0" w:color="auto"/>
              <w:bottom w:val="single" w:sz="4" w:space="0" w:color="auto"/>
              <w:right w:val="single" w:sz="4" w:space="0" w:color="auto"/>
            </w:tcBorders>
            <w:vAlign w:val="center"/>
          </w:tcPr>
          <w:p w14:paraId="6771A8EC" w14:textId="77777777" w:rsidR="00054437" w:rsidRPr="000549B1" w:rsidRDefault="00000000">
            <w:pPr>
              <w:pStyle w:val="CharCharCharCharChar"/>
              <w:rPr>
                <w:color w:val="auto"/>
              </w:rPr>
            </w:pPr>
            <w:r w:rsidRPr="000549B1">
              <w:rPr>
                <w:color w:val="auto"/>
              </w:rPr>
              <w:t>分布在切吉河两岸河滩地</w:t>
            </w:r>
          </w:p>
        </w:tc>
        <w:tc>
          <w:tcPr>
            <w:tcW w:w="476" w:type="pct"/>
            <w:tcBorders>
              <w:top w:val="single" w:sz="4" w:space="0" w:color="auto"/>
              <w:left w:val="single" w:sz="4" w:space="0" w:color="auto"/>
              <w:bottom w:val="single" w:sz="4" w:space="0" w:color="auto"/>
              <w:right w:val="single" w:sz="4" w:space="0" w:color="auto"/>
            </w:tcBorders>
            <w:vAlign w:val="center"/>
          </w:tcPr>
          <w:p w14:paraId="0E6A5887" w14:textId="77777777" w:rsidR="00054437" w:rsidRPr="000549B1" w:rsidRDefault="00000000">
            <w:pPr>
              <w:pStyle w:val="CharCharCharCharChar"/>
              <w:rPr>
                <w:color w:val="auto"/>
              </w:rPr>
            </w:pPr>
            <w:r w:rsidRPr="000549B1">
              <w:rPr>
                <w:color w:val="auto"/>
              </w:rPr>
              <w:t>162.73</w:t>
            </w:r>
          </w:p>
        </w:tc>
        <w:tc>
          <w:tcPr>
            <w:tcW w:w="385" w:type="pct"/>
            <w:tcBorders>
              <w:top w:val="single" w:sz="4" w:space="0" w:color="auto"/>
              <w:left w:val="single" w:sz="4" w:space="0" w:color="auto"/>
              <w:bottom w:val="single" w:sz="4" w:space="0" w:color="auto"/>
              <w:right w:val="single" w:sz="4" w:space="0" w:color="auto"/>
            </w:tcBorders>
            <w:vAlign w:val="center"/>
          </w:tcPr>
          <w:p w14:paraId="20D2F103" w14:textId="77777777" w:rsidR="00054437" w:rsidRPr="000549B1" w:rsidRDefault="00000000">
            <w:pPr>
              <w:pStyle w:val="CharCharCharCharChar"/>
              <w:rPr>
                <w:color w:val="auto"/>
              </w:rPr>
            </w:pPr>
            <w:r w:rsidRPr="000549B1">
              <w:rPr>
                <w:color w:val="auto"/>
              </w:rPr>
              <w:t>1.88</w:t>
            </w:r>
          </w:p>
        </w:tc>
      </w:tr>
      <w:tr w:rsidR="000549B1" w:rsidRPr="000549B1" w14:paraId="734271FB" w14:textId="77777777">
        <w:trPr>
          <w:trHeight w:val="20"/>
          <w:jc w:val="center"/>
        </w:trPr>
        <w:tc>
          <w:tcPr>
            <w:tcW w:w="294" w:type="pct"/>
            <w:tcBorders>
              <w:top w:val="nil"/>
              <w:left w:val="single" w:sz="4" w:space="0" w:color="auto"/>
              <w:bottom w:val="single" w:sz="4" w:space="0" w:color="auto"/>
              <w:right w:val="single" w:sz="4" w:space="0" w:color="auto"/>
            </w:tcBorders>
            <w:vAlign w:val="center"/>
          </w:tcPr>
          <w:p w14:paraId="3458A4FE" w14:textId="77777777" w:rsidR="00054437" w:rsidRPr="000549B1" w:rsidRDefault="00000000">
            <w:pPr>
              <w:pStyle w:val="CharCharCharCharChar"/>
              <w:rPr>
                <w:color w:val="auto"/>
              </w:rPr>
            </w:pPr>
            <w:r w:rsidRPr="000549B1">
              <w:rPr>
                <w:color w:val="auto"/>
              </w:rPr>
              <w:t>人工植被</w:t>
            </w:r>
          </w:p>
        </w:tc>
        <w:tc>
          <w:tcPr>
            <w:tcW w:w="332" w:type="pct"/>
            <w:tcBorders>
              <w:top w:val="nil"/>
              <w:left w:val="single" w:sz="4" w:space="0" w:color="auto"/>
              <w:bottom w:val="single" w:sz="4" w:space="0" w:color="auto"/>
              <w:right w:val="single" w:sz="4" w:space="0" w:color="auto"/>
            </w:tcBorders>
            <w:vAlign w:val="center"/>
          </w:tcPr>
          <w:p w14:paraId="47BE8096" w14:textId="77777777" w:rsidR="00054437" w:rsidRPr="000549B1" w:rsidRDefault="00000000">
            <w:pPr>
              <w:pStyle w:val="CharCharCharCharChar"/>
              <w:rPr>
                <w:color w:val="auto"/>
              </w:rPr>
            </w:pPr>
            <w:r w:rsidRPr="000549B1">
              <w:rPr>
                <w:color w:val="auto"/>
              </w:rPr>
              <w:t>农业植被</w:t>
            </w:r>
          </w:p>
        </w:tc>
        <w:tc>
          <w:tcPr>
            <w:tcW w:w="859" w:type="pct"/>
            <w:tcBorders>
              <w:top w:val="single" w:sz="4" w:space="0" w:color="auto"/>
              <w:left w:val="single" w:sz="4" w:space="0" w:color="auto"/>
              <w:bottom w:val="single" w:sz="4" w:space="0" w:color="auto"/>
              <w:right w:val="single" w:sz="4" w:space="0" w:color="auto"/>
            </w:tcBorders>
            <w:vAlign w:val="center"/>
          </w:tcPr>
          <w:p w14:paraId="7257CBF0" w14:textId="77777777" w:rsidR="00054437" w:rsidRPr="000549B1" w:rsidRDefault="00000000">
            <w:pPr>
              <w:pStyle w:val="CharCharCharCharChar"/>
              <w:rPr>
                <w:color w:val="auto"/>
              </w:rPr>
            </w:pPr>
            <w:r w:rsidRPr="000549B1">
              <w:rPr>
                <w:color w:val="auto"/>
              </w:rPr>
              <w:t>（五）</w:t>
            </w:r>
            <w:r w:rsidRPr="000549B1">
              <w:rPr>
                <w:color w:val="auto"/>
              </w:rPr>
              <w:t>—</w:t>
            </w:r>
            <w:r w:rsidRPr="000549B1">
              <w:rPr>
                <w:color w:val="auto"/>
              </w:rPr>
              <w:t>年一熟粮食作物及耐寒经济作物</w:t>
            </w:r>
          </w:p>
        </w:tc>
        <w:tc>
          <w:tcPr>
            <w:tcW w:w="757" w:type="pct"/>
            <w:tcBorders>
              <w:top w:val="single" w:sz="4" w:space="0" w:color="auto"/>
              <w:left w:val="single" w:sz="4" w:space="0" w:color="auto"/>
              <w:bottom w:val="single" w:sz="4" w:space="0" w:color="auto"/>
              <w:right w:val="single" w:sz="4" w:space="0" w:color="auto"/>
            </w:tcBorders>
            <w:vAlign w:val="center"/>
          </w:tcPr>
          <w:p w14:paraId="2D37A109" w14:textId="77777777" w:rsidR="00054437" w:rsidRPr="000549B1" w:rsidRDefault="00000000">
            <w:pPr>
              <w:pStyle w:val="CharCharCharCharChar"/>
              <w:rPr>
                <w:color w:val="auto"/>
              </w:rPr>
            </w:pPr>
            <w:r w:rsidRPr="000549B1">
              <w:rPr>
                <w:color w:val="auto"/>
              </w:rPr>
              <w:t>—</w:t>
            </w:r>
            <w:r w:rsidRPr="000549B1">
              <w:rPr>
                <w:color w:val="auto"/>
              </w:rPr>
              <w:t>年一熟粮食作物及耐寒经济作物</w:t>
            </w:r>
          </w:p>
        </w:tc>
        <w:tc>
          <w:tcPr>
            <w:tcW w:w="760" w:type="pct"/>
            <w:tcBorders>
              <w:top w:val="single" w:sz="4" w:space="0" w:color="auto"/>
              <w:left w:val="single" w:sz="4" w:space="0" w:color="auto"/>
              <w:bottom w:val="single" w:sz="4" w:space="0" w:color="auto"/>
              <w:right w:val="single" w:sz="4" w:space="0" w:color="auto"/>
            </w:tcBorders>
            <w:vAlign w:val="center"/>
          </w:tcPr>
          <w:p w14:paraId="4A29B102" w14:textId="77777777" w:rsidR="00054437" w:rsidRPr="000549B1" w:rsidRDefault="00000000">
            <w:pPr>
              <w:pStyle w:val="CharCharCharCharChar"/>
              <w:rPr>
                <w:color w:val="auto"/>
              </w:rPr>
            </w:pPr>
            <w:r w:rsidRPr="000549B1">
              <w:rPr>
                <w:color w:val="auto"/>
              </w:rPr>
              <w:t>青稞、春小麦、油菜、马铃薯等</w:t>
            </w:r>
          </w:p>
        </w:tc>
        <w:tc>
          <w:tcPr>
            <w:tcW w:w="1134" w:type="pct"/>
            <w:tcBorders>
              <w:top w:val="single" w:sz="4" w:space="0" w:color="auto"/>
              <w:left w:val="single" w:sz="4" w:space="0" w:color="auto"/>
              <w:bottom w:val="single" w:sz="4" w:space="0" w:color="auto"/>
              <w:right w:val="single" w:sz="4" w:space="0" w:color="auto"/>
            </w:tcBorders>
            <w:vAlign w:val="center"/>
          </w:tcPr>
          <w:p w14:paraId="3C78724B" w14:textId="77777777" w:rsidR="00054437" w:rsidRPr="000549B1" w:rsidRDefault="00000000">
            <w:pPr>
              <w:pStyle w:val="CharCharCharCharChar"/>
              <w:rPr>
                <w:color w:val="auto"/>
              </w:rPr>
            </w:pPr>
            <w:r w:rsidRPr="000549B1">
              <w:rPr>
                <w:color w:val="auto"/>
              </w:rPr>
              <w:t>村落附近</w:t>
            </w:r>
          </w:p>
        </w:tc>
        <w:tc>
          <w:tcPr>
            <w:tcW w:w="476" w:type="pct"/>
            <w:tcBorders>
              <w:top w:val="single" w:sz="4" w:space="0" w:color="auto"/>
              <w:left w:val="single" w:sz="4" w:space="0" w:color="auto"/>
              <w:bottom w:val="single" w:sz="4" w:space="0" w:color="auto"/>
              <w:right w:val="single" w:sz="4" w:space="0" w:color="auto"/>
            </w:tcBorders>
            <w:vAlign w:val="center"/>
          </w:tcPr>
          <w:p w14:paraId="73C5758B" w14:textId="77777777" w:rsidR="00054437" w:rsidRPr="000549B1" w:rsidRDefault="00000000">
            <w:pPr>
              <w:pStyle w:val="CharCharCharCharChar"/>
              <w:rPr>
                <w:color w:val="auto"/>
              </w:rPr>
            </w:pPr>
            <w:r w:rsidRPr="000549B1">
              <w:rPr>
                <w:color w:val="auto"/>
              </w:rPr>
              <w:t>195.94</w:t>
            </w:r>
          </w:p>
        </w:tc>
        <w:tc>
          <w:tcPr>
            <w:tcW w:w="385" w:type="pct"/>
            <w:tcBorders>
              <w:top w:val="single" w:sz="4" w:space="0" w:color="auto"/>
              <w:left w:val="single" w:sz="4" w:space="0" w:color="auto"/>
              <w:bottom w:val="single" w:sz="4" w:space="0" w:color="auto"/>
              <w:right w:val="single" w:sz="4" w:space="0" w:color="auto"/>
            </w:tcBorders>
            <w:vAlign w:val="center"/>
          </w:tcPr>
          <w:p w14:paraId="793B4E94" w14:textId="77777777" w:rsidR="00054437" w:rsidRPr="000549B1" w:rsidRDefault="00000000">
            <w:pPr>
              <w:pStyle w:val="CharCharCharCharChar"/>
              <w:rPr>
                <w:color w:val="auto"/>
              </w:rPr>
            </w:pPr>
            <w:r w:rsidRPr="000549B1">
              <w:rPr>
                <w:color w:val="auto"/>
              </w:rPr>
              <w:t>2.26</w:t>
            </w:r>
          </w:p>
        </w:tc>
      </w:tr>
      <w:tr w:rsidR="000549B1" w:rsidRPr="000549B1" w14:paraId="13F660AC" w14:textId="77777777">
        <w:trPr>
          <w:trHeight w:val="20"/>
          <w:jc w:val="center"/>
        </w:trPr>
        <w:tc>
          <w:tcPr>
            <w:tcW w:w="294" w:type="pct"/>
            <w:tcBorders>
              <w:top w:val="single" w:sz="4" w:space="0" w:color="auto"/>
              <w:left w:val="single" w:sz="4" w:space="0" w:color="auto"/>
              <w:bottom w:val="single" w:sz="4" w:space="0" w:color="auto"/>
              <w:right w:val="single" w:sz="4" w:space="0" w:color="auto"/>
            </w:tcBorders>
          </w:tcPr>
          <w:p w14:paraId="571BB1E1" w14:textId="77777777" w:rsidR="00054437" w:rsidRPr="000549B1" w:rsidRDefault="00000000">
            <w:pPr>
              <w:pStyle w:val="CharCharCharCharChar"/>
              <w:rPr>
                <w:color w:val="auto"/>
              </w:rPr>
            </w:pPr>
            <w:r w:rsidRPr="000549B1">
              <w:rPr>
                <w:color w:val="auto"/>
              </w:rPr>
              <w:t>其他</w:t>
            </w:r>
          </w:p>
        </w:tc>
        <w:tc>
          <w:tcPr>
            <w:tcW w:w="2709" w:type="pct"/>
            <w:gridSpan w:val="4"/>
            <w:tcBorders>
              <w:top w:val="single" w:sz="4" w:space="0" w:color="auto"/>
              <w:left w:val="single" w:sz="4" w:space="0" w:color="auto"/>
              <w:bottom w:val="single" w:sz="4" w:space="0" w:color="auto"/>
              <w:right w:val="single" w:sz="4" w:space="0" w:color="auto"/>
            </w:tcBorders>
            <w:vAlign w:val="center"/>
          </w:tcPr>
          <w:p w14:paraId="5C83DCC7" w14:textId="77777777" w:rsidR="00054437" w:rsidRPr="000549B1" w:rsidRDefault="00000000">
            <w:pPr>
              <w:pStyle w:val="CharCharCharCharChar"/>
              <w:rPr>
                <w:color w:val="auto"/>
              </w:rPr>
            </w:pPr>
            <w:r w:rsidRPr="000549B1">
              <w:rPr>
                <w:color w:val="auto"/>
              </w:rPr>
              <w:t>无植被区</w:t>
            </w:r>
          </w:p>
        </w:tc>
        <w:tc>
          <w:tcPr>
            <w:tcW w:w="1134" w:type="pct"/>
            <w:tcBorders>
              <w:top w:val="single" w:sz="4" w:space="0" w:color="auto"/>
              <w:left w:val="single" w:sz="4" w:space="0" w:color="auto"/>
              <w:bottom w:val="single" w:sz="4" w:space="0" w:color="auto"/>
              <w:right w:val="single" w:sz="4" w:space="0" w:color="auto"/>
            </w:tcBorders>
            <w:vAlign w:val="center"/>
          </w:tcPr>
          <w:p w14:paraId="49B9A88B" w14:textId="77777777" w:rsidR="00054437" w:rsidRPr="000549B1" w:rsidRDefault="00000000">
            <w:pPr>
              <w:pStyle w:val="CharCharCharCharChar"/>
              <w:rPr>
                <w:color w:val="auto"/>
              </w:rPr>
            </w:pPr>
            <w:r w:rsidRPr="000549B1">
              <w:rPr>
                <w:color w:val="auto"/>
              </w:rPr>
              <w:t>建设用地、水域</w:t>
            </w:r>
          </w:p>
        </w:tc>
        <w:tc>
          <w:tcPr>
            <w:tcW w:w="476" w:type="pct"/>
            <w:tcBorders>
              <w:top w:val="single" w:sz="4" w:space="0" w:color="auto"/>
              <w:left w:val="single" w:sz="4" w:space="0" w:color="auto"/>
              <w:bottom w:val="single" w:sz="4" w:space="0" w:color="auto"/>
              <w:right w:val="single" w:sz="4" w:space="0" w:color="auto"/>
            </w:tcBorders>
            <w:vAlign w:val="center"/>
          </w:tcPr>
          <w:p w14:paraId="7283A5B3" w14:textId="77777777" w:rsidR="00054437" w:rsidRPr="000549B1" w:rsidRDefault="00000000">
            <w:pPr>
              <w:pStyle w:val="CharCharCharCharChar"/>
              <w:rPr>
                <w:color w:val="auto"/>
              </w:rPr>
            </w:pPr>
            <w:r w:rsidRPr="000549B1">
              <w:rPr>
                <w:color w:val="auto"/>
              </w:rPr>
              <w:t>328.52</w:t>
            </w:r>
          </w:p>
        </w:tc>
        <w:tc>
          <w:tcPr>
            <w:tcW w:w="385" w:type="pct"/>
            <w:tcBorders>
              <w:top w:val="single" w:sz="4" w:space="0" w:color="auto"/>
              <w:left w:val="single" w:sz="4" w:space="0" w:color="auto"/>
              <w:bottom w:val="single" w:sz="4" w:space="0" w:color="auto"/>
              <w:right w:val="single" w:sz="4" w:space="0" w:color="auto"/>
            </w:tcBorders>
            <w:vAlign w:val="center"/>
          </w:tcPr>
          <w:p w14:paraId="3F78AFA0" w14:textId="77777777" w:rsidR="00054437" w:rsidRPr="000549B1" w:rsidRDefault="00000000">
            <w:pPr>
              <w:pStyle w:val="CharCharCharCharChar"/>
              <w:rPr>
                <w:color w:val="auto"/>
              </w:rPr>
            </w:pPr>
            <w:r w:rsidRPr="000549B1">
              <w:rPr>
                <w:color w:val="auto"/>
              </w:rPr>
              <w:t>3.79</w:t>
            </w:r>
          </w:p>
        </w:tc>
      </w:tr>
      <w:tr w:rsidR="000549B1" w:rsidRPr="000549B1" w14:paraId="6587F439" w14:textId="77777777">
        <w:trPr>
          <w:trHeight w:val="20"/>
          <w:jc w:val="center"/>
        </w:trPr>
        <w:tc>
          <w:tcPr>
            <w:tcW w:w="4138" w:type="pct"/>
            <w:gridSpan w:val="6"/>
            <w:tcBorders>
              <w:top w:val="single" w:sz="4" w:space="0" w:color="auto"/>
              <w:left w:val="single" w:sz="4" w:space="0" w:color="auto"/>
              <w:bottom w:val="single" w:sz="4" w:space="0" w:color="auto"/>
              <w:right w:val="single" w:sz="4" w:space="0" w:color="auto"/>
            </w:tcBorders>
          </w:tcPr>
          <w:p w14:paraId="6DE76E43" w14:textId="77777777" w:rsidR="00054437" w:rsidRPr="000549B1" w:rsidRDefault="00000000">
            <w:pPr>
              <w:pStyle w:val="CharCharCharCharChar"/>
              <w:rPr>
                <w:color w:val="auto"/>
              </w:rPr>
            </w:pPr>
            <w:r w:rsidRPr="000549B1">
              <w:rPr>
                <w:color w:val="auto"/>
              </w:rPr>
              <w:t>合计</w:t>
            </w:r>
          </w:p>
        </w:tc>
        <w:tc>
          <w:tcPr>
            <w:tcW w:w="476" w:type="pct"/>
            <w:tcBorders>
              <w:top w:val="single" w:sz="4" w:space="0" w:color="auto"/>
              <w:left w:val="single" w:sz="4" w:space="0" w:color="auto"/>
              <w:bottom w:val="single" w:sz="4" w:space="0" w:color="auto"/>
              <w:right w:val="single" w:sz="4" w:space="0" w:color="auto"/>
            </w:tcBorders>
            <w:vAlign w:val="center"/>
          </w:tcPr>
          <w:p w14:paraId="627E00FD" w14:textId="77777777" w:rsidR="00054437" w:rsidRPr="000549B1" w:rsidRDefault="00000000">
            <w:pPr>
              <w:pStyle w:val="CharCharCharCharChar"/>
              <w:rPr>
                <w:color w:val="auto"/>
              </w:rPr>
            </w:pPr>
            <w:r w:rsidRPr="000549B1">
              <w:rPr>
                <w:color w:val="auto"/>
              </w:rPr>
              <w:t>8667.60</w:t>
            </w:r>
          </w:p>
        </w:tc>
        <w:tc>
          <w:tcPr>
            <w:tcW w:w="385" w:type="pct"/>
            <w:tcBorders>
              <w:top w:val="single" w:sz="4" w:space="0" w:color="auto"/>
              <w:left w:val="single" w:sz="4" w:space="0" w:color="auto"/>
              <w:bottom w:val="single" w:sz="4" w:space="0" w:color="auto"/>
              <w:right w:val="single" w:sz="4" w:space="0" w:color="auto"/>
            </w:tcBorders>
            <w:vAlign w:val="center"/>
          </w:tcPr>
          <w:p w14:paraId="16F8E578" w14:textId="77777777" w:rsidR="00054437" w:rsidRPr="000549B1" w:rsidRDefault="00000000">
            <w:pPr>
              <w:pStyle w:val="CharCharCharCharChar"/>
              <w:rPr>
                <w:color w:val="auto"/>
              </w:rPr>
            </w:pPr>
            <w:r w:rsidRPr="000549B1">
              <w:rPr>
                <w:color w:val="auto"/>
              </w:rPr>
              <w:t>100</w:t>
            </w:r>
          </w:p>
        </w:tc>
      </w:tr>
    </w:tbl>
    <w:p w14:paraId="2BB1216C" w14:textId="77777777" w:rsidR="00054437" w:rsidRPr="000549B1" w:rsidRDefault="00000000">
      <w:pPr>
        <w:spacing w:line="360" w:lineRule="auto"/>
        <w:ind w:firstLine="480"/>
        <w:rPr>
          <w:sz w:val="24"/>
          <w:szCs w:val="24"/>
        </w:rPr>
      </w:pPr>
      <w:r w:rsidRPr="000549B1">
        <w:rPr>
          <w:sz w:val="24"/>
          <w:szCs w:val="24"/>
        </w:rPr>
        <w:t>沙珠玉河流域乔木植被以耐寒、耐旱的树种为主，以青杨（</w:t>
      </w:r>
      <w:r w:rsidRPr="000549B1">
        <w:rPr>
          <w:i/>
          <w:iCs/>
          <w:sz w:val="24"/>
          <w:szCs w:val="24"/>
        </w:rPr>
        <w:t>Populuscathayana</w:t>
      </w:r>
      <w:r w:rsidRPr="000549B1">
        <w:rPr>
          <w:sz w:val="24"/>
          <w:szCs w:val="24"/>
        </w:rPr>
        <w:t>）和小叶杨（</w:t>
      </w:r>
      <w:r w:rsidRPr="000549B1">
        <w:rPr>
          <w:i/>
          <w:iCs/>
          <w:sz w:val="24"/>
          <w:szCs w:val="24"/>
        </w:rPr>
        <w:t>Populussimoni</w:t>
      </w:r>
      <w:r w:rsidRPr="000549B1">
        <w:rPr>
          <w:sz w:val="24"/>
          <w:szCs w:val="24"/>
        </w:rPr>
        <w:t>i</w:t>
      </w:r>
      <w:r w:rsidRPr="000549B1">
        <w:rPr>
          <w:sz w:val="24"/>
          <w:szCs w:val="24"/>
        </w:rPr>
        <w:t>）为优势种，形成典型的高原防护林体系，其植被生态特征呈现显著的地域性与适应性。杨树群系主要分布在评价范围内的农田周边、村庄聚落附近或公路沿线，杨树多作为农田防护林、防风固沙林或绿化树种植，多为线性或块状。</w:t>
      </w:r>
    </w:p>
    <w:p w14:paraId="455C0998" w14:textId="77777777" w:rsidR="00054437" w:rsidRPr="000549B1" w:rsidRDefault="00000000">
      <w:pPr>
        <w:spacing w:line="360" w:lineRule="auto"/>
        <w:ind w:firstLine="480"/>
        <w:rPr>
          <w:sz w:val="24"/>
          <w:szCs w:val="24"/>
        </w:rPr>
      </w:pPr>
      <w:r w:rsidRPr="000549B1">
        <w:rPr>
          <w:sz w:val="24"/>
          <w:szCs w:val="24"/>
        </w:rPr>
        <w:t>沙珠玉河流域灌木以柠条锦鸡儿、金露梅和红砂为主，主要分布于沙地、山地的河谷阶地及山麓缓坡等区域；灌木群落呈现明显的水平分异，海拔</w:t>
      </w:r>
      <w:r w:rsidRPr="000549B1">
        <w:rPr>
          <w:sz w:val="24"/>
          <w:szCs w:val="24"/>
        </w:rPr>
        <w:t>2800m</w:t>
      </w:r>
      <w:r w:rsidRPr="000549B1">
        <w:rPr>
          <w:sz w:val="24"/>
          <w:szCs w:val="24"/>
        </w:rPr>
        <w:t>以下的沙化区以柠条、梭梭为主，形成</w:t>
      </w:r>
      <w:r w:rsidRPr="000549B1">
        <w:rPr>
          <w:rFonts w:ascii="宋体" w:hAnsi="宋体"/>
          <w:sz w:val="24"/>
          <w:szCs w:val="24"/>
        </w:rPr>
        <w:t>“</w:t>
      </w:r>
      <w:r w:rsidRPr="000549B1">
        <w:rPr>
          <w:sz w:val="24"/>
          <w:szCs w:val="24"/>
        </w:rPr>
        <w:t>灌丛</w:t>
      </w:r>
      <w:r w:rsidRPr="000549B1">
        <w:rPr>
          <w:sz w:val="24"/>
          <w:szCs w:val="24"/>
        </w:rPr>
        <w:t>-</w:t>
      </w:r>
      <w:r w:rsidRPr="000549B1">
        <w:rPr>
          <w:sz w:val="24"/>
          <w:szCs w:val="24"/>
        </w:rPr>
        <w:t>裸露沙地</w:t>
      </w:r>
      <w:r w:rsidRPr="000549B1">
        <w:rPr>
          <w:rFonts w:ascii="宋体" w:hAnsi="宋体"/>
          <w:sz w:val="24"/>
          <w:szCs w:val="24"/>
        </w:rPr>
        <w:t>”</w:t>
      </w:r>
      <w:r w:rsidRPr="000549B1">
        <w:rPr>
          <w:sz w:val="24"/>
          <w:szCs w:val="24"/>
        </w:rPr>
        <w:t>镶嵌景观；海拔</w:t>
      </w:r>
      <w:r w:rsidRPr="000549B1">
        <w:rPr>
          <w:sz w:val="24"/>
          <w:szCs w:val="24"/>
        </w:rPr>
        <w:t>2800-3000m</w:t>
      </w:r>
      <w:r w:rsidRPr="000549B1">
        <w:rPr>
          <w:sz w:val="24"/>
          <w:szCs w:val="24"/>
        </w:rPr>
        <w:t>的过渡带则以沙棘、白刺与草本植物混生为主；海拔</w:t>
      </w:r>
      <w:r w:rsidRPr="000549B1">
        <w:rPr>
          <w:sz w:val="24"/>
          <w:szCs w:val="24"/>
        </w:rPr>
        <w:t>3000m</w:t>
      </w:r>
      <w:r w:rsidRPr="000549B1">
        <w:rPr>
          <w:sz w:val="24"/>
          <w:szCs w:val="24"/>
        </w:rPr>
        <w:t>以上的高寒草甸边缘，金露梅和鬼箭锦鸡儿构成灌丛草甸带，其高度与草本层形成互补层片。</w:t>
      </w:r>
    </w:p>
    <w:p w14:paraId="76E8F27E" w14:textId="77777777" w:rsidR="00054437" w:rsidRPr="000549B1" w:rsidRDefault="00000000">
      <w:pPr>
        <w:spacing w:line="360" w:lineRule="auto"/>
        <w:ind w:firstLine="480"/>
        <w:rPr>
          <w:sz w:val="24"/>
          <w:szCs w:val="24"/>
        </w:rPr>
      </w:pPr>
      <w:r w:rsidRPr="000549B1">
        <w:rPr>
          <w:sz w:val="24"/>
          <w:szCs w:val="24"/>
        </w:rPr>
        <w:t>沙珠玉河流域为典型草原区，以芨芨草群落、披碱草群落、披针野决明和蒿类为主，草本植被呈现显著垂直分异：海拔</w:t>
      </w:r>
      <w:r w:rsidRPr="000549B1">
        <w:rPr>
          <w:sz w:val="24"/>
          <w:szCs w:val="24"/>
        </w:rPr>
        <w:t>2600-2800m</w:t>
      </w:r>
      <w:r w:rsidRPr="000549B1">
        <w:rPr>
          <w:sz w:val="24"/>
          <w:szCs w:val="24"/>
        </w:rPr>
        <w:t>的干旱草原带以紫花针茅和青藏苔草为主，盖度</w:t>
      </w:r>
      <w:r w:rsidRPr="000549B1">
        <w:rPr>
          <w:sz w:val="24"/>
          <w:szCs w:val="24"/>
        </w:rPr>
        <w:t>30%-40%</w:t>
      </w:r>
      <w:r w:rsidRPr="000549B1">
        <w:rPr>
          <w:sz w:val="24"/>
          <w:szCs w:val="24"/>
        </w:rPr>
        <w:t>；海拔</w:t>
      </w:r>
      <w:r w:rsidRPr="000549B1">
        <w:rPr>
          <w:sz w:val="24"/>
          <w:szCs w:val="24"/>
        </w:rPr>
        <w:t>2800-3200m</w:t>
      </w:r>
      <w:r w:rsidRPr="000549B1">
        <w:rPr>
          <w:sz w:val="24"/>
          <w:szCs w:val="24"/>
        </w:rPr>
        <w:t>的草甸草原带以嵩草、异叶针茅为主，盖度</w:t>
      </w:r>
      <w:r w:rsidRPr="000549B1">
        <w:rPr>
          <w:sz w:val="24"/>
          <w:szCs w:val="24"/>
        </w:rPr>
        <w:t>50%-60%</w:t>
      </w:r>
      <w:r w:rsidRPr="000549B1">
        <w:rPr>
          <w:sz w:val="24"/>
          <w:szCs w:val="24"/>
        </w:rPr>
        <w:t>；海拔</w:t>
      </w:r>
      <w:r w:rsidRPr="000549B1">
        <w:rPr>
          <w:sz w:val="24"/>
          <w:szCs w:val="24"/>
        </w:rPr>
        <w:t>3200m</w:t>
      </w:r>
      <w:r w:rsidRPr="000549B1">
        <w:rPr>
          <w:sz w:val="24"/>
          <w:szCs w:val="24"/>
        </w:rPr>
        <w:t>以上的高寒草甸带以矮嵩草、垂穗披碱草为主，盖度</w:t>
      </w:r>
      <w:r w:rsidRPr="000549B1">
        <w:rPr>
          <w:sz w:val="24"/>
          <w:szCs w:val="24"/>
        </w:rPr>
        <w:t>70%-80%</w:t>
      </w:r>
      <w:r w:rsidRPr="000549B1">
        <w:rPr>
          <w:sz w:val="24"/>
          <w:szCs w:val="24"/>
        </w:rPr>
        <w:t>。</w:t>
      </w:r>
    </w:p>
    <w:tbl>
      <w:tblPr>
        <w:tblStyle w:val="aff"/>
        <w:tblpPr w:leftFromText="180" w:rightFromText="180" w:vertAnchor="text" w:tblpY="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3"/>
        <w:gridCol w:w="4153"/>
      </w:tblGrid>
      <w:tr w:rsidR="000549B1" w:rsidRPr="000549B1" w14:paraId="124E738E" w14:textId="77777777">
        <w:tc>
          <w:tcPr>
            <w:tcW w:w="0" w:type="auto"/>
          </w:tcPr>
          <w:p w14:paraId="61ABC9A7" w14:textId="77777777" w:rsidR="00054437" w:rsidRPr="000549B1" w:rsidRDefault="00000000">
            <w:pPr>
              <w:pStyle w:val="afff5"/>
              <w:ind w:firstLine="422"/>
              <w:rPr>
                <w:b/>
                <w:bCs/>
              </w:rPr>
            </w:pPr>
            <w:r w:rsidRPr="000549B1">
              <w:rPr>
                <w:b/>
                <w:bCs/>
                <w:noProof/>
              </w:rPr>
              <w:drawing>
                <wp:inline distT="0" distB="0" distL="0" distR="0" wp14:anchorId="44C35ABB" wp14:editId="2D472900">
                  <wp:extent cx="2844165" cy="1943735"/>
                  <wp:effectExtent l="0" t="0" r="635" b="12065"/>
                  <wp:docPr id="266666426" name="图片 1"/>
                  <wp:cNvGraphicFramePr/>
                  <a:graphic xmlns:a="http://schemas.openxmlformats.org/drawingml/2006/main">
                    <a:graphicData uri="http://schemas.openxmlformats.org/drawingml/2006/picture">
                      <pic:pic xmlns:pic="http://schemas.openxmlformats.org/drawingml/2006/picture">
                        <pic:nvPicPr>
                          <pic:cNvPr id="266666426" name="图片 1"/>
                          <pic:cNvPicPr/>
                        </pic:nvPicPr>
                        <pic:blipFill>
                          <a:blip r:embed="rId103" cstate="email">
                            <a:extLst>
                              <a:ext uri="{28A0092B-C50C-407E-A947-70E740481C1C}">
                                <a14:useLocalDpi xmlns:a14="http://schemas.microsoft.com/office/drawing/2010/main"/>
                              </a:ext>
                            </a:extLst>
                          </a:blip>
                          <a:stretch>
                            <a:fillRect/>
                          </a:stretch>
                        </pic:blipFill>
                        <pic:spPr>
                          <a:xfrm>
                            <a:off x="0" y="0"/>
                            <a:ext cx="2844165" cy="1943735"/>
                          </a:xfrm>
                          <a:prstGeom prst="rect">
                            <a:avLst/>
                          </a:prstGeom>
                        </pic:spPr>
                      </pic:pic>
                    </a:graphicData>
                  </a:graphic>
                </wp:inline>
              </w:drawing>
            </w:r>
          </w:p>
        </w:tc>
        <w:tc>
          <w:tcPr>
            <w:tcW w:w="0" w:type="auto"/>
          </w:tcPr>
          <w:p w14:paraId="1663EB81" w14:textId="77777777" w:rsidR="00054437" w:rsidRPr="000549B1" w:rsidRDefault="00000000">
            <w:pPr>
              <w:pStyle w:val="afff5"/>
              <w:ind w:firstLine="422"/>
              <w:rPr>
                <w:b/>
                <w:bCs/>
              </w:rPr>
            </w:pPr>
            <w:r w:rsidRPr="000549B1">
              <w:rPr>
                <w:b/>
                <w:bCs/>
                <w:noProof/>
              </w:rPr>
              <w:drawing>
                <wp:inline distT="0" distB="0" distL="0" distR="0" wp14:anchorId="67CBA0C5" wp14:editId="73A5735A">
                  <wp:extent cx="2844165" cy="1943735"/>
                  <wp:effectExtent l="0" t="0" r="635" b="12065"/>
                  <wp:docPr id="289271923" name="图片 1"/>
                  <wp:cNvGraphicFramePr/>
                  <a:graphic xmlns:a="http://schemas.openxmlformats.org/drawingml/2006/main">
                    <a:graphicData uri="http://schemas.openxmlformats.org/drawingml/2006/picture">
                      <pic:pic xmlns:pic="http://schemas.openxmlformats.org/drawingml/2006/picture">
                        <pic:nvPicPr>
                          <pic:cNvPr id="289271923" name="图片 1"/>
                          <pic:cNvPicPr/>
                        </pic:nvPicPr>
                        <pic:blipFill>
                          <a:blip r:embed="rId104" cstate="email">
                            <a:extLst>
                              <a:ext uri="{28A0092B-C50C-407E-A947-70E740481C1C}">
                                <a14:useLocalDpi xmlns:a14="http://schemas.microsoft.com/office/drawing/2010/main"/>
                              </a:ext>
                            </a:extLst>
                          </a:blip>
                          <a:stretch>
                            <a:fillRect/>
                          </a:stretch>
                        </pic:blipFill>
                        <pic:spPr>
                          <a:xfrm>
                            <a:off x="0" y="0"/>
                            <a:ext cx="2844165" cy="1943735"/>
                          </a:xfrm>
                          <a:prstGeom prst="rect">
                            <a:avLst/>
                          </a:prstGeom>
                        </pic:spPr>
                      </pic:pic>
                    </a:graphicData>
                  </a:graphic>
                </wp:inline>
              </w:drawing>
            </w:r>
          </w:p>
        </w:tc>
      </w:tr>
      <w:tr w:rsidR="000549B1" w:rsidRPr="000549B1" w14:paraId="4CBD495A" w14:textId="77777777">
        <w:tc>
          <w:tcPr>
            <w:tcW w:w="0" w:type="auto"/>
          </w:tcPr>
          <w:p w14:paraId="66B3D132" w14:textId="77777777" w:rsidR="00054437" w:rsidRPr="000549B1" w:rsidRDefault="00000000">
            <w:pPr>
              <w:pStyle w:val="afff5"/>
              <w:ind w:firstLine="422"/>
              <w:rPr>
                <w:b/>
                <w:bCs/>
              </w:rPr>
            </w:pPr>
            <w:r w:rsidRPr="000549B1">
              <w:rPr>
                <w:b/>
                <w:bCs/>
              </w:rPr>
              <w:t>杨树林</w:t>
            </w:r>
          </w:p>
        </w:tc>
        <w:tc>
          <w:tcPr>
            <w:tcW w:w="0" w:type="auto"/>
          </w:tcPr>
          <w:p w14:paraId="1B6D575D" w14:textId="77777777" w:rsidR="00054437" w:rsidRPr="000549B1" w:rsidRDefault="00000000">
            <w:pPr>
              <w:pStyle w:val="afff5"/>
              <w:ind w:firstLine="422"/>
              <w:rPr>
                <w:b/>
                <w:bCs/>
              </w:rPr>
            </w:pPr>
            <w:r w:rsidRPr="000549B1">
              <w:rPr>
                <w:b/>
                <w:bCs/>
              </w:rPr>
              <w:t>柠条锦鸡儿灌丛</w:t>
            </w:r>
          </w:p>
        </w:tc>
      </w:tr>
      <w:tr w:rsidR="000549B1" w:rsidRPr="000549B1" w14:paraId="0BDB28EC" w14:textId="77777777">
        <w:tc>
          <w:tcPr>
            <w:tcW w:w="0" w:type="auto"/>
          </w:tcPr>
          <w:p w14:paraId="14B3CEE0" w14:textId="77777777" w:rsidR="00054437" w:rsidRPr="000549B1" w:rsidRDefault="00000000">
            <w:pPr>
              <w:pStyle w:val="afff5"/>
              <w:ind w:firstLine="422"/>
              <w:rPr>
                <w:b/>
                <w:bCs/>
              </w:rPr>
            </w:pPr>
            <w:r w:rsidRPr="000549B1">
              <w:rPr>
                <w:b/>
                <w:bCs/>
                <w:noProof/>
              </w:rPr>
              <w:drawing>
                <wp:inline distT="0" distB="0" distL="0" distR="0" wp14:anchorId="7C5893E0" wp14:editId="3D54A75D">
                  <wp:extent cx="2844165" cy="1943735"/>
                  <wp:effectExtent l="0" t="0" r="635" b="12065"/>
                  <wp:docPr id="283012244" name="图片 6"/>
                  <wp:cNvGraphicFramePr/>
                  <a:graphic xmlns:a="http://schemas.openxmlformats.org/drawingml/2006/main">
                    <a:graphicData uri="http://schemas.openxmlformats.org/drawingml/2006/picture">
                      <pic:pic xmlns:pic="http://schemas.openxmlformats.org/drawingml/2006/picture">
                        <pic:nvPicPr>
                          <pic:cNvPr id="283012244" name="图片 6"/>
                          <pic:cNvPicPr>
                            <a:picLocks noChangeArrowheads="1"/>
                          </pic:cNvPicPr>
                        </pic:nvPicPr>
                        <pic:blipFill>
                          <a:blip r:embed="rId105" cstate="email">
                            <a:extLst>
                              <a:ext uri="{28A0092B-C50C-407E-A947-70E740481C1C}">
                                <a14:useLocalDpi xmlns:a14="http://schemas.microsoft.com/office/drawing/2010/main"/>
                              </a:ext>
                            </a:extLst>
                          </a:blip>
                          <a:srcRect/>
                          <a:stretch>
                            <a:fillRect/>
                          </a:stretch>
                        </pic:blipFill>
                        <pic:spPr>
                          <a:xfrm>
                            <a:off x="0" y="0"/>
                            <a:ext cx="2844165" cy="1943735"/>
                          </a:xfrm>
                          <a:prstGeom prst="rect">
                            <a:avLst/>
                          </a:prstGeom>
                          <a:noFill/>
                          <a:ln>
                            <a:noFill/>
                          </a:ln>
                        </pic:spPr>
                      </pic:pic>
                    </a:graphicData>
                  </a:graphic>
                </wp:inline>
              </w:drawing>
            </w:r>
          </w:p>
        </w:tc>
        <w:tc>
          <w:tcPr>
            <w:tcW w:w="0" w:type="auto"/>
          </w:tcPr>
          <w:p w14:paraId="51141E4C" w14:textId="77777777" w:rsidR="00054437" w:rsidRPr="000549B1" w:rsidRDefault="00000000">
            <w:pPr>
              <w:pStyle w:val="afff5"/>
              <w:ind w:firstLine="422"/>
              <w:rPr>
                <w:b/>
                <w:bCs/>
              </w:rPr>
            </w:pPr>
            <w:r w:rsidRPr="000549B1">
              <w:rPr>
                <w:b/>
                <w:bCs/>
                <w:noProof/>
              </w:rPr>
              <w:drawing>
                <wp:inline distT="0" distB="0" distL="0" distR="0" wp14:anchorId="15AC2E47" wp14:editId="02FCF521">
                  <wp:extent cx="2844165" cy="1943735"/>
                  <wp:effectExtent l="0" t="0" r="635" b="12065"/>
                  <wp:docPr id="904963076" name="图片 2"/>
                  <wp:cNvGraphicFramePr/>
                  <a:graphic xmlns:a="http://schemas.openxmlformats.org/drawingml/2006/main">
                    <a:graphicData uri="http://schemas.openxmlformats.org/drawingml/2006/picture">
                      <pic:pic xmlns:pic="http://schemas.openxmlformats.org/drawingml/2006/picture">
                        <pic:nvPicPr>
                          <pic:cNvPr id="904963076" name="图片 2"/>
                          <pic:cNvPicPr>
                            <a:picLocks noChangeArrowheads="1"/>
                          </pic:cNvPicPr>
                        </pic:nvPicPr>
                        <pic:blipFill>
                          <a:blip r:embed="rId106" cstate="email">
                            <a:extLst>
                              <a:ext uri="{28A0092B-C50C-407E-A947-70E740481C1C}">
                                <a14:useLocalDpi xmlns:a14="http://schemas.microsoft.com/office/drawing/2010/main"/>
                              </a:ext>
                            </a:extLst>
                          </a:blip>
                          <a:srcRect/>
                          <a:stretch>
                            <a:fillRect/>
                          </a:stretch>
                        </pic:blipFill>
                        <pic:spPr>
                          <a:xfrm>
                            <a:off x="0" y="0"/>
                            <a:ext cx="2844165" cy="1943735"/>
                          </a:xfrm>
                          <a:prstGeom prst="rect">
                            <a:avLst/>
                          </a:prstGeom>
                          <a:noFill/>
                          <a:ln>
                            <a:noFill/>
                          </a:ln>
                        </pic:spPr>
                      </pic:pic>
                    </a:graphicData>
                  </a:graphic>
                </wp:inline>
              </w:drawing>
            </w:r>
          </w:p>
        </w:tc>
      </w:tr>
      <w:tr w:rsidR="000549B1" w:rsidRPr="000549B1" w14:paraId="51B2A3CC" w14:textId="77777777">
        <w:tc>
          <w:tcPr>
            <w:tcW w:w="0" w:type="auto"/>
          </w:tcPr>
          <w:p w14:paraId="71BD9B01" w14:textId="77777777" w:rsidR="00054437" w:rsidRPr="000549B1" w:rsidRDefault="00000000">
            <w:pPr>
              <w:pStyle w:val="afff5"/>
              <w:ind w:firstLine="422"/>
              <w:rPr>
                <w:b/>
                <w:bCs/>
              </w:rPr>
            </w:pPr>
            <w:r w:rsidRPr="000549B1">
              <w:rPr>
                <w:b/>
                <w:bCs/>
              </w:rPr>
              <w:t>红砂灌丛</w:t>
            </w:r>
          </w:p>
        </w:tc>
        <w:tc>
          <w:tcPr>
            <w:tcW w:w="0" w:type="auto"/>
          </w:tcPr>
          <w:p w14:paraId="11F07B30" w14:textId="77777777" w:rsidR="00054437" w:rsidRPr="000549B1" w:rsidRDefault="00000000">
            <w:pPr>
              <w:pStyle w:val="afff5"/>
              <w:ind w:firstLine="422"/>
              <w:rPr>
                <w:b/>
                <w:bCs/>
              </w:rPr>
            </w:pPr>
            <w:r w:rsidRPr="000549B1">
              <w:rPr>
                <w:b/>
                <w:bCs/>
              </w:rPr>
              <w:t>芨芨草草丛</w:t>
            </w:r>
          </w:p>
        </w:tc>
      </w:tr>
      <w:tr w:rsidR="000549B1" w:rsidRPr="000549B1" w14:paraId="0F495A29" w14:textId="77777777">
        <w:tc>
          <w:tcPr>
            <w:tcW w:w="0" w:type="auto"/>
          </w:tcPr>
          <w:p w14:paraId="4D42AE43" w14:textId="77777777" w:rsidR="00054437" w:rsidRPr="000549B1" w:rsidRDefault="00000000">
            <w:pPr>
              <w:pStyle w:val="afff5"/>
              <w:ind w:firstLine="422"/>
              <w:rPr>
                <w:b/>
                <w:bCs/>
              </w:rPr>
            </w:pPr>
            <w:r w:rsidRPr="000549B1">
              <w:rPr>
                <w:b/>
                <w:bCs/>
                <w:noProof/>
              </w:rPr>
              <w:drawing>
                <wp:inline distT="0" distB="0" distL="0" distR="0" wp14:anchorId="5E14DC90" wp14:editId="055402D2">
                  <wp:extent cx="2844165" cy="1943735"/>
                  <wp:effectExtent l="0" t="0" r="635" b="12065"/>
                  <wp:docPr id="1512785933" name="图片 1"/>
                  <wp:cNvGraphicFramePr/>
                  <a:graphic xmlns:a="http://schemas.openxmlformats.org/drawingml/2006/main">
                    <a:graphicData uri="http://schemas.openxmlformats.org/drawingml/2006/picture">
                      <pic:pic xmlns:pic="http://schemas.openxmlformats.org/drawingml/2006/picture">
                        <pic:nvPicPr>
                          <pic:cNvPr id="1512785933" name="图片 1"/>
                          <pic:cNvPicPr/>
                        </pic:nvPicPr>
                        <pic:blipFill>
                          <a:blip r:embed="rId107" cstate="email">
                            <a:extLst>
                              <a:ext uri="{28A0092B-C50C-407E-A947-70E740481C1C}">
                                <a14:useLocalDpi xmlns:a14="http://schemas.microsoft.com/office/drawing/2010/main"/>
                              </a:ext>
                            </a:extLst>
                          </a:blip>
                          <a:stretch>
                            <a:fillRect/>
                          </a:stretch>
                        </pic:blipFill>
                        <pic:spPr>
                          <a:xfrm>
                            <a:off x="0" y="0"/>
                            <a:ext cx="2844165" cy="1943735"/>
                          </a:xfrm>
                          <a:prstGeom prst="rect">
                            <a:avLst/>
                          </a:prstGeom>
                        </pic:spPr>
                      </pic:pic>
                    </a:graphicData>
                  </a:graphic>
                </wp:inline>
              </w:drawing>
            </w:r>
          </w:p>
        </w:tc>
        <w:tc>
          <w:tcPr>
            <w:tcW w:w="0" w:type="auto"/>
          </w:tcPr>
          <w:p w14:paraId="1224226D" w14:textId="77777777" w:rsidR="00054437" w:rsidRPr="000549B1" w:rsidRDefault="00000000">
            <w:pPr>
              <w:pStyle w:val="afff5"/>
              <w:ind w:firstLine="422"/>
              <w:rPr>
                <w:b/>
                <w:bCs/>
              </w:rPr>
            </w:pPr>
            <w:r w:rsidRPr="000549B1">
              <w:rPr>
                <w:b/>
                <w:bCs/>
                <w:noProof/>
              </w:rPr>
              <w:drawing>
                <wp:inline distT="0" distB="0" distL="0" distR="0" wp14:anchorId="7FAEEE0E" wp14:editId="57A58E61">
                  <wp:extent cx="2844165" cy="1943735"/>
                  <wp:effectExtent l="0" t="0" r="635" b="12065"/>
                  <wp:docPr id="1884267444" name="图片 44"/>
                  <wp:cNvGraphicFramePr/>
                  <a:graphic xmlns:a="http://schemas.openxmlformats.org/drawingml/2006/main">
                    <a:graphicData uri="http://schemas.openxmlformats.org/drawingml/2006/picture">
                      <pic:pic xmlns:pic="http://schemas.openxmlformats.org/drawingml/2006/picture">
                        <pic:nvPicPr>
                          <pic:cNvPr id="1884267444" name="图片 44"/>
                          <pic:cNvPicPr>
                            <a:picLocks noChangeArrowheads="1"/>
                          </pic:cNvPicPr>
                        </pic:nvPicPr>
                        <pic:blipFill>
                          <a:blip r:embed="rId108" cstate="email">
                            <a:extLst>
                              <a:ext uri="{28A0092B-C50C-407E-A947-70E740481C1C}">
                                <a14:useLocalDpi xmlns:a14="http://schemas.microsoft.com/office/drawing/2010/main"/>
                              </a:ext>
                            </a:extLst>
                          </a:blip>
                          <a:srcRect/>
                          <a:stretch>
                            <a:fillRect/>
                          </a:stretch>
                        </pic:blipFill>
                        <pic:spPr>
                          <a:xfrm>
                            <a:off x="0" y="0"/>
                            <a:ext cx="2844165" cy="1943735"/>
                          </a:xfrm>
                          <a:prstGeom prst="rect">
                            <a:avLst/>
                          </a:prstGeom>
                          <a:noFill/>
                          <a:ln>
                            <a:noFill/>
                          </a:ln>
                        </pic:spPr>
                      </pic:pic>
                    </a:graphicData>
                  </a:graphic>
                </wp:inline>
              </w:drawing>
            </w:r>
          </w:p>
        </w:tc>
      </w:tr>
      <w:tr w:rsidR="000549B1" w:rsidRPr="000549B1" w14:paraId="7C32BAD7" w14:textId="77777777">
        <w:tc>
          <w:tcPr>
            <w:tcW w:w="0" w:type="auto"/>
          </w:tcPr>
          <w:p w14:paraId="0C1490F8" w14:textId="77777777" w:rsidR="00054437" w:rsidRPr="000549B1" w:rsidRDefault="00000000">
            <w:pPr>
              <w:pStyle w:val="afff5"/>
              <w:ind w:firstLine="422"/>
              <w:rPr>
                <w:b/>
                <w:bCs/>
              </w:rPr>
            </w:pPr>
            <w:r w:rsidRPr="000549B1">
              <w:rPr>
                <w:b/>
                <w:bCs/>
              </w:rPr>
              <w:t>披碱草草丛</w:t>
            </w:r>
          </w:p>
        </w:tc>
        <w:tc>
          <w:tcPr>
            <w:tcW w:w="0" w:type="auto"/>
          </w:tcPr>
          <w:p w14:paraId="0C0A24CE" w14:textId="77777777" w:rsidR="00054437" w:rsidRPr="000549B1" w:rsidRDefault="00000000">
            <w:pPr>
              <w:pStyle w:val="afff5"/>
              <w:ind w:firstLine="422"/>
              <w:rPr>
                <w:b/>
                <w:bCs/>
              </w:rPr>
            </w:pPr>
            <w:r w:rsidRPr="000549B1">
              <w:rPr>
                <w:b/>
                <w:bCs/>
              </w:rPr>
              <w:t>冷蒿草丛</w:t>
            </w:r>
          </w:p>
        </w:tc>
      </w:tr>
      <w:tr w:rsidR="000549B1" w:rsidRPr="000549B1" w14:paraId="30B6D2B9" w14:textId="77777777">
        <w:trPr>
          <w:trHeight w:val="3156"/>
        </w:trPr>
        <w:tc>
          <w:tcPr>
            <w:tcW w:w="0" w:type="auto"/>
          </w:tcPr>
          <w:p w14:paraId="4136B94D" w14:textId="77777777" w:rsidR="00054437" w:rsidRPr="000549B1" w:rsidRDefault="00000000">
            <w:pPr>
              <w:pStyle w:val="afff5"/>
              <w:ind w:firstLine="422"/>
              <w:rPr>
                <w:b/>
                <w:bCs/>
              </w:rPr>
            </w:pPr>
            <w:r w:rsidRPr="000549B1">
              <w:rPr>
                <w:b/>
                <w:bCs/>
                <w:noProof/>
              </w:rPr>
              <w:drawing>
                <wp:inline distT="0" distB="0" distL="0" distR="0" wp14:anchorId="251F5E38" wp14:editId="1171D92F">
                  <wp:extent cx="2844165" cy="1943735"/>
                  <wp:effectExtent l="0" t="0" r="635" b="12065"/>
                  <wp:docPr id="2088668155" name="图片 8"/>
                  <wp:cNvGraphicFramePr/>
                  <a:graphic xmlns:a="http://schemas.openxmlformats.org/drawingml/2006/main">
                    <a:graphicData uri="http://schemas.openxmlformats.org/drawingml/2006/picture">
                      <pic:pic xmlns:pic="http://schemas.openxmlformats.org/drawingml/2006/picture">
                        <pic:nvPicPr>
                          <pic:cNvPr id="2088668155" name="图片 8"/>
                          <pic:cNvPicPr>
                            <a:picLocks noChangeArrowheads="1"/>
                          </pic:cNvPicPr>
                        </pic:nvPicPr>
                        <pic:blipFill>
                          <a:blip r:embed="rId109" cstate="email">
                            <a:extLst>
                              <a:ext uri="{28A0092B-C50C-407E-A947-70E740481C1C}">
                                <a14:useLocalDpi xmlns:a14="http://schemas.microsoft.com/office/drawing/2010/main"/>
                              </a:ext>
                            </a:extLst>
                          </a:blip>
                          <a:srcRect/>
                          <a:stretch>
                            <a:fillRect/>
                          </a:stretch>
                        </pic:blipFill>
                        <pic:spPr>
                          <a:xfrm>
                            <a:off x="0" y="0"/>
                            <a:ext cx="2844165" cy="1943735"/>
                          </a:xfrm>
                          <a:prstGeom prst="rect">
                            <a:avLst/>
                          </a:prstGeom>
                          <a:noFill/>
                          <a:ln>
                            <a:noFill/>
                          </a:ln>
                        </pic:spPr>
                      </pic:pic>
                    </a:graphicData>
                  </a:graphic>
                </wp:inline>
              </w:drawing>
            </w:r>
          </w:p>
        </w:tc>
        <w:tc>
          <w:tcPr>
            <w:tcW w:w="0" w:type="auto"/>
          </w:tcPr>
          <w:p w14:paraId="6B6F87BA" w14:textId="77777777" w:rsidR="00054437" w:rsidRPr="000549B1" w:rsidRDefault="00000000">
            <w:pPr>
              <w:pStyle w:val="afff5"/>
              <w:ind w:firstLine="422"/>
              <w:rPr>
                <w:b/>
                <w:bCs/>
              </w:rPr>
            </w:pPr>
            <w:r w:rsidRPr="000549B1">
              <w:rPr>
                <w:b/>
                <w:bCs/>
                <w:noProof/>
              </w:rPr>
              <w:drawing>
                <wp:inline distT="0" distB="0" distL="0" distR="0" wp14:anchorId="051DDDC1" wp14:editId="1E1B1E9B">
                  <wp:extent cx="2844165" cy="1943735"/>
                  <wp:effectExtent l="0" t="0" r="635" b="12065"/>
                  <wp:docPr id="464817413" name="图片 12"/>
                  <wp:cNvGraphicFramePr/>
                  <a:graphic xmlns:a="http://schemas.openxmlformats.org/drawingml/2006/main">
                    <a:graphicData uri="http://schemas.openxmlformats.org/drawingml/2006/picture">
                      <pic:pic xmlns:pic="http://schemas.openxmlformats.org/drawingml/2006/picture">
                        <pic:nvPicPr>
                          <pic:cNvPr id="464817413" name="图片 12"/>
                          <pic:cNvPicPr>
                            <a:picLocks noChangeArrowheads="1"/>
                          </pic:cNvPicPr>
                        </pic:nvPicPr>
                        <pic:blipFill>
                          <a:blip r:embed="rId110" cstate="email">
                            <a:extLst>
                              <a:ext uri="{28A0092B-C50C-407E-A947-70E740481C1C}">
                                <a14:useLocalDpi xmlns:a14="http://schemas.microsoft.com/office/drawing/2010/main"/>
                              </a:ext>
                            </a:extLst>
                          </a:blip>
                          <a:srcRect/>
                          <a:stretch>
                            <a:fillRect/>
                          </a:stretch>
                        </pic:blipFill>
                        <pic:spPr>
                          <a:xfrm>
                            <a:off x="0" y="0"/>
                            <a:ext cx="2844165" cy="1943735"/>
                          </a:xfrm>
                          <a:prstGeom prst="rect">
                            <a:avLst/>
                          </a:prstGeom>
                          <a:noFill/>
                          <a:ln>
                            <a:noFill/>
                          </a:ln>
                        </pic:spPr>
                      </pic:pic>
                    </a:graphicData>
                  </a:graphic>
                </wp:inline>
              </w:drawing>
            </w:r>
          </w:p>
        </w:tc>
      </w:tr>
      <w:tr w:rsidR="000549B1" w:rsidRPr="000549B1" w14:paraId="3438C450" w14:textId="77777777">
        <w:trPr>
          <w:trHeight w:val="228"/>
        </w:trPr>
        <w:tc>
          <w:tcPr>
            <w:tcW w:w="0" w:type="auto"/>
          </w:tcPr>
          <w:p w14:paraId="70BEC943" w14:textId="77777777" w:rsidR="00054437" w:rsidRPr="000549B1" w:rsidRDefault="00000000">
            <w:pPr>
              <w:pStyle w:val="afff5"/>
              <w:ind w:firstLine="422"/>
              <w:rPr>
                <w:b/>
                <w:bCs/>
              </w:rPr>
            </w:pPr>
            <w:r w:rsidRPr="000549B1">
              <w:rPr>
                <w:b/>
                <w:bCs/>
              </w:rPr>
              <w:t>短花针茅草丛</w:t>
            </w:r>
          </w:p>
        </w:tc>
        <w:tc>
          <w:tcPr>
            <w:tcW w:w="0" w:type="auto"/>
          </w:tcPr>
          <w:p w14:paraId="623C092C" w14:textId="77777777" w:rsidR="00054437" w:rsidRPr="000549B1" w:rsidRDefault="00000000">
            <w:pPr>
              <w:pStyle w:val="afff5"/>
              <w:ind w:firstLine="422"/>
              <w:rPr>
                <w:b/>
                <w:bCs/>
              </w:rPr>
            </w:pPr>
            <w:r w:rsidRPr="000549B1">
              <w:rPr>
                <w:b/>
                <w:bCs/>
              </w:rPr>
              <w:t>狗娃花草丛</w:t>
            </w:r>
          </w:p>
        </w:tc>
      </w:tr>
      <w:tr w:rsidR="000549B1" w:rsidRPr="000549B1" w14:paraId="0FAF0A39" w14:textId="77777777">
        <w:tc>
          <w:tcPr>
            <w:tcW w:w="0" w:type="auto"/>
          </w:tcPr>
          <w:p w14:paraId="00CFF70D" w14:textId="77777777" w:rsidR="00054437" w:rsidRPr="000549B1" w:rsidRDefault="00000000">
            <w:pPr>
              <w:pStyle w:val="afff5"/>
              <w:ind w:firstLine="422"/>
              <w:rPr>
                <w:b/>
                <w:bCs/>
              </w:rPr>
            </w:pPr>
            <w:r w:rsidRPr="000549B1">
              <w:rPr>
                <w:b/>
                <w:bCs/>
                <w:noProof/>
              </w:rPr>
              <w:drawing>
                <wp:inline distT="0" distB="0" distL="0" distR="0" wp14:anchorId="1C99E1F5" wp14:editId="430E7E96">
                  <wp:extent cx="2844165" cy="1943735"/>
                  <wp:effectExtent l="0" t="0" r="635" b="12065"/>
                  <wp:docPr id="79434834" name="图片 19"/>
                  <wp:cNvGraphicFramePr/>
                  <a:graphic xmlns:a="http://schemas.openxmlformats.org/drawingml/2006/main">
                    <a:graphicData uri="http://schemas.openxmlformats.org/drawingml/2006/picture">
                      <pic:pic xmlns:pic="http://schemas.openxmlformats.org/drawingml/2006/picture">
                        <pic:nvPicPr>
                          <pic:cNvPr id="79434834" name="图片 19"/>
                          <pic:cNvPicPr>
                            <a:picLocks noChangeArrowheads="1"/>
                          </pic:cNvPicPr>
                        </pic:nvPicPr>
                        <pic:blipFill>
                          <a:blip r:embed="rId111" cstate="email">
                            <a:extLst>
                              <a:ext uri="{28A0092B-C50C-407E-A947-70E740481C1C}">
                                <a14:useLocalDpi xmlns:a14="http://schemas.microsoft.com/office/drawing/2010/main"/>
                              </a:ext>
                            </a:extLst>
                          </a:blip>
                          <a:srcRect/>
                          <a:stretch>
                            <a:fillRect/>
                          </a:stretch>
                        </pic:blipFill>
                        <pic:spPr>
                          <a:xfrm>
                            <a:off x="0" y="0"/>
                            <a:ext cx="2844165" cy="1943735"/>
                          </a:xfrm>
                          <a:prstGeom prst="rect">
                            <a:avLst/>
                          </a:prstGeom>
                          <a:noFill/>
                          <a:ln>
                            <a:noFill/>
                          </a:ln>
                        </pic:spPr>
                      </pic:pic>
                    </a:graphicData>
                  </a:graphic>
                </wp:inline>
              </w:drawing>
            </w:r>
          </w:p>
        </w:tc>
        <w:tc>
          <w:tcPr>
            <w:tcW w:w="0" w:type="auto"/>
            <w:vAlign w:val="center"/>
          </w:tcPr>
          <w:p w14:paraId="454553DC" w14:textId="77777777" w:rsidR="00054437" w:rsidRPr="000549B1" w:rsidRDefault="00000000">
            <w:pPr>
              <w:pStyle w:val="afff5"/>
              <w:ind w:firstLine="422"/>
              <w:rPr>
                <w:b/>
                <w:bCs/>
              </w:rPr>
            </w:pPr>
            <w:r w:rsidRPr="000549B1">
              <w:rPr>
                <w:b/>
                <w:bCs/>
                <w:noProof/>
              </w:rPr>
              <w:drawing>
                <wp:inline distT="0" distB="0" distL="0" distR="0" wp14:anchorId="44104513" wp14:editId="3ADCC8C2">
                  <wp:extent cx="2844165" cy="1943735"/>
                  <wp:effectExtent l="0" t="0" r="635" b="12065"/>
                  <wp:docPr id="70615281" name="图片 1"/>
                  <wp:cNvGraphicFramePr/>
                  <a:graphic xmlns:a="http://schemas.openxmlformats.org/drawingml/2006/main">
                    <a:graphicData uri="http://schemas.openxmlformats.org/drawingml/2006/picture">
                      <pic:pic xmlns:pic="http://schemas.openxmlformats.org/drawingml/2006/picture">
                        <pic:nvPicPr>
                          <pic:cNvPr id="70615281" name="图片 1"/>
                          <pic:cNvPicPr/>
                        </pic:nvPicPr>
                        <pic:blipFill>
                          <a:blip r:embed="rId112" cstate="email">
                            <a:extLst>
                              <a:ext uri="{28A0092B-C50C-407E-A947-70E740481C1C}">
                                <a14:useLocalDpi xmlns:a14="http://schemas.microsoft.com/office/drawing/2010/main"/>
                              </a:ext>
                            </a:extLst>
                          </a:blip>
                          <a:stretch>
                            <a:fillRect/>
                          </a:stretch>
                        </pic:blipFill>
                        <pic:spPr>
                          <a:xfrm>
                            <a:off x="0" y="0"/>
                            <a:ext cx="2844165" cy="1943735"/>
                          </a:xfrm>
                          <a:prstGeom prst="rect">
                            <a:avLst/>
                          </a:prstGeom>
                        </pic:spPr>
                      </pic:pic>
                    </a:graphicData>
                  </a:graphic>
                </wp:inline>
              </w:drawing>
            </w:r>
          </w:p>
        </w:tc>
      </w:tr>
      <w:tr w:rsidR="000549B1" w:rsidRPr="000549B1" w14:paraId="6C33B7EC" w14:textId="77777777">
        <w:tc>
          <w:tcPr>
            <w:tcW w:w="0" w:type="auto"/>
          </w:tcPr>
          <w:p w14:paraId="4927EFD8" w14:textId="77777777" w:rsidR="00054437" w:rsidRPr="000549B1" w:rsidRDefault="00000000">
            <w:pPr>
              <w:pStyle w:val="afff5"/>
              <w:ind w:firstLine="422"/>
              <w:rPr>
                <w:b/>
                <w:bCs/>
              </w:rPr>
            </w:pPr>
            <w:r w:rsidRPr="000549B1">
              <w:rPr>
                <w:b/>
                <w:bCs/>
              </w:rPr>
              <w:t>画眉草草丛</w:t>
            </w:r>
          </w:p>
        </w:tc>
        <w:tc>
          <w:tcPr>
            <w:tcW w:w="0" w:type="auto"/>
          </w:tcPr>
          <w:p w14:paraId="1C2901B8" w14:textId="77777777" w:rsidR="00054437" w:rsidRPr="000549B1" w:rsidRDefault="00000000">
            <w:pPr>
              <w:pStyle w:val="afff5"/>
              <w:ind w:firstLine="422"/>
              <w:rPr>
                <w:b/>
                <w:bCs/>
              </w:rPr>
            </w:pPr>
            <w:r w:rsidRPr="000549B1">
              <w:rPr>
                <w:b/>
                <w:bCs/>
              </w:rPr>
              <w:t>麻花艽草甸</w:t>
            </w:r>
          </w:p>
        </w:tc>
      </w:tr>
    </w:tbl>
    <w:p w14:paraId="1723CEE6" w14:textId="748509A2" w:rsidR="00054437" w:rsidRPr="000549B1" w:rsidRDefault="00000000">
      <w:pPr>
        <w:pStyle w:val="0A51"/>
        <w:ind w:firstLine="422"/>
      </w:pPr>
      <w:r w:rsidRPr="000549B1">
        <w:t>图</w:t>
      </w:r>
      <w:fldSimple w:instr=" STYLEREF 2 \s ">
        <w:r w:rsidR="00F32CCA">
          <w:rPr>
            <w:noProof/>
          </w:rPr>
          <w:t>3.5</w:t>
        </w:r>
      </w:fldSimple>
      <w:r w:rsidR="00F1314B">
        <w:noBreakHyphen/>
      </w:r>
      <w:r w:rsidR="00F1314B">
        <w:fldChar w:fldCharType="begin"/>
      </w:r>
      <w:r w:rsidR="00F1314B">
        <w:instrText xml:space="preserve"> SEQ </w:instrText>
      </w:r>
      <w:r w:rsidR="00F1314B">
        <w:instrText>图</w:instrText>
      </w:r>
      <w:r w:rsidR="00F1314B">
        <w:instrText xml:space="preserve"> \* ARABIC \s 2 </w:instrText>
      </w:r>
      <w:r w:rsidR="00F1314B">
        <w:fldChar w:fldCharType="separate"/>
      </w:r>
      <w:r w:rsidR="00F32CCA">
        <w:rPr>
          <w:noProof/>
        </w:rPr>
        <w:t>3</w:t>
      </w:r>
      <w:r w:rsidR="00F1314B">
        <w:fldChar w:fldCharType="end"/>
      </w:r>
      <w:r w:rsidRPr="000549B1">
        <w:t>评价区部分植被实景</w:t>
      </w:r>
    </w:p>
    <w:p w14:paraId="53C51243" w14:textId="77777777" w:rsidR="00054437" w:rsidRPr="000549B1" w:rsidRDefault="00000000">
      <w:pPr>
        <w:spacing w:line="360" w:lineRule="auto"/>
        <w:rPr>
          <w:sz w:val="24"/>
          <w:szCs w:val="24"/>
        </w:rPr>
      </w:pPr>
      <w:r w:rsidRPr="000549B1">
        <w:rPr>
          <w:b/>
          <w:bCs/>
          <w:sz w:val="24"/>
          <w:szCs w:val="24"/>
        </w:rPr>
        <w:t>（</w:t>
      </w:r>
      <w:r w:rsidRPr="000549B1">
        <w:rPr>
          <w:b/>
          <w:bCs/>
          <w:sz w:val="24"/>
          <w:szCs w:val="24"/>
        </w:rPr>
        <w:t>2</w:t>
      </w:r>
      <w:r w:rsidRPr="000549B1">
        <w:rPr>
          <w:b/>
          <w:bCs/>
          <w:sz w:val="24"/>
          <w:szCs w:val="24"/>
        </w:rPr>
        <w:t>）</w:t>
      </w:r>
      <w:r w:rsidRPr="000549B1">
        <w:rPr>
          <w:sz w:val="24"/>
          <w:szCs w:val="24"/>
        </w:rPr>
        <w:t>主要植被特征</w:t>
      </w:r>
    </w:p>
    <w:p w14:paraId="4A5A83D5" w14:textId="77777777" w:rsidR="00054437" w:rsidRPr="000549B1" w:rsidRDefault="00000000">
      <w:pPr>
        <w:spacing w:line="360" w:lineRule="auto"/>
        <w:ind w:firstLineChars="200" w:firstLine="480"/>
        <w:rPr>
          <w:sz w:val="24"/>
          <w:szCs w:val="24"/>
        </w:rPr>
      </w:pPr>
      <w:r w:rsidRPr="000549B1">
        <w:rPr>
          <w:sz w:val="24"/>
          <w:szCs w:val="24"/>
        </w:rPr>
        <w:t>1</w:t>
      </w:r>
      <w:r w:rsidRPr="000549B1">
        <w:rPr>
          <w:sz w:val="24"/>
          <w:szCs w:val="24"/>
        </w:rPr>
        <w:t>）乔木林地</w:t>
      </w:r>
    </w:p>
    <w:p w14:paraId="0D806703" w14:textId="77777777" w:rsidR="00054437" w:rsidRPr="000549B1" w:rsidRDefault="00000000">
      <w:pPr>
        <w:spacing w:line="360" w:lineRule="auto"/>
        <w:ind w:firstLineChars="200" w:firstLine="480"/>
        <w:rPr>
          <w:sz w:val="24"/>
          <w:szCs w:val="24"/>
        </w:rPr>
      </w:pPr>
      <w:r w:rsidRPr="000549B1">
        <w:rPr>
          <w:rFonts w:ascii="宋体" w:hAnsi="宋体" w:cs="宋体" w:hint="eastAsia"/>
          <w:sz w:val="24"/>
          <w:szCs w:val="24"/>
        </w:rPr>
        <w:t>①</w:t>
      </w:r>
      <w:r w:rsidRPr="000549B1">
        <w:rPr>
          <w:sz w:val="24"/>
          <w:szCs w:val="24"/>
        </w:rPr>
        <w:t>杨树群系</w:t>
      </w:r>
    </w:p>
    <w:p w14:paraId="11FC8F65" w14:textId="77777777" w:rsidR="00054437" w:rsidRPr="000549B1" w:rsidRDefault="00000000">
      <w:pPr>
        <w:spacing w:line="360" w:lineRule="auto"/>
        <w:ind w:firstLineChars="200" w:firstLine="480"/>
        <w:rPr>
          <w:sz w:val="24"/>
          <w:szCs w:val="24"/>
        </w:rPr>
      </w:pPr>
      <w:r w:rsidRPr="000549B1">
        <w:rPr>
          <w:sz w:val="24"/>
          <w:szCs w:val="24"/>
        </w:rPr>
        <w:t>评价范围内的杨树群系以青杨（</w:t>
      </w:r>
      <w:r w:rsidRPr="000549B1">
        <w:rPr>
          <w:i/>
          <w:iCs/>
          <w:sz w:val="24"/>
          <w:szCs w:val="24"/>
        </w:rPr>
        <w:t>Populuscathayana</w:t>
      </w:r>
      <w:r w:rsidRPr="000549B1">
        <w:rPr>
          <w:sz w:val="24"/>
          <w:szCs w:val="24"/>
        </w:rPr>
        <w:t>）和小叶杨（</w:t>
      </w:r>
      <w:r w:rsidRPr="000549B1">
        <w:rPr>
          <w:i/>
          <w:iCs/>
          <w:sz w:val="24"/>
          <w:szCs w:val="24"/>
        </w:rPr>
        <w:t>Populussimonii</w:t>
      </w:r>
      <w:r w:rsidRPr="000549B1">
        <w:rPr>
          <w:sz w:val="24"/>
          <w:szCs w:val="24"/>
        </w:rPr>
        <w:t>）为优势种，形成典型的高原河谷防护林体系，其植被生态特征呈现显著的地域性与适应性。</w:t>
      </w:r>
    </w:p>
    <w:p w14:paraId="2115DD1A" w14:textId="77777777" w:rsidR="00054437" w:rsidRPr="000549B1" w:rsidRDefault="00000000">
      <w:pPr>
        <w:spacing w:line="360" w:lineRule="auto"/>
        <w:ind w:firstLineChars="200" w:firstLine="480"/>
        <w:rPr>
          <w:sz w:val="24"/>
          <w:szCs w:val="24"/>
        </w:rPr>
      </w:pPr>
      <w:r w:rsidRPr="000549B1">
        <w:rPr>
          <w:sz w:val="24"/>
          <w:szCs w:val="24"/>
        </w:rPr>
        <w:t>杨树群系主要分布在评价范围内的农田周边、村庄聚落附近或公路沿线，杨树多作为农田防护林、防风固沙林或绿化树种植，多为线性或块状，林相整齐。杨树群落自然野生种群相对较少，以人工种植为主，乔木层郁闭度</w:t>
      </w:r>
      <w:r w:rsidRPr="000549B1">
        <w:rPr>
          <w:sz w:val="24"/>
          <w:szCs w:val="24"/>
        </w:rPr>
        <w:t>0.50</w:t>
      </w:r>
      <w:r w:rsidRPr="000549B1">
        <w:rPr>
          <w:sz w:val="24"/>
          <w:szCs w:val="24"/>
        </w:rPr>
        <w:t>，高</w:t>
      </w:r>
      <w:r w:rsidRPr="000549B1">
        <w:rPr>
          <w:sz w:val="24"/>
          <w:szCs w:val="24"/>
        </w:rPr>
        <w:t>5~10m</w:t>
      </w:r>
      <w:r w:rsidRPr="000549B1">
        <w:rPr>
          <w:sz w:val="24"/>
          <w:szCs w:val="24"/>
        </w:rPr>
        <w:t>，胸径</w:t>
      </w:r>
      <w:r w:rsidRPr="000549B1">
        <w:rPr>
          <w:sz w:val="24"/>
          <w:szCs w:val="24"/>
        </w:rPr>
        <w:t>10~20cm</w:t>
      </w:r>
      <w:r w:rsidRPr="000549B1">
        <w:rPr>
          <w:sz w:val="24"/>
          <w:szCs w:val="24"/>
        </w:rPr>
        <w:t>，盖度</w:t>
      </w:r>
      <w:r w:rsidRPr="000549B1">
        <w:rPr>
          <w:sz w:val="24"/>
          <w:szCs w:val="24"/>
        </w:rPr>
        <w:t>60%</w:t>
      </w:r>
      <w:r w:rsidRPr="000549B1">
        <w:rPr>
          <w:sz w:val="24"/>
          <w:szCs w:val="24"/>
        </w:rPr>
        <w:t>，伴生少量沙棘（</w:t>
      </w:r>
      <w:r w:rsidRPr="000549B1">
        <w:rPr>
          <w:i/>
          <w:iCs/>
          <w:sz w:val="24"/>
          <w:szCs w:val="24"/>
        </w:rPr>
        <w:t>Hippophaerhamnoides</w:t>
      </w:r>
      <w:r w:rsidRPr="000549B1">
        <w:rPr>
          <w:sz w:val="24"/>
          <w:szCs w:val="24"/>
        </w:rPr>
        <w:t>）和乌柳（</w:t>
      </w:r>
      <w:r w:rsidRPr="000549B1">
        <w:rPr>
          <w:i/>
          <w:iCs/>
          <w:sz w:val="24"/>
          <w:szCs w:val="24"/>
        </w:rPr>
        <w:t>Salixcheilophila</w:t>
      </w:r>
      <w:r w:rsidRPr="000549B1">
        <w:rPr>
          <w:i/>
          <w:iCs/>
          <w:sz w:val="24"/>
          <w:szCs w:val="24"/>
        </w:rPr>
        <w:t>）</w:t>
      </w:r>
      <w:r w:rsidRPr="000549B1">
        <w:rPr>
          <w:sz w:val="24"/>
          <w:szCs w:val="24"/>
        </w:rPr>
        <w:t>，灌木层盖度</w:t>
      </w:r>
      <w:r w:rsidRPr="000549B1">
        <w:rPr>
          <w:sz w:val="24"/>
          <w:szCs w:val="24"/>
        </w:rPr>
        <w:t>10%~30%</w:t>
      </w:r>
      <w:r w:rsidRPr="000549B1">
        <w:rPr>
          <w:sz w:val="24"/>
          <w:szCs w:val="24"/>
        </w:rPr>
        <w:t>，高</w:t>
      </w:r>
      <w:r w:rsidRPr="000549B1">
        <w:rPr>
          <w:sz w:val="24"/>
          <w:szCs w:val="24"/>
        </w:rPr>
        <w:t>1~2m</w:t>
      </w:r>
      <w:r w:rsidRPr="000549B1">
        <w:rPr>
          <w:sz w:val="24"/>
          <w:szCs w:val="24"/>
        </w:rPr>
        <w:t>；草本层以耐旱、耐贫瘠物种为主，覆盖度</w:t>
      </w:r>
      <w:r w:rsidRPr="000549B1">
        <w:rPr>
          <w:sz w:val="24"/>
          <w:szCs w:val="24"/>
        </w:rPr>
        <w:t>20%~50%</w:t>
      </w:r>
      <w:r w:rsidRPr="000549B1">
        <w:rPr>
          <w:sz w:val="24"/>
          <w:szCs w:val="24"/>
        </w:rPr>
        <w:t>，层均高</w:t>
      </w:r>
      <w:r w:rsidRPr="000549B1">
        <w:rPr>
          <w:sz w:val="24"/>
          <w:szCs w:val="24"/>
        </w:rPr>
        <w:t>0.5m</w:t>
      </w:r>
      <w:r w:rsidRPr="000549B1">
        <w:rPr>
          <w:sz w:val="24"/>
          <w:szCs w:val="24"/>
        </w:rPr>
        <w:t>，优势种有早熟禾（</w:t>
      </w:r>
      <w:r w:rsidRPr="000549B1">
        <w:rPr>
          <w:i/>
          <w:iCs/>
          <w:sz w:val="24"/>
          <w:szCs w:val="24"/>
        </w:rPr>
        <w:t>Poaannua</w:t>
      </w:r>
      <w:r w:rsidRPr="000549B1">
        <w:rPr>
          <w:sz w:val="24"/>
          <w:szCs w:val="24"/>
        </w:rPr>
        <w:t>）、</w:t>
      </w:r>
      <w:bookmarkStart w:id="255" w:name="OLE_LINK1"/>
      <w:r w:rsidRPr="000549B1">
        <w:rPr>
          <w:sz w:val="24"/>
          <w:szCs w:val="24"/>
        </w:rPr>
        <w:t>芨芨草</w:t>
      </w:r>
      <w:bookmarkEnd w:id="255"/>
      <w:r w:rsidRPr="000549B1">
        <w:rPr>
          <w:sz w:val="24"/>
          <w:szCs w:val="24"/>
        </w:rPr>
        <w:t>（</w:t>
      </w:r>
      <w:r w:rsidRPr="000549B1">
        <w:rPr>
          <w:i/>
          <w:iCs/>
          <w:sz w:val="24"/>
          <w:szCs w:val="24"/>
        </w:rPr>
        <w:t>Achnatherumsplendens</w:t>
      </w:r>
      <w:r w:rsidRPr="000549B1">
        <w:rPr>
          <w:sz w:val="24"/>
          <w:szCs w:val="24"/>
        </w:rPr>
        <w:t>）、赖草（</w:t>
      </w:r>
      <w:r w:rsidRPr="000549B1">
        <w:rPr>
          <w:i/>
          <w:iCs/>
          <w:sz w:val="24"/>
          <w:szCs w:val="24"/>
        </w:rPr>
        <w:t>Leymussecalinus</w:t>
      </w:r>
      <w:r w:rsidRPr="000549B1">
        <w:rPr>
          <w:sz w:val="24"/>
          <w:szCs w:val="24"/>
        </w:rPr>
        <w:t>）、大籽蒿（</w:t>
      </w:r>
      <w:r w:rsidRPr="000549B1">
        <w:rPr>
          <w:i/>
          <w:iCs/>
          <w:sz w:val="24"/>
          <w:szCs w:val="24"/>
        </w:rPr>
        <w:t>Artemisiasieversiana</w:t>
      </w:r>
      <w:r w:rsidRPr="000549B1">
        <w:rPr>
          <w:sz w:val="24"/>
          <w:szCs w:val="24"/>
        </w:rPr>
        <w:t>）、糙叶黄芪（</w:t>
      </w:r>
      <w:r w:rsidRPr="000549B1">
        <w:rPr>
          <w:i/>
          <w:iCs/>
          <w:sz w:val="24"/>
          <w:szCs w:val="24"/>
        </w:rPr>
        <w:t>Astragalusscaberrimus</w:t>
      </w:r>
      <w:r w:rsidRPr="000549B1">
        <w:rPr>
          <w:sz w:val="24"/>
          <w:szCs w:val="24"/>
        </w:rPr>
        <w:t>）、灰绿藜（</w:t>
      </w:r>
      <w:r w:rsidRPr="000549B1">
        <w:rPr>
          <w:i/>
          <w:iCs/>
          <w:sz w:val="24"/>
          <w:szCs w:val="24"/>
        </w:rPr>
        <w:t>Chenopodiumglaucum</w:t>
      </w:r>
      <w:r w:rsidRPr="000549B1">
        <w:rPr>
          <w:sz w:val="24"/>
          <w:szCs w:val="24"/>
        </w:rPr>
        <w:t>）、紫菀（</w:t>
      </w:r>
      <w:r w:rsidRPr="000549B1">
        <w:rPr>
          <w:i/>
          <w:iCs/>
          <w:sz w:val="24"/>
          <w:szCs w:val="24"/>
        </w:rPr>
        <w:t>Astertataricus</w:t>
      </w:r>
      <w:r w:rsidRPr="000549B1">
        <w:rPr>
          <w:sz w:val="24"/>
          <w:szCs w:val="24"/>
        </w:rPr>
        <w:t>）等</w:t>
      </w:r>
    </w:p>
    <w:tbl>
      <w:tblPr>
        <w:tblStyle w:val="af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3"/>
        <w:gridCol w:w="4153"/>
      </w:tblGrid>
      <w:tr w:rsidR="000549B1" w:rsidRPr="000549B1" w14:paraId="40801760" w14:textId="77777777">
        <w:tc>
          <w:tcPr>
            <w:tcW w:w="4292" w:type="dxa"/>
            <w:vAlign w:val="center"/>
          </w:tcPr>
          <w:p w14:paraId="5ECFE5E4" w14:textId="77777777" w:rsidR="00054437" w:rsidRPr="000549B1" w:rsidRDefault="00000000">
            <w:pPr>
              <w:jc w:val="center"/>
              <w:rPr>
                <w:b/>
                <w:bCs/>
              </w:rPr>
            </w:pPr>
            <w:r w:rsidRPr="000549B1">
              <w:rPr>
                <w:b/>
                <w:bCs/>
                <w:noProof/>
              </w:rPr>
              <w:drawing>
                <wp:inline distT="0" distB="0" distL="0" distR="0" wp14:anchorId="3419D506" wp14:editId="44242CF0">
                  <wp:extent cx="2844165" cy="1943735"/>
                  <wp:effectExtent l="0" t="0" r="635" b="12065"/>
                  <wp:docPr id="553913679" name="图片 1"/>
                  <wp:cNvGraphicFramePr/>
                  <a:graphic xmlns:a="http://schemas.openxmlformats.org/drawingml/2006/main">
                    <a:graphicData uri="http://schemas.openxmlformats.org/drawingml/2006/picture">
                      <pic:pic xmlns:pic="http://schemas.openxmlformats.org/drawingml/2006/picture">
                        <pic:nvPicPr>
                          <pic:cNvPr id="553913679" name="图片 1"/>
                          <pic:cNvPicPr/>
                        </pic:nvPicPr>
                        <pic:blipFill>
                          <a:blip r:embed="rId113" cstate="email">
                            <a:extLst>
                              <a:ext uri="{28A0092B-C50C-407E-A947-70E740481C1C}">
                                <a14:useLocalDpi xmlns:a14="http://schemas.microsoft.com/office/drawing/2010/main"/>
                              </a:ext>
                            </a:extLst>
                          </a:blip>
                          <a:stretch>
                            <a:fillRect/>
                          </a:stretch>
                        </pic:blipFill>
                        <pic:spPr>
                          <a:xfrm>
                            <a:off x="0" y="0"/>
                            <a:ext cx="2844165" cy="1943735"/>
                          </a:xfrm>
                          <a:prstGeom prst="rect">
                            <a:avLst/>
                          </a:prstGeom>
                        </pic:spPr>
                      </pic:pic>
                    </a:graphicData>
                  </a:graphic>
                </wp:inline>
              </w:drawing>
            </w:r>
          </w:p>
        </w:tc>
        <w:tc>
          <w:tcPr>
            <w:tcW w:w="4230" w:type="dxa"/>
            <w:vAlign w:val="center"/>
          </w:tcPr>
          <w:p w14:paraId="68B3458D" w14:textId="77777777" w:rsidR="00054437" w:rsidRPr="000549B1" w:rsidRDefault="00000000">
            <w:pPr>
              <w:jc w:val="center"/>
              <w:rPr>
                <w:b/>
                <w:bCs/>
              </w:rPr>
            </w:pPr>
            <w:r w:rsidRPr="000549B1">
              <w:rPr>
                <w:b/>
                <w:bCs/>
                <w:noProof/>
              </w:rPr>
              <w:drawing>
                <wp:inline distT="0" distB="0" distL="0" distR="0" wp14:anchorId="5BFC322E" wp14:editId="3E8D0C78">
                  <wp:extent cx="2844165" cy="1943735"/>
                  <wp:effectExtent l="0" t="0" r="635" b="12065"/>
                  <wp:docPr id="606136657" name="图片 1"/>
                  <wp:cNvGraphicFramePr/>
                  <a:graphic xmlns:a="http://schemas.openxmlformats.org/drawingml/2006/main">
                    <a:graphicData uri="http://schemas.openxmlformats.org/drawingml/2006/picture">
                      <pic:pic xmlns:pic="http://schemas.openxmlformats.org/drawingml/2006/picture">
                        <pic:nvPicPr>
                          <pic:cNvPr id="606136657" name="图片 1"/>
                          <pic:cNvPicPr>
                            <a:picLocks noChangeArrowheads="1"/>
                          </pic:cNvPicPr>
                        </pic:nvPicPr>
                        <pic:blipFill>
                          <a:blip r:embed="rId114" cstate="email">
                            <a:extLst>
                              <a:ext uri="{28A0092B-C50C-407E-A947-70E740481C1C}">
                                <a14:useLocalDpi xmlns:a14="http://schemas.microsoft.com/office/drawing/2010/main"/>
                              </a:ext>
                            </a:extLst>
                          </a:blip>
                          <a:srcRect/>
                          <a:stretch>
                            <a:fillRect/>
                          </a:stretch>
                        </pic:blipFill>
                        <pic:spPr>
                          <a:xfrm>
                            <a:off x="0" y="0"/>
                            <a:ext cx="2844165" cy="1943735"/>
                          </a:xfrm>
                          <a:prstGeom prst="rect">
                            <a:avLst/>
                          </a:prstGeom>
                          <a:noFill/>
                        </pic:spPr>
                      </pic:pic>
                    </a:graphicData>
                  </a:graphic>
                </wp:inline>
              </w:drawing>
            </w:r>
          </w:p>
        </w:tc>
      </w:tr>
      <w:tr w:rsidR="000549B1" w:rsidRPr="000549B1" w14:paraId="5EBE4AED" w14:textId="77777777">
        <w:tc>
          <w:tcPr>
            <w:tcW w:w="8522" w:type="dxa"/>
            <w:gridSpan w:val="2"/>
            <w:vAlign w:val="center"/>
          </w:tcPr>
          <w:p w14:paraId="0D0D9FF6" w14:textId="77777777" w:rsidR="00054437" w:rsidRPr="000549B1" w:rsidRDefault="00000000">
            <w:pPr>
              <w:jc w:val="center"/>
              <w:rPr>
                <w:b/>
                <w:bCs/>
              </w:rPr>
            </w:pPr>
            <w:r w:rsidRPr="000549B1">
              <w:rPr>
                <w:b/>
                <w:bCs/>
              </w:rPr>
              <w:t>杨树</w:t>
            </w:r>
          </w:p>
        </w:tc>
      </w:tr>
    </w:tbl>
    <w:p w14:paraId="454D4688" w14:textId="77777777" w:rsidR="00054437" w:rsidRPr="000549B1" w:rsidRDefault="00000000">
      <w:pPr>
        <w:spacing w:line="360" w:lineRule="auto"/>
        <w:ind w:firstLineChars="200" w:firstLine="480"/>
        <w:rPr>
          <w:sz w:val="24"/>
        </w:rPr>
      </w:pPr>
      <w:r w:rsidRPr="000549B1">
        <w:rPr>
          <w:sz w:val="24"/>
        </w:rPr>
        <w:t>2</w:t>
      </w:r>
      <w:r w:rsidRPr="000549B1">
        <w:rPr>
          <w:sz w:val="24"/>
        </w:rPr>
        <w:t>）灌丛</w:t>
      </w:r>
    </w:p>
    <w:p w14:paraId="4097A07B" w14:textId="77777777" w:rsidR="00054437" w:rsidRPr="000549B1" w:rsidRDefault="00000000">
      <w:pPr>
        <w:spacing w:line="360" w:lineRule="auto"/>
        <w:ind w:firstLineChars="200" w:firstLine="480"/>
        <w:rPr>
          <w:sz w:val="24"/>
        </w:rPr>
      </w:pPr>
      <w:r w:rsidRPr="000549B1">
        <w:rPr>
          <w:rFonts w:ascii="宋体" w:hAnsi="宋体" w:cs="宋体" w:hint="eastAsia"/>
          <w:sz w:val="24"/>
        </w:rPr>
        <w:t>①</w:t>
      </w:r>
      <w:r w:rsidRPr="000549B1">
        <w:rPr>
          <w:sz w:val="24"/>
        </w:rPr>
        <w:t>柠条锦鸡儿灌丛</w:t>
      </w:r>
      <w:r w:rsidRPr="000549B1">
        <w:rPr>
          <w:sz w:val="24"/>
        </w:rPr>
        <w:t>(Form</w:t>
      </w:r>
      <w:r w:rsidRPr="000549B1">
        <w:rPr>
          <w:sz w:val="24"/>
        </w:rPr>
        <w:t>．</w:t>
      </w:r>
      <w:r w:rsidRPr="000549B1">
        <w:rPr>
          <w:i/>
          <w:iCs/>
          <w:sz w:val="24"/>
        </w:rPr>
        <w:t>Caraganakorshinskii</w:t>
      </w:r>
      <w:r w:rsidRPr="000549B1">
        <w:rPr>
          <w:sz w:val="24"/>
        </w:rPr>
        <w:t>)</w:t>
      </w:r>
    </w:p>
    <w:tbl>
      <w:tblPr>
        <w:tblStyle w:val="aff"/>
        <w:tblpPr w:leftFromText="180" w:rightFromText="180" w:vertAnchor="text" w:horzAnchor="page" w:tblpX="1784" w:tblpY="2334"/>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3"/>
        <w:gridCol w:w="4153"/>
      </w:tblGrid>
      <w:tr w:rsidR="000549B1" w:rsidRPr="000549B1" w14:paraId="06691A1C" w14:textId="77777777" w:rsidTr="00B81685">
        <w:tc>
          <w:tcPr>
            <w:tcW w:w="4153" w:type="dxa"/>
            <w:vAlign w:val="center"/>
          </w:tcPr>
          <w:p w14:paraId="13F456B1" w14:textId="77777777" w:rsidR="00054437" w:rsidRPr="000549B1" w:rsidRDefault="00000000">
            <w:pPr>
              <w:jc w:val="center"/>
            </w:pPr>
            <w:r w:rsidRPr="000549B1">
              <w:rPr>
                <w:noProof/>
              </w:rPr>
              <w:drawing>
                <wp:inline distT="0" distB="0" distL="0" distR="0" wp14:anchorId="1B1850BD" wp14:editId="12ED8ED4">
                  <wp:extent cx="2844165" cy="1943735"/>
                  <wp:effectExtent l="0" t="0" r="635" b="12065"/>
                  <wp:docPr id="165473521" name="图片 22"/>
                  <wp:cNvGraphicFramePr/>
                  <a:graphic xmlns:a="http://schemas.openxmlformats.org/drawingml/2006/main">
                    <a:graphicData uri="http://schemas.openxmlformats.org/drawingml/2006/picture">
                      <pic:pic xmlns:pic="http://schemas.openxmlformats.org/drawingml/2006/picture">
                        <pic:nvPicPr>
                          <pic:cNvPr id="165473521" name="图片 22"/>
                          <pic:cNvPicPr>
                            <a:picLocks noChangeArrowheads="1"/>
                          </pic:cNvPicPr>
                        </pic:nvPicPr>
                        <pic:blipFill>
                          <a:blip r:embed="rId115" cstate="email">
                            <a:extLst>
                              <a:ext uri="{28A0092B-C50C-407E-A947-70E740481C1C}">
                                <a14:useLocalDpi xmlns:a14="http://schemas.microsoft.com/office/drawing/2010/main"/>
                              </a:ext>
                            </a:extLst>
                          </a:blip>
                          <a:srcRect/>
                          <a:stretch>
                            <a:fillRect/>
                          </a:stretch>
                        </pic:blipFill>
                        <pic:spPr>
                          <a:xfrm>
                            <a:off x="0" y="0"/>
                            <a:ext cx="2844165" cy="1943735"/>
                          </a:xfrm>
                          <a:prstGeom prst="rect">
                            <a:avLst/>
                          </a:prstGeom>
                          <a:noFill/>
                          <a:ln>
                            <a:noFill/>
                          </a:ln>
                        </pic:spPr>
                      </pic:pic>
                    </a:graphicData>
                  </a:graphic>
                </wp:inline>
              </w:drawing>
            </w:r>
          </w:p>
        </w:tc>
        <w:tc>
          <w:tcPr>
            <w:tcW w:w="4153" w:type="dxa"/>
            <w:vAlign w:val="center"/>
          </w:tcPr>
          <w:p w14:paraId="1FAE8D22" w14:textId="77777777" w:rsidR="00054437" w:rsidRPr="000549B1" w:rsidRDefault="00000000">
            <w:pPr>
              <w:jc w:val="center"/>
            </w:pPr>
            <w:r w:rsidRPr="000549B1">
              <w:rPr>
                <w:noProof/>
              </w:rPr>
              <w:drawing>
                <wp:inline distT="0" distB="0" distL="0" distR="0" wp14:anchorId="78D61074" wp14:editId="3F35EDB8">
                  <wp:extent cx="2844165" cy="1943735"/>
                  <wp:effectExtent l="0" t="0" r="635" b="12065"/>
                  <wp:docPr id="1571360581" name="图片 1"/>
                  <wp:cNvGraphicFramePr/>
                  <a:graphic xmlns:a="http://schemas.openxmlformats.org/drawingml/2006/main">
                    <a:graphicData uri="http://schemas.openxmlformats.org/drawingml/2006/picture">
                      <pic:pic xmlns:pic="http://schemas.openxmlformats.org/drawingml/2006/picture">
                        <pic:nvPicPr>
                          <pic:cNvPr id="1571360581" name="图片 1"/>
                          <pic:cNvPicPr>
                            <a:picLocks noChangeArrowheads="1"/>
                          </pic:cNvPicPr>
                        </pic:nvPicPr>
                        <pic:blipFill>
                          <a:blip r:embed="rId116" cstate="email">
                            <a:extLst>
                              <a:ext uri="{28A0092B-C50C-407E-A947-70E740481C1C}">
                                <a14:useLocalDpi xmlns:a14="http://schemas.microsoft.com/office/drawing/2010/main"/>
                              </a:ext>
                            </a:extLst>
                          </a:blip>
                          <a:srcRect/>
                          <a:stretch>
                            <a:fillRect/>
                          </a:stretch>
                        </pic:blipFill>
                        <pic:spPr>
                          <a:xfrm>
                            <a:off x="0" y="0"/>
                            <a:ext cx="2844165" cy="1943735"/>
                          </a:xfrm>
                          <a:prstGeom prst="rect">
                            <a:avLst/>
                          </a:prstGeom>
                          <a:noFill/>
                          <a:ln>
                            <a:noFill/>
                          </a:ln>
                        </pic:spPr>
                      </pic:pic>
                    </a:graphicData>
                  </a:graphic>
                </wp:inline>
              </w:drawing>
            </w:r>
          </w:p>
        </w:tc>
      </w:tr>
      <w:tr w:rsidR="000549B1" w:rsidRPr="000549B1" w14:paraId="7B235446" w14:textId="77777777" w:rsidTr="00B81685">
        <w:tc>
          <w:tcPr>
            <w:tcW w:w="8306" w:type="dxa"/>
            <w:gridSpan w:val="2"/>
            <w:vAlign w:val="center"/>
          </w:tcPr>
          <w:p w14:paraId="091B65F6" w14:textId="77777777" w:rsidR="00054437" w:rsidRPr="000549B1" w:rsidRDefault="00000000">
            <w:pPr>
              <w:jc w:val="center"/>
            </w:pPr>
            <w:r w:rsidRPr="000549B1">
              <w:t>柠条锦鸡儿</w:t>
            </w:r>
          </w:p>
        </w:tc>
      </w:tr>
    </w:tbl>
    <w:p w14:paraId="1564ED54" w14:textId="119575DB" w:rsidR="00054437" w:rsidRPr="000549B1" w:rsidRDefault="00B81685">
      <w:pPr>
        <w:spacing w:line="360" w:lineRule="auto"/>
        <w:ind w:firstLineChars="200" w:firstLine="480"/>
        <w:rPr>
          <w:sz w:val="24"/>
        </w:rPr>
      </w:pPr>
      <w:r w:rsidRPr="000549B1">
        <w:rPr>
          <w:sz w:val="24"/>
        </w:rPr>
        <w:t>柠条锦鸡儿群系是干旱、半干旱区域的核心优势灌丛类型，集中分布于共和县</w:t>
      </w:r>
      <w:r w:rsidRPr="000549B1">
        <w:rPr>
          <w:sz w:val="24"/>
        </w:rPr>
        <w:t>1800-2600m</w:t>
      </w:r>
      <w:r w:rsidRPr="000549B1">
        <w:rPr>
          <w:sz w:val="24"/>
        </w:rPr>
        <w:t>的沙地、荒山等区域，是防沙治沙的关键植被，其形态特征表现为落叶灌木，树高</w:t>
      </w:r>
      <w:r w:rsidRPr="000549B1">
        <w:rPr>
          <w:sz w:val="24"/>
        </w:rPr>
        <w:t>1m-2m</w:t>
      </w:r>
      <w:r w:rsidRPr="000549B1">
        <w:rPr>
          <w:sz w:val="24"/>
        </w:rPr>
        <w:t>，群落结构以柠条锦鸡儿为单优势种，覆盖度</w:t>
      </w:r>
      <w:r w:rsidRPr="000549B1">
        <w:rPr>
          <w:sz w:val="24"/>
        </w:rPr>
        <w:t>30%-50%</w:t>
      </w:r>
      <w:r w:rsidRPr="000549B1">
        <w:rPr>
          <w:sz w:val="24"/>
        </w:rPr>
        <w:t>，草本层种类比较</w:t>
      </w:r>
      <w:r w:rsidRPr="000549B1">
        <w:rPr>
          <w:rFonts w:hint="eastAsia"/>
          <w:sz w:val="24"/>
        </w:rPr>
        <w:t>贫乏</w:t>
      </w:r>
      <w:r w:rsidRPr="000549B1">
        <w:rPr>
          <w:sz w:val="24"/>
        </w:rPr>
        <w:t>，常见的有蒿类、隐子草、米口袋、百里香、黄芪、鸡眼草、披针叶黄华等。</w:t>
      </w:r>
    </w:p>
    <w:p w14:paraId="5BF17892" w14:textId="77777777" w:rsidR="00054437" w:rsidRPr="000549B1" w:rsidRDefault="00000000">
      <w:pPr>
        <w:spacing w:line="360" w:lineRule="auto"/>
        <w:ind w:firstLineChars="200" w:firstLine="480"/>
        <w:rPr>
          <w:sz w:val="24"/>
        </w:rPr>
      </w:pPr>
      <w:r w:rsidRPr="000549B1">
        <w:rPr>
          <w:rFonts w:ascii="宋体" w:hAnsi="宋体" w:cs="宋体" w:hint="eastAsia"/>
          <w:sz w:val="24"/>
        </w:rPr>
        <w:t>②</w:t>
      </w:r>
      <w:r w:rsidRPr="000549B1">
        <w:rPr>
          <w:sz w:val="24"/>
        </w:rPr>
        <w:t>红砂灌丛</w:t>
      </w:r>
      <w:r w:rsidRPr="000549B1">
        <w:rPr>
          <w:sz w:val="24"/>
        </w:rPr>
        <w:t>(Form.</w:t>
      </w:r>
      <w:r w:rsidRPr="000549B1">
        <w:rPr>
          <w:i/>
          <w:iCs/>
          <w:sz w:val="24"/>
        </w:rPr>
        <w:t>Reaumuriasongarica</w:t>
      </w:r>
      <w:r w:rsidRPr="000549B1">
        <w:rPr>
          <w:sz w:val="24"/>
        </w:rPr>
        <w:t>)</w:t>
      </w:r>
    </w:p>
    <w:p w14:paraId="59AB56B3" w14:textId="6BB1CBA0" w:rsidR="00054437" w:rsidRPr="000549B1" w:rsidRDefault="00B81685" w:rsidP="00B81685">
      <w:pPr>
        <w:spacing w:line="360" w:lineRule="auto"/>
        <w:ind w:firstLineChars="200" w:firstLine="480"/>
        <w:rPr>
          <w:sz w:val="24"/>
        </w:rPr>
      </w:pPr>
      <w:r w:rsidRPr="000549B1">
        <w:rPr>
          <w:sz w:val="24"/>
        </w:rPr>
        <w:t>红砂群系在评价区主要分布于大河坝引水口周边的河谷阶地及山麓缓坡，面积不大，多呈团状分布。该类型结构简单，</w:t>
      </w:r>
      <w:r w:rsidRPr="000549B1">
        <w:rPr>
          <w:rFonts w:hint="eastAsia"/>
          <w:sz w:val="24"/>
        </w:rPr>
        <w:t>伴生种类</w:t>
      </w:r>
      <w:r w:rsidRPr="000549B1">
        <w:rPr>
          <w:sz w:val="24"/>
        </w:rPr>
        <w:t>较少。其种类组成因地而异。物种组成简单，草本层以耐盐碱物种为主，如芨芨草（</w:t>
      </w:r>
      <w:r w:rsidRPr="000549B1">
        <w:rPr>
          <w:i/>
          <w:iCs/>
          <w:sz w:val="24"/>
        </w:rPr>
        <w:t>Achnatherumsplendens</w:t>
      </w:r>
      <w:r w:rsidRPr="000549B1">
        <w:rPr>
          <w:sz w:val="24"/>
        </w:rPr>
        <w:t>）、赖草（</w:t>
      </w:r>
      <w:r w:rsidRPr="000549B1">
        <w:rPr>
          <w:i/>
          <w:iCs/>
          <w:sz w:val="24"/>
        </w:rPr>
        <w:t>Leymussecalinus</w:t>
      </w:r>
      <w:r w:rsidRPr="000549B1">
        <w:rPr>
          <w:sz w:val="24"/>
        </w:rPr>
        <w:t>）、合头草</w:t>
      </w:r>
      <w:r w:rsidRPr="000549B1">
        <w:rPr>
          <w:sz w:val="24"/>
        </w:rPr>
        <w:t>(</w:t>
      </w:r>
      <w:r w:rsidRPr="000549B1">
        <w:rPr>
          <w:i/>
          <w:sz w:val="24"/>
        </w:rPr>
        <w:t>Sympegmaregelii</w:t>
      </w:r>
      <w:r w:rsidRPr="000549B1">
        <w:rPr>
          <w:sz w:val="24"/>
        </w:rPr>
        <w:t>)</w:t>
      </w:r>
      <w:r w:rsidRPr="000549B1">
        <w:rPr>
          <w:sz w:val="24"/>
        </w:rPr>
        <w:t>和冷蒿</w:t>
      </w:r>
      <w:r w:rsidRPr="000549B1">
        <w:rPr>
          <w:sz w:val="24"/>
        </w:rPr>
        <w:t>(</w:t>
      </w:r>
      <w:r w:rsidRPr="000549B1">
        <w:rPr>
          <w:i/>
          <w:sz w:val="24"/>
        </w:rPr>
        <w:t>Artemisiafrigida</w:t>
      </w:r>
      <w:r w:rsidRPr="000549B1">
        <w:rPr>
          <w:sz w:val="24"/>
        </w:rPr>
        <w:t>)</w:t>
      </w:r>
      <w:r w:rsidRPr="000549B1">
        <w:rPr>
          <w:sz w:val="24"/>
        </w:rPr>
        <w:t>，草本层覆盖度</w:t>
      </w:r>
      <w:r w:rsidRPr="000549B1">
        <w:rPr>
          <w:sz w:val="24"/>
        </w:rPr>
        <w:t>20%-25%</w:t>
      </w:r>
      <w:r w:rsidRPr="000549B1">
        <w:rPr>
          <w:sz w:val="24"/>
        </w:rPr>
        <w:t>。</w:t>
      </w:r>
    </w:p>
    <w:tbl>
      <w:tblPr>
        <w:tblStyle w:val="af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3"/>
        <w:gridCol w:w="4153"/>
      </w:tblGrid>
      <w:tr w:rsidR="000549B1" w:rsidRPr="000549B1" w14:paraId="72EC9C55" w14:textId="77777777">
        <w:tc>
          <w:tcPr>
            <w:tcW w:w="4299" w:type="dxa"/>
            <w:vAlign w:val="center"/>
          </w:tcPr>
          <w:p w14:paraId="1D29ECD1" w14:textId="77777777" w:rsidR="00054437" w:rsidRPr="000549B1" w:rsidRDefault="00000000">
            <w:pPr>
              <w:jc w:val="center"/>
            </w:pPr>
            <w:r w:rsidRPr="000549B1">
              <w:rPr>
                <w:noProof/>
              </w:rPr>
              <w:drawing>
                <wp:inline distT="0" distB="0" distL="0" distR="0" wp14:anchorId="4FE2FF1D" wp14:editId="3812AAF9">
                  <wp:extent cx="2844165" cy="1943735"/>
                  <wp:effectExtent l="0" t="0" r="635" b="12065"/>
                  <wp:docPr id="250659701" name="图片 1"/>
                  <wp:cNvGraphicFramePr/>
                  <a:graphic xmlns:a="http://schemas.openxmlformats.org/drawingml/2006/main">
                    <a:graphicData uri="http://schemas.openxmlformats.org/drawingml/2006/picture">
                      <pic:pic xmlns:pic="http://schemas.openxmlformats.org/drawingml/2006/picture">
                        <pic:nvPicPr>
                          <pic:cNvPr id="250659701" name="图片 1"/>
                          <pic:cNvPicPr/>
                        </pic:nvPicPr>
                        <pic:blipFill>
                          <a:blip r:embed="rId117" cstate="email">
                            <a:extLst>
                              <a:ext uri="{28A0092B-C50C-407E-A947-70E740481C1C}">
                                <a14:useLocalDpi xmlns:a14="http://schemas.microsoft.com/office/drawing/2010/main"/>
                              </a:ext>
                            </a:extLst>
                          </a:blip>
                          <a:stretch>
                            <a:fillRect/>
                          </a:stretch>
                        </pic:blipFill>
                        <pic:spPr>
                          <a:xfrm>
                            <a:off x="0" y="0"/>
                            <a:ext cx="2844165" cy="1943735"/>
                          </a:xfrm>
                          <a:prstGeom prst="rect">
                            <a:avLst/>
                          </a:prstGeom>
                        </pic:spPr>
                      </pic:pic>
                    </a:graphicData>
                  </a:graphic>
                </wp:inline>
              </w:drawing>
            </w:r>
          </w:p>
        </w:tc>
        <w:tc>
          <w:tcPr>
            <w:tcW w:w="4223" w:type="dxa"/>
            <w:vAlign w:val="center"/>
          </w:tcPr>
          <w:p w14:paraId="6C6ED4F5" w14:textId="77777777" w:rsidR="00054437" w:rsidRPr="000549B1" w:rsidRDefault="00000000">
            <w:pPr>
              <w:jc w:val="center"/>
            </w:pPr>
            <w:r w:rsidRPr="000549B1">
              <w:rPr>
                <w:noProof/>
              </w:rPr>
              <w:drawing>
                <wp:inline distT="0" distB="0" distL="0" distR="0" wp14:anchorId="0FE462CC" wp14:editId="35F5F707">
                  <wp:extent cx="2844165" cy="1943735"/>
                  <wp:effectExtent l="0" t="0" r="635" b="12065"/>
                  <wp:docPr id="1744739140" name="图片 1"/>
                  <wp:cNvGraphicFramePr/>
                  <a:graphic xmlns:a="http://schemas.openxmlformats.org/drawingml/2006/main">
                    <a:graphicData uri="http://schemas.openxmlformats.org/drawingml/2006/picture">
                      <pic:pic xmlns:pic="http://schemas.openxmlformats.org/drawingml/2006/picture">
                        <pic:nvPicPr>
                          <pic:cNvPr id="1744739140" name="图片 1"/>
                          <pic:cNvPicPr/>
                        </pic:nvPicPr>
                        <pic:blipFill>
                          <a:blip r:embed="rId118" cstate="email">
                            <a:extLst>
                              <a:ext uri="{28A0092B-C50C-407E-A947-70E740481C1C}">
                                <a14:useLocalDpi xmlns:a14="http://schemas.microsoft.com/office/drawing/2010/main"/>
                              </a:ext>
                            </a:extLst>
                          </a:blip>
                          <a:stretch>
                            <a:fillRect/>
                          </a:stretch>
                        </pic:blipFill>
                        <pic:spPr>
                          <a:xfrm>
                            <a:off x="0" y="0"/>
                            <a:ext cx="2844165" cy="1943735"/>
                          </a:xfrm>
                          <a:prstGeom prst="rect">
                            <a:avLst/>
                          </a:prstGeom>
                        </pic:spPr>
                      </pic:pic>
                    </a:graphicData>
                  </a:graphic>
                </wp:inline>
              </w:drawing>
            </w:r>
          </w:p>
        </w:tc>
      </w:tr>
      <w:tr w:rsidR="000549B1" w:rsidRPr="000549B1" w14:paraId="14251F7C" w14:textId="77777777">
        <w:tc>
          <w:tcPr>
            <w:tcW w:w="8522" w:type="dxa"/>
            <w:gridSpan w:val="2"/>
            <w:vAlign w:val="center"/>
          </w:tcPr>
          <w:p w14:paraId="7A366748" w14:textId="77777777" w:rsidR="00054437" w:rsidRPr="000549B1" w:rsidRDefault="00000000">
            <w:pPr>
              <w:jc w:val="center"/>
            </w:pPr>
            <w:r w:rsidRPr="000549B1">
              <w:rPr>
                <w:b/>
                <w:bCs/>
              </w:rPr>
              <w:t>红砂</w:t>
            </w:r>
          </w:p>
        </w:tc>
      </w:tr>
    </w:tbl>
    <w:p w14:paraId="6F3581EE" w14:textId="77777777" w:rsidR="00054437" w:rsidRPr="000549B1" w:rsidRDefault="00000000">
      <w:pPr>
        <w:spacing w:line="360" w:lineRule="auto"/>
        <w:ind w:firstLineChars="200" w:firstLine="480"/>
        <w:rPr>
          <w:sz w:val="24"/>
          <w:szCs w:val="24"/>
        </w:rPr>
      </w:pPr>
      <w:r w:rsidRPr="000549B1">
        <w:rPr>
          <w:sz w:val="24"/>
          <w:szCs w:val="24"/>
        </w:rPr>
        <w:t>3</w:t>
      </w:r>
      <w:r w:rsidRPr="000549B1">
        <w:rPr>
          <w:sz w:val="24"/>
          <w:szCs w:val="24"/>
        </w:rPr>
        <w:t>）草原</w:t>
      </w:r>
    </w:p>
    <w:p w14:paraId="72C675E7" w14:textId="77777777" w:rsidR="00054437" w:rsidRPr="000549B1" w:rsidRDefault="00000000">
      <w:pPr>
        <w:spacing w:line="360" w:lineRule="auto"/>
        <w:ind w:firstLineChars="200" w:firstLine="480"/>
        <w:rPr>
          <w:sz w:val="24"/>
          <w:szCs w:val="24"/>
        </w:rPr>
      </w:pPr>
      <w:r w:rsidRPr="000549B1">
        <w:rPr>
          <w:rFonts w:ascii="宋体" w:hAnsi="宋体" w:cs="宋体" w:hint="eastAsia"/>
          <w:sz w:val="24"/>
          <w:szCs w:val="24"/>
        </w:rPr>
        <w:t>①</w:t>
      </w:r>
      <w:r w:rsidRPr="000549B1">
        <w:rPr>
          <w:sz w:val="24"/>
          <w:szCs w:val="24"/>
        </w:rPr>
        <w:t>芨芨草草原（</w:t>
      </w:r>
      <w:r w:rsidRPr="000549B1">
        <w:rPr>
          <w:sz w:val="24"/>
          <w:szCs w:val="24"/>
        </w:rPr>
        <w:t>Form.</w:t>
      </w:r>
      <w:r w:rsidRPr="000549B1">
        <w:rPr>
          <w:i/>
          <w:sz w:val="24"/>
          <w:szCs w:val="24"/>
        </w:rPr>
        <w:t>Achnatherumsplendens</w:t>
      </w:r>
      <w:r w:rsidRPr="000549B1">
        <w:rPr>
          <w:sz w:val="24"/>
          <w:szCs w:val="24"/>
        </w:rPr>
        <w:t>)</w:t>
      </w:r>
    </w:p>
    <w:p w14:paraId="42A6153B" w14:textId="77777777" w:rsidR="00054437" w:rsidRPr="000549B1" w:rsidRDefault="00000000">
      <w:pPr>
        <w:spacing w:line="360" w:lineRule="auto"/>
        <w:ind w:firstLineChars="200" w:firstLine="480"/>
        <w:rPr>
          <w:sz w:val="24"/>
          <w:szCs w:val="24"/>
        </w:rPr>
      </w:pPr>
      <w:r w:rsidRPr="000549B1">
        <w:rPr>
          <w:sz w:val="24"/>
          <w:szCs w:val="24"/>
        </w:rPr>
        <w:t>芨芨草草原是评价区分布最广、面积最大的群落类型，在评价范围内均有广泛分布。</w:t>
      </w:r>
    </w:p>
    <w:p w14:paraId="78894B14" w14:textId="1AA3E323" w:rsidR="00054437" w:rsidRPr="000549B1" w:rsidRDefault="00000000">
      <w:pPr>
        <w:spacing w:line="360" w:lineRule="auto"/>
        <w:ind w:firstLineChars="200" w:firstLine="480"/>
        <w:rPr>
          <w:sz w:val="24"/>
        </w:rPr>
      </w:pPr>
      <w:r w:rsidRPr="000549B1">
        <w:rPr>
          <w:sz w:val="24"/>
          <w:szCs w:val="24"/>
        </w:rPr>
        <w:t>芨芨草为高大密草丛，草丛高达</w:t>
      </w:r>
      <w:r w:rsidRPr="000549B1">
        <w:rPr>
          <w:sz w:val="24"/>
          <w:szCs w:val="24"/>
        </w:rPr>
        <w:t>1~1.5m</w:t>
      </w:r>
      <w:r w:rsidRPr="000549B1">
        <w:rPr>
          <w:sz w:val="24"/>
          <w:szCs w:val="24"/>
        </w:rPr>
        <w:t>，基部直径</w:t>
      </w:r>
      <w:r w:rsidRPr="000549B1">
        <w:rPr>
          <w:sz w:val="24"/>
          <w:szCs w:val="24"/>
        </w:rPr>
        <w:t>15~40cm</w:t>
      </w:r>
      <w:r w:rsidRPr="000549B1">
        <w:rPr>
          <w:sz w:val="24"/>
          <w:szCs w:val="24"/>
        </w:rPr>
        <w:t>。群落结构以及种类组成，常随土层薄厚，土壤盐渍化的不同程度和地下水位高低不同，差异很大。在土层较厚，肥力较高，地下水位低，土壤盐渍化程度弱的地段，芨芨草生长发育良好，株丛大，生长茂密，株高</w:t>
      </w:r>
      <w:r w:rsidRPr="000549B1">
        <w:rPr>
          <w:sz w:val="24"/>
          <w:szCs w:val="24"/>
        </w:rPr>
        <w:t>70~140cm</w:t>
      </w:r>
      <w:r w:rsidRPr="000549B1">
        <w:rPr>
          <w:sz w:val="24"/>
          <w:szCs w:val="24"/>
        </w:rPr>
        <w:t>，最高的可达</w:t>
      </w:r>
      <w:r w:rsidRPr="000549B1">
        <w:rPr>
          <w:sz w:val="24"/>
          <w:szCs w:val="24"/>
        </w:rPr>
        <w:t>160~180cm</w:t>
      </w:r>
      <w:r w:rsidRPr="000549B1">
        <w:rPr>
          <w:sz w:val="24"/>
          <w:szCs w:val="24"/>
        </w:rPr>
        <w:t>，草丛基部直径</w:t>
      </w:r>
      <w:r w:rsidRPr="000549B1">
        <w:rPr>
          <w:sz w:val="24"/>
          <w:szCs w:val="24"/>
        </w:rPr>
        <w:t>30~40cm</w:t>
      </w:r>
      <w:r w:rsidRPr="000549B1">
        <w:rPr>
          <w:sz w:val="24"/>
          <w:szCs w:val="24"/>
        </w:rPr>
        <w:t>，群落结构复杂，由</w:t>
      </w:r>
      <w:r w:rsidRPr="000549B1">
        <w:rPr>
          <w:sz w:val="24"/>
          <w:szCs w:val="24"/>
        </w:rPr>
        <w:t>2-3</w:t>
      </w:r>
      <w:r w:rsidRPr="000549B1">
        <w:rPr>
          <w:sz w:val="24"/>
          <w:szCs w:val="24"/>
        </w:rPr>
        <w:t>层组成，种类成分比较丰富，总覆盖度</w:t>
      </w:r>
      <w:r w:rsidRPr="000549B1">
        <w:rPr>
          <w:sz w:val="24"/>
          <w:szCs w:val="24"/>
        </w:rPr>
        <w:t>40~80%</w:t>
      </w:r>
      <w:r w:rsidRPr="000549B1">
        <w:rPr>
          <w:sz w:val="24"/>
          <w:szCs w:val="24"/>
        </w:rPr>
        <w:t>，除建群种芨芨草外，其主要伴生种类有短花针茅、戈壁针茅</w:t>
      </w:r>
      <w:r w:rsidRPr="000549B1">
        <w:rPr>
          <w:sz w:val="24"/>
          <w:szCs w:val="24"/>
        </w:rPr>
        <w:t>(</w:t>
      </w:r>
      <w:r w:rsidRPr="000549B1">
        <w:rPr>
          <w:i/>
          <w:sz w:val="24"/>
          <w:szCs w:val="24"/>
        </w:rPr>
        <w:t>Stipagocica</w:t>
      </w:r>
      <w:r w:rsidRPr="000549B1">
        <w:rPr>
          <w:sz w:val="24"/>
          <w:szCs w:val="24"/>
        </w:rPr>
        <w:t>)</w:t>
      </w:r>
      <w:r w:rsidRPr="000549B1">
        <w:rPr>
          <w:sz w:val="24"/>
          <w:szCs w:val="24"/>
        </w:rPr>
        <w:t>、西北针茅</w:t>
      </w:r>
      <w:r w:rsidRPr="000549B1">
        <w:rPr>
          <w:i/>
          <w:sz w:val="24"/>
          <w:szCs w:val="24"/>
        </w:rPr>
        <w:t>(S.krylovii)</w:t>
      </w:r>
      <w:r w:rsidRPr="000549B1">
        <w:rPr>
          <w:iCs/>
          <w:sz w:val="24"/>
          <w:szCs w:val="24"/>
        </w:rPr>
        <w:t>、</w:t>
      </w:r>
      <w:r w:rsidRPr="000549B1">
        <w:rPr>
          <w:sz w:val="24"/>
          <w:szCs w:val="24"/>
        </w:rPr>
        <w:t>草蒿、乳白花黄芪</w:t>
      </w:r>
      <w:r w:rsidRPr="000549B1">
        <w:rPr>
          <w:sz w:val="24"/>
          <w:szCs w:val="24"/>
        </w:rPr>
        <w:t>(</w:t>
      </w:r>
      <w:r w:rsidRPr="000549B1">
        <w:rPr>
          <w:i/>
          <w:sz w:val="24"/>
          <w:szCs w:val="24"/>
        </w:rPr>
        <w:t>Astragalusgalactites</w:t>
      </w:r>
      <w:r w:rsidRPr="000549B1">
        <w:rPr>
          <w:sz w:val="24"/>
          <w:szCs w:val="24"/>
        </w:rPr>
        <w:t>)</w:t>
      </w:r>
      <w:r w:rsidRPr="000549B1">
        <w:rPr>
          <w:sz w:val="24"/>
          <w:szCs w:val="24"/>
        </w:rPr>
        <w:t>、青甘葱</w:t>
      </w:r>
      <w:r w:rsidRPr="000549B1">
        <w:rPr>
          <w:sz w:val="24"/>
          <w:szCs w:val="24"/>
        </w:rPr>
        <w:t>(</w:t>
      </w:r>
      <w:r w:rsidRPr="000549B1">
        <w:rPr>
          <w:i/>
          <w:sz w:val="24"/>
          <w:szCs w:val="24"/>
        </w:rPr>
        <w:t>Alliumprzewalskianum</w:t>
      </w:r>
      <w:r w:rsidRPr="000549B1">
        <w:rPr>
          <w:sz w:val="24"/>
          <w:szCs w:val="24"/>
        </w:rPr>
        <w:t>)</w:t>
      </w:r>
      <w:r w:rsidRPr="000549B1">
        <w:rPr>
          <w:sz w:val="24"/>
          <w:szCs w:val="24"/>
        </w:rPr>
        <w:t>、唐古韭</w:t>
      </w:r>
      <w:r w:rsidRPr="000549B1">
        <w:rPr>
          <w:sz w:val="24"/>
          <w:szCs w:val="24"/>
        </w:rPr>
        <w:t>(</w:t>
      </w:r>
      <w:r w:rsidRPr="000549B1">
        <w:rPr>
          <w:i/>
          <w:sz w:val="24"/>
          <w:szCs w:val="24"/>
        </w:rPr>
        <w:t>A.tanguticum</w:t>
      </w:r>
      <w:r w:rsidRPr="000549B1">
        <w:rPr>
          <w:sz w:val="24"/>
          <w:szCs w:val="24"/>
        </w:rPr>
        <w:t>)</w:t>
      </w:r>
      <w:r w:rsidRPr="000549B1">
        <w:rPr>
          <w:sz w:val="24"/>
          <w:szCs w:val="24"/>
        </w:rPr>
        <w:t>、醉马草</w:t>
      </w:r>
      <w:r w:rsidRPr="000549B1">
        <w:rPr>
          <w:sz w:val="24"/>
          <w:szCs w:val="24"/>
        </w:rPr>
        <w:t>(</w:t>
      </w:r>
      <w:r w:rsidRPr="000549B1">
        <w:rPr>
          <w:i/>
          <w:sz w:val="24"/>
          <w:szCs w:val="24"/>
        </w:rPr>
        <w:t>Achnatheruminerberas</w:t>
      </w:r>
      <w:r w:rsidRPr="000549B1">
        <w:rPr>
          <w:sz w:val="24"/>
          <w:szCs w:val="24"/>
        </w:rPr>
        <w:t>)</w:t>
      </w:r>
      <w:r w:rsidRPr="000549B1">
        <w:rPr>
          <w:sz w:val="24"/>
          <w:szCs w:val="24"/>
        </w:rPr>
        <w:t>、扁穗冰草</w:t>
      </w:r>
      <w:r w:rsidRPr="000549B1">
        <w:rPr>
          <w:sz w:val="24"/>
          <w:szCs w:val="24"/>
        </w:rPr>
        <w:t>(</w:t>
      </w:r>
      <w:r w:rsidRPr="000549B1">
        <w:rPr>
          <w:i/>
          <w:sz w:val="24"/>
          <w:szCs w:val="24"/>
        </w:rPr>
        <w:t>Agropyroncriststum</w:t>
      </w:r>
      <w:r w:rsidRPr="000549B1">
        <w:rPr>
          <w:sz w:val="24"/>
          <w:szCs w:val="24"/>
        </w:rPr>
        <w:t>)</w:t>
      </w:r>
      <w:r w:rsidRPr="000549B1">
        <w:rPr>
          <w:sz w:val="24"/>
          <w:szCs w:val="24"/>
        </w:rPr>
        <w:t>、厚穗赖草、</w:t>
      </w:r>
      <w:r w:rsidR="00B81685" w:rsidRPr="000549B1">
        <w:rPr>
          <w:rFonts w:hint="eastAsia"/>
          <w:sz w:val="24"/>
          <w:szCs w:val="24"/>
        </w:rPr>
        <w:t>阿尔泰狗娃</w:t>
      </w:r>
      <w:r w:rsidRPr="000549B1">
        <w:rPr>
          <w:sz w:val="24"/>
          <w:szCs w:val="24"/>
        </w:rPr>
        <w:t>花、西藏锦鸡儿</w:t>
      </w:r>
      <w:r w:rsidRPr="000549B1">
        <w:rPr>
          <w:sz w:val="24"/>
          <w:szCs w:val="24"/>
        </w:rPr>
        <w:t>(</w:t>
      </w:r>
      <w:r w:rsidRPr="000549B1">
        <w:rPr>
          <w:i/>
          <w:sz w:val="24"/>
          <w:szCs w:val="24"/>
        </w:rPr>
        <w:t>Caraganati-betica)</w:t>
      </w:r>
      <w:r w:rsidRPr="000549B1">
        <w:rPr>
          <w:sz w:val="24"/>
          <w:szCs w:val="24"/>
        </w:rPr>
        <w:t>、青海固沙草、蚓果茶</w:t>
      </w:r>
      <w:r w:rsidRPr="000549B1">
        <w:rPr>
          <w:i/>
          <w:sz w:val="24"/>
          <w:szCs w:val="24"/>
        </w:rPr>
        <w:t>(Torulariahumili</w:t>
      </w:r>
      <w:r w:rsidRPr="000549B1">
        <w:rPr>
          <w:sz w:val="24"/>
          <w:szCs w:val="24"/>
        </w:rPr>
        <w:t>s)</w:t>
      </w:r>
      <w:r w:rsidRPr="000549B1">
        <w:rPr>
          <w:sz w:val="24"/>
          <w:szCs w:val="24"/>
        </w:rPr>
        <w:t>等。在含沙量较多的局部地段，还出现黄花矶松</w:t>
      </w:r>
      <w:r w:rsidRPr="000549B1">
        <w:rPr>
          <w:sz w:val="24"/>
          <w:szCs w:val="24"/>
        </w:rPr>
        <w:t>(</w:t>
      </w:r>
      <w:r w:rsidRPr="000549B1">
        <w:rPr>
          <w:i/>
          <w:sz w:val="24"/>
          <w:szCs w:val="24"/>
        </w:rPr>
        <w:t>Limonium</w:t>
      </w:r>
      <w:r w:rsidRPr="000549B1">
        <w:rPr>
          <w:sz w:val="24"/>
          <w:szCs w:val="24"/>
        </w:rPr>
        <w:t>aureum)</w:t>
      </w:r>
      <w:r w:rsidRPr="000549B1">
        <w:rPr>
          <w:sz w:val="24"/>
          <w:szCs w:val="24"/>
        </w:rPr>
        <w:t>、沙蒿</w:t>
      </w:r>
      <w:r w:rsidRPr="000549B1">
        <w:rPr>
          <w:sz w:val="24"/>
          <w:szCs w:val="24"/>
        </w:rPr>
        <w:t>(</w:t>
      </w:r>
      <w:r w:rsidRPr="000549B1">
        <w:rPr>
          <w:i/>
          <w:sz w:val="24"/>
          <w:szCs w:val="24"/>
        </w:rPr>
        <w:t>Artemisiadesertorum</w:t>
      </w:r>
      <w:r w:rsidRPr="000549B1">
        <w:rPr>
          <w:sz w:val="24"/>
          <w:szCs w:val="24"/>
        </w:rPr>
        <w:t>)</w:t>
      </w:r>
      <w:r w:rsidRPr="000549B1">
        <w:rPr>
          <w:sz w:val="24"/>
          <w:szCs w:val="24"/>
        </w:rPr>
        <w:t>等。</w:t>
      </w:r>
    </w:p>
    <w:tbl>
      <w:tblPr>
        <w:tblStyle w:val="af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3"/>
        <w:gridCol w:w="4153"/>
      </w:tblGrid>
      <w:tr w:rsidR="000549B1" w:rsidRPr="000549B1" w14:paraId="543C333E" w14:textId="77777777">
        <w:trPr>
          <w:trHeight w:val="3131"/>
        </w:trPr>
        <w:tc>
          <w:tcPr>
            <w:tcW w:w="4272" w:type="dxa"/>
            <w:vAlign w:val="center"/>
          </w:tcPr>
          <w:p w14:paraId="46122584" w14:textId="77777777" w:rsidR="00054437" w:rsidRPr="000549B1" w:rsidRDefault="00000000">
            <w:pPr>
              <w:jc w:val="center"/>
              <w:rPr>
                <w:b/>
                <w:bCs/>
              </w:rPr>
            </w:pPr>
            <w:r w:rsidRPr="000549B1">
              <w:rPr>
                <w:b/>
                <w:bCs/>
                <w:noProof/>
              </w:rPr>
              <w:drawing>
                <wp:inline distT="0" distB="0" distL="0" distR="0" wp14:anchorId="1D22D3E1" wp14:editId="444F6C2E">
                  <wp:extent cx="2844165" cy="1943735"/>
                  <wp:effectExtent l="0" t="0" r="635" b="12065"/>
                  <wp:docPr id="1491223583" name="图片 20"/>
                  <wp:cNvGraphicFramePr/>
                  <a:graphic xmlns:a="http://schemas.openxmlformats.org/drawingml/2006/main">
                    <a:graphicData uri="http://schemas.openxmlformats.org/drawingml/2006/picture">
                      <pic:pic xmlns:pic="http://schemas.openxmlformats.org/drawingml/2006/picture">
                        <pic:nvPicPr>
                          <pic:cNvPr id="1491223583" name="图片 20"/>
                          <pic:cNvPicPr>
                            <a:picLocks noChangeArrowheads="1"/>
                          </pic:cNvPicPr>
                        </pic:nvPicPr>
                        <pic:blipFill>
                          <a:blip r:embed="rId119" cstate="email">
                            <a:extLst>
                              <a:ext uri="{28A0092B-C50C-407E-A947-70E740481C1C}">
                                <a14:useLocalDpi xmlns:a14="http://schemas.microsoft.com/office/drawing/2010/main"/>
                              </a:ext>
                            </a:extLst>
                          </a:blip>
                          <a:srcRect/>
                          <a:stretch>
                            <a:fillRect/>
                          </a:stretch>
                        </pic:blipFill>
                        <pic:spPr>
                          <a:xfrm>
                            <a:off x="0" y="0"/>
                            <a:ext cx="2844165" cy="1943735"/>
                          </a:xfrm>
                          <a:prstGeom prst="rect">
                            <a:avLst/>
                          </a:prstGeom>
                          <a:noFill/>
                          <a:ln>
                            <a:noFill/>
                          </a:ln>
                        </pic:spPr>
                      </pic:pic>
                    </a:graphicData>
                  </a:graphic>
                </wp:inline>
              </w:drawing>
            </w:r>
          </w:p>
        </w:tc>
        <w:tc>
          <w:tcPr>
            <w:tcW w:w="4250" w:type="dxa"/>
            <w:vAlign w:val="center"/>
          </w:tcPr>
          <w:p w14:paraId="41361E7B" w14:textId="77777777" w:rsidR="00054437" w:rsidRPr="000549B1" w:rsidRDefault="00000000">
            <w:pPr>
              <w:jc w:val="center"/>
              <w:rPr>
                <w:b/>
                <w:bCs/>
              </w:rPr>
            </w:pPr>
            <w:r w:rsidRPr="000549B1">
              <w:rPr>
                <w:b/>
                <w:bCs/>
                <w:noProof/>
              </w:rPr>
              <w:drawing>
                <wp:inline distT="0" distB="0" distL="0" distR="0" wp14:anchorId="63CCE450" wp14:editId="4CAA8224">
                  <wp:extent cx="2844165" cy="1943735"/>
                  <wp:effectExtent l="0" t="0" r="635" b="12065"/>
                  <wp:docPr id="2120681709" name="图片 19"/>
                  <wp:cNvGraphicFramePr/>
                  <a:graphic xmlns:a="http://schemas.openxmlformats.org/drawingml/2006/main">
                    <a:graphicData uri="http://schemas.openxmlformats.org/drawingml/2006/picture">
                      <pic:pic xmlns:pic="http://schemas.openxmlformats.org/drawingml/2006/picture">
                        <pic:nvPicPr>
                          <pic:cNvPr id="2120681709" name="图片 19"/>
                          <pic:cNvPicPr>
                            <a:picLocks noChangeArrowheads="1"/>
                          </pic:cNvPicPr>
                        </pic:nvPicPr>
                        <pic:blipFill>
                          <a:blip r:embed="rId120" cstate="email">
                            <a:extLst>
                              <a:ext uri="{28A0092B-C50C-407E-A947-70E740481C1C}">
                                <a14:useLocalDpi xmlns:a14="http://schemas.microsoft.com/office/drawing/2010/main"/>
                              </a:ext>
                            </a:extLst>
                          </a:blip>
                          <a:srcRect/>
                          <a:stretch>
                            <a:fillRect/>
                          </a:stretch>
                        </pic:blipFill>
                        <pic:spPr>
                          <a:xfrm>
                            <a:off x="0" y="0"/>
                            <a:ext cx="2844165" cy="1943735"/>
                          </a:xfrm>
                          <a:prstGeom prst="rect">
                            <a:avLst/>
                          </a:prstGeom>
                          <a:noFill/>
                          <a:ln>
                            <a:noFill/>
                          </a:ln>
                        </pic:spPr>
                      </pic:pic>
                    </a:graphicData>
                  </a:graphic>
                </wp:inline>
              </w:drawing>
            </w:r>
          </w:p>
        </w:tc>
      </w:tr>
      <w:tr w:rsidR="000549B1" w:rsidRPr="000549B1" w14:paraId="5EBC1132" w14:textId="77777777">
        <w:tc>
          <w:tcPr>
            <w:tcW w:w="8522" w:type="dxa"/>
            <w:gridSpan w:val="2"/>
            <w:vAlign w:val="center"/>
          </w:tcPr>
          <w:p w14:paraId="2486B435" w14:textId="77777777" w:rsidR="00054437" w:rsidRPr="000549B1" w:rsidRDefault="00000000">
            <w:pPr>
              <w:jc w:val="center"/>
              <w:rPr>
                <w:b/>
                <w:bCs/>
              </w:rPr>
            </w:pPr>
            <w:r w:rsidRPr="000549B1">
              <w:rPr>
                <w:b/>
                <w:bCs/>
              </w:rPr>
              <w:t>芨芨草</w:t>
            </w:r>
          </w:p>
        </w:tc>
      </w:tr>
    </w:tbl>
    <w:p w14:paraId="6FEC90FD" w14:textId="77777777" w:rsidR="00054437" w:rsidRPr="000549B1" w:rsidRDefault="00000000">
      <w:pPr>
        <w:spacing w:line="360" w:lineRule="auto"/>
        <w:ind w:firstLineChars="200" w:firstLine="480"/>
        <w:rPr>
          <w:sz w:val="24"/>
        </w:rPr>
      </w:pPr>
      <w:r w:rsidRPr="000549B1">
        <w:rPr>
          <w:rFonts w:ascii="宋体" w:hAnsi="宋体" w:cs="宋体" w:hint="eastAsia"/>
          <w:sz w:val="24"/>
        </w:rPr>
        <w:t>②</w:t>
      </w:r>
      <w:r w:rsidRPr="000549B1">
        <w:rPr>
          <w:sz w:val="24"/>
        </w:rPr>
        <w:t>披碱草草原（</w:t>
      </w:r>
      <w:r w:rsidRPr="000549B1">
        <w:rPr>
          <w:sz w:val="24"/>
        </w:rPr>
        <w:t>Form.</w:t>
      </w:r>
      <w:r w:rsidRPr="000549B1">
        <w:rPr>
          <w:i/>
          <w:sz w:val="24"/>
        </w:rPr>
        <w:t>Elymusdahuricus</w:t>
      </w:r>
      <w:r w:rsidRPr="000549B1">
        <w:rPr>
          <w:sz w:val="24"/>
        </w:rPr>
        <w:t>)</w:t>
      </w:r>
    </w:p>
    <w:p w14:paraId="61833457" w14:textId="77777777" w:rsidR="00054437" w:rsidRPr="000549B1" w:rsidRDefault="00000000">
      <w:pPr>
        <w:spacing w:line="360" w:lineRule="auto"/>
        <w:ind w:firstLineChars="200" w:firstLine="480"/>
        <w:rPr>
          <w:sz w:val="24"/>
        </w:rPr>
      </w:pPr>
      <w:r w:rsidRPr="000549B1">
        <w:rPr>
          <w:sz w:val="24"/>
        </w:rPr>
        <w:t>披碱草多生于山坡草地或路边，具有耐旱、耐寒、耐碱、耐风沙的生长特点，多生在高海拔地区，披碱草通过播种繁殖。在评价区主要分布于河谷阶地、轻度沙化农田边缘及灌溉渠道两侧，群落结构呈现单优势种特征，覆盖度</w:t>
      </w:r>
      <w:r w:rsidRPr="000549B1">
        <w:rPr>
          <w:sz w:val="24"/>
        </w:rPr>
        <w:t>30%-60%</w:t>
      </w:r>
      <w:r w:rsidRPr="000549B1">
        <w:rPr>
          <w:sz w:val="24"/>
        </w:rPr>
        <w:t>，草层高</w:t>
      </w:r>
      <w:r w:rsidRPr="000549B1">
        <w:rPr>
          <w:sz w:val="24"/>
        </w:rPr>
        <w:t>80~120cm</w:t>
      </w:r>
      <w:r w:rsidRPr="000549B1">
        <w:rPr>
          <w:sz w:val="24"/>
        </w:rPr>
        <w:t>。主要伴生种类有早熟禾（</w:t>
      </w:r>
      <w:r w:rsidRPr="000549B1">
        <w:rPr>
          <w:i/>
          <w:iCs/>
          <w:sz w:val="24"/>
        </w:rPr>
        <w:t>Poaannua</w:t>
      </w:r>
      <w:r w:rsidRPr="000549B1">
        <w:rPr>
          <w:sz w:val="24"/>
        </w:rPr>
        <w:t>），西北针茅（</w:t>
      </w:r>
      <w:r w:rsidRPr="000549B1">
        <w:rPr>
          <w:sz w:val="24"/>
        </w:rPr>
        <w:t>Stipasareptana</w:t>
      </w:r>
      <w:r w:rsidRPr="000549B1">
        <w:rPr>
          <w:sz w:val="24"/>
        </w:rPr>
        <w:t>）、赖草（</w:t>
      </w:r>
      <w:r w:rsidRPr="000549B1">
        <w:rPr>
          <w:sz w:val="24"/>
        </w:rPr>
        <w:t>Leymussecalinus</w:t>
      </w:r>
      <w:r w:rsidRPr="000549B1">
        <w:rPr>
          <w:sz w:val="24"/>
        </w:rPr>
        <w:t>）、猪毛菜（</w:t>
      </w:r>
      <w:r w:rsidRPr="000549B1">
        <w:rPr>
          <w:i/>
          <w:sz w:val="24"/>
        </w:rPr>
        <w:t>Saisolacollina</w:t>
      </w:r>
      <w:r w:rsidRPr="000549B1">
        <w:rPr>
          <w:sz w:val="24"/>
        </w:rPr>
        <w:t>）、长芒草、青海固沙草、冷蒿、长芒草、戈壁针茅、阿拉善马先蒿（</w:t>
      </w:r>
      <w:r w:rsidRPr="000549B1">
        <w:rPr>
          <w:i/>
          <w:sz w:val="24"/>
        </w:rPr>
        <w:t>Pedicularisalaschanica</w:t>
      </w:r>
      <w:r w:rsidRPr="000549B1">
        <w:rPr>
          <w:sz w:val="24"/>
        </w:rPr>
        <w:t>)</w:t>
      </w:r>
      <w:r w:rsidRPr="000549B1">
        <w:rPr>
          <w:sz w:val="24"/>
        </w:rPr>
        <w:t>、骆驼蓬</w:t>
      </w:r>
      <w:r w:rsidRPr="000549B1">
        <w:rPr>
          <w:sz w:val="24"/>
        </w:rPr>
        <w:t>(</w:t>
      </w:r>
      <w:r w:rsidRPr="000549B1">
        <w:rPr>
          <w:i/>
          <w:sz w:val="24"/>
        </w:rPr>
        <w:t>Pegamumharmala)</w:t>
      </w:r>
      <w:r w:rsidRPr="000549B1">
        <w:rPr>
          <w:sz w:val="24"/>
        </w:rPr>
        <w:t>、多枝黄芪、二裂委陵菜、唐古特铁线莲、碱蓬</w:t>
      </w:r>
      <w:r w:rsidRPr="000549B1">
        <w:rPr>
          <w:sz w:val="24"/>
        </w:rPr>
        <w:t>(</w:t>
      </w:r>
      <w:r w:rsidRPr="000549B1">
        <w:rPr>
          <w:i/>
          <w:sz w:val="24"/>
        </w:rPr>
        <w:t>Suaedaglauca</w:t>
      </w:r>
      <w:r w:rsidRPr="000549B1">
        <w:rPr>
          <w:sz w:val="24"/>
        </w:rPr>
        <w:t>)</w:t>
      </w:r>
      <w:r w:rsidRPr="000549B1">
        <w:rPr>
          <w:sz w:val="24"/>
        </w:rPr>
        <w:t>等。</w:t>
      </w:r>
    </w:p>
    <w:tbl>
      <w:tblPr>
        <w:tblStyle w:val="af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3"/>
        <w:gridCol w:w="4153"/>
      </w:tblGrid>
      <w:tr w:rsidR="000549B1" w:rsidRPr="000549B1" w14:paraId="63A3BA56" w14:textId="77777777">
        <w:tc>
          <w:tcPr>
            <w:tcW w:w="4308" w:type="dxa"/>
            <w:vAlign w:val="center"/>
          </w:tcPr>
          <w:p w14:paraId="017BE652" w14:textId="77777777" w:rsidR="00054437" w:rsidRPr="000549B1" w:rsidRDefault="00000000">
            <w:pPr>
              <w:jc w:val="center"/>
              <w:rPr>
                <w:b/>
                <w:bCs/>
              </w:rPr>
            </w:pPr>
            <w:r w:rsidRPr="000549B1">
              <w:rPr>
                <w:b/>
                <w:bCs/>
                <w:noProof/>
              </w:rPr>
              <w:drawing>
                <wp:inline distT="0" distB="0" distL="0" distR="0" wp14:anchorId="60B04021" wp14:editId="17DB21C0">
                  <wp:extent cx="2844165" cy="1943735"/>
                  <wp:effectExtent l="0" t="0" r="635" b="12065"/>
                  <wp:docPr id="29891662" name="图片 1"/>
                  <wp:cNvGraphicFramePr/>
                  <a:graphic xmlns:a="http://schemas.openxmlformats.org/drawingml/2006/main">
                    <a:graphicData uri="http://schemas.openxmlformats.org/drawingml/2006/picture">
                      <pic:pic xmlns:pic="http://schemas.openxmlformats.org/drawingml/2006/picture">
                        <pic:nvPicPr>
                          <pic:cNvPr id="29891662" name="图片 1"/>
                          <pic:cNvPicPr/>
                        </pic:nvPicPr>
                        <pic:blipFill>
                          <a:blip r:embed="rId121" cstate="email">
                            <a:extLst>
                              <a:ext uri="{28A0092B-C50C-407E-A947-70E740481C1C}">
                                <a14:useLocalDpi xmlns:a14="http://schemas.microsoft.com/office/drawing/2010/main"/>
                              </a:ext>
                            </a:extLst>
                          </a:blip>
                          <a:stretch>
                            <a:fillRect/>
                          </a:stretch>
                        </pic:blipFill>
                        <pic:spPr>
                          <a:xfrm>
                            <a:off x="0" y="0"/>
                            <a:ext cx="2844165" cy="1943735"/>
                          </a:xfrm>
                          <a:prstGeom prst="rect">
                            <a:avLst/>
                          </a:prstGeom>
                        </pic:spPr>
                      </pic:pic>
                    </a:graphicData>
                  </a:graphic>
                </wp:inline>
              </w:drawing>
            </w:r>
          </w:p>
        </w:tc>
        <w:tc>
          <w:tcPr>
            <w:tcW w:w="4214" w:type="dxa"/>
            <w:vAlign w:val="center"/>
          </w:tcPr>
          <w:p w14:paraId="093F7CCF" w14:textId="77777777" w:rsidR="00054437" w:rsidRPr="000549B1" w:rsidRDefault="00000000">
            <w:pPr>
              <w:jc w:val="center"/>
              <w:rPr>
                <w:b/>
                <w:bCs/>
              </w:rPr>
            </w:pPr>
            <w:r w:rsidRPr="000549B1">
              <w:rPr>
                <w:b/>
                <w:bCs/>
                <w:noProof/>
              </w:rPr>
              <w:drawing>
                <wp:inline distT="0" distB="0" distL="0" distR="0" wp14:anchorId="6133557C" wp14:editId="404E5336">
                  <wp:extent cx="2844165" cy="1943735"/>
                  <wp:effectExtent l="0" t="0" r="635" b="12065"/>
                  <wp:docPr id="495228083" name="图片 1"/>
                  <wp:cNvGraphicFramePr/>
                  <a:graphic xmlns:a="http://schemas.openxmlformats.org/drawingml/2006/main">
                    <a:graphicData uri="http://schemas.openxmlformats.org/drawingml/2006/picture">
                      <pic:pic xmlns:pic="http://schemas.openxmlformats.org/drawingml/2006/picture">
                        <pic:nvPicPr>
                          <pic:cNvPr id="495228083" name="图片 1"/>
                          <pic:cNvPicPr/>
                        </pic:nvPicPr>
                        <pic:blipFill>
                          <a:blip r:embed="rId122" cstate="email">
                            <a:extLst>
                              <a:ext uri="{28A0092B-C50C-407E-A947-70E740481C1C}">
                                <a14:useLocalDpi xmlns:a14="http://schemas.microsoft.com/office/drawing/2010/main"/>
                              </a:ext>
                            </a:extLst>
                          </a:blip>
                          <a:stretch>
                            <a:fillRect/>
                          </a:stretch>
                        </pic:blipFill>
                        <pic:spPr>
                          <a:xfrm>
                            <a:off x="0" y="0"/>
                            <a:ext cx="2844165" cy="1943735"/>
                          </a:xfrm>
                          <a:prstGeom prst="rect">
                            <a:avLst/>
                          </a:prstGeom>
                        </pic:spPr>
                      </pic:pic>
                    </a:graphicData>
                  </a:graphic>
                </wp:inline>
              </w:drawing>
            </w:r>
          </w:p>
        </w:tc>
      </w:tr>
      <w:tr w:rsidR="000549B1" w:rsidRPr="000549B1" w14:paraId="2774D8E8" w14:textId="77777777">
        <w:tc>
          <w:tcPr>
            <w:tcW w:w="8522" w:type="dxa"/>
            <w:gridSpan w:val="2"/>
            <w:vAlign w:val="center"/>
          </w:tcPr>
          <w:p w14:paraId="1B304FDF" w14:textId="77777777" w:rsidR="00054437" w:rsidRPr="000549B1" w:rsidRDefault="00000000">
            <w:pPr>
              <w:jc w:val="center"/>
              <w:rPr>
                <w:b/>
                <w:bCs/>
              </w:rPr>
            </w:pPr>
            <w:r w:rsidRPr="000549B1">
              <w:rPr>
                <w:b/>
                <w:bCs/>
              </w:rPr>
              <w:t>披碱草</w:t>
            </w:r>
          </w:p>
        </w:tc>
      </w:tr>
    </w:tbl>
    <w:p w14:paraId="48B20D47" w14:textId="77777777" w:rsidR="00054437" w:rsidRPr="000549B1" w:rsidRDefault="00000000">
      <w:pPr>
        <w:spacing w:line="360" w:lineRule="auto"/>
        <w:ind w:firstLineChars="200" w:firstLine="480"/>
        <w:rPr>
          <w:sz w:val="24"/>
        </w:rPr>
      </w:pPr>
      <w:r w:rsidRPr="000549B1">
        <w:rPr>
          <w:rFonts w:ascii="宋体" w:hAnsi="宋体" w:cs="宋体" w:hint="eastAsia"/>
          <w:sz w:val="24"/>
        </w:rPr>
        <w:t>③</w:t>
      </w:r>
      <w:r w:rsidRPr="000549B1">
        <w:rPr>
          <w:sz w:val="24"/>
        </w:rPr>
        <w:t>冷蒿草原（</w:t>
      </w:r>
      <w:r w:rsidRPr="000549B1">
        <w:rPr>
          <w:sz w:val="24"/>
        </w:rPr>
        <w:t>Form.</w:t>
      </w:r>
      <w:r w:rsidRPr="000549B1">
        <w:rPr>
          <w:i/>
          <w:iCs/>
          <w:sz w:val="24"/>
        </w:rPr>
        <w:t>Artemisiafrigida</w:t>
      </w:r>
      <w:r w:rsidRPr="000549B1">
        <w:rPr>
          <w:sz w:val="24"/>
        </w:rPr>
        <w:t>）</w:t>
      </w:r>
    </w:p>
    <w:p w14:paraId="71B44431" w14:textId="77777777" w:rsidR="00054437" w:rsidRPr="000549B1" w:rsidRDefault="00000000">
      <w:pPr>
        <w:spacing w:line="360" w:lineRule="auto"/>
        <w:ind w:firstLineChars="200" w:firstLine="480"/>
        <w:rPr>
          <w:sz w:val="24"/>
        </w:rPr>
      </w:pPr>
      <w:r w:rsidRPr="000549B1">
        <w:rPr>
          <w:sz w:val="24"/>
        </w:rPr>
        <w:t>冷蒿喜光耐旱，适应性强，生于向阳坡，对土壤要求不严，在山坡、丘陵、沙地或撂荒地均生长良好，但不耐低湿的盐渍化土壤。评价范围内在灌区、输水隧洞出口分布较多，在切吉河两侧区域也有片状分布。</w:t>
      </w:r>
    </w:p>
    <w:p w14:paraId="2BA8FF1E" w14:textId="77777777" w:rsidR="00054437" w:rsidRPr="000549B1" w:rsidRDefault="00000000">
      <w:pPr>
        <w:spacing w:line="360" w:lineRule="auto"/>
        <w:ind w:firstLineChars="200" w:firstLine="480"/>
        <w:rPr>
          <w:sz w:val="24"/>
        </w:rPr>
      </w:pPr>
      <w:r w:rsidRPr="000549B1">
        <w:rPr>
          <w:sz w:val="24"/>
        </w:rPr>
        <w:t>该类型群落犹如地毯，结构简单，层次分化不明显。草层低矮，生长茂盛，覆盖度</w:t>
      </w:r>
      <w:r w:rsidRPr="000549B1">
        <w:rPr>
          <w:sz w:val="24"/>
        </w:rPr>
        <w:t>75%</w:t>
      </w:r>
      <w:r w:rsidRPr="000549B1">
        <w:rPr>
          <w:sz w:val="24"/>
        </w:rPr>
        <w:t>～</w:t>
      </w:r>
      <w:r w:rsidRPr="000549B1">
        <w:rPr>
          <w:sz w:val="24"/>
        </w:rPr>
        <w:t>95</w:t>
      </w:r>
      <w:r w:rsidRPr="000549B1">
        <w:rPr>
          <w:sz w:val="24"/>
        </w:rPr>
        <w:t>％，除建群种冷蒿外，伴生种类有矮嵩草、北方嵩草</w:t>
      </w:r>
      <w:r w:rsidRPr="000549B1">
        <w:rPr>
          <w:sz w:val="24"/>
        </w:rPr>
        <w:t>(</w:t>
      </w:r>
      <w:r w:rsidRPr="000549B1">
        <w:rPr>
          <w:i/>
          <w:sz w:val="24"/>
        </w:rPr>
        <w:t>Kobresiabellar-tatsienensis</w:t>
      </w:r>
      <w:r w:rsidRPr="000549B1">
        <w:rPr>
          <w:sz w:val="24"/>
        </w:rPr>
        <w:t>)</w:t>
      </w:r>
      <w:r w:rsidRPr="000549B1">
        <w:rPr>
          <w:sz w:val="24"/>
        </w:rPr>
        <w:t>、短轴嵩草</w:t>
      </w:r>
      <w:r w:rsidRPr="000549B1">
        <w:rPr>
          <w:sz w:val="24"/>
        </w:rPr>
        <w:t>(</w:t>
      </w:r>
      <w:r w:rsidRPr="000549B1">
        <w:rPr>
          <w:i/>
          <w:sz w:val="24"/>
        </w:rPr>
        <w:t>K.prattii</w:t>
      </w:r>
      <w:r w:rsidRPr="000549B1">
        <w:rPr>
          <w:sz w:val="24"/>
        </w:rPr>
        <w:t>)</w:t>
      </w:r>
      <w:r w:rsidRPr="000549B1">
        <w:rPr>
          <w:sz w:val="24"/>
        </w:rPr>
        <w:t>、粗喙苔草</w:t>
      </w:r>
      <w:r w:rsidRPr="000549B1">
        <w:rPr>
          <w:sz w:val="24"/>
        </w:rPr>
        <w:t>(</w:t>
      </w:r>
      <w:r w:rsidRPr="000549B1">
        <w:rPr>
          <w:i/>
          <w:sz w:val="24"/>
        </w:rPr>
        <w:t>Garexscabrirostris</w:t>
      </w:r>
      <w:r w:rsidRPr="000549B1">
        <w:rPr>
          <w:sz w:val="24"/>
        </w:rPr>
        <w:t>)</w:t>
      </w:r>
      <w:r w:rsidRPr="000549B1">
        <w:rPr>
          <w:sz w:val="24"/>
        </w:rPr>
        <w:t>、川西小黄菊（</w:t>
      </w:r>
      <w:r w:rsidRPr="000549B1">
        <w:rPr>
          <w:i/>
          <w:sz w:val="24"/>
        </w:rPr>
        <w:t>Pyrethrumtatsienensis</w:t>
      </w:r>
      <w:r w:rsidRPr="000549B1">
        <w:rPr>
          <w:sz w:val="24"/>
        </w:rPr>
        <w:t>)</w:t>
      </w:r>
      <w:r w:rsidRPr="000549B1">
        <w:rPr>
          <w:sz w:val="24"/>
        </w:rPr>
        <w:t>、羊茅、黑褐苔草</w:t>
      </w:r>
      <w:r w:rsidRPr="000549B1">
        <w:rPr>
          <w:sz w:val="24"/>
        </w:rPr>
        <w:t>(</w:t>
      </w:r>
      <w:r w:rsidRPr="000549B1">
        <w:rPr>
          <w:i/>
          <w:sz w:val="24"/>
        </w:rPr>
        <w:t>Garexatrofusca</w:t>
      </w:r>
      <w:r w:rsidRPr="000549B1">
        <w:rPr>
          <w:sz w:val="24"/>
        </w:rPr>
        <w:t>)</w:t>
      </w:r>
      <w:r w:rsidRPr="000549B1">
        <w:rPr>
          <w:sz w:val="24"/>
        </w:rPr>
        <w:t>、达乌里龙胆</w:t>
      </w:r>
      <w:r w:rsidRPr="000549B1">
        <w:rPr>
          <w:sz w:val="24"/>
        </w:rPr>
        <w:t>(Gentianadahurica)</w:t>
      </w:r>
      <w:r w:rsidRPr="000549B1">
        <w:rPr>
          <w:sz w:val="24"/>
        </w:rPr>
        <w:t>、刺芒龙胆（</w:t>
      </w:r>
      <w:r w:rsidRPr="000549B1">
        <w:rPr>
          <w:sz w:val="24"/>
        </w:rPr>
        <w:t>G.aristata)</w:t>
      </w:r>
      <w:r w:rsidRPr="000549B1">
        <w:rPr>
          <w:sz w:val="24"/>
        </w:rPr>
        <w:t>、矮火绒草</w:t>
      </w:r>
      <w:r w:rsidRPr="000549B1">
        <w:rPr>
          <w:sz w:val="24"/>
        </w:rPr>
        <w:t>(</w:t>
      </w:r>
      <w:r w:rsidRPr="000549B1">
        <w:rPr>
          <w:i/>
          <w:sz w:val="24"/>
        </w:rPr>
        <w:t>Leontopodiumnanum</w:t>
      </w:r>
      <w:r w:rsidRPr="000549B1">
        <w:rPr>
          <w:sz w:val="24"/>
        </w:rPr>
        <w:t>)</w:t>
      </w:r>
      <w:r w:rsidRPr="000549B1">
        <w:rPr>
          <w:sz w:val="24"/>
        </w:rPr>
        <w:t>、高山唐松草、异叶米口袋</w:t>
      </w:r>
      <w:r w:rsidRPr="000549B1">
        <w:rPr>
          <w:sz w:val="24"/>
        </w:rPr>
        <w:t>(</w:t>
      </w:r>
      <w:r w:rsidRPr="000549B1">
        <w:rPr>
          <w:i/>
          <w:sz w:val="24"/>
        </w:rPr>
        <w:t>Gueldenstaedtiadiversifolia</w:t>
      </w:r>
      <w:r w:rsidRPr="000549B1">
        <w:rPr>
          <w:sz w:val="24"/>
        </w:rPr>
        <w:t>)</w:t>
      </w:r>
      <w:r w:rsidRPr="000549B1">
        <w:rPr>
          <w:sz w:val="24"/>
        </w:rPr>
        <w:t>、美丽风毛菊</w:t>
      </w:r>
      <w:r w:rsidRPr="000549B1">
        <w:rPr>
          <w:sz w:val="24"/>
        </w:rPr>
        <w:t>(</w:t>
      </w:r>
      <w:r w:rsidRPr="000549B1">
        <w:rPr>
          <w:i/>
          <w:sz w:val="24"/>
        </w:rPr>
        <w:t>Saussureasuperba</w:t>
      </w:r>
      <w:r w:rsidRPr="000549B1">
        <w:rPr>
          <w:sz w:val="24"/>
        </w:rPr>
        <w:t>)</w:t>
      </w:r>
      <w:r w:rsidRPr="000549B1">
        <w:rPr>
          <w:sz w:val="24"/>
        </w:rPr>
        <w:t>、沙生风毛菊</w:t>
      </w:r>
      <w:r w:rsidRPr="000549B1">
        <w:rPr>
          <w:sz w:val="24"/>
        </w:rPr>
        <w:t>(</w:t>
      </w:r>
      <w:r w:rsidRPr="000549B1">
        <w:rPr>
          <w:i/>
          <w:sz w:val="24"/>
        </w:rPr>
        <w:t>S.arenaria</w:t>
      </w:r>
      <w:r w:rsidRPr="000549B1">
        <w:rPr>
          <w:sz w:val="24"/>
        </w:rPr>
        <w:t>)</w:t>
      </w:r>
      <w:r w:rsidRPr="000549B1">
        <w:rPr>
          <w:sz w:val="24"/>
        </w:rPr>
        <w:t>、矮小风毛菊</w:t>
      </w:r>
      <w:r w:rsidRPr="000549B1">
        <w:rPr>
          <w:sz w:val="24"/>
        </w:rPr>
        <w:t>(</w:t>
      </w:r>
      <w:r w:rsidRPr="000549B1">
        <w:rPr>
          <w:i/>
          <w:sz w:val="24"/>
        </w:rPr>
        <w:t>S.eopygmaea</w:t>
      </w:r>
      <w:r w:rsidRPr="000549B1">
        <w:rPr>
          <w:sz w:val="24"/>
        </w:rPr>
        <w:t>)</w:t>
      </w:r>
      <w:r w:rsidRPr="000549B1">
        <w:rPr>
          <w:sz w:val="24"/>
        </w:rPr>
        <w:t>、蒙古蒲公英</w:t>
      </w:r>
      <w:r w:rsidRPr="000549B1">
        <w:rPr>
          <w:sz w:val="24"/>
        </w:rPr>
        <w:t>(</w:t>
      </w:r>
      <w:r w:rsidRPr="000549B1">
        <w:rPr>
          <w:i/>
          <w:sz w:val="24"/>
        </w:rPr>
        <w:t>Taraxacummongolicum)</w:t>
      </w:r>
      <w:r w:rsidRPr="000549B1">
        <w:rPr>
          <w:sz w:val="24"/>
        </w:rPr>
        <w:t>、大通风毛菊</w:t>
      </w:r>
      <w:r w:rsidRPr="000549B1">
        <w:rPr>
          <w:sz w:val="24"/>
        </w:rPr>
        <w:t>(</w:t>
      </w:r>
      <w:r w:rsidRPr="000549B1">
        <w:rPr>
          <w:i/>
          <w:sz w:val="24"/>
        </w:rPr>
        <w:t>Saussureakatocharte</w:t>
      </w:r>
      <w:r w:rsidRPr="000549B1">
        <w:rPr>
          <w:sz w:val="24"/>
        </w:rPr>
        <w:t>)</w:t>
      </w:r>
      <w:r w:rsidRPr="000549B1">
        <w:rPr>
          <w:sz w:val="24"/>
        </w:rPr>
        <w:t>、乳白香青</w:t>
      </w:r>
      <w:r w:rsidRPr="000549B1">
        <w:rPr>
          <w:sz w:val="24"/>
        </w:rPr>
        <w:t>(Ana</w:t>
      </w:r>
      <w:r w:rsidRPr="000549B1">
        <w:rPr>
          <w:i/>
          <w:sz w:val="24"/>
        </w:rPr>
        <w:t>phalislactea</w:t>
      </w:r>
      <w:r w:rsidRPr="000549B1">
        <w:rPr>
          <w:sz w:val="24"/>
        </w:rPr>
        <w:t>)</w:t>
      </w:r>
      <w:r w:rsidRPr="000549B1">
        <w:rPr>
          <w:sz w:val="24"/>
        </w:rPr>
        <w:t>、兰石草（</w:t>
      </w:r>
      <w:r w:rsidRPr="000549B1">
        <w:rPr>
          <w:i/>
          <w:sz w:val="24"/>
        </w:rPr>
        <w:t>Lanceatibetica</w:t>
      </w:r>
      <w:r w:rsidRPr="000549B1">
        <w:rPr>
          <w:sz w:val="24"/>
        </w:rPr>
        <w:t>)</w:t>
      </w:r>
      <w:r w:rsidRPr="000549B1">
        <w:rPr>
          <w:sz w:val="24"/>
        </w:rPr>
        <w:t>等。</w:t>
      </w:r>
    </w:p>
    <w:tbl>
      <w:tblPr>
        <w:tblStyle w:val="af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3"/>
        <w:gridCol w:w="4153"/>
      </w:tblGrid>
      <w:tr w:rsidR="000549B1" w:rsidRPr="000549B1" w14:paraId="69AEC6A2" w14:textId="77777777">
        <w:tc>
          <w:tcPr>
            <w:tcW w:w="4261" w:type="dxa"/>
            <w:vAlign w:val="center"/>
          </w:tcPr>
          <w:p w14:paraId="0D4FEA5C" w14:textId="77777777" w:rsidR="00054437" w:rsidRPr="000549B1" w:rsidRDefault="00000000">
            <w:pPr>
              <w:jc w:val="center"/>
              <w:rPr>
                <w:b/>
                <w:bCs/>
              </w:rPr>
            </w:pPr>
            <w:r w:rsidRPr="000549B1">
              <w:rPr>
                <w:b/>
                <w:bCs/>
                <w:noProof/>
              </w:rPr>
              <w:drawing>
                <wp:inline distT="0" distB="0" distL="0" distR="0" wp14:anchorId="435E193B" wp14:editId="281B746D">
                  <wp:extent cx="2844165" cy="1943735"/>
                  <wp:effectExtent l="0" t="0" r="635" b="12065"/>
                  <wp:docPr id="1358469417" name="图片 23"/>
                  <wp:cNvGraphicFramePr/>
                  <a:graphic xmlns:a="http://schemas.openxmlformats.org/drawingml/2006/main">
                    <a:graphicData uri="http://schemas.openxmlformats.org/drawingml/2006/picture">
                      <pic:pic xmlns:pic="http://schemas.openxmlformats.org/drawingml/2006/picture">
                        <pic:nvPicPr>
                          <pic:cNvPr id="1358469417" name="图片 23"/>
                          <pic:cNvPicPr>
                            <a:picLocks noChangeArrowheads="1"/>
                          </pic:cNvPicPr>
                        </pic:nvPicPr>
                        <pic:blipFill>
                          <a:blip r:embed="rId123" cstate="email">
                            <a:extLst>
                              <a:ext uri="{28A0092B-C50C-407E-A947-70E740481C1C}">
                                <a14:useLocalDpi xmlns:a14="http://schemas.microsoft.com/office/drawing/2010/main"/>
                              </a:ext>
                            </a:extLst>
                          </a:blip>
                          <a:srcRect/>
                          <a:stretch>
                            <a:fillRect/>
                          </a:stretch>
                        </pic:blipFill>
                        <pic:spPr>
                          <a:xfrm>
                            <a:off x="0" y="0"/>
                            <a:ext cx="2844165" cy="1943735"/>
                          </a:xfrm>
                          <a:prstGeom prst="rect">
                            <a:avLst/>
                          </a:prstGeom>
                          <a:noFill/>
                          <a:ln>
                            <a:noFill/>
                          </a:ln>
                        </pic:spPr>
                      </pic:pic>
                    </a:graphicData>
                  </a:graphic>
                </wp:inline>
              </w:drawing>
            </w:r>
          </w:p>
        </w:tc>
        <w:tc>
          <w:tcPr>
            <w:tcW w:w="4261" w:type="dxa"/>
            <w:vAlign w:val="center"/>
          </w:tcPr>
          <w:p w14:paraId="4DDE7156" w14:textId="77777777" w:rsidR="00054437" w:rsidRPr="000549B1" w:rsidRDefault="00000000">
            <w:pPr>
              <w:jc w:val="center"/>
              <w:rPr>
                <w:b/>
                <w:bCs/>
              </w:rPr>
            </w:pPr>
            <w:r w:rsidRPr="000549B1">
              <w:rPr>
                <w:b/>
                <w:bCs/>
                <w:noProof/>
              </w:rPr>
              <w:drawing>
                <wp:inline distT="0" distB="0" distL="0" distR="0" wp14:anchorId="2D4AABFA" wp14:editId="29A13282">
                  <wp:extent cx="2844165" cy="1943735"/>
                  <wp:effectExtent l="0" t="0" r="635" b="12065"/>
                  <wp:docPr id="234172079" name="图片 22"/>
                  <wp:cNvGraphicFramePr/>
                  <a:graphic xmlns:a="http://schemas.openxmlformats.org/drawingml/2006/main">
                    <a:graphicData uri="http://schemas.openxmlformats.org/drawingml/2006/picture">
                      <pic:pic xmlns:pic="http://schemas.openxmlformats.org/drawingml/2006/picture">
                        <pic:nvPicPr>
                          <pic:cNvPr id="234172079" name="图片 22"/>
                          <pic:cNvPicPr>
                            <a:picLocks noChangeArrowheads="1"/>
                          </pic:cNvPicPr>
                        </pic:nvPicPr>
                        <pic:blipFill>
                          <a:blip r:embed="rId124" cstate="email">
                            <a:extLst>
                              <a:ext uri="{28A0092B-C50C-407E-A947-70E740481C1C}">
                                <a14:useLocalDpi xmlns:a14="http://schemas.microsoft.com/office/drawing/2010/main"/>
                              </a:ext>
                            </a:extLst>
                          </a:blip>
                          <a:srcRect/>
                          <a:stretch>
                            <a:fillRect/>
                          </a:stretch>
                        </pic:blipFill>
                        <pic:spPr>
                          <a:xfrm>
                            <a:off x="0" y="0"/>
                            <a:ext cx="2844165" cy="1943735"/>
                          </a:xfrm>
                          <a:prstGeom prst="rect">
                            <a:avLst/>
                          </a:prstGeom>
                          <a:noFill/>
                          <a:ln>
                            <a:noFill/>
                          </a:ln>
                        </pic:spPr>
                      </pic:pic>
                    </a:graphicData>
                  </a:graphic>
                </wp:inline>
              </w:drawing>
            </w:r>
          </w:p>
        </w:tc>
      </w:tr>
      <w:tr w:rsidR="000549B1" w:rsidRPr="000549B1" w14:paraId="3946B164" w14:textId="77777777">
        <w:tc>
          <w:tcPr>
            <w:tcW w:w="8522" w:type="dxa"/>
            <w:gridSpan w:val="2"/>
            <w:vAlign w:val="center"/>
          </w:tcPr>
          <w:p w14:paraId="71071F3F" w14:textId="77777777" w:rsidR="00054437" w:rsidRPr="000549B1" w:rsidRDefault="00000000">
            <w:pPr>
              <w:jc w:val="center"/>
              <w:rPr>
                <w:b/>
                <w:bCs/>
              </w:rPr>
            </w:pPr>
            <w:r w:rsidRPr="000549B1">
              <w:rPr>
                <w:b/>
                <w:bCs/>
              </w:rPr>
              <w:t>冷蒿</w:t>
            </w:r>
          </w:p>
        </w:tc>
      </w:tr>
    </w:tbl>
    <w:p w14:paraId="68102CC1" w14:textId="77777777" w:rsidR="00054437" w:rsidRPr="000549B1" w:rsidRDefault="00000000">
      <w:pPr>
        <w:spacing w:line="360" w:lineRule="auto"/>
        <w:ind w:firstLineChars="200" w:firstLine="480"/>
        <w:rPr>
          <w:sz w:val="24"/>
        </w:rPr>
      </w:pPr>
      <w:r w:rsidRPr="000549B1">
        <w:rPr>
          <w:rFonts w:ascii="宋体" w:hAnsi="宋体" w:cs="宋体" w:hint="eastAsia"/>
          <w:sz w:val="24"/>
        </w:rPr>
        <w:t>④</w:t>
      </w:r>
      <w:r w:rsidRPr="000549B1">
        <w:rPr>
          <w:sz w:val="24"/>
        </w:rPr>
        <w:t>短花针茅草原（</w:t>
      </w:r>
      <w:r w:rsidRPr="000549B1">
        <w:rPr>
          <w:sz w:val="24"/>
        </w:rPr>
        <w:t>Form.</w:t>
      </w:r>
      <w:r w:rsidRPr="000549B1">
        <w:rPr>
          <w:i/>
          <w:sz w:val="24"/>
        </w:rPr>
        <w:t>Stipabreviflora</w:t>
      </w:r>
      <w:r w:rsidRPr="000549B1">
        <w:rPr>
          <w:iCs/>
          <w:sz w:val="24"/>
        </w:rPr>
        <w:t>）</w:t>
      </w:r>
    </w:p>
    <w:p w14:paraId="4F91E9BD" w14:textId="77777777" w:rsidR="00054437" w:rsidRPr="000549B1" w:rsidRDefault="00000000">
      <w:pPr>
        <w:spacing w:line="360" w:lineRule="auto"/>
        <w:ind w:firstLineChars="200" w:firstLine="480"/>
        <w:rPr>
          <w:sz w:val="24"/>
        </w:rPr>
      </w:pPr>
      <w:r w:rsidRPr="000549B1">
        <w:rPr>
          <w:sz w:val="24"/>
        </w:rPr>
        <w:t>短花针茅多生于海拔</w:t>
      </w:r>
      <w:r w:rsidRPr="000549B1">
        <w:rPr>
          <w:sz w:val="24"/>
        </w:rPr>
        <w:t>700-4700m</w:t>
      </w:r>
      <w:r w:rsidRPr="000549B1">
        <w:rPr>
          <w:sz w:val="24"/>
        </w:rPr>
        <w:t>的石质山坡、干山坡或河谷阶地上，为典型草原和荒漠草原共有的植物群落。主要分布在平缓丘陵和较高滩地上，为地带性植被。分布面积约占共和盆地草原总面积的</w:t>
      </w:r>
      <w:r w:rsidRPr="000549B1">
        <w:rPr>
          <w:sz w:val="24"/>
        </w:rPr>
        <w:t>27%</w:t>
      </w:r>
      <w:r w:rsidRPr="000549B1">
        <w:rPr>
          <w:sz w:val="24"/>
        </w:rPr>
        <w:t>。群落盖度一般为</w:t>
      </w:r>
      <w:r w:rsidRPr="000549B1">
        <w:rPr>
          <w:sz w:val="24"/>
        </w:rPr>
        <w:t>40-50%</w:t>
      </w:r>
      <w:r w:rsidRPr="000549B1">
        <w:rPr>
          <w:sz w:val="24"/>
        </w:rPr>
        <w:t>，高度</w:t>
      </w:r>
      <w:r w:rsidRPr="000549B1">
        <w:rPr>
          <w:sz w:val="24"/>
        </w:rPr>
        <w:t>20-50cm</w:t>
      </w:r>
      <w:r w:rsidRPr="000549B1">
        <w:rPr>
          <w:sz w:val="24"/>
        </w:rPr>
        <w:t>。伴生种类比较丰富，包括有北方嵩草</w:t>
      </w:r>
      <w:r w:rsidRPr="000549B1">
        <w:rPr>
          <w:sz w:val="24"/>
        </w:rPr>
        <w:t>(</w:t>
      </w:r>
      <w:r w:rsidRPr="000549B1">
        <w:rPr>
          <w:i/>
          <w:sz w:val="24"/>
        </w:rPr>
        <w:t>Kobresiabellar-tatsienensis</w:t>
      </w:r>
      <w:r w:rsidRPr="000549B1">
        <w:rPr>
          <w:sz w:val="24"/>
        </w:rPr>
        <w:t>)</w:t>
      </w:r>
      <w:r w:rsidRPr="000549B1">
        <w:rPr>
          <w:sz w:val="24"/>
        </w:rPr>
        <w:t>、短轴嵩草</w:t>
      </w:r>
      <w:r w:rsidRPr="000549B1">
        <w:rPr>
          <w:sz w:val="24"/>
        </w:rPr>
        <w:t>(</w:t>
      </w:r>
      <w:r w:rsidRPr="000549B1">
        <w:rPr>
          <w:i/>
          <w:sz w:val="24"/>
        </w:rPr>
        <w:t>K.prattii</w:t>
      </w:r>
      <w:r w:rsidRPr="000549B1">
        <w:rPr>
          <w:sz w:val="24"/>
        </w:rPr>
        <w:t>)</w:t>
      </w:r>
      <w:r w:rsidRPr="000549B1">
        <w:rPr>
          <w:sz w:val="24"/>
        </w:rPr>
        <w:t>、川西小黄菊（</w:t>
      </w:r>
      <w:r w:rsidRPr="000549B1">
        <w:rPr>
          <w:i/>
          <w:sz w:val="24"/>
        </w:rPr>
        <w:t>Pyrethrumtatsienensis</w:t>
      </w:r>
      <w:r w:rsidRPr="000549B1">
        <w:rPr>
          <w:sz w:val="24"/>
        </w:rPr>
        <w:t>)</w:t>
      </w:r>
      <w:r w:rsidRPr="000549B1">
        <w:rPr>
          <w:sz w:val="24"/>
        </w:rPr>
        <w:t>、羊茅、黑褐苔草</w:t>
      </w:r>
      <w:r w:rsidRPr="000549B1">
        <w:rPr>
          <w:sz w:val="24"/>
        </w:rPr>
        <w:t>(</w:t>
      </w:r>
      <w:r w:rsidRPr="000549B1">
        <w:rPr>
          <w:i/>
          <w:sz w:val="24"/>
        </w:rPr>
        <w:t>Garexatrofusca</w:t>
      </w:r>
      <w:r w:rsidRPr="000549B1">
        <w:rPr>
          <w:sz w:val="24"/>
        </w:rPr>
        <w:t>)</w:t>
      </w:r>
      <w:r w:rsidRPr="000549B1">
        <w:rPr>
          <w:sz w:val="24"/>
        </w:rPr>
        <w:t>、达乌里龙胆</w:t>
      </w:r>
      <w:r w:rsidRPr="000549B1">
        <w:rPr>
          <w:sz w:val="24"/>
        </w:rPr>
        <w:t>(Gentianadahurica)</w:t>
      </w:r>
      <w:r w:rsidRPr="000549B1">
        <w:rPr>
          <w:sz w:val="24"/>
        </w:rPr>
        <w:t>、阿尔泰狗娃花、早熟禾、细叶苔草、冰草、二裂委陵菜等。</w:t>
      </w:r>
    </w:p>
    <w:tbl>
      <w:tblPr>
        <w:tblStyle w:val="aff"/>
        <w:tblpPr w:leftFromText="180" w:rightFromText="180" w:vertAnchor="text" w:horzAnchor="page" w:tblpX="1429" w:tblpY="47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3"/>
        <w:gridCol w:w="4153"/>
      </w:tblGrid>
      <w:tr w:rsidR="000549B1" w:rsidRPr="000549B1" w14:paraId="66F30108" w14:textId="77777777">
        <w:tc>
          <w:tcPr>
            <w:tcW w:w="4225" w:type="dxa"/>
            <w:vAlign w:val="center"/>
          </w:tcPr>
          <w:p w14:paraId="2BC0DAA4" w14:textId="77777777" w:rsidR="00054437" w:rsidRPr="000549B1" w:rsidRDefault="00000000">
            <w:pPr>
              <w:jc w:val="center"/>
              <w:rPr>
                <w:b/>
                <w:bCs/>
              </w:rPr>
            </w:pPr>
            <w:r w:rsidRPr="000549B1">
              <w:rPr>
                <w:b/>
                <w:bCs/>
                <w:noProof/>
              </w:rPr>
              <w:drawing>
                <wp:inline distT="0" distB="0" distL="0" distR="0" wp14:anchorId="3563C3A6" wp14:editId="5B676BD8">
                  <wp:extent cx="2844165" cy="1943735"/>
                  <wp:effectExtent l="0" t="0" r="635" b="12065"/>
                  <wp:docPr id="625587619" name="图片 25"/>
                  <wp:cNvGraphicFramePr/>
                  <a:graphic xmlns:a="http://schemas.openxmlformats.org/drawingml/2006/main">
                    <a:graphicData uri="http://schemas.openxmlformats.org/drawingml/2006/picture">
                      <pic:pic xmlns:pic="http://schemas.openxmlformats.org/drawingml/2006/picture">
                        <pic:nvPicPr>
                          <pic:cNvPr id="625587619" name="图片 25"/>
                          <pic:cNvPicPr>
                            <a:picLocks noChangeArrowheads="1"/>
                          </pic:cNvPicPr>
                        </pic:nvPicPr>
                        <pic:blipFill>
                          <a:blip r:embed="rId125" cstate="email">
                            <a:extLst>
                              <a:ext uri="{28A0092B-C50C-407E-A947-70E740481C1C}">
                                <a14:useLocalDpi xmlns:a14="http://schemas.microsoft.com/office/drawing/2010/main"/>
                              </a:ext>
                            </a:extLst>
                          </a:blip>
                          <a:srcRect/>
                          <a:stretch>
                            <a:fillRect/>
                          </a:stretch>
                        </pic:blipFill>
                        <pic:spPr>
                          <a:xfrm>
                            <a:off x="0" y="0"/>
                            <a:ext cx="2844165" cy="1943735"/>
                          </a:xfrm>
                          <a:prstGeom prst="rect">
                            <a:avLst/>
                          </a:prstGeom>
                          <a:noFill/>
                          <a:ln>
                            <a:noFill/>
                          </a:ln>
                        </pic:spPr>
                      </pic:pic>
                    </a:graphicData>
                  </a:graphic>
                </wp:inline>
              </w:drawing>
            </w:r>
          </w:p>
        </w:tc>
        <w:tc>
          <w:tcPr>
            <w:tcW w:w="4297" w:type="dxa"/>
            <w:vAlign w:val="center"/>
          </w:tcPr>
          <w:p w14:paraId="20909D65" w14:textId="77777777" w:rsidR="00054437" w:rsidRPr="000549B1" w:rsidRDefault="00000000">
            <w:pPr>
              <w:jc w:val="center"/>
              <w:rPr>
                <w:b/>
                <w:bCs/>
              </w:rPr>
            </w:pPr>
            <w:r w:rsidRPr="000549B1">
              <w:rPr>
                <w:b/>
                <w:bCs/>
                <w:noProof/>
              </w:rPr>
              <w:drawing>
                <wp:inline distT="0" distB="0" distL="0" distR="0" wp14:anchorId="21C4DD92" wp14:editId="41EDD093">
                  <wp:extent cx="2844165" cy="1943735"/>
                  <wp:effectExtent l="0" t="0" r="635" b="12065"/>
                  <wp:docPr id="1998715411" name="图片 27"/>
                  <wp:cNvGraphicFramePr/>
                  <a:graphic xmlns:a="http://schemas.openxmlformats.org/drawingml/2006/main">
                    <a:graphicData uri="http://schemas.openxmlformats.org/drawingml/2006/picture">
                      <pic:pic xmlns:pic="http://schemas.openxmlformats.org/drawingml/2006/picture">
                        <pic:nvPicPr>
                          <pic:cNvPr id="1998715411" name="图片 27"/>
                          <pic:cNvPicPr>
                            <a:picLocks noChangeArrowheads="1"/>
                          </pic:cNvPicPr>
                        </pic:nvPicPr>
                        <pic:blipFill>
                          <a:blip r:embed="rId126" cstate="email">
                            <a:extLst>
                              <a:ext uri="{28A0092B-C50C-407E-A947-70E740481C1C}">
                                <a14:useLocalDpi xmlns:a14="http://schemas.microsoft.com/office/drawing/2010/main"/>
                              </a:ext>
                            </a:extLst>
                          </a:blip>
                          <a:srcRect/>
                          <a:stretch>
                            <a:fillRect/>
                          </a:stretch>
                        </pic:blipFill>
                        <pic:spPr>
                          <a:xfrm>
                            <a:off x="0" y="0"/>
                            <a:ext cx="2844165" cy="1943735"/>
                          </a:xfrm>
                          <a:prstGeom prst="rect">
                            <a:avLst/>
                          </a:prstGeom>
                          <a:noFill/>
                          <a:ln>
                            <a:noFill/>
                          </a:ln>
                        </pic:spPr>
                      </pic:pic>
                    </a:graphicData>
                  </a:graphic>
                </wp:inline>
              </w:drawing>
            </w:r>
          </w:p>
        </w:tc>
      </w:tr>
      <w:tr w:rsidR="000549B1" w:rsidRPr="000549B1" w14:paraId="05B07B38" w14:textId="77777777">
        <w:tc>
          <w:tcPr>
            <w:tcW w:w="8522" w:type="dxa"/>
            <w:gridSpan w:val="2"/>
            <w:vAlign w:val="center"/>
          </w:tcPr>
          <w:p w14:paraId="137B8BD7" w14:textId="77777777" w:rsidR="00054437" w:rsidRPr="000549B1" w:rsidRDefault="00000000">
            <w:pPr>
              <w:jc w:val="center"/>
              <w:rPr>
                <w:b/>
                <w:bCs/>
              </w:rPr>
            </w:pPr>
            <w:r w:rsidRPr="000549B1">
              <w:rPr>
                <w:b/>
                <w:bCs/>
              </w:rPr>
              <w:t>短花针茅</w:t>
            </w:r>
          </w:p>
        </w:tc>
      </w:tr>
    </w:tbl>
    <w:p w14:paraId="5E73CB17" w14:textId="77777777" w:rsidR="00054437" w:rsidRPr="000549B1" w:rsidRDefault="00000000">
      <w:pPr>
        <w:spacing w:line="360" w:lineRule="auto"/>
        <w:ind w:firstLineChars="200" w:firstLine="482"/>
        <w:rPr>
          <w:b/>
          <w:bCs/>
          <w:sz w:val="24"/>
        </w:rPr>
      </w:pPr>
      <w:r w:rsidRPr="000549B1">
        <w:rPr>
          <w:rFonts w:ascii="宋体" w:hAnsi="宋体" w:cs="宋体" w:hint="eastAsia"/>
          <w:b/>
          <w:bCs/>
          <w:sz w:val="24"/>
        </w:rPr>
        <w:t>⑤</w:t>
      </w:r>
      <w:r w:rsidRPr="000549B1">
        <w:rPr>
          <w:b/>
          <w:bCs/>
          <w:sz w:val="24"/>
        </w:rPr>
        <w:t>狗娃花草原（</w:t>
      </w:r>
      <w:r w:rsidRPr="000549B1">
        <w:rPr>
          <w:b/>
          <w:bCs/>
          <w:sz w:val="24"/>
        </w:rPr>
        <w:t>Form.</w:t>
      </w:r>
      <w:r w:rsidRPr="000549B1">
        <w:rPr>
          <w:b/>
          <w:bCs/>
          <w:i/>
          <w:iCs/>
          <w:sz w:val="24"/>
        </w:rPr>
        <w:t>Asterhispidus</w:t>
      </w:r>
      <w:r w:rsidRPr="000549B1">
        <w:rPr>
          <w:b/>
          <w:bCs/>
          <w:sz w:val="24"/>
        </w:rPr>
        <w:t>)</w:t>
      </w:r>
    </w:p>
    <w:p w14:paraId="1B431098" w14:textId="77777777" w:rsidR="00054437" w:rsidRPr="000549B1" w:rsidRDefault="00000000">
      <w:pPr>
        <w:spacing w:line="360" w:lineRule="auto"/>
        <w:ind w:firstLineChars="200" w:firstLine="480"/>
        <w:rPr>
          <w:sz w:val="24"/>
        </w:rPr>
      </w:pPr>
      <w:r w:rsidRPr="000549B1">
        <w:rPr>
          <w:sz w:val="24"/>
        </w:rPr>
        <w:t>狗娃花（</w:t>
      </w:r>
      <w:bookmarkStart w:id="256" w:name="OLE_LINK2"/>
      <w:r w:rsidRPr="000549B1">
        <w:rPr>
          <w:i/>
          <w:iCs/>
          <w:sz w:val="24"/>
        </w:rPr>
        <w:t>Asterhispidus</w:t>
      </w:r>
      <w:bookmarkEnd w:id="256"/>
      <w:r w:rsidRPr="000549B1">
        <w:rPr>
          <w:sz w:val="24"/>
        </w:rPr>
        <w:t>）是菊科、紫菀属植物，一或二年生草本，有垂直的纺锤状根。主要分布于海拔</w:t>
      </w:r>
      <w:r w:rsidRPr="000549B1">
        <w:rPr>
          <w:sz w:val="24"/>
        </w:rPr>
        <w:t>2400m</w:t>
      </w:r>
      <w:r w:rsidRPr="000549B1">
        <w:rPr>
          <w:sz w:val="24"/>
        </w:rPr>
        <w:t>的荒地、路旁、林下及草地。群落覆盖度</w:t>
      </w:r>
      <w:r w:rsidRPr="000549B1">
        <w:rPr>
          <w:sz w:val="24"/>
        </w:rPr>
        <w:t>15%-25%</w:t>
      </w:r>
      <w:r w:rsidRPr="000549B1">
        <w:rPr>
          <w:sz w:val="24"/>
        </w:rPr>
        <w:t>，伴生有披碱草（</w:t>
      </w:r>
      <w:r w:rsidRPr="000549B1">
        <w:rPr>
          <w:i/>
          <w:iCs/>
          <w:sz w:val="24"/>
        </w:rPr>
        <w:t>Elymusdahuricus</w:t>
      </w:r>
      <w:r w:rsidRPr="000549B1">
        <w:rPr>
          <w:sz w:val="24"/>
        </w:rPr>
        <w:t>）、冷蒿（</w:t>
      </w:r>
      <w:r w:rsidRPr="000549B1">
        <w:rPr>
          <w:i/>
          <w:iCs/>
          <w:sz w:val="24"/>
        </w:rPr>
        <w:t>Artemisiafrigida</w:t>
      </w:r>
      <w:r w:rsidRPr="000549B1">
        <w:rPr>
          <w:sz w:val="24"/>
        </w:rPr>
        <w:t>）、大籽蒿（</w:t>
      </w:r>
      <w:r w:rsidRPr="000549B1">
        <w:rPr>
          <w:i/>
          <w:iCs/>
          <w:sz w:val="24"/>
        </w:rPr>
        <w:t>Artemisiasieversiana</w:t>
      </w:r>
      <w:r w:rsidRPr="000549B1">
        <w:rPr>
          <w:sz w:val="24"/>
        </w:rPr>
        <w:t>）、芨芨草（</w:t>
      </w:r>
      <w:r w:rsidRPr="000549B1">
        <w:rPr>
          <w:i/>
          <w:iCs/>
          <w:sz w:val="24"/>
        </w:rPr>
        <w:t>Achnatherumsplendens</w:t>
      </w:r>
      <w:r w:rsidRPr="000549B1">
        <w:rPr>
          <w:sz w:val="24"/>
        </w:rPr>
        <w:t>）、画眉草（</w:t>
      </w:r>
      <w:r w:rsidRPr="000549B1">
        <w:rPr>
          <w:i/>
          <w:iCs/>
          <w:sz w:val="24"/>
        </w:rPr>
        <w:t>Eragrostispilosa</w:t>
      </w:r>
      <w:r w:rsidRPr="000549B1">
        <w:rPr>
          <w:sz w:val="24"/>
        </w:rPr>
        <w:t>）、西北针茅（</w:t>
      </w:r>
      <w:r w:rsidRPr="000549B1">
        <w:rPr>
          <w:i/>
          <w:iCs/>
          <w:sz w:val="24"/>
        </w:rPr>
        <w:t>Stipasareptana</w:t>
      </w:r>
      <w:r w:rsidRPr="000549B1">
        <w:rPr>
          <w:sz w:val="24"/>
        </w:rPr>
        <w:t>）、苦苣菜（</w:t>
      </w:r>
      <w:r w:rsidRPr="000549B1">
        <w:rPr>
          <w:i/>
          <w:iCs/>
          <w:sz w:val="24"/>
        </w:rPr>
        <w:t>Sonchusoleraceus</w:t>
      </w:r>
      <w:r w:rsidRPr="000549B1">
        <w:rPr>
          <w:sz w:val="24"/>
        </w:rPr>
        <w:t>）等，虽耐牧性较弱，但株丛可减缓风蚀，是草原生态系统的稳定维持者。</w:t>
      </w:r>
    </w:p>
    <w:tbl>
      <w:tblPr>
        <w:tblStyle w:val="af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3"/>
        <w:gridCol w:w="4153"/>
      </w:tblGrid>
      <w:tr w:rsidR="000549B1" w:rsidRPr="000549B1" w14:paraId="3EE81240" w14:textId="77777777">
        <w:tc>
          <w:tcPr>
            <w:tcW w:w="4296" w:type="dxa"/>
            <w:vAlign w:val="center"/>
          </w:tcPr>
          <w:p w14:paraId="76E04585" w14:textId="77777777" w:rsidR="00054437" w:rsidRPr="000549B1" w:rsidRDefault="00000000">
            <w:pPr>
              <w:jc w:val="center"/>
              <w:rPr>
                <w:b/>
                <w:bCs/>
              </w:rPr>
            </w:pPr>
            <w:r w:rsidRPr="000549B1">
              <w:rPr>
                <w:b/>
                <w:bCs/>
                <w:noProof/>
              </w:rPr>
              <w:drawing>
                <wp:inline distT="0" distB="0" distL="0" distR="0" wp14:anchorId="59A75CFD" wp14:editId="4E984076">
                  <wp:extent cx="2844165" cy="1943735"/>
                  <wp:effectExtent l="0" t="0" r="635" b="12065"/>
                  <wp:docPr id="1054485059" name="图片 1"/>
                  <wp:cNvGraphicFramePr/>
                  <a:graphic xmlns:a="http://schemas.openxmlformats.org/drawingml/2006/main">
                    <a:graphicData uri="http://schemas.openxmlformats.org/drawingml/2006/picture">
                      <pic:pic xmlns:pic="http://schemas.openxmlformats.org/drawingml/2006/picture">
                        <pic:nvPicPr>
                          <pic:cNvPr id="1054485059" name="图片 1"/>
                          <pic:cNvPicPr/>
                        </pic:nvPicPr>
                        <pic:blipFill>
                          <a:blip r:embed="rId127" cstate="email">
                            <a:extLst>
                              <a:ext uri="{28A0092B-C50C-407E-A947-70E740481C1C}">
                                <a14:useLocalDpi xmlns:a14="http://schemas.microsoft.com/office/drawing/2010/main"/>
                              </a:ext>
                            </a:extLst>
                          </a:blip>
                          <a:stretch>
                            <a:fillRect/>
                          </a:stretch>
                        </pic:blipFill>
                        <pic:spPr>
                          <a:xfrm>
                            <a:off x="0" y="0"/>
                            <a:ext cx="2844165" cy="1943735"/>
                          </a:xfrm>
                          <a:prstGeom prst="rect">
                            <a:avLst/>
                          </a:prstGeom>
                        </pic:spPr>
                      </pic:pic>
                    </a:graphicData>
                  </a:graphic>
                </wp:inline>
              </w:drawing>
            </w:r>
          </w:p>
        </w:tc>
        <w:tc>
          <w:tcPr>
            <w:tcW w:w="4226" w:type="dxa"/>
            <w:vAlign w:val="center"/>
          </w:tcPr>
          <w:p w14:paraId="14D80943" w14:textId="77777777" w:rsidR="00054437" w:rsidRPr="000549B1" w:rsidRDefault="00000000">
            <w:pPr>
              <w:jc w:val="center"/>
              <w:rPr>
                <w:b/>
                <w:bCs/>
              </w:rPr>
            </w:pPr>
            <w:r w:rsidRPr="000549B1">
              <w:rPr>
                <w:b/>
                <w:bCs/>
                <w:noProof/>
              </w:rPr>
              <w:drawing>
                <wp:inline distT="0" distB="0" distL="0" distR="0" wp14:anchorId="210FDA2F" wp14:editId="4FCEE0F0">
                  <wp:extent cx="2844165" cy="1943735"/>
                  <wp:effectExtent l="0" t="0" r="635" b="12065"/>
                  <wp:docPr id="879680566" name="图片 1"/>
                  <wp:cNvGraphicFramePr/>
                  <a:graphic xmlns:a="http://schemas.openxmlformats.org/drawingml/2006/main">
                    <a:graphicData uri="http://schemas.openxmlformats.org/drawingml/2006/picture">
                      <pic:pic xmlns:pic="http://schemas.openxmlformats.org/drawingml/2006/picture">
                        <pic:nvPicPr>
                          <pic:cNvPr id="879680566" name="图片 1"/>
                          <pic:cNvPicPr/>
                        </pic:nvPicPr>
                        <pic:blipFill>
                          <a:blip r:embed="rId128" cstate="email">
                            <a:extLst>
                              <a:ext uri="{28A0092B-C50C-407E-A947-70E740481C1C}">
                                <a14:useLocalDpi xmlns:a14="http://schemas.microsoft.com/office/drawing/2010/main"/>
                              </a:ext>
                            </a:extLst>
                          </a:blip>
                          <a:stretch>
                            <a:fillRect/>
                          </a:stretch>
                        </pic:blipFill>
                        <pic:spPr>
                          <a:xfrm>
                            <a:off x="0" y="0"/>
                            <a:ext cx="2844165" cy="1943735"/>
                          </a:xfrm>
                          <a:prstGeom prst="rect">
                            <a:avLst/>
                          </a:prstGeom>
                        </pic:spPr>
                      </pic:pic>
                    </a:graphicData>
                  </a:graphic>
                </wp:inline>
              </w:drawing>
            </w:r>
          </w:p>
        </w:tc>
      </w:tr>
      <w:tr w:rsidR="000549B1" w:rsidRPr="000549B1" w14:paraId="6FAB4572" w14:textId="77777777">
        <w:tc>
          <w:tcPr>
            <w:tcW w:w="8522" w:type="dxa"/>
            <w:gridSpan w:val="2"/>
            <w:vAlign w:val="center"/>
          </w:tcPr>
          <w:p w14:paraId="681102F4" w14:textId="77777777" w:rsidR="00054437" w:rsidRPr="000549B1" w:rsidRDefault="00000000">
            <w:pPr>
              <w:jc w:val="center"/>
              <w:rPr>
                <w:b/>
                <w:bCs/>
              </w:rPr>
            </w:pPr>
            <w:r w:rsidRPr="000549B1">
              <w:rPr>
                <w:b/>
                <w:bCs/>
              </w:rPr>
              <w:t>狗娃花</w:t>
            </w:r>
          </w:p>
        </w:tc>
      </w:tr>
    </w:tbl>
    <w:p w14:paraId="18941B74" w14:textId="77777777" w:rsidR="00054437" w:rsidRPr="000549B1" w:rsidRDefault="00000000">
      <w:pPr>
        <w:spacing w:line="360" w:lineRule="auto"/>
        <w:ind w:firstLineChars="200" w:firstLine="480"/>
        <w:rPr>
          <w:sz w:val="24"/>
        </w:rPr>
      </w:pPr>
      <w:r w:rsidRPr="000549B1">
        <w:rPr>
          <w:rFonts w:ascii="宋体" w:hAnsi="宋体" w:cs="宋体" w:hint="eastAsia"/>
          <w:sz w:val="24"/>
        </w:rPr>
        <w:t>⑥</w:t>
      </w:r>
      <w:r w:rsidRPr="000549B1">
        <w:rPr>
          <w:sz w:val="24"/>
        </w:rPr>
        <w:t>画眉草草原（</w:t>
      </w:r>
      <w:r w:rsidRPr="000549B1">
        <w:rPr>
          <w:sz w:val="24"/>
        </w:rPr>
        <w:t>Form.Eragrostispilosa)</w:t>
      </w:r>
    </w:p>
    <w:p w14:paraId="04EE007E" w14:textId="77777777" w:rsidR="00054437" w:rsidRPr="000549B1" w:rsidRDefault="00000000">
      <w:pPr>
        <w:spacing w:line="360" w:lineRule="auto"/>
        <w:ind w:firstLineChars="200" w:firstLine="480"/>
        <w:rPr>
          <w:sz w:val="24"/>
        </w:rPr>
      </w:pPr>
      <w:r w:rsidRPr="000549B1">
        <w:rPr>
          <w:sz w:val="24"/>
        </w:rPr>
        <w:t>画眉草是禾本科画眉草属的一年生草本植物，主要分布于共和县</w:t>
      </w:r>
      <w:r w:rsidRPr="000549B1">
        <w:rPr>
          <w:sz w:val="24"/>
        </w:rPr>
        <w:t>2300-3000m</w:t>
      </w:r>
      <w:r w:rsidRPr="000549B1">
        <w:rPr>
          <w:sz w:val="24"/>
        </w:rPr>
        <w:t>的塘格木镇农田边缘、切吉河河岸及兴海县</w:t>
      </w:r>
      <w:r w:rsidRPr="000549B1">
        <w:rPr>
          <w:sz w:val="24"/>
        </w:rPr>
        <w:t>2600-3300m</w:t>
      </w:r>
      <w:r w:rsidRPr="000549B1">
        <w:rPr>
          <w:sz w:val="24"/>
        </w:rPr>
        <w:t>的河卡镇路边、荒地等，为一年生丛生禾草，株高</w:t>
      </w:r>
      <w:r w:rsidRPr="000549B1">
        <w:rPr>
          <w:sz w:val="24"/>
        </w:rPr>
        <w:t>30-60cm</w:t>
      </w:r>
      <w:r w:rsidRPr="000549B1">
        <w:rPr>
          <w:sz w:val="24"/>
        </w:rPr>
        <w:t>，群落覆盖度</w:t>
      </w:r>
      <w:r w:rsidRPr="000549B1">
        <w:rPr>
          <w:sz w:val="24"/>
        </w:rPr>
        <w:t>10%-20%</w:t>
      </w:r>
      <w:r w:rsidRPr="000549B1">
        <w:rPr>
          <w:sz w:val="24"/>
        </w:rPr>
        <w:t>，伴生赖草（</w:t>
      </w:r>
      <w:r w:rsidRPr="000549B1">
        <w:rPr>
          <w:sz w:val="24"/>
        </w:rPr>
        <w:t>Leymussecalinus</w:t>
      </w:r>
      <w:r w:rsidRPr="000549B1">
        <w:rPr>
          <w:sz w:val="24"/>
        </w:rPr>
        <w:t>）、狗尾草（</w:t>
      </w:r>
      <w:r w:rsidRPr="000549B1">
        <w:rPr>
          <w:sz w:val="24"/>
        </w:rPr>
        <w:t>Setariaviridis</w:t>
      </w:r>
      <w:r w:rsidRPr="000549B1">
        <w:rPr>
          <w:sz w:val="24"/>
        </w:rPr>
        <w:t>）、醉马草（</w:t>
      </w:r>
      <w:r w:rsidRPr="000549B1">
        <w:rPr>
          <w:sz w:val="24"/>
        </w:rPr>
        <w:t>Achnatheruminebrians</w:t>
      </w:r>
      <w:r w:rsidRPr="000549B1">
        <w:rPr>
          <w:sz w:val="24"/>
        </w:rPr>
        <w:t>）、马蔺（</w:t>
      </w:r>
      <w:r w:rsidRPr="000549B1">
        <w:rPr>
          <w:sz w:val="24"/>
        </w:rPr>
        <w:t>Irislactea</w:t>
      </w:r>
      <w:r w:rsidRPr="000549B1">
        <w:rPr>
          <w:sz w:val="24"/>
        </w:rPr>
        <w:t>）等，对扰动区域水土保持与植被恢复具有重要作用。</w:t>
      </w:r>
    </w:p>
    <w:tbl>
      <w:tblPr>
        <w:tblStyle w:val="af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3"/>
        <w:gridCol w:w="4153"/>
      </w:tblGrid>
      <w:tr w:rsidR="000549B1" w:rsidRPr="000549B1" w14:paraId="6A8CAE1D" w14:textId="77777777">
        <w:tc>
          <w:tcPr>
            <w:tcW w:w="4312" w:type="dxa"/>
            <w:vAlign w:val="center"/>
          </w:tcPr>
          <w:p w14:paraId="3995A2F6" w14:textId="77777777" w:rsidR="00054437" w:rsidRPr="000549B1" w:rsidRDefault="00000000">
            <w:pPr>
              <w:jc w:val="center"/>
              <w:rPr>
                <w:b/>
                <w:bCs/>
              </w:rPr>
            </w:pPr>
            <w:r w:rsidRPr="000549B1">
              <w:rPr>
                <w:b/>
                <w:bCs/>
                <w:noProof/>
              </w:rPr>
              <w:drawing>
                <wp:inline distT="0" distB="0" distL="0" distR="0" wp14:anchorId="343005FC" wp14:editId="773BE50B">
                  <wp:extent cx="2844165" cy="1943735"/>
                  <wp:effectExtent l="0" t="0" r="635" b="12065"/>
                  <wp:docPr id="1787039428" name="图片 1"/>
                  <wp:cNvGraphicFramePr/>
                  <a:graphic xmlns:a="http://schemas.openxmlformats.org/drawingml/2006/main">
                    <a:graphicData uri="http://schemas.openxmlformats.org/drawingml/2006/picture">
                      <pic:pic xmlns:pic="http://schemas.openxmlformats.org/drawingml/2006/picture">
                        <pic:nvPicPr>
                          <pic:cNvPr id="1787039428" name="图片 1"/>
                          <pic:cNvPicPr/>
                        </pic:nvPicPr>
                        <pic:blipFill>
                          <a:blip r:embed="rId129" cstate="email">
                            <a:extLst>
                              <a:ext uri="{28A0092B-C50C-407E-A947-70E740481C1C}">
                                <a14:useLocalDpi xmlns:a14="http://schemas.microsoft.com/office/drawing/2010/main"/>
                              </a:ext>
                            </a:extLst>
                          </a:blip>
                          <a:stretch>
                            <a:fillRect/>
                          </a:stretch>
                        </pic:blipFill>
                        <pic:spPr>
                          <a:xfrm>
                            <a:off x="0" y="0"/>
                            <a:ext cx="2844165" cy="1943735"/>
                          </a:xfrm>
                          <a:prstGeom prst="rect">
                            <a:avLst/>
                          </a:prstGeom>
                        </pic:spPr>
                      </pic:pic>
                    </a:graphicData>
                  </a:graphic>
                </wp:inline>
              </w:drawing>
            </w:r>
          </w:p>
        </w:tc>
        <w:tc>
          <w:tcPr>
            <w:tcW w:w="4210" w:type="dxa"/>
            <w:vAlign w:val="center"/>
          </w:tcPr>
          <w:p w14:paraId="3C999241" w14:textId="77777777" w:rsidR="00054437" w:rsidRPr="000549B1" w:rsidRDefault="00000000">
            <w:pPr>
              <w:jc w:val="center"/>
              <w:rPr>
                <w:b/>
                <w:bCs/>
              </w:rPr>
            </w:pPr>
            <w:r w:rsidRPr="000549B1">
              <w:rPr>
                <w:b/>
                <w:bCs/>
                <w:noProof/>
              </w:rPr>
              <w:drawing>
                <wp:inline distT="0" distB="0" distL="0" distR="0" wp14:anchorId="24B685BB" wp14:editId="326F69D5">
                  <wp:extent cx="2844165" cy="1943735"/>
                  <wp:effectExtent l="0" t="0" r="635" b="12065"/>
                  <wp:docPr id="1058096714" name="图片 1"/>
                  <wp:cNvGraphicFramePr/>
                  <a:graphic xmlns:a="http://schemas.openxmlformats.org/drawingml/2006/main">
                    <a:graphicData uri="http://schemas.openxmlformats.org/drawingml/2006/picture">
                      <pic:pic xmlns:pic="http://schemas.openxmlformats.org/drawingml/2006/picture">
                        <pic:nvPicPr>
                          <pic:cNvPr id="1058096714" name="图片 1"/>
                          <pic:cNvPicPr/>
                        </pic:nvPicPr>
                        <pic:blipFill>
                          <a:blip r:embed="rId130" cstate="email">
                            <a:extLst>
                              <a:ext uri="{28A0092B-C50C-407E-A947-70E740481C1C}">
                                <a14:useLocalDpi xmlns:a14="http://schemas.microsoft.com/office/drawing/2010/main"/>
                              </a:ext>
                            </a:extLst>
                          </a:blip>
                          <a:stretch>
                            <a:fillRect/>
                          </a:stretch>
                        </pic:blipFill>
                        <pic:spPr>
                          <a:xfrm>
                            <a:off x="0" y="0"/>
                            <a:ext cx="2844165" cy="1943735"/>
                          </a:xfrm>
                          <a:prstGeom prst="rect">
                            <a:avLst/>
                          </a:prstGeom>
                        </pic:spPr>
                      </pic:pic>
                    </a:graphicData>
                  </a:graphic>
                </wp:inline>
              </w:drawing>
            </w:r>
          </w:p>
        </w:tc>
      </w:tr>
      <w:tr w:rsidR="000549B1" w:rsidRPr="000549B1" w14:paraId="5779DC79" w14:textId="77777777">
        <w:tc>
          <w:tcPr>
            <w:tcW w:w="8522" w:type="dxa"/>
            <w:gridSpan w:val="2"/>
            <w:vAlign w:val="center"/>
          </w:tcPr>
          <w:p w14:paraId="32007AF5" w14:textId="77777777" w:rsidR="00054437" w:rsidRPr="000549B1" w:rsidRDefault="00000000">
            <w:pPr>
              <w:jc w:val="center"/>
              <w:rPr>
                <w:b/>
                <w:bCs/>
              </w:rPr>
            </w:pPr>
            <w:r w:rsidRPr="000549B1">
              <w:rPr>
                <w:b/>
                <w:bCs/>
              </w:rPr>
              <w:t>画眉草</w:t>
            </w:r>
          </w:p>
        </w:tc>
      </w:tr>
    </w:tbl>
    <w:p w14:paraId="790BF521" w14:textId="77777777" w:rsidR="00054437" w:rsidRPr="000549B1" w:rsidRDefault="00000000">
      <w:pPr>
        <w:spacing w:line="360" w:lineRule="auto"/>
        <w:ind w:firstLineChars="200" w:firstLine="480"/>
        <w:rPr>
          <w:sz w:val="24"/>
        </w:rPr>
      </w:pPr>
      <w:r w:rsidRPr="000549B1">
        <w:rPr>
          <w:sz w:val="24"/>
        </w:rPr>
        <w:t>4</w:t>
      </w:r>
      <w:r w:rsidRPr="000549B1">
        <w:rPr>
          <w:sz w:val="24"/>
        </w:rPr>
        <w:t>）草甸</w:t>
      </w:r>
    </w:p>
    <w:p w14:paraId="5AC7F7C3" w14:textId="77777777" w:rsidR="00054437" w:rsidRPr="000549B1" w:rsidRDefault="00000000">
      <w:pPr>
        <w:spacing w:line="360" w:lineRule="auto"/>
        <w:ind w:firstLineChars="200" w:firstLine="480"/>
        <w:rPr>
          <w:sz w:val="24"/>
        </w:rPr>
      </w:pPr>
      <w:r w:rsidRPr="000549B1">
        <w:rPr>
          <w:rFonts w:ascii="宋体" w:hAnsi="宋体" w:cs="宋体" w:hint="eastAsia"/>
          <w:sz w:val="24"/>
        </w:rPr>
        <w:t>①</w:t>
      </w:r>
      <w:r w:rsidRPr="000549B1">
        <w:rPr>
          <w:sz w:val="24"/>
        </w:rPr>
        <w:t>麻花艽草甸</w:t>
      </w:r>
      <w:r w:rsidRPr="000549B1">
        <w:rPr>
          <w:sz w:val="24"/>
        </w:rPr>
        <w:t>(Form.</w:t>
      </w:r>
      <w:r w:rsidRPr="000549B1">
        <w:rPr>
          <w:i/>
          <w:iCs/>
          <w:sz w:val="24"/>
        </w:rPr>
        <w:t>Gentianastraminea</w:t>
      </w:r>
      <w:r w:rsidRPr="000549B1">
        <w:rPr>
          <w:sz w:val="24"/>
        </w:rPr>
        <w:t>)</w:t>
      </w:r>
    </w:p>
    <w:p w14:paraId="4478C895" w14:textId="77777777" w:rsidR="00054437" w:rsidRPr="000549B1" w:rsidRDefault="00000000">
      <w:pPr>
        <w:spacing w:line="360" w:lineRule="auto"/>
        <w:ind w:firstLineChars="200" w:firstLine="480"/>
        <w:rPr>
          <w:sz w:val="24"/>
        </w:rPr>
      </w:pPr>
      <w:r w:rsidRPr="000549B1">
        <w:rPr>
          <w:sz w:val="24"/>
        </w:rPr>
        <w:t>麻花艽（</w:t>
      </w:r>
      <w:r w:rsidRPr="000549B1">
        <w:rPr>
          <w:sz w:val="24"/>
        </w:rPr>
        <w:t>Gentianastraminea</w:t>
      </w:r>
      <w:r w:rsidRPr="000549B1">
        <w:rPr>
          <w:sz w:val="24"/>
        </w:rPr>
        <w:t>）是龙胆科，龙胆属，是青藏高原东部高寒草甸与山地草原的典型多年生草本植物。主要分布在高山草甸、灌丛、林下、多石干山坡及河滩等地。麻花艽株高</w:t>
      </w:r>
      <w:r w:rsidRPr="000549B1">
        <w:rPr>
          <w:sz w:val="24"/>
        </w:rPr>
        <w:t>15-40</w:t>
      </w:r>
      <w:r w:rsidRPr="000549B1">
        <w:rPr>
          <w:sz w:val="24"/>
        </w:rPr>
        <w:t>厘米，覆盖度</w:t>
      </w:r>
      <w:r w:rsidRPr="000549B1">
        <w:rPr>
          <w:sz w:val="24"/>
        </w:rPr>
        <w:t>60%~70%</w:t>
      </w:r>
      <w:r w:rsidRPr="000549B1">
        <w:rPr>
          <w:sz w:val="24"/>
        </w:rPr>
        <w:t>，主要伴生有巴天酸模（</w:t>
      </w:r>
      <w:r w:rsidRPr="000549B1">
        <w:rPr>
          <w:i/>
          <w:iCs/>
          <w:sz w:val="24"/>
        </w:rPr>
        <w:t>Rumexpatientia</w:t>
      </w:r>
      <w:r w:rsidRPr="000549B1">
        <w:rPr>
          <w:sz w:val="24"/>
        </w:rPr>
        <w:t>）、车前（</w:t>
      </w:r>
      <w:r w:rsidRPr="000549B1">
        <w:rPr>
          <w:i/>
          <w:iCs/>
          <w:sz w:val="24"/>
        </w:rPr>
        <w:t>Plantagomajor</w:t>
      </w:r>
      <w:r w:rsidRPr="000549B1">
        <w:rPr>
          <w:sz w:val="24"/>
        </w:rPr>
        <w:t>）、火绒草（</w:t>
      </w:r>
      <w:r w:rsidRPr="000549B1">
        <w:rPr>
          <w:i/>
          <w:iCs/>
          <w:sz w:val="24"/>
        </w:rPr>
        <w:t>Leontopodiumleontopodioides</w:t>
      </w:r>
      <w:r w:rsidRPr="000549B1">
        <w:rPr>
          <w:sz w:val="24"/>
        </w:rPr>
        <w:t>）、画眉草（</w:t>
      </w:r>
      <w:r w:rsidRPr="000549B1">
        <w:rPr>
          <w:i/>
          <w:iCs/>
          <w:sz w:val="24"/>
        </w:rPr>
        <w:t>Eragrostispilosa</w:t>
      </w:r>
      <w:r w:rsidRPr="000549B1">
        <w:rPr>
          <w:sz w:val="24"/>
        </w:rPr>
        <w:t>）、长裂苦苣菜（</w:t>
      </w:r>
      <w:r w:rsidRPr="000549B1">
        <w:rPr>
          <w:i/>
          <w:iCs/>
          <w:sz w:val="24"/>
        </w:rPr>
        <w:t>Sonchusbrachyotus</w:t>
      </w:r>
      <w:r w:rsidRPr="000549B1">
        <w:rPr>
          <w:sz w:val="24"/>
        </w:rPr>
        <w:t>）、狗娃花（</w:t>
      </w:r>
      <w:r w:rsidRPr="000549B1">
        <w:rPr>
          <w:i/>
          <w:iCs/>
          <w:sz w:val="24"/>
        </w:rPr>
        <w:t>Heteropappushispidus</w:t>
      </w:r>
      <w:r w:rsidRPr="000549B1">
        <w:rPr>
          <w:sz w:val="24"/>
        </w:rPr>
        <w:t>）、大蓟（</w:t>
      </w:r>
      <w:r w:rsidRPr="000549B1">
        <w:rPr>
          <w:i/>
          <w:iCs/>
          <w:sz w:val="24"/>
        </w:rPr>
        <w:t>Cirsiumsetosum</w:t>
      </w:r>
      <w:r w:rsidRPr="000549B1">
        <w:rPr>
          <w:sz w:val="24"/>
        </w:rPr>
        <w:t>）、蕨麻（</w:t>
      </w:r>
      <w:r w:rsidRPr="000549B1">
        <w:rPr>
          <w:i/>
          <w:iCs/>
          <w:sz w:val="24"/>
        </w:rPr>
        <w:t>Potentillaanserina</w:t>
      </w:r>
      <w:r w:rsidRPr="000549B1">
        <w:rPr>
          <w:sz w:val="24"/>
        </w:rPr>
        <w:t>）、苣荬菜（</w:t>
      </w:r>
      <w:r w:rsidRPr="000549B1">
        <w:rPr>
          <w:i/>
          <w:iCs/>
          <w:sz w:val="24"/>
        </w:rPr>
        <w:t>Sonchusarvensis</w:t>
      </w:r>
      <w:r w:rsidRPr="000549B1">
        <w:rPr>
          <w:sz w:val="24"/>
        </w:rPr>
        <w:t>）、星状雪兔子（</w:t>
      </w:r>
      <w:r w:rsidRPr="000549B1">
        <w:rPr>
          <w:i/>
          <w:iCs/>
          <w:sz w:val="24"/>
        </w:rPr>
        <w:t>Saussureastella</w:t>
      </w:r>
      <w:r w:rsidRPr="000549B1">
        <w:rPr>
          <w:sz w:val="24"/>
        </w:rPr>
        <w:t>）等。</w:t>
      </w:r>
    </w:p>
    <w:tbl>
      <w:tblPr>
        <w:tblStyle w:val="af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3"/>
        <w:gridCol w:w="4153"/>
      </w:tblGrid>
      <w:tr w:rsidR="000549B1" w:rsidRPr="000549B1" w14:paraId="5B5DE236" w14:textId="77777777">
        <w:tc>
          <w:tcPr>
            <w:tcW w:w="4266" w:type="dxa"/>
            <w:vAlign w:val="center"/>
          </w:tcPr>
          <w:p w14:paraId="68B3E6AD" w14:textId="77777777" w:rsidR="00054437" w:rsidRPr="000549B1" w:rsidRDefault="00000000">
            <w:pPr>
              <w:jc w:val="center"/>
              <w:rPr>
                <w:b/>
                <w:bCs/>
              </w:rPr>
            </w:pPr>
            <w:r w:rsidRPr="000549B1">
              <w:rPr>
                <w:b/>
                <w:bCs/>
                <w:noProof/>
              </w:rPr>
              <w:drawing>
                <wp:inline distT="0" distB="0" distL="0" distR="0" wp14:anchorId="54869CAD" wp14:editId="5E6DB96D">
                  <wp:extent cx="2844165" cy="1943735"/>
                  <wp:effectExtent l="0" t="0" r="635" b="12065"/>
                  <wp:docPr id="1401538379" name="图片 33"/>
                  <wp:cNvGraphicFramePr/>
                  <a:graphic xmlns:a="http://schemas.openxmlformats.org/drawingml/2006/main">
                    <a:graphicData uri="http://schemas.openxmlformats.org/drawingml/2006/picture">
                      <pic:pic xmlns:pic="http://schemas.openxmlformats.org/drawingml/2006/picture">
                        <pic:nvPicPr>
                          <pic:cNvPr id="1401538379" name="图片 33"/>
                          <pic:cNvPicPr>
                            <a:picLocks noChangeArrowheads="1"/>
                          </pic:cNvPicPr>
                        </pic:nvPicPr>
                        <pic:blipFill>
                          <a:blip r:embed="rId131" cstate="email">
                            <a:extLst>
                              <a:ext uri="{28A0092B-C50C-407E-A947-70E740481C1C}">
                                <a14:useLocalDpi xmlns:a14="http://schemas.microsoft.com/office/drawing/2010/main"/>
                              </a:ext>
                            </a:extLst>
                          </a:blip>
                          <a:srcRect/>
                          <a:stretch>
                            <a:fillRect/>
                          </a:stretch>
                        </pic:blipFill>
                        <pic:spPr>
                          <a:xfrm>
                            <a:off x="0" y="0"/>
                            <a:ext cx="2844165" cy="1943735"/>
                          </a:xfrm>
                          <a:prstGeom prst="rect">
                            <a:avLst/>
                          </a:prstGeom>
                          <a:noFill/>
                          <a:ln>
                            <a:noFill/>
                          </a:ln>
                        </pic:spPr>
                      </pic:pic>
                    </a:graphicData>
                  </a:graphic>
                </wp:inline>
              </w:drawing>
            </w:r>
          </w:p>
        </w:tc>
        <w:tc>
          <w:tcPr>
            <w:tcW w:w="4256" w:type="dxa"/>
            <w:vAlign w:val="center"/>
          </w:tcPr>
          <w:p w14:paraId="58A55FED" w14:textId="77777777" w:rsidR="00054437" w:rsidRPr="000549B1" w:rsidRDefault="00000000">
            <w:pPr>
              <w:jc w:val="center"/>
              <w:rPr>
                <w:b/>
                <w:bCs/>
              </w:rPr>
            </w:pPr>
            <w:r w:rsidRPr="000549B1">
              <w:rPr>
                <w:b/>
                <w:bCs/>
                <w:noProof/>
              </w:rPr>
              <w:drawing>
                <wp:inline distT="0" distB="0" distL="0" distR="0" wp14:anchorId="5D01D5A9" wp14:editId="7B0DE095">
                  <wp:extent cx="2844165" cy="1943735"/>
                  <wp:effectExtent l="0" t="0" r="635" b="12065"/>
                  <wp:docPr id="1865682374" name="图片 32"/>
                  <wp:cNvGraphicFramePr/>
                  <a:graphic xmlns:a="http://schemas.openxmlformats.org/drawingml/2006/main">
                    <a:graphicData uri="http://schemas.openxmlformats.org/drawingml/2006/picture">
                      <pic:pic xmlns:pic="http://schemas.openxmlformats.org/drawingml/2006/picture">
                        <pic:nvPicPr>
                          <pic:cNvPr id="1865682374" name="图片 32"/>
                          <pic:cNvPicPr>
                            <a:picLocks noChangeArrowheads="1"/>
                          </pic:cNvPicPr>
                        </pic:nvPicPr>
                        <pic:blipFill>
                          <a:blip r:embed="rId132" cstate="email">
                            <a:extLst>
                              <a:ext uri="{28A0092B-C50C-407E-A947-70E740481C1C}">
                                <a14:useLocalDpi xmlns:a14="http://schemas.microsoft.com/office/drawing/2010/main"/>
                              </a:ext>
                            </a:extLst>
                          </a:blip>
                          <a:srcRect/>
                          <a:stretch>
                            <a:fillRect/>
                          </a:stretch>
                        </pic:blipFill>
                        <pic:spPr>
                          <a:xfrm>
                            <a:off x="0" y="0"/>
                            <a:ext cx="2844165" cy="1943735"/>
                          </a:xfrm>
                          <a:prstGeom prst="rect">
                            <a:avLst/>
                          </a:prstGeom>
                          <a:noFill/>
                          <a:ln>
                            <a:noFill/>
                          </a:ln>
                        </pic:spPr>
                      </pic:pic>
                    </a:graphicData>
                  </a:graphic>
                </wp:inline>
              </w:drawing>
            </w:r>
          </w:p>
        </w:tc>
      </w:tr>
      <w:tr w:rsidR="000549B1" w:rsidRPr="000549B1" w14:paraId="37586174" w14:textId="77777777">
        <w:tc>
          <w:tcPr>
            <w:tcW w:w="8522" w:type="dxa"/>
            <w:gridSpan w:val="2"/>
            <w:vAlign w:val="center"/>
          </w:tcPr>
          <w:p w14:paraId="3BBC06A9" w14:textId="77777777" w:rsidR="00054437" w:rsidRPr="000549B1" w:rsidRDefault="00000000">
            <w:pPr>
              <w:jc w:val="center"/>
              <w:rPr>
                <w:b/>
                <w:bCs/>
              </w:rPr>
            </w:pPr>
            <w:r w:rsidRPr="000549B1">
              <w:rPr>
                <w:b/>
                <w:bCs/>
              </w:rPr>
              <w:t>麻花艽</w:t>
            </w:r>
          </w:p>
        </w:tc>
      </w:tr>
    </w:tbl>
    <w:p w14:paraId="0427CFEA" w14:textId="77777777" w:rsidR="00054437" w:rsidRPr="000549B1" w:rsidRDefault="00000000">
      <w:pPr>
        <w:pStyle w:val="Z4"/>
        <w:rPr>
          <w:color w:val="auto"/>
        </w:rPr>
      </w:pPr>
      <w:r w:rsidRPr="000549B1">
        <w:rPr>
          <w:color w:val="auto"/>
        </w:rPr>
        <w:t>植被覆盖度</w:t>
      </w:r>
    </w:p>
    <w:p w14:paraId="065FE49B" w14:textId="77777777" w:rsidR="00054437" w:rsidRPr="000549B1" w:rsidRDefault="00000000">
      <w:pPr>
        <w:spacing w:line="360" w:lineRule="auto"/>
        <w:ind w:firstLine="482"/>
        <w:rPr>
          <w:sz w:val="24"/>
          <w:szCs w:val="24"/>
        </w:rPr>
      </w:pPr>
      <w:r w:rsidRPr="000549B1">
        <w:rPr>
          <w:sz w:val="24"/>
          <w:szCs w:val="24"/>
        </w:rPr>
        <w:t>（</w:t>
      </w:r>
      <w:r w:rsidRPr="000549B1">
        <w:rPr>
          <w:sz w:val="24"/>
          <w:szCs w:val="24"/>
        </w:rPr>
        <w:t>1</w:t>
      </w:r>
      <w:r w:rsidRPr="000549B1">
        <w:rPr>
          <w:sz w:val="24"/>
          <w:szCs w:val="24"/>
        </w:rPr>
        <w:t>）调查方法</w:t>
      </w:r>
    </w:p>
    <w:p w14:paraId="27D1C250" w14:textId="3E9B303C" w:rsidR="00054437" w:rsidRPr="000549B1" w:rsidRDefault="00000000">
      <w:pPr>
        <w:spacing w:line="360" w:lineRule="auto"/>
        <w:ind w:firstLine="480"/>
        <w:rPr>
          <w:sz w:val="24"/>
          <w:szCs w:val="24"/>
        </w:rPr>
      </w:pPr>
      <w:r w:rsidRPr="000549B1">
        <w:rPr>
          <w:sz w:val="24"/>
          <w:szCs w:val="24"/>
        </w:rPr>
        <w:t>本次通过的遥感手段，采用归一化植被指数（</w:t>
      </w:r>
      <w:r w:rsidRPr="000549B1">
        <w:rPr>
          <w:sz w:val="24"/>
          <w:szCs w:val="24"/>
        </w:rPr>
        <w:t>NDVI</w:t>
      </w:r>
      <w:r w:rsidRPr="000549B1">
        <w:rPr>
          <w:sz w:val="24"/>
          <w:szCs w:val="24"/>
        </w:rPr>
        <w:t>）方法，对评价区的植被覆盖度进行分析，采用的遥感数据为评价区</w:t>
      </w:r>
      <w:r w:rsidRPr="000549B1">
        <w:rPr>
          <w:sz w:val="24"/>
          <w:szCs w:val="24"/>
        </w:rPr>
        <w:t>2024</w:t>
      </w:r>
      <w:r w:rsidRPr="000549B1">
        <w:rPr>
          <w:sz w:val="24"/>
          <w:szCs w:val="24"/>
        </w:rPr>
        <w:t>年</w:t>
      </w:r>
      <w:r w:rsidRPr="000549B1">
        <w:rPr>
          <w:sz w:val="24"/>
          <w:szCs w:val="24"/>
        </w:rPr>
        <w:t>8</w:t>
      </w:r>
      <w:r w:rsidRPr="000549B1">
        <w:rPr>
          <w:sz w:val="24"/>
          <w:szCs w:val="24"/>
        </w:rPr>
        <w:t>月的</w:t>
      </w:r>
      <w:hyperlink r:id="rId133" w:history="1">
        <w:r w:rsidR="00054437" w:rsidRPr="000549B1">
          <w:rPr>
            <w:sz w:val="24"/>
            <w:szCs w:val="24"/>
          </w:rPr>
          <w:t>Landsat8OLI_TIRS</w:t>
        </w:r>
        <w:r w:rsidR="00054437" w:rsidRPr="000549B1">
          <w:rPr>
            <w:sz w:val="24"/>
            <w:szCs w:val="24"/>
          </w:rPr>
          <w:t>卫星数字产品</w:t>
        </w:r>
      </w:hyperlink>
      <w:r w:rsidRPr="000549B1">
        <w:rPr>
          <w:sz w:val="24"/>
          <w:szCs w:val="24"/>
        </w:rPr>
        <w:t>，分辨率</w:t>
      </w:r>
      <w:r w:rsidRPr="000549B1">
        <w:rPr>
          <w:sz w:val="24"/>
          <w:szCs w:val="24"/>
        </w:rPr>
        <w:t>15m</w:t>
      </w:r>
      <w:r w:rsidRPr="000549B1">
        <w:rPr>
          <w:sz w:val="24"/>
          <w:szCs w:val="24"/>
        </w:rPr>
        <w:t>。</w:t>
      </w:r>
    </w:p>
    <w:p w14:paraId="35182CC9" w14:textId="77777777" w:rsidR="00054437" w:rsidRPr="000549B1" w:rsidRDefault="00000000">
      <w:pPr>
        <w:spacing w:line="360" w:lineRule="auto"/>
        <w:ind w:firstLine="480"/>
        <w:rPr>
          <w:sz w:val="24"/>
          <w:szCs w:val="24"/>
        </w:rPr>
      </w:pPr>
      <w:r w:rsidRPr="000549B1">
        <w:rPr>
          <w:sz w:val="24"/>
          <w:szCs w:val="24"/>
        </w:rPr>
        <w:t>利用遥感技术手段获得植被覆盖度的方法主要有经验模型法、植被指数法和像元分解模型法。像元分解模型中的像元二分模型具有计算模型简单可靠、数据参数通用易得、反演精度较高的优点，本次评价采用像元二分模型来反演研究区域的植被覆盖度。</w:t>
      </w:r>
    </w:p>
    <w:p w14:paraId="7B7AFDEC" w14:textId="77777777" w:rsidR="00054437" w:rsidRPr="000549B1" w:rsidRDefault="00000000">
      <w:pPr>
        <w:spacing w:line="360" w:lineRule="auto"/>
        <w:ind w:firstLine="480"/>
        <w:rPr>
          <w:sz w:val="24"/>
          <w:szCs w:val="24"/>
        </w:rPr>
      </w:pPr>
      <w:r w:rsidRPr="000549B1">
        <w:rPr>
          <w:sz w:val="24"/>
          <w:szCs w:val="24"/>
        </w:rPr>
        <w:t>像元二分模型求植被覆盖度计算公式为：</w:t>
      </w:r>
    </w:p>
    <w:p w14:paraId="386C3DF2" w14:textId="77777777" w:rsidR="00054437" w:rsidRPr="000549B1" w:rsidRDefault="00000000">
      <w:pPr>
        <w:spacing w:line="360" w:lineRule="auto"/>
        <w:ind w:firstLine="480"/>
        <w:jc w:val="center"/>
        <w:rPr>
          <w:sz w:val="24"/>
          <w:szCs w:val="24"/>
        </w:rPr>
      </w:pPr>
      <w:r w:rsidRPr="000549B1">
        <w:rPr>
          <w:sz w:val="24"/>
          <w:szCs w:val="24"/>
        </w:rPr>
        <w:t>Fcover=NDVI-NDVI</w:t>
      </w:r>
      <w:r w:rsidRPr="000549B1">
        <w:rPr>
          <w:sz w:val="24"/>
          <w:szCs w:val="24"/>
          <w:vertAlign w:val="subscript"/>
        </w:rPr>
        <w:t>soil</w:t>
      </w:r>
      <w:r w:rsidRPr="000549B1">
        <w:rPr>
          <w:sz w:val="24"/>
          <w:szCs w:val="24"/>
        </w:rPr>
        <w:t>/NDVIveg-NDVI</w:t>
      </w:r>
      <w:r w:rsidRPr="000549B1">
        <w:rPr>
          <w:sz w:val="24"/>
          <w:szCs w:val="24"/>
          <w:vertAlign w:val="subscript"/>
        </w:rPr>
        <w:t>soil</w:t>
      </w:r>
    </w:p>
    <w:p w14:paraId="2B914674" w14:textId="77777777" w:rsidR="00054437" w:rsidRPr="000549B1" w:rsidRDefault="00000000">
      <w:pPr>
        <w:spacing w:line="360" w:lineRule="auto"/>
        <w:ind w:firstLine="480"/>
        <w:rPr>
          <w:sz w:val="24"/>
          <w:szCs w:val="24"/>
        </w:rPr>
      </w:pPr>
      <w:r w:rsidRPr="000549B1">
        <w:rPr>
          <w:sz w:val="24"/>
          <w:szCs w:val="24"/>
        </w:rPr>
        <w:t>Fcover</w:t>
      </w:r>
      <w:r w:rsidRPr="000549B1">
        <w:rPr>
          <w:sz w:val="24"/>
          <w:szCs w:val="24"/>
        </w:rPr>
        <w:t>为覆盖度，</w:t>
      </w:r>
      <w:r w:rsidRPr="000549B1">
        <w:rPr>
          <w:sz w:val="24"/>
          <w:szCs w:val="24"/>
        </w:rPr>
        <w:t>NDVI</w:t>
      </w:r>
      <w:r w:rsidRPr="000549B1">
        <w:rPr>
          <w:sz w:val="24"/>
          <w:szCs w:val="24"/>
        </w:rPr>
        <w:t>为归一化植被指数，</w:t>
      </w:r>
      <w:r w:rsidRPr="000549B1">
        <w:rPr>
          <w:sz w:val="24"/>
          <w:szCs w:val="24"/>
        </w:rPr>
        <w:t>NDVI</w:t>
      </w:r>
      <w:r w:rsidRPr="000549B1">
        <w:rPr>
          <w:sz w:val="24"/>
          <w:szCs w:val="24"/>
          <w:vertAlign w:val="subscript"/>
        </w:rPr>
        <w:t>soil</w:t>
      </w:r>
      <w:r w:rsidRPr="000549B1">
        <w:rPr>
          <w:sz w:val="24"/>
          <w:szCs w:val="24"/>
        </w:rPr>
        <w:t>为土壤的</w:t>
      </w:r>
      <w:r w:rsidRPr="000549B1">
        <w:rPr>
          <w:sz w:val="24"/>
          <w:szCs w:val="24"/>
        </w:rPr>
        <w:t>NDVI</w:t>
      </w:r>
      <w:r w:rsidRPr="000549B1">
        <w:rPr>
          <w:sz w:val="24"/>
          <w:szCs w:val="24"/>
        </w:rPr>
        <w:t>，</w:t>
      </w:r>
      <w:r w:rsidRPr="000549B1">
        <w:rPr>
          <w:sz w:val="24"/>
          <w:szCs w:val="24"/>
        </w:rPr>
        <w:t>NDVI</w:t>
      </w:r>
      <w:r w:rsidRPr="000549B1">
        <w:rPr>
          <w:sz w:val="24"/>
          <w:szCs w:val="24"/>
          <w:vertAlign w:val="subscript"/>
        </w:rPr>
        <w:t>veg</w:t>
      </w:r>
      <w:r w:rsidRPr="000549B1">
        <w:rPr>
          <w:sz w:val="24"/>
          <w:szCs w:val="24"/>
        </w:rPr>
        <w:t>为植被覆盖像元最大值的</w:t>
      </w:r>
      <w:r w:rsidRPr="000549B1">
        <w:rPr>
          <w:sz w:val="24"/>
          <w:szCs w:val="24"/>
        </w:rPr>
        <w:t>NDVI</w:t>
      </w:r>
      <w:r w:rsidRPr="000549B1">
        <w:rPr>
          <w:sz w:val="24"/>
          <w:szCs w:val="24"/>
        </w:rPr>
        <w:t>。</w:t>
      </w:r>
    </w:p>
    <w:p w14:paraId="7F48AC4D" w14:textId="77777777" w:rsidR="00054437" w:rsidRPr="000549B1" w:rsidRDefault="00000000">
      <w:pPr>
        <w:spacing w:line="360" w:lineRule="auto"/>
        <w:ind w:firstLine="480"/>
        <w:jc w:val="center"/>
        <w:rPr>
          <w:sz w:val="24"/>
          <w:szCs w:val="24"/>
        </w:rPr>
      </w:pPr>
      <w:bookmarkStart w:id="257" w:name="_Toc9097"/>
      <w:r w:rsidRPr="000549B1">
        <w:rPr>
          <w:sz w:val="24"/>
          <w:szCs w:val="24"/>
        </w:rPr>
        <w:t>NDVI=NIR-R/NIR+R</w:t>
      </w:r>
      <w:bookmarkEnd w:id="257"/>
    </w:p>
    <w:p w14:paraId="2206EFD9" w14:textId="77777777" w:rsidR="00054437" w:rsidRPr="000549B1" w:rsidRDefault="00000000">
      <w:pPr>
        <w:spacing w:line="360" w:lineRule="auto"/>
        <w:rPr>
          <w:sz w:val="24"/>
          <w:szCs w:val="24"/>
        </w:rPr>
      </w:pPr>
      <w:r w:rsidRPr="000549B1">
        <w:rPr>
          <w:sz w:val="24"/>
          <w:szCs w:val="24"/>
        </w:rPr>
        <w:t>NIR</w:t>
      </w:r>
      <w:r w:rsidRPr="000549B1">
        <w:rPr>
          <w:sz w:val="24"/>
          <w:szCs w:val="24"/>
        </w:rPr>
        <w:t>为近红外波段（</w:t>
      </w:r>
      <w:r w:rsidRPr="000549B1">
        <w:rPr>
          <w:sz w:val="24"/>
          <w:szCs w:val="24"/>
        </w:rPr>
        <w:t>0.7µm~1.1µm</w:t>
      </w:r>
      <w:r w:rsidRPr="000549B1">
        <w:rPr>
          <w:sz w:val="24"/>
          <w:szCs w:val="24"/>
        </w:rPr>
        <w:t>），</w:t>
      </w:r>
      <w:r w:rsidRPr="000549B1">
        <w:rPr>
          <w:sz w:val="24"/>
          <w:szCs w:val="24"/>
        </w:rPr>
        <w:t>R</w:t>
      </w:r>
      <w:r w:rsidRPr="000549B1">
        <w:rPr>
          <w:sz w:val="24"/>
          <w:szCs w:val="24"/>
        </w:rPr>
        <w:t>为红波段（</w:t>
      </w:r>
      <w:r w:rsidRPr="000549B1">
        <w:rPr>
          <w:sz w:val="24"/>
          <w:szCs w:val="24"/>
        </w:rPr>
        <w:t>0.4µm~0.7µm</w:t>
      </w:r>
      <w:r w:rsidRPr="000549B1">
        <w:rPr>
          <w:sz w:val="24"/>
          <w:szCs w:val="24"/>
        </w:rPr>
        <w:t>）。</w:t>
      </w:r>
    </w:p>
    <w:p w14:paraId="7F2C24A1" w14:textId="77777777" w:rsidR="00054437" w:rsidRPr="000549B1" w:rsidRDefault="00000000">
      <w:pPr>
        <w:spacing w:line="360" w:lineRule="auto"/>
        <w:ind w:firstLine="482"/>
        <w:rPr>
          <w:sz w:val="24"/>
          <w:szCs w:val="24"/>
        </w:rPr>
      </w:pPr>
      <w:r w:rsidRPr="000549B1">
        <w:rPr>
          <w:sz w:val="24"/>
          <w:szCs w:val="24"/>
        </w:rPr>
        <w:t>（</w:t>
      </w:r>
      <w:r w:rsidRPr="000549B1">
        <w:rPr>
          <w:sz w:val="24"/>
          <w:szCs w:val="24"/>
        </w:rPr>
        <w:t>2</w:t>
      </w:r>
      <w:r w:rsidRPr="000549B1">
        <w:rPr>
          <w:sz w:val="24"/>
          <w:szCs w:val="24"/>
        </w:rPr>
        <w:t>）结果分析</w:t>
      </w:r>
    </w:p>
    <w:p w14:paraId="5B863BA8" w14:textId="60332807" w:rsidR="00054437" w:rsidRPr="000549B1" w:rsidRDefault="00000000">
      <w:pPr>
        <w:spacing w:line="360" w:lineRule="auto"/>
        <w:ind w:firstLine="480"/>
        <w:rPr>
          <w:sz w:val="24"/>
          <w:szCs w:val="24"/>
        </w:rPr>
      </w:pPr>
      <w:r w:rsidRPr="000549B1">
        <w:rPr>
          <w:sz w:val="24"/>
          <w:szCs w:val="24"/>
        </w:rPr>
        <w:t>通过归一化植被指数（</w:t>
      </w:r>
      <w:r w:rsidRPr="000549B1">
        <w:rPr>
          <w:sz w:val="24"/>
          <w:szCs w:val="24"/>
        </w:rPr>
        <w:t>NDVI</w:t>
      </w:r>
      <w:r w:rsidRPr="000549B1">
        <w:rPr>
          <w:sz w:val="24"/>
          <w:szCs w:val="24"/>
        </w:rPr>
        <w:t>）方法，可得到整体评价区的植被覆盖度情况，详见</w:t>
      </w:r>
      <w:r w:rsidR="00F32CCA" w:rsidRPr="00F32CCA">
        <w:rPr>
          <w:sz w:val="24"/>
          <w:szCs w:val="24"/>
        </w:rPr>
        <w:t>表</w:t>
      </w:r>
      <w:r w:rsidR="00F32CCA" w:rsidRPr="00F32CCA">
        <w:rPr>
          <w:sz w:val="24"/>
          <w:szCs w:val="24"/>
        </w:rPr>
        <w:t>3.5</w:t>
      </w:r>
      <w:r w:rsidR="00F32CCA" w:rsidRPr="00F32CCA">
        <w:rPr>
          <w:sz w:val="24"/>
          <w:szCs w:val="24"/>
        </w:rPr>
        <w:noBreakHyphen/>
        <w:t>3</w:t>
      </w:r>
      <w:r w:rsidRPr="000549B1">
        <w:rPr>
          <w:sz w:val="24"/>
          <w:szCs w:val="24"/>
        </w:rPr>
        <w:t>。</w:t>
      </w:r>
    </w:p>
    <w:p w14:paraId="47AB8FF2" w14:textId="66D8FCA3" w:rsidR="00054437" w:rsidRPr="000549B1" w:rsidRDefault="00000000">
      <w:pPr>
        <w:pStyle w:val="0A51"/>
        <w:ind w:firstLine="422"/>
      </w:pPr>
      <w:bookmarkStart w:id="258" w:name="_Ref214959633"/>
      <w:r w:rsidRPr="000549B1">
        <w:t>表</w:t>
      </w:r>
      <w:fldSimple w:instr=" STYLEREF 2 \s ">
        <w:r w:rsidR="00372953">
          <w:rPr>
            <w:noProof/>
          </w:rPr>
          <w:t>3.5</w:t>
        </w:r>
      </w:fldSimple>
      <w:r w:rsidR="00372953">
        <w:noBreakHyphen/>
      </w:r>
      <w:r w:rsidR="00372953">
        <w:fldChar w:fldCharType="begin"/>
      </w:r>
      <w:r w:rsidR="00372953">
        <w:instrText xml:space="preserve"> SEQ </w:instrText>
      </w:r>
      <w:r w:rsidR="00372953">
        <w:instrText>表</w:instrText>
      </w:r>
      <w:r w:rsidR="00372953">
        <w:instrText xml:space="preserve"> \* ARABIC \s 2 </w:instrText>
      </w:r>
      <w:r w:rsidR="00372953">
        <w:fldChar w:fldCharType="separate"/>
      </w:r>
      <w:r w:rsidR="00372953">
        <w:rPr>
          <w:noProof/>
        </w:rPr>
        <w:t>3</w:t>
      </w:r>
      <w:r w:rsidR="00372953">
        <w:fldChar w:fldCharType="end"/>
      </w:r>
      <w:bookmarkEnd w:id="258"/>
      <w:r w:rsidRPr="000549B1">
        <w:t>评价区植被覆盖度</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6"/>
        <w:gridCol w:w="3073"/>
        <w:gridCol w:w="2557"/>
      </w:tblGrid>
      <w:tr w:rsidR="000549B1" w:rsidRPr="000549B1" w14:paraId="35C1072B" w14:textId="77777777">
        <w:trPr>
          <w:trHeight w:val="212"/>
          <w:tblHeader/>
        </w:trPr>
        <w:tc>
          <w:tcPr>
            <w:tcW w:w="1607" w:type="pct"/>
            <w:vAlign w:val="center"/>
          </w:tcPr>
          <w:p w14:paraId="1BBE10AE" w14:textId="77777777" w:rsidR="00054437" w:rsidRPr="000549B1" w:rsidRDefault="00000000">
            <w:pPr>
              <w:pStyle w:val="afff5"/>
              <w:rPr>
                <w:b/>
                <w:bCs/>
                <w:szCs w:val="21"/>
              </w:rPr>
            </w:pPr>
            <w:r w:rsidRPr="000549B1">
              <w:rPr>
                <w:b/>
                <w:bCs/>
                <w:szCs w:val="21"/>
              </w:rPr>
              <w:t>覆盖度（</w:t>
            </w:r>
            <w:r w:rsidRPr="000549B1">
              <w:rPr>
                <w:b/>
                <w:bCs/>
                <w:szCs w:val="21"/>
              </w:rPr>
              <w:t>%</w:t>
            </w:r>
            <w:r w:rsidRPr="000549B1">
              <w:rPr>
                <w:b/>
                <w:bCs/>
                <w:szCs w:val="21"/>
              </w:rPr>
              <w:t>）</w:t>
            </w:r>
          </w:p>
        </w:tc>
        <w:tc>
          <w:tcPr>
            <w:tcW w:w="1852" w:type="pct"/>
            <w:vAlign w:val="center"/>
          </w:tcPr>
          <w:p w14:paraId="6592ADEA" w14:textId="77777777" w:rsidR="00054437" w:rsidRPr="000549B1" w:rsidRDefault="00000000">
            <w:pPr>
              <w:pStyle w:val="afff5"/>
              <w:rPr>
                <w:b/>
                <w:bCs/>
                <w:szCs w:val="21"/>
              </w:rPr>
            </w:pPr>
            <w:r w:rsidRPr="000549B1">
              <w:rPr>
                <w:b/>
                <w:bCs/>
                <w:szCs w:val="21"/>
              </w:rPr>
              <w:t>面积（</w:t>
            </w:r>
            <w:r w:rsidRPr="000549B1">
              <w:rPr>
                <w:b/>
                <w:bCs/>
                <w:szCs w:val="21"/>
              </w:rPr>
              <w:t>km</w:t>
            </w:r>
            <w:r w:rsidRPr="000549B1">
              <w:rPr>
                <w:b/>
                <w:bCs/>
                <w:szCs w:val="21"/>
                <w:vertAlign w:val="superscript"/>
              </w:rPr>
              <w:t>2</w:t>
            </w:r>
            <w:r w:rsidRPr="000549B1">
              <w:rPr>
                <w:b/>
                <w:bCs/>
                <w:szCs w:val="21"/>
              </w:rPr>
              <w:t>）</w:t>
            </w:r>
          </w:p>
        </w:tc>
        <w:tc>
          <w:tcPr>
            <w:tcW w:w="1541" w:type="pct"/>
            <w:vAlign w:val="center"/>
          </w:tcPr>
          <w:p w14:paraId="4726C785" w14:textId="77777777" w:rsidR="00054437" w:rsidRPr="000549B1" w:rsidRDefault="00000000">
            <w:pPr>
              <w:pStyle w:val="afff5"/>
              <w:rPr>
                <w:b/>
                <w:bCs/>
                <w:szCs w:val="21"/>
              </w:rPr>
            </w:pPr>
            <w:r w:rsidRPr="000549B1">
              <w:rPr>
                <w:b/>
                <w:bCs/>
                <w:szCs w:val="21"/>
              </w:rPr>
              <w:t>比例（</w:t>
            </w:r>
            <w:r w:rsidRPr="000549B1">
              <w:rPr>
                <w:b/>
                <w:bCs/>
                <w:szCs w:val="21"/>
              </w:rPr>
              <w:t>%</w:t>
            </w:r>
            <w:r w:rsidRPr="000549B1">
              <w:rPr>
                <w:b/>
                <w:bCs/>
                <w:szCs w:val="21"/>
              </w:rPr>
              <w:t>）</w:t>
            </w:r>
          </w:p>
        </w:tc>
      </w:tr>
      <w:tr w:rsidR="000549B1" w:rsidRPr="000549B1" w14:paraId="46236F51" w14:textId="77777777">
        <w:tc>
          <w:tcPr>
            <w:tcW w:w="1607" w:type="pct"/>
            <w:vAlign w:val="center"/>
          </w:tcPr>
          <w:p w14:paraId="493CCBE5" w14:textId="77777777" w:rsidR="00054437" w:rsidRPr="000549B1" w:rsidRDefault="00000000">
            <w:pPr>
              <w:pStyle w:val="afff5"/>
              <w:rPr>
                <w:szCs w:val="21"/>
              </w:rPr>
            </w:pPr>
            <w:r w:rsidRPr="000549B1">
              <w:rPr>
                <w:szCs w:val="21"/>
              </w:rPr>
              <w:t>&lt;10</w:t>
            </w:r>
          </w:p>
        </w:tc>
        <w:tc>
          <w:tcPr>
            <w:tcW w:w="1852" w:type="pct"/>
            <w:vAlign w:val="center"/>
          </w:tcPr>
          <w:p w14:paraId="3C66F0C6" w14:textId="77777777" w:rsidR="00054437" w:rsidRPr="000549B1" w:rsidRDefault="00000000">
            <w:pPr>
              <w:pStyle w:val="afff5"/>
              <w:rPr>
                <w:szCs w:val="21"/>
              </w:rPr>
            </w:pPr>
            <w:r w:rsidRPr="000549B1">
              <w:rPr>
                <w:szCs w:val="21"/>
              </w:rPr>
              <w:t>328.50</w:t>
            </w:r>
          </w:p>
        </w:tc>
        <w:tc>
          <w:tcPr>
            <w:tcW w:w="1541" w:type="pct"/>
            <w:vAlign w:val="center"/>
          </w:tcPr>
          <w:p w14:paraId="542FBAF0" w14:textId="77777777" w:rsidR="00054437" w:rsidRPr="000549B1" w:rsidRDefault="00000000">
            <w:pPr>
              <w:pStyle w:val="afff5"/>
              <w:rPr>
                <w:szCs w:val="21"/>
              </w:rPr>
            </w:pPr>
            <w:r w:rsidRPr="000549B1">
              <w:rPr>
                <w:szCs w:val="21"/>
              </w:rPr>
              <w:t>3.79</w:t>
            </w:r>
          </w:p>
        </w:tc>
      </w:tr>
      <w:tr w:rsidR="000549B1" w:rsidRPr="000549B1" w14:paraId="6B79F0ED" w14:textId="77777777">
        <w:tc>
          <w:tcPr>
            <w:tcW w:w="1607" w:type="pct"/>
            <w:vAlign w:val="center"/>
          </w:tcPr>
          <w:p w14:paraId="58724001" w14:textId="77777777" w:rsidR="00054437" w:rsidRPr="000549B1" w:rsidRDefault="00000000">
            <w:pPr>
              <w:pStyle w:val="afff5"/>
              <w:rPr>
                <w:szCs w:val="21"/>
              </w:rPr>
            </w:pPr>
            <w:r w:rsidRPr="000549B1">
              <w:rPr>
                <w:szCs w:val="21"/>
              </w:rPr>
              <w:t>10-20</w:t>
            </w:r>
          </w:p>
        </w:tc>
        <w:tc>
          <w:tcPr>
            <w:tcW w:w="1852" w:type="pct"/>
            <w:vAlign w:val="center"/>
          </w:tcPr>
          <w:p w14:paraId="320E4E71" w14:textId="77777777" w:rsidR="00054437" w:rsidRPr="000549B1" w:rsidRDefault="00000000">
            <w:pPr>
              <w:pStyle w:val="afff5"/>
              <w:rPr>
                <w:szCs w:val="21"/>
              </w:rPr>
            </w:pPr>
            <w:r w:rsidRPr="000549B1">
              <w:rPr>
                <w:szCs w:val="21"/>
              </w:rPr>
              <w:t>195.89</w:t>
            </w:r>
          </w:p>
        </w:tc>
        <w:tc>
          <w:tcPr>
            <w:tcW w:w="1541" w:type="pct"/>
            <w:vAlign w:val="center"/>
          </w:tcPr>
          <w:p w14:paraId="69E403FD" w14:textId="77777777" w:rsidR="00054437" w:rsidRPr="000549B1" w:rsidRDefault="00000000">
            <w:pPr>
              <w:pStyle w:val="afff5"/>
              <w:rPr>
                <w:szCs w:val="21"/>
              </w:rPr>
            </w:pPr>
            <w:r w:rsidRPr="000549B1">
              <w:rPr>
                <w:szCs w:val="21"/>
              </w:rPr>
              <w:t>2.26</w:t>
            </w:r>
          </w:p>
        </w:tc>
      </w:tr>
      <w:tr w:rsidR="000549B1" w:rsidRPr="000549B1" w14:paraId="2458FE74" w14:textId="77777777">
        <w:tc>
          <w:tcPr>
            <w:tcW w:w="1607" w:type="pct"/>
            <w:vAlign w:val="center"/>
          </w:tcPr>
          <w:p w14:paraId="401CA324" w14:textId="77777777" w:rsidR="00054437" w:rsidRPr="000549B1" w:rsidRDefault="00000000">
            <w:pPr>
              <w:pStyle w:val="afff5"/>
              <w:rPr>
                <w:szCs w:val="21"/>
              </w:rPr>
            </w:pPr>
            <w:r w:rsidRPr="000549B1">
              <w:rPr>
                <w:szCs w:val="21"/>
              </w:rPr>
              <w:t>20-40</w:t>
            </w:r>
          </w:p>
        </w:tc>
        <w:tc>
          <w:tcPr>
            <w:tcW w:w="1852" w:type="pct"/>
            <w:vAlign w:val="center"/>
          </w:tcPr>
          <w:p w14:paraId="25AB7D69" w14:textId="77777777" w:rsidR="00054437" w:rsidRPr="000549B1" w:rsidRDefault="00000000">
            <w:pPr>
              <w:pStyle w:val="afff5"/>
              <w:rPr>
                <w:szCs w:val="21"/>
              </w:rPr>
            </w:pPr>
            <w:r w:rsidRPr="000549B1">
              <w:rPr>
                <w:szCs w:val="21"/>
              </w:rPr>
              <w:t>650.94</w:t>
            </w:r>
          </w:p>
        </w:tc>
        <w:tc>
          <w:tcPr>
            <w:tcW w:w="1541" w:type="pct"/>
            <w:vAlign w:val="center"/>
          </w:tcPr>
          <w:p w14:paraId="3EF6FD1C" w14:textId="77777777" w:rsidR="00054437" w:rsidRPr="000549B1" w:rsidRDefault="00000000">
            <w:pPr>
              <w:pStyle w:val="afff5"/>
              <w:rPr>
                <w:szCs w:val="21"/>
              </w:rPr>
            </w:pPr>
            <w:r w:rsidRPr="000549B1">
              <w:rPr>
                <w:szCs w:val="21"/>
              </w:rPr>
              <w:t>7.51</w:t>
            </w:r>
          </w:p>
        </w:tc>
      </w:tr>
      <w:tr w:rsidR="000549B1" w:rsidRPr="000549B1" w14:paraId="44928BA4" w14:textId="77777777">
        <w:tc>
          <w:tcPr>
            <w:tcW w:w="1607" w:type="pct"/>
            <w:vAlign w:val="center"/>
          </w:tcPr>
          <w:p w14:paraId="05267578" w14:textId="77777777" w:rsidR="00054437" w:rsidRPr="000549B1" w:rsidRDefault="00000000">
            <w:pPr>
              <w:pStyle w:val="afff5"/>
              <w:rPr>
                <w:szCs w:val="21"/>
              </w:rPr>
            </w:pPr>
            <w:r w:rsidRPr="000549B1">
              <w:rPr>
                <w:szCs w:val="21"/>
              </w:rPr>
              <w:t>40-60</w:t>
            </w:r>
          </w:p>
        </w:tc>
        <w:tc>
          <w:tcPr>
            <w:tcW w:w="1852" w:type="pct"/>
            <w:vAlign w:val="center"/>
          </w:tcPr>
          <w:p w14:paraId="2F754174" w14:textId="77777777" w:rsidR="00054437" w:rsidRPr="000549B1" w:rsidRDefault="00000000">
            <w:pPr>
              <w:pStyle w:val="afff5"/>
              <w:rPr>
                <w:szCs w:val="21"/>
              </w:rPr>
            </w:pPr>
            <w:r w:rsidRPr="000549B1">
              <w:rPr>
                <w:szCs w:val="21"/>
              </w:rPr>
              <w:t>5682.48</w:t>
            </w:r>
          </w:p>
        </w:tc>
        <w:tc>
          <w:tcPr>
            <w:tcW w:w="1541" w:type="pct"/>
            <w:vAlign w:val="center"/>
          </w:tcPr>
          <w:p w14:paraId="405CD635" w14:textId="77777777" w:rsidR="00054437" w:rsidRPr="000549B1" w:rsidRDefault="00000000">
            <w:pPr>
              <w:pStyle w:val="afff5"/>
              <w:rPr>
                <w:szCs w:val="21"/>
              </w:rPr>
            </w:pPr>
            <w:r w:rsidRPr="000549B1">
              <w:rPr>
                <w:szCs w:val="21"/>
              </w:rPr>
              <w:t>65.56</w:t>
            </w:r>
          </w:p>
        </w:tc>
      </w:tr>
      <w:tr w:rsidR="000549B1" w:rsidRPr="000549B1" w14:paraId="617B7DD6" w14:textId="77777777">
        <w:trPr>
          <w:trHeight w:val="90"/>
        </w:trPr>
        <w:tc>
          <w:tcPr>
            <w:tcW w:w="1607" w:type="pct"/>
            <w:vAlign w:val="center"/>
          </w:tcPr>
          <w:p w14:paraId="4503EAFE" w14:textId="77777777" w:rsidR="00054437" w:rsidRPr="000549B1" w:rsidRDefault="00000000">
            <w:pPr>
              <w:pStyle w:val="afff5"/>
              <w:rPr>
                <w:szCs w:val="21"/>
              </w:rPr>
            </w:pPr>
            <w:r w:rsidRPr="000549B1">
              <w:rPr>
                <w:szCs w:val="21"/>
              </w:rPr>
              <w:t>≥60</w:t>
            </w:r>
          </w:p>
        </w:tc>
        <w:tc>
          <w:tcPr>
            <w:tcW w:w="1852" w:type="pct"/>
            <w:vAlign w:val="center"/>
          </w:tcPr>
          <w:p w14:paraId="425AF900" w14:textId="77777777" w:rsidR="00054437" w:rsidRPr="000549B1" w:rsidRDefault="00000000">
            <w:pPr>
              <w:pStyle w:val="afff5"/>
              <w:rPr>
                <w:szCs w:val="21"/>
              </w:rPr>
            </w:pPr>
            <w:r w:rsidRPr="000549B1">
              <w:rPr>
                <w:szCs w:val="21"/>
              </w:rPr>
              <w:t>1809.79</w:t>
            </w:r>
          </w:p>
        </w:tc>
        <w:tc>
          <w:tcPr>
            <w:tcW w:w="1541" w:type="pct"/>
            <w:vAlign w:val="center"/>
          </w:tcPr>
          <w:p w14:paraId="370F4FF7" w14:textId="77777777" w:rsidR="00054437" w:rsidRPr="000549B1" w:rsidRDefault="00000000">
            <w:pPr>
              <w:pStyle w:val="afff5"/>
              <w:rPr>
                <w:szCs w:val="21"/>
              </w:rPr>
            </w:pPr>
            <w:r w:rsidRPr="000549B1">
              <w:rPr>
                <w:szCs w:val="21"/>
              </w:rPr>
              <w:t>20.88</w:t>
            </w:r>
          </w:p>
        </w:tc>
      </w:tr>
      <w:tr w:rsidR="000549B1" w:rsidRPr="000549B1" w14:paraId="7F8DC1A4" w14:textId="77777777">
        <w:trPr>
          <w:trHeight w:val="90"/>
        </w:trPr>
        <w:tc>
          <w:tcPr>
            <w:tcW w:w="1607" w:type="pct"/>
            <w:vAlign w:val="center"/>
          </w:tcPr>
          <w:p w14:paraId="5997630B" w14:textId="77777777" w:rsidR="00054437" w:rsidRPr="000549B1" w:rsidRDefault="00000000">
            <w:pPr>
              <w:pStyle w:val="afff5"/>
              <w:rPr>
                <w:szCs w:val="21"/>
              </w:rPr>
            </w:pPr>
            <w:r w:rsidRPr="000549B1">
              <w:rPr>
                <w:szCs w:val="21"/>
              </w:rPr>
              <w:t>合计</w:t>
            </w:r>
          </w:p>
        </w:tc>
        <w:tc>
          <w:tcPr>
            <w:tcW w:w="1852" w:type="pct"/>
            <w:vAlign w:val="center"/>
          </w:tcPr>
          <w:p w14:paraId="1FBF70D8" w14:textId="527220B9" w:rsidR="00054437" w:rsidRPr="000549B1" w:rsidRDefault="00000000">
            <w:pPr>
              <w:pStyle w:val="afff5"/>
              <w:rPr>
                <w:szCs w:val="21"/>
              </w:rPr>
            </w:pPr>
            <w:r w:rsidRPr="000549B1">
              <w:rPr>
                <w:szCs w:val="21"/>
              </w:rPr>
              <w:t>866</w:t>
            </w:r>
            <w:r w:rsidR="00B81685" w:rsidRPr="000549B1">
              <w:rPr>
                <w:rFonts w:hint="eastAsia"/>
                <w:szCs w:val="21"/>
              </w:rPr>
              <w:t>0</w:t>
            </w:r>
            <w:r w:rsidRPr="000549B1">
              <w:rPr>
                <w:szCs w:val="21"/>
              </w:rPr>
              <w:t>.</w:t>
            </w:r>
            <w:r w:rsidR="00B81685" w:rsidRPr="000549B1">
              <w:rPr>
                <w:rFonts w:hint="eastAsia"/>
                <w:szCs w:val="21"/>
              </w:rPr>
              <w:t>0</w:t>
            </w:r>
            <w:r w:rsidRPr="000549B1">
              <w:rPr>
                <w:szCs w:val="21"/>
              </w:rPr>
              <w:t>0</w:t>
            </w:r>
          </w:p>
        </w:tc>
        <w:tc>
          <w:tcPr>
            <w:tcW w:w="1541" w:type="pct"/>
            <w:vAlign w:val="center"/>
          </w:tcPr>
          <w:p w14:paraId="0E58CBC3" w14:textId="77777777" w:rsidR="00054437" w:rsidRPr="000549B1" w:rsidRDefault="00000000">
            <w:pPr>
              <w:pStyle w:val="afff5"/>
              <w:rPr>
                <w:szCs w:val="21"/>
              </w:rPr>
            </w:pPr>
            <w:r w:rsidRPr="000549B1">
              <w:rPr>
                <w:szCs w:val="21"/>
              </w:rPr>
              <w:t>100</w:t>
            </w:r>
          </w:p>
        </w:tc>
      </w:tr>
    </w:tbl>
    <w:p w14:paraId="7C4AAD8E" w14:textId="77777777" w:rsidR="00054437" w:rsidRPr="000549B1" w:rsidRDefault="00000000">
      <w:pPr>
        <w:spacing w:line="360" w:lineRule="auto"/>
        <w:ind w:firstLine="480"/>
        <w:rPr>
          <w:sz w:val="24"/>
          <w:szCs w:val="24"/>
        </w:rPr>
      </w:pPr>
      <w:r w:rsidRPr="000549B1">
        <w:rPr>
          <w:sz w:val="24"/>
          <w:szCs w:val="24"/>
        </w:rPr>
        <w:t>上表可知，评价区覆盖度</w:t>
      </w:r>
      <w:r w:rsidRPr="000549B1">
        <w:rPr>
          <w:sz w:val="24"/>
          <w:szCs w:val="24"/>
        </w:rPr>
        <w:t>40-60%</w:t>
      </w:r>
      <w:r w:rsidRPr="000549B1">
        <w:rPr>
          <w:sz w:val="24"/>
          <w:szCs w:val="24"/>
        </w:rPr>
        <w:t>的面积最大，面积为</w:t>
      </w:r>
      <w:r w:rsidRPr="000549B1">
        <w:rPr>
          <w:sz w:val="24"/>
          <w:szCs w:val="24"/>
        </w:rPr>
        <w:t>5682.48km</w:t>
      </w:r>
      <w:r w:rsidRPr="000549B1">
        <w:rPr>
          <w:sz w:val="24"/>
          <w:szCs w:val="24"/>
          <w:vertAlign w:val="superscript"/>
        </w:rPr>
        <w:t>2</w:t>
      </w:r>
      <w:r w:rsidRPr="000549B1">
        <w:rPr>
          <w:sz w:val="24"/>
          <w:szCs w:val="24"/>
        </w:rPr>
        <w:t>，占比</w:t>
      </w:r>
      <w:r w:rsidRPr="000549B1">
        <w:rPr>
          <w:sz w:val="24"/>
          <w:szCs w:val="24"/>
        </w:rPr>
        <w:t>65.56%</w:t>
      </w:r>
      <w:r w:rsidRPr="000549B1">
        <w:rPr>
          <w:sz w:val="24"/>
          <w:szCs w:val="24"/>
        </w:rPr>
        <w:t>，主要为天然牧草地和沼泽草地等；其次为</w:t>
      </w:r>
      <w:r w:rsidRPr="000549B1">
        <w:rPr>
          <w:sz w:val="24"/>
          <w:szCs w:val="24"/>
        </w:rPr>
        <w:t>≥60%</w:t>
      </w:r>
      <w:r w:rsidRPr="000549B1">
        <w:rPr>
          <w:sz w:val="24"/>
          <w:szCs w:val="24"/>
        </w:rPr>
        <w:t>，面积为</w:t>
      </w:r>
      <w:r w:rsidRPr="000549B1">
        <w:rPr>
          <w:sz w:val="24"/>
          <w:szCs w:val="24"/>
        </w:rPr>
        <w:t>1809.79km</w:t>
      </w:r>
      <w:r w:rsidRPr="000549B1">
        <w:rPr>
          <w:sz w:val="24"/>
          <w:szCs w:val="24"/>
          <w:vertAlign w:val="superscript"/>
        </w:rPr>
        <w:t>2</w:t>
      </w:r>
      <w:r w:rsidRPr="000549B1">
        <w:rPr>
          <w:sz w:val="24"/>
          <w:szCs w:val="24"/>
        </w:rPr>
        <w:t>，占比</w:t>
      </w:r>
      <w:r w:rsidRPr="000549B1">
        <w:rPr>
          <w:sz w:val="24"/>
          <w:szCs w:val="24"/>
        </w:rPr>
        <w:t>20.88%</w:t>
      </w:r>
      <w:r w:rsidRPr="000549B1">
        <w:rPr>
          <w:sz w:val="24"/>
          <w:szCs w:val="24"/>
        </w:rPr>
        <w:t>，主要为评价区的人工牧草地、耕地等；第三为</w:t>
      </w:r>
      <w:r w:rsidRPr="000549B1">
        <w:rPr>
          <w:sz w:val="24"/>
          <w:szCs w:val="24"/>
        </w:rPr>
        <w:t>20-40%</w:t>
      </w:r>
      <w:r w:rsidRPr="000549B1">
        <w:rPr>
          <w:sz w:val="24"/>
          <w:szCs w:val="24"/>
        </w:rPr>
        <w:t>，面积为</w:t>
      </w:r>
      <w:r w:rsidRPr="000549B1">
        <w:rPr>
          <w:sz w:val="24"/>
          <w:szCs w:val="24"/>
        </w:rPr>
        <w:t>650.94km</w:t>
      </w:r>
      <w:r w:rsidRPr="000549B1">
        <w:rPr>
          <w:sz w:val="24"/>
          <w:szCs w:val="24"/>
          <w:vertAlign w:val="superscript"/>
        </w:rPr>
        <w:t>2</w:t>
      </w:r>
      <w:r w:rsidRPr="000549B1">
        <w:rPr>
          <w:sz w:val="24"/>
          <w:szCs w:val="24"/>
        </w:rPr>
        <w:t>，占比</w:t>
      </w:r>
      <w:r w:rsidRPr="000549B1">
        <w:rPr>
          <w:sz w:val="24"/>
          <w:szCs w:val="24"/>
        </w:rPr>
        <w:t>7.51%</w:t>
      </w:r>
      <w:r w:rsidRPr="000549B1">
        <w:rPr>
          <w:sz w:val="24"/>
          <w:szCs w:val="24"/>
        </w:rPr>
        <w:t>，主要是林地、园地等；第四</w:t>
      </w:r>
      <w:r w:rsidRPr="000549B1">
        <w:rPr>
          <w:sz w:val="24"/>
          <w:szCs w:val="24"/>
        </w:rPr>
        <w:t>≤10%</w:t>
      </w:r>
      <w:r w:rsidRPr="000549B1">
        <w:rPr>
          <w:sz w:val="24"/>
          <w:szCs w:val="24"/>
        </w:rPr>
        <w:t>，面积为</w:t>
      </w:r>
      <w:r w:rsidRPr="000549B1">
        <w:rPr>
          <w:sz w:val="24"/>
          <w:szCs w:val="24"/>
        </w:rPr>
        <w:t>328.50km</w:t>
      </w:r>
      <w:r w:rsidRPr="000549B1">
        <w:rPr>
          <w:sz w:val="24"/>
          <w:szCs w:val="24"/>
          <w:vertAlign w:val="superscript"/>
        </w:rPr>
        <w:t>2</w:t>
      </w:r>
      <w:r w:rsidRPr="000549B1">
        <w:rPr>
          <w:sz w:val="24"/>
          <w:szCs w:val="24"/>
        </w:rPr>
        <w:t>，占比</w:t>
      </w:r>
      <w:r w:rsidRPr="000549B1">
        <w:rPr>
          <w:sz w:val="24"/>
          <w:szCs w:val="24"/>
        </w:rPr>
        <w:t>3.79%</w:t>
      </w:r>
      <w:r w:rsidRPr="000549B1">
        <w:rPr>
          <w:sz w:val="24"/>
          <w:szCs w:val="24"/>
        </w:rPr>
        <w:t>，主要是建设用地、其他土地等等；最后为</w:t>
      </w:r>
      <w:r w:rsidRPr="000549B1">
        <w:rPr>
          <w:sz w:val="24"/>
          <w:szCs w:val="24"/>
        </w:rPr>
        <w:t>10-20%</w:t>
      </w:r>
      <w:r w:rsidRPr="000549B1">
        <w:rPr>
          <w:sz w:val="24"/>
          <w:szCs w:val="24"/>
        </w:rPr>
        <w:t>，面积为</w:t>
      </w:r>
      <w:r w:rsidRPr="000549B1">
        <w:rPr>
          <w:sz w:val="24"/>
          <w:szCs w:val="24"/>
        </w:rPr>
        <w:t>195.89km</w:t>
      </w:r>
      <w:r w:rsidRPr="000549B1">
        <w:rPr>
          <w:sz w:val="24"/>
          <w:szCs w:val="24"/>
          <w:vertAlign w:val="superscript"/>
        </w:rPr>
        <w:t>2</w:t>
      </w:r>
      <w:r w:rsidRPr="000549B1">
        <w:rPr>
          <w:sz w:val="24"/>
          <w:szCs w:val="24"/>
        </w:rPr>
        <w:t>，占比</w:t>
      </w:r>
      <w:r w:rsidRPr="000549B1">
        <w:rPr>
          <w:sz w:val="24"/>
          <w:szCs w:val="24"/>
        </w:rPr>
        <w:t>2.26%</w:t>
      </w:r>
      <w:r w:rsidRPr="000549B1">
        <w:rPr>
          <w:sz w:val="24"/>
          <w:szCs w:val="24"/>
        </w:rPr>
        <w:t>，主要为坑塘水面、内陆滩涂等。</w:t>
      </w:r>
    </w:p>
    <w:p w14:paraId="57F11FE3" w14:textId="77777777" w:rsidR="00054437" w:rsidRPr="000549B1" w:rsidRDefault="00000000">
      <w:pPr>
        <w:pStyle w:val="Z4"/>
        <w:rPr>
          <w:color w:val="auto"/>
        </w:rPr>
      </w:pPr>
      <w:r w:rsidRPr="000549B1">
        <w:rPr>
          <w:color w:val="auto"/>
        </w:rPr>
        <w:t>植被分布规律</w:t>
      </w:r>
    </w:p>
    <w:p w14:paraId="586138AE" w14:textId="77777777" w:rsidR="00054437" w:rsidRPr="000549B1" w:rsidRDefault="00000000">
      <w:pPr>
        <w:spacing w:line="360" w:lineRule="auto"/>
        <w:ind w:firstLine="480"/>
        <w:rPr>
          <w:sz w:val="24"/>
          <w:szCs w:val="24"/>
        </w:rPr>
      </w:pPr>
      <w:r w:rsidRPr="000549B1">
        <w:rPr>
          <w:sz w:val="24"/>
          <w:szCs w:val="24"/>
        </w:rPr>
        <w:t>青海沙珠玉河流域的植被分布核心规律是沿</w:t>
      </w:r>
      <w:r w:rsidRPr="000549B1">
        <w:rPr>
          <w:rFonts w:ascii="宋体" w:hAnsi="宋体"/>
          <w:sz w:val="24"/>
          <w:szCs w:val="24"/>
        </w:rPr>
        <w:t>“</w:t>
      </w:r>
      <w:r w:rsidRPr="000549B1">
        <w:rPr>
          <w:sz w:val="24"/>
          <w:szCs w:val="24"/>
        </w:rPr>
        <w:t>水分</w:t>
      </w:r>
      <w:r w:rsidRPr="000549B1">
        <w:rPr>
          <w:sz w:val="24"/>
          <w:szCs w:val="24"/>
        </w:rPr>
        <w:t>-</w:t>
      </w:r>
      <w:r w:rsidRPr="000549B1">
        <w:rPr>
          <w:sz w:val="24"/>
          <w:szCs w:val="24"/>
        </w:rPr>
        <w:t>海拔</w:t>
      </w:r>
      <w:r w:rsidRPr="000549B1">
        <w:rPr>
          <w:sz w:val="24"/>
          <w:szCs w:val="24"/>
        </w:rPr>
        <w:t>-</w:t>
      </w:r>
      <w:r w:rsidRPr="000549B1">
        <w:rPr>
          <w:sz w:val="24"/>
          <w:szCs w:val="24"/>
        </w:rPr>
        <w:t>土壤</w:t>
      </w:r>
      <w:r w:rsidRPr="000549B1">
        <w:rPr>
          <w:rFonts w:ascii="宋体" w:hAnsi="宋体"/>
          <w:sz w:val="24"/>
          <w:szCs w:val="24"/>
        </w:rPr>
        <w:t>”</w:t>
      </w:r>
      <w:r w:rsidRPr="000549B1">
        <w:rPr>
          <w:sz w:val="24"/>
          <w:szCs w:val="24"/>
        </w:rPr>
        <w:t>复合梯度呈带状分异，以干旱半干旱区的草原、荒漠草原和沙生植被为主体，河流廊道与微生境差异进一步细化植被类型，整体呈现</w:t>
      </w:r>
      <w:r w:rsidRPr="000549B1">
        <w:rPr>
          <w:rFonts w:ascii="宋体" w:hAnsi="宋体"/>
          <w:sz w:val="24"/>
          <w:szCs w:val="24"/>
        </w:rPr>
        <w:t>“</w:t>
      </w:r>
      <w:r w:rsidRPr="000549B1">
        <w:rPr>
          <w:sz w:val="24"/>
          <w:szCs w:val="24"/>
        </w:rPr>
        <w:t>上游高寒、中游灌草、下游沙化</w:t>
      </w:r>
      <w:r w:rsidRPr="000549B1">
        <w:rPr>
          <w:rFonts w:ascii="宋体" w:hAnsi="宋体"/>
          <w:sz w:val="24"/>
          <w:szCs w:val="24"/>
        </w:rPr>
        <w:t>”</w:t>
      </w:r>
      <w:r w:rsidRPr="000549B1">
        <w:rPr>
          <w:sz w:val="24"/>
          <w:szCs w:val="24"/>
        </w:rPr>
        <w:t>的空间格局。</w:t>
      </w:r>
    </w:p>
    <w:p w14:paraId="24C856A9" w14:textId="77777777" w:rsidR="00054437" w:rsidRPr="000549B1" w:rsidRDefault="00000000">
      <w:pPr>
        <w:spacing w:line="360" w:lineRule="auto"/>
        <w:ind w:firstLine="480"/>
        <w:rPr>
          <w:sz w:val="24"/>
          <w:szCs w:val="24"/>
        </w:rPr>
      </w:pPr>
      <w:r w:rsidRPr="000549B1">
        <w:rPr>
          <w:sz w:val="24"/>
          <w:szCs w:val="24"/>
        </w:rPr>
        <w:t>（</w:t>
      </w:r>
      <w:r w:rsidRPr="000549B1">
        <w:rPr>
          <w:sz w:val="24"/>
          <w:szCs w:val="24"/>
        </w:rPr>
        <w:t>1</w:t>
      </w:r>
      <w:r w:rsidRPr="000549B1">
        <w:rPr>
          <w:sz w:val="24"/>
          <w:szCs w:val="24"/>
        </w:rPr>
        <w:t>）垂直分布规律</w:t>
      </w:r>
    </w:p>
    <w:p w14:paraId="34B15701" w14:textId="77777777" w:rsidR="00054437" w:rsidRPr="000549B1" w:rsidRDefault="00000000">
      <w:pPr>
        <w:spacing w:line="360" w:lineRule="auto"/>
        <w:ind w:firstLine="480"/>
        <w:rPr>
          <w:sz w:val="24"/>
          <w:szCs w:val="24"/>
        </w:rPr>
      </w:pPr>
      <w:r w:rsidRPr="000549B1">
        <w:rPr>
          <w:sz w:val="24"/>
          <w:szCs w:val="24"/>
        </w:rPr>
        <w:t>流域内海拔跨度约</w:t>
      </w:r>
      <w:r w:rsidRPr="000549B1">
        <w:rPr>
          <w:sz w:val="24"/>
          <w:szCs w:val="24"/>
        </w:rPr>
        <w:t>800m</w:t>
      </w:r>
      <w:r w:rsidRPr="000549B1">
        <w:rPr>
          <w:sz w:val="24"/>
          <w:szCs w:val="24"/>
        </w:rPr>
        <w:t>，植被随海拔升高呈现明显垂直分层：</w:t>
      </w:r>
    </w:p>
    <w:p w14:paraId="12639164" w14:textId="77777777" w:rsidR="00054437" w:rsidRPr="000549B1" w:rsidRDefault="00000000">
      <w:pPr>
        <w:spacing w:line="360" w:lineRule="auto"/>
        <w:ind w:firstLine="480"/>
        <w:rPr>
          <w:sz w:val="24"/>
          <w:szCs w:val="24"/>
        </w:rPr>
      </w:pPr>
      <w:r w:rsidRPr="000549B1">
        <w:rPr>
          <w:sz w:val="24"/>
          <w:szCs w:val="24"/>
        </w:rPr>
        <w:t>河谷低山区（</w:t>
      </w:r>
      <w:r w:rsidRPr="000549B1">
        <w:rPr>
          <w:sz w:val="24"/>
          <w:szCs w:val="24"/>
        </w:rPr>
        <w:t>2800-3000m</w:t>
      </w:r>
      <w:r w:rsidRPr="000549B1">
        <w:rPr>
          <w:sz w:val="24"/>
          <w:szCs w:val="24"/>
        </w:rPr>
        <w:t>）：热量较充足但水分匮乏，以温带荒漠草原为主，优势种为红砂、珍珠猪毛菜，植被低矮稀疏（高度</w:t>
      </w:r>
      <w:r w:rsidRPr="000549B1">
        <w:rPr>
          <w:sz w:val="24"/>
          <w:szCs w:val="24"/>
        </w:rPr>
        <w:t>&lt;50cm</w:t>
      </w:r>
      <w:r w:rsidRPr="000549B1">
        <w:rPr>
          <w:sz w:val="24"/>
          <w:szCs w:val="24"/>
        </w:rPr>
        <w:t>）。</w:t>
      </w:r>
    </w:p>
    <w:p w14:paraId="10CD5C82" w14:textId="77777777" w:rsidR="00054437" w:rsidRPr="000549B1" w:rsidRDefault="00000000">
      <w:pPr>
        <w:spacing w:line="360" w:lineRule="auto"/>
        <w:ind w:firstLine="480"/>
        <w:rPr>
          <w:sz w:val="24"/>
          <w:szCs w:val="24"/>
        </w:rPr>
      </w:pPr>
      <w:r w:rsidRPr="000549B1">
        <w:rPr>
          <w:sz w:val="24"/>
          <w:szCs w:val="24"/>
        </w:rPr>
        <w:t>中山带（</w:t>
      </w:r>
      <w:r w:rsidRPr="000549B1">
        <w:rPr>
          <w:sz w:val="24"/>
          <w:szCs w:val="24"/>
        </w:rPr>
        <w:t>3000-3300m</w:t>
      </w:r>
      <w:r w:rsidRPr="000549B1">
        <w:rPr>
          <w:sz w:val="24"/>
          <w:szCs w:val="24"/>
        </w:rPr>
        <w:t>）：水热组合较均衡，为高寒草原核心区，短花针茅、赖草形成连续群落，植被覆盖度</w:t>
      </w:r>
      <w:r w:rsidRPr="000549B1">
        <w:rPr>
          <w:sz w:val="24"/>
          <w:szCs w:val="24"/>
        </w:rPr>
        <w:t>40%-60%</w:t>
      </w:r>
      <w:r w:rsidRPr="000549B1">
        <w:rPr>
          <w:sz w:val="24"/>
          <w:szCs w:val="24"/>
        </w:rPr>
        <w:t>，是流域主要的放牧草地。</w:t>
      </w:r>
    </w:p>
    <w:p w14:paraId="31629D07" w14:textId="77777777" w:rsidR="00054437" w:rsidRPr="000549B1" w:rsidRDefault="00000000">
      <w:pPr>
        <w:spacing w:line="360" w:lineRule="auto"/>
        <w:ind w:firstLine="480"/>
        <w:rPr>
          <w:sz w:val="24"/>
          <w:szCs w:val="24"/>
        </w:rPr>
      </w:pPr>
      <w:r w:rsidRPr="000549B1">
        <w:rPr>
          <w:sz w:val="24"/>
          <w:szCs w:val="24"/>
        </w:rPr>
        <w:t>高山带（</w:t>
      </w:r>
      <w:r w:rsidRPr="000549B1">
        <w:rPr>
          <w:sz w:val="24"/>
          <w:szCs w:val="24"/>
        </w:rPr>
        <w:t>3300-3600m</w:t>
      </w:r>
      <w:r w:rsidRPr="000549B1">
        <w:rPr>
          <w:sz w:val="24"/>
          <w:szCs w:val="24"/>
        </w:rPr>
        <w:t>）：气温降低、降水略增，过渡为高寒草甸化草原，嵩草、苔草占比提升，伴生高山绣线菊等耐寒灌木，植被覆盖度</w:t>
      </w:r>
      <w:r w:rsidRPr="000549B1">
        <w:rPr>
          <w:sz w:val="24"/>
          <w:szCs w:val="24"/>
        </w:rPr>
        <w:t>50%-70%</w:t>
      </w:r>
      <w:r w:rsidRPr="000549B1">
        <w:rPr>
          <w:sz w:val="24"/>
          <w:szCs w:val="24"/>
        </w:rPr>
        <w:t>。</w:t>
      </w:r>
    </w:p>
    <w:p w14:paraId="2F2ED90E" w14:textId="77777777" w:rsidR="00054437" w:rsidRPr="000549B1" w:rsidRDefault="00000000">
      <w:pPr>
        <w:spacing w:line="360" w:lineRule="auto"/>
        <w:ind w:firstLine="480"/>
        <w:rPr>
          <w:sz w:val="24"/>
          <w:szCs w:val="24"/>
        </w:rPr>
      </w:pPr>
      <w:r w:rsidRPr="000549B1">
        <w:rPr>
          <w:sz w:val="24"/>
          <w:szCs w:val="24"/>
        </w:rPr>
        <w:t>（</w:t>
      </w:r>
      <w:r w:rsidRPr="000549B1">
        <w:rPr>
          <w:sz w:val="24"/>
          <w:szCs w:val="24"/>
        </w:rPr>
        <w:t>2</w:t>
      </w:r>
      <w:r w:rsidRPr="000549B1">
        <w:rPr>
          <w:sz w:val="24"/>
          <w:szCs w:val="24"/>
        </w:rPr>
        <w:t>）水平分布规律</w:t>
      </w:r>
    </w:p>
    <w:p w14:paraId="3349BAD0" w14:textId="77777777" w:rsidR="00054437" w:rsidRPr="000549B1" w:rsidRDefault="00000000">
      <w:pPr>
        <w:spacing w:line="360" w:lineRule="auto"/>
        <w:ind w:firstLine="480"/>
        <w:rPr>
          <w:sz w:val="24"/>
          <w:szCs w:val="24"/>
        </w:rPr>
      </w:pPr>
      <w:r w:rsidRPr="000549B1">
        <w:rPr>
          <w:sz w:val="24"/>
          <w:szCs w:val="24"/>
        </w:rPr>
        <w:t>从上游到下游，随河流径流量减少、干旱程度加剧，植被类型呈连续过渡特征：</w:t>
      </w:r>
    </w:p>
    <w:p w14:paraId="2E909767" w14:textId="77777777" w:rsidR="00054437" w:rsidRPr="000549B1" w:rsidRDefault="00000000">
      <w:pPr>
        <w:spacing w:line="360" w:lineRule="auto"/>
        <w:ind w:firstLine="480"/>
        <w:rPr>
          <w:sz w:val="24"/>
          <w:szCs w:val="24"/>
        </w:rPr>
      </w:pPr>
      <w:r w:rsidRPr="000549B1">
        <w:rPr>
          <w:sz w:val="24"/>
          <w:szCs w:val="24"/>
        </w:rPr>
        <w:t>上游河源区（海拔</w:t>
      </w:r>
      <w:r w:rsidRPr="000549B1">
        <w:rPr>
          <w:sz w:val="24"/>
          <w:szCs w:val="24"/>
        </w:rPr>
        <w:t>3200-3600m</w:t>
      </w:r>
      <w:r w:rsidRPr="000549B1">
        <w:rPr>
          <w:sz w:val="24"/>
          <w:szCs w:val="24"/>
        </w:rPr>
        <w:t>）：以高寒草原为主，受山地降水和冰雪融水补给，水分条件相对较好。优势种为短花针茅、青海固沙草，伴生冷蒿、麻花艽，局部沟谷有金露梅灌丛零星分布，物种丰富度约</w:t>
      </w:r>
      <w:r w:rsidRPr="000549B1">
        <w:rPr>
          <w:sz w:val="24"/>
          <w:szCs w:val="24"/>
        </w:rPr>
        <w:t>6-10</w:t>
      </w:r>
      <w:r w:rsidRPr="000549B1">
        <w:rPr>
          <w:sz w:val="24"/>
          <w:szCs w:val="24"/>
        </w:rPr>
        <w:t>种，属于中等多样性群落。</w:t>
      </w:r>
    </w:p>
    <w:p w14:paraId="7C0D1C16" w14:textId="77777777" w:rsidR="00054437" w:rsidRPr="000549B1" w:rsidRDefault="00000000">
      <w:pPr>
        <w:spacing w:line="360" w:lineRule="auto"/>
        <w:ind w:firstLine="480"/>
        <w:rPr>
          <w:sz w:val="24"/>
          <w:szCs w:val="24"/>
        </w:rPr>
      </w:pPr>
      <w:r w:rsidRPr="000549B1">
        <w:rPr>
          <w:sz w:val="24"/>
          <w:szCs w:val="24"/>
        </w:rPr>
        <w:t>中游河谷区（海拔</w:t>
      </w:r>
      <w:r w:rsidRPr="000549B1">
        <w:rPr>
          <w:sz w:val="24"/>
          <w:szCs w:val="24"/>
        </w:rPr>
        <w:t>2900-3200m</w:t>
      </w:r>
      <w:r w:rsidRPr="000549B1">
        <w:rPr>
          <w:sz w:val="24"/>
          <w:szCs w:val="24"/>
        </w:rPr>
        <w:t>）：为荒漠草原与灌丛复合带，河流两岸形成狭长的</w:t>
      </w:r>
      <w:r w:rsidRPr="000549B1">
        <w:rPr>
          <w:rFonts w:ascii="宋体" w:hAnsi="宋体"/>
          <w:sz w:val="24"/>
          <w:szCs w:val="24"/>
        </w:rPr>
        <w:t>“</w:t>
      </w:r>
      <w:r w:rsidRPr="000549B1">
        <w:rPr>
          <w:sz w:val="24"/>
          <w:szCs w:val="24"/>
        </w:rPr>
        <w:t>水分廊道</w:t>
      </w:r>
      <w:r w:rsidRPr="000549B1">
        <w:rPr>
          <w:rFonts w:ascii="宋体" w:hAnsi="宋体"/>
          <w:sz w:val="24"/>
          <w:szCs w:val="24"/>
        </w:rPr>
        <w:t>”</w:t>
      </w:r>
      <w:r w:rsidRPr="000549B1">
        <w:rPr>
          <w:sz w:val="24"/>
          <w:szCs w:val="24"/>
        </w:rPr>
        <w:t>。河谷阶地以芨芨草群落为优势，伴生红砂、狗娃花；远离河岸的洪积扇区，植被过渡为柠条锦鸡儿灌丛</w:t>
      </w:r>
      <w:r w:rsidRPr="000549B1">
        <w:rPr>
          <w:sz w:val="24"/>
          <w:szCs w:val="24"/>
        </w:rPr>
        <w:t>+</w:t>
      </w:r>
      <w:r w:rsidRPr="000549B1">
        <w:rPr>
          <w:sz w:val="24"/>
          <w:szCs w:val="24"/>
        </w:rPr>
        <w:t>沙蒿群落，物种丰富度</w:t>
      </w:r>
      <w:r w:rsidRPr="000549B1">
        <w:rPr>
          <w:sz w:val="24"/>
          <w:szCs w:val="24"/>
        </w:rPr>
        <w:t>4-8</w:t>
      </w:r>
      <w:r w:rsidRPr="000549B1">
        <w:rPr>
          <w:sz w:val="24"/>
          <w:szCs w:val="24"/>
        </w:rPr>
        <w:t>种，均匀度中等。</w:t>
      </w:r>
    </w:p>
    <w:p w14:paraId="1DFB77BF" w14:textId="77777777" w:rsidR="00054437" w:rsidRPr="000549B1" w:rsidRDefault="00000000">
      <w:pPr>
        <w:spacing w:line="360" w:lineRule="auto"/>
        <w:ind w:firstLine="480"/>
        <w:rPr>
          <w:sz w:val="24"/>
          <w:szCs w:val="24"/>
        </w:rPr>
      </w:pPr>
      <w:r w:rsidRPr="000549B1">
        <w:rPr>
          <w:sz w:val="24"/>
          <w:szCs w:val="24"/>
        </w:rPr>
        <w:t>下游沙漠区（海拔</w:t>
      </w:r>
      <w:r w:rsidRPr="000549B1">
        <w:rPr>
          <w:sz w:val="24"/>
          <w:szCs w:val="24"/>
        </w:rPr>
        <w:t>2800-·2900m</w:t>
      </w:r>
      <w:r w:rsidRPr="000549B1">
        <w:rPr>
          <w:sz w:val="24"/>
          <w:szCs w:val="24"/>
        </w:rPr>
        <w:t>）：以沙生植被为主，河流断流后土壤沙化严重，植被覆盖度不足</w:t>
      </w:r>
      <w:r w:rsidRPr="000549B1">
        <w:rPr>
          <w:sz w:val="24"/>
          <w:szCs w:val="24"/>
        </w:rPr>
        <w:t>30%</w:t>
      </w:r>
      <w:r w:rsidRPr="000549B1">
        <w:rPr>
          <w:sz w:val="24"/>
          <w:szCs w:val="24"/>
        </w:rPr>
        <w:t>。优势种为沙蒿、沙棘、沙拐枣等耐旱沙生植物，局部流动沙丘仅有沙米等先锋物种，物种丰富度低（</w:t>
      </w:r>
      <w:r w:rsidRPr="000549B1">
        <w:rPr>
          <w:sz w:val="24"/>
          <w:szCs w:val="24"/>
        </w:rPr>
        <w:t>2-5</w:t>
      </w:r>
      <w:r w:rsidRPr="000549B1">
        <w:rPr>
          <w:sz w:val="24"/>
          <w:szCs w:val="24"/>
        </w:rPr>
        <w:t>种），优势度指数高（</w:t>
      </w:r>
      <w:r w:rsidRPr="000549B1">
        <w:rPr>
          <w:sz w:val="24"/>
          <w:szCs w:val="24"/>
        </w:rPr>
        <w:t>0.4-0.5</w:t>
      </w:r>
      <w:r w:rsidRPr="000549B1">
        <w:rPr>
          <w:sz w:val="24"/>
          <w:szCs w:val="24"/>
        </w:rPr>
        <w:t>）。</w:t>
      </w:r>
    </w:p>
    <w:p w14:paraId="532DA8B0" w14:textId="77777777" w:rsidR="00054437" w:rsidRPr="000549B1" w:rsidRDefault="00000000">
      <w:pPr>
        <w:pStyle w:val="Z4"/>
        <w:rPr>
          <w:color w:val="auto"/>
        </w:rPr>
      </w:pPr>
      <w:r w:rsidRPr="000549B1">
        <w:rPr>
          <w:color w:val="auto"/>
        </w:rPr>
        <w:t>生物量和生产力现状</w:t>
      </w:r>
    </w:p>
    <w:p w14:paraId="19AD3AA9" w14:textId="72186EED" w:rsidR="00054437" w:rsidRPr="000549B1" w:rsidRDefault="00000000">
      <w:pPr>
        <w:spacing w:line="360" w:lineRule="auto"/>
        <w:ind w:firstLine="480"/>
        <w:rPr>
          <w:sz w:val="24"/>
          <w:szCs w:val="24"/>
        </w:rPr>
      </w:pPr>
      <w:r w:rsidRPr="000549B1">
        <w:rPr>
          <w:sz w:val="24"/>
          <w:szCs w:val="24"/>
        </w:rPr>
        <w:t>参考《青海植被》等资料和现场样方实测数据，计算得到评价区植被净第一性生产力</w:t>
      </w:r>
      <w:r w:rsidRPr="000549B1">
        <w:rPr>
          <w:sz w:val="24"/>
          <w:szCs w:val="24"/>
        </w:rPr>
        <w:t>NPP</w:t>
      </w:r>
      <w:r w:rsidRPr="000549B1">
        <w:rPr>
          <w:sz w:val="24"/>
          <w:szCs w:val="24"/>
        </w:rPr>
        <w:t>见</w:t>
      </w:r>
      <w:r w:rsidR="00F32CCA" w:rsidRPr="00F32CCA">
        <w:rPr>
          <w:sz w:val="24"/>
          <w:szCs w:val="24"/>
        </w:rPr>
        <w:t>表</w:t>
      </w:r>
      <w:r w:rsidR="00F32CCA" w:rsidRPr="00F32CCA">
        <w:rPr>
          <w:sz w:val="24"/>
          <w:szCs w:val="24"/>
        </w:rPr>
        <w:t>3.5</w:t>
      </w:r>
      <w:r w:rsidR="00F32CCA" w:rsidRPr="00F32CCA">
        <w:rPr>
          <w:sz w:val="24"/>
          <w:szCs w:val="24"/>
        </w:rPr>
        <w:noBreakHyphen/>
        <w:t>4</w:t>
      </w:r>
      <w:r w:rsidRPr="000549B1">
        <w:rPr>
          <w:sz w:val="24"/>
          <w:szCs w:val="24"/>
        </w:rPr>
        <w:t>。</w:t>
      </w:r>
    </w:p>
    <w:p w14:paraId="38C6DAA5" w14:textId="77777777" w:rsidR="00054437" w:rsidRPr="000549B1" w:rsidRDefault="00054437">
      <w:pPr>
        <w:spacing w:line="360" w:lineRule="auto"/>
        <w:ind w:firstLine="480"/>
        <w:rPr>
          <w:sz w:val="24"/>
          <w:szCs w:val="24"/>
        </w:rPr>
      </w:pPr>
    </w:p>
    <w:p w14:paraId="406F75AE" w14:textId="77777777" w:rsidR="00054437" w:rsidRPr="000549B1" w:rsidRDefault="00054437">
      <w:pPr>
        <w:spacing w:line="360" w:lineRule="auto"/>
        <w:ind w:firstLine="480"/>
        <w:rPr>
          <w:sz w:val="24"/>
          <w:szCs w:val="24"/>
        </w:rPr>
      </w:pPr>
    </w:p>
    <w:p w14:paraId="25B02D41" w14:textId="6B701896" w:rsidR="00054437" w:rsidRPr="000549B1" w:rsidRDefault="00000000">
      <w:pPr>
        <w:pStyle w:val="0A51"/>
        <w:ind w:firstLine="422"/>
      </w:pPr>
      <w:bookmarkStart w:id="259" w:name="_Ref214959722"/>
      <w:r w:rsidRPr="000549B1">
        <w:t>表</w:t>
      </w:r>
      <w:fldSimple w:instr=" STYLEREF 2 \s ">
        <w:r w:rsidR="00372953">
          <w:rPr>
            <w:noProof/>
          </w:rPr>
          <w:t>3.5</w:t>
        </w:r>
      </w:fldSimple>
      <w:r w:rsidR="00372953">
        <w:noBreakHyphen/>
      </w:r>
      <w:r w:rsidR="00372953">
        <w:fldChar w:fldCharType="begin"/>
      </w:r>
      <w:r w:rsidR="00372953">
        <w:instrText xml:space="preserve"> SEQ </w:instrText>
      </w:r>
      <w:r w:rsidR="00372953">
        <w:instrText>表</w:instrText>
      </w:r>
      <w:r w:rsidR="00372953">
        <w:instrText xml:space="preserve"> \* ARABIC \s 2 </w:instrText>
      </w:r>
      <w:r w:rsidR="00372953">
        <w:fldChar w:fldCharType="separate"/>
      </w:r>
      <w:r w:rsidR="00372953">
        <w:rPr>
          <w:noProof/>
        </w:rPr>
        <w:t>4</w:t>
      </w:r>
      <w:r w:rsidR="00372953">
        <w:fldChar w:fldCharType="end"/>
      </w:r>
      <w:bookmarkEnd w:id="259"/>
      <w:r w:rsidRPr="000549B1">
        <w:t>评价区平均净第一性生产力计算成果</w:t>
      </w:r>
    </w:p>
    <w:tbl>
      <w:tblPr>
        <w:tblW w:w="49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38"/>
        <w:gridCol w:w="949"/>
        <w:gridCol w:w="1568"/>
        <w:gridCol w:w="1264"/>
        <w:gridCol w:w="1318"/>
      </w:tblGrid>
      <w:tr w:rsidR="000549B1" w:rsidRPr="000549B1" w14:paraId="36D79B4D" w14:textId="77777777" w:rsidTr="00B81685">
        <w:trPr>
          <w:trHeight w:val="20"/>
          <w:jc w:val="center"/>
        </w:trPr>
        <w:tc>
          <w:tcPr>
            <w:tcW w:w="3038" w:type="dxa"/>
            <w:tcBorders>
              <w:top w:val="single" w:sz="4" w:space="0" w:color="auto"/>
              <w:left w:val="single" w:sz="4" w:space="0" w:color="auto"/>
              <w:bottom w:val="single" w:sz="4" w:space="0" w:color="auto"/>
              <w:right w:val="single" w:sz="4" w:space="0" w:color="auto"/>
            </w:tcBorders>
            <w:noWrap/>
            <w:vAlign w:val="center"/>
          </w:tcPr>
          <w:p w14:paraId="72C4D181" w14:textId="77777777" w:rsidR="00054437" w:rsidRPr="000549B1" w:rsidRDefault="00000000">
            <w:pPr>
              <w:pStyle w:val="CharCharCharCharChar"/>
              <w:rPr>
                <w:b/>
                <w:bCs/>
                <w:color w:val="auto"/>
              </w:rPr>
            </w:pPr>
            <w:bookmarkStart w:id="260" w:name="OLE_LINK31"/>
            <w:r w:rsidRPr="000549B1">
              <w:rPr>
                <w:b/>
                <w:bCs/>
                <w:color w:val="auto"/>
              </w:rPr>
              <w:t>植被类型</w:t>
            </w:r>
            <w:bookmarkEnd w:id="260"/>
          </w:p>
        </w:tc>
        <w:tc>
          <w:tcPr>
            <w:tcW w:w="949" w:type="dxa"/>
            <w:tcBorders>
              <w:top w:val="single" w:sz="4" w:space="0" w:color="auto"/>
              <w:left w:val="single" w:sz="4" w:space="0" w:color="auto"/>
              <w:bottom w:val="single" w:sz="4" w:space="0" w:color="auto"/>
              <w:right w:val="single" w:sz="4" w:space="0" w:color="auto"/>
            </w:tcBorders>
            <w:noWrap/>
            <w:vAlign w:val="center"/>
          </w:tcPr>
          <w:p w14:paraId="03A6393A" w14:textId="77777777" w:rsidR="00054437" w:rsidRPr="000549B1" w:rsidRDefault="00000000">
            <w:pPr>
              <w:pStyle w:val="CharCharCharCharChar"/>
              <w:rPr>
                <w:b/>
                <w:bCs/>
                <w:color w:val="auto"/>
              </w:rPr>
            </w:pPr>
            <w:r w:rsidRPr="000549B1">
              <w:rPr>
                <w:b/>
                <w:bCs/>
                <w:color w:val="auto"/>
              </w:rPr>
              <w:t>面积</w:t>
            </w:r>
          </w:p>
          <w:p w14:paraId="1AEE2730" w14:textId="77777777" w:rsidR="00054437" w:rsidRPr="000549B1" w:rsidRDefault="00000000">
            <w:pPr>
              <w:pStyle w:val="CharCharCharCharChar"/>
              <w:rPr>
                <w:b/>
                <w:bCs/>
                <w:color w:val="auto"/>
              </w:rPr>
            </w:pPr>
            <w:r w:rsidRPr="000549B1">
              <w:rPr>
                <w:b/>
                <w:bCs/>
                <w:color w:val="auto"/>
              </w:rPr>
              <w:t>（</w:t>
            </w:r>
            <w:r w:rsidRPr="000549B1">
              <w:rPr>
                <w:b/>
                <w:bCs/>
                <w:color w:val="auto"/>
              </w:rPr>
              <w:t>km</w:t>
            </w:r>
            <w:r w:rsidRPr="000549B1">
              <w:rPr>
                <w:b/>
                <w:bCs/>
                <w:color w:val="auto"/>
                <w:vertAlign w:val="superscript"/>
              </w:rPr>
              <w:t>2</w:t>
            </w:r>
            <w:r w:rsidRPr="000549B1">
              <w:rPr>
                <w:b/>
                <w:bCs/>
                <w:color w:val="auto"/>
              </w:rPr>
              <w:t>）</w:t>
            </w:r>
          </w:p>
        </w:tc>
        <w:tc>
          <w:tcPr>
            <w:tcW w:w="1568" w:type="dxa"/>
            <w:tcBorders>
              <w:top w:val="single" w:sz="4" w:space="0" w:color="auto"/>
              <w:left w:val="single" w:sz="4" w:space="0" w:color="auto"/>
              <w:bottom w:val="single" w:sz="4" w:space="0" w:color="auto"/>
              <w:right w:val="single" w:sz="4" w:space="0" w:color="auto"/>
            </w:tcBorders>
            <w:noWrap/>
            <w:vAlign w:val="center"/>
          </w:tcPr>
          <w:p w14:paraId="3D6209FF" w14:textId="77777777" w:rsidR="00054437" w:rsidRPr="000549B1" w:rsidRDefault="00000000">
            <w:pPr>
              <w:pStyle w:val="CharCharCharCharChar"/>
              <w:rPr>
                <w:b/>
                <w:bCs/>
                <w:color w:val="auto"/>
              </w:rPr>
            </w:pPr>
            <w:r w:rsidRPr="000549B1">
              <w:rPr>
                <w:b/>
                <w:bCs/>
                <w:color w:val="auto"/>
              </w:rPr>
              <w:t>单位平均植被净第一性生产力</w:t>
            </w:r>
            <w:r w:rsidRPr="000549B1">
              <w:rPr>
                <w:b/>
                <w:bCs/>
                <w:color w:val="auto"/>
              </w:rPr>
              <w:t>NPP</w:t>
            </w:r>
            <w:r w:rsidRPr="000549B1">
              <w:rPr>
                <w:b/>
                <w:bCs/>
                <w:color w:val="auto"/>
              </w:rPr>
              <w:t>（</w:t>
            </w:r>
            <w:r w:rsidRPr="000549B1">
              <w:rPr>
                <w:b/>
                <w:bCs/>
                <w:color w:val="auto"/>
              </w:rPr>
              <w:t>gC/m²</w:t>
            </w:r>
            <w:r w:rsidRPr="000549B1">
              <w:rPr>
                <w:rFonts w:eastAsia="微软雅黑"/>
                <w:b/>
                <w:bCs/>
                <w:color w:val="auto"/>
              </w:rPr>
              <w:t>・</w:t>
            </w:r>
            <w:r w:rsidRPr="000549B1">
              <w:rPr>
                <w:b/>
                <w:bCs/>
                <w:color w:val="auto"/>
              </w:rPr>
              <w:t>a</w:t>
            </w:r>
            <w:r w:rsidRPr="000549B1">
              <w:rPr>
                <w:b/>
                <w:bCs/>
                <w:color w:val="auto"/>
              </w:rPr>
              <w:t>）</w:t>
            </w:r>
          </w:p>
        </w:tc>
        <w:tc>
          <w:tcPr>
            <w:tcW w:w="1264" w:type="dxa"/>
            <w:tcBorders>
              <w:top w:val="single" w:sz="4" w:space="0" w:color="auto"/>
              <w:left w:val="single" w:sz="4" w:space="0" w:color="auto"/>
              <w:bottom w:val="single" w:sz="4" w:space="0" w:color="auto"/>
              <w:right w:val="single" w:sz="4" w:space="0" w:color="auto"/>
            </w:tcBorders>
            <w:vAlign w:val="center"/>
          </w:tcPr>
          <w:p w14:paraId="75263FE5" w14:textId="77777777" w:rsidR="00054437" w:rsidRPr="000549B1" w:rsidRDefault="00000000">
            <w:pPr>
              <w:pStyle w:val="CharCharCharCharChar"/>
              <w:rPr>
                <w:b/>
                <w:bCs/>
                <w:color w:val="auto"/>
              </w:rPr>
            </w:pPr>
            <w:r w:rsidRPr="000549B1">
              <w:rPr>
                <w:b/>
                <w:bCs/>
                <w:color w:val="auto"/>
              </w:rPr>
              <w:t>第一性生产力（</w:t>
            </w:r>
            <w:r w:rsidRPr="000549B1">
              <w:rPr>
                <w:b/>
                <w:bCs/>
                <w:color w:val="auto"/>
              </w:rPr>
              <w:t>×104t/a</w:t>
            </w:r>
            <w:r w:rsidRPr="000549B1">
              <w:rPr>
                <w:b/>
                <w:bCs/>
                <w:color w:val="auto"/>
              </w:rPr>
              <w:t>）</w:t>
            </w:r>
          </w:p>
        </w:tc>
        <w:tc>
          <w:tcPr>
            <w:tcW w:w="1318" w:type="dxa"/>
            <w:tcBorders>
              <w:top w:val="single" w:sz="4" w:space="0" w:color="auto"/>
              <w:left w:val="single" w:sz="4" w:space="0" w:color="auto"/>
              <w:bottom w:val="single" w:sz="4" w:space="0" w:color="auto"/>
              <w:right w:val="single" w:sz="4" w:space="0" w:color="auto"/>
            </w:tcBorders>
            <w:vAlign w:val="center"/>
          </w:tcPr>
          <w:p w14:paraId="576E203D" w14:textId="0DEAFC26" w:rsidR="00054437" w:rsidRPr="000549B1" w:rsidRDefault="00000000">
            <w:pPr>
              <w:pStyle w:val="CharCharCharCharChar"/>
              <w:rPr>
                <w:b/>
                <w:bCs/>
                <w:color w:val="auto"/>
              </w:rPr>
            </w:pPr>
            <w:r w:rsidRPr="000549B1">
              <w:rPr>
                <w:b/>
                <w:bCs/>
                <w:color w:val="auto"/>
              </w:rPr>
              <w:t>评价区平均净第一性生产力</w:t>
            </w:r>
            <w:r w:rsidR="00B81685" w:rsidRPr="000549B1">
              <w:rPr>
                <w:b/>
                <w:bCs/>
                <w:color w:val="auto"/>
              </w:rPr>
              <w:t>（</w:t>
            </w:r>
            <w:r w:rsidR="00B81685" w:rsidRPr="000549B1">
              <w:rPr>
                <w:b/>
                <w:bCs/>
                <w:color w:val="auto"/>
              </w:rPr>
              <w:t>gC/m²</w:t>
            </w:r>
            <w:r w:rsidR="00B81685" w:rsidRPr="000549B1">
              <w:rPr>
                <w:b/>
                <w:bCs/>
                <w:color w:val="auto"/>
              </w:rPr>
              <w:t>・</w:t>
            </w:r>
            <w:r w:rsidR="00B81685" w:rsidRPr="000549B1">
              <w:rPr>
                <w:b/>
                <w:bCs/>
                <w:color w:val="auto"/>
              </w:rPr>
              <w:t>a</w:t>
            </w:r>
            <w:r w:rsidR="00B81685" w:rsidRPr="000549B1">
              <w:rPr>
                <w:b/>
                <w:bCs/>
                <w:color w:val="auto"/>
              </w:rPr>
              <w:t>）</w:t>
            </w:r>
          </w:p>
        </w:tc>
      </w:tr>
      <w:tr w:rsidR="000549B1" w:rsidRPr="000549B1" w14:paraId="553391EA" w14:textId="77777777" w:rsidTr="00B81685">
        <w:trPr>
          <w:trHeight w:val="20"/>
          <w:jc w:val="center"/>
        </w:trPr>
        <w:tc>
          <w:tcPr>
            <w:tcW w:w="3038" w:type="dxa"/>
            <w:tcBorders>
              <w:top w:val="single" w:sz="4" w:space="0" w:color="auto"/>
              <w:left w:val="single" w:sz="4" w:space="0" w:color="auto"/>
              <w:bottom w:val="single" w:sz="4" w:space="0" w:color="auto"/>
              <w:right w:val="single" w:sz="4" w:space="0" w:color="auto"/>
            </w:tcBorders>
            <w:noWrap/>
            <w:vAlign w:val="center"/>
          </w:tcPr>
          <w:p w14:paraId="086DBC55" w14:textId="77777777" w:rsidR="00054437" w:rsidRPr="000549B1" w:rsidRDefault="00000000">
            <w:pPr>
              <w:pStyle w:val="CharCharCharCharChar"/>
              <w:rPr>
                <w:color w:val="auto"/>
              </w:rPr>
            </w:pPr>
            <w:r w:rsidRPr="000549B1">
              <w:rPr>
                <w:color w:val="auto"/>
              </w:rPr>
              <w:t>温性落叶阔叶林</w:t>
            </w:r>
          </w:p>
          <w:p w14:paraId="74DEB6CF" w14:textId="77777777" w:rsidR="00054437" w:rsidRPr="000549B1" w:rsidRDefault="00000000">
            <w:pPr>
              <w:pStyle w:val="CharCharCharCharChar"/>
              <w:rPr>
                <w:color w:val="auto"/>
              </w:rPr>
            </w:pPr>
            <w:r w:rsidRPr="000549B1">
              <w:rPr>
                <w:color w:val="auto"/>
              </w:rPr>
              <w:t>（小叶杨、青杨等）</w:t>
            </w:r>
          </w:p>
        </w:tc>
        <w:tc>
          <w:tcPr>
            <w:tcW w:w="949" w:type="dxa"/>
            <w:tcBorders>
              <w:top w:val="single" w:sz="4" w:space="0" w:color="auto"/>
              <w:left w:val="single" w:sz="4" w:space="0" w:color="auto"/>
              <w:bottom w:val="single" w:sz="4" w:space="0" w:color="auto"/>
              <w:right w:val="single" w:sz="4" w:space="0" w:color="auto"/>
            </w:tcBorders>
            <w:noWrap/>
            <w:vAlign w:val="center"/>
          </w:tcPr>
          <w:p w14:paraId="1F180A4E" w14:textId="77777777" w:rsidR="00054437" w:rsidRPr="000549B1" w:rsidRDefault="00000000">
            <w:pPr>
              <w:pStyle w:val="CharCharCharCharChar"/>
              <w:rPr>
                <w:color w:val="auto"/>
              </w:rPr>
            </w:pPr>
            <w:r w:rsidRPr="000549B1">
              <w:rPr>
                <w:color w:val="auto"/>
              </w:rPr>
              <w:t>90.57</w:t>
            </w:r>
          </w:p>
        </w:tc>
        <w:tc>
          <w:tcPr>
            <w:tcW w:w="1568" w:type="dxa"/>
            <w:tcBorders>
              <w:top w:val="single" w:sz="4" w:space="0" w:color="auto"/>
              <w:left w:val="single" w:sz="4" w:space="0" w:color="auto"/>
              <w:bottom w:val="single" w:sz="4" w:space="0" w:color="auto"/>
              <w:right w:val="single" w:sz="4" w:space="0" w:color="auto"/>
            </w:tcBorders>
            <w:noWrap/>
            <w:vAlign w:val="center"/>
          </w:tcPr>
          <w:p w14:paraId="78500369" w14:textId="77777777" w:rsidR="00054437" w:rsidRPr="000549B1" w:rsidRDefault="00000000">
            <w:pPr>
              <w:pStyle w:val="CharCharCharCharChar"/>
              <w:rPr>
                <w:color w:val="auto"/>
              </w:rPr>
            </w:pPr>
            <w:r w:rsidRPr="000549B1">
              <w:rPr>
                <w:color w:val="auto"/>
              </w:rPr>
              <w:t>8</w:t>
            </w:r>
          </w:p>
        </w:tc>
        <w:tc>
          <w:tcPr>
            <w:tcW w:w="1264" w:type="dxa"/>
            <w:tcBorders>
              <w:top w:val="single" w:sz="4" w:space="0" w:color="auto"/>
              <w:left w:val="single" w:sz="4" w:space="0" w:color="auto"/>
              <w:bottom w:val="single" w:sz="4" w:space="0" w:color="auto"/>
              <w:right w:val="single" w:sz="4" w:space="0" w:color="auto"/>
            </w:tcBorders>
            <w:vAlign w:val="center"/>
          </w:tcPr>
          <w:p w14:paraId="309FD260" w14:textId="77777777" w:rsidR="00054437" w:rsidRPr="000549B1" w:rsidRDefault="00000000">
            <w:pPr>
              <w:pStyle w:val="CharCharCharCharChar"/>
              <w:rPr>
                <w:color w:val="auto"/>
              </w:rPr>
            </w:pPr>
            <w:r w:rsidRPr="000549B1">
              <w:rPr>
                <w:color w:val="auto"/>
              </w:rPr>
              <w:t>7.25</w:t>
            </w:r>
          </w:p>
        </w:tc>
        <w:tc>
          <w:tcPr>
            <w:tcW w:w="1318" w:type="dxa"/>
            <w:vMerge w:val="restart"/>
            <w:tcBorders>
              <w:top w:val="nil"/>
              <w:left w:val="single" w:sz="4" w:space="0" w:color="auto"/>
              <w:bottom w:val="single" w:sz="4" w:space="0" w:color="auto"/>
              <w:right w:val="single" w:sz="4" w:space="0" w:color="auto"/>
            </w:tcBorders>
            <w:vAlign w:val="center"/>
          </w:tcPr>
          <w:p w14:paraId="7E5670D5" w14:textId="77777777" w:rsidR="00054437" w:rsidRPr="000549B1" w:rsidRDefault="00000000">
            <w:pPr>
              <w:pStyle w:val="CharCharCharCharChar"/>
              <w:rPr>
                <w:color w:val="auto"/>
              </w:rPr>
            </w:pPr>
            <w:r w:rsidRPr="000549B1">
              <w:rPr>
                <w:color w:val="auto"/>
              </w:rPr>
              <w:t>4.79</w:t>
            </w:r>
          </w:p>
        </w:tc>
      </w:tr>
      <w:tr w:rsidR="000549B1" w:rsidRPr="000549B1" w14:paraId="0EF248DC" w14:textId="77777777" w:rsidTr="00B81685">
        <w:trPr>
          <w:trHeight w:val="20"/>
          <w:jc w:val="center"/>
        </w:trPr>
        <w:tc>
          <w:tcPr>
            <w:tcW w:w="3038" w:type="dxa"/>
            <w:tcBorders>
              <w:top w:val="single" w:sz="4" w:space="0" w:color="auto"/>
              <w:left w:val="single" w:sz="4" w:space="0" w:color="auto"/>
              <w:bottom w:val="single" w:sz="4" w:space="0" w:color="auto"/>
              <w:right w:val="single" w:sz="4" w:space="0" w:color="auto"/>
            </w:tcBorders>
            <w:noWrap/>
            <w:vAlign w:val="center"/>
          </w:tcPr>
          <w:p w14:paraId="3671A5A2" w14:textId="77777777" w:rsidR="00054437" w:rsidRPr="000549B1" w:rsidRDefault="00000000">
            <w:pPr>
              <w:pStyle w:val="CharCharCharCharChar"/>
              <w:rPr>
                <w:color w:val="auto"/>
              </w:rPr>
            </w:pPr>
            <w:r w:rsidRPr="000549B1">
              <w:rPr>
                <w:color w:val="auto"/>
              </w:rPr>
              <w:t>温性落叶阔叶灌丛</w:t>
            </w:r>
          </w:p>
          <w:p w14:paraId="40EC19B5" w14:textId="77777777" w:rsidR="00054437" w:rsidRPr="000549B1" w:rsidRDefault="00000000">
            <w:pPr>
              <w:pStyle w:val="CharCharCharCharChar"/>
              <w:rPr>
                <w:color w:val="auto"/>
              </w:rPr>
            </w:pPr>
            <w:r w:rsidRPr="000549B1">
              <w:rPr>
                <w:color w:val="auto"/>
              </w:rPr>
              <w:t>（柠条锦鸡儿等）</w:t>
            </w:r>
          </w:p>
        </w:tc>
        <w:tc>
          <w:tcPr>
            <w:tcW w:w="949" w:type="dxa"/>
            <w:tcBorders>
              <w:top w:val="single" w:sz="4" w:space="0" w:color="auto"/>
              <w:left w:val="single" w:sz="4" w:space="0" w:color="auto"/>
              <w:bottom w:val="single" w:sz="4" w:space="0" w:color="auto"/>
              <w:right w:val="single" w:sz="4" w:space="0" w:color="auto"/>
            </w:tcBorders>
            <w:noWrap/>
            <w:vAlign w:val="center"/>
          </w:tcPr>
          <w:p w14:paraId="3CA31723" w14:textId="77777777" w:rsidR="00054437" w:rsidRPr="000549B1" w:rsidRDefault="00000000">
            <w:pPr>
              <w:pStyle w:val="CharCharCharCharChar"/>
              <w:rPr>
                <w:color w:val="auto"/>
              </w:rPr>
            </w:pPr>
            <w:r w:rsidRPr="000549B1">
              <w:rPr>
                <w:color w:val="auto"/>
              </w:rPr>
              <w:t>214.94</w:t>
            </w:r>
          </w:p>
        </w:tc>
        <w:tc>
          <w:tcPr>
            <w:tcW w:w="1568" w:type="dxa"/>
            <w:tcBorders>
              <w:top w:val="single" w:sz="4" w:space="0" w:color="auto"/>
              <w:left w:val="single" w:sz="4" w:space="0" w:color="auto"/>
              <w:bottom w:val="single" w:sz="4" w:space="0" w:color="auto"/>
              <w:right w:val="single" w:sz="4" w:space="0" w:color="auto"/>
            </w:tcBorders>
            <w:noWrap/>
            <w:vAlign w:val="center"/>
          </w:tcPr>
          <w:p w14:paraId="57BB6025" w14:textId="77777777" w:rsidR="00054437" w:rsidRPr="000549B1" w:rsidRDefault="00000000">
            <w:pPr>
              <w:pStyle w:val="CharCharCharCharChar"/>
              <w:rPr>
                <w:color w:val="auto"/>
              </w:rPr>
            </w:pPr>
            <w:r w:rsidRPr="000549B1">
              <w:rPr>
                <w:color w:val="auto"/>
              </w:rPr>
              <w:t>6</w:t>
            </w:r>
          </w:p>
        </w:tc>
        <w:tc>
          <w:tcPr>
            <w:tcW w:w="1264" w:type="dxa"/>
            <w:tcBorders>
              <w:top w:val="single" w:sz="4" w:space="0" w:color="auto"/>
              <w:left w:val="single" w:sz="4" w:space="0" w:color="auto"/>
              <w:bottom w:val="single" w:sz="4" w:space="0" w:color="auto"/>
              <w:right w:val="single" w:sz="4" w:space="0" w:color="auto"/>
            </w:tcBorders>
            <w:vAlign w:val="center"/>
          </w:tcPr>
          <w:p w14:paraId="4A6461C1" w14:textId="77777777" w:rsidR="00054437" w:rsidRPr="000549B1" w:rsidRDefault="00000000">
            <w:pPr>
              <w:pStyle w:val="CharCharCharCharChar"/>
              <w:rPr>
                <w:color w:val="auto"/>
              </w:rPr>
            </w:pPr>
            <w:r w:rsidRPr="000549B1">
              <w:rPr>
                <w:color w:val="auto"/>
              </w:rPr>
              <w:t>12.90</w:t>
            </w:r>
          </w:p>
        </w:tc>
        <w:tc>
          <w:tcPr>
            <w:tcW w:w="1318" w:type="dxa"/>
            <w:vMerge/>
            <w:tcBorders>
              <w:top w:val="nil"/>
              <w:left w:val="single" w:sz="4" w:space="0" w:color="auto"/>
              <w:bottom w:val="single" w:sz="4" w:space="0" w:color="auto"/>
              <w:right w:val="single" w:sz="4" w:space="0" w:color="auto"/>
            </w:tcBorders>
            <w:vAlign w:val="center"/>
          </w:tcPr>
          <w:p w14:paraId="0806FBB0" w14:textId="77777777" w:rsidR="00054437" w:rsidRPr="000549B1" w:rsidRDefault="00054437">
            <w:pPr>
              <w:pStyle w:val="CharCharCharCharChar"/>
              <w:rPr>
                <w:color w:val="auto"/>
              </w:rPr>
            </w:pPr>
          </w:p>
        </w:tc>
      </w:tr>
      <w:tr w:rsidR="000549B1" w:rsidRPr="000549B1" w14:paraId="433624CE" w14:textId="77777777" w:rsidTr="00B81685">
        <w:trPr>
          <w:trHeight w:val="20"/>
          <w:jc w:val="center"/>
        </w:trPr>
        <w:tc>
          <w:tcPr>
            <w:tcW w:w="3038" w:type="dxa"/>
            <w:tcBorders>
              <w:top w:val="single" w:sz="4" w:space="0" w:color="auto"/>
              <w:left w:val="single" w:sz="4" w:space="0" w:color="auto"/>
              <w:bottom w:val="single" w:sz="4" w:space="0" w:color="auto"/>
              <w:right w:val="single" w:sz="4" w:space="0" w:color="auto"/>
            </w:tcBorders>
            <w:noWrap/>
            <w:vAlign w:val="center"/>
          </w:tcPr>
          <w:p w14:paraId="7FE1E30E" w14:textId="77777777" w:rsidR="00054437" w:rsidRPr="000549B1" w:rsidRDefault="00000000">
            <w:pPr>
              <w:pStyle w:val="CharCharCharCharChar"/>
              <w:rPr>
                <w:color w:val="auto"/>
              </w:rPr>
            </w:pPr>
            <w:r w:rsidRPr="000549B1">
              <w:rPr>
                <w:color w:val="auto"/>
              </w:rPr>
              <w:t>温带半灌木、矮半灌木荒漠</w:t>
            </w:r>
          </w:p>
          <w:p w14:paraId="17D086B3" w14:textId="77777777" w:rsidR="00054437" w:rsidRPr="000549B1" w:rsidRDefault="00000000">
            <w:pPr>
              <w:pStyle w:val="CharCharCharCharChar"/>
              <w:rPr>
                <w:color w:val="auto"/>
              </w:rPr>
            </w:pPr>
            <w:r w:rsidRPr="000549B1">
              <w:rPr>
                <w:color w:val="auto"/>
              </w:rPr>
              <w:t>（红砂等）</w:t>
            </w:r>
          </w:p>
        </w:tc>
        <w:tc>
          <w:tcPr>
            <w:tcW w:w="949" w:type="dxa"/>
            <w:tcBorders>
              <w:top w:val="single" w:sz="4" w:space="0" w:color="auto"/>
              <w:left w:val="single" w:sz="4" w:space="0" w:color="auto"/>
              <w:bottom w:val="single" w:sz="4" w:space="0" w:color="auto"/>
              <w:right w:val="single" w:sz="4" w:space="0" w:color="auto"/>
            </w:tcBorders>
            <w:noWrap/>
            <w:vAlign w:val="center"/>
          </w:tcPr>
          <w:p w14:paraId="35CC492F" w14:textId="77777777" w:rsidR="00054437" w:rsidRPr="000549B1" w:rsidRDefault="00000000">
            <w:pPr>
              <w:pStyle w:val="CharCharCharCharChar"/>
              <w:rPr>
                <w:color w:val="auto"/>
              </w:rPr>
            </w:pPr>
            <w:r w:rsidRPr="000549B1">
              <w:rPr>
                <w:color w:val="auto"/>
              </w:rPr>
              <w:t>104.04</w:t>
            </w:r>
          </w:p>
        </w:tc>
        <w:tc>
          <w:tcPr>
            <w:tcW w:w="1568" w:type="dxa"/>
            <w:tcBorders>
              <w:top w:val="single" w:sz="4" w:space="0" w:color="auto"/>
              <w:left w:val="single" w:sz="4" w:space="0" w:color="auto"/>
              <w:bottom w:val="single" w:sz="4" w:space="0" w:color="auto"/>
              <w:right w:val="single" w:sz="4" w:space="0" w:color="auto"/>
            </w:tcBorders>
            <w:noWrap/>
            <w:vAlign w:val="center"/>
          </w:tcPr>
          <w:p w14:paraId="792066D7" w14:textId="77777777" w:rsidR="00054437" w:rsidRPr="000549B1" w:rsidRDefault="00000000">
            <w:pPr>
              <w:pStyle w:val="CharCharCharCharChar"/>
              <w:rPr>
                <w:color w:val="auto"/>
              </w:rPr>
            </w:pPr>
            <w:r w:rsidRPr="000549B1">
              <w:rPr>
                <w:color w:val="auto"/>
              </w:rPr>
              <w:t>6</w:t>
            </w:r>
          </w:p>
        </w:tc>
        <w:tc>
          <w:tcPr>
            <w:tcW w:w="1264" w:type="dxa"/>
            <w:tcBorders>
              <w:top w:val="single" w:sz="4" w:space="0" w:color="auto"/>
              <w:left w:val="single" w:sz="4" w:space="0" w:color="auto"/>
              <w:bottom w:val="single" w:sz="4" w:space="0" w:color="auto"/>
              <w:right w:val="single" w:sz="4" w:space="0" w:color="auto"/>
            </w:tcBorders>
            <w:vAlign w:val="center"/>
          </w:tcPr>
          <w:p w14:paraId="6B162CFB" w14:textId="77777777" w:rsidR="00054437" w:rsidRPr="000549B1" w:rsidRDefault="00000000">
            <w:pPr>
              <w:pStyle w:val="CharCharCharCharChar"/>
              <w:rPr>
                <w:color w:val="auto"/>
              </w:rPr>
            </w:pPr>
            <w:r w:rsidRPr="000549B1">
              <w:rPr>
                <w:color w:val="auto"/>
              </w:rPr>
              <w:t>6.24</w:t>
            </w:r>
          </w:p>
        </w:tc>
        <w:tc>
          <w:tcPr>
            <w:tcW w:w="1318" w:type="dxa"/>
            <w:vMerge/>
            <w:tcBorders>
              <w:top w:val="nil"/>
              <w:left w:val="single" w:sz="4" w:space="0" w:color="auto"/>
              <w:bottom w:val="single" w:sz="4" w:space="0" w:color="auto"/>
              <w:right w:val="single" w:sz="4" w:space="0" w:color="auto"/>
            </w:tcBorders>
            <w:vAlign w:val="center"/>
          </w:tcPr>
          <w:p w14:paraId="4CC88228" w14:textId="77777777" w:rsidR="00054437" w:rsidRPr="000549B1" w:rsidRDefault="00054437">
            <w:pPr>
              <w:pStyle w:val="CharCharCharCharChar"/>
              <w:rPr>
                <w:color w:val="auto"/>
              </w:rPr>
            </w:pPr>
          </w:p>
        </w:tc>
      </w:tr>
      <w:tr w:rsidR="000549B1" w:rsidRPr="000549B1" w14:paraId="149B424A" w14:textId="77777777" w:rsidTr="00B81685">
        <w:trPr>
          <w:trHeight w:val="20"/>
          <w:jc w:val="center"/>
        </w:trPr>
        <w:tc>
          <w:tcPr>
            <w:tcW w:w="3038" w:type="dxa"/>
            <w:tcBorders>
              <w:top w:val="single" w:sz="4" w:space="0" w:color="auto"/>
              <w:left w:val="single" w:sz="4" w:space="0" w:color="auto"/>
              <w:bottom w:val="single" w:sz="4" w:space="0" w:color="auto"/>
              <w:right w:val="single" w:sz="4" w:space="0" w:color="auto"/>
            </w:tcBorders>
            <w:noWrap/>
            <w:vAlign w:val="center"/>
          </w:tcPr>
          <w:p w14:paraId="0F2EB85F" w14:textId="77777777" w:rsidR="00054437" w:rsidRPr="000549B1" w:rsidRDefault="00000000">
            <w:pPr>
              <w:pStyle w:val="CharCharCharCharChar"/>
              <w:rPr>
                <w:color w:val="auto"/>
              </w:rPr>
            </w:pPr>
            <w:r w:rsidRPr="000549B1">
              <w:rPr>
                <w:color w:val="auto"/>
              </w:rPr>
              <w:t>温带丛生禾草典型草原</w:t>
            </w:r>
          </w:p>
          <w:p w14:paraId="0E63DD92" w14:textId="77777777" w:rsidR="00054437" w:rsidRPr="000549B1" w:rsidRDefault="00000000">
            <w:pPr>
              <w:pStyle w:val="CharCharCharCharChar"/>
              <w:rPr>
                <w:color w:val="auto"/>
              </w:rPr>
            </w:pPr>
            <w:r w:rsidRPr="000549B1">
              <w:rPr>
                <w:color w:val="auto"/>
              </w:rPr>
              <w:t>（芨芨草、披碱草、冷蒿、狗娃花）</w:t>
            </w:r>
          </w:p>
        </w:tc>
        <w:tc>
          <w:tcPr>
            <w:tcW w:w="949" w:type="dxa"/>
            <w:tcBorders>
              <w:top w:val="single" w:sz="4" w:space="0" w:color="auto"/>
              <w:left w:val="single" w:sz="4" w:space="0" w:color="auto"/>
              <w:bottom w:val="single" w:sz="4" w:space="0" w:color="auto"/>
              <w:right w:val="single" w:sz="4" w:space="0" w:color="auto"/>
            </w:tcBorders>
            <w:noWrap/>
            <w:vAlign w:val="center"/>
          </w:tcPr>
          <w:p w14:paraId="2837E157" w14:textId="77777777" w:rsidR="00054437" w:rsidRPr="000549B1" w:rsidRDefault="00000000">
            <w:pPr>
              <w:pStyle w:val="CharCharCharCharChar"/>
              <w:rPr>
                <w:color w:val="auto"/>
              </w:rPr>
            </w:pPr>
            <w:r w:rsidRPr="000549B1">
              <w:rPr>
                <w:color w:val="auto"/>
              </w:rPr>
              <w:t>7570.86</w:t>
            </w:r>
          </w:p>
        </w:tc>
        <w:tc>
          <w:tcPr>
            <w:tcW w:w="1568" w:type="dxa"/>
            <w:tcBorders>
              <w:top w:val="single" w:sz="4" w:space="0" w:color="auto"/>
              <w:left w:val="single" w:sz="4" w:space="0" w:color="auto"/>
              <w:bottom w:val="single" w:sz="4" w:space="0" w:color="auto"/>
              <w:right w:val="single" w:sz="4" w:space="0" w:color="auto"/>
            </w:tcBorders>
            <w:noWrap/>
            <w:vAlign w:val="center"/>
          </w:tcPr>
          <w:p w14:paraId="02CC7C09" w14:textId="77777777" w:rsidR="00054437" w:rsidRPr="000549B1" w:rsidRDefault="00000000">
            <w:pPr>
              <w:pStyle w:val="CharCharCharCharChar"/>
              <w:rPr>
                <w:color w:val="auto"/>
              </w:rPr>
            </w:pPr>
            <w:r w:rsidRPr="000549B1">
              <w:rPr>
                <w:color w:val="auto"/>
              </w:rPr>
              <w:t>5</w:t>
            </w:r>
          </w:p>
        </w:tc>
        <w:tc>
          <w:tcPr>
            <w:tcW w:w="1264" w:type="dxa"/>
            <w:tcBorders>
              <w:top w:val="single" w:sz="4" w:space="0" w:color="auto"/>
              <w:left w:val="single" w:sz="4" w:space="0" w:color="auto"/>
              <w:bottom w:val="single" w:sz="4" w:space="0" w:color="auto"/>
              <w:right w:val="single" w:sz="4" w:space="0" w:color="auto"/>
            </w:tcBorders>
            <w:vAlign w:val="center"/>
          </w:tcPr>
          <w:p w14:paraId="79BF05EF" w14:textId="77777777" w:rsidR="00054437" w:rsidRPr="000549B1" w:rsidRDefault="00000000">
            <w:pPr>
              <w:pStyle w:val="CharCharCharCharChar"/>
              <w:rPr>
                <w:color w:val="auto"/>
              </w:rPr>
            </w:pPr>
            <w:r w:rsidRPr="000549B1">
              <w:rPr>
                <w:color w:val="auto"/>
              </w:rPr>
              <w:t>378.54</w:t>
            </w:r>
          </w:p>
        </w:tc>
        <w:tc>
          <w:tcPr>
            <w:tcW w:w="1318" w:type="dxa"/>
            <w:vMerge/>
            <w:tcBorders>
              <w:top w:val="nil"/>
              <w:left w:val="single" w:sz="4" w:space="0" w:color="auto"/>
              <w:bottom w:val="single" w:sz="4" w:space="0" w:color="auto"/>
              <w:right w:val="single" w:sz="4" w:space="0" w:color="auto"/>
            </w:tcBorders>
            <w:vAlign w:val="center"/>
          </w:tcPr>
          <w:p w14:paraId="3053A986" w14:textId="77777777" w:rsidR="00054437" w:rsidRPr="000549B1" w:rsidRDefault="00054437">
            <w:pPr>
              <w:pStyle w:val="CharCharCharCharChar"/>
              <w:rPr>
                <w:color w:val="auto"/>
              </w:rPr>
            </w:pPr>
          </w:p>
        </w:tc>
      </w:tr>
      <w:tr w:rsidR="000549B1" w:rsidRPr="000549B1" w14:paraId="18DEB602" w14:textId="77777777" w:rsidTr="00B81685">
        <w:trPr>
          <w:trHeight w:val="20"/>
          <w:jc w:val="center"/>
        </w:trPr>
        <w:tc>
          <w:tcPr>
            <w:tcW w:w="3038" w:type="dxa"/>
            <w:tcBorders>
              <w:top w:val="single" w:sz="4" w:space="0" w:color="auto"/>
              <w:left w:val="single" w:sz="4" w:space="0" w:color="auto"/>
              <w:bottom w:val="single" w:sz="4" w:space="0" w:color="auto"/>
              <w:right w:val="single" w:sz="4" w:space="0" w:color="auto"/>
            </w:tcBorders>
            <w:noWrap/>
            <w:vAlign w:val="center"/>
          </w:tcPr>
          <w:p w14:paraId="234AC4BC" w14:textId="77777777" w:rsidR="00054437" w:rsidRPr="000549B1" w:rsidRDefault="00000000">
            <w:pPr>
              <w:pStyle w:val="CharCharCharCharChar"/>
              <w:rPr>
                <w:color w:val="auto"/>
              </w:rPr>
            </w:pPr>
            <w:r w:rsidRPr="000549B1">
              <w:rPr>
                <w:color w:val="auto"/>
              </w:rPr>
              <w:t>温带禾草、杂类草草甸</w:t>
            </w:r>
          </w:p>
          <w:p w14:paraId="066A2E73" w14:textId="77777777" w:rsidR="00054437" w:rsidRPr="000549B1" w:rsidRDefault="00000000">
            <w:pPr>
              <w:pStyle w:val="CharCharCharCharChar"/>
              <w:rPr>
                <w:color w:val="auto"/>
              </w:rPr>
            </w:pPr>
            <w:r w:rsidRPr="000549B1">
              <w:rPr>
                <w:color w:val="auto"/>
              </w:rPr>
              <w:t>（麻花艽）</w:t>
            </w:r>
          </w:p>
        </w:tc>
        <w:tc>
          <w:tcPr>
            <w:tcW w:w="949" w:type="dxa"/>
            <w:tcBorders>
              <w:top w:val="single" w:sz="4" w:space="0" w:color="auto"/>
              <w:left w:val="single" w:sz="4" w:space="0" w:color="auto"/>
              <w:bottom w:val="single" w:sz="4" w:space="0" w:color="auto"/>
              <w:right w:val="single" w:sz="4" w:space="0" w:color="auto"/>
            </w:tcBorders>
            <w:noWrap/>
            <w:vAlign w:val="center"/>
          </w:tcPr>
          <w:p w14:paraId="3284B690" w14:textId="77777777" w:rsidR="00054437" w:rsidRPr="000549B1" w:rsidRDefault="00000000">
            <w:pPr>
              <w:pStyle w:val="CharCharCharCharChar"/>
              <w:rPr>
                <w:color w:val="auto"/>
              </w:rPr>
            </w:pPr>
            <w:r w:rsidRPr="000549B1">
              <w:rPr>
                <w:color w:val="auto"/>
              </w:rPr>
              <w:t>162.73</w:t>
            </w:r>
          </w:p>
        </w:tc>
        <w:tc>
          <w:tcPr>
            <w:tcW w:w="1568" w:type="dxa"/>
            <w:tcBorders>
              <w:top w:val="single" w:sz="4" w:space="0" w:color="auto"/>
              <w:left w:val="single" w:sz="4" w:space="0" w:color="auto"/>
              <w:bottom w:val="single" w:sz="4" w:space="0" w:color="auto"/>
              <w:right w:val="single" w:sz="4" w:space="0" w:color="auto"/>
            </w:tcBorders>
            <w:noWrap/>
            <w:vAlign w:val="center"/>
          </w:tcPr>
          <w:p w14:paraId="285C826A" w14:textId="77777777" w:rsidR="00054437" w:rsidRPr="000549B1" w:rsidRDefault="00000000">
            <w:pPr>
              <w:pStyle w:val="CharCharCharCharChar"/>
              <w:rPr>
                <w:color w:val="auto"/>
              </w:rPr>
            </w:pPr>
            <w:r w:rsidRPr="000549B1">
              <w:rPr>
                <w:color w:val="auto"/>
              </w:rPr>
              <w:t>3</w:t>
            </w:r>
          </w:p>
        </w:tc>
        <w:tc>
          <w:tcPr>
            <w:tcW w:w="1264" w:type="dxa"/>
            <w:tcBorders>
              <w:top w:val="single" w:sz="4" w:space="0" w:color="auto"/>
              <w:left w:val="single" w:sz="4" w:space="0" w:color="auto"/>
              <w:bottom w:val="single" w:sz="4" w:space="0" w:color="auto"/>
              <w:right w:val="single" w:sz="4" w:space="0" w:color="auto"/>
            </w:tcBorders>
            <w:vAlign w:val="center"/>
          </w:tcPr>
          <w:p w14:paraId="0003D6A8" w14:textId="77777777" w:rsidR="00054437" w:rsidRPr="000549B1" w:rsidRDefault="00000000">
            <w:pPr>
              <w:pStyle w:val="CharCharCharCharChar"/>
              <w:rPr>
                <w:color w:val="auto"/>
              </w:rPr>
            </w:pPr>
            <w:r w:rsidRPr="000549B1">
              <w:rPr>
                <w:color w:val="auto"/>
              </w:rPr>
              <w:t>4.88</w:t>
            </w:r>
          </w:p>
        </w:tc>
        <w:tc>
          <w:tcPr>
            <w:tcW w:w="1318" w:type="dxa"/>
            <w:vMerge/>
            <w:tcBorders>
              <w:top w:val="nil"/>
              <w:left w:val="single" w:sz="4" w:space="0" w:color="auto"/>
              <w:bottom w:val="single" w:sz="4" w:space="0" w:color="auto"/>
              <w:right w:val="single" w:sz="4" w:space="0" w:color="auto"/>
            </w:tcBorders>
            <w:vAlign w:val="center"/>
          </w:tcPr>
          <w:p w14:paraId="2E4E9CB6" w14:textId="77777777" w:rsidR="00054437" w:rsidRPr="000549B1" w:rsidRDefault="00054437">
            <w:pPr>
              <w:pStyle w:val="CharCharCharCharChar"/>
              <w:rPr>
                <w:color w:val="auto"/>
              </w:rPr>
            </w:pPr>
          </w:p>
        </w:tc>
      </w:tr>
      <w:tr w:rsidR="000549B1" w:rsidRPr="000549B1" w14:paraId="20884E28" w14:textId="77777777" w:rsidTr="00B81685">
        <w:trPr>
          <w:trHeight w:val="20"/>
          <w:jc w:val="center"/>
        </w:trPr>
        <w:tc>
          <w:tcPr>
            <w:tcW w:w="3038" w:type="dxa"/>
            <w:tcBorders>
              <w:top w:val="single" w:sz="4" w:space="0" w:color="auto"/>
              <w:left w:val="single" w:sz="4" w:space="0" w:color="auto"/>
              <w:bottom w:val="single" w:sz="4" w:space="0" w:color="auto"/>
              <w:right w:val="single" w:sz="4" w:space="0" w:color="auto"/>
            </w:tcBorders>
            <w:noWrap/>
            <w:vAlign w:val="center"/>
          </w:tcPr>
          <w:p w14:paraId="32F91B65" w14:textId="77777777" w:rsidR="00054437" w:rsidRPr="000549B1" w:rsidRDefault="00000000">
            <w:pPr>
              <w:pStyle w:val="CharCharCharCharChar"/>
              <w:rPr>
                <w:color w:val="auto"/>
              </w:rPr>
            </w:pPr>
            <w:r w:rsidRPr="000549B1">
              <w:rPr>
                <w:color w:val="auto"/>
              </w:rPr>
              <w:t>—</w:t>
            </w:r>
            <w:r w:rsidRPr="000549B1">
              <w:rPr>
                <w:color w:val="auto"/>
              </w:rPr>
              <w:t>年一熟粮食作物及耐寒经济作物（青稞、马铃薯等）</w:t>
            </w:r>
          </w:p>
        </w:tc>
        <w:tc>
          <w:tcPr>
            <w:tcW w:w="949" w:type="dxa"/>
            <w:tcBorders>
              <w:top w:val="single" w:sz="4" w:space="0" w:color="auto"/>
              <w:left w:val="single" w:sz="4" w:space="0" w:color="auto"/>
              <w:bottom w:val="single" w:sz="4" w:space="0" w:color="auto"/>
              <w:right w:val="single" w:sz="4" w:space="0" w:color="auto"/>
            </w:tcBorders>
            <w:noWrap/>
            <w:vAlign w:val="center"/>
          </w:tcPr>
          <w:p w14:paraId="199CB76A" w14:textId="77777777" w:rsidR="00054437" w:rsidRPr="000549B1" w:rsidRDefault="00000000">
            <w:pPr>
              <w:pStyle w:val="CharCharCharCharChar"/>
              <w:rPr>
                <w:color w:val="auto"/>
              </w:rPr>
            </w:pPr>
            <w:r w:rsidRPr="000549B1">
              <w:rPr>
                <w:color w:val="auto"/>
              </w:rPr>
              <w:t>195.94</w:t>
            </w:r>
          </w:p>
        </w:tc>
        <w:tc>
          <w:tcPr>
            <w:tcW w:w="1568" w:type="dxa"/>
            <w:tcBorders>
              <w:top w:val="single" w:sz="4" w:space="0" w:color="auto"/>
              <w:left w:val="single" w:sz="4" w:space="0" w:color="auto"/>
              <w:bottom w:val="single" w:sz="4" w:space="0" w:color="auto"/>
              <w:right w:val="single" w:sz="4" w:space="0" w:color="auto"/>
            </w:tcBorders>
            <w:noWrap/>
            <w:vAlign w:val="center"/>
          </w:tcPr>
          <w:p w14:paraId="2C3524CE" w14:textId="77777777" w:rsidR="00054437" w:rsidRPr="000549B1" w:rsidRDefault="00000000">
            <w:pPr>
              <w:pStyle w:val="CharCharCharCharChar"/>
              <w:rPr>
                <w:color w:val="auto"/>
              </w:rPr>
            </w:pPr>
            <w:r w:rsidRPr="000549B1">
              <w:rPr>
                <w:color w:val="auto"/>
              </w:rPr>
              <w:t>2</w:t>
            </w:r>
          </w:p>
        </w:tc>
        <w:tc>
          <w:tcPr>
            <w:tcW w:w="1264" w:type="dxa"/>
            <w:tcBorders>
              <w:top w:val="single" w:sz="4" w:space="0" w:color="auto"/>
              <w:left w:val="single" w:sz="4" w:space="0" w:color="auto"/>
              <w:bottom w:val="single" w:sz="4" w:space="0" w:color="auto"/>
              <w:right w:val="single" w:sz="4" w:space="0" w:color="auto"/>
            </w:tcBorders>
            <w:vAlign w:val="center"/>
          </w:tcPr>
          <w:p w14:paraId="0DD1B304" w14:textId="77777777" w:rsidR="00054437" w:rsidRPr="000549B1" w:rsidRDefault="00000000">
            <w:pPr>
              <w:pStyle w:val="CharCharCharCharChar"/>
              <w:rPr>
                <w:color w:val="auto"/>
              </w:rPr>
            </w:pPr>
            <w:r w:rsidRPr="000549B1">
              <w:rPr>
                <w:color w:val="auto"/>
              </w:rPr>
              <w:t>3.92</w:t>
            </w:r>
          </w:p>
        </w:tc>
        <w:tc>
          <w:tcPr>
            <w:tcW w:w="1318" w:type="dxa"/>
            <w:vMerge/>
            <w:tcBorders>
              <w:top w:val="nil"/>
              <w:left w:val="single" w:sz="4" w:space="0" w:color="auto"/>
              <w:bottom w:val="single" w:sz="4" w:space="0" w:color="auto"/>
              <w:right w:val="single" w:sz="4" w:space="0" w:color="auto"/>
            </w:tcBorders>
            <w:vAlign w:val="center"/>
          </w:tcPr>
          <w:p w14:paraId="40CD56D0" w14:textId="77777777" w:rsidR="00054437" w:rsidRPr="000549B1" w:rsidRDefault="00054437">
            <w:pPr>
              <w:pStyle w:val="CharCharCharCharChar"/>
              <w:rPr>
                <w:color w:val="auto"/>
              </w:rPr>
            </w:pPr>
          </w:p>
        </w:tc>
      </w:tr>
      <w:tr w:rsidR="000549B1" w:rsidRPr="000549B1" w14:paraId="4ABD24EC" w14:textId="77777777" w:rsidTr="00B81685">
        <w:trPr>
          <w:trHeight w:val="20"/>
          <w:jc w:val="center"/>
        </w:trPr>
        <w:tc>
          <w:tcPr>
            <w:tcW w:w="3038" w:type="dxa"/>
            <w:tcBorders>
              <w:top w:val="single" w:sz="4" w:space="0" w:color="auto"/>
              <w:left w:val="single" w:sz="4" w:space="0" w:color="auto"/>
              <w:bottom w:val="single" w:sz="4" w:space="0" w:color="auto"/>
              <w:right w:val="single" w:sz="4" w:space="0" w:color="auto"/>
            </w:tcBorders>
            <w:noWrap/>
            <w:vAlign w:val="center"/>
          </w:tcPr>
          <w:p w14:paraId="282B1592" w14:textId="77777777" w:rsidR="00054437" w:rsidRPr="000549B1" w:rsidRDefault="00000000">
            <w:pPr>
              <w:pStyle w:val="CharCharCharCharChar"/>
              <w:rPr>
                <w:color w:val="auto"/>
              </w:rPr>
            </w:pPr>
            <w:r w:rsidRPr="000549B1">
              <w:rPr>
                <w:color w:val="auto"/>
              </w:rPr>
              <w:t>水域、建设用地等</w:t>
            </w:r>
          </w:p>
        </w:tc>
        <w:tc>
          <w:tcPr>
            <w:tcW w:w="949" w:type="dxa"/>
            <w:tcBorders>
              <w:top w:val="single" w:sz="4" w:space="0" w:color="auto"/>
              <w:left w:val="single" w:sz="4" w:space="0" w:color="auto"/>
              <w:bottom w:val="single" w:sz="4" w:space="0" w:color="auto"/>
              <w:right w:val="single" w:sz="4" w:space="0" w:color="auto"/>
            </w:tcBorders>
            <w:noWrap/>
            <w:vAlign w:val="center"/>
          </w:tcPr>
          <w:p w14:paraId="17E74EFE" w14:textId="77777777" w:rsidR="00054437" w:rsidRPr="000549B1" w:rsidRDefault="00000000">
            <w:pPr>
              <w:pStyle w:val="CharCharCharCharChar"/>
              <w:rPr>
                <w:color w:val="auto"/>
              </w:rPr>
            </w:pPr>
            <w:r w:rsidRPr="000549B1">
              <w:rPr>
                <w:color w:val="auto"/>
              </w:rPr>
              <w:t>328.52</w:t>
            </w:r>
          </w:p>
        </w:tc>
        <w:tc>
          <w:tcPr>
            <w:tcW w:w="1568" w:type="dxa"/>
            <w:tcBorders>
              <w:top w:val="single" w:sz="4" w:space="0" w:color="auto"/>
              <w:left w:val="single" w:sz="4" w:space="0" w:color="auto"/>
              <w:bottom w:val="single" w:sz="4" w:space="0" w:color="auto"/>
              <w:right w:val="single" w:sz="4" w:space="0" w:color="auto"/>
            </w:tcBorders>
            <w:noWrap/>
            <w:vAlign w:val="center"/>
          </w:tcPr>
          <w:p w14:paraId="1FCE2EA8" w14:textId="77777777" w:rsidR="00054437" w:rsidRPr="000549B1" w:rsidRDefault="00000000">
            <w:pPr>
              <w:pStyle w:val="CharCharCharCharChar"/>
              <w:rPr>
                <w:color w:val="auto"/>
              </w:rPr>
            </w:pPr>
            <w:r w:rsidRPr="000549B1">
              <w:rPr>
                <w:color w:val="auto"/>
              </w:rPr>
              <w:t>0.5</w:t>
            </w:r>
          </w:p>
        </w:tc>
        <w:tc>
          <w:tcPr>
            <w:tcW w:w="1264" w:type="dxa"/>
            <w:tcBorders>
              <w:top w:val="single" w:sz="4" w:space="0" w:color="auto"/>
              <w:left w:val="single" w:sz="4" w:space="0" w:color="auto"/>
              <w:bottom w:val="single" w:sz="4" w:space="0" w:color="auto"/>
              <w:right w:val="single" w:sz="4" w:space="0" w:color="auto"/>
            </w:tcBorders>
            <w:vAlign w:val="center"/>
          </w:tcPr>
          <w:p w14:paraId="43E0A857" w14:textId="77777777" w:rsidR="00054437" w:rsidRPr="000549B1" w:rsidRDefault="00000000">
            <w:pPr>
              <w:pStyle w:val="CharCharCharCharChar"/>
              <w:rPr>
                <w:color w:val="auto"/>
              </w:rPr>
            </w:pPr>
            <w:r w:rsidRPr="000549B1">
              <w:rPr>
                <w:color w:val="auto"/>
              </w:rPr>
              <w:t>1.64</w:t>
            </w:r>
          </w:p>
        </w:tc>
        <w:tc>
          <w:tcPr>
            <w:tcW w:w="1318" w:type="dxa"/>
            <w:vMerge/>
            <w:tcBorders>
              <w:top w:val="nil"/>
              <w:left w:val="single" w:sz="4" w:space="0" w:color="auto"/>
              <w:bottom w:val="single" w:sz="4" w:space="0" w:color="auto"/>
              <w:right w:val="single" w:sz="4" w:space="0" w:color="auto"/>
            </w:tcBorders>
            <w:vAlign w:val="center"/>
          </w:tcPr>
          <w:p w14:paraId="1CA6EC1F" w14:textId="77777777" w:rsidR="00054437" w:rsidRPr="000549B1" w:rsidRDefault="00054437">
            <w:pPr>
              <w:pStyle w:val="CharCharCharCharChar"/>
              <w:rPr>
                <w:color w:val="auto"/>
              </w:rPr>
            </w:pPr>
          </w:p>
        </w:tc>
      </w:tr>
      <w:tr w:rsidR="000549B1" w:rsidRPr="000549B1" w14:paraId="54D6C037" w14:textId="77777777" w:rsidTr="00B81685">
        <w:trPr>
          <w:trHeight w:val="20"/>
          <w:jc w:val="center"/>
        </w:trPr>
        <w:tc>
          <w:tcPr>
            <w:tcW w:w="3038" w:type="dxa"/>
            <w:tcBorders>
              <w:top w:val="single" w:sz="4" w:space="0" w:color="auto"/>
              <w:left w:val="single" w:sz="4" w:space="0" w:color="auto"/>
              <w:bottom w:val="single" w:sz="4" w:space="0" w:color="auto"/>
              <w:right w:val="single" w:sz="4" w:space="0" w:color="auto"/>
            </w:tcBorders>
            <w:noWrap/>
            <w:vAlign w:val="center"/>
          </w:tcPr>
          <w:p w14:paraId="553E4C66" w14:textId="77777777" w:rsidR="00B81685" w:rsidRPr="000549B1" w:rsidRDefault="00B81685" w:rsidP="00B81685">
            <w:pPr>
              <w:pStyle w:val="CharCharCharCharChar"/>
              <w:rPr>
                <w:color w:val="auto"/>
              </w:rPr>
            </w:pPr>
            <w:r w:rsidRPr="000549B1">
              <w:rPr>
                <w:color w:val="auto"/>
              </w:rPr>
              <w:t>合计</w:t>
            </w:r>
          </w:p>
        </w:tc>
        <w:tc>
          <w:tcPr>
            <w:tcW w:w="949" w:type="dxa"/>
            <w:tcBorders>
              <w:top w:val="single" w:sz="4" w:space="0" w:color="auto"/>
              <w:left w:val="single" w:sz="4" w:space="0" w:color="auto"/>
              <w:bottom w:val="single" w:sz="4" w:space="0" w:color="auto"/>
              <w:right w:val="single" w:sz="4" w:space="0" w:color="auto"/>
            </w:tcBorders>
            <w:noWrap/>
            <w:vAlign w:val="center"/>
          </w:tcPr>
          <w:p w14:paraId="5205B6A7" w14:textId="7239BC81" w:rsidR="00B81685" w:rsidRPr="000549B1" w:rsidRDefault="00B81685" w:rsidP="00B81685">
            <w:pPr>
              <w:pStyle w:val="CharCharCharCharChar"/>
              <w:rPr>
                <w:color w:val="auto"/>
              </w:rPr>
            </w:pPr>
            <w:r w:rsidRPr="000549B1">
              <w:rPr>
                <w:color w:val="auto"/>
              </w:rPr>
              <w:t>866</w:t>
            </w:r>
            <w:r w:rsidRPr="000549B1">
              <w:rPr>
                <w:rFonts w:hint="eastAsia"/>
                <w:color w:val="auto"/>
              </w:rPr>
              <w:t>0</w:t>
            </w:r>
            <w:r w:rsidRPr="000549B1">
              <w:rPr>
                <w:color w:val="auto"/>
              </w:rPr>
              <w:t>.</w:t>
            </w:r>
            <w:r w:rsidRPr="000549B1">
              <w:rPr>
                <w:rFonts w:hint="eastAsia"/>
                <w:color w:val="auto"/>
              </w:rPr>
              <w:t>0</w:t>
            </w:r>
            <w:r w:rsidRPr="000549B1">
              <w:rPr>
                <w:color w:val="auto"/>
              </w:rPr>
              <w:t>0</w:t>
            </w:r>
          </w:p>
        </w:tc>
        <w:tc>
          <w:tcPr>
            <w:tcW w:w="1568" w:type="dxa"/>
            <w:tcBorders>
              <w:top w:val="single" w:sz="4" w:space="0" w:color="auto"/>
              <w:left w:val="single" w:sz="4" w:space="0" w:color="auto"/>
              <w:bottom w:val="single" w:sz="4" w:space="0" w:color="auto"/>
              <w:right w:val="single" w:sz="4" w:space="0" w:color="auto"/>
            </w:tcBorders>
            <w:noWrap/>
            <w:vAlign w:val="center"/>
          </w:tcPr>
          <w:p w14:paraId="403CF717" w14:textId="77777777" w:rsidR="00B81685" w:rsidRPr="000549B1" w:rsidRDefault="00B81685" w:rsidP="00B81685">
            <w:pPr>
              <w:pStyle w:val="CharCharCharCharChar"/>
              <w:rPr>
                <w:color w:val="auto"/>
              </w:rPr>
            </w:pPr>
            <w:r w:rsidRPr="000549B1">
              <w:rPr>
                <w:color w:val="auto"/>
              </w:rPr>
              <w:t>/</w:t>
            </w:r>
          </w:p>
        </w:tc>
        <w:tc>
          <w:tcPr>
            <w:tcW w:w="1264" w:type="dxa"/>
            <w:tcBorders>
              <w:top w:val="single" w:sz="4" w:space="0" w:color="auto"/>
              <w:left w:val="single" w:sz="4" w:space="0" w:color="auto"/>
              <w:bottom w:val="single" w:sz="4" w:space="0" w:color="auto"/>
              <w:right w:val="single" w:sz="4" w:space="0" w:color="auto"/>
            </w:tcBorders>
            <w:vAlign w:val="center"/>
          </w:tcPr>
          <w:p w14:paraId="7DDFFFB3" w14:textId="77777777" w:rsidR="00B81685" w:rsidRPr="000549B1" w:rsidRDefault="00B81685" w:rsidP="00B81685">
            <w:pPr>
              <w:pStyle w:val="CharCharCharCharChar"/>
              <w:rPr>
                <w:color w:val="auto"/>
              </w:rPr>
            </w:pPr>
            <w:r w:rsidRPr="000549B1">
              <w:rPr>
                <w:color w:val="auto"/>
              </w:rPr>
              <w:t>415.37</w:t>
            </w:r>
          </w:p>
        </w:tc>
        <w:tc>
          <w:tcPr>
            <w:tcW w:w="1318" w:type="dxa"/>
            <w:vMerge/>
            <w:tcBorders>
              <w:top w:val="nil"/>
              <w:left w:val="single" w:sz="4" w:space="0" w:color="auto"/>
              <w:bottom w:val="single" w:sz="4" w:space="0" w:color="auto"/>
              <w:right w:val="single" w:sz="4" w:space="0" w:color="auto"/>
            </w:tcBorders>
            <w:vAlign w:val="center"/>
          </w:tcPr>
          <w:p w14:paraId="156167C5" w14:textId="77777777" w:rsidR="00B81685" w:rsidRPr="000549B1" w:rsidRDefault="00B81685" w:rsidP="00B81685">
            <w:pPr>
              <w:pStyle w:val="CharCharCharCharChar"/>
              <w:rPr>
                <w:color w:val="auto"/>
              </w:rPr>
            </w:pPr>
          </w:p>
        </w:tc>
      </w:tr>
    </w:tbl>
    <w:p w14:paraId="4D98DB0A" w14:textId="77777777" w:rsidR="00054437" w:rsidRPr="000549B1" w:rsidRDefault="00000000">
      <w:pPr>
        <w:spacing w:line="360" w:lineRule="auto"/>
        <w:ind w:firstLine="480"/>
        <w:rPr>
          <w:sz w:val="24"/>
          <w:szCs w:val="24"/>
        </w:rPr>
      </w:pPr>
      <w:r w:rsidRPr="000549B1">
        <w:rPr>
          <w:sz w:val="24"/>
          <w:szCs w:val="24"/>
        </w:rPr>
        <w:t>经计算，评价区平均净第一性生产力为</w:t>
      </w:r>
      <w:r w:rsidRPr="000549B1">
        <w:rPr>
          <w:sz w:val="24"/>
          <w:szCs w:val="24"/>
        </w:rPr>
        <w:t>4.79t/hm</w:t>
      </w:r>
      <w:r w:rsidRPr="000549B1">
        <w:rPr>
          <w:sz w:val="24"/>
          <w:szCs w:val="24"/>
          <w:vertAlign w:val="superscript"/>
        </w:rPr>
        <w:t>2</w:t>
      </w:r>
      <w:r w:rsidRPr="000549B1">
        <w:rPr>
          <w:sz w:val="24"/>
          <w:szCs w:val="24"/>
        </w:rPr>
        <w:t>˙a</w:t>
      </w:r>
      <w:r w:rsidRPr="000549B1">
        <w:rPr>
          <w:sz w:val="24"/>
          <w:szCs w:val="24"/>
        </w:rPr>
        <w:t>，单位面积的平均净第一性生产力较低。</w:t>
      </w:r>
    </w:p>
    <w:p w14:paraId="7C17FF66" w14:textId="3D49B787" w:rsidR="00054437" w:rsidRPr="000549B1" w:rsidRDefault="00000000">
      <w:pPr>
        <w:spacing w:line="360" w:lineRule="auto"/>
        <w:ind w:firstLine="480"/>
        <w:rPr>
          <w:sz w:val="24"/>
          <w:szCs w:val="24"/>
        </w:rPr>
      </w:pPr>
      <w:r w:rsidRPr="000549B1">
        <w:rPr>
          <w:sz w:val="24"/>
          <w:szCs w:val="24"/>
        </w:rPr>
        <w:t>评价区各植被类型的生物量见</w:t>
      </w:r>
      <w:r w:rsidR="00F32CCA" w:rsidRPr="00F32CCA">
        <w:rPr>
          <w:sz w:val="24"/>
          <w:szCs w:val="24"/>
        </w:rPr>
        <w:t>表</w:t>
      </w:r>
      <w:r w:rsidR="00F32CCA" w:rsidRPr="00F32CCA">
        <w:rPr>
          <w:sz w:val="24"/>
          <w:szCs w:val="24"/>
        </w:rPr>
        <w:t>3.5</w:t>
      </w:r>
      <w:r w:rsidR="00F32CCA" w:rsidRPr="00F32CCA">
        <w:rPr>
          <w:sz w:val="24"/>
          <w:szCs w:val="24"/>
        </w:rPr>
        <w:noBreakHyphen/>
        <w:t>5</w:t>
      </w:r>
      <w:r w:rsidRPr="000549B1">
        <w:rPr>
          <w:sz w:val="24"/>
          <w:szCs w:val="24"/>
        </w:rPr>
        <w:t>。</w:t>
      </w:r>
    </w:p>
    <w:p w14:paraId="3FADD40E" w14:textId="7DBDC543" w:rsidR="00054437" w:rsidRPr="000549B1" w:rsidRDefault="00000000">
      <w:pPr>
        <w:pStyle w:val="0A51"/>
        <w:ind w:firstLine="422"/>
      </w:pPr>
      <w:bookmarkStart w:id="261" w:name="_Ref214959855"/>
      <w:r w:rsidRPr="000549B1">
        <w:t>表</w:t>
      </w:r>
      <w:fldSimple w:instr=" STYLEREF 2 \s ">
        <w:r w:rsidR="00372953">
          <w:rPr>
            <w:noProof/>
          </w:rPr>
          <w:t>3.5</w:t>
        </w:r>
      </w:fldSimple>
      <w:r w:rsidR="00372953">
        <w:noBreakHyphen/>
      </w:r>
      <w:r w:rsidR="00372953">
        <w:fldChar w:fldCharType="begin"/>
      </w:r>
      <w:r w:rsidR="00372953">
        <w:instrText xml:space="preserve"> SEQ </w:instrText>
      </w:r>
      <w:r w:rsidR="00372953">
        <w:instrText>表</w:instrText>
      </w:r>
      <w:r w:rsidR="00372953">
        <w:instrText xml:space="preserve"> \* ARABIC \s 2 </w:instrText>
      </w:r>
      <w:r w:rsidR="00372953">
        <w:fldChar w:fldCharType="separate"/>
      </w:r>
      <w:r w:rsidR="00372953">
        <w:rPr>
          <w:noProof/>
        </w:rPr>
        <w:t>5</w:t>
      </w:r>
      <w:r w:rsidR="00372953">
        <w:fldChar w:fldCharType="end"/>
      </w:r>
      <w:bookmarkEnd w:id="261"/>
      <w:r w:rsidRPr="000549B1">
        <w:t>评价区各植被类型的生物量表</w:t>
      </w:r>
    </w:p>
    <w:tbl>
      <w:tblPr>
        <w:tblW w:w="49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65"/>
        <w:gridCol w:w="970"/>
        <w:gridCol w:w="1579"/>
        <w:gridCol w:w="1091"/>
        <w:gridCol w:w="1432"/>
      </w:tblGrid>
      <w:tr w:rsidR="000549B1" w:rsidRPr="000549B1" w14:paraId="1D80193C" w14:textId="77777777" w:rsidTr="00B81685">
        <w:trPr>
          <w:trHeight w:val="20"/>
          <w:jc w:val="center"/>
        </w:trPr>
        <w:tc>
          <w:tcPr>
            <w:tcW w:w="3065" w:type="dxa"/>
            <w:tcBorders>
              <w:top w:val="single" w:sz="4" w:space="0" w:color="auto"/>
              <w:left w:val="single" w:sz="4" w:space="0" w:color="auto"/>
              <w:bottom w:val="single" w:sz="4" w:space="0" w:color="auto"/>
              <w:right w:val="single" w:sz="4" w:space="0" w:color="auto"/>
            </w:tcBorders>
            <w:noWrap/>
            <w:vAlign w:val="center"/>
          </w:tcPr>
          <w:p w14:paraId="0AACFB6D" w14:textId="77777777" w:rsidR="00054437" w:rsidRPr="000549B1" w:rsidRDefault="00000000">
            <w:pPr>
              <w:pStyle w:val="afff5"/>
              <w:rPr>
                <w:b/>
                <w:bCs/>
                <w:szCs w:val="21"/>
              </w:rPr>
            </w:pPr>
            <w:r w:rsidRPr="000549B1">
              <w:rPr>
                <w:b/>
                <w:bCs/>
                <w:szCs w:val="21"/>
              </w:rPr>
              <w:t>植被类型</w:t>
            </w:r>
          </w:p>
        </w:tc>
        <w:tc>
          <w:tcPr>
            <w:tcW w:w="970" w:type="dxa"/>
            <w:tcBorders>
              <w:top w:val="single" w:sz="4" w:space="0" w:color="auto"/>
              <w:left w:val="single" w:sz="4" w:space="0" w:color="auto"/>
              <w:bottom w:val="single" w:sz="4" w:space="0" w:color="auto"/>
              <w:right w:val="single" w:sz="4" w:space="0" w:color="auto"/>
            </w:tcBorders>
            <w:noWrap/>
            <w:vAlign w:val="center"/>
          </w:tcPr>
          <w:p w14:paraId="29362C03" w14:textId="77777777" w:rsidR="00054437" w:rsidRPr="000549B1" w:rsidRDefault="00000000">
            <w:pPr>
              <w:pStyle w:val="afff5"/>
              <w:rPr>
                <w:b/>
                <w:bCs/>
                <w:szCs w:val="21"/>
              </w:rPr>
            </w:pPr>
            <w:r w:rsidRPr="000549B1">
              <w:rPr>
                <w:b/>
                <w:bCs/>
                <w:szCs w:val="21"/>
              </w:rPr>
              <w:t>面积</w:t>
            </w:r>
          </w:p>
          <w:p w14:paraId="1E433766" w14:textId="77777777" w:rsidR="00054437" w:rsidRPr="000549B1" w:rsidRDefault="00000000">
            <w:pPr>
              <w:pStyle w:val="afff5"/>
              <w:rPr>
                <w:b/>
                <w:bCs/>
                <w:szCs w:val="21"/>
              </w:rPr>
            </w:pPr>
            <w:r w:rsidRPr="000549B1">
              <w:rPr>
                <w:b/>
                <w:bCs/>
                <w:szCs w:val="21"/>
              </w:rPr>
              <w:t>（</w:t>
            </w:r>
            <w:r w:rsidRPr="000549B1">
              <w:rPr>
                <w:b/>
                <w:bCs/>
                <w:szCs w:val="21"/>
              </w:rPr>
              <w:t>km</w:t>
            </w:r>
            <w:r w:rsidRPr="000549B1">
              <w:rPr>
                <w:b/>
                <w:bCs/>
                <w:szCs w:val="21"/>
                <w:vertAlign w:val="superscript"/>
              </w:rPr>
              <w:t>2</w:t>
            </w:r>
            <w:r w:rsidRPr="000549B1">
              <w:rPr>
                <w:b/>
                <w:bCs/>
                <w:szCs w:val="21"/>
              </w:rPr>
              <w:t>）</w:t>
            </w:r>
          </w:p>
        </w:tc>
        <w:tc>
          <w:tcPr>
            <w:tcW w:w="1579" w:type="dxa"/>
            <w:tcBorders>
              <w:top w:val="single" w:sz="4" w:space="0" w:color="auto"/>
              <w:left w:val="single" w:sz="4" w:space="0" w:color="auto"/>
              <w:bottom w:val="single" w:sz="4" w:space="0" w:color="auto"/>
              <w:right w:val="single" w:sz="4" w:space="0" w:color="auto"/>
            </w:tcBorders>
            <w:noWrap/>
            <w:vAlign w:val="center"/>
          </w:tcPr>
          <w:p w14:paraId="13B10266" w14:textId="77777777" w:rsidR="00054437" w:rsidRPr="000549B1" w:rsidRDefault="00000000">
            <w:pPr>
              <w:pStyle w:val="afff5"/>
              <w:rPr>
                <w:b/>
                <w:bCs/>
                <w:szCs w:val="21"/>
              </w:rPr>
            </w:pPr>
            <w:r w:rsidRPr="000549B1">
              <w:rPr>
                <w:b/>
                <w:bCs/>
                <w:szCs w:val="21"/>
              </w:rPr>
              <w:t>单位面积</w:t>
            </w:r>
          </w:p>
          <w:p w14:paraId="08B5BB54" w14:textId="77777777" w:rsidR="00054437" w:rsidRPr="000549B1" w:rsidRDefault="00000000">
            <w:pPr>
              <w:pStyle w:val="afff5"/>
              <w:rPr>
                <w:b/>
                <w:bCs/>
                <w:szCs w:val="21"/>
              </w:rPr>
            </w:pPr>
            <w:r w:rsidRPr="000549B1">
              <w:rPr>
                <w:b/>
                <w:bCs/>
                <w:szCs w:val="21"/>
              </w:rPr>
              <w:t>生物量（</w:t>
            </w:r>
            <w:r w:rsidRPr="000549B1">
              <w:rPr>
                <w:b/>
                <w:bCs/>
                <w:szCs w:val="21"/>
              </w:rPr>
              <w:t>t/hm</w:t>
            </w:r>
            <w:r w:rsidRPr="000549B1">
              <w:rPr>
                <w:b/>
                <w:bCs/>
                <w:szCs w:val="21"/>
                <w:vertAlign w:val="superscript"/>
              </w:rPr>
              <w:t>2</w:t>
            </w:r>
            <w:r w:rsidRPr="000549B1">
              <w:rPr>
                <w:b/>
                <w:bCs/>
                <w:szCs w:val="21"/>
              </w:rPr>
              <w:t>）</w:t>
            </w:r>
          </w:p>
        </w:tc>
        <w:tc>
          <w:tcPr>
            <w:tcW w:w="1091" w:type="dxa"/>
            <w:tcBorders>
              <w:top w:val="single" w:sz="4" w:space="0" w:color="auto"/>
              <w:left w:val="single" w:sz="4" w:space="0" w:color="auto"/>
              <w:bottom w:val="single" w:sz="4" w:space="0" w:color="auto"/>
              <w:right w:val="single" w:sz="4" w:space="0" w:color="auto"/>
            </w:tcBorders>
            <w:vAlign w:val="center"/>
          </w:tcPr>
          <w:p w14:paraId="3EE048CD" w14:textId="77777777" w:rsidR="00054437" w:rsidRPr="000549B1" w:rsidRDefault="00000000">
            <w:pPr>
              <w:pStyle w:val="afff5"/>
              <w:rPr>
                <w:b/>
                <w:bCs/>
                <w:szCs w:val="21"/>
              </w:rPr>
            </w:pPr>
            <w:r w:rsidRPr="000549B1">
              <w:rPr>
                <w:b/>
                <w:bCs/>
                <w:szCs w:val="21"/>
              </w:rPr>
              <w:t>对应生物量（</w:t>
            </w:r>
            <w:r w:rsidRPr="000549B1">
              <w:rPr>
                <w:b/>
                <w:bCs/>
                <w:szCs w:val="21"/>
              </w:rPr>
              <w:t>×104t</w:t>
            </w:r>
            <w:r w:rsidRPr="000549B1">
              <w:rPr>
                <w:b/>
                <w:bCs/>
                <w:szCs w:val="21"/>
              </w:rPr>
              <w:t>）</w:t>
            </w:r>
          </w:p>
        </w:tc>
        <w:tc>
          <w:tcPr>
            <w:tcW w:w="1432" w:type="dxa"/>
            <w:tcBorders>
              <w:top w:val="single" w:sz="4" w:space="0" w:color="auto"/>
              <w:left w:val="single" w:sz="4" w:space="0" w:color="auto"/>
              <w:bottom w:val="single" w:sz="4" w:space="0" w:color="auto"/>
              <w:right w:val="single" w:sz="4" w:space="0" w:color="auto"/>
            </w:tcBorders>
            <w:vAlign w:val="center"/>
          </w:tcPr>
          <w:p w14:paraId="3D55BEA8" w14:textId="77777777" w:rsidR="00054437" w:rsidRPr="000549B1" w:rsidRDefault="00000000">
            <w:pPr>
              <w:pStyle w:val="afff5"/>
              <w:rPr>
                <w:b/>
                <w:bCs/>
              </w:rPr>
            </w:pPr>
            <w:r w:rsidRPr="000549B1">
              <w:rPr>
                <w:b/>
                <w:bCs/>
              </w:rPr>
              <w:t>评价区平均生物量（</w:t>
            </w:r>
            <w:r w:rsidRPr="000549B1">
              <w:rPr>
                <w:b/>
                <w:bCs/>
              </w:rPr>
              <w:t>t/hm</w:t>
            </w:r>
            <w:r w:rsidRPr="000549B1">
              <w:rPr>
                <w:b/>
                <w:bCs/>
                <w:vertAlign w:val="superscript"/>
              </w:rPr>
              <w:t>2</w:t>
            </w:r>
            <w:r w:rsidRPr="000549B1">
              <w:rPr>
                <w:b/>
                <w:bCs/>
              </w:rPr>
              <w:t>）</w:t>
            </w:r>
          </w:p>
        </w:tc>
      </w:tr>
      <w:tr w:rsidR="000549B1" w:rsidRPr="000549B1" w14:paraId="510760E1" w14:textId="77777777" w:rsidTr="00B81685">
        <w:trPr>
          <w:trHeight w:val="20"/>
          <w:jc w:val="center"/>
        </w:trPr>
        <w:tc>
          <w:tcPr>
            <w:tcW w:w="3065" w:type="dxa"/>
            <w:tcBorders>
              <w:top w:val="single" w:sz="4" w:space="0" w:color="auto"/>
              <w:left w:val="single" w:sz="4" w:space="0" w:color="auto"/>
              <w:bottom w:val="single" w:sz="4" w:space="0" w:color="auto"/>
              <w:right w:val="single" w:sz="4" w:space="0" w:color="auto"/>
            </w:tcBorders>
            <w:noWrap/>
            <w:vAlign w:val="center"/>
          </w:tcPr>
          <w:p w14:paraId="5654E358" w14:textId="77777777" w:rsidR="00054437" w:rsidRPr="000549B1" w:rsidRDefault="00000000">
            <w:pPr>
              <w:pStyle w:val="afff5"/>
              <w:rPr>
                <w:szCs w:val="21"/>
              </w:rPr>
            </w:pPr>
            <w:r w:rsidRPr="000549B1">
              <w:rPr>
                <w:szCs w:val="21"/>
              </w:rPr>
              <w:t>温性落叶阔叶林</w:t>
            </w:r>
          </w:p>
          <w:p w14:paraId="11A28AED" w14:textId="77777777" w:rsidR="00054437" w:rsidRPr="000549B1" w:rsidRDefault="00000000">
            <w:pPr>
              <w:pStyle w:val="afff5"/>
              <w:rPr>
                <w:szCs w:val="21"/>
              </w:rPr>
            </w:pPr>
            <w:r w:rsidRPr="000549B1">
              <w:rPr>
                <w:szCs w:val="21"/>
              </w:rPr>
              <w:t>（小叶杨、青杨等）</w:t>
            </w:r>
          </w:p>
        </w:tc>
        <w:tc>
          <w:tcPr>
            <w:tcW w:w="970" w:type="dxa"/>
            <w:tcBorders>
              <w:top w:val="single" w:sz="4" w:space="0" w:color="auto"/>
              <w:left w:val="single" w:sz="4" w:space="0" w:color="auto"/>
              <w:bottom w:val="single" w:sz="4" w:space="0" w:color="auto"/>
              <w:right w:val="single" w:sz="4" w:space="0" w:color="auto"/>
            </w:tcBorders>
            <w:noWrap/>
            <w:vAlign w:val="center"/>
          </w:tcPr>
          <w:p w14:paraId="23B8656A" w14:textId="77777777" w:rsidR="00054437" w:rsidRPr="000549B1" w:rsidRDefault="00000000">
            <w:pPr>
              <w:pStyle w:val="afff5"/>
              <w:rPr>
                <w:szCs w:val="21"/>
              </w:rPr>
            </w:pPr>
            <w:r w:rsidRPr="000549B1">
              <w:rPr>
                <w:szCs w:val="21"/>
              </w:rPr>
              <w:t>90.57</w:t>
            </w:r>
          </w:p>
        </w:tc>
        <w:tc>
          <w:tcPr>
            <w:tcW w:w="1579" w:type="dxa"/>
            <w:tcBorders>
              <w:top w:val="single" w:sz="4" w:space="0" w:color="auto"/>
              <w:left w:val="single" w:sz="4" w:space="0" w:color="auto"/>
              <w:bottom w:val="single" w:sz="4" w:space="0" w:color="auto"/>
              <w:right w:val="single" w:sz="4" w:space="0" w:color="auto"/>
            </w:tcBorders>
            <w:noWrap/>
            <w:vAlign w:val="center"/>
          </w:tcPr>
          <w:p w14:paraId="741759A3" w14:textId="77777777" w:rsidR="00054437" w:rsidRPr="000549B1" w:rsidRDefault="00000000">
            <w:pPr>
              <w:pStyle w:val="afff5"/>
              <w:rPr>
                <w:szCs w:val="21"/>
              </w:rPr>
            </w:pPr>
            <w:r w:rsidRPr="000549B1">
              <w:rPr>
                <w:szCs w:val="21"/>
              </w:rPr>
              <w:t>60</w:t>
            </w:r>
          </w:p>
        </w:tc>
        <w:tc>
          <w:tcPr>
            <w:tcW w:w="1091" w:type="dxa"/>
            <w:tcBorders>
              <w:top w:val="single" w:sz="4" w:space="0" w:color="auto"/>
              <w:left w:val="single" w:sz="4" w:space="0" w:color="auto"/>
              <w:bottom w:val="single" w:sz="4" w:space="0" w:color="auto"/>
              <w:right w:val="single" w:sz="4" w:space="0" w:color="auto"/>
            </w:tcBorders>
            <w:vAlign w:val="center"/>
          </w:tcPr>
          <w:p w14:paraId="3ED6C304" w14:textId="77777777" w:rsidR="00054437" w:rsidRPr="000549B1" w:rsidRDefault="00000000">
            <w:pPr>
              <w:pStyle w:val="afff5"/>
              <w:rPr>
                <w:szCs w:val="21"/>
              </w:rPr>
            </w:pPr>
            <w:r w:rsidRPr="000549B1">
              <w:rPr>
                <w:szCs w:val="21"/>
              </w:rPr>
              <w:t>54.34</w:t>
            </w:r>
          </w:p>
        </w:tc>
        <w:tc>
          <w:tcPr>
            <w:tcW w:w="1432" w:type="dxa"/>
            <w:vMerge w:val="restart"/>
            <w:tcBorders>
              <w:top w:val="nil"/>
              <w:left w:val="single" w:sz="4" w:space="0" w:color="auto"/>
              <w:bottom w:val="single" w:sz="4" w:space="0" w:color="auto"/>
              <w:right w:val="single" w:sz="4" w:space="0" w:color="auto"/>
            </w:tcBorders>
            <w:vAlign w:val="center"/>
          </w:tcPr>
          <w:p w14:paraId="50045395" w14:textId="77777777" w:rsidR="00054437" w:rsidRPr="000549B1" w:rsidRDefault="00000000">
            <w:pPr>
              <w:pStyle w:val="afff5"/>
            </w:pPr>
            <w:r w:rsidRPr="000549B1">
              <w:rPr>
                <w:szCs w:val="21"/>
              </w:rPr>
              <w:t>22.45</w:t>
            </w:r>
          </w:p>
        </w:tc>
      </w:tr>
      <w:tr w:rsidR="000549B1" w:rsidRPr="000549B1" w14:paraId="157F1487" w14:textId="77777777" w:rsidTr="00B81685">
        <w:trPr>
          <w:trHeight w:val="20"/>
          <w:jc w:val="center"/>
        </w:trPr>
        <w:tc>
          <w:tcPr>
            <w:tcW w:w="3065" w:type="dxa"/>
            <w:tcBorders>
              <w:top w:val="single" w:sz="4" w:space="0" w:color="auto"/>
              <w:left w:val="single" w:sz="4" w:space="0" w:color="auto"/>
              <w:bottom w:val="single" w:sz="4" w:space="0" w:color="auto"/>
              <w:right w:val="single" w:sz="4" w:space="0" w:color="auto"/>
            </w:tcBorders>
            <w:noWrap/>
            <w:vAlign w:val="center"/>
          </w:tcPr>
          <w:p w14:paraId="231C8B34" w14:textId="77777777" w:rsidR="00054437" w:rsidRPr="000549B1" w:rsidRDefault="00000000">
            <w:pPr>
              <w:pStyle w:val="afff5"/>
              <w:rPr>
                <w:szCs w:val="21"/>
              </w:rPr>
            </w:pPr>
            <w:r w:rsidRPr="000549B1">
              <w:rPr>
                <w:szCs w:val="21"/>
              </w:rPr>
              <w:t>温性落叶阔叶灌丛</w:t>
            </w:r>
          </w:p>
          <w:p w14:paraId="19152036" w14:textId="77777777" w:rsidR="00054437" w:rsidRPr="000549B1" w:rsidRDefault="00000000">
            <w:pPr>
              <w:pStyle w:val="afff5"/>
              <w:rPr>
                <w:szCs w:val="21"/>
              </w:rPr>
            </w:pPr>
            <w:r w:rsidRPr="000549B1">
              <w:rPr>
                <w:szCs w:val="21"/>
              </w:rPr>
              <w:t>（柠条锦鸡儿等）</w:t>
            </w:r>
          </w:p>
        </w:tc>
        <w:tc>
          <w:tcPr>
            <w:tcW w:w="970" w:type="dxa"/>
            <w:tcBorders>
              <w:top w:val="single" w:sz="4" w:space="0" w:color="auto"/>
              <w:left w:val="single" w:sz="4" w:space="0" w:color="auto"/>
              <w:bottom w:val="single" w:sz="4" w:space="0" w:color="auto"/>
              <w:right w:val="single" w:sz="4" w:space="0" w:color="auto"/>
            </w:tcBorders>
            <w:noWrap/>
            <w:vAlign w:val="center"/>
          </w:tcPr>
          <w:p w14:paraId="5A8174AF" w14:textId="77777777" w:rsidR="00054437" w:rsidRPr="000549B1" w:rsidRDefault="00000000">
            <w:pPr>
              <w:pStyle w:val="afff5"/>
              <w:rPr>
                <w:szCs w:val="21"/>
              </w:rPr>
            </w:pPr>
            <w:r w:rsidRPr="000549B1">
              <w:rPr>
                <w:szCs w:val="21"/>
              </w:rPr>
              <w:t>214.94</w:t>
            </w:r>
          </w:p>
        </w:tc>
        <w:tc>
          <w:tcPr>
            <w:tcW w:w="1579" w:type="dxa"/>
            <w:tcBorders>
              <w:top w:val="single" w:sz="4" w:space="0" w:color="auto"/>
              <w:left w:val="single" w:sz="4" w:space="0" w:color="auto"/>
              <w:bottom w:val="single" w:sz="4" w:space="0" w:color="auto"/>
              <w:right w:val="single" w:sz="4" w:space="0" w:color="auto"/>
            </w:tcBorders>
            <w:noWrap/>
            <w:vAlign w:val="center"/>
          </w:tcPr>
          <w:p w14:paraId="336638D7" w14:textId="77777777" w:rsidR="00054437" w:rsidRPr="000549B1" w:rsidRDefault="00000000">
            <w:pPr>
              <w:pStyle w:val="afff5"/>
              <w:rPr>
                <w:szCs w:val="21"/>
              </w:rPr>
            </w:pPr>
            <w:r w:rsidRPr="000549B1">
              <w:rPr>
                <w:szCs w:val="21"/>
              </w:rPr>
              <w:t>18</w:t>
            </w:r>
          </w:p>
        </w:tc>
        <w:tc>
          <w:tcPr>
            <w:tcW w:w="1091" w:type="dxa"/>
            <w:tcBorders>
              <w:top w:val="single" w:sz="4" w:space="0" w:color="auto"/>
              <w:left w:val="single" w:sz="4" w:space="0" w:color="auto"/>
              <w:bottom w:val="single" w:sz="4" w:space="0" w:color="auto"/>
              <w:right w:val="single" w:sz="4" w:space="0" w:color="auto"/>
            </w:tcBorders>
            <w:vAlign w:val="center"/>
          </w:tcPr>
          <w:p w14:paraId="739F4CB8" w14:textId="77777777" w:rsidR="00054437" w:rsidRPr="000549B1" w:rsidRDefault="00000000">
            <w:pPr>
              <w:pStyle w:val="afff5"/>
              <w:rPr>
                <w:szCs w:val="21"/>
              </w:rPr>
            </w:pPr>
            <w:r w:rsidRPr="000549B1">
              <w:rPr>
                <w:szCs w:val="21"/>
              </w:rPr>
              <w:t>38.69</w:t>
            </w:r>
          </w:p>
        </w:tc>
        <w:tc>
          <w:tcPr>
            <w:tcW w:w="1432" w:type="dxa"/>
            <w:vMerge/>
            <w:tcBorders>
              <w:top w:val="nil"/>
              <w:left w:val="single" w:sz="4" w:space="0" w:color="auto"/>
              <w:bottom w:val="single" w:sz="4" w:space="0" w:color="auto"/>
              <w:right w:val="single" w:sz="4" w:space="0" w:color="auto"/>
            </w:tcBorders>
            <w:vAlign w:val="center"/>
          </w:tcPr>
          <w:p w14:paraId="414F2D06" w14:textId="77777777" w:rsidR="00054437" w:rsidRPr="000549B1" w:rsidRDefault="00054437">
            <w:pPr>
              <w:pStyle w:val="afff5"/>
            </w:pPr>
          </w:p>
        </w:tc>
      </w:tr>
      <w:tr w:rsidR="000549B1" w:rsidRPr="000549B1" w14:paraId="0DE93E6F" w14:textId="77777777" w:rsidTr="00B81685">
        <w:trPr>
          <w:trHeight w:val="20"/>
          <w:jc w:val="center"/>
        </w:trPr>
        <w:tc>
          <w:tcPr>
            <w:tcW w:w="3065" w:type="dxa"/>
            <w:tcBorders>
              <w:top w:val="single" w:sz="4" w:space="0" w:color="auto"/>
              <w:left w:val="single" w:sz="4" w:space="0" w:color="auto"/>
              <w:bottom w:val="single" w:sz="4" w:space="0" w:color="auto"/>
              <w:right w:val="single" w:sz="4" w:space="0" w:color="auto"/>
            </w:tcBorders>
            <w:noWrap/>
            <w:vAlign w:val="center"/>
          </w:tcPr>
          <w:p w14:paraId="47432E3F" w14:textId="77777777" w:rsidR="00054437" w:rsidRPr="000549B1" w:rsidRDefault="00000000">
            <w:pPr>
              <w:pStyle w:val="afff5"/>
              <w:rPr>
                <w:szCs w:val="21"/>
              </w:rPr>
            </w:pPr>
            <w:r w:rsidRPr="000549B1">
              <w:rPr>
                <w:szCs w:val="21"/>
              </w:rPr>
              <w:t>温带半灌木、矮半灌木荒漠</w:t>
            </w:r>
          </w:p>
          <w:p w14:paraId="7752115B" w14:textId="77777777" w:rsidR="00054437" w:rsidRPr="000549B1" w:rsidRDefault="00000000">
            <w:pPr>
              <w:pStyle w:val="afff5"/>
              <w:rPr>
                <w:szCs w:val="21"/>
              </w:rPr>
            </w:pPr>
            <w:r w:rsidRPr="000549B1">
              <w:rPr>
                <w:szCs w:val="21"/>
              </w:rPr>
              <w:t>（红砂等）</w:t>
            </w:r>
          </w:p>
        </w:tc>
        <w:tc>
          <w:tcPr>
            <w:tcW w:w="970" w:type="dxa"/>
            <w:tcBorders>
              <w:top w:val="single" w:sz="4" w:space="0" w:color="auto"/>
              <w:left w:val="single" w:sz="4" w:space="0" w:color="auto"/>
              <w:bottom w:val="single" w:sz="4" w:space="0" w:color="auto"/>
              <w:right w:val="single" w:sz="4" w:space="0" w:color="auto"/>
            </w:tcBorders>
            <w:noWrap/>
            <w:vAlign w:val="center"/>
          </w:tcPr>
          <w:p w14:paraId="2270D489" w14:textId="77777777" w:rsidR="00054437" w:rsidRPr="000549B1" w:rsidRDefault="00000000">
            <w:pPr>
              <w:pStyle w:val="afff5"/>
              <w:rPr>
                <w:szCs w:val="21"/>
              </w:rPr>
            </w:pPr>
            <w:r w:rsidRPr="000549B1">
              <w:rPr>
                <w:szCs w:val="21"/>
              </w:rPr>
              <w:t>104.04</w:t>
            </w:r>
          </w:p>
        </w:tc>
        <w:tc>
          <w:tcPr>
            <w:tcW w:w="1579" w:type="dxa"/>
            <w:tcBorders>
              <w:top w:val="single" w:sz="4" w:space="0" w:color="auto"/>
              <w:left w:val="single" w:sz="4" w:space="0" w:color="auto"/>
              <w:bottom w:val="single" w:sz="4" w:space="0" w:color="auto"/>
              <w:right w:val="single" w:sz="4" w:space="0" w:color="auto"/>
            </w:tcBorders>
            <w:noWrap/>
            <w:vAlign w:val="center"/>
          </w:tcPr>
          <w:p w14:paraId="5D9644A3" w14:textId="77777777" w:rsidR="00054437" w:rsidRPr="000549B1" w:rsidRDefault="00000000">
            <w:pPr>
              <w:pStyle w:val="afff5"/>
              <w:rPr>
                <w:szCs w:val="21"/>
              </w:rPr>
            </w:pPr>
            <w:r w:rsidRPr="000549B1">
              <w:rPr>
                <w:szCs w:val="21"/>
              </w:rPr>
              <w:t>2.8</w:t>
            </w:r>
          </w:p>
        </w:tc>
        <w:tc>
          <w:tcPr>
            <w:tcW w:w="1091" w:type="dxa"/>
            <w:tcBorders>
              <w:top w:val="single" w:sz="4" w:space="0" w:color="auto"/>
              <w:left w:val="single" w:sz="4" w:space="0" w:color="auto"/>
              <w:bottom w:val="single" w:sz="4" w:space="0" w:color="auto"/>
              <w:right w:val="single" w:sz="4" w:space="0" w:color="auto"/>
            </w:tcBorders>
            <w:vAlign w:val="center"/>
          </w:tcPr>
          <w:p w14:paraId="68D41C3F" w14:textId="77777777" w:rsidR="00054437" w:rsidRPr="000549B1" w:rsidRDefault="00000000">
            <w:pPr>
              <w:pStyle w:val="afff5"/>
              <w:rPr>
                <w:szCs w:val="21"/>
              </w:rPr>
            </w:pPr>
            <w:r w:rsidRPr="000549B1">
              <w:rPr>
                <w:szCs w:val="21"/>
              </w:rPr>
              <w:t>2.91</w:t>
            </w:r>
          </w:p>
        </w:tc>
        <w:tc>
          <w:tcPr>
            <w:tcW w:w="1432" w:type="dxa"/>
            <w:vMerge/>
            <w:tcBorders>
              <w:top w:val="nil"/>
              <w:left w:val="single" w:sz="4" w:space="0" w:color="auto"/>
              <w:bottom w:val="single" w:sz="4" w:space="0" w:color="auto"/>
              <w:right w:val="single" w:sz="4" w:space="0" w:color="auto"/>
            </w:tcBorders>
            <w:vAlign w:val="center"/>
          </w:tcPr>
          <w:p w14:paraId="2C4C8078" w14:textId="77777777" w:rsidR="00054437" w:rsidRPr="000549B1" w:rsidRDefault="00054437">
            <w:pPr>
              <w:pStyle w:val="afff5"/>
            </w:pPr>
          </w:p>
        </w:tc>
      </w:tr>
      <w:tr w:rsidR="000549B1" w:rsidRPr="000549B1" w14:paraId="7A25111E" w14:textId="77777777" w:rsidTr="00B81685">
        <w:trPr>
          <w:trHeight w:val="20"/>
          <w:jc w:val="center"/>
        </w:trPr>
        <w:tc>
          <w:tcPr>
            <w:tcW w:w="3065" w:type="dxa"/>
            <w:tcBorders>
              <w:top w:val="single" w:sz="4" w:space="0" w:color="auto"/>
              <w:left w:val="single" w:sz="4" w:space="0" w:color="auto"/>
              <w:bottom w:val="single" w:sz="4" w:space="0" w:color="auto"/>
              <w:right w:val="single" w:sz="4" w:space="0" w:color="auto"/>
            </w:tcBorders>
            <w:noWrap/>
            <w:vAlign w:val="center"/>
          </w:tcPr>
          <w:p w14:paraId="480CDCB3" w14:textId="77777777" w:rsidR="00054437" w:rsidRPr="000549B1" w:rsidRDefault="00000000">
            <w:pPr>
              <w:pStyle w:val="afff5"/>
              <w:rPr>
                <w:szCs w:val="21"/>
              </w:rPr>
            </w:pPr>
            <w:r w:rsidRPr="000549B1">
              <w:rPr>
                <w:szCs w:val="21"/>
              </w:rPr>
              <w:t>温带丛生禾草典型草原</w:t>
            </w:r>
          </w:p>
          <w:p w14:paraId="307B9798" w14:textId="77777777" w:rsidR="00054437" w:rsidRPr="000549B1" w:rsidRDefault="00000000">
            <w:pPr>
              <w:pStyle w:val="afff5"/>
              <w:rPr>
                <w:szCs w:val="21"/>
              </w:rPr>
            </w:pPr>
            <w:r w:rsidRPr="000549B1">
              <w:rPr>
                <w:szCs w:val="21"/>
              </w:rPr>
              <w:t>（芨芨草、披碱草、冷蒿、狗娃花）</w:t>
            </w:r>
          </w:p>
        </w:tc>
        <w:tc>
          <w:tcPr>
            <w:tcW w:w="970" w:type="dxa"/>
            <w:tcBorders>
              <w:top w:val="single" w:sz="4" w:space="0" w:color="auto"/>
              <w:left w:val="single" w:sz="4" w:space="0" w:color="auto"/>
              <w:bottom w:val="single" w:sz="4" w:space="0" w:color="auto"/>
              <w:right w:val="single" w:sz="4" w:space="0" w:color="auto"/>
            </w:tcBorders>
            <w:noWrap/>
            <w:vAlign w:val="center"/>
          </w:tcPr>
          <w:p w14:paraId="10737086" w14:textId="77777777" w:rsidR="00054437" w:rsidRPr="000549B1" w:rsidRDefault="00000000">
            <w:pPr>
              <w:pStyle w:val="afff5"/>
              <w:rPr>
                <w:szCs w:val="21"/>
              </w:rPr>
            </w:pPr>
            <w:r w:rsidRPr="000549B1">
              <w:rPr>
                <w:szCs w:val="21"/>
              </w:rPr>
              <w:t>7570.86</w:t>
            </w:r>
          </w:p>
        </w:tc>
        <w:tc>
          <w:tcPr>
            <w:tcW w:w="1579" w:type="dxa"/>
            <w:tcBorders>
              <w:top w:val="single" w:sz="4" w:space="0" w:color="auto"/>
              <w:left w:val="single" w:sz="4" w:space="0" w:color="auto"/>
              <w:bottom w:val="single" w:sz="4" w:space="0" w:color="auto"/>
              <w:right w:val="single" w:sz="4" w:space="0" w:color="auto"/>
            </w:tcBorders>
            <w:noWrap/>
            <w:vAlign w:val="center"/>
          </w:tcPr>
          <w:p w14:paraId="37B0710A" w14:textId="77777777" w:rsidR="00054437" w:rsidRPr="000549B1" w:rsidRDefault="00000000">
            <w:pPr>
              <w:pStyle w:val="afff5"/>
              <w:rPr>
                <w:szCs w:val="21"/>
              </w:rPr>
            </w:pPr>
            <w:r w:rsidRPr="000549B1">
              <w:rPr>
                <w:szCs w:val="21"/>
              </w:rPr>
              <w:t>24</w:t>
            </w:r>
          </w:p>
        </w:tc>
        <w:tc>
          <w:tcPr>
            <w:tcW w:w="1091" w:type="dxa"/>
            <w:tcBorders>
              <w:top w:val="single" w:sz="4" w:space="0" w:color="auto"/>
              <w:left w:val="single" w:sz="4" w:space="0" w:color="auto"/>
              <w:bottom w:val="single" w:sz="4" w:space="0" w:color="auto"/>
              <w:right w:val="single" w:sz="4" w:space="0" w:color="auto"/>
            </w:tcBorders>
            <w:vAlign w:val="center"/>
          </w:tcPr>
          <w:p w14:paraId="06ED547E" w14:textId="77777777" w:rsidR="00054437" w:rsidRPr="000549B1" w:rsidRDefault="00000000">
            <w:pPr>
              <w:pStyle w:val="afff5"/>
              <w:rPr>
                <w:szCs w:val="21"/>
              </w:rPr>
            </w:pPr>
            <w:r w:rsidRPr="000549B1">
              <w:rPr>
                <w:szCs w:val="21"/>
              </w:rPr>
              <w:t>1817.01</w:t>
            </w:r>
          </w:p>
        </w:tc>
        <w:tc>
          <w:tcPr>
            <w:tcW w:w="1432" w:type="dxa"/>
            <w:vMerge/>
            <w:tcBorders>
              <w:top w:val="nil"/>
              <w:left w:val="single" w:sz="4" w:space="0" w:color="auto"/>
              <w:bottom w:val="single" w:sz="4" w:space="0" w:color="auto"/>
              <w:right w:val="single" w:sz="4" w:space="0" w:color="auto"/>
            </w:tcBorders>
            <w:vAlign w:val="center"/>
          </w:tcPr>
          <w:p w14:paraId="59CF20AA" w14:textId="77777777" w:rsidR="00054437" w:rsidRPr="000549B1" w:rsidRDefault="00054437">
            <w:pPr>
              <w:pStyle w:val="afff5"/>
            </w:pPr>
          </w:p>
        </w:tc>
      </w:tr>
      <w:tr w:rsidR="000549B1" w:rsidRPr="000549B1" w14:paraId="23B1C23C" w14:textId="77777777" w:rsidTr="00B81685">
        <w:trPr>
          <w:trHeight w:val="20"/>
          <w:jc w:val="center"/>
        </w:trPr>
        <w:tc>
          <w:tcPr>
            <w:tcW w:w="3065" w:type="dxa"/>
            <w:tcBorders>
              <w:top w:val="single" w:sz="4" w:space="0" w:color="auto"/>
              <w:left w:val="single" w:sz="4" w:space="0" w:color="auto"/>
              <w:bottom w:val="single" w:sz="4" w:space="0" w:color="auto"/>
              <w:right w:val="single" w:sz="4" w:space="0" w:color="auto"/>
            </w:tcBorders>
            <w:noWrap/>
            <w:vAlign w:val="center"/>
          </w:tcPr>
          <w:p w14:paraId="7B0E934C" w14:textId="77777777" w:rsidR="00054437" w:rsidRPr="000549B1" w:rsidRDefault="00000000">
            <w:pPr>
              <w:pStyle w:val="afff5"/>
              <w:rPr>
                <w:szCs w:val="21"/>
              </w:rPr>
            </w:pPr>
            <w:r w:rsidRPr="000549B1">
              <w:rPr>
                <w:szCs w:val="21"/>
              </w:rPr>
              <w:t>温带禾草、杂类草草甸</w:t>
            </w:r>
          </w:p>
          <w:p w14:paraId="7935BDEC" w14:textId="77777777" w:rsidR="00054437" w:rsidRPr="000549B1" w:rsidRDefault="00000000">
            <w:pPr>
              <w:pStyle w:val="afff5"/>
              <w:rPr>
                <w:szCs w:val="21"/>
              </w:rPr>
            </w:pPr>
            <w:r w:rsidRPr="000549B1">
              <w:rPr>
                <w:szCs w:val="21"/>
              </w:rPr>
              <w:t>（麻花艽）</w:t>
            </w:r>
          </w:p>
        </w:tc>
        <w:tc>
          <w:tcPr>
            <w:tcW w:w="970" w:type="dxa"/>
            <w:tcBorders>
              <w:top w:val="single" w:sz="4" w:space="0" w:color="auto"/>
              <w:left w:val="single" w:sz="4" w:space="0" w:color="auto"/>
              <w:bottom w:val="single" w:sz="4" w:space="0" w:color="auto"/>
              <w:right w:val="single" w:sz="4" w:space="0" w:color="auto"/>
            </w:tcBorders>
            <w:noWrap/>
            <w:vAlign w:val="center"/>
          </w:tcPr>
          <w:p w14:paraId="1DC3F58E" w14:textId="77777777" w:rsidR="00054437" w:rsidRPr="000549B1" w:rsidRDefault="00000000">
            <w:pPr>
              <w:pStyle w:val="afff5"/>
              <w:rPr>
                <w:szCs w:val="21"/>
              </w:rPr>
            </w:pPr>
            <w:r w:rsidRPr="000549B1">
              <w:rPr>
                <w:szCs w:val="21"/>
              </w:rPr>
              <w:t>162.73</w:t>
            </w:r>
          </w:p>
        </w:tc>
        <w:tc>
          <w:tcPr>
            <w:tcW w:w="1579" w:type="dxa"/>
            <w:tcBorders>
              <w:top w:val="single" w:sz="4" w:space="0" w:color="auto"/>
              <w:left w:val="single" w:sz="4" w:space="0" w:color="auto"/>
              <w:bottom w:val="single" w:sz="4" w:space="0" w:color="auto"/>
              <w:right w:val="single" w:sz="4" w:space="0" w:color="auto"/>
            </w:tcBorders>
            <w:noWrap/>
            <w:vAlign w:val="center"/>
          </w:tcPr>
          <w:p w14:paraId="01B014F1" w14:textId="77777777" w:rsidR="00054437" w:rsidRPr="000549B1" w:rsidRDefault="00000000">
            <w:pPr>
              <w:pStyle w:val="afff5"/>
              <w:rPr>
                <w:szCs w:val="21"/>
              </w:rPr>
            </w:pPr>
            <w:r w:rsidRPr="000549B1">
              <w:rPr>
                <w:szCs w:val="21"/>
              </w:rPr>
              <w:t>4.94</w:t>
            </w:r>
          </w:p>
        </w:tc>
        <w:tc>
          <w:tcPr>
            <w:tcW w:w="1091" w:type="dxa"/>
            <w:tcBorders>
              <w:top w:val="single" w:sz="4" w:space="0" w:color="auto"/>
              <w:left w:val="single" w:sz="4" w:space="0" w:color="auto"/>
              <w:bottom w:val="single" w:sz="4" w:space="0" w:color="auto"/>
              <w:right w:val="single" w:sz="4" w:space="0" w:color="auto"/>
            </w:tcBorders>
            <w:vAlign w:val="center"/>
          </w:tcPr>
          <w:p w14:paraId="5B20188C" w14:textId="77777777" w:rsidR="00054437" w:rsidRPr="000549B1" w:rsidRDefault="00000000">
            <w:pPr>
              <w:pStyle w:val="afff5"/>
              <w:rPr>
                <w:szCs w:val="21"/>
              </w:rPr>
            </w:pPr>
            <w:r w:rsidRPr="000549B1">
              <w:rPr>
                <w:szCs w:val="21"/>
              </w:rPr>
              <w:t>8.04</w:t>
            </w:r>
          </w:p>
        </w:tc>
        <w:tc>
          <w:tcPr>
            <w:tcW w:w="1432" w:type="dxa"/>
            <w:vMerge/>
            <w:tcBorders>
              <w:top w:val="nil"/>
              <w:left w:val="single" w:sz="4" w:space="0" w:color="auto"/>
              <w:bottom w:val="single" w:sz="4" w:space="0" w:color="auto"/>
              <w:right w:val="single" w:sz="4" w:space="0" w:color="auto"/>
            </w:tcBorders>
            <w:vAlign w:val="center"/>
          </w:tcPr>
          <w:p w14:paraId="795A9923" w14:textId="77777777" w:rsidR="00054437" w:rsidRPr="000549B1" w:rsidRDefault="00054437">
            <w:pPr>
              <w:pStyle w:val="afff5"/>
            </w:pPr>
          </w:p>
        </w:tc>
      </w:tr>
      <w:tr w:rsidR="000549B1" w:rsidRPr="000549B1" w14:paraId="5954690E" w14:textId="77777777" w:rsidTr="00B81685">
        <w:trPr>
          <w:trHeight w:val="20"/>
          <w:jc w:val="center"/>
        </w:trPr>
        <w:tc>
          <w:tcPr>
            <w:tcW w:w="3065" w:type="dxa"/>
            <w:tcBorders>
              <w:top w:val="single" w:sz="4" w:space="0" w:color="auto"/>
              <w:left w:val="single" w:sz="4" w:space="0" w:color="auto"/>
              <w:bottom w:val="single" w:sz="4" w:space="0" w:color="auto"/>
              <w:right w:val="single" w:sz="4" w:space="0" w:color="auto"/>
            </w:tcBorders>
            <w:noWrap/>
            <w:vAlign w:val="center"/>
          </w:tcPr>
          <w:p w14:paraId="75754EA3" w14:textId="77777777" w:rsidR="00054437" w:rsidRPr="000549B1" w:rsidRDefault="00000000">
            <w:pPr>
              <w:pStyle w:val="afff5"/>
              <w:rPr>
                <w:szCs w:val="21"/>
              </w:rPr>
            </w:pPr>
            <w:r w:rsidRPr="000549B1">
              <w:rPr>
                <w:szCs w:val="21"/>
              </w:rPr>
              <w:t>—</w:t>
            </w:r>
            <w:r w:rsidRPr="000549B1">
              <w:rPr>
                <w:szCs w:val="21"/>
              </w:rPr>
              <w:t>年一熟粮食作物及耐寒经济作物（青稞、马铃薯等）</w:t>
            </w:r>
          </w:p>
        </w:tc>
        <w:tc>
          <w:tcPr>
            <w:tcW w:w="970" w:type="dxa"/>
            <w:tcBorders>
              <w:top w:val="single" w:sz="4" w:space="0" w:color="auto"/>
              <w:left w:val="single" w:sz="4" w:space="0" w:color="auto"/>
              <w:bottom w:val="single" w:sz="4" w:space="0" w:color="auto"/>
              <w:right w:val="single" w:sz="4" w:space="0" w:color="auto"/>
            </w:tcBorders>
            <w:noWrap/>
            <w:vAlign w:val="center"/>
          </w:tcPr>
          <w:p w14:paraId="3056B110" w14:textId="77777777" w:rsidR="00054437" w:rsidRPr="000549B1" w:rsidRDefault="00000000">
            <w:pPr>
              <w:pStyle w:val="afff5"/>
              <w:rPr>
                <w:szCs w:val="21"/>
              </w:rPr>
            </w:pPr>
            <w:r w:rsidRPr="000549B1">
              <w:rPr>
                <w:szCs w:val="21"/>
              </w:rPr>
              <w:t>195.94</w:t>
            </w:r>
          </w:p>
        </w:tc>
        <w:tc>
          <w:tcPr>
            <w:tcW w:w="1579" w:type="dxa"/>
            <w:tcBorders>
              <w:top w:val="single" w:sz="4" w:space="0" w:color="auto"/>
              <w:left w:val="single" w:sz="4" w:space="0" w:color="auto"/>
              <w:bottom w:val="single" w:sz="4" w:space="0" w:color="auto"/>
              <w:right w:val="single" w:sz="4" w:space="0" w:color="auto"/>
            </w:tcBorders>
            <w:noWrap/>
            <w:vAlign w:val="center"/>
          </w:tcPr>
          <w:p w14:paraId="08D37162" w14:textId="77777777" w:rsidR="00054437" w:rsidRPr="000549B1" w:rsidRDefault="00000000">
            <w:pPr>
              <w:pStyle w:val="afff5"/>
              <w:rPr>
                <w:szCs w:val="21"/>
              </w:rPr>
            </w:pPr>
            <w:r w:rsidRPr="000549B1">
              <w:rPr>
                <w:szCs w:val="21"/>
              </w:rPr>
              <w:t>12</w:t>
            </w:r>
          </w:p>
        </w:tc>
        <w:tc>
          <w:tcPr>
            <w:tcW w:w="1091" w:type="dxa"/>
            <w:tcBorders>
              <w:top w:val="single" w:sz="4" w:space="0" w:color="auto"/>
              <w:left w:val="single" w:sz="4" w:space="0" w:color="auto"/>
              <w:bottom w:val="single" w:sz="4" w:space="0" w:color="auto"/>
              <w:right w:val="single" w:sz="4" w:space="0" w:color="auto"/>
            </w:tcBorders>
            <w:vAlign w:val="center"/>
          </w:tcPr>
          <w:p w14:paraId="32B1636A" w14:textId="77777777" w:rsidR="00054437" w:rsidRPr="000549B1" w:rsidRDefault="00000000">
            <w:pPr>
              <w:pStyle w:val="afff5"/>
              <w:rPr>
                <w:szCs w:val="21"/>
              </w:rPr>
            </w:pPr>
            <w:r w:rsidRPr="000549B1">
              <w:rPr>
                <w:szCs w:val="21"/>
              </w:rPr>
              <w:t>23.51</w:t>
            </w:r>
          </w:p>
        </w:tc>
        <w:tc>
          <w:tcPr>
            <w:tcW w:w="1432" w:type="dxa"/>
            <w:vMerge/>
            <w:tcBorders>
              <w:top w:val="nil"/>
              <w:left w:val="single" w:sz="4" w:space="0" w:color="auto"/>
              <w:bottom w:val="single" w:sz="4" w:space="0" w:color="auto"/>
              <w:right w:val="single" w:sz="4" w:space="0" w:color="auto"/>
            </w:tcBorders>
            <w:vAlign w:val="center"/>
          </w:tcPr>
          <w:p w14:paraId="5A3FB6CB" w14:textId="77777777" w:rsidR="00054437" w:rsidRPr="000549B1" w:rsidRDefault="00054437">
            <w:pPr>
              <w:pStyle w:val="afff5"/>
            </w:pPr>
          </w:p>
        </w:tc>
      </w:tr>
      <w:tr w:rsidR="000549B1" w:rsidRPr="000549B1" w14:paraId="4219D70F" w14:textId="77777777" w:rsidTr="00B81685">
        <w:trPr>
          <w:trHeight w:val="20"/>
          <w:jc w:val="center"/>
        </w:trPr>
        <w:tc>
          <w:tcPr>
            <w:tcW w:w="3065" w:type="dxa"/>
            <w:tcBorders>
              <w:top w:val="single" w:sz="4" w:space="0" w:color="auto"/>
              <w:left w:val="single" w:sz="4" w:space="0" w:color="auto"/>
              <w:bottom w:val="single" w:sz="4" w:space="0" w:color="auto"/>
              <w:right w:val="single" w:sz="4" w:space="0" w:color="auto"/>
            </w:tcBorders>
            <w:noWrap/>
            <w:vAlign w:val="center"/>
          </w:tcPr>
          <w:p w14:paraId="164F19BA" w14:textId="77777777" w:rsidR="00054437" w:rsidRPr="000549B1" w:rsidRDefault="00000000">
            <w:pPr>
              <w:pStyle w:val="afff5"/>
              <w:rPr>
                <w:szCs w:val="21"/>
              </w:rPr>
            </w:pPr>
            <w:r w:rsidRPr="000549B1">
              <w:rPr>
                <w:szCs w:val="21"/>
              </w:rPr>
              <w:t>水域、道路等</w:t>
            </w:r>
          </w:p>
        </w:tc>
        <w:tc>
          <w:tcPr>
            <w:tcW w:w="970" w:type="dxa"/>
            <w:tcBorders>
              <w:top w:val="single" w:sz="4" w:space="0" w:color="auto"/>
              <w:left w:val="single" w:sz="4" w:space="0" w:color="auto"/>
              <w:bottom w:val="single" w:sz="4" w:space="0" w:color="auto"/>
              <w:right w:val="single" w:sz="4" w:space="0" w:color="auto"/>
            </w:tcBorders>
            <w:noWrap/>
            <w:vAlign w:val="center"/>
          </w:tcPr>
          <w:p w14:paraId="739AADAA" w14:textId="77777777" w:rsidR="00054437" w:rsidRPr="000549B1" w:rsidRDefault="00000000">
            <w:pPr>
              <w:pStyle w:val="afff5"/>
              <w:rPr>
                <w:szCs w:val="21"/>
              </w:rPr>
            </w:pPr>
            <w:r w:rsidRPr="000549B1">
              <w:rPr>
                <w:szCs w:val="21"/>
              </w:rPr>
              <w:t>328.52</w:t>
            </w:r>
          </w:p>
        </w:tc>
        <w:tc>
          <w:tcPr>
            <w:tcW w:w="1579" w:type="dxa"/>
            <w:tcBorders>
              <w:top w:val="single" w:sz="4" w:space="0" w:color="auto"/>
              <w:left w:val="single" w:sz="4" w:space="0" w:color="auto"/>
              <w:bottom w:val="single" w:sz="4" w:space="0" w:color="auto"/>
              <w:right w:val="single" w:sz="4" w:space="0" w:color="auto"/>
            </w:tcBorders>
            <w:noWrap/>
            <w:vAlign w:val="center"/>
          </w:tcPr>
          <w:p w14:paraId="10053C56" w14:textId="77777777" w:rsidR="00054437" w:rsidRPr="000549B1" w:rsidRDefault="00000000">
            <w:pPr>
              <w:pStyle w:val="afff5"/>
              <w:rPr>
                <w:szCs w:val="21"/>
              </w:rPr>
            </w:pPr>
            <w:r w:rsidRPr="000549B1">
              <w:rPr>
                <w:szCs w:val="21"/>
              </w:rPr>
              <w:t>0.5</w:t>
            </w:r>
          </w:p>
        </w:tc>
        <w:tc>
          <w:tcPr>
            <w:tcW w:w="1091" w:type="dxa"/>
            <w:tcBorders>
              <w:top w:val="single" w:sz="4" w:space="0" w:color="auto"/>
              <w:left w:val="single" w:sz="4" w:space="0" w:color="auto"/>
              <w:bottom w:val="single" w:sz="4" w:space="0" w:color="auto"/>
              <w:right w:val="single" w:sz="4" w:space="0" w:color="auto"/>
            </w:tcBorders>
            <w:vAlign w:val="center"/>
          </w:tcPr>
          <w:p w14:paraId="33E8602C" w14:textId="77777777" w:rsidR="00054437" w:rsidRPr="000549B1" w:rsidRDefault="00000000">
            <w:pPr>
              <w:pStyle w:val="afff5"/>
              <w:rPr>
                <w:szCs w:val="21"/>
              </w:rPr>
            </w:pPr>
            <w:r w:rsidRPr="000549B1">
              <w:rPr>
                <w:szCs w:val="21"/>
              </w:rPr>
              <w:t>1.64</w:t>
            </w:r>
          </w:p>
        </w:tc>
        <w:tc>
          <w:tcPr>
            <w:tcW w:w="1432" w:type="dxa"/>
            <w:vMerge/>
            <w:tcBorders>
              <w:top w:val="nil"/>
              <w:left w:val="single" w:sz="4" w:space="0" w:color="auto"/>
              <w:bottom w:val="single" w:sz="4" w:space="0" w:color="auto"/>
              <w:right w:val="single" w:sz="4" w:space="0" w:color="auto"/>
            </w:tcBorders>
            <w:vAlign w:val="center"/>
          </w:tcPr>
          <w:p w14:paraId="74BE42E9" w14:textId="77777777" w:rsidR="00054437" w:rsidRPr="000549B1" w:rsidRDefault="00054437">
            <w:pPr>
              <w:pStyle w:val="afff5"/>
            </w:pPr>
          </w:p>
        </w:tc>
      </w:tr>
      <w:tr w:rsidR="000549B1" w:rsidRPr="000549B1" w14:paraId="531C7854" w14:textId="77777777" w:rsidTr="00B81685">
        <w:trPr>
          <w:trHeight w:val="20"/>
          <w:jc w:val="center"/>
        </w:trPr>
        <w:tc>
          <w:tcPr>
            <w:tcW w:w="3065" w:type="dxa"/>
            <w:tcBorders>
              <w:top w:val="single" w:sz="4" w:space="0" w:color="auto"/>
              <w:left w:val="single" w:sz="4" w:space="0" w:color="auto"/>
              <w:bottom w:val="single" w:sz="4" w:space="0" w:color="auto"/>
              <w:right w:val="single" w:sz="4" w:space="0" w:color="auto"/>
            </w:tcBorders>
            <w:noWrap/>
            <w:vAlign w:val="center"/>
          </w:tcPr>
          <w:p w14:paraId="745C425F" w14:textId="77777777" w:rsidR="00B81685" w:rsidRPr="000549B1" w:rsidRDefault="00B81685" w:rsidP="00B81685">
            <w:pPr>
              <w:pStyle w:val="afff5"/>
              <w:rPr>
                <w:szCs w:val="21"/>
              </w:rPr>
            </w:pPr>
            <w:r w:rsidRPr="000549B1">
              <w:rPr>
                <w:szCs w:val="21"/>
              </w:rPr>
              <w:t>合计</w:t>
            </w:r>
          </w:p>
        </w:tc>
        <w:tc>
          <w:tcPr>
            <w:tcW w:w="970" w:type="dxa"/>
            <w:tcBorders>
              <w:top w:val="single" w:sz="4" w:space="0" w:color="auto"/>
              <w:left w:val="single" w:sz="4" w:space="0" w:color="auto"/>
              <w:bottom w:val="single" w:sz="4" w:space="0" w:color="auto"/>
              <w:right w:val="single" w:sz="4" w:space="0" w:color="auto"/>
            </w:tcBorders>
            <w:noWrap/>
            <w:vAlign w:val="center"/>
          </w:tcPr>
          <w:p w14:paraId="126B343F" w14:textId="3B483B8C" w:rsidR="00B81685" w:rsidRPr="000549B1" w:rsidRDefault="00B81685" w:rsidP="00B81685">
            <w:pPr>
              <w:pStyle w:val="afff5"/>
              <w:rPr>
                <w:szCs w:val="21"/>
              </w:rPr>
            </w:pPr>
            <w:r w:rsidRPr="000549B1">
              <w:rPr>
                <w:szCs w:val="21"/>
              </w:rPr>
              <w:t>866</w:t>
            </w:r>
            <w:r w:rsidRPr="000549B1">
              <w:rPr>
                <w:rFonts w:hint="eastAsia"/>
                <w:szCs w:val="21"/>
              </w:rPr>
              <w:t>0</w:t>
            </w:r>
            <w:r w:rsidRPr="000549B1">
              <w:rPr>
                <w:szCs w:val="21"/>
              </w:rPr>
              <w:t>.</w:t>
            </w:r>
            <w:r w:rsidRPr="000549B1">
              <w:rPr>
                <w:rFonts w:hint="eastAsia"/>
                <w:szCs w:val="21"/>
              </w:rPr>
              <w:t>0</w:t>
            </w:r>
            <w:r w:rsidRPr="000549B1">
              <w:rPr>
                <w:szCs w:val="21"/>
              </w:rPr>
              <w:t>0</w:t>
            </w:r>
          </w:p>
        </w:tc>
        <w:tc>
          <w:tcPr>
            <w:tcW w:w="1579" w:type="dxa"/>
            <w:tcBorders>
              <w:top w:val="single" w:sz="4" w:space="0" w:color="auto"/>
              <w:left w:val="single" w:sz="4" w:space="0" w:color="auto"/>
              <w:bottom w:val="single" w:sz="4" w:space="0" w:color="auto"/>
              <w:right w:val="single" w:sz="4" w:space="0" w:color="auto"/>
            </w:tcBorders>
            <w:noWrap/>
            <w:vAlign w:val="center"/>
          </w:tcPr>
          <w:p w14:paraId="35C00092" w14:textId="77777777" w:rsidR="00B81685" w:rsidRPr="000549B1" w:rsidRDefault="00B81685" w:rsidP="00B81685">
            <w:pPr>
              <w:pStyle w:val="afff5"/>
              <w:rPr>
                <w:szCs w:val="21"/>
              </w:rPr>
            </w:pPr>
            <w:r w:rsidRPr="000549B1">
              <w:rPr>
                <w:szCs w:val="21"/>
              </w:rPr>
              <w:t>/</w:t>
            </w:r>
          </w:p>
        </w:tc>
        <w:tc>
          <w:tcPr>
            <w:tcW w:w="1091" w:type="dxa"/>
            <w:tcBorders>
              <w:top w:val="single" w:sz="4" w:space="0" w:color="auto"/>
              <w:left w:val="single" w:sz="4" w:space="0" w:color="auto"/>
              <w:bottom w:val="single" w:sz="4" w:space="0" w:color="auto"/>
              <w:right w:val="single" w:sz="4" w:space="0" w:color="auto"/>
            </w:tcBorders>
            <w:vAlign w:val="center"/>
          </w:tcPr>
          <w:p w14:paraId="21E2B6E9" w14:textId="77777777" w:rsidR="00B81685" w:rsidRPr="000549B1" w:rsidRDefault="00B81685" w:rsidP="00B81685">
            <w:pPr>
              <w:pStyle w:val="afff5"/>
              <w:rPr>
                <w:szCs w:val="21"/>
              </w:rPr>
            </w:pPr>
            <w:r w:rsidRPr="000549B1">
              <w:rPr>
                <w:szCs w:val="21"/>
              </w:rPr>
              <w:t>1946.14</w:t>
            </w:r>
          </w:p>
        </w:tc>
        <w:tc>
          <w:tcPr>
            <w:tcW w:w="1432" w:type="dxa"/>
            <w:vMerge/>
            <w:tcBorders>
              <w:top w:val="nil"/>
              <w:left w:val="single" w:sz="4" w:space="0" w:color="auto"/>
              <w:bottom w:val="single" w:sz="4" w:space="0" w:color="auto"/>
              <w:right w:val="single" w:sz="4" w:space="0" w:color="auto"/>
            </w:tcBorders>
            <w:vAlign w:val="center"/>
          </w:tcPr>
          <w:p w14:paraId="118FC244" w14:textId="77777777" w:rsidR="00B81685" w:rsidRPr="000549B1" w:rsidRDefault="00B81685" w:rsidP="00B81685">
            <w:pPr>
              <w:pStyle w:val="afff5"/>
            </w:pPr>
          </w:p>
        </w:tc>
      </w:tr>
    </w:tbl>
    <w:p w14:paraId="06410F40" w14:textId="77777777" w:rsidR="00054437" w:rsidRPr="000549B1" w:rsidRDefault="00000000">
      <w:pPr>
        <w:spacing w:line="360" w:lineRule="auto"/>
        <w:ind w:firstLine="480"/>
        <w:rPr>
          <w:sz w:val="24"/>
          <w:szCs w:val="24"/>
        </w:rPr>
      </w:pPr>
      <w:r w:rsidRPr="000549B1">
        <w:rPr>
          <w:sz w:val="24"/>
          <w:szCs w:val="24"/>
        </w:rPr>
        <w:t>经计算，评价区总生物量为</w:t>
      </w:r>
      <w:r w:rsidRPr="000549B1">
        <w:rPr>
          <w:sz w:val="24"/>
          <w:szCs w:val="24"/>
        </w:rPr>
        <w:t>1946.14</w:t>
      </w:r>
      <w:r w:rsidRPr="000549B1">
        <w:rPr>
          <w:sz w:val="24"/>
          <w:szCs w:val="24"/>
        </w:rPr>
        <w:t>万</w:t>
      </w:r>
      <w:r w:rsidRPr="000549B1">
        <w:rPr>
          <w:sz w:val="24"/>
          <w:szCs w:val="24"/>
        </w:rPr>
        <w:t>t</w:t>
      </w:r>
      <w:r w:rsidRPr="000549B1">
        <w:rPr>
          <w:sz w:val="24"/>
          <w:szCs w:val="24"/>
        </w:rPr>
        <w:t>，平均生物量为</w:t>
      </w:r>
      <w:r w:rsidRPr="000549B1">
        <w:rPr>
          <w:sz w:val="24"/>
          <w:szCs w:val="24"/>
        </w:rPr>
        <w:t>22.45t/hm</w:t>
      </w:r>
      <w:r w:rsidRPr="000549B1">
        <w:rPr>
          <w:sz w:val="24"/>
          <w:szCs w:val="24"/>
          <w:vertAlign w:val="superscript"/>
        </w:rPr>
        <w:t>2</w:t>
      </w:r>
      <w:r w:rsidRPr="000549B1">
        <w:rPr>
          <w:sz w:val="24"/>
          <w:szCs w:val="24"/>
        </w:rPr>
        <w:t>，低于全球大陆生物量平均值</w:t>
      </w:r>
      <w:r w:rsidRPr="000549B1">
        <w:rPr>
          <w:sz w:val="24"/>
          <w:szCs w:val="24"/>
        </w:rPr>
        <w:t>123t/hm</w:t>
      </w:r>
      <w:r w:rsidRPr="000549B1">
        <w:rPr>
          <w:sz w:val="24"/>
          <w:szCs w:val="24"/>
          <w:vertAlign w:val="superscript"/>
        </w:rPr>
        <w:t>2</w:t>
      </w:r>
      <w:r w:rsidRPr="000549B1">
        <w:rPr>
          <w:sz w:val="24"/>
          <w:szCs w:val="24"/>
        </w:rPr>
        <w:t>（</w:t>
      </w:r>
      <w:r w:rsidRPr="000549B1">
        <w:rPr>
          <w:sz w:val="24"/>
          <w:szCs w:val="24"/>
        </w:rPr>
        <w:t>Smith</w:t>
      </w:r>
      <w:r w:rsidRPr="000549B1">
        <w:rPr>
          <w:sz w:val="24"/>
          <w:szCs w:val="24"/>
        </w:rPr>
        <w:t>，</w:t>
      </w:r>
      <w:r w:rsidRPr="000549B1">
        <w:rPr>
          <w:sz w:val="24"/>
          <w:szCs w:val="24"/>
        </w:rPr>
        <w:t>1976</w:t>
      </w:r>
      <w:r w:rsidRPr="000549B1">
        <w:rPr>
          <w:sz w:val="24"/>
          <w:szCs w:val="24"/>
        </w:rPr>
        <w:t>）。</w:t>
      </w:r>
    </w:p>
    <w:p w14:paraId="08F2D0D6" w14:textId="77777777" w:rsidR="00054437" w:rsidRPr="000549B1" w:rsidRDefault="00000000">
      <w:pPr>
        <w:pStyle w:val="3"/>
      </w:pPr>
      <w:bookmarkStart w:id="262" w:name="_Toc216107020"/>
      <w:r w:rsidRPr="000549B1">
        <w:t>陆生植物现状</w:t>
      </w:r>
      <w:bookmarkEnd w:id="262"/>
    </w:p>
    <w:p w14:paraId="66425943" w14:textId="77777777" w:rsidR="00054437" w:rsidRPr="000549B1" w:rsidRDefault="00000000">
      <w:pPr>
        <w:pStyle w:val="Z4"/>
        <w:rPr>
          <w:color w:val="auto"/>
        </w:rPr>
      </w:pPr>
      <w:r w:rsidRPr="000549B1">
        <w:rPr>
          <w:color w:val="auto"/>
        </w:rPr>
        <w:t>种类组成</w:t>
      </w:r>
    </w:p>
    <w:p w14:paraId="1A675009" w14:textId="77777777" w:rsidR="00054437" w:rsidRPr="000549B1" w:rsidRDefault="00000000">
      <w:pPr>
        <w:spacing w:line="360" w:lineRule="auto"/>
        <w:ind w:firstLine="480"/>
        <w:rPr>
          <w:sz w:val="24"/>
          <w:szCs w:val="24"/>
        </w:rPr>
      </w:pPr>
      <w:r w:rsidRPr="000549B1">
        <w:rPr>
          <w:sz w:val="24"/>
          <w:szCs w:val="24"/>
        </w:rPr>
        <w:t>经调查，评价区现有野生种子植物</w:t>
      </w:r>
      <w:r w:rsidRPr="000549B1">
        <w:rPr>
          <w:sz w:val="24"/>
          <w:szCs w:val="24"/>
        </w:rPr>
        <w:t>21</w:t>
      </w:r>
      <w:r w:rsidRPr="000549B1">
        <w:rPr>
          <w:sz w:val="24"/>
          <w:szCs w:val="24"/>
        </w:rPr>
        <w:t>目</w:t>
      </w:r>
      <w:r w:rsidRPr="000549B1">
        <w:rPr>
          <w:sz w:val="24"/>
          <w:szCs w:val="24"/>
        </w:rPr>
        <w:t>46</w:t>
      </w:r>
      <w:r w:rsidRPr="000549B1">
        <w:rPr>
          <w:sz w:val="24"/>
          <w:szCs w:val="24"/>
        </w:rPr>
        <w:t>科</w:t>
      </w:r>
      <w:r w:rsidRPr="000549B1">
        <w:rPr>
          <w:sz w:val="24"/>
          <w:szCs w:val="24"/>
        </w:rPr>
        <w:t>166</w:t>
      </w:r>
      <w:r w:rsidRPr="000549B1">
        <w:rPr>
          <w:sz w:val="24"/>
          <w:szCs w:val="24"/>
        </w:rPr>
        <w:t>属</w:t>
      </w:r>
      <w:r w:rsidRPr="000549B1">
        <w:rPr>
          <w:sz w:val="24"/>
          <w:szCs w:val="24"/>
        </w:rPr>
        <w:t>276</w:t>
      </w:r>
      <w:r w:rsidRPr="000549B1">
        <w:rPr>
          <w:sz w:val="24"/>
          <w:szCs w:val="24"/>
        </w:rPr>
        <w:t>种，其中裸子植物有</w:t>
      </w:r>
      <w:r w:rsidRPr="000549B1">
        <w:rPr>
          <w:sz w:val="24"/>
          <w:szCs w:val="24"/>
        </w:rPr>
        <w:t>1</w:t>
      </w:r>
      <w:r w:rsidRPr="000549B1">
        <w:rPr>
          <w:sz w:val="24"/>
          <w:szCs w:val="24"/>
        </w:rPr>
        <w:t>目</w:t>
      </w:r>
      <w:r w:rsidRPr="000549B1">
        <w:rPr>
          <w:sz w:val="24"/>
          <w:szCs w:val="24"/>
        </w:rPr>
        <w:t>1</w:t>
      </w:r>
      <w:r w:rsidRPr="000549B1">
        <w:rPr>
          <w:sz w:val="24"/>
          <w:szCs w:val="24"/>
        </w:rPr>
        <w:t>科</w:t>
      </w:r>
      <w:r w:rsidRPr="000549B1">
        <w:rPr>
          <w:sz w:val="24"/>
          <w:szCs w:val="24"/>
        </w:rPr>
        <w:t>1</w:t>
      </w:r>
      <w:r w:rsidRPr="000549B1">
        <w:rPr>
          <w:sz w:val="24"/>
          <w:szCs w:val="24"/>
        </w:rPr>
        <w:t>属</w:t>
      </w:r>
      <w:r w:rsidRPr="000549B1">
        <w:rPr>
          <w:sz w:val="24"/>
          <w:szCs w:val="24"/>
        </w:rPr>
        <w:t>1</w:t>
      </w:r>
      <w:r w:rsidRPr="000549B1">
        <w:rPr>
          <w:sz w:val="24"/>
          <w:szCs w:val="24"/>
        </w:rPr>
        <w:t>种，被子植物计</w:t>
      </w:r>
      <w:r w:rsidRPr="000549B1">
        <w:rPr>
          <w:sz w:val="24"/>
          <w:szCs w:val="24"/>
        </w:rPr>
        <w:t>20</w:t>
      </w:r>
      <w:r w:rsidRPr="000549B1">
        <w:rPr>
          <w:sz w:val="24"/>
          <w:szCs w:val="24"/>
        </w:rPr>
        <w:t>目</w:t>
      </w:r>
      <w:r w:rsidRPr="000549B1">
        <w:rPr>
          <w:sz w:val="24"/>
          <w:szCs w:val="24"/>
        </w:rPr>
        <w:t>45</w:t>
      </w:r>
      <w:r w:rsidRPr="000549B1">
        <w:rPr>
          <w:sz w:val="24"/>
          <w:szCs w:val="24"/>
        </w:rPr>
        <w:t>科</w:t>
      </w:r>
      <w:r w:rsidRPr="000549B1">
        <w:rPr>
          <w:sz w:val="24"/>
          <w:szCs w:val="24"/>
        </w:rPr>
        <w:t>165</w:t>
      </w:r>
      <w:r w:rsidRPr="000549B1">
        <w:rPr>
          <w:sz w:val="24"/>
          <w:szCs w:val="24"/>
        </w:rPr>
        <w:t>属</w:t>
      </w:r>
      <w:r w:rsidRPr="000549B1">
        <w:rPr>
          <w:sz w:val="24"/>
          <w:szCs w:val="24"/>
        </w:rPr>
        <w:t>275</w:t>
      </w:r>
      <w:r w:rsidRPr="000549B1">
        <w:rPr>
          <w:sz w:val="24"/>
          <w:szCs w:val="24"/>
        </w:rPr>
        <w:t>种。评价区野生植物种类详见附录。</w:t>
      </w:r>
    </w:p>
    <w:p w14:paraId="087623F1" w14:textId="408C398B" w:rsidR="00054437" w:rsidRPr="000549B1" w:rsidRDefault="00000000">
      <w:pPr>
        <w:pStyle w:val="0A51"/>
        <w:ind w:firstLine="422"/>
      </w:pPr>
      <w:r w:rsidRPr="000549B1">
        <w:t>表</w:t>
      </w:r>
      <w:fldSimple w:instr=" STYLEREF 2 \s ">
        <w:r w:rsidR="00372953">
          <w:rPr>
            <w:noProof/>
          </w:rPr>
          <w:t>3.5</w:t>
        </w:r>
      </w:fldSimple>
      <w:r w:rsidR="00372953">
        <w:noBreakHyphen/>
      </w:r>
      <w:r w:rsidR="00372953">
        <w:fldChar w:fldCharType="begin"/>
      </w:r>
      <w:r w:rsidR="00372953">
        <w:instrText xml:space="preserve"> SEQ </w:instrText>
      </w:r>
      <w:r w:rsidR="00372953">
        <w:instrText>表</w:instrText>
      </w:r>
      <w:r w:rsidR="00372953">
        <w:instrText xml:space="preserve"> \* ARABIC \s 2 </w:instrText>
      </w:r>
      <w:r w:rsidR="00372953">
        <w:fldChar w:fldCharType="separate"/>
      </w:r>
      <w:r w:rsidR="00372953">
        <w:rPr>
          <w:noProof/>
        </w:rPr>
        <w:t>6</w:t>
      </w:r>
      <w:r w:rsidR="00372953">
        <w:fldChar w:fldCharType="end"/>
      </w:r>
      <w:r w:rsidRPr="000549B1">
        <w:t>评价区植物种类组成</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2"/>
        <w:gridCol w:w="978"/>
        <w:gridCol w:w="977"/>
        <w:gridCol w:w="1140"/>
        <w:gridCol w:w="1142"/>
        <w:gridCol w:w="1032"/>
        <w:gridCol w:w="1085"/>
      </w:tblGrid>
      <w:tr w:rsidR="000549B1" w:rsidRPr="000549B1" w14:paraId="6A03630E" w14:textId="77777777">
        <w:trPr>
          <w:trHeight w:val="288"/>
        </w:trPr>
        <w:tc>
          <w:tcPr>
            <w:tcW w:w="1170" w:type="pct"/>
            <w:vMerge w:val="restart"/>
            <w:tcBorders>
              <w:top w:val="single" w:sz="4" w:space="0" w:color="auto"/>
              <w:left w:val="single" w:sz="4" w:space="0" w:color="auto"/>
              <w:bottom w:val="single" w:sz="4" w:space="0" w:color="auto"/>
              <w:right w:val="single" w:sz="4" w:space="0" w:color="auto"/>
            </w:tcBorders>
            <w:vAlign w:val="center"/>
          </w:tcPr>
          <w:p w14:paraId="374D90A5" w14:textId="77777777" w:rsidR="00054437" w:rsidRPr="000549B1" w:rsidRDefault="00000000">
            <w:pPr>
              <w:pStyle w:val="afff5"/>
              <w:rPr>
                <w:b/>
                <w:bCs/>
                <w:szCs w:val="21"/>
              </w:rPr>
            </w:pPr>
            <w:r w:rsidRPr="000549B1">
              <w:rPr>
                <w:b/>
                <w:bCs/>
                <w:szCs w:val="21"/>
              </w:rPr>
              <w:t>分类</w:t>
            </w:r>
          </w:p>
        </w:tc>
        <w:tc>
          <w:tcPr>
            <w:tcW w:w="2553" w:type="pct"/>
            <w:gridSpan w:val="4"/>
            <w:tcBorders>
              <w:top w:val="single" w:sz="4" w:space="0" w:color="auto"/>
              <w:left w:val="single" w:sz="4" w:space="0" w:color="auto"/>
              <w:bottom w:val="single" w:sz="4" w:space="0" w:color="auto"/>
              <w:right w:val="single" w:sz="4" w:space="0" w:color="auto"/>
            </w:tcBorders>
            <w:vAlign w:val="center"/>
          </w:tcPr>
          <w:p w14:paraId="35B2D758" w14:textId="77777777" w:rsidR="00054437" w:rsidRPr="000549B1" w:rsidRDefault="00000000">
            <w:pPr>
              <w:pStyle w:val="afff5"/>
              <w:rPr>
                <w:b/>
                <w:bCs/>
                <w:szCs w:val="21"/>
              </w:rPr>
            </w:pPr>
            <w:r w:rsidRPr="000549B1">
              <w:rPr>
                <w:b/>
                <w:bCs/>
                <w:szCs w:val="21"/>
              </w:rPr>
              <w:t>种子植物</w:t>
            </w:r>
          </w:p>
        </w:tc>
        <w:tc>
          <w:tcPr>
            <w:tcW w:w="1276" w:type="pct"/>
            <w:gridSpan w:val="2"/>
            <w:vMerge w:val="restart"/>
            <w:tcBorders>
              <w:top w:val="single" w:sz="4" w:space="0" w:color="auto"/>
              <w:left w:val="single" w:sz="4" w:space="0" w:color="auto"/>
              <w:bottom w:val="single" w:sz="4" w:space="0" w:color="auto"/>
              <w:right w:val="single" w:sz="4" w:space="0" w:color="auto"/>
            </w:tcBorders>
            <w:vAlign w:val="center"/>
          </w:tcPr>
          <w:p w14:paraId="28FC16CC" w14:textId="77777777" w:rsidR="00054437" w:rsidRPr="000549B1" w:rsidRDefault="00000000">
            <w:pPr>
              <w:pStyle w:val="afff5"/>
              <w:rPr>
                <w:b/>
                <w:bCs/>
                <w:szCs w:val="21"/>
              </w:rPr>
            </w:pPr>
            <w:r w:rsidRPr="000549B1">
              <w:rPr>
                <w:b/>
                <w:bCs/>
                <w:szCs w:val="21"/>
              </w:rPr>
              <w:t>维管植物</w:t>
            </w:r>
          </w:p>
        </w:tc>
      </w:tr>
      <w:tr w:rsidR="000549B1" w:rsidRPr="000549B1" w14:paraId="35BD7394" w14:textId="77777777">
        <w:trPr>
          <w:trHeight w:val="288"/>
        </w:trPr>
        <w:tc>
          <w:tcPr>
            <w:tcW w:w="1170" w:type="pct"/>
            <w:vMerge/>
            <w:tcBorders>
              <w:top w:val="single" w:sz="4" w:space="0" w:color="auto"/>
              <w:left w:val="single" w:sz="4" w:space="0" w:color="auto"/>
              <w:bottom w:val="single" w:sz="4" w:space="0" w:color="auto"/>
              <w:right w:val="single" w:sz="4" w:space="0" w:color="auto"/>
            </w:tcBorders>
            <w:vAlign w:val="center"/>
          </w:tcPr>
          <w:p w14:paraId="1EFBECD9" w14:textId="77777777" w:rsidR="00054437" w:rsidRPr="000549B1" w:rsidRDefault="00054437">
            <w:pPr>
              <w:pStyle w:val="afff5"/>
              <w:rPr>
                <w:b/>
                <w:bCs/>
                <w:szCs w:val="21"/>
              </w:rPr>
            </w:pPr>
          </w:p>
        </w:tc>
        <w:tc>
          <w:tcPr>
            <w:tcW w:w="1178" w:type="pct"/>
            <w:gridSpan w:val="2"/>
            <w:tcBorders>
              <w:top w:val="single" w:sz="4" w:space="0" w:color="auto"/>
              <w:left w:val="single" w:sz="4" w:space="0" w:color="auto"/>
              <w:bottom w:val="single" w:sz="4" w:space="0" w:color="auto"/>
              <w:right w:val="single" w:sz="4" w:space="0" w:color="auto"/>
            </w:tcBorders>
            <w:vAlign w:val="center"/>
          </w:tcPr>
          <w:p w14:paraId="41BA15BA" w14:textId="77777777" w:rsidR="00054437" w:rsidRPr="000549B1" w:rsidRDefault="00000000">
            <w:pPr>
              <w:pStyle w:val="afff5"/>
              <w:rPr>
                <w:b/>
                <w:bCs/>
                <w:szCs w:val="21"/>
              </w:rPr>
            </w:pPr>
            <w:r w:rsidRPr="000549B1">
              <w:rPr>
                <w:b/>
                <w:bCs/>
                <w:szCs w:val="21"/>
              </w:rPr>
              <w:t>裸子植物</w:t>
            </w:r>
          </w:p>
        </w:tc>
        <w:tc>
          <w:tcPr>
            <w:tcW w:w="1375" w:type="pct"/>
            <w:gridSpan w:val="2"/>
            <w:tcBorders>
              <w:top w:val="single" w:sz="4" w:space="0" w:color="auto"/>
              <w:left w:val="single" w:sz="4" w:space="0" w:color="auto"/>
              <w:bottom w:val="single" w:sz="4" w:space="0" w:color="auto"/>
              <w:right w:val="single" w:sz="4" w:space="0" w:color="auto"/>
            </w:tcBorders>
            <w:vAlign w:val="center"/>
          </w:tcPr>
          <w:p w14:paraId="1AE052B2" w14:textId="77777777" w:rsidR="00054437" w:rsidRPr="000549B1" w:rsidRDefault="00000000">
            <w:pPr>
              <w:pStyle w:val="afff5"/>
              <w:rPr>
                <w:b/>
                <w:bCs/>
                <w:szCs w:val="21"/>
              </w:rPr>
            </w:pPr>
            <w:r w:rsidRPr="000549B1">
              <w:rPr>
                <w:b/>
                <w:bCs/>
                <w:szCs w:val="21"/>
              </w:rPr>
              <w:t>被子植物</w:t>
            </w:r>
          </w:p>
        </w:tc>
        <w:tc>
          <w:tcPr>
            <w:tcW w:w="1276" w:type="pct"/>
            <w:gridSpan w:val="2"/>
            <w:vMerge/>
            <w:tcBorders>
              <w:top w:val="single" w:sz="4" w:space="0" w:color="auto"/>
              <w:left w:val="single" w:sz="4" w:space="0" w:color="auto"/>
              <w:bottom w:val="single" w:sz="4" w:space="0" w:color="auto"/>
              <w:right w:val="single" w:sz="4" w:space="0" w:color="auto"/>
            </w:tcBorders>
            <w:vAlign w:val="center"/>
          </w:tcPr>
          <w:p w14:paraId="2AD12D23" w14:textId="77777777" w:rsidR="00054437" w:rsidRPr="000549B1" w:rsidRDefault="00054437">
            <w:pPr>
              <w:pStyle w:val="afff5"/>
              <w:rPr>
                <w:b/>
                <w:bCs/>
                <w:szCs w:val="21"/>
              </w:rPr>
            </w:pPr>
          </w:p>
        </w:tc>
      </w:tr>
      <w:tr w:rsidR="000549B1" w:rsidRPr="000549B1" w14:paraId="56C1DBC0" w14:textId="77777777">
        <w:trPr>
          <w:trHeight w:val="288"/>
        </w:trPr>
        <w:tc>
          <w:tcPr>
            <w:tcW w:w="1170" w:type="pct"/>
            <w:vMerge/>
            <w:tcBorders>
              <w:top w:val="single" w:sz="4" w:space="0" w:color="auto"/>
              <w:left w:val="single" w:sz="4" w:space="0" w:color="auto"/>
              <w:bottom w:val="single" w:sz="4" w:space="0" w:color="auto"/>
              <w:right w:val="single" w:sz="4" w:space="0" w:color="auto"/>
            </w:tcBorders>
            <w:vAlign w:val="center"/>
          </w:tcPr>
          <w:p w14:paraId="4007C2C4" w14:textId="77777777" w:rsidR="00054437" w:rsidRPr="000549B1" w:rsidRDefault="00054437">
            <w:pPr>
              <w:pStyle w:val="afff5"/>
              <w:rPr>
                <w:b/>
                <w:bCs/>
                <w:szCs w:val="21"/>
              </w:rPr>
            </w:pPr>
          </w:p>
        </w:tc>
        <w:tc>
          <w:tcPr>
            <w:tcW w:w="589" w:type="pct"/>
            <w:tcBorders>
              <w:top w:val="single" w:sz="4" w:space="0" w:color="auto"/>
              <w:left w:val="single" w:sz="4" w:space="0" w:color="auto"/>
              <w:bottom w:val="single" w:sz="4" w:space="0" w:color="auto"/>
              <w:right w:val="single" w:sz="4" w:space="0" w:color="auto"/>
            </w:tcBorders>
            <w:vAlign w:val="center"/>
          </w:tcPr>
          <w:p w14:paraId="04C7B66B" w14:textId="77777777" w:rsidR="00054437" w:rsidRPr="000549B1" w:rsidRDefault="00000000">
            <w:pPr>
              <w:pStyle w:val="afff5"/>
              <w:rPr>
                <w:b/>
                <w:bCs/>
                <w:szCs w:val="21"/>
              </w:rPr>
            </w:pPr>
            <w:r w:rsidRPr="000549B1">
              <w:rPr>
                <w:b/>
                <w:bCs/>
                <w:szCs w:val="21"/>
              </w:rPr>
              <w:t>科</w:t>
            </w:r>
          </w:p>
        </w:tc>
        <w:tc>
          <w:tcPr>
            <w:tcW w:w="589" w:type="pct"/>
            <w:tcBorders>
              <w:top w:val="single" w:sz="4" w:space="0" w:color="auto"/>
              <w:left w:val="single" w:sz="4" w:space="0" w:color="auto"/>
              <w:bottom w:val="single" w:sz="4" w:space="0" w:color="auto"/>
              <w:right w:val="single" w:sz="4" w:space="0" w:color="auto"/>
            </w:tcBorders>
            <w:vAlign w:val="center"/>
          </w:tcPr>
          <w:p w14:paraId="7CADD8D8" w14:textId="77777777" w:rsidR="00054437" w:rsidRPr="000549B1" w:rsidRDefault="00000000">
            <w:pPr>
              <w:pStyle w:val="afff5"/>
              <w:rPr>
                <w:b/>
                <w:bCs/>
                <w:szCs w:val="21"/>
              </w:rPr>
            </w:pPr>
            <w:r w:rsidRPr="000549B1">
              <w:rPr>
                <w:b/>
                <w:bCs/>
                <w:szCs w:val="21"/>
              </w:rPr>
              <w:t>种</w:t>
            </w:r>
          </w:p>
        </w:tc>
        <w:tc>
          <w:tcPr>
            <w:tcW w:w="687" w:type="pct"/>
            <w:tcBorders>
              <w:top w:val="single" w:sz="4" w:space="0" w:color="auto"/>
              <w:left w:val="single" w:sz="4" w:space="0" w:color="auto"/>
              <w:bottom w:val="single" w:sz="4" w:space="0" w:color="auto"/>
              <w:right w:val="single" w:sz="4" w:space="0" w:color="auto"/>
            </w:tcBorders>
            <w:vAlign w:val="center"/>
          </w:tcPr>
          <w:p w14:paraId="3464DC97" w14:textId="77777777" w:rsidR="00054437" w:rsidRPr="000549B1" w:rsidRDefault="00000000">
            <w:pPr>
              <w:pStyle w:val="afff5"/>
              <w:rPr>
                <w:b/>
                <w:bCs/>
                <w:szCs w:val="21"/>
              </w:rPr>
            </w:pPr>
            <w:r w:rsidRPr="000549B1">
              <w:rPr>
                <w:b/>
                <w:bCs/>
                <w:szCs w:val="21"/>
              </w:rPr>
              <w:t>科</w:t>
            </w:r>
          </w:p>
        </w:tc>
        <w:tc>
          <w:tcPr>
            <w:tcW w:w="688" w:type="pct"/>
            <w:tcBorders>
              <w:top w:val="single" w:sz="4" w:space="0" w:color="auto"/>
              <w:left w:val="single" w:sz="4" w:space="0" w:color="auto"/>
              <w:bottom w:val="single" w:sz="4" w:space="0" w:color="auto"/>
              <w:right w:val="single" w:sz="4" w:space="0" w:color="auto"/>
            </w:tcBorders>
            <w:vAlign w:val="center"/>
          </w:tcPr>
          <w:p w14:paraId="1C6F6C18" w14:textId="77777777" w:rsidR="00054437" w:rsidRPr="000549B1" w:rsidRDefault="00000000">
            <w:pPr>
              <w:pStyle w:val="afff5"/>
              <w:rPr>
                <w:b/>
                <w:bCs/>
                <w:szCs w:val="21"/>
              </w:rPr>
            </w:pPr>
            <w:r w:rsidRPr="000549B1">
              <w:rPr>
                <w:b/>
                <w:bCs/>
                <w:szCs w:val="21"/>
              </w:rPr>
              <w:t>种</w:t>
            </w:r>
          </w:p>
        </w:tc>
        <w:tc>
          <w:tcPr>
            <w:tcW w:w="622" w:type="pct"/>
            <w:tcBorders>
              <w:top w:val="single" w:sz="4" w:space="0" w:color="auto"/>
              <w:left w:val="single" w:sz="4" w:space="0" w:color="auto"/>
              <w:bottom w:val="single" w:sz="4" w:space="0" w:color="auto"/>
              <w:right w:val="single" w:sz="4" w:space="0" w:color="auto"/>
            </w:tcBorders>
            <w:vAlign w:val="center"/>
          </w:tcPr>
          <w:p w14:paraId="79928305" w14:textId="77777777" w:rsidR="00054437" w:rsidRPr="000549B1" w:rsidRDefault="00000000">
            <w:pPr>
              <w:pStyle w:val="afff5"/>
              <w:rPr>
                <w:b/>
                <w:bCs/>
                <w:szCs w:val="21"/>
              </w:rPr>
            </w:pPr>
            <w:r w:rsidRPr="000549B1">
              <w:rPr>
                <w:b/>
                <w:bCs/>
                <w:szCs w:val="21"/>
              </w:rPr>
              <w:t>科</w:t>
            </w:r>
          </w:p>
        </w:tc>
        <w:tc>
          <w:tcPr>
            <w:tcW w:w="654" w:type="pct"/>
            <w:tcBorders>
              <w:top w:val="single" w:sz="4" w:space="0" w:color="auto"/>
              <w:left w:val="single" w:sz="4" w:space="0" w:color="auto"/>
              <w:bottom w:val="single" w:sz="4" w:space="0" w:color="auto"/>
              <w:right w:val="single" w:sz="4" w:space="0" w:color="auto"/>
            </w:tcBorders>
            <w:vAlign w:val="center"/>
          </w:tcPr>
          <w:p w14:paraId="04B960C3" w14:textId="77777777" w:rsidR="00054437" w:rsidRPr="000549B1" w:rsidRDefault="00000000">
            <w:pPr>
              <w:pStyle w:val="afff5"/>
              <w:rPr>
                <w:b/>
                <w:bCs/>
                <w:szCs w:val="21"/>
              </w:rPr>
            </w:pPr>
            <w:r w:rsidRPr="000549B1">
              <w:rPr>
                <w:b/>
                <w:bCs/>
                <w:szCs w:val="21"/>
              </w:rPr>
              <w:t>种</w:t>
            </w:r>
          </w:p>
        </w:tc>
      </w:tr>
      <w:tr w:rsidR="000549B1" w:rsidRPr="000549B1" w14:paraId="743A85B7" w14:textId="77777777">
        <w:trPr>
          <w:trHeight w:val="288"/>
        </w:trPr>
        <w:tc>
          <w:tcPr>
            <w:tcW w:w="1170" w:type="pct"/>
            <w:tcBorders>
              <w:top w:val="single" w:sz="4" w:space="0" w:color="auto"/>
              <w:left w:val="single" w:sz="4" w:space="0" w:color="auto"/>
              <w:bottom w:val="single" w:sz="4" w:space="0" w:color="auto"/>
              <w:right w:val="single" w:sz="4" w:space="0" w:color="auto"/>
            </w:tcBorders>
            <w:vAlign w:val="center"/>
          </w:tcPr>
          <w:p w14:paraId="66183674" w14:textId="77777777" w:rsidR="00054437" w:rsidRPr="000549B1" w:rsidRDefault="00000000">
            <w:pPr>
              <w:pStyle w:val="afff5"/>
              <w:rPr>
                <w:szCs w:val="21"/>
              </w:rPr>
            </w:pPr>
            <w:r w:rsidRPr="000549B1">
              <w:rPr>
                <w:szCs w:val="21"/>
              </w:rPr>
              <w:t>评价区</w:t>
            </w:r>
          </w:p>
        </w:tc>
        <w:tc>
          <w:tcPr>
            <w:tcW w:w="589" w:type="pct"/>
            <w:tcBorders>
              <w:top w:val="single" w:sz="4" w:space="0" w:color="auto"/>
              <w:left w:val="single" w:sz="4" w:space="0" w:color="auto"/>
              <w:bottom w:val="single" w:sz="4" w:space="0" w:color="auto"/>
              <w:right w:val="single" w:sz="4" w:space="0" w:color="auto"/>
            </w:tcBorders>
            <w:vAlign w:val="center"/>
          </w:tcPr>
          <w:p w14:paraId="49EDFAF3" w14:textId="77777777" w:rsidR="00054437" w:rsidRPr="000549B1" w:rsidRDefault="00000000">
            <w:pPr>
              <w:pStyle w:val="afff5"/>
              <w:rPr>
                <w:szCs w:val="21"/>
              </w:rPr>
            </w:pPr>
            <w:r w:rsidRPr="000549B1">
              <w:rPr>
                <w:szCs w:val="21"/>
              </w:rPr>
              <w:t>1</w:t>
            </w:r>
          </w:p>
        </w:tc>
        <w:tc>
          <w:tcPr>
            <w:tcW w:w="589" w:type="pct"/>
            <w:tcBorders>
              <w:top w:val="single" w:sz="4" w:space="0" w:color="auto"/>
              <w:left w:val="single" w:sz="4" w:space="0" w:color="auto"/>
              <w:bottom w:val="single" w:sz="4" w:space="0" w:color="auto"/>
              <w:right w:val="single" w:sz="4" w:space="0" w:color="auto"/>
            </w:tcBorders>
            <w:vAlign w:val="center"/>
          </w:tcPr>
          <w:p w14:paraId="49C10AF4" w14:textId="77777777" w:rsidR="00054437" w:rsidRPr="000549B1" w:rsidRDefault="00000000">
            <w:pPr>
              <w:pStyle w:val="afff5"/>
              <w:rPr>
                <w:szCs w:val="21"/>
              </w:rPr>
            </w:pPr>
            <w:r w:rsidRPr="000549B1">
              <w:rPr>
                <w:szCs w:val="21"/>
              </w:rPr>
              <w:t>1</w:t>
            </w:r>
          </w:p>
        </w:tc>
        <w:tc>
          <w:tcPr>
            <w:tcW w:w="687" w:type="pct"/>
            <w:tcBorders>
              <w:top w:val="single" w:sz="4" w:space="0" w:color="auto"/>
              <w:left w:val="single" w:sz="4" w:space="0" w:color="auto"/>
              <w:bottom w:val="single" w:sz="4" w:space="0" w:color="auto"/>
              <w:right w:val="single" w:sz="4" w:space="0" w:color="auto"/>
            </w:tcBorders>
            <w:vAlign w:val="center"/>
          </w:tcPr>
          <w:p w14:paraId="0DCE01D8" w14:textId="77777777" w:rsidR="00054437" w:rsidRPr="000549B1" w:rsidRDefault="00000000">
            <w:pPr>
              <w:pStyle w:val="afff5"/>
              <w:rPr>
                <w:szCs w:val="21"/>
              </w:rPr>
            </w:pPr>
            <w:r w:rsidRPr="000549B1">
              <w:rPr>
                <w:szCs w:val="21"/>
              </w:rPr>
              <w:t>45</w:t>
            </w:r>
          </w:p>
        </w:tc>
        <w:tc>
          <w:tcPr>
            <w:tcW w:w="688" w:type="pct"/>
            <w:tcBorders>
              <w:top w:val="single" w:sz="4" w:space="0" w:color="auto"/>
              <w:left w:val="single" w:sz="4" w:space="0" w:color="auto"/>
              <w:bottom w:val="single" w:sz="4" w:space="0" w:color="auto"/>
              <w:right w:val="single" w:sz="4" w:space="0" w:color="auto"/>
            </w:tcBorders>
            <w:vAlign w:val="center"/>
          </w:tcPr>
          <w:p w14:paraId="33296EB9" w14:textId="77777777" w:rsidR="00054437" w:rsidRPr="000549B1" w:rsidRDefault="00000000">
            <w:pPr>
              <w:pStyle w:val="afff5"/>
              <w:rPr>
                <w:szCs w:val="21"/>
              </w:rPr>
            </w:pPr>
            <w:r w:rsidRPr="000549B1">
              <w:rPr>
                <w:szCs w:val="21"/>
              </w:rPr>
              <w:t>275</w:t>
            </w:r>
          </w:p>
        </w:tc>
        <w:tc>
          <w:tcPr>
            <w:tcW w:w="622" w:type="pct"/>
            <w:tcBorders>
              <w:top w:val="single" w:sz="4" w:space="0" w:color="auto"/>
              <w:left w:val="single" w:sz="4" w:space="0" w:color="auto"/>
              <w:bottom w:val="single" w:sz="4" w:space="0" w:color="auto"/>
              <w:right w:val="single" w:sz="4" w:space="0" w:color="auto"/>
            </w:tcBorders>
            <w:vAlign w:val="center"/>
          </w:tcPr>
          <w:p w14:paraId="57896BF9" w14:textId="77777777" w:rsidR="00054437" w:rsidRPr="000549B1" w:rsidRDefault="00000000">
            <w:pPr>
              <w:pStyle w:val="afff5"/>
              <w:rPr>
                <w:szCs w:val="21"/>
              </w:rPr>
            </w:pPr>
            <w:r w:rsidRPr="000549B1">
              <w:rPr>
                <w:szCs w:val="21"/>
              </w:rPr>
              <w:t>46</w:t>
            </w:r>
          </w:p>
        </w:tc>
        <w:tc>
          <w:tcPr>
            <w:tcW w:w="654" w:type="pct"/>
            <w:tcBorders>
              <w:top w:val="single" w:sz="4" w:space="0" w:color="auto"/>
              <w:left w:val="single" w:sz="4" w:space="0" w:color="auto"/>
              <w:bottom w:val="single" w:sz="4" w:space="0" w:color="auto"/>
              <w:right w:val="single" w:sz="4" w:space="0" w:color="auto"/>
            </w:tcBorders>
            <w:vAlign w:val="center"/>
          </w:tcPr>
          <w:p w14:paraId="4E001536" w14:textId="77777777" w:rsidR="00054437" w:rsidRPr="000549B1" w:rsidRDefault="00000000">
            <w:pPr>
              <w:pStyle w:val="afff5"/>
              <w:rPr>
                <w:szCs w:val="21"/>
              </w:rPr>
            </w:pPr>
            <w:r w:rsidRPr="000549B1">
              <w:rPr>
                <w:szCs w:val="21"/>
              </w:rPr>
              <w:t>276</w:t>
            </w:r>
          </w:p>
        </w:tc>
      </w:tr>
      <w:tr w:rsidR="000549B1" w:rsidRPr="000549B1" w14:paraId="5A6FFE60" w14:textId="77777777">
        <w:trPr>
          <w:trHeight w:val="288"/>
        </w:trPr>
        <w:tc>
          <w:tcPr>
            <w:tcW w:w="1170" w:type="pct"/>
            <w:tcBorders>
              <w:top w:val="single" w:sz="4" w:space="0" w:color="auto"/>
              <w:left w:val="single" w:sz="4" w:space="0" w:color="auto"/>
              <w:bottom w:val="single" w:sz="4" w:space="0" w:color="auto"/>
              <w:right w:val="single" w:sz="4" w:space="0" w:color="auto"/>
            </w:tcBorders>
            <w:vAlign w:val="center"/>
          </w:tcPr>
          <w:p w14:paraId="0428BA2A" w14:textId="77777777" w:rsidR="00054437" w:rsidRPr="000549B1" w:rsidRDefault="00000000">
            <w:pPr>
              <w:pStyle w:val="afff5"/>
              <w:rPr>
                <w:szCs w:val="21"/>
              </w:rPr>
            </w:pPr>
            <w:r w:rsidRPr="000549B1">
              <w:rPr>
                <w:szCs w:val="21"/>
              </w:rPr>
              <w:t>青海省</w:t>
            </w:r>
          </w:p>
        </w:tc>
        <w:tc>
          <w:tcPr>
            <w:tcW w:w="589" w:type="pct"/>
            <w:tcBorders>
              <w:top w:val="single" w:sz="4" w:space="0" w:color="auto"/>
              <w:left w:val="single" w:sz="4" w:space="0" w:color="auto"/>
              <w:bottom w:val="single" w:sz="4" w:space="0" w:color="auto"/>
              <w:right w:val="single" w:sz="4" w:space="0" w:color="auto"/>
            </w:tcBorders>
            <w:vAlign w:val="center"/>
          </w:tcPr>
          <w:p w14:paraId="297A9A53" w14:textId="77777777" w:rsidR="00054437" w:rsidRPr="000549B1" w:rsidRDefault="00000000">
            <w:pPr>
              <w:pStyle w:val="afff5"/>
              <w:rPr>
                <w:szCs w:val="21"/>
              </w:rPr>
            </w:pPr>
            <w:r w:rsidRPr="000549B1">
              <w:rPr>
                <w:szCs w:val="21"/>
              </w:rPr>
              <w:t>3</w:t>
            </w:r>
          </w:p>
        </w:tc>
        <w:tc>
          <w:tcPr>
            <w:tcW w:w="589" w:type="pct"/>
            <w:tcBorders>
              <w:top w:val="single" w:sz="4" w:space="0" w:color="auto"/>
              <w:left w:val="single" w:sz="4" w:space="0" w:color="auto"/>
              <w:bottom w:val="single" w:sz="4" w:space="0" w:color="auto"/>
              <w:right w:val="single" w:sz="4" w:space="0" w:color="auto"/>
            </w:tcBorders>
            <w:vAlign w:val="center"/>
          </w:tcPr>
          <w:p w14:paraId="5F7F3D6A" w14:textId="77777777" w:rsidR="00054437" w:rsidRPr="000549B1" w:rsidRDefault="00000000">
            <w:pPr>
              <w:pStyle w:val="afff5"/>
              <w:rPr>
                <w:szCs w:val="21"/>
              </w:rPr>
            </w:pPr>
            <w:r w:rsidRPr="000549B1">
              <w:rPr>
                <w:szCs w:val="21"/>
              </w:rPr>
              <w:t>36</w:t>
            </w:r>
          </w:p>
        </w:tc>
        <w:tc>
          <w:tcPr>
            <w:tcW w:w="687" w:type="pct"/>
            <w:tcBorders>
              <w:top w:val="single" w:sz="4" w:space="0" w:color="auto"/>
              <w:left w:val="single" w:sz="4" w:space="0" w:color="auto"/>
              <w:bottom w:val="single" w:sz="4" w:space="0" w:color="auto"/>
              <w:right w:val="single" w:sz="4" w:space="0" w:color="auto"/>
            </w:tcBorders>
            <w:vAlign w:val="center"/>
          </w:tcPr>
          <w:p w14:paraId="2F63EE7D" w14:textId="77777777" w:rsidR="00054437" w:rsidRPr="000549B1" w:rsidRDefault="00000000">
            <w:pPr>
              <w:pStyle w:val="afff5"/>
              <w:rPr>
                <w:szCs w:val="21"/>
              </w:rPr>
            </w:pPr>
            <w:r w:rsidRPr="000549B1">
              <w:rPr>
                <w:szCs w:val="21"/>
              </w:rPr>
              <w:t>94</w:t>
            </w:r>
          </w:p>
        </w:tc>
        <w:tc>
          <w:tcPr>
            <w:tcW w:w="688" w:type="pct"/>
            <w:tcBorders>
              <w:top w:val="single" w:sz="4" w:space="0" w:color="auto"/>
              <w:left w:val="single" w:sz="4" w:space="0" w:color="auto"/>
              <w:bottom w:val="single" w:sz="4" w:space="0" w:color="auto"/>
              <w:right w:val="single" w:sz="4" w:space="0" w:color="auto"/>
            </w:tcBorders>
            <w:vAlign w:val="center"/>
          </w:tcPr>
          <w:p w14:paraId="27C1093A" w14:textId="77777777" w:rsidR="00054437" w:rsidRPr="000549B1" w:rsidRDefault="00000000">
            <w:pPr>
              <w:pStyle w:val="afff5"/>
              <w:rPr>
                <w:szCs w:val="21"/>
              </w:rPr>
            </w:pPr>
            <w:r w:rsidRPr="000549B1">
              <w:rPr>
                <w:szCs w:val="21"/>
              </w:rPr>
              <w:t>2776</w:t>
            </w:r>
          </w:p>
        </w:tc>
        <w:tc>
          <w:tcPr>
            <w:tcW w:w="622" w:type="pct"/>
            <w:tcBorders>
              <w:top w:val="single" w:sz="4" w:space="0" w:color="auto"/>
              <w:left w:val="single" w:sz="4" w:space="0" w:color="auto"/>
              <w:bottom w:val="single" w:sz="4" w:space="0" w:color="auto"/>
              <w:right w:val="single" w:sz="4" w:space="0" w:color="auto"/>
            </w:tcBorders>
            <w:vAlign w:val="center"/>
          </w:tcPr>
          <w:p w14:paraId="338BCB6A" w14:textId="77777777" w:rsidR="00054437" w:rsidRPr="000549B1" w:rsidRDefault="00000000">
            <w:pPr>
              <w:pStyle w:val="afff5"/>
              <w:rPr>
                <w:szCs w:val="21"/>
              </w:rPr>
            </w:pPr>
            <w:r w:rsidRPr="000549B1">
              <w:rPr>
                <w:szCs w:val="21"/>
              </w:rPr>
              <w:t>97</w:t>
            </w:r>
          </w:p>
        </w:tc>
        <w:tc>
          <w:tcPr>
            <w:tcW w:w="654" w:type="pct"/>
            <w:tcBorders>
              <w:top w:val="single" w:sz="4" w:space="0" w:color="auto"/>
              <w:left w:val="single" w:sz="4" w:space="0" w:color="auto"/>
              <w:bottom w:val="single" w:sz="4" w:space="0" w:color="auto"/>
              <w:right w:val="single" w:sz="4" w:space="0" w:color="auto"/>
            </w:tcBorders>
            <w:vAlign w:val="center"/>
          </w:tcPr>
          <w:p w14:paraId="15077714" w14:textId="77777777" w:rsidR="00054437" w:rsidRPr="000549B1" w:rsidRDefault="00000000">
            <w:pPr>
              <w:pStyle w:val="afff5"/>
              <w:rPr>
                <w:szCs w:val="21"/>
              </w:rPr>
            </w:pPr>
            <w:r w:rsidRPr="000549B1">
              <w:rPr>
                <w:szCs w:val="21"/>
              </w:rPr>
              <w:t>2812</w:t>
            </w:r>
          </w:p>
        </w:tc>
      </w:tr>
      <w:tr w:rsidR="000549B1" w:rsidRPr="000549B1" w14:paraId="08A4E00A" w14:textId="77777777">
        <w:trPr>
          <w:trHeight w:val="288"/>
        </w:trPr>
        <w:tc>
          <w:tcPr>
            <w:tcW w:w="1170" w:type="pct"/>
            <w:tcBorders>
              <w:top w:val="single" w:sz="4" w:space="0" w:color="auto"/>
              <w:left w:val="single" w:sz="4" w:space="0" w:color="auto"/>
              <w:bottom w:val="single" w:sz="4" w:space="0" w:color="auto"/>
              <w:right w:val="single" w:sz="4" w:space="0" w:color="auto"/>
            </w:tcBorders>
            <w:vAlign w:val="center"/>
          </w:tcPr>
          <w:p w14:paraId="157E86FD" w14:textId="77777777" w:rsidR="00054437" w:rsidRPr="000549B1" w:rsidRDefault="00000000">
            <w:pPr>
              <w:pStyle w:val="afff5"/>
              <w:rPr>
                <w:szCs w:val="21"/>
              </w:rPr>
            </w:pPr>
            <w:r w:rsidRPr="000549B1">
              <w:rPr>
                <w:szCs w:val="21"/>
              </w:rPr>
              <w:t>青海省占比（</w:t>
            </w:r>
            <w:r w:rsidRPr="000549B1">
              <w:rPr>
                <w:szCs w:val="21"/>
              </w:rPr>
              <w:t>%</w:t>
            </w:r>
            <w:r w:rsidRPr="000549B1">
              <w:rPr>
                <w:szCs w:val="21"/>
              </w:rPr>
              <w:t>）</w:t>
            </w:r>
          </w:p>
        </w:tc>
        <w:tc>
          <w:tcPr>
            <w:tcW w:w="589" w:type="pct"/>
            <w:tcBorders>
              <w:top w:val="single" w:sz="4" w:space="0" w:color="auto"/>
              <w:left w:val="single" w:sz="4" w:space="0" w:color="auto"/>
              <w:bottom w:val="single" w:sz="4" w:space="0" w:color="auto"/>
              <w:right w:val="single" w:sz="4" w:space="0" w:color="auto"/>
            </w:tcBorders>
            <w:vAlign w:val="center"/>
          </w:tcPr>
          <w:p w14:paraId="320D50C8" w14:textId="77777777" w:rsidR="00054437" w:rsidRPr="000549B1" w:rsidRDefault="00000000">
            <w:pPr>
              <w:pStyle w:val="afff5"/>
              <w:rPr>
                <w:szCs w:val="21"/>
              </w:rPr>
            </w:pPr>
            <w:r w:rsidRPr="000549B1">
              <w:rPr>
                <w:szCs w:val="21"/>
              </w:rPr>
              <w:t>33.33</w:t>
            </w:r>
          </w:p>
        </w:tc>
        <w:tc>
          <w:tcPr>
            <w:tcW w:w="589" w:type="pct"/>
            <w:tcBorders>
              <w:top w:val="single" w:sz="4" w:space="0" w:color="auto"/>
              <w:left w:val="single" w:sz="4" w:space="0" w:color="auto"/>
              <w:bottom w:val="single" w:sz="4" w:space="0" w:color="auto"/>
              <w:right w:val="single" w:sz="4" w:space="0" w:color="auto"/>
            </w:tcBorders>
            <w:vAlign w:val="center"/>
          </w:tcPr>
          <w:p w14:paraId="43E0DD53" w14:textId="77777777" w:rsidR="00054437" w:rsidRPr="000549B1" w:rsidRDefault="00000000">
            <w:pPr>
              <w:pStyle w:val="afff5"/>
              <w:rPr>
                <w:szCs w:val="21"/>
              </w:rPr>
            </w:pPr>
            <w:r w:rsidRPr="000549B1">
              <w:rPr>
                <w:szCs w:val="21"/>
              </w:rPr>
              <w:t>2.78</w:t>
            </w:r>
          </w:p>
        </w:tc>
        <w:tc>
          <w:tcPr>
            <w:tcW w:w="687" w:type="pct"/>
            <w:tcBorders>
              <w:top w:val="single" w:sz="4" w:space="0" w:color="auto"/>
              <w:left w:val="single" w:sz="4" w:space="0" w:color="auto"/>
              <w:bottom w:val="single" w:sz="4" w:space="0" w:color="auto"/>
              <w:right w:val="single" w:sz="4" w:space="0" w:color="auto"/>
            </w:tcBorders>
            <w:vAlign w:val="center"/>
          </w:tcPr>
          <w:p w14:paraId="24979CBC" w14:textId="77777777" w:rsidR="00054437" w:rsidRPr="000549B1" w:rsidRDefault="00000000">
            <w:pPr>
              <w:pStyle w:val="afff5"/>
              <w:rPr>
                <w:szCs w:val="21"/>
              </w:rPr>
            </w:pPr>
            <w:r w:rsidRPr="000549B1">
              <w:rPr>
                <w:szCs w:val="21"/>
              </w:rPr>
              <w:t>47.87</w:t>
            </w:r>
          </w:p>
        </w:tc>
        <w:tc>
          <w:tcPr>
            <w:tcW w:w="688" w:type="pct"/>
            <w:tcBorders>
              <w:top w:val="single" w:sz="4" w:space="0" w:color="auto"/>
              <w:left w:val="single" w:sz="4" w:space="0" w:color="auto"/>
              <w:bottom w:val="single" w:sz="4" w:space="0" w:color="auto"/>
              <w:right w:val="single" w:sz="4" w:space="0" w:color="auto"/>
            </w:tcBorders>
            <w:vAlign w:val="center"/>
          </w:tcPr>
          <w:p w14:paraId="67649B21" w14:textId="77777777" w:rsidR="00054437" w:rsidRPr="000549B1" w:rsidRDefault="00000000">
            <w:pPr>
              <w:pStyle w:val="afff5"/>
              <w:rPr>
                <w:szCs w:val="21"/>
              </w:rPr>
            </w:pPr>
            <w:r w:rsidRPr="000549B1">
              <w:rPr>
                <w:szCs w:val="21"/>
              </w:rPr>
              <w:t>9.91</w:t>
            </w:r>
          </w:p>
        </w:tc>
        <w:tc>
          <w:tcPr>
            <w:tcW w:w="622" w:type="pct"/>
            <w:tcBorders>
              <w:top w:val="single" w:sz="4" w:space="0" w:color="auto"/>
              <w:left w:val="single" w:sz="4" w:space="0" w:color="auto"/>
              <w:bottom w:val="single" w:sz="4" w:space="0" w:color="auto"/>
              <w:right w:val="single" w:sz="4" w:space="0" w:color="auto"/>
            </w:tcBorders>
            <w:vAlign w:val="center"/>
          </w:tcPr>
          <w:p w14:paraId="19A04218" w14:textId="77777777" w:rsidR="00054437" w:rsidRPr="000549B1" w:rsidRDefault="00000000">
            <w:pPr>
              <w:pStyle w:val="afff5"/>
              <w:rPr>
                <w:szCs w:val="21"/>
              </w:rPr>
            </w:pPr>
            <w:r w:rsidRPr="000549B1">
              <w:rPr>
                <w:szCs w:val="21"/>
              </w:rPr>
              <w:t>47.42</w:t>
            </w:r>
          </w:p>
        </w:tc>
        <w:tc>
          <w:tcPr>
            <w:tcW w:w="654" w:type="pct"/>
            <w:tcBorders>
              <w:top w:val="single" w:sz="4" w:space="0" w:color="auto"/>
              <w:left w:val="single" w:sz="4" w:space="0" w:color="auto"/>
              <w:bottom w:val="single" w:sz="4" w:space="0" w:color="auto"/>
              <w:right w:val="single" w:sz="4" w:space="0" w:color="auto"/>
            </w:tcBorders>
            <w:vAlign w:val="center"/>
          </w:tcPr>
          <w:p w14:paraId="341444EC" w14:textId="77777777" w:rsidR="00054437" w:rsidRPr="000549B1" w:rsidRDefault="00000000">
            <w:pPr>
              <w:pStyle w:val="afff5"/>
              <w:rPr>
                <w:szCs w:val="21"/>
              </w:rPr>
            </w:pPr>
            <w:r w:rsidRPr="000549B1">
              <w:rPr>
                <w:szCs w:val="21"/>
              </w:rPr>
              <w:t>9.82</w:t>
            </w:r>
          </w:p>
        </w:tc>
      </w:tr>
      <w:tr w:rsidR="000549B1" w:rsidRPr="000549B1" w14:paraId="130C0737" w14:textId="77777777">
        <w:trPr>
          <w:trHeight w:val="288"/>
        </w:trPr>
        <w:tc>
          <w:tcPr>
            <w:tcW w:w="1170" w:type="pct"/>
            <w:tcBorders>
              <w:top w:val="single" w:sz="4" w:space="0" w:color="auto"/>
              <w:left w:val="single" w:sz="4" w:space="0" w:color="auto"/>
              <w:bottom w:val="single" w:sz="4" w:space="0" w:color="auto"/>
              <w:right w:val="single" w:sz="4" w:space="0" w:color="auto"/>
            </w:tcBorders>
            <w:vAlign w:val="center"/>
          </w:tcPr>
          <w:p w14:paraId="38338BFE" w14:textId="77777777" w:rsidR="00054437" w:rsidRPr="000549B1" w:rsidRDefault="00000000">
            <w:pPr>
              <w:pStyle w:val="afff5"/>
              <w:rPr>
                <w:szCs w:val="21"/>
              </w:rPr>
            </w:pPr>
            <w:r w:rsidRPr="000549B1">
              <w:rPr>
                <w:szCs w:val="21"/>
              </w:rPr>
              <w:t>全国</w:t>
            </w:r>
          </w:p>
        </w:tc>
        <w:tc>
          <w:tcPr>
            <w:tcW w:w="589" w:type="pct"/>
            <w:tcBorders>
              <w:top w:val="single" w:sz="4" w:space="0" w:color="auto"/>
              <w:left w:val="single" w:sz="4" w:space="0" w:color="auto"/>
              <w:bottom w:val="single" w:sz="4" w:space="0" w:color="auto"/>
              <w:right w:val="single" w:sz="4" w:space="0" w:color="auto"/>
            </w:tcBorders>
            <w:vAlign w:val="center"/>
          </w:tcPr>
          <w:p w14:paraId="2C8E5722" w14:textId="77777777" w:rsidR="00054437" w:rsidRPr="000549B1" w:rsidRDefault="00000000">
            <w:pPr>
              <w:pStyle w:val="afff5"/>
              <w:rPr>
                <w:szCs w:val="21"/>
              </w:rPr>
            </w:pPr>
            <w:r w:rsidRPr="000549B1">
              <w:rPr>
                <w:szCs w:val="21"/>
              </w:rPr>
              <w:t>11</w:t>
            </w:r>
          </w:p>
        </w:tc>
        <w:tc>
          <w:tcPr>
            <w:tcW w:w="589" w:type="pct"/>
            <w:tcBorders>
              <w:top w:val="single" w:sz="4" w:space="0" w:color="auto"/>
              <w:left w:val="single" w:sz="4" w:space="0" w:color="auto"/>
              <w:bottom w:val="single" w:sz="4" w:space="0" w:color="auto"/>
              <w:right w:val="single" w:sz="4" w:space="0" w:color="auto"/>
            </w:tcBorders>
            <w:vAlign w:val="center"/>
          </w:tcPr>
          <w:p w14:paraId="6BB16E3E" w14:textId="77777777" w:rsidR="00054437" w:rsidRPr="000549B1" w:rsidRDefault="00000000">
            <w:pPr>
              <w:pStyle w:val="afff5"/>
              <w:rPr>
                <w:szCs w:val="21"/>
              </w:rPr>
            </w:pPr>
            <w:r w:rsidRPr="000549B1">
              <w:rPr>
                <w:szCs w:val="21"/>
              </w:rPr>
              <w:t>190</w:t>
            </w:r>
          </w:p>
        </w:tc>
        <w:tc>
          <w:tcPr>
            <w:tcW w:w="687" w:type="pct"/>
            <w:tcBorders>
              <w:top w:val="single" w:sz="4" w:space="0" w:color="auto"/>
              <w:left w:val="single" w:sz="4" w:space="0" w:color="auto"/>
              <w:bottom w:val="single" w:sz="4" w:space="0" w:color="auto"/>
              <w:right w:val="single" w:sz="4" w:space="0" w:color="auto"/>
            </w:tcBorders>
            <w:vAlign w:val="center"/>
          </w:tcPr>
          <w:p w14:paraId="10DF37E3" w14:textId="77777777" w:rsidR="00054437" w:rsidRPr="000549B1" w:rsidRDefault="00000000">
            <w:pPr>
              <w:pStyle w:val="afff5"/>
              <w:rPr>
                <w:szCs w:val="21"/>
              </w:rPr>
            </w:pPr>
            <w:r w:rsidRPr="000549B1">
              <w:rPr>
                <w:szCs w:val="21"/>
              </w:rPr>
              <w:t>346</w:t>
            </w:r>
          </w:p>
        </w:tc>
        <w:tc>
          <w:tcPr>
            <w:tcW w:w="688" w:type="pct"/>
            <w:tcBorders>
              <w:top w:val="single" w:sz="4" w:space="0" w:color="auto"/>
              <w:left w:val="single" w:sz="4" w:space="0" w:color="auto"/>
              <w:bottom w:val="single" w:sz="4" w:space="0" w:color="auto"/>
              <w:right w:val="single" w:sz="4" w:space="0" w:color="auto"/>
            </w:tcBorders>
            <w:vAlign w:val="center"/>
          </w:tcPr>
          <w:p w14:paraId="5E6FC093" w14:textId="77777777" w:rsidR="00054437" w:rsidRPr="000549B1" w:rsidRDefault="00000000">
            <w:pPr>
              <w:pStyle w:val="afff5"/>
              <w:rPr>
                <w:szCs w:val="21"/>
              </w:rPr>
            </w:pPr>
            <w:r w:rsidRPr="000549B1">
              <w:rPr>
                <w:szCs w:val="21"/>
              </w:rPr>
              <w:t>28500</w:t>
            </w:r>
          </w:p>
        </w:tc>
        <w:tc>
          <w:tcPr>
            <w:tcW w:w="622" w:type="pct"/>
            <w:tcBorders>
              <w:top w:val="single" w:sz="4" w:space="0" w:color="auto"/>
              <w:left w:val="single" w:sz="4" w:space="0" w:color="auto"/>
              <w:bottom w:val="single" w:sz="4" w:space="0" w:color="auto"/>
              <w:right w:val="single" w:sz="4" w:space="0" w:color="auto"/>
            </w:tcBorders>
            <w:vAlign w:val="center"/>
          </w:tcPr>
          <w:p w14:paraId="003BC1B1" w14:textId="77777777" w:rsidR="00054437" w:rsidRPr="000549B1" w:rsidRDefault="00000000">
            <w:pPr>
              <w:pStyle w:val="afff5"/>
              <w:rPr>
                <w:szCs w:val="21"/>
              </w:rPr>
            </w:pPr>
            <w:r w:rsidRPr="000549B1">
              <w:rPr>
                <w:szCs w:val="21"/>
              </w:rPr>
              <w:t>420</w:t>
            </w:r>
          </w:p>
        </w:tc>
        <w:tc>
          <w:tcPr>
            <w:tcW w:w="654" w:type="pct"/>
            <w:tcBorders>
              <w:top w:val="single" w:sz="4" w:space="0" w:color="auto"/>
              <w:left w:val="single" w:sz="4" w:space="0" w:color="auto"/>
              <w:bottom w:val="single" w:sz="4" w:space="0" w:color="auto"/>
              <w:right w:val="single" w:sz="4" w:space="0" w:color="auto"/>
            </w:tcBorders>
            <w:vAlign w:val="center"/>
          </w:tcPr>
          <w:p w14:paraId="0F824133" w14:textId="77777777" w:rsidR="00054437" w:rsidRPr="000549B1" w:rsidRDefault="00000000">
            <w:pPr>
              <w:pStyle w:val="afff5"/>
              <w:rPr>
                <w:szCs w:val="21"/>
              </w:rPr>
            </w:pPr>
            <w:r w:rsidRPr="000549B1">
              <w:rPr>
                <w:szCs w:val="21"/>
              </w:rPr>
              <w:t>31290</w:t>
            </w:r>
          </w:p>
        </w:tc>
      </w:tr>
      <w:tr w:rsidR="000549B1" w:rsidRPr="000549B1" w14:paraId="16E729A9" w14:textId="77777777">
        <w:trPr>
          <w:trHeight w:val="288"/>
        </w:trPr>
        <w:tc>
          <w:tcPr>
            <w:tcW w:w="1170" w:type="pct"/>
            <w:tcBorders>
              <w:top w:val="single" w:sz="4" w:space="0" w:color="auto"/>
              <w:left w:val="single" w:sz="4" w:space="0" w:color="auto"/>
              <w:bottom w:val="single" w:sz="4" w:space="0" w:color="auto"/>
              <w:right w:val="single" w:sz="4" w:space="0" w:color="auto"/>
            </w:tcBorders>
            <w:vAlign w:val="center"/>
          </w:tcPr>
          <w:p w14:paraId="4F7D87FA" w14:textId="77777777" w:rsidR="00054437" w:rsidRPr="000549B1" w:rsidRDefault="00000000">
            <w:pPr>
              <w:pStyle w:val="afff5"/>
              <w:rPr>
                <w:szCs w:val="21"/>
              </w:rPr>
            </w:pPr>
            <w:r w:rsidRPr="000549B1">
              <w:rPr>
                <w:szCs w:val="21"/>
              </w:rPr>
              <w:t>全国占比（</w:t>
            </w:r>
            <w:r w:rsidRPr="000549B1">
              <w:rPr>
                <w:szCs w:val="21"/>
              </w:rPr>
              <w:t>%</w:t>
            </w:r>
            <w:r w:rsidRPr="000549B1">
              <w:rPr>
                <w:szCs w:val="21"/>
              </w:rPr>
              <w:t>）</w:t>
            </w:r>
          </w:p>
        </w:tc>
        <w:tc>
          <w:tcPr>
            <w:tcW w:w="589" w:type="pct"/>
            <w:tcBorders>
              <w:top w:val="single" w:sz="4" w:space="0" w:color="auto"/>
              <w:left w:val="single" w:sz="4" w:space="0" w:color="auto"/>
              <w:bottom w:val="single" w:sz="4" w:space="0" w:color="auto"/>
              <w:right w:val="single" w:sz="4" w:space="0" w:color="auto"/>
            </w:tcBorders>
            <w:vAlign w:val="center"/>
          </w:tcPr>
          <w:p w14:paraId="1DD65A4B" w14:textId="77777777" w:rsidR="00054437" w:rsidRPr="000549B1" w:rsidRDefault="00000000">
            <w:pPr>
              <w:pStyle w:val="afff5"/>
              <w:rPr>
                <w:szCs w:val="21"/>
              </w:rPr>
            </w:pPr>
            <w:r w:rsidRPr="000549B1">
              <w:rPr>
                <w:szCs w:val="21"/>
              </w:rPr>
              <w:t>9.09</w:t>
            </w:r>
          </w:p>
        </w:tc>
        <w:tc>
          <w:tcPr>
            <w:tcW w:w="589" w:type="pct"/>
            <w:tcBorders>
              <w:top w:val="single" w:sz="4" w:space="0" w:color="auto"/>
              <w:left w:val="single" w:sz="4" w:space="0" w:color="auto"/>
              <w:bottom w:val="single" w:sz="4" w:space="0" w:color="auto"/>
              <w:right w:val="single" w:sz="4" w:space="0" w:color="auto"/>
            </w:tcBorders>
            <w:vAlign w:val="center"/>
          </w:tcPr>
          <w:p w14:paraId="4352BE72" w14:textId="77777777" w:rsidR="00054437" w:rsidRPr="000549B1" w:rsidRDefault="00000000">
            <w:pPr>
              <w:pStyle w:val="afff5"/>
              <w:rPr>
                <w:szCs w:val="21"/>
              </w:rPr>
            </w:pPr>
            <w:r w:rsidRPr="000549B1">
              <w:rPr>
                <w:szCs w:val="21"/>
              </w:rPr>
              <w:t>0.53</w:t>
            </w:r>
          </w:p>
        </w:tc>
        <w:tc>
          <w:tcPr>
            <w:tcW w:w="687" w:type="pct"/>
            <w:tcBorders>
              <w:top w:val="single" w:sz="4" w:space="0" w:color="auto"/>
              <w:left w:val="single" w:sz="4" w:space="0" w:color="auto"/>
              <w:bottom w:val="single" w:sz="4" w:space="0" w:color="auto"/>
              <w:right w:val="single" w:sz="4" w:space="0" w:color="auto"/>
            </w:tcBorders>
            <w:vAlign w:val="center"/>
          </w:tcPr>
          <w:p w14:paraId="5860F507" w14:textId="77777777" w:rsidR="00054437" w:rsidRPr="000549B1" w:rsidRDefault="00000000">
            <w:pPr>
              <w:pStyle w:val="afff5"/>
              <w:rPr>
                <w:szCs w:val="21"/>
              </w:rPr>
            </w:pPr>
            <w:r w:rsidRPr="000549B1">
              <w:rPr>
                <w:szCs w:val="21"/>
              </w:rPr>
              <w:t>13.01</w:t>
            </w:r>
          </w:p>
        </w:tc>
        <w:tc>
          <w:tcPr>
            <w:tcW w:w="688" w:type="pct"/>
            <w:tcBorders>
              <w:top w:val="single" w:sz="4" w:space="0" w:color="auto"/>
              <w:left w:val="single" w:sz="4" w:space="0" w:color="auto"/>
              <w:bottom w:val="single" w:sz="4" w:space="0" w:color="auto"/>
              <w:right w:val="single" w:sz="4" w:space="0" w:color="auto"/>
            </w:tcBorders>
            <w:vAlign w:val="center"/>
          </w:tcPr>
          <w:p w14:paraId="1AA4F0AD" w14:textId="77777777" w:rsidR="00054437" w:rsidRPr="000549B1" w:rsidRDefault="00000000">
            <w:pPr>
              <w:pStyle w:val="afff5"/>
              <w:rPr>
                <w:szCs w:val="21"/>
              </w:rPr>
            </w:pPr>
            <w:r w:rsidRPr="000549B1">
              <w:rPr>
                <w:szCs w:val="21"/>
              </w:rPr>
              <w:t>0.96</w:t>
            </w:r>
          </w:p>
        </w:tc>
        <w:tc>
          <w:tcPr>
            <w:tcW w:w="622" w:type="pct"/>
            <w:tcBorders>
              <w:top w:val="single" w:sz="4" w:space="0" w:color="auto"/>
              <w:left w:val="single" w:sz="4" w:space="0" w:color="auto"/>
              <w:bottom w:val="single" w:sz="4" w:space="0" w:color="auto"/>
              <w:right w:val="single" w:sz="4" w:space="0" w:color="auto"/>
            </w:tcBorders>
            <w:vAlign w:val="center"/>
          </w:tcPr>
          <w:p w14:paraId="44B1DC3D" w14:textId="77777777" w:rsidR="00054437" w:rsidRPr="000549B1" w:rsidRDefault="00000000">
            <w:pPr>
              <w:pStyle w:val="afff5"/>
              <w:rPr>
                <w:szCs w:val="21"/>
              </w:rPr>
            </w:pPr>
            <w:r w:rsidRPr="000549B1">
              <w:rPr>
                <w:szCs w:val="21"/>
              </w:rPr>
              <w:t>10.95</w:t>
            </w:r>
          </w:p>
        </w:tc>
        <w:tc>
          <w:tcPr>
            <w:tcW w:w="654" w:type="pct"/>
            <w:tcBorders>
              <w:top w:val="single" w:sz="4" w:space="0" w:color="auto"/>
              <w:left w:val="single" w:sz="4" w:space="0" w:color="auto"/>
              <w:bottom w:val="single" w:sz="4" w:space="0" w:color="auto"/>
              <w:right w:val="single" w:sz="4" w:space="0" w:color="auto"/>
            </w:tcBorders>
            <w:vAlign w:val="center"/>
          </w:tcPr>
          <w:p w14:paraId="765ADD42" w14:textId="77777777" w:rsidR="00054437" w:rsidRPr="000549B1" w:rsidRDefault="00000000">
            <w:pPr>
              <w:pStyle w:val="afff5"/>
              <w:rPr>
                <w:szCs w:val="21"/>
              </w:rPr>
            </w:pPr>
            <w:r w:rsidRPr="000549B1">
              <w:rPr>
                <w:szCs w:val="21"/>
              </w:rPr>
              <w:t>0.88</w:t>
            </w:r>
          </w:p>
        </w:tc>
      </w:tr>
    </w:tbl>
    <w:p w14:paraId="3D35F576" w14:textId="77777777" w:rsidR="00054437" w:rsidRPr="000549B1" w:rsidRDefault="00000000">
      <w:pPr>
        <w:pStyle w:val="4"/>
        <w:tabs>
          <w:tab w:val="left" w:pos="2411"/>
        </w:tabs>
        <w:rPr>
          <w:rFonts w:ascii="Times New Roman" w:hAnsi="Times New Roman"/>
        </w:rPr>
      </w:pPr>
      <w:r w:rsidRPr="000549B1">
        <w:rPr>
          <w:rFonts w:ascii="Times New Roman" w:hAnsi="Times New Roman"/>
        </w:rPr>
        <w:t>野生植物重要物种</w:t>
      </w:r>
    </w:p>
    <w:p w14:paraId="5A168B21" w14:textId="5D131081" w:rsidR="00054437" w:rsidRPr="000549B1" w:rsidRDefault="00000000">
      <w:pPr>
        <w:spacing w:line="360" w:lineRule="auto"/>
        <w:ind w:firstLine="480"/>
        <w:rPr>
          <w:sz w:val="24"/>
          <w:szCs w:val="24"/>
        </w:rPr>
      </w:pPr>
      <w:r w:rsidRPr="000549B1">
        <w:rPr>
          <w:sz w:val="24"/>
          <w:szCs w:val="24"/>
        </w:rPr>
        <w:t>依据《国家重点保护野生植物名录》（</w:t>
      </w:r>
      <w:r w:rsidRPr="000549B1">
        <w:rPr>
          <w:sz w:val="24"/>
          <w:szCs w:val="24"/>
        </w:rPr>
        <w:t>2021</w:t>
      </w:r>
      <w:r w:rsidRPr="000549B1">
        <w:rPr>
          <w:sz w:val="24"/>
          <w:szCs w:val="24"/>
        </w:rPr>
        <w:t>年）、</w:t>
      </w:r>
      <w:bookmarkStart w:id="263" w:name="OLE_LINK4"/>
      <w:r w:rsidRPr="000549B1">
        <w:rPr>
          <w:sz w:val="24"/>
          <w:szCs w:val="24"/>
        </w:rPr>
        <w:t>《青海省重点保护野生植物名录（第一批）》（</w:t>
      </w:r>
      <w:r w:rsidRPr="000549B1">
        <w:rPr>
          <w:sz w:val="24"/>
          <w:szCs w:val="24"/>
        </w:rPr>
        <w:t>2008</w:t>
      </w:r>
      <w:r w:rsidRPr="000549B1">
        <w:rPr>
          <w:sz w:val="24"/>
          <w:szCs w:val="24"/>
        </w:rPr>
        <w:t>年）、《青海省重点保护野生植物名录》（</w:t>
      </w:r>
      <w:r w:rsidRPr="000549B1">
        <w:rPr>
          <w:sz w:val="24"/>
          <w:szCs w:val="24"/>
        </w:rPr>
        <w:t>2015</w:t>
      </w:r>
      <w:r w:rsidRPr="000549B1">
        <w:rPr>
          <w:sz w:val="24"/>
          <w:szCs w:val="24"/>
        </w:rPr>
        <w:t>年）</w:t>
      </w:r>
      <w:bookmarkEnd w:id="263"/>
      <w:r w:rsidRPr="000549B1">
        <w:rPr>
          <w:sz w:val="24"/>
          <w:szCs w:val="24"/>
        </w:rPr>
        <w:t>和《中国生物多样性红色名录</w:t>
      </w:r>
      <w:r w:rsidRPr="000549B1">
        <w:rPr>
          <w:sz w:val="24"/>
          <w:szCs w:val="24"/>
        </w:rPr>
        <w:t>-</w:t>
      </w:r>
      <w:r w:rsidRPr="000549B1">
        <w:rPr>
          <w:sz w:val="24"/>
          <w:szCs w:val="24"/>
        </w:rPr>
        <w:t>高等植物卷》（</w:t>
      </w:r>
      <w:r w:rsidRPr="000549B1">
        <w:rPr>
          <w:sz w:val="24"/>
          <w:szCs w:val="24"/>
        </w:rPr>
        <w:t>2020</w:t>
      </w:r>
      <w:r w:rsidRPr="000549B1">
        <w:rPr>
          <w:sz w:val="24"/>
          <w:szCs w:val="24"/>
        </w:rPr>
        <w:t>年），调查得到评价区内有野生植物重要物种</w:t>
      </w:r>
      <w:r w:rsidRPr="000549B1">
        <w:rPr>
          <w:sz w:val="24"/>
          <w:szCs w:val="24"/>
        </w:rPr>
        <w:t>10</w:t>
      </w:r>
      <w:r w:rsidRPr="000549B1">
        <w:rPr>
          <w:sz w:val="24"/>
          <w:szCs w:val="24"/>
        </w:rPr>
        <w:t>种，其中国家</w:t>
      </w:r>
      <w:r w:rsidR="00B81685" w:rsidRPr="000549B1">
        <w:rPr>
          <w:rFonts w:hint="eastAsia"/>
          <w:sz w:val="24"/>
          <w:szCs w:val="24"/>
        </w:rPr>
        <w:t>Ⅱ</w:t>
      </w:r>
      <w:r w:rsidRPr="000549B1">
        <w:rPr>
          <w:sz w:val="24"/>
          <w:szCs w:val="24"/>
        </w:rPr>
        <w:t>级重点保护植物有</w:t>
      </w:r>
      <w:r w:rsidRPr="000549B1">
        <w:rPr>
          <w:sz w:val="24"/>
          <w:szCs w:val="24"/>
        </w:rPr>
        <w:t>2</w:t>
      </w:r>
      <w:r w:rsidRPr="000549B1">
        <w:rPr>
          <w:sz w:val="24"/>
          <w:szCs w:val="24"/>
        </w:rPr>
        <w:t>种，分别为四裂红景天和粗茎红景天；有</w:t>
      </w:r>
      <w:r w:rsidRPr="000549B1">
        <w:rPr>
          <w:sz w:val="24"/>
          <w:szCs w:val="24"/>
        </w:rPr>
        <w:t>8</w:t>
      </w:r>
      <w:r w:rsidRPr="000549B1">
        <w:rPr>
          <w:sz w:val="24"/>
          <w:szCs w:val="24"/>
        </w:rPr>
        <w:t>种青海省级重点保护植物，分别为唐古红景天、狭叶红景天、水母雪兔子、鸡爪大黄、驼绒藜、多枝黄芪、蕨麻、达乌里秦艽。中国特有植物有</w:t>
      </w:r>
      <w:r w:rsidRPr="000549B1">
        <w:rPr>
          <w:sz w:val="24"/>
          <w:szCs w:val="24"/>
        </w:rPr>
        <w:t>4</w:t>
      </w:r>
      <w:r w:rsidRPr="000549B1">
        <w:rPr>
          <w:sz w:val="24"/>
          <w:szCs w:val="24"/>
        </w:rPr>
        <w:t>种，为中国沙棘、青海黄芪、金翼黄芪和马衔山黄芪。未发现列入《中国生物多样性红色名录》极危、濒危和易危的物种。具体见下表。</w:t>
      </w:r>
    </w:p>
    <w:p w14:paraId="2DE453F8" w14:textId="7507FA66" w:rsidR="00054437" w:rsidRPr="000549B1" w:rsidRDefault="00000000">
      <w:pPr>
        <w:pStyle w:val="0A51"/>
        <w:ind w:firstLine="422"/>
      </w:pPr>
      <w:r w:rsidRPr="000549B1">
        <w:t>表</w:t>
      </w:r>
      <w:fldSimple w:instr=" STYLEREF 2 \s ">
        <w:r w:rsidR="00372953">
          <w:rPr>
            <w:noProof/>
          </w:rPr>
          <w:t>3.5</w:t>
        </w:r>
      </w:fldSimple>
      <w:r w:rsidR="00372953">
        <w:noBreakHyphen/>
      </w:r>
      <w:r w:rsidR="00372953">
        <w:fldChar w:fldCharType="begin"/>
      </w:r>
      <w:r w:rsidR="00372953">
        <w:instrText xml:space="preserve"> SEQ </w:instrText>
      </w:r>
      <w:r w:rsidR="00372953">
        <w:instrText>表</w:instrText>
      </w:r>
      <w:r w:rsidR="00372953">
        <w:instrText xml:space="preserve"> \* ARABIC \s 2 </w:instrText>
      </w:r>
      <w:r w:rsidR="00372953">
        <w:fldChar w:fldCharType="separate"/>
      </w:r>
      <w:r w:rsidR="00372953">
        <w:rPr>
          <w:noProof/>
        </w:rPr>
        <w:t>7</w:t>
      </w:r>
      <w:r w:rsidR="00372953">
        <w:fldChar w:fldCharType="end"/>
      </w:r>
      <w:r w:rsidRPr="000549B1">
        <w:t>评价区野生植物重要物种</w:t>
      </w:r>
    </w:p>
    <w:tbl>
      <w:tblPr>
        <w:tblW w:w="4998"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21"/>
        <w:gridCol w:w="1546"/>
        <w:gridCol w:w="2517"/>
        <w:gridCol w:w="1065"/>
        <w:gridCol w:w="1020"/>
        <w:gridCol w:w="1526"/>
      </w:tblGrid>
      <w:tr w:rsidR="000549B1" w:rsidRPr="000549B1" w14:paraId="29101103" w14:textId="77777777" w:rsidTr="00B81685">
        <w:trPr>
          <w:trHeight w:val="300"/>
        </w:trPr>
        <w:tc>
          <w:tcPr>
            <w:tcW w:w="374" w:type="pct"/>
            <w:tcBorders>
              <w:top w:val="single" w:sz="2" w:space="0" w:color="auto"/>
              <w:left w:val="single" w:sz="2" w:space="0" w:color="auto"/>
              <w:bottom w:val="single" w:sz="2" w:space="0" w:color="auto"/>
              <w:right w:val="single" w:sz="2" w:space="0" w:color="auto"/>
            </w:tcBorders>
            <w:vAlign w:val="center"/>
          </w:tcPr>
          <w:p w14:paraId="64C3A1B7" w14:textId="77777777" w:rsidR="00B81685" w:rsidRPr="000549B1" w:rsidRDefault="00B81685" w:rsidP="00D33EF7">
            <w:pPr>
              <w:pStyle w:val="afff5"/>
              <w:rPr>
                <w:b/>
                <w:bCs/>
                <w:szCs w:val="21"/>
              </w:rPr>
            </w:pPr>
            <w:r w:rsidRPr="000549B1">
              <w:rPr>
                <w:b/>
                <w:bCs/>
                <w:szCs w:val="21"/>
              </w:rPr>
              <w:t>序号</w:t>
            </w:r>
          </w:p>
        </w:tc>
        <w:tc>
          <w:tcPr>
            <w:tcW w:w="932" w:type="pct"/>
            <w:tcBorders>
              <w:top w:val="single" w:sz="2" w:space="0" w:color="auto"/>
              <w:left w:val="nil"/>
              <w:bottom w:val="single" w:sz="2" w:space="0" w:color="auto"/>
              <w:right w:val="single" w:sz="2" w:space="0" w:color="auto"/>
            </w:tcBorders>
            <w:vAlign w:val="center"/>
          </w:tcPr>
          <w:p w14:paraId="401FCDA9" w14:textId="77777777" w:rsidR="00B81685" w:rsidRPr="000549B1" w:rsidRDefault="00B81685" w:rsidP="00D33EF7">
            <w:pPr>
              <w:pStyle w:val="afff5"/>
              <w:rPr>
                <w:b/>
                <w:bCs/>
                <w:szCs w:val="21"/>
              </w:rPr>
            </w:pPr>
            <w:r w:rsidRPr="000549B1">
              <w:rPr>
                <w:b/>
                <w:bCs/>
                <w:szCs w:val="21"/>
              </w:rPr>
              <w:t>物种</w:t>
            </w:r>
          </w:p>
        </w:tc>
        <w:tc>
          <w:tcPr>
            <w:tcW w:w="1517" w:type="pct"/>
            <w:tcBorders>
              <w:top w:val="single" w:sz="2" w:space="0" w:color="auto"/>
              <w:left w:val="nil"/>
              <w:bottom w:val="single" w:sz="2" w:space="0" w:color="auto"/>
              <w:right w:val="single" w:sz="4" w:space="0" w:color="auto"/>
            </w:tcBorders>
            <w:vAlign w:val="center"/>
          </w:tcPr>
          <w:p w14:paraId="1F21A09E" w14:textId="77777777" w:rsidR="00B81685" w:rsidRPr="000549B1" w:rsidRDefault="00B81685" w:rsidP="00D33EF7">
            <w:pPr>
              <w:pStyle w:val="afff5"/>
              <w:rPr>
                <w:b/>
                <w:bCs/>
                <w:szCs w:val="21"/>
              </w:rPr>
            </w:pPr>
            <w:r w:rsidRPr="000549B1">
              <w:rPr>
                <w:b/>
                <w:bCs/>
                <w:szCs w:val="21"/>
              </w:rPr>
              <w:t>拉丁名</w:t>
            </w:r>
          </w:p>
        </w:tc>
        <w:tc>
          <w:tcPr>
            <w:tcW w:w="642" w:type="pct"/>
            <w:tcBorders>
              <w:top w:val="single" w:sz="2" w:space="0" w:color="auto"/>
              <w:left w:val="nil"/>
              <w:bottom w:val="single" w:sz="2" w:space="0" w:color="auto"/>
              <w:right w:val="single" w:sz="4" w:space="0" w:color="auto"/>
            </w:tcBorders>
            <w:vAlign w:val="center"/>
          </w:tcPr>
          <w:p w14:paraId="681B872B" w14:textId="77777777" w:rsidR="00B81685" w:rsidRPr="000549B1" w:rsidRDefault="00B81685" w:rsidP="00D33EF7">
            <w:pPr>
              <w:pStyle w:val="afff5"/>
              <w:rPr>
                <w:b/>
                <w:bCs/>
                <w:szCs w:val="21"/>
              </w:rPr>
            </w:pPr>
            <w:r w:rsidRPr="000549B1">
              <w:rPr>
                <w:b/>
                <w:bCs/>
                <w:szCs w:val="21"/>
              </w:rPr>
              <w:t>保护级别</w:t>
            </w:r>
          </w:p>
        </w:tc>
        <w:tc>
          <w:tcPr>
            <w:tcW w:w="615" w:type="pct"/>
            <w:tcBorders>
              <w:top w:val="single" w:sz="2" w:space="0" w:color="auto"/>
              <w:left w:val="nil"/>
              <w:bottom w:val="single" w:sz="2" w:space="0" w:color="auto"/>
              <w:right w:val="single" w:sz="2" w:space="0" w:color="auto"/>
            </w:tcBorders>
            <w:vAlign w:val="center"/>
          </w:tcPr>
          <w:p w14:paraId="031D5830" w14:textId="77777777" w:rsidR="00B81685" w:rsidRPr="000549B1" w:rsidRDefault="00B81685" w:rsidP="00D33EF7">
            <w:pPr>
              <w:pStyle w:val="afff5"/>
              <w:rPr>
                <w:b/>
                <w:bCs/>
                <w:szCs w:val="21"/>
              </w:rPr>
            </w:pPr>
            <w:r w:rsidRPr="000549B1">
              <w:rPr>
                <w:b/>
                <w:bCs/>
                <w:szCs w:val="21"/>
              </w:rPr>
              <w:t>是否特有</w:t>
            </w:r>
          </w:p>
        </w:tc>
        <w:tc>
          <w:tcPr>
            <w:tcW w:w="920" w:type="pct"/>
            <w:tcBorders>
              <w:top w:val="single" w:sz="2" w:space="0" w:color="auto"/>
              <w:left w:val="single" w:sz="4" w:space="0" w:color="auto"/>
              <w:bottom w:val="single" w:sz="2" w:space="0" w:color="auto"/>
              <w:right w:val="single" w:sz="4" w:space="0" w:color="auto"/>
            </w:tcBorders>
            <w:vAlign w:val="center"/>
          </w:tcPr>
          <w:p w14:paraId="17CCDB91" w14:textId="77777777" w:rsidR="00B81685" w:rsidRPr="000549B1" w:rsidRDefault="00B81685" w:rsidP="00D33EF7">
            <w:pPr>
              <w:pStyle w:val="afff5"/>
              <w:rPr>
                <w:b/>
                <w:bCs/>
                <w:szCs w:val="21"/>
              </w:rPr>
            </w:pPr>
            <w:r w:rsidRPr="000549B1">
              <w:rPr>
                <w:b/>
                <w:bCs/>
                <w:szCs w:val="21"/>
              </w:rPr>
              <w:t>来源</w:t>
            </w:r>
          </w:p>
        </w:tc>
      </w:tr>
      <w:tr w:rsidR="000549B1" w:rsidRPr="000549B1" w14:paraId="46FB6AB8" w14:textId="77777777" w:rsidTr="00B81685">
        <w:trPr>
          <w:trHeight w:val="300"/>
        </w:trPr>
        <w:tc>
          <w:tcPr>
            <w:tcW w:w="374" w:type="pct"/>
            <w:tcBorders>
              <w:top w:val="single" w:sz="2" w:space="0" w:color="auto"/>
              <w:left w:val="single" w:sz="2" w:space="0" w:color="auto"/>
              <w:bottom w:val="single" w:sz="2" w:space="0" w:color="auto"/>
              <w:right w:val="single" w:sz="2" w:space="0" w:color="auto"/>
            </w:tcBorders>
            <w:vAlign w:val="center"/>
          </w:tcPr>
          <w:p w14:paraId="68696792" w14:textId="77777777" w:rsidR="00B81685" w:rsidRPr="000549B1" w:rsidRDefault="00B81685" w:rsidP="00D33EF7">
            <w:pPr>
              <w:pStyle w:val="afff5"/>
              <w:rPr>
                <w:szCs w:val="21"/>
              </w:rPr>
            </w:pPr>
            <w:r w:rsidRPr="000549B1">
              <w:rPr>
                <w:szCs w:val="21"/>
              </w:rPr>
              <w:t>1</w:t>
            </w:r>
          </w:p>
        </w:tc>
        <w:tc>
          <w:tcPr>
            <w:tcW w:w="932" w:type="pct"/>
            <w:tcBorders>
              <w:top w:val="single" w:sz="2" w:space="0" w:color="auto"/>
              <w:left w:val="nil"/>
              <w:bottom w:val="single" w:sz="2" w:space="0" w:color="auto"/>
              <w:right w:val="single" w:sz="2" w:space="0" w:color="auto"/>
            </w:tcBorders>
            <w:vAlign w:val="center"/>
          </w:tcPr>
          <w:p w14:paraId="2EB730D2" w14:textId="77777777" w:rsidR="00B81685" w:rsidRPr="000549B1" w:rsidRDefault="00B81685" w:rsidP="00D33EF7">
            <w:pPr>
              <w:pStyle w:val="afff5"/>
              <w:rPr>
                <w:szCs w:val="21"/>
              </w:rPr>
            </w:pPr>
            <w:r w:rsidRPr="000549B1">
              <w:rPr>
                <w:szCs w:val="21"/>
              </w:rPr>
              <w:t>四裂红景天</w:t>
            </w:r>
          </w:p>
        </w:tc>
        <w:tc>
          <w:tcPr>
            <w:tcW w:w="1517" w:type="pct"/>
            <w:tcBorders>
              <w:top w:val="single" w:sz="2" w:space="0" w:color="auto"/>
              <w:left w:val="nil"/>
              <w:bottom w:val="single" w:sz="2" w:space="0" w:color="auto"/>
              <w:right w:val="single" w:sz="4" w:space="0" w:color="auto"/>
            </w:tcBorders>
            <w:vAlign w:val="center"/>
          </w:tcPr>
          <w:p w14:paraId="44D8A787" w14:textId="77777777" w:rsidR="00B81685" w:rsidRPr="000549B1" w:rsidRDefault="00B81685" w:rsidP="00D33EF7">
            <w:pPr>
              <w:pStyle w:val="afff5"/>
              <w:rPr>
                <w:i/>
                <w:iCs/>
                <w:szCs w:val="21"/>
              </w:rPr>
            </w:pPr>
            <w:r w:rsidRPr="000549B1">
              <w:rPr>
                <w:i/>
                <w:iCs/>
                <w:szCs w:val="21"/>
              </w:rPr>
              <w:t>Rhodiolaquadrifida</w:t>
            </w:r>
          </w:p>
        </w:tc>
        <w:tc>
          <w:tcPr>
            <w:tcW w:w="642" w:type="pct"/>
            <w:tcBorders>
              <w:top w:val="single" w:sz="2" w:space="0" w:color="auto"/>
              <w:left w:val="nil"/>
              <w:bottom w:val="single" w:sz="2" w:space="0" w:color="auto"/>
              <w:right w:val="single" w:sz="4" w:space="0" w:color="auto"/>
            </w:tcBorders>
            <w:vAlign w:val="center"/>
          </w:tcPr>
          <w:p w14:paraId="469FCB92" w14:textId="77777777" w:rsidR="00B81685" w:rsidRPr="000549B1" w:rsidRDefault="00B81685" w:rsidP="00D33EF7">
            <w:pPr>
              <w:pStyle w:val="afff5"/>
              <w:rPr>
                <w:szCs w:val="21"/>
              </w:rPr>
            </w:pPr>
            <w:r w:rsidRPr="000549B1">
              <w:rPr>
                <w:szCs w:val="21"/>
              </w:rPr>
              <w:t>国家</w:t>
            </w:r>
            <w:r w:rsidRPr="000549B1">
              <w:rPr>
                <w:rFonts w:hint="eastAsia"/>
                <w:szCs w:val="21"/>
              </w:rPr>
              <w:t>二</w:t>
            </w:r>
            <w:r w:rsidRPr="000549B1">
              <w:rPr>
                <w:szCs w:val="21"/>
              </w:rPr>
              <w:t>级</w:t>
            </w:r>
          </w:p>
        </w:tc>
        <w:tc>
          <w:tcPr>
            <w:tcW w:w="615" w:type="pct"/>
            <w:tcBorders>
              <w:top w:val="single" w:sz="2" w:space="0" w:color="auto"/>
              <w:left w:val="nil"/>
              <w:bottom w:val="single" w:sz="2" w:space="0" w:color="auto"/>
              <w:right w:val="single" w:sz="2" w:space="0" w:color="auto"/>
            </w:tcBorders>
            <w:vAlign w:val="center"/>
          </w:tcPr>
          <w:p w14:paraId="7B517E98" w14:textId="77777777" w:rsidR="00B81685" w:rsidRPr="000549B1" w:rsidRDefault="00B81685" w:rsidP="00D33EF7">
            <w:pPr>
              <w:pStyle w:val="afff5"/>
              <w:rPr>
                <w:szCs w:val="21"/>
              </w:rPr>
            </w:pPr>
            <w:r w:rsidRPr="000549B1">
              <w:rPr>
                <w:szCs w:val="21"/>
              </w:rPr>
              <w:t>是</w:t>
            </w:r>
          </w:p>
        </w:tc>
        <w:tc>
          <w:tcPr>
            <w:tcW w:w="920" w:type="pct"/>
            <w:tcBorders>
              <w:top w:val="nil"/>
              <w:left w:val="single" w:sz="4" w:space="0" w:color="auto"/>
              <w:bottom w:val="single" w:sz="2" w:space="0" w:color="auto"/>
              <w:right w:val="single" w:sz="4" w:space="0" w:color="auto"/>
            </w:tcBorders>
            <w:vAlign w:val="center"/>
          </w:tcPr>
          <w:p w14:paraId="00729644" w14:textId="77777777" w:rsidR="00B81685" w:rsidRPr="000549B1" w:rsidRDefault="00B81685" w:rsidP="00D33EF7">
            <w:pPr>
              <w:pStyle w:val="afff5"/>
              <w:rPr>
                <w:szCs w:val="21"/>
              </w:rPr>
            </w:pPr>
            <w:r w:rsidRPr="000549B1">
              <w:rPr>
                <w:szCs w:val="21"/>
              </w:rPr>
              <w:t>查阅资料</w:t>
            </w:r>
          </w:p>
        </w:tc>
      </w:tr>
      <w:tr w:rsidR="000549B1" w:rsidRPr="000549B1" w14:paraId="66F46B19" w14:textId="77777777" w:rsidTr="00B81685">
        <w:trPr>
          <w:trHeight w:val="300"/>
        </w:trPr>
        <w:tc>
          <w:tcPr>
            <w:tcW w:w="374" w:type="pct"/>
            <w:tcBorders>
              <w:top w:val="single" w:sz="2" w:space="0" w:color="auto"/>
              <w:left w:val="single" w:sz="2" w:space="0" w:color="auto"/>
              <w:bottom w:val="single" w:sz="2" w:space="0" w:color="auto"/>
              <w:right w:val="single" w:sz="2" w:space="0" w:color="auto"/>
            </w:tcBorders>
            <w:vAlign w:val="center"/>
          </w:tcPr>
          <w:p w14:paraId="363A01A4" w14:textId="77777777" w:rsidR="00B81685" w:rsidRPr="000549B1" w:rsidRDefault="00B81685" w:rsidP="00D33EF7">
            <w:pPr>
              <w:pStyle w:val="afff5"/>
              <w:rPr>
                <w:szCs w:val="21"/>
              </w:rPr>
            </w:pPr>
            <w:r w:rsidRPr="000549B1">
              <w:rPr>
                <w:szCs w:val="21"/>
              </w:rPr>
              <w:t>2</w:t>
            </w:r>
          </w:p>
        </w:tc>
        <w:tc>
          <w:tcPr>
            <w:tcW w:w="932" w:type="pct"/>
            <w:tcBorders>
              <w:top w:val="single" w:sz="2" w:space="0" w:color="auto"/>
              <w:left w:val="nil"/>
              <w:bottom w:val="single" w:sz="2" w:space="0" w:color="auto"/>
              <w:right w:val="single" w:sz="2" w:space="0" w:color="auto"/>
            </w:tcBorders>
            <w:vAlign w:val="center"/>
          </w:tcPr>
          <w:p w14:paraId="6A5DCBFD" w14:textId="77777777" w:rsidR="00B81685" w:rsidRPr="000549B1" w:rsidRDefault="00B81685" w:rsidP="00D33EF7">
            <w:pPr>
              <w:pStyle w:val="afff5"/>
              <w:rPr>
                <w:szCs w:val="21"/>
              </w:rPr>
            </w:pPr>
            <w:r w:rsidRPr="000549B1">
              <w:rPr>
                <w:szCs w:val="21"/>
              </w:rPr>
              <w:t>粗茎红景天</w:t>
            </w:r>
          </w:p>
        </w:tc>
        <w:tc>
          <w:tcPr>
            <w:tcW w:w="1517" w:type="pct"/>
            <w:tcBorders>
              <w:top w:val="single" w:sz="2" w:space="0" w:color="auto"/>
              <w:left w:val="nil"/>
              <w:bottom w:val="single" w:sz="2" w:space="0" w:color="auto"/>
              <w:right w:val="single" w:sz="4" w:space="0" w:color="auto"/>
            </w:tcBorders>
            <w:vAlign w:val="center"/>
          </w:tcPr>
          <w:p w14:paraId="2B6799D4" w14:textId="77777777" w:rsidR="00B81685" w:rsidRPr="000549B1" w:rsidRDefault="00B81685" w:rsidP="00D33EF7">
            <w:pPr>
              <w:pStyle w:val="afff5"/>
              <w:rPr>
                <w:i/>
                <w:iCs/>
                <w:szCs w:val="21"/>
              </w:rPr>
            </w:pPr>
            <w:r w:rsidRPr="000549B1">
              <w:rPr>
                <w:i/>
                <w:iCs/>
                <w:szCs w:val="21"/>
              </w:rPr>
              <w:t>Rhodiolawallichiana</w:t>
            </w:r>
          </w:p>
        </w:tc>
        <w:tc>
          <w:tcPr>
            <w:tcW w:w="642" w:type="pct"/>
            <w:tcBorders>
              <w:top w:val="single" w:sz="2" w:space="0" w:color="auto"/>
              <w:left w:val="nil"/>
              <w:bottom w:val="single" w:sz="2" w:space="0" w:color="auto"/>
              <w:right w:val="single" w:sz="4" w:space="0" w:color="auto"/>
            </w:tcBorders>
            <w:vAlign w:val="center"/>
          </w:tcPr>
          <w:p w14:paraId="40852997" w14:textId="77777777" w:rsidR="00B81685" w:rsidRPr="000549B1" w:rsidRDefault="00B81685" w:rsidP="00D33EF7">
            <w:pPr>
              <w:pStyle w:val="afff5"/>
              <w:rPr>
                <w:szCs w:val="21"/>
              </w:rPr>
            </w:pPr>
            <w:r w:rsidRPr="000549B1">
              <w:rPr>
                <w:szCs w:val="21"/>
              </w:rPr>
              <w:t>国家</w:t>
            </w:r>
            <w:r w:rsidRPr="000549B1">
              <w:rPr>
                <w:rFonts w:hint="eastAsia"/>
                <w:szCs w:val="21"/>
              </w:rPr>
              <w:t>二</w:t>
            </w:r>
            <w:r w:rsidRPr="000549B1">
              <w:rPr>
                <w:szCs w:val="21"/>
              </w:rPr>
              <w:t>级</w:t>
            </w:r>
          </w:p>
        </w:tc>
        <w:tc>
          <w:tcPr>
            <w:tcW w:w="615" w:type="pct"/>
            <w:tcBorders>
              <w:top w:val="single" w:sz="2" w:space="0" w:color="auto"/>
              <w:left w:val="nil"/>
              <w:bottom w:val="single" w:sz="2" w:space="0" w:color="auto"/>
              <w:right w:val="single" w:sz="2" w:space="0" w:color="auto"/>
            </w:tcBorders>
            <w:vAlign w:val="center"/>
          </w:tcPr>
          <w:p w14:paraId="4F995BF3" w14:textId="77777777" w:rsidR="00B81685" w:rsidRPr="000549B1" w:rsidRDefault="00B81685" w:rsidP="00D33EF7">
            <w:pPr>
              <w:pStyle w:val="afff5"/>
              <w:rPr>
                <w:szCs w:val="21"/>
              </w:rPr>
            </w:pPr>
            <w:r w:rsidRPr="000549B1">
              <w:rPr>
                <w:szCs w:val="21"/>
              </w:rPr>
              <w:t>/</w:t>
            </w:r>
          </w:p>
        </w:tc>
        <w:tc>
          <w:tcPr>
            <w:tcW w:w="920" w:type="pct"/>
            <w:tcBorders>
              <w:top w:val="nil"/>
              <w:left w:val="single" w:sz="4" w:space="0" w:color="auto"/>
              <w:bottom w:val="single" w:sz="2" w:space="0" w:color="auto"/>
              <w:right w:val="single" w:sz="4" w:space="0" w:color="auto"/>
            </w:tcBorders>
            <w:vAlign w:val="center"/>
          </w:tcPr>
          <w:p w14:paraId="496947CD" w14:textId="77777777" w:rsidR="00B81685" w:rsidRPr="000549B1" w:rsidRDefault="00B81685" w:rsidP="00D33EF7">
            <w:pPr>
              <w:pStyle w:val="afff5"/>
              <w:rPr>
                <w:szCs w:val="21"/>
              </w:rPr>
            </w:pPr>
            <w:r w:rsidRPr="000549B1">
              <w:rPr>
                <w:szCs w:val="21"/>
              </w:rPr>
              <w:t>查阅资料</w:t>
            </w:r>
          </w:p>
        </w:tc>
      </w:tr>
      <w:tr w:rsidR="000549B1" w:rsidRPr="000549B1" w14:paraId="200BCED2" w14:textId="77777777" w:rsidTr="00B81685">
        <w:trPr>
          <w:trHeight w:val="300"/>
        </w:trPr>
        <w:tc>
          <w:tcPr>
            <w:tcW w:w="374" w:type="pct"/>
            <w:tcBorders>
              <w:top w:val="single" w:sz="2" w:space="0" w:color="auto"/>
              <w:left w:val="single" w:sz="2" w:space="0" w:color="auto"/>
              <w:bottom w:val="single" w:sz="2" w:space="0" w:color="auto"/>
              <w:right w:val="single" w:sz="2" w:space="0" w:color="auto"/>
            </w:tcBorders>
            <w:vAlign w:val="center"/>
          </w:tcPr>
          <w:p w14:paraId="49BD7FF0" w14:textId="77777777" w:rsidR="00B81685" w:rsidRPr="000549B1" w:rsidRDefault="00B81685" w:rsidP="00D33EF7">
            <w:pPr>
              <w:pStyle w:val="afff5"/>
              <w:rPr>
                <w:szCs w:val="21"/>
              </w:rPr>
            </w:pPr>
            <w:r w:rsidRPr="000549B1">
              <w:rPr>
                <w:szCs w:val="21"/>
              </w:rPr>
              <w:t>3</w:t>
            </w:r>
          </w:p>
        </w:tc>
        <w:tc>
          <w:tcPr>
            <w:tcW w:w="932" w:type="pct"/>
            <w:tcBorders>
              <w:top w:val="single" w:sz="2" w:space="0" w:color="auto"/>
              <w:left w:val="nil"/>
              <w:bottom w:val="single" w:sz="2" w:space="0" w:color="auto"/>
              <w:right w:val="single" w:sz="2" w:space="0" w:color="auto"/>
            </w:tcBorders>
            <w:vAlign w:val="center"/>
          </w:tcPr>
          <w:p w14:paraId="05E1FC92" w14:textId="77777777" w:rsidR="00B81685" w:rsidRPr="000549B1" w:rsidRDefault="00B81685" w:rsidP="00D33EF7">
            <w:pPr>
              <w:pStyle w:val="afff5"/>
              <w:rPr>
                <w:szCs w:val="21"/>
              </w:rPr>
            </w:pPr>
            <w:r w:rsidRPr="000549B1">
              <w:rPr>
                <w:szCs w:val="21"/>
              </w:rPr>
              <w:t>唐古红景天</w:t>
            </w:r>
          </w:p>
        </w:tc>
        <w:tc>
          <w:tcPr>
            <w:tcW w:w="1517" w:type="pct"/>
            <w:tcBorders>
              <w:top w:val="single" w:sz="2" w:space="0" w:color="auto"/>
              <w:left w:val="nil"/>
              <w:bottom w:val="single" w:sz="2" w:space="0" w:color="auto"/>
              <w:right w:val="single" w:sz="4" w:space="0" w:color="auto"/>
            </w:tcBorders>
            <w:vAlign w:val="center"/>
          </w:tcPr>
          <w:p w14:paraId="49A33379" w14:textId="77777777" w:rsidR="00B81685" w:rsidRPr="000549B1" w:rsidRDefault="00B81685" w:rsidP="00D33EF7">
            <w:pPr>
              <w:pStyle w:val="afff5"/>
              <w:rPr>
                <w:i/>
                <w:iCs/>
                <w:szCs w:val="21"/>
              </w:rPr>
            </w:pPr>
            <w:r w:rsidRPr="000549B1">
              <w:rPr>
                <w:i/>
                <w:iCs/>
                <w:szCs w:val="21"/>
              </w:rPr>
              <w:t>Rhodiolatangutica</w:t>
            </w:r>
          </w:p>
        </w:tc>
        <w:tc>
          <w:tcPr>
            <w:tcW w:w="642" w:type="pct"/>
            <w:tcBorders>
              <w:top w:val="single" w:sz="2" w:space="0" w:color="auto"/>
              <w:left w:val="nil"/>
              <w:bottom w:val="single" w:sz="2" w:space="0" w:color="auto"/>
              <w:right w:val="single" w:sz="4" w:space="0" w:color="auto"/>
            </w:tcBorders>
            <w:vAlign w:val="center"/>
          </w:tcPr>
          <w:p w14:paraId="14FA78E9" w14:textId="77777777" w:rsidR="00B81685" w:rsidRPr="000549B1" w:rsidRDefault="00B81685" w:rsidP="00D33EF7">
            <w:pPr>
              <w:pStyle w:val="afff5"/>
              <w:rPr>
                <w:szCs w:val="21"/>
              </w:rPr>
            </w:pPr>
            <w:r w:rsidRPr="000549B1">
              <w:rPr>
                <w:szCs w:val="21"/>
              </w:rPr>
              <w:t>青海省</w:t>
            </w:r>
          </w:p>
        </w:tc>
        <w:tc>
          <w:tcPr>
            <w:tcW w:w="615" w:type="pct"/>
            <w:tcBorders>
              <w:top w:val="single" w:sz="2" w:space="0" w:color="auto"/>
              <w:left w:val="nil"/>
              <w:bottom w:val="single" w:sz="2" w:space="0" w:color="auto"/>
              <w:right w:val="single" w:sz="2" w:space="0" w:color="auto"/>
            </w:tcBorders>
            <w:vAlign w:val="center"/>
          </w:tcPr>
          <w:p w14:paraId="67FD2EDA" w14:textId="77777777" w:rsidR="00B81685" w:rsidRPr="000549B1" w:rsidRDefault="00B81685" w:rsidP="00D33EF7">
            <w:pPr>
              <w:pStyle w:val="afff5"/>
              <w:rPr>
                <w:szCs w:val="21"/>
              </w:rPr>
            </w:pPr>
            <w:r w:rsidRPr="000549B1">
              <w:rPr>
                <w:szCs w:val="21"/>
              </w:rPr>
              <w:t>/</w:t>
            </w:r>
          </w:p>
        </w:tc>
        <w:tc>
          <w:tcPr>
            <w:tcW w:w="920" w:type="pct"/>
            <w:tcBorders>
              <w:top w:val="nil"/>
              <w:left w:val="single" w:sz="4" w:space="0" w:color="auto"/>
              <w:bottom w:val="single" w:sz="2" w:space="0" w:color="auto"/>
              <w:right w:val="single" w:sz="4" w:space="0" w:color="auto"/>
            </w:tcBorders>
            <w:vAlign w:val="center"/>
          </w:tcPr>
          <w:p w14:paraId="76FB417A" w14:textId="77777777" w:rsidR="00B81685" w:rsidRPr="000549B1" w:rsidRDefault="00B81685" w:rsidP="00D33EF7">
            <w:pPr>
              <w:pStyle w:val="afff5"/>
              <w:rPr>
                <w:szCs w:val="21"/>
              </w:rPr>
            </w:pPr>
            <w:r w:rsidRPr="000549B1">
              <w:rPr>
                <w:szCs w:val="21"/>
              </w:rPr>
              <w:t>查阅资料</w:t>
            </w:r>
          </w:p>
        </w:tc>
      </w:tr>
      <w:tr w:rsidR="000549B1" w:rsidRPr="000549B1" w14:paraId="6071B499" w14:textId="77777777" w:rsidTr="00B81685">
        <w:trPr>
          <w:trHeight w:val="300"/>
        </w:trPr>
        <w:tc>
          <w:tcPr>
            <w:tcW w:w="374" w:type="pct"/>
            <w:tcBorders>
              <w:top w:val="single" w:sz="2" w:space="0" w:color="auto"/>
              <w:left w:val="single" w:sz="2" w:space="0" w:color="auto"/>
              <w:bottom w:val="single" w:sz="2" w:space="0" w:color="auto"/>
              <w:right w:val="single" w:sz="2" w:space="0" w:color="auto"/>
            </w:tcBorders>
            <w:vAlign w:val="center"/>
          </w:tcPr>
          <w:p w14:paraId="000A1E8B" w14:textId="77777777" w:rsidR="00B81685" w:rsidRPr="000549B1" w:rsidRDefault="00B81685" w:rsidP="00D33EF7">
            <w:pPr>
              <w:pStyle w:val="afff5"/>
              <w:rPr>
                <w:szCs w:val="21"/>
              </w:rPr>
            </w:pPr>
            <w:r w:rsidRPr="000549B1">
              <w:rPr>
                <w:szCs w:val="21"/>
              </w:rPr>
              <w:t>4</w:t>
            </w:r>
          </w:p>
        </w:tc>
        <w:tc>
          <w:tcPr>
            <w:tcW w:w="932" w:type="pct"/>
            <w:tcBorders>
              <w:top w:val="single" w:sz="2" w:space="0" w:color="auto"/>
              <w:left w:val="nil"/>
              <w:bottom w:val="single" w:sz="2" w:space="0" w:color="auto"/>
              <w:right w:val="single" w:sz="2" w:space="0" w:color="auto"/>
            </w:tcBorders>
            <w:vAlign w:val="center"/>
          </w:tcPr>
          <w:p w14:paraId="1F425C37" w14:textId="77777777" w:rsidR="00B81685" w:rsidRPr="000549B1" w:rsidRDefault="00B81685" w:rsidP="00D33EF7">
            <w:pPr>
              <w:pStyle w:val="afff5"/>
              <w:rPr>
                <w:szCs w:val="21"/>
              </w:rPr>
            </w:pPr>
            <w:r w:rsidRPr="000549B1">
              <w:rPr>
                <w:szCs w:val="21"/>
              </w:rPr>
              <w:t>狭叶红景天</w:t>
            </w:r>
          </w:p>
        </w:tc>
        <w:tc>
          <w:tcPr>
            <w:tcW w:w="1517" w:type="pct"/>
            <w:tcBorders>
              <w:top w:val="single" w:sz="2" w:space="0" w:color="auto"/>
              <w:left w:val="nil"/>
              <w:bottom w:val="single" w:sz="2" w:space="0" w:color="auto"/>
              <w:right w:val="single" w:sz="4" w:space="0" w:color="auto"/>
            </w:tcBorders>
            <w:vAlign w:val="center"/>
          </w:tcPr>
          <w:p w14:paraId="4FD879C8" w14:textId="77777777" w:rsidR="00B81685" w:rsidRPr="000549B1" w:rsidRDefault="00B81685" w:rsidP="00D33EF7">
            <w:pPr>
              <w:pStyle w:val="afff5"/>
              <w:rPr>
                <w:i/>
                <w:iCs/>
                <w:szCs w:val="21"/>
              </w:rPr>
            </w:pPr>
            <w:r w:rsidRPr="000549B1">
              <w:rPr>
                <w:i/>
                <w:iCs/>
                <w:szCs w:val="21"/>
              </w:rPr>
              <w:t>Rhodiolakirilowii</w:t>
            </w:r>
          </w:p>
        </w:tc>
        <w:tc>
          <w:tcPr>
            <w:tcW w:w="642" w:type="pct"/>
            <w:tcBorders>
              <w:top w:val="single" w:sz="2" w:space="0" w:color="auto"/>
              <w:left w:val="nil"/>
              <w:bottom w:val="single" w:sz="2" w:space="0" w:color="auto"/>
              <w:right w:val="single" w:sz="4" w:space="0" w:color="auto"/>
            </w:tcBorders>
            <w:vAlign w:val="center"/>
          </w:tcPr>
          <w:p w14:paraId="3EC4BFEE" w14:textId="77777777" w:rsidR="00B81685" w:rsidRPr="000549B1" w:rsidRDefault="00B81685" w:rsidP="00D33EF7">
            <w:pPr>
              <w:pStyle w:val="afff5"/>
              <w:rPr>
                <w:szCs w:val="21"/>
              </w:rPr>
            </w:pPr>
            <w:r w:rsidRPr="000549B1">
              <w:rPr>
                <w:szCs w:val="21"/>
              </w:rPr>
              <w:t>青海省</w:t>
            </w:r>
          </w:p>
        </w:tc>
        <w:tc>
          <w:tcPr>
            <w:tcW w:w="615" w:type="pct"/>
            <w:tcBorders>
              <w:top w:val="single" w:sz="2" w:space="0" w:color="auto"/>
              <w:left w:val="nil"/>
              <w:bottom w:val="single" w:sz="2" w:space="0" w:color="auto"/>
              <w:right w:val="single" w:sz="2" w:space="0" w:color="auto"/>
            </w:tcBorders>
            <w:vAlign w:val="center"/>
          </w:tcPr>
          <w:p w14:paraId="1D03D1DF" w14:textId="77777777" w:rsidR="00B81685" w:rsidRPr="000549B1" w:rsidRDefault="00B81685" w:rsidP="00D33EF7">
            <w:pPr>
              <w:pStyle w:val="afff5"/>
              <w:rPr>
                <w:szCs w:val="21"/>
              </w:rPr>
            </w:pPr>
            <w:r w:rsidRPr="000549B1">
              <w:rPr>
                <w:szCs w:val="21"/>
              </w:rPr>
              <w:t>/</w:t>
            </w:r>
          </w:p>
        </w:tc>
        <w:tc>
          <w:tcPr>
            <w:tcW w:w="920" w:type="pct"/>
            <w:tcBorders>
              <w:top w:val="nil"/>
              <w:left w:val="single" w:sz="4" w:space="0" w:color="auto"/>
              <w:bottom w:val="single" w:sz="2" w:space="0" w:color="auto"/>
              <w:right w:val="single" w:sz="4" w:space="0" w:color="auto"/>
            </w:tcBorders>
            <w:vAlign w:val="center"/>
          </w:tcPr>
          <w:p w14:paraId="36972BA2" w14:textId="77777777" w:rsidR="00B81685" w:rsidRPr="000549B1" w:rsidRDefault="00B81685" w:rsidP="00D33EF7">
            <w:pPr>
              <w:pStyle w:val="afff5"/>
              <w:rPr>
                <w:szCs w:val="21"/>
              </w:rPr>
            </w:pPr>
            <w:r w:rsidRPr="000549B1">
              <w:rPr>
                <w:szCs w:val="21"/>
              </w:rPr>
              <w:t>查阅资料</w:t>
            </w:r>
          </w:p>
        </w:tc>
      </w:tr>
      <w:tr w:rsidR="000549B1" w:rsidRPr="000549B1" w14:paraId="1822F733" w14:textId="77777777" w:rsidTr="00B81685">
        <w:trPr>
          <w:trHeight w:val="300"/>
        </w:trPr>
        <w:tc>
          <w:tcPr>
            <w:tcW w:w="374" w:type="pct"/>
            <w:tcBorders>
              <w:top w:val="single" w:sz="2" w:space="0" w:color="auto"/>
              <w:left w:val="single" w:sz="2" w:space="0" w:color="auto"/>
              <w:bottom w:val="single" w:sz="2" w:space="0" w:color="auto"/>
              <w:right w:val="single" w:sz="2" w:space="0" w:color="auto"/>
            </w:tcBorders>
            <w:vAlign w:val="center"/>
          </w:tcPr>
          <w:p w14:paraId="052A4E1E" w14:textId="77777777" w:rsidR="00B81685" w:rsidRPr="000549B1" w:rsidRDefault="00B81685" w:rsidP="00D33EF7">
            <w:pPr>
              <w:pStyle w:val="afff5"/>
              <w:rPr>
                <w:szCs w:val="21"/>
              </w:rPr>
            </w:pPr>
            <w:r w:rsidRPr="000549B1">
              <w:rPr>
                <w:szCs w:val="21"/>
              </w:rPr>
              <w:t>5</w:t>
            </w:r>
          </w:p>
        </w:tc>
        <w:tc>
          <w:tcPr>
            <w:tcW w:w="932" w:type="pct"/>
            <w:tcBorders>
              <w:top w:val="single" w:sz="2" w:space="0" w:color="auto"/>
              <w:left w:val="nil"/>
              <w:bottom w:val="single" w:sz="2" w:space="0" w:color="auto"/>
              <w:right w:val="single" w:sz="2" w:space="0" w:color="auto"/>
            </w:tcBorders>
            <w:vAlign w:val="center"/>
          </w:tcPr>
          <w:p w14:paraId="43038407" w14:textId="77777777" w:rsidR="00B81685" w:rsidRPr="000549B1" w:rsidRDefault="00B81685" w:rsidP="00D33EF7">
            <w:pPr>
              <w:pStyle w:val="afff5"/>
              <w:rPr>
                <w:szCs w:val="21"/>
              </w:rPr>
            </w:pPr>
            <w:r w:rsidRPr="000549B1">
              <w:rPr>
                <w:szCs w:val="21"/>
              </w:rPr>
              <w:t>水母雪兔子</w:t>
            </w:r>
          </w:p>
        </w:tc>
        <w:tc>
          <w:tcPr>
            <w:tcW w:w="1517" w:type="pct"/>
            <w:tcBorders>
              <w:top w:val="single" w:sz="2" w:space="0" w:color="auto"/>
              <w:left w:val="nil"/>
              <w:bottom w:val="single" w:sz="2" w:space="0" w:color="auto"/>
              <w:right w:val="single" w:sz="4" w:space="0" w:color="auto"/>
            </w:tcBorders>
            <w:vAlign w:val="center"/>
          </w:tcPr>
          <w:p w14:paraId="78ECE40B" w14:textId="77777777" w:rsidR="00B81685" w:rsidRPr="000549B1" w:rsidRDefault="00B81685" w:rsidP="00D33EF7">
            <w:pPr>
              <w:pStyle w:val="afff5"/>
              <w:rPr>
                <w:i/>
                <w:iCs/>
                <w:szCs w:val="21"/>
              </w:rPr>
            </w:pPr>
            <w:r w:rsidRPr="000549B1">
              <w:rPr>
                <w:i/>
                <w:iCs/>
                <w:szCs w:val="21"/>
              </w:rPr>
              <w:t>Saussureamedusa</w:t>
            </w:r>
          </w:p>
        </w:tc>
        <w:tc>
          <w:tcPr>
            <w:tcW w:w="642" w:type="pct"/>
            <w:tcBorders>
              <w:top w:val="single" w:sz="2" w:space="0" w:color="auto"/>
              <w:left w:val="nil"/>
              <w:bottom w:val="single" w:sz="2" w:space="0" w:color="auto"/>
              <w:right w:val="single" w:sz="4" w:space="0" w:color="auto"/>
            </w:tcBorders>
            <w:vAlign w:val="center"/>
          </w:tcPr>
          <w:p w14:paraId="32F58297" w14:textId="77777777" w:rsidR="00B81685" w:rsidRPr="000549B1" w:rsidRDefault="00B81685" w:rsidP="00D33EF7">
            <w:pPr>
              <w:pStyle w:val="afff5"/>
              <w:rPr>
                <w:szCs w:val="21"/>
              </w:rPr>
            </w:pPr>
            <w:r w:rsidRPr="000549B1">
              <w:rPr>
                <w:szCs w:val="21"/>
              </w:rPr>
              <w:t>青海省</w:t>
            </w:r>
          </w:p>
        </w:tc>
        <w:tc>
          <w:tcPr>
            <w:tcW w:w="615" w:type="pct"/>
            <w:tcBorders>
              <w:top w:val="single" w:sz="2" w:space="0" w:color="auto"/>
              <w:left w:val="nil"/>
              <w:bottom w:val="single" w:sz="2" w:space="0" w:color="auto"/>
              <w:right w:val="single" w:sz="2" w:space="0" w:color="auto"/>
            </w:tcBorders>
            <w:vAlign w:val="center"/>
          </w:tcPr>
          <w:p w14:paraId="0F9FB9CB" w14:textId="77777777" w:rsidR="00B81685" w:rsidRPr="000549B1" w:rsidRDefault="00B81685" w:rsidP="00D33EF7">
            <w:pPr>
              <w:pStyle w:val="afff5"/>
              <w:rPr>
                <w:szCs w:val="21"/>
              </w:rPr>
            </w:pPr>
            <w:r w:rsidRPr="000549B1">
              <w:rPr>
                <w:szCs w:val="21"/>
              </w:rPr>
              <w:t>/</w:t>
            </w:r>
          </w:p>
        </w:tc>
        <w:tc>
          <w:tcPr>
            <w:tcW w:w="920" w:type="pct"/>
            <w:tcBorders>
              <w:top w:val="nil"/>
              <w:left w:val="single" w:sz="4" w:space="0" w:color="auto"/>
              <w:bottom w:val="single" w:sz="2" w:space="0" w:color="auto"/>
              <w:right w:val="single" w:sz="4" w:space="0" w:color="auto"/>
            </w:tcBorders>
            <w:vAlign w:val="center"/>
          </w:tcPr>
          <w:p w14:paraId="7DA7598A" w14:textId="77777777" w:rsidR="00B81685" w:rsidRPr="000549B1" w:rsidRDefault="00B81685" w:rsidP="00D33EF7">
            <w:pPr>
              <w:pStyle w:val="afff5"/>
              <w:rPr>
                <w:szCs w:val="21"/>
              </w:rPr>
            </w:pPr>
            <w:r w:rsidRPr="000549B1">
              <w:rPr>
                <w:szCs w:val="21"/>
              </w:rPr>
              <w:t>查阅资料</w:t>
            </w:r>
          </w:p>
        </w:tc>
      </w:tr>
      <w:tr w:rsidR="000549B1" w:rsidRPr="000549B1" w14:paraId="0F005013" w14:textId="77777777" w:rsidTr="00B81685">
        <w:trPr>
          <w:trHeight w:val="300"/>
        </w:trPr>
        <w:tc>
          <w:tcPr>
            <w:tcW w:w="374" w:type="pct"/>
            <w:tcBorders>
              <w:top w:val="single" w:sz="2" w:space="0" w:color="auto"/>
              <w:left w:val="single" w:sz="2" w:space="0" w:color="auto"/>
              <w:bottom w:val="single" w:sz="2" w:space="0" w:color="auto"/>
              <w:right w:val="single" w:sz="2" w:space="0" w:color="auto"/>
            </w:tcBorders>
            <w:vAlign w:val="center"/>
          </w:tcPr>
          <w:p w14:paraId="107220F1" w14:textId="77777777" w:rsidR="00B81685" w:rsidRPr="000549B1" w:rsidRDefault="00B81685" w:rsidP="00D33EF7">
            <w:pPr>
              <w:pStyle w:val="afff5"/>
              <w:rPr>
                <w:szCs w:val="21"/>
              </w:rPr>
            </w:pPr>
            <w:r w:rsidRPr="000549B1">
              <w:rPr>
                <w:szCs w:val="21"/>
              </w:rPr>
              <w:t>6</w:t>
            </w:r>
          </w:p>
        </w:tc>
        <w:tc>
          <w:tcPr>
            <w:tcW w:w="932" w:type="pct"/>
            <w:tcBorders>
              <w:top w:val="single" w:sz="2" w:space="0" w:color="auto"/>
              <w:left w:val="nil"/>
              <w:bottom w:val="single" w:sz="2" w:space="0" w:color="auto"/>
              <w:right w:val="single" w:sz="2" w:space="0" w:color="auto"/>
            </w:tcBorders>
            <w:vAlign w:val="center"/>
          </w:tcPr>
          <w:p w14:paraId="056686FC" w14:textId="77777777" w:rsidR="00B81685" w:rsidRPr="000549B1" w:rsidRDefault="00B81685" w:rsidP="00D33EF7">
            <w:pPr>
              <w:pStyle w:val="afff5"/>
              <w:rPr>
                <w:szCs w:val="21"/>
              </w:rPr>
            </w:pPr>
            <w:r w:rsidRPr="000549B1">
              <w:rPr>
                <w:szCs w:val="21"/>
              </w:rPr>
              <w:t>鸡爪大黄</w:t>
            </w:r>
          </w:p>
        </w:tc>
        <w:tc>
          <w:tcPr>
            <w:tcW w:w="1517" w:type="pct"/>
            <w:tcBorders>
              <w:top w:val="single" w:sz="2" w:space="0" w:color="auto"/>
              <w:left w:val="nil"/>
              <w:bottom w:val="single" w:sz="2" w:space="0" w:color="auto"/>
              <w:right w:val="single" w:sz="4" w:space="0" w:color="auto"/>
            </w:tcBorders>
            <w:vAlign w:val="center"/>
          </w:tcPr>
          <w:p w14:paraId="49552552" w14:textId="77777777" w:rsidR="00B81685" w:rsidRPr="000549B1" w:rsidRDefault="00B81685" w:rsidP="00D33EF7">
            <w:pPr>
              <w:pStyle w:val="afff5"/>
              <w:rPr>
                <w:i/>
                <w:iCs/>
                <w:szCs w:val="21"/>
              </w:rPr>
            </w:pPr>
            <w:r w:rsidRPr="000549B1">
              <w:rPr>
                <w:i/>
                <w:iCs/>
                <w:szCs w:val="21"/>
              </w:rPr>
              <w:t>Rheumtanguticum</w:t>
            </w:r>
          </w:p>
        </w:tc>
        <w:tc>
          <w:tcPr>
            <w:tcW w:w="642" w:type="pct"/>
            <w:tcBorders>
              <w:top w:val="single" w:sz="2" w:space="0" w:color="auto"/>
              <w:left w:val="nil"/>
              <w:bottom w:val="single" w:sz="2" w:space="0" w:color="auto"/>
              <w:right w:val="single" w:sz="4" w:space="0" w:color="auto"/>
            </w:tcBorders>
            <w:vAlign w:val="center"/>
          </w:tcPr>
          <w:p w14:paraId="6285A855" w14:textId="77777777" w:rsidR="00B81685" w:rsidRPr="000549B1" w:rsidRDefault="00B81685" w:rsidP="00D33EF7">
            <w:pPr>
              <w:pStyle w:val="afff5"/>
              <w:rPr>
                <w:szCs w:val="21"/>
              </w:rPr>
            </w:pPr>
            <w:r w:rsidRPr="000549B1">
              <w:rPr>
                <w:szCs w:val="21"/>
              </w:rPr>
              <w:t>青海省</w:t>
            </w:r>
          </w:p>
        </w:tc>
        <w:tc>
          <w:tcPr>
            <w:tcW w:w="615" w:type="pct"/>
            <w:tcBorders>
              <w:top w:val="single" w:sz="2" w:space="0" w:color="auto"/>
              <w:left w:val="nil"/>
              <w:bottom w:val="single" w:sz="2" w:space="0" w:color="auto"/>
              <w:right w:val="single" w:sz="2" w:space="0" w:color="auto"/>
            </w:tcBorders>
            <w:vAlign w:val="center"/>
          </w:tcPr>
          <w:p w14:paraId="3C97B426" w14:textId="77777777" w:rsidR="00B81685" w:rsidRPr="000549B1" w:rsidRDefault="00B81685" w:rsidP="00D33EF7">
            <w:pPr>
              <w:pStyle w:val="afff5"/>
              <w:rPr>
                <w:szCs w:val="21"/>
              </w:rPr>
            </w:pPr>
            <w:r w:rsidRPr="000549B1">
              <w:rPr>
                <w:szCs w:val="21"/>
              </w:rPr>
              <w:t>/</w:t>
            </w:r>
          </w:p>
        </w:tc>
        <w:tc>
          <w:tcPr>
            <w:tcW w:w="920" w:type="pct"/>
            <w:tcBorders>
              <w:top w:val="nil"/>
              <w:left w:val="single" w:sz="4" w:space="0" w:color="auto"/>
              <w:bottom w:val="single" w:sz="2" w:space="0" w:color="auto"/>
              <w:right w:val="single" w:sz="4" w:space="0" w:color="auto"/>
            </w:tcBorders>
            <w:vAlign w:val="center"/>
          </w:tcPr>
          <w:p w14:paraId="22E6E588" w14:textId="77777777" w:rsidR="00B81685" w:rsidRPr="000549B1" w:rsidRDefault="00B81685" w:rsidP="00D33EF7">
            <w:pPr>
              <w:pStyle w:val="afff5"/>
              <w:rPr>
                <w:szCs w:val="21"/>
              </w:rPr>
            </w:pPr>
            <w:r w:rsidRPr="000549B1">
              <w:rPr>
                <w:szCs w:val="21"/>
              </w:rPr>
              <w:t>查阅资料</w:t>
            </w:r>
          </w:p>
        </w:tc>
      </w:tr>
      <w:tr w:rsidR="000549B1" w:rsidRPr="000549B1" w14:paraId="2DDA847D" w14:textId="77777777" w:rsidTr="00B81685">
        <w:trPr>
          <w:trHeight w:val="300"/>
        </w:trPr>
        <w:tc>
          <w:tcPr>
            <w:tcW w:w="374" w:type="pct"/>
            <w:tcBorders>
              <w:top w:val="single" w:sz="2" w:space="0" w:color="auto"/>
              <w:left w:val="single" w:sz="2" w:space="0" w:color="auto"/>
              <w:bottom w:val="single" w:sz="2" w:space="0" w:color="auto"/>
              <w:right w:val="single" w:sz="2" w:space="0" w:color="auto"/>
            </w:tcBorders>
            <w:vAlign w:val="center"/>
          </w:tcPr>
          <w:p w14:paraId="1A0CAF30" w14:textId="77777777" w:rsidR="00B81685" w:rsidRPr="000549B1" w:rsidRDefault="00B81685" w:rsidP="00D33EF7">
            <w:pPr>
              <w:pStyle w:val="afff5"/>
              <w:rPr>
                <w:szCs w:val="21"/>
              </w:rPr>
            </w:pPr>
            <w:r w:rsidRPr="000549B1">
              <w:rPr>
                <w:szCs w:val="21"/>
              </w:rPr>
              <w:t>7</w:t>
            </w:r>
          </w:p>
        </w:tc>
        <w:tc>
          <w:tcPr>
            <w:tcW w:w="932" w:type="pct"/>
            <w:tcBorders>
              <w:top w:val="single" w:sz="2" w:space="0" w:color="auto"/>
              <w:left w:val="nil"/>
              <w:bottom w:val="single" w:sz="2" w:space="0" w:color="auto"/>
              <w:right w:val="single" w:sz="2" w:space="0" w:color="auto"/>
            </w:tcBorders>
            <w:vAlign w:val="center"/>
          </w:tcPr>
          <w:p w14:paraId="73A98672" w14:textId="77777777" w:rsidR="00B81685" w:rsidRPr="000549B1" w:rsidRDefault="00B81685" w:rsidP="00D33EF7">
            <w:pPr>
              <w:pStyle w:val="afff5"/>
              <w:rPr>
                <w:szCs w:val="21"/>
              </w:rPr>
            </w:pPr>
            <w:r w:rsidRPr="000549B1">
              <w:rPr>
                <w:szCs w:val="21"/>
              </w:rPr>
              <w:t>驼绒藜</w:t>
            </w:r>
          </w:p>
        </w:tc>
        <w:tc>
          <w:tcPr>
            <w:tcW w:w="1517" w:type="pct"/>
            <w:tcBorders>
              <w:top w:val="single" w:sz="2" w:space="0" w:color="auto"/>
              <w:left w:val="nil"/>
              <w:bottom w:val="single" w:sz="2" w:space="0" w:color="auto"/>
              <w:right w:val="single" w:sz="4" w:space="0" w:color="auto"/>
            </w:tcBorders>
            <w:vAlign w:val="center"/>
          </w:tcPr>
          <w:p w14:paraId="4997C497" w14:textId="77777777" w:rsidR="00B81685" w:rsidRPr="000549B1" w:rsidRDefault="00B81685" w:rsidP="00D33EF7">
            <w:pPr>
              <w:pStyle w:val="afff5"/>
              <w:rPr>
                <w:i/>
                <w:iCs/>
                <w:szCs w:val="21"/>
              </w:rPr>
            </w:pPr>
            <w:r w:rsidRPr="000549B1">
              <w:rPr>
                <w:i/>
                <w:iCs/>
                <w:szCs w:val="21"/>
              </w:rPr>
              <w:t>Ceratoideslatens</w:t>
            </w:r>
          </w:p>
        </w:tc>
        <w:tc>
          <w:tcPr>
            <w:tcW w:w="642" w:type="pct"/>
            <w:tcBorders>
              <w:top w:val="single" w:sz="2" w:space="0" w:color="auto"/>
              <w:left w:val="nil"/>
              <w:bottom w:val="single" w:sz="2" w:space="0" w:color="auto"/>
              <w:right w:val="single" w:sz="4" w:space="0" w:color="auto"/>
            </w:tcBorders>
            <w:vAlign w:val="center"/>
          </w:tcPr>
          <w:p w14:paraId="5E5DB463" w14:textId="77777777" w:rsidR="00B81685" w:rsidRPr="000549B1" w:rsidRDefault="00B81685" w:rsidP="00D33EF7">
            <w:pPr>
              <w:pStyle w:val="afff5"/>
              <w:rPr>
                <w:szCs w:val="21"/>
              </w:rPr>
            </w:pPr>
            <w:r w:rsidRPr="000549B1">
              <w:rPr>
                <w:szCs w:val="21"/>
              </w:rPr>
              <w:t>青海省</w:t>
            </w:r>
          </w:p>
        </w:tc>
        <w:tc>
          <w:tcPr>
            <w:tcW w:w="615" w:type="pct"/>
            <w:tcBorders>
              <w:top w:val="single" w:sz="2" w:space="0" w:color="auto"/>
              <w:left w:val="nil"/>
              <w:bottom w:val="single" w:sz="2" w:space="0" w:color="auto"/>
              <w:right w:val="single" w:sz="2" w:space="0" w:color="auto"/>
            </w:tcBorders>
            <w:vAlign w:val="center"/>
          </w:tcPr>
          <w:p w14:paraId="4BDE2A82" w14:textId="77777777" w:rsidR="00B81685" w:rsidRPr="000549B1" w:rsidRDefault="00B81685" w:rsidP="00D33EF7">
            <w:pPr>
              <w:pStyle w:val="afff5"/>
              <w:rPr>
                <w:szCs w:val="21"/>
              </w:rPr>
            </w:pPr>
            <w:r w:rsidRPr="000549B1">
              <w:rPr>
                <w:szCs w:val="21"/>
              </w:rPr>
              <w:t>/</w:t>
            </w:r>
          </w:p>
        </w:tc>
        <w:tc>
          <w:tcPr>
            <w:tcW w:w="920" w:type="pct"/>
            <w:tcBorders>
              <w:top w:val="nil"/>
              <w:left w:val="single" w:sz="4" w:space="0" w:color="auto"/>
              <w:bottom w:val="single" w:sz="2" w:space="0" w:color="auto"/>
              <w:right w:val="single" w:sz="4" w:space="0" w:color="auto"/>
            </w:tcBorders>
            <w:vAlign w:val="center"/>
          </w:tcPr>
          <w:p w14:paraId="25119053" w14:textId="77777777" w:rsidR="00B81685" w:rsidRPr="000549B1" w:rsidRDefault="00B81685" w:rsidP="00D33EF7">
            <w:pPr>
              <w:pStyle w:val="afff5"/>
              <w:rPr>
                <w:szCs w:val="21"/>
              </w:rPr>
            </w:pPr>
            <w:r w:rsidRPr="000549B1">
              <w:rPr>
                <w:szCs w:val="21"/>
              </w:rPr>
              <w:t>查阅资料</w:t>
            </w:r>
          </w:p>
        </w:tc>
      </w:tr>
      <w:tr w:rsidR="000549B1" w:rsidRPr="000549B1" w14:paraId="1C1DA484" w14:textId="77777777" w:rsidTr="00B81685">
        <w:trPr>
          <w:trHeight w:val="300"/>
        </w:trPr>
        <w:tc>
          <w:tcPr>
            <w:tcW w:w="374" w:type="pct"/>
            <w:tcBorders>
              <w:top w:val="single" w:sz="2" w:space="0" w:color="auto"/>
              <w:left w:val="single" w:sz="2" w:space="0" w:color="auto"/>
              <w:bottom w:val="single" w:sz="2" w:space="0" w:color="auto"/>
              <w:right w:val="single" w:sz="2" w:space="0" w:color="auto"/>
            </w:tcBorders>
            <w:vAlign w:val="center"/>
          </w:tcPr>
          <w:p w14:paraId="33197C10" w14:textId="77777777" w:rsidR="00B81685" w:rsidRPr="000549B1" w:rsidRDefault="00B81685" w:rsidP="00D33EF7">
            <w:pPr>
              <w:pStyle w:val="afff5"/>
              <w:rPr>
                <w:szCs w:val="21"/>
              </w:rPr>
            </w:pPr>
            <w:r w:rsidRPr="000549B1">
              <w:rPr>
                <w:szCs w:val="21"/>
              </w:rPr>
              <w:t>8</w:t>
            </w:r>
          </w:p>
        </w:tc>
        <w:tc>
          <w:tcPr>
            <w:tcW w:w="932" w:type="pct"/>
            <w:tcBorders>
              <w:top w:val="single" w:sz="2" w:space="0" w:color="auto"/>
              <w:left w:val="nil"/>
              <w:bottom w:val="single" w:sz="2" w:space="0" w:color="auto"/>
              <w:right w:val="single" w:sz="2" w:space="0" w:color="auto"/>
            </w:tcBorders>
            <w:vAlign w:val="center"/>
          </w:tcPr>
          <w:p w14:paraId="73B944AE" w14:textId="77777777" w:rsidR="00B81685" w:rsidRPr="000549B1" w:rsidRDefault="00B81685" w:rsidP="00D33EF7">
            <w:pPr>
              <w:pStyle w:val="afff5"/>
              <w:rPr>
                <w:szCs w:val="21"/>
              </w:rPr>
            </w:pPr>
            <w:r w:rsidRPr="000549B1">
              <w:rPr>
                <w:szCs w:val="21"/>
              </w:rPr>
              <w:t>多枝黄芪</w:t>
            </w:r>
          </w:p>
        </w:tc>
        <w:tc>
          <w:tcPr>
            <w:tcW w:w="1517" w:type="pct"/>
            <w:tcBorders>
              <w:top w:val="single" w:sz="2" w:space="0" w:color="auto"/>
              <w:left w:val="nil"/>
              <w:bottom w:val="single" w:sz="2" w:space="0" w:color="auto"/>
              <w:right w:val="single" w:sz="4" w:space="0" w:color="auto"/>
            </w:tcBorders>
            <w:vAlign w:val="center"/>
          </w:tcPr>
          <w:p w14:paraId="258CC35E" w14:textId="77777777" w:rsidR="00B81685" w:rsidRPr="000549B1" w:rsidRDefault="00B81685" w:rsidP="00D33EF7">
            <w:pPr>
              <w:pStyle w:val="afff5"/>
              <w:rPr>
                <w:i/>
                <w:iCs/>
                <w:szCs w:val="21"/>
              </w:rPr>
            </w:pPr>
            <w:r w:rsidRPr="000549B1">
              <w:rPr>
                <w:i/>
                <w:iCs/>
                <w:szCs w:val="21"/>
              </w:rPr>
              <w:t>Astragaluspolycladus</w:t>
            </w:r>
          </w:p>
        </w:tc>
        <w:tc>
          <w:tcPr>
            <w:tcW w:w="642" w:type="pct"/>
            <w:tcBorders>
              <w:top w:val="single" w:sz="2" w:space="0" w:color="auto"/>
              <w:left w:val="nil"/>
              <w:bottom w:val="single" w:sz="2" w:space="0" w:color="auto"/>
              <w:right w:val="single" w:sz="4" w:space="0" w:color="auto"/>
            </w:tcBorders>
            <w:vAlign w:val="center"/>
          </w:tcPr>
          <w:p w14:paraId="242FC63D" w14:textId="77777777" w:rsidR="00B81685" w:rsidRPr="000549B1" w:rsidRDefault="00B81685" w:rsidP="00D33EF7">
            <w:pPr>
              <w:pStyle w:val="afff5"/>
              <w:rPr>
                <w:szCs w:val="21"/>
              </w:rPr>
            </w:pPr>
            <w:r w:rsidRPr="000549B1">
              <w:rPr>
                <w:szCs w:val="21"/>
              </w:rPr>
              <w:t>青海省</w:t>
            </w:r>
          </w:p>
        </w:tc>
        <w:tc>
          <w:tcPr>
            <w:tcW w:w="615" w:type="pct"/>
            <w:tcBorders>
              <w:top w:val="single" w:sz="2" w:space="0" w:color="auto"/>
              <w:left w:val="nil"/>
              <w:bottom w:val="single" w:sz="2" w:space="0" w:color="auto"/>
              <w:right w:val="single" w:sz="2" w:space="0" w:color="auto"/>
            </w:tcBorders>
            <w:vAlign w:val="center"/>
          </w:tcPr>
          <w:p w14:paraId="57D4EAE0" w14:textId="77777777" w:rsidR="00B81685" w:rsidRPr="000549B1" w:rsidRDefault="00B81685" w:rsidP="00D33EF7">
            <w:pPr>
              <w:pStyle w:val="afff5"/>
              <w:rPr>
                <w:szCs w:val="21"/>
              </w:rPr>
            </w:pPr>
            <w:r w:rsidRPr="000549B1">
              <w:rPr>
                <w:szCs w:val="21"/>
              </w:rPr>
              <w:t>/</w:t>
            </w:r>
          </w:p>
        </w:tc>
        <w:tc>
          <w:tcPr>
            <w:tcW w:w="920" w:type="pct"/>
            <w:tcBorders>
              <w:top w:val="nil"/>
              <w:left w:val="single" w:sz="4" w:space="0" w:color="auto"/>
              <w:bottom w:val="single" w:sz="2" w:space="0" w:color="auto"/>
              <w:right w:val="single" w:sz="4" w:space="0" w:color="auto"/>
            </w:tcBorders>
            <w:vAlign w:val="center"/>
          </w:tcPr>
          <w:p w14:paraId="1E436F9D" w14:textId="77777777" w:rsidR="00B81685" w:rsidRPr="000549B1" w:rsidRDefault="00B81685" w:rsidP="00D33EF7">
            <w:pPr>
              <w:pStyle w:val="afff5"/>
              <w:rPr>
                <w:szCs w:val="21"/>
              </w:rPr>
            </w:pPr>
            <w:r w:rsidRPr="000549B1">
              <w:rPr>
                <w:szCs w:val="21"/>
              </w:rPr>
              <w:t>查阅资料</w:t>
            </w:r>
          </w:p>
        </w:tc>
      </w:tr>
      <w:tr w:rsidR="000549B1" w:rsidRPr="000549B1" w14:paraId="0754958C" w14:textId="77777777" w:rsidTr="00B81685">
        <w:trPr>
          <w:trHeight w:val="300"/>
        </w:trPr>
        <w:tc>
          <w:tcPr>
            <w:tcW w:w="374" w:type="pct"/>
            <w:tcBorders>
              <w:top w:val="single" w:sz="2" w:space="0" w:color="auto"/>
              <w:left w:val="single" w:sz="2" w:space="0" w:color="auto"/>
              <w:bottom w:val="single" w:sz="2" w:space="0" w:color="auto"/>
              <w:right w:val="single" w:sz="2" w:space="0" w:color="auto"/>
            </w:tcBorders>
            <w:vAlign w:val="center"/>
          </w:tcPr>
          <w:p w14:paraId="383D248F" w14:textId="77777777" w:rsidR="00B81685" w:rsidRPr="000549B1" w:rsidRDefault="00B81685" w:rsidP="00D33EF7">
            <w:pPr>
              <w:pStyle w:val="afff5"/>
              <w:rPr>
                <w:szCs w:val="21"/>
              </w:rPr>
            </w:pPr>
            <w:r w:rsidRPr="000549B1">
              <w:rPr>
                <w:szCs w:val="21"/>
              </w:rPr>
              <w:t>9</w:t>
            </w:r>
          </w:p>
        </w:tc>
        <w:tc>
          <w:tcPr>
            <w:tcW w:w="932" w:type="pct"/>
            <w:tcBorders>
              <w:top w:val="single" w:sz="2" w:space="0" w:color="auto"/>
              <w:left w:val="nil"/>
              <w:bottom w:val="single" w:sz="2" w:space="0" w:color="auto"/>
              <w:right w:val="single" w:sz="2" w:space="0" w:color="auto"/>
            </w:tcBorders>
            <w:vAlign w:val="center"/>
          </w:tcPr>
          <w:p w14:paraId="1CB05C2A" w14:textId="77777777" w:rsidR="00B81685" w:rsidRPr="000549B1" w:rsidRDefault="00B81685" w:rsidP="00D33EF7">
            <w:pPr>
              <w:pStyle w:val="afff5"/>
              <w:rPr>
                <w:szCs w:val="21"/>
              </w:rPr>
            </w:pPr>
            <w:r w:rsidRPr="000549B1">
              <w:rPr>
                <w:szCs w:val="21"/>
              </w:rPr>
              <w:t>蕨麻</w:t>
            </w:r>
          </w:p>
        </w:tc>
        <w:tc>
          <w:tcPr>
            <w:tcW w:w="1517" w:type="pct"/>
            <w:tcBorders>
              <w:top w:val="single" w:sz="2" w:space="0" w:color="auto"/>
              <w:left w:val="nil"/>
              <w:bottom w:val="single" w:sz="2" w:space="0" w:color="auto"/>
              <w:right w:val="single" w:sz="4" w:space="0" w:color="auto"/>
            </w:tcBorders>
            <w:vAlign w:val="center"/>
          </w:tcPr>
          <w:p w14:paraId="34CC8569" w14:textId="77777777" w:rsidR="00B81685" w:rsidRPr="000549B1" w:rsidRDefault="00B81685" w:rsidP="00D33EF7">
            <w:pPr>
              <w:pStyle w:val="afff5"/>
              <w:rPr>
                <w:i/>
                <w:iCs/>
                <w:szCs w:val="21"/>
              </w:rPr>
            </w:pPr>
            <w:r w:rsidRPr="000549B1">
              <w:rPr>
                <w:i/>
                <w:iCs/>
                <w:szCs w:val="21"/>
              </w:rPr>
              <w:t>Potentillaanserina</w:t>
            </w:r>
          </w:p>
        </w:tc>
        <w:tc>
          <w:tcPr>
            <w:tcW w:w="642" w:type="pct"/>
            <w:tcBorders>
              <w:top w:val="single" w:sz="2" w:space="0" w:color="auto"/>
              <w:left w:val="nil"/>
              <w:bottom w:val="single" w:sz="2" w:space="0" w:color="auto"/>
              <w:right w:val="single" w:sz="4" w:space="0" w:color="auto"/>
            </w:tcBorders>
            <w:vAlign w:val="center"/>
          </w:tcPr>
          <w:p w14:paraId="2526D1EE" w14:textId="77777777" w:rsidR="00B81685" w:rsidRPr="000549B1" w:rsidRDefault="00B81685" w:rsidP="00D33EF7">
            <w:pPr>
              <w:pStyle w:val="afff5"/>
              <w:rPr>
                <w:szCs w:val="21"/>
              </w:rPr>
            </w:pPr>
            <w:r w:rsidRPr="000549B1">
              <w:rPr>
                <w:szCs w:val="21"/>
              </w:rPr>
              <w:t>青海省</w:t>
            </w:r>
          </w:p>
        </w:tc>
        <w:tc>
          <w:tcPr>
            <w:tcW w:w="615" w:type="pct"/>
            <w:tcBorders>
              <w:top w:val="single" w:sz="2" w:space="0" w:color="auto"/>
              <w:left w:val="nil"/>
              <w:bottom w:val="single" w:sz="2" w:space="0" w:color="auto"/>
              <w:right w:val="single" w:sz="2" w:space="0" w:color="auto"/>
            </w:tcBorders>
            <w:vAlign w:val="center"/>
          </w:tcPr>
          <w:p w14:paraId="5D50678F" w14:textId="77777777" w:rsidR="00B81685" w:rsidRPr="000549B1" w:rsidRDefault="00B81685" w:rsidP="00D33EF7">
            <w:pPr>
              <w:pStyle w:val="afff5"/>
              <w:rPr>
                <w:szCs w:val="21"/>
              </w:rPr>
            </w:pPr>
            <w:r w:rsidRPr="000549B1">
              <w:rPr>
                <w:szCs w:val="21"/>
              </w:rPr>
              <w:t>/</w:t>
            </w:r>
          </w:p>
        </w:tc>
        <w:tc>
          <w:tcPr>
            <w:tcW w:w="920" w:type="pct"/>
            <w:tcBorders>
              <w:top w:val="nil"/>
              <w:left w:val="single" w:sz="4" w:space="0" w:color="auto"/>
              <w:bottom w:val="single" w:sz="2" w:space="0" w:color="auto"/>
              <w:right w:val="single" w:sz="4" w:space="0" w:color="auto"/>
            </w:tcBorders>
            <w:vAlign w:val="center"/>
          </w:tcPr>
          <w:p w14:paraId="70A1B974" w14:textId="77777777" w:rsidR="00B81685" w:rsidRPr="000549B1" w:rsidRDefault="00B81685" w:rsidP="00D33EF7">
            <w:pPr>
              <w:pStyle w:val="afff5"/>
              <w:rPr>
                <w:szCs w:val="21"/>
              </w:rPr>
            </w:pPr>
            <w:r w:rsidRPr="000549B1">
              <w:rPr>
                <w:szCs w:val="21"/>
              </w:rPr>
              <w:t>现场调查</w:t>
            </w:r>
          </w:p>
        </w:tc>
      </w:tr>
      <w:tr w:rsidR="000549B1" w:rsidRPr="000549B1" w14:paraId="443149A0" w14:textId="77777777" w:rsidTr="00B81685">
        <w:trPr>
          <w:trHeight w:val="300"/>
        </w:trPr>
        <w:tc>
          <w:tcPr>
            <w:tcW w:w="374" w:type="pct"/>
            <w:tcBorders>
              <w:top w:val="single" w:sz="2" w:space="0" w:color="auto"/>
              <w:left w:val="single" w:sz="2" w:space="0" w:color="auto"/>
              <w:bottom w:val="single" w:sz="2" w:space="0" w:color="auto"/>
              <w:right w:val="single" w:sz="2" w:space="0" w:color="auto"/>
            </w:tcBorders>
            <w:vAlign w:val="center"/>
          </w:tcPr>
          <w:p w14:paraId="52F9DFD2" w14:textId="77777777" w:rsidR="00B81685" w:rsidRPr="000549B1" w:rsidRDefault="00B81685" w:rsidP="00D33EF7">
            <w:pPr>
              <w:pStyle w:val="afff5"/>
              <w:rPr>
                <w:szCs w:val="21"/>
              </w:rPr>
            </w:pPr>
            <w:r w:rsidRPr="000549B1">
              <w:rPr>
                <w:szCs w:val="21"/>
              </w:rPr>
              <w:t>10</w:t>
            </w:r>
          </w:p>
        </w:tc>
        <w:tc>
          <w:tcPr>
            <w:tcW w:w="932" w:type="pct"/>
            <w:tcBorders>
              <w:top w:val="single" w:sz="2" w:space="0" w:color="auto"/>
              <w:left w:val="nil"/>
              <w:bottom w:val="single" w:sz="2" w:space="0" w:color="auto"/>
              <w:right w:val="single" w:sz="2" w:space="0" w:color="auto"/>
            </w:tcBorders>
            <w:vAlign w:val="center"/>
          </w:tcPr>
          <w:p w14:paraId="570C4B76" w14:textId="77777777" w:rsidR="00B81685" w:rsidRPr="000549B1" w:rsidRDefault="00B81685" w:rsidP="00D33EF7">
            <w:pPr>
              <w:pStyle w:val="afff5"/>
              <w:rPr>
                <w:szCs w:val="21"/>
              </w:rPr>
            </w:pPr>
            <w:r w:rsidRPr="000549B1">
              <w:rPr>
                <w:szCs w:val="21"/>
              </w:rPr>
              <w:t>达乌里秦艽</w:t>
            </w:r>
          </w:p>
        </w:tc>
        <w:tc>
          <w:tcPr>
            <w:tcW w:w="1517" w:type="pct"/>
            <w:tcBorders>
              <w:top w:val="single" w:sz="2" w:space="0" w:color="auto"/>
              <w:left w:val="nil"/>
              <w:bottom w:val="single" w:sz="2" w:space="0" w:color="auto"/>
              <w:right w:val="single" w:sz="4" w:space="0" w:color="auto"/>
            </w:tcBorders>
            <w:vAlign w:val="center"/>
          </w:tcPr>
          <w:p w14:paraId="0DB7D559" w14:textId="77777777" w:rsidR="00B81685" w:rsidRPr="000549B1" w:rsidRDefault="00B81685" w:rsidP="00D33EF7">
            <w:pPr>
              <w:pStyle w:val="afff5"/>
              <w:rPr>
                <w:i/>
                <w:iCs/>
                <w:szCs w:val="21"/>
              </w:rPr>
            </w:pPr>
            <w:r w:rsidRPr="000549B1">
              <w:rPr>
                <w:i/>
                <w:iCs/>
                <w:szCs w:val="21"/>
              </w:rPr>
              <w:t>Gentianadahurica</w:t>
            </w:r>
          </w:p>
        </w:tc>
        <w:tc>
          <w:tcPr>
            <w:tcW w:w="642" w:type="pct"/>
            <w:tcBorders>
              <w:top w:val="single" w:sz="2" w:space="0" w:color="auto"/>
              <w:left w:val="nil"/>
              <w:bottom w:val="single" w:sz="2" w:space="0" w:color="auto"/>
              <w:right w:val="single" w:sz="4" w:space="0" w:color="auto"/>
            </w:tcBorders>
            <w:vAlign w:val="center"/>
          </w:tcPr>
          <w:p w14:paraId="608064E3" w14:textId="77777777" w:rsidR="00B81685" w:rsidRPr="000549B1" w:rsidRDefault="00B81685" w:rsidP="00D33EF7">
            <w:pPr>
              <w:pStyle w:val="afff5"/>
              <w:rPr>
                <w:szCs w:val="21"/>
              </w:rPr>
            </w:pPr>
            <w:r w:rsidRPr="000549B1">
              <w:rPr>
                <w:szCs w:val="21"/>
              </w:rPr>
              <w:t>青海省</w:t>
            </w:r>
          </w:p>
        </w:tc>
        <w:tc>
          <w:tcPr>
            <w:tcW w:w="615" w:type="pct"/>
            <w:tcBorders>
              <w:top w:val="single" w:sz="2" w:space="0" w:color="auto"/>
              <w:left w:val="nil"/>
              <w:bottom w:val="single" w:sz="2" w:space="0" w:color="auto"/>
              <w:right w:val="single" w:sz="2" w:space="0" w:color="auto"/>
            </w:tcBorders>
            <w:vAlign w:val="center"/>
          </w:tcPr>
          <w:p w14:paraId="38AB4317" w14:textId="77777777" w:rsidR="00B81685" w:rsidRPr="000549B1" w:rsidRDefault="00B81685" w:rsidP="00D33EF7">
            <w:pPr>
              <w:pStyle w:val="afff5"/>
              <w:rPr>
                <w:szCs w:val="21"/>
              </w:rPr>
            </w:pPr>
            <w:r w:rsidRPr="000549B1">
              <w:rPr>
                <w:szCs w:val="21"/>
              </w:rPr>
              <w:t>/</w:t>
            </w:r>
          </w:p>
        </w:tc>
        <w:tc>
          <w:tcPr>
            <w:tcW w:w="920" w:type="pct"/>
            <w:tcBorders>
              <w:top w:val="nil"/>
              <w:left w:val="single" w:sz="4" w:space="0" w:color="auto"/>
              <w:bottom w:val="single" w:sz="2" w:space="0" w:color="auto"/>
              <w:right w:val="single" w:sz="4" w:space="0" w:color="auto"/>
            </w:tcBorders>
            <w:vAlign w:val="center"/>
          </w:tcPr>
          <w:p w14:paraId="1D398F0B" w14:textId="77777777" w:rsidR="00B81685" w:rsidRPr="000549B1" w:rsidRDefault="00B81685" w:rsidP="00D33EF7">
            <w:pPr>
              <w:pStyle w:val="afff5"/>
              <w:rPr>
                <w:szCs w:val="21"/>
              </w:rPr>
            </w:pPr>
            <w:r w:rsidRPr="000549B1">
              <w:rPr>
                <w:szCs w:val="21"/>
              </w:rPr>
              <w:t>现场调查</w:t>
            </w:r>
          </w:p>
        </w:tc>
      </w:tr>
      <w:tr w:rsidR="000549B1" w:rsidRPr="000549B1" w14:paraId="21C11F41" w14:textId="77777777" w:rsidTr="00B81685">
        <w:trPr>
          <w:trHeight w:val="300"/>
        </w:trPr>
        <w:tc>
          <w:tcPr>
            <w:tcW w:w="374" w:type="pct"/>
            <w:tcBorders>
              <w:top w:val="single" w:sz="2" w:space="0" w:color="auto"/>
              <w:left w:val="single" w:sz="2" w:space="0" w:color="auto"/>
              <w:bottom w:val="single" w:sz="2" w:space="0" w:color="auto"/>
              <w:right w:val="single" w:sz="2" w:space="0" w:color="auto"/>
            </w:tcBorders>
            <w:vAlign w:val="center"/>
          </w:tcPr>
          <w:p w14:paraId="31E2548B" w14:textId="77777777" w:rsidR="00B81685" w:rsidRPr="000549B1" w:rsidRDefault="00B81685" w:rsidP="00D33EF7">
            <w:pPr>
              <w:pStyle w:val="afff5"/>
              <w:rPr>
                <w:szCs w:val="21"/>
              </w:rPr>
            </w:pPr>
            <w:r w:rsidRPr="000549B1">
              <w:rPr>
                <w:szCs w:val="21"/>
              </w:rPr>
              <w:t>11</w:t>
            </w:r>
          </w:p>
        </w:tc>
        <w:tc>
          <w:tcPr>
            <w:tcW w:w="932" w:type="pct"/>
            <w:tcBorders>
              <w:top w:val="single" w:sz="2" w:space="0" w:color="auto"/>
              <w:left w:val="nil"/>
              <w:bottom w:val="single" w:sz="2" w:space="0" w:color="auto"/>
              <w:right w:val="single" w:sz="2" w:space="0" w:color="auto"/>
            </w:tcBorders>
            <w:vAlign w:val="center"/>
          </w:tcPr>
          <w:p w14:paraId="52D23508" w14:textId="77777777" w:rsidR="00B81685" w:rsidRPr="000549B1" w:rsidRDefault="00B81685" w:rsidP="00D33EF7">
            <w:pPr>
              <w:pStyle w:val="afff5"/>
              <w:rPr>
                <w:szCs w:val="21"/>
              </w:rPr>
            </w:pPr>
            <w:r w:rsidRPr="000549B1">
              <w:rPr>
                <w:szCs w:val="21"/>
              </w:rPr>
              <w:t>青海黄芪</w:t>
            </w:r>
          </w:p>
        </w:tc>
        <w:tc>
          <w:tcPr>
            <w:tcW w:w="1517" w:type="pct"/>
            <w:tcBorders>
              <w:top w:val="single" w:sz="2" w:space="0" w:color="auto"/>
              <w:left w:val="nil"/>
              <w:bottom w:val="single" w:sz="2" w:space="0" w:color="auto"/>
              <w:right w:val="single" w:sz="4" w:space="0" w:color="auto"/>
            </w:tcBorders>
            <w:vAlign w:val="center"/>
          </w:tcPr>
          <w:p w14:paraId="65495A42" w14:textId="77777777" w:rsidR="00B81685" w:rsidRPr="000549B1" w:rsidRDefault="00B81685" w:rsidP="00D33EF7">
            <w:pPr>
              <w:pStyle w:val="afff5"/>
              <w:rPr>
                <w:i/>
                <w:iCs/>
                <w:szCs w:val="21"/>
              </w:rPr>
            </w:pPr>
            <w:r w:rsidRPr="000549B1">
              <w:rPr>
                <w:i/>
                <w:iCs/>
                <w:szCs w:val="21"/>
              </w:rPr>
              <w:t>Astragaluschilienshanensis</w:t>
            </w:r>
          </w:p>
        </w:tc>
        <w:tc>
          <w:tcPr>
            <w:tcW w:w="642" w:type="pct"/>
            <w:tcBorders>
              <w:top w:val="single" w:sz="2" w:space="0" w:color="auto"/>
              <w:left w:val="nil"/>
              <w:bottom w:val="single" w:sz="2" w:space="0" w:color="auto"/>
              <w:right w:val="single" w:sz="4" w:space="0" w:color="auto"/>
            </w:tcBorders>
            <w:vAlign w:val="center"/>
          </w:tcPr>
          <w:p w14:paraId="4A187476" w14:textId="77777777" w:rsidR="00B81685" w:rsidRPr="000549B1" w:rsidRDefault="00B81685" w:rsidP="00D33EF7">
            <w:pPr>
              <w:pStyle w:val="afff5"/>
              <w:rPr>
                <w:szCs w:val="21"/>
              </w:rPr>
            </w:pPr>
            <w:r w:rsidRPr="000549B1">
              <w:rPr>
                <w:szCs w:val="21"/>
              </w:rPr>
              <w:t>/</w:t>
            </w:r>
          </w:p>
        </w:tc>
        <w:tc>
          <w:tcPr>
            <w:tcW w:w="615" w:type="pct"/>
            <w:tcBorders>
              <w:top w:val="single" w:sz="2" w:space="0" w:color="auto"/>
              <w:left w:val="nil"/>
              <w:bottom w:val="single" w:sz="2" w:space="0" w:color="auto"/>
              <w:right w:val="single" w:sz="2" w:space="0" w:color="auto"/>
            </w:tcBorders>
            <w:vAlign w:val="center"/>
          </w:tcPr>
          <w:p w14:paraId="2738AE95" w14:textId="77777777" w:rsidR="00B81685" w:rsidRPr="000549B1" w:rsidRDefault="00B81685" w:rsidP="00D33EF7">
            <w:pPr>
              <w:pStyle w:val="afff5"/>
              <w:rPr>
                <w:szCs w:val="21"/>
              </w:rPr>
            </w:pPr>
            <w:r w:rsidRPr="000549B1">
              <w:rPr>
                <w:szCs w:val="21"/>
              </w:rPr>
              <w:t>是</w:t>
            </w:r>
          </w:p>
        </w:tc>
        <w:tc>
          <w:tcPr>
            <w:tcW w:w="920" w:type="pct"/>
            <w:tcBorders>
              <w:top w:val="nil"/>
              <w:left w:val="single" w:sz="4" w:space="0" w:color="auto"/>
              <w:bottom w:val="single" w:sz="2" w:space="0" w:color="auto"/>
              <w:right w:val="single" w:sz="4" w:space="0" w:color="auto"/>
            </w:tcBorders>
            <w:vAlign w:val="center"/>
          </w:tcPr>
          <w:p w14:paraId="448E4A31" w14:textId="77777777" w:rsidR="00B81685" w:rsidRPr="000549B1" w:rsidRDefault="00B81685" w:rsidP="00D33EF7">
            <w:pPr>
              <w:pStyle w:val="afff5"/>
              <w:rPr>
                <w:szCs w:val="21"/>
              </w:rPr>
            </w:pPr>
            <w:r w:rsidRPr="000549B1">
              <w:rPr>
                <w:szCs w:val="21"/>
              </w:rPr>
              <w:t>查阅资料</w:t>
            </w:r>
          </w:p>
        </w:tc>
      </w:tr>
      <w:tr w:rsidR="000549B1" w:rsidRPr="000549B1" w14:paraId="7AC5155F" w14:textId="77777777" w:rsidTr="00B81685">
        <w:trPr>
          <w:trHeight w:val="300"/>
        </w:trPr>
        <w:tc>
          <w:tcPr>
            <w:tcW w:w="374" w:type="pct"/>
            <w:tcBorders>
              <w:top w:val="single" w:sz="2" w:space="0" w:color="auto"/>
              <w:left w:val="single" w:sz="2" w:space="0" w:color="auto"/>
              <w:bottom w:val="single" w:sz="2" w:space="0" w:color="auto"/>
              <w:right w:val="single" w:sz="2" w:space="0" w:color="auto"/>
            </w:tcBorders>
            <w:vAlign w:val="center"/>
          </w:tcPr>
          <w:p w14:paraId="08D8D835" w14:textId="77777777" w:rsidR="00B81685" w:rsidRPr="000549B1" w:rsidRDefault="00B81685" w:rsidP="00D33EF7">
            <w:pPr>
              <w:pStyle w:val="afff5"/>
              <w:rPr>
                <w:szCs w:val="21"/>
              </w:rPr>
            </w:pPr>
            <w:r w:rsidRPr="000549B1">
              <w:rPr>
                <w:szCs w:val="21"/>
              </w:rPr>
              <w:t>12</w:t>
            </w:r>
          </w:p>
        </w:tc>
        <w:tc>
          <w:tcPr>
            <w:tcW w:w="932" w:type="pct"/>
            <w:tcBorders>
              <w:top w:val="single" w:sz="2" w:space="0" w:color="auto"/>
              <w:left w:val="nil"/>
              <w:bottom w:val="single" w:sz="2" w:space="0" w:color="auto"/>
              <w:right w:val="single" w:sz="2" w:space="0" w:color="auto"/>
            </w:tcBorders>
            <w:vAlign w:val="center"/>
          </w:tcPr>
          <w:p w14:paraId="01EB29B2" w14:textId="77777777" w:rsidR="00B81685" w:rsidRPr="000549B1" w:rsidRDefault="00B81685" w:rsidP="00D33EF7">
            <w:pPr>
              <w:pStyle w:val="afff5"/>
              <w:rPr>
                <w:szCs w:val="21"/>
              </w:rPr>
            </w:pPr>
            <w:r w:rsidRPr="000549B1">
              <w:rPr>
                <w:szCs w:val="21"/>
              </w:rPr>
              <w:t>金翼黄芪</w:t>
            </w:r>
          </w:p>
        </w:tc>
        <w:tc>
          <w:tcPr>
            <w:tcW w:w="1517" w:type="pct"/>
            <w:tcBorders>
              <w:top w:val="single" w:sz="2" w:space="0" w:color="auto"/>
              <w:left w:val="nil"/>
              <w:bottom w:val="single" w:sz="2" w:space="0" w:color="auto"/>
              <w:right w:val="single" w:sz="4" w:space="0" w:color="auto"/>
            </w:tcBorders>
            <w:vAlign w:val="center"/>
          </w:tcPr>
          <w:p w14:paraId="35AB4D3C" w14:textId="77777777" w:rsidR="00B81685" w:rsidRPr="000549B1" w:rsidRDefault="00B81685" w:rsidP="00D33EF7">
            <w:pPr>
              <w:pStyle w:val="afff5"/>
              <w:rPr>
                <w:i/>
                <w:iCs/>
                <w:szCs w:val="21"/>
              </w:rPr>
            </w:pPr>
            <w:r w:rsidRPr="000549B1">
              <w:rPr>
                <w:i/>
                <w:iCs/>
                <w:szCs w:val="21"/>
              </w:rPr>
              <w:t>RadixAstragali</w:t>
            </w:r>
          </w:p>
        </w:tc>
        <w:tc>
          <w:tcPr>
            <w:tcW w:w="642" w:type="pct"/>
            <w:tcBorders>
              <w:top w:val="single" w:sz="2" w:space="0" w:color="auto"/>
              <w:left w:val="nil"/>
              <w:bottom w:val="single" w:sz="2" w:space="0" w:color="auto"/>
              <w:right w:val="single" w:sz="4" w:space="0" w:color="auto"/>
            </w:tcBorders>
            <w:vAlign w:val="center"/>
          </w:tcPr>
          <w:p w14:paraId="07BEB9CA" w14:textId="77777777" w:rsidR="00B81685" w:rsidRPr="000549B1" w:rsidRDefault="00B81685" w:rsidP="00D33EF7">
            <w:pPr>
              <w:pStyle w:val="afff5"/>
              <w:rPr>
                <w:szCs w:val="21"/>
              </w:rPr>
            </w:pPr>
            <w:r w:rsidRPr="000549B1">
              <w:rPr>
                <w:szCs w:val="21"/>
              </w:rPr>
              <w:t>/</w:t>
            </w:r>
          </w:p>
        </w:tc>
        <w:tc>
          <w:tcPr>
            <w:tcW w:w="615" w:type="pct"/>
            <w:tcBorders>
              <w:top w:val="single" w:sz="2" w:space="0" w:color="auto"/>
              <w:left w:val="nil"/>
              <w:bottom w:val="single" w:sz="2" w:space="0" w:color="auto"/>
              <w:right w:val="single" w:sz="2" w:space="0" w:color="auto"/>
            </w:tcBorders>
            <w:vAlign w:val="center"/>
          </w:tcPr>
          <w:p w14:paraId="3AEA2D56" w14:textId="77777777" w:rsidR="00B81685" w:rsidRPr="000549B1" w:rsidRDefault="00B81685" w:rsidP="00D33EF7">
            <w:pPr>
              <w:pStyle w:val="afff5"/>
              <w:rPr>
                <w:szCs w:val="21"/>
              </w:rPr>
            </w:pPr>
            <w:r w:rsidRPr="000549B1">
              <w:rPr>
                <w:szCs w:val="21"/>
              </w:rPr>
              <w:t>是</w:t>
            </w:r>
          </w:p>
        </w:tc>
        <w:tc>
          <w:tcPr>
            <w:tcW w:w="920" w:type="pct"/>
            <w:tcBorders>
              <w:top w:val="nil"/>
              <w:left w:val="single" w:sz="4" w:space="0" w:color="auto"/>
              <w:bottom w:val="single" w:sz="2" w:space="0" w:color="auto"/>
              <w:right w:val="single" w:sz="4" w:space="0" w:color="auto"/>
            </w:tcBorders>
            <w:vAlign w:val="center"/>
          </w:tcPr>
          <w:p w14:paraId="44DA0380" w14:textId="77777777" w:rsidR="00B81685" w:rsidRPr="000549B1" w:rsidRDefault="00B81685" w:rsidP="00D33EF7">
            <w:pPr>
              <w:pStyle w:val="afff5"/>
              <w:rPr>
                <w:szCs w:val="21"/>
              </w:rPr>
            </w:pPr>
            <w:r w:rsidRPr="000549B1">
              <w:rPr>
                <w:szCs w:val="21"/>
              </w:rPr>
              <w:t>查阅资料</w:t>
            </w:r>
          </w:p>
        </w:tc>
      </w:tr>
      <w:tr w:rsidR="000549B1" w:rsidRPr="000549B1" w14:paraId="2B29DC0C" w14:textId="77777777" w:rsidTr="00B81685">
        <w:trPr>
          <w:trHeight w:val="300"/>
        </w:trPr>
        <w:tc>
          <w:tcPr>
            <w:tcW w:w="374" w:type="pct"/>
            <w:tcBorders>
              <w:top w:val="single" w:sz="2" w:space="0" w:color="auto"/>
              <w:left w:val="single" w:sz="2" w:space="0" w:color="auto"/>
              <w:bottom w:val="single" w:sz="2" w:space="0" w:color="auto"/>
              <w:right w:val="single" w:sz="2" w:space="0" w:color="auto"/>
            </w:tcBorders>
            <w:vAlign w:val="center"/>
          </w:tcPr>
          <w:p w14:paraId="75D1CF7A" w14:textId="77777777" w:rsidR="00B81685" w:rsidRPr="000549B1" w:rsidRDefault="00B81685" w:rsidP="00D33EF7">
            <w:pPr>
              <w:pStyle w:val="afff5"/>
              <w:rPr>
                <w:szCs w:val="21"/>
              </w:rPr>
            </w:pPr>
            <w:r w:rsidRPr="000549B1">
              <w:rPr>
                <w:szCs w:val="21"/>
              </w:rPr>
              <w:t>13</w:t>
            </w:r>
          </w:p>
        </w:tc>
        <w:tc>
          <w:tcPr>
            <w:tcW w:w="932" w:type="pct"/>
            <w:tcBorders>
              <w:top w:val="single" w:sz="2" w:space="0" w:color="auto"/>
              <w:left w:val="nil"/>
              <w:bottom w:val="single" w:sz="2" w:space="0" w:color="auto"/>
              <w:right w:val="single" w:sz="2" w:space="0" w:color="auto"/>
            </w:tcBorders>
            <w:vAlign w:val="center"/>
          </w:tcPr>
          <w:p w14:paraId="0D115FCD" w14:textId="77777777" w:rsidR="00B81685" w:rsidRPr="000549B1" w:rsidRDefault="00B81685" w:rsidP="00D33EF7">
            <w:pPr>
              <w:pStyle w:val="afff5"/>
              <w:rPr>
                <w:szCs w:val="21"/>
              </w:rPr>
            </w:pPr>
            <w:r w:rsidRPr="000549B1">
              <w:rPr>
                <w:szCs w:val="21"/>
              </w:rPr>
              <w:t>马衔山黄芪</w:t>
            </w:r>
          </w:p>
        </w:tc>
        <w:tc>
          <w:tcPr>
            <w:tcW w:w="1517" w:type="pct"/>
            <w:tcBorders>
              <w:top w:val="single" w:sz="2" w:space="0" w:color="auto"/>
              <w:left w:val="nil"/>
              <w:bottom w:val="single" w:sz="2" w:space="0" w:color="auto"/>
              <w:right w:val="single" w:sz="4" w:space="0" w:color="auto"/>
            </w:tcBorders>
            <w:vAlign w:val="center"/>
          </w:tcPr>
          <w:p w14:paraId="6E950546" w14:textId="77777777" w:rsidR="00B81685" w:rsidRPr="000549B1" w:rsidRDefault="00B81685" w:rsidP="00D33EF7">
            <w:pPr>
              <w:pStyle w:val="afff5"/>
              <w:rPr>
                <w:i/>
                <w:iCs/>
                <w:szCs w:val="21"/>
              </w:rPr>
            </w:pPr>
            <w:r w:rsidRPr="000549B1">
              <w:rPr>
                <w:i/>
                <w:iCs/>
                <w:szCs w:val="21"/>
              </w:rPr>
              <w:t>Astragalusmahoschanicus</w:t>
            </w:r>
          </w:p>
        </w:tc>
        <w:tc>
          <w:tcPr>
            <w:tcW w:w="642" w:type="pct"/>
            <w:tcBorders>
              <w:top w:val="single" w:sz="2" w:space="0" w:color="auto"/>
              <w:left w:val="nil"/>
              <w:bottom w:val="single" w:sz="2" w:space="0" w:color="auto"/>
              <w:right w:val="single" w:sz="4" w:space="0" w:color="auto"/>
            </w:tcBorders>
            <w:vAlign w:val="center"/>
          </w:tcPr>
          <w:p w14:paraId="65F84B68" w14:textId="77777777" w:rsidR="00B81685" w:rsidRPr="000549B1" w:rsidRDefault="00B81685" w:rsidP="00D33EF7">
            <w:pPr>
              <w:pStyle w:val="afff5"/>
              <w:rPr>
                <w:szCs w:val="21"/>
              </w:rPr>
            </w:pPr>
            <w:r w:rsidRPr="000549B1">
              <w:rPr>
                <w:szCs w:val="21"/>
              </w:rPr>
              <w:t>/</w:t>
            </w:r>
          </w:p>
        </w:tc>
        <w:tc>
          <w:tcPr>
            <w:tcW w:w="615" w:type="pct"/>
            <w:tcBorders>
              <w:top w:val="single" w:sz="2" w:space="0" w:color="auto"/>
              <w:left w:val="nil"/>
              <w:bottom w:val="single" w:sz="2" w:space="0" w:color="auto"/>
              <w:right w:val="single" w:sz="2" w:space="0" w:color="auto"/>
            </w:tcBorders>
            <w:vAlign w:val="center"/>
          </w:tcPr>
          <w:p w14:paraId="0171D417" w14:textId="77777777" w:rsidR="00B81685" w:rsidRPr="000549B1" w:rsidRDefault="00B81685" w:rsidP="00D33EF7">
            <w:pPr>
              <w:pStyle w:val="afff5"/>
              <w:rPr>
                <w:szCs w:val="21"/>
              </w:rPr>
            </w:pPr>
            <w:r w:rsidRPr="000549B1">
              <w:rPr>
                <w:szCs w:val="21"/>
              </w:rPr>
              <w:t>是</w:t>
            </w:r>
          </w:p>
        </w:tc>
        <w:tc>
          <w:tcPr>
            <w:tcW w:w="920" w:type="pct"/>
            <w:tcBorders>
              <w:top w:val="nil"/>
              <w:left w:val="single" w:sz="4" w:space="0" w:color="auto"/>
              <w:bottom w:val="single" w:sz="2" w:space="0" w:color="auto"/>
              <w:right w:val="single" w:sz="4" w:space="0" w:color="auto"/>
            </w:tcBorders>
            <w:vAlign w:val="center"/>
          </w:tcPr>
          <w:p w14:paraId="06E21AC6" w14:textId="77777777" w:rsidR="00B81685" w:rsidRPr="000549B1" w:rsidRDefault="00B81685" w:rsidP="00D33EF7">
            <w:pPr>
              <w:pStyle w:val="afff5"/>
              <w:rPr>
                <w:szCs w:val="21"/>
              </w:rPr>
            </w:pPr>
            <w:r w:rsidRPr="000549B1">
              <w:rPr>
                <w:szCs w:val="21"/>
              </w:rPr>
              <w:t>查阅资料</w:t>
            </w:r>
          </w:p>
        </w:tc>
      </w:tr>
    </w:tbl>
    <w:p w14:paraId="51388339" w14:textId="77777777" w:rsidR="00054437" w:rsidRPr="000549B1" w:rsidRDefault="00000000">
      <w:pPr>
        <w:pStyle w:val="3"/>
      </w:pPr>
      <w:bookmarkStart w:id="264" w:name="_Toc216107021"/>
      <w:r w:rsidRPr="000549B1">
        <w:t>陆生动物现状</w:t>
      </w:r>
      <w:bookmarkEnd w:id="264"/>
    </w:p>
    <w:p w14:paraId="000EFC26" w14:textId="77777777" w:rsidR="00054437" w:rsidRPr="000549B1" w:rsidRDefault="00000000">
      <w:pPr>
        <w:pStyle w:val="Z4"/>
        <w:rPr>
          <w:color w:val="auto"/>
        </w:rPr>
      </w:pPr>
      <w:r w:rsidRPr="000549B1">
        <w:rPr>
          <w:color w:val="auto"/>
        </w:rPr>
        <w:t>种类组成</w:t>
      </w:r>
    </w:p>
    <w:p w14:paraId="59EBFA7F" w14:textId="77777777" w:rsidR="00054437" w:rsidRPr="000549B1" w:rsidRDefault="00000000">
      <w:pPr>
        <w:spacing w:line="360" w:lineRule="auto"/>
        <w:ind w:firstLine="480"/>
        <w:rPr>
          <w:sz w:val="24"/>
          <w:szCs w:val="24"/>
        </w:rPr>
      </w:pPr>
      <w:r w:rsidRPr="000549B1">
        <w:rPr>
          <w:sz w:val="24"/>
          <w:szCs w:val="24"/>
        </w:rPr>
        <w:t>根据样线调查、查阅资料及走访周边群众可知，评价区共有陆生脊椎动物</w:t>
      </w:r>
      <w:r w:rsidRPr="000549B1">
        <w:rPr>
          <w:sz w:val="24"/>
          <w:szCs w:val="24"/>
        </w:rPr>
        <w:t>4</w:t>
      </w:r>
      <w:r w:rsidRPr="000549B1">
        <w:rPr>
          <w:sz w:val="24"/>
          <w:szCs w:val="24"/>
        </w:rPr>
        <w:t>纲</w:t>
      </w:r>
      <w:r w:rsidRPr="000549B1">
        <w:rPr>
          <w:sz w:val="24"/>
          <w:szCs w:val="24"/>
        </w:rPr>
        <w:t>18</w:t>
      </w:r>
      <w:r w:rsidRPr="000549B1">
        <w:rPr>
          <w:sz w:val="24"/>
          <w:szCs w:val="24"/>
        </w:rPr>
        <w:t>目</w:t>
      </w:r>
      <w:r w:rsidRPr="000549B1">
        <w:rPr>
          <w:sz w:val="24"/>
          <w:szCs w:val="24"/>
        </w:rPr>
        <w:t>46</w:t>
      </w:r>
      <w:r w:rsidRPr="000549B1">
        <w:rPr>
          <w:sz w:val="24"/>
          <w:szCs w:val="24"/>
        </w:rPr>
        <w:t>科</w:t>
      </w:r>
      <w:r w:rsidRPr="000549B1">
        <w:rPr>
          <w:sz w:val="24"/>
          <w:szCs w:val="24"/>
        </w:rPr>
        <w:t>138</w:t>
      </w:r>
      <w:r w:rsidRPr="000549B1">
        <w:rPr>
          <w:sz w:val="24"/>
          <w:szCs w:val="24"/>
        </w:rPr>
        <w:t>种，其中鸟类</w:t>
      </w:r>
      <w:r w:rsidRPr="000549B1">
        <w:rPr>
          <w:sz w:val="24"/>
          <w:szCs w:val="24"/>
        </w:rPr>
        <w:t>11</w:t>
      </w:r>
      <w:r w:rsidRPr="000549B1">
        <w:rPr>
          <w:sz w:val="24"/>
          <w:szCs w:val="24"/>
        </w:rPr>
        <w:t>目</w:t>
      </w:r>
      <w:r w:rsidRPr="000549B1">
        <w:rPr>
          <w:sz w:val="24"/>
          <w:szCs w:val="24"/>
        </w:rPr>
        <w:t>31</w:t>
      </w:r>
      <w:r w:rsidRPr="000549B1">
        <w:rPr>
          <w:sz w:val="24"/>
          <w:szCs w:val="24"/>
        </w:rPr>
        <w:t>科</w:t>
      </w:r>
      <w:r w:rsidRPr="000549B1">
        <w:rPr>
          <w:sz w:val="24"/>
          <w:szCs w:val="24"/>
        </w:rPr>
        <w:t>110</w:t>
      </w:r>
      <w:r w:rsidRPr="000549B1">
        <w:rPr>
          <w:sz w:val="24"/>
          <w:szCs w:val="24"/>
        </w:rPr>
        <w:t>种，哺乳类</w:t>
      </w:r>
      <w:r w:rsidRPr="000549B1">
        <w:rPr>
          <w:sz w:val="24"/>
          <w:szCs w:val="24"/>
        </w:rPr>
        <w:t>4</w:t>
      </w:r>
      <w:r w:rsidRPr="000549B1">
        <w:rPr>
          <w:sz w:val="24"/>
          <w:szCs w:val="24"/>
        </w:rPr>
        <w:t>目</w:t>
      </w:r>
      <w:r w:rsidRPr="000549B1">
        <w:rPr>
          <w:sz w:val="24"/>
          <w:szCs w:val="24"/>
        </w:rPr>
        <w:t>11</w:t>
      </w:r>
      <w:r w:rsidRPr="000549B1">
        <w:rPr>
          <w:sz w:val="24"/>
          <w:szCs w:val="24"/>
        </w:rPr>
        <w:t>科</w:t>
      </w:r>
      <w:r w:rsidRPr="000549B1">
        <w:rPr>
          <w:sz w:val="24"/>
          <w:szCs w:val="24"/>
        </w:rPr>
        <w:t>22</w:t>
      </w:r>
      <w:r w:rsidRPr="000549B1">
        <w:rPr>
          <w:sz w:val="24"/>
          <w:szCs w:val="24"/>
        </w:rPr>
        <w:t>种，两栖类</w:t>
      </w:r>
      <w:r w:rsidRPr="000549B1">
        <w:rPr>
          <w:sz w:val="24"/>
          <w:szCs w:val="24"/>
        </w:rPr>
        <w:t>1</w:t>
      </w:r>
      <w:r w:rsidRPr="000549B1">
        <w:rPr>
          <w:sz w:val="24"/>
          <w:szCs w:val="24"/>
        </w:rPr>
        <w:t>目</w:t>
      </w:r>
      <w:r w:rsidRPr="000549B1">
        <w:rPr>
          <w:sz w:val="24"/>
          <w:szCs w:val="24"/>
        </w:rPr>
        <w:t>2</w:t>
      </w:r>
      <w:r w:rsidRPr="000549B1">
        <w:rPr>
          <w:sz w:val="24"/>
          <w:szCs w:val="24"/>
        </w:rPr>
        <w:t>科</w:t>
      </w:r>
      <w:r w:rsidRPr="000549B1">
        <w:rPr>
          <w:sz w:val="24"/>
          <w:szCs w:val="24"/>
        </w:rPr>
        <w:t>2</w:t>
      </w:r>
      <w:r w:rsidRPr="000549B1">
        <w:rPr>
          <w:sz w:val="24"/>
          <w:szCs w:val="24"/>
        </w:rPr>
        <w:t>种，爬行类</w:t>
      </w:r>
      <w:r w:rsidRPr="000549B1">
        <w:rPr>
          <w:sz w:val="24"/>
          <w:szCs w:val="24"/>
        </w:rPr>
        <w:t>2</w:t>
      </w:r>
      <w:r w:rsidRPr="000549B1">
        <w:rPr>
          <w:sz w:val="24"/>
          <w:szCs w:val="24"/>
        </w:rPr>
        <w:t>目</w:t>
      </w:r>
      <w:r w:rsidRPr="000549B1">
        <w:rPr>
          <w:sz w:val="24"/>
          <w:szCs w:val="24"/>
        </w:rPr>
        <w:t>2</w:t>
      </w:r>
      <w:r w:rsidRPr="000549B1">
        <w:rPr>
          <w:sz w:val="24"/>
          <w:szCs w:val="24"/>
        </w:rPr>
        <w:t>科</w:t>
      </w:r>
      <w:r w:rsidRPr="000549B1">
        <w:rPr>
          <w:sz w:val="24"/>
          <w:szCs w:val="24"/>
        </w:rPr>
        <w:t>4</w:t>
      </w:r>
      <w:r w:rsidRPr="000549B1">
        <w:rPr>
          <w:sz w:val="24"/>
          <w:szCs w:val="24"/>
        </w:rPr>
        <w:t>种。详见下表。</w:t>
      </w:r>
    </w:p>
    <w:p w14:paraId="4CF5B8EC" w14:textId="5CCDCB0C" w:rsidR="00054437" w:rsidRPr="000549B1" w:rsidRDefault="00000000">
      <w:pPr>
        <w:pStyle w:val="0A51"/>
        <w:ind w:firstLine="422"/>
      </w:pPr>
      <w:r w:rsidRPr="000549B1">
        <w:t>表</w:t>
      </w:r>
      <w:fldSimple w:instr=" STYLEREF 2 \s ">
        <w:r w:rsidR="00372953">
          <w:rPr>
            <w:noProof/>
          </w:rPr>
          <w:t>3.5</w:t>
        </w:r>
      </w:fldSimple>
      <w:r w:rsidR="00372953">
        <w:noBreakHyphen/>
      </w:r>
      <w:r w:rsidR="00372953">
        <w:fldChar w:fldCharType="begin"/>
      </w:r>
      <w:r w:rsidR="00372953">
        <w:instrText xml:space="preserve"> SEQ </w:instrText>
      </w:r>
      <w:r w:rsidR="00372953">
        <w:instrText>表</w:instrText>
      </w:r>
      <w:r w:rsidR="00372953">
        <w:instrText xml:space="preserve"> \* ARABIC \s 2 </w:instrText>
      </w:r>
      <w:r w:rsidR="00372953">
        <w:fldChar w:fldCharType="separate"/>
      </w:r>
      <w:r w:rsidR="00372953">
        <w:rPr>
          <w:noProof/>
        </w:rPr>
        <w:t>8</w:t>
      </w:r>
      <w:r w:rsidR="00372953">
        <w:fldChar w:fldCharType="end"/>
      </w:r>
      <w:r w:rsidRPr="000549B1">
        <w:t>评价区野生动物种类组成</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9"/>
        <w:gridCol w:w="1017"/>
        <w:gridCol w:w="1012"/>
        <w:gridCol w:w="1341"/>
        <w:gridCol w:w="2557"/>
      </w:tblGrid>
      <w:tr w:rsidR="000549B1" w:rsidRPr="000549B1" w14:paraId="3BA1886F" w14:textId="77777777">
        <w:trPr>
          <w:trHeight w:val="284"/>
          <w:jc w:val="center"/>
        </w:trPr>
        <w:tc>
          <w:tcPr>
            <w:tcW w:w="1428" w:type="pct"/>
            <w:vMerge w:val="restart"/>
            <w:vAlign w:val="center"/>
          </w:tcPr>
          <w:p w14:paraId="09C41499" w14:textId="77777777" w:rsidR="00054437" w:rsidRPr="000549B1" w:rsidRDefault="00000000">
            <w:pPr>
              <w:pStyle w:val="afff5"/>
              <w:rPr>
                <w:b/>
                <w:bCs/>
                <w:szCs w:val="21"/>
              </w:rPr>
            </w:pPr>
            <w:bookmarkStart w:id="265" w:name="_Hlk211355462"/>
            <w:r w:rsidRPr="000549B1">
              <w:rPr>
                <w:b/>
                <w:bCs/>
                <w:szCs w:val="21"/>
              </w:rPr>
              <w:t>纲</w:t>
            </w:r>
          </w:p>
        </w:tc>
        <w:tc>
          <w:tcPr>
            <w:tcW w:w="613" w:type="pct"/>
            <w:vMerge w:val="restart"/>
            <w:vAlign w:val="center"/>
          </w:tcPr>
          <w:p w14:paraId="4256E369" w14:textId="77777777" w:rsidR="00054437" w:rsidRPr="000549B1" w:rsidRDefault="00000000">
            <w:pPr>
              <w:pStyle w:val="afff5"/>
              <w:rPr>
                <w:b/>
                <w:bCs/>
                <w:szCs w:val="21"/>
              </w:rPr>
            </w:pPr>
            <w:r w:rsidRPr="000549B1">
              <w:rPr>
                <w:b/>
                <w:bCs/>
                <w:szCs w:val="21"/>
              </w:rPr>
              <w:t>目</w:t>
            </w:r>
          </w:p>
        </w:tc>
        <w:tc>
          <w:tcPr>
            <w:tcW w:w="610" w:type="pct"/>
            <w:vMerge w:val="restart"/>
            <w:vAlign w:val="center"/>
          </w:tcPr>
          <w:p w14:paraId="1A5F04F8" w14:textId="77777777" w:rsidR="00054437" w:rsidRPr="000549B1" w:rsidRDefault="00000000">
            <w:pPr>
              <w:pStyle w:val="afff5"/>
              <w:rPr>
                <w:b/>
                <w:bCs/>
                <w:szCs w:val="21"/>
              </w:rPr>
            </w:pPr>
            <w:r w:rsidRPr="000549B1">
              <w:rPr>
                <w:b/>
                <w:bCs/>
                <w:szCs w:val="21"/>
              </w:rPr>
              <w:t>科</w:t>
            </w:r>
          </w:p>
        </w:tc>
        <w:tc>
          <w:tcPr>
            <w:tcW w:w="2349" w:type="pct"/>
            <w:gridSpan w:val="2"/>
            <w:vAlign w:val="center"/>
          </w:tcPr>
          <w:p w14:paraId="4A4E5F0E" w14:textId="77777777" w:rsidR="00054437" w:rsidRPr="000549B1" w:rsidRDefault="00000000">
            <w:pPr>
              <w:pStyle w:val="afff5"/>
              <w:rPr>
                <w:b/>
                <w:bCs/>
                <w:szCs w:val="21"/>
              </w:rPr>
            </w:pPr>
            <w:r w:rsidRPr="000549B1">
              <w:rPr>
                <w:b/>
                <w:bCs/>
                <w:szCs w:val="21"/>
              </w:rPr>
              <w:t>种</w:t>
            </w:r>
          </w:p>
        </w:tc>
      </w:tr>
      <w:tr w:rsidR="000549B1" w:rsidRPr="000549B1" w14:paraId="0F8E828B" w14:textId="77777777">
        <w:trPr>
          <w:trHeight w:val="284"/>
          <w:jc w:val="center"/>
        </w:trPr>
        <w:tc>
          <w:tcPr>
            <w:tcW w:w="1428" w:type="pct"/>
            <w:vMerge/>
            <w:vAlign w:val="center"/>
          </w:tcPr>
          <w:p w14:paraId="3EFBD6D4" w14:textId="77777777" w:rsidR="00054437" w:rsidRPr="000549B1" w:rsidRDefault="00054437">
            <w:pPr>
              <w:pStyle w:val="afff5"/>
              <w:rPr>
                <w:b/>
                <w:bCs/>
                <w:szCs w:val="21"/>
              </w:rPr>
            </w:pPr>
          </w:p>
        </w:tc>
        <w:tc>
          <w:tcPr>
            <w:tcW w:w="613" w:type="pct"/>
            <w:vMerge/>
            <w:vAlign w:val="center"/>
          </w:tcPr>
          <w:p w14:paraId="5E6D47F3" w14:textId="77777777" w:rsidR="00054437" w:rsidRPr="000549B1" w:rsidRDefault="00054437">
            <w:pPr>
              <w:pStyle w:val="afff5"/>
              <w:rPr>
                <w:b/>
                <w:bCs/>
                <w:szCs w:val="21"/>
              </w:rPr>
            </w:pPr>
          </w:p>
        </w:tc>
        <w:tc>
          <w:tcPr>
            <w:tcW w:w="610" w:type="pct"/>
            <w:vMerge/>
            <w:vAlign w:val="center"/>
          </w:tcPr>
          <w:p w14:paraId="216E1351" w14:textId="77777777" w:rsidR="00054437" w:rsidRPr="000549B1" w:rsidRDefault="00054437">
            <w:pPr>
              <w:pStyle w:val="afff5"/>
              <w:rPr>
                <w:b/>
                <w:bCs/>
                <w:szCs w:val="21"/>
              </w:rPr>
            </w:pPr>
          </w:p>
        </w:tc>
        <w:tc>
          <w:tcPr>
            <w:tcW w:w="808" w:type="pct"/>
            <w:vAlign w:val="center"/>
          </w:tcPr>
          <w:p w14:paraId="16E7BC55" w14:textId="77777777" w:rsidR="00054437" w:rsidRPr="000549B1" w:rsidRDefault="00000000">
            <w:pPr>
              <w:pStyle w:val="afff5"/>
              <w:rPr>
                <w:b/>
                <w:bCs/>
                <w:szCs w:val="21"/>
              </w:rPr>
            </w:pPr>
            <w:r w:rsidRPr="000549B1">
              <w:rPr>
                <w:b/>
                <w:bCs/>
                <w:szCs w:val="21"/>
              </w:rPr>
              <w:t>数量</w:t>
            </w:r>
          </w:p>
        </w:tc>
        <w:tc>
          <w:tcPr>
            <w:tcW w:w="1541" w:type="pct"/>
            <w:vAlign w:val="center"/>
          </w:tcPr>
          <w:p w14:paraId="5330BB4E" w14:textId="77777777" w:rsidR="00054437" w:rsidRPr="000549B1" w:rsidRDefault="00000000">
            <w:pPr>
              <w:pStyle w:val="afff5"/>
              <w:rPr>
                <w:b/>
                <w:bCs/>
                <w:szCs w:val="21"/>
              </w:rPr>
            </w:pPr>
            <w:r w:rsidRPr="000549B1">
              <w:rPr>
                <w:b/>
                <w:bCs/>
                <w:szCs w:val="21"/>
              </w:rPr>
              <w:t>占比（</w:t>
            </w:r>
            <w:r w:rsidRPr="000549B1">
              <w:rPr>
                <w:b/>
                <w:bCs/>
                <w:szCs w:val="21"/>
              </w:rPr>
              <w:t>%</w:t>
            </w:r>
            <w:r w:rsidRPr="000549B1">
              <w:rPr>
                <w:b/>
                <w:bCs/>
                <w:szCs w:val="21"/>
              </w:rPr>
              <w:t>）</w:t>
            </w:r>
          </w:p>
        </w:tc>
      </w:tr>
      <w:tr w:rsidR="000549B1" w:rsidRPr="000549B1" w14:paraId="5CB440F2" w14:textId="77777777">
        <w:trPr>
          <w:trHeight w:val="284"/>
          <w:jc w:val="center"/>
        </w:trPr>
        <w:tc>
          <w:tcPr>
            <w:tcW w:w="1428" w:type="pct"/>
            <w:vAlign w:val="center"/>
          </w:tcPr>
          <w:p w14:paraId="6932D4DA" w14:textId="77777777" w:rsidR="00054437" w:rsidRPr="000549B1" w:rsidRDefault="00000000">
            <w:pPr>
              <w:pStyle w:val="afff5"/>
              <w:rPr>
                <w:szCs w:val="21"/>
              </w:rPr>
            </w:pPr>
            <w:r w:rsidRPr="000549B1">
              <w:rPr>
                <w:szCs w:val="21"/>
              </w:rPr>
              <w:t>哺乳类</w:t>
            </w:r>
          </w:p>
        </w:tc>
        <w:tc>
          <w:tcPr>
            <w:tcW w:w="613" w:type="pct"/>
            <w:vAlign w:val="center"/>
          </w:tcPr>
          <w:p w14:paraId="5E1C9E8A" w14:textId="77777777" w:rsidR="00054437" w:rsidRPr="000549B1" w:rsidRDefault="00000000">
            <w:pPr>
              <w:pStyle w:val="afff5"/>
              <w:rPr>
                <w:szCs w:val="21"/>
              </w:rPr>
            </w:pPr>
            <w:r w:rsidRPr="000549B1">
              <w:rPr>
                <w:szCs w:val="21"/>
              </w:rPr>
              <w:t>4</w:t>
            </w:r>
          </w:p>
        </w:tc>
        <w:tc>
          <w:tcPr>
            <w:tcW w:w="610" w:type="pct"/>
            <w:vAlign w:val="center"/>
          </w:tcPr>
          <w:p w14:paraId="0AFAEAD4" w14:textId="77777777" w:rsidR="00054437" w:rsidRPr="000549B1" w:rsidRDefault="00000000">
            <w:pPr>
              <w:pStyle w:val="afff5"/>
              <w:rPr>
                <w:szCs w:val="21"/>
              </w:rPr>
            </w:pPr>
            <w:r w:rsidRPr="000549B1">
              <w:rPr>
                <w:szCs w:val="21"/>
              </w:rPr>
              <w:t>11</w:t>
            </w:r>
          </w:p>
        </w:tc>
        <w:tc>
          <w:tcPr>
            <w:tcW w:w="808" w:type="pct"/>
            <w:vAlign w:val="center"/>
          </w:tcPr>
          <w:p w14:paraId="570F808F" w14:textId="77777777" w:rsidR="00054437" w:rsidRPr="000549B1" w:rsidRDefault="00000000">
            <w:pPr>
              <w:pStyle w:val="afff5"/>
              <w:rPr>
                <w:szCs w:val="21"/>
              </w:rPr>
            </w:pPr>
            <w:r w:rsidRPr="000549B1">
              <w:rPr>
                <w:szCs w:val="21"/>
              </w:rPr>
              <w:t>22</w:t>
            </w:r>
          </w:p>
        </w:tc>
        <w:tc>
          <w:tcPr>
            <w:tcW w:w="1541" w:type="pct"/>
            <w:vAlign w:val="center"/>
          </w:tcPr>
          <w:p w14:paraId="08C3DAF9" w14:textId="77777777" w:rsidR="00054437" w:rsidRPr="000549B1" w:rsidRDefault="00000000">
            <w:pPr>
              <w:pStyle w:val="afff5"/>
              <w:rPr>
                <w:szCs w:val="21"/>
              </w:rPr>
            </w:pPr>
            <w:r w:rsidRPr="000549B1">
              <w:rPr>
                <w:szCs w:val="21"/>
              </w:rPr>
              <w:t>15.94</w:t>
            </w:r>
          </w:p>
        </w:tc>
      </w:tr>
      <w:tr w:rsidR="000549B1" w:rsidRPr="000549B1" w14:paraId="4B599308" w14:textId="77777777">
        <w:trPr>
          <w:trHeight w:val="284"/>
          <w:jc w:val="center"/>
        </w:trPr>
        <w:tc>
          <w:tcPr>
            <w:tcW w:w="1428" w:type="pct"/>
            <w:vAlign w:val="center"/>
          </w:tcPr>
          <w:p w14:paraId="0A2C707D" w14:textId="77777777" w:rsidR="00054437" w:rsidRPr="000549B1" w:rsidRDefault="00000000">
            <w:pPr>
              <w:pStyle w:val="afff5"/>
              <w:rPr>
                <w:szCs w:val="21"/>
              </w:rPr>
            </w:pPr>
            <w:r w:rsidRPr="000549B1">
              <w:rPr>
                <w:szCs w:val="21"/>
              </w:rPr>
              <w:t>两栖类</w:t>
            </w:r>
          </w:p>
        </w:tc>
        <w:tc>
          <w:tcPr>
            <w:tcW w:w="613" w:type="pct"/>
            <w:vAlign w:val="center"/>
          </w:tcPr>
          <w:p w14:paraId="65E42674" w14:textId="77777777" w:rsidR="00054437" w:rsidRPr="000549B1" w:rsidRDefault="00000000">
            <w:pPr>
              <w:pStyle w:val="afff5"/>
              <w:rPr>
                <w:szCs w:val="21"/>
              </w:rPr>
            </w:pPr>
            <w:r w:rsidRPr="000549B1">
              <w:rPr>
                <w:szCs w:val="21"/>
              </w:rPr>
              <w:t>1</w:t>
            </w:r>
          </w:p>
        </w:tc>
        <w:tc>
          <w:tcPr>
            <w:tcW w:w="610" w:type="pct"/>
            <w:vAlign w:val="center"/>
          </w:tcPr>
          <w:p w14:paraId="7CA40F12" w14:textId="77777777" w:rsidR="00054437" w:rsidRPr="000549B1" w:rsidRDefault="00000000">
            <w:pPr>
              <w:pStyle w:val="afff5"/>
              <w:rPr>
                <w:szCs w:val="21"/>
              </w:rPr>
            </w:pPr>
            <w:r w:rsidRPr="000549B1">
              <w:rPr>
                <w:szCs w:val="21"/>
              </w:rPr>
              <w:t>2</w:t>
            </w:r>
          </w:p>
        </w:tc>
        <w:tc>
          <w:tcPr>
            <w:tcW w:w="808" w:type="pct"/>
            <w:vAlign w:val="center"/>
          </w:tcPr>
          <w:p w14:paraId="3CE32B10" w14:textId="77777777" w:rsidR="00054437" w:rsidRPr="000549B1" w:rsidRDefault="00000000">
            <w:pPr>
              <w:pStyle w:val="afff5"/>
              <w:rPr>
                <w:szCs w:val="21"/>
              </w:rPr>
            </w:pPr>
            <w:r w:rsidRPr="000549B1">
              <w:rPr>
                <w:szCs w:val="21"/>
              </w:rPr>
              <w:t>2</w:t>
            </w:r>
          </w:p>
        </w:tc>
        <w:tc>
          <w:tcPr>
            <w:tcW w:w="1541" w:type="pct"/>
            <w:vAlign w:val="center"/>
          </w:tcPr>
          <w:p w14:paraId="71F7D2A9" w14:textId="77777777" w:rsidR="00054437" w:rsidRPr="000549B1" w:rsidRDefault="00000000">
            <w:pPr>
              <w:pStyle w:val="afff5"/>
              <w:rPr>
                <w:szCs w:val="21"/>
              </w:rPr>
            </w:pPr>
            <w:r w:rsidRPr="000549B1">
              <w:rPr>
                <w:szCs w:val="21"/>
              </w:rPr>
              <w:t>1.45</w:t>
            </w:r>
          </w:p>
        </w:tc>
      </w:tr>
      <w:tr w:rsidR="000549B1" w:rsidRPr="000549B1" w14:paraId="58C4B5FB" w14:textId="77777777">
        <w:trPr>
          <w:trHeight w:val="284"/>
          <w:jc w:val="center"/>
        </w:trPr>
        <w:tc>
          <w:tcPr>
            <w:tcW w:w="1428" w:type="pct"/>
            <w:vAlign w:val="center"/>
          </w:tcPr>
          <w:p w14:paraId="466A7AA3" w14:textId="77777777" w:rsidR="00054437" w:rsidRPr="000549B1" w:rsidRDefault="00000000">
            <w:pPr>
              <w:pStyle w:val="afff5"/>
              <w:rPr>
                <w:szCs w:val="21"/>
              </w:rPr>
            </w:pPr>
            <w:r w:rsidRPr="000549B1">
              <w:rPr>
                <w:szCs w:val="21"/>
              </w:rPr>
              <w:t>爬行类</w:t>
            </w:r>
          </w:p>
        </w:tc>
        <w:tc>
          <w:tcPr>
            <w:tcW w:w="613" w:type="pct"/>
            <w:vAlign w:val="center"/>
          </w:tcPr>
          <w:p w14:paraId="7DEFAC28" w14:textId="77777777" w:rsidR="00054437" w:rsidRPr="000549B1" w:rsidRDefault="00000000">
            <w:pPr>
              <w:pStyle w:val="afff5"/>
              <w:rPr>
                <w:szCs w:val="21"/>
              </w:rPr>
            </w:pPr>
            <w:r w:rsidRPr="000549B1">
              <w:rPr>
                <w:szCs w:val="21"/>
              </w:rPr>
              <w:t>2</w:t>
            </w:r>
          </w:p>
        </w:tc>
        <w:tc>
          <w:tcPr>
            <w:tcW w:w="610" w:type="pct"/>
            <w:vAlign w:val="center"/>
          </w:tcPr>
          <w:p w14:paraId="6EAC7EC7" w14:textId="77777777" w:rsidR="00054437" w:rsidRPr="000549B1" w:rsidRDefault="00000000">
            <w:pPr>
              <w:pStyle w:val="afff5"/>
              <w:rPr>
                <w:szCs w:val="21"/>
              </w:rPr>
            </w:pPr>
            <w:r w:rsidRPr="000549B1">
              <w:rPr>
                <w:szCs w:val="21"/>
              </w:rPr>
              <w:t>2</w:t>
            </w:r>
          </w:p>
        </w:tc>
        <w:tc>
          <w:tcPr>
            <w:tcW w:w="808" w:type="pct"/>
            <w:vAlign w:val="center"/>
          </w:tcPr>
          <w:p w14:paraId="6A88890F" w14:textId="77777777" w:rsidR="00054437" w:rsidRPr="000549B1" w:rsidRDefault="00000000">
            <w:pPr>
              <w:pStyle w:val="afff5"/>
              <w:rPr>
                <w:szCs w:val="21"/>
              </w:rPr>
            </w:pPr>
            <w:r w:rsidRPr="000549B1">
              <w:rPr>
                <w:szCs w:val="21"/>
              </w:rPr>
              <w:t>4</w:t>
            </w:r>
          </w:p>
        </w:tc>
        <w:tc>
          <w:tcPr>
            <w:tcW w:w="1541" w:type="pct"/>
            <w:vAlign w:val="center"/>
          </w:tcPr>
          <w:p w14:paraId="12FEEC87" w14:textId="77777777" w:rsidR="00054437" w:rsidRPr="000549B1" w:rsidRDefault="00000000">
            <w:pPr>
              <w:pStyle w:val="afff5"/>
              <w:rPr>
                <w:szCs w:val="21"/>
              </w:rPr>
            </w:pPr>
            <w:r w:rsidRPr="000549B1">
              <w:rPr>
                <w:szCs w:val="21"/>
              </w:rPr>
              <w:t>2.90</w:t>
            </w:r>
          </w:p>
        </w:tc>
      </w:tr>
      <w:tr w:rsidR="000549B1" w:rsidRPr="000549B1" w14:paraId="325CE0A1" w14:textId="77777777">
        <w:trPr>
          <w:trHeight w:val="284"/>
          <w:jc w:val="center"/>
        </w:trPr>
        <w:tc>
          <w:tcPr>
            <w:tcW w:w="1428" w:type="pct"/>
            <w:vAlign w:val="center"/>
          </w:tcPr>
          <w:p w14:paraId="0D864E34" w14:textId="77777777" w:rsidR="00054437" w:rsidRPr="000549B1" w:rsidRDefault="00000000">
            <w:pPr>
              <w:pStyle w:val="afff5"/>
              <w:rPr>
                <w:szCs w:val="21"/>
              </w:rPr>
            </w:pPr>
            <w:r w:rsidRPr="000549B1">
              <w:rPr>
                <w:szCs w:val="21"/>
              </w:rPr>
              <w:t>鸟类</w:t>
            </w:r>
          </w:p>
        </w:tc>
        <w:tc>
          <w:tcPr>
            <w:tcW w:w="613" w:type="pct"/>
            <w:vAlign w:val="center"/>
          </w:tcPr>
          <w:p w14:paraId="7472E991" w14:textId="77777777" w:rsidR="00054437" w:rsidRPr="000549B1" w:rsidRDefault="00000000">
            <w:pPr>
              <w:pStyle w:val="afff5"/>
              <w:rPr>
                <w:szCs w:val="21"/>
              </w:rPr>
            </w:pPr>
            <w:r w:rsidRPr="000549B1">
              <w:rPr>
                <w:szCs w:val="21"/>
              </w:rPr>
              <w:t>11</w:t>
            </w:r>
          </w:p>
        </w:tc>
        <w:tc>
          <w:tcPr>
            <w:tcW w:w="610" w:type="pct"/>
            <w:vAlign w:val="center"/>
          </w:tcPr>
          <w:p w14:paraId="77776738" w14:textId="77777777" w:rsidR="00054437" w:rsidRPr="000549B1" w:rsidRDefault="00000000">
            <w:pPr>
              <w:pStyle w:val="afff5"/>
              <w:rPr>
                <w:szCs w:val="21"/>
              </w:rPr>
            </w:pPr>
            <w:r w:rsidRPr="000549B1">
              <w:rPr>
                <w:szCs w:val="21"/>
              </w:rPr>
              <w:t>31</w:t>
            </w:r>
          </w:p>
        </w:tc>
        <w:tc>
          <w:tcPr>
            <w:tcW w:w="808" w:type="pct"/>
            <w:vAlign w:val="center"/>
          </w:tcPr>
          <w:p w14:paraId="3ABFBFD0" w14:textId="77777777" w:rsidR="00054437" w:rsidRPr="000549B1" w:rsidRDefault="00000000">
            <w:pPr>
              <w:pStyle w:val="afff5"/>
              <w:rPr>
                <w:szCs w:val="21"/>
              </w:rPr>
            </w:pPr>
            <w:r w:rsidRPr="000549B1">
              <w:rPr>
                <w:szCs w:val="21"/>
              </w:rPr>
              <w:t>110</w:t>
            </w:r>
          </w:p>
        </w:tc>
        <w:tc>
          <w:tcPr>
            <w:tcW w:w="1541" w:type="pct"/>
            <w:vAlign w:val="center"/>
          </w:tcPr>
          <w:p w14:paraId="692E5AC3" w14:textId="77777777" w:rsidR="00054437" w:rsidRPr="000549B1" w:rsidRDefault="00000000">
            <w:pPr>
              <w:pStyle w:val="afff5"/>
              <w:rPr>
                <w:szCs w:val="21"/>
              </w:rPr>
            </w:pPr>
            <w:r w:rsidRPr="000549B1">
              <w:rPr>
                <w:szCs w:val="21"/>
              </w:rPr>
              <w:t>79.71</w:t>
            </w:r>
          </w:p>
        </w:tc>
      </w:tr>
      <w:tr w:rsidR="000549B1" w:rsidRPr="000549B1" w14:paraId="225196ED" w14:textId="77777777">
        <w:trPr>
          <w:trHeight w:val="284"/>
          <w:jc w:val="center"/>
        </w:trPr>
        <w:tc>
          <w:tcPr>
            <w:tcW w:w="1428" w:type="pct"/>
            <w:vAlign w:val="center"/>
          </w:tcPr>
          <w:p w14:paraId="302248A5" w14:textId="77777777" w:rsidR="00054437" w:rsidRPr="000549B1" w:rsidRDefault="00000000">
            <w:pPr>
              <w:pStyle w:val="afff5"/>
              <w:rPr>
                <w:szCs w:val="21"/>
              </w:rPr>
            </w:pPr>
            <w:r w:rsidRPr="000549B1">
              <w:rPr>
                <w:szCs w:val="21"/>
              </w:rPr>
              <w:t>总计</w:t>
            </w:r>
          </w:p>
        </w:tc>
        <w:tc>
          <w:tcPr>
            <w:tcW w:w="613" w:type="pct"/>
            <w:vAlign w:val="center"/>
          </w:tcPr>
          <w:p w14:paraId="2E49B8B6" w14:textId="77777777" w:rsidR="00054437" w:rsidRPr="000549B1" w:rsidRDefault="00000000">
            <w:pPr>
              <w:pStyle w:val="afff5"/>
              <w:rPr>
                <w:szCs w:val="21"/>
              </w:rPr>
            </w:pPr>
            <w:r w:rsidRPr="000549B1">
              <w:rPr>
                <w:szCs w:val="21"/>
              </w:rPr>
              <w:t>18</w:t>
            </w:r>
          </w:p>
        </w:tc>
        <w:tc>
          <w:tcPr>
            <w:tcW w:w="610" w:type="pct"/>
            <w:vAlign w:val="center"/>
          </w:tcPr>
          <w:p w14:paraId="5D3FDEA1" w14:textId="77777777" w:rsidR="00054437" w:rsidRPr="000549B1" w:rsidRDefault="00000000">
            <w:pPr>
              <w:pStyle w:val="afff5"/>
              <w:rPr>
                <w:szCs w:val="21"/>
              </w:rPr>
            </w:pPr>
            <w:r w:rsidRPr="000549B1">
              <w:rPr>
                <w:szCs w:val="21"/>
              </w:rPr>
              <w:t>46</w:t>
            </w:r>
          </w:p>
        </w:tc>
        <w:tc>
          <w:tcPr>
            <w:tcW w:w="808" w:type="pct"/>
            <w:vAlign w:val="center"/>
          </w:tcPr>
          <w:p w14:paraId="764CAF63" w14:textId="77777777" w:rsidR="00054437" w:rsidRPr="000549B1" w:rsidRDefault="00000000">
            <w:pPr>
              <w:pStyle w:val="afff5"/>
              <w:rPr>
                <w:szCs w:val="21"/>
              </w:rPr>
            </w:pPr>
            <w:r w:rsidRPr="000549B1">
              <w:rPr>
                <w:szCs w:val="21"/>
              </w:rPr>
              <w:t>138</w:t>
            </w:r>
          </w:p>
        </w:tc>
        <w:tc>
          <w:tcPr>
            <w:tcW w:w="1541" w:type="pct"/>
            <w:vAlign w:val="center"/>
          </w:tcPr>
          <w:p w14:paraId="76F14E31" w14:textId="77777777" w:rsidR="00054437" w:rsidRPr="000549B1" w:rsidRDefault="00000000">
            <w:pPr>
              <w:pStyle w:val="afff5"/>
              <w:rPr>
                <w:szCs w:val="21"/>
              </w:rPr>
            </w:pPr>
            <w:r w:rsidRPr="000549B1">
              <w:rPr>
                <w:szCs w:val="21"/>
              </w:rPr>
              <w:t>100</w:t>
            </w:r>
          </w:p>
        </w:tc>
      </w:tr>
    </w:tbl>
    <w:bookmarkEnd w:id="265"/>
    <w:p w14:paraId="2F17D5F2" w14:textId="77777777" w:rsidR="00054437" w:rsidRPr="000549B1" w:rsidRDefault="00000000">
      <w:pPr>
        <w:pStyle w:val="4"/>
        <w:tabs>
          <w:tab w:val="left" w:pos="2411"/>
        </w:tabs>
        <w:rPr>
          <w:rFonts w:ascii="Times New Roman" w:hAnsi="Times New Roman"/>
        </w:rPr>
      </w:pPr>
      <w:r w:rsidRPr="000549B1">
        <w:rPr>
          <w:rFonts w:ascii="Times New Roman" w:hAnsi="Times New Roman"/>
        </w:rPr>
        <w:t>主要生态类型及生境特征</w:t>
      </w:r>
    </w:p>
    <w:p w14:paraId="69F95DD2" w14:textId="77777777" w:rsidR="00B81685" w:rsidRPr="000549B1" w:rsidRDefault="00B81685" w:rsidP="00B81685">
      <w:pPr>
        <w:spacing w:line="360" w:lineRule="auto"/>
        <w:ind w:firstLine="480"/>
        <w:rPr>
          <w:sz w:val="24"/>
          <w:szCs w:val="24"/>
        </w:rPr>
      </w:pPr>
      <w:r w:rsidRPr="000549B1">
        <w:rPr>
          <w:sz w:val="24"/>
          <w:szCs w:val="24"/>
        </w:rPr>
        <w:t>（</w:t>
      </w:r>
      <w:r w:rsidRPr="000549B1">
        <w:rPr>
          <w:sz w:val="24"/>
          <w:szCs w:val="24"/>
        </w:rPr>
        <w:t>1</w:t>
      </w:r>
      <w:r w:rsidRPr="000549B1">
        <w:rPr>
          <w:sz w:val="24"/>
          <w:szCs w:val="24"/>
        </w:rPr>
        <w:t>）哺乳类</w:t>
      </w:r>
    </w:p>
    <w:p w14:paraId="1E913521" w14:textId="77777777" w:rsidR="00B81685" w:rsidRPr="000549B1" w:rsidRDefault="00B81685" w:rsidP="00B81685">
      <w:pPr>
        <w:spacing w:line="360" w:lineRule="auto"/>
        <w:ind w:firstLine="480"/>
        <w:rPr>
          <w:sz w:val="24"/>
          <w:szCs w:val="24"/>
        </w:rPr>
      </w:pPr>
      <w:r w:rsidRPr="000549B1">
        <w:rPr>
          <w:sz w:val="24"/>
          <w:szCs w:val="24"/>
        </w:rPr>
        <w:t>1</w:t>
      </w:r>
      <w:r w:rsidRPr="000549B1">
        <w:rPr>
          <w:sz w:val="24"/>
          <w:szCs w:val="24"/>
        </w:rPr>
        <w:t>）物种组成</w:t>
      </w:r>
    </w:p>
    <w:p w14:paraId="43B005C9" w14:textId="77777777" w:rsidR="00B81685" w:rsidRPr="000549B1" w:rsidRDefault="00B81685" w:rsidP="00B81685">
      <w:pPr>
        <w:spacing w:line="360" w:lineRule="auto"/>
        <w:ind w:firstLine="480"/>
        <w:rPr>
          <w:sz w:val="24"/>
          <w:szCs w:val="24"/>
        </w:rPr>
      </w:pPr>
      <w:r w:rsidRPr="000549B1">
        <w:rPr>
          <w:sz w:val="24"/>
          <w:szCs w:val="24"/>
        </w:rPr>
        <w:t>由于评价区多为人工草场或天然草场，人类活动比较频繁，而且草场基本被牧民用铁丝栅栏围封保护起来，大大限制了大中型兽类的生存，兽类主要为小型啮齿类动物。根据调查结果，评价区有哺乳动物</w:t>
      </w:r>
      <w:r w:rsidRPr="000549B1">
        <w:rPr>
          <w:sz w:val="24"/>
          <w:szCs w:val="24"/>
        </w:rPr>
        <w:t>4</w:t>
      </w:r>
      <w:r w:rsidRPr="000549B1">
        <w:rPr>
          <w:sz w:val="24"/>
          <w:szCs w:val="24"/>
        </w:rPr>
        <w:t>目</w:t>
      </w:r>
      <w:r w:rsidRPr="000549B1">
        <w:rPr>
          <w:sz w:val="24"/>
          <w:szCs w:val="24"/>
        </w:rPr>
        <w:t>11</w:t>
      </w:r>
      <w:r w:rsidRPr="000549B1">
        <w:rPr>
          <w:sz w:val="24"/>
          <w:szCs w:val="24"/>
        </w:rPr>
        <w:t>科</w:t>
      </w:r>
      <w:r w:rsidRPr="000549B1">
        <w:rPr>
          <w:sz w:val="24"/>
          <w:szCs w:val="24"/>
        </w:rPr>
        <w:t>22</w:t>
      </w:r>
      <w:r w:rsidRPr="000549B1">
        <w:rPr>
          <w:sz w:val="24"/>
          <w:szCs w:val="24"/>
        </w:rPr>
        <w:t>种，常见的哺乳动物主要有西藏鼩鼱、喜马拉雅旱獭、藏仓鼠、小家鼠、高原鼠兔等。其中，啮齿目的种类最多，共</w:t>
      </w:r>
      <w:r w:rsidRPr="000549B1">
        <w:rPr>
          <w:sz w:val="24"/>
          <w:szCs w:val="24"/>
        </w:rPr>
        <w:t>11</w:t>
      </w:r>
      <w:r w:rsidRPr="000549B1">
        <w:rPr>
          <w:sz w:val="24"/>
          <w:szCs w:val="24"/>
        </w:rPr>
        <w:t>种，占评价区兽类种数的</w:t>
      </w:r>
      <w:r w:rsidRPr="000549B1">
        <w:rPr>
          <w:sz w:val="24"/>
          <w:szCs w:val="24"/>
        </w:rPr>
        <w:t>50%</w:t>
      </w:r>
      <w:r w:rsidRPr="000549B1">
        <w:rPr>
          <w:sz w:val="24"/>
          <w:szCs w:val="24"/>
        </w:rPr>
        <w:t>；食肉目有</w:t>
      </w:r>
      <w:r w:rsidRPr="000549B1">
        <w:rPr>
          <w:sz w:val="24"/>
          <w:szCs w:val="24"/>
        </w:rPr>
        <w:t>4</w:t>
      </w:r>
      <w:r w:rsidRPr="000549B1">
        <w:rPr>
          <w:sz w:val="24"/>
          <w:szCs w:val="24"/>
        </w:rPr>
        <w:t>种，占评价区兽类种数的</w:t>
      </w:r>
      <w:r w:rsidRPr="000549B1">
        <w:rPr>
          <w:sz w:val="24"/>
          <w:szCs w:val="24"/>
        </w:rPr>
        <w:t>18.18%</w:t>
      </w:r>
      <w:r w:rsidRPr="000549B1">
        <w:rPr>
          <w:sz w:val="24"/>
          <w:szCs w:val="24"/>
        </w:rPr>
        <w:t>；食虫目有</w:t>
      </w:r>
      <w:r w:rsidRPr="000549B1">
        <w:rPr>
          <w:sz w:val="24"/>
          <w:szCs w:val="24"/>
        </w:rPr>
        <w:t>2</w:t>
      </w:r>
      <w:r w:rsidRPr="000549B1">
        <w:rPr>
          <w:sz w:val="24"/>
          <w:szCs w:val="24"/>
        </w:rPr>
        <w:t>种，占评价区兽类种数的</w:t>
      </w:r>
      <w:r w:rsidRPr="000549B1">
        <w:rPr>
          <w:sz w:val="24"/>
          <w:szCs w:val="24"/>
        </w:rPr>
        <w:t>9.09%</w:t>
      </w:r>
      <w:r w:rsidRPr="000549B1">
        <w:rPr>
          <w:sz w:val="24"/>
          <w:szCs w:val="24"/>
        </w:rPr>
        <w:t>；兔形目有</w:t>
      </w:r>
      <w:r w:rsidRPr="000549B1">
        <w:rPr>
          <w:sz w:val="24"/>
          <w:szCs w:val="24"/>
        </w:rPr>
        <w:t>5</w:t>
      </w:r>
      <w:r w:rsidRPr="000549B1">
        <w:rPr>
          <w:sz w:val="24"/>
          <w:szCs w:val="24"/>
        </w:rPr>
        <w:t>种，占评价区兽类种数的</w:t>
      </w:r>
      <w:r w:rsidRPr="000549B1">
        <w:rPr>
          <w:sz w:val="24"/>
          <w:szCs w:val="24"/>
        </w:rPr>
        <w:t>22.73%</w:t>
      </w:r>
      <w:r w:rsidRPr="000549B1">
        <w:rPr>
          <w:sz w:val="24"/>
          <w:szCs w:val="24"/>
        </w:rPr>
        <w:t>。评价区内哺乳动物中以啮齿目占绝对优势，然后为兔形目、食肉目、食虫目。在</w:t>
      </w:r>
      <w:r w:rsidRPr="000549B1">
        <w:rPr>
          <w:sz w:val="24"/>
          <w:szCs w:val="24"/>
        </w:rPr>
        <w:t>11</w:t>
      </w:r>
      <w:r w:rsidRPr="000549B1">
        <w:rPr>
          <w:sz w:val="24"/>
          <w:szCs w:val="24"/>
        </w:rPr>
        <w:t>个科中，以鼠兔科种类为最多。</w:t>
      </w:r>
    </w:p>
    <w:p w14:paraId="52DABED8" w14:textId="77777777" w:rsidR="00B81685" w:rsidRPr="000549B1" w:rsidRDefault="00B81685" w:rsidP="00B81685">
      <w:pPr>
        <w:spacing w:line="360" w:lineRule="auto"/>
        <w:ind w:firstLine="480"/>
        <w:rPr>
          <w:sz w:val="24"/>
          <w:szCs w:val="24"/>
        </w:rPr>
      </w:pPr>
      <w:r w:rsidRPr="000549B1">
        <w:rPr>
          <w:sz w:val="24"/>
          <w:szCs w:val="24"/>
        </w:rPr>
        <w:t>2</w:t>
      </w:r>
      <w:r w:rsidRPr="000549B1">
        <w:rPr>
          <w:sz w:val="24"/>
          <w:szCs w:val="24"/>
        </w:rPr>
        <w:t>）生态类型</w:t>
      </w:r>
    </w:p>
    <w:p w14:paraId="2CD8419B" w14:textId="77777777" w:rsidR="00B81685" w:rsidRPr="000549B1" w:rsidRDefault="00B81685" w:rsidP="00B81685">
      <w:pPr>
        <w:spacing w:line="360" w:lineRule="auto"/>
        <w:ind w:firstLine="480"/>
        <w:rPr>
          <w:sz w:val="24"/>
          <w:szCs w:val="24"/>
        </w:rPr>
      </w:pPr>
      <w:r w:rsidRPr="000549B1">
        <w:rPr>
          <w:sz w:val="24"/>
          <w:szCs w:val="24"/>
        </w:rPr>
        <w:t>根据评价区各种哺乳类生活习性的不同，本评价将哺乳类分为以下</w:t>
      </w:r>
      <w:r w:rsidRPr="000549B1">
        <w:rPr>
          <w:sz w:val="24"/>
          <w:szCs w:val="24"/>
        </w:rPr>
        <w:t>3</w:t>
      </w:r>
      <w:r w:rsidRPr="000549B1">
        <w:rPr>
          <w:sz w:val="24"/>
          <w:szCs w:val="24"/>
        </w:rPr>
        <w:t>种生态类型：</w:t>
      </w:r>
    </w:p>
    <w:p w14:paraId="7F59A8AD" w14:textId="77777777" w:rsidR="00B81685" w:rsidRPr="000549B1" w:rsidRDefault="00B81685" w:rsidP="00B81685">
      <w:pPr>
        <w:spacing w:line="360" w:lineRule="auto"/>
        <w:ind w:firstLine="480"/>
        <w:rPr>
          <w:sz w:val="24"/>
          <w:szCs w:val="24"/>
        </w:rPr>
      </w:pPr>
      <w:r w:rsidRPr="000549B1">
        <w:rPr>
          <w:sz w:val="24"/>
          <w:szCs w:val="24"/>
        </w:rPr>
        <w:t>穴居型（主要在地面活动觅食，栖息、避敌于洞穴中，有的也在地下寻找食物）：包括喜马拉雅旱獭、根田鼠、松田鼠、藏仓鼠、长尾仓鼠、小家鼠、大林姬鼠、库蒙高山鼠、甘肃鼠兔、高原鼠兔。其中，兔形目、啮齿目仓鼠科和食肉目种类主要分布在评价区草地、灌丛等生境；啮齿目鼠科种类分布广泛，评价区各生境均有分布。</w:t>
      </w:r>
    </w:p>
    <w:p w14:paraId="2DA8FF18" w14:textId="77777777" w:rsidR="00B81685" w:rsidRPr="000549B1" w:rsidRDefault="00B81685" w:rsidP="00B81685">
      <w:pPr>
        <w:spacing w:line="360" w:lineRule="auto"/>
        <w:ind w:firstLine="480"/>
        <w:rPr>
          <w:sz w:val="24"/>
          <w:szCs w:val="24"/>
        </w:rPr>
      </w:pPr>
      <w:r w:rsidRPr="000549B1">
        <w:rPr>
          <w:sz w:val="24"/>
          <w:szCs w:val="24"/>
        </w:rPr>
        <w:t>树栖型（主要在树上栖息、觅食的哺乳类）：包括黄耳斑鼯鼠等。主要分布于评价区内的林地生境，在植被较好的林地、灌丛，村落亦有分布。</w:t>
      </w:r>
    </w:p>
    <w:p w14:paraId="474EF424" w14:textId="77777777" w:rsidR="00B81685" w:rsidRPr="000549B1" w:rsidRDefault="00B81685" w:rsidP="00B81685">
      <w:pPr>
        <w:spacing w:line="360" w:lineRule="auto"/>
        <w:ind w:firstLine="480"/>
        <w:rPr>
          <w:sz w:val="24"/>
          <w:szCs w:val="24"/>
        </w:rPr>
      </w:pPr>
      <w:r w:rsidRPr="000549B1">
        <w:rPr>
          <w:sz w:val="24"/>
          <w:szCs w:val="24"/>
        </w:rPr>
        <w:t>陆栖型（主要在地面活动）：包括中鼩鼱、西藏鼩鼱、藏狐、狗獾、艾鼬、荒漠猫、红耳鼠兔、大耳鼠兔、高原兔、四川林跳鼠等，主要分布于评价区草地、山地生境，地面活动为主，不依赖洞穴、树木、水。</w:t>
      </w:r>
    </w:p>
    <w:p w14:paraId="3AF8DA4D" w14:textId="77777777" w:rsidR="00B81685" w:rsidRPr="000549B1" w:rsidRDefault="00B81685" w:rsidP="00B81685">
      <w:pPr>
        <w:spacing w:line="360" w:lineRule="auto"/>
        <w:ind w:firstLine="480"/>
        <w:rPr>
          <w:sz w:val="24"/>
          <w:szCs w:val="24"/>
        </w:rPr>
      </w:pPr>
      <w:r w:rsidRPr="000549B1">
        <w:rPr>
          <w:sz w:val="24"/>
          <w:szCs w:val="24"/>
        </w:rPr>
        <w:t>3</w:t>
      </w:r>
      <w:r w:rsidRPr="000549B1">
        <w:rPr>
          <w:sz w:val="24"/>
          <w:szCs w:val="24"/>
        </w:rPr>
        <w:t>）区系特征</w:t>
      </w:r>
    </w:p>
    <w:p w14:paraId="77DB91EA" w14:textId="77777777" w:rsidR="00B81685" w:rsidRPr="000549B1" w:rsidRDefault="00B81685" w:rsidP="00B81685">
      <w:pPr>
        <w:spacing w:line="360" w:lineRule="auto"/>
        <w:ind w:firstLine="480"/>
        <w:rPr>
          <w:sz w:val="24"/>
          <w:szCs w:val="24"/>
        </w:rPr>
      </w:pPr>
      <w:r w:rsidRPr="000549B1">
        <w:rPr>
          <w:sz w:val="24"/>
          <w:szCs w:val="24"/>
        </w:rPr>
        <w:t>上述</w:t>
      </w:r>
      <w:r w:rsidRPr="000549B1">
        <w:rPr>
          <w:sz w:val="24"/>
          <w:szCs w:val="24"/>
        </w:rPr>
        <w:t>24</w:t>
      </w:r>
      <w:r w:rsidRPr="000549B1">
        <w:rPr>
          <w:sz w:val="24"/>
          <w:szCs w:val="24"/>
        </w:rPr>
        <w:t>种哺乳动物，属于古北界广布种（</w:t>
      </w:r>
      <w:r w:rsidRPr="000549B1">
        <w:rPr>
          <w:sz w:val="24"/>
          <w:szCs w:val="24"/>
        </w:rPr>
        <w:t>9</w:t>
      </w:r>
      <w:r w:rsidRPr="000549B1">
        <w:rPr>
          <w:sz w:val="24"/>
          <w:szCs w:val="24"/>
        </w:rPr>
        <w:t>种）：中鼩鼱、狗獾、艾鼬、小家鼠、大林姬鼠、长尾仓鼠、根田鼠、松田鼠、高原兔，均广布于古北界多个亚区，非青藏高原特有。</w:t>
      </w:r>
    </w:p>
    <w:p w14:paraId="3D79A4F6" w14:textId="77777777" w:rsidR="00B81685" w:rsidRPr="000549B1" w:rsidRDefault="00B81685" w:rsidP="00B81685">
      <w:pPr>
        <w:spacing w:line="360" w:lineRule="auto"/>
        <w:ind w:firstLine="480"/>
        <w:rPr>
          <w:sz w:val="24"/>
          <w:szCs w:val="24"/>
        </w:rPr>
      </w:pPr>
      <w:r w:rsidRPr="000549B1">
        <w:rPr>
          <w:sz w:val="24"/>
          <w:szCs w:val="24"/>
        </w:rPr>
        <w:t>古北界局限</w:t>
      </w:r>
      <w:r w:rsidRPr="000549B1">
        <w:rPr>
          <w:sz w:val="24"/>
          <w:szCs w:val="24"/>
        </w:rPr>
        <w:t>/</w:t>
      </w:r>
      <w:r w:rsidRPr="000549B1">
        <w:rPr>
          <w:sz w:val="24"/>
          <w:szCs w:val="24"/>
        </w:rPr>
        <w:t>特有种（</w:t>
      </w:r>
      <w:r w:rsidRPr="000549B1">
        <w:rPr>
          <w:sz w:val="24"/>
          <w:szCs w:val="24"/>
        </w:rPr>
        <w:t>11</w:t>
      </w:r>
      <w:r w:rsidRPr="000549B1">
        <w:rPr>
          <w:sz w:val="24"/>
          <w:szCs w:val="24"/>
        </w:rPr>
        <w:t>种）：其余</w:t>
      </w:r>
      <w:r w:rsidRPr="000549B1">
        <w:rPr>
          <w:sz w:val="24"/>
          <w:szCs w:val="24"/>
        </w:rPr>
        <w:t>11</w:t>
      </w:r>
      <w:r w:rsidRPr="000549B1">
        <w:rPr>
          <w:sz w:val="24"/>
          <w:szCs w:val="24"/>
        </w:rPr>
        <w:t>种（如藏狐、荒漠猫、高原鼠兔等）主要局限于古北界</w:t>
      </w:r>
      <w:r w:rsidRPr="000549B1">
        <w:rPr>
          <w:sz w:val="24"/>
          <w:szCs w:val="24"/>
        </w:rPr>
        <w:t>-</w:t>
      </w:r>
      <w:r w:rsidRPr="000549B1">
        <w:rPr>
          <w:sz w:val="24"/>
          <w:szCs w:val="24"/>
        </w:rPr>
        <w:t>青藏高原亚区，部分为青藏高原特有种，无跨古北界广泛分布的记录</w:t>
      </w:r>
    </w:p>
    <w:p w14:paraId="7EBA3B05" w14:textId="77777777" w:rsidR="00B81685" w:rsidRPr="000549B1" w:rsidRDefault="00B81685" w:rsidP="00B81685">
      <w:pPr>
        <w:spacing w:line="360" w:lineRule="auto"/>
        <w:ind w:firstLine="480"/>
        <w:rPr>
          <w:sz w:val="24"/>
          <w:szCs w:val="24"/>
        </w:rPr>
      </w:pPr>
      <w:r w:rsidRPr="000549B1">
        <w:rPr>
          <w:sz w:val="24"/>
          <w:szCs w:val="24"/>
        </w:rPr>
        <w:t>（</w:t>
      </w:r>
      <w:r w:rsidRPr="000549B1">
        <w:rPr>
          <w:sz w:val="24"/>
          <w:szCs w:val="24"/>
        </w:rPr>
        <w:t>2</w:t>
      </w:r>
      <w:r w:rsidRPr="000549B1">
        <w:rPr>
          <w:sz w:val="24"/>
          <w:szCs w:val="24"/>
        </w:rPr>
        <w:t>）两栖动物</w:t>
      </w:r>
    </w:p>
    <w:p w14:paraId="49771DDC" w14:textId="77777777" w:rsidR="00B81685" w:rsidRPr="000549B1" w:rsidRDefault="00B81685" w:rsidP="00B81685">
      <w:pPr>
        <w:spacing w:line="360" w:lineRule="auto"/>
        <w:ind w:firstLine="480"/>
        <w:rPr>
          <w:sz w:val="24"/>
          <w:szCs w:val="24"/>
        </w:rPr>
      </w:pPr>
      <w:r w:rsidRPr="000549B1">
        <w:rPr>
          <w:sz w:val="24"/>
          <w:szCs w:val="24"/>
        </w:rPr>
        <w:t>1</w:t>
      </w:r>
      <w:r w:rsidRPr="000549B1">
        <w:rPr>
          <w:sz w:val="24"/>
          <w:szCs w:val="24"/>
        </w:rPr>
        <w:t>）物种组成</w:t>
      </w:r>
    </w:p>
    <w:p w14:paraId="79C16240" w14:textId="77777777" w:rsidR="00B81685" w:rsidRPr="000549B1" w:rsidRDefault="00B81685" w:rsidP="00B81685">
      <w:pPr>
        <w:spacing w:line="360" w:lineRule="auto"/>
        <w:ind w:firstLine="480"/>
        <w:rPr>
          <w:sz w:val="24"/>
          <w:szCs w:val="24"/>
        </w:rPr>
      </w:pPr>
      <w:r w:rsidRPr="000549B1">
        <w:rPr>
          <w:sz w:val="24"/>
          <w:szCs w:val="24"/>
        </w:rPr>
        <w:t>根据现场调查结果，调查区记录到两栖动物有</w:t>
      </w:r>
      <w:r w:rsidRPr="000549B1">
        <w:rPr>
          <w:sz w:val="24"/>
          <w:szCs w:val="24"/>
        </w:rPr>
        <w:t>1</w:t>
      </w:r>
      <w:r w:rsidRPr="000549B1">
        <w:rPr>
          <w:sz w:val="24"/>
          <w:szCs w:val="24"/>
        </w:rPr>
        <w:t>目</w:t>
      </w:r>
      <w:r w:rsidRPr="000549B1">
        <w:rPr>
          <w:sz w:val="24"/>
          <w:szCs w:val="24"/>
        </w:rPr>
        <w:t>2</w:t>
      </w:r>
      <w:r w:rsidRPr="000549B1">
        <w:rPr>
          <w:sz w:val="24"/>
          <w:szCs w:val="24"/>
        </w:rPr>
        <w:t>科</w:t>
      </w:r>
      <w:r w:rsidRPr="000549B1">
        <w:rPr>
          <w:sz w:val="24"/>
          <w:szCs w:val="24"/>
        </w:rPr>
        <w:t>2</w:t>
      </w:r>
      <w:r w:rsidRPr="000549B1">
        <w:rPr>
          <w:sz w:val="24"/>
          <w:szCs w:val="24"/>
        </w:rPr>
        <w:t>种，分别为中国林蛙和花背蟾蜍，主要分布于流域范围内河道两侧的河漫滩草甸和湿地，在居民点附近的林地也有一定的分布。</w:t>
      </w:r>
    </w:p>
    <w:p w14:paraId="0AE32F95" w14:textId="77777777" w:rsidR="00B81685" w:rsidRPr="000549B1" w:rsidRDefault="00B81685" w:rsidP="00B81685">
      <w:pPr>
        <w:spacing w:line="360" w:lineRule="auto"/>
        <w:ind w:firstLine="480"/>
        <w:rPr>
          <w:sz w:val="24"/>
          <w:szCs w:val="24"/>
        </w:rPr>
      </w:pPr>
      <w:r w:rsidRPr="000549B1">
        <w:rPr>
          <w:sz w:val="24"/>
          <w:szCs w:val="24"/>
        </w:rPr>
        <w:t>2</w:t>
      </w:r>
      <w:r w:rsidRPr="000549B1">
        <w:rPr>
          <w:sz w:val="24"/>
          <w:szCs w:val="24"/>
        </w:rPr>
        <w:t>）生态类型</w:t>
      </w:r>
    </w:p>
    <w:p w14:paraId="48A52432" w14:textId="77777777" w:rsidR="00B81685" w:rsidRPr="000549B1" w:rsidRDefault="00B81685" w:rsidP="00B81685">
      <w:pPr>
        <w:spacing w:line="360" w:lineRule="auto"/>
        <w:ind w:firstLine="480"/>
        <w:rPr>
          <w:sz w:val="24"/>
          <w:szCs w:val="24"/>
        </w:rPr>
      </w:pPr>
      <w:r w:rsidRPr="000549B1">
        <w:rPr>
          <w:sz w:val="24"/>
          <w:szCs w:val="24"/>
        </w:rPr>
        <w:t>按照两栖类的生活习性，可将评价范围内的</w:t>
      </w:r>
      <w:r w:rsidRPr="000549B1">
        <w:rPr>
          <w:sz w:val="24"/>
          <w:szCs w:val="24"/>
        </w:rPr>
        <w:t>2</w:t>
      </w:r>
      <w:r w:rsidRPr="000549B1">
        <w:rPr>
          <w:sz w:val="24"/>
          <w:szCs w:val="24"/>
        </w:rPr>
        <w:t>种两栖类分为以下</w:t>
      </w:r>
      <w:r w:rsidRPr="000549B1">
        <w:rPr>
          <w:sz w:val="24"/>
          <w:szCs w:val="24"/>
        </w:rPr>
        <w:t>2</w:t>
      </w:r>
      <w:r w:rsidRPr="000549B1">
        <w:rPr>
          <w:sz w:val="24"/>
          <w:szCs w:val="24"/>
        </w:rPr>
        <w:t>种生态类型：</w:t>
      </w:r>
    </w:p>
    <w:p w14:paraId="026A6D6E" w14:textId="77777777" w:rsidR="00B81685" w:rsidRPr="000549B1" w:rsidRDefault="00B81685" w:rsidP="00B81685">
      <w:pPr>
        <w:spacing w:line="360" w:lineRule="auto"/>
        <w:ind w:firstLine="480"/>
        <w:rPr>
          <w:sz w:val="24"/>
          <w:szCs w:val="24"/>
        </w:rPr>
      </w:pPr>
      <w:r w:rsidRPr="000549B1">
        <w:rPr>
          <w:sz w:val="24"/>
          <w:szCs w:val="24"/>
        </w:rPr>
        <w:t>陆栖型：主要为花背蟾蜍，主要活动于阴湿的草丛中、土洞里以及砖石下等。</w:t>
      </w:r>
    </w:p>
    <w:p w14:paraId="47F4D194" w14:textId="77777777" w:rsidR="00B81685" w:rsidRPr="000549B1" w:rsidRDefault="00B81685" w:rsidP="00B81685">
      <w:pPr>
        <w:spacing w:line="360" w:lineRule="auto"/>
        <w:ind w:firstLine="480"/>
        <w:rPr>
          <w:sz w:val="24"/>
          <w:szCs w:val="24"/>
        </w:rPr>
      </w:pPr>
      <w:r w:rsidRPr="000549B1">
        <w:rPr>
          <w:sz w:val="24"/>
          <w:szCs w:val="24"/>
        </w:rPr>
        <w:t>水陆两栖型（在陆地上活动觅食）：主要为中国林蛙，</w:t>
      </w:r>
      <w:r w:rsidRPr="000549B1">
        <w:rPr>
          <w:rFonts w:hint="eastAsia"/>
          <w:sz w:val="24"/>
          <w:szCs w:val="24"/>
        </w:rPr>
        <w:t>主要</w:t>
      </w:r>
      <w:r w:rsidRPr="000549B1">
        <w:rPr>
          <w:sz w:val="24"/>
          <w:szCs w:val="24"/>
        </w:rPr>
        <w:t>是在评价范围内离水源不远的陆地上及河流内活动，与人类活动关系较密切。</w:t>
      </w:r>
    </w:p>
    <w:p w14:paraId="1618F296" w14:textId="77777777" w:rsidR="00B81685" w:rsidRPr="000549B1" w:rsidRDefault="00B81685" w:rsidP="00B81685">
      <w:pPr>
        <w:spacing w:line="360" w:lineRule="auto"/>
        <w:ind w:firstLine="480"/>
        <w:rPr>
          <w:sz w:val="24"/>
          <w:szCs w:val="24"/>
        </w:rPr>
      </w:pPr>
      <w:r w:rsidRPr="000549B1">
        <w:rPr>
          <w:sz w:val="24"/>
          <w:szCs w:val="24"/>
        </w:rPr>
        <w:t>3</w:t>
      </w:r>
      <w:r w:rsidRPr="000549B1">
        <w:rPr>
          <w:sz w:val="24"/>
          <w:szCs w:val="24"/>
        </w:rPr>
        <w:t>）区系特征</w:t>
      </w:r>
    </w:p>
    <w:p w14:paraId="561F2A79" w14:textId="77777777" w:rsidR="00B81685" w:rsidRPr="000549B1" w:rsidRDefault="00B81685" w:rsidP="00B81685">
      <w:pPr>
        <w:spacing w:line="360" w:lineRule="auto"/>
        <w:ind w:firstLine="480"/>
        <w:rPr>
          <w:sz w:val="24"/>
          <w:szCs w:val="24"/>
        </w:rPr>
      </w:pPr>
      <w:r w:rsidRPr="000549B1">
        <w:rPr>
          <w:sz w:val="24"/>
          <w:szCs w:val="24"/>
        </w:rPr>
        <w:t>两栖纲的种类由于受自身形态结构和生理条件的限制，在评价区内的种类较少，上述两栖动物均为古北界种类</w:t>
      </w:r>
    </w:p>
    <w:p w14:paraId="04AD56D3" w14:textId="77777777" w:rsidR="00B81685" w:rsidRPr="000549B1" w:rsidRDefault="00B81685" w:rsidP="00B81685">
      <w:pPr>
        <w:spacing w:line="360" w:lineRule="auto"/>
        <w:ind w:firstLine="480"/>
        <w:rPr>
          <w:sz w:val="24"/>
          <w:szCs w:val="24"/>
        </w:rPr>
      </w:pPr>
      <w:r w:rsidRPr="000549B1">
        <w:rPr>
          <w:sz w:val="24"/>
          <w:szCs w:val="24"/>
        </w:rPr>
        <w:t>（</w:t>
      </w:r>
      <w:r w:rsidRPr="000549B1">
        <w:rPr>
          <w:sz w:val="24"/>
          <w:szCs w:val="24"/>
        </w:rPr>
        <w:t>3</w:t>
      </w:r>
      <w:r w:rsidRPr="000549B1">
        <w:rPr>
          <w:sz w:val="24"/>
          <w:szCs w:val="24"/>
        </w:rPr>
        <w:t>）爬行动物</w:t>
      </w:r>
    </w:p>
    <w:p w14:paraId="08E8A197" w14:textId="77777777" w:rsidR="00B81685" w:rsidRPr="000549B1" w:rsidRDefault="00B81685" w:rsidP="00B81685">
      <w:pPr>
        <w:spacing w:line="360" w:lineRule="auto"/>
        <w:ind w:firstLine="480"/>
        <w:rPr>
          <w:sz w:val="24"/>
          <w:szCs w:val="24"/>
        </w:rPr>
      </w:pPr>
      <w:r w:rsidRPr="000549B1">
        <w:rPr>
          <w:sz w:val="24"/>
          <w:szCs w:val="24"/>
        </w:rPr>
        <w:t>1</w:t>
      </w:r>
      <w:r w:rsidRPr="000549B1">
        <w:rPr>
          <w:sz w:val="24"/>
          <w:szCs w:val="24"/>
        </w:rPr>
        <w:t>）物种组成</w:t>
      </w:r>
    </w:p>
    <w:p w14:paraId="5F8BD587" w14:textId="77777777" w:rsidR="00B81685" w:rsidRPr="000549B1" w:rsidRDefault="00B81685" w:rsidP="00B81685">
      <w:pPr>
        <w:spacing w:line="360" w:lineRule="auto"/>
        <w:ind w:firstLine="480"/>
        <w:rPr>
          <w:sz w:val="24"/>
          <w:szCs w:val="24"/>
        </w:rPr>
      </w:pPr>
      <w:r w:rsidRPr="000549B1">
        <w:rPr>
          <w:sz w:val="24"/>
          <w:szCs w:val="24"/>
        </w:rPr>
        <w:t>据现场调查结果，调查区记录到爬行动物有</w:t>
      </w:r>
      <w:r w:rsidRPr="000549B1">
        <w:rPr>
          <w:sz w:val="24"/>
          <w:szCs w:val="24"/>
        </w:rPr>
        <w:t>2</w:t>
      </w:r>
      <w:r w:rsidRPr="000549B1">
        <w:rPr>
          <w:sz w:val="24"/>
          <w:szCs w:val="24"/>
        </w:rPr>
        <w:t>目</w:t>
      </w:r>
      <w:r w:rsidRPr="000549B1">
        <w:rPr>
          <w:sz w:val="24"/>
          <w:szCs w:val="24"/>
        </w:rPr>
        <w:t>2</w:t>
      </w:r>
      <w:r w:rsidRPr="000549B1">
        <w:rPr>
          <w:sz w:val="24"/>
          <w:szCs w:val="24"/>
        </w:rPr>
        <w:t>科</w:t>
      </w:r>
      <w:r w:rsidRPr="000549B1">
        <w:rPr>
          <w:sz w:val="24"/>
          <w:szCs w:val="24"/>
        </w:rPr>
        <w:t>4</w:t>
      </w:r>
      <w:r w:rsidRPr="000549B1">
        <w:rPr>
          <w:sz w:val="24"/>
          <w:szCs w:val="24"/>
        </w:rPr>
        <w:t>种，分别为青海沙蜥、草原沙蜥、密点麻蜥、枕纹锦蛇，主要分布在沼泽湿地和较干旱的地域。其中青海沙蜥和密点麻蜥主要生活在切吉河下游沙化较严重的半荒漠地区，一般筑洞于较板结的沙砾地斜面、沙丘和土埂上，亦有在砾石下者。草原沙蜥主要分布于草地及农田区域，栖息于植被较稀、植株低矮、土壤疏松的草地、灌丛及农田附近，但很少到</w:t>
      </w:r>
      <w:r w:rsidRPr="000549B1">
        <w:rPr>
          <w:rFonts w:hint="eastAsia"/>
          <w:sz w:val="24"/>
          <w:szCs w:val="24"/>
        </w:rPr>
        <w:t>丘陵</w:t>
      </w:r>
      <w:r w:rsidRPr="000549B1">
        <w:rPr>
          <w:sz w:val="24"/>
          <w:szCs w:val="24"/>
        </w:rPr>
        <w:t>或山麓活动。枕纹锦蛇较少</w:t>
      </w:r>
      <w:r w:rsidRPr="000549B1">
        <w:rPr>
          <w:rFonts w:hint="eastAsia"/>
          <w:sz w:val="24"/>
          <w:szCs w:val="24"/>
        </w:rPr>
        <w:t>。</w:t>
      </w:r>
    </w:p>
    <w:p w14:paraId="128B7450" w14:textId="77777777" w:rsidR="00B81685" w:rsidRPr="000549B1" w:rsidRDefault="00B81685" w:rsidP="00B81685">
      <w:pPr>
        <w:spacing w:line="360" w:lineRule="auto"/>
        <w:ind w:firstLine="480"/>
        <w:rPr>
          <w:sz w:val="24"/>
          <w:szCs w:val="24"/>
        </w:rPr>
      </w:pPr>
      <w:r w:rsidRPr="000549B1">
        <w:rPr>
          <w:sz w:val="24"/>
          <w:szCs w:val="24"/>
        </w:rPr>
        <w:t>2</w:t>
      </w:r>
      <w:r w:rsidRPr="000549B1">
        <w:rPr>
          <w:sz w:val="24"/>
          <w:szCs w:val="24"/>
        </w:rPr>
        <w:t>）生态类型</w:t>
      </w:r>
    </w:p>
    <w:p w14:paraId="0AF9D37E" w14:textId="77777777" w:rsidR="00B81685" w:rsidRPr="000549B1" w:rsidRDefault="00B81685" w:rsidP="00B81685">
      <w:pPr>
        <w:spacing w:line="360" w:lineRule="auto"/>
        <w:ind w:firstLine="480"/>
        <w:rPr>
          <w:sz w:val="24"/>
          <w:szCs w:val="24"/>
        </w:rPr>
      </w:pPr>
      <w:r w:rsidRPr="000549B1">
        <w:rPr>
          <w:sz w:val="24"/>
          <w:szCs w:val="24"/>
        </w:rPr>
        <w:t>按照爬行动物的生活习性，可将评价范围内的</w:t>
      </w:r>
      <w:r w:rsidRPr="000549B1">
        <w:rPr>
          <w:sz w:val="24"/>
          <w:szCs w:val="24"/>
        </w:rPr>
        <w:t>4</w:t>
      </w:r>
      <w:r w:rsidRPr="000549B1">
        <w:rPr>
          <w:sz w:val="24"/>
          <w:szCs w:val="24"/>
        </w:rPr>
        <w:t>种爬行类分为以下</w:t>
      </w:r>
      <w:r w:rsidRPr="000549B1">
        <w:rPr>
          <w:sz w:val="24"/>
          <w:szCs w:val="24"/>
        </w:rPr>
        <w:t>2</w:t>
      </w:r>
      <w:r w:rsidRPr="000549B1">
        <w:rPr>
          <w:sz w:val="24"/>
          <w:szCs w:val="24"/>
        </w:rPr>
        <w:t>种生态类型：</w:t>
      </w:r>
    </w:p>
    <w:p w14:paraId="2D33459E" w14:textId="77777777" w:rsidR="00B81685" w:rsidRPr="000549B1" w:rsidRDefault="00B81685" w:rsidP="00B81685">
      <w:pPr>
        <w:spacing w:line="360" w:lineRule="auto"/>
        <w:ind w:firstLine="480"/>
        <w:rPr>
          <w:sz w:val="24"/>
          <w:szCs w:val="24"/>
        </w:rPr>
      </w:pPr>
      <w:r w:rsidRPr="000549B1">
        <w:rPr>
          <w:sz w:val="24"/>
          <w:szCs w:val="24"/>
        </w:rPr>
        <w:t>灌丛石隙型（经常活动在灌丛下面，路边石缝中）：包括青海沙蜥、草原沙蜥、密点麻蜥</w:t>
      </w:r>
      <w:r w:rsidRPr="000549B1">
        <w:rPr>
          <w:sz w:val="24"/>
          <w:szCs w:val="24"/>
        </w:rPr>
        <w:t>3</w:t>
      </w:r>
      <w:r w:rsidRPr="000549B1">
        <w:rPr>
          <w:sz w:val="24"/>
          <w:szCs w:val="24"/>
        </w:rPr>
        <w:t>种。主要活动于黄河两岸灌丛、草丛、乱石等生境。</w:t>
      </w:r>
    </w:p>
    <w:p w14:paraId="230284C2" w14:textId="77777777" w:rsidR="00B81685" w:rsidRPr="000549B1" w:rsidRDefault="00B81685" w:rsidP="00B81685">
      <w:pPr>
        <w:spacing w:line="360" w:lineRule="auto"/>
        <w:ind w:firstLine="480"/>
        <w:rPr>
          <w:sz w:val="24"/>
          <w:szCs w:val="24"/>
        </w:rPr>
      </w:pPr>
      <w:r w:rsidRPr="000549B1">
        <w:rPr>
          <w:sz w:val="24"/>
          <w:szCs w:val="24"/>
        </w:rPr>
        <w:t>林栖傍水型（在山谷间有溪流的山坡上活动）：包括枕纹锦蛇，主要活动于评价区河流及其周边植被相对丰富的区域，在河谷两侧灌丛、草丛、农田亦可见，但数量较少。</w:t>
      </w:r>
    </w:p>
    <w:p w14:paraId="32ABCF75" w14:textId="77777777" w:rsidR="00B81685" w:rsidRPr="000549B1" w:rsidRDefault="00B81685" w:rsidP="00B81685">
      <w:pPr>
        <w:spacing w:line="360" w:lineRule="auto"/>
        <w:ind w:firstLine="480"/>
        <w:rPr>
          <w:sz w:val="24"/>
          <w:szCs w:val="24"/>
        </w:rPr>
      </w:pPr>
      <w:r w:rsidRPr="000549B1">
        <w:rPr>
          <w:sz w:val="24"/>
          <w:szCs w:val="24"/>
        </w:rPr>
        <w:t>3</w:t>
      </w:r>
      <w:r w:rsidRPr="000549B1">
        <w:rPr>
          <w:sz w:val="24"/>
          <w:szCs w:val="24"/>
        </w:rPr>
        <w:t>）区系特征</w:t>
      </w:r>
    </w:p>
    <w:p w14:paraId="04429233" w14:textId="77777777" w:rsidR="00B81685" w:rsidRPr="000549B1" w:rsidRDefault="00B81685" w:rsidP="00B81685">
      <w:pPr>
        <w:spacing w:line="360" w:lineRule="auto"/>
        <w:ind w:firstLine="480"/>
        <w:rPr>
          <w:sz w:val="24"/>
          <w:szCs w:val="24"/>
        </w:rPr>
      </w:pPr>
      <w:r w:rsidRPr="000549B1">
        <w:rPr>
          <w:sz w:val="24"/>
          <w:szCs w:val="24"/>
        </w:rPr>
        <w:t>4</w:t>
      </w:r>
      <w:r w:rsidRPr="000549B1">
        <w:rPr>
          <w:sz w:val="24"/>
          <w:szCs w:val="24"/>
        </w:rPr>
        <w:t>种爬行动物中，属古北界的</w:t>
      </w:r>
      <w:r w:rsidRPr="000549B1">
        <w:rPr>
          <w:sz w:val="24"/>
          <w:szCs w:val="24"/>
        </w:rPr>
        <w:t>3</w:t>
      </w:r>
      <w:r w:rsidRPr="000549B1">
        <w:rPr>
          <w:sz w:val="24"/>
          <w:szCs w:val="24"/>
        </w:rPr>
        <w:t>种，占</w:t>
      </w:r>
      <w:r w:rsidRPr="000549B1">
        <w:rPr>
          <w:sz w:val="24"/>
          <w:szCs w:val="24"/>
        </w:rPr>
        <w:t>75%</w:t>
      </w:r>
      <w:r w:rsidRPr="000549B1">
        <w:rPr>
          <w:sz w:val="24"/>
          <w:szCs w:val="24"/>
        </w:rPr>
        <w:t>，包括青海沙蜥、草原沙蜥、密点麻蜥；广布种</w:t>
      </w:r>
      <w:r w:rsidRPr="000549B1">
        <w:rPr>
          <w:sz w:val="24"/>
          <w:szCs w:val="24"/>
        </w:rPr>
        <w:t>1</w:t>
      </w:r>
      <w:r w:rsidRPr="000549B1">
        <w:rPr>
          <w:sz w:val="24"/>
          <w:szCs w:val="24"/>
        </w:rPr>
        <w:t>种，占</w:t>
      </w:r>
      <w:r w:rsidRPr="000549B1">
        <w:rPr>
          <w:sz w:val="24"/>
          <w:szCs w:val="24"/>
        </w:rPr>
        <w:t>25%</w:t>
      </w:r>
      <w:r w:rsidRPr="000549B1">
        <w:rPr>
          <w:sz w:val="24"/>
          <w:szCs w:val="24"/>
        </w:rPr>
        <w:t>，包括枕纹锦蛇。按爬行动物种的分布比例，古北界华北区的种类占优势</w:t>
      </w:r>
    </w:p>
    <w:p w14:paraId="08EF6813" w14:textId="77777777" w:rsidR="00B81685" w:rsidRPr="000549B1" w:rsidRDefault="00B81685" w:rsidP="00B81685">
      <w:pPr>
        <w:spacing w:line="360" w:lineRule="auto"/>
        <w:ind w:firstLine="480"/>
        <w:rPr>
          <w:sz w:val="24"/>
          <w:szCs w:val="24"/>
        </w:rPr>
      </w:pPr>
      <w:r w:rsidRPr="000549B1">
        <w:rPr>
          <w:sz w:val="24"/>
          <w:szCs w:val="24"/>
        </w:rPr>
        <w:t>（</w:t>
      </w:r>
      <w:r w:rsidRPr="000549B1">
        <w:rPr>
          <w:sz w:val="24"/>
          <w:szCs w:val="24"/>
        </w:rPr>
        <w:t>4</w:t>
      </w:r>
      <w:r w:rsidRPr="000549B1">
        <w:rPr>
          <w:sz w:val="24"/>
          <w:szCs w:val="24"/>
        </w:rPr>
        <w:t>）鸟类</w:t>
      </w:r>
    </w:p>
    <w:p w14:paraId="6378678F" w14:textId="77777777" w:rsidR="00B81685" w:rsidRPr="000549B1" w:rsidRDefault="00B81685" w:rsidP="00B81685">
      <w:pPr>
        <w:spacing w:line="360" w:lineRule="auto"/>
        <w:ind w:firstLine="480"/>
        <w:rPr>
          <w:sz w:val="24"/>
          <w:szCs w:val="24"/>
        </w:rPr>
      </w:pPr>
      <w:r w:rsidRPr="000549B1">
        <w:rPr>
          <w:sz w:val="24"/>
          <w:szCs w:val="24"/>
        </w:rPr>
        <w:t>1</w:t>
      </w:r>
      <w:r w:rsidRPr="000549B1">
        <w:rPr>
          <w:sz w:val="24"/>
          <w:szCs w:val="24"/>
        </w:rPr>
        <w:t>）种类组成</w:t>
      </w:r>
    </w:p>
    <w:p w14:paraId="1D29BDCE" w14:textId="77777777" w:rsidR="00B81685" w:rsidRPr="000549B1" w:rsidRDefault="00B81685" w:rsidP="00B81685">
      <w:pPr>
        <w:spacing w:line="360" w:lineRule="auto"/>
        <w:ind w:firstLine="480"/>
        <w:rPr>
          <w:sz w:val="24"/>
          <w:szCs w:val="24"/>
        </w:rPr>
      </w:pPr>
      <w:r w:rsidRPr="000549B1">
        <w:rPr>
          <w:sz w:val="24"/>
          <w:szCs w:val="24"/>
        </w:rPr>
        <w:t>评价区鸟类资源比较丰富，共</w:t>
      </w:r>
      <w:r w:rsidRPr="000549B1">
        <w:rPr>
          <w:sz w:val="24"/>
          <w:szCs w:val="24"/>
        </w:rPr>
        <w:t>12</w:t>
      </w:r>
      <w:r w:rsidRPr="000549B1">
        <w:rPr>
          <w:sz w:val="24"/>
          <w:szCs w:val="24"/>
        </w:rPr>
        <w:t>目</w:t>
      </w:r>
      <w:r w:rsidRPr="000549B1">
        <w:rPr>
          <w:sz w:val="24"/>
          <w:szCs w:val="24"/>
        </w:rPr>
        <w:t>32</w:t>
      </w:r>
      <w:r w:rsidRPr="000549B1">
        <w:rPr>
          <w:sz w:val="24"/>
          <w:szCs w:val="24"/>
        </w:rPr>
        <w:t>科</w:t>
      </w:r>
      <w:r w:rsidRPr="000549B1">
        <w:rPr>
          <w:sz w:val="24"/>
          <w:szCs w:val="24"/>
        </w:rPr>
        <w:t>117</w:t>
      </w:r>
      <w:r w:rsidRPr="000549B1">
        <w:rPr>
          <w:sz w:val="24"/>
          <w:szCs w:val="24"/>
        </w:rPr>
        <w:t>种，主要有雀鹰、猎隼、高原山鹑、长嘴百灵、小沙百灵、小云雀、喜鹊等。其中雀鹰、猎隼等猛禽多分布于山区，筑巢于悬崖或人类活动的山地，长嘴百灵、小沙百灵、小云雀、喜鹊等小型鸟类多分布于切吉河下游区居民点附近的林地及农田中，分布较广。</w:t>
      </w:r>
    </w:p>
    <w:p w14:paraId="65634E0B" w14:textId="77777777" w:rsidR="00B81685" w:rsidRPr="000549B1" w:rsidRDefault="00B81685" w:rsidP="00B81685">
      <w:pPr>
        <w:spacing w:line="360" w:lineRule="auto"/>
        <w:ind w:firstLine="480"/>
        <w:rPr>
          <w:sz w:val="24"/>
          <w:szCs w:val="24"/>
        </w:rPr>
      </w:pPr>
      <w:r w:rsidRPr="000549B1">
        <w:rPr>
          <w:sz w:val="24"/>
          <w:szCs w:val="24"/>
        </w:rPr>
        <w:t>详见附件</w:t>
      </w:r>
      <w:r w:rsidRPr="000549B1">
        <w:rPr>
          <w:sz w:val="24"/>
          <w:szCs w:val="24"/>
        </w:rPr>
        <w:t>2</w:t>
      </w:r>
      <w:r w:rsidRPr="000549B1">
        <w:rPr>
          <w:sz w:val="24"/>
          <w:szCs w:val="24"/>
        </w:rPr>
        <w:t>评价区野生动物名录。</w:t>
      </w:r>
    </w:p>
    <w:p w14:paraId="2DB5DD68" w14:textId="77777777" w:rsidR="00B81685" w:rsidRPr="000549B1" w:rsidRDefault="00B81685" w:rsidP="00B81685">
      <w:pPr>
        <w:spacing w:line="360" w:lineRule="auto"/>
        <w:ind w:firstLine="480"/>
        <w:rPr>
          <w:sz w:val="24"/>
          <w:szCs w:val="24"/>
        </w:rPr>
      </w:pPr>
      <w:r w:rsidRPr="000549B1">
        <w:rPr>
          <w:sz w:val="24"/>
          <w:szCs w:val="24"/>
        </w:rPr>
        <w:t>2</w:t>
      </w:r>
      <w:r w:rsidRPr="000549B1">
        <w:rPr>
          <w:sz w:val="24"/>
          <w:szCs w:val="24"/>
        </w:rPr>
        <w:t>）区系分布</w:t>
      </w:r>
    </w:p>
    <w:p w14:paraId="34FB975A" w14:textId="77777777" w:rsidR="00B81685" w:rsidRPr="000549B1" w:rsidRDefault="00B81685" w:rsidP="00B81685">
      <w:pPr>
        <w:spacing w:line="360" w:lineRule="auto"/>
        <w:ind w:firstLine="480"/>
        <w:rPr>
          <w:sz w:val="24"/>
          <w:szCs w:val="24"/>
        </w:rPr>
      </w:pPr>
      <w:r w:rsidRPr="000549B1">
        <w:rPr>
          <w:sz w:val="24"/>
          <w:szCs w:val="24"/>
        </w:rPr>
        <w:t>根据鸟类名录，结合鸟类分布区系特征（青海全域属古北界</w:t>
      </w:r>
      <w:r w:rsidRPr="000549B1">
        <w:rPr>
          <w:sz w:val="24"/>
          <w:szCs w:val="24"/>
        </w:rPr>
        <w:t>-</w:t>
      </w:r>
      <w:r w:rsidRPr="000549B1">
        <w:rPr>
          <w:sz w:val="24"/>
          <w:szCs w:val="24"/>
        </w:rPr>
        <w:t>青藏高原亚区），评价区</w:t>
      </w:r>
      <w:r w:rsidRPr="000549B1">
        <w:rPr>
          <w:sz w:val="24"/>
          <w:szCs w:val="24"/>
        </w:rPr>
        <w:t>110</w:t>
      </w:r>
      <w:r w:rsidRPr="000549B1">
        <w:rPr>
          <w:sz w:val="24"/>
          <w:szCs w:val="24"/>
        </w:rPr>
        <w:t>种鸟类分为古北界种和广布种两类，其中古北界有</w:t>
      </w:r>
      <w:r w:rsidRPr="000549B1">
        <w:rPr>
          <w:sz w:val="24"/>
          <w:szCs w:val="24"/>
        </w:rPr>
        <w:t>83</w:t>
      </w:r>
      <w:r w:rsidRPr="000549B1">
        <w:rPr>
          <w:sz w:val="24"/>
          <w:szCs w:val="24"/>
        </w:rPr>
        <w:t>种，占比</w:t>
      </w:r>
      <w:r w:rsidRPr="000549B1">
        <w:rPr>
          <w:sz w:val="24"/>
          <w:szCs w:val="24"/>
        </w:rPr>
        <w:t>75.45%</w:t>
      </w:r>
      <w:r w:rsidRPr="000549B1">
        <w:rPr>
          <w:sz w:val="24"/>
          <w:szCs w:val="24"/>
        </w:rPr>
        <w:t>；广布种</w:t>
      </w:r>
      <w:r w:rsidRPr="000549B1">
        <w:rPr>
          <w:sz w:val="24"/>
          <w:szCs w:val="24"/>
        </w:rPr>
        <w:t>27</w:t>
      </w:r>
      <w:r w:rsidRPr="000549B1">
        <w:rPr>
          <w:rFonts w:hint="eastAsia"/>
          <w:sz w:val="24"/>
          <w:szCs w:val="24"/>
        </w:rPr>
        <w:t>种</w:t>
      </w:r>
      <w:r w:rsidRPr="000549B1">
        <w:rPr>
          <w:sz w:val="24"/>
          <w:szCs w:val="24"/>
        </w:rPr>
        <w:t>，占比</w:t>
      </w:r>
      <w:r w:rsidRPr="000549B1">
        <w:rPr>
          <w:sz w:val="24"/>
          <w:szCs w:val="24"/>
        </w:rPr>
        <w:t>24.55%</w:t>
      </w:r>
      <w:r w:rsidRPr="000549B1">
        <w:rPr>
          <w:rFonts w:hint="eastAsia"/>
          <w:sz w:val="24"/>
          <w:szCs w:val="24"/>
        </w:rPr>
        <w:t>。</w:t>
      </w:r>
    </w:p>
    <w:p w14:paraId="32EA36DB" w14:textId="77777777" w:rsidR="00B81685" w:rsidRPr="000549B1" w:rsidRDefault="00B81685" w:rsidP="00B81685">
      <w:pPr>
        <w:spacing w:line="360" w:lineRule="auto"/>
        <w:ind w:firstLine="480"/>
        <w:rPr>
          <w:sz w:val="24"/>
          <w:szCs w:val="24"/>
        </w:rPr>
      </w:pPr>
      <w:r w:rsidRPr="000549B1">
        <w:rPr>
          <w:sz w:val="24"/>
          <w:szCs w:val="24"/>
        </w:rPr>
        <w:t>3</w:t>
      </w:r>
      <w:r w:rsidRPr="000549B1">
        <w:rPr>
          <w:sz w:val="24"/>
          <w:szCs w:val="24"/>
        </w:rPr>
        <w:t>）居留型</w:t>
      </w:r>
    </w:p>
    <w:p w14:paraId="5E473D42" w14:textId="77777777" w:rsidR="00B81685" w:rsidRPr="000549B1" w:rsidRDefault="00B81685" w:rsidP="00B81685">
      <w:pPr>
        <w:spacing w:line="360" w:lineRule="auto"/>
        <w:ind w:firstLine="480"/>
        <w:rPr>
          <w:sz w:val="24"/>
          <w:szCs w:val="24"/>
        </w:rPr>
      </w:pPr>
      <w:r w:rsidRPr="000549B1">
        <w:rPr>
          <w:sz w:val="24"/>
          <w:szCs w:val="24"/>
        </w:rPr>
        <w:t>在居留型方面，依据迁徙与否及迁徙季节将记录到的鸟类划分为留鸟、夏候鸟、冬候鸟与旅鸟。在评价区统计的</w:t>
      </w:r>
      <w:r w:rsidRPr="000549B1">
        <w:rPr>
          <w:sz w:val="24"/>
          <w:szCs w:val="24"/>
        </w:rPr>
        <w:t>110</w:t>
      </w:r>
      <w:r w:rsidRPr="000549B1">
        <w:rPr>
          <w:sz w:val="24"/>
          <w:szCs w:val="24"/>
        </w:rPr>
        <w:t>种鸟类中，留鸟种类最多，有</w:t>
      </w:r>
      <w:r w:rsidRPr="000549B1">
        <w:rPr>
          <w:sz w:val="24"/>
          <w:szCs w:val="24"/>
        </w:rPr>
        <w:t>52</w:t>
      </w:r>
      <w:r w:rsidRPr="000549B1">
        <w:rPr>
          <w:sz w:val="24"/>
          <w:szCs w:val="24"/>
        </w:rPr>
        <w:t>种，占总种数的</w:t>
      </w:r>
      <w:r w:rsidRPr="000549B1">
        <w:rPr>
          <w:sz w:val="24"/>
          <w:szCs w:val="24"/>
        </w:rPr>
        <w:t>47.27%</w:t>
      </w:r>
      <w:r w:rsidRPr="000549B1">
        <w:rPr>
          <w:sz w:val="24"/>
          <w:szCs w:val="24"/>
        </w:rPr>
        <w:t>；夏候鸟次之，有</w:t>
      </w:r>
      <w:r w:rsidRPr="000549B1">
        <w:rPr>
          <w:sz w:val="24"/>
          <w:szCs w:val="24"/>
        </w:rPr>
        <w:t>35</w:t>
      </w:r>
      <w:r w:rsidRPr="000549B1">
        <w:rPr>
          <w:sz w:val="24"/>
          <w:szCs w:val="24"/>
        </w:rPr>
        <w:t>种，占</w:t>
      </w:r>
      <w:r w:rsidRPr="000549B1">
        <w:rPr>
          <w:sz w:val="24"/>
          <w:szCs w:val="24"/>
        </w:rPr>
        <w:t>31.82%</w:t>
      </w:r>
      <w:r w:rsidRPr="000549B1">
        <w:rPr>
          <w:sz w:val="24"/>
          <w:szCs w:val="24"/>
        </w:rPr>
        <w:t>；冬候鸟再次，有</w:t>
      </w:r>
      <w:r w:rsidRPr="000549B1">
        <w:rPr>
          <w:sz w:val="24"/>
          <w:szCs w:val="24"/>
        </w:rPr>
        <w:t>16</w:t>
      </w:r>
      <w:r w:rsidRPr="000549B1">
        <w:rPr>
          <w:sz w:val="24"/>
          <w:szCs w:val="24"/>
        </w:rPr>
        <w:t>种，占</w:t>
      </w:r>
      <w:r w:rsidRPr="000549B1">
        <w:rPr>
          <w:sz w:val="24"/>
          <w:szCs w:val="24"/>
        </w:rPr>
        <w:t>14.55%</w:t>
      </w:r>
      <w:r w:rsidRPr="000549B1">
        <w:rPr>
          <w:sz w:val="24"/>
          <w:szCs w:val="24"/>
        </w:rPr>
        <w:t>；旅鸟最少，仅</w:t>
      </w:r>
      <w:r w:rsidRPr="000549B1">
        <w:rPr>
          <w:sz w:val="24"/>
          <w:szCs w:val="24"/>
        </w:rPr>
        <w:t>7</w:t>
      </w:r>
      <w:r w:rsidRPr="000549B1">
        <w:rPr>
          <w:sz w:val="24"/>
          <w:szCs w:val="24"/>
        </w:rPr>
        <w:t>种，占</w:t>
      </w:r>
      <w:r w:rsidRPr="000549B1">
        <w:rPr>
          <w:sz w:val="24"/>
          <w:szCs w:val="24"/>
        </w:rPr>
        <w:t>6.36%</w:t>
      </w:r>
      <w:r w:rsidRPr="000549B1">
        <w:rPr>
          <w:sz w:val="24"/>
          <w:szCs w:val="24"/>
        </w:rPr>
        <w:t>。由于鸟类迁徙习性的差异，不同时期鸟类居留型组成也会出现较大变化。</w:t>
      </w:r>
    </w:p>
    <w:p w14:paraId="6E05F4AD" w14:textId="77777777" w:rsidR="00B81685" w:rsidRPr="000549B1" w:rsidRDefault="00B81685" w:rsidP="00B81685">
      <w:pPr>
        <w:spacing w:line="360" w:lineRule="auto"/>
        <w:ind w:firstLine="480"/>
        <w:rPr>
          <w:sz w:val="24"/>
          <w:szCs w:val="24"/>
        </w:rPr>
      </w:pPr>
      <w:r w:rsidRPr="000549B1">
        <w:rPr>
          <w:sz w:val="24"/>
          <w:szCs w:val="24"/>
        </w:rPr>
        <w:t>4</w:t>
      </w:r>
      <w:r w:rsidRPr="000549B1">
        <w:rPr>
          <w:sz w:val="24"/>
          <w:szCs w:val="24"/>
        </w:rPr>
        <w:t>）生态型</w:t>
      </w:r>
    </w:p>
    <w:p w14:paraId="758879AB" w14:textId="77777777" w:rsidR="00B81685" w:rsidRPr="000549B1" w:rsidRDefault="00B81685" w:rsidP="00B81685">
      <w:pPr>
        <w:spacing w:line="360" w:lineRule="auto"/>
        <w:ind w:firstLine="480"/>
        <w:rPr>
          <w:sz w:val="24"/>
          <w:szCs w:val="24"/>
        </w:rPr>
      </w:pPr>
      <w:r w:rsidRPr="000549B1">
        <w:rPr>
          <w:sz w:val="24"/>
          <w:szCs w:val="24"/>
        </w:rPr>
        <w:t>依据鸟类栖息地偏好、生活方式及结构特征的差异，评价区的鸟类大致分为</w:t>
      </w:r>
      <w:r w:rsidRPr="000549B1">
        <w:rPr>
          <w:sz w:val="24"/>
          <w:szCs w:val="24"/>
        </w:rPr>
        <w:t>6</w:t>
      </w:r>
      <w:r w:rsidRPr="000549B1">
        <w:rPr>
          <w:sz w:val="24"/>
          <w:szCs w:val="24"/>
        </w:rPr>
        <w:t>个生态类群：猛禽、攀禽、陆禽、鸣禽、游禽与涉禽。</w:t>
      </w:r>
    </w:p>
    <w:p w14:paraId="0FB099D3" w14:textId="77777777" w:rsidR="00B81685" w:rsidRPr="000549B1" w:rsidRDefault="00B81685" w:rsidP="00B81685">
      <w:pPr>
        <w:spacing w:line="360" w:lineRule="auto"/>
        <w:ind w:firstLine="480"/>
        <w:rPr>
          <w:sz w:val="24"/>
          <w:szCs w:val="24"/>
        </w:rPr>
      </w:pPr>
      <w:r w:rsidRPr="000549B1">
        <w:rPr>
          <w:sz w:val="24"/>
          <w:szCs w:val="24"/>
        </w:rPr>
        <w:t>评价区的鸟类中，鸣禽占主要地位，共记录到</w:t>
      </w:r>
      <w:r w:rsidRPr="000549B1">
        <w:rPr>
          <w:sz w:val="24"/>
          <w:szCs w:val="24"/>
        </w:rPr>
        <w:t>75</w:t>
      </w:r>
      <w:r w:rsidRPr="000549B1">
        <w:rPr>
          <w:sz w:val="24"/>
          <w:szCs w:val="24"/>
        </w:rPr>
        <w:t>种，占总种数的</w:t>
      </w:r>
      <w:r w:rsidRPr="000549B1">
        <w:rPr>
          <w:sz w:val="24"/>
          <w:szCs w:val="24"/>
        </w:rPr>
        <w:t>68.18%</w:t>
      </w:r>
      <w:r w:rsidRPr="000549B1">
        <w:rPr>
          <w:sz w:val="24"/>
          <w:szCs w:val="24"/>
        </w:rPr>
        <w:t>，雀形目鸟类，为绝对优势类群，涵盖多种适应高原生境的物种。主要包括百灵科：长嘴百灵、小云雀；鹟科：赭红尾鸲、黑喉红尾鸲；雀科：藏雪雀、棕背雪雀；燕雀科：拟大朱雀、红胸朱雀；鹡鸰科：黄头鹡鸰、白鹡鸰等。该类群善于鸣叫，体型普遍偏小或中等，常穿梭觅食于城镇居民区，是评价区最为常见的鸟类类群。</w:t>
      </w:r>
    </w:p>
    <w:p w14:paraId="0509DB25" w14:textId="77777777" w:rsidR="00B81685" w:rsidRPr="000549B1" w:rsidRDefault="00B81685" w:rsidP="00B81685">
      <w:pPr>
        <w:spacing w:line="360" w:lineRule="auto"/>
        <w:ind w:firstLine="480"/>
        <w:rPr>
          <w:sz w:val="24"/>
          <w:szCs w:val="24"/>
        </w:rPr>
      </w:pPr>
      <w:r w:rsidRPr="000549B1">
        <w:rPr>
          <w:sz w:val="24"/>
          <w:szCs w:val="24"/>
        </w:rPr>
        <w:t>其次为涉禽，共记录到</w:t>
      </w:r>
      <w:r w:rsidRPr="000549B1">
        <w:rPr>
          <w:sz w:val="24"/>
          <w:szCs w:val="24"/>
        </w:rPr>
        <w:t>11</w:t>
      </w:r>
      <w:r w:rsidRPr="000549B1">
        <w:rPr>
          <w:sz w:val="24"/>
          <w:szCs w:val="24"/>
        </w:rPr>
        <w:t>种，占</w:t>
      </w:r>
      <w:r w:rsidRPr="000549B1">
        <w:rPr>
          <w:sz w:val="24"/>
          <w:szCs w:val="24"/>
        </w:rPr>
        <w:t>10.0%</w:t>
      </w:r>
      <w:r w:rsidRPr="000549B1">
        <w:rPr>
          <w:sz w:val="24"/>
          <w:szCs w:val="24"/>
        </w:rPr>
        <w:t>，主要包括鸻科、鹬科、鹤科、反嘴鹬科，多栖息于高原湖泊、湿地：鸻科：金眶鸻、环颈鸻；鹬科：红脚鹬、白腰草鹬、孤沙锥；反嘴鹬科：鹮嘴鹬。它们通常在浅水域活动，足细长、喙长善涉水觅食。</w:t>
      </w:r>
    </w:p>
    <w:p w14:paraId="6628C35A" w14:textId="77777777" w:rsidR="00B81685" w:rsidRPr="000549B1" w:rsidRDefault="00B81685" w:rsidP="00B81685">
      <w:pPr>
        <w:spacing w:line="360" w:lineRule="auto"/>
        <w:ind w:firstLine="480"/>
        <w:rPr>
          <w:sz w:val="24"/>
          <w:szCs w:val="24"/>
        </w:rPr>
      </w:pPr>
      <w:r w:rsidRPr="000549B1">
        <w:rPr>
          <w:sz w:val="24"/>
          <w:szCs w:val="24"/>
        </w:rPr>
        <w:t>陆禽共记录到</w:t>
      </w:r>
      <w:r w:rsidRPr="000549B1">
        <w:rPr>
          <w:sz w:val="24"/>
          <w:szCs w:val="24"/>
        </w:rPr>
        <w:t>8</w:t>
      </w:r>
      <w:r w:rsidRPr="000549B1">
        <w:rPr>
          <w:sz w:val="24"/>
          <w:szCs w:val="24"/>
        </w:rPr>
        <w:t>种，占</w:t>
      </w:r>
      <w:r w:rsidRPr="000549B1">
        <w:rPr>
          <w:sz w:val="24"/>
          <w:szCs w:val="24"/>
        </w:rPr>
        <w:t>7.27%</w:t>
      </w:r>
      <w:r w:rsidRPr="000549B1">
        <w:rPr>
          <w:sz w:val="24"/>
          <w:szCs w:val="24"/>
        </w:rPr>
        <w:t>，主要包括雉科、松鸡科、鸠鸽科等，常见种类包括</w:t>
      </w:r>
      <w:bookmarkStart w:id="266" w:name="OLE_LINK9"/>
      <w:r w:rsidRPr="000549B1">
        <w:rPr>
          <w:sz w:val="24"/>
          <w:szCs w:val="24"/>
        </w:rPr>
        <w:t>雪鸽</w:t>
      </w:r>
      <w:bookmarkEnd w:id="266"/>
      <w:r w:rsidRPr="000549B1">
        <w:rPr>
          <w:sz w:val="24"/>
          <w:szCs w:val="24"/>
        </w:rPr>
        <w:t>、岩鸽、火斑鸠。等，该类群往往体格健壮，腿及爪粗壮有力，不擅长于远距离飞行，喙部较短且坚硬，适于在地面或低矮灌丛上寻找植物叶片、果实及种子等为食，通常在地面筑巢。</w:t>
      </w:r>
    </w:p>
    <w:p w14:paraId="44DB3447" w14:textId="77777777" w:rsidR="00B81685" w:rsidRPr="000549B1" w:rsidRDefault="00B81685" w:rsidP="00B81685">
      <w:pPr>
        <w:spacing w:line="360" w:lineRule="auto"/>
        <w:ind w:firstLine="480"/>
        <w:rPr>
          <w:sz w:val="24"/>
          <w:szCs w:val="24"/>
        </w:rPr>
      </w:pPr>
      <w:r w:rsidRPr="000549B1">
        <w:rPr>
          <w:sz w:val="24"/>
          <w:szCs w:val="24"/>
        </w:rPr>
        <w:t>攀禽共记录到</w:t>
      </w:r>
      <w:r w:rsidRPr="000549B1">
        <w:rPr>
          <w:sz w:val="24"/>
          <w:szCs w:val="24"/>
        </w:rPr>
        <w:t>6</w:t>
      </w:r>
      <w:r w:rsidRPr="000549B1">
        <w:rPr>
          <w:sz w:val="24"/>
          <w:szCs w:val="24"/>
        </w:rPr>
        <w:t>种，占</w:t>
      </w:r>
      <w:r w:rsidRPr="000549B1">
        <w:rPr>
          <w:sz w:val="24"/>
          <w:szCs w:val="24"/>
        </w:rPr>
        <w:t>5.45%</w:t>
      </w:r>
      <w:r w:rsidRPr="000549B1">
        <w:rPr>
          <w:sz w:val="24"/>
          <w:szCs w:val="24"/>
        </w:rPr>
        <w:t>，主要包括啄木鸟科、戴胜科、杜鹃科等，常见种类包括中杜鹃、戴胜、蚁䴕、黑啄木鸟、大斑啄木鸟、白脸鳾、黑头鳾、旋木雀等，这些鸟类脚部构造较为独特，擅攀爬，多依赖树木或岩石生境。</w:t>
      </w:r>
    </w:p>
    <w:p w14:paraId="287166CE" w14:textId="77777777" w:rsidR="00B81685" w:rsidRPr="000549B1" w:rsidRDefault="00B81685" w:rsidP="00B81685">
      <w:pPr>
        <w:spacing w:line="360" w:lineRule="auto"/>
        <w:ind w:firstLine="480"/>
        <w:rPr>
          <w:sz w:val="24"/>
          <w:szCs w:val="24"/>
        </w:rPr>
      </w:pPr>
      <w:r w:rsidRPr="000549B1">
        <w:rPr>
          <w:sz w:val="24"/>
          <w:szCs w:val="24"/>
        </w:rPr>
        <w:t>猛禽共记录到</w:t>
      </w:r>
      <w:r w:rsidRPr="000549B1">
        <w:rPr>
          <w:sz w:val="24"/>
          <w:szCs w:val="24"/>
        </w:rPr>
        <w:t>5</w:t>
      </w:r>
      <w:r w:rsidRPr="000549B1">
        <w:rPr>
          <w:sz w:val="24"/>
          <w:szCs w:val="24"/>
        </w:rPr>
        <w:t>种，占</w:t>
      </w:r>
      <w:r w:rsidRPr="000549B1">
        <w:rPr>
          <w:sz w:val="24"/>
          <w:szCs w:val="24"/>
        </w:rPr>
        <w:t>4.55%</w:t>
      </w:r>
      <w:r w:rsidRPr="000549B1">
        <w:rPr>
          <w:sz w:val="24"/>
          <w:szCs w:val="24"/>
        </w:rPr>
        <w:t>，主要包括鹰科、隼科和鸱鸮科，常见种类鹰科：雀鹰、红隼、燕隼、猎隼、雕鸮，性格凶猛，捕食能力强，多单独或成对盘旋在湿地或耕地上空，或视野开阔的位置上。</w:t>
      </w:r>
    </w:p>
    <w:p w14:paraId="5BFC1AE9" w14:textId="3BE0EE64" w:rsidR="00054437" w:rsidRPr="000549B1" w:rsidRDefault="00B81685" w:rsidP="00B81685">
      <w:pPr>
        <w:spacing w:line="360" w:lineRule="auto"/>
        <w:ind w:firstLine="480"/>
        <w:rPr>
          <w:iCs/>
          <w:sz w:val="24"/>
          <w:szCs w:val="24"/>
        </w:rPr>
      </w:pPr>
      <w:r w:rsidRPr="000549B1">
        <w:rPr>
          <w:sz w:val="24"/>
          <w:szCs w:val="24"/>
        </w:rPr>
        <w:t>游禽共记录到</w:t>
      </w:r>
      <w:r w:rsidRPr="000549B1">
        <w:rPr>
          <w:sz w:val="24"/>
          <w:szCs w:val="24"/>
        </w:rPr>
        <w:t>5</w:t>
      </w:r>
      <w:r w:rsidRPr="000549B1">
        <w:rPr>
          <w:sz w:val="24"/>
          <w:szCs w:val="24"/>
        </w:rPr>
        <w:t>种，占</w:t>
      </w:r>
      <w:r w:rsidRPr="000549B1">
        <w:rPr>
          <w:sz w:val="24"/>
          <w:szCs w:val="24"/>
        </w:rPr>
        <w:t>4.55%</w:t>
      </w:r>
      <w:r w:rsidRPr="000549B1">
        <w:rPr>
          <w:sz w:val="24"/>
          <w:szCs w:val="24"/>
        </w:rPr>
        <w:t>，主要包括鸭科、鸥科等，常见种类包括赤麻鸭、斑嘴鸭、鹊鸭、普通秋沙鸭、普通燕鸥等，是评价区内的优势物种，它们往往生活在开阔水域中，善于游泳，以水生动、植物为食</w:t>
      </w:r>
      <w:r w:rsidRPr="000549B1">
        <w:rPr>
          <w:iCs/>
          <w:sz w:val="24"/>
          <w:szCs w:val="24"/>
        </w:rPr>
        <w:t>。</w:t>
      </w:r>
    </w:p>
    <w:p w14:paraId="71A13150" w14:textId="77777777" w:rsidR="00054437" w:rsidRPr="000549B1" w:rsidRDefault="00000000">
      <w:pPr>
        <w:pStyle w:val="Z4"/>
        <w:rPr>
          <w:color w:val="auto"/>
        </w:rPr>
      </w:pPr>
      <w:r w:rsidRPr="000549B1">
        <w:rPr>
          <w:color w:val="auto"/>
        </w:rPr>
        <w:t>野生动物重要物种</w:t>
      </w:r>
    </w:p>
    <w:p w14:paraId="3698C60D" w14:textId="77777777" w:rsidR="00B81685" w:rsidRPr="000549B1" w:rsidRDefault="00B81685" w:rsidP="00B81685">
      <w:pPr>
        <w:spacing w:line="360" w:lineRule="auto"/>
        <w:ind w:firstLine="480"/>
        <w:rPr>
          <w:sz w:val="24"/>
          <w:szCs w:val="24"/>
        </w:rPr>
      </w:pPr>
      <w:bookmarkStart w:id="267" w:name="_Hlk214026173"/>
      <w:bookmarkStart w:id="268" w:name="_Hlk200557450"/>
      <w:r w:rsidRPr="000549B1">
        <w:rPr>
          <w:sz w:val="24"/>
          <w:szCs w:val="24"/>
        </w:rPr>
        <w:t>根据现场调查及查询资料，评价区有重要保护野生动物</w:t>
      </w:r>
      <w:r w:rsidRPr="000549B1">
        <w:rPr>
          <w:sz w:val="24"/>
          <w:szCs w:val="24"/>
        </w:rPr>
        <w:t>24</w:t>
      </w:r>
      <w:r w:rsidRPr="000549B1">
        <w:rPr>
          <w:sz w:val="24"/>
          <w:szCs w:val="24"/>
        </w:rPr>
        <w:t>种，其中列入《国家重点保护野生动物名录》的野生动物</w:t>
      </w:r>
      <w:r w:rsidRPr="000549B1">
        <w:rPr>
          <w:sz w:val="24"/>
          <w:szCs w:val="24"/>
        </w:rPr>
        <w:t>10</w:t>
      </w:r>
      <w:r w:rsidRPr="000549B1">
        <w:rPr>
          <w:sz w:val="24"/>
          <w:szCs w:val="24"/>
        </w:rPr>
        <w:t>种，有国家</w:t>
      </w:r>
      <w:r w:rsidRPr="000549B1">
        <w:rPr>
          <w:rFonts w:hint="eastAsia"/>
          <w:sz w:val="24"/>
          <w:szCs w:val="24"/>
        </w:rPr>
        <w:t>一</w:t>
      </w:r>
      <w:r w:rsidRPr="000549B1">
        <w:rPr>
          <w:sz w:val="24"/>
          <w:szCs w:val="24"/>
        </w:rPr>
        <w:t>级</w:t>
      </w:r>
      <w:r w:rsidRPr="000549B1">
        <w:rPr>
          <w:sz w:val="24"/>
          <w:szCs w:val="24"/>
        </w:rPr>
        <w:t>2</w:t>
      </w:r>
      <w:r w:rsidRPr="000549B1">
        <w:rPr>
          <w:sz w:val="24"/>
          <w:szCs w:val="24"/>
        </w:rPr>
        <w:t>种，国家</w:t>
      </w:r>
      <w:r w:rsidRPr="000549B1">
        <w:rPr>
          <w:rFonts w:hint="eastAsia"/>
          <w:sz w:val="24"/>
          <w:szCs w:val="24"/>
        </w:rPr>
        <w:t>二</w:t>
      </w:r>
      <w:r w:rsidRPr="000549B1">
        <w:rPr>
          <w:sz w:val="24"/>
          <w:szCs w:val="24"/>
        </w:rPr>
        <w:t>级</w:t>
      </w:r>
      <w:r w:rsidRPr="000549B1">
        <w:rPr>
          <w:sz w:val="24"/>
          <w:szCs w:val="24"/>
        </w:rPr>
        <w:t>8</w:t>
      </w:r>
      <w:r w:rsidRPr="000549B1">
        <w:rPr>
          <w:sz w:val="24"/>
          <w:szCs w:val="24"/>
        </w:rPr>
        <w:t>种。有青海省重点保护野生动物</w:t>
      </w:r>
      <w:r w:rsidRPr="000549B1">
        <w:rPr>
          <w:sz w:val="24"/>
          <w:szCs w:val="24"/>
        </w:rPr>
        <w:t>14</w:t>
      </w:r>
      <w:r w:rsidRPr="000549B1">
        <w:rPr>
          <w:sz w:val="24"/>
          <w:szCs w:val="24"/>
        </w:rPr>
        <w:t>种；有《中国生物多样性红色名录》中列为极危（</w:t>
      </w:r>
      <w:r w:rsidRPr="000549B1">
        <w:rPr>
          <w:sz w:val="24"/>
          <w:szCs w:val="24"/>
        </w:rPr>
        <w:t>CR</w:t>
      </w:r>
      <w:r w:rsidRPr="000549B1">
        <w:rPr>
          <w:sz w:val="24"/>
          <w:szCs w:val="24"/>
        </w:rPr>
        <w:t>）</w:t>
      </w:r>
      <w:r w:rsidRPr="000549B1">
        <w:rPr>
          <w:sz w:val="24"/>
          <w:szCs w:val="24"/>
        </w:rPr>
        <w:t>1</w:t>
      </w:r>
      <w:r w:rsidRPr="000549B1">
        <w:rPr>
          <w:sz w:val="24"/>
          <w:szCs w:val="24"/>
        </w:rPr>
        <w:t>种、濒危（</w:t>
      </w:r>
      <w:r w:rsidRPr="000549B1">
        <w:rPr>
          <w:sz w:val="24"/>
          <w:szCs w:val="24"/>
        </w:rPr>
        <w:t>EN</w:t>
      </w:r>
      <w:r w:rsidRPr="000549B1">
        <w:rPr>
          <w:sz w:val="24"/>
          <w:szCs w:val="24"/>
        </w:rPr>
        <w:t>）</w:t>
      </w:r>
      <w:r w:rsidRPr="000549B1">
        <w:rPr>
          <w:sz w:val="24"/>
          <w:szCs w:val="24"/>
        </w:rPr>
        <w:t>1</w:t>
      </w:r>
      <w:r w:rsidRPr="000549B1">
        <w:rPr>
          <w:sz w:val="24"/>
          <w:szCs w:val="24"/>
        </w:rPr>
        <w:t>种、易危（</w:t>
      </w:r>
      <w:r w:rsidRPr="000549B1">
        <w:rPr>
          <w:sz w:val="24"/>
          <w:szCs w:val="24"/>
        </w:rPr>
        <w:t>VU</w:t>
      </w:r>
      <w:r w:rsidRPr="000549B1">
        <w:rPr>
          <w:sz w:val="24"/>
          <w:szCs w:val="24"/>
        </w:rPr>
        <w:t>）</w:t>
      </w:r>
      <w:r w:rsidRPr="000549B1">
        <w:rPr>
          <w:sz w:val="24"/>
          <w:szCs w:val="24"/>
        </w:rPr>
        <w:t>1</w:t>
      </w:r>
      <w:r w:rsidRPr="000549B1">
        <w:rPr>
          <w:sz w:val="24"/>
          <w:szCs w:val="24"/>
        </w:rPr>
        <w:t>种的野生动物，有中国特有种</w:t>
      </w:r>
      <w:r w:rsidRPr="000549B1">
        <w:rPr>
          <w:sz w:val="24"/>
          <w:szCs w:val="24"/>
        </w:rPr>
        <w:t>2</w:t>
      </w:r>
      <w:r w:rsidRPr="000549B1">
        <w:rPr>
          <w:sz w:val="24"/>
          <w:szCs w:val="24"/>
        </w:rPr>
        <w:t>种荒漠猫、斑尾榛鸡。</w:t>
      </w:r>
    </w:p>
    <w:p w14:paraId="1DF2ABBA" w14:textId="77777777" w:rsidR="00B81685" w:rsidRPr="000549B1" w:rsidRDefault="00B81685" w:rsidP="00B81685">
      <w:pPr>
        <w:spacing w:line="360" w:lineRule="auto"/>
        <w:ind w:firstLine="480"/>
        <w:rPr>
          <w:sz w:val="24"/>
          <w:szCs w:val="24"/>
        </w:rPr>
      </w:pPr>
      <w:r w:rsidRPr="000549B1">
        <w:rPr>
          <w:sz w:val="24"/>
          <w:szCs w:val="24"/>
        </w:rPr>
        <w:t>评价区属于国家重点保护的野生动物有</w:t>
      </w:r>
      <w:r w:rsidRPr="000549B1">
        <w:rPr>
          <w:sz w:val="24"/>
          <w:szCs w:val="24"/>
        </w:rPr>
        <w:t>10</w:t>
      </w:r>
      <w:r w:rsidRPr="000549B1">
        <w:rPr>
          <w:sz w:val="24"/>
          <w:szCs w:val="24"/>
        </w:rPr>
        <w:t>种，其中国家一级保护动物</w:t>
      </w:r>
      <w:r w:rsidRPr="000549B1">
        <w:rPr>
          <w:sz w:val="24"/>
          <w:szCs w:val="24"/>
        </w:rPr>
        <w:t>2</w:t>
      </w:r>
      <w:r w:rsidRPr="000549B1">
        <w:rPr>
          <w:sz w:val="24"/>
          <w:szCs w:val="24"/>
        </w:rPr>
        <w:t>种，为荒漠猫、斑尾榛鸡；国家二级保护动物</w:t>
      </w:r>
      <w:r w:rsidRPr="000549B1">
        <w:rPr>
          <w:sz w:val="24"/>
          <w:szCs w:val="24"/>
        </w:rPr>
        <w:t>8</w:t>
      </w:r>
      <w:r w:rsidRPr="000549B1">
        <w:rPr>
          <w:sz w:val="24"/>
          <w:szCs w:val="24"/>
        </w:rPr>
        <w:t>种，分别为藏狐、雀鹰、红隼、燕隼、猎隼、藏雪鸡、</w:t>
      </w:r>
      <w:bookmarkStart w:id="269" w:name="OLE_LINK12"/>
      <w:r w:rsidRPr="000549B1">
        <w:rPr>
          <w:sz w:val="24"/>
          <w:szCs w:val="24"/>
        </w:rPr>
        <w:t>鹮嘴鹬</w:t>
      </w:r>
      <w:bookmarkEnd w:id="269"/>
      <w:r w:rsidRPr="000549B1">
        <w:rPr>
          <w:sz w:val="24"/>
          <w:szCs w:val="24"/>
        </w:rPr>
        <w:t>、雕鸮。</w:t>
      </w:r>
    </w:p>
    <w:bookmarkEnd w:id="267"/>
    <w:p w14:paraId="55896DE7" w14:textId="0FE71825" w:rsidR="00054437" w:rsidRPr="000549B1" w:rsidRDefault="00000000">
      <w:pPr>
        <w:pStyle w:val="0A51"/>
        <w:ind w:firstLine="422"/>
      </w:pPr>
      <w:r w:rsidRPr="000549B1">
        <w:t>表</w:t>
      </w:r>
      <w:fldSimple w:instr=" STYLEREF 2 \s ">
        <w:r w:rsidR="00372953">
          <w:rPr>
            <w:noProof/>
          </w:rPr>
          <w:t>3.5</w:t>
        </w:r>
      </w:fldSimple>
      <w:r w:rsidR="00372953">
        <w:noBreakHyphen/>
      </w:r>
      <w:r w:rsidR="00372953">
        <w:fldChar w:fldCharType="begin"/>
      </w:r>
      <w:r w:rsidR="00372953">
        <w:instrText xml:space="preserve"> SEQ </w:instrText>
      </w:r>
      <w:r w:rsidR="00372953">
        <w:instrText>表</w:instrText>
      </w:r>
      <w:r w:rsidR="00372953">
        <w:instrText xml:space="preserve"> \* ARABIC \s 2 </w:instrText>
      </w:r>
      <w:r w:rsidR="00372953">
        <w:fldChar w:fldCharType="separate"/>
      </w:r>
      <w:r w:rsidR="00372953">
        <w:rPr>
          <w:noProof/>
        </w:rPr>
        <w:t>9</w:t>
      </w:r>
      <w:r w:rsidR="00372953">
        <w:fldChar w:fldCharType="end"/>
      </w:r>
      <w:r w:rsidRPr="000549B1">
        <w:t>评价区野生动物重要物种</w:t>
      </w:r>
    </w:p>
    <w:tbl>
      <w:tblPr>
        <w:tblW w:w="5066" w:type="pct"/>
        <w:tblInd w:w="-12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60"/>
        <w:gridCol w:w="1146"/>
        <w:gridCol w:w="2377"/>
        <w:gridCol w:w="811"/>
        <w:gridCol w:w="723"/>
        <w:gridCol w:w="1988"/>
        <w:gridCol w:w="705"/>
      </w:tblGrid>
      <w:tr w:rsidR="000549B1" w:rsidRPr="000549B1" w14:paraId="6FA08131" w14:textId="77777777" w:rsidTr="00B81685">
        <w:tc>
          <w:tcPr>
            <w:tcW w:w="392" w:type="pct"/>
            <w:tcBorders>
              <w:top w:val="single" w:sz="2" w:space="0" w:color="auto"/>
              <w:left w:val="single" w:sz="2" w:space="0" w:color="auto"/>
              <w:bottom w:val="single" w:sz="2" w:space="0" w:color="auto"/>
              <w:right w:val="single" w:sz="2" w:space="0" w:color="auto"/>
            </w:tcBorders>
            <w:vAlign w:val="center"/>
          </w:tcPr>
          <w:p w14:paraId="4C15247B" w14:textId="77777777" w:rsidR="00B81685" w:rsidRPr="000549B1" w:rsidRDefault="00B81685" w:rsidP="00D33EF7">
            <w:pPr>
              <w:pStyle w:val="afff5"/>
              <w:rPr>
                <w:b/>
                <w:bCs/>
                <w:szCs w:val="21"/>
              </w:rPr>
            </w:pPr>
            <w:r w:rsidRPr="000549B1">
              <w:rPr>
                <w:b/>
                <w:bCs/>
                <w:szCs w:val="21"/>
              </w:rPr>
              <w:t>序号</w:t>
            </w:r>
          </w:p>
        </w:tc>
        <w:tc>
          <w:tcPr>
            <w:tcW w:w="681" w:type="pct"/>
            <w:tcBorders>
              <w:top w:val="single" w:sz="2" w:space="0" w:color="auto"/>
              <w:left w:val="single" w:sz="2" w:space="0" w:color="auto"/>
              <w:bottom w:val="single" w:sz="2" w:space="0" w:color="auto"/>
              <w:right w:val="single" w:sz="2" w:space="0" w:color="auto"/>
            </w:tcBorders>
            <w:vAlign w:val="center"/>
          </w:tcPr>
          <w:p w14:paraId="62255D45" w14:textId="77777777" w:rsidR="00B81685" w:rsidRPr="000549B1" w:rsidRDefault="00B81685" w:rsidP="00D33EF7">
            <w:pPr>
              <w:pStyle w:val="afff5"/>
              <w:rPr>
                <w:b/>
                <w:bCs/>
                <w:szCs w:val="21"/>
              </w:rPr>
            </w:pPr>
            <w:r w:rsidRPr="000549B1">
              <w:rPr>
                <w:b/>
                <w:bCs/>
                <w:szCs w:val="21"/>
              </w:rPr>
              <w:t>物种</w:t>
            </w:r>
          </w:p>
        </w:tc>
        <w:tc>
          <w:tcPr>
            <w:tcW w:w="1413" w:type="pct"/>
            <w:tcBorders>
              <w:top w:val="single" w:sz="2" w:space="0" w:color="auto"/>
              <w:left w:val="single" w:sz="2" w:space="0" w:color="auto"/>
              <w:bottom w:val="single" w:sz="2" w:space="0" w:color="auto"/>
              <w:right w:val="single" w:sz="2" w:space="0" w:color="auto"/>
            </w:tcBorders>
            <w:vAlign w:val="center"/>
          </w:tcPr>
          <w:p w14:paraId="4E78110F" w14:textId="77777777" w:rsidR="00B81685" w:rsidRPr="000549B1" w:rsidRDefault="00B81685" w:rsidP="00D33EF7">
            <w:pPr>
              <w:pStyle w:val="afff5"/>
              <w:rPr>
                <w:b/>
                <w:bCs/>
                <w:szCs w:val="21"/>
              </w:rPr>
            </w:pPr>
            <w:r w:rsidRPr="000549B1">
              <w:rPr>
                <w:b/>
                <w:bCs/>
                <w:szCs w:val="21"/>
              </w:rPr>
              <w:t>拉丁名</w:t>
            </w:r>
          </w:p>
        </w:tc>
        <w:tc>
          <w:tcPr>
            <w:tcW w:w="482" w:type="pct"/>
            <w:tcBorders>
              <w:top w:val="single" w:sz="2" w:space="0" w:color="auto"/>
              <w:left w:val="single" w:sz="2" w:space="0" w:color="auto"/>
              <w:bottom w:val="single" w:sz="2" w:space="0" w:color="auto"/>
              <w:right w:val="single" w:sz="2" w:space="0" w:color="auto"/>
            </w:tcBorders>
            <w:vAlign w:val="center"/>
          </w:tcPr>
          <w:p w14:paraId="6F3342FD" w14:textId="77777777" w:rsidR="00B81685" w:rsidRPr="000549B1" w:rsidRDefault="00B81685" w:rsidP="00D33EF7">
            <w:pPr>
              <w:pStyle w:val="afff5"/>
              <w:rPr>
                <w:b/>
                <w:bCs/>
                <w:szCs w:val="21"/>
              </w:rPr>
            </w:pPr>
            <w:r w:rsidRPr="000549B1">
              <w:rPr>
                <w:b/>
                <w:bCs/>
                <w:szCs w:val="21"/>
              </w:rPr>
              <w:t>保护</w:t>
            </w:r>
          </w:p>
          <w:p w14:paraId="1C9DDC3F" w14:textId="77777777" w:rsidR="00B81685" w:rsidRPr="000549B1" w:rsidRDefault="00B81685" w:rsidP="00D33EF7">
            <w:pPr>
              <w:pStyle w:val="afff5"/>
              <w:rPr>
                <w:b/>
                <w:bCs/>
                <w:szCs w:val="21"/>
              </w:rPr>
            </w:pPr>
            <w:r w:rsidRPr="000549B1">
              <w:rPr>
                <w:b/>
                <w:bCs/>
                <w:szCs w:val="21"/>
              </w:rPr>
              <w:t>等级</w:t>
            </w:r>
          </w:p>
        </w:tc>
        <w:tc>
          <w:tcPr>
            <w:tcW w:w="430" w:type="pct"/>
            <w:tcBorders>
              <w:top w:val="single" w:sz="2" w:space="0" w:color="auto"/>
              <w:left w:val="single" w:sz="2" w:space="0" w:color="auto"/>
              <w:bottom w:val="single" w:sz="2" w:space="0" w:color="auto"/>
              <w:right w:val="single" w:sz="2" w:space="0" w:color="auto"/>
            </w:tcBorders>
            <w:vAlign w:val="center"/>
          </w:tcPr>
          <w:p w14:paraId="6F172BEF" w14:textId="77777777" w:rsidR="00B81685" w:rsidRPr="000549B1" w:rsidRDefault="00B81685" w:rsidP="00D33EF7">
            <w:pPr>
              <w:pStyle w:val="afff5"/>
              <w:rPr>
                <w:b/>
                <w:bCs/>
                <w:szCs w:val="21"/>
              </w:rPr>
            </w:pPr>
            <w:r w:rsidRPr="000549B1">
              <w:rPr>
                <w:b/>
                <w:bCs/>
                <w:szCs w:val="21"/>
              </w:rPr>
              <w:t>濒危</w:t>
            </w:r>
          </w:p>
          <w:p w14:paraId="66FD61DD" w14:textId="77777777" w:rsidR="00B81685" w:rsidRPr="000549B1" w:rsidRDefault="00B81685" w:rsidP="00D33EF7">
            <w:pPr>
              <w:pStyle w:val="afff5"/>
              <w:rPr>
                <w:b/>
                <w:bCs/>
                <w:szCs w:val="21"/>
              </w:rPr>
            </w:pPr>
            <w:r w:rsidRPr="000549B1">
              <w:rPr>
                <w:b/>
                <w:bCs/>
                <w:szCs w:val="21"/>
              </w:rPr>
              <w:t>等级</w:t>
            </w:r>
          </w:p>
        </w:tc>
        <w:tc>
          <w:tcPr>
            <w:tcW w:w="1182" w:type="pct"/>
            <w:tcBorders>
              <w:top w:val="single" w:sz="2" w:space="0" w:color="auto"/>
              <w:left w:val="single" w:sz="2" w:space="0" w:color="auto"/>
              <w:bottom w:val="single" w:sz="2" w:space="0" w:color="auto"/>
              <w:right w:val="single" w:sz="2" w:space="0" w:color="auto"/>
            </w:tcBorders>
            <w:vAlign w:val="center"/>
          </w:tcPr>
          <w:p w14:paraId="21A046CF" w14:textId="77777777" w:rsidR="00B81685" w:rsidRPr="000549B1" w:rsidRDefault="00B81685" w:rsidP="00D33EF7">
            <w:pPr>
              <w:pStyle w:val="afff5"/>
              <w:rPr>
                <w:b/>
                <w:bCs/>
                <w:szCs w:val="21"/>
              </w:rPr>
            </w:pPr>
            <w:r w:rsidRPr="000549B1">
              <w:rPr>
                <w:b/>
                <w:bCs/>
                <w:szCs w:val="21"/>
              </w:rPr>
              <w:t>来源</w:t>
            </w:r>
          </w:p>
        </w:tc>
        <w:tc>
          <w:tcPr>
            <w:tcW w:w="419" w:type="pct"/>
            <w:tcBorders>
              <w:top w:val="single" w:sz="2" w:space="0" w:color="auto"/>
              <w:left w:val="single" w:sz="2" w:space="0" w:color="auto"/>
              <w:bottom w:val="single" w:sz="2" w:space="0" w:color="auto"/>
              <w:right w:val="single" w:sz="2" w:space="0" w:color="auto"/>
            </w:tcBorders>
            <w:vAlign w:val="center"/>
          </w:tcPr>
          <w:p w14:paraId="1CC93FC7" w14:textId="77777777" w:rsidR="00B81685" w:rsidRPr="000549B1" w:rsidRDefault="00B81685" w:rsidP="00D33EF7">
            <w:pPr>
              <w:pStyle w:val="afff5"/>
              <w:rPr>
                <w:b/>
                <w:bCs/>
                <w:szCs w:val="21"/>
              </w:rPr>
            </w:pPr>
            <w:r w:rsidRPr="000549B1">
              <w:rPr>
                <w:b/>
                <w:bCs/>
                <w:szCs w:val="21"/>
              </w:rPr>
              <w:t>备注</w:t>
            </w:r>
          </w:p>
        </w:tc>
      </w:tr>
      <w:tr w:rsidR="000549B1" w:rsidRPr="000549B1" w14:paraId="1082C552" w14:textId="77777777" w:rsidTr="00B81685">
        <w:tc>
          <w:tcPr>
            <w:tcW w:w="392" w:type="pct"/>
            <w:tcBorders>
              <w:top w:val="single" w:sz="2" w:space="0" w:color="auto"/>
              <w:left w:val="single" w:sz="2" w:space="0" w:color="auto"/>
              <w:bottom w:val="single" w:sz="2" w:space="0" w:color="auto"/>
              <w:right w:val="single" w:sz="2" w:space="0" w:color="auto"/>
            </w:tcBorders>
            <w:vAlign w:val="center"/>
          </w:tcPr>
          <w:p w14:paraId="7B893513" w14:textId="77777777" w:rsidR="00B81685" w:rsidRPr="000549B1" w:rsidRDefault="00B81685" w:rsidP="00D33EF7">
            <w:pPr>
              <w:pStyle w:val="afff5"/>
              <w:rPr>
                <w:szCs w:val="21"/>
              </w:rPr>
            </w:pPr>
            <w:r w:rsidRPr="000549B1">
              <w:rPr>
                <w:szCs w:val="21"/>
              </w:rPr>
              <w:t>1</w:t>
            </w:r>
          </w:p>
        </w:tc>
        <w:tc>
          <w:tcPr>
            <w:tcW w:w="681" w:type="pct"/>
            <w:tcBorders>
              <w:top w:val="single" w:sz="2" w:space="0" w:color="auto"/>
              <w:left w:val="single" w:sz="2" w:space="0" w:color="auto"/>
              <w:bottom w:val="single" w:sz="2" w:space="0" w:color="auto"/>
              <w:right w:val="single" w:sz="2" w:space="0" w:color="auto"/>
            </w:tcBorders>
            <w:vAlign w:val="center"/>
          </w:tcPr>
          <w:p w14:paraId="59C618E8" w14:textId="77777777" w:rsidR="00B81685" w:rsidRPr="000549B1" w:rsidRDefault="00B81685" w:rsidP="00D33EF7">
            <w:pPr>
              <w:pStyle w:val="afff5"/>
              <w:rPr>
                <w:szCs w:val="21"/>
              </w:rPr>
            </w:pPr>
            <w:r w:rsidRPr="000549B1">
              <w:rPr>
                <w:szCs w:val="21"/>
              </w:rPr>
              <w:t>荒漠猫</w:t>
            </w:r>
          </w:p>
        </w:tc>
        <w:tc>
          <w:tcPr>
            <w:tcW w:w="1413" w:type="pct"/>
            <w:tcBorders>
              <w:top w:val="single" w:sz="2" w:space="0" w:color="auto"/>
              <w:left w:val="single" w:sz="2" w:space="0" w:color="auto"/>
              <w:bottom w:val="single" w:sz="2" w:space="0" w:color="auto"/>
              <w:right w:val="single" w:sz="2" w:space="0" w:color="auto"/>
            </w:tcBorders>
            <w:vAlign w:val="center"/>
          </w:tcPr>
          <w:p w14:paraId="1FB651A0" w14:textId="77777777" w:rsidR="00B81685" w:rsidRPr="000549B1" w:rsidRDefault="00B81685" w:rsidP="00D33EF7">
            <w:pPr>
              <w:pStyle w:val="afff5"/>
              <w:rPr>
                <w:szCs w:val="21"/>
              </w:rPr>
            </w:pPr>
            <w:r w:rsidRPr="000549B1">
              <w:rPr>
                <w:szCs w:val="21"/>
              </w:rPr>
              <w:t>Felisbieti</w:t>
            </w:r>
          </w:p>
        </w:tc>
        <w:tc>
          <w:tcPr>
            <w:tcW w:w="482" w:type="pct"/>
            <w:tcBorders>
              <w:top w:val="single" w:sz="2" w:space="0" w:color="auto"/>
              <w:left w:val="single" w:sz="2" w:space="0" w:color="auto"/>
              <w:bottom w:val="single" w:sz="2" w:space="0" w:color="auto"/>
              <w:right w:val="single" w:sz="2" w:space="0" w:color="auto"/>
            </w:tcBorders>
            <w:vAlign w:val="center"/>
          </w:tcPr>
          <w:p w14:paraId="30663CB2" w14:textId="77777777" w:rsidR="00B81685" w:rsidRPr="000549B1" w:rsidRDefault="00B81685" w:rsidP="00D33EF7">
            <w:pPr>
              <w:pStyle w:val="afff5"/>
              <w:rPr>
                <w:szCs w:val="21"/>
              </w:rPr>
            </w:pPr>
            <w:r w:rsidRPr="000549B1">
              <w:rPr>
                <w:szCs w:val="21"/>
              </w:rPr>
              <w:t>国</w:t>
            </w:r>
            <w:r w:rsidRPr="000549B1">
              <w:rPr>
                <w:rFonts w:hint="eastAsia"/>
                <w:szCs w:val="21"/>
              </w:rPr>
              <w:t>一</w:t>
            </w:r>
          </w:p>
        </w:tc>
        <w:tc>
          <w:tcPr>
            <w:tcW w:w="430" w:type="pct"/>
            <w:tcBorders>
              <w:top w:val="single" w:sz="2" w:space="0" w:color="auto"/>
              <w:left w:val="single" w:sz="2" w:space="0" w:color="auto"/>
              <w:bottom w:val="single" w:sz="2" w:space="0" w:color="auto"/>
              <w:right w:val="single" w:sz="2" w:space="0" w:color="auto"/>
            </w:tcBorders>
            <w:vAlign w:val="center"/>
          </w:tcPr>
          <w:p w14:paraId="5D333CC6" w14:textId="77777777" w:rsidR="00B81685" w:rsidRPr="000549B1" w:rsidRDefault="00B81685" w:rsidP="00D33EF7">
            <w:pPr>
              <w:pStyle w:val="afff5"/>
              <w:rPr>
                <w:szCs w:val="21"/>
              </w:rPr>
            </w:pPr>
            <w:r w:rsidRPr="000549B1">
              <w:rPr>
                <w:szCs w:val="21"/>
              </w:rPr>
              <w:t>CR</w:t>
            </w:r>
          </w:p>
        </w:tc>
        <w:tc>
          <w:tcPr>
            <w:tcW w:w="1182" w:type="pct"/>
            <w:tcBorders>
              <w:top w:val="single" w:sz="2" w:space="0" w:color="auto"/>
              <w:left w:val="single" w:sz="2" w:space="0" w:color="auto"/>
              <w:bottom w:val="single" w:sz="2" w:space="0" w:color="auto"/>
              <w:right w:val="single" w:sz="2" w:space="0" w:color="auto"/>
            </w:tcBorders>
            <w:vAlign w:val="center"/>
          </w:tcPr>
          <w:p w14:paraId="11AF560B" w14:textId="77777777" w:rsidR="00B81685" w:rsidRPr="000549B1" w:rsidRDefault="00B81685" w:rsidP="00D33EF7">
            <w:pPr>
              <w:pStyle w:val="afff5"/>
              <w:rPr>
                <w:szCs w:val="21"/>
              </w:rPr>
            </w:pPr>
            <w:r w:rsidRPr="000549B1">
              <w:rPr>
                <w:szCs w:val="21"/>
              </w:rPr>
              <w:t>参考资料</w:t>
            </w:r>
          </w:p>
        </w:tc>
        <w:tc>
          <w:tcPr>
            <w:tcW w:w="419" w:type="pct"/>
            <w:tcBorders>
              <w:top w:val="single" w:sz="2" w:space="0" w:color="auto"/>
              <w:left w:val="single" w:sz="2" w:space="0" w:color="auto"/>
              <w:bottom w:val="single" w:sz="2" w:space="0" w:color="auto"/>
              <w:right w:val="single" w:sz="2" w:space="0" w:color="auto"/>
            </w:tcBorders>
            <w:vAlign w:val="center"/>
          </w:tcPr>
          <w:p w14:paraId="0E849CDF" w14:textId="77777777" w:rsidR="00B81685" w:rsidRPr="000549B1" w:rsidRDefault="00B81685" w:rsidP="00D33EF7">
            <w:pPr>
              <w:pStyle w:val="afff5"/>
              <w:rPr>
                <w:szCs w:val="21"/>
              </w:rPr>
            </w:pPr>
          </w:p>
        </w:tc>
      </w:tr>
      <w:tr w:rsidR="000549B1" w:rsidRPr="000549B1" w14:paraId="2290A4FD" w14:textId="77777777" w:rsidTr="00B81685">
        <w:tc>
          <w:tcPr>
            <w:tcW w:w="392" w:type="pct"/>
            <w:tcBorders>
              <w:top w:val="single" w:sz="2" w:space="0" w:color="auto"/>
              <w:left w:val="single" w:sz="2" w:space="0" w:color="auto"/>
              <w:bottom w:val="single" w:sz="2" w:space="0" w:color="auto"/>
              <w:right w:val="single" w:sz="2" w:space="0" w:color="auto"/>
            </w:tcBorders>
            <w:vAlign w:val="center"/>
          </w:tcPr>
          <w:p w14:paraId="03D89802" w14:textId="77777777" w:rsidR="00B81685" w:rsidRPr="000549B1" w:rsidRDefault="00B81685" w:rsidP="00D33EF7">
            <w:pPr>
              <w:pStyle w:val="afff5"/>
              <w:rPr>
                <w:szCs w:val="21"/>
              </w:rPr>
            </w:pPr>
            <w:r w:rsidRPr="000549B1">
              <w:rPr>
                <w:szCs w:val="21"/>
              </w:rPr>
              <w:t>2</w:t>
            </w:r>
          </w:p>
        </w:tc>
        <w:tc>
          <w:tcPr>
            <w:tcW w:w="681" w:type="pct"/>
            <w:tcBorders>
              <w:top w:val="single" w:sz="2" w:space="0" w:color="auto"/>
              <w:left w:val="single" w:sz="2" w:space="0" w:color="auto"/>
              <w:bottom w:val="single" w:sz="2" w:space="0" w:color="auto"/>
              <w:right w:val="single" w:sz="2" w:space="0" w:color="auto"/>
            </w:tcBorders>
            <w:vAlign w:val="center"/>
          </w:tcPr>
          <w:p w14:paraId="274C4790" w14:textId="77777777" w:rsidR="00B81685" w:rsidRPr="000549B1" w:rsidRDefault="00B81685" w:rsidP="00D33EF7">
            <w:pPr>
              <w:pStyle w:val="afff5"/>
              <w:rPr>
                <w:szCs w:val="21"/>
              </w:rPr>
            </w:pPr>
            <w:r w:rsidRPr="000549B1">
              <w:rPr>
                <w:szCs w:val="21"/>
              </w:rPr>
              <w:t>斑尾榛鸡</w:t>
            </w:r>
          </w:p>
        </w:tc>
        <w:tc>
          <w:tcPr>
            <w:tcW w:w="1413" w:type="pct"/>
            <w:tcBorders>
              <w:top w:val="single" w:sz="2" w:space="0" w:color="auto"/>
              <w:left w:val="single" w:sz="2" w:space="0" w:color="auto"/>
              <w:bottom w:val="single" w:sz="2" w:space="0" w:color="auto"/>
              <w:right w:val="single" w:sz="2" w:space="0" w:color="auto"/>
            </w:tcBorders>
            <w:vAlign w:val="center"/>
          </w:tcPr>
          <w:p w14:paraId="34623A0D" w14:textId="77777777" w:rsidR="00B81685" w:rsidRPr="000549B1" w:rsidRDefault="00B81685" w:rsidP="00D33EF7">
            <w:pPr>
              <w:pStyle w:val="afff5"/>
              <w:rPr>
                <w:szCs w:val="21"/>
              </w:rPr>
            </w:pPr>
            <w:r w:rsidRPr="000549B1">
              <w:rPr>
                <w:szCs w:val="21"/>
              </w:rPr>
              <w:t>Tetrastessewerzowi</w:t>
            </w:r>
          </w:p>
        </w:tc>
        <w:tc>
          <w:tcPr>
            <w:tcW w:w="482" w:type="pct"/>
            <w:tcBorders>
              <w:top w:val="single" w:sz="2" w:space="0" w:color="auto"/>
              <w:left w:val="single" w:sz="2" w:space="0" w:color="auto"/>
              <w:bottom w:val="single" w:sz="2" w:space="0" w:color="auto"/>
              <w:right w:val="single" w:sz="2" w:space="0" w:color="auto"/>
            </w:tcBorders>
            <w:vAlign w:val="center"/>
          </w:tcPr>
          <w:p w14:paraId="3759DD4A" w14:textId="77777777" w:rsidR="00B81685" w:rsidRPr="000549B1" w:rsidRDefault="00B81685" w:rsidP="00D33EF7">
            <w:pPr>
              <w:pStyle w:val="afff5"/>
              <w:rPr>
                <w:szCs w:val="21"/>
              </w:rPr>
            </w:pPr>
            <w:r w:rsidRPr="000549B1">
              <w:rPr>
                <w:szCs w:val="21"/>
              </w:rPr>
              <w:t>国</w:t>
            </w:r>
            <w:r w:rsidRPr="000549B1">
              <w:rPr>
                <w:rFonts w:hint="eastAsia"/>
                <w:szCs w:val="21"/>
              </w:rPr>
              <w:t>一</w:t>
            </w:r>
          </w:p>
        </w:tc>
        <w:tc>
          <w:tcPr>
            <w:tcW w:w="430" w:type="pct"/>
            <w:tcBorders>
              <w:top w:val="single" w:sz="2" w:space="0" w:color="auto"/>
              <w:left w:val="single" w:sz="2" w:space="0" w:color="auto"/>
              <w:bottom w:val="single" w:sz="2" w:space="0" w:color="auto"/>
              <w:right w:val="single" w:sz="2" w:space="0" w:color="auto"/>
            </w:tcBorders>
            <w:vAlign w:val="center"/>
          </w:tcPr>
          <w:p w14:paraId="0D8B2E30" w14:textId="77777777" w:rsidR="00B81685" w:rsidRPr="000549B1" w:rsidRDefault="00B81685" w:rsidP="00D33EF7">
            <w:pPr>
              <w:pStyle w:val="afff5"/>
              <w:rPr>
                <w:szCs w:val="21"/>
              </w:rPr>
            </w:pPr>
            <w:r w:rsidRPr="000549B1">
              <w:rPr>
                <w:szCs w:val="21"/>
              </w:rPr>
              <w:t>VU</w:t>
            </w:r>
          </w:p>
        </w:tc>
        <w:tc>
          <w:tcPr>
            <w:tcW w:w="1182" w:type="pct"/>
            <w:tcBorders>
              <w:top w:val="single" w:sz="2" w:space="0" w:color="auto"/>
              <w:left w:val="single" w:sz="2" w:space="0" w:color="auto"/>
              <w:bottom w:val="single" w:sz="2" w:space="0" w:color="auto"/>
              <w:right w:val="single" w:sz="2" w:space="0" w:color="auto"/>
            </w:tcBorders>
            <w:vAlign w:val="center"/>
          </w:tcPr>
          <w:p w14:paraId="2F7793CC" w14:textId="77777777" w:rsidR="00B81685" w:rsidRPr="000549B1" w:rsidRDefault="00B81685" w:rsidP="00D33EF7">
            <w:pPr>
              <w:pStyle w:val="afff5"/>
              <w:rPr>
                <w:szCs w:val="21"/>
              </w:rPr>
            </w:pPr>
            <w:r w:rsidRPr="000549B1">
              <w:rPr>
                <w:szCs w:val="21"/>
              </w:rPr>
              <w:t>资料</w:t>
            </w:r>
          </w:p>
        </w:tc>
        <w:tc>
          <w:tcPr>
            <w:tcW w:w="419" w:type="pct"/>
            <w:tcBorders>
              <w:top w:val="single" w:sz="2" w:space="0" w:color="auto"/>
              <w:left w:val="single" w:sz="2" w:space="0" w:color="auto"/>
              <w:bottom w:val="single" w:sz="2" w:space="0" w:color="auto"/>
              <w:right w:val="single" w:sz="2" w:space="0" w:color="auto"/>
            </w:tcBorders>
            <w:vAlign w:val="center"/>
          </w:tcPr>
          <w:p w14:paraId="196DC0F8" w14:textId="77777777" w:rsidR="00B81685" w:rsidRPr="000549B1" w:rsidRDefault="00B81685" w:rsidP="00D33EF7">
            <w:pPr>
              <w:pStyle w:val="afff5"/>
              <w:rPr>
                <w:szCs w:val="21"/>
              </w:rPr>
            </w:pPr>
          </w:p>
        </w:tc>
      </w:tr>
      <w:tr w:rsidR="000549B1" w:rsidRPr="000549B1" w14:paraId="18388BA3" w14:textId="77777777" w:rsidTr="00B81685">
        <w:tc>
          <w:tcPr>
            <w:tcW w:w="392" w:type="pct"/>
            <w:tcBorders>
              <w:top w:val="single" w:sz="2" w:space="0" w:color="auto"/>
              <w:left w:val="single" w:sz="2" w:space="0" w:color="auto"/>
              <w:bottom w:val="single" w:sz="2" w:space="0" w:color="auto"/>
              <w:right w:val="single" w:sz="2" w:space="0" w:color="auto"/>
            </w:tcBorders>
            <w:vAlign w:val="center"/>
          </w:tcPr>
          <w:p w14:paraId="22164EE9" w14:textId="77777777" w:rsidR="00B81685" w:rsidRPr="000549B1" w:rsidRDefault="00B81685" w:rsidP="00D33EF7">
            <w:pPr>
              <w:pStyle w:val="afff5"/>
              <w:rPr>
                <w:szCs w:val="21"/>
              </w:rPr>
            </w:pPr>
            <w:r w:rsidRPr="000549B1">
              <w:rPr>
                <w:szCs w:val="21"/>
              </w:rPr>
              <w:t>3</w:t>
            </w:r>
          </w:p>
        </w:tc>
        <w:tc>
          <w:tcPr>
            <w:tcW w:w="681" w:type="pct"/>
            <w:tcBorders>
              <w:top w:val="single" w:sz="2" w:space="0" w:color="auto"/>
              <w:left w:val="single" w:sz="2" w:space="0" w:color="auto"/>
              <w:bottom w:val="single" w:sz="2" w:space="0" w:color="auto"/>
              <w:right w:val="single" w:sz="2" w:space="0" w:color="auto"/>
            </w:tcBorders>
            <w:vAlign w:val="center"/>
          </w:tcPr>
          <w:p w14:paraId="4CDE01AF" w14:textId="77777777" w:rsidR="00B81685" w:rsidRPr="000549B1" w:rsidRDefault="00B81685" w:rsidP="00D33EF7">
            <w:pPr>
              <w:pStyle w:val="afff5"/>
              <w:rPr>
                <w:szCs w:val="21"/>
              </w:rPr>
            </w:pPr>
            <w:r w:rsidRPr="000549B1">
              <w:rPr>
                <w:szCs w:val="21"/>
              </w:rPr>
              <w:t>藏狐</w:t>
            </w:r>
          </w:p>
        </w:tc>
        <w:tc>
          <w:tcPr>
            <w:tcW w:w="1413" w:type="pct"/>
            <w:tcBorders>
              <w:top w:val="single" w:sz="2" w:space="0" w:color="auto"/>
              <w:left w:val="single" w:sz="2" w:space="0" w:color="auto"/>
              <w:bottom w:val="single" w:sz="2" w:space="0" w:color="auto"/>
              <w:right w:val="single" w:sz="2" w:space="0" w:color="auto"/>
            </w:tcBorders>
            <w:vAlign w:val="center"/>
          </w:tcPr>
          <w:p w14:paraId="7BF36386" w14:textId="77777777" w:rsidR="00B81685" w:rsidRPr="000549B1" w:rsidRDefault="00B81685" w:rsidP="00D33EF7">
            <w:pPr>
              <w:pStyle w:val="afff5"/>
              <w:rPr>
                <w:szCs w:val="21"/>
              </w:rPr>
            </w:pPr>
            <w:r w:rsidRPr="000549B1">
              <w:rPr>
                <w:szCs w:val="21"/>
              </w:rPr>
              <w:t>Vulpesferrilata</w:t>
            </w:r>
          </w:p>
        </w:tc>
        <w:tc>
          <w:tcPr>
            <w:tcW w:w="482" w:type="pct"/>
            <w:tcBorders>
              <w:top w:val="single" w:sz="2" w:space="0" w:color="auto"/>
              <w:left w:val="single" w:sz="2" w:space="0" w:color="auto"/>
              <w:bottom w:val="single" w:sz="2" w:space="0" w:color="auto"/>
              <w:right w:val="single" w:sz="2" w:space="0" w:color="auto"/>
            </w:tcBorders>
            <w:vAlign w:val="center"/>
          </w:tcPr>
          <w:p w14:paraId="433DFA6D" w14:textId="77777777" w:rsidR="00B81685" w:rsidRPr="000549B1" w:rsidRDefault="00B81685" w:rsidP="00D33EF7">
            <w:pPr>
              <w:pStyle w:val="afff5"/>
              <w:rPr>
                <w:szCs w:val="21"/>
              </w:rPr>
            </w:pPr>
            <w:r w:rsidRPr="000549B1">
              <w:rPr>
                <w:szCs w:val="21"/>
              </w:rPr>
              <w:t>国</w:t>
            </w:r>
            <w:r w:rsidRPr="000549B1">
              <w:rPr>
                <w:rFonts w:hint="eastAsia"/>
                <w:sz w:val="24"/>
                <w:szCs w:val="24"/>
              </w:rPr>
              <w:t>二</w:t>
            </w:r>
          </w:p>
        </w:tc>
        <w:tc>
          <w:tcPr>
            <w:tcW w:w="430" w:type="pct"/>
            <w:tcBorders>
              <w:top w:val="single" w:sz="2" w:space="0" w:color="auto"/>
              <w:left w:val="single" w:sz="2" w:space="0" w:color="auto"/>
              <w:bottom w:val="single" w:sz="2" w:space="0" w:color="auto"/>
              <w:right w:val="single" w:sz="2" w:space="0" w:color="auto"/>
            </w:tcBorders>
            <w:vAlign w:val="center"/>
          </w:tcPr>
          <w:p w14:paraId="3BBCED0F" w14:textId="77777777" w:rsidR="00B81685" w:rsidRPr="000549B1" w:rsidRDefault="00B81685" w:rsidP="00D33EF7">
            <w:pPr>
              <w:pStyle w:val="afff5"/>
              <w:rPr>
                <w:szCs w:val="21"/>
              </w:rPr>
            </w:pPr>
            <w:r w:rsidRPr="000549B1">
              <w:rPr>
                <w:szCs w:val="21"/>
              </w:rPr>
              <w:t>NT</w:t>
            </w:r>
          </w:p>
        </w:tc>
        <w:tc>
          <w:tcPr>
            <w:tcW w:w="1182" w:type="pct"/>
            <w:tcBorders>
              <w:top w:val="single" w:sz="2" w:space="0" w:color="auto"/>
              <w:left w:val="single" w:sz="2" w:space="0" w:color="auto"/>
              <w:bottom w:val="single" w:sz="2" w:space="0" w:color="auto"/>
              <w:right w:val="single" w:sz="2" w:space="0" w:color="auto"/>
            </w:tcBorders>
            <w:vAlign w:val="center"/>
          </w:tcPr>
          <w:p w14:paraId="59DF1A89" w14:textId="77777777" w:rsidR="00B81685" w:rsidRPr="000549B1" w:rsidRDefault="00B81685" w:rsidP="00D33EF7">
            <w:pPr>
              <w:pStyle w:val="afff5"/>
              <w:rPr>
                <w:szCs w:val="21"/>
              </w:rPr>
            </w:pPr>
            <w:r w:rsidRPr="000549B1">
              <w:rPr>
                <w:szCs w:val="21"/>
              </w:rPr>
              <w:t>资料、目击、访谈</w:t>
            </w:r>
          </w:p>
        </w:tc>
        <w:tc>
          <w:tcPr>
            <w:tcW w:w="419" w:type="pct"/>
            <w:tcBorders>
              <w:top w:val="single" w:sz="2" w:space="0" w:color="auto"/>
              <w:left w:val="single" w:sz="2" w:space="0" w:color="auto"/>
              <w:bottom w:val="single" w:sz="2" w:space="0" w:color="auto"/>
              <w:right w:val="single" w:sz="2" w:space="0" w:color="auto"/>
            </w:tcBorders>
            <w:vAlign w:val="center"/>
          </w:tcPr>
          <w:p w14:paraId="5F09DB8D" w14:textId="77777777" w:rsidR="00B81685" w:rsidRPr="000549B1" w:rsidRDefault="00B81685" w:rsidP="00D33EF7">
            <w:pPr>
              <w:pStyle w:val="afff5"/>
              <w:rPr>
                <w:szCs w:val="21"/>
              </w:rPr>
            </w:pPr>
          </w:p>
        </w:tc>
      </w:tr>
      <w:tr w:rsidR="000549B1" w:rsidRPr="000549B1" w14:paraId="53E6C9C2" w14:textId="77777777" w:rsidTr="00B81685">
        <w:tc>
          <w:tcPr>
            <w:tcW w:w="392" w:type="pct"/>
            <w:tcBorders>
              <w:top w:val="single" w:sz="2" w:space="0" w:color="auto"/>
              <w:left w:val="single" w:sz="2" w:space="0" w:color="auto"/>
              <w:bottom w:val="single" w:sz="2" w:space="0" w:color="auto"/>
              <w:right w:val="single" w:sz="2" w:space="0" w:color="auto"/>
            </w:tcBorders>
            <w:vAlign w:val="center"/>
          </w:tcPr>
          <w:p w14:paraId="4C51B6C5" w14:textId="77777777" w:rsidR="00B81685" w:rsidRPr="000549B1" w:rsidRDefault="00B81685" w:rsidP="00D33EF7">
            <w:pPr>
              <w:pStyle w:val="afff5"/>
              <w:rPr>
                <w:szCs w:val="21"/>
              </w:rPr>
            </w:pPr>
            <w:r w:rsidRPr="000549B1">
              <w:rPr>
                <w:szCs w:val="21"/>
              </w:rPr>
              <w:t>4</w:t>
            </w:r>
          </w:p>
        </w:tc>
        <w:tc>
          <w:tcPr>
            <w:tcW w:w="681" w:type="pct"/>
            <w:tcBorders>
              <w:top w:val="single" w:sz="2" w:space="0" w:color="auto"/>
              <w:left w:val="single" w:sz="2" w:space="0" w:color="auto"/>
              <w:bottom w:val="single" w:sz="2" w:space="0" w:color="auto"/>
              <w:right w:val="single" w:sz="2" w:space="0" w:color="auto"/>
            </w:tcBorders>
            <w:vAlign w:val="center"/>
          </w:tcPr>
          <w:p w14:paraId="75DD7323" w14:textId="77777777" w:rsidR="00B81685" w:rsidRPr="000549B1" w:rsidRDefault="00B81685" w:rsidP="00D33EF7">
            <w:pPr>
              <w:pStyle w:val="afff5"/>
              <w:rPr>
                <w:szCs w:val="21"/>
              </w:rPr>
            </w:pPr>
            <w:r w:rsidRPr="000549B1">
              <w:rPr>
                <w:szCs w:val="21"/>
              </w:rPr>
              <w:t>雀鹰</w:t>
            </w:r>
          </w:p>
        </w:tc>
        <w:tc>
          <w:tcPr>
            <w:tcW w:w="1413" w:type="pct"/>
            <w:tcBorders>
              <w:top w:val="single" w:sz="2" w:space="0" w:color="auto"/>
              <w:left w:val="single" w:sz="2" w:space="0" w:color="auto"/>
              <w:bottom w:val="single" w:sz="2" w:space="0" w:color="auto"/>
              <w:right w:val="single" w:sz="2" w:space="0" w:color="auto"/>
            </w:tcBorders>
            <w:vAlign w:val="center"/>
          </w:tcPr>
          <w:p w14:paraId="4B97022C" w14:textId="77777777" w:rsidR="00B81685" w:rsidRPr="000549B1" w:rsidRDefault="00B81685" w:rsidP="00D33EF7">
            <w:pPr>
              <w:pStyle w:val="afff5"/>
              <w:rPr>
                <w:szCs w:val="21"/>
              </w:rPr>
            </w:pPr>
            <w:r w:rsidRPr="000549B1">
              <w:rPr>
                <w:szCs w:val="21"/>
              </w:rPr>
              <w:t>Accipiternisus</w:t>
            </w:r>
          </w:p>
        </w:tc>
        <w:tc>
          <w:tcPr>
            <w:tcW w:w="482" w:type="pct"/>
            <w:tcBorders>
              <w:top w:val="single" w:sz="2" w:space="0" w:color="auto"/>
              <w:left w:val="single" w:sz="2" w:space="0" w:color="auto"/>
              <w:bottom w:val="single" w:sz="2" w:space="0" w:color="auto"/>
              <w:right w:val="single" w:sz="2" w:space="0" w:color="auto"/>
            </w:tcBorders>
            <w:vAlign w:val="center"/>
          </w:tcPr>
          <w:p w14:paraId="7B3B2095" w14:textId="77777777" w:rsidR="00B81685" w:rsidRPr="000549B1" w:rsidRDefault="00B81685" w:rsidP="00D33EF7">
            <w:pPr>
              <w:pStyle w:val="afff5"/>
              <w:rPr>
                <w:szCs w:val="21"/>
              </w:rPr>
            </w:pPr>
            <w:r w:rsidRPr="000549B1">
              <w:rPr>
                <w:szCs w:val="21"/>
              </w:rPr>
              <w:t>国</w:t>
            </w:r>
            <w:r w:rsidRPr="000549B1">
              <w:rPr>
                <w:rFonts w:hint="eastAsia"/>
                <w:sz w:val="24"/>
                <w:szCs w:val="24"/>
              </w:rPr>
              <w:t>二</w:t>
            </w:r>
          </w:p>
        </w:tc>
        <w:tc>
          <w:tcPr>
            <w:tcW w:w="430" w:type="pct"/>
            <w:tcBorders>
              <w:top w:val="single" w:sz="2" w:space="0" w:color="auto"/>
              <w:left w:val="single" w:sz="2" w:space="0" w:color="auto"/>
              <w:bottom w:val="single" w:sz="2" w:space="0" w:color="auto"/>
              <w:right w:val="single" w:sz="2" w:space="0" w:color="auto"/>
            </w:tcBorders>
            <w:vAlign w:val="center"/>
          </w:tcPr>
          <w:p w14:paraId="265DE2BA" w14:textId="77777777" w:rsidR="00B81685" w:rsidRPr="000549B1" w:rsidRDefault="00B81685" w:rsidP="00D33EF7">
            <w:pPr>
              <w:pStyle w:val="afff5"/>
              <w:rPr>
                <w:szCs w:val="21"/>
              </w:rPr>
            </w:pPr>
            <w:r w:rsidRPr="000549B1">
              <w:rPr>
                <w:szCs w:val="21"/>
              </w:rPr>
              <w:t>/</w:t>
            </w:r>
          </w:p>
        </w:tc>
        <w:tc>
          <w:tcPr>
            <w:tcW w:w="1182" w:type="pct"/>
            <w:tcBorders>
              <w:top w:val="single" w:sz="2" w:space="0" w:color="auto"/>
              <w:left w:val="single" w:sz="2" w:space="0" w:color="auto"/>
              <w:bottom w:val="single" w:sz="2" w:space="0" w:color="auto"/>
              <w:right w:val="single" w:sz="2" w:space="0" w:color="auto"/>
            </w:tcBorders>
            <w:vAlign w:val="center"/>
          </w:tcPr>
          <w:p w14:paraId="7ACFB0F0" w14:textId="77777777" w:rsidR="00B81685" w:rsidRPr="000549B1" w:rsidRDefault="00B81685" w:rsidP="00D33EF7">
            <w:pPr>
              <w:pStyle w:val="afff5"/>
              <w:rPr>
                <w:szCs w:val="21"/>
              </w:rPr>
            </w:pPr>
            <w:r w:rsidRPr="000549B1">
              <w:rPr>
                <w:szCs w:val="21"/>
              </w:rPr>
              <w:t>参考资料</w:t>
            </w:r>
          </w:p>
        </w:tc>
        <w:tc>
          <w:tcPr>
            <w:tcW w:w="419" w:type="pct"/>
            <w:tcBorders>
              <w:top w:val="single" w:sz="2" w:space="0" w:color="auto"/>
              <w:left w:val="single" w:sz="2" w:space="0" w:color="auto"/>
              <w:bottom w:val="single" w:sz="2" w:space="0" w:color="auto"/>
              <w:right w:val="single" w:sz="2" w:space="0" w:color="auto"/>
            </w:tcBorders>
            <w:vAlign w:val="center"/>
          </w:tcPr>
          <w:p w14:paraId="0CC3F04F" w14:textId="77777777" w:rsidR="00B81685" w:rsidRPr="000549B1" w:rsidRDefault="00B81685" w:rsidP="00D33EF7">
            <w:pPr>
              <w:pStyle w:val="afff5"/>
              <w:rPr>
                <w:szCs w:val="21"/>
              </w:rPr>
            </w:pPr>
          </w:p>
        </w:tc>
      </w:tr>
      <w:tr w:rsidR="000549B1" w:rsidRPr="000549B1" w14:paraId="48EE42EB" w14:textId="77777777" w:rsidTr="00B81685">
        <w:tc>
          <w:tcPr>
            <w:tcW w:w="392" w:type="pct"/>
            <w:tcBorders>
              <w:top w:val="single" w:sz="2" w:space="0" w:color="auto"/>
              <w:left w:val="single" w:sz="2" w:space="0" w:color="auto"/>
              <w:bottom w:val="single" w:sz="2" w:space="0" w:color="auto"/>
              <w:right w:val="single" w:sz="2" w:space="0" w:color="auto"/>
            </w:tcBorders>
            <w:vAlign w:val="center"/>
          </w:tcPr>
          <w:p w14:paraId="57D7071E" w14:textId="77777777" w:rsidR="00B81685" w:rsidRPr="000549B1" w:rsidRDefault="00B81685" w:rsidP="00D33EF7">
            <w:pPr>
              <w:pStyle w:val="afff5"/>
              <w:rPr>
                <w:szCs w:val="21"/>
              </w:rPr>
            </w:pPr>
            <w:r w:rsidRPr="000549B1">
              <w:rPr>
                <w:szCs w:val="21"/>
              </w:rPr>
              <w:t>5</w:t>
            </w:r>
          </w:p>
        </w:tc>
        <w:tc>
          <w:tcPr>
            <w:tcW w:w="681" w:type="pct"/>
            <w:tcBorders>
              <w:top w:val="single" w:sz="2" w:space="0" w:color="auto"/>
              <w:left w:val="single" w:sz="2" w:space="0" w:color="auto"/>
              <w:bottom w:val="single" w:sz="2" w:space="0" w:color="auto"/>
              <w:right w:val="single" w:sz="2" w:space="0" w:color="auto"/>
            </w:tcBorders>
            <w:vAlign w:val="center"/>
          </w:tcPr>
          <w:p w14:paraId="6F38FC76" w14:textId="77777777" w:rsidR="00B81685" w:rsidRPr="000549B1" w:rsidRDefault="00B81685" w:rsidP="00D33EF7">
            <w:pPr>
              <w:pStyle w:val="afff5"/>
              <w:rPr>
                <w:szCs w:val="21"/>
              </w:rPr>
            </w:pPr>
            <w:r w:rsidRPr="000549B1">
              <w:rPr>
                <w:szCs w:val="21"/>
              </w:rPr>
              <w:t>红隼</w:t>
            </w:r>
          </w:p>
        </w:tc>
        <w:tc>
          <w:tcPr>
            <w:tcW w:w="1413" w:type="pct"/>
            <w:tcBorders>
              <w:top w:val="single" w:sz="2" w:space="0" w:color="auto"/>
              <w:left w:val="single" w:sz="2" w:space="0" w:color="auto"/>
              <w:bottom w:val="single" w:sz="2" w:space="0" w:color="auto"/>
              <w:right w:val="single" w:sz="2" w:space="0" w:color="auto"/>
            </w:tcBorders>
            <w:vAlign w:val="center"/>
          </w:tcPr>
          <w:p w14:paraId="783A30A7" w14:textId="77777777" w:rsidR="00B81685" w:rsidRPr="000549B1" w:rsidRDefault="00B81685" w:rsidP="00D33EF7">
            <w:pPr>
              <w:pStyle w:val="afff5"/>
              <w:rPr>
                <w:szCs w:val="21"/>
              </w:rPr>
            </w:pPr>
            <w:r w:rsidRPr="000549B1">
              <w:rPr>
                <w:szCs w:val="21"/>
              </w:rPr>
              <w:t>Falcotinnunculus</w:t>
            </w:r>
          </w:p>
        </w:tc>
        <w:tc>
          <w:tcPr>
            <w:tcW w:w="482" w:type="pct"/>
            <w:tcBorders>
              <w:top w:val="single" w:sz="2" w:space="0" w:color="auto"/>
              <w:left w:val="single" w:sz="2" w:space="0" w:color="auto"/>
              <w:bottom w:val="single" w:sz="2" w:space="0" w:color="auto"/>
              <w:right w:val="single" w:sz="2" w:space="0" w:color="auto"/>
            </w:tcBorders>
            <w:vAlign w:val="center"/>
          </w:tcPr>
          <w:p w14:paraId="6B69652F" w14:textId="77777777" w:rsidR="00B81685" w:rsidRPr="000549B1" w:rsidRDefault="00B81685" w:rsidP="00D33EF7">
            <w:pPr>
              <w:pStyle w:val="afff5"/>
              <w:rPr>
                <w:szCs w:val="21"/>
              </w:rPr>
            </w:pPr>
            <w:r w:rsidRPr="000549B1">
              <w:rPr>
                <w:szCs w:val="21"/>
              </w:rPr>
              <w:t>国</w:t>
            </w:r>
            <w:r w:rsidRPr="000549B1">
              <w:rPr>
                <w:rFonts w:hint="eastAsia"/>
                <w:sz w:val="24"/>
                <w:szCs w:val="24"/>
              </w:rPr>
              <w:t>二</w:t>
            </w:r>
          </w:p>
        </w:tc>
        <w:tc>
          <w:tcPr>
            <w:tcW w:w="430" w:type="pct"/>
            <w:tcBorders>
              <w:top w:val="single" w:sz="2" w:space="0" w:color="auto"/>
              <w:left w:val="single" w:sz="2" w:space="0" w:color="auto"/>
              <w:bottom w:val="single" w:sz="2" w:space="0" w:color="auto"/>
              <w:right w:val="single" w:sz="2" w:space="0" w:color="auto"/>
            </w:tcBorders>
            <w:vAlign w:val="center"/>
          </w:tcPr>
          <w:p w14:paraId="455BB948" w14:textId="77777777" w:rsidR="00B81685" w:rsidRPr="000549B1" w:rsidRDefault="00B81685" w:rsidP="00D33EF7">
            <w:pPr>
              <w:pStyle w:val="afff5"/>
              <w:rPr>
                <w:szCs w:val="21"/>
              </w:rPr>
            </w:pPr>
            <w:r w:rsidRPr="000549B1">
              <w:rPr>
                <w:szCs w:val="21"/>
              </w:rPr>
              <w:t>/</w:t>
            </w:r>
          </w:p>
        </w:tc>
        <w:tc>
          <w:tcPr>
            <w:tcW w:w="1182" w:type="pct"/>
            <w:tcBorders>
              <w:top w:val="single" w:sz="2" w:space="0" w:color="auto"/>
              <w:left w:val="single" w:sz="2" w:space="0" w:color="auto"/>
              <w:bottom w:val="single" w:sz="2" w:space="0" w:color="auto"/>
              <w:right w:val="single" w:sz="2" w:space="0" w:color="auto"/>
            </w:tcBorders>
            <w:vAlign w:val="center"/>
          </w:tcPr>
          <w:p w14:paraId="6ADFC6B6" w14:textId="77777777" w:rsidR="00B81685" w:rsidRPr="000549B1" w:rsidRDefault="00B81685" w:rsidP="00D33EF7">
            <w:pPr>
              <w:pStyle w:val="afff5"/>
              <w:rPr>
                <w:szCs w:val="21"/>
              </w:rPr>
            </w:pPr>
            <w:r w:rsidRPr="000549B1">
              <w:rPr>
                <w:szCs w:val="21"/>
              </w:rPr>
              <w:t>资料</w:t>
            </w:r>
          </w:p>
        </w:tc>
        <w:tc>
          <w:tcPr>
            <w:tcW w:w="419" w:type="pct"/>
            <w:tcBorders>
              <w:top w:val="single" w:sz="2" w:space="0" w:color="auto"/>
              <w:left w:val="single" w:sz="2" w:space="0" w:color="auto"/>
              <w:bottom w:val="single" w:sz="2" w:space="0" w:color="auto"/>
              <w:right w:val="single" w:sz="2" w:space="0" w:color="auto"/>
            </w:tcBorders>
            <w:vAlign w:val="center"/>
          </w:tcPr>
          <w:p w14:paraId="25D71FDE" w14:textId="77777777" w:rsidR="00B81685" w:rsidRPr="000549B1" w:rsidRDefault="00B81685" w:rsidP="00D33EF7">
            <w:pPr>
              <w:pStyle w:val="afff5"/>
              <w:rPr>
                <w:szCs w:val="21"/>
              </w:rPr>
            </w:pPr>
          </w:p>
        </w:tc>
      </w:tr>
      <w:tr w:rsidR="000549B1" w:rsidRPr="000549B1" w14:paraId="6A0A512B" w14:textId="77777777" w:rsidTr="00B81685">
        <w:tc>
          <w:tcPr>
            <w:tcW w:w="392" w:type="pct"/>
            <w:tcBorders>
              <w:top w:val="single" w:sz="2" w:space="0" w:color="auto"/>
              <w:left w:val="single" w:sz="2" w:space="0" w:color="auto"/>
              <w:bottom w:val="single" w:sz="2" w:space="0" w:color="auto"/>
              <w:right w:val="single" w:sz="2" w:space="0" w:color="auto"/>
            </w:tcBorders>
            <w:vAlign w:val="center"/>
          </w:tcPr>
          <w:p w14:paraId="7789FED8" w14:textId="77777777" w:rsidR="00B81685" w:rsidRPr="000549B1" w:rsidRDefault="00B81685" w:rsidP="00D33EF7">
            <w:pPr>
              <w:pStyle w:val="afff5"/>
              <w:rPr>
                <w:szCs w:val="21"/>
              </w:rPr>
            </w:pPr>
            <w:r w:rsidRPr="000549B1">
              <w:rPr>
                <w:szCs w:val="21"/>
              </w:rPr>
              <w:t>6</w:t>
            </w:r>
          </w:p>
        </w:tc>
        <w:tc>
          <w:tcPr>
            <w:tcW w:w="681" w:type="pct"/>
            <w:tcBorders>
              <w:top w:val="single" w:sz="2" w:space="0" w:color="auto"/>
              <w:left w:val="single" w:sz="2" w:space="0" w:color="auto"/>
              <w:bottom w:val="single" w:sz="2" w:space="0" w:color="auto"/>
              <w:right w:val="single" w:sz="2" w:space="0" w:color="auto"/>
            </w:tcBorders>
            <w:vAlign w:val="center"/>
          </w:tcPr>
          <w:p w14:paraId="04029DA2" w14:textId="77777777" w:rsidR="00B81685" w:rsidRPr="000549B1" w:rsidRDefault="00B81685" w:rsidP="00D33EF7">
            <w:pPr>
              <w:pStyle w:val="afff5"/>
              <w:rPr>
                <w:szCs w:val="21"/>
              </w:rPr>
            </w:pPr>
            <w:r w:rsidRPr="000549B1">
              <w:rPr>
                <w:szCs w:val="21"/>
              </w:rPr>
              <w:t>燕隼</w:t>
            </w:r>
          </w:p>
        </w:tc>
        <w:tc>
          <w:tcPr>
            <w:tcW w:w="1413" w:type="pct"/>
            <w:tcBorders>
              <w:top w:val="single" w:sz="2" w:space="0" w:color="auto"/>
              <w:left w:val="single" w:sz="2" w:space="0" w:color="auto"/>
              <w:bottom w:val="single" w:sz="2" w:space="0" w:color="auto"/>
              <w:right w:val="single" w:sz="2" w:space="0" w:color="auto"/>
            </w:tcBorders>
            <w:vAlign w:val="center"/>
          </w:tcPr>
          <w:p w14:paraId="7365F863" w14:textId="77777777" w:rsidR="00B81685" w:rsidRPr="000549B1" w:rsidRDefault="00B81685" w:rsidP="00D33EF7">
            <w:pPr>
              <w:pStyle w:val="afff5"/>
              <w:rPr>
                <w:szCs w:val="21"/>
              </w:rPr>
            </w:pPr>
            <w:r w:rsidRPr="000549B1">
              <w:rPr>
                <w:szCs w:val="21"/>
              </w:rPr>
              <w:t>Falcosubbuteo</w:t>
            </w:r>
          </w:p>
        </w:tc>
        <w:tc>
          <w:tcPr>
            <w:tcW w:w="482" w:type="pct"/>
            <w:tcBorders>
              <w:top w:val="single" w:sz="2" w:space="0" w:color="auto"/>
              <w:left w:val="single" w:sz="2" w:space="0" w:color="auto"/>
              <w:bottom w:val="single" w:sz="2" w:space="0" w:color="auto"/>
              <w:right w:val="single" w:sz="2" w:space="0" w:color="auto"/>
            </w:tcBorders>
            <w:vAlign w:val="center"/>
          </w:tcPr>
          <w:p w14:paraId="29F6D212" w14:textId="77777777" w:rsidR="00B81685" w:rsidRPr="000549B1" w:rsidRDefault="00B81685" w:rsidP="00D33EF7">
            <w:pPr>
              <w:pStyle w:val="afff5"/>
              <w:rPr>
                <w:szCs w:val="21"/>
              </w:rPr>
            </w:pPr>
            <w:r w:rsidRPr="000549B1">
              <w:rPr>
                <w:szCs w:val="21"/>
              </w:rPr>
              <w:t>国</w:t>
            </w:r>
            <w:r w:rsidRPr="000549B1">
              <w:rPr>
                <w:rFonts w:hint="eastAsia"/>
                <w:sz w:val="24"/>
                <w:szCs w:val="24"/>
              </w:rPr>
              <w:t>二</w:t>
            </w:r>
          </w:p>
        </w:tc>
        <w:tc>
          <w:tcPr>
            <w:tcW w:w="430" w:type="pct"/>
            <w:tcBorders>
              <w:top w:val="single" w:sz="2" w:space="0" w:color="auto"/>
              <w:left w:val="single" w:sz="2" w:space="0" w:color="auto"/>
              <w:bottom w:val="single" w:sz="2" w:space="0" w:color="auto"/>
              <w:right w:val="single" w:sz="2" w:space="0" w:color="auto"/>
            </w:tcBorders>
            <w:vAlign w:val="center"/>
          </w:tcPr>
          <w:p w14:paraId="7CE5C9C9" w14:textId="77777777" w:rsidR="00B81685" w:rsidRPr="000549B1" w:rsidRDefault="00B81685" w:rsidP="00D33EF7">
            <w:pPr>
              <w:pStyle w:val="afff5"/>
              <w:rPr>
                <w:szCs w:val="21"/>
              </w:rPr>
            </w:pPr>
            <w:r w:rsidRPr="000549B1">
              <w:rPr>
                <w:szCs w:val="21"/>
              </w:rPr>
              <w:t>/</w:t>
            </w:r>
          </w:p>
        </w:tc>
        <w:tc>
          <w:tcPr>
            <w:tcW w:w="1182" w:type="pct"/>
            <w:tcBorders>
              <w:top w:val="single" w:sz="2" w:space="0" w:color="auto"/>
              <w:left w:val="single" w:sz="2" w:space="0" w:color="auto"/>
              <w:bottom w:val="single" w:sz="2" w:space="0" w:color="auto"/>
              <w:right w:val="single" w:sz="2" w:space="0" w:color="auto"/>
            </w:tcBorders>
            <w:vAlign w:val="center"/>
          </w:tcPr>
          <w:p w14:paraId="167B2EA4" w14:textId="77777777" w:rsidR="00B81685" w:rsidRPr="000549B1" w:rsidRDefault="00B81685" w:rsidP="00D33EF7">
            <w:pPr>
              <w:pStyle w:val="afff5"/>
              <w:rPr>
                <w:szCs w:val="21"/>
              </w:rPr>
            </w:pPr>
            <w:r w:rsidRPr="000549B1">
              <w:rPr>
                <w:szCs w:val="21"/>
              </w:rPr>
              <w:t>资料</w:t>
            </w:r>
          </w:p>
        </w:tc>
        <w:tc>
          <w:tcPr>
            <w:tcW w:w="419" w:type="pct"/>
            <w:tcBorders>
              <w:top w:val="single" w:sz="2" w:space="0" w:color="auto"/>
              <w:left w:val="single" w:sz="2" w:space="0" w:color="auto"/>
              <w:bottom w:val="single" w:sz="2" w:space="0" w:color="auto"/>
              <w:right w:val="single" w:sz="2" w:space="0" w:color="auto"/>
            </w:tcBorders>
            <w:vAlign w:val="center"/>
          </w:tcPr>
          <w:p w14:paraId="0EB8FE8E" w14:textId="77777777" w:rsidR="00B81685" w:rsidRPr="000549B1" w:rsidRDefault="00B81685" w:rsidP="00D33EF7">
            <w:pPr>
              <w:pStyle w:val="afff5"/>
              <w:rPr>
                <w:szCs w:val="21"/>
              </w:rPr>
            </w:pPr>
          </w:p>
        </w:tc>
      </w:tr>
      <w:tr w:rsidR="000549B1" w:rsidRPr="000549B1" w14:paraId="49F82E05" w14:textId="77777777" w:rsidTr="00B81685">
        <w:tc>
          <w:tcPr>
            <w:tcW w:w="392" w:type="pct"/>
            <w:tcBorders>
              <w:top w:val="single" w:sz="2" w:space="0" w:color="auto"/>
              <w:left w:val="single" w:sz="2" w:space="0" w:color="auto"/>
              <w:bottom w:val="single" w:sz="2" w:space="0" w:color="auto"/>
              <w:right w:val="single" w:sz="2" w:space="0" w:color="auto"/>
            </w:tcBorders>
            <w:vAlign w:val="center"/>
          </w:tcPr>
          <w:p w14:paraId="28D8D8AE" w14:textId="77777777" w:rsidR="00B81685" w:rsidRPr="000549B1" w:rsidRDefault="00B81685" w:rsidP="00D33EF7">
            <w:pPr>
              <w:pStyle w:val="afff5"/>
              <w:rPr>
                <w:szCs w:val="21"/>
              </w:rPr>
            </w:pPr>
            <w:r w:rsidRPr="000549B1">
              <w:rPr>
                <w:szCs w:val="21"/>
              </w:rPr>
              <w:t>7</w:t>
            </w:r>
          </w:p>
        </w:tc>
        <w:tc>
          <w:tcPr>
            <w:tcW w:w="681" w:type="pct"/>
            <w:tcBorders>
              <w:top w:val="single" w:sz="2" w:space="0" w:color="auto"/>
              <w:left w:val="single" w:sz="2" w:space="0" w:color="auto"/>
              <w:bottom w:val="single" w:sz="2" w:space="0" w:color="auto"/>
              <w:right w:val="single" w:sz="2" w:space="0" w:color="auto"/>
            </w:tcBorders>
            <w:vAlign w:val="center"/>
          </w:tcPr>
          <w:p w14:paraId="21FD60EE" w14:textId="77777777" w:rsidR="00B81685" w:rsidRPr="000549B1" w:rsidRDefault="00B81685" w:rsidP="00D33EF7">
            <w:pPr>
              <w:pStyle w:val="afff5"/>
              <w:rPr>
                <w:szCs w:val="21"/>
              </w:rPr>
            </w:pPr>
            <w:r w:rsidRPr="000549B1">
              <w:rPr>
                <w:szCs w:val="21"/>
              </w:rPr>
              <w:t>猎隼</w:t>
            </w:r>
          </w:p>
        </w:tc>
        <w:tc>
          <w:tcPr>
            <w:tcW w:w="1413" w:type="pct"/>
            <w:tcBorders>
              <w:top w:val="single" w:sz="2" w:space="0" w:color="auto"/>
              <w:left w:val="single" w:sz="2" w:space="0" w:color="auto"/>
              <w:bottom w:val="single" w:sz="2" w:space="0" w:color="auto"/>
              <w:right w:val="single" w:sz="2" w:space="0" w:color="auto"/>
            </w:tcBorders>
            <w:vAlign w:val="center"/>
          </w:tcPr>
          <w:p w14:paraId="107C5C83" w14:textId="77777777" w:rsidR="00B81685" w:rsidRPr="000549B1" w:rsidRDefault="00B81685" w:rsidP="00D33EF7">
            <w:pPr>
              <w:pStyle w:val="afff5"/>
              <w:rPr>
                <w:szCs w:val="21"/>
              </w:rPr>
            </w:pPr>
            <w:r w:rsidRPr="000549B1">
              <w:rPr>
                <w:szCs w:val="21"/>
              </w:rPr>
              <w:t>Falcocherrug</w:t>
            </w:r>
          </w:p>
        </w:tc>
        <w:tc>
          <w:tcPr>
            <w:tcW w:w="482" w:type="pct"/>
            <w:tcBorders>
              <w:top w:val="single" w:sz="2" w:space="0" w:color="auto"/>
              <w:left w:val="single" w:sz="2" w:space="0" w:color="auto"/>
              <w:bottom w:val="single" w:sz="2" w:space="0" w:color="auto"/>
              <w:right w:val="single" w:sz="2" w:space="0" w:color="auto"/>
            </w:tcBorders>
            <w:vAlign w:val="center"/>
          </w:tcPr>
          <w:p w14:paraId="0DF5BD19" w14:textId="77777777" w:rsidR="00B81685" w:rsidRPr="000549B1" w:rsidRDefault="00B81685" w:rsidP="00D33EF7">
            <w:pPr>
              <w:pStyle w:val="afff5"/>
              <w:rPr>
                <w:szCs w:val="21"/>
              </w:rPr>
            </w:pPr>
            <w:r w:rsidRPr="000549B1">
              <w:rPr>
                <w:szCs w:val="21"/>
              </w:rPr>
              <w:t>国</w:t>
            </w:r>
            <w:r w:rsidRPr="000549B1">
              <w:rPr>
                <w:rFonts w:hint="eastAsia"/>
                <w:sz w:val="24"/>
                <w:szCs w:val="24"/>
              </w:rPr>
              <w:t>二</w:t>
            </w:r>
          </w:p>
        </w:tc>
        <w:tc>
          <w:tcPr>
            <w:tcW w:w="430" w:type="pct"/>
            <w:tcBorders>
              <w:top w:val="single" w:sz="2" w:space="0" w:color="auto"/>
              <w:left w:val="single" w:sz="2" w:space="0" w:color="auto"/>
              <w:bottom w:val="single" w:sz="2" w:space="0" w:color="auto"/>
              <w:right w:val="single" w:sz="2" w:space="0" w:color="auto"/>
            </w:tcBorders>
            <w:vAlign w:val="center"/>
          </w:tcPr>
          <w:p w14:paraId="276421B4" w14:textId="77777777" w:rsidR="00B81685" w:rsidRPr="000549B1" w:rsidRDefault="00B81685" w:rsidP="00D33EF7">
            <w:pPr>
              <w:pStyle w:val="afff5"/>
              <w:rPr>
                <w:szCs w:val="21"/>
              </w:rPr>
            </w:pPr>
            <w:r w:rsidRPr="000549B1">
              <w:rPr>
                <w:szCs w:val="21"/>
              </w:rPr>
              <w:t>EN</w:t>
            </w:r>
          </w:p>
        </w:tc>
        <w:tc>
          <w:tcPr>
            <w:tcW w:w="1182" w:type="pct"/>
            <w:tcBorders>
              <w:top w:val="single" w:sz="2" w:space="0" w:color="auto"/>
              <w:left w:val="single" w:sz="2" w:space="0" w:color="auto"/>
              <w:bottom w:val="single" w:sz="2" w:space="0" w:color="auto"/>
              <w:right w:val="single" w:sz="2" w:space="0" w:color="auto"/>
            </w:tcBorders>
            <w:vAlign w:val="center"/>
          </w:tcPr>
          <w:p w14:paraId="476DC404" w14:textId="77777777" w:rsidR="00B81685" w:rsidRPr="000549B1" w:rsidRDefault="00B81685" w:rsidP="00D33EF7">
            <w:pPr>
              <w:pStyle w:val="afff5"/>
              <w:rPr>
                <w:szCs w:val="21"/>
              </w:rPr>
            </w:pPr>
            <w:r w:rsidRPr="000549B1">
              <w:rPr>
                <w:szCs w:val="21"/>
              </w:rPr>
              <w:t>资料</w:t>
            </w:r>
          </w:p>
        </w:tc>
        <w:tc>
          <w:tcPr>
            <w:tcW w:w="419" w:type="pct"/>
            <w:tcBorders>
              <w:top w:val="single" w:sz="2" w:space="0" w:color="auto"/>
              <w:left w:val="single" w:sz="2" w:space="0" w:color="auto"/>
              <w:bottom w:val="single" w:sz="2" w:space="0" w:color="auto"/>
              <w:right w:val="single" w:sz="2" w:space="0" w:color="auto"/>
            </w:tcBorders>
            <w:vAlign w:val="center"/>
          </w:tcPr>
          <w:p w14:paraId="5905AE2F" w14:textId="77777777" w:rsidR="00B81685" w:rsidRPr="000549B1" w:rsidRDefault="00B81685" w:rsidP="00D33EF7">
            <w:pPr>
              <w:pStyle w:val="afff5"/>
              <w:rPr>
                <w:szCs w:val="21"/>
              </w:rPr>
            </w:pPr>
          </w:p>
        </w:tc>
      </w:tr>
      <w:tr w:rsidR="000549B1" w:rsidRPr="000549B1" w14:paraId="3FAC0809" w14:textId="77777777" w:rsidTr="00B81685">
        <w:tc>
          <w:tcPr>
            <w:tcW w:w="392" w:type="pct"/>
            <w:tcBorders>
              <w:top w:val="single" w:sz="2" w:space="0" w:color="auto"/>
              <w:left w:val="single" w:sz="2" w:space="0" w:color="auto"/>
              <w:bottom w:val="single" w:sz="2" w:space="0" w:color="auto"/>
              <w:right w:val="single" w:sz="2" w:space="0" w:color="auto"/>
            </w:tcBorders>
            <w:vAlign w:val="center"/>
          </w:tcPr>
          <w:p w14:paraId="510A53B3" w14:textId="77777777" w:rsidR="00B81685" w:rsidRPr="000549B1" w:rsidRDefault="00B81685" w:rsidP="00D33EF7">
            <w:pPr>
              <w:pStyle w:val="afff5"/>
              <w:rPr>
                <w:szCs w:val="21"/>
              </w:rPr>
            </w:pPr>
            <w:r w:rsidRPr="000549B1">
              <w:rPr>
                <w:szCs w:val="21"/>
              </w:rPr>
              <w:t>8</w:t>
            </w:r>
          </w:p>
        </w:tc>
        <w:tc>
          <w:tcPr>
            <w:tcW w:w="681" w:type="pct"/>
            <w:tcBorders>
              <w:top w:val="single" w:sz="2" w:space="0" w:color="auto"/>
              <w:left w:val="single" w:sz="2" w:space="0" w:color="auto"/>
              <w:bottom w:val="single" w:sz="2" w:space="0" w:color="auto"/>
              <w:right w:val="single" w:sz="2" w:space="0" w:color="auto"/>
            </w:tcBorders>
            <w:vAlign w:val="center"/>
          </w:tcPr>
          <w:p w14:paraId="1439EAB9" w14:textId="77777777" w:rsidR="00B81685" w:rsidRPr="000549B1" w:rsidRDefault="00B81685" w:rsidP="00D33EF7">
            <w:pPr>
              <w:pStyle w:val="afff5"/>
              <w:rPr>
                <w:szCs w:val="21"/>
              </w:rPr>
            </w:pPr>
            <w:r w:rsidRPr="000549B1">
              <w:rPr>
                <w:szCs w:val="21"/>
              </w:rPr>
              <w:t>藏雪鸡</w:t>
            </w:r>
          </w:p>
        </w:tc>
        <w:tc>
          <w:tcPr>
            <w:tcW w:w="1413" w:type="pct"/>
            <w:tcBorders>
              <w:top w:val="single" w:sz="2" w:space="0" w:color="auto"/>
              <w:left w:val="single" w:sz="2" w:space="0" w:color="auto"/>
              <w:bottom w:val="single" w:sz="2" w:space="0" w:color="auto"/>
              <w:right w:val="single" w:sz="2" w:space="0" w:color="auto"/>
            </w:tcBorders>
            <w:vAlign w:val="center"/>
          </w:tcPr>
          <w:p w14:paraId="0CEE75E1" w14:textId="77777777" w:rsidR="00B81685" w:rsidRPr="000549B1" w:rsidRDefault="00B81685" w:rsidP="00D33EF7">
            <w:pPr>
              <w:pStyle w:val="afff5"/>
              <w:rPr>
                <w:szCs w:val="21"/>
              </w:rPr>
            </w:pPr>
            <w:r w:rsidRPr="000549B1">
              <w:rPr>
                <w:szCs w:val="21"/>
              </w:rPr>
              <w:t>Tetraogallustibetanus</w:t>
            </w:r>
          </w:p>
        </w:tc>
        <w:tc>
          <w:tcPr>
            <w:tcW w:w="482" w:type="pct"/>
            <w:tcBorders>
              <w:top w:val="single" w:sz="2" w:space="0" w:color="auto"/>
              <w:left w:val="single" w:sz="2" w:space="0" w:color="auto"/>
              <w:bottom w:val="single" w:sz="2" w:space="0" w:color="auto"/>
              <w:right w:val="single" w:sz="2" w:space="0" w:color="auto"/>
            </w:tcBorders>
            <w:vAlign w:val="center"/>
          </w:tcPr>
          <w:p w14:paraId="332CF4D5" w14:textId="77777777" w:rsidR="00B81685" w:rsidRPr="000549B1" w:rsidRDefault="00B81685" w:rsidP="00D33EF7">
            <w:pPr>
              <w:pStyle w:val="afff5"/>
              <w:rPr>
                <w:szCs w:val="21"/>
              </w:rPr>
            </w:pPr>
            <w:r w:rsidRPr="000549B1">
              <w:rPr>
                <w:szCs w:val="21"/>
              </w:rPr>
              <w:t>国</w:t>
            </w:r>
            <w:r w:rsidRPr="000549B1">
              <w:rPr>
                <w:rFonts w:hint="eastAsia"/>
                <w:sz w:val="24"/>
                <w:szCs w:val="24"/>
              </w:rPr>
              <w:t>二</w:t>
            </w:r>
          </w:p>
        </w:tc>
        <w:tc>
          <w:tcPr>
            <w:tcW w:w="430" w:type="pct"/>
            <w:tcBorders>
              <w:top w:val="single" w:sz="2" w:space="0" w:color="auto"/>
              <w:left w:val="single" w:sz="2" w:space="0" w:color="auto"/>
              <w:bottom w:val="single" w:sz="2" w:space="0" w:color="auto"/>
              <w:right w:val="single" w:sz="2" w:space="0" w:color="auto"/>
            </w:tcBorders>
            <w:vAlign w:val="center"/>
          </w:tcPr>
          <w:p w14:paraId="5EB95CC7" w14:textId="77777777" w:rsidR="00B81685" w:rsidRPr="000549B1" w:rsidRDefault="00B81685" w:rsidP="00D33EF7">
            <w:pPr>
              <w:pStyle w:val="afff5"/>
              <w:rPr>
                <w:szCs w:val="21"/>
              </w:rPr>
            </w:pPr>
            <w:r w:rsidRPr="000549B1">
              <w:rPr>
                <w:szCs w:val="21"/>
              </w:rPr>
              <w:t>NT</w:t>
            </w:r>
          </w:p>
        </w:tc>
        <w:tc>
          <w:tcPr>
            <w:tcW w:w="1182" w:type="pct"/>
            <w:tcBorders>
              <w:top w:val="single" w:sz="2" w:space="0" w:color="auto"/>
              <w:left w:val="single" w:sz="2" w:space="0" w:color="auto"/>
              <w:bottom w:val="single" w:sz="2" w:space="0" w:color="auto"/>
              <w:right w:val="single" w:sz="2" w:space="0" w:color="auto"/>
            </w:tcBorders>
            <w:vAlign w:val="center"/>
          </w:tcPr>
          <w:p w14:paraId="0829307D" w14:textId="77777777" w:rsidR="00B81685" w:rsidRPr="000549B1" w:rsidRDefault="00B81685" w:rsidP="00D33EF7">
            <w:pPr>
              <w:pStyle w:val="afff5"/>
              <w:rPr>
                <w:szCs w:val="21"/>
              </w:rPr>
            </w:pPr>
            <w:r w:rsidRPr="000549B1">
              <w:rPr>
                <w:szCs w:val="21"/>
              </w:rPr>
              <w:t>资料</w:t>
            </w:r>
          </w:p>
        </w:tc>
        <w:tc>
          <w:tcPr>
            <w:tcW w:w="419" w:type="pct"/>
            <w:tcBorders>
              <w:top w:val="single" w:sz="2" w:space="0" w:color="auto"/>
              <w:left w:val="single" w:sz="2" w:space="0" w:color="auto"/>
              <w:bottom w:val="single" w:sz="2" w:space="0" w:color="auto"/>
              <w:right w:val="single" w:sz="2" w:space="0" w:color="auto"/>
            </w:tcBorders>
            <w:vAlign w:val="center"/>
          </w:tcPr>
          <w:p w14:paraId="2F35D7FE" w14:textId="77777777" w:rsidR="00B81685" w:rsidRPr="000549B1" w:rsidRDefault="00B81685" w:rsidP="00D33EF7">
            <w:pPr>
              <w:pStyle w:val="afff5"/>
              <w:rPr>
                <w:szCs w:val="21"/>
              </w:rPr>
            </w:pPr>
          </w:p>
        </w:tc>
      </w:tr>
      <w:tr w:rsidR="000549B1" w:rsidRPr="000549B1" w14:paraId="1886BDCC" w14:textId="77777777" w:rsidTr="00B81685">
        <w:tc>
          <w:tcPr>
            <w:tcW w:w="392" w:type="pct"/>
            <w:tcBorders>
              <w:top w:val="single" w:sz="2" w:space="0" w:color="auto"/>
              <w:left w:val="single" w:sz="2" w:space="0" w:color="auto"/>
              <w:bottom w:val="single" w:sz="2" w:space="0" w:color="auto"/>
              <w:right w:val="single" w:sz="2" w:space="0" w:color="auto"/>
            </w:tcBorders>
            <w:vAlign w:val="center"/>
          </w:tcPr>
          <w:p w14:paraId="45BD162A" w14:textId="77777777" w:rsidR="00B81685" w:rsidRPr="000549B1" w:rsidRDefault="00B81685" w:rsidP="00D33EF7">
            <w:pPr>
              <w:pStyle w:val="afff5"/>
              <w:rPr>
                <w:szCs w:val="21"/>
              </w:rPr>
            </w:pPr>
            <w:r w:rsidRPr="000549B1">
              <w:rPr>
                <w:szCs w:val="21"/>
              </w:rPr>
              <w:t>9</w:t>
            </w:r>
          </w:p>
        </w:tc>
        <w:tc>
          <w:tcPr>
            <w:tcW w:w="681" w:type="pct"/>
            <w:tcBorders>
              <w:top w:val="single" w:sz="2" w:space="0" w:color="auto"/>
              <w:left w:val="single" w:sz="2" w:space="0" w:color="auto"/>
              <w:bottom w:val="single" w:sz="2" w:space="0" w:color="auto"/>
              <w:right w:val="single" w:sz="2" w:space="0" w:color="auto"/>
            </w:tcBorders>
            <w:vAlign w:val="center"/>
          </w:tcPr>
          <w:p w14:paraId="02081B62" w14:textId="77777777" w:rsidR="00B81685" w:rsidRPr="000549B1" w:rsidRDefault="00B81685" w:rsidP="00D33EF7">
            <w:pPr>
              <w:pStyle w:val="afff5"/>
              <w:rPr>
                <w:szCs w:val="21"/>
              </w:rPr>
            </w:pPr>
            <w:r w:rsidRPr="000549B1">
              <w:rPr>
                <w:szCs w:val="21"/>
              </w:rPr>
              <w:t>鹮嘴鹬</w:t>
            </w:r>
          </w:p>
        </w:tc>
        <w:tc>
          <w:tcPr>
            <w:tcW w:w="1413" w:type="pct"/>
            <w:tcBorders>
              <w:top w:val="single" w:sz="2" w:space="0" w:color="auto"/>
              <w:left w:val="single" w:sz="2" w:space="0" w:color="auto"/>
              <w:bottom w:val="single" w:sz="2" w:space="0" w:color="auto"/>
              <w:right w:val="single" w:sz="2" w:space="0" w:color="auto"/>
            </w:tcBorders>
            <w:vAlign w:val="center"/>
          </w:tcPr>
          <w:p w14:paraId="0C0F3514" w14:textId="77777777" w:rsidR="00B81685" w:rsidRPr="000549B1" w:rsidRDefault="00B81685" w:rsidP="00D33EF7">
            <w:pPr>
              <w:pStyle w:val="afff5"/>
              <w:rPr>
                <w:szCs w:val="21"/>
              </w:rPr>
            </w:pPr>
            <w:r w:rsidRPr="000549B1">
              <w:rPr>
                <w:szCs w:val="21"/>
              </w:rPr>
              <w:t>Ibidorhynchastruthersii</w:t>
            </w:r>
          </w:p>
        </w:tc>
        <w:tc>
          <w:tcPr>
            <w:tcW w:w="482" w:type="pct"/>
            <w:tcBorders>
              <w:top w:val="single" w:sz="2" w:space="0" w:color="auto"/>
              <w:left w:val="single" w:sz="2" w:space="0" w:color="auto"/>
              <w:bottom w:val="single" w:sz="2" w:space="0" w:color="auto"/>
              <w:right w:val="single" w:sz="2" w:space="0" w:color="auto"/>
            </w:tcBorders>
            <w:vAlign w:val="center"/>
          </w:tcPr>
          <w:p w14:paraId="3E73F5C4" w14:textId="77777777" w:rsidR="00B81685" w:rsidRPr="000549B1" w:rsidRDefault="00B81685" w:rsidP="00D33EF7">
            <w:pPr>
              <w:pStyle w:val="afff5"/>
              <w:rPr>
                <w:szCs w:val="21"/>
              </w:rPr>
            </w:pPr>
            <w:r w:rsidRPr="000549B1">
              <w:rPr>
                <w:szCs w:val="21"/>
              </w:rPr>
              <w:t>国</w:t>
            </w:r>
            <w:r w:rsidRPr="000549B1">
              <w:rPr>
                <w:rFonts w:hint="eastAsia"/>
                <w:sz w:val="24"/>
                <w:szCs w:val="24"/>
              </w:rPr>
              <w:t>二</w:t>
            </w:r>
          </w:p>
        </w:tc>
        <w:tc>
          <w:tcPr>
            <w:tcW w:w="430" w:type="pct"/>
            <w:tcBorders>
              <w:top w:val="single" w:sz="2" w:space="0" w:color="auto"/>
              <w:left w:val="single" w:sz="2" w:space="0" w:color="auto"/>
              <w:bottom w:val="single" w:sz="2" w:space="0" w:color="auto"/>
              <w:right w:val="single" w:sz="2" w:space="0" w:color="auto"/>
            </w:tcBorders>
            <w:vAlign w:val="center"/>
          </w:tcPr>
          <w:p w14:paraId="01A84534" w14:textId="77777777" w:rsidR="00B81685" w:rsidRPr="000549B1" w:rsidRDefault="00B81685" w:rsidP="00D33EF7">
            <w:pPr>
              <w:pStyle w:val="afff5"/>
              <w:rPr>
                <w:szCs w:val="21"/>
              </w:rPr>
            </w:pPr>
            <w:r w:rsidRPr="000549B1">
              <w:rPr>
                <w:szCs w:val="21"/>
              </w:rPr>
              <w:t>NT</w:t>
            </w:r>
          </w:p>
        </w:tc>
        <w:tc>
          <w:tcPr>
            <w:tcW w:w="1182" w:type="pct"/>
            <w:tcBorders>
              <w:top w:val="single" w:sz="2" w:space="0" w:color="auto"/>
              <w:left w:val="single" w:sz="2" w:space="0" w:color="auto"/>
              <w:bottom w:val="single" w:sz="2" w:space="0" w:color="auto"/>
              <w:right w:val="single" w:sz="2" w:space="0" w:color="auto"/>
            </w:tcBorders>
            <w:vAlign w:val="center"/>
          </w:tcPr>
          <w:p w14:paraId="2F737A63" w14:textId="77777777" w:rsidR="00B81685" w:rsidRPr="000549B1" w:rsidRDefault="00B81685" w:rsidP="00D33EF7">
            <w:pPr>
              <w:pStyle w:val="afff5"/>
              <w:rPr>
                <w:szCs w:val="21"/>
              </w:rPr>
            </w:pPr>
            <w:r w:rsidRPr="000549B1">
              <w:rPr>
                <w:szCs w:val="21"/>
              </w:rPr>
              <w:t>资料</w:t>
            </w:r>
          </w:p>
        </w:tc>
        <w:tc>
          <w:tcPr>
            <w:tcW w:w="419" w:type="pct"/>
            <w:tcBorders>
              <w:top w:val="single" w:sz="2" w:space="0" w:color="auto"/>
              <w:left w:val="single" w:sz="2" w:space="0" w:color="auto"/>
              <w:bottom w:val="single" w:sz="2" w:space="0" w:color="auto"/>
              <w:right w:val="single" w:sz="2" w:space="0" w:color="auto"/>
            </w:tcBorders>
            <w:vAlign w:val="center"/>
          </w:tcPr>
          <w:p w14:paraId="7C2AFF08" w14:textId="77777777" w:rsidR="00B81685" w:rsidRPr="000549B1" w:rsidRDefault="00B81685" w:rsidP="00D33EF7">
            <w:pPr>
              <w:pStyle w:val="afff5"/>
              <w:rPr>
                <w:szCs w:val="21"/>
              </w:rPr>
            </w:pPr>
          </w:p>
        </w:tc>
      </w:tr>
      <w:tr w:rsidR="000549B1" w:rsidRPr="000549B1" w14:paraId="42114606" w14:textId="77777777" w:rsidTr="00B81685">
        <w:tc>
          <w:tcPr>
            <w:tcW w:w="392" w:type="pct"/>
            <w:tcBorders>
              <w:top w:val="single" w:sz="2" w:space="0" w:color="auto"/>
              <w:left w:val="single" w:sz="2" w:space="0" w:color="auto"/>
              <w:bottom w:val="single" w:sz="2" w:space="0" w:color="auto"/>
              <w:right w:val="single" w:sz="2" w:space="0" w:color="auto"/>
            </w:tcBorders>
            <w:vAlign w:val="center"/>
          </w:tcPr>
          <w:p w14:paraId="042BFBED" w14:textId="77777777" w:rsidR="00B81685" w:rsidRPr="000549B1" w:rsidRDefault="00B81685" w:rsidP="00D33EF7">
            <w:pPr>
              <w:pStyle w:val="afff5"/>
              <w:rPr>
                <w:szCs w:val="21"/>
              </w:rPr>
            </w:pPr>
            <w:r w:rsidRPr="000549B1">
              <w:rPr>
                <w:szCs w:val="21"/>
              </w:rPr>
              <w:t>10</w:t>
            </w:r>
          </w:p>
        </w:tc>
        <w:tc>
          <w:tcPr>
            <w:tcW w:w="681" w:type="pct"/>
            <w:tcBorders>
              <w:top w:val="single" w:sz="2" w:space="0" w:color="auto"/>
              <w:left w:val="single" w:sz="2" w:space="0" w:color="auto"/>
              <w:bottom w:val="single" w:sz="2" w:space="0" w:color="auto"/>
              <w:right w:val="single" w:sz="2" w:space="0" w:color="auto"/>
            </w:tcBorders>
            <w:vAlign w:val="center"/>
          </w:tcPr>
          <w:p w14:paraId="266C6B25" w14:textId="77777777" w:rsidR="00B81685" w:rsidRPr="000549B1" w:rsidRDefault="00B81685" w:rsidP="00D33EF7">
            <w:pPr>
              <w:pStyle w:val="afff5"/>
              <w:rPr>
                <w:szCs w:val="21"/>
              </w:rPr>
            </w:pPr>
            <w:r w:rsidRPr="000549B1">
              <w:rPr>
                <w:szCs w:val="21"/>
              </w:rPr>
              <w:t>雕鸮</w:t>
            </w:r>
          </w:p>
        </w:tc>
        <w:tc>
          <w:tcPr>
            <w:tcW w:w="1413" w:type="pct"/>
            <w:tcBorders>
              <w:top w:val="single" w:sz="2" w:space="0" w:color="auto"/>
              <w:left w:val="single" w:sz="2" w:space="0" w:color="auto"/>
              <w:bottom w:val="single" w:sz="2" w:space="0" w:color="auto"/>
              <w:right w:val="single" w:sz="2" w:space="0" w:color="auto"/>
            </w:tcBorders>
            <w:vAlign w:val="center"/>
          </w:tcPr>
          <w:p w14:paraId="28573F30" w14:textId="77777777" w:rsidR="00B81685" w:rsidRPr="000549B1" w:rsidRDefault="00B81685" w:rsidP="00D33EF7">
            <w:pPr>
              <w:pStyle w:val="afff5"/>
              <w:rPr>
                <w:szCs w:val="21"/>
              </w:rPr>
            </w:pPr>
            <w:r w:rsidRPr="000549B1">
              <w:rPr>
                <w:szCs w:val="21"/>
              </w:rPr>
              <w:t>Bubobubotibetanus</w:t>
            </w:r>
          </w:p>
        </w:tc>
        <w:tc>
          <w:tcPr>
            <w:tcW w:w="482" w:type="pct"/>
            <w:tcBorders>
              <w:top w:val="single" w:sz="2" w:space="0" w:color="auto"/>
              <w:left w:val="single" w:sz="2" w:space="0" w:color="auto"/>
              <w:bottom w:val="single" w:sz="2" w:space="0" w:color="auto"/>
              <w:right w:val="single" w:sz="2" w:space="0" w:color="auto"/>
            </w:tcBorders>
            <w:vAlign w:val="center"/>
          </w:tcPr>
          <w:p w14:paraId="361FD8A0" w14:textId="77777777" w:rsidR="00B81685" w:rsidRPr="000549B1" w:rsidRDefault="00B81685" w:rsidP="00D33EF7">
            <w:pPr>
              <w:pStyle w:val="afff5"/>
              <w:rPr>
                <w:szCs w:val="21"/>
              </w:rPr>
            </w:pPr>
            <w:r w:rsidRPr="000549B1">
              <w:rPr>
                <w:szCs w:val="21"/>
              </w:rPr>
              <w:t>国</w:t>
            </w:r>
            <w:r w:rsidRPr="000549B1">
              <w:rPr>
                <w:rFonts w:hint="eastAsia"/>
                <w:sz w:val="24"/>
                <w:szCs w:val="24"/>
              </w:rPr>
              <w:t>二</w:t>
            </w:r>
          </w:p>
        </w:tc>
        <w:tc>
          <w:tcPr>
            <w:tcW w:w="430" w:type="pct"/>
            <w:tcBorders>
              <w:top w:val="single" w:sz="2" w:space="0" w:color="auto"/>
              <w:left w:val="single" w:sz="2" w:space="0" w:color="auto"/>
              <w:bottom w:val="single" w:sz="2" w:space="0" w:color="auto"/>
              <w:right w:val="single" w:sz="2" w:space="0" w:color="auto"/>
            </w:tcBorders>
            <w:vAlign w:val="center"/>
          </w:tcPr>
          <w:p w14:paraId="7EC630D6" w14:textId="77777777" w:rsidR="00B81685" w:rsidRPr="000549B1" w:rsidRDefault="00B81685" w:rsidP="00D33EF7">
            <w:pPr>
              <w:pStyle w:val="afff5"/>
              <w:rPr>
                <w:szCs w:val="21"/>
              </w:rPr>
            </w:pPr>
            <w:r w:rsidRPr="000549B1">
              <w:rPr>
                <w:szCs w:val="21"/>
              </w:rPr>
              <w:t>NT</w:t>
            </w:r>
          </w:p>
        </w:tc>
        <w:tc>
          <w:tcPr>
            <w:tcW w:w="1182" w:type="pct"/>
            <w:tcBorders>
              <w:top w:val="single" w:sz="2" w:space="0" w:color="auto"/>
              <w:left w:val="single" w:sz="2" w:space="0" w:color="auto"/>
              <w:bottom w:val="single" w:sz="2" w:space="0" w:color="auto"/>
              <w:right w:val="single" w:sz="2" w:space="0" w:color="auto"/>
            </w:tcBorders>
            <w:vAlign w:val="center"/>
          </w:tcPr>
          <w:p w14:paraId="144C8339" w14:textId="77777777" w:rsidR="00B81685" w:rsidRPr="000549B1" w:rsidRDefault="00B81685" w:rsidP="00D33EF7">
            <w:pPr>
              <w:pStyle w:val="afff5"/>
              <w:rPr>
                <w:szCs w:val="21"/>
              </w:rPr>
            </w:pPr>
            <w:r w:rsidRPr="000549B1">
              <w:rPr>
                <w:szCs w:val="21"/>
              </w:rPr>
              <w:t>资料</w:t>
            </w:r>
          </w:p>
        </w:tc>
        <w:tc>
          <w:tcPr>
            <w:tcW w:w="419" w:type="pct"/>
            <w:tcBorders>
              <w:top w:val="single" w:sz="2" w:space="0" w:color="auto"/>
              <w:left w:val="single" w:sz="2" w:space="0" w:color="auto"/>
              <w:bottom w:val="single" w:sz="2" w:space="0" w:color="auto"/>
              <w:right w:val="single" w:sz="2" w:space="0" w:color="auto"/>
            </w:tcBorders>
            <w:vAlign w:val="center"/>
          </w:tcPr>
          <w:p w14:paraId="5652D063" w14:textId="77777777" w:rsidR="00B81685" w:rsidRPr="000549B1" w:rsidRDefault="00B81685" w:rsidP="00D33EF7">
            <w:pPr>
              <w:pStyle w:val="afff5"/>
              <w:rPr>
                <w:szCs w:val="21"/>
              </w:rPr>
            </w:pPr>
          </w:p>
        </w:tc>
      </w:tr>
      <w:tr w:rsidR="000549B1" w:rsidRPr="000549B1" w14:paraId="160ED69B" w14:textId="77777777" w:rsidTr="00B81685">
        <w:tc>
          <w:tcPr>
            <w:tcW w:w="392" w:type="pct"/>
            <w:tcBorders>
              <w:top w:val="single" w:sz="2" w:space="0" w:color="auto"/>
              <w:left w:val="single" w:sz="2" w:space="0" w:color="auto"/>
              <w:bottom w:val="single" w:sz="2" w:space="0" w:color="auto"/>
              <w:right w:val="single" w:sz="2" w:space="0" w:color="auto"/>
            </w:tcBorders>
            <w:vAlign w:val="center"/>
          </w:tcPr>
          <w:p w14:paraId="2BB828C6" w14:textId="77777777" w:rsidR="00B81685" w:rsidRPr="000549B1" w:rsidRDefault="00B81685" w:rsidP="00D33EF7">
            <w:pPr>
              <w:pStyle w:val="afff5"/>
              <w:rPr>
                <w:szCs w:val="21"/>
              </w:rPr>
            </w:pPr>
            <w:r w:rsidRPr="000549B1">
              <w:rPr>
                <w:szCs w:val="21"/>
              </w:rPr>
              <w:t>11</w:t>
            </w:r>
          </w:p>
        </w:tc>
        <w:tc>
          <w:tcPr>
            <w:tcW w:w="681" w:type="pct"/>
            <w:tcBorders>
              <w:top w:val="single" w:sz="2" w:space="0" w:color="auto"/>
              <w:left w:val="single" w:sz="2" w:space="0" w:color="auto"/>
              <w:bottom w:val="single" w:sz="2" w:space="0" w:color="auto"/>
              <w:right w:val="single" w:sz="2" w:space="0" w:color="auto"/>
            </w:tcBorders>
            <w:vAlign w:val="center"/>
          </w:tcPr>
          <w:p w14:paraId="5301108A" w14:textId="77777777" w:rsidR="00B81685" w:rsidRPr="000549B1" w:rsidRDefault="00B81685" w:rsidP="00D33EF7">
            <w:pPr>
              <w:pStyle w:val="afff5"/>
              <w:rPr>
                <w:szCs w:val="21"/>
              </w:rPr>
            </w:pPr>
            <w:r w:rsidRPr="000549B1">
              <w:rPr>
                <w:szCs w:val="21"/>
              </w:rPr>
              <w:t>喜马拉雅旱獭</w:t>
            </w:r>
          </w:p>
        </w:tc>
        <w:tc>
          <w:tcPr>
            <w:tcW w:w="1413" w:type="pct"/>
            <w:tcBorders>
              <w:top w:val="single" w:sz="2" w:space="0" w:color="auto"/>
              <w:left w:val="single" w:sz="2" w:space="0" w:color="auto"/>
              <w:bottom w:val="single" w:sz="2" w:space="0" w:color="auto"/>
              <w:right w:val="single" w:sz="2" w:space="0" w:color="auto"/>
            </w:tcBorders>
            <w:vAlign w:val="center"/>
          </w:tcPr>
          <w:p w14:paraId="6AE46B73" w14:textId="77777777" w:rsidR="00B81685" w:rsidRPr="000549B1" w:rsidRDefault="00B81685" w:rsidP="00D33EF7">
            <w:pPr>
              <w:pStyle w:val="afff5"/>
              <w:rPr>
                <w:szCs w:val="21"/>
              </w:rPr>
            </w:pPr>
            <w:r w:rsidRPr="000549B1">
              <w:rPr>
                <w:szCs w:val="21"/>
              </w:rPr>
              <w:t>Marmotahimalayarm</w:t>
            </w:r>
          </w:p>
        </w:tc>
        <w:tc>
          <w:tcPr>
            <w:tcW w:w="482" w:type="pct"/>
            <w:tcBorders>
              <w:top w:val="single" w:sz="2" w:space="0" w:color="auto"/>
              <w:left w:val="single" w:sz="2" w:space="0" w:color="auto"/>
              <w:bottom w:val="single" w:sz="2" w:space="0" w:color="auto"/>
              <w:right w:val="single" w:sz="2" w:space="0" w:color="auto"/>
            </w:tcBorders>
            <w:vAlign w:val="center"/>
          </w:tcPr>
          <w:p w14:paraId="57FB1B81" w14:textId="77777777" w:rsidR="00B81685" w:rsidRPr="000549B1" w:rsidRDefault="00B81685" w:rsidP="00D33EF7">
            <w:pPr>
              <w:pStyle w:val="afff5"/>
              <w:rPr>
                <w:szCs w:val="21"/>
              </w:rPr>
            </w:pPr>
            <w:r w:rsidRPr="000549B1">
              <w:rPr>
                <w:szCs w:val="21"/>
              </w:rPr>
              <w:t>省级</w:t>
            </w:r>
          </w:p>
        </w:tc>
        <w:tc>
          <w:tcPr>
            <w:tcW w:w="430" w:type="pct"/>
            <w:tcBorders>
              <w:top w:val="single" w:sz="2" w:space="0" w:color="auto"/>
              <w:left w:val="single" w:sz="2" w:space="0" w:color="auto"/>
              <w:bottom w:val="single" w:sz="2" w:space="0" w:color="auto"/>
              <w:right w:val="single" w:sz="2" w:space="0" w:color="auto"/>
            </w:tcBorders>
            <w:vAlign w:val="center"/>
          </w:tcPr>
          <w:p w14:paraId="575B0019" w14:textId="77777777" w:rsidR="00B81685" w:rsidRPr="000549B1" w:rsidRDefault="00B81685" w:rsidP="00D33EF7">
            <w:pPr>
              <w:pStyle w:val="afff5"/>
              <w:rPr>
                <w:szCs w:val="21"/>
              </w:rPr>
            </w:pPr>
            <w:r w:rsidRPr="000549B1">
              <w:rPr>
                <w:szCs w:val="21"/>
              </w:rPr>
              <w:t>/</w:t>
            </w:r>
          </w:p>
        </w:tc>
        <w:tc>
          <w:tcPr>
            <w:tcW w:w="1182" w:type="pct"/>
            <w:tcBorders>
              <w:top w:val="single" w:sz="2" w:space="0" w:color="auto"/>
              <w:left w:val="single" w:sz="2" w:space="0" w:color="auto"/>
              <w:bottom w:val="single" w:sz="2" w:space="0" w:color="auto"/>
              <w:right w:val="single" w:sz="2" w:space="0" w:color="auto"/>
            </w:tcBorders>
            <w:vAlign w:val="center"/>
          </w:tcPr>
          <w:p w14:paraId="591FAFEC" w14:textId="77777777" w:rsidR="00B81685" w:rsidRPr="000549B1" w:rsidRDefault="00B81685" w:rsidP="00D33EF7">
            <w:pPr>
              <w:pStyle w:val="afff5"/>
              <w:rPr>
                <w:szCs w:val="21"/>
              </w:rPr>
            </w:pPr>
            <w:r w:rsidRPr="000549B1">
              <w:rPr>
                <w:szCs w:val="21"/>
              </w:rPr>
              <w:t>资料、目击、访谈</w:t>
            </w:r>
          </w:p>
        </w:tc>
        <w:tc>
          <w:tcPr>
            <w:tcW w:w="419" w:type="pct"/>
            <w:tcBorders>
              <w:top w:val="single" w:sz="2" w:space="0" w:color="auto"/>
              <w:left w:val="single" w:sz="2" w:space="0" w:color="auto"/>
              <w:bottom w:val="single" w:sz="2" w:space="0" w:color="auto"/>
              <w:right w:val="single" w:sz="2" w:space="0" w:color="auto"/>
            </w:tcBorders>
            <w:vAlign w:val="center"/>
          </w:tcPr>
          <w:p w14:paraId="2FACDFB4" w14:textId="77777777" w:rsidR="00B81685" w:rsidRPr="000549B1" w:rsidRDefault="00B81685" w:rsidP="00D33EF7">
            <w:pPr>
              <w:pStyle w:val="afff5"/>
              <w:rPr>
                <w:szCs w:val="21"/>
              </w:rPr>
            </w:pPr>
          </w:p>
        </w:tc>
      </w:tr>
      <w:tr w:rsidR="000549B1" w:rsidRPr="000549B1" w14:paraId="6B74C484" w14:textId="77777777" w:rsidTr="00B81685">
        <w:tc>
          <w:tcPr>
            <w:tcW w:w="392" w:type="pct"/>
            <w:tcBorders>
              <w:top w:val="single" w:sz="2" w:space="0" w:color="auto"/>
              <w:left w:val="single" w:sz="2" w:space="0" w:color="auto"/>
              <w:bottom w:val="single" w:sz="2" w:space="0" w:color="auto"/>
              <w:right w:val="single" w:sz="2" w:space="0" w:color="auto"/>
            </w:tcBorders>
            <w:vAlign w:val="center"/>
          </w:tcPr>
          <w:p w14:paraId="524BC675" w14:textId="77777777" w:rsidR="00B81685" w:rsidRPr="000549B1" w:rsidRDefault="00B81685" w:rsidP="00D33EF7">
            <w:pPr>
              <w:pStyle w:val="afff5"/>
              <w:rPr>
                <w:szCs w:val="21"/>
              </w:rPr>
            </w:pPr>
            <w:r w:rsidRPr="000549B1">
              <w:rPr>
                <w:szCs w:val="21"/>
              </w:rPr>
              <w:t>12</w:t>
            </w:r>
          </w:p>
        </w:tc>
        <w:tc>
          <w:tcPr>
            <w:tcW w:w="681" w:type="pct"/>
            <w:tcBorders>
              <w:top w:val="single" w:sz="2" w:space="0" w:color="auto"/>
              <w:left w:val="single" w:sz="2" w:space="0" w:color="auto"/>
              <w:bottom w:val="single" w:sz="2" w:space="0" w:color="auto"/>
              <w:right w:val="single" w:sz="2" w:space="0" w:color="auto"/>
            </w:tcBorders>
            <w:vAlign w:val="center"/>
          </w:tcPr>
          <w:p w14:paraId="400961A7" w14:textId="77777777" w:rsidR="00B81685" w:rsidRPr="000549B1" w:rsidRDefault="00B81685" w:rsidP="00D33EF7">
            <w:pPr>
              <w:pStyle w:val="afff5"/>
              <w:rPr>
                <w:szCs w:val="21"/>
              </w:rPr>
            </w:pPr>
            <w:r w:rsidRPr="000549B1">
              <w:rPr>
                <w:szCs w:val="21"/>
              </w:rPr>
              <w:t>赤麻鸭</w:t>
            </w:r>
          </w:p>
        </w:tc>
        <w:tc>
          <w:tcPr>
            <w:tcW w:w="1413" w:type="pct"/>
            <w:tcBorders>
              <w:top w:val="single" w:sz="2" w:space="0" w:color="auto"/>
              <w:left w:val="single" w:sz="2" w:space="0" w:color="auto"/>
              <w:bottom w:val="single" w:sz="2" w:space="0" w:color="auto"/>
              <w:right w:val="single" w:sz="2" w:space="0" w:color="auto"/>
            </w:tcBorders>
            <w:vAlign w:val="center"/>
          </w:tcPr>
          <w:p w14:paraId="42F413C4" w14:textId="77777777" w:rsidR="00B81685" w:rsidRPr="000549B1" w:rsidRDefault="00B81685" w:rsidP="00D33EF7">
            <w:pPr>
              <w:pStyle w:val="afff5"/>
              <w:rPr>
                <w:szCs w:val="21"/>
              </w:rPr>
            </w:pPr>
            <w:r w:rsidRPr="000549B1">
              <w:rPr>
                <w:szCs w:val="21"/>
              </w:rPr>
              <w:t>Tadornaferruginea</w:t>
            </w:r>
          </w:p>
        </w:tc>
        <w:tc>
          <w:tcPr>
            <w:tcW w:w="482" w:type="pct"/>
            <w:tcBorders>
              <w:top w:val="single" w:sz="2" w:space="0" w:color="auto"/>
              <w:left w:val="single" w:sz="2" w:space="0" w:color="auto"/>
              <w:bottom w:val="single" w:sz="2" w:space="0" w:color="auto"/>
              <w:right w:val="single" w:sz="2" w:space="0" w:color="auto"/>
            </w:tcBorders>
            <w:vAlign w:val="center"/>
          </w:tcPr>
          <w:p w14:paraId="28A726B6" w14:textId="77777777" w:rsidR="00B81685" w:rsidRPr="000549B1" w:rsidRDefault="00B81685" w:rsidP="00D33EF7">
            <w:pPr>
              <w:pStyle w:val="afff5"/>
              <w:rPr>
                <w:szCs w:val="21"/>
              </w:rPr>
            </w:pPr>
            <w:r w:rsidRPr="000549B1">
              <w:rPr>
                <w:szCs w:val="21"/>
              </w:rPr>
              <w:t>省级</w:t>
            </w:r>
          </w:p>
        </w:tc>
        <w:tc>
          <w:tcPr>
            <w:tcW w:w="430" w:type="pct"/>
            <w:tcBorders>
              <w:top w:val="single" w:sz="2" w:space="0" w:color="auto"/>
              <w:left w:val="single" w:sz="2" w:space="0" w:color="auto"/>
              <w:bottom w:val="single" w:sz="2" w:space="0" w:color="auto"/>
              <w:right w:val="single" w:sz="2" w:space="0" w:color="auto"/>
            </w:tcBorders>
            <w:vAlign w:val="center"/>
          </w:tcPr>
          <w:p w14:paraId="2F84EC29" w14:textId="77777777" w:rsidR="00B81685" w:rsidRPr="000549B1" w:rsidRDefault="00B81685" w:rsidP="00D33EF7">
            <w:pPr>
              <w:pStyle w:val="afff5"/>
              <w:rPr>
                <w:szCs w:val="21"/>
              </w:rPr>
            </w:pPr>
            <w:r w:rsidRPr="000549B1">
              <w:rPr>
                <w:szCs w:val="21"/>
              </w:rPr>
              <w:t>/</w:t>
            </w:r>
          </w:p>
        </w:tc>
        <w:tc>
          <w:tcPr>
            <w:tcW w:w="1182" w:type="pct"/>
            <w:tcBorders>
              <w:top w:val="single" w:sz="2" w:space="0" w:color="auto"/>
              <w:left w:val="single" w:sz="2" w:space="0" w:color="auto"/>
              <w:bottom w:val="single" w:sz="2" w:space="0" w:color="auto"/>
              <w:right w:val="single" w:sz="2" w:space="0" w:color="auto"/>
            </w:tcBorders>
            <w:vAlign w:val="center"/>
          </w:tcPr>
          <w:p w14:paraId="1964A4C8" w14:textId="77777777" w:rsidR="00B81685" w:rsidRPr="000549B1" w:rsidRDefault="00B81685" w:rsidP="00D33EF7">
            <w:pPr>
              <w:pStyle w:val="afff5"/>
              <w:rPr>
                <w:szCs w:val="21"/>
              </w:rPr>
            </w:pPr>
            <w:r w:rsidRPr="000549B1">
              <w:rPr>
                <w:szCs w:val="21"/>
              </w:rPr>
              <w:t>资料、目击、访谈</w:t>
            </w:r>
          </w:p>
        </w:tc>
        <w:tc>
          <w:tcPr>
            <w:tcW w:w="419" w:type="pct"/>
            <w:tcBorders>
              <w:top w:val="single" w:sz="2" w:space="0" w:color="auto"/>
              <w:left w:val="single" w:sz="2" w:space="0" w:color="auto"/>
              <w:bottom w:val="single" w:sz="2" w:space="0" w:color="auto"/>
              <w:right w:val="single" w:sz="2" w:space="0" w:color="auto"/>
            </w:tcBorders>
            <w:vAlign w:val="center"/>
          </w:tcPr>
          <w:p w14:paraId="451255DC" w14:textId="77777777" w:rsidR="00B81685" w:rsidRPr="000549B1" w:rsidRDefault="00B81685" w:rsidP="00D33EF7">
            <w:pPr>
              <w:pStyle w:val="afff5"/>
              <w:rPr>
                <w:szCs w:val="21"/>
              </w:rPr>
            </w:pPr>
          </w:p>
        </w:tc>
      </w:tr>
      <w:tr w:rsidR="000549B1" w:rsidRPr="000549B1" w14:paraId="0D8A7A36" w14:textId="77777777" w:rsidTr="00B81685">
        <w:tc>
          <w:tcPr>
            <w:tcW w:w="392" w:type="pct"/>
            <w:tcBorders>
              <w:top w:val="single" w:sz="2" w:space="0" w:color="auto"/>
              <w:left w:val="single" w:sz="2" w:space="0" w:color="auto"/>
              <w:bottom w:val="single" w:sz="2" w:space="0" w:color="auto"/>
              <w:right w:val="single" w:sz="2" w:space="0" w:color="auto"/>
            </w:tcBorders>
            <w:vAlign w:val="center"/>
          </w:tcPr>
          <w:p w14:paraId="79A3F5DC" w14:textId="77777777" w:rsidR="00B81685" w:rsidRPr="000549B1" w:rsidRDefault="00B81685" w:rsidP="00D33EF7">
            <w:pPr>
              <w:pStyle w:val="afff5"/>
              <w:rPr>
                <w:szCs w:val="21"/>
              </w:rPr>
            </w:pPr>
            <w:r w:rsidRPr="000549B1">
              <w:rPr>
                <w:szCs w:val="21"/>
              </w:rPr>
              <w:t>13</w:t>
            </w:r>
          </w:p>
        </w:tc>
        <w:tc>
          <w:tcPr>
            <w:tcW w:w="681" w:type="pct"/>
            <w:tcBorders>
              <w:top w:val="single" w:sz="2" w:space="0" w:color="auto"/>
              <w:left w:val="single" w:sz="2" w:space="0" w:color="auto"/>
              <w:bottom w:val="single" w:sz="2" w:space="0" w:color="auto"/>
              <w:right w:val="single" w:sz="2" w:space="0" w:color="auto"/>
            </w:tcBorders>
            <w:vAlign w:val="center"/>
          </w:tcPr>
          <w:p w14:paraId="221BE725" w14:textId="77777777" w:rsidR="00B81685" w:rsidRPr="000549B1" w:rsidRDefault="00B81685" w:rsidP="00D33EF7">
            <w:pPr>
              <w:pStyle w:val="afff5"/>
              <w:rPr>
                <w:szCs w:val="21"/>
              </w:rPr>
            </w:pPr>
            <w:r w:rsidRPr="000549B1">
              <w:rPr>
                <w:szCs w:val="21"/>
              </w:rPr>
              <w:t>斑嘴鸭</w:t>
            </w:r>
          </w:p>
        </w:tc>
        <w:tc>
          <w:tcPr>
            <w:tcW w:w="1413" w:type="pct"/>
            <w:tcBorders>
              <w:top w:val="single" w:sz="2" w:space="0" w:color="auto"/>
              <w:left w:val="single" w:sz="2" w:space="0" w:color="auto"/>
              <w:bottom w:val="single" w:sz="2" w:space="0" w:color="auto"/>
              <w:right w:val="single" w:sz="2" w:space="0" w:color="auto"/>
            </w:tcBorders>
            <w:vAlign w:val="center"/>
          </w:tcPr>
          <w:p w14:paraId="237F3169" w14:textId="77777777" w:rsidR="00B81685" w:rsidRPr="000549B1" w:rsidRDefault="00B81685" w:rsidP="00D33EF7">
            <w:pPr>
              <w:pStyle w:val="afff5"/>
              <w:rPr>
                <w:szCs w:val="21"/>
              </w:rPr>
            </w:pPr>
            <w:r w:rsidRPr="000549B1">
              <w:rPr>
                <w:szCs w:val="21"/>
              </w:rPr>
              <w:t>Anaszonorhyncha</w:t>
            </w:r>
          </w:p>
        </w:tc>
        <w:tc>
          <w:tcPr>
            <w:tcW w:w="482" w:type="pct"/>
            <w:tcBorders>
              <w:top w:val="single" w:sz="2" w:space="0" w:color="auto"/>
              <w:left w:val="single" w:sz="2" w:space="0" w:color="auto"/>
              <w:bottom w:val="single" w:sz="2" w:space="0" w:color="auto"/>
              <w:right w:val="single" w:sz="2" w:space="0" w:color="auto"/>
            </w:tcBorders>
            <w:vAlign w:val="center"/>
          </w:tcPr>
          <w:p w14:paraId="6197611C" w14:textId="77777777" w:rsidR="00B81685" w:rsidRPr="000549B1" w:rsidRDefault="00B81685" w:rsidP="00D33EF7">
            <w:pPr>
              <w:pStyle w:val="afff5"/>
              <w:rPr>
                <w:szCs w:val="21"/>
              </w:rPr>
            </w:pPr>
            <w:r w:rsidRPr="000549B1">
              <w:rPr>
                <w:szCs w:val="21"/>
              </w:rPr>
              <w:t>省级</w:t>
            </w:r>
          </w:p>
        </w:tc>
        <w:tc>
          <w:tcPr>
            <w:tcW w:w="430" w:type="pct"/>
            <w:tcBorders>
              <w:top w:val="single" w:sz="2" w:space="0" w:color="auto"/>
              <w:left w:val="single" w:sz="2" w:space="0" w:color="auto"/>
              <w:bottom w:val="single" w:sz="2" w:space="0" w:color="auto"/>
              <w:right w:val="single" w:sz="2" w:space="0" w:color="auto"/>
            </w:tcBorders>
            <w:vAlign w:val="center"/>
          </w:tcPr>
          <w:p w14:paraId="07755275" w14:textId="77777777" w:rsidR="00B81685" w:rsidRPr="000549B1" w:rsidRDefault="00B81685" w:rsidP="00D33EF7">
            <w:pPr>
              <w:pStyle w:val="afff5"/>
              <w:rPr>
                <w:szCs w:val="21"/>
              </w:rPr>
            </w:pPr>
            <w:r w:rsidRPr="000549B1">
              <w:rPr>
                <w:szCs w:val="21"/>
              </w:rPr>
              <w:t>/</w:t>
            </w:r>
          </w:p>
        </w:tc>
        <w:tc>
          <w:tcPr>
            <w:tcW w:w="1182" w:type="pct"/>
            <w:tcBorders>
              <w:top w:val="single" w:sz="2" w:space="0" w:color="auto"/>
              <w:left w:val="single" w:sz="2" w:space="0" w:color="auto"/>
              <w:bottom w:val="single" w:sz="2" w:space="0" w:color="auto"/>
              <w:right w:val="single" w:sz="2" w:space="0" w:color="auto"/>
            </w:tcBorders>
            <w:vAlign w:val="center"/>
          </w:tcPr>
          <w:p w14:paraId="3AE8F978" w14:textId="77777777" w:rsidR="00B81685" w:rsidRPr="000549B1" w:rsidRDefault="00B81685" w:rsidP="00D33EF7">
            <w:pPr>
              <w:pStyle w:val="afff5"/>
              <w:rPr>
                <w:szCs w:val="21"/>
              </w:rPr>
            </w:pPr>
            <w:r w:rsidRPr="000549B1">
              <w:rPr>
                <w:szCs w:val="21"/>
              </w:rPr>
              <w:t>资料、目击、访谈</w:t>
            </w:r>
          </w:p>
        </w:tc>
        <w:tc>
          <w:tcPr>
            <w:tcW w:w="419" w:type="pct"/>
            <w:tcBorders>
              <w:top w:val="single" w:sz="2" w:space="0" w:color="auto"/>
              <w:left w:val="single" w:sz="2" w:space="0" w:color="auto"/>
              <w:bottom w:val="single" w:sz="2" w:space="0" w:color="auto"/>
              <w:right w:val="single" w:sz="2" w:space="0" w:color="auto"/>
            </w:tcBorders>
            <w:vAlign w:val="center"/>
          </w:tcPr>
          <w:p w14:paraId="16B73575" w14:textId="77777777" w:rsidR="00B81685" w:rsidRPr="000549B1" w:rsidRDefault="00B81685" w:rsidP="00D33EF7">
            <w:pPr>
              <w:pStyle w:val="afff5"/>
              <w:rPr>
                <w:szCs w:val="21"/>
              </w:rPr>
            </w:pPr>
          </w:p>
        </w:tc>
      </w:tr>
      <w:tr w:rsidR="000549B1" w:rsidRPr="000549B1" w14:paraId="250DC722" w14:textId="77777777" w:rsidTr="00B81685">
        <w:tc>
          <w:tcPr>
            <w:tcW w:w="392" w:type="pct"/>
            <w:tcBorders>
              <w:top w:val="single" w:sz="2" w:space="0" w:color="auto"/>
              <w:left w:val="single" w:sz="2" w:space="0" w:color="auto"/>
              <w:bottom w:val="single" w:sz="2" w:space="0" w:color="auto"/>
              <w:right w:val="single" w:sz="2" w:space="0" w:color="auto"/>
            </w:tcBorders>
            <w:vAlign w:val="center"/>
          </w:tcPr>
          <w:p w14:paraId="147F1FA5" w14:textId="77777777" w:rsidR="00B81685" w:rsidRPr="000549B1" w:rsidRDefault="00B81685" w:rsidP="00D33EF7">
            <w:pPr>
              <w:pStyle w:val="afff5"/>
              <w:rPr>
                <w:szCs w:val="21"/>
              </w:rPr>
            </w:pPr>
            <w:r w:rsidRPr="000549B1">
              <w:rPr>
                <w:szCs w:val="21"/>
              </w:rPr>
              <w:t>14</w:t>
            </w:r>
          </w:p>
        </w:tc>
        <w:tc>
          <w:tcPr>
            <w:tcW w:w="681" w:type="pct"/>
            <w:tcBorders>
              <w:top w:val="single" w:sz="2" w:space="0" w:color="auto"/>
              <w:left w:val="single" w:sz="2" w:space="0" w:color="auto"/>
              <w:bottom w:val="single" w:sz="2" w:space="0" w:color="auto"/>
              <w:right w:val="single" w:sz="2" w:space="0" w:color="auto"/>
            </w:tcBorders>
            <w:vAlign w:val="center"/>
          </w:tcPr>
          <w:p w14:paraId="6BEDAEFE" w14:textId="77777777" w:rsidR="00B81685" w:rsidRPr="000549B1" w:rsidRDefault="00B81685" w:rsidP="00D33EF7">
            <w:pPr>
              <w:pStyle w:val="afff5"/>
              <w:rPr>
                <w:szCs w:val="21"/>
              </w:rPr>
            </w:pPr>
            <w:r w:rsidRPr="000549B1">
              <w:rPr>
                <w:szCs w:val="21"/>
              </w:rPr>
              <w:t>环颈雉</w:t>
            </w:r>
          </w:p>
        </w:tc>
        <w:tc>
          <w:tcPr>
            <w:tcW w:w="1413" w:type="pct"/>
            <w:tcBorders>
              <w:top w:val="single" w:sz="2" w:space="0" w:color="auto"/>
              <w:left w:val="single" w:sz="2" w:space="0" w:color="auto"/>
              <w:bottom w:val="single" w:sz="2" w:space="0" w:color="auto"/>
              <w:right w:val="single" w:sz="2" w:space="0" w:color="auto"/>
            </w:tcBorders>
            <w:vAlign w:val="center"/>
          </w:tcPr>
          <w:p w14:paraId="185F2D01" w14:textId="77777777" w:rsidR="00B81685" w:rsidRPr="000549B1" w:rsidRDefault="00B81685" w:rsidP="00D33EF7">
            <w:pPr>
              <w:pStyle w:val="afff5"/>
              <w:rPr>
                <w:szCs w:val="21"/>
              </w:rPr>
            </w:pPr>
            <w:r w:rsidRPr="000549B1">
              <w:rPr>
                <w:szCs w:val="21"/>
              </w:rPr>
              <w:t>Phasianuscolchicus</w:t>
            </w:r>
          </w:p>
        </w:tc>
        <w:tc>
          <w:tcPr>
            <w:tcW w:w="482" w:type="pct"/>
            <w:tcBorders>
              <w:top w:val="single" w:sz="2" w:space="0" w:color="auto"/>
              <w:left w:val="single" w:sz="2" w:space="0" w:color="auto"/>
              <w:bottom w:val="single" w:sz="2" w:space="0" w:color="auto"/>
              <w:right w:val="single" w:sz="2" w:space="0" w:color="auto"/>
            </w:tcBorders>
            <w:vAlign w:val="center"/>
          </w:tcPr>
          <w:p w14:paraId="164E340A" w14:textId="77777777" w:rsidR="00B81685" w:rsidRPr="000549B1" w:rsidRDefault="00B81685" w:rsidP="00D33EF7">
            <w:pPr>
              <w:pStyle w:val="afff5"/>
              <w:rPr>
                <w:szCs w:val="21"/>
              </w:rPr>
            </w:pPr>
            <w:r w:rsidRPr="000549B1">
              <w:rPr>
                <w:szCs w:val="21"/>
              </w:rPr>
              <w:t>省级</w:t>
            </w:r>
          </w:p>
        </w:tc>
        <w:tc>
          <w:tcPr>
            <w:tcW w:w="430" w:type="pct"/>
            <w:tcBorders>
              <w:top w:val="single" w:sz="2" w:space="0" w:color="auto"/>
              <w:left w:val="single" w:sz="2" w:space="0" w:color="auto"/>
              <w:bottom w:val="single" w:sz="2" w:space="0" w:color="auto"/>
              <w:right w:val="single" w:sz="2" w:space="0" w:color="auto"/>
            </w:tcBorders>
            <w:vAlign w:val="center"/>
          </w:tcPr>
          <w:p w14:paraId="512F31B5" w14:textId="77777777" w:rsidR="00B81685" w:rsidRPr="000549B1" w:rsidRDefault="00B81685" w:rsidP="00D33EF7">
            <w:pPr>
              <w:pStyle w:val="afff5"/>
              <w:rPr>
                <w:szCs w:val="21"/>
              </w:rPr>
            </w:pPr>
            <w:r w:rsidRPr="000549B1">
              <w:rPr>
                <w:szCs w:val="21"/>
              </w:rPr>
              <w:t>/</w:t>
            </w:r>
          </w:p>
        </w:tc>
        <w:tc>
          <w:tcPr>
            <w:tcW w:w="1182" w:type="pct"/>
            <w:tcBorders>
              <w:top w:val="single" w:sz="2" w:space="0" w:color="auto"/>
              <w:left w:val="single" w:sz="2" w:space="0" w:color="auto"/>
              <w:bottom w:val="single" w:sz="2" w:space="0" w:color="auto"/>
              <w:right w:val="single" w:sz="2" w:space="0" w:color="auto"/>
            </w:tcBorders>
            <w:vAlign w:val="center"/>
          </w:tcPr>
          <w:p w14:paraId="1A92D0F0" w14:textId="77777777" w:rsidR="00B81685" w:rsidRPr="000549B1" w:rsidRDefault="00B81685" w:rsidP="00D33EF7">
            <w:pPr>
              <w:pStyle w:val="afff5"/>
              <w:rPr>
                <w:szCs w:val="21"/>
              </w:rPr>
            </w:pPr>
            <w:r w:rsidRPr="000549B1">
              <w:rPr>
                <w:szCs w:val="21"/>
              </w:rPr>
              <w:t>资料、目击、访谈</w:t>
            </w:r>
          </w:p>
        </w:tc>
        <w:tc>
          <w:tcPr>
            <w:tcW w:w="419" w:type="pct"/>
            <w:tcBorders>
              <w:top w:val="single" w:sz="2" w:space="0" w:color="auto"/>
              <w:left w:val="single" w:sz="2" w:space="0" w:color="auto"/>
              <w:bottom w:val="single" w:sz="2" w:space="0" w:color="auto"/>
              <w:right w:val="single" w:sz="2" w:space="0" w:color="auto"/>
            </w:tcBorders>
            <w:vAlign w:val="center"/>
          </w:tcPr>
          <w:p w14:paraId="0D66350C" w14:textId="77777777" w:rsidR="00B81685" w:rsidRPr="000549B1" w:rsidRDefault="00B81685" w:rsidP="00D33EF7">
            <w:pPr>
              <w:pStyle w:val="afff5"/>
              <w:rPr>
                <w:szCs w:val="21"/>
              </w:rPr>
            </w:pPr>
          </w:p>
        </w:tc>
      </w:tr>
      <w:tr w:rsidR="000549B1" w:rsidRPr="000549B1" w14:paraId="4949E1E6" w14:textId="77777777" w:rsidTr="00B81685">
        <w:tc>
          <w:tcPr>
            <w:tcW w:w="392" w:type="pct"/>
            <w:tcBorders>
              <w:top w:val="single" w:sz="2" w:space="0" w:color="auto"/>
              <w:left w:val="single" w:sz="2" w:space="0" w:color="auto"/>
              <w:bottom w:val="single" w:sz="2" w:space="0" w:color="auto"/>
              <w:right w:val="single" w:sz="2" w:space="0" w:color="auto"/>
            </w:tcBorders>
            <w:vAlign w:val="center"/>
          </w:tcPr>
          <w:p w14:paraId="1C9D188E" w14:textId="77777777" w:rsidR="00B81685" w:rsidRPr="000549B1" w:rsidRDefault="00B81685" w:rsidP="00D33EF7">
            <w:pPr>
              <w:pStyle w:val="afff5"/>
              <w:rPr>
                <w:szCs w:val="21"/>
              </w:rPr>
            </w:pPr>
            <w:r w:rsidRPr="000549B1">
              <w:rPr>
                <w:szCs w:val="21"/>
              </w:rPr>
              <w:t>15</w:t>
            </w:r>
          </w:p>
        </w:tc>
        <w:tc>
          <w:tcPr>
            <w:tcW w:w="681" w:type="pct"/>
            <w:tcBorders>
              <w:top w:val="single" w:sz="2" w:space="0" w:color="auto"/>
              <w:left w:val="single" w:sz="2" w:space="0" w:color="auto"/>
              <w:bottom w:val="single" w:sz="2" w:space="0" w:color="auto"/>
              <w:right w:val="single" w:sz="2" w:space="0" w:color="auto"/>
            </w:tcBorders>
            <w:vAlign w:val="center"/>
          </w:tcPr>
          <w:p w14:paraId="51C3B1B6" w14:textId="77777777" w:rsidR="00B81685" w:rsidRPr="000549B1" w:rsidRDefault="00B81685" w:rsidP="00D33EF7">
            <w:pPr>
              <w:pStyle w:val="afff5"/>
              <w:rPr>
                <w:szCs w:val="21"/>
              </w:rPr>
            </w:pPr>
            <w:r w:rsidRPr="000549B1">
              <w:rPr>
                <w:szCs w:val="21"/>
              </w:rPr>
              <w:t>雪鸽</w:t>
            </w:r>
          </w:p>
        </w:tc>
        <w:tc>
          <w:tcPr>
            <w:tcW w:w="1413" w:type="pct"/>
            <w:tcBorders>
              <w:top w:val="single" w:sz="2" w:space="0" w:color="auto"/>
              <w:left w:val="single" w:sz="2" w:space="0" w:color="auto"/>
              <w:bottom w:val="single" w:sz="2" w:space="0" w:color="auto"/>
              <w:right w:val="single" w:sz="2" w:space="0" w:color="auto"/>
            </w:tcBorders>
            <w:vAlign w:val="center"/>
          </w:tcPr>
          <w:p w14:paraId="5B8580D0" w14:textId="77777777" w:rsidR="00B81685" w:rsidRPr="000549B1" w:rsidRDefault="00B81685" w:rsidP="00D33EF7">
            <w:pPr>
              <w:pStyle w:val="afff5"/>
              <w:rPr>
                <w:szCs w:val="21"/>
              </w:rPr>
            </w:pPr>
            <w:r w:rsidRPr="000549B1">
              <w:rPr>
                <w:szCs w:val="21"/>
              </w:rPr>
              <w:t>Columbaleuconota</w:t>
            </w:r>
          </w:p>
        </w:tc>
        <w:tc>
          <w:tcPr>
            <w:tcW w:w="482" w:type="pct"/>
            <w:tcBorders>
              <w:top w:val="single" w:sz="2" w:space="0" w:color="auto"/>
              <w:left w:val="single" w:sz="2" w:space="0" w:color="auto"/>
              <w:bottom w:val="single" w:sz="2" w:space="0" w:color="auto"/>
              <w:right w:val="single" w:sz="2" w:space="0" w:color="auto"/>
            </w:tcBorders>
            <w:vAlign w:val="center"/>
          </w:tcPr>
          <w:p w14:paraId="2BAB8268" w14:textId="77777777" w:rsidR="00B81685" w:rsidRPr="000549B1" w:rsidRDefault="00B81685" w:rsidP="00D33EF7">
            <w:pPr>
              <w:pStyle w:val="afff5"/>
              <w:rPr>
                <w:szCs w:val="21"/>
              </w:rPr>
            </w:pPr>
            <w:r w:rsidRPr="000549B1">
              <w:rPr>
                <w:szCs w:val="21"/>
              </w:rPr>
              <w:t>省级</w:t>
            </w:r>
          </w:p>
        </w:tc>
        <w:tc>
          <w:tcPr>
            <w:tcW w:w="430" w:type="pct"/>
            <w:tcBorders>
              <w:top w:val="single" w:sz="2" w:space="0" w:color="auto"/>
              <w:left w:val="single" w:sz="2" w:space="0" w:color="auto"/>
              <w:bottom w:val="single" w:sz="2" w:space="0" w:color="auto"/>
              <w:right w:val="single" w:sz="2" w:space="0" w:color="auto"/>
            </w:tcBorders>
            <w:vAlign w:val="center"/>
          </w:tcPr>
          <w:p w14:paraId="6DB69743" w14:textId="77777777" w:rsidR="00B81685" w:rsidRPr="000549B1" w:rsidRDefault="00B81685" w:rsidP="00D33EF7">
            <w:pPr>
              <w:pStyle w:val="afff5"/>
              <w:rPr>
                <w:szCs w:val="21"/>
              </w:rPr>
            </w:pPr>
            <w:r w:rsidRPr="000549B1">
              <w:rPr>
                <w:szCs w:val="21"/>
              </w:rPr>
              <w:t>/</w:t>
            </w:r>
          </w:p>
        </w:tc>
        <w:tc>
          <w:tcPr>
            <w:tcW w:w="1182" w:type="pct"/>
            <w:tcBorders>
              <w:top w:val="single" w:sz="2" w:space="0" w:color="auto"/>
              <w:left w:val="single" w:sz="2" w:space="0" w:color="auto"/>
              <w:bottom w:val="single" w:sz="2" w:space="0" w:color="auto"/>
              <w:right w:val="single" w:sz="2" w:space="0" w:color="auto"/>
            </w:tcBorders>
            <w:vAlign w:val="center"/>
          </w:tcPr>
          <w:p w14:paraId="10D5CA1F" w14:textId="77777777" w:rsidR="00B81685" w:rsidRPr="000549B1" w:rsidRDefault="00B81685" w:rsidP="00D33EF7">
            <w:pPr>
              <w:pStyle w:val="afff5"/>
              <w:rPr>
                <w:szCs w:val="21"/>
              </w:rPr>
            </w:pPr>
            <w:r w:rsidRPr="000549B1">
              <w:rPr>
                <w:szCs w:val="21"/>
              </w:rPr>
              <w:t>资料</w:t>
            </w:r>
          </w:p>
        </w:tc>
        <w:tc>
          <w:tcPr>
            <w:tcW w:w="419" w:type="pct"/>
            <w:tcBorders>
              <w:top w:val="single" w:sz="2" w:space="0" w:color="auto"/>
              <w:left w:val="single" w:sz="2" w:space="0" w:color="auto"/>
              <w:bottom w:val="single" w:sz="2" w:space="0" w:color="auto"/>
              <w:right w:val="single" w:sz="2" w:space="0" w:color="auto"/>
            </w:tcBorders>
            <w:vAlign w:val="center"/>
          </w:tcPr>
          <w:p w14:paraId="74B7C693" w14:textId="77777777" w:rsidR="00B81685" w:rsidRPr="000549B1" w:rsidRDefault="00B81685" w:rsidP="00D33EF7">
            <w:pPr>
              <w:pStyle w:val="afff5"/>
              <w:rPr>
                <w:szCs w:val="21"/>
              </w:rPr>
            </w:pPr>
          </w:p>
        </w:tc>
      </w:tr>
      <w:tr w:rsidR="000549B1" w:rsidRPr="000549B1" w14:paraId="13DFA552" w14:textId="77777777" w:rsidTr="00B81685">
        <w:tc>
          <w:tcPr>
            <w:tcW w:w="392" w:type="pct"/>
            <w:tcBorders>
              <w:top w:val="single" w:sz="2" w:space="0" w:color="auto"/>
              <w:left w:val="single" w:sz="2" w:space="0" w:color="auto"/>
              <w:bottom w:val="single" w:sz="2" w:space="0" w:color="auto"/>
              <w:right w:val="single" w:sz="2" w:space="0" w:color="auto"/>
            </w:tcBorders>
            <w:vAlign w:val="center"/>
          </w:tcPr>
          <w:p w14:paraId="326C0EFF" w14:textId="77777777" w:rsidR="00B81685" w:rsidRPr="000549B1" w:rsidRDefault="00B81685" w:rsidP="00D33EF7">
            <w:pPr>
              <w:pStyle w:val="afff5"/>
              <w:rPr>
                <w:szCs w:val="21"/>
              </w:rPr>
            </w:pPr>
            <w:r w:rsidRPr="000549B1">
              <w:rPr>
                <w:szCs w:val="21"/>
              </w:rPr>
              <w:t>16</w:t>
            </w:r>
          </w:p>
        </w:tc>
        <w:tc>
          <w:tcPr>
            <w:tcW w:w="681" w:type="pct"/>
            <w:tcBorders>
              <w:top w:val="single" w:sz="2" w:space="0" w:color="auto"/>
              <w:left w:val="single" w:sz="2" w:space="0" w:color="auto"/>
              <w:bottom w:val="single" w:sz="2" w:space="0" w:color="auto"/>
              <w:right w:val="single" w:sz="2" w:space="0" w:color="auto"/>
            </w:tcBorders>
            <w:vAlign w:val="center"/>
          </w:tcPr>
          <w:p w14:paraId="76880953" w14:textId="77777777" w:rsidR="00B81685" w:rsidRPr="000549B1" w:rsidRDefault="00B81685" w:rsidP="00D33EF7">
            <w:pPr>
              <w:pStyle w:val="afff5"/>
              <w:rPr>
                <w:szCs w:val="21"/>
              </w:rPr>
            </w:pPr>
            <w:r w:rsidRPr="000549B1">
              <w:rPr>
                <w:szCs w:val="21"/>
              </w:rPr>
              <w:t>戴胜</w:t>
            </w:r>
          </w:p>
        </w:tc>
        <w:tc>
          <w:tcPr>
            <w:tcW w:w="1413" w:type="pct"/>
            <w:tcBorders>
              <w:top w:val="single" w:sz="2" w:space="0" w:color="auto"/>
              <w:left w:val="single" w:sz="2" w:space="0" w:color="auto"/>
              <w:bottom w:val="single" w:sz="2" w:space="0" w:color="auto"/>
              <w:right w:val="single" w:sz="2" w:space="0" w:color="auto"/>
            </w:tcBorders>
            <w:vAlign w:val="center"/>
          </w:tcPr>
          <w:p w14:paraId="5BDABA4C" w14:textId="77777777" w:rsidR="00B81685" w:rsidRPr="000549B1" w:rsidRDefault="00B81685" w:rsidP="00D33EF7">
            <w:pPr>
              <w:pStyle w:val="afff5"/>
              <w:rPr>
                <w:szCs w:val="21"/>
              </w:rPr>
            </w:pPr>
            <w:r w:rsidRPr="000549B1">
              <w:rPr>
                <w:szCs w:val="21"/>
              </w:rPr>
              <w:t>Upupaepops</w:t>
            </w:r>
          </w:p>
        </w:tc>
        <w:tc>
          <w:tcPr>
            <w:tcW w:w="482" w:type="pct"/>
            <w:tcBorders>
              <w:top w:val="single" w:sz="2" w:space="0" w:color="auto"/>
              <w:left w:val="single" w:sz="2" w:space="0" w:color="auto"/>
              <w:bottom w:val="single" w:sz="2" w:space="0" w:color="auto"/>
              <w:right w:val="single" w:sz="2" w:space="0" w:color="auto"/>
            </w:tcBorders>
            <w:vAlign w:val="center"/>
          </w:tcPr>
          <w:p w14:paraId="7129ED44" w14:textId="77777777" w:rsidR="00B81685" w:rsidRPr="000549B1" w:rsidRDefault="00B81685" w:rsidP="00D33EF7">
            <w:pPr>
              <w:pStyle w:val="afff5"/>
              <w:rPr>
                <w:szCs w:val="21"/>
              </w:rPr>
            </w:pPr>
            <w:r w:rsidRPr="000549B1">
              <w:rPr>
                <w:szCs w:val="21"/>
              </w:rPr>
              <w:t>省级</w:t>
            </w:r>
          </w:p>
        </w:tc>
        <w:tc>
          <w:tcPr>
            <w:tcW w:w="430" w:type="pct"/>
            <w:tcBorders>
              <w:top w:val="single" w:sz="2" w:space="0" w:color="auto"/>
              <w:left w:val="single" w:sz="2" w:space="0" w:color="auto"/>
              <w:bottom w:val="single" w:sz="2" w:space="0" w:color="auto"/>
              <w:right w:val="single" w:sz="2" w:space="0" w:color="auto"/>
            </w:tcBorders>
            <w:vAlign w:val="center"/>
          </w:tcPr>
          <w:p w14:paraId="70804CFA" w14:textId="77777777" w:rsidR="00B81685" w:rsidRPr="000549B1" w:rsidRDefault="00B81685" w:rsidP="00D33EF7">
            <w:pPr>
              <w:pStyle w:val="afff5"/>
              <w:rPr>
                <w:szCs w:val="21"/>
              </w:rPr>
            </w:pPr>
            <w:r w:rsidRPr="000549B1">
              <w:rPr>
                <w:szCs w:val="21"/>
              </w:rPr>
              <w:t>/</w:t>
            </w:r>
          </w:p>
        </w:tc>
        <w:tc>
          <w:tcPr>
            <w:tcW w:w="1182" w:type="pct"/>
            <w:tcBorders>
              <w:top w:val="single" w:sz="2" w:space="0" w:color="auto"/>
              <w:left w:val="single" w:sz="2" w:space="0" w:color="auto"/>
              <w:bottom w:val="single" w:sz="2" w:space="0" w:color="auto"/>
              <w:right w:val="single" w:sz="2" w:space="0" w:color="auto"/>
            </w:tcBorders>
            <w:vAlign w:val="center"/>
          </w:tcPr>
          <w:p w14:paraId="0515F5A8" w14:textId="77777777" w:rsidR="00B81685" w:rsidRPr="000549B1" w:rsidRDefault="00B81685" w:rsidP="00D33EF7">
            <w:pPr>
              <w:pStyle w:val="afff5"/>
              <w:rPr>
                <w:szCs w:val="21"/>
              </w:rPr>
            </w:pPr>
            <w:r w:rsidRPr="000549B1">
              <w:rPr>
                <w:szCs w:val="21"/>
              </w:rPr>
              <w:t>资料、目击、访谈</w:t>
            </w:r>
          </w:p>
        </w:tc>
        <w:tc>
          <w:tcPr>
            <w:tcW w:w="419" w:type="pct"/>
            <w:tcBorders>
              <w:top w:val="single" w:sz="2" w:space="0" w:color="auto"/>
              <w:left w:val="single" w:sz="2" w:space="0" w:color="auto"/>
              <w:bottom w:val="single" w:sz="2" w:space="0" w:color="auto"/>
              <w:right w:val="single" w:sz="2" w:space="0" w:color="auto"/>
            </w:tcBorders>
            <w:vAlign w:val="center"/>
          </w:tcPr>
          <w:p w14:paraId="367DD1A0" w14:textId="77777777" w:rsidR="00B81685" w:rsidRPr="000549B1" w:rsidRDefault="00B81685" w:rsidP="00D33EF7">
            <w:pPr>
              <w:pStyle w:val="afff5"/>
              <w:rPr>
                <w:szCs w:val="21"/>
              </w:rPr>
            </w:pPr>
          </w:p>
        </w:tc>
      </w:tr>
      <w:tr w:rsidR="000549B1" w:rsidRPr="000549B1" w14:paraId="202C23BD" w14:textId="77777777" w:rsidTr="00B81685">
        <w:tc>
          <w:tcPr>
            <w:tcW w:w="392" w:type="pct"/>
            <w:tcBorders>
              <w:top w:val="single" w:sz="2" w:space="0" w:color="auto"/>
              <w:left w:val="single" w:sz="2" w:space="0" w:color="auto"/>
              <w:bottom w:val="single" w:sz="2" w:space="0" w:color="auto"/>
              <w:right w:val="single" w:sz="2" w:space="0" w:color="auto"/>
            </w:tcBorders>
            <w:vAlign w:val="center"/>
          </w:tcPr>
          <w:p w14:paraId="05D5E521" w14:textId="77777777" w:rsidR="00B81685" w:rsidRPr="000549B1" w:rsidRDefault="00B81685" w:rsidP="00D33EF7">
            <w:pPr>
              <w:pStyle w:val="afff5"/>
              <w:rPr>
                <w:szCs w:val="21"/>
              </w:rPr>
            </w:pPr>
            <w:r w:rsidRPr="000549B1">
              <w:rPr>
                <w:szCs w:val="21"/>
              </w:rPr>
              <w:t>17</w:t>
            </w:r>
          </w:p>
        </w:tc>
        <w:tc>
          <w:tcPr>
            <w:tcW w:w="681" w:type="pct"/>
            <w:tcBorders>
              <w:top w:val="single" w:sz="2" w:space="0" w:color="auto"/>
              <w:left w:val="single" w:sz="2" w:space="0" w:color="auto"/>
              <w:bottom w:val="single" w:sz="2" w:space="0" w:color="auto"/>
              <w:right w:val="single" w:sz="2" w:space="0" w:color="auto"/>
            </w:tcBorders>
            <w:vAlign w:val="center"/>
          </w:tcPr>
          <w:p w14:paraId="79C3C826" w14:textId="77777777" w:rsidR="00B81685" w:rsidRPr="000549B1" w:rsidRDefault="00B81685" w:rsidP="00D33EF7">
            <w:pPr>
              <w:pStyle w:val="afff5"/>
              <w:rPr>
                <w:szCs w:val="21"/>
              </w:rPr>
            </w:pPr>
            <w:r w:rsidRPr="000549B1">
              <w:rPr>
                <w:szCs w:val="21"/>
              </w:rPr>
              <w:t>蚁䴕</w:t>
            </w:r>
          </w:p>
        </w:tc>
        <w:tc>
          <w:tcPr>
            <w:tcW w:w="1413" w:type="pct"/>
            <w:tcBorders>
              <w:top w:val="single" w:sz="2" w:space="0" w:color="auto"/>
              <w:left w:val="single" w:sz="2" w:space="0" w:color="auto"/>
              <w:bottom w:val="single" w:sz="2" w:space="0" w:color="auto"/>
              <w:right w:val="single" w:sz="2" w:space="0" w:color="auto"/>
            </w:tcBorders>
            <w:vAlign w:val="center"/>
          </w:tcPr>
          <w:p w14:paraId="66E25D9A" w14:textId="77777777" w:rsidR="00B81685" w:rsidRPr="000549B1" w:rsidRDefault="00B81685" w:rsidP="00D33EF7">
            <w:pPr>
              <w:pStyle w:val="afff5"/>
              <w:rPr>
                <w:szCs w:val="21"/>
              </w:rPr>
            </w:pPr>
            <w:r w:rsidRPr="000549B1">
              <w:rPr>
                <w:szCs w:val="21"/>
              </w:rPr>
              <w:t>Jynxtorquilla</w:t>
            </w:r>
          </w:p>
        </w:tc>
        <w:tc>
          <w:tcPr>
            <w:tcW w:w="482" w:type="pct"/>
            <w:tcBorders>
              <w:top w:val="single" w:sz="2" w:space="0" w:color="auto"/>
              <w:left w:val="single" w:sz="2" w:space="0" w:color="auto"/>
              <w:bottom w:val="single" w:sz="2" w:space="0" w:color="auto"/>
              <w:right w:val="single" w:sz="2" w:space="0" w:color="auto"/>
            </w:tcBorders>
            <w:vAlign w:val="center"/>
          </w:tcPr>
          <w:p w14:paraId="152DCA45" w14:textId="77777777" w:rsidR="00B81685" w:rsidRPr="000549B1" w:rsidRDefault="00B81685" w:rsidP="00D33EF7">
            <w:pPr>
              <w:pStyle w:val="afff5"/>
              <w:rPr>
                <w:szCs w:val="21"/>
              </w:rPr>
            </w:pPr>
            <w:r w:rsidRPr="000549B1">
              <w:rPr>
                <w:szCs w:val="21"/>
              </w:rPr>
              <w:t>省级</w:t>
            </w:r>
          </w:p>
        </w:tc>
        <w:tc>
          <w:tcPr>
            <w:tcW w:w="430" w:type="pct"/>
            <w:tcBorders>
              <w:top w:val="single" w:sz="2" w:space="0" w:color="auto"/>
              <w:left w:val="single" w:sz="2" w:space="0" w:color="auto"/>
              <w:bottom w:val="single" w:sz="2" w:space="0" w:color="auto"/>
              <w:right w:val="single" w:sz="2" w:space="0" w:color="auto"/>
            </w:tcBorders>
            <w:vAlign w:val="center"/>
          </w:tcPr>
          <w:p w14:paraId="18B56D12" w14:textId="77777777" w:rsidR="00B81685" w:rsidRPr="000549B1" w:rsidRDefault="00B81685" w:rsidP="00D33EF7">
            <w:pPr>
              <w:pStyle w:val="afff5"/>
              <w:rPr>
                <w:szCs w:val="21"/>
              </w:rPr>
            </w:pPr>
            <w:r w:rsidRPr="000549B1">
              <w:rPr>
                <w:szCs w:val="21"/>
              </w:rPr>
              <w:t>/</w:t>
            </w:r>
          </w:p>
        </w:tc>
        <w:tc>
          <w:tcPr>
            <w:tcW w:w="1182" w:type="pct"/>
            <w:tcBorders>
              <w:top w:val="single" w:sz="2" w:space="0" w:color="auto"/>
              <w:left w:val="single" w:sz="2" w:space="0" w:color="auto"/>
              <w:bottom w:val="single" w:sz="2" w:space="0" w:color="auto"/>
              <w:right w:val="single" w:sz="2" w:space="0" w:color="auto"/>
            </w:tcBorders>
            <w:vAlign w:val="center"/>
          </w:tcPr>
          <w:p w14:paraId="03260144" w14:textId="77777777" w:rsidR="00B81685" w:rsidRPr="000549B1" w:rsidRDefault="00B81685" w:rsidP="00D33EF7">
            <w:pPr>
              <w:pStyle w:val="afff5"/>
              <w:rPr>
                <w:szCs w:val="21"/>
              </w:rPr>
            </w:pPr>
            <w:r w:rsidRPr="000549B1">
              <w:rPr>
                <w:szCs w:val="21"/>
              </w:rPr>
              <w:t>资料</w:t>
            </w:r>
          </w:p>
        </w:tc>
        <w:tc>
          <w:tcPr>
            <w:tcW w:w="419" w:type="pct"/>
            <w:tcBorders>
              <w:top w:val="single" w:sz="2" w:space="0" w:color="auto"/>
              <w:left w:val="single" w:sz="2" w:space="0" w:color="auto"/>
              <w:bottom w:val="single" w:sz="2" w:space="0" w:color="auto"/>
              <w:right w:val="single" w:sz="2" w:space="0" w:color="auto"/>
            </w:tcBorders>
            <w:vAlign w:val="center"/>
          </w:tcPr>
          <w:p w14:paraId="640B4A3E" w14:textId="77777777" w:rsidR="00B81685" w:rsidRPr="000549B1" w:rsidRDefault="00B81685" w:rsidP="00D33EF7">
            <w:pPr>
              <w:pStyle w:val="afff5"/>
              <w:rPr>
                <w:szCs w:val="21"/>
              </w:rPr>
            </w:pPr>
          </w:p>
        </w:tc>
      </w:tr>
      <w:tr w:rsidR="000549B1" w:rsidRPr="000549B1" w14:paraId="1A7A7D0F" w14:textId="77777777" w:rsidTr="00B81685">
        <w:tc>
          <w:tcPr>
            <w:tcW w:w="392" w:type="pct"/>
            <w:tcBorders>
              <w:top w:val="single" w:sz="2" w:space="0" w:color="auto"/>
              <w:left w:val="single" w:sz="2" w:space="0" w:color="auto"/>
              <w:bottom w:val="single" w:sz="2" w:space="0" w:color="auto"/>
              <w:right w:val="single" w:sz="2" w:space="0" w:color="auto"/>
            </w:tcBorders>
            <w:vAlign w:val="center"/>
          </w:tcPr>
          <w:p w14:paraId="5863D3C3" w14:textId="77777777" w:rsidR="00B81685" w:rsidRPr="000549B1" w:rsidRDefault="00B81685" w:rsidP="00D33EF7">
            <w:pPr>
              <w:pStyle w:val="afff5"/>
              <w:rPr>
                <w:szCs w:val="21"/>
              </w:rPr>
            </w:pPr>
            <w:r w:rsidRPr="000549B1">
              <w:rPr>
                <w:szCs w:val="21"/>
              </w:rPr>
              <w:t>18</w:t>
            </w:r>
          </w:p>
        </w:tc>
        <w:tc>
          <w:tcPr>
            <w:tcW w:w="681" w:type="pct"/>
            <w:tcBorders>
              <w:top w:val="single" w:sz="2" w:space="0" w:color="auto"/>
              <w:left w:val="single" w:sz="2" w:space="0" w:color="auto"/>
              <w:bottom w:val="single" w:sz="2" w:space="0" w:color="auto"/>
              <w:right w:val="single" w:sz="2" w:space="0" w:color="auto"/>
            </w:tcBorders>
            <w:vAlign w:val="center"/>
          </w:tcPr>
          <w:p w14:paraId="08BFD255" w14:textId="77777777" w:rsidR="00B81685" w:rsidRPr="000549B1" w:rsidRDefault="00B81685" w:rsidP="00D33EF7">
            <w:pPr>
              <w:pStyle w:val="afff5"/>
              <w:rPr>
                <w:szCs w:val="21"/>
              </w:rPr>
            </w:pPr>
            <w:r w:rsidRPr="000549B1">
              <w:rPr>
                <w:szCs w:val="21"/>
              </w:rPr>
              <w:t>大斑啄木鸟</w:t>
            </w:r>
          </w:p>
        </w:tc>
        <w:tc>
          <w:tcPr>
            <w:tcW w:w="1413" w:type="pct"/>
            <w:tcBorders>
              <w:top w:val="single" w:sz="2" w:space="0" w:color="auto"/>
              <w:left w:val="single" w:sz="2" w:space="0" w:color="auto"/>
              <w:bottom w:val="single" w:sz="2" w:space="0" w:color="auto"/>
              <w:right w:val="single" w:sz="2" w:space="0" w:color="auto"/>
            </w:tcBorders>
            <w:vAlign w:val="center"/>
          </w:tcPr>
          <w:p w14:paraId="41F4CF56" w14:textId="77777777" w:rsidR="00B81685" w:rsidRPr="000549B1" w:rsidRDefault="00B81685" w:rsidP="00D33EF7">
            <w:pPr>
              <w:pStyle w:val="afff5"/>
              <w:rPr>
                <w:szCs w:val="21"/>
              </w:rPr>
            </w:pPr>
            <w:r w:rsidRPr="000549B1">
              <w:rPr>
                <w:szCs w:val="21"/>
              </w:rPr>
              <w:t>Debdriciposmajor</w:t>
            </w:r>
          </w:p>
        </w:tc>
        <w:tc>
          <w:tcPr>
            <w:tcW w:w="482" w:type="pct"/>
            <w:tcBorders>
              <w:top w:val="single" w:sz="2" w:space="0" w:color="auto"/>
              <w:left w:val="single" w:sz="2" w:space="0" w:color="auto"/>
              <w:bottom w:val="single" w:sz="2" w:space="0" w:color="auto"/>
              <w:right w:val="single" w:sz="2" w:space="0" w:color="auto"/>
            </w:tcBorders>
            <w:vAlign w:val="center"/>
          </w:tcPr>
          <w:p w14:paraId="67C2E284" w14:textId="77777777" w:rsidR="00B81685" w:rsidRPr="000549B1" w:rsidRDefault="00B81685" w:rsidP="00D33EF7">
            <w:pPr>
              <w:pStyle w:val="afff5"/>
              <w:rPr>
                <w:szCs w:val="21"/>
              </w:rPr>
            </w:pPr>
            <w:r w:rsidRPr="000549B1">
              <w:rPr>
                <w:szCs w:val="21"/>
              </w:rPr>
              <w:t>省级</w:t>
            </w:r>
          </w:p>
        </w:tc>
        <w:tc>
          <w:tcPr>
            <w:tcW w:w="430" w:type="pct"/>
            <w:tcBorders>
              <w:top w:val="single" w:sz="2" w:space="0" w:color="auto"/>
              <w:left w:val="single" w:sz="2" w:space="0" w:color="auto"/>
              <w:bottom w:val="single" w:sz="2" w:space="0" w:color="auto"/>
              <w:right w:val="single" w:sz="2" w:space="0" w:color="auto"/>
            </w:tcBorders>
            <w:vAlign w:val="center"/>
          </w:tcPr>
          <w:p w14:paraId="3A78DEB6" w14:textId="77777777" w:rsidR="00B81685" w:rsidRPr="000549B1" w:rsidRDefault="00B81685" w:rsidP="00D33EF7">
            <w:pPr>
              <w:pStyle w:val="afff5"/>
              <w:rPr>
                <w:szCs w:val="21"/>
              </w:rPr>
            </w:pPr>
            <w:r w:rsidRPr="000549B1">
              <w:rPr>
                <w:szCs w:val="21"/>
              </w:rPr>
              <w:t>/</w:t>
            </w:r>
          </w:p>
        </w:tc>
        <w:tc>
          <w:tcPr>
            <w:tcW w:w="1182" w:type="pct"/>
            <w:tcBorders>
              <w:top w:val="single" w:sz="2" w:space="0" w:color="auto"/>
              <w:left w:val="single" w:sz="2" w:space="0" w:color="auto"/>
              <w:bottom w:val="single" w:sz="2" w:space="0" w:color="auto"/>
              <w:right w:val="single" w:sz="2" w:space="0" w:color="auto"/>
            </w:tcBorders>
            <w:vAlign w:val="center"/>
          </w:tcPr>
          <w:p w14:paraId="4A04B027" w14:textId="77777777" w:rsidR="00B81685" w:rsidRPr="000549B1" w:rsidRDefault="00B81685" w:rsidP="00D33EF7">
            <w:pPr>
              <w:pStyle w:val="afff5"/>
              <w:rPr>
                <w:szCs w:val="21"/>
              </w:rPr>
            </w:pPr>
            <w:r w:rsidRPr="000549B1">
              <w:rPr>
                <w:szCs w:val="21"/>
              </w:rPr>
              <w:t>资料</w:t>
            </w:r>
          </w:p>
        </w:tc>
        <w:tc>
          <w:tcPr>
            <w:tcW w:w="419" w:type="pct"/>
            <w:tcBorders>
              <w:top w:val="single" w:sz="2" w:space="0" w:color="auto"/>
              <w:left w:val="single" w:sz="2" w:space="0" w:color="auto"/>
              <w:bottom w:val="single" w:sz="2" w:space="0" w:color="auto"/>
              <w:right w:val="single" w:sz="2" w:space="0" w:color="auto"/>
            </w:tcBorders>
            <w:vAlign w:val="center"/>
          </w:tcPr>
          <w:p w14:paraId="30E69F50" w14:textId="77777777" w:rsidR="00B81685" w:rsidRPr="000549B1" w:rsidRDefault="00B81685" w:rsidP="00D33EF7">
            <w:pPr>
              <w:pStyle w:val="afff5"/>
              <w:rPr>
                <w:szCs w:val="21"/>
              </w:rPr>
            </w:pPr>
          </w:p>
        </w:tc>
      </w:tr>
      <w:tr w:rsidR="000549B1" w:rsidRPr="000549B1" w14:paraId="4BE0486E" w14:textId="77777777" w:rsidTr="00B81685">
        <w:tc>
          <w:tcPr>
            <w:tcW w:w="392" w:type="pct"/>
            <w:tcBorders>
              <w:top w:val="single" w:sz="2" w:space="0" w:color="auto"/>
              <w:left w:val="single" w:sz="2" w:space="0" w:color="auto"/>
              <w:bottom w:val="single" w:sz="2" w:space="0" w:color="auto"/>
              <w:right w:val="single" w:sz="2" w:space="0" w:color="auto"/>
            </w:tcBorders>
            <w:vAlign w:val="center"/>
          </w:tcPr>
          <w:p w14:paraId="681C5661" w14:textId="77777777" w:rsidR="00B81685" w:rsidRPr="000549B1" w:rsidRDefault="00B81685" w:rsidP="00D33EF7">
            <w:pPr>
              <w:pStyle w:val="afff5"/>
              <w:rPr>
                <w:szCs w:val="21"/>
              </w:rPr>
            </w:pPr>
            <w:r w:rsidRPr="000549B1">
              <w:rPr>
                <w:szCs w:val="21"/>
              </w:rPr>
              <w:t>19</w:t>
            </w:r>
          </w:p>
        </w:tc>
        <w:tc>
          <w:tcPr>
            <w:tcW w:w="681" w:type="pct"/>
            <w:tcBorders>
              <w:top w:val="single" w:sz="2" w:space="0" w:color="auto"/>
              <w:left w:val="single" w:sz="2" w:space="0" w:color="auto"/>
              <w:bottom w:val="single" w:sz="2" w:space="0" w:color="auto"/>
              <w:right w:val="single" w:sz="2" w:space="0" w:color="auto"/>
            </w:tcBorders>
            <w:vAlign w:val="center"/>
          </w:tcPr>
          <w:p w14:paraId="222AAE57" w14:textId="77777777" w:rsidR="00B81685" w:rsidRPr="000549B1" w:rsidRDefault="00B81685" w:rsidP="00D33EF7">
            <w:pPr>
              <w:pStyle w:val="afff5"/>
              <w:rPr>
                <w:szCs w:val="21"/>
              </w:rPr>
            </w:pPr>
            <w:r w:rsidRPr="000549B1">
              <w:rPr>
                <w:szCs w:val="21"/>
              </w:rPr>
              <w:t>长嘴百灵</w:t>
            </w:r>
          </w:p>
        </w:tc>
        <w:tc>
          <w:tcPr>
            <w:tcW w:w="1413" w:type="pct"/>
            <w:tcBorders>
              <w:top w:val="single" w:sz="2" w:space="0" w:color="auto"/>
              <w:left w:val="single" w:sz="2" w:space="0" w:color="auto"/>
              <w:bottom w:val="single" w:sz="2" w:space="0" w:color="auto"/>
              <w:right w:val="single" w:sz="2" w:space="0" w:color="auto"/>
            </w:tcBorders>
            <w:vAlign w:val="center"/>
          </w:tcPr>
          <w:p w14:paraId="5A6F170C" w14:textId="77777777" w:rsidR="00B81685" w:rsidRPr="000549B1" w:rsidRDefault="00B81685" w:rsidP="00D33EF7">
            <w:pPr>
              <w:pStyle w:val="afff5"/>
              <w:rPr>
                <w:szCs w:val="21"/>
              </w:rPr>
            </w:pPr>
            <w:r w:rsidRPr="000549B1">
              <w:rPr>
                <w:szCs w:val="21"/>
              </w:rPr>
              <w:t>Melanocoryphamaxima</w:t>
            </w:r>
          </w:p>
        </w:tc>
        <w:tc>
          <w:tcPr>
            <w:tcW w:w="482" w:type="pct"/>
            <w:tcBorders>
              <w:top w:val="single" w:sz="2" w:space="0" w:color="auto"/>
              <w:left w:val="single" w:sz="2" w:space="0" w:color="auto"/>
              <w:bottom w:val="single" w:sz="2" w:space="0" w:color="auto"/>
              <w:right w:val="single" w:sz="2" w:space="0" w:color="auto"/>
            </w:tcBorders>
            <w:vAlign w:val="center"/>
          </w:tcPr>
          <w:p w14:paraId="72D40039" w14:textId="77777777" w:rsidR="00B81685" w:rsidRPr="000549B1" w:rsidRDefault="00B81685" w:rsidP="00D33EF7">
            <w:pPr>
              <w:pStyle w:val="afff5"/>
              <w:rPr>
                <w:szCs w:val="21"/>
              </w:rPr>
            </w:pPr>
            <w:r w:rsidRPr="000549B1">
              <w:rPr>
                <w:szCs w:val="21"/>
              </w:rPr>
              <w:t>省级</w:t>
            </w:r>
          </w:p>
        </w:tc>
        <w:tc>
          <w:tcPr>
            <w:tcW w:w="430" w:type="pct"/>
            <w:tcBorders>
              <w:top w:val="single" w:sz="2" w:space="0" w:color="auto"/>
              <w:left w:val="single" w:sz="2" w:space="0" w:color="auto"/>
              <w:bottom w:val="single" w:sz="2" w:space="0" w:color="auto"/>
              <w:right w:val="single" w:sz="2" w:space="0" w:color="auto"/>
            </w:tcBorders>
            <w:vAlign w:val="center"/>
          </w:tcPr>
          <w:p w14:paraId="4A1974E1" w14:textId="77777777" w:rsidR="00B81685" w:rsidRPr="000549B1" w:rsidRDefault="00B81685" w:rsidP="00D33EF7">
            <w:pPr>
              <w:pStyle w:val="afff5"/>
              <w:rPr>
                <w:szCs w:val="21"/>
              </w:rPr>
            </w:pPr>
            <w:r w:rsidRPr="000549B1">
              <w:rPr>
                <w:szCs w:val="21"/>
              </w:rPr>
              <w:t>/</w:t>
            </w:r>
          </w:p>
        </w:tc>
        <w:tc>
          <w:tcPr>
            <w:tcW w:w="1182" w:type="pct"/>
            <w:tcBorders>
              <w:top w:val="single" w:sz="2" w:space="0" w:color="auto"/>
              <w:left w:val="single" w:sz="2" w:space="0" w:color="auto"/>
              <w:bottom w:val="single" w:sz="2" w:space="0" w:color="auto"/>
              <w:right w:val="single" w:sz="2" w:space="0" w:color="auto"/>
            </w:tcBorders>
            <w:vAlign w:val="center"/>
          </w:tcPr>
          <w:p w14:paraId="4DA5C46A" w14:textId="77777777" w:rsidR="00B81685" w:rsidRPr="000549B1" w:rsidRDefault="00B81685" w:rsidP="00D33EF7">
            <w:pPr>
              <w:pStyle w:val="afff5"/>
              <w:rPr>
                <w:szCs w:val="21"/>
              </w:rPr>
            </w:pPr>
            <w:r w:rsidRPr="000549B1">
              <w:rPr>
                <w:szCs w:val="21"/>
              </w:rPr>
              <w:t>资料</w:t>
            </w:r>
          </w:p>
        </w:tc>
        <w:tc>
          <w:tcPr>
            <w:tcW w:w="419" w:type="pct"/>
            <w:tcBorders>
              <w:top w:val="single" w:sz="2" w:space="0" w:color="auto"/>
              <w:left w:val="single" w:sz="2" w:space="0" w:color="auto"/>
              <w:bottom w:val="single" w:sz="2" w:space="0" w:color="auto"/>
              <w:right w:val="single" w:sz="2" w:space="0" w:color="auto"/>
            </w:tcBorders>
            <w:vAlign w:val="center"/>
          </w:tcPr>
          <w:p w14:paraId="6B6CE6D4" w14:textId="77777777" w:rsidR="00B81685" w:rsidRPr="000549B1" w:rsidRDefault="00B81685" w:rsidP="00D33EF7">
            <w:pPr>
              <w:pStyle w:val="afff5"/>
              <w:rPr>
                <w:szCs w:val="21"/>
              </w:rPr>
            </w:pPr>
          </w:p>
        </w:tc>
      </w:tr>
      <w:tr w:rsidR="000549B1" w:rsidRPr="000549B1" w14:paraId="4A694A7E" w14:textId="77777777" w:rsidTr="00B81685">
        <w:tc>
          <w:tcPr>
            <w:tcW w:w="392" w:type="pct"/>
            <w:tcBorders>
              <w:top w:val="single" w:sz="2" w:space="0" w:color="auto"/>
              <w:left w:val="single" w:sz="2" w:space="0" w:color="auto"/>
              <w:bottom w:val="single" w:sz="2" w:space="0" w:color="auto"/>
              <w:right w:val="single" w:sz="2" w:space="0" w:color="auto"/>
            </w:tcBorders>
            <w:vAlign w:val="center"/>
          </w:tcPr>
          <w:p w14:paraId="76476FB6" w14:textId="77777777" w:rsidR="00B81685" w:rsidRPr="000549B1" w:rsidRDefault="00B81685" w:rsidP="00D33EF7">
            <w:pPr>
              <w:pStyle w:val="afff5"/>
              <w:rPr>
                <w:szCs w:val="21"/>
              </w:rPr>
            </w:pPr>
            <w:r w:rsidRPr="000549B1">
              <w:rPr>
                <w:szCs w:val="21"/>
              </w:rPr>
              <w:t>20</w:t>
            </w:r>
          </w:p>
        </w:tc>
        <w:tc>
          <w:tcPr>
            <w:tcW w:w="681" w:type="pct"/>
            <w:tcBorders>
              <w:top w:val="single" w:sz="2" w:space="0" w:color="auto"/>
              <w:left w:val="single" w:sz="2" w:space="0" w:color="auto"/>
              <w:bottom w:val="single" w:sz="2" w:space="0" w:color="auto"/>
              <w:right w:val="single" w:sz="2" w:space="0" w:color="auto"/>
            </w:tcBorders>
            <w:vAlign w:val="center"/>
          </w:tcPr>
          <w:p w14:paraId="2D958B76" w14:textId="77777777" w:rsidR="00B81685" w:rsidRPr="000549B1" w:rsidRDefault="00B81685" w:rsidP="00D33EF7">
            <w:pPr>
              <w:pStyle w:val="afff5"/>
              <w:rPr>
                <w:szCs w:val="21"/>
              </w:rPr>
            </w:pPr>
            <w:r w:rsidRPr="000549B1">
              <w:rPr>
                <w:szCs w:val="21"/>
              </w:rPr>
              <w:t>小云雀</w:t>
            </w:r>
          </w:p>
        </w:tc>
        <w:tc>
          <w:tcPr>
            <w:tcW w:w="1413" w:type="pct"/>
            <w:tcBorders>
              <w:top w:val="single" w:sz="2" w:space="0" w:color="auto"/>
              <w:left w:val="single" w:sz="2" w:space="0" w:color="auto"/>
              <w:bottom w:val="single" w:sz="2" w:space="0" w:color="auto"/>
              <w:right w:val="single" w:sz="2" w:space="0" w:color="auto"/>
            </w:tcBorders>
            <w:vAlign w:val="center"/>
          </w:tcPr>
          <w:p w14:paraId="5D13E889" w14:textId="77777777" w:rsidR="00B81685" w:rsidRPr="000549B1" w:rsidRDefault="00B81685" w:rsidP="00D33EF7">
            <w:pPr>
              <w:pStyle w:val="afff5"/>
              <w:rPr>
                <w:szCs w:val="21"/>
              </w:rPr>
            </w:pPr>
            <w:r w:rsidRPr="000549B1">
              <w:rPr>
                <w:szCs w:val="21"/>
              </w:rPr>
              <w:t>Eremophilaalpestris</w:t>
            </w:r>
          </w:p>
        </w:tc>
        <w:tc>
          <w:tcPr>
            <w:tcW w:w="482" w:type="pct"/>
            <w:tcBorders>
              <w:top w:val="single" w:sz="2" w:space="0" w:color="auto"/>
              <w:left w:val="single" w:sz="2" w:space="0" w:color="auto"/>
              <w:bottom w:val="single" w:sz="2" w:space="0" w:color="auto"/>
              <w:right w:val="single" w:sz="2" w:space="0" w:color="auto"/>
            </w:tcBorders>
            <w:vAlign w:val="center"/>
          </w:tcPr>
          <w:p w14:paraId="5FCCB239" w14:textId="77777777" w:rsidR="00B81685" w:rsidRPr="000549B1" w:rsidRDefault="00B81685" w:rsidP="00D33EF7">
            <w:pPr>
              <w:pStyle w:val="afff5"/>
              <w:rPr>
                <w:szCs w:val="21"/>
              </w:rPr>
            </w:pPr>
            <w:r w:rsidRPr="000549B1">
              <w:rPr>
                <w:szCs w:val="21"/>
              </w:rPr>
              <w:t>省级</w:t>
            </w:r>
          </w:p>
        </w:tc>
        <w:tc>
          <w:tcPr>
            <w:tcW w:w="430" w:type="pct"/>
            <w:tcBorders>
              <w:top w:val="single" w:sz="2" w:space="0" w:color="auto"/>
              <w:left w:val="single" w:sz="2" w:space="0" w:color="auto"/>
              <w:bottom w:val="single" w:sz="2" w:space="0" w:color="auto"/>
              <w:right w:val="single" w:sz="2" w:space="0" w:color="auto"/>
            </w:tcBorders>
            <w:vAlign w:val="center"/>
          </w:tcPr>
          <w:p w14:paraId="4ADE2879" w14:textId="77777777" w:rsidR="00B81685" w:rsidRPr="000549B1" w:rsidRDefault="00B81685" w:rsidP="00D33EF7">
            <w:pPr>
              <w:pStyle w:val="afff5"/>
              <w:rPr>
                <w:szCs w:val="21"/>
              </w:rPr>
            </w:pPr>
            <w:r w:rsidRPr="000549B1">
              <w:rPr>
                <w:szCs w:val="21"/>
              </w:rPr>
              <w:t>/</w:t>
            </w:r>
          </w:p>
        </w:tc>
        <w:tc>
          <w:tcPr>
            <w:tcW w:w="1182" w:type="pct"/>
            <w:tcBorders>
              <w:top w:val="single" w:sz="2" w:space="0" w:color="auto"/>
              <w:left w:val="single" w:sz="2" w:space="0" w:color="auto"/>
              <w:bottom w:val="single" w:sz="2" w:space="0" w:color="auto"/>
              <w:right w:val="single" w:sz="2" w:space="0" w:color="auto"/>
            </w:tcBorders>
            <w:vAlign w:val="center"/>
          </w:tcPr>
          <w:p w14:paraId="47C375C9" w14:textId="77777777" w:rsidR="00B81685" w:rsidRPr="000549B1" w:rsidRDefault="00B81685" w:rsidP="00D33EF7">
            <w:pPr>
              <w:pStyle w:val="afff5"/>
              <w:rPr>
                <w:szCs w:val="21"/>
              </w:rPr>
            </w:pPr>
            <w:r w:rsidRPr="000549B1">
              <w:rPr>
                <w:szCs w:val="21"/>
              </w:rPr>
              <w:t>资料、目击、访谈</w:t>
            </w:r>
          </w:p>
        </w:tc>
        <w:tc>
          <w:tcPr>
            <w:tcW w:w="419" w:type="pct"/>
            <w:tcBorders>
              <w:top w:val="single" w:sz="2" w:space="0" w:color="auto"/>
              <w:left w:val="single" w:sz="2" w:space="0" w:color="auto"/>
              <w:bottom w:val="single" w:sz="2" w:space="0" w:color="auto"/>
              <w:right w:val="single" w:sz="2" w:space="0" w:color="auto"/>
            </w:tcBorders>
            <w:vAlign w:val="center"/>
          </w:tcPr>
          <w:p w14:paraId="308A72F7" w14:textId="77777777" w:rsidR="00B81685" w:rsidRPr="000549B1" w:rsidRDefault="00B81685" w:rsidP="00D33EF7">
            <w:pPr>
              <w:pStyle w:val="afff5"/>
              <w:rPr>
                <w:szCs w:val="21"/>
              </w:rPr>
            </w:pPr>
          </w:p>
        </w:tc>
      </w:tr>
      <w:tr w:rsidR="000549B1" w:rsidRPr="000549B1" w14:paraId="548CF95C" w14:textId="77777777" w:rsidTr="00B81685">
        <w:tc>
          <w:tcPr>
            <w:tcW w:w="392" w:type="pct"/>
            <w:tcBorders>
              <w:top w:val="single" w:sz="2" w:space="0" w:color="auto"/>
              <w:left w:val="single" w:sz="2" w:space="0" w:color="auto"/>
              <w:bottom w:val="single" w:sz="2" w:space="0" w:color="auto"/>
              <w:right w:val="single" w:sz="2" w:space="0" w:color="auto"/>
            </w:tcBorders>
            <w:vAlign w:val="center"/>
          </w:tcPr>
          <w:p w14:paraId="445B98AB" w14:textId="77777777" w:rsidR="00B81685" w:rsidRPr="000549B1" w:rsidRDefault="00B81685" w:rsidP="00D33EF7">
            <w:pPr>
              <w:pStyle w:val="afff5"/>
              <w:rPr>
                <w:szCs w:val="21"/>
              </w:rPr>
            </w:pPr>
            <w:r w:rsidRPr="000549B1">
              <w:rPr>
                <w:szCs w:val="21"/>
              </w:rPr>
              <w:t>21</w:t>
            </w:r>
          </w:p>
        </w:tc>
        <w:tc>
          <w:tcPr>
            <w:tcW w:w="681" w:type="pct"/>
            <w:tcBorders>
              <w:top w:val="single" w:sz="2" w:space="0" w:color="auto"/>
              <w:left w:val="single" w:sz="2" w:space="0" w:color="auto"/>
              <w:bottom w:val="single" w:sz="2" w:space="0" w:color="auto"/>
              <w:right w:val="single" w:sz="2" w:space="0" w:color="auto"/>
            </w:tcBorders>
            <w:vAlign w:val="center"/>
          </w:tcPr>
          <w:p w14:paraId="08FCAA3F" w14:textId="77777777" w:rsidR="00B81685" w:rsidRPr="000549B1" w:rsidRDefault="00B81685" w:rsidP="00D33EF7">
            <w:pPr>
              <w:pStyle w:val="afff5"/>
              <w:rPr>
                <w:szCs w:val="21"/>
              </w:rPr>
            </w:pPr>
            <w:r w:rsidRPr="000549B1">
              <w:rPr>
                <w:szCs w:val="21"/>
              </w:rPr>
              <w:t>红腹红尾鸲</w:t>
            </w:r>
          </w:p>
        </w:tc>
        <w:tc>
          <w:tcPr>
            <w:tcW w:w="1413" w:type="pct"/>
            <w:tcBorders>
              <w:top w:val="single" w:sz="2" w:space="0" w:color="auto"/>
              <w:left w:val="single" w:sz="2" w:space="0" w:color="auto"/>
              <w:bottom w:val="single" w:sz="2" w:space="0" w:color="auto"/>
              <w:right w:val="single" w:sz="2" w:space="0" w:color="auto"/>
            </w:tcBorders>
            <w:vAlign w:val="center"/>
          </w:tcPr>
          <w:p w14:paraId="601BE95C" w14:textId="77777777" w:rsidR="00B81685" w:rsidRPr="000549B1" w:rsidRDefault="00B81685" w:rsidP="00D33EF7">
            <w:pPr>
              <w:pStyle w:val="afff5"/>
              <w:rPr>
                <w:szCs w:val="21"/>
              </w:rPr>
            </w:pPr>
            <w:r w:rsidRPr="000549B1">
              <w:rPr>
                <w:szCs w:val="21"/>
              </w:rPr>
              <w:t>Phoenicuruserytkrogaster</w:t>
            </w:r>
          </w:p>
        </w:tc>
        <w:tc>
          <w:tcPr>
            <w:tcW w:w="482" w:type="pct"/>
            <w:tcBorders>
              <w:top w:val="single" w:sz="2" w:space="0" w:color="auto"/>
              <w:left w:val="single" w:sz="2" w:space="0" w:color="auto"/>
              <w:bottom w:val="single" w:sz="2" w:space="0" w:color="auto"/>
              <w:right w:val="single" w:sz="2" w:space="0" w:color="auto"/>
            </w:tcBorders>
            <w:vAlign w:val="center"/>
          </w:tcPr>
          <w:p w14:paraId="29D44A49" w14:textId="77777777" w:rsidR="00B81685" w:rsidRPr="000549B1" w:rsidRDefault="00B81685" w:rsidP="00D33EF7">
            <w:pPr>
              <w:pStyle w:val="afff5"/>
              <w:rPr>
                <w:szCs w:val="21"/>
              </w:rPr>
            </w:pPr>
            <w:r w:rsidRPr="000549B1">
              <w:rPr>
                <w:szCs w:val="21"/>
              </w:rPr>
              <w:t>省级</w:t>
            </w:r>
          </w:p>
        </w:tc>
        <w:tc>
          <w:tcPr>
            <w:tcW w:w="430" w:type="pct"/>
            <w:tcBorders>
              <w:top w:val="single" w:sz="2" w:space="0" w:color="auto"/>
              <w:left w:val="single" w:sz="2" w:space="0" w:color="auto"/>
              <w:bottom w:val="single" w:sz="2" w:space="0" w:color="auto"/>
              <w:right w:val="single" w:sz="2" w:space="0" w:color="auto"/>
            </w:tcBorders>
            <w:vAlign w:val="center"/>
          </w:tcPr>
          <w:p w14:paraId="5032A085" w14:textId="77777777" w:rsidR="00B81685" w:rsidRPr="000549B1" w:rsidRDefault="00B81685" w:rsidP="00D33EF7">
            <w:pPr>
              <w:pStyle w:val="afff5"/>
              <w:rPr>
                <w:szCs w:val="21"/>
              </w:rPr>
            </w:pPr>
            <w:r w:rsidRPr="000549B1">
              <w:rPr>
                <w:szCs w:val="21"/>
              </w:rPr>
              <w:t>/</w:t>
            </w:r>
          </w:p>
        </w:tc>
        <w:tc>
          <w:tcPr>
            <w:tcW w:w="1182" w:type="pct"/>
            <w:tcBorders>
              <w:top w:val="single" w:sz="2" w:space="0" w:color="auto"/>
              <w:left w:val="single" w:sz="2" w:space="0" w:color="auto"/>
              <w:bottom w:val="single" w:sz="2" w:space="0" w:color="auto"/>
              <w:right w:val="single" w:sz="2" w:space="0" w:color="auto"/>
            </w:tcBorders>
            <w:vAlign w:val="center"/>
          </w:tcPr>
          <w:p w14:paraId="4144EB87" w14:textId="77777777" w:rsidR="00B81685" w:rsidRPr="000549B1" w:rsidRDefault="00B81685" w:rsidP="00D33EF7">
            <w:pPr>
              <w:pStyle w:val="afff5"/>
              <w:rPr>
                <w:szCs w:val="21"/>
              </w:rPr>
            </w:pPr>
            <w:r w:rsidRPr="000549B1">
              <w:rPr>
                <w:szCs w:val="21"/>
              </w:rPr>
              <w:t>资料</w:t>
            </w:r>
          </w:p>
        </w:tc>
        <w:tc>
          <w:tcPr>
            <w:tcW w:w="419" w:type="pct"/>
            <w:tcBorders>
              <w:top w:val="single" w:sz="2" w:space="0" w:color="auto"/>
              <w:left w:val="single" w:sz="2" w:space="0" w:color="auto"/>
              <w:bottom w:val="single" w:sz="2" w:space="0" w:color="auto"/>
              <w:right w:val="single" w:sz="2" w:space="0" w:color="auto"/>
            </w:tcBorders>
            <w:vAlign w:val="center"/>
          </w:tcPr>
          <w:p w14:paraId="0C0C7263" w14:textId="77777777" w:rsidR="00B81685" w:rsidRPr="000549B1" w:rsidRDefault="00B81685" w:rsidP="00D33EF7">
            <w:pPr>
              <w:pStyle w:val="afff5"/>
              <w:rPr>
                <w:szCs w:val="21"/>
              </w:rPr>
            </w:pPr>
          </w:p>
        </w:tc>
      </w:tr>
      <w:tr w:rsidR="000549B1" w:rsidRPr="000549B1" w14:paraId="5E0B2098" w14:textId="77777777" w:rsidTr="00B81685">
        <w:tc>
          <w:tcPr>
            <w:tcW w:w="392" w:type="pct"/>
            <w:tcBorders>
              <w:top w:val="single" w:sz="2" w:space="0" w:color="auto"/>
              <w:left w:val="single" w:sz="2" w:space="0" w:color="auto"/>
              <w:bottom w:val="single" w:sz="2" w:space="0" w:color="auto"/>
              <w:right w:val="single" w:sz="2" w:space="0" w:color="auto"/>
            </w:tcBorders>
            <w:vAlign w:val="center"/>
          </w:tcPr>
          <w:p w14:paraId="3F471D82" w14:textId="77777777" w:rsidR="00B81685" w:rsidRPr="000549B1" w:rsidRDefault="00B81685" w:rsidP="00D33EF7">
            <w:pPr>
              <w:pStyle w:val="afff5"/>
              <w:rPr>
                <w:szCs w:val="21"/>
              </w:rPr>
            </w:pPr>
            <w:r w:rsidRPr="000549B1">
              <w:rPr>
                <w:szCs w:val="21"/>
              </w:rPr>
              <w:t>22</w:t>
            </w:r>
          </w:p>
        </w:tc>
        <w:tc>
          <w:tcPr>
            <w:tcW w:w="681" w:type="pct"/>
            <w:tcBorders>
              <w:top w:val="single" w:sz="2" w:space="0" w:color="auto"/>
              <w:left w:val="single" w:sz="2" w:space="0" w:color="auto"/>
              <w:bottom w:val="single" w:sz="2" w:space="0" w:color="auto"/>
              <w:right w:val="single" w:sz="2" w:space="0" w:color="auto"/>
            </w:tcBorders>
            <w:vAlign w:val="center"/>
          </w:tcPr>
          <w:p w14:paraId="2643CAF6" w14:textId="77777777" w:rsidR="00B81685" w:rsidRPr="000549B1" w:rsidRDefault="00B81685" w:rsidP="00D33EF7">
            <w:pPr>
              <w:pStyle w:val="afff5"/>
              <w:rPr>
                <w:szCs w:val="21"/>
              </w:rPr>
            </w:pPr>
            <w:r w:rsidRPr="000549B1">
              <w:rPr>
                <w:szCs w:val="21"/>
              </w:rPr>
              <w:t>藏雪雀</w:t>
            </w:r>
          </w:p>
        </w:tc>
        <w:tc>
          <w:tcPr>
            <w:tcW w:w="1413" w:type="pct"/>
            <w:tcBorders>
              <w:top w:val="single" w:sz="2" w:space="0" w:color="auto"/>
              <w:left w:val="single" w:sz="2" w:space="0" w:color="auto"/>
              <w:bottom w:val="single" w:sz="2" w:space="0" w:color="auto"/>
              <w:right w:val="single" w:sz="2" w:space="0" w:color="auto"/>
            </w:tcBorders>
            <w:vAlign w:val="center"/>
          </w:tcPr>
          <w:p w14:paraId="11CE04D4" w14:textId="77777777" w:rsidR="00B81685" w:rsidRPr="000549B1" w:rsidRDefault="00B81685" w:rsidP="00D33EF7">
            <w:pPr>
              <w:pStyle w:val="afff5"/>
              <w:rPr>
                <w:szCs w:val="21"/>
              </w:rPr>
            </w:pPr>
            <w:r w:rsidRPr="000549B1">
              <w:rPr>
                <w:szCs w:val="21"/>
              </w:rPr>
              <w:t>Montifringillahenrici</w:t>
            </w:r>
          </w:p>
        </w:tc>
        <w:tc>
          <w:tcPr>
            <w:tcW w:w="482" w:type="pct"/>
            <w:tcBorders>
              <w:top w:val="single" w:sz="2" w:space="0" w:color="auto"/>
              <w:left w:val="single" w:sz="2" w:space="0" w:color="auto"/>
              <w:bottom w:val="single" w:sz="2" w:space="0" w:color="auto"/>
              <w:right w:val="single" w:sz="2" w:space="0" w:color="auto"/>
            </w:tcBorders>
            <w:vAlign w:val="center"/>
          </w:tcPr>
          <w:p w14:paraId="279BFB1B" w14:textId="77777777" w:rsidR="00B81685" w:rsidRPr="000549B1" w:rsidRDefault="00B81685" w:rsidP="00D33EF7">
            <w:pPr>
              <w:pStyle w:val="afff5"/>
              <w:rPr>
                <w:szCs w:val="21"/>
              </w:rPr>
            </w:pPr>
            <w:r w:rsidRPr="000549B1">
              <w:rPr>
                <w:szCs w:val="21"/>
              </w:rPr>
              <w:t>省级</w:t>
            </w:r>
          </w:p>
        </w:tc>
        <w:tc>
          <w:tcPr>
            <w:tcW w:w="430" w:type="pct"/>
            <w:tcBorders>
              <w:top w:val="single" w:sz="2" w:space="0" w:color="auto"/>
              <w:left w:val="single" w:sz="2" w:space="0" w:color="auto"/>
              <w:bottom w:val="single" w:sz="2" w:space="0" w:color="auto"/>
              <w:right w:val="single" w:sz="2" w:space="0" w:color="auto"/>
            </w:tcBorders>
            <w:vAlign w:val="center"/>
          </w:tcPr>
          <w:p w14:paraId="25FCF63B" w14:textId="77777777" w:rsidR="00B81685" w:rsidRPr="000549B1" w:rsidRDefault="00B81685" w:rsidP="00D33EF7">
            <w:pPr>
              <w:pStyle w:val="afff5"/>
              <w:rPr>
                <w:szCs w:val="21"/>
              </w:rPr>
            </w:pPr>
            <w:r w:rsidRPr="000549B1">
              <w:rPr>
                <w:szCs w:val="21"/>
              </w:rPr>
              <w:t>/</w:t>
            </w:r>
          </w:p>
        </w:tc>
        <w:tc>
          <w:tcPr>
            <w:tcW w:w="1182" w:type="pct"/>
            <w:tcBorders>
              <w:top w:val="single" w:sz="2" w:space="0" w:color="auto"/>
              <w:left w:val="single" w:sz="2" w:space="0" w:color="auto"/>
              <w:bottom w:val="single" w:sz="2" w:space="0" w:color="auto"/>
              <w:right w:val="single" w:sz="2" w:space="0" w:color="auto"/>
            </w:tcBorders>
            <w:vAlign w:val="center"/>
          </w:tcPr>
          <w:p w14:paraId="747EEA7B" w14:textId="77777777" w:rsidR="00B81685" w:rsidRPr="000549B1" w:rsidRDefault="00B81685" w:rsidP="00D33EF7">
            <w:pPr>
              <w:pStyle w:val="afff5"/>
              <w:rPr>
                <w:szCs w:val="21"/>
              </w:rPr>
            </w:pPr>
            <w:r w:rsidRPr="000549B1">
              <w:rPr>
                <w:szCs w:val="21"/>
              </w:rPr>
              <w:t>资料</w:t>
            </w:r>
          </w:p>
        </w:tc>
        <w:tc>
          <w:tcPr>
            <w:tcW w:w="419" w:type="pct"/>
            <w:tcBorders>
              <w:top w:val="single" w:sz="2" w:space="0" w:color="auto"/>
              <w:left w:val="single" w:sz="2" w:space="0" w:color="auto"/>
              <w:bottom w:val="single" w:sz="2" w:space="0" w:color="auto"/>
              <w:right w:val="single" w:sz="2" w:space="0" w:color="auto"/>
            </w:tcBorders>
            <w:vAlign w:val="center"/>
          </w:tcPr>
          <w:p w14:paraId="43F6619A" w14:textId="77777777" w:rsidR="00B81685" w:rsidRPr="000549B1" w:rsidRDefault="00B81685" w:rsidP="00D33EF7">
            <w:pPr>
              <w:pStyle w:val="afff5"/>
              <w:rPr>
                <w:szCs w:val="21"/>
              </w:rPr>
            </w:pPr>
          </w:p>
        </w:tc>
      </w:tr>
      <w:tr w:rsidR="000549B1" w:rsidRPr="000549B1" w14:paraId="7B5DDD46" w14:textId="77777777" w:rsidTr="00B81685">
        <w:tc>
          <w:tcPr>
            <w:tcW w:w="392" w:type="pct"/>
            <w:tcBorders>
              <w:top w:val="single" w:sz="2" w:space="0" w:color="auto"/>
              <w:left w:val="single" w:sz="2" w:space="0" w:color="auto"/>
              <w:bottom w:val="single" w:sz="2" w:space="0" w:color="auto"/>
              <w:right w:val="single" w:sz="2" w:space="0" w:color="auto"/>
            </w:tcBorders>
            <w:vAlign w:val="center"/>
          </w:tcPr>
          <w:p w14:paraId="6BEE4447" w14:textId="77777777" w:rsidR="00B81685" w:rsidRPr="000549B1" w:rsidRDefault="00B81685" w:rsidP="00D33EF7">
            <w:pPr>
              <w:pStyle w:val="afff5"/>
              <w:rPr>
                <w:szCs w:val="21"/>
              </w:rPr>
            </w:pPr>
            <w:r w:rsidRPr="000549B1">
              <w:rPr>
                <w:szCs w:val="21"/>
              </w:rPr>
              <w:t>23</w:t>
            </w:r>
          </w:p>
        </w:tc>
        <w:tc>
          <w:tcPr>
            <w:tcW w:w="681" w:type="pct"/>
            <w:tcBorders>
              <w:top w:val="single" w:sz="2" w:space="0" w:color="auto"/>
              <w:left w:val="single" w:sz="2" w:space="0" w:color="auto"/>
              <w:bottom w:val="single" w:sz="2" w:space="0" w:color="auto"/>
              <w:right w:val="single" w:sz="2" w:space="0" w:color="auto"/>
            </w:tcBorders>
            <w:vAlign w:val="center"/>
          </w:tcPr>
          <w:p w14:paraId="2EBE4890" w14:textId="77777777" w:rsidR="00B81685" w:rsidRPr="000549B1" w:rsidRDefault="00B81685" w:rsidP="00D33EF7">
            <w:pPr>
              <w:pStyle w:val="afff5"/>
              <w:rPr>
                <w:szCs w:val="21"/>
              </w:rPr>
            </w:pPr>
            <w:r w:rsidRPr="000549B1">
              <w:rPr>
                <w:szCs w:val="21"/>
              </w:rPr>
              <w:t>棕背雪雀</w:t>
            </w:r>
          </w:p>
        </w:tc>
        <w:tc>
          <w:tcPr>
            <w:tcW w:w="1413" w:type="pct"/>
            <w:tcBorders>
              <w:top w:val="single" w:sz="2" w:space="0" w:color="auto"/>
              <w:left w:val="single" w:sz="2" w:space="0" w:color="auto"/>
              <w:bottom w:val="single" w:sz="2" w:space="0" w:color="auto"/>
              <w:right w:val="single" w:sz="2" w:space="0" w:color="auto"/>
            </w:tcBorders>
            <w:vAlign w:val="center"/>
          </w:tcPr>
          <w:p w14:paraId="54F27E06" w14:textId="77777777" w:rsidR="00B81685" w:rsidRPr="000549B1" w:rsidRDefault="00B81685" w:rsidP="00D33EF7">
            <w:pPr>
              <w:pStyle w:val="afff5"/>
              <w:rPr>
                <w:szCs w:val="21"/>
              </w:rPr>
            </w:pPr>
            <w:r w:rsidRPr="000549B1">
              <w:rPr>
                <w:szCs w:val="21"/>
              </w:rPr>
              <w:t>Montifringillablanfordi</w:t>
            </w:r>
          </w:p>
        </w:tc>
        <w:tc>
          <w:tcPr>
            <w:tcW w:w="482" w:type="pct"/>
            <w:tcBorders>
              <w:top w:val="single" w:sz="2" w:space="0" w:color="auto"/>
              <w:left w:val="single" w:sz="2" w:space="0" w:color="auto"/>
              <w:bottom w:val="single" w:sz="2" w:space="0" w:color="auto"/>
              <w:right w:val="single" w:sz="2" w:space="0" w:color="auto"/>
            </w:tcBorders>
            <w:vAlign w:val="center"/>
          </w:tcPr>
          <w:p w14:paraId="75D9917B" w14:textId="77777777" w:rsidR="00B81685" w:rsidRPr="000549B1" w:rsidRDefault="00B81685" w:rsidP="00D33EF7">
            <w:pPr>
              <w:pStyle w:val="afff5"/>
              <w:rPr>
                <w:szCs w:val="21"/>
              </w:rPr>
            </w:pPr>
            <w:r w:rsidRPr="000549B1">
              <w:rPr>
                <w:szCs w:val="21"/>
              </w:rPr>
              <w:t>省级</w:t>
            </w:r>
          </w:p>
        </w:tc>
        <w:tc>
          <w:tcPr>
            <w:tcW w:w="430" w:type="pct"/>
            <w:tcBorders>
              <w:top w:val="single" w:sz="2" w:space="0" w:color="auto"/>
              <w:left w:val="single" w:sz="2" w:space="0" w:color="auto"/>
              <w:bottom w:val="single" w:sz="2" w:space="0" w:color="auto"/>
              <w:right w:val="single" w:sz="2" w:space="0" w:color="auto"/>
            </w:tcBorders>
            <w:vAlign w:val="center"/>
          </w:tcPr>
          <w:p w14:paraId="36AF0BB4" w14:textId="77777777" w:rsidR="00B81685" w:rsidRPr="000549B1" w:rsidRDefault="00B81685" w:rsidP="00D33EF7">
            <w:pPr>
              <w:pStyle w:val="afff5"/>
              <w:rPr>
                <w:szCs w:val="21"/>
              </w:rPr>
            </w:pPr>
            <w:r w:rsidRPr="000549B1">
              <w:rPr>
                <w:szCs w:val="21"/>
              </w:rPr>
              <w:t>/</w:t>
            </w:r>
          </w:p>
        </w:tc>
        <w:tc>
          <w:tcPr>
            <w:tcW w:w="1182" w:type="pct"/>
            <w:tcBorders>
              <w:top w:val="single" w:sz="2" w:space="0" w:color="auto"/>
              <w:left w:val="single" w:sz="2" w:space="0" w:color="auto"/>
              <w:bottom w:val="single" w:sz="2" w:space="0" w:color="auto"/>
              <w:right w:val="single" w:sz="2" w:space="0" w:color="auto"/>
            </w:tcBorders>
            <w:vAlign w:val="center"/>
          </w:tcPr>
          <w:p w14:paraId="7460C125" w14:textId="77777777" w:rsidR="00B81685" w:rsidRPr="000549B1" w:rsidRDefault="00B81685" w:rsidP="00D33EF7">
            <w:pPr>
              <w:pStyle w:val="afff5"/>
              <w:rPr>
                <w:szCs w:val="21"/>
              </w:rPr>
            </w:pPr>
            <w:r w:rsidRPr="000549B1">
              <w:rPr>
                <w:szCs w:val="21"/>
              </w:rPr>
              <w:t>资料、目击、访谈</w:t>
            </w:r>
          </w:p>
        </w:tc>
        <w:tc>
          <w:tcPr>
            <w:tcW w:w="419" w:type="pct"/>
            <w:tcBorders>
              <w:top w:val="single" w:sz="2" w:space="0" w:color="auto"/>
              <w:left w:val="single" w:sz="2" w:space="0" w:color="auto"/>
              <w:bottom w:val="single" w:sz="2" w:space="0" w:color="auto"/>
              <w:right w:val="single" w:sz="2" w:space="0" w:color="auto"/>
            </w:tcBorders>
            <w:vAlign w:val="center"/>
          </w:tcPr>
          <w:p w14:paraId="3EDE9098" w14:textId="77777777" w:rsidR="00B81685" w:rsidRPr="000549B1" w:rsidRDefault="00B81685" w:rsidP="00D33EF7">
            <w:pPr>
              <w:pStyle w:val="afff5"/>
              <w:rPr>
                <w:szCs w:val="21"/>
              </w:rPr>
            </w:pPr>
          </w:p>
        </w:tc>
      </w:tr>
      <w:tr w:rsidR="000549B1" w:rsidRPr="000549B1" w14:paraId="4A593B47" w14:textId="77777777" w:rsidTr="00B81685">
        <w:tc>
          <w:tcPr>
            <w:tcW w:w="392" w:type="pct"/>
            <w:tcBorders>
              <w:top w:val="single" w:sz="2" w:space="0" w:color="auto"/>
              <w:left w:val="single" w:sz="2" w:space="0" w:color="auto"/>
              <w:bottom w:val="single" w:sz="2" w:space="0" w:color="auto"/>
              <w:right w:val="single" w:sz="2" w:space="0" w:color="auto"/>
            </w:tcBorders>
            <w:vAlign w:val="center"/>
          </w:tcPr>
          <w:p w14:paraId="5AFEC043" w14:textId="77777777" w:rsidR="00B81685" w:rsidRPr="000549B1" w:rsidRDefault="00B81685" w:rsidP="00D33EF7">
            <w:pPr>
              <w:pStyle w:val="afff5"/>
              <w:rPr>
                <w:szCs w:val="21"/>
              </w:rPr>
            </w:pPr>
            <w:r w:rsidRPr="000549B1">
              <w:rPr>
                <w:szCs w:val="21"/>
              </w:rPr>
              <w:t>24</w:t>
            </w:r>
          </w:p>
        </w:tc>
        <w:tc>
          <w:tcPr>
            <w:tcW w:w="681" w:type="pct"/>
            <w:tcBorders>
              <w:top w:val="single" w:sz="2" w:space="0" w:color="auto"/>
              <w:left w:val="single" w:sz="2" w:space="0" w:color="auto"/>
              <w:bottom w:val="single" w:sz="2" w:space="0" w:color="auto"/>
              <w:right w:val="single" w:sz="2" w:space="0" w:color="auto"/>
            </w:tcBorders>
            <w:vAlign w:val="center"/>
          </w:tcPr>
          <w:p w14:paraId="7A22B1AA" w14:textId="77777777" w:rsidR="00B81685" w:rsidRPr="000549B1" w:rsidRDefault="00B81685" w:rsidP="00D33EF7">
            <w:pPr>
              <w:pStyle w:val="afff5"/>
              <w:rPr>
                <w:szCs w:val="21"/>
              </w:rPr>
            </w:pPr>
            <w:r w:rsidRPr="000549B1">
              <w:rPr>
                <w:szCs w:val="21"/>
              </w:rPr>
              <w:t>红胸朱雀</w:t>
            </w:r>
          </w:p>
        </w:tc>
        <w:tc>
          <w:tcPr>
            <w:tcW w:w="1413" w:type="pct"/>
            <w:tcBorders>
              <w:top w:val="single" w:sz="2" w:space="0" w:color="auto"/>
              <w:left w:val="single" w:sz="2" w:space="0" w:color="auto"/>
              <w:bottom w:val="single" w:sz="2" w:space="0" w:color="auto"/>
              <w:right w:val="single" w:sz="2" w:space="0" w:color="auto"/>
            </w:tcBorders>
            <w:vAlign w:val="center"/>
          </w:tcPr>
          <w:p w14:paraId="2006B31B" w14:textId="77777777" w:rsidR="00B81685" w:rsidRPr="000549B1" w:rsidRDefault="00B81685" w:rsidP="00D33EF7">
            <w:pPr>
              <w:pStyle w:val="afff5"/>
              <w:rPr>
                <w:szCs w:val="21"/>
              </w:rPr>
            </w:pPr>
            <w:r w:rsidRPr="000549B1">
              <w:rPr>
                <w:szCs w:val="21"/>
              </w:rPr>
              <w:t>Carpodacuspuniceus</w:t>
            </w:r>
          </w:p>
        </w:tc>
        <w:tc>
          <w:tcPr>
            <w:tcW w:w="482" w:type="pct"/>
            <w:tcBorders>
              <w:top w:val="single" w:sz="2" w:space="0" w:color="auto"/>
              <w:left w:val="single" w:sz="2" w:space="0" w:color="auto"/>
              <w:bottom w:val="single" w:sz="2" w:space="0" w:color="auto"/>
              <w:right w:val="single" w:sz="2" w:space="0" w:color="auto"/>
            </w:tcBorders>
            <w:vAlign w:val="center"/>
          </w:tcPr>
          <w:p w14:paraId="3C11DF76" w14:textId="77777777" w:rsidR="00B81685" w:rsidRPr="000549B1" w:rsidRDefault="00B81685" w:rsidP="00D33EF7">
            <w:pPr>
              <w:pStyle w:val="afff5"/>
              <w:rPr>
                <w:szCs w:val="21"/>
              </w:rPr>
            </w:pPr>
            <w:r w:rsidRPr="000549B1">
              <w:rPr>
                <w:szCs w:val="21"/>
              </w:rPr>
              <w:t>省级</w:t>
            </w:r>
          </w:p>
        </w:tc>
        <w:tc>
          <w:tcPr>
            <w:tcW w:w="430" w:type="pct"/>
            <w:tcBorders>
              <w:top w:val="single" w:sz="2" w:space="0" w:color="auto"/>
              <w:left w:val="single" w:sz="2" w:space="0" w:color="auto"/>
              <w:bottom w:val="single" w:sz="2" w:space="0" w:color="auto"/>
              <w:right w:val="single" w:sz="2" w:space="0" w:color="auto"/>
            </w:tcBorders>
            <w:vAlign w:val="center"/>
          </w:tcPr>
          <w:p w14:paraId="14B684BE" w14:textId="77777777" w:rsidR="00B81685" w:rsidRPr="000549B1" w:rsidRDefault="00B81685" w:rsidP="00D33EF7">
            <w:pPr>
              <w:pStyle w:val="afff5"/>
              <w:rPr>
                <w:szCs w:val="21"/>
              </w:rPr>
            </w:pPr>
            <w:r w:rsidRPr="000549B1">
              <w:rPr>
                <w:szCs w:val="21"/>
              </w:rPr>
              <w:t>/</w:t>
            </w:r>
          </w:p>
        </w:tc>
        <w:tc>
          <w:tcPr>
            <w:tcW w:w="1182" w:type="pct"/>
            <w:tcBorders>
              <w:top w:val="single" w:sz="2" w:space="0" w:color="auto"/>
              <w:left w:val="single" w:sz="2" w:space="0" w:color="auto"/>
              <w:bottom w:val="single" w:sz="2" w:space="0" w:color="auto"/>
              <w:right w:val="single" w:sz="2" w:space="0" w:color="auto"/>
            </w:tcBorders>
            <w:vAlign w:val="center"/>
          </w:tcPr>
          <w:p w14:paraId="390F1C74" w14:textId="77777777" w:rsidR="00B81685" w:rsidRPr="000549B1" w:rsidRDefault="00B81685" w:rsidP="00D33EF7">
            <w:pPr>
              <w:pStyle w:val="afff5"/>
              <w:rPr>
                <w:szCs w:val="21"/>
              </w:rPr>
            </w:pPr>
            <w:r w:rsidRPr="000549B1">
              <w:rPr>
                <w:szCs w:val="21"/>
              </w:rPr>
              <w:t>资料</w:t>
            </w:r>
          </w:p>
        </w:tc>
        <w:tc>
          <w:tcPr>
            <w:tcW w:w="419" w:type="pct"/>
            <w:tcBorders>
              <w:top w:val="single" w:sz="2" w:space="0" w:color="auto"/>
              <w:left w:val="single" w:sz="2" w:space="0" w:color="auto"/>
              <w:bottom w:val="single" w:sz="2" w:space="0" w:color="auto"/>
              <w:right w:val="single" w:sz="2" w:space="0" w:color="auto"/>
            </w:tcBorders>
            <w:vAlign w:val="center"/>
          </w:tcPr>
          <w:p w14:paraId="13C36729" w14:textId="77777777" w:rsidR="00B81685" w:rsidRPr="000549B1" w:rsidRDefault="00B81685" w:rsidP="00D33EF7">
            <w:pPr>
              <w:pStyle w:val="afff5"/>
              <w:rPr>
                <w:szCs w:val="21"/>
              </w:rPr>
            </w:pPr>
          </w:p>
        </w:tc>
      </w:tr>
    </w:tbl>
    <w:p w14:paraId="45EBEBDD" w14:textId="77777777" w:rsidR="00054437" w:rsidRPr="000549B1" w:rsidRDefault="00000000">
      <w:pPr>
        <w:spacing w:line="360" w:lineRule="auto"/>
        <w:ind w:firstLine="480"/>
        <w:rPr>
          <w:b/>
          <w:bCs/>
          <w:sz w:val="24"/>
          <w:szCs w:val="24"/>
        </w:rPr>
      </w:pPr>
      <w:r w:rsidRPr="000549B1">
        <w:rPr>
          <w:b/>
          <w:bCs/>
          <w:sz w:val="24"/>
          <w:szCs w:val="24"/>
        </w:rPr>
        <w:t>（</w:t>
      </w:r>
      <w:r w:rsidRPr="000549B1">
        <w:rPr>
          <w:b/>
          <w:bCs/>
          <w:sz w:val="24"/>
          <w:szCs w:val="24"/>
        </w:rPr>
        <w:t>2</w:t>
      </w:r>
      <w:r w:rsidRPr="000549B1">
        <w:rPr>
          <w:b/>
          <w:bCs/>
          <w:sz w:val="24"/>
          <w:szCs w:val="24"/>
        </w:rPr>
        <w:t>）生态习性及分布</w:t>
      </w:r>
    </w:p>
    <w:p w14:paraId="06C4613E" w14:textId="77777777" w:rsidR="00054437" w:rsidRPr="000549B1" w:rsidRDefault="00000000">
      <w:pPr>
        <w:spacing w:line="360" w:lineRule="auto"/>
        <w:ind w:firstLine="480"/>
        <w:rPr>
          <w:b/>
          <w:bCs/>
          <w:sz w:val="24"/>
          <w:szCs w:val="24"/>
        </w:rPr>
      </w:pPr>
      <w:r w:rsidRPr="000549B1">
        <w:rPr>
          <w:b/>
          <w:bCs/>
          <w:sz w:val="24"/>
          <w:szCs w:val="24"/>
        </w:rPr>
        <w:t>上述国家重点保护野生动物生态习性及分布情况见下表。</w:t>
      </w:r>
    </w:p>
    <w:p w14:paraId="36D346D7" w14:textId="0446D53D" w:rsidR="00054437" w:rsidRPr="000549B1" w:rsidRDefault="00000000">
      <w:pPr>
        <w:pStyle w:val="0A51"/>
        <w:ind w:firstLine="422"/>
      </w:pPr>
      <w:r w:rsidRPr="000549B1">
        <w:t>表</w:t>
      </w:r>
      <w:fldSimple w:instr=" STYLEREF 2 \s ">
        <w:r w:rsidR="00372953">
          <w:rPr>
            <w:noProof/>
          </w:rPr>
          <w:t>3.5</w:t>
        </w:r>
      </w:fldSimple>
      <w:r w:rsidR="00372953">
        <w:noBreakHyphen/>
      </w:r>
      <w:r w:rsidR="00372953">
        <w:fldChar w:fldCharType="begin"/>
      </w:r>
      <w:r w:rsidR="00372953">
        <w:instrText xml:space="preserve"> SEQ </w:instrText>
      </w:r>
      <w:r w:rsidR="00372953">
        <w:instrText>表</w:instrText>
      </w:r>
      <w:r w:rsidR="00372953">
        <w:instrText xml:space="preserve"> \* ARABIC \s 2 </w:instrText>
      </w:r>
      <w:r w:rsidR="00372953">
        <w:fldChar w:fldCharType="separate"/>
      </w:r>
      <w:r w:rsidR="00372953">
        <w:rPr>
          <w:noProof/>
        </w:rPr>
        <w:t>10</w:t>
      </w:r>
      <w:r w:rsidR="00372953">
        <w:fldChar w:fldCharType="end"/>
      </w:r>
      <w:r w:rsidRPr="000549B1">
        <w:t>评价区野生动物重要物种生态习性与分布</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090"/>
        <w:gridCol w:w="4162"/>
        <w:gridCol w:w="654"/>
        <w:gridCol w:w="2394"/>
      </w:tblGrid>
      <w:tr w:rsidR="000549B1" w:rsidRPr="000549B1" w14:paraId="075ADF3A" w14:textId="77777777">
        <w:tc>
          <w:tcPr>
            <w:tcW w:w="657" w:type="pct"/>
            <w:tcBorders>
              <w:top w:val="single" w:sz="2" w:space="0" w:color="auto"/>
              <w:left w:val="single" w:sz="2" w:space="0" w:color="auto"/>
              <w:bottom w:val="single" w:sz="2" w:space="0" w:color="auto"/>
              <w:right w:val="single" w:sz="2" w:space="0" w:color="auto"/>
            </w:tcBorders>
            <w:vAlign w:val="center"/>
          </w:tcPr>
          <w:p w14:paraId="62516C3D" w14:textId="77777777" w:rsidR="00054437" w:rsidRPr="000549B1" w:rsidRDefault="00000000">
            <w:pPr>
              <w:pStyle w:val="afff5"/>
              <w:rPr>
                <w:b/>
                <w:bCs/>
                <w:szCs w:val="21"/>
              </w:rPr>
            </w:pPr>
            <w:r w:rsidRPr="000549B1">
              <w:rPr>
                <w:b/>
                <w:bCs/>
                <w:szCs w:val="21"/>
              </w:rPr>
              <w:t>种名</w:t>
            </w:r>
          </w:p>
        </w:tc>
        <w:tc>
          <w:tcPr>
            <w:tcW w:w="2506" w:type="pct"/>
            <w:tcBorders>
              <w:top w:val="single" w:sz="2" w:space="0" w:color="auto"/>
              <w:left w:val="single" w:sz="2" w:space="0" w:color="auto"/>
              <w:bottom w:val="single" w:sz="2" w:space="0" w:color="auto"/>
              <w:right w:val="single" w:sz="2" w:space="0" w:color="auto"/>
            </w:tcBorders>
            <w:vAlign w:val="center"/>
          </w:tcPr>
          <w:p w14:paraId="68B23A99" w14:textId="77777777" w:rsidR="00054437" w:rsidRPr="000549B1" w:rsidRDefault="00000000">
            <w:pPr>
              <w:pStyle w:val="afff5"/>
              <w:rPr>
                <w:b/>
                <w:bCs/>
                <w:szCs w:val="21"/>
              </w:rPr>
            </w:pPr>
            <w:r w:rsidRPr="000549B1">
              <w:rPr>
                <w:b/>
                <w:bCs/>
                <w:szCs w:val="21"/>
              </w:rPr>
              <w:t>生态习性</w:t>
            </w:r>
          </w:p>
        </w:tc>
        <w:tc>
          <w:tcPr>
            <w:tcW w:w="394" w:type="pct"/>
            <w:tcBorders>
              <w:top w:val="single" w:sz="2" w:space="0" w:color="auto"/>
              <w:left w:val="single" w:sz="2" w:space="0" w:color="auto"/>
              <w:bottom w:val="single" w:sz="2" w:space="0" w:color="auto"/>
              <w:right w:val="single" w:sz="2" w:space="0" w:color="auto"/>
            </w:tcBorders>
            <w:vAlign w:val="center"/>
          </w:tcPr>
          <w:p w14:paraId="187EE2A4" w14:textId="77777777" w:rsidR="00054437" w:rsidRPr="000549B1" w:rsidRDefault="00000000">
            <w:pPr>
              <w:pStyle w:val="afff5"/>
              <w:rPr>
                <w:b/>
                <w:bCs/>
                <w:szCs w:val="21"/>
              </w:rPr>
            </w:pPr>
            <w:r w:rsidRPr="000549B1">
              <w:rPr>
                <w:b/>
                <w:bCs/>
                <w:szCs w:val="21"/>
              </w:rPr>
              <w:t>分布</w:t>
            </w:r>
          </w:p>
        </w:tc>
        <w:tc>
          <w:tcPr>
            <w:tcW w:w="1441" w:type="pct"/>
            <w:tcBorders>
              <w:top w:val="single" w:sz="2" w:space="0" w:color="auto"/>
              <w:left w:val="single" w:sz="2" w:space="0" w:color="auto"/>
              <w:bottom w:val="single" w:sz="2" w:space="0" w:color="auto"/>
              <w:right w:val="single" w:sz="2" w:space="0" w:color="auto"/>
            </w:tcBorders>
            <w:vAlign w:val="center"/>
          </w:tcPr>
          <w:p w14:paraId="56C96600" w14:textId="77777777" w:rsidR="00054437" w:rsidRPr="000549B1" w:rsidRDefault="00000000">
            <w:pPr>
              <w:pStyle w:val="afff5"/>
              <w:rPr>
                <w:b/>
                <w:bCs/>
              </w:rPr>
            </w:pPr>
            <w:r w:rsidRPr="000549B1">
              <w:rPr>
                <w:b/>
                <w:bCs/>
              </w:rPr>
              <w:t>图片</w:t>
            </w:r>
          </w:p>
        </w:tc>
      </w:tr>
      <w:tr w:rsidR="000549B1" w:rsidRPr="000549B1" w14:paraId="13F86CCF" w14:textId="77777777">
        <w:tc>
          <w:tcPr>
            <w:tcW w:w="657" w:type="pct"/>
            <w:tcBorders>
              <w:top w:val="single" w:sz="2" w:space="0" w:color="auto"/>
              <w:left w:val="single" w:sz="2" w:space="0" w:color="auto"/>
              <w:bottom w:val="single" w:sz="2" w:space="0" w:color="auto"/>
              <w:right w:val="single" w:sz="2" w:space="0" w:color="auto"/>
            </w:tcBorders>
            <w:vAlign w:val="center"/>
          </w:tcPr>
          <w:p w14:paraId="443263A6" w14:textId="77777777" w:rsidR="00054437" w:rsidRPr="000549B1" w:rsidRDefault="00000000">
            <w:pPr>
              <w:pStyle w:val="afff5"/>
              <w:rPr>
                <w:szCs w:val="21"/>
              </w:rPr>
            </w:pPr>
            <w:r w:rsidRPr="000549B1">
              <w:rPr>
                <w:szCs w:val="21"/>
              </w:rPr>
              <w:t>荒漠猫</w:t>
            </w:r>
          </w:p>
        </w:tc>
        <w:tc>
          <w:tcPr>
            <w:tcW w:w="2506" w:type="pct"/>
            <w:tcBorders>
              <w:top w:val="single" w:sz="2" w:space="0" w:color="auto"/>
              <w:left w:val="single" w:sz="2" w:space="0" w:color="auto"/>
              <w:bottom w:val="single" w:sz="2" w:space="0" w:color="auto"/>
              <w:right w:val="single" w:sz="2" w:space="0" w:color="auto"/>
            </w:tcBorders>
            <w:vAlign w:val="center"/>
          </w:tcPr>
          <w:p w14:paraId="5C25BE41" w14:textId="77777777" w:rsidR="00054437" w:rsidRPr="000549B1" w:rsidRDefault="00000000">
            <w:pPr>
              <w:pStyle w:val="afff5"/>
              <w:rPr>
                <w:szCs w:val="21"/>
              </w:rPr>
            </w:pPr>
            <w:r w:rsidRPr="000549B1">
              <w:rPr>
                <w:szCs w:val="21"/>
              </w:rPr>
              <w:t>荒漠猫，是食肉目猫科猫属的哺乳动物，栖息在高山森林、荒漠及草原边缘地区。在中国西北地区常栖于荒漠和草原的边缘，在中国青海则见于祁连山地。是夜行性动物，白天很少活动，夜间出来觅食。主要捕食草原、沙漠中的鼠兔、鼢鼠等小型啮齿类动物，有时也吃鸟类和蝙蝠。</w:t>
            </w:r>
          </w:p>
        </w:tc>
        <w:tc>
          <w:tcPr>
            <w:tcW w:w="394" w:type="pct"/>
            <w:tcBorders>
              <w:top w:val="single" w:sz="2" w:space="0" w:color="auto"/>
              <w:left w:val="single" w:sz="2" w:space="0" w:color="auto"/>
              <w:bottom w:val="single" w:sz="2" w:space="0" w:color="auto"/>
              <w:right w:val="single" w:sz="2" w:space="0" w:color="auto"/>
            </w:tcBorders>
            <w:vAlign w:val="center"/>
          </w:tcPr>
          <w:p w14:paraId="2F00B37C" w14:textId="77777777" w:rsidR="00054437" w:rsidRPr="000549B1" w:rsidRDefault="00000000">
            <w:pPr>
              <w:pStyle w:val="afff5"/>
              <w:rPr>
                <w:szCs w:val="21"/>
              </w:rPr>
            </w:pPr>
            <w:r w:rsidRPr="000549B1">
              <w:rPr>
                <w:szCs w:val="21"/>
              </w:rPr>
              <w:t>荒漠和草原</w:t>
            </w:r>
          </w:p>
        </w:tc>
        <w:tc>
          <w:tcPr>
            <w:tcW w:w="1441" w:type="pct"/>
            <w:tcBorders>
              <w:top w:val="single" w:sz="2" w:space="0" w:color="auto"/>
              <w:left w:val="single" w:sz="2" w:space="0" w:color="auto"/>
              <w:bottom w:val="single" w:sz="2" w:space="0" w:color="auto"/>
              <w:right w:val="single" w:sz="2" w:space="0" w:color="auto"/>
            </w:tcBorders>
            <w:vAlign w:val="center"/>
          </w:tcPr>
          <w:p w14:paraId="48F256CA" w14:textId="77777777" w:rsidR="00054437" w:rsidRPr="000549B1" w:rsidRDefault="00000000">
            <w:pPr>
              <w:pStyle w:val="afff5"/>
            </w:pPr>
            <w:r w:rsidRPr="000549B1">
              <w:rPr>
                <w:noProof/>
              </w:rPr>
              <w:drawing>
                <wp:inline distT="0" distB="0" distL="0" distR="0" wp14:anchorId="6E98625D" wp14:editId="6EACED06">
                  <wp:extent cx="1553210" cy="1348105"/>
                  <wp:effectExtent l="0" t="0" r="8890" b="10795"/>
                  <wp:docPr id="1411680380" name="图片 5" descr="荒漠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680380" name="图片 5" descr="荒漠猫"/>
                          <pic:cNvPicPr>
                            <a:picLocks noChangeAspect="1" noChangeArrowheads="1"/>
                          </pic:cNvPicPr>
                        </pic:nvPicPr>
                        <pic:blipFill>
                          <a:blip r:embed="rId134" cstate="email">
                            <a:extLst>
                              <a:ext uri="{28A0092B-C50C-407E-A947-70E740481C1C}">
                                <a14:useLocalDpi xmlns:a14="http://schemas.microsoft.com/office/drawing/2010/main"/>
                              </a:ext>
                            </a:extLst>
                          </a:blip>
                          <a:srcRect/>
                          <a:stretch>
                            <a:fillRect/>
                          </a:stretch>
                        </pic:blipFill>
                        <pic:spPr>
                          <a:xfrm>
                            <a:off x="0" y="0"/>
                            <a:ext cx="1561394" cy="1355437"/>
                          </a:xfrm>
                          <a:prstGeom prst="rect">
                            <a:avLst/>
                          </a:prstGeom>
                          <a:noFill/>
                          <a:ln>
                            <a:noFill/>
                          </a:ln>
                        </pic:spPr>
                      </pic:pic>
                    </a:graphicData>
                  </a:graphic>
                </wp:inline>
              </w:drawing>
            </w:r>
          </w:p>
        </w:tc>
      </w:tr>
      <w:tr w:rsidR="000549B1" w:rsidRPr="000549B1" w14:paraId="464E72CF" w14:textId="77777777">
        <w:tc>
          <w:tcPr>
            <w:tcW w:w="657" w:type="pct"/>
            <w:tcBorders>
              <w:top w:val="single" w:sz="2" w:space="0" w:color="auto"/>
              <w:left w:val="single" w:sz="2" w:space="0" w:color="auto"/>
              <w:bottom w:val="single" w:sz="2" w:space="0" w:color="auto"/>
              <w:right w:val="single" w:sz="2" w:space="0" w:color="auto"/>
            </w:tcBorders>
            <w:vAlign w:val="center"/>
          </w:tcPr>
          <w:p w14:paraId="3C730A7B" w14:textId="77777777" w:rsidR="00054437" w:rsidRPr="000549B1" w:rsidRDefault="00000000">
            <w:pPr>
              <w:pStyle w:val="afff5"/>
              <w:rPr>
                <w:szCs w:val="21"/>
              </w:rPr>
            </w:pPr>
            <w:r w:rsidRPr="000549B1">
              <w:rPr>
                <w:szCs w:val="21"/>
              </w:rPr>
              <w:t>藏狐</w:t>
            </w:r>
          </w:p>
          <w:p w14:paraId="2465DCE3" w14:textId="77777777" w:rsidR="00054437" w:rsidRPr="000549B1" w:rsidRDefault="00000000">
            <w:pPr>
              <w:pStyle w:val="afff5"/>
              <w:rPr>
                <w:szCs w:val="21"/>
              </w:rPr>
            </w:pPr>
            <w:r w:rsidRPr="000549B1">
              <w:rPr>
                <w:szCs w:val="21"/>
              </w:rPr>
              <w:t>Vulpesferrilata</w:t>
            </w:r>
          </w:p>
        </w:tc>
        <w:tc>
          <w:tcPr>
            <w:tcW w:w="2506" w:type="pct"/>
            <w:tcBorders>
              <w:top w:val="single" w:sz="2" w:space="0" w:color="auto"/>
              <w:left w:val="single" w:sz="2" w:space="0" w:color="auto"/>
              <w:bottom w:val="single" w:sz="2" w:space="0" w:color="auto"/>
              <w:right w:val="single" w:sz="2" w:space="0" w:color="auto"/>
            </w:tcBorders>
            <w:vAlign w:val="center"/>
          </w:tcPr>
          <w:p w14:paraId="72D7BFE3" w14:textId="77777777" w:rsidR="00054437" w:rsidRPr="000549B1" w:rsidRDefault="00000000">
            <w:pPr>
              <w:pStyle w:val="afff5"/>
              <w:rPr>
                <w:szCs w:val="21"/>
              </w:rPr>
            </w:pPr>
            <w:r w:rsidRPr="000549B1">
              <w:rPr>
                <w:szCs w:val="21"/>
              </w:rPr>
              <w:t>多栖息在海拔</w:t>
            </w:r>
            <w:r w:rsidRPr="000549B1">
              <w:rPr>
                <w:szCs w:val="21"/>
              </w:rPr>
              <w:t>3000~5000m</w:t>
            </w:r>
            <w:r w:rsidRPr="000549B1">
              <w:rPr>
                <w:szCs w:val="21"/>
              </w:rPr>
              <w:t>以上的地区，栖息地环境多为干旱或半干旱，常活动于草地灌丛、亚高山草甸和高山草甸中。夏秋季独居，活动高峰集中在早晨和傍晚。主要捕食高原鼠兔及小型啮齿类动物，有时也捕食旱獭或者一些地栖鸟类，也尾随大型食肉动物啃食其吃剩的大型食草动物的尸体。</w:t>
            </w:r>
          </w:p>
        </w:tc>
        <w:tc>
          <w:tcPr>
            <w:tcW w:w="394" w:type="pct"/>
            <w:tcBorders>
              <w:top w:val="single" w:sz="2" w:space="0" w:color="auto"/>
              <w:left w:val="single" w:sz="2" w:space="0" w:color="auto"/>
              <w:bottom w:val="single" w:sz="2" w:space="0" w:color="auto"/>
              <w:right w:val="single" w:sz="2" w:space="0" w:color="auto"/>
            </w:tcBorders>
            <w:vAlign w:val="center"/>
          </w:tcPr>
          <w:p w14:paraId="59E955FC" w14:textId="77777777" w:rsidR="00054437" w:rsidRPr="000549B1" w:rsidRDefault="00000000">
            <w:pPr>
              <w:pStyle w:val="afff5"/>
              <w:rPr>
                <w:szCs w:val="21"/>
              </w:rPr>
            </w:pPr>
            <w:r w:rsidRPr="000549B1">
              <w:rPr>
                <w:szCs w:val="21"/>
              </w:rPr>
              <w:t>附近山区、山地</w:t>
            </w:r>
          </w:p>
        </w:tc>
        <w:tc>
          <w:tcPr>
            <w:tcW w:w="1441" w:type="pct"/>
            <w:tcBorders>
              <w:top w:val="single" w:sz="2" w:space="0" w:color="auto"/>
              <w:left w:val="single" w:sz="2" w:space="0" w:color="auto"/>
              <w:bottom w:val="single" w:sz="2" w:space="0" w:color="auto"/>
              <w:right w:val="single" w:sz="2" w:space="0" w:color="auto"/>
            </w:tcBorders>
            <w:vAlign w:val="center"/>
          </w:tcPr>
          <w:p w14:paraId="67947B63" w14:textId="77777777" w:rsidR="00054437" w:rsidRPr="000549B1" w:rsidRDefault="00000000">
            <w:pPr>
              <w:pStyle w:val="afff5"/>
            </w:pPr>
            <w:r w:rsidRPr="000549B1">
              <w:rPr>
                <w:noProof/>
              </w:rPr>
              <w:drawing>
                <wp:inline distT="0" distB="0" distL="0" distR="0" wp14:anchorId="641067B6" wp14:editId="2A789305">
                  <wp:extent cx="1546225" cy="1318260"/>
                  <wp:effectExtent l="0" t="0" r="3175" b="2540"/>
                  <wp:docPr id="67789956"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89956" name="图片 88"/>
                          <pic:cNvPicPr>
                            <a:picLocks noChangeAspect="1" noChangeArrowheads="1"/>
                          </pic:cNvPicPr>
                        </pic:nvPicPr>
                        <pic:blipFill>
                          <a:blip r:embed="rId135" cstate="email">
                            <a:extLst>
                              <a:ext uri="{28A0092B-C50C-407E-A947-70E740481C1C}">
                                <a14:useLocalDpi xmlns:a14="http://schemas.microsoft.com/office/drawing/2010/main"/>
                              </a:ext>
                            </a:extLst>
                          </a:blip>
                          <a:srcRect/>
                          <a:stretch>
                            <a:fillRect/>
                          </a:stretch>
                        </pic:blipFill>
                        <pic:spPr>
                          <a:xfrm>
                            <a:off x="0" y="0"/>
                            <a:ext cx="1547732" cy="1319495"/>
                          </a:xfrm>
                          <a:prstGeom prst="rect">
                            <a:avLst/>
                          </a:prstGeom>
                          <a:noFill/>
                          <a:ln>
                            <a:noFill/>
                          </a:ln>
                        </pic:spPr>
                      </pic:pic>
                    </a:graphicData>
                  </a:graphic>
                </wp:inline>
              </w:drawing>
            </w:r>
          </w:p>
        </w:tc>
      </w:tr>
      <w:tr w:rsidR="000549B1" w:rsidRPr="000549B1" w14:paraId="7E2C1399" w14:textId="77777777">
        <w:tc>
          <w:tcPr>
            <w:tcW w:w="657" w:type="pct"/>
            <w:tcBorders>
              <w:top w:val="single" w:sz="2" w:space="0" w:color="auto"/>
              <w:left w:val="single" w:sz="2" w:space="0" w:color="auto"/>
              <w:bottom w:val="single" w:sz="2" w:space="0" w:color="auto"/>
              <w:right w:val="single" w:sz="2" w:space="0" w:color="auto"/>
            </w:tcBorders>
            <w:vAlign w:val="center"/>
          </w:tcPr>
          <w:p w14:paraId="4A9753FA" w14:textId="77777777" w:rsidR="00054437" w:rsidRPr="000549B1" w:rsidRDefault="00000000">
            <w:pPr>
              <w:pStyle w:val="afff5"/>
              <w:rPr>
                <w:szCs w:val="21"/>
              </w:rPr>
            </w:pPr>
            <w:r w:rsidRPr="000549B1">
              <w:rPr>
                <w:szCs w:val="21"/>
              </w:rPr>
              <w:t>斑尾榛鸡</w:t>
            </w:r>
          </w:p>
          <w:p w14:paraId="2A7D836D" w14:textId="77777777" w:rsidR="00054437" w:rsidRPr="000549B1" w:rsidRDefault="00000000">
            <w:pPr>
              <w:pStyle w:val="afff5"/>
              <w:rPr>
                <w:szCs w:val="21"/>
              </w:rPr>
            </w:pPr>
            <w:r w:rsidRPr="000549B1">
              <w:rPr>
                <w:szCs w:val="21"/>
              </w:rPr>
              <w:t>Tetrastessewerzowi</w:t>
            </w:r>
          </w:p>
        </w:tc>
        <w:tc>
          <w:tcPr>
            <w:tcW w:w="2506" w:type="pct"/>
            <w:tcBorders>
              <w:top w:val="single" w:sz="2" w:space="0" w:color="auto"/>
              <w:left w:val="single" w:sz="2" w:space="0" w:color="auto"/>
              <w:bottom w:val="single" w:sz="2" w:space="0" w:color="auto"/>
              <w:right w:val="single" w:sz="2" w:space="0" w:color="auto"/>
            </w:tcBorders>
            <w:vAlign w:val="center"/>
          </w:tcPr>
          <w:p w14:paraId="2C27ABC4" w14:textId="77777777" w:rsidR="00054437" w:rsidRPr="000549B1" w:rsidRDefault="00000000">
            <w:pPr>
              <w:pStyle w:val="afff5"/>
              <w:rPr>
                <w:szCs w:val="21"/>
              </w:rPr>
            </w:pPr>
            <w:r w:rsidRPr="000549B1">
              <w:rPr>
                <w:szCs w:val="21"/>
              </w:rPr>
              <w:t>斑尾榛鸡是松鸡科、榛鸡属的鸟类，主要栖息于海拔</w:t>
            </w:r>
            <w:r w:rsidRPr="000549B1">
              <w:rPr>
                <w:szCs w:val="21"/>
              </w:rPr>
              <w:t>2500-3500</w:t>
            </w:r>
            <w:r w:rsidRPr="000549B1">
              <w:rPr>
                <w:szCs w:val="21"/>
              </w:rPr>
              <w:t>米的山地森林、草原和灌丛地带，具有季节性垂直迁徙习性。食性以植物嫩芽、云杉种子为主，兼食鳞翅目幼虫等昆虫</w:t>
            </w:r>
          </w:p>
        </w:tc>
        <w:tc>
          <w:tcPr>
            <w:tcW w:w="394" w:type="pct"/>
            <w:tcBorders>
              <w:top w:val="single" w:sz="2" w:space="0" w:color="auto"/>
              <w:left w:val="single" w:sz="2" w:space="0" w:color="auto"/>
              <w:bottom w:val="single" w:sz="2" w:space="0" w:color="auto"/>
              <w:right w:val="single" w:sz="2" w:space="0" w:color="auto"/>
            </w:tcBorders>
            <w:vAlign w:val="center"/>
          </w:tcPr>
          <w:p w14:paraId="08F53667" w14:textId="77777777" w:rsidR="00054437" w:rsidRPr="000549B1" w:rsidRDefault="00000000">
            <w:pPr>
              <w:pStyle w:val="afff5"/>
              <w:rPr>
                <w:szCs w:val="21"/>
              </w:rPr>
            </w:pPr>
            <w:bookmarkStart w:id="270" w:name="OLE_LINK13"/>
            <w:r w:rsidRPr="000549B1">
              <w:rPr>
                <w:szCs w:val="21"/>
              </w:rPr>
              <w:t>山地</w:t>
            </w:r>
            <w:bookmarkEnd w:id="270"/>
            <w:r w:rsidRPr="000549B1">
              <w:rPr>
                <w:szCs w:val="21"/>
              </w:rPr>
              <w:t>、草原和灌丛地带</w:t>
            </w:r>
          </w:p>
        </w:tc>
        <w:tc>
          <w:tcPr>
            <w:tcW w:w="1441" w:type="pct"/>
            <w:tcBorders>
              <w:top w:val="single" w:sz="2" w:space="0" w:color="auto"/>
              <w:left w:val="single" w:sz="2" w:space="0" w:color="auto"/>
              <w:bottom w:val="single" w:sz="2" w:space="0" w:color="auto"/>
              <w:right w:val="single" w:sz="2" w:space="0" w:color="auto"/>
            </w:tcBorders>
            <w:vAlign w:val="center"/>
          </w:tcPr>
          <w:p w14:paraId="4234C9BC" w14:textId="77777777" w:rsidR="00054437" w:rsidRPr="000549B1" w:rsidRDefault="00000000">
            <w:pPr>
              <w:pStyle w:val="afff5"/>
            </w:pPr>
            <w:r w:rsidRPr="000549B1">
              <w:rPr>
                <w:noProof/>
              </w:rPr>
              <w:drawing>
                <wp:inline distT="0" distB="0" distL="0" distR="0" wp14:anchorId="76CE6232" wp14:editId="6851F032">
                  <wp:extent cx="1637665" cy="1287780"/>
                  <wp:effectExtent l="0" t="0" r="635" b="7620"/>
                  <wp:docPr id="311838573" name="图片 6" descr="斑尾榛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838573" name="图片 6" descr="斑尾榛鸡"/>
                          <pic:cNvPicPr>
                            <a:picLocks noChangeAspect="1" noChangeArrowheads="1"/>
                          </pic:cNvPicPr>
                        </pic:nvPicPr>
                        <pic:blipFill>
                          <a:blip r:embed="rId136" cstate="email">
                            <a:extLst>
                              <a:ext uri="{28A0092B-C50C-407E-A947-70E740481C1C}">
                                <a14:useLocalDpi xmlns:a14="http://schemas.microsoft.com/office/drawing/2010/main"/>
                              </a:ext>
                            </a:extLst>
                          </a:blip>
                          <a:srcRect/>
                          <a:stretch>
                            <a:fillRect/>
                          </a:stretch>
                        </pic:blipFill>
                        <pic:spPr>
                          <a:xfrm>
                            <a:off x="0" y="0"/>
                            <a:ext cx="1641019" cy="1290174"/>
                          </a:xfrm>
                          <a:prstGeom prst="rect">
                            <a:avLst/>
                          </a:prstGeom>
                          <a:noFill/>
                          <a:ln>
                            <a:noFill/>
                          </a:ln>
                        </pic:spPr>
                      </pic:pic>
                    </a:graphicData>
                  </a:graphic>
                </wp:inline>
              </w:drawing>
            </w:r>
          </w:p>
        </w:tc>
      </w:tr>
      <w:tr w:rsidR="000549B1" w:rsidRPr="000549B1" w14:paraId="52774781" w14:textId="77777777">
        <w:tc>
          <w:tcPr>
            <w:tcW w:w="657" w:type="pct"/>
            <w:tcBorders>
              <w:top w:val="single" w:sz="2" w:space="0" w:color="auto"/>
              <w:left w:val="single" w:sz="2" w:space="0" w:color="auto"/>
              <w:bottom w:val="single" w:sz="2" w:space="0" w:color="auto"/>
              <w:right w:val="single" w:sz="2" w:space="0" w:color="auto"/>
            </w:tcBorders>
            <w:vAlign w:val="center"/>
          </w:tcPr>
          <w:p w14:paraId="7BF8E0C5" w14:textId="77777777" w:rsidR="00054437" w:rsidRPr="000549B1" w:rsidRDefault="00000000">
            <w:pPr>
              <w:pStyle w:val="afff5"/>
              <w:rPr>
                <w:szCs w:val="21"/>
              </w:rPr>
            </w:pPr>
            <w:r w:rsidRPr="000549B1">
              <w:rPr>
                <w:szCs w:val="21"/>
              </w:rPr>
              <w:t>雀鹰</w:t>
            </w:r>
          </w:p>
          <w:p w14:paraId="15D3E014" w14:textId="77777777" w:rsidR="00054437" w:rsidRPr="000549B1" w:rsidRDefault="00000000">
            <w:pPr>
              <w:pStyle w:val="afff5"/>
              <w:rPr>
                <w:szCs w:val="21"/>
              </w:rPr>
            </w:pPr>
            <w:r w:rsidRPr="000549B1">
              <w:rPr>
                <w:szCs w:val="21"/>
              </w:rPr>
              <w:t>Accipiternisus</w:t>
            </w:r>
          </w:p>
        </w:tc>
        <w:tc>
          <w:tcPr>
            <w:tcW w:w="2506" w:type="pct"/>
            <w:tcBorders>
              <w:top w:val="single" w:sz="2" w:space="0" w:color="auto"/>
              <w:left w:val="single" w:sz="2" w:space="0" w:color="auto"/>
              <w:bottom w:val="single" w:sz="2" w:space="0" w:color="auto"/>
              <w:right w:val="single" w:sz="2" w:space="0" w:color="auto"/>
            </w:tcBorders>
            <w:vAlign w:val="center"/>
          </w:tcPr>
          <w:p w14:paraId="7C481223" w14:textId="77777777" w:rsidR="00054437" w:rsidRPr="000549B1" w:rsidRDefault="00000000">
            <w:pPr>
              <w:pStyle w:val="afff5"/>
              <w:rPr>
                <w:szCs w:val="21"/>
              </w:rPr>
            </w:pPr>
            <w:r w:rsidRPr="000549B1">
              <w:rPr>
                <w:szCs w:val="21"/>
              </w:rPr>
              <w:t>雀鹰属小型猛禽，体长</w:t>
            </w:r>
            <w:r w:rsidRPr="000549B1">
              <w:rPr>
                <w:szCs w:val="21"/>
              </w:rPr>
              <w:t>30—41cm</w:t>
            </w:r>
            <w:r w:rsidRPr="000549B1">
              <w:rPr>
                <w:szCs w:val="21"/>
              </w:rPr>
              <w:t>。栖息于针叶林、混交林、阔叶林等山地森林和林缘地带。日出性。常单独生活。或飞翔于空中，或栖于树上和电柱上。以雀形目小鸟、昆虫和鼠类为食，也捕食鸽形目鸟类和榛鸡等小的鸡形目鸟类，有时亦捕食野兔、蛇、昆虫幼虫。</w:t>
            </w:r>
          </w:p>
        </w:tc>
        <w:tc>
          <w:tcPr>
            <w:tcW w:w="394" w:type="pct"/>
            <w:tcBorders>
              <w:top w:val="single" w:sz="2" w:space="0" w:color="auto"/>
              <w:left w:val="single" w:sz="2" w:space="0" w:color="auto"/>
              <w:bottom w:val="single" w:sz="2" w:space="0" w:color="auto"/>
              <w:right w:val="single" w:sz="2" w:space="0" w:color="auto"/>
            </w:tcBorders>
            <w:vAlign w:val="center"/>
          </w:tcPr>
          <w:p w14:paraId="73ECD5BA" w14:textId="77777777" w:rsidR="00054437" w:rsidRPr="000549B1" w:rsidRDefault="00000000">
            <w:pPr>
              <w:pStyle w:val="afff5"/>
              <w:rPr>
                <w:szCs w:val="21"/>
              </w:rPr>
            </w:pPr>
            <w:r w:rsidRPr="000549B1">
              <w:rPr>
                <w:szCs w:val="21"/>
              </w:rPr>
              <w:t>项目区内的草原区</w:t>
            </w:r>
          </w:p>
        </w:tc>
        <w:tc>
          <w:tcPr>
            <w:tcW w:w="1441" w:type="pct"/>
            <w:tcBorders>
              <w:top w:val="single" w:sz="2" w:space="0" w:color="auto"/>
              <w:left w:val="single" w:sz="2" w:space="0" w:color="auto"/>
              <w:bottom w:val="single" w:sz="2" w:space="0" w:color="auto"/>
              <w:right w:val="single" w:sz="2" w:space="0" w:color="auto"/>
            </w:tcBorders>
          </w:tcPr>
          <w:p w14:paraId="5FD03B14" w14:textId="77777777" w:rsidR="00054437" w:rsidRPr="000549B1" w:rsidRDefault="00000000">
            <w:pPr>
              <w:pStyle w:val="afff5"/>
            </w:pPr>
            <w:r w:rsidRPr="000549B1">
              <w:rPr>
                <w:noProof/>
              </w:rPr>
              <w:drawing>
                <wp:inline distT="0" distB="0" distL="0" distR="0" wp14:anchorId="3CFF6A00" wp14:editId="6856E311">
                  <wp:extent cx="1691640" cy="1249680"/>
                  <wp:effectExtent l="0" t="0" r="10160" b="7620"/>
                  <wp:docPr id="1459138712"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138712" name="图片 84"/>
                          <pic:cNvPicPr>
                            <a:picLocks noChangeAspect="1" noChangeArrowheads="1"/>
                          </pic:cNvPicPr>
                        </pic:nvPicPr>
                        <pic:blipFill>
                          <a:blip r:embed="rId137" cstate="email">
                            <a:extLst>
                              <a:ext uri="{28A0092B-C50C-407E-A947-70E740481C1C}">
                                <a14:useLocalDpi xmlns:a14="http://schemas.microsoft.com/office/drawing/2010/main"/>
                              </a:ext>
                            </a:extLst>
                          </a:blip>
                          <a:srcRect/>
                          <a:stretch>
                            <a:fillRect/>
                          </a:stretch>
                        </pic:blipFill>
                        <pic:spPr>
                          <a:xfrm>
                            <a:off x="0" y="0"/>
                            <a:ext cx="1691640" cy="1249680"/>
                          </a:xfrm>
                          <a:prstGeom prst="rect">
                            <a:avLst/>
                          </a:prstGeom>
                          <a:noFill/>
                          <a:ln>
                            <a:noFill/>
                          </a:ln>
                        </pic:spPr>
                      </pic:pic>
                    </a:graphicData>
                  </a:graphic>
                </wp:inline>
              </w:drawing>
            </w:r>
          </w:p>
        </w:tc>
      </w:tr>
      <w:tr w:rsidR="000549B1" w:rsidRPr="000549B1" w14:paraId="457001A6" w14:textId="77777777">
        <w:tc>
          <w:tcPr>
            <w:tcW w:w="657" w:type="pct"/>
            <w:tcBorders>
              <w:top w:val="single" w:sz="2" w:space="0" w:color="auto"/>
              <w:left w:val="single" w:sz="2" w:space="0" w:color="auto"/>
              <w:bottom w:val="single" w:sz="2" w:space="0" w:color="auto"/>
              <w:right w:val="single" w:sz="2" w:space="0" w:color="auto"/>
            </w:tcBorders>
            <w:vAlign w:val="center"/>
          </w:tcPr>
          <w:p w14:paraId="44FF0684" w14:textId="77777777" w:rsidR="00054437" w:rsidRPr="000549B1" w:rsidRDefault="00000000">
            <w:pPr>
              <w:pStyle w:val="afff5"/>
              <w:rPr>
                <w:szCs w:val="21"/>
              </w:rPr>
            </w:pPr>
            <w:r w:rsidRPr="000549B1">
              <w:rPr>
                <w:szCs w:val="21"/>
              </w:rPr>
              <w:t>红隼</w:t>
            </w:r>
          </w:p>
          <w:p w14:paraId="06A9C9F4" w14:textId="77777777" w:rsidR="00054437" w:rsidRPr="000549B1" w:rsidRDefault="00000000">
            <w:pPr>
              <w:pStyle w:val="afff5"/>
              <w:rPr>
                <w:szCs w:val="21"/>
              </w:rPr>
            </w:pPr>
            <w:r w:rsidRPr="000549B1">
              <w:rPr>
                <w:szCs w:val="21"/>
              </w:rPr>
              <w:t>Falcotinnunculus</w:t>
            </w:r>
          </w:p>
        </w:tc>
        <w:tc>
          <w:tcPr>
            <w:tcW w:w="2506" w:type="pct"/>
            <w:tcBorders>
              <w:top w:val="single" w:sz="2" w:space="0" w:color="auto"/>
              <w:left w:val="single" w:sz="2" w:space="0" w:color="auto"/>
              <w:bottom w:val="single" w:sz="2" w:space="0" w:color="auto"/>
              <w:right w:val="single" w:sz="2" w:space="0" w:color="auto"/>
            </w:tcBorders>
            <w:vAlign w:val="center"/>
          </w:tcPr>
          <w:p w14:paraId="3AB53A82" w14:textId="5AC33613" w:rsidR="00054437" w:rsidRPr="000549B1" w:rsidRDefault="00000000">
            <w:pPr>
              <w:pStyle w:val="afff5"/>
              <w:rPr>
                <w:szCs w:val="21"/>
              </w:rPr>
            </w:pPr>
            <w:r w:rsidRPr="000549B1">
              <w:rPr>
                <w:szCs w:val="21"/>
              </w:rPr>
              <w:t>红隼是</w:t>
            </w:r>
            <w:hyperlink r:id="rId138" w:history="1">
              <w:r w:rsidR="00054437" w:rsidRPr="000549B1">
                <w:rPr>
                  <w:szCs w:val="21"/>
                </w:rPr>
                <w:t>隼科</w:t>
              </w:r>
            </w:hyperlink>
            <w:r w:rsidRPr="000549B1">
              <w:rPr>
                <w:szCs w:val="21"/>
              </w:rPr>
              <w:t>的小型猛禽之一。栖息于山地和旷野中，多单个或成对活动，飞行较高。以猎食时有翱翔习性而著名。吃大型昆虫、鸟和小哺乳动物。呈现两性色型差异，雄鸟的颜色更鲜艳。中国北部繁殖的种群为夏候鸟，南部繁殖种群为留鸟。春季</w:t>
            </w:r>
            <w:r w:rsidRPr="000549B1">
              <w:rPr>
                <w:szCs w:val="21"/>
              </w:rPr>
              <w:t>3</w:t>
            </w:r>
            <w:r w:rsidRPr="000549B1">
              <w:rPr>
                <w:szCs w:val="21"/>
              </w:rPr>
              <w:t>月中旬至</w:t>
            </w:r>
            <w:r w:rsidRPr="000549B1">
              <w:rPr>
                <w:szCs w:val="21"/>
              </w:rPr>
              <w:t>4</w:t>
            </w:r>
            <w:r w:rsidRPr="000549B1">
              <w:rPr>
                <w:szCs w:val="21"/>
              </w:rPr>
              <w:t>月中旬陆续迁到北方繁殖地，</w:t>
            </w:r>
            <w:r w:rsidRPr="000549B1">
              <w:rPr>
                <w:szCs w:val="21"/>
              </w:rPr>
              <w:t>10</w:t>
            </w:r>
            <w:r w:rsidRPr="000549B1">
              <w:rPr>
                <w:szCs w:val="21"/>
              </w:rPr>
              <w:t>月初至</w:t>
            </w:r>
            <w:r w:rsidRPr="000549B1">
              <w:rPr>
                <w:szCs w:val="21"/>
              </w:rPr>
              <w:t>10</w:t>
            </w:r>
            <w:r w:rsidRPr="000549B1">
              <w:rPr>
                <w:szCs w:val="21"/>
              </w:rPr>
              <w:t>月末迁离繁殖地。</w:t>
            </w:r>
          </w:p>
        </w:tc>
        <w:tc>
          <w:tcPr>
            <w:tcW w:w="394" w:type="pct"/>
            <w:tcBorders>
              <w:top w:val="single" w:sz="2" w:space="0" w:color="auto"/>
              <w:left w:val="single" w:sz="2" w:space="0" w:color="auto"/>
              <w:bottom w:val="single" w:sz="2" w:space="0" w:color="auto"/>
              <w:right w:val="single" w:sz="2" w:space="0" w:color="auto"/>
            </w:tcBorders>
            <w:vAlign w:val="center"/>
          </w:tcPr>
          <w:p w14:paraId="55924ECA" w14:textId="77777777" w:rsidR="00054437" w:rsidRPr="000549B1" w:rsidRDefault="00000000">
            <w:pPr>
              <w:pStyle w:val="afff5"/>
              <w:rPr>
                <w:szCs w:val="21"/>
              </w:rPr>
            </w:pPr>
            <w:r w:rsidRPr="000549B1">
              <w:rPr>
                <w:szCs w:val="21"/>
              </w:rPr>
              <w:t>项目区内的草原区</w:t>
            </w:r>
          </w:p>
        </w:tc>
        <w:tc>
          <w:tcPr>
            <w:tcW w:w="1441" w:type="pct"/>
            <w:tcBorders>
              <w:top w:val="single" w:sz="2" w:space="0" w:color="auto"/>
              <w:left w:val="single" w:sz="2" w:space="0" w:color="auto"/>
              <w:bottom w:val="single" w:sz="2" w:space="0" w:color="auto"/>
              <w:right w:val="single" w:sz="2" w:space="0" w:color="auto"/>
            </w:tcBorders>
          </w:tcPr>
          <w:p w14:paraId="68E572BF" w14:textId="77777777" w:rsidR="00054437" w:rsidRPr="000549B1" w:rsidRDefault="00000000">
            <w:pPr>
              <w:pStyle w:val="afff5"/>
            </w:pPr>
            <w:r w:rsidRPr="000549B1">
              <w:rPr>
                <w:noProof/>
              </w:rPr>
              <w:drawing>
                <wp:inline distT="0" distB="0" distL="0" distR="0" wp14:anchorId="645E2751" wp14:editId="6E986B3D">
                  <wp:extent cx="1653540" cy="1455420"/>
                  <wp:effectExtent l="0" t="0" r="10160" b="5080"/>
                  <wp:docPr id="240271180"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271180" name="图片 82"/>
                          <pic:cNvPicPr>
                            <a:picLocks noChangeAspect="1" noChangeArrowheads="1"/>
                          </pic:cNvPicPr>
                        </pic:nvPicPr>
                        <pic:blipFill>
                          <a:blip r:embed="rId139" cstate="email">
                            <a:extLst>
                              <a:ext uri="{28A0092B-C50C-407E-A947-70E740481C1C}">
                                <a14:useLocalDpi xmlns:a14="http://schemas.microsoft.com/office/drawing/2010/main"/>
                              </a:ext>
                            </a:extLst>
                          </a:blip>
                          <a:srcRect/>
                          <a:stretch>
                            <a:fillRect/>
                          </a:stretch>
                        </pic:blipFill>
                        <pic:spPr>
                          <a:xfrm>
                            <a:off x="0" y="0"/>
                            <a:ext cx="1653540" cy="1455420"/>
                          </a:xfrm>
                          <a:prstGeom prst="rect">
                            <a:avLst/>
                          </a:prstGeom>
                          <a:noFill/>
                          <a:ln>
                            <a:noFill/>
                          </a:ln>
                        </pic:spPr>
                      </pic:pic>
                    </a:graphicData>
                  </a:graphic>
                </wp:inline>
              </w:drawing>
            </w:r>
          </w:p>
        </w:tc>
      </w:tr>
      <w:tr w:rsidR="000549B1" w:rsidRPr="000549B1" w14:paraId="57B667D2" w14:textId="77777777">
        <w:tc>
          <w:tcPr>
            <w:tcW w:w="657" w:type="pct"/>
            <w:tcBorders>
              <w:top w:val="single" w:sz="2" w:space="0" w:color="auto"/>
              <w:left w:val="single" w:sz="2" w:space="0" w:color="auto"/>
              <w:bottom w:val="single" w:sz="2" w:space="0" w:color="auto"/>
              <w:right w:val="single" w:sz="2" w:space="0" w:color="auto"/>
            </w:tcBorders>
            <w:vAlign w:val="center"/>
          </w:tcPr>
          <w:p w14:paraId="74FC053C" w14:textId="77777777" w:rsidR="00054437" w:rsidRPr="000549B1" w:rsidRDefault="00000000">
            <w:pPr>
              <w:pStyle w:val="afff5"/>
              <w:rPr>
                <w:szCs w:val="21"/>
              </w:rPr>
            </w:pPr>
            <w:r w:rsidRPr="000549B1">
              <w:rPr>
                <w:szCs w:val="21"/>
              </w:rPr>
              <w:t>燕隼</w:t>
            </w:r>
          </w:p>
          <w:p w14:paraId="0361B707" w14:textId="77777777" w:rsidR="00054437" w:rsidRPr="000549B1" w:rsidRDefault="00000000">
            <w:pPr>
              <w:pStyle w:val="afff5"/>
              <w:rPr>
                <w:szCs w:val="21"/>
              </w:rPr>
            </w:pPr>
            <w:r w:rsidRPr="000549B1">
              <w:rPr>
                <w:szCs w:val="21"/>
              </w:rPr>
              <w:t>Falcosubbuteo</w:t>
            </w:r>
          </w:p>
        </w:tc>
        <w:tc>
          <w:tcPr>
            <w:tcW w:w="2506" w:type="pct"/>
            <w:tcBorders>
              <w:top w:val="single" w:sz="2" w:space="0" w:color="auto"/>
              <w:left w:val="single" w:sz="2" w:space="0" w:color="auto"/>
              <w:bottom w:val="single" w:sz="2" w:space="0" w:color="auto"/>
              <w:right w:val="single" w:sz="2" w:space="0" w:color="auto"/>
            </w:tcBorders>
            <w:vAlign w:val="center"/>
          </w:tcPr>
          <w:p w14:paraId="56B72E21" w14:textId="2FF5E648" w:rsidR="00054437" w:rsidRPr="000549B1" w:rsidRDefault="00000000">
            <w:pPr>
              <w:pStyle w:val="afff5"/>
              <w:rPr>
                <w:szCs w:val="21"/>
              </w:rPr>
            </w:pPr>
            <w:r w:rsidRPr="000549B1">
              <w:rPr>
                <w:szCs w:val="21"/>
              </w:rPr>
              <w:t>燕隼的体形比</w:t>
            </w:r>
            <w:hyperlink r:id="rId140" w:history="1">
              <w:r w:rsidR="00054437" w:rsidRPr="000549B1">
                <w:rPr>
                  <w:szCs w:val="21"/>
                </w:rPr>
                <w:t>猎隼</w:t>
              </w:r>
            </w:hyperlink>
            <w:r w:rsidRPr="000549B1">
              <w:rPr>
                <w:szCs w:val="21"/>
              </w:rPr>
              <w:t>、</w:t>
            </w:r>
            <w:hyperlink r:id="rId141" w:history="1">
              <w:r w:rsidR="00054437" w:rsidRPr="000549B1">
                <w:rPr>
                  <w:szCs w:val="21"/>
                </w:rPr>
                <w:t>游隼</w:t>
              </w:r>
            </w:hyperlink>
            <w:r w:rsidRPr="000549B1">
              <w:rPr>
                <w:szCs w:val="21"/>
              </w:rPr>
              <w:t>等都小，为小型猛禽，上体深蓝褐色，下体白色，具暗色条纹。腿羽淡红色。栖息于接近林地的开阔原野。主要以麻雀、山雀等雀形目小鸟为食，偶尔捕捉蝙蝠，更大量地捕食蜻蜓、蟋蟀、蝗虫，天牛、金龟子等昆虫，其中大多为害虫。迁徙时大多组成小群，通常春季在</w:t>
            </w:r>
            <w:r w:rsidRPr="000549B1">
              <w:rPr>
                <w:szCs w:val="21"/>
              </w:rPr>
              <w:t>4</w:t>
            </w:r>
            <w:r w:rsidRPr="000549B1">
              <w:rPr>
                <w:szCs w:val="21"/>
              </w:rPr>
              <w:t>月中下旬迁到东北繁殖地，</w:t>
            </w:r>
            <w:r w:rsidRPr="000549B1">
              <w:rPr>
                <w:szCs w:val="21"/>
              </w:rPr>
              <w:t>9</w:t>
            </w:r>
            <w:r w:rsidRPr="000549B1">
              <w:rPr>
                <w:szCs w:val="21"/>
              </w:rPr>
              <w:t>月末至</w:t>
            </w:r>
            <w:r w:rsidRPr="000549B1">
              <w:rPr>
                <w:szCs w:val="21"/>
              </w:rPr>
              <w:t>10</w:t>
            </w:r>
            <w:r w:rsidRPr="000549B1">
              <w:rPr>
                <w:szCs w:val="21"/>
              </w:rPr>
              <w:t>月初离开繁殖地</w:t>
            </w:r>
          </w:p>
        </w:tc>
        <w:tc>
          <w:tcPr>
            <w:tcW w:w="394" w:type="pct"/>
            <w:tcBorders>
              <w:top w:val="single" w:sz="2" w:space="0" w:color="auto"/>
              <w:left w:val="single" w:sz="2" w:space="0" w:color="auto"/>
              <w:bottom w:val="single" w:sz="2" w:space="0" w:color="auto"/>
              <w:right w:val="single" w:sz="2" w:space="0" w:color="auto"/>
            </w:tcBorders>
            <w:vAlign w:val="center"/>
          </w:tcPr>
          <w:p w14:paraId="4C7196BB" w14:textId="77777777" w:rsidR="00054437" w:rsidRPr="000549B1" w:rsidRDefault="00000000">
            <w:pPr>
              <w:pStyle w:val="afff5"/>
              <w:rPr>
                <w:szCs w:val="21"/>
              </w:rPr>
            </w:pPr>
            <w:r w:rsidRPr="000549B1">
              <w:rPr>
                <w:szCs w:val="21"/>
              </w:rPr>
              <w:t>项目区内的草原区</w:t>
            </w:r>
          </w:p>
        </w:tc>
        <w:tc>
          <w:tcPr>
            <w:tcW w:w="1441" w:type="pct"/>
            <w:tcBorders>
              <w:top w:val="single" w:sz="2" w:space="0" w:color="auto"/>
              <w:left w:val="single" w:sz="2" w:space="0" w:color="auto"/>
              <w:bottom w:val="single" w:sz="2" w:space="0" w:color="auto"/>
              <w:right w:val="single" w:sz="2" w:space="0" w:color="auto"/>
            </w:tcBorders>
          </w:tcPr>
          <w:p w14:paraId="3CB06F9B" w14:textId="77777777" w:rsidR="00054437" w:rsidRPr="000549B1" w:rsidRDefault="00000000">
            <w:pPr>
              <w:pStyle w:val="afff5"/>
            </w:pPr>
            <w:r w:rsidRPr="000549B1">
              <w:rPr>
                <w:noProof/>
              </w:rPr>
              <w:drawing>
                <wp:inline distT="0" distB="0" distL="0" distR="0" wp14:anchorId="153C4A2D" wp14:editId="66DE05FB">
                  <wp:extent cx="1653540" cy="1455420"/>
                  <wp:effectExtent l="0" t="0" r="10160" b="5080"/>
                  <wp:docPr id="167209225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092253" name="图片 83"/>
                          <pic:cNvPicPr>
                            <a:picLocks noChangeAspect="1" noChangeArrowheads="1"/>
                          </pic:cNvPicPr>
                        </pic:nvPicPr>
                        <pic:blipFill>
                          <a:blip r:embed="rId142" cstate="email">
                            <a:extLst>
                              <a:ext uri="{28A0092B-C50C-407E-A947-70E740481C1C}">
                                <a14:useLocalDpi xmlns:a14="http://schemas.microsoft.com/office/drawing/2010/main"/>
                              </a:ext>
                            </a:extLst>
                          </a:blip>
                          <a:srcRect/>
                          <a:stretch>
                            <a:fillRect/>
                          </a:stretch>
                        </pic:blipFill>
                        <pic:spPr>
                          <a:xfrm>
                            <a:off x="0" y="0"/>
                            <a:ext cx="1653540" cy="1455420"/>
                          </a:xfrm>
                          <a:prstGeom prst="rect">
                            <a:avLst/>
                          </a:prstGeom>
                          <a:noFill/>
                          <a:ln>
                            <a:noFill/>
                          </a:ln>
                        </pic:spPr>
                      </pic:pic>
                    </a:graphicData>
                  </a:graphic>
                </wp:inline>
              </w:drawing>
            </w:r>
          </w:p>
        </w:tc>
      </w:tr>
      <w:tr w:rsidR="000549B1" w:rsidRPr="000549B1" w14:paraId="1134061C" w14:textId="77777777">
        <w:tc>
          <w:tcPr>
            <w:tcW w:w="657" w:type="pct"/>
            <w:tcBorders>
              <w:top w:val="single" w:sz="2" w:space="0" w:color="auto"/>
              <w:left w:val="single" w:sz="2" w:space="0" w:color="auto"/>
              <w:bottom w:val="single" w:sz="2" w:space="0" w:color="auto"/>
              <w:right w:val="single" w:sz="2" w:space="0" w:color="auto"/>
            </w:tcBorders>
            <w:vAlign w:val="center"/>
          </w:tcPr>
          <w:p w14:paraId="0BB9CD51" w14:textId="77777777" w:rsidR="00054437" w:rsidRPr="000549B1" w:rsidRDefault="00000000">
            <w:pPr>
              <w:pStyle w:val="afff5"/>
              <w:rPr>
                <w:szCs w:val="21"/>
              </w:rPr>
            </w:pPr>
            <w:r w:rsidRPr="000549B1">
              <w:rPr>
                <w:szCs w:val="21"/>
              </w:rPr>
              <w:t>猎隼</w:t>
            </w:r>
          </w:p>
          <w:p w14:paraId="720650B9" w14:textId="77777777" w:rsidR="00054437" w:rsidRPr="000549B1" w:rsidRDefault="00000000">
            <w:pPr>
              <w:pStyle w:val="afff5"/>
              <w:rPr>
                <w:szCs w:val="21"/>
              </w:rPr>
            </w:pPr>
            <w:r w:rsidRPr="000549B1">
              <w:rPr>
                <w:szCs w:val="21"/>
              </w:rPr>
              <w:t>Falcocherrug</w:t>
            </w:r>
          </w:p>
        </w:tc>
        <w:tc>
          <w:tcPr>
            <w:tcW w:w="2506" w:type="pct"/>
            <w:tcBorders>
              <w:top w:val="single" w:sz="2" w:space="0" w:color="auto"/>
              <w:left w:val="single" w:sz="2" w:space="0" w:color="auto"/>
              <w:bottom w:val="single" w:sz="2" w:space="0" w:color="auto"/>
              <w:right w:val="single" w:sz="2" w:space="0" w:color="auto"/>
            </w:tcBorders>
            <w:vAlign w:val="center"/>
          </w:tcPr>
          <w:p w14:paraId="7753C12A" w14:textId="4017899D" w:rsidR="00054437" w:rsidRPr="000549B1" w:rsidRDefault="00000000">
            <w:pPr>
              <w:pStyle w:val="afff5"/>
              <w:rPr>
                <w:szCs w:val="21"/>
              </w:rPr>
            </w:pPr>
            <w:r w:rsidRPr="000549B1">
              <w:rPr>
                <w:szCs w:val="21"/>
              </w:rPr>
              <w:t>猎隼季候鸟，大型猛禽。主要以鸟类和小型动物为食。它的繁殖期为</w:t>
            </w:r>
            <w:r w:rsidRPr="000549B1">
              <w:rPr>
                <w:szCs w:val="21"/>
              </w:rPr>
              <w:t>4—6</w:t>
            </w:r>
            <w:r w:rsidRPr="000549B1">
              <w:rPr>
                <w:szCs w:val="21"/>
              </w:rPr>
              <w:t>月，大多在人迹罕至的悬崖峭壁上的缝隙中营巢，或者营巢于树上有时也利用其他鸟类的旧巢。猎隼主要生活在内陆草原和</w:t>
            </w:r>
            <w:hyperlink r:id="rId143" w:history="1">
              <w:r w:rsidR="00054437" w:rsidRPr="000549B1">
                <w:rPr>
                  <w:szCs w:val="21"/>
                </w:rPr>
                <w:t>丘陵</w:t>
              </w:r>
            </w:hyperlink>
            <w:r w:rsidRPr="000549B1">
              <w:rPr>
                <w:szCs w:val="21"/>
              </w:rPr>
              <w:t>地区，栖息于山区开阔地带、河谷、沙漠和草地。</w:t>
            </w:r>
          </w:p>
        </w:tc>
        <w:tc>
          <w:tcPr>
            <w:tcW w:w="394" w:type="pct"/>
            <w:tcBorders>
              <w:top w:val="single" w:sz="2" w:space="0" w:color="auto"/>
              <w:left w:val="single" w:sz="2" w:space="0" w:color="auto"/>
              <w:bottom w:val="single" w:sz="2" w:space="0" w:color="auto"/>
              <w:right w:val="single" w:sz="2" w:space="0" w:color="auto"/>
            </w:tcBorders>
            <w:vAlign w:val="center"/>
          </w:tcPr>
          <w:p w14:paraId="6326611E" w14:textId="77777777" w:rsidR="00054437" w:rsidRPr="000549B1" w:rsidRDefault="00000000">
            <w:pPr>
              <w:pStyle w:val="afff5"/>
              <w:rPr>
                <w:szCs w:val="21"/>
              </w:rPr>
            </w:pPr>
            <w:r w:rsidRPr="000549B1">
              <w:rPr>
                <w:szCs w:val="21"/>
              </w:rPr>
              <w:t>项目区内的草原区</w:t>
            </w:r>
          </w:p>
        </w:tc>
        <w:tc>
          <w:tcPr>
            <w:tcW w:w="1441" w:type="pct"/>
            <w:tcBorders>
              <w:top w:val="single" w:sz="2" w:space="0" w:color="auto"/>
              <w:left w:val="single" w:sz="2" w:space="0" w:color="auto"/>
              <w:bottom w:val="single" w:sz="2" w:space="0" w:color="auto"/>
              <w:right w:val="single" w:sz="2" w:space="0" w:color="auto"/>
            </w:tcBorders>
          </w:tcPr>
          <w:p w14:paraId="52689549" w14:textId="77777777" w:rsidR="00054437" w:rsidRPr="000549B1" w:rsidRDefault="00000000">
            <w:pPr>
              <w:pStyle w:val="afff5"/>
            </w:pPr>
            <w:r w:rsidRPr="000549B1">
              <w:rPr>
                <w:noProof/>
              </w:rPr>
              <w:drawing>
                <wp:inline distT="0" distB="0" distL="0" distR="0" wp14:anchorId="3A5C276B" wp14:editId="7EA04E05">
                  <wp:extent cx="1653540" cy="1249680"/>
                  <wp:effectExtent l="0" t="0" r="10160" b="7620"/>
                  <wp:docPr id="1556691069"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691069" name="图片 85"/>
                          <pic:cNvPicPr>
                            <a:picLocks noChangeAspect="1" noChangeArrowheads="1"/>
                          </pic:cNvPicPr>
                        </pic:nvPicPr>
                        <pic:blipFill>
                          <a:blip r:embed="rId144" cstate="email">
                            <a:extLst>
                              <a:ext uri="{28A0092B-C50C-407E-A947-70E740481C1C}">
                                <a14:useLocalDpi xmlns:a14="http://schemas.microsoft.com/office/drawing/2010/main"/>
                              </a:ext>
                            </a:extLst>
                          </a:blip>
                          <a:srcRect/>
                          <a:stretch>
                            <a:fillRect/>
                          </a:stretch>
                        </pic:blipFill>
                        <pic:spPr>
                          <a:xfrm>
                            <a:off x="0" y="0"/>
                            <a:ext cx="1653540" cy="1249680"/>
                          </a:xfrm>
                          <a:prstGeom prst="rect">
                            <a:avLst/>
                          </a:prstGeom>
                          <a:noFill/>
                          <a:ln>
                            <a:noFill/>
                          </a:ln>
                        </pic:spPr>
                      </pic:pic>
                    </a:graphicData>
                  </a:graphic>
                </wp:inline>
              </w:drawing>
            </w:r>
          </w:p>
        </w:tc>
      </w:tr>
      <w:tr w:rsidR="000549B1" w:rsidRPr="000549B1" w14:paraId="43DBBB5F" w14:textId="77777777">
        <w:tc>
          <w:tcPr>
            <w:tcW w:w="657" w:type="pct"/>
            <w:tcBorders>
              <w:top w:val="single" w:sz="2" w:space="0" w:color="auto"/>
              <w:left w:val="single" w:sz="2" w:space="0" w:color="auto"/>
              <w:bottom w:val="single" w:sz="2" w:space="0" w:color="auto"/>
              <w:right w:val="single" w:sz="2" w:space="0" w:color="auto"/>
            </w:tcBorders>
            <w:vAlign w:val="center"/>
          </w:tcPr>
          <w:p w14:paraId="13DB2BED" w14:textId="77777777" w:rsidR="00054437" w:rsidRPr="000549B1" w:rsidRDefault="00000000">
            <w:pPr>
              <w:pStyle w:val="afff5"/>
              <w:rPr>
                <w:szCs w:val="21"/>
              </w:rPr>
            </w:pPr>
            <w:r w:rsidRPr="000549B1">
              <w:rPr>
                <w:szCs w:val="21"/>
              </w:rPr>
              <w:t>藏雪鸡</w:t>
            </w:r>
          </w:p>
          <w:p w14:paraId="5A30EF13" w14:textId="77777777" w:rsidR="00054437" w:rsidRPr="000549B1" w:rsidRDefault="00000000">
            <w:pPr>
              <w:pStyle w:val="afff5"/>
              <w:rPr>
                <w:szCs w:val="21"/>
              </w:rPr>
            </w:pPr>
            <w:r w:rsidRPr="000549B1">
              <w:rPr>
                <w:szCs w:val="21"/>
              </w:rPr>
              <w:t>Tetraogallustibetanus</w:t>
            </w:r>
          </w:p>
        </w:tc>
        <w:tc>
          <w:tcPr>
            <w:tcW w:w="2506" w:type="pct"/>
            <w:tcBorders>
              <w:top w:val="single" w:sz="2" w:space="0" w:color="auto"/>
              <w:left w:val="single" w:sz="2" w:space="0" w:color="auto"/>
              <w:bottom w:val="single" w:sz="2" w:space="0" w:color="auto"/>
              <w:right w:val="single" w:sz="2" w:space="0" w:color="auto"/>
            </w:tcBorders>
            <w:vAlign w:val="center"/>
          </w:tcPr>
          <w:p w14:paraId="22508CC9" w14:textId="77777777" w:rsidR="00054437" w:rsidRPr="000549B1" w:rsidRDefault="00000000">
            <w:pPr>
              <w:pStyle w:val="afff5"/>
              <w:rPr>
                <w:szCs w:val="21"/>
              </w:rPr>
            </w:pPr>
            <w:r w:rsidRPr="000549B1">
              <w:rPr>
                <w:szCs w:val="21"/>
              </w:rPr>
              <w:t>藏雪鸡是鸡形目雉科雪鸡属鸟类。中国青藏高原及其邻近省区的高山裸岩地区也可见其身影。栖息于海拔</w:t>
            </w:r>
            <w:r w:rsidRPr="000549B1">
              <w:rPr>
                <w:szCs w:val="21"/>
              </w:rPr>
              <w:t>3000-6000</w:t>
            </w:r>
            <w:r w:rsidRPr="000549B1">
              <w:rPr>
                <w:szCs w:val="21"/>
              </w:rPr>
              <w:t>米林线至雪线之间的高山灌丛、苔原、草原和裸岩地带。喜结群，白天活动。以植物根、茎、叶等为主食，也食杂草种子，偶尔也吃昆虫和其他小型无脊椎动物。繁殖期</w:t>
            </w:r>
            <w:r w:rsidRPr="000549B1">
              <w:rPr>
                <w:szCs w:val="21"/>
              </w:rPr>
              <w:t>5-7</w:t>
            </w:r>
            <w:r w:rsidRPr="000549B1">
              <w:rPr>
                <w:szCs w:val="21"/>
              </w:rPr>
              <w:t>月，营巢于陡峭山岩边的草从或灌丛中。</w:t>
            </w:r>
          </w:p>
        </w:tc>
        <w:tc>
          <w:tcPr>
            <w:tcW w:w="394" w:type="pct"/>
            <w:tcBorders>
              <w:top w:val="single" w:sz="2" w:space="0" w:color="auto"/>
              <w:left w:val="single" w:sz="2" w:space="0" w:color="auto"/>
              <w:bottom w:val="single" w:sz="2" w:space="0" w:color="auto"/>
              <w:right w:val="single" w:sz="2" w:space="0" w:color="auto"/>
            </w:tcBorders>
            <w:vAlign w:val="center"/>
          </w:tcPr>
          <w:p w14:paraId="0735CF8B" w14:textId="77777777" w:rsidR="00054437" w:rsidRPr="000549B1" w:rsidRDefault="00000000">
            <w:pPr>
              <w:pStyle w:val="afff5"/>
              <w:rPr>
                <w:szCs w:val="21"/>
              </w:rPr>
            </w:pPr>
            <w:r w:rsidRPr="000549B1">
              <w:rPr>
                <w:szCs w:val="21"/>
              </w:rPr>
              <w:t>高山灌丛、草原和裸岩地带</w:t>
            </w:r>
          </w:p>
        </w:tc>
        <w:tc>
          <w:tcPr>
            <w:tcW w:w="1441" w:type="pct"/>
            <w:tcBorders>
              <w:top w:val="single" w:sz="2" w:space="0" w:color="auto"/>
              <w:left w:val="single" w:sz="2" w:space="0" w:color="auto"/>
              <w:bottom w:val="single" w:sz="2" w:space="0" w:color="auto"/>
              <w:right w:val="single" w:sz="2" w:space="0" w:color="auto"/>
            </w:tcBorders>
            <w:vAlign w:val="center"/>
          </w:tcPr>
          <w:p w14:paraId="3667B6C7" w14:textId="77777777" w:rsidR="00054437" w:rsidRPr="000549B1" w:rsidRDefault="00000000">
            <w:pPr>
              <w:pStyle w:val="afff5"/>
            </w:pPr>
            <w:r w:rsidRPr="000549B1">
              <w:rPr>
                <w:noProof/>
              </w:rPr>
              <w:drawing>
                <wp:inline distT="0" distB="0" distL="0" distR="0" wp14:anchorId="310D3FAA" wp14:editId="0585F1F7">
                  <wp:extent cx="1628775" cy="1348740"/>
                  <wp:effectExtent l="0" t="0" r="9525" b="10160"/>
                  <wp:docPr id="1256564475" name="图片 3" descr="藏雪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564475" name="图片 3" descr="藏雪鸡"/>
                          <pic:cNvPicPr>
                            <a:picLocks noChangeAspect="1" noChangeArrowheads="1"/>
                          </pic:cNvPicPr>
                        </pic:nvPicPr>
                        <pic:blipFill>
                          <a:blip r:embed="rId145" cstate="email">
                            <a:extLst>
                              <a:ext uri="{28A0092B-C50C-407E-A947-70E740481C1C}">
                                <a14:useLocalDpi xmlns:a14="http://schemas.microsoft.com/office/drawing/2010/main"/>
                              </a:ext>
                            </a:extLst>
                          </a:blip>
                          <a:srcRect/>
                          <a:stretch>
                            <a:fillRect/>
                          </a:stretch>
                        </pic:blipFill>
                        <pic:spPr>
                          <a:xfrm>
                            <a:off x="0" y="0"/>
                            <a:ext cx="1640683" cy="1358288"/>
                          </a:xfrm>
                          <a:prstGeom prst="rect">
                            <a:avLst/>
                          </a:prstGeom>
                          <a:noFill/>
                          <a:ln>
                            <a:noFill/>
                          </a:ln>
                        </pic:spPr>
                      </pic:pic>
                    </a:graphicData>
                  </a:graphic>
                </wp:inline>
              </w:drawing>
            </w:r>
          </w:p>
        </w:tc>
      </w:tr>
      <w:tr w:rsidR="000549B1" w:rsidRPr="000549B1" w14:paraId="337DF108" w14:textId="77777777">
        <w:tc>
          <w:tcPr>
            <w:tcW w:w="657" w:type="pct"/>
            <w:tcBorders>
              <w:top w:val="single" w:sz="2" w:space="0" w:color="auto"/>
              <w:left w:val="single" w:sz="2" w:space="0" w:color="auto"/>
              <w:bottom w:val="single" w:sz="2" w:space="0" w:color="auto"/>
              <w:right w:val="single" w:sz="2" w:space="0" w:color="auto"/>
            </w:tcBorders>
            <w:vAlign w:val="center"/>
          </w:tcPr>
          <w:p w14:paraId="5FB00580" w14:textId="77777777" w:rsidR="00054437" w:rsidRPr="000549B1" w:rsidRDefault="00000000">
            <w:pPr>
              <w:pStyle w:val="afff5"/>
              <w:rPr>
                <w:szCs w:val="21"/>
              </w:rPr>
            </w:pPr>
            <w:r w:rsidRPr="000549B1">
              <w:rPr>
                <w:szCs w:val="21"/>
              </w:rPr>
              <w:t>鹮嘴鹬</w:t>
            </w:r>
          </w:p>
          <w:p w14:paraId="7ECFDF1B" w14:textId="77777777" w:rsidR="00054437" w:rsidRPr="000549B1" w:rsidRDefault="00000000">
            <w:pPr>
              <w:pStyle w:val="afff5"/>
              <w:rPr>
                <w:szCs w:val="21"/>
              </w:rPr>
            </w:pPr>
            <w:r w:rsidRPr="000549B1">
              <w:rPr>
                <w:szCs w:val="21"/>
              </w:rPr>
              <w:t>Ibidorhynchastruthersii</w:t>
            </w:r>
          </w:p>
        </w:tc>
        <w:tc>
          <w:tcPr>
            <w:tcW w:w="2506" w:type="pct"/>
            <w:tcBorders>
              <w:top w:val="single" w:sz="2" w:space="0" w:color="auto"/>
              <w:left w:val="single" w:sz="2" w:space="0" w:color="auto"/>
              <w:bottom w:val="single" w:sz="2" w:space="0" w:color="auto"/>
              <w:right w:val="single" w:sz="2" w:space="0" w:color="auto"/>
            </w:tcBorders>
            <w:vAlign w:val="center"/>
          </w:tcPr>
          <w:p w14:paraId="07AF0653" w14:textId="77777777" w:rsidR="00054437" w:rsidRPr="000549B1" w:rsidRDefault="00000000">
            <w:pPr>
              <w:pStyle w:val="afff5"/>
              <w:rPr>
                <w:szCs w:val="21"/>
              </w:rPr>
            </w:pPr>
            <w:r w:rsidRPr="000549B1">
              <w:rPr>
                <w:szCs w:val="21"/>
              </w:rPr>
              <w:t>鹮嘴鹬体长</w:t>
            </w:r>
            <w:r w:rsidRPr="000549B1">
              <w:rPr>
                <w:szCs w:val="21"/>
              </w:rPr>
              <w:t>40</w:t>
            </w:r>
            <w:r w:rsidRPr="000549B1">
              <w:rPr>
                <w:szCs w:val="21"/>
              </w:rPr>
              <w:t>厘米，是一种灰、黑及白色鹬。识别特征为腿及嘴红色，嘴长且下弯。栖于海拔</w:t>
            </w:r>
            <w:r w:rsidRPr="000549B1">
              <w:rPr>
                <w:szCs w:val="21"/>
              </w:rPr>
              <w:t>1700-4400</w:t>
            </w:r>
            <w:r w:rsidRPr="000549B1">
              <w:rPr>
                <w:szCs w:val="21"/>
              </w:rPr>
              <w:t>米间多石头、流速快的河流。主要食蠕虫、蜈蚣以及蜉蝣目、毛翅目、等翅目、半翅目、鞘翅目、膜翅目等昆虫和昆虫幼虫。也吃小鱼、虾、软体动物。繁殖期为</w:t>
            </w:r>
            <w:r w:rsidRPr="000549B1">
              <w:rPr>
                <w:szCs w:val="21"/>
              </w:rPr>
              <w:t>5-7</w:t>
            </w:r>
            <w:r w:rsidRPr="000549B1">
              <w:rPr>
                <w:szCs w:val="21"/>
              </w:rPr>
              <w:t>月，每窝产卵</w:t>
            </w:r>
            <w:r w:rsidRPr="000549B1">
              <w:rPr>
                <w:szCs w:val="21"/>
              </w:rPr>
              <w:t>3-4</w:t>
            </w:r>
            <w:r w:rsidRPr="000549B1">
              <w:rPr>
                <w:szCs w:val="21"/>
              </w:rPr>
              <w:t>枚，雌雄轮流孵卵。</w:t>
            </w:r>
          </w:p>
        </w:tc>
        <w:tc>
          <w:tcPr>
            <w:tcW w:w="394" w:type="pct"/>
            <w:tcBorders>
              <w:top w:val="single" w:sz="2" w:space="0" w:color="auto"/>
              <w:left w:val="single" w:sz="2" w:space="0" w:color="auto"/>
              <w:bottom w:val="single" w:sz="2" w:space="0" w:color="auto"/>
              <w:right w:val="single" w:sz="2" w:space="0" w:color="auto"/>
            </w:tcBorders>
            <w:vAlign w:val="center"/>
          </w:tcPr>
          <w:p w14:paraId="609246D6" w14:textId="77777777" w:rsidR="00054437" w:rsidRPr="000549B1" w:rsidRDefault="00000000">
            <w:pPr>
              <w:pStyle w:val="afff5"/>
              <w:rPr>
                <w:szCs w:val="21"/>
              </w:rPr>
            </w:pPr>
            <w:r w:rsidRPr="000549B1">
              <w:rPr>
                <w:szCs w:val="21"/>
              </w:rPr>
              <w:t>河流滩地</w:t>
            </w:r>
          </w:p>
        </w:tc>
        <w:tc>
          <w:tcPr>
            <w:tcW w:w="1441" w:type="pct"/>
            <w:tcBorders>
              <w:top w:val="single" w:sz="2" w:space="0" w:color="auto"/>
              <w:left w:val="single" w:sz="2" w:space="0" w:color="auto"/>
              <w:bottom w:val="single" w:sz="2" w:space="0" w:color="auto"/>
              <w:right w:val="single" w:sz="2" w:space="0" w:color="auto"/>
            </w:tcBorders>
            <w:vAlign w:val="center"/>
          </w:tcPr>
          <w:p w14:paraId="66B471C8" w14:textId="77777777" w:rsidR="00054437" w:rsidRPr="000549B1" w:rsidRDefault="00000000">
            <w:pPr>
              <w:pStyle w:val="afff5"/>
            </w:pPr>
            <w:r w:rsidRPr="000549B1">
              <w:rPr>
                <w:noProof/>
              </w:rPr>
              <w:drawing>
                <wp:inline distT="0" distB="0" distL="0" distR="0" wp14:anchorId="708588B4" wp14:editId="2747B8B6">
                  <wp:extent cx="1680845" cy="1226185"/>
                  <wp:effectExtent l="0" t="0" r="8255" b="5715"/>
                  <wp:docPr id="1002234237" name="图片 10" descr="鹮嘴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234237" name="图片 10" descr="鹮嘴鹬"/>
                          <pic:cNvPicPr>
                            <a:picLocks noChangeAspect="1" noChangeArrowheads="1"/>
                          </pic:cNvPicPr>
                        </pic:nvPicPr>
                        <pic:blipFill>
                          <a:blip r:embed="rId146" cstate="email">
                            <a:extLst>
                              <a:ext uri="{28A0092B-C50C-407E-A947-70E740481C1C}">
                                <a14:useLocalDpi xmlns:a14="http://schemas.microsoft.com/office/drawing/2010/main"/>
                              </a:ext>
                            </a:extLst>
                          </a:blip>
                          <a:srcRect/>
                          <a:stretch>
                            <a:fillRect/>
                          </a:stretch>
                        </pic:blipFill>
                        <pic:spPr>
                          <a:xfrm>
                            <a:off x="0" y="0"/>
                            <a:ext cx="1696525" cy="1237163"/>
                          </a:xfrm>
                          <a:prstGeom prst="rect">
                            <a:avLst/>
                          </a:prstGeom>
                          <a:noFill/>
                          <a:ln>
                            <a:noFill/>
                          </a:ln>
                        </pic:spPr>
                      </pic:pic>
                    </a:graphicData>
                  </a:graphic>
                </wp:inline>
              </w:drawing>
            </w:r>
          </w:p>
        </w:tc>
      </w:tr>
      <w:tr w:rsidR="000549B1" w:rsidRPr="000549B1" w14:paraId="32BCF923" w14:textId="77777777">
        <w:tc>
          <w:tcPr>
            <w:tcW w:w="657" w:type="pct"/>
            <w:tcBorders>
              <w:top w:val="single" w:sz="2" w:space="0" w:color="auto"/>
              <w:left w:val="single" w:sz="2" w:space="0" w:color="auto"/>
              <w:bottom w:val="single" w:sz="2" w:space="0" w:color="auto"/>
              <w:right w:val="single" w:sz="2" w:space="0" w:color="auto"/>
            </w:tcBorders>
            <w:vAlign w:val="center"/>
          </w:tcPr>
          <w:p w14:paraId="01947E8D" w14:textId="77777777" w:rsidR="00054437" w:rsidRPr="000549B1" w:rsidRDefault="00000000">
            <w:pPr>
              <w:pStyle w:val="afff5"/>
              <w:rPr>
                <w:szCs w:val="21"/>
              </w:rPr>
            </w:pPr>
            <w:r w:rsidRPr="000549B1">
              <w:rPr>
                <w:szCs w:val="21"/>
              </w:rPr>
              <w:t>雕鸮</w:t>
            </w:r>
          </w:p>
          <w:p w14:paraId="38C79501" w14:textId="77777777" w:rsidR="00054437" w:rsidRPr="000549B1" w:rsidRDefault="00000000">
            <w:pPr>
              <w:pStyle w:val="afff5"/>
              <w:rPr>
                <w:szCs w:val="21"/>
              </w:rPr>
            </w:pPr>
            <w:r w:rsidRPr="000549B1">
              <w:rPr>
                <w:szCs w:val="21"/>
              </w:rPr>
              <w:t>Bubobubo</w:t>
            </w:r>
          </w:p>
        </w:tc>
        <w:tc>
          <w:tcPr>
            <w:tcW w:w="2506" w:type="pct"/>
            <w:tcBorders>
              <w:top w:val="single" w:sz="2" w:space="0" w:color="auto"/>
              <w:left w:val="single" w:sz="2" w:space="0" w:color="auto"/>
              <w:bottom w:val="single" w:sz="2" w:space="0" w:color="auto"/>
              <w:right w:val="single" w:sz="2" w:space="0" w:color="auto"/>
            </w:tcBorders>
            <w:vAlign w:val="center"/>
          </w:tcPr>
          <w:p w14:paraId="5BAC2087" w14:textId="77777777" w:rsidR="00054437" w:rsidRPr="000549B1" w:rsidRDefault="00000000">
            <w:pPr>
              <w:pStyle w:val="afff5"/>
              <w:rPr>
                <w:szCs w:val="21"/>
              </w:rPr>
            </w:pPr>
            <w:r w:rsidRPr="000549B1">
              <w:rPr>
                <w:szCs w:val="21"/>
              </w:rPr>
              <w:t>雕鸮属夜行猛禽，喙坚强而钩曲，嘴基蜡膜为硬须掩盖。食性很广，主要以各种鼠类为食，也吃兔类、蛙、刺猬、昆虫、雉鸡和其他鸟类。叫声深沉。雕鸮栖息于山地森林、平原、荒野、林缘灌丛、疏林，以及裸露的高山和峭壁等各类环境中。在新疆和西藏地区，栖息地的海拔可达</w:t>
            </w:r>
            <w:r w:rsidRPr="000549B1">
              <w:rPr>
                <w:szCs w:val="21"/>
              </w:rPr>
              <w:t>3000</w:t>
            </w:r>
            <w:r w:rsidRPr="000549B1">
              <w:rPr>
                <w:szCs w:val="21"/>
              </w:rPr>
              <w:t>～</w:t>
            </w:r>
            <w:r w:rsidRPr="000549B1">
              <w:rPr>
                <w:szCs w:val="21"/>
              </w:rPr>
              <w:t>4500m</w:t>
            </w:r>
            <w:r w:rsidRPr="000549B1">
              <w:rPr>
                <w:szCs w:val="21"/>
              </w:rPr>
              <w:t>左右。</w:t>
            </w:r>
          </w:p>
        </w:tc>
        <w:tc>
          <w:tcPr>
            <w:tcW w:w="394" w:type="pct"/>
            <w:tcBorders>
              <w:top w:val="single" w:sz="2" w:space="0" w:color="auto"/>
              <w:left w:val="single" w:sz="2" w:space="0" w:color="auto"/>
              <w:bottom w:val="single" w:sz="2" w:space="0" w:color="auto"/>
              <w:right w:val="single" w:sz="2" w:space="0" w:color="auto"/>
            </w:tcBorders>
            <w:vAlign w:val="center"/>
          </w:tcPr>
          <w:p w14:paraId="7568C630" w14:textId="77777777" w:rsidR="00054437" w:rsidRPr="000549B1" w:rsidRDefault="00000000">
            <w:pPr>
              <w:pStyle w:val="afff5"/>
              <w:rPr>
                <w:szCs w:val="21"/>
              </w:rPr>
            </w:pPr>
            <w:r w:rsidRPr="000549B1">
              <w:rPr>
                <w:szCs w:val="21"/>
              </w:rPr>
              <w:t>项目区内的草原区</w:t>
            </w:r>
          </w:p>
        </w:tc>
        <w:tc>
          <w:tcPr>
            <w:tcW w:w="1441" w:type="pct"/>
            <w:tcBorders>
              <w:top w:val="single" w:sz="2" w:space="0" w:color="auto"/>
              <w:left w:val="single" w:sz="2" w:space="0" w:color="auto"/>
              <w:bottom w:val="single" w:sz="2" w:space="0" w:color="auto"/>
              <w:right w:val="single" w:sz="2" w:space="0" w:color="auto"/>
            </w:tcBorders>
            <w:vAlign w:val="center"/>
          </w:tcPr>
          <w:p w14:paraId="4F8815E6" w14:textId="77777777" w:rsidR="00054437" w:rsidRPr="000549B1" w:rsidRDefault="00000000">
            <w:pPr>
              <w:pStyle w:val="afff5"/>
            </w:pPr>
            <w:r w:rsidRPr="000549B1">
              <w:rPr>
                <w:noProof/>
              </w:rPr>
              <w:drawing>
                <wp:inline distT="0" distB="0" distL="0" distR="0" wp14:anchorId="4E579089" wp14:editId="317D197E">
                  <wp:extent cx="1607820" cy="1379220"/>
                  <wp:effectExtent l="0" t="0" r="5080" b="5080"/>
                  <wp:docPr id="423598822"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598822" name="图片 81"/>
                          <pic:cNvPicPr>
                            <a:picLocks noChangeAspect="1" noChangeArrowheads="1"/>
                          </pic:cNvPicPr>
                        </pic:nvPicPr>
                        <pic:blipFill>
                          <a:blip r:embed="rId147" cstate="email">
                            <a:extLst>
                              <a:ext uri="{28A0092B-C50C-407E-A947-70E740481C1C}">
                                <a14:useLocalDpi xmlns:a14="http://schemas.microsoft.com/office/drawing/2010/main"/>
                              </a:ext>
                            </a:extLst>
                          </a:blip>
                          <a:srcRect/>
                          <a:stretch>
                            <a:fillRect/>
                          </a:stretch>
                        </pic:blipFill>
                        <pic:spPr>
                          <a:xfrm>
                            <a:off x="0" y="0"/>
                            <a:ext cx="1607820" cy="1379220"/>
                          </a:xfrm>
                          <a:prstGeom prst="rect">
                            <a:avLst/>
                          </a:prstGeom>
                          <a:noFill/>
                          <a:ln>
                            <a:noFill/>
                          </a:ln>
                        </pic:spPr>
                      </pic:pic>
                    </a:graphicData>
                  </a:graphic>
                </wp:inline>
              </w:drawing>
            </w:r>
          </w:p>
        </w:tc>
      </w:tr>
    </w:tbl>
    <w:p w14:paraId="16AE92BA" w14:textId="77777777" w:rsidR="00054437" w:rsidRPr="000549B1" w:rsidRDefault="00000000">
      <w:pPr>
        <w:pStyle w:val="3"/>
      </w:pPr>
      <w:bookmarkStart w:id="271" w:name="_Toc216107022"/>
      <w:bookmarkEnd w:id="268"/>
      <w:r w:rsidRPr="000549B1">
        <w:t>生态系统现状</w:t>
      </w:r>
      <w:bookmarkEnd w:id="271"/>
    </w:p>
    <w:p w14:paraId="423FA956" w14:textId="77777777" w:rsidR="00054437" w:rsidRPr="000549B1" w:rsidRDefault="00000000">
      <w:pPr>
        <w:pStyle w:val="Z4"/>
        <w:rPr>
          <w:color w:val="auto"/>
        </w:rPr>
      </w:pPr>
      <w:r w:rsidRPr="000549B1">
        <w:rPr>
          <w:color w:val="auto"/>
        </w:rPr>
        <w:t>生态系统类型</w:t>
      </w:r>
    </w:p>
    <w:p w14:paraId="1F5011D3" w14:textId="2979A62A" w:rsidR="00054437" w:rsidRPr="000549B1" w:rsidRDefault="00000000">
      <w:pPr>
        <w:pStyle w:val="x"/>
      </w:pPr>
      <w:r w:rsidRPr="000549B1">
        <w:t>生态系统调查采用遥感解译和现场调查的手段，根据《全国生态状况调查评估技术规范</w:t>
      </w:r>
      <w:r w:rsidRPr="000549B1">
        <w:t>-</w:t>
      </w:r>
      <w:r w:rsidRPr="000549B1">
        <w:t>生态系统遥感解译与野外核查》（</w:t>
      </w:r>
      <w:r w:rsidRPr="000549B1">
        <w:t>HJ1166-2021</w:t>
      </w:r>
      <w:r w:rsidRPr="000549B1">
        <w:t>）的分类方法，将评价区生态系统分为</w:t>
      </w:r>
      <w:r w:rsidRPr="000549B1">
        <w:t>8</w:t>
      </w:r>
      <w:r w:rsidRPr="000549B1">
        <w:t>类，分别为森林生态系统、灌丛生态系统、草地生态系统、湿地生态系统、农田生态系统、城镇生态系统、荒漠生态系统和其他，各类生态系统面积详见</w:t>
      </w:r>
      <w:r w:rsidR="00381872" w:rsidRPr="000549B1">
        <w:rPr>
          <w:rFonts w:hint="eastAsia"/>
        </w:rPr>
        <w:t>下</w:t>
      </w:r>
      <w:r w:rsidRPr="000549B1">
        <w:t>表。</w:t>
      </w:r>
    </w:p>
    <w:p w14:paraId="5DC88D5D" w14:textId="2721AC37" w:rsidR="00054437" w:rsidRPr="000549B1" w:rsidRDefault="00000000">
      <w:pPr>
        <w:pStyle w:val="0A51"/>
        <w:ind w:firstLine="422"/>
      </w:pPr>
      <w:r w:rsidRPr="000549B1">
        <w:t>表</w:t>
      </w:r>
      <w:fldSimple w:instr=" STYLEREF 2 \s ">
        <w:r w:rsidR="00372953">
          <w:rPr>
            <w:noProof/>
          </w:rPr>
          <w:t>3.5</w:t>
        </w:r>
      </w:fldSimple>
      <w:r w:rsidR="00372953">
        <w:noBreakHyphen/>
      </w:r>
      <w:r w:rsidR="00372953">
        <w:fldChar w:fldCharType="begin"/>
      </w:r>
      <w:r w:rsidR="00372953">
        <w:instrText xml:space="preserve"> SEQ </w:instrText>
      </w:r>
      <w:r w:rsidR="00372953">
        <w:instrText>表</w:instrText>
      </w:r>
      <w:r w:rsidR="00372953">
        <w:instrText xml:space="preserve"> \* ARABIC \s 2 </w:instrText>
      </w:r>
      <w:r w:rsidR="00372953">
        <w:fldChar w:fldCharType="separate"/>
      </w:r>
      <w:r w:rsidR="00372953">
        <w:rPr>
          <w:noProof/>
        </w:rPr>
        <w:t>11</w:t>
      </w:r>
      <w:r w:rsidR="00372953">
        <w:fldChar w:fldCharType="end"/>
      </w:r>
      <w:r w:rsidRPr="000549B1">
        <w:t>评价区生态系统面积统计表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6"/>
        <w:gridCol w:w="1490"/>
        <w:gridCol w:w="1331"/>
        <w:gridCol w:w="1110"/>
        <w:gridCol w:w="1490"/>
        <w:gridCol w:w="1329"/>
      </w:tblGrid>
      <w:tr w:rsidR="000549B1" w:rsidRPr="000549B1" w14:paraId="0060F8E0" w14:textId="77777777">
        <w:trPr>
          <w:trHeight w:val="285"/>
          <w:jc w:val="center"/>
        </w:trPr>
        <w:tc>
          <w:tcPr>
            <w:tcW w:w="932" w:type="pct"/>
            <w:tcBorders>
              <w:top w:val="single" w:sz="4" w:space="0" w:color="auto"/>
              <w:left w:val="single" w:sz="4" w:space="0" w:color="auto"/>
              <w:bottom w:val="single" w:sz="4" w:space="0" w:color="auto"/>
              <w:right w:val="single" w:sz="4" w:space="0" w:color="auto"/>
            </w:tcBorders>
            <w:noWrap/>
            <w:vAlign w:val="center"/>
          </w:tcPr>
          <w:p w14:paraId="71E40E16" w14:textId="77777777" w:rsidR="00054437" w:rsidRPr="000549B1" w:rsidRDefault="00000000">
            <w:pPr>
              <w:pStyle w:val="afff5"/>
              <w:rPr>
                <w:b/>
                <w:bCs/>
                <w:szCs w:val="21"/>
              </w:rPr>
            </w:pPr>
            <w:r w:rsidRPr="000549B1">
              <w:rPr>
                <w:b/>
                <w:bCs/>
                <w:szCs w:val="21"/>
              </w:rPr>
              <w:t>I</w:t>
            </w:r>
            <w:r w:rsidRPr="000549B1">
              <w:rPr>
                <w:b/>
                <w:bCs/>
                <w:szCs w:val="21"/>
              </w:rPr>
              <w:t>级分类</w:t>
            </w:r>
          </w:p>
        </w:tc>
        <w:tc>
          <w:tcPr>
            <w:tcW w:w="898" w:type="pct"/>
            <w:tcBorders>
              <w:top w:val="single" w:sz="4" w:space="0" w:color="auto"/>
              <w:left w:val="nil"/>
              <w:bottom w:val="single" w:sz="4" w:space="0" w:color="auto"/>
              <w:right w:val="single" w:sz="4" w:space="0" w:color="auto"/>
            </w:tcBorders>
            <w:noWrap/>
            <w:vAlign w:val="center"/>
          </w:tcPr>
          <w:p w14:paraId="54FD5202" w14:textId="77777777" w:rsidR="00054437" w:rsidRPr="000549B1" w:rsidRDefault="00000000">
            <w:pPr>
              <w:pStyle w:val="afff5"/>
              <w:rPr>
                <w:b/>
                <w:bCs/>
                <w:szCs w:val="21"/>
              </w:rPr>
            </w:pPr>
            <w:r w:rsidRPr="000549B1">
              <w:rPr>
                <w:b/>
                <w:bCs/>
                <w:szCs w:val="21"/>
              </w:rPr>
              <w:t>面积（</w:t>
            </w:r>
            <w:r w:rsidRPr="000549B1">
              <w:rPr>
                <w:b/>
                <w:bCs/>
                <w:szCs w:val="21"/>
              </w:rPr>
              <w:t>km</w:t>
            </w:r>
            <w:r w:rsidRPr="000549B1">
              <w:rPr>
                <w:b/>
                <w:bCs/>
                <w:szCs w:val="21"/>
                <w:vertAlign w:val="superscript"/>
              </w:rPr>
              <w:t>2</w:t>
            </w:r>
            <w:r w:rsidRPr="000549B1">
              <w:rPr>
                <w:b/>
                <w:bCs/>
                <w:szCs w:val="21"/>
              </w:rPr>
              <w:t>）</w:t>
            </w:r>
          </w:p>
        </w:tc>
        <w:tc>
          <w:tcPr>
            <w:tcW w:w="802" w:type="pct"/>
            <w:tcBorders>
              <w:top w:val="single" w:sz="4" w:space="0" w:color="auto"/>
              <w:left w:val="nil"/>
              <w:bottom w:val="single" w:sz="4" w:space="0" w:color="auto"/>
              <w:right w:val="single" w:sz="4" w:space="0" w:color="auto"/>
            </w:tcBorders>
            <w:noWrap/>
            <w:vAlign w:val="center"/>
          </w:tcPr>
          <w:p w14:paraId="154005D9" w14:textId="77777777" w:rsidR="00054437" w:rsidRPr="000549B1" w:rsidRDefault="00000000">
            <w:pPr>
              <w:pStyle w:val="afff5"/>
              <w:rPr>
                <w:b/>
                <w:bCs/>
                <w:szCs w:val="21"/>
              </w:rPr>
            </w:pPr>
            <w:r w:rsidRPr="000549B1">
              <w:rPr>
                <w:b/>
                <w:bCs/>
                <w:szCs w:val="21"/>
              </w:rPr>
              <w:t>比例（</w:t>
            </w:r>
            <w:r w:rsidRPr="000549B1">
              <w:rPr>
                <w:b/>
                <w:bCs/>
                <w:szCs w:val="21"/>
              </w:rPr>
              <w:t>%</w:t>
            </w:r>
            <w:r w:rsidRPr="000549B1">
              <w:rPr>
                <w:b/>
                <w:bCs/>
                <w:szCs w:val="21"/>
              </w:rPr>
              <w:t>）</w:t>
            </w:r>
          </w:p>
        </w:tc>
        <w:tc>
          <w:tcPr>
            <w:tcW w:w="669" w:type="pct"/>
            <w:tcBorders>
              <w:top w:val="single" w:sz="4" w:space="0" w:color="auto"/>
              <w:left w:val="nil"/>
              <w:bottom w:val="single" w:sz="4" w:space="0" w:color="auto"/>
              <w:right w:val="single" w:sz="4" w:space="0" w:color="auto"/>
            </w:tcBorders>
            <w:vAlign w:val="center"/>
          </w:tcPr>
          <w:p w14:paraId="542D179E" w14:textId="77777777" w:rsidR="00054437" w:rsidRPr="000549B1" w:rsidRDefault="00000000">
            <w:pPr>
              <w:pStyle w:val="afff5"/>
              <w:rPr>
                <w:b/>
                <w:bCs/>
                <w:szCs w:val="21"/>
              </w:rPr>
            </w:pPr>
            <w:r w:rsidRPr="000549B1">
              <w:rPr>
                <w:b/>
                <w:bCs/>
                <w:szCs w:val="21"/>
              </w:rPr>
              <w:t>Ⅱ</w:t>
            </w:r>
            <w:r w:rsidRPr="000549B1">
              <w:rPr>
                <w:b/>
                <w:bCs/>
                <w:szCs w:val="21"/>
              </w:rPr>
              <w:t>级分类</w:t>
            </w:r>
          </w:p>
        </w:tc>
        <w:tc>
          <w:tcPr>
            <w:tcW w:w="898" w:type="pct"/>
            <w:tcBorders>
              <w:top w:val="single" w:sz="4" w:space="0" w:color="auto"/>
              <w:left w:val="nil"/>
              <w:bottom w:val="single" w:sz="4" w:space="0" w:color="auto"/>
              <w:right w:val="single" w:sz="4" w:space="0" w:color="auto"/>
            </w:tcBorders>
            <w:vAlign w:val="center"/>
          </w:tcPr>
          <w:p w14:paraId="60EFF4AB" w14:textId="77777777" w:rsidR="00054437" w:rsidRPr="000549B1" w:rsidRDefault="00000000">
            <w:pPr>
              <w:pStyle w:val="afff5"/>
              <w:rPr>
                <w:b/>
                <w:bCs/>
                <w:szCs w:val="21"/>
              </w:rPr>
            </w:pPr>
            <w:r w:rsidRPr="000549B1">
              <w:rPr>
                <w:b/>
                <w:bCs/>
                <w:szCs w:val="21"/>
              </w:rPr>
              <w:t>面积（</w:t>
            </w:r>
            <w:r w:rsidRPr="000549B1">
              <w:rPr>
                <w:b/>
                <w:bCs/>
                <w:szCs w:val="21"/>
              </w:rPr>
              <w:t>km</w:t>
            </w:r>
            <w:r w:rsidRPr="000549B1">
              <w:rPr>
                <w:b/>
                <w:bCs/>
                <w:szCs w:val="21"/>
                <w:vertAlign w:val="superscript"/>
              </w:rPr>
              <w:t>2</w:t>
            </w:r>
            <w:r w:rsidRPr="000549B1">
              <w:rPr>
                <w:b/>
                <w:bCs/>
                <w:szCs w:val="21"/>
              </w:rPr>
              <w:t>）</w:t>
            </w:r>
          </w:p>
        </w:tc>
        <w:tc>
          <w:tcPr>
            <w:tcW w:w="801" w:type="pct"/>
            <w:tcBorders>
              <w:top w:val="single" w:sz="4" w:space="0" w:color="auto"/>
              <w:left w:val="nil"/>
              <w:bottom w:val="single" w:sz="4" w:space="0" w:color="auto"/>
              <w:right w:val="single" w:sz="4" w:space="0" w:color="auto"/>
            </w:tcBorders>
            <w:vAlign w:val="center"/>
          </w:tcPr>
          <w:p w14:paraId="708A3004" w14:textId="77777777" w:rsidR="00054437" w:rsidRPr="000549B1" w:rsidRDefault="00000000">
            <w:pPr>
              <w:pStyle w:val="afff5"/>
              <w:rPr>
                <w:b/>
                <w:bCs/>
                <w:szCs w:val="21"/>
              </w:rPr>
            </w:pPr>
            <w:r w:rsidRPr="000549B1">
              <w:rPr>
                <w:b/>
                <w:bCs/>
                <w:szCs w:val="21"/>
              </w:rPr>
              <w:t>比例（</w:t>
            </w:r>
            <w:r w:rsidRPr="000549B1">
              <w:rPr>
                <w:b/>
                <w:bCs/>
                <w:szCs w:val="21"/>
              </w:rPr>
              <w:t>%</w:t>
            </w:r>
            <w:r w:rsidRPr="000549B1">
              <w:rPr>
                <w:b/>
                <w:bCs/>
                <w:szCs w:val="21"/>
              </w:rPr>
              <w:t>）</w:t>
            </w:r>
          </w:p>
        </w:tc>
      </w:tr>
      <w:tr w:rsidR="000549B1" w:rsidRPr="000549B1" w14:paraId="55E2A849" w14:textId="77777777">
        <w:trPr>
          <w:trHeight w:val="255"/>
          <w:jc w:val="center"/>
        </w:trPr>
        <w:tc>
          <w:tcPr>
            <w:tcW w:w="932" w:type="pct"/>
            <w:tcBorders>
              <w:top w:val="single" w:sz="4" w:space="0" w:color="auto"/>
              <w:left w:val="single" w:sz="4" w:space="0" w:color="auto"/>
              <w:bottom w:val="single" w:sz="4" w:space="0" w:color="auto"/>
              <w:right w:val="single" w:sz="4" w:space="0" w:color="auto"/>
            </w:tcBorders>
            <w:noWrap/>
            <w:vAlign w:val="center"/>
          </w:tcPr>
          <w:p w14:paraId="233860C0" w14:textId="77777777" w:rsidR="00054437" w:rsidRPr="000549B1" w:rsidRDefault="00000000">
            <w:pPr>
              <w:pStyle w:val="afff5"/>
              <w:rPr>
                <w:szCs w:val="21"/>
              </w:rPr>
            </w:pPr>
            <w:bookmarkStart w:id="272" w:name="_Hlk213968615"/>
            <w:r w:rsidRPr="000549B1">
              <w:rPr>
                <w:szCs w:val="21"/>
              </w:rPr>
              <w:t>森林生态系统</w:t>
            </w:r>
          </w:p>
        </w:tc>
        <w:tc>
          <w:tcPr>
            <w:tcW w:w="898" w:type="pct"/>
            <w:tcBorders>
              <w:top w:val="single" w:sz="4" w:space="0" w:color="auto"/>
              <w:left w:val="nil"/>
              <w:bottom w:val="single" w:sz="4" w:space="0" w:color="auto"/>
              <w:right w:val="single" w:sz="4" w:space="0" w:color="auto"/>
            </w:tcBorders>
            <w:noWrap/>
          </w:tcPr>
          <w:p w14:paraId="44E46225" w14:textId="77777777" w:rsidR="00054437" w:rsidRPr="000549B1" w:rsidRDefault="00000000">
            <w:pPr>
              <w:pStyle w:val="afff5"/>
              <w:rPr>
                <w:szCs w:val="21"/>
              </w:rPr>
            </w:pPr>
            <w:r w:rsidRPr="000549B1">
              <w:rPr>
                <w:szCs w:val="21"/>
              </w:rPr>
              <w:t>90.57</w:t>
            </w:r>
          </w:p>
        </w:tc>
        <w:tc>
          <w:tcPr>
            <w:tcW w:w="802" w:type="pct"/>
            <w:tcBorders>
              <w:top w:val="single" w:sz="4" w:space="0" w:color="auto"/>
              <w:left w:val="nil"/>
              <w:bottom w:val="single" w:sz="4" w:space="0" w:color="auto"/>
              <w:right w:val="single" w:sz="4" w:space="0" w:color="auto"/>
            </w:tcBorders>
            <w:noWrap/>
          </w:tcPr>
          <w:p w14:paraId="0895F6BE" w14:textId="77777777" w:rsidR="00054437" w:rsidRPr="000549B1" w:rsidRDefault="00000000">
            <w:pPr>
              <w:pStyle w:val="afff5"/>
              <w:rPr>
                <w:szCs w:val="21"/>
              </w:rPr>
            </w:pPr>
            <w:r w:rsidRPr="000549B1">
              <w:rPr>
                <w:szCs w:val="21"/>
              </w:rPr>
              <w:t>1.04</w:t>
            </w:r>
          </w:p>
        </w:tc>
        <w:tc>
          <w:tcPr>
            <w:tcW w:w="669" w:type="pct"/>
            <w:tcBorders>
              <w:top w:val="single" w:sz="4" w:space="0" w:color="auto"/>
              <w:left w:val="nil"/>
              <w:bottom w:val="single" w:sz="4" w:space="0" w:color="auto"/>
              <w:right w:val="single" w:sz="4" w:space="0" w:color="auto"/>
            </w:tcBorders>
            <w:vAlign w:val="center"/>
          </w:tcPr>
          <w:p w14:paraId="7C278D91" w14:textId="77777777" w:rsidR="00054437" w:rsidRPr="000549B1" w:rsidRDefault="00000000">
            <w:pPr>
              <w:pStyle w:val="afff5"/>
              <w:rPr>
                <w:szCs w:val="21"/>
              </w:rPr>
            </w:pPr>
            <w:r w:rsidRPr="000549B1">
              <w:rPr>
                <w:szCs w:val="21"/>
              </w:rPr>
              <w:t>阔叶林</w:t>
            </w:r>
          </w:p>
        </w:tc>
        <w:tc>
          <w:tcPr>
            <w:tcW w:w="898" w:type="pct"/>
            <w:tcBorders>
              <w:top w:val="single" w:sz="4" w:space="0" w:color="auto"/>
              <w:left w:val="nil"/>
              <w:bottom w:val="single" w:sz="4" w:space="0" w:color="auto"/>
              <w:right w:val="single" w:sz="4" w:space="0" w:color="auto"/>
            </w:tcBorders>
          </w:tcPr>
          <w:p w14:paraId="146EFCDF" w14:textId="77777777" w:rsidR="00054437" w:rsidRPr="000549B1" w:rsidRDefault="00000000">
            <w:pPr>
              <w:pStyle w:val="afff5"/>
              <w:rPr>
                <w:szCs w:val="21"/>
              </w:rPr>
            </w:pPr>
            <w:r w:rsidRPr="000549B1">
              <w:rPr>
                <w:szCs w:val="21"/>
              </w:rPr>
              <w:t>90.57</w:t>
            </w:r>
          </w:p>
        </w:tc>
        <w:tc>
          <w:tcPr>
            <w:tcW w:w="801" w:type="pct"/>
            <w:tcBorders>
              <w:top w:val="single" w:sz="4" w:space="0" w:color="auto"/>
              <w:left w:val="nil"/>
              <w:bottom w:val="single" w:sz="4" w:space="0" w:color="auto"/>
              <w:right w:val="single" w:sz="4" w:space="0" w:color="auto"/>
            </w:tcBorders>
          </w:tcPr>
          <w:p w14:paraId="00E7C0F8" w14:textId="77777777" w:rsidR="00054437" w:rsidRPr="000549B1" w:rsidRDefault="00000000">
            <w:pPr>
              <w:pStyle w:val="afff5"/>
              <w:rPr>
                <w:szCs w:val="21"/>
              </w:rPr>
            </w:pPr>
            <w:r w:rsidRPr="000549B1">
              <w:rPr>
                <w:szCs w:val="21"/>
              </w:rPr>
              <w:t>1.04</w:t>
            </w:r>
          </w:p>
        </w:tc>
      </w:tr>
      <w:tr w:rsidR="000549B1" w:rsidRPr="000549B1" w14:paraId="38A79471" w14:textId="77777777">
        <w:trPr>
          <w:trHeight w:val="255"/>
          <w:jc w:val="center"/>
        </w:trPr>
        <w:tc>
          <w:tcPr>
            <w:tcW w:w="932" w:type="pct"/>
            <w:tcBorders>
              <w:top w:val="single" w:sz="4" w:space="0" w:color="auto"/>
              <w:left w:val="single" w:sz="4" w:space="0" w:color="auto"/>
              <w:bottom w:val="single" w:sz="4" w:space="0" w:color="auto"/>
              <w:right w:val="single" w:sz="4" w:space="0" w:color="auto"/>
            </w:tcBorders>
            <w:noWrap/>
            <w:vAlign w:val="center"/>
          </w:tcPr>
          <w:p w14:paraId="735EC937" w14:textId="77777777" w:rsidR="00054437" w:rsidRPr="000549B1" w:rsidRDefault="00000000">
            <w:pPr>
              <w:pStyle w:val="afff5"/>
              <w:rPr>
                <w:szCs w:val="21"/>
              </w:rPr>
            </w:pPr>
            <w:r w:rsidRPr="000549B1">
              <w:rPr>
                <w:szCs w:val="21"/>
              </w:rPr>
              <w:t>灌丛生态系统</w:t>
            </w:r>
          </w:p>
        </w:tc>
        <w:tc>
          <w:tcPr>
            <w:tcW w:w="898" w:type="pct"/>
            <w:tcBorders>
              <w:top w:val="single" w:sz="4" w:space="0" w:color="auto"/>
              <w:left w:val="nil"/>
              <w:bottom w:val="single" w:sz="4" w:space="0" w:color="auto"/>
              <w:right w:val="single" w:sz="4" w:space="0" w:color="auto"/>
            </w:tcBorders>
            <w:noWrap/>
            <w:vAlign w:val="center"/>
          </w:tcPr>
          <w:p w14:paraId="165A4057" w14:textId="77777777" w:rsidR="00054437" w:rsidRPr="000549B1" w:rsidRDefault="00000000">
            <w:pPr>
              <w:pStyle w:val="afff5"/>
              <w:rPr>
                <w:szCs w:val="21"/>
              </w:rPr>
            </w:pPr>
            <w:r w:rsidRPr="000549B1">
              <w:rPr>
                <w:szCs w:val="21"/>
              </w:rPr>
              <w:t>218.98</w:t>
            </w:r>
          </w:p>
        </w:tc>
        <w:tc>
          <w:tcPr>
            <w:tcW w:w="802" w:type="pct"/>
            <w:tcBorders>
              <w:top w:val="single" w:sz="4" w:space="0" w:color="auto"/>
              <w:left w:val="nil"/>
              <w:bottom w:val="single" w:sz="4" w:space="0" w:color="auto"/>
              <w:right w:val="single" w:sz="4" w:space="0" w:color="auto"/>
            </w:tcBorders>
            <w:noWrap/>
            <w:vAlign w:val="center"/>
          </w:tcPr>
          <w:p w14:paraId="1F62F8BD" w14:textId="77777777" w:rsidR="00054437" w:rsidRPr="000549B1" w:rsidRDefault="00000000">
            <w:pPr>
              <w:pStyle w:val="afff5"/>
              <w:rPr>
                <w:szCs w:val="21"/>
              </w:rPr>
            </w:pPr>
            <w:r w:rsidRPr="000549B1">
              <w:rPr>
                <w:szCs w:val="21"/>
              </w:rPr>
              <w:t>2.53</w:t>
            </w:r>
          </w:p>
        </w:tc>
        <w:tc>
          <w:tcPr>
            <w:tcW w:w="669" w:type="pct"/>
            <w:tcBorders>
              <w:top w:val="single" w:sz="4" w:space="0" w:color="auto"/>
              <w:left w:val="nil"/>
              <w:bottom w:val="single" w:sz="4" w:space="0" w:color="auto"/>
              <w:right w:val="single" w:sz="4" w:space="0" w:color="auto"/>
            </w:tcBorders>
            <w:vAlign w:val="center"/>
          </w:tcPr>
          <w:p w14:paraId="32ED27CE" w14:textId="77777777" w:rsidR="00054437" w:rsidRPr="000549B1" w:rsidRDefault="00000000">
            <w:pPr>
              <w:pStyle w:val="afff5"/>
              <w:rPr>
                <w:szCs w:val="21"/>
              </w:rPr>
            </w:pPr>
            <w:r w:rsidRPr="000549B1">
              <w:rPr>
                <w:szCs w:val="21"/>
              </w:rPr>
              <w:t>阔叶灌丛</w:t>
            </w:r>
          </w:p>
        </w:tc>
        <w:tc>
          <w:tcPr>
            <w:tcW w:w="898" w:type="pct"/>
            <w:tcBorders>
              <w:top w:val="single" w:sz="4" w:space="0" w:color="auto"/>
              <w:left w:val="nil"/>
              <w:bottom w:val="single" w:sz="4" w:space="0" w:color="auto"/>
              <w:right w:val="single" w:sz="4" w:space="0" w:color="auto"/>
            </w:tcBorders>
            <w:vAlign w:val="center"/>
          </w:tcPr>
          <w:p w14:paraId="4F1CC5B4" w14:textId="77777777" w:rsidR="00054437" w:rsidRPr="000549B1" w:rsidRDefault="00000000">
            <w:pPr>
              <w:pStyle w:val="afff5"/>
              <w:rPr>
                <w:szCs w:val="21"/>
              </w:rPr>
            </w:pPr>
            <w:r w:rsidRPr="000549B1">
              <w:rPr>
                <w:szCs w:val="21"/>
              </w:rPr>
              <w:t>218.98</w:t>
            </w:r>
          </w:p>
        </w:tc>
        <w:tc>
          <w:tcPr>
            <w:tcW w:w="801" w:type="pct"/>
            <w:tcBorders>
              <w:top w:val="single" w:sz="4" w:space="0" w:color="auto"/>
              <w:left w:val="nil"/>
              <w:bottom w:val="single" w:sz="4" w:space="0" w:color="auto"/>
              <w:right w:val="single" w:sz="4" w:space="0" w:color="auto"/>
            </w:tcBorders>
            <w:vAlign w:val="center"/>
          </w:tcPr>
          <w:p w14:paraId="1DD96941" w14:textId="77777777" w:rsidR="00054437" w:rsidRPr="000549B1" w:rsidRDefault="00000000">
            <w:pPr>
              <w:pStyle w:val="afff5"/>
              <w:rPr>
                <w:szCs w:val="21"/>
              </w:rPr>
            </w:pPr>
            <w:r w:rsidRPr="000549B1">
              <w:rPr>
                <w:szCs w:val="21"/>
              </w:rPr>
              <w:t>2.53</w:t>
            </w:r>
          </w:p>
        </w:tc>
      </w:tr>
      <w:tr w:rsidR="000549B1" w:rsidRPr="000549B1" w14:paraId="04C05A65" w14:textId="77777777">
        <w:trPr>
          <w:trHeight w:val="255"/>
          <w:jc w:val="center"/>
        </w:trPr>
        <w:tc>
          <w:tcPr>
            <w:tcW w:w="932" w:type="pct"/>
            <w:vMerge w:val="restart"/>
            <w:tcBorders>
              <w:top w:val="single" w:sz="4" w:space="0" w:color="auto"/>
              <w:left w:val="single" w:sz="4" w:space="0" w:color="auto"/>
              <w:right w:val="single" w:sz="4" w:space="0" w:color="auto"/>
            </w:tcBorders>
            <w:noWrap/>
            <w:vAlign w:val="center"/>
          </w:tcPr>
          <w:p w14:paraId="0FF684E0" w14:textId="77777777" w:rsidR="00054437" w:rsidRPr="000549B1" w:rsidRDefault="00000000">
            <w:pPr>
              <w:pStyle w:val="afff5"/>
              <w:rPr>
                <w:szCs w:val="21"/>
              </w:rPr>
            </w:pPr>
            <w:r w:rsidRPr="000549B1">
              <w:rPr>
                <w:szCs w:val="21"/>
              </w:rPr>
              <w:t>草地生态系统</w:t>
            </w:r>
          </w:p>
        </w:tc>
        <w:tc>
          <w:tcPr>
            <w:tcW w:w="898" w:type="pct"/>
            <w:vMerge w:val="restart"/>
            <w:tcBorders>
              <w:top w:val="single" w:sz="4" w:space="0" w:color="auto"/>
              <w:left w:val="nil"/>
              <w:right w:val="single" w:sz="4" w:space="0" w:color="auto"/>
            </w:tcBorders>
            <w:noWrap/>
            <w:vAlign w:val="center"/>
          </w:tcPr>
          <w:p w14:paraId="7F544656" w14:textId="77777777" w:rsidR="00054437" w:rsidRPr="000549B1" w:rsidRDefault="00000000">
            <w:pPr>
              <w:pStyle w:val="afff5"/>
              <w:rPr>
                <w:szCs w:val="21"/>
              </w:rPr>
            </w:pPr>
            <w:r w:rsidRPr="000549B1">
              <w:rPr>
                <w:szCs w:val="21"/>
              </w:rPr>
              <w:t>7833.59</w:t>
            </w:r>
          </w:p>
        </w:tc>
        <w:tc>
          <w:tcPr>
            <w:tcW w:w="802" w:type="pct"/>
            <w:vMerge w:val="restart"/>
            <w:tcBorders>
              <w:top w:val="single" w:sz="4" w:space="0" w:color="auto"/>
              <w:left w:val="nil"/>
              <w:right w:val="single" w:sz="4" w:space="0" w:color="auto"/>
            </w:tcBorders>
            <w:noWrap/>
            <w:vAlign w:val="center"/>
          </w:tcPr>
          <w:p w14:paraId="5F1B3D96" w14:textId="77777777" w:rsidR="00054437" w:rsidRPr="000549B1" w:rsidRDefault="00000000">
            <w:pPr>
              <w:pStyle w:val="afff5"/>
              <w:rPr>
                <w:szCs w:val="21"/>
              </w:rPr>
            </w:pPr>
            <w:r w:rsidRPr="000549B1">
              <w:rPr>
                <w:szCs w:val="21"/>
              </w:rPr>
              <w:t>90.38</w:t>
            </w:r>
          </w:p>
        </w:tc>
        <w:tc>
          <w:tcPr>
            <w:tcW w:w="669" w:type="pct"/>
            <w:tcBorders>
              <w:top w:val="single" w:sz="4" w:space="0" w:color="auto"/>
              <w:left w:val="nil"/>
              <w:bottom w:val="single" w:sz="4" w:space="0" w:color="auto"/>
              <w:right w:val="single" w:sz="4" w:space="0" w:color="auto"/>
            </w:tcBorders>
            <w:vAlign w:val="center"/>
          </w:tcPr>
          <w:p w14:paraId="33169682" w14:textId="77777777" w:rsidR="00054437" w:rsidRPr="000549B1" w:rsidRDefault="00000000">
            <w:pPr>
              <w:pStyle w:val="afff5"/>
              <w:rPr>
                <w:szCs w:val="21"/>
              </w:rPr>
            </w:pPr>
            <w:r w:rsidRPr="000549B1">
              <w:rPr>
                <w:szCs w:val="21"/>
              </w:rPr>
              <w:t>草原</w:t>
            </w:r>
          </w:p>
        </w:tc>
        <w:tc>
          <w:tcPr>
            <w:tcW w:w="898" w:type="pct"/>
            <w:tcBorders>
              <w:top w:val="single" w:sz="4" w:space="0" w:color="auto"/>
              <w:left w:val="nil"/>
              <w:bottom w:val="single" w:sz="4" w:space="0" w:color="auto"/>
              <w:right w:val="single" w:sz="4" w:space="0" w:color="auto"/>
            </w:tcBorders>
            <w:vAlign w:val="center"/>
          </w:tcPr>
          <w:p w14:paraId="0498CC1A" w14:textId="77777777" w:rsidR="00054437" w:rsidRPr="000549B1" w:rsidRDefault="00000000">
            <w:pPr>
              <w:pStyle w:val="afff5"/>
              <w:rPr>
                <w:szCs w:val="21"/>
              </w:rPr>
            </w:pPr>
            <w:r w:rsidRPr="000549B1">
              <w:rPr>
                <w:szCs w:val="21"/>
              </w:rPr>
              <w:t>7770.86</w:t>
            </w:r>
          </w:p>
        </w:tc>
        <w:tc>
          <w:tcPr>
            <w:tcW w:w="801" w:type="pct"/>
            <w:tcBorders>
              <w:top w:val="single" w:sz="4" w:space="0" w:color="auto"/>
              <w:left w:val="nil"/>
              <w:bottom w:val="single" w:sz="4" w:space="0" w:color="auto"/>
              <w:right w:val="single" w:sz="4" w:space="0" w:color="auto"/>
            </w:tcBorders>
            <w:vAlign w:val="center"/>
          </w:tcPr>
          <w:p w14:paraId="74DAB0DF" w14:textId="77777777" w:rsidR="00054437" w:rsidRPr="000549B1" w:rsidRDefault="00000000">
            <w:pPr>
              <w:pStyle w:val="afff5"/>
              <w:rPr>
                <w:szCs w:val="21"/>
              </w:rPr>
            </w:pPr>
            <w:r w:rsidRPr="000549B1">
              <w:rPr>
                <w:szCs w:val="21"/>
              </w:rPr>
              <w:t>89.66</w:t>
            </w:r>
          </w:p>
        </w:tc>
      </w:tr>
      <w:tr w:rsidR="000549B1" w:rsidRPr="000549B1" w14:paraId="4DFD83F7" w14:textId="77777777">
        <w:trPr>
          <w:trHeight w:val="255"/>
          <w:jc w:val="center"/>
        </w:trPr>
        <w:tc>
          <w:tcPr>
            <w:tcW w:w="932" w:type="pct"/>
            <w:vMerge/>
            <w:tcBorders>
              <w:left w:val="single" w:sz="4" w:space="0" w:color="auto"/>
              <w:bottom w:val="single" w:sz="4" w:space="0" w:color="auto"/>
              <w:right w:val="single" w:sz="4" w:space="0" w:color="auto"/>
            </w:tcBorders>
            <w:noWrap/>
            <w:vAlign w:val="center"/>
          </w:tcPr>
          <w:p w14:paraId="62588013" w14:textId="77777777" w:rsidR="00054437" w:rsidRPr="000549B1" w:rsidRDefault="00054437">
            <w:pPr>
              <w:pStyle w:val="afff5"/>
              <w:rPr>
                <w:szCs w:val="21"/>
              </w:rPr>
            </w:pPr>
          </w:p>
        </w:tc>
        <w:tc>
          <w:tcPr>
            <w:tcW w:w="898" w:type="pct"/>
            <w:vMerge/>
            <w:tcBorders>
              <w:left w:val="nil"/>
              <w:bottom w:val="single" w:sz="4" w:space="0" w:color="auto"/>
              <w:right w:val="single" w:sz="4" w:space="0" w:color="auto"/>
            </w:tcBorders>
            <w:noWrap/>
            <w:vAlign w:val="center"/>
          </w:tcPr>
          <w:p w14:paraId="78363942" w14:textId="77777777" w:rsidR="00054437" w:rsidRPr="000549B1" w:rsidRDefault="00054437">
            <w:pPr>
              <w:pStyle w:val="afff5"/>
              <w:rPr>
                <w:szCs w:val="21"/>
              </w:rPr>
            </w:pPr>
          </w:p>
        </w:tc>
        <w:tc>
          <w:tcPr>
            <w:tcW w:w="802" w:type="pct"/>
            <w:vMerge/>
            <w:tcBorders>
              <w:left w:val="nil"/>
              <w:bottom w:val="single" w:sz="4" w:space="0" w:color="auto"/>
              <w:right w:val="single" w:sz="4" w:space="0" w:color="auto"/>
            </w:tcBorders>
            <w:noWrap/>
            <w:vAlign w:val="center"/>
          </w:tcPr>
          <w:p w14:paraId="533F8971" w14:textId="77777777" w:rsidR="00054437" w:rsidRPr="000549B1" w:rsidRDefault="00054437">
            <w:pPr>
              <w:pStyle w:val="afff5"/>
              <w:rPr>
                <w:szCs w:val="21"/>
              </w:rPr>
            </w:pPr>
          </w:p>
        </w:tc>
        <w:tc>
          <w:tcPr>
            <w:tcW w:w="669" w:type="pct"/>
            <w:tcBorders>
              <w:top w:val="single" w:sz="4" w:space="0" w:color="auto"/>
              <w:left w:val="nil"/>
              <w:bottom w:val="single" w:sz="4" w:space="0" w:color="auto"/>
              <w:right w:val="single" w:sz="4" w:space="0" w:color="auto"/>
            </w:tcBorders>
            <w:vAlign w:val="center"/>
          </w:tcPr>
          <w:p w14:paraId="4788A69E" w14:textId="77777777" w:rsidR="00054437" w:rsidRPr="000549B1" w:rsidRDefault="00000000">
            <w:pPr>
              <w:pStyle w:val="afff5"/>
              <w:rPr>
                <w:szCs w:val="21"/>
              </w:rPr>
            </w:pPr>
            <w:r w:rsidRPr="000549B1">
              <w:rPr>
                <w:szCs w:val="21"/>
              </w:rPr>
              <w:t>草甸</w:t>
            </w:r>
          </w:p>
        </w:tc>
        <w:tc>
          <w:tcPr>
            <w:tcW w:w="898" w:type="pct"/>
            <w:tcBorders>
              <w:top w:val="single" w:sz="4" w:space="0" w:color="auto"/>
              <w:left w:val="nil"/>
              <w:bottom w:val="single" w:sz="4" w:space="0" w:color="auto"/>
              <w:right w:val="single" w:sz="4" w:space="0" w:color="auto"/>
            </w:tcBorders>
            <w:vAlign w:val="center"/>
          </w:tcPr>
          <w:p w14:paraId="606CCAD2" w14:textId="77777777" w:rsidR="00054437" w:rsidRPr="000549B1" w:rsidRDefault="00000000">
            <w:pPr>
              <w:pStyle w:val="afff5"/>
              <w:rPr>
                <w:szCs w:val="21"/>
              </w:rPr>
            </w:pPr>
            <w:r w:rsidRPr="000549B1">
              <w:rPr>
                <w:szCs w:val="21"/>
              </w:rPr>
              <w:t>62.73</w:t>
            </w:r>
          </w:p>
        </w:tc>
        <w:tc>
          <w:tcPr>
            <w:tcW w:w="801" w:type="pct"/>
            <w:tcBorders>
              <w:top w:val="single" w:sz="4" w:space="0" w:color="auto"/>
              <w:left w:val="nil"/>
              <w:bottom w:val="single" w:sz="4" w:space="0" w:color="auto"/>
              <w:right w:val="single" w:sz="4" w:space="0" w:color="auto"/>
            </w:tcBorders>
            <w:vAlign w:val="center"/>
          </w:tcPr>
          <w:p w14:paraId="48ADC8CF" w14:textId="77777777" w:rsidR="00054437" w:rsidRPr="000549B1" w:rsidRDefault="00000000">
            <w:pPr>
              <w:pStyle w:val="afff5"/>
              <w:rPr>
                <w:szCs w:val="21"/>
              </w:rPr>
            </w:pPr>
            <w:r w:rsidRPr="000549B1">
              <w:rPr>
                <w:szCs w:val="21"/>
              </w:rPr>
              <w:t>0.72</w:t>
            </w:r>
          </w:p>
        </w:tc>
      </w:tr>
      <w:tr w:rsidR="000549B1" w:rsidRPr="000549B1" w14:paraId="15E5A562" w14:textId="77777777">
        <w:trPr>
          <w:trHeight w:val="255"/>
          <w:jc w:val="center"/>
        </w:trPr>
        <w:tc>
          <w:tcPr>
            <w:tcW w:w="932" w:type="pct"/>
            <w:vMerge w:val="restart"/>
            <w:tcBorders>
              <w:top w:val="single" w:sz="4" w:space="0" w:color="auto"/>
              <w:left w:val="single" w:sz="4" w:space="0" w:color="auto"/>
              <w:right w:val="single" w:sz="4" w:space="0" w:color="auto"/>
            </w:tcBorders>
            <w:noWrap/>
            <w:vAlign w:val="center"/>
          </w:tcPr>
          <w:p w14:paraId="11BC819C" w14:textId="77777777" w:rsidR="00054437" w:rsidRPr="000549B1" w:rsidRDefault="00000000">
            <w:pPr>
              <w:pStyle w:val="afff5"/>
              <w:rPr>
                <w:szCs w:val="21"/>
              </w:rPr>
            </w:pPr>
            <w:r w:rsidRPr="000549B1">
              <w:rPr>
                <w:szCs w:val="21"/>
              </w:rPr>
              <w:t>湿地生态系统</w:t>
            </w:r>
          </w:p>
        </w:tc>
        <w:tc>
          <w:tcPr>
            <w:tcW w:w="898" w:type="pct"/>
            <w:vMerge w:val="restart"/>
            <w:tcBorders>
              <w:top w:val="single" w:sz="4" w:space="0" w:color="auto"/>
              <w:left w:val="nil"/>
              <w:right w:val="single" w:sz="4" w:space="0" w:color="auto"/>
            </w:tcBorders>
            <w:noWrap/>
            <w:vAlign w:val="center"/>
          </w:tcPr>
          <w:p w14:paraId="07C50036" w14:textId="77777777" w:rsidR="00054437" w:rsidRPr="000549B1" w:rsidRDefault="00000000">
            <w:pPr>
              <w:pStyle w:val="afff5"/>
              <w:rPr>
                <w:szCs w:val="21"/>
              </w:rPr>
            </w:pPr>
            <w:r w:rsidRPr="000549B1">
              <w:rPr>
                <w:szCs w:val="21"/>
              </w:rPr>
              <w:t>207.96</w:t>
            </w:r>
          </w:p>
        </w:tc>
        <w:tc>
          <w:tcPr>
            <w:tcW w:w="802" w:type="pct"/>
            <w:vMerge w:val="restart"/>
            <w:tcBorders>
              <w:top w:val="single" w:sz="4" w:space="0" w:color="auto"/>
              <w:left w:val="nil"/>
              <w:right w:val="single" w:sz="4" w:space="0" w:color="auto"/>
            </w:tcBorders>
            <w:noWrap/>
            <w:vAlign w:val="center"/>
          </w:tcPr>
          <w:p w14:paraId="2BA5D67C" w14:textId="77777777" w:rsidR="00054437" w:rsidRPr="000549B1" w:rsidRDefault="00000000">
            <w:pPr>
              <w:pStyle w:val="afff5"/>
              <w:rPr>
                <w:szCs w:val="21"/>
              </w:rPr>
            </w:pPr>
            <w:r w:rsidRPr="000549B1">
              <w:rPr>
                <w:szCs w:val="21"/>
              </w:rPr>
              <w:t>2.40</w:t>
            </w:r>
          </w:p>
        </w:tc>
        <w:tc>
          <w:tcPr>
            <w:tcW w:w="669" w:type="pct"/>
            <w:tcBorders>
              <w:top w:val="single" w:sz="4" w:space="0" w:color="auto"/>
              <w:left w:val="nil"/>
              <w:bottom w:val="single" w:sz="4" w:space="0" w:color="auto"/>
              <w:right w:val="single" w:sz="4" w:space="0" w:color="auto"/>
            </w:tcBorders>
            <w:vAlign w:val="center"/>
          </w:tcPr>
          <w:p w14:paraId="142215BC" w14:textId="77777777" w:rsidR="00054437" w:rsidRPr="000549B1" w:rsidRDefault="00000000">
            <w:pPr>
              <w:pStyle w:val="afff5"/>
              <w:rPr>
                <w:szCs w:val="21"/>
              </w:rPr>
            </w:pPr>
            <w:r w:rsidRPr="000549B1">
              <w:rPr>
                <w:szCs w:val="21"/>
              </w:rPr>
              <w:t>河流</w:t>
            </w:r>
          </w:p>
        </w:tc>
        <w:tc>
          <w:tcPr>
            <w:tcW w:w="898" w:type="pct"/>
            <w:tcBorders>
              <w:top w:val="single" w:sz="4" w:space="0" w:color="auto"/>
              <w:left w:val="nil"/>
              <w:bottom w:val="single" w:sz="4" w:space="0" w:color="auto"/>
              <w:right w:val="single" w:sz="4" w:space="0" w:color="auto"/>
            </w:tcBorders>
            <w:vAlign w:val="center"/>
          </w:tcPr>
          <w:p w14:paraId="7AA89A18" w14:textId="77777777" w:rsidR="00054437" w:rsidRPr="000549B1" w:rsidRDefault="00000000">
            <w:pPr>
              <w:pStyle w:val="afff5"/>
              <w:rPr>
                <w:szCs w:val="21"/>
              </w:rPr>
            </w:pPr>
            <w:r w:rsidRPr="000549B1">
              <w:rPr>
                <w:szCs w:val="21"/>
              </w:rPr>
              <w:t>50.17</w:t>
            </w:r>
          </w:p>
        </w:tc>
        <w:tc>
          <w:tcPr>
            <w:tcW w:w="801" w:type="pct"/>
            <w:tcBorders>
              <w:top w:val="single" w:sz="4" w:space="0" w:color="auto"/>
              <w:left w:val="nil"/>
              <w:bottom w:val="single" w:sz="4" w:space="0" w:color="auto"/>
              <w:right w:val="single" w:sz="4" w:space="0" w:color="auto"/>
            </w:tcBorders>
            <w:vAlign w:val="center"/>
          </w:tcPr>
          <w:p w14:paraId="312C91E4" w14:textId="77777777" w:rsidR="00054437" w:rsidRPr="000549B1" w:rsidRDefault="00000000">
            <w:pPr>
              <w:pStyle w:val="afff5"/>
              <w:rPr>
                <w:szCs w:val="21"/>
              </w:rPr>
            </w:pPr>
            <w:r w:rsidRPr="000549B1">
              <w:rPr>
                <w:szCs w:val="21"/>
              </w:rPr>
              <w:t>0.58</w:t>
            </w:r>
          </w:p>
        </w:tc>
      </w:tr>
      <w:tr w:rsidR="000549B1" w:rsidRPr="000549B1" w14:paraId="2A10BE0C" w14:textId="77777777">
        <w:trPr>
          <w:trHeight w:val="255"/>
          <w:jc w:val="center"/>
        </w:trPr>
        <w:tc>
          <w:tcPr>
            <w:tcW w:w="932" w:type="pct"/>
            <w:vMerge/>
            <w:tcBorders>
              <w:left w:val="single" w:sz="4" w:space="0" w:color="auto"/>
              <w:right w:val="single" w:sz="4" w:space="0" w:color="auto"/>
            </w:tcBorders>
            <w:noWrap/>
            <w:vAlign w:val="center"/>
          </w:tcPr>
          <w:p w14:paraId="26065401" w14:textId="77777777" w:rsidR="00054437" w:rsidRPr="000549B1" w:rsidRDefault="00054437">
            <w:pPr>
              <w:pStyle w:val="afff5"/>
              <w:rPr>
                <w:szCs w:val="21"/>
              </w:rPr>
            </w:pPr>
          </w:p>
        </w:tc>
        <w:tc>
          <w:tcPr>
            <w:tcW w:w="898" w:type="pct"/>
            <w:vMerge/>
            <w:tcBorders>
              <w:left w:val="nil"/>
              <w:right w:val="single" w:sz="4" w:space="0" w:color="auto"/>
            </w:tcBorders>
            <w:noWrap/>
            <w:vAlign w:val="center"/>
          </w:tcPr>
          <w:p w14:paraId="5BD17511" w14:textId="77777777" w:rsidR="00054437" w:rsidRPr="000549B1" w:rsidRDefault="00054437">
            <w:pPr>
              <w:pStyle w:val="afff5"/>
              <w:rPr>
                <w:szCs w:val="21"/>
              </w:rPr>
            </w:pPr>
          </w:p>
        </w:tc>
        <w:tc>
          <w:tcPr>
            <w:tcW w:w="802" w:type="pct"/>
            <w:vMerge/>
            <w:tcBorders>
              <w:left w:val="nil"/>
              <w:right w:val="single" w:sz="4" w:space="0" w:color="auto"/>
            </w:tcBorders>
            <w:noWrap/>
            <w:vAlign w:val="center"/>
          </w:tcPr>
          <w:p w14:paraId="0D84EAB1" w14:textId="77777777" w:rsidR="00054437" w:rsidRPr="000549B1" w:rsidRDefault="00054437">
            <w:pPr>
              <w:pStyle w:val="afff5"/>
              <w:rPr>
                <w:szCs w:val="21"/>
              </w:rPr>
            </w:pPr>
          </w:p>
        </w:tc>
        <w:tc>
          <w:tcPr>
            <w:tcW w:w="669" w:type="pct"/>
            <w:tcBorders>
              <w:top w:val="single" w:sz="4" w:space="0" w:color="auto"/>
              <w:left w:val="nil"/>
              <w:bottom w:val="single" w:sz="4" w:space="0" w:color="auto"/>
              <w:right w:val="single" w:sz="4" w:space="0" w:color="auto"/>
            </w:tcBorders>
            <w:vAlign w:val="center"/>
          </w:tcPr>
          <w:p w14:paraId="3F2C2FCA" w14:textId="77777777" w:rsidR="00054437" w:rsidRPr="000549B1" w:rsidRDefault="00000000">
            <w:pPr>
              <w:pStyle w:val="afff5"/>
              <w:rPr>
                <w:szCs w:val="21"/>
              </w:rPr>
            </w:pPr>
            <w:r w:rsidRPr="000549B1">
              <w:rPr>
                <w:szCs w:val="21"/>
              </w:rPr>
              <w:t>湖泊</w:t>
            </w:r>
          </w:p>
        </w:tc>
        <w:tc>
          <w:tcPr>
            <w:tcW w:w="898" w:type="pct"/>
            <w:tcBorders>
              <w:top w:val="single" w:sz="4" w:space="0" w:color="auto"/>
              <w:left w:val="nil"/>
              <w:bottom w:val="single" w:sz="4" w:space="0" w:color="auto"/>
              <w:right w:val="single" w:sz="4" w:space="0" w:color="auto"/>
            </w:tcBorders>
            <w:vAlign w:val="center"/>
          </w:tcPr>
          <w:p w14:paraId="1D3227A9" w14:textId="77777777" w:rsidR="00054437" w:rsidRPr="000549B1" w:rsidRDefault="00000000">
            <w:pPr>
              <w:pStyle w:val="afff5"/>
              <w:rPr>
                <w:szCs w:val="21"/>
              </w:rPr>
            </w:pPr>
            <w:r w:rsidRPr="000549B1">
              <w:rPr>
                <w:szCs w:val="21"/>
              </w:rPr>
              <w:t>30.66</w:t>
            </w:r>
          </w:p>
        </w:tc>
        <w:tc>
          <w:tcPr>
            <w:tcW w:w="801" w:type="pct"/>
            <w:tcBorders>
              <w:top w:val="single" w:sz="4" w:space="0" w:color="auto"/>
              <w:left w:val="nil"/>
              <w:bottom w:val="single" w:sz="4" w:space="0" w:color="auto"/>
              <w:right w:val="single" w:sz="4" w:space="0" w:color="auto"/>
            </w:tcBorders>
            <w:vAlign w:val="center"/>
          </w:tcPr>
          <w:p w14:paraId="2828389E" w14:textId="77777777" w:rsidR="00054437" w:rsidRPr="000549B1" w:rsidRDefault="00000000">
            <w:pPr>
              <w:pStyle w:val="afff5"/>
              <w:rPr>
                <w:szCs w:val="21"/>
              </w:rPr>
            </w:pPr>
            <w:r w:rsidRPr="000549B1">
              <w:rPr>
                <w:szCs w:val="21"/>
              </w:rPr>
              <w:t>0.35</w:t>
            </w:r>
          </w:p>
        </w:tc>
      </w:tr>
      <w:tr w:rsidR="000549B1" w:rsidRPr="000549B1" w14:paraId="0196137B" w14:textId="77777777">
        <w:trPr>
          <w:trHeight w:val="255"/>
          <w:jc w:val="center"/>
        </w:trPr>
        <w:tc>
          <w:tcPr>
            <w:tcW w:w="932" w:type="pct"/>
            <w:vMerge/>
            <w:tcBorders>
              <w:left w:val="single" w:sz="4" w:space="0" w:color="auto"/>
              <w:bottom w:val="single" w:sz="4" w:space="0" w:color="auto"/>
              <w:right w:val="single" w:sz="4" w:space="0" w:color="auto"/>
            </w:tcBorders>
            <w:noWrap/>
            <w:vAlign w:val="center"/>
          </w:tcPr>
          <w:p w14:paraId="5F57921F" w14:textId="77777777" w:rsidR="00054437" w:rsidRPr="000549B1" w:rsidRDefault="00054437">
            <w:pPr>
              <w:pStyle w:val="afff5"/>
              <w:rPr>
                <w:szCs w:val="21"/>
              </w:rPr>
            </w:pPr>
          </w:p>
        </w:tc>
        <w:tc>
          <w:tcPr>
            <w:tcW w:w="898" w:type="pct"/>
            <w:vMerge/>
            <w:tcBorders>
              <w:left w:val="nil"/>
              <w:bottom w:val="single" w:sz="4" w:space="0" w:color="auto"/>
              <w:right w:val="single" w:sz="4" w:space="0" w:color="auto"/>
            </w:tcBorders>
            <w:noWrap/>
            <w:vAlign w:val="center"/>
          </w:tcPr>
          <w:p w14:paraId="3D8D9F34" w14:textId="77777777" w:rsidR="00054437" w:rsidRPr="000549B1" w:rsidRDefault="00054437">
            <w:pPr>
              <w:pStyle w:val="afff5"/>
              <w:rPr>
                <w:szCs w:val="21"/>
              </w:rPr>
            </w:pPr>
          </w:p>
        </w:tc>
        <w:tc>
          <w:tcPr>
            <w:tcW w:w="802" w:type="pct"/>
            <w:vMerge/>
            <w:tcBorders>
              <w:left w:val="nil"/>
              <w:bottom w:val="single" w:sz="4" w:space="0" w:color="auto"/>
              <w:right w:val="single" w:sz="4" w:space="0" w:color="auto"/>
            </w:tcBorders>
            <w:noWrap/>
            <w:vAlign w:val="center"/>
          </w:tcPr>
          <w:p w14:paraId="7D2175F6" w14:textId="77777777" w:rsidR="00054437" w:rsidRPr="000549B1" w:rsidRDefault="00054437">
            <w:pPr>
              <w:pStyle w:val="afff5"/>
              <w:rPr>
                <w:szCs w:val="21"/>
              </w:rPr>
            </w:pPr>
          </w:p>
        </w:tc>
        <w:tc>
          <w:tcPr>
            <w:tcW w:w="669" w:type="pct"/>
            <w:tcBorders>
              <w:top w:val="single" w:sz="4" w:space="0" w:color="auto"/>
              <w:left w:val="nil"/>
              <w:bottom w:val="single" w:sz="4" w:space="0" w:color="auto"/>
              <w:right w:val="single" w:sz="4" w:space="0" w:color="auto"/>
            </w:tcBorders>
            <w:vAlign w:val="center"/>
          </w:tcPr>
          <w:p w14:paraId="07B76A0A" w14:textId="77777777" w:rsidR="00054437" w:rsidRPr="000549B1" w:rsidRDefault="00000000">
            <w:pPr>
              <w:pStyle w:val="afff5"/>
              <w:rPr>
                <w:szCs w:val="21"/>
              </w:rPr>
            </w:pPr>
            <w:r w:rsidRPr="000549B1">
              <w:rPr>
                <w:szCs w:val="21"/>
              </w:rPr>
              <w:t>沼泽</w:t>
            </w:r>
          </w:p>
        </w:tc>
        <w:tc>
          <w:tcPr>
            <w:tcW w:w="898" w:type="pct"/>
            <w:tcBorders>
              <w:top w:val="single" w:sz="4" w:space="0" w:color="auto"/>
              <w:left w:val="nil"/>
              <w:bottom w:val="single" w:sz="4" w:space="0" w:color="auto"/>
              <w:right w:val="single" w:sz="4" w:space="0" w:color="auto"/>
            </w:tcBorders>
            <w:vAlign w:val="center"/>
          </w:tcPr>
          <w:p w14:paraId="226BA4ED" w14:textId="77777777" w:rsidR="00054437" w:rsidRPr="000549B1" w:rsidRDefault="00000000">
            <w:pPr>
              <w:pStyle w:val="afff5"/>
              <w:rPr>
                <w:szCs w:val="21"/>
              </w:rPr>
            </w:pPr>
            <w:r w:rsidRPr="000549B1">
              <w:rPr>
                <w:szCs w:val="21"/>
              </w:rPr>
              <w:t>127.13</w:t>
            </w:r>
          </w:p>
        </w:tc>
        <w:tc>
          <w:tcPr>
            <w:tcW w:w="801" w:type="pct"/>
            <w:tcBorders>
              <w:top w:val="single" w:sz="4" w:space="0" w:color="auto"/>
              <w:left w:val="nil"/>
              <w:bottom w:val="single" w:sz="4" w:space="0" w:color="auto"/>
              <w:right w:val="single" w:sz="4" w:space="0" w:color="auto"/>
            </w:tcBorders>
            <w:vAlign w:val="center"/>
          </w:tcPr>
          <w:p w14:paraId="16A2E0C8" w14:textId="77777777" w:rsidR="00054437" w:rsidRPr="000549B1" w:rsidRDefault="00000000">
            <w:pPr>
              <w:pStyle w:val="afff5"/>
              <w:rPr>
                <w:szCs w:val="21"/>
              </w:rPr>
            </w:pPr>
            <w:r w:rsidRPr="000549B1">
              <w:rPr>
                <w:szCs w:val="21"/>
              </w:rPr>
              <w:t>1.47</w:t>
            </w:r>
          </w:p>
        </w:tc>
      </w:tr>
      <w:tr w:rsidR="000549B1" w:rsidRPr="000549B1" w14:paraId="0B6042DB" w14:textId="77777777">
        <w:trPr>
          <w:trHeight w:val="255"/>
          <w:jc w:val="center"/>
        </w:trPr>
        <w:tc>
          <w:tcPr>
            <w:tcW w:w="932" w:type="pct"/>
            <w:vMerge w:val="restart"/>
            <w:tcBorders>
              <w:top w:val="nil"/>
              <w:left w:val="single" w:sz="4" w:space="0" w:color="auto"/>
              <w:right w:val="single" w:sz="4" w:space="0" w:color="auto"/>
            </w:tcBorders>
            <w:noWrap/>
            <w:vAlign w:val="center"/>
          </w:tcPr>
          <w:p w14:paraId="7575F959" w14:textId="77777777" w:rsidR="00054437" w:rsidRPr="000549B1" w:rsidRDefault="00000000">
            <w:pPr>
              <w:pStyle w:val="afff5"/>
              <w:rPr>
                <w:szCs w:val="21"/>
              </w:rPr>
            </w:pPr>
            <w:r w:rsidRPr="000549B1">
              <w:rPr>
                <w:szCs w:val="21"/>
              </w:rPr>
              <w:t>农田生态系统</w:t>
            </w:r>
          </w:p>
        </w:tc>
        <w:tc>
          <w:tcPr>
            <w:tcW w:w="898" w:type="pct"/>
            <w:vMerge w:val="restart"/>
            <w:tcBorders>
              <w:top w:val="single" w:sz="4" w:space="0" w:color="auto"/>
              <w:left w:val="nil"/>
              <w:right w:val="single" w:sz="4" w:space="0" w:color="auto"/>
            </w:tcBorders>
            <w:noWrap/>
            <w:vAlign w:val="center"/>
          </w:tcPr>
          <w:p w14:paraId="49EBB6DB" w14:textId="77777777" w:rsidR="00054437" w:rsidRPr="000549B1" w:rsidRDefault="00000000">
            <w:pPr>
              <w:pStyle w:val="afff5"/>
              <w:rPr>
                <w:szCs w:val="21"/>
              </w:rPr>
            </w:pPr>
            <w:r w:rsidRPr="000549B1">
              <w:rPr>
                <w:szCs w:val="21"/>
              </w:rPr>
              <w:t>195.94</w:t>
            </w:r>
          </w:p>
        </w:tc>
        <w:tc>
          <w:tcPr>
            <w:tcW w:w="802" w:type="pct"/>
            <w:vMerge w:val="restart"/>
            <w:tcBorders>
              <w:top w:val="single" w:sz="4" w:space="0" w:color="auto"/>
              <w:left w:val="nil"/>
              <w:right w:val="single" w:sz="4" w:space="0" w:color="auto"/>
            </w:tcBorders>
            <w:noWrap/>
            <w:vAlign w:val="center"/>
          </w:tcPr>
          <w:p w14:paraId="72D2C7BF" w14:textId="77777777" w:rsidR="00054437" w:rsidRPr="000549B1" w:rsidRDefault="00000000">
            <w:pPr>
              <w:pStyle w:val="afff5"/>
              <w:rPr>
                <w:szCs w:val="21"/>
              </w:rPr>
            </w:pPr>
            <w:r w:rsidRPr="000549B1">
              <w:rPr>
                <w:szCs w:val="21"/>
              </w:rPr>
              <w:t>2.26</w:t>
            </w:r>
          </w:p>
        </w:tc>
        <w:tc>
          <w:tcPr>
            <w:tcW w:w="669" w:type="pct"/>
            <w:tcBorders>
              <w:top w:val="single" w:sz="4" w:space="0" w:color="auto"/>
              <w:left w:val="nil"/>
              <w:bottom w:val="single" w:sz="4" w:space="0" w:color="auto"/>
              <w:right w:val="single" w:sz="4" w:space="0" w:color="auto"/>
            </w:tcBorders>
            <w:vAlign w:val="center"/>
          </w:tcPr>
          <w:p w14:paraId="1B45E293" w14:textId="77777777" w:rsidR="00054437" w:rsidRPr="000549B1" w:rsidRDefault="00000000">
            <w:pPr>
              <w:pStyle w:val="afff5"/>
              <w:rPr>
                <w:szCs w:val="21"/>
              </w:rPr>
            </w:pPr>
            <w:r w:rsidRPr="000549B1">
              <w:rPr>
                <w:szCs w:val="21"/>
              </w:rPr>
              <w:t>耕地</w:t>
            </w:r>
          </w:p>
        </w:tc>
        <w:tc>
          <w:tcPr>
            <w:tcW w:w="898" w:type="pct"/>
            <w:tcBorders>
              <w:top w:val="single" w:sz="4" w:space="0" w:color="auto"/>
              <w:left w:val="nil"/>
              <w:bottom w:val="single" w:sz="4" w:space="0" w:color="auto"/>
              <w:right w:val="single" w:sz="4" w:space="0" w:color="auto"/>
            </w:tcBorders>
            <w:vAlign w:val="center"/>
          </w:tcPr>
          <w:p w14:paraId="6311E25D" w14:textId="77777777" w:rsidR="00054437" w:rsidRPr="000549B1" w:rsidRDefault="00000000">
            <w:pPr>
              <w:pStyle w:val="afff5"/>
              <w:rPr>
                <w:szCs w:val="21"/>
              </w:rPr>
            </w:pPr>
            <w:r w:rsidRPr="000549B1">
              <w:rPr>
                <w:szCs w:val="21"/>
              </w:rPr>
              <w:t>177.61</w:t>
            </w:r>
          </w:p>
        </w:tc>
        <w:tc>
          <w:tcPr>
            <w:tcW w:w="801" w:type="pct"/>
            <w:tcBorders>
              <w:top w:val="single" w:sz="4" w:space="0" w:color="auto"/>
              <w:left w:val="nil"/>
              <w:bottom w:val="single" w:sz="4" w:space="0" w:color="auto"/>
              <w:right w:val="single" w:sz="4" w:space="0" w:color="auto"/>
            </w:tcBorders>
            <w:vAlign w:val="center"/>
          </w:tcPr>
          <w:p w14:paraId="4025F622" w14:textId="77777777" w:rsidR="00054437" w:rsidRPr="000549B1" w:rsidRDefault="00000000">
            <w:pPr>
              <w:pStyle w:val="afff5"/>
              <w:rPr>
                <w:szCs w:val="21"/>
              </w:rPr>
            </w:pPr>
            <w:r w:rsidRPr="000549B1">
              <w:rPr>
                <w:szCs w:val="21"/>
              </w:rPr>
              <w:t>2.04</w:t>
            </w:r>
          </w:p>
        </w:tc>
      </w:tr>
      <w:tr w:rsidR="000549B1" w:rsidRPr="000549B1" w14:paraId="48C84485" w14:textId="77777777">
        <w:trPr>
          <w:trHeight w:val="255"/>
          <w:jc w:val="center"/>
        </w:trPr>
        <w:tc>
          <w:tcPr>
            <w:tcW w:w="932" w:type="pct"/>
            <w:vMerge/>
            <w:tcBorders>
              <w:left w:val="single" w:sz="4" w:space="0" w:color="auto"/>
              <w:bottom w:val="single" w:sz="4" w:space="0" w:color="auto"/>
              <w:right w:val="single" w:sz="4" w:space="0" w:color="auto"/>
            </w:tcBorders>
            <w:noWrap/>
            <w:vAlign w:val="center"/>
          </w:tcPr>
          <w:p w14:paraId="06F1907F" w14:textId="77777777" w:rsidR="00054437" w:rsidRPr="000549B1" w:rsidRDefault="00054437">
            <w:pPr>
              <w:pStyle w:val="afff5"/>
              <w:rPr>
                <w:szCs w:val="21"/>
              </w:rPr>
            </w:pPr>
          </w:p>
        </w:tc>
        <w:tc>
          <w:tcPr>
            <w:tcW w:w="898" w:type="pct"/>
            <w:vMerge/>
            <w:tcBorders>
              <w:left w:val="nil"/>
              <w:bottom w:val="single" w:sz="4" w:space="0" w:color="auto"/>
              <w:right w:val="single" w:sz="4" w:space="0" w:color="auto"/>
            </w:tcBorders>
            <w:noWrap/>
            <w:vAlign w:val="center"/>
          </w:tcPr>
          <w:p w14:paraId="7C410FCE" w14:textId="77777777" w:rsidR="00054437" w:rsidRPr="000549B1" w:rsidRDefault="00054437">
            <w:pPr>
              <w:pStyle w:val="afff5"/>
              <w:rPr>
                <w:szCs w:val="21"/>
              </w:rPr>
            </w:pPr>
          </w:p>
        </w:tc>
        <w:tc>
          <w:tcPr>
            <w:tcW w:w="802" w:type="pct"/>
            <w:vMerge/>
            <w:tcBorders>
              <w:left w:val="nil"/>
              <w:bottom w:val="single" w:sz="4" w:space="0" w:color="auto"/>
              <w:right w:val="single" w:sz="4" w:space="0" w:color="auto"/>
            </w:tcBorders>
            <w:noWrap/>
            <w:vAlign w:val="center"/>
          </w:tcPr>
          <w:p w14:paraId="67085076" w14:textId="77777777" w:rsidR="00054437" w:rsidRPr="000549B1" w:rsidRDefault="00054437">
            <w:pPr>
              <w:pStyle w:val="afff5"/>
              <w:rPr>
                <w:szCs w:val="21"/>
              </w:rPr>
            </w:pPr>
          </w:p>
        </w:tc>
        <w:tc>
          <w:tcPr>
            <w:tcW w:w="669" w:type="pct"/>
            <w:tcBorders>
              <w:top w:val="single" w:sz="4" w:space="0" w:color="auto"/>
              <w:left w:val="nil"/>
              <w:bottom w:val="single" w:sz="4" w:space="0" w:color="auto"/>
              <w:right w:val="single" w:sz="4" w:space="0" w:color="auto"/>
            </w:tcBorders>
            <w:vAlign w:val="center"/>
          </w:tcPr>
          <w:p w14:paraId="4503BE2C" w14:textId="77777777" w:rsidR="00054437" w:rsidRPr="000549B1" w:rsidRDefault="00000000">
            <w:pPr>
              <w:pStyle w:val="afff5"/>
              <w:rPr>
                <w:szCs w:val="21"/>
              </w:rPr>
            </w:pPr>
            <w:r w:rsidRPr="000549B1">
              <w:rPr>
                <w:szCs w:val="21"/>
              </w:rPr>
              <w:t>园地</w:t>
            </w:r>
          </w:p>
        </w:tc>
        <w:tc>
          <w:tcPr>
            <w:tcW w:w="898" w:type="pct"/>
            <w:tcBorders>
              <w:top w:val="single" w:sz="4" w:space="0" w:color="auto"/>
              <w:left w:val="nil"/>
              <w:bottom w:val="single" w:sz="4" w:space="0" w:color="auto"/>
              <w:right w:val="single" w:sz="4" w:space="0" w:color="auto"/>
            </w:tcBorders>
            <w:vAlign w:val="center"/>
          </w:tcPr>
          <w:p w14:paraId="3BA368C3" w14:textId="77777777" w:rsidR="00054437" w:rsidRPr="000549B1" w:rsidRDefault="00000000">
            <w:pPr>
              <w:pStyle w:val="afff5"/>
              <w:rPr>
                <w:szCs w:val="21"/>
              </w:rPr>
            </w:pPr>
            <w:r w:rsidRPr="000549B1">
              <w:rPr>
                <w:szCs w:val="21"/>
              </w:rPr>
              <w:t>18.33</w:t>
            </w:r>
          </w:p>
        </w:tc>
        <w:tc>
          <w:tcPr>
            <w:tcW w:w="801" w:type="pct"/>
            <w:tcBorders>
              <w:top w:val="single" w:sz="4" w:space="0" w:color="auto"/>
              <w:left w:val="nil"/>
              <w:bottom w:val="single" w:sz="4" w:space="0" w:color="auto"/>
              <w:right w:val="single" w:sz="4" w:space="0" w:color="auto"/>
            </w:tcBorders>
            <w:vAlign w:val="center"/>
          </w:tcPr>
          <w:p w14:paraId="06F6E553" w14:textId="77777777" w:rsidR="00054437" w:rsidRPr="000549B1" w:rsidRDefault="00000000">
            <w:pPr>
              <w:pStyle w:val="afff5"/>
              <w:rPr>
                <w:szCs w:val="21"/>
              </w:rPr>
            </w:pPr>
            <w:r w:rsidRPr="000549B1">
              <w:rPr>
                <w:szCs w:val="21"/>
              </w:rPr>
              <w:t>0.21</w:t>
            </w:r>
          </w:p>
        </w:tc>
      </w:tr>
      <w:tr w:rsidR="000549B1" w:rsidRPr="000549B1" w14:paraId="33D2934C" w14:textId="77777777">
        <w:trPr>
          <w:trHeight w:val="255"/>
          <w:jc w:val="center"/>
        </w:trPr>
        <w:tc>
          <w:tcPr>
            <w:tcW w:w="932" w:type="pct"/>
            <w:vMerge w:val="restart"/>
            <w:tcBorders>
              <w:top w:val="nil"/>
              <w:left w:val="single" w:sz="4" w:space="0" w:color="auto"/>
              <w:right w:val="single" w:sz="4" w:space="0" w:color="auto"/>
            </w:tcBorders>
            <w:noWrap/>
            <w:vAlign w:val="center"/>
          </w:tcPr>
          <w:p w14:paraId="45F971F7" w14:textId="77777777" w:rsidR="00054437" w:rsidRPr="000549B1" w:rsidRDefault="00000000">
            <w:pPr>
              <w:pStyle w:val="afff5"/>
              <w:rPr>
                <w:szCs w:val="21"/>
              </w:rPr>
            </w:pPr>
            <w:r w:rsidRPr="000549B1">
              <w:rPr>
                <w:szCs w:val="21"/>
              </w:rPr>
              <w:t>城镇生态系统</w:t>
            </w:r>
          </w:p>
        </w:tc>
        <w:tc>
          <w:tcPr>
            <w:tcW w:w="898" w:type="pct"/>
            <w:vMerge w:val="restart"/>
            <w:tcBorders>
              <w:top w:val="single" w:sz="4" w:space="0" w:color="auto"/>
              <w:left w:val="nil"/>
              <w:right w:val="single" w:sz="4" w:space="0" w:color="auto"/>
            </w:tcBorders>
            <w:noWrap/>
            <w:vAlign w:val="center"/>
          </w:tcPr>
          <w:p w14:paraId="0D95EDCB" w14:textId="77777777" w:rsidR="00054437" w:rsidRPr="000549B1" w:rsidRDefault="00000000">
            <w:pPr>
              <w:pStyle w:val="afff5"/>
              <w:rPr>
                <w:szCs w:val="21"/>
              </w:rPr>
            </w:pPr>
            <w:r w:rsidRPr="000549B1">
              <w:rPr>
                <w:szCs w:val="21"/>
              </w:rPr>
              <w:t>68.24</w:t>
            </w:r>
          </w:p>
        </w:tc>
        <w:tc>
          <w:tcPr>
            <w:tcW w:w="802" w:type="pct"/>
            <w:vMerge w:val="restart"/>
            <w:tcBorders>
              <w:top w:val="single" w:sz="4" w:space="0" w:color="auto"/>
              <w:left w:val="nil"/>
              <w:right w:val="single" w:sz="4" w:space="0" w:color="auto"/>
            </w:tcBorders>
            <w:noWrap/>
            <w:vAlign w:val="center"/>
          </w:tcPr>
          <w:p w14:paraId="4BD04F26" w14:textId="77777777" w:rsidR="00054437" w:rsidRPr="000549B1" w:rsidRDefault="00000000">
            <w:pPr>
              <w:pStyle w:val="afff5"/>
              <w:rPr>
                <w:szCs w:val="21"/>
              </w:rPr>
            </w:pPr>
            <w:r w:rsidRPr="000549B1">
              <w:rPr>
                <w:szCs w:val="21"/>
              </w:rPr>
              <w:t>0.79</w:t>
            </w:r>
          </w:p>
        </w:tc>
        <w:tc>
          <w:tcPr>
            <w:tcW w:w="669" w:type="pct"/>
            <w:tcBorders>
              <w:top w:val="single" w:sz="4" w:space="0" w:color="auto"/>
              <w:left w:val="nil"/>
              <w:bottom w:val="single" w:sz="4" w:space="0" w:color="auto"/>
              <w:right w:val="single" w:sz="4" w:space="0" w:color="auto"/>
            </w:tcBorders>
            <w:vAlign w:val="center"/>
          </w:tcPr>
          <w:p w14:paraId="11794CCF" w14:textId="77777777" w:rsidR="00054437" w:rsidRPr="000549B1" w:rsidRDefault="00000000">
            <w:pPr>
              <w:pStyle w:val="afff5"/>
              <w:rPr>
                <w:szCs w:val="21"/>
              </w:rPr>
            </w:pPr>
            <w:r w:rsidRPr="000549B1">
              <w:rPr>
                <w:szCs w:val="21"/>
              </w:rPr>
              <w:t>工矿交通</w:t>
            </w:r>
          </w:p>
        </w:tc>
        <w:tc>
          <w:tcPr>
            <w:tcW w:w="898" w:type="pct"/>
            <w:tcBorders>
              <w:top w:val="single" w:sz="4" w:space="0" w:color="auto"/>
              <w:left w:val="nil"/>
              <w:bottom w:val="single" w:sz="4" w:space="0" w:color="auto"/>
              <w:right w:val="single" w:sz="4" w:space="0" w:color="auto"/>
            </w:tcBorders>
            <w:vAlign w:val="center"/>
          </w:tcPr>
          <w:p w14:paraId="7584592B" w14:textId="77777777" w:rsidR="00054437" w:rsidRPr="000549B1" w:rsidRDefault="00000000">
            <w:pPr>
              <w:pStyle w:val="afff5"/>
              <w:rPr>
                <w:szCs w:val="21"/>
              </w:rPr>
            </w:pPr>
            <w:r w:rsidRPr="000549B1">
              <w:rPr>
                <w:szCs w:val="21"/>
              </w:rPr>
              <w:t>48.93</w:t>
            </w:r>
          </w:p>
        </w:tc>
        <w:tc>
          <w:tcPr>
            <w:tcW w:w="801" w:type="pct"/>
            <w:tcBorders>
              <w:top w:val="single" w:sz="4" w:space="0" w:color="auto"/>
              <w:left w:val="nil"/>
              <w:bottom w:val="single" w:sz="4" w:space="0" w:color="auto"/>
              <w:right w:val="single" w:sz="4" w:space="0" w:color="auto"/>
            </w:tcBorders>
            <w:vAlign w:val="center"/>
          </w:tcPr>
          <w:p w14:paraId="715DBAC2" w14:textId="77777777" w:rsidR="00054437" w:rsidRPr="000549B1" w:rsidRDefault="00000000">
            <w:pPr>
              <w:pStyle w:val="afff5"/>
              <w:rPr>
                <w:szCs w:val="21"/>
              </w:rPr>
            </w:pPr>
            <w:r w:rsidRPr="000549B1">
              <w:rPr>
                <w:szCs w:val="21"/>
              </w:rPr>
              <w:t>0.57</w:t>
            </w:r>
          </w:p>
        </w:tc>
      </w:tr>
      <w:tr w:rsidR="000549B1" w:rsidRPr="000549B1" w14:paraId="44EC4B8B" w14:textId="77777777">
        <w:trPr>
          <w:trHeight w:val="255"/>
          <w:jc w:val="center"/>
        </w:trPr>
        <w:tc>
          <w:tcPr>
            <w:tcW w:w="932" w:type="pct"/>
            <w:vMerge/>
            <w:tcBorders>
              <w:left w:val="single" w:sz="4" w:space="0" w:color="auto"/>
              <w:bottom w:val="single" w:sz="4" w:space="0" w:color="auto"/>
              <w:right w:val="single" w:sz="4" w:space="0" w:color="auto"/>
            </w:tcBorders>
            <w:noWrap/>
            <w:vAlign w:val="center"/>
          </w:tcPr>
          <w:p w14:paraId="306996F6" w14:textId="77777777" w:rsidR="00054437" w:rsidRPr="000549B1" w:rsidRDefault="00054437">
            <w:pPr>
              <w:pStyle w:val="afff5"/>
              <w:rPr>
                <w:szCs w:val="21"/>
              </w:rPr>
            </w:pPr>
          </w:p>
        </w:tc>
        <w:tc>
          <w:tcPr>
            <w:tcW w:w="898" w:type="pct"/>
            <w:vMerge/>
            <w:tcBorders>
              <w:left w:val="nil"/>
              <w:bottom w:val="single" w:sz="4" w:space="0" w:color="auto"/>
              <w:right w:val="single" w:sz="4" w:space="0" w:color="auto"/>
            </w:tcBorders>
            <w:noWrap/>
            <w:vAlign w:val="center"/>
          </w:tcPr>
          <w:p w14:paraId="5DD138BA" w14:textId="77777777" w:rsidR="00054437" w:rsidRPr="000549B1" w:rsidRDefault="00054437">
            <w:pPr>
              <w:pStyle w:val="afff5"/>
              <w:rPr>
                <w:szCs w:val="21"/>
              </w:rPr>
            </w:pPr>
          </w:p>
        </w:tc>
        <w:tc>
          <w:tcPr>
            <w:tcW w:w="802" w:type="pct"/>
            <w:vMerge/>
            <w:tcBorders>
              <w:left w:val="nil"/>
              <w:bottom w:val="single" w:sz="4" w:space="0" w:color="auto"/>
              <w:right w:val="single" w:sz="4" w:space="0" w:color="auto"/>
            </w:tcBorders>
            <w:noWrap/>
            <w:vAlign w:val="center"/>
          </w:tcPr>
          <w:p w14:paraId="3E7A1DD9" w14:textId="77777777" w:rsidR="00054437" w:rsidRPr="000549B1" w:rsidRDefault="00054437">
            <w:pPr>
              <w:pStyle w:val="afff5"/>
              <w:rPr>
                <w:szCs w:val="21"/>
              </w:rPr>
            </w:pPr>
          </w:p>
        </w:tc>
        <w:tc>
          <w:tcPr>
            <w:tcW w:w="669" w:type="pct"/>
            <w:tcBorders>
              <w:top w:val="single" w:sz="4" w:space="0" w:color="auto"/>
              <w:left w:val="nil"/>
              <w:bottom w:val="single" w:sz="4" w:space="0" w:color="auto"/>
              <w:right w:val="single" w:sz="4" w:space="0" w:color="auto"/>
            </w:tcBorders>
            <w:vAlign w:val="center"/>
          </w:tcPr>
          <w:p w14:paraId="6DD7E559" w14:textId="77777777" w:rsidR="00054437" w:rsidRPr="000549B1" w:rsidRDefault="00000000">
            <w:pPr>
              <w:pStyle w:val="afff5"/>
              <w:rPr>
                <w:szCs w:val="21"/>
              </w:rPr>
            </w:pPr>
            <w:r w:rsidRPr="000549B1">
              <w:rPr>
                <w:szCs w:val="21"/>
              </w:rPr>
              <w:t>居住地</w:t>
            </w:r>
          </w:p>
        </w:tc>
        <w:tc>
          <w:tcPr>
            <w:tcW w:w="898" w:type="pct"/>
            <w:tcBorders>
              <w:top w:val="single" w:sz="4" w:space="0" w:color="auto"/>
              <w:left w:val="nil"/>
              <w:bottom w:val="single" w:sz="4" w:space="0" w:color="auto"/>
              <w:right w:val="single" w:sz="4" w:space="0" w:color="auto"/>
            </w:tcBorders>
            <w:vAlign w:val="center"/>
          </w:tcPr>
          <w:p w14:paraId="0E86672B" w14:textId="77777777" w:rsidR="00054437" w:rsidRPr="000549B1" w:rsidRDefault="00000000">
            <w:pPr>
              <w:pStyle w:val="afff5"/>
              <w:rPr>
                <w:szCs w:val="21"/>
              </w:rPr>
            </w:pPr>
            <w:r w:rsidRPr="000549B1">
              <w:rPr>
                <w:szCs w:val="21"/>
              </w:rPr>
              <w:t>19.31</w:t>
            </w:r>
          </w:p>
        </w:tc>
        <w:tc>
          <w:tcPr>
            <w:tcW w:w="801" w:type="pct"/>
            <w:tcBorders>
              <w:top w:val="single" w:sz="4" w:space="0" w:color="auto"/>
              <w:left w:val="nil"/>
              <w:bottom w:val="single" w:sz="4" w:space="0" w:color="auto"/>
              <w:right w:val="single" w:sz="4" w:space="0" w:color="auto"/>
            </w:tcBorders>
            <w:vAlign w:val="center"/>
          </w:tcPr>
          <w:p w14:paraId="55309C62" w14:textId="77777777" w:rsidR="00054437" w:rsidRPr="000549B1" w:rsidRDefault="00000000">
            <w:pPr>
              <w:pStyle w:val="afff5"/>
              <w:rPr>
                <w:szCs w:val="21"/>
              </w:rPr>
            </w:pPr>
            <w:r w:rsidRPr="000549B1">
              <w:rPr>
                <w:szCs w:val="21"/>
              </w:rPr>
              <w:t>0.22</w:t>
            </w:r>
          </w:p>
        </w:tc>
      </w:tr>
      <w:tr w:rsidR="000549B1" w:rsidRPr="000549B1" w14:paraId="39AB0332" w14:textId="77777777">
        <w:trPr>
          <w:trHeight w:val="255"/>
          <w:jc w:val="center"/>
        </w:trPr>
        <w:tc>
          <w:tcPr>
            <w:tcW w:w="932" w:type="pct"/>
            <w:tcBorders>
              <w:top w:val="nil"/>
              <w:left w:val="single" w:sz="4" w:space="0" w:color="auto"/>
              <w:bottom w:val="single" w:sz="4" w:space="0" w:color="auto"/>
              <w:right w:val="single" w:sz="4" w:space="0" w:color="auto"/>
            </w:tcBorders>
            <w:noWrap/>
            <w:vAlign w:val="center"/>
          </w:tcPr>
          <w:p w14:paraId="381AFB93" w14:textId="77777777" w:rsidR="00054437" w:rsidRPr="000549B1" w:rsidRDefault="00000000">
            <w:pPr>
              <w:pStyle w:val="afff5"/>
              <w:rPr>
                <w:szCs w:val="21"/>
              </w:rPr>
            </w:pPr>
            <w:r w:rsidRPr="000549B1">
              <w:rPr>
                <w:szCs w:val="21"/>
              </w:rPr>
              <w:t>荒漠生态系统</w:t>
            </w:r>
          </w:p>
        </w:tc>
        <w:tc>
          <w:tcPr>
            <w:tcW w:w="898" w:type="pct"/>
            <w:tcBorders>
              <w:top w:val="single" w:sz="4" w:space="0" w:color="auto"/>
              <w:left w:val="nil"/>
              <w:bottom w:val="single" w:sz="4" w:space="0" w:color="auto"/>
              <w:right w:val="single" w:sz="4" w:space="0" w:color="auto"/>
            </w:tcBorders>
            <w:noWrap/>
            <w:vAlign w:val="center"/>
          </w:tcPr>
          <w:p w14:paraId="7E31F557" w14:textId="77777777" w:rsidR="00054437" w:rsidRPr="000549B1" w:rsidRDefault="00000000">
            <w:pPr>
              <w:pStyle w:val="afff5"/>
              <w:rPr>
                <w:szCs w:val="21"/>
              </w:rPr>
            </w:pPr>
            <w:r w:rsidRPr="000549B1">
              <w:rPr>
                <w:szCs w:val="21"/>
              </w:rPr>
              <w:t>2.77</w:t>
            </w:r>
          </w:p>
        </w:tc>
        <w:tc>
          <w:tcPr>
            <w:tcW w:w="802" w:type="pct"/>
            <w:tcBorders>
              <w:top w:val="single" w:sz="4" w:space="0" w:color="auto"/>
              <w:left w:val="nil"/>
              <w:bottom w:val="single" w:sz="4" w:space="0" w:color="auto"/>
              <w:right w:val="single" w:sz="4" w:space="0" w:color="auto"/>
            </w:tcBorders>
            <w:noWrap/>
            <w:vAlign w:val="center"/>
          </w:tcPr>
          <w:p w14:paraId="5D9DFA9F" w14:textId="77777777" w:rsidR="00054437" w:rsidRPr="000549B1" w:rsidRDefault="00000000">
            <w:pPr>
              <w:pStyle w:val="afff5"/>
              <w:rPr>
                <w:szCs w:val="21"/>
              </w:rPr>
            </w:pPr>
            <w:r w:rsidRPr="000549B1">
              <w:rPr>
                <w:szCs w:val="21"/>
              </w:rPr>
              <w:t>0.03</w:t>
            </w:r>
          </w:p>
        </w:tc>
        <w:tc>
          <w:tcPr>
            <w:tcW w:w="669" w:type="pct"/>
            <w:tcBorders>
              <w:top w:val="single" w:sz="4" w:space="0" w:color="auto"/>
              <w:left w:val="nil"/>
              <w:bottom w:val="single" w:sz="4" w:space="0" w:color="auto"/>
              <w:right w:val="single" w:sz="4" w:space="0" w:color="auto"/>
            </w:tcBorders>
            <w:vAlign w:val="center"/>
          </w:tcPr>
          <w:p w14:paraId="10A494E2" w14:textId="77777777" w:rsidR="00054437" w:rsidRPr="000549B1" w:rsidRDefault="00000000">
            <w:pPr>
              <w:pStyle w:val="afff5"/>
              <w:rPr>
                <w:szCs w:val="21"/>
              </w:rPr>
            </w:pPr>
            <w:r w:rsidRPr="000549B1">
              <w:rPr>
                <w:szCs w:val="21"/>
              </w:rPr>
              <w:t>盐碱地</w:t>
            </w:r>
          </w:p>
        </w:tc>
        <w:tc>
          <w:tcPr>
            <w:tcW w:w="898" w:type="pct"/>
            <w:tcBorders>
              <w:top w:val="single" w:sz="4" w:space="0" w:color="auto"/>
              <w:left w:val="nil"/>
              <w:bottom w:val="single" w:sz="4" w:space="0" w:color="auto"/>
              <w:right w:val="single" w:sz="4" w:space="0" w:color="auto"/>
            </w:tcBorders>
            <w:vAlign w:val="center"/>
          </w:tcPr>
          <w:p w14:paraId="14F063E4" w14:textId="77777777" w:rsidR="00054437" w:rsidRPr="000549B1" w:rsidRDefault="00000000">
            <w:pPr>
              <w:pStyle w:val="afff5"/>
              <w:rPr>
                <w:szCs w:val="21"/>
              </w:rPr>
            </w:pPr>
            <w:r w:rsidRPr="000549B1">
              <w:rPr>
                <w:szCs w:val="21"/>
              </w:rPr>
              <w:t>2.77</w:t>
            </w:r>
          </w:p>
        </w:tc>
        <w:tc>
          <w:tcPr>
            <w:tcW w:w="801" w:type="pct"/>
            <w:tcBorders>
              <w:top w:val="single" w:sz="4" w:space="0" w:color="auto"/>
              <w:left w:val="nil"/>
              <w:bottom w:val="single" w:sz="4" w:space="0" w:color="auto"/>
              <w:right w:val="single" w:sz="4" w:space="0" w:color="auto"/>
            </w:tcBorders>
            <w:vAlign w:val="center"/>
          </w:tcPr>
          <w:p w14:paraId="6534E7BC" w14:textId="77777777" w:rsidR="00054437" w:rsidRPr="000549B1" w:rsidRDefault="00000000">
            <w:pPr>
              <w:pStyle w:val="afff5"/>
              <w:rPr>
                <w:szCs w:val="21"/>
              </w:rPr>
            </w:pPr>
            <w:r w:rsidRPr="000549B1">
              <w:rPr>
                <w:szCs w:val="21"/>
              </w:rPr>
              <w:t>0.03</w:t>
            </w:r>
          </w:p>
        </w:tc>
      </w:tr>
      <w:tr w:rsidR="000549B1" w:rsidRPr="000549B1" w14:paraId="3A9B07B2" w14:textId="77777777">
        <w:trPr>
          <w:trHeight w:val="255"/>
          <w:jc w:val="center"/>
        </w:trPr>
        <w:tc>
          <w:tcPr>
            <w:tcW w:w="932" w:type="pct"/>
            <w:tcBorders>
              <w:top w:val="nil"/>
              <w:left w:val="single" w:sz="4" w:space="0" w:color="auto"/>
              <w:bottom w:val="single" w:sz="4" w:space="0" w:color="auto"/>
              <w:right w:val="single" w:sz="4" w:space="0" w:color="auto"/>
            </w:tcBorders>
            <w:noWrap/>
            <w:vAlign w:val="center"/>
          </w:tcPr>
          <w:p w14:paraId="70A65E37" w14:textId="77777777" w:rsidR="00054437" w:rsidRPr="000549B1" w:rsidRDefault="00000000">
            <w:pPr>
              <w:pStyle w:val="afff5"/>
              <w:rPr>
                <w:szCs w:val="21"/>
              </w:rPr>
            </w:pPr>
            <w:r w:rsidRPr="000549B1">
              <w:rPr>
                <w:szCs w:val="21"/>
              </w:rPr>
              <w:t>其他</w:t>
            </w:r>
          </w:p>
        </w:tc>
        <w:tc>
          <w:tcPr>
            <w:tcW w:w="898" w:type="pct"/>
            <w:tcBorders>
              <w:top w:val="single" w:sz="4" w:space="0" w:color="auto"/>
              <w:left w:val="nil"/>
              <w:bottom w:val="single" w:sz="4" w:space="0" w:color="auto"/>
              <w:right w:val="single" w:sz="4" w:space="0" w:color="auto"/>
            </w:tcBorders>
            <w:noWrap/>
            <w:vAlign w:val="center"/>
          </w:tcPr>
          <w:p w14:paraId="39796801" w14:textId="77777777" w:rsidR="00054437" w:rsidRPr="000549B1" w:rsidRDefault="00000000">
            <w:pPr>
              <w:pStyle w:val="afff5"/>
              <w:rPr>
                <w:szCs w:val="21"/>
              </w:rPr>
            </w:pPr>
            <w:bookmarkStart w:id="273" w:name="_Hlk213966752"/>
            <w:r w:rsidRPr="000549B1">
              <w:rPr>
                <w:szCs w:val="21"/>
              </w:rPr>
              <w:t>49.55</w:t>
            </w:r>
            <w:bookmarkEnd w:id="273"/>
          </w:p>
        </w:tc>
        <w:tc>
          <w:tcPr>
            <w:tcW w:w="802" w:type="pct"/>
            <w:tcBorders>
              <w:top w:val="single" w:sz="4" w:space="0" w:color="auto"/>
              <w:left w:val="nil"/>
              <w:bottom w:val="single" w:sz="4" w:space="0" w:color="auto"/>
              <w:right w:val="single" w:sz="4" w:space="0" w:color="auto"/>
            </w:tcBorders>
            <w:noWrap/>
            <w:vAlign w:val="center"/>
          </w:tcPr>
          <w:p w14:paraId="0197CA4E" w14:textId="77777777" w:rsidR="00054437" w:rsidRPr="000549B1" w:rsidRDefault="00000000">
            <w:pPr>
              <w:pStyle w:val="afff5"/>
              <w:rPr>
                <w:szCs w:val="21"/>
              </w:rPr>
            </w:pPr>
            <w:r w:rsidRPr="000549B1">
              <w:rPr>
                <w:szCs w:val="21"/>
              </w:rPr>
              <w:t>0.57</w:t>
            </w:r>
          </w:p>
        </w:tc>
        <w:tc>
          <w:tcPr>
            <w:tcW w:w="669" w:type="pct"/>
            <w:tcBorders>
              <w:top w:val="single" w:sz="4" w:space="0" w:color="auto"/>
              <w:left w:val="nil"/>
              <w:bottom w:val="single" w:sz="4" w:space="0" w:color="auto"/>
              <w:right w:val="single" w:sz="4" w:space="0" w:color="auto"/>
            </w:tcBorders>
            <w:vAlign w:val="center"/>
          </w:tcPr>
          <w:p w14:paraId="3738C0F1" w14:textId="77777777" w:rsidR="00054437" w:rsidRPr="000549B1" w:rsidRDefault="00000000">
            <w:pPr>
              <w:pStyle w:val="afff5"/>
              <w:rPr>
                <w:szCs w:val="21"/>
              </w:rPr>
            </w:pPr>
            <w:r w:rsidRPr="000549B1">
              <w:rPr>
                <w:szCs w:val="21"/>
              </w:rPr>
              <w:t>裸地</w:t>
            </w:r>
          </w:p>
        </w:tc>
        <w:tc>
          <w:tcPr>
            <w:tcW w:w="898" w:type="pct"/>
            <w:tcBorders>
              <w:top w:val="single" w:sz="4" w:space="0" w:color="auto"/>
              <w:left w:val="nil"/>
              <w:bottom w:val="single" w:sz="4" w:space="0" w:color="auto"/>
              <w:right w:val="single" w:sz="4" w:space="0" w:color="auto"/>
            </w:tcBorders>
            <w:vAlign w:val="center"/>
          </w:tcPr>
          <w:p w14:paraId="174EB6A5" w14:textId="77777777" w:rsidR="00054437" w:rsidRPr="000549B1" w:rsidRDefault="00000000">
            <w:pPr>
              <w:pStyle w:val="afff5"/>
              <w:rPr>
                <w:szCs w:val="21"/>
              </w:rPr>
            </w:pPr>
            <w:r w:rsidRPr="000549B1">
              <w:rPr>
                <w:szCs w:val="21"/>
              </w:rPr>
              <w:t>49.55</w:t>
            </w:r>
          </w:p>
        </w:tc>
        <w:tc>
          <w:tcPr>
            <w:tcW w:w="801" w:type="pct"/>
            <w:tcBorders>
              <w:top w:val="single" w:sz="4" w:space="0" w:color="auto"/>
              <w:left w:val="nil"/>
              <w:bottom w:val="single" w:sz="4" w:space="0" w:color="auto"/>
              <w:right w:val="single" w:sz="4" w:space="0" w:color="auto"/>
            </w:tcBorders>
            <w:vAlign w:val="center"/>
          </w:tcPr>
          <w:p w14:paraId="41C195C2" w14:textId="77777777" w:rsidR="00054437" w:rsidRPr="000549B1" w:rsidRDefault="00000000">
            <w:pPr>
              <w:pStyle w:val="afff5"/>
              <w:rPr>
                <w:szCs w:val="21"/>
              </w:rPr>
            </w:pPr>
            <w:r w:rsidRPr="000549B1">
              <w:rPr>
                <w:szCs w:val="21"/>
              </w:rPr>
              <w:t>0.57</w:t>
            </w:r>
          </w:p>
        </w:tc>
      </w:tr>
      <w:bookmarkEnd w:id="272"/>
      <w:tr w:rsidR="000549B1" w:rsidRPr="000549B1" w14:paraId="25AC9AD2" w14:textId="77777777">
        <w:trPr>
          <w:trHeight w:val="315"/>
          <w:jc w:val="center"/>
        </w:trPr>
        <w:tc>
          <w:tcPr>
            <w:tcW w:w="932" w:type="pct"/>
            <w:tcBorders>
              <w:top w:val="single" w:sz="4" w:space="0" w:color="auto"/>
              <w:left w:val="single" w:sz="4" w:space="0" w:color="auto"/>
              <w:bottom w:val="single" w:sz="4" w:space="0" w:color="auto"/>
              <w:right w:val="single" w:sz="4" w:space="0" w:color="auto"/>
            </w:tcBorders>
            <w:noWrap/>
            <w:vAlign w:val="center"/>
          </w:tcPr>
          <w:p w14:paraId="688317CB" w14:textId="77777777" w:rsidR="00054437" w:rsidRPr="000549B1" w:rsidRDefault="00000000">
            <w:pPr>
              <w:pStyle w:val="afff5"/>
              <w:rPr>
                <w:szCs w:val="21"/>
              </w:rPr>
            </w:pPr>
            <w:r w:rsidRPr="000549B1">
              <w:rPr>
                <w:szCs w:val="21"/>
              </w:rPr>
              <w:t>合计</w:t>
            </w:r>
          </w:p>
        </w:tc>
        <w:tc>
          <w:tcPr>
            <w:tcW w:w="898" w:type="pct"/>
            <w:tcBorders>
              <w:top w:val="single" w:sz="4" w:space="0" w:color="auto"/>
              <w:left w:val="nil"/>
              <w:bottom w:val="single" w:sz="4" w:space="0" w:color="auto"/>
              <w:right w:val="single" w:sz="4" w:space="0" w:color="auto"/>
            </w:tcBorders>
            <w:noWrap/>
            <w:vAlign w:val="center"/>
          </w:tcPr>
          <w:p w14:paraId="0834C8AD" w14:textId="77777777" w:rsidR="00054437" w:rsidRPr="000549B1" w:rsidRDefault="00000000">
            <w:pPr>
              <w:pStyle w:val="afff5"/>
              <w:rPr>
                <w:szCs w:val="21"/>
              </w:rPr>
            </w:pPr>
            <w:r w:rsidRPr="000549B1">
              <w:rPr>
                <w:szCs w:val="21"/>
              </w:rPr>
              <w:t>8667.60</w:t>
            </w:r>
          </w:p>
        </w:tc>
        <w:tc>
          <w:tcPr>
            <w:tcW w:w="802" w:type="pct"/>
            <w:tcBorders>
              <w:top w:val="single" w:sz="4" w:space="0" w:color="auto"/>
              <w:left w:val="nil"/>
              <w:bottom w:val="single" w:sz="4" w:space="0" w:color="auto"/>
              <w:right w:val="single" w:sz="4" w:space="0" w:color="auto"/>
            </w:tcBorders>
            <w:noWrap/>
            <w:vAlign w:val="center"/>
          </w:tcPr>
          <w:p w14:paraId="6C0346F9" w14:textId="77777777" w:rsidR="00054437" w:rsidRPr="000549B1" w:rsidRDefault="00000000">
            <w:pPr>
              <w:pStyle w:val="afff5"/>
              <w:rPr>
                <w:szCs w:val="21"/>
              </w:rPr>
            </w:pPr>
            <w:r w:rsidRPr="000549B1">
              <w:rPr>
                <w:szCs w:val="21"/>
              </w:rPr>
              <w:t>100</w:t>
            </w:r>
          </w:p>
        </w:tc>
        <w:tc>
          <w:tcPr>
            <w:tcW w:w="669" w:type="pct"/>
            <w:tcBorders>
              <w:top w:val="single" w:sz="4" w:space="0" w:color="auto"/>
              <w:left w:val="nil"/>
              <w:bottom w:val="single" w:sz="4" w:space="0" w:color="auto"/>
              <w:right w:val="single" w:sz="4" w:space="0" w:color="auto"/>
            </w:tcBorders>
            <w:vAlign w:val="center"/>
          </w:tcPr>
          <w:p w14:paraId="54C6AC27" w14:textId="77777777" w:rsidR="00054437" w:rsidRPr="000549B1" w:rsidRDefault="00000000">
            <w:pPr>
              <w:pStyle w:val="afff5"/>
              <w:rPr>
                <w:szCs w:val="21"/>
              </w:rPr>
            </w:pPr>
            <w:r w:rsidRPr="000549B1">
              <w:rPr>
                <w:szCs w:val="21"/>
              </w:rPr>
              <w:t>/</w:t>
            </w:r>
          </w:p>
        </w:tc>
        <w:tc>
          <w:tcPr>
            <w:tcW w:w="898" w:type="pct"/>
            <w:tcBorders>
              <w:top w:val="single" w:sz="4" w:space="0" w:color="auto"/>
              <w:left w:val="nil"/>
              <w:bottom w:val="single" w:sz="4" w:space="0" w:color="auto"/>
              <w:right w:val="single" w:sz="4" w:space="0" w:color="auto"/>
            </w:tcBorders>
            <w:vAlign w:val="center"/>
          </w:tcPr>
          <w:p w14:paraId="64C72B02" w14:textId="77777777" w:rsidR="00054437" w:rsidRPr="000549B1" w:rsidRDefault="00000000">
            <w:pPr>
              <w:pStyle w:val="afff5"/>
              <w:rPr>
                <w:szCs w:val="21"/>
              </w:rPr>
            </w:pPr>
            <w:r w:rsidRPr="000549B1">
              <w:rPr>
                <w:szCs w:val="21"/>
              </w:rPr>
              <w:t>8667.60</w:t>
            </w:r>
          </w:p>
        </w:tc>
        <w:tc>
          <w:tcPr>
            <w:tcW w:w="801" w:type="pct"/>
            <w:tcBorders>
              <w:top w:val="single" w:sz="4" w:space="0" w:color="auto"/>
              <w:left w:val="nil"/>
              <w:bottom w:val="single" w:sz="4" w:space="0" w:color="auto"/>
              <w:right w:val="single" w:sz="4" w:space="0" w:color="auto"/>
            </w:tcBorders>
            <w:vAlign w:val="center"/>
          </w:tcPr>
          <w:p w14:paraId="47C9D992" w14:textId="77777777" w:rsidR="00054437" w:rsidRPr="000549B1" w:rsidRDefault="00000000">
            <w:pPr>
              <w:pStyle w:val="afff5"/>
              <w:rPr>
                <w:szCs w:val="21"/>
              </w:rPr>
            </w:pPr>
            <w:r w:rsidRPr="000549B1">
              <w:rPr>
                <w:szCs w:val="21"/>
              </w:rPr>
              <w:t>100</w:t>
            </w:r>
          </w:p>
        </w:tc>
      </w:tr>
    </w:tbl>
    <w:p w14:paraId="69BC2987" w14:textId="77777777" w:rsidR="00054437" w:rsidRPr="000549B1" w:rsidRDefault="00000000">
      <w:pPr>
        <w:spacing w:line="360" w:lineRule="auto"/>
        <w:ind w:firstLine="480"/>
        <w:rPr>
          <w:b/>
          <w:bCs/>
          <w:sz w:val="24"/>
          <w:szCs w:val="24"/>
        </w:rPr>
      </w:pPr>
      <w:r w:rsidRPr="000549B1">
        <w:rPr>
          <w:sz w:val="24"/>
          <w:szCs w:val="24"/>
        </w:rPr>
        <w:t>经分析，沙珠玉河流域内以草地生态系统为主，面积为</w:t>
      </w:r>
      <w:r w:rsidRPr="000549B1">
        <w:rPr>
          <w:sz w:val="24"/>
          <w:szCs w:val="24"/>
        </w:rPr>
        <w:t>7833.59km</w:t>
      </w:r>
      <w:r w:rsidRPr="000549B1">
        <w:rPr>
          <w:sz w:val="24"/>
          <w:szCs w:val="24"/>
          <w:vertAlign w:val="superscript"/>
        </w:rPr>
        <w:t>2</w:t>
      </w:r>
      <w:r w:rsidRPr="000549B1">
        <w:rPr>
          <w:sz w:val="24"/>
          <w:szCs w:val="24"/>
        </w:rPr>
        <w:t>，占区域总面积的</w:t>
      </w:r>
      <w:r w:rsidRPr="000549B1">
        <w:rPr>
          <w:sz w:val="24"/>
          <w:szCs w:val="24"/>
        </w:rPr>
        <w:t>90.38%</w:t>
      </w:r>
      <w:r w:rsidRPr="000549B1">
        <w:rPr>
          <w:sz w:val="24"/>
          <w:szCs w:val="24"/>
        </w:rPr>
        <w:t>；其次是灌丛生态系统，面积为</w:t>
      </w:r>
      <w:r w:rsidRPr="000549B1">
        <w:rPr>
          <w:sz w:val="24"/>
          <w:szCs w:val="24"/>
        </w:rPr>
        <w:t>218.98km</w:t>
      </w:r>
      <w:r w:rsidRPr="000549B1">
        <w:rPr>
          <w:sz w:val="24"/>
          <w:szCs w:val="24"/>
          <w:vertAlign w:val="superscript"/>
        </w:rPr>
        <w:t>2</w:t>
      </w:r>
      <w:r w:rsidRPr="000549B1">
        <w:rPr>
          <w:sz w:val="24"/>
          <w:szCs w:val="24"/>
        </w:rPr>
        <w:t>，占比为</w:t>
      </w:r>
      <w:r w:rsidRPr="000549B1">
        <w:rPr>
          <w:sz w:val="24"/>
          <w:szCs w:val="24"/>
        </w:rPr>
        <w:t>2.53%</w:t>
      </w:r>
      <w:r w:rsidRPr="000549B1">
        <w:rPr>
          <w:sz w:val="24"/>
          <w:szCs w:val="24"/>
        </w:rPr>
        <w:t>；再次为湿地生态系统，面积为</w:t>
      </w:r>
      <w:r w:rsidRPr="000549B1">
        <w:rPr>
          <w:sz w:val="24"/>
          <w:szCs w:val="24"/>
        </w:rPr>
        <w:t>207.96km</w:t>
      </w:r>
      <w:r w:rsidRPr="000549B1">
        <w:rPr>
          <w:sz w:val="24"/>
          <w:szCs w:val="24"/>
          <w:vertAlign w:val="superscript"/>
        </w:rPr>
        <w:t>2</w:t>
      </w:r>
      <w:r w:rsidRPr="000549B1">
        <w:rPr>
          <w:sz w:val="24"/>
          <w:szCs w:val="24"/>
        </w:rPr>
        <w:t>，占比为</w:t>
      </w:r>
      <w:r w:rsidRPr="000549B1">
        <w:rPr>
          <w:sz w:val="24"/>
          <w:szCs w:val="24"/>
        </w:rPr>
        <w:t>2.40%</w:t>
      </w:r>
      <w:r w:rsidRPr="000549B1">
        <w:rPr>
          <w:sz w:val="24"/>
          <w:szCs w:val="24"/>
        </w:rPr>
        <w:t>；农田生态系统和森林生态系统也有一定的分布，面积分别为</w:t>
      </w:r>
      <w:r w:rsidRPr="000549B1">
        <w:rPr>
          <w:sz w:val="24"/>
          <w:szCs w:val="24"/>
        </w:rPr>
        <w:t>195.94km</w:t>
      </w:r>
      <w:r w:rsidRPr="000549B1">
        <w:rPr>
          <w:sz w:val="24"/>
          <w:szCs w:val="24"/>
          <w:vertAlign w:val="superscript"/>
        </w:rPr>
        <w:t>2</w:t>
      </w:r>
      <w:r w:rsidRPr="000549B1">
        <w:rPr>
          <w:sz w:val="24"/>
          <w:szCs w:val="24"/>
        </w:rPr>
        <w:t>和</w:t>
      </w:r>
      <w:r w:rsidRPr="000549B1">
        <w:rPr>
          <w:sz w:val="24"/>
          <w:szCs w:val="24"/>
        </w:rPr>
        <w:t>90.57km</w:t>
      </w:r>
      <w:r w:rsidRPr="000549B1">
        <w:rPr>
          <w:sz w:val="24"/>
          <w:szCs w:val="24"/>
          <w:vertAlign w:val="superscript"/>
        </w:rPr>
        <w:t>2</w:t>
      </w:r>
      <w:r w:rsidRPr="000549B1">
        <w:rPr>
          <w:sz w:val="24"/>
          <w:szCs w:val="24"/>
        </w:rPr>
        <w:t>，占比分别为</w:t>
      </w:r>
      <w:r w:rsidRPr="000549B1">
        <w:rPr>
          <w:sz w:val="24"/>
          <w:szCs w:val="24"/>
        </w:rPr>
        <w:t>2.26%</w:t>
      </w:r>
      <w:r w:rsidRPr="000549B1">
        <w:rPr>
          <w:sz w:val="24"/>
          <w:szCs w:val="24"/>
        </w:rPr>
        <w:t>和</w:t>
      </w:r>
      <w:r w:rsidRPr="000549B1">
        <w:rPr>
          <w:sz w:val="24"/>
          <w:szCs w:val="24"/>
        </w:rPr>
        <w:t>1.04</w:t>
      </w:r>
      <w:r w:rsidRPr="000549B1">
        <w:rPr>
          <w:sz w:val="24"/>
          <w:szCs w:val="24"/>
        </w:rPr>
        <w:t>；城镇生态系统、其他和荒漠生态系统面积较小</w:t>
      </w:r>
      <w:r w:rsidRPr="000549B1">
        <w:rPr>
          <w:b/>
          <w:bCs/>
          <w:sz w:val="24"/>
          <w:szCs w:val="24"/>
        </w:rPr>
        <w:t>。</w:t>
      </w:r>
    </w:p>
    <w:p w14:paraId="72920591" w14:textId="77777777" w:rsidR="00054437" w:rsidRPr="000549B1" w:rsidRDefault="00000000">
      <w:pPr>
        <w:pStyle w:val="Z4"/>
        <w:rPr>
          <w:color w:val="auto"/>
        </w:rPr>
      </w:pPr>
      <w:r w:rsidRPr="000549B1">
        <w:rPr>
          <w:color w:val="auto"/>
        </w:rPr>
        <w:t>生态系统特征</w:t>
      </w:r>
    </w:p>
    <w:p w14:paraId="66EC9099" w14:textId="77777777" w:rsidR="00054437" w:rsidRPr="000549B1" w:rsidRDefault="00000000">
      <w:pPr>
        <w:pStyle w:val="x"/>
      </w:pPr>
      <w:r w:rsidRPr="000549B1">
        <w:t>项目区地处青藏高原区，主要为高原山地、河谷及平滩盆地，生态系统类型如下：</w:t>
      </w:r>
    </w:p>
    <w:p w14:paraId="1C74206A" w14:textId="77777777" w:rsidR="00054437" w:rsidRPr="000549B1" w:rsidRDefault="00000000">
      <w:pPr>
        <w:pStyle w:val="x"/>
      </w:pPr>
      <w:r w:rsidRPr="000549B1">
        <w:t>（</w:t>
      </w:r>
      <w:r w:rsidRPr="000549B1">
        <w:t>1</w:t>
      </w:r>
      <w:r w:rsidRPr="000549B1">
        <w:t>）森林生态系统</w:t>
      </w:r>
    </w:p>
    <w:p w14:paraId="2E0C4C63" w14:textId="77777777" w:rsidR="00054437" w:rsidRPr="000549B1" w:rsidRDefault="00000000">
      <w:pPr>
        <w:pStyle w:val="x"/>
      </w:pPr>
      <w:r w:rsidRPr="000549B1">
        <w:t>评价区森林生态系统面积为</w:t>
      </w:r>
      <w:r w:rsidRPr="000549B1">
        <w:t>90.57km</w:t>
      </w:r>
      <w:r w:rsidRPr="000549B1">
        <w:rPr>
          <w:vertAlign w:val="superscript"/>
        </w:rPr>
        <w:t>2</w:t>
      </w:r>
      <w:r w:rsidRPr="000549B1">
        <w:t>，占评价区总面积的</w:t>
      </w:r>
      <w:r w:rsidRPr="000549B1">
        <w:t>1.04%</w:t>
      </w:r>
      <w:r w:rsidRPr="000549B1">
        <w:t>，分布区域集中在沙珠玉河中游河谷两岸，也分布在评价范围内的农田周边、村庄聚落附近或公路沿线，杨树多作为农田防护林、防风固沙林或绿化树种植，呈零星斑块状分布，属典型干旱区山地森林类型。群落结构简单，植物种类以耐旱耐寒的乔木为核心，包括青杨、白杨树等，乔木层郁闭度</w:t>
      </w:r>
      <w:r w:rsidRPr="000549B1">
        <w:t>0.2-0.4</w:t>
      </w:r>
      <w:r w:rsidRPr="000549B1">
        <w:t>，树高多在</w:t>
      </w:r>
      <w:r w:rsidRPr="000549B1">
        <w:t>8-15m</w:t>
      </w:r>
      <w:r w:rsidRPr="000549B1">
        <w:t>；林下伴生沙棘、乌柳等灌木，草本层为冰草、西北针茅、早熟禾等耐旱物种。动物方面，常见环颈雉、麻雀等鸟类，林下偶有狐狸、兔子等小型兽类活动。生态功能以水源涵养为核心，通过根系固持河谷阶地土壤，减少水土流失。因生境干旱，森林更新依赖微地形积水，目前通过人工补植与围栏禁牧维持群落稳定。</w:t>
      </w:r>
    </w:p>
    <w:p w14:paraId="28DB4F8D" w14:textId="77777777" w:rsidR="00054437" w:rsidRPr="000549B1" w:rsidRDefault="00000000">
      <w:pPr>
        <w:pStyle w:val="x"/>
      </w:pPr>
      <w:r w:rsidRPr="000549B1">
        <w:t>（</w:t>
      </w:r>
      <w:r w:rsidRPr="000549B1">
        <w:t>2</w:t>
      </w:r>
      <w:r w:rsidRPr="000549B1">
        <w:t>）灌丛生态系统</w:t>
      </w:r>
    </w:p>
    <w:p w14:paraId="0087A90C" w14:textId="77777777" w:rsidR="00054437" w:rsidRPr="000549B1" w:rsidRDefault="00000000">
      <w:pPr>
        <w:pStyle w:val="x"/>
      </w:pPr>
      <w:r w:rsidRPr="000549B1">
        <w:t>评价区灌丛生态系统面积为</w:t>
      </w:r>
      <w:r w:rsidRPr="000549B1">
        <w:t>218.98km</w:t>
      </w:r>
      <w:r w:rsidRPr="000549B1">
        <w:rPr>
          <w:vertAlign w:val="superscript"/>
        </w:rPr>
        <w:t>2</w:t>
      </w:r>
      <w:r w:rsidRPr="000549B1">
        <w:t>，占评价区总面积的</w:t>
      </w:r>
      <w:r w:rsidRPr="000549B1">
        <w:t>2.53%</w:t>
      </w:r>
      <w:r w:rsidRPr="000549B1">
        <w:t>，灌丛生态系统主要为山区稀疏植被生态系统，该生态系统是在高山冰缘环境下形成的特殊植被生态系统类型，广泛分布于中上游退化草原、下游沙区边缘及沙丘间低地，海拔</w:t>
      </w:r>
      <w:r w:rsidRPr="000549B1">
        <w:t>2800-3100m</w:t>
      </w:r>
      <w:r w:rsidRPr="000549B1">
        <w:t>，是防风固沙的核心力量。生境寒冷、多风、干旱。植被群落结构简单，植物种类独特，生长极为稀疏。群落盖度一般小于</w:t>
      </w:r>
      <w:r w:rsidRPr="000549B1">
        <w:t>10%</w:t>
      </w:r>
      <w:r w:rsidRPr="000549B1">
        <w:t>。植物种类以固沙灌木为优势，核心物种包括柠条、乌柳、沙棘、柽柳等，伴生草本植物随演替变化，早期以猪毛菜、沙蒿为主，后期逐步过渡为冷蒿、针茅等。动物种类以沙鼠、蜥蜴等耐旱啮齿类和爬行类为主。</w:t>
      </w:r>
    </w:p>
    <w:p w14:paraId="6F6CD626" w14:textId="77777777" w:rsidR="00054437" w:rsidRPr="000549B1" w:rsidRDefault="00000000">
      <w:pPr>
        <w:pStyle w:val="x"/>
      </w:pPr>
      <w:r w:rsidRPr="000549B1">
        <w:t>（</w:t>
      </w:r>
      <w:r w:rsidRPr="000549B1">
        <w:t>3</w:t>
      </w:r>
      <w:r w:rsidRPr="000549B1">
        <w:t>）草地生态系统</w:t>
      </w:r>
    </w:p>
    <w:p w14:paraId="3D6050C3" w14:textId="77777777" w:rsidR="00054437" w:rsidRPr="000549B1" w:rsidRDefault="00000000">
      <w:pPr>
        <w:pStyle w:val="x"/>
      </w:pPr>
      <w:r w:rsidRPr="000549B1">
        <w:t>评价区草地生态系统面积为</w:t>
      </w:r>
      <w:r w:rsidRPr="000549B1">
        <w:t>7833.59km</w:t>
      </w:r>
      <w:r w:rsidRPr="000549B1">
        <w:rPr>
          <w:vertAlign w:val="superscript"/>
        </w:rPr>
        <w:t>2</w:t>
      </w:r>
      <w:r w:rsidRPr="000549B1">
        <w:t>，占评价区总面积的</w:t>
      </w:r>
      <w:r w:rsidRPr="000549B1">
        <w:t>90.38%</w:t>
      </w:r>
      <w:r w:rsidRPr="000549B1">
        <w:t>，草地生态系统是在半干旱、半湿润的环境条件下发育形成的生态系统类型，是评价区分布最广泛、面积最大的地生态系统。草原是草地畜牧业的重要物质基础，并具有涵养水源、保持水土、防治风沙等功能。本区草原包括典型草原、荒漠化草原、草甸草原三类，群落结构相对简单，以草本层为核心，无明显乔木层，局部区域有少量低矮灌丛点缀，植被覆盖度差异较大。</w:t>
      </w:r>
    </w:p>
    <w:p w14:paraId="33072FDE" w14:textId="77777777" w:rsidR="00054437" w:rsidRPr="000549B1" w:rsidRDefault="00000000">
      <w:pPr>
        <w:pStyle w:val="x"/>
      </w:pPr>
      <w:r w:rsidRPr="000549B1">
        <w:t>植物种类以禾本科和菊科植物为优势，包括甘青针茅、垂穗披碱草、冰草、高山蒿草、早熟禾、野燕麦、苜蓿等，伴生黄芪、棘豆等豆科植物及冷蒿、沙蒿等菊科植物。野生动物有沙鼠、田鼠、高原鼠兔等哺乳类，鸟类以百灵鸟、云雀等草原鸟类为主。</w:t>
      </w:r>
    </w:p>
    <w:p w14:paraId="35C4281F" w14:textId="77777777" w:rsidR="00054437" w:rsidRPr="000549B1" w:rsidRDefault="00000000">
      <w:pPr>
        <w:pStyle w:val="x"/>
      </w:pPr>
      <w:r w:rsidRPr="000549B1">
        <w:t>（</w:t>
      </w:r>
      <w:r w:rsidRPr="000549B1">
        <w:t>4</w:t>
      </w:r>
      <w:r w:rsidRPr="000549B1">
        <w:t>）湿地生态系统</w:t>
      </w:r>
    </w:p>
    <w:p w14:paraId="41440A3F" w14:textId="77777777" w:rsidR="00054437" w:rsidRPr="000549B1" w:rsidRDefault="00000000">
      <w:pPr>
        <w:pStyle w:val="x"/>
      </w:pPr>
      <w:r w:rsidRPr="000549B1">
        <w:t>评价区湿地生态系统面积为</w:t>
      </w:r>
      <w:r w:rsidRPr="000549B1">
        <w:t>207.96km</w:t>
      </w:r>
      <w:r w:rsidRPr="000549B1">
        <w:rPr>
          <w:vertAlign w:val="superscript"/>
        </w:rPr>
        <w:t>2</w:t>
      </w:r>
      <w:r w:rsidRPr="000549B1">
        <w:t>，占评价区总面积的</w:t>
      </w:r>
      <w:r w:rsidRPr="000549B1">
        <w:t>2.40%</w:t>
      </w:r>
      <w:r w:rsidRPr="000549B1">
        <w:t>，主要分布在沙珠玉河下游河谷盆地、娘塘水库周边及零星地下水溢出区，海拔</w:t>
      </w:r>
      <w:r w:rsidRPr="000549B1">
        <w:t>2800-2862m</w:t>
      </w:r>
      <w:r w:rsidRPr="000549B1">
        <w:t>。受年降水量</w:t>
      </w:r>
      <w:r w:rsidRPr="000549B1">
        <w:t>246mm</w:t>
      </w:r>
      <w:r w:rsidRPr="000549B1">
        <w:t>、蒸发量</w:t>
      </w:r>
      <w:r w:rsidRPr="000549B1">
        <w:t>1733.7mm</w:t>
      </w:r>
      <w:r w:rsidRPr="000549B1">
        <w:t>的气候限制，湿地以季节性湿地和人工水库湿地为主。植物种类以湿生和水生植物为主，核心物种包括水麦冬、车前、沼生柳叶菜等，岸边分布沙棘、乌柳等耐湿灌木，水面偶见藻类植物。动物方面包括赤麻鸭、鸻鹬类等水鸟和蛙类，周边湿地是迁徙鸟类的重要补给站。</w:t>
      </w:r>
    </w:p>
    <w:p w14:paraId="6A49FCAF" w14:textId="77777777" w:rsidR="00054437" w:rsidRPr="000549B1" w:rsidRDefault="00000000">
      <w:pPr>
        <w:pStyle w:val="x"/>
      </w:pPr>
      <w:r w:rsidRPr="000549B1">
        <w:t>（</w:t>
      </w:r>
      <w:r w:rsidRPr="000549B1">
        <w:t>5</w:t>
      </w:r>
      <w:r w:rsidRPr="000549B1">
        <w:t>）农田生态系统</w:t>
      </w:r>
    </w:p>
    <w:p w14:paraId="336FB1B2" w14:textId="77777777" w:rsidR="00054437" w:rsidRPr="000549B1" w:rsidRDefault="00000000">
      <w:pPr>
        <w:pStyle w:val="x"/>
      </w:pPr>
      <w:r w:rsidRPr="000549B1">
        <w:t>评价区农田生态系统面积为</w:t>
      </w:r>
      <w:r w:rsidRPr="000549B1">
        <w:t>195.94km</w:t>
      </w:r>
      <w:r w:rsidRPr="000549B1">
        <w:rPr>
          <w:vertAlign w:val="superscript"/>
        </w:rPr>
        <w:t>2</w:t>
      </w:r>
      <w:r w:rsidRPr="000549B1">
        <w:t>，占评价区总面积的</w:t>
      </w:r>
      <w:r w:rsidRPr="000549B1">
        <w:t>2.26%</w:t>
      </w:r>
      <w:r w:rsidRPr="000549B1">
        <w:t>，农田生态系统分布在中游河谷阶地、洪积扇及城镇周边，海拔</w:t>
      </w:r>
      <w:r w:rsidRPr="000549B1">
        <w:t>2862-2910m</w:t>
      </w:r>
      <w:r w:rsidRPr="000549B1">
        <w:t>，是</w:t>
      </w:r>
      <w:r w:rsidRPr="000549B1">
        <w:rPr>
          <w:rFonts w:ascii="宋体" w:hAnsi="宋体"/>
        </w:rPr>
        <w:t>“</w:t>
      </w:r>
      <w:r w:rsidRPr="000549B1">
        <w:t>农林复合</w:t>
      </w:r>
      <w:r w:rsidRPr="000549B1">
        <w:rPr>
          <w:rFonts w:ascii="宋体" w:hAnsi="宋体"/>
        </w:rPr>
        <w:t>”</w:t>
      </w:r>
      <w:r w:rsidRPr="000549B1">
        <w:t>型人工生态系统，农田生态系统是指由人工植被及其生态环境所组成的非自然生态系统，受水区部分灌区为农田生态系统，植物种类以农作物为核心，包括小麦、青稞、蚕豆、油菜、马铃薯等，围绕农田构建的防护林网种植青杨、乌柳、柠条等树种，田间伴生有狗尾草（</w:t>
      </w:r>
      <w:r w:rsidRPr="000549B1">
        <w:t>Setariaviridis</w:t>
      </w:r>
      <w:r w:rsidRPr="000549B1">
        <w:t>）、猪毛蒿等杂草。动物方面，常见田鼠、麻雀等与农业生产相关的物种，偶有狐狸等捕食性兽类活动。</w:t>
      </w:r>
    </w:p>
    <w:p w14:paraId="5F00D79F" w14:textId="77777777" w:rsidR="00054437" w:rsidRPr="000549B1" w:rsidRDefault="00000000">
      <w:pPr>
        <w:pStyle w:val="x"/>
      </w:pPr>
      <w:r w:rsidRPr="000549B1">
        <w:t>（</w:t>
      </w:r>
      <w:r w:rsidRPr="000549B1">
        <w:t>6</w:t>
      </w:r>
      <w:r w:rsidRPr="000549B1">
        <w:t>）城镇生态系统</w:t>
      </w:r>
    </w:p>
    <w:p w14:paraId="3E5CE66C" w14:textId="77777777" w:rsidR="00054437" w:rsidRPr="000549B1" w:rsidRDefault="00000000">
      <w:pPr>
        <w:pStyle w:val="x"/>
      </w:pPr>
      <w:r w:rsidRPr="000549B1">
        <w:t>评价区城镇生态系统面积为</w:t>
      </w:r>
      <w:r w:rsidRPr="000549B1">
        <w:t>68.24km</w:t>
      </w:r>
      <w:r w:rsidRPr="000549B1">
        <w:rPr>
          <w:vertAlign w:val="superscript"/>
        </w:rPr>
        <w:t>2</w:t>
      </w:r>
      <w:r w:rsidRPr="000549B1">
        <w:t>，占评价区总面积的</w:t>
      </w:r>
      <w:r w:rsidRPr="000549B1">
        <w:t>0.79%</w:t>
      </w:r>
      <w:r w:rsidRPr="000549B1">
        <w:t>，主要包括居住地、工矿交通用地等。该系统生产力和生物量水平较低，生态系统服务功能单一。城镇生态系统的植被均为人工绿化植被，主要位于路边、居民区周边及公园内，以杨树、垂柳、丁香、榆叶梅等乔灌木为主。城镇和村落是完全的人工生态系统，生境相对简单，人类干扰强烈，动物种类不丰富，主要由高原兔、高原鼠兔和高原鼢鼠等小型哺乳动物，麻雀、喜鹊等亲人鸟类组成。城镇生态系统与其他系统相比，生物多样性比较贫乏，系统稳定性不强，只有通过人类的不断干预才能实现相对的平衡状态。</w:t>
      </w:r>
    </w:p>
    <w:p w14:paraId="0D009A26" w14:textId="77777777" w:rsidR="00054437" w:rsidRPr="000549B1" w:rsidRDefault="00000000">
      <w:pPr>
        <w:pStyle w:val="x"/>
      </w:pPr>
      <w:r w:rsidRPr="000549B1">
        <w:t>（</w:t>
      </w:r>
      <w:r w:rsidRPr="000549B1">
        <w:t>7</w:t>
      </w:r>
      <w:r w:rsidRPr="000549B1">
        <w:t>）荒漠生态系统</w:t>
      </w:r>
    </w:p>
    <w:p w14:paraId="6B266045" w14:textId="77777777" w:rsidR="00054437" w:rsidRPr="000549B1" w:rsidRDefault="00000000">
      <w:pPr>
        <w:pStyle w:val="x"/>
      </w:pPr>
      <w:r w:rsidRPr="000549B1">
        <w:t>评价区荒漠生态系统面积为</w:t>
      </w:r>
      <w:r w:rsidRPr="000549B1">
        <w:t>2.77km</w:t>
      </w:r>
      <w:r w:rsidRPr="000549B1">
        <w:rPr>
          <w:vertAlign w:val="superscript"/>
        </w:rPr>
        <w:t>2</w:t>
      </w:r>
      <w:r w:rsidRPr="000549B1">
        <w:t>，占评价区总面积的</w:t>
      </w:r>
      <w:r w:rsidRPr="000549B1">
        <w:t>0.03%</w:t>
      </w:r>
      <w:r w:rsidRPr="000549B1">
        <w:t>，分布于流域下游塔拉滩沙漠边缘及流动沙丘区域，海拔</w:t>
      </w:r>
      <w:r w:rsidRPr="000549B1">
        <w:t>2800-2862m</w:t>
      </w:r>
      <w:r w:rsidRPr="000549B1">
        <w:t>，是流域原生性生态系统之一，可分为沙地荒漠与砾石荒漠两类。沙地荒漠以流动、半流动沙丘为主，地表覆盖细沙，植被稀疏，群落结构极其简单，多为</w:t>
      </w:r>
      <w:r w:rsidRPr="000549B1">
        <w:rPr>
          <w:rFonts w:ascii="宋体" w:hAnsi="宋体"/>
        </w:rPr>
        <w:t>“</w:t>
      </w:r>
      <w:r w:rsidRPr="000549B1">
        <w:t>灌木</w:t>
      </w:r>
      <w:r w:rsidRPr="000549B1">
        <w:t>+</w:t>
      </w:r>
      <w:r w:rsidRPr="000549B1">
        <w:t>草本</w:t>
      </w:r>
      <w:r w:rsidRPr="000549B1">
        <w:rPr>
          <w:rFonts w:ascii="宋体" w:hAnsi="宋体"/>
        </w:rPr>
        <w:t>”</w:t>
      </w:r>
      <w:r w:rsidRPr="000549B1">
        <w:t>的两层结构，部分流动沙丘区域甚至仅存零散草本。原生荒漠植被覆盖度不足</w:t>
      </w:r>
      <w:r w:rsidRPr="000549B1">
        <w:t>5%</w:t>
      </w:r>
      <w:r w:rsidRPr="000549B1">
        <w:t>，经过草方格固沙和生物治沙后，半固定沙丘覆盖度提升至</w:t>
      </w:r>
      <w:r w:rsidRPr="000549B1">
        <w:t>30%</w:t>
      </w:r>
      <w:r w:rsidRPr="000549B1">
        <w:t>以上。</w:t>
      </w:r>
    </w:p>
    <w:p w14:paraId="3A48274F" w14:textId="77777777" w:rsidR="00054437" w:rsidRPr="000549B1" w:rsidRDefault="00000000">
      <w:pPr>
        <w:pStyle w:val="x"/>
      </w:pPr>
      <w:r w:rsidRPr="000549B1">
        <w:t>植物种类以超耐旱沙生植物为核心，包括沙蒿、猪毛菜等原生物种，以及人工种植的柠条、沙柳等固沙植物，植被高度多在</w:t>
      </w:r>
      <w:r w:rsidRPr="000549B1">
        <w:t>50cm</w:t>
      </w:r>
      <w:r w:rsidRPr="000549B1">
        <w:t>以下，呈斑块状分布。动物种类相对稀少，以沙鼠、蜥蜴等耐旱物种为主。</w:t>
      </w:r>
    </w:p>
    <w:p w14:paraId="7D18DF6E" w14:textId="77777777" w:rsidR="00054437" w:rsidRPr="000549B1" w:rsidRDefault="00000000">
      <w:pPr>
        <w:pStyle w:val="x"/>
      </w:pPr>
      <w:r w:rsidRPr="000549B1">
        <w:t>（</w:t>
      </w:r>
      <w:r w:rsidRPr="000549B1">
        <w:t>8</w:t>
      </w:r>
      <w:r w:rsidRPr="000549B1">
        <w:t>）其他</w:t>
      </w:r>
    </w:p>
    <w:p w14:paraId="25E3154E" w14:textId="77777777" w:rsidR="00054437" w:rsidRPr="000549B1" w:rsidRDefault="00000000">
      <w:pPr>
        <w:pStyle w:val="x"/>
      </w:pPr>
      <w:r w:rsidRPr="000549B1">
        <w:t>评价区其他生态系统面积为</w:t>
      </w:r>
      <w:r w:rsidRPr="000549B1">
        <w:t>49.55km</w:t>
      </w:r>
      <w:r w:rsidRPr="000549B1">
        <w:rPr>
          <w:vertAlign w:val="superscript"/>
        </w:rPr>
        <w:t>2</w:t>
      </w:r>
      <w:r w:rsidRPr="000549B1">
        <w:t>，占评价区总面积的</w:t>
      </w:r>
      <w:r w:rsidRPr="000549B1">
        <w:t>0.57%</w:t>
      </w:r>
      <w:r w:rsidRPr="000549B1">
        <w:t>，主要为裸地。植物种类以耐阴耐旱的草本植物为主，包括沙蒿、冰草、早熟禾等。动物方面，常见啮齿类、小型鸟类等。</w:t>
      </w:r>
    </w:p>
    <w:p w14:paraId="627C1551" w14:textId="3752BA6C" w:rsidR="00054437" w:rsidRPr="000549B1" w:rsidRDefault="00000000">
      <w:pPr>
        <w:pStyle w:val="3"/>
      </w:pPr>
      <w:bookmarkStart w:id="274" w:name="_Toc216107023"/>
      <w:r w:rsidRPr="000549B1">
        <w:rPr>
          <w:rFonts w:hint="eastAsia"/>
        </w:rPr>
        <w:t>小结</w:t>
      </w:r>
      <w:bookmarkEnd w:id="274"/>
    </w:p>
    <w:p w14:paraId="7274B220" w14:textId="77777777" w:rsidR="00381872" w:rsidRPr="000549B1" w:rsidRDefault="00381872" w:rsidP="00381872">
      <w:pPr>
        <w:pStyle w:val="x"/>
        <w:ind w:firstLineChars="200" w:firstLine="480"/>
      </w:pPr>
      <w:r w:rsidRPr="000549B1">
        <w:rPr>
          <w:rFonts w:hint="eastAsia"/>
        </w:rPr>
        <w:t>沙珠玉河流域地处共和盆地沙漠地带，具有显著的高原大陆性气候特征。光照充足，日辐射强烈，干旱少雨，降水少，多风沙，冬寒夏凉，冷期长，气候地理分布差异大，垂直变化明显。陆生生态评价范围总面积为</w:t>
      </w:r>
      <w:r w:rsidRPr="000549B1">
        <w:rPr>
          <w:rFonts w:hint="eastAsia"/>
        </w:rPr>
        <w:t>8660k</w:t>
      </w:r>
      <w:r w:rsidRPr="000549B1">
        <w:t>m</w:t>
      </w:r>
      <w:r w:rsidRPr="000549B1">
        <w:rPr>
          <w:vertAlign w:val="superscript"/>
        </w:rPr>
        <w:t>2</w:t>
      </w:r>
      <w:r w:rsidRPr="000549B1">
        <w:t>，其</w:t>
      </w:r>
      <w:r w:rsidRPr="000549B1">
        <w:rPr>
          <w:rFonts w:hint="eastAsia"/>
        </w:rPr>
        <w:t>中以</w:t>
      </w:r>
      <w:r w:rsidRPr="000549B1">
        <w:rPr>
          <w:rFonts w:eastAsiaTheme="minorEastAsia"/>
        </w:rPr>
        <w:t>草地</w:t>
      </w:r>
      <w:r w:rsidRPr="000549B1">
        <w:rPr>
          <w:rFonts w:eastAsiaTheme="minorEastAsia" w:hint="eastAsia"/>
        </w:rPr>
        <w:t>面积最大，</w:t>
      </w:r>
      <w:r w:rsidRPr="000549B1">
        <w:rPr>
          <w:rFonts w:eastAsiaTheme="minorEastAsia"/>
        </w:rPr>
        <w:t>以天然牧草地为主。</w:t>
      </w:r>
      <w:r w:rsidRPr="000549B1">
        <w:rPr>
          <w:rFonts w:eastAsiaTheme="minorEastAsia" w:hint="eastAsia"/>
        </w:rPr>
        <w:t>其次为</w:t>
      </w:r>
      <w:r w:rsidRPr="000549B1">
        <w:rPr>
          <w:rFonts w:eastAsiaTheme="minorEastAsia"/>
        </w:rPr>
        <w:t>林地</w:t>
      </w:r>
      <w:r w:rsidRPr="000549B1">
        <w:rPr>
          <w:rFonts w:eastAsiaTheme="minorEastAsia" w:hint="eastAsia"/>
        </w:rPr>
        <w:t>，主要为</w:t>
      </w:r>
      <w:r w:rsidRPr="000549B1">
        <w:rPr>
          <w:rFonts w:hint="eastAsia"/>
        </w:rPr>
        <w:t>灌木林地和</w:t>
      </w:r>
      <w:r w:rsidRPr="000549B1">
        <w:rPr>
          <w:rFonts w:eastAsiaTheme="minorEastAsia"/>
        </w:rPr>
        <w:t>乔木林地。</w:t>
      </w:r>
      <w:r w:rsidRPr="000549B1">
        <w:rPr>
          <w:rFonts w:hint="eastAsia"/>
        </w:rPr>
        <w:t>水域及水利设施用地和耕地也有一定面积的分布，园地、住宅用地、公共管理与公共服务用地、工矿仓储用地、交通运输用地和其他用地面积均较小；整个项目区</w:t>
      </w:r>
      <w:r w:rsidRPr="000549B1">
        <w:t>位于内陆</w:t>
      </w:r>
      <w:r w:rsidRPr="000549B1">
        <w:rPr>
          <w:rFonts w:hint="eastAsia"/>
        </w:rPr>
        <w:t>半干旱区向</w:t>
      </w:r>
      <w:r w:rsidRPr="000549B1">
        <w:t>干旱</w:t>
      </w:r>
      <w:r w:rsidRPr="000549B1">
        <w:rPr>
          <w:rFonts w:hint="eastAsia"/>
        </w:rPr>
        <w:t>区过渡地带</w:t>
      </w:r>
      <w:r w:rsidRPr="000549B1">
        <w:t>，</w:t>
      </w:r>
      <w:r w:rsidRPr="000549B1">
        <w:rPr>
          <w:rFonts w:hint="eastAsia"/>
        </w:rPr>
        <w:t>降水量少，以干旱半干旱的温性草原类、温性荒漠草原类、温性荒漠类植被为主，植被覆盖度较低。评价区</w:t>
      </w:r>
      <w:r w:rsidRPr="000549B1">
        <w:t>共有维管植物</w:t>
      </w:r>
      <w:r w:rsidRPr="000549B1">
        <w:rPr>
          <w:rFonts w:hint="eastAsia"/>
        </w:rPr>
        <w:t>46</w:t>
      </w:r>
      <w:r w:rsidRPr="000549B1">
        <w:t>科</w:t>
      </w:r>
      <w:r w:rsidRPr="000549B1">
        <w:t>2</w:t>
      </w:r>
      <w:r w:rsidRPr="000549B1">
        <w:rPr>
          <w:rFonts w:hint="eastAsia"/>
        </w:rPr>
        <w:t>76</w:t>
      </w:r>
      <w:r w:rsidRPr="000549B1">
        <w:t>种，</w:t>
      </w:r>
      <w:r w:rsidRPr="000549B1">
        <w:rPr>
          <w:rFonts w:hint="eastAsia"/>
        </w:rPr>
        <w:t>包括国家二级重点保护植物</w:t>
      </w:r>
      <w:r w:rsidRPr="000549B1">
        <w:rPr>
          <w:rFonts w:hint="eastAsia"/>
        </w:rPr>
        <w:t>2</w:t>
      </w:r>
      <w:r w:rsidRPr="000549B1">
        <w:rPr>
          <w:rFonts w:hint="eastAsia"/>
        </w:rPr>
        <w:t>种，分别为</w:t>
      </w:r>
      <w:r w:rsidRPr="000549B1">
        <w:t>四裂红景天和粗茎红景天</w:t>
      </w:r>
      <w:r w:rsidRPr="000549B1">
        <w:rPr>
          <w:rFonts w:hint="eastAsia"/>
        </w:rPr>
        <w:t>；</w:t>
      </w:r>
      <w:r w:rsidRPr="000549B1">
        <w:t>青海省级重点保护植物</w:t>
      </w:r>
      <w:r w:rsidRPr="000549B1">
        <w:rPr>
          <w:rFonts w:hint="eastAsia"/>
        </w:rPr>
        <w:t>8</w:t>
      </w:r>
      <w:r w:rsidRPr="000549B1">
        <w:rPr>
          <w:rFonts w:hint="eastAsia"/>
        </w:rPr>
        <w:t>种</w:t>
      </w:r>
      <w:r w:rsidRPr="000549B1">
        <w:t>，分别为唐古红景天、狭叶红景天、水母雪兔子、鸡爪大黄、驼绒藜、多枝黄芪、蕨麻、达乌里秦艽。中国特有植物有</w:t>
      </w:r>
      <w:r w:rsidRPr="000549B1">
        <w:t>4</w:t>
      </w:r>
      <w:r w:rsidRPr="000549B1">
        <w:t>种，为中国沙棘、青海黄芪、金翼黄芪和马衔山黄芪</w:t>
      </w:r>
      <w:r w:rsidRPr="000549B1">
        <w:rPr>
          <w:rFonts w:hint="eastAsia"/>
        </w:rPr>
        <w:t>。</w:t>
      </w:r>
    </w:p>
    <w:p w14:paraId="382AEC09" w14:textId="7BC69DB1" w:rsidR="00054437" w:rsidRPr="000549B1" w:rsidRDefault="00381872" w:rsidP="00381872">
      <w:pPr>
        <w:pStyle w:val="x"/>
        <w:ind w:firstLineChars="200" w:firstLine="480"/>
      </w:pPr>
      <w:r w:rsidRPr="000549B1">
        <w:t>陆生脊椎动物</w:t>
      </w:r>
      <w:r w:rsidRPr="000549B1">
        <w:t>4</w:t>
      </w:r>
      <w:r w:rsidRPr="000549B1">
        <w:rPr>
          <w:rFonts w:hint="eastAsia"/>
        </w:rPr>
        <w:t>6</w:t>
      </w:r>
      <w:r w:rsidRPr="000549B1">
        <w:t>科</w:t>
      </w:r>
      <w:r w:rsidRPr="000549B1">
        <w:t>13</w:t>
      </w:r>
      <w:r w:rsidRPr="000549B1">
        <w:rPr>
          <w:rFonts w:hint="eastAsia"/>
        </w:rPr>
        <w:t>8</w:t>
      </w:r>
      <w:r w:rsidRPr="000549B1">
        <w:t>种</w:t>
      </w:r>
      <w:r w:rsidRPr="000549B1">
        <w:rPr>
          <w:rFonts w:hint="eastAsia"/>
        </w:rPr>
        <w:t>，包括国家一级重点保护动物</w:t>
      </w:r>
      <w:r w:rsidRPr="000549B1">
        <w:rPr>
          <w:rFonts w:hint="eastAsia"/>
        </w:rPr>
        <w:t>2</w:t>
      </w:r>
      <w:r w:rsidRPr="000549B1">
        <w:rPr>
          <w:rFonts w:hint="eastAsia"/>
        </w:rPr>
        <w:t>种，为荒漠猫和斑尾榛鸡；</w:t>
      </w:r>
      <w:r w:rsidRPr="000549B1">
        <w:t>国家二级重点保护野生动物</w:t>
      </w:r>
      <w:r w:rsidRPr="000549B1">
        <w:rPr>
          <w:rFonts w:hint="eastAsia"/>
        </w:rPr>
        <w:t>8</w:t>
      </w:r>
      <w:r w:rsidRPr="000549B1">
        <w:rPr>
          <w:rFonts w:hint="eastAsia"/>
        </w:rPr>
        <w:t>种</w:t>
      </w:r>
      <w:r w:rsidRPr="000549B1">
        <w:t>，</w:t>
      </w:r>
      <w:r w:rsidRPr="000549B1">
        <w:rPr>
          <w:rFonts w:hint="eastAsia"/>
        </w:rPr>
        <w:t>分别为藏狐、雀鹰、红隼、燕隼、猎隼、藏雪鸡、鹮嘴鹬、雕鸮；有青海省重点保护野生动物</w:t>
      </w:r>
      <w:r w:rsidRPr="000549B1">
        <w:rPr>
          <w:rFonts w:hint="eastAsia"/>
        </w:rPr>
        <w:t>14</w:t>
      </w:r>
      <w:r w:rsidRPr="000549B1">
        <w:rPr>
          <w:rFonts w:hint="eastAsia"/>
        </w:rPr>
        <w:t>种，分别为喜马拉雅旱獭、赤麻鸭、斑嘴鸭、环颈雉、雪鸽、戴胜等；生态系统主要为草地，灌丛</w:t>
      </w:r>
      <w:r w:rsidRPr="000549B1">
        <w:t>生态系统</w:t>
      </w:r>
      <w:r w:rsidRPr="000549B1">
        <w:rPr>
          <w:rFonts w:hint="eastAsia"/>
        </w:rPr>
        <w:t>次之，其他生态系统类型面积较小，平均生物量为</w:t>
      </w:r>
      <w:r w:rsidRPr="000549B1">
        <w:rPr>
          <w:rFonts w:hint="eastAsia"/>
        </w:rPr>
        <w:t>22.45t/hm</w:t>
      </w:r>
      <w:r w:rsidRPr="000549B1">
        <w:rPr>
          <w:vertAlign w:val="superscript"/>
        </w:rPr>
        <w:t>2</w:t>
      </w:r>
      <w:r w:rsidRPr="000549B1">
        <w:rPr>
          <w:rFonts w:hint="eastAsia"/>
        </w:rPr>
        <w:t>，平均净第一性生产力</w:t>
      </w:r>
      <w:r w:rsidRPr="000549B1">
        <w:rPr>
          <w:rFonts w:hint="eastAsia"/>
        </w:rPr>
        <w:t>4</w:t>
      </w:r>
      <w:r w:rsidRPr="000549B1">
        <w:t>.</w:t>
      </w:r>
      <w:r w:rsidRPr="000549B1">
        <w:rPr>
          <w:rFonts w:hint="eastAsia"/>
        </w:rPr>
        <w:t>79</w:t>
      </w:r>
      <w:r w:rsidRPr="000549B1">
        <w:t>gC/m²</w:t>
      </w:r>
      <w:r w:rsidRPr="000549B1">
        <w:rPr>
          <w:rFonts w:hint="eastAsia"/>
        </w:rPr>
        <w:t>・</w:t>
      </w:r>
      <w:r w:rsidRPr="000549B1">
        <w:t>a</w:t>
      </w:r>
      <w:r w:rsidRPr="000549B1">
        <w:rPr>
          <w:rFonts w:hint="eastAsia"/>
        </w:rPr>
        <w:t>，生态系统服务功能较低</w:t>
      </w:r>
      <w:r w:rsidRPr="000549B1">
        <w:t>。</w:t>
      </w:r>
    </w:p>
    <w:p w14:paraId="5B1B64C6" w14:textId="77777777" w:rsidR="00054437" w:rsidRPr="000549B1" w:rsidRDefault="00000000">
      <w:pPr>
        <w:pStyle w:val="2"/>
        <w:rPr>
          <w:rFonts w:ascii="Times New Roman" w:hAnsi="Times New Roman"/>
        </w:rPr>
      </w:pPr>
      <w:bookmarkStart w:id="275" w:name="_Toc9144591"/>
      <w:bookmarkStart w:id="276" w:name="_Toc208583918"/>
      <w:bookmarkStart w:id="277" w:name="_Toc7766"/>
      <w:bookmarkStart w:id="278" w:name="_Toc216107024"/>
      <w:r w:rsidRPr="000549B1">
        <w:rPr>
          <w:rFonts w:ascii="Times New Roman" w:hAnsi="Times New Roman"/>
        </w:rPr>
        <w:t>水生生态</w:t>
      </w:r>
      <w:r w:rsidRPr="000549B1">
        <w:rPr>
          <w:rFonts w:ascii="Times New Roman" w:hAnsi="Times New Roman" w:hint="eastAsia"/>
        </w:rPr>
        <w:t>现状</w:t>
      </w:r>
      <w:r w:rsidRPr="000549B1">
        <w:rPr>
          <w:rFonts w:ascii="Times New Roman" w:hAnsi="Times New Roman"/>
        </w:rPr>
        <w:t>调查与评价</w:t>
      </w:r>
      <w:bookmarkEnd w:id="275"/>
      <w:bookmarkEnd w:id="276"/>
      <w:bookmarkEnd w:id="277"/>
      <w:bookmarkEnd w:id="278"/>
    </w:p>
    <w:p w14:paraId="78DC3072" w14:textId="77777777" w:rsidR="00054437" w:rsidRPr="000549B1" w:rsidRDefault="00000000">
      <w:pPr>
        <w:pStyle w:val="3"/>
      </w:pPr>
      <w:bookmarkStart w:id="279" w:name="_Toc216107025"/>
      <w:r w:rsidRPr="000549B1">
        <w:t>调查概况</w:t>
      </w:r>
      <w:bookmarkEnd w:id="279"/>
    </w:p>
    <w:p w14:paraId="323B7522" w14:textId="77777777" w:rsidR="00054437" w:rsidRPr="000549B1" w:rsidRDefault="00000000">
      <w:pPr>
        <w:pStyle w:val="4"/>
        <w:adjustRightInd w:val="0"/>
        <w:snapToGrid w:val="0"/>
        <w:spacing w:before="0" w:after="0" w:line="360" w:lineRule="auto"/>
        <w:rPr>
          <w:rFonts w:ascii="Times New Roman" w:eastAsia="黑体" w:hAnsi="Times New Roman"/>
          <w:bCs w:val="0"/>
        </w:rPr>
      </w:pPr>
      <w:r w:rsidRPr="000549B1">
        <w:rPr>
          <w:rFonts w:ascii="Times New Roman" w:eastAsia="黑体" w:hAnsi="Times New Roman"/>
          <w:bCs w:val="0"/>
        </w:rPr>
        <w:t>调查时间</w:t>
      </w:r>
    </w:p>
    <w:p w14:paraId="2E096C99" w14:textId="77777777" w:rsidR="00054437" w:rsidRPr="000549B1" w:rsidRDefault="00000000">
      <w:pPr>
        <w:spacing w:line="500" w:lineRule="exact"/>
        <w:ind w:firstLine="482"/>
        <w:rPr>
          <w:sz w:val="24"/>
        </w:rPr>
      </w:pPr>
      <w:r w:rsidRPr="000549B1">
        <w:rPr>
          <w:sz w:val="24"/>
        </w:rPr>
        <w:t>根据黄河流域上游环境特征和鱼类的生活习性，</w:t>
      </w:r>
      <w:r w:rsidRPr="000549B1">
        <w:rPr>
          <w:sz w:val="24"/>
        </w:rPr>
        <w:t>2025</w:t>
      </w:r>
      <w:r w:rsidRPr="000549B1">
        <w:rPr>
          <w:sz w:val="24"/>
        </w:rPr>
        <w:t>年</w:t>
      </w:r>
      <w:r w:rsidRPr="000549B1">
        <w:rPr>
          <w:sz w:val="24"/>
        </w:rPr>
        <w:t>8</w:t>
      </w:r>
      <w:r w:rsidRPr="000549B1">
        <w:rPr>
          <w:sz w:val="24"/>
        </w:rPr>
        <w:t>月项目组协同外协单位对切吉河以及沙珠玉河开展了水生生态现场调查。</w:t>
      </w:r>
    </w:p>
    <w:p w14:paraId="3A97FBDB" w14:textId="77777777" w:rsidR="00054437" w:rsidRPr="000549B1" w:rsidRDefault="00000000">
      <w:pPr>
        <w:pStyle w:val="Z4"/>
        <w:rPr>
          <w:color w:val="auto"/>
        </w:rPr>
      </w:pPr>
      <w:bookmarkStart w:id="280" w:name="_Toc24900"/>
      <w:r w:rsidRPr="000549B1">
        <w:rPr>
          <w:color w:val="auto"/>
        </w:rPr>
        <w:t>调查范围及断面</w:t>
      </w:r>
      <w:bookmarkEnd w:id="280"/>
    </w:p>
    <w:p w14:paraId="73A5C4F7" w14:textId="77777777" w:rsidR="00054437" w:rsidRPr="000549B1" w:rsidRDefault="00000000">
      <w:pPr>
        <w:spacing w:line="500" w:lineRule="exact"/>
        <w:ind w:firstLineChars="200" w:firstLine="480"/>
        <w:jc w:val="left"/>
        <w:rPr>
          <w:sz w:val="24"/>
        </w:rPr>
      </w:pPr>
      <w:r w:rsidRPr="000549B1">
        <w:rPr>
          <w:sz w:val="24"/>
        </w:rPr>
        <w:t>（</w:t>
      </w:r>
      <w:r w:rsidRPr="000549B1">
        <w:rPr>
          <w:sz w:val="24"/>
        </w:rPr>
        <w:t>1</w:t>
      </w:r>
      <w:r w:rsidRPr="000549B1">
        <w:rPr>
          <w:sz w:val="24"/>
        </w:rPr>
        <w:t>）调查范围</w:t>
      </w:r>
    </w:p>
    <w:p w14:paraId="398231B7" w14:textId="77777777" w:rsidR="00054437" w:rsidRPr="000549B1" w:rsidRDefault="00000000">
      <w:pPr>
        <w:spacing w:line="500" w:lineRule="exact"/>
        <w:ind w:firstLine="482"/>
        <w:rPr>
          <w:sz w:val="24"/>
        </w:rPr>
      </w:pPr>
      <w:r w:rsidRPr="000549B1">
        <w:rPr>
          <w:sz w:val="24"/>
        </w:rPr>
        <w:t>沙珠玉河及切吉河干支流，</w:t>
      </w:r>
      <w:r w:rsidRPr="000549B1">
        <w:rPr>
          <w:kern w:val="0"/>
          <w:sz w:val="24"/>
          <w:szCs w:val="44"/>
        </w:rPr>
        <w:t>沙珠玉河流域主要调查了中下游干支流水域，干流自沙珠玉乡至切吉乡河段，干流河道长度约</w:t>
      </w:r>
      <w:r w:rsidRPr="000549B1">
        <w:rPr>
          <w:kern w:val="0"/>
          <w:sz w:val="24"/>
          <w:szCs w:val="44"/>
        </w:rPr>
        <w:t>80km</w:t>
      </w:r>
      <w:r w:rsidRPr="000549B1">
        <w:rPr>
          <w:kern w:val="0"/>
          <w:sz w:val="24"/>
          <w:szCs w:val="44"/>
        </w:rPr>
        <w:t>，重点调查支流</w:t>
      </w:r>
      <w:r w:rsidRPr="000549B1">
        <w:rPr>
          <w:kern w:val="0"/>
          <w:sz w:val="24"/>
          <w:szCs w:val="44"/>
        </w:rPr>
        <w:t>5</w:t>
      </w:r>
      <w:r w:rsidRPr="000549B1">
        <w:rPr>
          <w:kern w:val="0"/>
          <w:sz w:val="24"/>
          <w:szCs w:val="44"/>
        </w:rPr>
        <w:t>条。</w:t>
      </w:r>
    </w:p>
    <w:p w14:paraId="52BA083B" w14:textId="77777777" w:rsidR="00054437" w:rsidRPr="000549B1" w:rsidRDefault="00000000">
      <w:pPr>
        <w:spacing w:line="500" w:lineRule="exact"/>
        <w:ind w:firstLineChars="200" w:firstLine="480"/>
        <w:jc w:val="left"/>
        <w:rPr>
          <w:sz w:val="24"/>
        </w:rPr>
      </w:pPr>
      <w:r w:rsidRPr="000549B1">
        <w:rPr>
          <w:sz w:val="24"/>
        </w:rPr>
        <w:t>（</w:t>
      </w:r>
      <w:r w:rsidRPr="000549B1">
        <w:rPr>
          <w:sz w:val="24"/>
        </w:rPr>
        <w:t>2</w:t>
      </w:r>
      <w:r w:rsidRPr="000549B1">
        <w:rPr>
          <w:sz w:val="24"/>
        </w:rPr>
        <w:t>）调查断面</w:t>
      </w:r>
    </w:p>
    <w:p w14:paraId="45DA959A" w14:textId="77777777" w:rsidR="00054437" w:rsidRPr="000549B1" w:rsidRDefault="00000000">
      <w:pPr>
        <w:spacing w:line="500" w:lineRule="exact"/>
        <w:ind w:firstLine="482"/>
        <w:rPr>
          <w:sz w:val="24"/>
        </w:rPr>
      </w:pPr>
      <w:r w:rsidRPr="000549B1">
        <w:rPr>
          <w:sz w:val="24"/>
        </w:rPr>
        <w:t>按照《内陆水域渔业资源调查规范》试行本、《淡水生物资源调查方法》的要求并结合当地的水域环境特点以及工程的位置来确定采样点。</w:t>
      </w:r>
    </w:p>
    <w:p w14:paraId="6DAA0A70" w14:textId="5F61D21B" w:rsidR="00054437" w:rsidRPr="000549B1" w:rsidRDefault="00000000">
      <w:pPr>
        <w:spacing w:line="500" w:lineRule="exact"/>
        <w:ind w:firstLine="482"/>
        <w:rPr>
          <w:kern w:val="0"/>
          <w:sz w:val="24"/>
          <w:szCs w:val="44"/>
        </w:rPr>
      </w:pPr>
      <w:r w:rsidRPr="000549B1">
        <w:rPr>
          <w:kern w:val="0"/>
          <w:sz w:val="24"/>
          <w:szCs w:val="44"/>
        </w:rPr>
        <w:t>切吉河设置</w:t>
      </w:r>
      <w:r w:rsidRPr="000549B1">
        <w:rPr>
          <w:kern w:val="0"/>
          <w:sz w:val="24"/>
          <w:szCs w:val="44"/>
        </w:rPr>
        <w:t>3</w:t>
      </w:r>
      <w:r w:rsidRPr="000549B1">
        <w:rPr>
          <w:kern w:val="0"/>
          <w:sz w:val="24"/>
          <w:szCs w:val="44"/>
        </w:rPr>
        <w:t>个调查断面，沙珠玉河设置</w:t>
      </w:r>
      <w:r w:rsidRPr="000549B1">
        <w:rPr>
          <w:kern w:val="0"/>
          <w:sz w:val="24"/>
          <w:szCs w:val="44"/>
        </w:rPr>
        <w:t>3</w:t>
      </w:r>
      <w:r w:rsidRPr="000549B1">
        <w:rPr>
          <w:kern w:val="0"/>
          <w:sz w:val="24"/>
          <w:szCs w:val="44"/>
        </w:rPr>
        <w:t>个调查断面，调查断面位置具体分布见</w:t>
      </w:r>
      <w:r w:rsidR="00F32CCA" w:rsidRPr="00F32CCA">
        <w:rPr>
          <w:kern w:val="0"/>
          <w:sz w:val="24"/>
          <w:szCs w:val="44"/>
        </w:rPr>
        <w:t>表</w:t>
      </w:r>
      <w:r w:rsidR="00F32CCA" w:rsidRPr="00F32CCA">
        <w:rPr>
          <w:kern w:val="0"/>
          <w:sz w:val="24"/>
          <w:szCs w:val="44"/>
        </w:rPr>
        <w:t>3.6</w:t>
      </w:r>
      <w:r w:rsidR="00F32CCA" w:rsidRPr="00F32CCA">
        <w:rPr>
          <w:kern w:val="0"/>
          <w:sz w:val="24"/>
          <w:szCs w:val="44"/>
        </w:rPr>
        <w:noBreakHyphen/>
        <w:t>1</w:t>
      </w:r>
      <w:r w:rsidRPr="000549B1">
        <w:rPr>
          <w:kern w:val="0"/>
          <w:sz w:val="24"/>
          <w:szCs w:val="44"/>
        </w:rPr>
        <w:t>和</w:t>
      </w:r>
      <w:r w:rsidR="00F32CCA" w:rsidRPr="00F32CCA">
        <w:rPr>
          <w:kern w:val="0"/>
          <w:sz w:val="24"/>
          <w:szCs w:val="44"/>
        </w:rPr>
        <w:t>图</w:t>
      </w:r>
      <w:r w:rsidR="00F32CCA" w:rsidRPr="00F32CCA">
        <w:rPr>
          <w:kern w:val="0"/>
          <w:sz w:val="24"/>
          <w:szCs w:val="44"/>
        </w:rPr>
        <w:t>3.6</w:t>
      </w:r>
      <w:r w:rsidR="00F32CCA" w:rsidRPr="00F32CCA">
        <w:rPr>
          <w:kern w:val="0"/>
          <w:sz w:val="24"/>
          <w:szCs w:val="44"/>
        </w:rPr>
        <w:noBreakHyphen/>
        <w:t>1</w:t>
      </w:r>
      <w:r w:rsidRPr="000549B1">
        <w:rPr>
          <w:kern w:val="0"/>
          <w:sz w:val="24"/>
          <w:szCs w:val="44"/>
        </w:rPr>
        <w:t>，调查断面基本生境条件见</w:t>
      </w:r>
      <w:r w:rsidR="00F32CCA" w:rsidRPr="00F32CCA">
        <w:rPr>
          <w:kern w:val="0"/>
          <w:sz w:val="24"/>
          <w:szCs w:val="44"/>
        </w:rPr>
        <w:t>表</w:t>
      </w:r>
      <w:r w:rsidR="00F32CCA" w:rsidRPr="00F32CCA">
        <w:rPr>
          <w:kern w:val="0"/>
          <w:sz w:val="24"/>
          <w:szCs w:val="44"/>
        </w:rPr>
        <w:t>3.6</w:t>
      </w:r>
      <w:r w:rsidR="00F32CCA" w:rsidRPr="00F32CCA">
        <w:rPr>
          <w:kern w:val="0"/>
          <w:sz w:val="24"/>
          <w:szCs w:val="44"/>
        </w:rPr>
        <w:noBreakHyphen/>
        <w:t>2</w:t>
      </w:r>
      <w:r w:rsidRPr="000549B1">
        <w:rPr>
          <w:kern w:val="0"/>
          <w:sz w:val="24"/>
          <w:szCs w:val="44"/>
        </w:rPr>
        <w:t>。</w:t>
      </w:r>
    </w:p>
    <w:p w14:paraId="2F5F4E32" w14:textId="6386FAE8" w:rsidR="00054437" w:rsidRPr="000549B1" w:rsidRDefault="00000000">
      <w:pPr>
        <w:pStyle w:val="0A51"/>
        <w:ind w:firstLine="422"/>
      </w:pPr>
      <w:bookmarkStart w:id="281" w:name="_Ref214960476"/>
      <w:r w:rsidRPr="000549B1">
        <w:t>表</w:t>
      </w:r>
      <w:fldSimple w:instr=" STYLEREF 2 \s ">
        <w:r w:rsidR="00372953">
          <w:rPr>
            <w:noProof/>
          </w:rPr>
          <w:t>3.6</w:t>
        </w:r>
      </w:fldSimple>
      <w:r w:rsidR="00372953">
        <w:noBreakHyphen/>
      </w:r>
      <w:r w:rsidR="00372953">
        <w:fldChar w:fldCharType="begin"/>
      </w:r>
      <w:r w:rsidR="00372953">
        <w:instrText xml:space="preserve"> SEQ </w:instrText>
      </w:r>
      <w:r w:rsidR="00372953">
        <w:instrText>表</w:instrText>
      </w:r>
      <w:r w:rsidR="00372953">
        <w:instrText xml:space="preserve"> \* ARABIC \s 2 </w:instrText>
      </w:r>
      <w:r w:rsidR="00372953">
        <w:fldChar w:fldCharType="separate"/>
      </w:r>
      <w:r w:rsidR="00372953">
        <w:rPr>
          <w:noProof/>
        </w:rPr>
        <w:t>1</w:t>
      </w:r>
      <w:r w:rsidR="00372953">
        <w:fldChar w:fldCharType="end"/>
      </w:r>
      <w:bookmarkEnd w:id="281"/>
      <w:r w:rsidRPr="000549B1">
        <w:t>水生生态采样点分布表</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816"/>
        <w:gridCol w:w="1929"/>
        <w:gridCol w:w="1685"/>
        <w:gridCol w:w="1490"/>
        <w:gridCol w:w="1656"/>
      </w:tblGrid>
      <w:tr w:rsidR="000549B1" w:rsidRPr="000549B1" w14:paraId="61B814B2" w14:textId="77777777">
        <w:trPr>
          <w:trHeight w:val="284"/>
        </w:trPr>
        <w:tc>
          <w:tcPr>
            <w:tcW w:w="437" w:type="pct"/>
            <w:vMerge w:val="restart"/>
            <w:vAlign w:val="center"/>
          </w:tcPr>
          <w:p w14:paraId="76479007" w14:textId="77777777" w:rsidR="00054437" w:rsidRPr="000549B1" w:rsidRDefault="00000000">
            <w:pPr>
              <w:jc w:val="center"/>
              <w:rPr>
                <w:b/>
                <w:bCs/>
              </w:rPr>
            </w:pPr>
            <w:r w:rsidRPr="000549B1">
              <w:rPr>
                <w:b/>
                <w:bCs/>
              </w:rPr>
              <w:t>流域</w:t>
            </w:r>
          </w:p>
        </w:tc>
        <w:tc>
          <w:tcPr>
            <w:tcW w:w="1665" w:type="pct"/>
            <w:gridSpan w:val="2"/>
            <w:vMerge w:val="restart"/>
            <w:vAlign w:val="center"/>
          </w:tcPr>
          <w:p w14:paraId="326D61C4" w14:textId="77777777" w:rsidR="00054437" w:rsidRPr="000549B1" w:rsidRDefault="00000000">
            <w:pPr>
              <w:jc w:val="center"/>
              <w:rPr>
                <w:b/>
                <w:bCs/>
              </w:rPr>
            </w:pPr>
            <w:r w:rsidRPr="000549B1">
              <w:rPr>
                <w:b/>
                <w:bCs/>
              </w:rPr>
              <w:t>采样点</w:t>
            </w:r>
          </w:p>
        </w:tc>
        <w:tc>
          <w:tcPr>
            <w:tcW w:w="1924" w:type="pct"/>
            <w:gridSpan w:val="2"/>
            <w:noWrap/>
            <w:vAlign w:val="center"/>
          </w:tcPr>
          <w:p w14:paraId="294C748C" w14:textId="77777777" w:rsidR="00054437" w:rsidRPr="000549B1" w:rsidRDefault="00000000">
            <w:pPr>
              <w:ind w:firstLine="480"/>
              <w:jc w:val="center"/>
              <w:rPr>
                <w:b/>
                <w:bCs/>
              </w:rPr>
            </w:pPr>
            <w:r w:rsidRPr="000549B1">
              <w:rPr>
                <w:b/>
                <w:bCs/>
              </w:rPr>
              <w:t>采样点</w:t>
            </w:r>
          </w:p>
        </w:tc>
        <w:tc>
          <w:tcPr>
            <w:tcW w:w="972" w:type="pct"/>
            <w:vMerge w:val="restart"/>
            <w:noWrap/>
            <w:vAlign w:val="center"/>
          </w:tcPr>
          <w:p w14:paraId="751FD840" w14:textId="77777777" w:rsidR="00054437" w:rsidRPr="000549B1" w:rsidRDefault="00000000">
            <w:pPr>
              <w:rPr>
                <w:b/>
                <w:bCs/>
              </w:rPr>
            </w:pPr>
            <w:r w:rsidRPr="000549B1">
              <w:rPr>
                <w:b/>
                <w:bCs/>
              </w:rPr>
              <w:t>海拔高度（</w:t>
            </w:r>
            <w:r w:rsidRPr="000549B1">
              <w:rPr>
                <w:b/>
                <w:bCs/>
              </w:rPr>
              <w:t>m</w:t>
            </w:r>
            <w:r w:rsidRPr="000549B1">
              <w:rPr>
                <w:b/>
                <w:bCs/>
              </w:rPr>
              <w:t>）</w:t>
            </w:r>
          </w:p>
        </w:tc>
      </w:tr>
      <w:tr w:rsidR="000549B1" w:rsidRPr="000549B1" w14:paraId="2AB1984B" w14:textId="77777777">
        <w:trPr>
          <w:trHeight w:val="284"/>
        </w:trPr>
        <w:tc>
          <w:tcPr>
            <w:tcW w:w="437" w:type="pct"/>
            <w:vMerge/>
            <w:vAlign w:val="center"/>
          </w:tcPr>
          <w:p w14:paraId="6DFEDDD5" w14:textId="77777777" w:rsidR="00054437" w:rsidRPr="000549B1" w:rsidRDefault="00054437">
            <w:pPr>
              <w:ind w:firstLine="480"/>
              <w:jc w:val="center"/>
              <w:rPr>
                <w:b/>
                <w:bCs/>
              </w:rPr>
            </w:pPr>
          </w:p>
        </w:tc>
        <w:tc>
          <w:tcPr>
            <w:tcW w:w="1665" w:type="pct"/>
            <w:gridSpan w:val="2"/>
            <w:vMerge/>
            <w:vAlign w:val="center"/>
          </w:tcPr>
          <w:p w14:paraId="6591272B" w14:textId="77777777" w:rsidR="00054437" w:rsidRPr="000549B1" w:rsidRDefault="00054437">
            <w:pPr>
              <w:ind w:firstLine="480"/>
              <w:jc w:val="center"/>
              <w:rPr>
                <w:b/>
                <w:bCs/>
              </w:rPr>
            </w:pPr>
          </w:p>
        </w:tc>
        <w:tc>
          <w:tcPr>
            <w:tcW w:w="1021" w:type="pct"/>
            <w:noWrap/>
            <w:vAlign w:val="center"/>
          </w:tcPr>
          <w:p w14:paraId="0C9880F4" w14:textId="77777777" w:rsidR="00054437" w:rsidRPr="000549B1" w:rsidRDefault="00000000">
            <w:pPr>
              <w:jc w:val="center"/>
              <w:rPr>
                <w:b/>
                <w:bCs/>
              </w:rPr>
            </w:pPr>
            <w:r w:rsidRPr="000549B1">
              <w:rPr>
                <w:b/>
                <w:bCs/>
              </w:rPr>
              <w:t>东经</w:t>
            </w:r>
          </w:p>
        </w:tc>
        <w:tc>
          <w:tcPr>
            <w:tcW w:w="903" w:type="pct"/>
            <w:noWrap/>
            <w:vAlign w:val="center"/>
          </w:tcPr>
          <w:p w14:paraId="5197CC6F" w14:textId="77777777" w:rsidR="00054437" w:rsidRPr="000549B1" w:rsidRDefault="00000000">
            <w:pPr>
              <w:jc w:val="center"/>
              <w:rPr>
                <w:b/>
                <w:bCs/>
              </w:rPr>
            </w:pPr>
            <w:r w:rsidRPr="000549B1">
              <w:rPr>
                <w:b/>
                <w:bCs/>
              </w:rPr>
              <w:t>北纬</w:t>
            </w:r>
          </w:p>
        </w:tc>
        <w:tc>
          <w:tcPr>
            <w:tcW w:w="972" w:type="pct"/>
            <w:vMerge/>
            <w:noWrap/>
            <w:vAlign w:val="center"/>
          </w:tcPr>
          <w:p w14:paraId="478A9637" w14:textId="77777777" w:rsidR="00054437" w:rsidRPr="000549B1" w:rsidRDefault="00054437">
            <w:pPr>
              <w:jc w:val="center"/>
              <w:rPr>
                <w:b/>
                <w:bCs/>
              </w:rPr>
            </w:pPr>
          </w:p>
        </w:tc>
      </w:tr>
      <w:tr w:rsidR="000549B1" w:rsidRPr="000549B1" w14:paraId="6D043ED5" w14:textId="77777777">
        <w:trPr>
          <w:trHeight w:val="284"/>
        </w:trPr>
        <w:tc>
          <w:tcPr>
            <w:tcW w:w="437" w:type="pct"/>
            <w:vMerge w:val="restart"/>
            <w:vAlign w:val="center"/>
          </w:tcPr>
          <w:p w14:paraId="7A2C46B1" w14:textId="77777777" w:rsidR="00054437" w:rsidRPr="000549B1" w:rsidRDefault="00000000">
            <w:pPr>
              <w:jc w:val="center"/>
            </w:pPr>
            <w:r w:rsidRPr="000549B1">
              <w:t>沙珠玉河</w:t>
            </w:r>
          </w:p>
        </w:tc>
        <w:tc>
          <w:tcPr>
            <w:tcW w:w="497" w:type="pct"/>
            <w:vMerge w:val="restart"/>
            <w:vAlign w:val="center"/>
          </w:tcPr>
          <w:p w14:paraId="0FA0DF27" w14:textId="77777777" w:rsidR="00054437" w:rsidRPr="000549B1" w:rsidRDefault="00000000">
            <w:pPr>
              <w:jc w:val="center"/>
            </w:pPr>
            <w:r w:rsidRPr="000549B1">
              <w:t>切吉河</w:t>
            </w:r>
          </w:p>
        </w:tc>
        <w:tc>
          <w:tcPr>
            <w:tcW w:w="1167" w:type="pct"/>
            <w:vAlign w:val="center"/>
          </w:tcPr>
          <w:p w14:paraId="299D8F8B" w14:textId="77777777" w:rsidR="00054437" w:rsidRPr="000549B1" w:rsidRDefault="00000000">
            <w:pPr>
              <w:jc w:val="center"/>
            </w:pPr>
            <w:r w:rsidRPr="000549B1">
              <w:t>切吉水库上游</w:t>
            </w:r>
          </w:p>
        </w:tc>
        <w:tc>
          <w:tcPr>
            <w:tcW w:w="1021" w:type="pct"/>
            <w:noWrap/>
            <w:vAlign w:val="center"/>
          </w:tcPr>
          <w:p w14:paraId="1C98A010" w14:textId="77777777" w:rsidR="00054437" w:rsidRPr="000549B1" w:rsidRDefault="00000000">
            <w:pPr>
              <w:jc w:val="center"/>
            </w:pPr>
            <w:r w:rsidRPr="000549B1">
              <w:t>99°49′35.74″</w:t>
            </w:r>
          </w:p>
        </w:tc>
        <w:tc>
          <w:tcPr>
            <w:tcW w:w="903" w:type="pct"/>
            <w:noWrap/>
            <w:vAlign w:val="center"/>
          </w:tcPr>
          <w:p w14:paraId="2641541D" w14:textId="77777777" w:rsidR="00054437" w:rsidRPr="000549B1" w:rsidRDefault="00000000">
            <w:pPr>
              <w:jc w:val="center"/>
            </w:pPr>
            <w:r w:rsidRPr="000549B1">
              <w:t>36°3′8.33″</w:t>
            </w:r>
          </w:p>
        </w:tc>
        <w:tc>
          <w:tcPr>
            <w:tcW w:w="972" w:type="pct"/>
            <w:noWrap/>
            <w:vAlign w:val="center"/>
          </w:tcPr>
          <w:p w14:paraId="3344AF42" w14:textId="77777777" w:rsidR="00054437" w:rsidRPr="000549B1" w:rsidRDefault="00000000">
            <w:pPr>
              <w:jc w:val="center"/>
            </w:pPr>
            <w:r w:rsidRPr="000549B1">
              <w:t>3286.41</w:t>
            </w:r>
          </w:p>
        </w:tc>
      </w:tr>
      <w:tr w:rsidR="000549B1" w:rsidRPr="000549B1" w14:paraId="33D5B5D2" w14:textId="77777777">
        <w:trPr>
          <w:trHeight w:val="284"/>
        </w:trPr>
        <w:tc>
          <w:tcPr>
            <w:tcW w:w="437" w:type="pct"/>
            <w:vMerge/>
            <w:vAlign w:val="center"/>
          </w:tcPr>
          <w:p w14:paraId="56EB52A3" w14:textId="77777777" w:rsidR="00054437" w:rsidRPr="000549B1" w:rsidRDefault="00054437">
            <w:pPr>
              <w:jc w:val="center"/>
            </w:pPr>
          </w:p>
        </w:tc>
        <w:tc>
          <w:tcPr>
            <w:tcW w:w="497" w:type="pct"/>
            <w:vMerge/>
            <w:vAlign w:val="center"/>
          </w:tcPr>
          <w:p w14:paraId="1CCE085D" w14:textId="77777777" w:rsidR="00054437" w:rsidRPr="000549B1" w:rsidRDefault="00054437">
            <w:pPr>
              <w:jc w:val="center"/>
            </w:pPr>
          </w:p>
        </w:tc>
        <w:tc>
          <w:tcPr>
            <w:tcW w:w="1167" w:type="pct"/>
            <w:vAlign w:val="center"/>
          </w:tcPr>
          <w:p w14:paraId="2723A6C3" w14:textId="77777777" w:rsidR="00054437" w:rsidRPr="000549B1" w:rsidRDefault="00000000">
            <w:pPr>
              <w:jc w:val="center"/>
            </w:pPr>
            <w:r w:rsidRPr="000549B1">
              <w:t>切吉水库</w:t>
            </w:r>
          </w:p>
        </w:tc>
        <w:tc>
          <w:tcPr>
            <w:tcW w:w="1021" w:type="pct"/>
            <w:noWrap/>
            <w:vAlign w:val="center"/>
          </w:tcPr>
          <w:p w14:paraId="1DC14B8D" w14:textId="77777777" w:rsidR="00054437" w:rsidRPr="000549B1" w:rsidRDefault="00000000">
            <w:pPr>
              <w:jc w:val="center"/>
            </w:pPr>
            <w:r w:rsidRPr="000549B1">
              <w:t>99°50′48.22″</w:t>
            </w:r>
          </w:p>
        </w:tc>
        <w:tc>
          <w:tcPr>
            <w:tcW w:w="903" w:type="pct"/>
            <w:noWrap/>
            <w:vAlign w:val="center"/>
          </w:tcPr>
          <w:p w14:paraId="1B7C295B" w14:textId="77777777" w:rsidR="00054437" w:rsidRPr="000549B1" w:rsidRDefault="00000000">
            <w:pPr>
              <w:jc w:val="center"/>
            </w:pPr>
            <w:r w:rsidRPr="000549B1">
              <w:t>36°4′52.29″</w:t>
            </w:r>
          </w:p>
        </w:tc>
        <w:tc>
          <w:tcPr>
            <w:tcW w:w="972" w:type="pct"/>
            <w:noWrap/>
            <w:vAlign w:val="center"/>
          </w:tcPr>
          <w:p w14:paraId="054B4654" w14:textId="77777777" w:rsidR="00054437" w:rsidRPr="000549B1" w:rsidRDefault="00000000">
            <w:pPr>
              <w:jc w:val="center"/>
            </w:pPr>
            <w:r w:rsidRPr="000549B1">
              <w:t>3243.55</w:t>
            </w:r>
          </w:p>
        </w:tc>
      </w:tr>
      <w:tr w:rsidR="000549B1" w:rsidRPr="000549B1" w14:paraId="1708C420" w14:textId="77777777">
        <w:trPr>
          <w:trHeight w:val="284"/>
        </w:trPr>
        <w:tc>
          <w:tcPr>
            <w:tcW w:w="437" w:type="pct"/>
            <w:vMerge/>
            <w:vAlign w:val="center"/>
          </w:tcPr>
          <w:p w14:paraId="28AD00B3" w14:textId="77777777" w:rsidR="00054437" w:rsidRPr="000549B1" w:rsidRDefault="00054437">
            <w:pPr>
              <w:jc w:val="center"/>
            </w:pPr>
          </w:p>
        </w:tc>
        <w:tc>
          <w:tcPr>
            <w:tcW w:w="497" w:type="pct"/>
            <w:vMerge/>
            <w:vAlign w:val="center"/>
          </w:tcPr>
          <w:p w14:paraId="10008A7A" w14:textId="77777777" w:rsidR="00054437" w:rsidRPr="000549B1" w:rsidRDefault="00054437">
            <w:pPr>
              <w:jc w:val="center"/>
            </w:pPr>
          </w:p>
        </w:tc>
        <w:tc>
          <w:tcPr>
            <w:tcW w:w="1167" w:type="pct"/>
            <w:vAlign w:val="center"/>
          </w:tcPr>
          <w:p w14:paraId="7FCD2DAD" w14:textId="77777777" w:rsidR="00054437" w:rsidRPr="000549B1" w:rsidRDefault="00000000">
            <w:pPr>
              <w:jc w:val="center"/>
            </w:pPr>
            <w:r w:rsidRPr="000549B1">
              <w:t>切吉河下游</w:t>
            </w:r>
          </w:p>
        </w:tc>
        <w:tc>
          <w:tcPr>
            <w:tcW w:w="1021" w:type="pct"/>
            <w:noWrap/>
            <w:vAlign w:val="center"/>
          </w:tcPr>
          <w:p w14:paraId="7D5E515C" w14:textId="77777777" w:rsidR="00054437" w:rsidRPr="000549B1" w:rsidRDefault="00000000">
            <w:pPr>
              <w:jc w:val="center"/>
            </w:pPr>
            <w:r w:rsidRPr="000549B1">
              <w:t>99°52′47.34″</w:t>
            </w:r>
          </w:p>
        </w:tc>
        <w:tc>
          <w:tcPr>
            <w:tcW w:w="903" w:type="pct"/>
            <w:noWrap/>
            <w:vAlign w:val="center"/>
          </w:tcPr>
          <w:p w14:paraId="26643F05" w14:textId="77777777" w:rsidR="00054437" w:rsidRPr="000549B1" w:rsidRDefault="00000000">
            <w:pPr>
              <w:jc w:val="center"/>
            </w:pPr>
            <w:r w:rsidRPr="000549B1">
              <w:t>36°12′20.55″</w:t>
            </w:r>
          </w:p>
        </w:tc>
        <w:tc>
          <w:tcPr>
            <w:tcW w:w="972" w:type="pct"/>
            <w:noWrap/>
            <w:vAlign w:val="center"/>
          </w:tcPr>
          <w:p w14:paraId="6ED25B62" w14:textId="77777777" w:rsidR="00054437" w:rsidRPr="000549B1" w:rsidRDefault="00000000">
            <w:pPr>
              <w:jc w:val="center"/>
            </w:pPr>
            <w:r w:rsidRPr="000549B1">
              <w:t>3030.45</w:t>
            </w:r>
          </w:p>
        </w:tc>
      </w:tr>
      <w:tr w:rsidR="000549B1" w:rsidRPr="000549B1" w14:paraId="1D0BDC28" w14:textId="77777777">
        <w:trPr>
          <w:trHeight w:val="284"/>
        </w:trPr>
        <w:tc>
          <w:tcPr>
            <w:tcW w:w="437" w:type="pct"/>
            <w:vMerge/>
            <w:vAlign w:val="center"/>
          </w:tcPr>
          <w:p w14:paraId="4658CD7A" w14:textId="77777777" w:rsidR="00054437" w:rsidRPr="000549B1" w:rsidRDefault="00054437">
            <w:pPr>
              <w:jc w:val="center"/>
            </w:pPr>
          </w:p>
        </w:tc>
        <w:tc>
          <w:tcPr>
            <w:tcW w:w="497" w:type="pct"/>
            <w:vMerge w:val="restart"/>
            <w:vAlign w:val="center"/>
          </w:tcPr>
          <w:p w14:paraId="57CF9098" w14:textId="77777777" w:rsidR="00054437" w:rsidRPr="000549B1" w:rsidRDefault="00000000">
            <w:pPr>
              <w:jc w:val="center"/>
            </w:pPr>
            <w:r w:rsidRPr="000549B1">
              <w:t>沙珠玉河</w:t>
            </w:r>
          </w:p>
        </w:tc>
        <w:tc>
          <w:tcPr>
            <w:tcW w:w="1167" w:type="pct"/>
            <w:vAlign w:val="center"/>
          </w:tcPr>
          <w:p w14:paraId="50EAF7CD" w14:textId="77777777" w:rsidR="00054437" w:rsidRPr="000549B1" w:rsidRDefault="00000000">
            <w:pPr>
              <w:jc w:val="center"/>
            </w:pPr>
            <w:r w:rsidRPr="000549B1">
              <w:t>曲黑格木</w:t>
            </w:r>
          </w:p>
        </w:tc>
        <w:tc>
          <w:tcPr>
            <w:tcW w:w="1021" w:type="pct"/>
            <w:noWrap/>
            <w:vAlign w:val="center"/>
          </w:tcPr>
          <w:p w14:paraId="6131527B" w14:textId="77777777" w:rsidR="00054437" w:rsidRPr="000549B1" w:rsidRDefault="00000000">
            <w:pPr>
              <w:jc w:val="center"/>
            </w:pPr>
            <w:r w:rsidRPr="000549B1">
              <w:t>99°44′36.69″</w:t>
            </w:r>
          </w:p>
        </w:tc>
        <w:tc>
          <w:tcPr>
            <w:tcW w:w="903" w:type="pct"/>
            <w:noWrap/>
            <w:vAlign w:val="center"/>
          </w:tcPr>
          <w:p w14:paraId="3C361ED0" w14:textId="77777777" w:rsidR="00054437" w:rsidRPr="000549B1" w:rsidRDefault="00000000">
            <w:pPr>
              <w:jc w:val="center"/>
            </w:pPr>
            <w:r w:rsidRPr="000549B1">
              <w:t>36°23′38.34″</w:t>
            </w:r>
          </w:p>
        </w:tc>
        <w:tc>
          <w:tcPr>
            <w:tcW w:w="972" w:type="pct"/>
            <w:noWrap/>
            <w:vAlign w:val="center"/>
          </w:tcPr>
          <w:p w14:paraId="0348DB25" w14:textId="77777777" w:rsidR="00054437" w:rsidRPr="000549B1" w:rsidRDefault="00000000">
            <w:pPr>
              <w:jc w:val="center"/>
            </w:pPr>
            <w:r w:rsidRPr="000549B1">
              <w:t>2923.57</w:t>
            </w:r>
          </w:p>
        </w:tc>
      </w:tr>
      <w:tr w:rsidR="000549B1" w:rsidRPr="000549B1" w14:paraId="11CBE909" w14:textId="77777777">
        <w:trPr>
          <w:trHeight w:val="284"/>
        </w:trPr>
        <w:tc>
          <w:tcPr>
            <w:tcW w:w="437" w:type="pct"/>
            <w:vMerge/>
            <w:vAlign w:val="center"/>
          </w:tcPr>
          <w:p w14:paraId="6B09A979" w14:textId="77777777" w:rsidR="00054437" w:rsidRPr="000549B1" w:rsidRDefault="00054437">
            <w:pPr>
              <w:jc w:val="center"/>
            </w:pPr>
          </w:p>
        </w:tc>
        <w:tc>
          <w:tcPr>
            <w:tcW w:w="497" w:type="pct"/>
            <w:vMerge/>
            <w:vAlign w:val="center"/>
          </w:tcPr>
          <w:p w14:paraId="6CB7679D" w14:textId="77777777" w:rsidR="00054437" w:rsidRPr="000549B1" w:rsidRDefault="00054437">
            <w:pPr>
              <w:jc w:val="center"/>
            </w:pPr>
          </w:p>
        </w:tc>
        <w:tc>
          <w:tcPr>
            <w:tcW w:w="1167" w:type="pct"/>
            <w:vAlign w:val="center"/>
          </w:tcPr>
          <w:p w14:paraId="530ED829" w14:textId="77777777" w:rsidR="00054437" w:rsidRPr="000549B1" w:rsidRDefault="00000000">
            <w:pPr>
              <w:jc w:val="center"/>
            </w:pPr>
            <w:r w:rsidRPr="000549B1">
              <w:t>浪娘村桥下</w:t>
            </w:r>
          </w:p>
        </w:tc>
        <w:tc>
          <w:tcPr>
            <w:tcW w:w="1021" w:type="pct"/>
            <w:noWrap/>
            <w:vAlign w:val="center"/>
          </w:tcPr>
          <w:p w14:paraId="7B878CE9" w14:textId="77777777" w:rsidR="00054437" w:rsidRPr="000549B1" w:rsidRDefault="00000000">
            <w:pPr>
              <w:jc w:val="center"/>
            </w:pPr>
            <w:r w:rsidRPr="000549B1">
              <w:t>99°56′47.99″</w:t>
            </w:r>
          </w:p>
        </w:tc>
        <w:tc>
          <w:tcPr>
            <w:tcW w:w="903" w:type="pct"/>
            <w:noWrap/>
            <w:vAlign w:val="center"/>
          </w:tcPr>
          <w:p w14:paraId="1A35B5B1" w14:textId="77777777" w:rsidR="00054437" w:rsidRPr="000549B1" w:rsidRDefault="00000000">
            <w:pPr>
              <w:jc w:val="center"/>
            </w:pPr>
            <w:r w:rsidRPr="000549B1">
              <w:t>36°21′12.02″</w:t>
            </w:r>
          </w:p>
        </w:tc>
        <w:tc>
          <w:tcPr>
            <w:tcW w:w="972" w:type="pct"/>
            <w:noWrap/>
            <w:vAlign w:val="center"/>
          </w:tcPr>
          <w:p w14:paraId="19880246" w14:textId="77777777" w:rsidR="00054437" w:rsidRPr="000549B1" w:rsidRDefault="00000000">
            <w:pPr>
              <w:jc w:val="center"/>
            </w:pPr>
            <w:r w:rsidRPr="000549B1">
              <w:t>2888.53</w:t>
            </w:r>
          </w:p>
        </w:tc>
      </w:tr>
      <w:tr w:rsidR="000549B1" w:rsidRPr="000549B1" w14:paraId="04A0275D" w14:textId="77777777">
        <w:trPr>
          <w:trHeight w:val="284"/>
        </w:trPr>
        <w:tc>
          <w:tcPr>
            <w:tcW w:w="437" w:type="pct"/>
            <w:vMerge/>
            <w:vAlign w:val="center"/>
          </w:tcPr>
          <w:p w14:paraId="56B7BB2F" w14:textId="77777777" w:rsidR="00054437" w:rsidRPr="000549B1" w:rsidRDefault="00054437">
            <w:pPr>
              <w:jc w:val="center"/>
            </w:pPr>
          </w:p>
        </w:tc>
        <w:tc>
          <w:tcPr>
            <w:tcW w:w="497" w:type="pct"/>
            <w:vMerge/>
            <w:vAlign w:val="center"/>
          </w:tcPr>
          <w:p w14:paraId="6194EDC3" w14:textId="77777777" w:rsidR="00054437" w:rsidRPr="000549B1" w:rsidRDefault="00054437">
            <w:pPr>
              <w:jc w:val="center"/>
            </w:pPr>
          </w:p>
        </w:tc>
        <w:tc>
          <w:tcPr>
            <w:tcW w:w="1167" w:type="pct"/>
            <w:vAlign w:val="center"/>
          </w:tcPr>
          <w:p w14:paraId="29723D10" w14:textId="77777777" w:rsidR="00054437" w:rsidRPr="000549B1" w:rsidRDefault="00000000">
            <w:pPr>
              <w:jc w:val="center"/>
            </w:pPr>
            <w:r w:rsidRPr="000549B1">
              <w:t>沙珠玉河下游</w:t>
            </w:r>
          </w:p>
        </w:tc>
        <w:tc>
          <w:tcPr>
            <w:tcW w:w="1021" w:type="pct"/>
            <w:noWrap/>
            <w:vAlign w:val="center"/>
          </w:tcPr>
          <w:p w14:paraId="1E9D65E2" w14:textId="77777777" w:rsidR="00054437" w:rsidRPr="000549B1" w:rsidRDefault="00000000">
            <w:pPr>
              <w:jc w:val="center"/>
            </w:pPr>
            <w:r w:rsidRPr="000549B1">
              <w:t>100°10′10.44″</w:t>
            </w:r>
          </w:p>
        </w:tc>
        <w:tc>
          <w:tcPr>
            <w:tcW w:w="903" w:type="pct"/>
            <w:noWrap/>
            <w:vAlign w:val="center"/>
          </w:tcPr>
          <w:p w14:paraId="175A4521" w14:textId="77777777" w:rsidR="00054437" w:rsidRPr="000549B1" w:rsidRDefault="00000000">
            <w:pPr>
              <w:jc w:val="center"/>
            </w:pPr>
            <w:r w:rsidRPr="000549B1">
              <w:t>36°15′42.45″</w:t>
            </w:r>
          </w:p>
        </w:tc>
        <w:tc>
          <w:tcPr>
            <w:tcW w:w="972" w:type="pct"/>
            <w:noWrap/>
            <w:vAlign w:val="center"/>
          </w:tcPr>
          <w:p w14:paraId="7D1AB509" w14:textId="77777777" w:rsidR="00054437" w:rsidRPr="000549B1" w:rsidRDefault="00000000">
            <w:pPr>
              <w:jc w:val="center"/>
            </w:pPr>
            <w:r w:rsidRPr="000549B1">
              <w:t>2842.87</w:t>
            </w:r>
          </w:p>
        </w:tc>
      </w:tr>
    </w:tbl>
    <w:p w14:paraId="0F12CF77" w14:textId="37968C15" w:rsidR="00054437" w:rsidRPr="000549B1" w:rsidRDefault="00000000">
      <w:pPr>
        <w:pStyle w:val="0A51"/>
        <w:ind w:firstLine="422"/>
      </w:pPr>
      <w:bookmarkStart w:id="282" w:name="_Ref214960559"/>
      <w:bookmarkStart w:id="283" w:name="_Toc27664"/>
      <w:r w:rsidRPr="000549B1">
        <w:t>表</w:t>
      </w:r>
      <w:fldSimple w:instr=" STYLEREF 2 \s ">
        <w:r w:rsidR="00372953">
          <w:rPr>
            <w:noProof/>
          </w:rPr>
          <w:t>3.6</w:t>
        </w:r>
      </w:fldSimple>
      <w:r w:rsidR="00372953">
        <w:noBreakHyphen/>
      </w:r>
      <w:r w:rsidR="00372953">
        <w:fldChar w:fldCharType="begin"/>
      </w:r>
      <w:r w:rsidR="00372953">
        <w:instrText xml:space="preserve"> SEQ </w:instrText>
      </w:r>
      <w:r w:rsidR="00372953">
        <w:instrText>表</w:instrText>
      </w:r>
      <w:r w:rsidR="00372953">
        <w:instrText xml:space="preserve"> \* ARABIC \s 2 </w:instrText>
      </w:r>
      <w:r w:rsidR="00372953">
        <w:fldChar w:fldCharType="separate"/>
      </w:r>
      <w:r w:rsidR="00372953">
        <w:rPr>
          <w:noProof/>
        </w:rPr>
        <w:t>2</w:t>
      </w:r>
      <w:r w:rsidR="00372953">
        <w:fldChar w:fldCharType="end"/>
      </w:r>
      <w:bookmarkEnd w:id="282"/>
      <w:r w:rsidRPr="000549B1">
        <w:t>采样断面基本生境条件现状</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5"/>
        <w:gridCol w:w="2181"/>
        <w:gridCol w:w="754"/>
        <w:gridCol w:w="705"/>
        <w:gridCol w:w="803"/>
        <w:gridCol w:w="657"/>
        <w:gridCol w:w="863"/>
        <w:gridCol w:w="1818"/>
      </w:tblGrid>
      <w:tr w:rsidR="000549B1" w:rsidRPr="000549B1" w14:paraId="3E52EB27" w14:textId="77777777">
        <w:trPr>
          <w:trHeight w:val="397"/>
          <w:jc w:val="center"/>
        </w:trPr>
        <w:tc>
          <w:tcPr>
            <w:tcW w:w="310" w:type="pct"/>
            <w:vAlign w:val="center"/>
          </w:tcPr>
          <w:p w14:paraId="5FADAFF1" w14:textId="77777777" w:rsidR="00054437" w:rsidRPr="000549B1" w:rsidRDefault="00000000">
            <w:pPr>
              <w:jc w:val="center"/>
              <w:rPr>
                <w:b/>
                <w:bCs/>
              </w:rPr>
            </w:pPr>
            <w:r w:rsidRPr="000549B1">
              <w:rPr>
                <w:b/>
                <w:bCs/>
              </w:rPr>
              <w:t>水域</w:t>
            </w:r>
          </w:p>
        </w:tc>
        <w:tc>
          <w:tcPr>
            <w:tcW w:w="1313" w:type="pct"/>
            <w:vAlign w:val="center"/>
          </w:tcPr>
          <w:p w14:paraId="254394BB" w14:textId="77777777" w:rsidR="00054437" w:rsidRPr="000549B1" w:rsidRDefault="00000000">
            <w:pPr>
              <w:jc w:val="center"/>
              <w:rPr>
                <w:b/>
                <w:bCs/>
              </w:rPr>
            </w:pPr>
            <w:r w:rsidRPr="000549B1">
              <w:rPr>
                <w:b/>
                <w:bCs/>
              </w:rPr>
              <w:t>调查断面</w:t>
            </w:r>
          </w:p>
        </w:tc>
        <w:tc>
          <w:tcPr>
            <w:tcW w:w="454" w:type="pct"/>
            <w:vAlign w:val="center"/>
          </w:tcPr>
          <w:p w14:paraId="2CAD9E28" w14:textId="77777777" w:rsidR="00054437" w:rsidRPr="000549B1" w:rsidRDefault="00000000">
            <w:pPr>
              <w:jc w:val="center"/>
              <w:rPr>
                <w:b/>
                <w:bCs/>
              </w:rPr>
            </w:pPr>
            <w:r w:rsidRPr="000549B1">
              <w:rPr>
                <w:b/>
                <w:bCs/>
              </w:rPr>
              <w:t>流速</w:t>
            </w:r>
            <w:r w:rsidRPr="000549B1">
              <w:rPr>
                <w:b/>
                <w:bCs/>
              </w:rPr>
              <w:t>m/s</w:t>
            </w:r>
          </w:p>
        </w:tc>
        <w:tc>
          <w:tcPr>
            <w:tcW w:w="425" w:type="pct"/>
            <w:vAlign w:val="center"/>
          </w:tcPr>
          <w:p w14:paraId="1B991E4E" w14:textId="77777777" w:rsidR="00054437" w:rsidRPr="000549B1" w:rsidRDefault="00000000">
            <w:pPr>
              <w:jc w:val="center"/>
              <w:rPr>
                <w:b/>
                <w:bCs/>
              </w:rPr>
            </w:pPr>
            <w:r w:rsidRPr="000549B1">
              <w:rPr>
                <w:b/>
                <w:bCs/>
              </w:rPr>
              <w:t>溶氧</w:t>
            </w:r>
          </w:p>
          <w:p w14:paraId="5C2C4B89" w14:textId="77777777" w:rsidR="00054437" w:rsidRPr="000549B1" w:rsidRDefault="00000000">
            <w:pPr>
              <w:jc w:val="center"/>
              <w:rPr>
                <w:b/>
                <w:bCs/>
              </w:rPr>
            </w:pPr>
            <w:r w:rsidRPr="000549B1">
              <w:rPr>
                <w:b/>
                <w:bCs/>
              </w:rPr>
              <w:t>mg/L</w:t>
            </w:r>
          </w:p>
        </w:tc>
        <w:tc>
          <w:tcPr>
            <w:tcW w:w="484" w:type="pct"/>
            <w:vAlign w:val="center"/>
          </w:tcPr>
          <w:p w14:paraId="2A5A9F43" w14:textId="77777777" w:rsidR="00054437" w:rsidRPr="000549B1" w:rsidRDefault="00000000">
            <w:pPr>
              <w:jc w:val="center"/>
              <w:rPr>
                <w:b/>
                <w:bCs/>
              </w:rPr>
            </w:pPr>
            <w:r w:rsidRPr="000549B1">
              <w:rPr>
                <w:b/>
                <w:bCs/>
              </w:rPr>
              <w:t>水温</w:t>
            </w:r>
          </w:p>
          <w:p w14:paraId="719C94AB" w14:textId="77777777" w:rsidR="00054437" w:rsidRPr="000549B1" w:rsidRDefault="00000000">
            <w:pPr>
              <w:jc w:val="center"/>
              <w:rPr>
                <w:b/>
                <w:bCs/>
              </w:rPr>
            </w:pPr>
            <w:r w:rsidRPr="000549B1">
              <w:rPr>
                <w:b/>
                <w:bCs/>
              </w:rPr>
              <w:t>/℃</w:t>
            </w:r>
          </w:p>
        </w:tc>
        <w:tc>
          <w:tcPr>
            <w:tcW w:w="396" w:type="pct"/>
            <w:vAlign w:val="center"/>
          </w:tcPr>
          <w:p w14:paraId="1F006154" w14:textId="77777777" w:rsidR="00054437" w:rsidRPr="000549B1" w:rsidRDefault="00000000">
            <w:pPr>
              <w:jc w:val="center"/>
              <w:rPr>
                <w:b/>
                <w:bCs/>
              </w:rPr>
            </w:pPr>
            <w:r w:rsidRPr="000549B1">
              <w:rPr>
                <w:b/>
                <w:bCs/>
              </w:rPr>
              <w:t>pH</w:t>
            </w:r>
          </w:p>
        </w:tc>
        <w:tc>
          <w:tcPr>
            <w:tcW w:w="520" w:type="pct"/>
            <w:vAlign w:val="center"/>
          </w:tcPr>
          <w:p w14:paraId="6CA29B12" w14:textId="77777777" w:rsidR="00054437" w:rsidRPr="000549B1" w:rsidRDefault="00000000">
            <w:pPr>
              <w:jc w:val="center"/>
              <w:rPr>
                <w:b/>
                <w:bCs/>
              </w:rPr>
            </w:pPr>
            <w:r w:rsidRPr="000549B1">
              <w:rPr>
                <w:b/>
                <w:bCs/>
              </w:rPr>
              <w:t>电导率</w:t>
            </w:r>
            <w:r w:rsidRPr="000549B1">
              <w:rPr>
                <w:b/>
                <w:bCs/>
              </w:rPr>
              <w:t>us/cm</w:t>
            </w:r>
          </w:p>
        </w:tc>
        <w:tc>
          <w:tcPr>
            <w:tcW w:w="1095" w:type="pct"/>
            <w:vAlign w:val="center"/>
          </w:tcPr>
          <w:p w14:paraId="3523ED49" w14:textId="77777777" w:rsidR="00054437" w:rsidRPr="000549B1" w:rsidRDefault="00000000">
            <w:pPr>
              <w:jc w:val="center"/>
              <w:rPr>
                <w:b/>
                <w:bCs/>
              </w:rPr>
            </w:pPr>
            <w:r w:rsidRPr="000549B1">
              <w:rPr>
                <w:b/>
                <w:bCs/>
              </w:rPr>
              <w:t>底质</w:t>
            </w:r>
          </w:p>
        </w:tc>
      </w:tr>
      <w:tr w:rsidR="000549B1" w:rsidRPr="000549B1" w14:paraId="2AD50A1E" w14:textId="77777777">
        <w:trPr>
          <w:trHeight w:val="397"/>
          <w:jc w:val="center"/>
        </w:trPr>
        <w:tc>
          <w:tcPr>
            <w:tcW w:w="310" w:type="pct"/>
            <w:vMerge w:val="restart"/>
            <w:vAlign w:val="center"/>
          </w:tcPr>
          <w:p w14:paraId="0E1404A6" w14:textId="77777777" w:rsidR="00054437" w:rsidRPr="000549B1" w:rsidRDefault="00000000">
            <w:pPr>
              <w:jc w:val="center"/>
            </w:pPr>
            <w:r w:rsidRPr="000549B1">
              <w:t>切吉河</w:t>
            </w:r>
          </w:p>
        </w:tc>
        <w:tc>
          <w:tcPr>
            <w:tcW w:w="1313" w:type="pct"/>
            <w:vAlign w:val="center"/>
          </w:tcPr>
          <w:p w14:paraId="310300BD" w14:textId="77777777" w:rsidR="00054437" w:rsidRPr="000549B1" w:rsidRDefault="00000000">
            <w:pPr>
              <w:jc w:val="center"/>
            </w:pPr>
            <w:r w:rsidRPr="000549B1">
              <w:t>切吉水库上游</w:t>
            </w:r>
          </w:p>
        </w:tc>
        <w:tc>
          <w:tcPr>
            <w:tcW w:w="454" w:type="pct"/>
            <w:vAlign w:val="center"/>
          </w:tcPr>
          <w:p w14:paraId="5B40217C" w14:textId="77777777" w:rsidR="00054437" w:rsidRPr="000549B1" w:rsidRDefault="00000000">
            <w:pPr>
              <w:jc w:val="center"/>
            </w:pPr>
            <w:r w:rsidRPr="000549B1">
              <w:t>0.370</w:t>
            </w:r>
          </w:p>
        </w:tc>
        <w:tc>
          <w:tcPr>
            <w:tcW w:w="425" w:type="pct"/>
            <w:vAlign w:val="center"/>
          </w:tcPr>
          <w:p w14:paraId="46516F2F" w14:textId="77777777" w:rsidR="00054437" w:rsidRPr="000549B1" w:rsidRDefault="00000000">
            <w:pPr>
              <w:jc w:val="center"/>
            </w:pPr>
            <w:r w:rsidRPr="000549B1">
              <w:t>7.42</w:t>
            </w:r>
          </w:p>
        </w:tc>
        <w:tc>
          <w:tcPr>
            <w:tcW w:w="484" w:type="pct"/>
            <w:vAlign w:val="center"/>
          </w:tcPr>
          <w:p w14:paraId="3D232F72" w14:textId="77777777" w:rsidR="00054437" w:rsidRPr="000549B1" w:rsidRDefault="00000000">
            <w:pPr>
              <w:jc w:val="center"/>
            </w:pPr>
            <w:r w:rsidRPr="000549B1">
              <w:t>14.3</w:t>
            </w:r>
          </w:p>
        </w:tc>
        <w:tc>
          <w:tcPr>
            <w:tcW w:w="396" w:type="pct"/>
            <w:vAlign w:val="center"/>
          </w:tcPr>
          <w:p w14:paraId="09E00C4C" w14:textId="77777777" w:rsidR="00054437" w:rsidRPr="000549B1" w:rsidRDefault="00000000">
            <w:pPr>
              <w:jc w:val="center"/>
            </w:pPr>
            <w:r w:rsidRPr="000549B1">
              <w:t>7.57</w:t>
            </w:r>
          </w:p>
        </w:tc>
        <w:tc>
          <w:tcPr>
            <w:tcW w:w="520" w:type="pct"/>
            <w:vAlign w:val="center"/>
          </w:tcPr>
          <w:p w14:paraId="734477F4" w14:textId="77777777" w:rsidR="00054437" w:rsidRPr="000549B1" w:rsidRDefault="00000000">
            <w:pPr>
              <w:jc w:val="center"/>
            </w:pPr>
            <w:r w:rsidRPr="000549B1">
              <w:t>459</w:t>
            </w:r>
          </w:p>
        </w:tc>
        <w:tc>
          <w:tcPr>
            <w:tcW w:w="1095" w:type="pct"/>
            <w:vAlign w:val="center"/>
          </w:tcPr>
          <w:p w14:paraId="24BABC43" w14:textId="77777777" w:rsidR="00054437" w:rsidRPr="000549B1" w:rsidRDefault="00000000">
            <w:pPr>
              <w:jc w:val="center"/>
            </w:pPr>
            <w:r w:rsidRPr="000549B1">
              <w:t>砾石、粗砂</w:t>
            </w:r>
          </w:p>
        </w:tc>
      </w:tr>
      <w:tr w:rsidR="000549B1" w:rsidRPr="000549B1" w14:paraId="772269A0" w14:textId="77777777">
        <w:trPr>
          <w:trHeight w:val="397"/>
          <w:jc w:val="center"/>
        </w:trPr>
        <w:tc>
          <w:tcPr>
            <w:tcW w:w="310" w:type="pct"/>
            <w:vMerge/>
            <w:vAlign w:val="center"/>
          </w:tcPr>
          <w:p w14:paraId="49F1E814" w14:textId="77777777" w:rsidR="00054437" w:rsidRPr="000549B1" w:rsidRDefault="00054437">
            <w:pPr>
              <w:jc w:val="center"/>
            </w:pPr>
          </w:p>
        </w:tc>
        <w:tc>
          <w:tcPr>
            <w:tcW w:w="1313" w:type="pct"/>
            <w:vAlign w:val="center"/>
          </w:tcPr>
          <w:p w14:paraId="60613688" w14:textId="77777777" w:rsidR="00054437" w:rsidRPr="000549B1" w:rsidRDefault="00000000">
            <w:pPr>
              <w:jc w:val="center"/>
            </w:pPr>
            <w:r w:rsidRPr="000549B1">
              <w:t>切吉水库</w:t>
            </w:r>
          </w:p>
        </w:tc>
        <w:tc>
          <w:tcPr>
            <w:tcW w:w="454" w:type="pct"/>
            <w:vAlign w:val="center"/>
          </w:tcPr>
          <w:p w14:paraId="0C75F57F" w14:textId="77777777" w:rsidR="00054437" w:rsidRPr="000549B1" w:rsidRDefault="00000000">
            <w:pPr>
              <w:jc w:val="center"/>
            </w:pPr>
            <w:r w:rsidRPr="000549B1">
              <w:t>0</w:t>
            </w:r>
          </w:p>
        </w:tc>
        <w:tc>
          <w:tcPr>
            <w:tcW w:w="425" w:type="pct"/>
            <w:vAlign w:val="center"/>
          </w:tcPr>
          <w:p w14:paraId="2457C6CE" w14:textId="77777777" w:rsidR="00054437" w:rsidRPr="000549B1" w:rsidRDefault="00000000">
            <w:pPr>
              <w:jc w:val="center"/>
            </w:pPr>
            <w:r w:rsidRPr="000549B1">
              <w:t>7.84</w:t>
            </w:r>
          </w:p>
        </w:tc>
        <w:tc>
          <w:tcPr>
            <w:tcW w:w="484" w:type="pct"/>
            <w:vAlign w:val="center"/>
          </w:tcPr>
          <w:p w14:paraId="5672931E" w14:textId="77777777" w:rsidR="00054437" w:rsidRPr="000549B1" w:rsidRDefault="00000000">
            <w:pPr>
              <w:jc w:val="center"/>
            </w:pPr>
            <w:r w:rsidRPr="000549B1">
              <w:t>18.1</w:t>
            </w:r>
          </w:p>
        </w:tc>
        <w:tc>
          <w:tcPr>
            <w:tcW w:w="396" w:type="pct"/>
            <w:vAlign w:val="center"/>
          </w:tcPr>
          <w:p w14:paraId="0482CE47" w14:textId="77777777" w:rsidR="00054437" w:rsidRPr="000549B1" w:rsidRDefault="00000000">
            <w:pPr>
              <w:jc w:val="center"/>
            </w:pPr>
            <w:r w:rsidRPr="000549B1">
              <w:t>7.94</w:t>
            </w:r>
          </w:p>
        </w:tc>
        <w:tc>
          <w:tcPr>
            <w:tcW w:w="520" w:type="pct"/>
            <w:vAlign w:val="center"/>
          </w:tcPr>
          <w:p w14:paraId="29302E3F" w14:textId="77777777" w:rsidR="00054437" w:rsidRPr="000549B1" w:rsidRDefault="00000000">
            <w:pPr>
              <w:jc w:val="center"/>
            </w:pPr>
            <w:r w:rsidRPr="000549B1">
              <w:t>467</w:t>
            </w:r>
          </w:p>
        </w:tc>
        <w:tc>
          <w:tcPr>
            <w:tcW w:w="1095" w:type="pct"/>
            <w:vAlign w:val="center"/>
          </w:tcPr>
          <w:p w14:paraId="386AE00F" w14:textId="77777777" w:rsidR="00054437" w:rsidRPr="000549B1" w:rsidRDefault="00000000">
            <w:pPr>
              <w:jc w:val="center"/>
            </w:pPr>
            <w:r w:rsidRPr="000549B1">
              <w:t>/</w:t>
            </w:r>
          </w:p>
        </w:tc>
      </w:tr>
      <w:tr w:rsidR="000549B1" w:rsidRPr="000549B1" w14:paraId="7957FB86" w14:textId="77777777">
        <w:trPr>
          <w:trHeight w:val="397"/>
          <w:jc w:val="center"/>
        </w:trPr>
        <w:tc>
          <w:tcPr>
            <w:tcW w:w="310" w:type="pct"/>
            <w:vMerge/>
            <w:vAlign w:val="center"/>
          </w:tcPr>
          <w:p w14:paraId="7E3B1895" w14:textId="77777777" w:rsidR="00054437" w:rsidRPr="000549B1" w:rsidRDefault="00054437">
            <w:pPr>
              <w:jc w:val="center"/>
            </w:pPr>
          </w:p>
        </w:tc>
        <w:tc>
          <w:tcPr>
            <w:tcW w:w="1313" w:type="pct"/>
            <w:vAlign w:val="center"/>
          </w:tcPr>
          <w:p w14:paraId="3C2AF6E7" w14:textId="77777777" w:rsidR="00054437" w:rsidRPr="000549B1" w:rsidRDefault="00000000">
            <w:pPr>
              <w:jc w:val="center"/>
            </w:pPr>
            <w:r w:rsidRPr="000549B1">
              <w:t>切吉河下游</w:t>
            </w:r>
          </w:p>
        </w:tc>
        <w:tc>
          <w:tcPr>
            <w:tcW w:w="454" w:type="pct"/>
            <w:vAlign w:val="center"/>
          </w:tcPr>
          <w:p w14:paraId="574ECF9D" w14:textId="77777777" w:rsidR="00054437" w:rsidRPr="000549B1" w:rsidRDefault="00000000">
            <w:pPr>
              <w:jc w:val="center"/>
            </w:pPr>
            <w:r w:rsidRPr="000549B1">
              <w:t>0.791</w:t>
            </w:r>
          </w:p>
        </w:tc>
        <w:tc>
          <w:tcPr>
            <w:tcW w:w="425" w:type="pct"/>
            <w:vAlign w:val="center"/>
          </w:tcPr>
          <w:p w14:paraId="057F8FC2" w14:textId="77777777" w:rsidR="00054437" w:rsidRPr="000549B1" w:rsidRDefault="00000000">
            <w:pPr>
              <w:jc w:val="center"/>
            </w:pPr>
            <w:r w:rsidRPr="000549B1">
              <w:t>6.03</w:t>
            </w:r>
          </w:p>
        </w:tc>
        <w:tc>
          <w:tcPr>
            <w:tcW w:w="484" w:type="pct"/>
            <w:vAlign w:val="center"/>
          </w:tcPr>
          <w:p w14:paraId="09BAB12A" w14:textId="77777777" w:rsidR="00054437" w:rsidRPr="000549B1" w:rsidRDefault="00000000">
            <w:pPr>
              <w:jc w:val="center"/>
            </w:pPr>
            <w:r w:rsidRPr="000549B1">
              <w:t>23.8</w:t>
            </w:r>
          </w:p>
        </w:tc>
        <w:tc>
          <w:tcPr>
            <w:tcW w:w="396" w:type="pct"/>
            <w:vAlign w:val="center"/>
          </w:tcPr>
          <w:p w14:paraId="5A2B47C3" w14:textId="77777777" w:rsidR="00054437" w:rsidRPr="000549B1" w:rsidRDefault="00000000">
            <w:pPr>
              <w:jc w:val="center"/>
            </w:pPr>
            <w:r w:rsidRPr="000549B1">
              <w:t>7.83</w:t>
            </w:r>
          </w:p>
        </w:tc>
        <w:tc>
          <w:tcPr>
            <w:tcW w:w="520" w:type="pct"/>
            <w:vAlign w:val="center"/>
          </w:tcPr>
          <w:p w14:paraId="496CE3D3" w14:textId="77777777" w:rsidR="00054437" w:rsidRPr="000549B1" w:rsidRDefault="00000000">
            <w:pPr>
              <w:jc w:val="center"/>
            </w:pPr>
            <w:r w:rsidRPr="000549B1">
              <w:t>422</w:t>
            </w:r>
          </w:p>
        </w:tc>
        <w:tc>
          <w:tcPr>
            <w:tcW w:w="1095" w:type="pct"/>
            <w:vAlign w:val="center"/>
          </w:tcPr>
          <w:p w14:paraId="716CE346" w14:textId="77777777" w:rsidR="00054437" w:rsidRPr="000549B1" w:rsidRDefault="00000000">
            <w:pPr>
              <w:jc w:val="center"/>
            </w:pPr>
            <w:r w:rsidRPr="000549B1">
              <w:t>卵石、砾石、粗砂</w:t>
            </w:r>
          </w:p>
        </w:tc>
      </w:tr>
      <w:tr w:rsidR="000549B1" w:rsidRPr="000549B1" w14:paraId="7C31064F" w14:textId="77777777">
        <w:trPr>
          <w:trHeight w:val="397"/>
          <w:jc w:val="center"/>
        </w:trPr>
        <w:tc>
          <w:tcPr>
            <w:tcW w:w="310" w:type="pct"/>
            <w:vMerge w:val="restart"/>
            <w:vAlign w:val="center"/>
          </w:tcPr>
          <w:p w14:paraId="3F5930B3" w14:textId="77777777" w:rsidR="00054437" w:rsidRPr="000549B1" w:rsidRDefault="00000000">
            <w:pPr>
              <w:jc w:val="center"/>
            </w:pPr>
            <w:r w:rsidRPr="000549B1">
              <w:t>沙珠玉河</w:t>
            </w:r>
          </w:p>
        </w:tc>
        <w:tc>
          <w:tcPr>
            <w:tcW w:w="1313" w:type="pct"/>
            <w:vAlign w:val="center"/>
          </w:tcPr>
          <w:p w14:paraId="5BAE27F4" w14:textId="77777777" w:rsidR="00054437" w:rsidRPr="000549B1" w:rsidRDefault="00000000">
            <w:pPr>
              <w:jc w:val="center"/>
            </w:pPr>
            <w:r w:rsidRPr="000549B1">
              <w:t>曲黑格木</w:t>
            </w:r>
          </w:p>
        </w:tc>
        <w:tc>
          <w:tcPr>
            <w:tcW w:w="454" w:type="pct"/>
            <w:vAlign w:val="center"/>
          </w:tcPr>
          <w:p w14:paraId="433FAF2E" w14:textId="77777777" w:rsidR="00054437" w:rsidRPr="000549B1" w:rsidRDefault="00000000">
            <w:pPr>
              <w:jc w:val="center"/>
            </w:pPr>
            <w:r w:rsidRPr="000549B1">
              <w:t>0.297</w:t>
            </w:r>
          </w:p>
        </w:tc>
        <w:tc>
          <w:tcPr>
            <w:tcW w:w="425" w:type="pct"/>
            <w:vAlign w:val="center"/>
          </w:tcPr>
          <w:p w14:paraId="7D3054FE" w14:textId="77777777" w:rsidR="00054437" w:rsidRPr="000549B1" w:rsidRDefault="00000000">
            <w:pPr>
              <w:jc w:val="center"/>
            </w:pPr>
            <w:r w:rsidRPr="000549B1">
              <w:t>6.10</w:t>
            </w:r>
          </w:p>
        </w:tc>
        <w:tc>
          <w:tcPr>
            <w:tcW w:w="484" w:type="pct"/>
            <w:vAlign w:val="center"/>
          </w:tcPr>
          <w:p w14:paraId="423999F2" w14:textId="77777777" w:rsidR="00054437" w:rsidRPr="000549B1" w:rsidRDefault="00000000">
            <w:pPr>
              <w:jc w:val="center"/>
            </w:pPr>
            <w:r w:rsidRPr="000549B1">
              <w:t>25.9</w:t>
            </w:r>
          </w:p>
        </w:tc>
        <w:tc>
          <w:tcPr>
            <w:tcW w:w="396" w:type="pct"/>
            <w:vAlign w:val="center"/>
          </w:tcPr>
          <w:p w14:paraId="36D3B48D" w14:textId="77777777" w:rsidR="00054437" w:rsidRPr="000549B1" w:rsidRDefault="00000000">
            <w:pPr>
              <w:jc w:val="center"/>
            </w:pPr>
            <w:r w:rsidRPr="000549B1">
              <w:t>7.96</w:t>
            </w:r>
          </w:p>
        </w:tc>
        <w:tc>
          <w:tcPr>
            <w:tcW w:w="520" w:type="pct"/>
            <w:vAlign w:val="center"/>
          </w:tcPr>
          <w:p w14:paraId="72C264AE" w14:textId="77777777" w:rsidR="00054437" w:rsidRPr="000549B1" w:rsidRDefault="00000000">
            <w:pPr>
              <w:jc w:val="center"/>
            </w:pPr>
            <w:r w:rsidRPr="000549B1">
              <w:t>756</w:t>
            </w:r>
          </w:p>
        </w:tc>
        <w:tc>
          <w:tcPr>
            <w:tcW w:w="1095" w:type="pct"/>
            <w:vAlign w:val="center"/>
          </w:tcPr>
          <w:p w14:paraId="269D50C9" w14:textId="77777777" w:rsidR="00054437" w:rsidRPr="000549B1" w:rsidRDefault="00000000">
            <w:pPr>
              <w:jc w:val="center"/>
            </w:pPr>
            <w:r w:rsidRPr="000549B1">
              <w:t>泥沙、粗砂</w:t>
            </w:r>
          </w:p>
        </w:tc>
      </w:tr>
      <w:tr w:rsidR="000549B1" w:rsidRPr="000549B1" w14:paraId="29A9E017" w14:textId="77777777">
        <w:trPr>
          <w:trHeight w:val="397"/>
          <w:jc w:val="center"/>
        </w:trPr>
        <w:tc>
          <w:tcPr>
            <w:tcW w:w="310" w:type="pct"/>
            <w:vMerge/>
            <w:vAlign w:val="center"/>
          </w:tcPr>
          <w:p w14:paraId="7FCBF5FD" w14:textId="77777777" w:rsidR="00054437" w:rsidRPr="000549B1" w:rsidRDefault="00054437">
            <w:pPr>
              <w:jc w:val="center"/>
            </w:pPr>
          </w:p>
        </w:tc>
        <w:tc>
          <w:tcPr>
            <w:tcW w:w="1313" w:type="pct"/>
            <w:vAlign w:val="center"/>
          </w:tcPr>
          <w:p w14:paraId="4EA8DD53" w14:textId="77777777" w:rsidR="00054437" w:rsidRPr="000549B1" w:rsidRDefault="00000000">
            <w:pPr>
              <w:jc w:val="center"/>
            </w:pPr>
            <w:r w:rsidRPr="000549B1">
              <w:t>浪娘村桥下</w:t>
            </w:r>
          </w:p>
        </w:tc>
        <w:tc>
          <w:tcPr>
            <w:tcW w:w="454" w:type="pct"/>
            <w:vAlign w:val="center"/>
          </w:tcPr>
          <w:p w14:paraId="3F3FA114" w14:textId="77777777" w:rsidR="00054437" w:rsidRPr="000549B1" w:rsidRDefault="00000000">
            <w:pPr>
              <w:jc w:val="center"/>
            </w:pPr>
            <w:r w:rsidRPr="000549B1">
              <w:t>0.429</w:t>
            </w:r>
          </w:p>
        </w:tc>
        <w:tc>
          <w:tcPr>
            <w:tcW w:w="425" w:type="pct"/>
            <w:vAlign w:val="center"/>
          </w:tcPr>
          <w:p w14:paraId="071353A3" w14:textId="77777777" w:rsidR="00054437" w:rsidRPr="000549B1" w:rsidRDefault="00000000">
            <w:pPr>
              <w:jc w:val="center"/>
            </w:pPr>
            <w:r w:rsidRPr="000549B1">
              <w:t>6.93</w:t>
            </w:r>
          </w:p>
        </w:tc>
        <w:tc>
          <w:tcPr>
            <w:tcW w:w="484" w:type="pct"/>
            <w:vAlign w:val="center"/>
          </w:tcPr>
          <w:p w14:paraId="0B7C3FC0" w14:textId="77777777" w:rsidR="00054437" w:rsidRPr="000549B1" w:rsidRDefault="00000000">
            <w:pPr>
              <w:jc w:val="center"/>
            </w:pPr>
            <w:r w:rsidRPr="000549B1">
              <w:t>19.0</w:t>
            </w:r>
          </w:p>
        </w:tc>
        <w:tc>
          <w:tcPr>
            <w:tcW w:w="396" w:type="pct"/>
            <w:vAlign w:val="center"/>
          </w:tcPr>
          <w:p w14:paraId="38A670AF" w14:textId="77777777" w:rsidR="00054437" w:rsidRPr="000549B1" w:rsidRDefault="00000000">
            <w:pPr>
              <w:jc w:val="center"/>
            </w:pPr>
            <w:r w:rsidRPr="000549B1">
              <w:t>7.89</w:t>
            </w:r>
          </w:p>
        </w:tc>
        <w:tc>
          <w:tcPr>
            <w:tcW w:w="520" w:type="pct"/>
            <w:vAlign w:val="center"/>
          </w:tcPr>
          <w:p w14:paraId="643DAB6F" w14:textId="77777777" w:rsidR="00054437" w:rsidRPr="000549B1" w:rsidRDefault="00000000">
            <w:pPr>
              <w:jc w:val="center"/>
            </w:pPr>
            <w:r w:rsidRPr="000549B1">
              <w:t>843</w:t>
            </w:r>
          </w:p>
        </w:tc>
        <w:tc>
          <w:tcPr>
            <w:tcW w:w="1095" w:type="pct"/>
            <w:vAlign w:val="center"/>
          </w:tcPr>
          <w:p w14:paraId="2CE6B491" w14:textId="77777777" w:rsidR="00054437" w:rsidRPr="000549B1" w:rsidRDefault="00000000">
            <w:pPr>
              <w:jc w:val="center"/>
            </w:pPr>
            <w:r w:rsidRPr="000549B1">
              <w:t>泥沙、粗砂</w:t>
            </w:r>
          </w:p>
        </w:tc>
      </w:tr>
      <w:tr w:rsidR="000549B1" w:rsidRPr="000549B1" w14:paraId="37884A2C" w14:textId="77777777">
        <w:trPr>
          <w:trHeight w:val="397"/>
          <w:jc w:val="center"/>
        </w:trPr>
        <w:tc>
          <w:tcPr>
            <w:tcW w:w="310" w:type="pct"/>
            <w:vMerge/>
            <w:vAlign w:val="center"/>
          </w:tcPr>
          <w:p w14:paraId="75069BC8" w14:textId="77777777" w:rsidR="00054437" w:rsidRPr="000549B1" w:rsidRDefault="00054437">
            <w:pPr>
              <w:jc w:val="center"/>
            </w:pPr>
          </w:p>
        </w:tc>
        <w:tc>
          <w:tcPr>
            <w:tcW w:w="1313" w:type="pct"/>
            <w:vAlign w:val="center"/>
          </w:tcPr>
          <w:p w14:paraId="19934829" w14:textId="77777777" w:rsidR="00054437" w:rsidRPr="000549B1" w:rsidRDefault="00000000">
            <w:pPr>
              <w:jc w:val="center"/>
            </w:pPr>
            <w:r w:rsidRPr="000549B1">
              <w:t>沙珠玉河下游</w:t>
            </w:r>
          </w:p>
        </w:tc>
        <w:tc>
          <w:tcPr>
            <w:tcW w:w="454" w:type="pct"/>
            <w:vAlign w:val="center"/>
          </w:tcPr>
          <w:p w14:paraId="42441427" w14:textId="77777777" w:rsidR="00054437" w:rsidRPr="000549B1" w:rsidRDefault="00000000">
            <w:pPr>
              <w:jc w:val="center"/>
            </w:pPr>
            <w:r w:rsidRPr="000549B1">
              <w:t>0.342</w:t>
            </w:r>
          </w:p>
        </w:tc>
        <w:tc>
          <w:tcPr>
            <w:tcW w:w="425" w:type="pct"/>
            <w:vAlign w:val="center"/>
          </w:tcPr>
          <w:p w14:paraId="48C5EC0B" w14:textId="77777777" w:rsidR="00054437" w:rsidRPr="000549B1" w:rsidRDefault="00000000">
            <w:pPr>
              <w:jc w:val="center"/>
            </w:pPr>
            <w:r w:rsidRPr="000549B1">
              <w:t>6.87</w:t>
            </w:r>
          </w:p>
        </w:tc>
        <w:tc>
          <w:tcPr>
            <w:tcW w:w="484" w:type="pct"/>
            <w:vAlign w:val="center"/>
          </w:tcPr>
          <w:p w14:paraId="6BFD2D99" w14:textId="77777777" w:rsidR="00054437" w:rsidRPr="000549B1" w:rsidRDefault="00000000">
            <w:pPr>
              <w:jc w:val="center"/>
            </w:pPr>
            <w:r w:rsidRPr="000549B1">
              <w:t>12.3</w:t>
            </w:r>
          </w:p>
        </w:tc>
        <w:tc>
          <w:tcPr>
            <w:tcW w:w="396" w:type="pct"/>
            <w:vAlign w:val="center"/>
          </w:tcPr>
          <w:p w14:paraId="6ACB2AFC" w14:textId="77777777" w:rsidR="00054437" w:rsidRPr="000549B1" w:rsidRDefault="00000000">
            <w:pPr>
              <w:jc w:val="center"/>
            </w:pPr>
            <w:r w:rsidRPr="000549B1">
              <w:t>8.15</w:t>
            </w:r>
          </w:p>
        </w:tc>
        <w:tc>
          <w:tcPr>
            <w:tcW w:w="520" w:type="pct"/>
            <w:vAlign w:val="center"/>
          </w:tcPr>
          <w:p w14:paraId="0F3CEEAD" w14:textId="77777777" w:rsidR="00054437" w:rsidRPr="000549B1" w:rsidRDefault="00000000">
            <w:pPr>
              <w:jc w:val="center"/>
            </w:pPr>
            <w:r w:rsidRPr="000549B1">
              <w:t>342</w:t>
            </w:r>
          </w:p>
        </w:tc>
        <w:tc>
          <w:tcPr>
            <w:tcW w:w="1095" w:type="pct"/>
            <w:vAlign w:val="center"/>
          </w:tcPr>
          <w:p w14:paraId="2F9D1055" w14:textId="77777777" w:rsidR="00054437" w:rsidRPr="000549B1" w:rsidRDefault="00000000">
            <w:pPr>
              <w:jc w:val="center"/>
            </w:pPr>
            <w:r w:rsidRPr="000549B1">
              <w:t>泥沙</w:t>
            </w:r>
          </w:p>
        </w:tc>
      </w:tr>
    </w:tbl>
    <w:p w14:paraId="029243CB" w14:textId="77777777" w:rsidR="00054437" w:rsidRPr="000549B1" w:rsidRDefault="00000000">
      <w:pPr>
        <w:widowControl/>
        <w:adjustRightInd w:val="0"/>
        <w:snapToGrid w:val="0"/>
        <w:spacing w:beforeLines="50" w:before="156" w:line="360" w:lineRule="auto"/>
        <w:jc w:val="center"/>
        <w:rPr>
          <w:kern w:val="0"/>
        </w:rPr>
      </w:pPr>
      <w:bookmarkStart w:id="284" w:name="_Hlk82007402"/>
      <w:r w:rsidRPr="000549B1">
        <w:rPr>
          <w:noProof/>
          <w:kern w:val="0"/>
        </w:rPr>
        <w:drawing>
          <wp:inline distT="0" distB="0" distL="0" distR="0" wp14:anchorId="00C375FB" wp14:editId="1EBF71CA">
            <wp:extent cx="5274310" cy="3726180"/>
            <wp:effectExtent l="0" t="0" r="2540" b="7620"/>
            <wp:docPr id="5143656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365626" name="图片 1"/>
                    <pic:cNvPicPr>
                      <a:picLocks noChangeAspect="1" noChangeArrowheads="1"/>
                    </pic:cNvPicPr>
                  </pic:nvPicPr>
                  <pic:blipFill>
                    <a:blip r:embed="rId148" cstate="email">
                      <a:extLst>
                        <a:ext uri="{28A0092B-C50C-407E-A947-70E740481C1C}">
                          <a14:useLocalDpi xmlns:a14="http://schemas.microsoft.com/office/drawing/2010/main"/>
                        </a:ext>
                      </a:extLst>
                    </a:blip>
                    <a:srcRect/>
                    <a:stretch>
                      <a:fillRect/>
                    </a:stretch>
                  </pic:blipFill>
                  <pic:spPr>
                    <a:xfrm>
                      <a:off x="0" y="0"/>
                      <a:ext cx="5274310" cy="3726180"/>
                    </a:xfrm>
                    <a:prstGeom prst="rect">
                      <a:avLst/>
                    </a:prstGeom>
                    <a:noFill/>
                    <a:ln>
                      <a:noFill/>
                    </a:ln>
                  </pic:spPr>
                </pic:pic>
              </a:graphicData>
            </a:graphic>
          </wp:inline>
        </w:drawing>
      </w:r>
    </w:p>
    <w:p w14:paraId="403F7300" w14:textId="5BD0E725" w:rsidR="00054437" w:rsidRPr="000549B1" w:rsidRDefault="00000000">
      <w:pPr>
        <w:pStyle w:val="0A51"/>
        <w:ind w:firstLine="422"/>
      </w:pPr>
      <w:bookmarkStart w:id="285" w:name="_Ref214960545"/>
      <w:r w:rsidRPr="000549B1">
        <w:t>图</w:t>
      </w:r>
      <w:fldSimple w:instr=" STYLEREF 2 \s ">
        <w:r w:rsidR="00F32CCA">
          <w:rPr>
            <w:noProof/>
          </w:rPr>
          <w:t>3.6</w:t>
        </w:r>
      </w:fldSimple>
      <w:r w:rsidR="00F1314B">
        <w:noBreakHyphen/>
      </w:r>
      <w:r w:rsidR="00F1314B">
        <w:fldChar w:fldCharType="begin"/>
      </w:r>
      <w:r w:rsidR="00F1314B">
        <w:instrText xml:space="preserve"> SEQ </w:instrText>
      </w:r>
      <w:r w:rsidR="00F1314B">
        <w:instrText>图</w:instrText>
      </w:r>
      <w:r w:rsidR="00F1314B">
        <w:instrText xml:space="preserve"> \* ARABIC \s 2 </w:instrText>
      </w:r>
      <w:r w:rsidR="00F1314B">
        <w:fldChar w:fldCharType="separate"/>
      </w:r>
      <w:r w:rsidR="00F32CCA">
        <w:rPr>
          <w:noProof/>
        </w:rPr>
        <w:t>1</w:t>
      </w:r>
      <w:r w:rsidR="00F1314B">
        <w:fldChar w:fldCharType="end"/>
      </w:r>
      <w:bookmarkEnd w:id="285"/>
      <w:r w:rsidRPr="000549B1">
        <w:t>采样断面位置分布图</w:t>
      </w:r>
    </w:p>
    <w:p w14:paraId="5D2B9FF1" w14:textId="77777777" w:rsidR="00054437" w:rsidRPr="000549B1" w:rsidRDefault="00000000">
      <w:pPr>
        <w:spacing w:line="500" w:lineRule="exact"/>
        <w:ind w:firstLineChars="200" w:firstLine="482"/>
        <w:jc w:val="left"/>
        <w:rPr>
          <w:sz w:val="24"/>
        </w:rPr>
      </w:pPr>
      <w:bookmarkStart w:id="286" w:name="_Toc22967"/>
      <w:bookmarkStart w:id="287" w:name="_Toc205902020"/>
      <w:bookmarkStart w:id="288" w:name="_Toc207702781"/>
      <w:r w:rsidRPr="000549B1">
        <w:rPr>
          <w:b/>
          <w:bCs/>
          <w:sz w:val="24"/>
        </w:rPr>
        <w:t>（</w:t>
      </w:r>
      <w:r w:rsidRPr="000549B1">
        <w:rPr>
          <w:b/>
          <w:bCs/>
          <w:sz w:val="24"/>
        </w:rPr>
        <w:t>3</w:t>
      </w:r>
      <w:r w:rsidRPr="000549B1">
        <w:rPr>
          <w:b/>
          <w:bCs/>
          <w:sz w:val="24"/>
        </w:rPr>
        <w:t>）</w:t>
      </w:r>
      <w:r w:rsidRPr="000549B1">
        <w:rPr>
          <w:sz w:val="24"/>
        </w:rPr>
        <w:t>调查生境现状</w:t>
      </w:r>
      <w:bookmarkEnd w:id="286"/>
      <w:bookmarkEnd w:id="287"/>
      <w:bookmarkEnd w:id="288"/>
    </w:p>
    <w:p w14:paraId="6DA3C254" w14:textId="77777777" w:rsidR="00054437" w:rsidRPr="000549B1" w:rsidRDefault="00000000">
      <w:pPr>
        <w:spacing w:line="500" w:lineRule="exact"/>
        <w:ind w:firstLine="482"/>
        <w:rPr>
          <w:kern w:val="0"/>
          <w:sz w:val="24"/>
          <w:szCs w:val="44"/>
        </w:rPr>
      </w:pPr>
      <w:r w:rsidRPr="000549B1">
        <w:rPr>
          <w:kern w:val="0"/>
          <w:sz w:val="24"/>
          <w:szCs w:val="44"/>
        </w:rPr>
        <w:t>1</w:t>
      </w:r>
      <w:r w:rsidRPr="000549B1">
        <w:rPr>
          <w:kern w:val="0"/>
          <w:sz w:val="24"/>
          <w:szCs w:val="44"/>
        </w:rPr>
        <w:t>）切吉河生境</w:t>
      </w:r>
    </w:p>
    <w:p w14:paraId="3E63124B" w14:textId="77777777" w:rsidR="00054437" w:rsidRPr="000549B1" w:rsidRDefault="00000000">
      <w:pPr>
        <w:spacing w:line="500" w:lineRule="exact"/>
        <w:ind w:firstLine="482"/>
        <w:rPr>
          <w:kern w:val="0"/>
          <w:sz w:val="24"/>
          <w:szCs w:val="44"/>
        </w:rPr>
      </w:pPr>
      <w:r w:rsidRPr="000549B1">
        <w:rPr>
          <w:rFonts w:ascii="宋体" w:hAnsi="宋体" w:cs="宋体" w:hint="eastAsia"/>
          <w:kern w:val="0"/>
          <w:sz w:val="24"/>
          <w:szCs w:val="44"/>
        </w:rPr>
        <w:t>①</w:t>
      </w:r>
      <w:r w:rsidRPr="000549B1">
        <w:rPr>
          <w:kern w:val="0"/>
          <w:sz w:val="24"/>
          <w:szCs w:val="44"/>
        </w:rPr>
        <w:t>切吉水库上游</w:t>
      </w:r>
    </w:p>
    <w:p w14:paraId="79C191CC" w14:textId="77777777" w:rsidR="00054437" w:rsidRPr="000549B1" w:rsidRDefault="00000000">
      <w:pPr>
        <w:spacing w:line="500" w:lineRule="exact"/>
        <w:ind w:firstLine="482"/>
        <w:rPr>
          <w:kern w:val="0"/>
          <w:sz w:val="24"/>
          <w:szCs w:val="44"/>
        </w:rPr>
      </w:pPr>
      <w:r w:rsidRPr="000549B1">
        <w:rPr>
          <w:kern w:val="0"/>
          <w:sz w:val="24"/>
          <w:szCs w:val="44"/>
        </w:rPr>
        <w:t>该断面河宽约</w:t>
      </w:r>
      <w:r w:rsidRPr="000549B1">
        <w:rPr>
          <w:kern w:val="0"/>
          <w:sz w:val="24"/>
          <w:szCs w:val="44"/>
        </w:rPr>
        <w:t>6m</w:t>
      </w:r>
      <w:r w:rsidRPr="000549B1">
        <w:rPr>
          <w:kern w:val="0"/>
          <w:sz w:val="24"/>
          <w:szCs w:val="44"/>
        </w:rPr>
        <w:t>，河道蜿蜒，水体透明，清澈见底，河床底质由泥沙和粗砂组成，水流较缓，右岸水深大于</w:t>
      </w:r>
      <w:r w:rsidRPr="000549B1">
        <w:rPr>
          <w:kern w:val="0"/>
          <w:sz w:val="24"/>
          <w:szCs w:val="44"/>
        </w:rPr>
        <w:t>30m</w:t>
      </w:r>
      <w:r w:rsidRPr="000549B1">
        <w:rPr>
          <w:kern w:val="0"/>
          <w:sz w:val="24"/>
          <w:szCs w:val="44"/>
        </w:rPr>
        <w:t>，湿周植被覆盖度较高，为放牧区，生境状况适宜。</w:t>
      </w:r>
    </w:p>
    <w:p w14:paraId="1203350D" w14:textId="77777777" w:rsidR="00054437" w:rsidRPr="000549B1" w:rsidRDefault="00000000">
      <w:pPr>
        <w:widowControl/>
        <w:adjustRightInd w:val="0"/>
        <w:snapToGrid w:val="0"/>
        <w:spacing w:line="384" w:lineRule="auto"/>
        <w:jc w:val="center"/>
        <w:rPr>
          <w:kern w:val="0"/>
          <w:sz w:val="24"/>
        </w:rPr>
      </w:pPr>
      <w:r w:rsidRPr="000549B1">
        <w:rPr>
          <w:noProof/>
        </w:rPr>
        <w:drawing>
          <wp:inline distT="0" distB="0" distL="0" distR="0" wp14:anchorId="24EBC02B" wp14:editId="2E917EEF">
            <wp:extent cx="2562860" cy="1707515"/>
            <wp:effectExtent l="0" t="0" r="8890" b="6985"/>
            <wp:docPr id="131091333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913335" name="图片 11"/>
                    <pic:cNvPicPr>
                      <a:picLocks noChangeAspect="1" noChangeArrowheads="1"/>
                    </pic:cNvPicPr>
                  </pic:nvPicPr>
                  <pic:blipFill>
                    <a:blip r:embed="rId149" cstate="email">
                      <a:extLst>
                        <a:ext uri="{28A0092B-C50C-407E-A947-70E740481C1C}">
                          <a14:useLocalDpi xmlns:a14="http://schemas.microsoft.com/office/drawing/2010/main"/>
                        </a:ext>
                      </a:extLst>
                    </a:blip>
                    <a:srcRect/>
                    <a:stretch>
                      <a:fillRect/>
                    </a:stretch>
                  </pic:blipFill>
                  <pic:spPr>
                    <a:xfrm>
                      <a:off x="0" y="0"/>
                      <a:ext cx="2563200" cy="1708080"/>
                    </a:xfrm>
                    <a:prstGeom prst="rect">
                      <a:avLst/>
                    </a:prstGeom>
                    <a:noFill/>
                    <a:ln>
                      <a:noFill/>
                    </a:ln>
                  </pic:spPr>
                </pic:pic>
              </a:graphicData>
            </a:graphic>
          </wp:inline>
        </w:drawing>
      </w:r>
      <w:r w:rsidRPr="000549B1">
        <w:rPr>
          <w:noProof/>
        </w:rPr>
        <w:drawing>
          <wp:inline distT="0" distB="0" distL="0" distR="0" wp14:anchorId="12570204" wp14:editId="1AE06BBA">
            <wp:extent cx="2510155" cy="1707515"/>
            <wp:effectExtent l="0" t="0" r="4445" b="6985"/>
            <wp:docPr id="1673040687"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040687" name="图片 12"/>
                    <pic:cNvPicPr>
                      <a:picLocks noChangeAspect="1" noChangeArrowheads="1"/>
                    </pic:cNvPicPr>
                  </pic:nvPicPr>
                  <pic:blipFill>
                    <a:blip r:embed="rId150" cstate="email">
                      <a:extLst>
                        <a:ext uri="{28A0092B-C50C-407E-A947-70E740481C1C}">
                          <a14:useLocalDpi xmlns:a14="http://schemas.microsoft.com/office/drawing/2010/main"/>
                        </a:ext>
                      </a:extLst>
                    </a:blip>
                    <a:srcRect/>
                    <a:stretch>
                      <a:fillRect/>
                    </a:stretch>
                  </pic:blipFill>
                  <pic:spPr>
                    <a:xfrm>
                      <a:off x="0" y="0"/>
                      <a:ext cx="2511250" cy="1708170"/>
                    </a:xfrm>
                    <a:prstGeom prst="rect">
                      <a:avLst/>
                    </a:prstGeom>
                    <a:noFill/>
                    <a:ln>
                      <a:noFill/>
                    </a:ln>
                  </pic:spPr>
                </pic:pic>
              </a:graphicData>
            </a:graphic>
          </wp:inline>
        </w:drawing>
      </w:r>
    </w:p>
    <w:p w14:paraId="2016E39B" w14:textId="77777777" w:rsidR="00054437" w:rsidRPr="000549B1" w:rsidRDefault="00000000">
      <w:pPr>
        <w:spacing w:line="500" w:lineRule="exact"/>
        <w:ind w:firstLine="482"/>
        <w:rPr>
          <w:kern w:val="0"/>
          <w:sz w:val="24"/>
          <w:szCs w:val="44"/>
        </w:rPr>
      </w:pPr>
      <w:r w:rsidRPr="000549B1">
        <w:rPr>
          <w:rFonts w:ascii="宋体" w:hAnsi="宋体" w:cs="宋体" w:hint="eastAsia"/>
          <w:kern w:val="0"/>
          <w:sz w:val="24"/>
          <w:szCs w:val="44"/>
        </w:rPr>
        <w:t>②</w:t>
      </w:r>
      <w:r w:rsidRPr="000549B1">
        <w:rPr>
          <w:kern w:val="0"/>
          <w:sz w:val="24"/>
          <w:szCs w:val="44"/>
        </w:rPr>
        <w:t>切吉水库</w:t>
      </w:r>
    </w:p>
    <w:p w14:paraId="29266769" w14:textId="77777777" w:rsidR="00054437" w:rsidRPr="000549B1" w:rsidRDefault="00000000">
      <w:pPr>
        <w:spacing w:line="500" w:lineRule="exact"/>
        <w:ind w:firstLine="482"/>
        <w:rPr>
          <w:kern w:val="0"/>
          <w:sz w:val="24"/>
          <w:szCs w:val="44"/>
        </w:rPr>
      </w:pPr>
      <w:r w:rsidRPr="000549B1">
        <w:rPr>
          <w:kern w:val="0"/>
          <w:sz w:val="24"/>
          <w:szCs w:val="44"/>
        </w:rPr>
        <w:t>库区水面宽广，水流静缓，水体清澈，岸边河床底质为泥沙混合细沙，库区周围可见成群水鸭，生境状况较好，库区河段是鱼类理想的越冬场，库尾河段是鱼类良好的产卵场。</w:t>
      </w:r>
    </w:p>
    <w:p w14:paraId="4159E02A" w14:textId="77777777" w:rsidR="00054437" w:rsidRPr="000549B1" w:rsidRDefault="00000000">
      <w:pPr>
        <w:adjustRightInd w:val="0"/>
        <w:snapToGrid w:val="0"/>
        <w:spacing w:line="384" w:lineRule="auto"/>
        <w:jc w:val="center"/>
        <w:rPr>
          <w:sz w:val="24"/>
        </w:rPr>
      </w:pPr>
      <w:r w:rsidRPr="000549B1">
        <w:rPr>
          <w:noProof/>
        </w:rPr>
        <w:drawing>
          <wp:inline distT="0" distB="0" distL="0" distR="0" wp14:anchorId="0A42B3B1" wp14:editId="6DEC3CAB">
            <wp:extent cx="2562860" cy="1707515"/>
            <wp:effectExtent l="0" t="0" r="8890" b="6985"/>
            <wp:docPr id="187471226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712265" name="图片 13"/>
                    <pic:cNvPicPr>
                      <a:picLocks noChangeAspect="1" noChangeArrowheads="1"/>
                    </pic:cNvPicPr>
                  </pic:nvPicPr>
                  <pic:blipFill>
                    <a:blip r:embed="rId151" cstate="email">
                      <a:extLst>
                        <a:ext uri="{28A0092B-C50C-407E-A947-70E740481C1C}">
                          <a14:useLocalDpi xmlns:a14="http://schemas.microsoft.com/office/drawing/2010/main"/>
                        </a:ext>
                      </a:extLst>
                    </a:blip>
                    <a:srcRect/>
                    <a:stretch>
                      <a:fillRect/>
                    </a:stretch>
                  </pic:blipFill>
                  <pic:spPr>
                    <a:xfrm>
                      <a:off x="0" y="0"/>
                      <a:ext cx="2563200" cy="1708080"/>
                    </a:xfrm>
                    <a:prstGeom prst="rect">
                      <a:avLst/>
                    </a:prstGeom>
                    <a:noFill/>
                    <a:ln>
                      <a:noFill/>
                    </a:ln>
                  </pic:spPr>
                </pic:pic>
              </a:graphicData>
            </a:graphic>
          </wp:inline>
        </w:drawing>
      </w:r>
      <w:r w:rsidRPr="000549B1">
        <w:rPr>
          <w:noProof/>
        </w:rPr>
        <w:drawing>
          <wp:inline distT="0" distB="0" distL="0" distR="0" wp14:anchorId="21FBDFC6" wp14:editId="73DC8521">
            <wp:extent cx="2501265" cy="1707515"/>
            <wp:effectExtent l="0" t="0" r="13335" b="6985"/>
            <wp:docPr id="710913027"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913027" name="图片 14"/>
                    <pic:cNvPicPr>
                      <a:picLocks noChangeAspect="1" noChangeArrowheads="1"/>
                    </pic:cNvPicPr>
                  </pic:nvPicPr>
                  <pic:blipFill>
                    <a:blip r:embed="rId152" cstate="email">
                      <a:extLst>
                        <a:ext uri="{28A0092B-C50C-407E-A947-70E740481C1C}">
                          <a14:useLocalDpi xmlns:a14="http://schemas.microsoft.com/office/drawing/2010/main"/>
                        </a:ext>
                      </a:extLst>
                    </a:blip>
                    <a:srcRect/>
                    <a:stretch>
                      <a:fillRect/>
                    </a:stretch>
                  </pic:blipFill>
                  <pic:spPr>
                    <a:xfrm>
                      <a:off x="0" y="0"/>
                      <a:ext cx="2503702" cy="1708908"/>
                    </a:xfrm>
                    <a:prstGeom prst="rect">
                      <a:avLst/>
                    </a:prstGeom>
                    <a:noFill/>
                    <a:ln>
                      <a:noFill/>
                    </a:ln>
                  </pic:spPr>
                </pic:pic>
              </a:graphicData>
            </a:graphic>
          </wp:inline>
        </w:drawing>
      </w:r>
    </w:p>
    <w:p w14:paraId="2FF98DDD" w14:textId="77777777" w:rsidR="00054437" w:rsidRPr="000549B1" w:rsidRDefault="00000000">
      <w:pPr>
        <w:spacing w:line="500" w:lineRule="exact"/>
        <w:ind w:firstLine="482"/>
        <w:rPr>
          <w:kern w:val="0"/>
          <w:sz w:val="24"/>
          <w:szCs w:val="44"/>
        </w:rPr>
      </w:pPr>
      <w:r w:rsidRPr="000549B1">
        <w:rPr>
          <w:rFonts w:ascii="宋体" w:hAnsi="宋体" w:cs="宋体" w:hint="eastAsia"/>
          <w:kern w:val="0"/>
          <w:sz w:val="24"/>
          <w:szCs w:val="44"/>
        </w:rPr>
        <w:t>③</w:t>
      </w:r>
      <w:r w:rsidRPr="000549B1">
        <w:rPr>
          <w:kern w:val="0"/>
          <w:sz w:val="24"/>
          <w:szCs w:val="44"/>
        </w:rPr>
        <w:t>切吉水库下游</w:t>
      </w:r>
    </w:p>
    <w:p w14:paraId="13C432A0" w14:textId="77777777" w:rsidR="00054437" w:rsidRPr="000549B1" w:rsidRDefault="00000000">
      <w:pPr>
        <w:spacing w:line="500" w:lineRule="exact"/>
        <w:ind w:firstLine="482"/>
        <w:rPr>
          <w:kern w:val="0"/>
          <w:sz w:val="24"/>
          <w:szCs w:val="44"/>
        </w:rPr>
      </w:pPr>
      <w:r w:rsidRPr="000549B1">
        <w:rPr>
          <w:kern w:val="0"/>
          <w:sz w:val="24"/>
          <w:szCs w:val="44"/>
        </w:rPr>
        <w:t>该断面水体颜色透明度，河流呈</w:t>
      </w:r>
      <w:r w:rsidRPr="000549B1">
        <w:rPr>
          <w:rFonts w:ascii="宋体" w:hAnsi="宋体"/>
          <w:kern w:val="0"/>
          <w:sz w:val="24"/>
          <w:szCs w:val="44"/>
        </w:rPr>
        <w:t>“</w:t>
      </w:r>
      <w:r w:rsidRPr="000549B1">
        <w:rPr>
          <w:kern w:val="0"/>
          <w:sz w:val="24"/>
          <w:szCs w:val="44"/>
        </w:rPr>
        <w:t>U</w:t>
      </w:r>
      <w:r w:rsidRPr="000549B1">
        <w:rPr>
          <w:rFonts w:ascii="宋体" w:hAnsi="宋体"/>
          <w:kern w:val="0"/>
          <w:sz w:val="24"/>
          <w:szCs w:val="44"/>
        </w:rPr>
        <w:t>”</w:t>
      </w:r>
      <w:r w:rsidRPr="000549B1">
        <w:rPr>
          <w:kern w:val="0"/>
          <w:sz w:val="24"/>
          <w:szCs w:val="44"/>
        </w:rPr>
        <w:t>型，河水较浅，河宽约为</w:t>
      </w:r>
      <w:r w:rsidRPr="000549B1">
        <w:rPr>
          <w:kern w:val="0"/>
          <w:sz w:val="24"/>
          <w:szCs w:val="44"/>
        </w:rPr>
        <w:t>8m</w:t>
      </w:r>
      <w:r w:rsidRPr="000549B1">
        <w:rPr>
          <w:kern w:val="0"/>
          <w:sz w:val="24"/>
          <w:szCs w:val="44"/>
        </w:rPr>
        <w:t>，河道蜿蜒，河床底质由砾石、粗砂和泥沙组成。湿周植被茂盛，生境状况适宜。</w:t>
      </w:r>
    </w:p>
    <w:p w14:paraId="68D6E7B5" w14:textId="77777777" w:rsidR="00054437" w:rsidRPr="000549B1" w:rsidRDefault="00000000">
      <w:pPr>
        <w:adjustRightInd w:val="0"/>
        <w:snapToGrid w:val="0"/>
        <w:spacing w:line="360" w:lineRule="auto"/>
        <w:jc w:val="center"/>
      </w:pPr>
      <w:r w:rsidRPr="000549B1">
        <w:rPr>
          <w:noProof/>
        </w:rPr>
        <w:drawing>
          <wp:inline distT="0" distB="0" distL="0" distR="0" wp14:anchorId="477B9BE4" wp14:editId="29246251">
            <wp:extent cx="2562860" cy="1707515"/>
            <wp:effectExtent l="0" t="0" r="8890" b="6985"/>
            <wp:docPr id="1169016452"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016452" name="图片 15"/>
                    <pic:cNvPicPr>
                      <a:picLocks noChangeAspect="1" noChangeArrowheads="1"/>
                    </pic:cNvPicPr>
                  </pic:nvPicPr>
                  <pic:blipFill>
                    <a:blip r:embed="rId153" cstate="email">
                      <a:extLst>
                        <a:ext uri="{28A0092B-C50C-407E-A947-70E740481C1C}">
                          <a14:useLocalDpi xmlns:a14="http://schemas.microsoft.com/office/drawing/2010/main"/>
                        </a:ext>
                      </a:extLst>
                    </a:blip>
                    <a:srcRect/>
                    <a:stretch>
                      <a:fillRect/>
                    </a:stretch>
                  </pic:blipFill>
                  <pic:spPr>
                    <a:xfrm>
                      <a:off x="0" y="0"/>
                      <a:ext cx="2563200" cy="1708080"/>
                    </a:xfrm>
                    <a:prstGeom prst="rect">
                      <a:avLst/>
                    </a:prstGeom>
                    <a:noFill/>
                    <a:ln>
                      <a:noFill/>
                    </a:ln>
                  </pic:spPr>
                </pic:pic>
              </a:graphicData>
            </a:graphic>
          </wp:inline>
        </w:drawing>
      </w:r>
      <w:r w:rsidRPr="000549B1">
        <w:rPr>
          <w:noProof/>
        </w:rPr>
        <w:drawing>
          <wp:inline distT="0" distB="0" distL="0" distR="0" wp14:anchorId="7E6DE059" wp14:editId="09C6C29B">
            <wp:extent cx="2510155" cy="1707515"/>
            <wp:effectExtent l="0" t="0" r="4445" b="6985"/>
            <wp:docPr id="157769664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96649" name="图片 16"/>
                    <pic:cNvPicPr>
                      <a:picLocks noChangeAspect="1" noChangeArrowheads="1"/>
                    </pic:cNvPicPr>
                  </pic:nvPicPr>
                  <pic:blipFill>
                    <a:blip r:embed="rId154" cstate="email">
                      <a:extLst>
                        <a:ext uri="{28A0092B-C50C-407E-A947-70E740481C1C}">
                          <a14:useLocalDpi xmlns:a14="http://schemas.microsoft.com/office/drawing/2010/main"/>
                        </a:ext>
                      </a:extLst>
                    </a:blip>
                    <a:srcRect/>
                    <a:stretch>
                      <a:fillRect/>
                    </a:stretch>
                  </pic:blipFill>
                  <pic:spPr>
                    <a:xfrm>
                      <a:off x="0" y="0"/>
                      <a:ext cx="2511751" cy="1708511"/>
                    </a:xfrm>
                    <a:prstGeom prst="rect">
                      <a:avLst/>
                    </a:prstGeom>
                    <a:noFill/>
                    <a:ln>
                      <a:noFill/>
                    </a:ln>
                  </pic:spPr>
                </pic:pic>
              </a:graphicData>
            </a:graphic>
          </wp:inline>
        </w:drawing>
      </w:r>
    </w:p>
    <w:p w14:paraId="178404D1" w14:textId="77777777" w:rsidR="00054437" w:rsidRPr="000549B1" w:rsidRDefault="00000000">
      <w:pPr>
        <w:spacing w:line="500" w:lineRule="exact"/>
        <w:ind w:firstLine="482"/>
        <w:rPr>
          <w:kern w:val="0"/>
          <w:sz w:val="24"/>
          <w:szCs w:val="44"/>
        </w:rPr>
      </w:pPr>
      <w:r w:rsidRPr="000549B1">
        <w:rPr>
          <w:kern w:val="0"/>
          <w:sz w:val="24"/>
          <w:szCs w:val="44"/>
        </w:rPr>
        <w:t>2</w:t>
      </w:r>
      <w:r w:rsidRPr="000549B1">
        <w:rPr>
          <w:kern w:val="0"/>
          <w:sz w:val="24"/>
          <w:szCs w:val="44"/>
        </w:rPr>
        <w:t>）沙珠玉河生境</w:t>
      </w:r>
    </w:p>
    <w:p w14:paraId="3EB97548" w14:textId="77777777" w:rsidR="00054437" w:rsidRPr="000549B1" w:rsidRDefault="00000000">
      <w:pPr>
        <w:spacing w:line="500" w:lineRule="exact"/>
        <w:ind w:firstLine="482"/>
        <w:rPr>
          <w:kern w:val="0"/>
          <w:sz w:val="24"/>
          <w:szCs w:val="44"/>
        </w:rPr>
      </w:pPr>
      <w:r w:rsidRPr="000549B1">
        <w:rPr>
          <w:rFonts w:ascii="宋体" w:hAnsi="宋体" w:cs="宋体" w:hint="eastAsia"/>
          <w:kern w:val="0"/>
          <w:sz w:val="24"/>
          <w:szCs w:val="44"/>
        </w:rPr>
        <w:t>①</w:t>
      </w:r>
      <w:r w:rsidRPr="000549B1">
        <w:rPr>
          <w:kern w:val="0"/>
          <w:sz w:val="24"/>
          <w:szCs w:val="44"/>
        </w:rPr>
        <w:t>曲黑格木</w:t>
      </w:r>
    </w:p>
    <w:p w14:paraId="6BD51D33" w14:textId="77777777" w:rsidR="00054437" w:rsidRPr="000549B1" w:rsidRDefault="00000000">
      <w:pPr>
        <w:spacing w:line="500" w:lineRule="exact"/>
        <w:ind w:firstLine="482"/>
        <w:rPr>
          <w:kern w:val="0"/>
          <w:sz w:val="24"/>
          <w:szCs w:val="44"/>
        </w:rPr>
      </w:pPr>
      <w:r w:rsidRPr="000549B1">
        <w:rPr>
          <w:kern w:val="0"/>
          <w:sz w:val="24"/>
          <w:szCs w:val="44"/>
        </w:rPr>
        <w:t>该断面位于沙珠玉河上游河段，河汊较多，河面宽广，水体浑浊，水流较缓，水体较浅，河床底质由粗砂和泥沙组成，湿周植被覆盖度较高，生境状况一般适宜。</w:t>
      </w:r>
    </w:p>
    <w:p w14:paraId="69CE29C2" w14:textId="77777777" w:rsidR="00054437" w:rsidRPr="000549B1" w:rsidRDefault="00000000">
      <w:pPr>
        <w:adjustRightInd w:val="0"/>
        <w:snapToGrid w:val="0"/>
        <w:spacing w:beforeLines="50" w:before="156" w:line="360" w:lineRule="auto"/>
        <w:ind w:firstLineChars="64" w:firstLine="134"/>
        <w:jc w:val="center"/>
      </w:pPr>
      <w:r w:rsidRPr="000549B1">
        <w:rPr>
          <w:noProof/>
        </w:rPr>
        <w:drawing>
          <wp:inline distT="0" distB="0" distL="0" distR="0" wp14:anchorId="5D4F8C35" wp14:editId="3424FB3A">
            <wp:extent cx="2562860" cy="1707515"/>
            <wp:effectExtent l="0" t="0" r="8890" b="6985"/>
            <wp:docPr id="1981490122"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490122" name="图片 17"/>
                    <pic:cNvPicPr>
                      <a:picLocks noChangeAspect="1" noChangeArrowheads="1"/>
                    </pic:cNvPicPr>
                  </pic:nvPicPr>
                  <pic:blipFill>
                    <a:blip r:embed="rId155" cstate="email">
                      <a:extLst>
                        <a:ext uri="{28A0092B-C50C-407E-A947-70E740481C1C}">
                          <a14:useLocalDpi xmlns:a14="http://schemas.microsoft.com/office/drawing/2010/main"/>
                        </a:ext>
                      </a:extLst>
                    </a:blip>
                    <a:srcRect/>
                    <a:stretch>
                      <a:fillRect/>
                    </a:stretch>
                  </pic:blipFill>
                  <pic:spPr>
                    <a:xfrm>
                      <a:off x="0" y="0"/>
                      <a:ext cx="2563200" cy="1708080"/>
                    </a:xfrm>
                    <a:prstGeom prst="rect">
                      <a:avLst/>
                    </a:prstGeom>
                    <a:noFill/>
                    <a:ln>
                      <a:noFill/>
                    </a:ln>
                  </pic:spPr>
                </pic:pic>
              </a:graphicData>
            </a:graphic>
          </wp:inline>
        </w:drawing>
      </w:r>
      <w:r w:rsidRPr="000549B1">
        <w:rPr>
          <w:noProof/>
        </w:rPr>
        <w:drawing>
          <wp:inline distT="0" distB="0" distL="0" distR="0" wp14:anchorId="7B9F1DB8" wp14:editId="6B764AEB">
            <wp:extent cx="2501265" cy="1707515"/>
            <wp:effectExtent l="0" t="0" r="13335" b="6985"/>
            <wp:docPr id="1408999609"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999609" name="图片 18"/>
                    <pic:cNvPicPr>
                      <a:picLocks noChangeAspect="1" noChangeArrowheads="1"/>
                    </pic:cNvPicPr>
                  </pic:nvPicPr>
                  <pic:blipFill>
                    <a:blip r:embed="rId156" cstate="email">
                      <a:extLst>
                        <a:ext uri="{28A0092B-C50C-407E-A947-70E740481C1C}">
                          <a14:useLocalDpi xmlns:a14="http://schemas.microsoft.com/office/drawing/2010/main"/>
                        </a:ext>
                      </a:extLst>
                    </a:blip>
                    <a:srcRect/>
                    <a:stretch>
                      <a:fillRect/>
                    </a:stretch>
                  </pic:blipFill>
                  <pic:spPr>
                    <a:xfrm>
                      <a:off x="0" y="0"/>
                      <a:ext cx="2502883" cy="1708350"/>
                    </a:xfrm>
                    <a:prstGeom prst="rect">
                      <a:avLst/>
                    </a:prstGeom>
                    <a:noFill/>
                    <a:ln>
                      <a:noFill/>
                    </a:ln>
                  </pic:spPr>
                </pic:pic>
              </a:graphicData>
            </a:graphic>
          </wp:inline>
        </w:drawing>
      </w:r>
    </w:p>
    <w:p w14:paraId="2524D79D" w14:textId="77777777" w:rsidR="00054437" w:rsidRPr="000549B1" w:rsidRDefault="00000000">
      <w:pPr>
        <w:spacing w:line="500" w:lineRule="exact"/>
        <w:ind w:firstLine="482"/>
        <w:rPr>
          <w:kern w:val="0"/>
          <w:sz w:val="24"/>
          <w:szCs w:val="44"/>
        </w:rPr>
      </w:pPr>
      <w:r w:rsidRPr="000549B1">
        <w:rPr>
          <w:rFonts w:ascii="宋体" w:hAnsi="宋体" w:cs="宋体" w:hint="eastAsia"/>
          <w:kern w:val="0"/>
          <w:sz w:val="24"/>
          <w:szCs w:val="44"/>
        </w:rPr>
        <w:t>②</w:t>
      </w:r>
      <w:r w:rsidRPr="000549B1">
        <w:rPr>
          <w:kern w:val="0"/>
          <w:sz w:val="24"/>
          <w:szCs w:val="44"/>
        </w:rPr>
        <w:t>浪娘村桥下</w:t>
      </w:r>
    </w:p>
    <w:p w14:paraId="1170573D" w14:textId="77777777" w:rsidR="00054437" w:rsidRPr="000549B1" w:rsidRDefault="00000000">
      <w:pPr>
        <w:spacing w:line="500" w:lineRule="exact"/>
        <w:ind w:firstLine="482"/>
        <w:rPr>
          <w:kern w:val="0"/>
          <w:sz w:val="24"/>
          <w:szCs w:val="44"/>
        </w:rPr>
      </w:pPr>
      <w:r w:rsidRPr="000549B1">
        <w:rPr>
          <w:kern w:val="0"/>
          <w:sz w:val="24"/>
          <w:szCs w:val="44"/>
        </w:rPr>
        <w:t>该断面位于沙珠玉河中游河段，河流河汊较多，水体浑浊，水流较缓，水体较浅，河床底质由粗砂和泥沙组成，湿周植被覆盖度较高，为放牧区，生境状况一般适宜。</w:t>
      </w:r>
    </w:p>
    <w:p w14:paraId="1DCF714A" w14:textId="77777777" w:rsidR="00054437" w:rsidRPr="000549B1" w:rsidRDefault="00000000">
      <w:pPr>
        <w:adjustRightInd w:val="0"/>
        <w:snapToGrid w:val="0"/>
        <w:spacing w:beforeLines="50" w:before="156" w:line="360" w:lineRule="auto"/>
        <w:ind w:firstLineChars="64" w:firstLine="134"/>
        <w:jc w:val="center"/>
      </w:pPr>
      <w:r w:rsidRPr="000549B1">
        <w:rPr>
          <w:noProof/>
        </w:rPr>
        <w:drawing>
          <wp:inline distT="0" distB="0" distL="0" distR="0" wp14:anchorId="2BDA942D" wp14:editId="057EC5C8">
            <wp:extent cx="2562225" cy="1612900"/>
            <wp:effectExtent l="0" t="0" r="9525" b="6350"/>
            <wp:docPr id="2147022396"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7022396" name="图片 19"/>
                    <pic:cNvPicPr>
                      <a:picLocks noChangeAspect="1" noChangeArrowheads="1"/>
                    </pic:cNvPicPr>
                  </pic:nvPicPr>
                  <pic:blipFill>
                    <a:blip r:embed="rId157" cstate="email">
                      <a:extLst>
                        <a:ext uri="{28A0092B-C50C-407E-A947-70E740481C1C}">
                          <a14:useLocalDpi xmlns:a14="http://schemas.microsoft.com/office/drawing/2010/main"/>
                        </a:ext>
                      </a:extLst>
                    </a:blip>
                    <a:srcRect/>
                    <a:stretch>
                      <a:fillRect/>
                    </a:stretch>
                  </pic:blipFill>
                  <pic:spPr>
                    <a:xfrm>
                      <a:off x="0" y="0"/>
                      <a:ext cx="2565472" cy="1615104"/>
                    </a:xfrm>
                    <a:prstGeom prst="rect">
                      <a:avLst/>
                    </a:prstGeom>
                    <a:noFill/>
                    <a:ln>
                      <a:noFill/>
                    </a:ln>
                  </pic:spPr>
                </pic:pic>
              </a:graphicData>
            </a:graphic>
          </wp:inline>
        </w:drawing>
      </w:r>
      <w:r w:rsidRPr="000549B1">
        <w:rPr>
          <w:noProof/>
        </w:rPr>
        <w:drawing>
          <wp:inline distT="0" distB="0" distL="0" distR="0" wp14:anchorId="12B01A1B" wp14:editId="24A5BE35">
            <wp:extent cx="2501265" cy="1621155"/>
            <wp:effectExtent l="0" t="0" r="13335" b="17145"/>
            <wp:docPr id="86942534"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42534" name="图片 20"/>
                    <pic:cNvPicPr>
                      <a:picLocks noChangeAspect="1" noChangeArrowheads="1"/>
                    </pic:cNvPicPr>
                  </pic:nvPicPr>
                  <pic:blipFill>
                    <a:blip r:embed="rId158" cstate="email">
                      <a:extLst>
                        <a:ext uri="{28A0092B-C50C-407E-A947-70E740481C1C}">
                          <a14:useLocalDpi xmlns:a14="http://schemas.microsoft.com/office/drawing/2010/main"/>
                        </a:ext>
                      </a:extLst>
                    </a:blip>
                    <a:srcRect/>
                    <a:stretch>
                      <a:fillRect/>
                    </a:stretch>
                  </pic:blipFill>
                  <pic:spPr>
                    <a:xfrm>
                      <a:off x="0" y="0"/>
                      <a:ext cx="2505142" cy="1624280"/>
                    </a:xfrm>
                    <a:prstGeom prst="rect">
                      <a:avLst/>
                    </a:prstGeom>
                    <a:noFill/>
                    <a:ln>
                      <a:noFill/>
                    </a:ln>
                  </pic:spPr>
                </pic:pic>
              </a:graphicData>
            </a:graphic>
          </wp:inline>
        </w:drawing>
      </w:r>
    </w:p>
    <w:p w14:paraId="3A39EB37" w14:textId="77777777" w:rsidR="00054437" w:rsidRPr="000549B1" w:rsidRDefault="00000000">
      <w:pPr>
        <w:spacing w:line="500" w:lineRule="exact"/>
        <w:ind w:firstLine="482"/>
        <w:rPr>
          <w:kern w:val="0"/>
          <w:sz w:val="24"/>
          <w:szCs w:val="44"/>
        </w:rPr>
      </w:pPr>
      <w:r w:rsidRPr="000549B1">
        <w:rPr>
          <w:rFonts w:ascii="宋体" w:hAnsi="宋体" w:cs="宋体" w:hint="eastAsia"/>
          <w:kern w:val="0"/>
          <w:sz w:val="24"/>
          <w:szCs w:val="44"/>
        </w:rPr>
        <w:t>③</w:t>
      </w:r>
      <w:r w:rsidRPr="000549B1">
        <w:rPr>
          <w:kern w:val="0"/>
          <w:sz w:val="24"/>
          <w:szCs w:val="44"/>
        </w:rPr>
        <w:t>沙珠玉河下游</w:t>
      </w:r>
    </w:p>
    <w:p w14:paraId="5B0173D2" w14:textId="77777777" w:rsidR="00054437" w:rsidRPr="000549B1" w:rsidRDefault="00000000">
      <w:pPr>
        <w:spacing w:line="500" w:lineRule="exact"/>
        <w:ind w:firstLine="482"/>
        <w:rPr>
          <w:kern w:val="0"/>
          <w:sz w:val="24"/>
          <w:szCs w:val="44"/>
        </w:rPr>
      </w:pPr>
      <w:r w:rsidRPr="000549B1">
        <w:rPr>
          <w:kern w:val="0"/>
          <w:sz w:val="24"/>
          <w:szCs w:val="44"/>
        </w:rPr>
        <w:t>下游河段河面和水流量相对上游河段有所减小，河宽约为</w:t>
      </w:r>
      <w:r w:rsidRPr="000549B1">
        <w:rPr>
          <w:kern w:val="0"/>
          <w:sz w:val="24"/>
          <w:szCs w:val="44"/>
        </w:rPr>
        <w:t>22cm</w:t>
      </w:r>
      <w:r w:rsidRPr="000549B1">
        <w:rPr>
          <w:kern w:val="0"/>
          <w:sz w:val="24"/>
          <w:szCs w:val="44"/>
        </w:rPr>
        <w:t>，水体浑浊，透明度约为</w:t>
      </w:r>
      <w:r w:rsidRPr="000549B1">
        <w:rPr>
          <w:kern w:val="0"/>
          <w:sz w:val="24"/>
          <w:szCs w:val="44"/>
        </w:rPr>
        <w:t>3cm</w:t>
      </w:r>
      <w:r w:rsidRPr="000549B1">
        <w:rPr>
          <w:kern w:val="0"/>
          <w:sz w:val="24"/>
          <w:szCs w:val="44"/>
        </w:rPr>
        <w:t>，水流较缓，左岸水深大约为</w:t>
      </w:r>
      <w:r w:rsidRPr="000549B1">
        <w:rPr>
          <w:kern w:val="0"/>
          <w:sz w:val="24"/>
          <w:szCs w:val="44"/>
        </w:rPr>
        <w:t>14cm</w:t>
      </w:r>
      <w:r w:rsidRPr="000549B1">
        <w:rPr>
          <w:kern w:val="0"/>
          <w:sz w:val="24"/>
          <w:szCs w:val="44"/>
        </w:rPr>
        <w:t>，河床底质为泥沙，生境状况一般适宜。</w:t>
      </w:r>
    </w:p>
    <w:p w14:paraId="61C52D22" w14:textId="77777777" w:rsidR="00054437" w:rsidRPr="000549B1" w:rsidRDefault="00000000">
      <w:pPr>
        <w:adjustRightInd w:val="0"/>
        <w:snapToGrid w:val="0"/>
        <w:spacing w:beforeLines="50" w:before="156" w:line="360" w:lineRule="auto"/>
        <w:jc w:val="center"/>
        <w:rPr>
          <w:kern w:val="0"/>
        </w:rPr>
      </w:pPr>
      <w:r w:rsidRPr="000549B1">
        <w:rPr>
          <w:noProof/>
        </w:rPr>
        <w:drawing>
          <wp:inline distT="0" distB="0" distL="0" distR="0" wp14:anchorId="02AFC72D" wp14:editId="18342CC2">
            <wp:extent cx="2562860" cy="1707515"/>
            <wp:effectExtent l="0" t="0" r="8890" b="6985"/>
            <wp:docPr id="748295250"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295250" name="图片 21"/>
                    <pic:cNvPicPr>
                      <a:picLocks noChangeAspect="1" noChangeArrowheads="1"/>
                    </pic:cNvPicPr>
                  </pic:nvPicPr>
                  <pic:blipFill>
                    <a:blip r:embed="rId159" cstate="email">
                      <a:extLst>
                        <a:ext uri="{28A0092B-C50C-407E-A947-70E740481C1C}">
                          <a14:useLocalDpi xmlns:a14="http://schemas.microsoft.com/office/drawing/2010/main"/>
                        </a:ext>
                      </a:extLst>
                    </a:blip>
                    <a:srcRect/>
                    <a:stretch>
                      <a:fillRect/>
                    </a:stretch>
                  </pic:blipFill>
                  <pic:spPr>
                    <a:xfrm>
                      <a:off x="0" y="0"/>
                      <a:ext cx="2563200" cy="1708080"/>
                    </a:xfrm>
                    <a:prstGeom prst="rect">
                      <a:avLst/>
                    </a:prstGeom>
                    <a:noFill/>
                    <a:ln>
                      <a:noFill/>
                    </a:ln>
                  </pic:spPr>
                </pic:pic>
              </a:graphicData>
            </a:graphic>
          </wp:inline>
        </w:drawing>
      </w:r>
      <w:r w:rsidRPr="000549B1">
        <w:rPr>
          <w:noProof/>
        </w:rPr>
        <w:drawing>
          <wp:inline distT="0" distB="0" distL="0" distR="0" wp14:anchorId="30D3A69A" wp14:editId="6E60F216">
            <wp:extent cx="2562860" cy="1707515"/>
            <wp:effectExtent l="0" t="0" r="8890" b="6985"/>
            <wp:docPr id="2057163927"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163927" name="图片 22"/>
                    <pic:cNvPicPr>
                      <a:picLocks noChangeAspect="1" noChangeArrowheads="1"/>
                    </pic:cNvPicPr>
                  </pic:nvPicPr>
                  <pic:blipFill>
                    <a:blip r:embed="rId160" cstate="email">
                      <a:extLst>
                        <a:ext uri="{28A0092B-C50C-407E-A947-70E740481C1C}">
                          <a14:useLocalDpi xmlns:a14="http://schemas.microsoft.com/office/drawing/2010/main"/>
                        </a:ext>
                      </a:extLst>
                    </a:blip>
                    <a:srcRect/>
                    <a:stretch>
                      <a:fillRect/>
                    </a:stretch>
                  </pic:blipFill>
                  <pic:spPr>
                    <a:xfrm>
                      <a:off x="0" y="0"/>
                      <a:ext cx="2563200" cy="1708080"/>
                    </a:xfrm>
                    <a:prstGeom prst="rect">
                      <a:avLst/>
                    </a:prstGeom>
                    <a:noFill/>
                    <a:ln>
                      <a:noFill/>
                    </a:ln>
                  </pic:spPr>
                </pic:pic>
              </a:graphicData>
            </a:graphic>
          </wp:inline>
        </w:drawing>
      </w:r>
    </w:p>
    <w:bookmarkEnd w:id="284"/>
    <w:p w14:paraId="64615621" w14:textId="77777777" w:rsidR="00054437" w:rsidRPr="000549B1" w:rsidRDefault="00000000">
      <w:pPr>
        <w:pStyle w:val="Z4"/>
        <w:rPr>
          <w:color w:val="auto"/>
        </w:rPr>
      </w:pPr>
      <w:r w:rsidRPr="000549B1">
        <w:rPr>
          <w:color w:val="auto"/>
        </w:rPr>
        <w:t>调查内容</w:t>
      </w:r>
      <w:bookmarkEnd w:id="283"/>
    </w:p>
    <w:p w14:paraId="05321598" w14:textId="77777777" w:rsidR="00054437" w:rsidRPr="000549B1" w:rsidRDefault="00000000">
      <w:pPr>
        <w:spacing w:line="500" w:lineRule="exact"/>
        <w:ind w:firstLine="482"/>
        <w:rPr>
          <w:sz w:val="24"/>
          <w:szCs w:val="28"/>
        </w:rPr>
      </w:pPr>
      <w:r w:rsidRPr="000549B1">
        <w:rPr>
          <w:sz w:val="24"/>
          <w:szCs w:val="28"/>
        </w:rPr>
        <w:t>（</w:t>
      </w:r>
      <w:r w:rsidRPr="000549B1">
        <w:rPr>
          <w:sz w:val="24"/>
          <w:szCs w:val="28"/>
        </w:rPr>
        <w:t>1</w:t>
      </w:r>
      <w:r w:rsidRPr="000549B1">
        <w:rPr>
          <w:sz w:val="24"/>
          <w:szCs w:val="28"/>
        </w:rPr>
        <w:t>）水生生物调查</w:t>
      </w:r>
    </w:p>
    <w:p w14:paraId="6D732761" w14:textId="77777777" w:rsidR="00054437" w:rsidRPr="000549B1" w:rsidRDefault="00000000">
      <w:pPr>
        <w:tabs>
          <w:tab w:val="left" w:pos="4500"/>
        </w:tabs>
        <w:spacing w:line="500" w:lineRule="exact"/>
        <w:ind w:firstLineChars="200" w:firstLine="480"/>
        <w:jc w:val="left"/>
        <w:rPr>
          <w:kern w:val="0"/>
          <w:sz w:val="24"/>
          <w:szCs w:val="44"/>
        </w:rPr>
      </w:pPr>
      <w:r w:rsidRPr="000549B1">
        <w:rPr>
          <w:kern w:val="0"/>
          <w:sz w:val="24"/>
          <w:szCs w:val="44"/>
        </w:rPr>
        <w:t>1</w:t>
      </w:r>
      <w:r w:rsidRPr="000549B1">
        <w:rPr>
          <w:kern w:val="0"/>
          <w:sz w:val="24"/>
          <w:szCs w:val="44"/>
        </w:rPr>
        <w:t>）水环境基本情况：包括各实地调查断面的经纬度、海拔、水温、透明度、流速、底质、溶解氧、</w:t>
      </w:r>
      <w:r w:rsidRPr="000549B1">
        <w:rPr>
          <w:kern w:val="0"/>
          <w:sz w:val="24"/>
          <w:szCs w:val="44"/>
        </w:rPr>
        <w:t>PH</w:t>
      </w:r>
      <w:r w:rsidRPr="000549B1">
        <w:rPr>
          <w:kern w:val="0"/>
          <w:sz w:val="24"/>
          <w:szCs w:val="44"/>
        </w:rPr>
        <w:t>等基本情况。</w:t>
      </w:r>
    </w:p>
    <w:p w14:paraId="75BAB928" w14:textId="77777777" w:rsidR="00054437" w:rsidRPr="000549B1" w:rsidRDefault="00000000">
      <w:pPr>
        <w:tabs>
          <w:tab w:val="left" w:pos="4500"/>
        </w:tabs>
        <w:spacing w:line="500" w:lineRule="exact"/>
        <w:ind w:firstLineChars="200" w:firstLine="480"/>
        <w:jc w:val="left"/>
        <w:rPr>
          <w:kern w:val="0"/>
          <w:sz w:val="24"/>
          <w:szCs w:val="44"/>
        </w:rPr>
      </w:pPr>
      <w:r w:rsidRPr="000549B1">
        <w:rPr>
          <w:kern w:val="0"/>
          <w:sz w:val="24"/>
          <w:szCs w:val="44"/>
        </w:rPr>
        <w:t>2</w:t>
      </w:r>
      <w:r w:rsidRPr="000549B1">
        <w:rPr>
          <w:kern w:val="0"/>
          <w:sz w:val="24"/>
          <w:szCs w:val="44"/>
        </w:rPr>
        <w:t>）水生植被：水生维管束植物和湿生植被种类及其分布特征，分析水生植被现状。</w:t>
      </w:r>
    </w:p>
    <w:p w14:paraId="175E3CBA" w14:textId="77777777" w:rsidR="00054437" w:rsidRPr="000549B1" w:rsidRDefault="00000000">
      <w:pPr>
        <w:spacing w:line="500" w:lineRule="exact"/>
        <w:ind w:firstLineChars="200" w:firstLine="480"/>
        <w:jc w:val="left"/>
        <w:rPr>
          <w:sz w:val="24"/>
        </w:rPr>
      </w:pPr>
      <w:r w:rsidRPr="000549B1">
        <w:rPr>
          <w:kern w:val="0"/>
          <w:sz w:val="24"/>
          <w:szCs w:val="44"/>
        </w:rPr>
        <w:t>3</w:t>
      </w:r>
      <w:r w:rsidRPr="000549B1">
        <w:rPr>
          <w:kern w:val="0"/>
          <w:sz w:val="24"/>
          <w:szCs w:val="44"/>
        </w:rPr>
        <w:t>）饵料生物：浮游植物、浮游动物（原生动物、轮虫、枝角类、桡足类）、底栖动物的定性、定量分析及其分布情况。</w:t>
      </w:r>
    </w:p>
    <w:p w14:paraId="154C7587" w14:textId="77777777" w:rsidR="00054437" w:rsidRPr="000549B1" w:rsidRDefault="00000000">
      <w:pPr>
        <w:spacing w:line="500" w:lineRule="exact"/>
        <w:ind w:firstLineChars="200" w:firstLine="480"/>
        <w:jc w:val="left"/>
        <w:rPr>
          <w:sz w:val="24"/>
        </w:rPr>
      </w:pPr>
      <w:r w:rsidRPr="000549B1">
        <w:rPr>
          <w:sz w:val="24"/>
        </w:rPr>
        <w:t>（</w:t>
      </w:r>
      <w:r w:rsidRPr="000549B1">
        <w:rPr>
          <w:sz w:val="24"/>
        </w:rPr>
        <w:t>2</w:t>
      </w:r>
      <w:r w:rsidRPr="000549B1">
        <w:rPr>
          <w:sz w:val="24"/>
        </w:rPr>
        <w:t>）鱼类资源及重要生境调查</w:t>
      </w:r>
    </w:p>
    <w:p w14:paraId="31457A3C" w14:textId="77777777" w:rsidR="00054437" w:rsidRPr="000549B1" w:rsidRDefault="00000000">
      <w:pPr>
        <w:tabs>
          <w:tab w:val="left" w:pos="4500"/>
        </w:tabs>
        <w:spacing w:line="500" w:lineRule="exact"/>
        <w:ind w:firstLineChars="200" w:firstLine="480"/>
        <w:jc w:val="left"/>
        <w:rPr>
          <w:kern w:val="0"/>
          <w:sz w:val="24"/>
          <w:szCs w:val="44"/>
        </w:rPr>
      </w:pPr>
      <w:r w:rsidRPr="000549B1">
        <w:rPr>
          <w:rFonts w:ascii="宋体" w:hAnsi="宋体" w:cs="宋体" w:hint="eastAsia"/>
          <w:kern w:val="0"/>
          <w:sz w:val="24"/>
          <w:szCs w:val="44"/>
        </w:rPr>
        <w:t>①</w:t>
      </w:r>
      <w:r w:rsidRPr="000549B1">
        <w:rPr>
          <w:kern w:val="0"/>
          <w:sz w:val="24"/>
          <w:szCs w:val="44"/>
        </w:rPr>
        <w:t>鱼类区系组成：物种多样性及其区系复合体等。</w:t>
      </w:r>
    </w:p>
    <w:p w14:paraId="516F207E" w14:textId="77777777" w:rsidR="00054437" w:rsidRPr="000549B1" w:rsidRDefault="00000000">
      <w:pPr>
        <w:tabs>
          <w:tab w:val="left" w:pos="4500"/>
        </w:tabs>
        <w:spacing w:line="500" w:lineRule="exact"/>
        <w:ind w:firstLineChars="200" w:firstLine="480"/>
        <w:jc w:val="left"/>
        <w:rPr>
          <w:kern w:val="0"/>
          <w:sz w:val="24"/>
          <w:szCs w:val="44"/>
        </w:rPr>
      </w:pPr>
      <w:r w:rsidRPr="000549B1">
        <w:rPr>
          <w:rFonts w:ascii="宋体" w:hAnsi="宋体" w:cs="宋体" w:hint="eastAsia"/>
          <w:kern w:val="0"/>
          <w:sz w:val="24"/>
          <w:szCs w:val="44"/>
        </w:rPr>
        <w:t>②</w:t>
      </w:r>
      <w:r w:rsidRPr="000549B1">
        <w:rPr>
          <w:kern w:val="0"/>
          <w:sz w:val="24"/>
          <w:szCs w:val="44"/>
        </w:rPr>
        <w:t>鱼类资源现状：鱼类种群结构（年龄、体长、体重）和群落组成情况；渔获物统计分析、渔业现状调查。</w:t>
      </w:r>
    </w:p>
    <w:p w14:paraId="2F3E73AA" w14:textId="77777777" w:rsidR="00054437" w:rsidRPr="000549B1" w:rsidRDefault="00000000">
      <w:pPr>
        <w:tabs>
          <w:tab w:val="left" w:pos="4500"/>
        </w:tabs>
        <w:spacing w:line="500" w:lineRule="exact"/>
        <w:ind w:firstLineChars="200" w:firstLine="480"/>
        <w:jc w:val="left"/>
        <w:rPr>
          <w:kern w:val="0"/>
          <w:sz w:val="24"/>
          <w:szCs w:val="44"/>
        </w:rPr>
      </w:pPr>
      <w:r w:rsidRPr="000549B1">
        <w:rPr>
          <w:rFonts w:ascii="宋体" w:hAnsi="宋体" w:cs="宋体" w:hint="eastAsia"/>
          <w:kern w:val="0"/>
          <w:sz w:val="24"/>
          <w:szCs w:val="44"/>
        </w:rPr>
        <w:t>③</w:t>
      </w:r>
      <w:r w:rsidRPr="000549B1">
        <w:rPr>
          <w:kern w:val="0"/>
          <w:sz w:val="24"/>
          <w:szCs w:val="44"/>
        </w:rPr>
        <w:t>主要鱼类的繁殖特性：繁殖季节、怀卵量、产卵类型、产卵时间、早期资源状况以及繁殖所需的环境条件。</w:t>
      </w:r>
    </w:p>
    <w:p w14:paraId="09E81E32" w14:textId="77777777" w:rsidR="00054437" w:rsidRPr="000549B1" w:rsidRDefault="00000000">
      <w:pPr>
        <w:tabs>
          <w:tab w:val="left" w:pos="4500"/>
        </w:tabs>
        <w:spacing w:line="500" w:lineRule="exact"/>
        <w:ind w:firstLineChars="200" w:firstLine="480"/>
        <w:jc w:val="left"/>
        <w:rPr>
          <w:sz w:val="24"/>
        </w:rPr>
      </w:pPr>
      <w:r w:rsidRPr="000549B1">
        <w:rPr>
          <w:rFonts w:ascii="宋体" w:hAnsi="宋体" w:cs="宋体" w:hint="eastAsia"/>
          <w:kern w:val="0"/>
          <w:sz w:val="24"/>
          <w:szCs w:val="44"/>
        </w:rPr>
        <w:t>④</w:t>
      </w:r>
      <w:r w:rsidRPr="000549B1">
        <w:rPr>
          <w:kern w:val="0"/>
          <w:sz w:val="24"/>
          <w:szCs w:val="44"/>
        </w:rPr>
        <w:t>重要保护鱼类：调查珍稀、濒危物种的分布及资源状况，确定保护级别及种群分布。</w:t>
      </w:r>
    </w:p>
    <w:p w14:paraId="28DB2B0C" w14:textId="77777777" w:rsidR="00054437" w:rsidRPr="000549B1" w:rsidRDefault="00000000">
      <w:pPr>
        <w:spacing w:line="500" w:lineRule="exact"/>
        <w:ind w:firstLineChars="200" w:firstLine="480"/>
        <w:jc w:val="left"/>
        <w:rPr>
          <w:kern w:val="0"/>
          <w:sz w:val="24"/>
          <w:szCs w:val="44"/>
        </w:rPr>
      </w:pPr>
      <w:r w:rsidRPr="000549B1">
        <w:rPr>
          <w:rFonts w:ascii="宋体" w:hAnsi="宋体" w:cs="宋体" w:hint="eastAsia"/>
          <w:kern w:val="0"/>
          <w:sz w:val="24"/>
          <w:szCs w:val="44"/>
        </w:rPr>
        <w:t>⑤</w:t>
      </w:r>
      <w:r w:rsidRPr="000549B1">
        <w:rPr>
          <w:kern w:val="0"/>
          <w:sz w:val="24"/>
          <w:szCs w:val="44"/>
        </w:rPr>
        <w:t>鱼类栖息地：重要鱼类</w:t>
      </w:r>
      <w:r w:rsidRPr="000549B1">
        <w:rPr>
          <w:rFonts w:ascii="宋体" w:hAnsi="宋体"/>
          <w:kern w:val="0"/>
          <w:sz w:val="24"/>
          <w:szCs w:val="44"/>
        </w:rPr>
        <w:t>“</w:t>
      </w:r>
      <w:r w:rsidRPr="000549B1">
        <w:rPr>
          <w:kern w:val="0"/>
          <w:sz w:val="24"/>
          <w:szCs w:val="44"/>
        </w:rPr>
        <w:t>三场一通道</w:t>
      </w:r>
      <w:r w:rsidRPr="000549B1">
        <w:rPr>
          <w:rFonts w:ascii="宋体" w:hAnsi="宋体"/>
          <w:kern w:val="0"/>
          <w:sz w:val="24"/>
          <w:szCs w:val="44"/>
        </w:rPr>
        <w:t>”</w:t>
      </w:r>
      <w:r w:rsidRPr="000549B1">
        <w:rPr>
          <w:kern w:val="0"/>
          <w:sz w:val="24"/>
          <w:szCs w:val="44"/>
        </w:rPr>
        <w:t>，产卵场、索饵场、越冬场和洄游通道的分布及功能完整性调查。</w:t>
      </w:r>
    </w:p>
    <w:p w14:paraId="7B0F3EC0" w14:textId="77777777" w:rsidR="00054437" w:rsidRPr="000549B1" w:rsidRDefault="00000000">
      <w:pPr>
        <w:pStyle w:val="zhang3"/>
        <w:spacing w:before="156" w:after="156"/>
      </w:pPr>
      <w:bookmarkStart w:id="289" w:name="_Toc5923"/>
      <w:r w:rsidRPr="000549B1">
        <w:t>浮游植物</w:t>
      </w:r>
      <w:bookmarkEnd w:id="289"/>
      <w:r w:rsidRPr="000549B1">
        <w:t>现状调查与评价</w:t>
      </w:r>
    </w:p>
    <w:p w14:paraId="12E75253" w14:textId="77777777" w:rsidR="00054437" w:rsidRPr="000549B1" w:rsidRDefault="00000000">
      <w:pPr>
        <w:pStyle w:val="Z4"/>
        <w:rPr>
          <w:color w:val="auto"/>
        </w:rPr>
      </w:pPr>
      <w:r w:rsidRPr="000549B1">
        <w:rPr>
          <w:color w:val="auto"/>
        </w:rPr>
        <w:t>浮游植物种类组成</w:t>
      </w:r>
    </w:p>
    <w:p w14:paraId="4F4DF652" w14:textId="77777777" w:rsidR="00054437" w:rsidRPr="000549B1" w:rsidRDefault="00000000">
      <w:pPr>
        <w:spacing w:line="360" w:lineRule="auto"/>
        <w:ind w:firstLineChars="200" w:firstLine="480"/>
        <w:rPr>
          <w:sz w:val="24"/>
          <w:szCs w:val="24"/>
        </w:rPr>
      </w:pPr>
      <w:r w:rsidRPr="000549B1">
        <w:rPr>
          <w:sz w:val="24"/>
          <w:szCs w:val="24"/>
        </w:rPr>
        <w:t>通过对切吉河、沙珠玉河各采样断面的浮游植物进行定性分析，共检出浮游植物</w:t>
      </w:r>
      <w:r w:rsidRPr="000549B1">
        <w:rPr>
          <w:sz w:val="24"/>
          <w:szCs w:val="24"/>
        </w:rPr>
        <w:t>6</w:t>
      </w:r>
      <w:r w:rsidRPr="000549B1">
        <w:rPr>
          <w:sz w:val="24"/>
          <w:szCs w:val="24"/>
        </w:rPr>
        <w:t>门</w:t>
      </w:r>
      <w:r w:rsidRPr="000549B1">
        <w:rPr>
          <w:sz w:val="24"/>
          <w:szCs w:val="24"/>
        </w:rPr>
        <w:t>55</w:t>
      </w:r>
      <w:r w:rsidRPr="000549B1">
        <w:rPr>
          <w:sz w:val="24"/>
          <w:szCs w:val="24"/>
        </w:rPr>
        <w:t>种属，其中硅藻门最多，有</w:t>
      </w:r>
      <w:r w:rsidRPr="000549B1">
        <w:rPr>
          <w:sz w:val="24"/>
          <w:szCs w:val="24"/>
        </w:rPr>
        <w:t>46</w:t>
      </w:r>
      <w:r w:rsidRPr="000549B1">
        <w:rPr>
          <w:sz w:val="24"/>
          <w:szCs w:val="24"/>
        </w:rPr>
        <w:t>种属，为主要优势门类，占总种类数量的</w:t>
      </w:r>
      <w:r w:rsidRPr="000549B1">
        <w:rPr>
          <w:sz w:val="24"/>
          <w:szCs w:val="24"/>
        </w:rPr>
        <w:t>83.64%</w:t>
      </w:r>
      <w:r w:rsidRPr="000549B1">
        <w:rPr>
          <w:sz w:val="24"/>
          <w:szCs w:val="24"/>
        </w:rPr>
        <w:t>；蓝藻门有</w:t>
      </w:r>
      <w:r w:rsidRPr="000549B1">
        <w:rPr>
          <w:sz w:val="24"/>
          <w:szCs w:val="24"/>
        </w:rPr>
        <w:t>4</w:t>
      </w:r>
      <w:r w:rsidRPr="000549B1">
        <w:rPr>
          <w:sz w:val="24"/>
          <w:szCs w:val="24"/>
        </w:rPr>
        <w:t>种属，占总种类数量的</w:t>
      </w:r>
      <w:r w:rsidRPr="000549B1">
        <w:rPr>
          <w:sz w:val="24"/>
          <w:szCs w:val="24"/>
        </w:rPr>
        <w:t>7.27%</w:t>
      </w:r>
      <w:r w:rsidRPr="000549B1">
        <w:rPr>
          <w:sz w:val="24"/>
          <w:szCs w:val="24"/>
        </w:rPr>
        <w:t>；裸藻门</w:t>
      </w:r>
      <w:r w:rsidRPr="000549B1">
        <w:rPr>
          <w:sz w:val="24"/>
          <w:szCs w:val="24"/>
        </w:rPr>
        <w:t>2</w:t>
      </w:r>
      <w:r w:rsidRPr="000549B1">
        <w:rPr>
          <w:sz w:val="24"/>
          <w:szCs w:val="24"/>
        </w:rPr>
        <w:t>种属，占总种类数量的</w:t>
      </w:r>
      <w:r w:rsidRPr="000549B1">
        <w:rPr>
          <w:sz w:val="24"/>
          <w:szCs w:val="24"/>
        </w:rPr>
        <w:t>3.64%</w:t>
      </w:r>
      <w:r w:rsidRPr="000549B1">
        <w:rPr>
          <w:sz w:val="24"/>
          <w:szCs w:val="24"/>
        </w:rPr>
        <w:t>；绿藻门、甲藻门、金藻门各</w:t>
      </w:r>
      <w:r w:rsidRPr="000549B1">
        <w:rPr>
          <w:sz w:val="24"/>
          <w:szCs w:val="24"/>
        </w:rPr>
        <w:t>1</w:t>
      </w:r>
      <w:r w:rsidRPr="000549B1">
        <w:rPr>
          <w:sz w:val="24"/>
          <w:szCs w:val="24"/>
        </w:rPr>
        <w:t>种属，分别占总种类数量的</w:t>
      </w:r>
      <w:r w:rsidRPr="000549B1">
        <w:rPr>
          <w:sz w:val="24"/>
          <w:szCs w:val="24"/>
        </w:rPr>
        <w:t>1.82%</w:t>
      </w:r>
      <w:r w:rsidRPr="000549B1">
        <w:rPr>
          <w:sz w:val="24"/>
          <w:szCs w:val="24"/>
        </w:rPr>
        <w:t>。</w:t>
      </w:r>
    </w:p>
    <w:p w14:paraId="7CEF7C28" w14:textId="77777777" w:rsidR="00054437" w:rsidRPr="000549B1" w:rsidRDefault="00000000">
      <w:pPr>
        <w:jc w:val="center"/>
        <w:rPr>
          <w:rFonts w:eastAsia="黑体"/>
          <w:sz w:val="24"/>
          <w:szCs w:val="24"/>
        </w:rPr>
      </w:pPr>
      <w:r w:rsidRPr="000549B1">
        <w:rPr>
          <w:noProof/>
        </w:rPr>
        <w:drawing>
          <wp:inline distT="0" distB="0" distL="114300" distR="114300" wp14:anchorId="3B7DDE15" wp14:editId="63F56550">
            <wp:extent cx="4572000" cy="2743200"/>
            <wp:effectExtent l="0" t="0" r="0" b="0"/>
            <wp:docPr id="957196854"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1"/>
              </a:graphicData>
            </a:graphic>
          </wp:inline>
        </w:drawing>
      </w:r>
    </w:p>
    <w:p w14:paraId="0A7AF89B" w14:textId="00D44B5B" w:rsidR="00054437" w:rsidRPr="000549B1" w:rsidRDefault="00000000">
      <w:pPr>
        <w:pStyle w:val="aff8"/>
        <w:rPr>
          <w:color w:val="auto"/>
        </w:rPr>
      </w:pPr>
      <w:r w:rsidRPr="000549B1">
        <w:rPr>
          <w:color w:val="auto"/>
        </w:rPr>
        <w:t>图</w:t>
      </w:r>
      <w:r w:rsidR="00F1314B">
        <w:rPr>
          <w:color w:val="auto"/>
        </w:rPr>
        <w:fldChar w:fldCharType="begin"/>
      </w:r>
      <w:r w:rsidR="00F1314B">
        <w:rPr>
          <w:color w:val="auto"/>
        </w:rPr>
        <w:instrText xml:space="preserve"> STYLEREF 2 \s </w:instrText>
      </w:r>
      <w:r w:rsidR="00F1314B">
        <w:rPr>
          <w:color w:val="auto"/>
        </w:rPr>
        <w:fldChar w:fldCharType="separate"/>
      </w:r>
      <w:r w:rsidR="00F32CCA">
        <w:rPr>
          <w:noProof/>
          <w:color w:val="auto"/>
        </w:rPr>
        <w:t>3.6</w:t>
      </w:r>
      <w:r w:rsidR="00F1314B">
        <w:rPr>
          <w:color w:val="auto"/>
        </w:rPr>
        <w:fldChar w:fldCharType="end"/>
      </w:r>
      <w:r w:rsidR="00F1314B">
        <w:rPr>
          <w:color w:val="auto"/>
        </w:rPr>
        <w:noBreakHyphen/>
      </w:r>
      <w:r w:rsidR="00F1314B">
        <w:rPr>
          <w:color w:val="auto"/>
        </w:rPr>
        <w:fldChar w:fldCharType="begin"/>
      </w:r>
      <w:r w:rsidR="00F1314B">
        <w:rPr>
          <w:color w:val="auto"/>
        </w:rPr>
        <w:instrText xml:space="preserve"> SEQ </w:instrText>
      </w:r>
      <w:r w:rsidR="00F1314B">
        <w:rPr>
          <w:color w:val="auto"/>
        </w:rPr>
        <w:instrText>图</w:instrText>
      </w:r>
      <w:r w:rsidR="00F1314B">
        <w:rPr>
          <w:color w:val="auto"/>
        </w:rPr>
        <w:instrText xml:space="preserve"> \* ARABIC \s 2 </w:instrText>
      </w:r>
      <w:r w:rsidR="00F1314B">
        <w:rPr>
          <w:color w:val="auto"/>
        </w:rPr>
        <w:fldChar w:fldCharType="separate"/>
      </w:r>
      <w:r w:rsidR="00F32CCA">
        <w:rPr>
          <w:noProof/>
          <w:color w:val="auto"/>
        </w:rPr>
        <w:t>2</w:t>
      </w:r>
      <w:r w:rsidR="00F1314B">
        <w:rPr>
          <w:color w:val="auto"/>
        </w:rPr>
        <w:fldChar w:fldCharType="end"/>
      </w:r>
      <w:r w:rsidRPr="000549B1">
        <w:rPr>
          <w:color w:val="auto"/>
        </w:rPr>
        <w:t>浮游植物门类组成</w:t>
      </w:r>
    </w:p>
    <w:p w14:paraId="2A9FFF58" w14:textId="77777777" w:rsidR="00054437" w:rsidRPr="000549B1" w:rsidRDefault="00000000">
      <w:pPr>
        <w:pStyle w:val="Z4"/>
        <w:rPr>
          <w:color w:val="auto"/>
        </w:rPr>
      </w:pPr>
      <w:r w:rsidRPr="000549B1">
        <w:rPr>
          <w:color w:val="auto"/>
        </w:rPr>
        <w:t>浮游植物定量结果</w:t>
      </w:r>
    </w:p>
    <w:p w14:paraId="57138CD0" w14:textId="77777777" w:rsidR="00054437" w:rsidRPr="000549B1" w:rsidRDefault="00000000">
      <w:pPr>
        <w:tabs>
          <w:tab w:val="left" w:pos="4500"/>
        </w:tabs>
        <w:spacing w:line="500" w:lineRule="exact"/>
        <w:ind w:firstLineChars="200" w:firstLine="480"/>
        <w:jc w:val="left"/>
        <w:rPr>
          <w:kern w:val="0"/>
          <w:sz w:val="24"/>
          <w:szCs w:val="44"/>
        </w:rPr>
      </w:pPr>
      <w:r w:rsidRPr="000549B1">
        <w:rPr>
          <w:kern w:val="0"/>
          <w:sz w:val="24"/>
          <w:szCs w:val="44"/>
        </w:rPr>
        <w:t>通过对</w:t>
      </w:r>
      <w:r w:rsidRPr="000549B1">
        <w:rPr>
          <w:sz w:val="24"/>
          <w:szCs w:val="24"/>
        </w:rPr>
        <w:t>切吉河、沙珠玉河</w:t>
      </w:r>
      <w:r w:rsidRPr="000549B1">
        <w:rPr>
          <w:kern w:val="0"/>
          <w:sz w:val="24"/>
          <w:szCs w:val="44"/>
        </w:rPr>
        <w:t>浮游植物进行定量分析，各采样断面浮游植物生物量在</w:t>
      </w:r>
      <w:r w:rsidRPr="000549B1">
        <w:rPr>
          <w:kern w:val="0"/>
          <w:sz w:val="24"/>
          <w:szCs w:val="44"/>
        </w:rPr>
        <w:t>0.4953~5.1405mg.L</w:t>
      </w:r>
      <w:r w:rsidRPr="000549B1">
        <w:rPr>
          <w:kern w:val="0"/>
          <w:sz w:val="24"/>
          <w:szCs w:val="44"/>
          <w:vertAlign w:val="superscript"/>
        </w:rPr>
        <w:t>-1</w:t>
      </w:r>
      <w:r w:rsidRPr="000549B1">
        <w:rPr>
          <w:kern w:val="0"/>
          <w:sz w:val="24"/>
          <w:szCs w:val="44"/>
        </w:rPr>
        <w:t>，平均生物量为</w:t>
      </w:r>
      <w:r w:rsidRPr="000549B1">
        <w:rPr>
          <w:kern w:val="0"/>
          <w:sz w:val="24"/>
          <w:szCs w:val="44"/>
        </w:rPr>
        <w:t>1.5880mg.L</w:t>
      </w:r>
      <w:r w:rsidRPr="000549B1">
        <w:rPr>
          <w:kern w:val="0"/>
          <w:sz w:val="24"/>
          <w:szCs w:val="44"/>
          <w:vertAlign w:val="superscript"/>
        </w:rPr>
        <w:t>-1</w:t>
      </w:r>
      <w:r w:rsidRPr="000549B1">
        <w:rPr>
          <w:kern w:val="0"/>
          <w:sz w:val="24"/>
          <w:szCs w:val="44"/>
        </w:rPr>
        <w:t>；密度为</w:t>
      </w:r>
      <w:r w:rsidRPr="000549B1">
        <w:rPr>
          <w:kern w:val="0"/>
          <w:sz w:val="24"/>
          <w:szCs w:val="44"/>
        </w:rPr>
        <w:t>18.25~123.50×10</w:t>
      </w:r>
      <w:r w:rsidRPr="000549B1">
        <w:rPr>
          <w:kern w:val="0"/>
          <w:sz w:val="24"/>
          <w:szCs w:val="44"/>
          <w:vertAlign w:val="superscript"/>
        </w:rPr>
        <w:t>4</w:t>
      </w:r>
      <w:r w:rsidRPr="000549B1">
        <w:rPr>
          <w:kern w:val="0"/>
          <w:sz w:val="24"/>
          <w:szCs w:val="44"/>
        </w:rPr>
        <w:t>cells.L</w:t>
      </w:r>
      <w:r w:rsidRPr="000549B1">
        <w:rPr>
          <w:kern w:val="0"/>
          <w:sz w:val="24"/>
          <w:szCs w:val="44"/>
          <w:vertAlign w:val="superscript"/>
        </w:rPr>
        <w:t>-1</w:t>
      </w:r>
      <w:r w:rsidRPr="000549B1">
        <w:rPr>
          <w:kern w:val="0"/>
          <w:sz w:val="24"/>
          <w:szCs w:val="44"/>
        </w:rPr>
        <w:t>，平均密度为</w:t>
      </w:r>
      <w:r w:rsidRPr="000549B1">
        <w:rPr>
          <w:kern w:val="0"/>
          <w:sz w:val="24"/>
          <w:szCs w:val="44"/>
        </w:rPr>
        <w:t>46.34×10</w:t>
      </w:r>
      <w:r w:rsidRPr="000549B1">
        <w:rPr>
          <w:kern w:val="0"/>
          <w:sz w:val="24"/>
          <w:szCs w:val="44"/>
          <w:vertAlign w:val="superscript"/>
        </w:rPr>
        <w:t>4</w:t>
      </w:r>
      <w:r w:rsidRPr="000549B1">
        <w:rPr>
          <w:kern w:val="0"/>
          <w:sz w:val="24"/>
          <w:szCs w:val="44"/>
        </w:rPr>
        <w:t>cells.L</w:t>
      </w:r>
      <w:r w:rsidRPr="000549B1">
        <w:rPr>
          <w:kern w:val="0"/>
          <w:sz w:val="24"/>
          <w:szCs w:val="44"/>
          <w:vertAlign w:val="superscript"/>
        </w:rPr>
        <w:t>-1</w:t>
      </w:r>
      <w:r w:rsidRPr="000549B1">
        <w:rPr>
          <w:kern w:val="0"/>
          <w:sz w:val="24"/>
          <w:szCs w:val="44"/>
        </w:rPr>
        <w:t>。</w:t>
      </w:r>
    </w:p>
    <w:p w14:paraId="240DEA18" w14:textId="77777777" w:rsidR="00054437" w:rsidRPr="000549B1" w:rsidRDefault="00054437">
      <w:pPr>
        <w:widowControl/>
        <w:spacing w:line="360" w:lineRule="auto"/>
        <w:ind w:firstLineChars="200" w:firstLine="480"/>
        <w:rPr>
          <w:kern w:val="0"/>
          <w:sz w:val="24"/>
        </w:rPr>
      </w:pPr>
    </w:p>
    <w:p w14:paraId="44DA6F17" w14:textId="77777777" w:rsidR="00054437" w:rsidRPr="000549B1" w:rsidRDefault="00054437">
      <w:pPr>
        <w:widowControl/>
        <w:spacing w:line="360" w:lineRule="auto"/>
        <w:rPr>
          <w:kern w:val="0"/>
          <w:sz w:val="24"/>
        </w:rPr>
        <w:sectPr w:rsidR="00054437" w:rsidRPr="000549B1">
          <w:pgSz w:w="11906" w:h="16838"/>
          <w:pgMar w:top="1440" w:right="1800" w:bottom="1440" w:left="1800" w:header="851" w:footer="992" w:gutter="0"/>
          <w:cols w:space="720"/>
          <w:docGrid w:type="lines" w:linePitch="312"/>
        </w:sectPr>
      </w:pPr>
    </w:p>
    <w:p w14:paraId="0AE48D11" w14:textId="7C414432" w:rsidR="00054437" w:rsidRPr="000549B1" w:rsidRDefault="00000000">
      <w:pPr>
        <w:pStyle w:val="0A51"/>
        <w:ind w:firstLine="422"/>
      </w:pPr>
      <w:r w:rsidRPr="000549B1">
        <w:t>表</w:t>
      </w:r>
      <w:fldSimple w:instr=" STYLEREF 2 \s ">
        <w:r w:rsidR="00372953">
          <w:rPr>
            <w:noProof/>
          </w:rPr>
          <w:t>3.6</w:t>
        </w:r>
      </w:fldSimple>
      <w:r w:rsidR="00372953">
        <w:noBreakHyphen/>
      </w:r>
      <w:r w:rsidR="00372953">
        <w:fldChar w:fldCharType="begin"/>
      </w:r>
      <w:r w:rsidR="00372953">
        <w:instrText xml:space="preserve"> SEQ </w:instrText>
      </w:r>
      <w:r w:rsidR="00372953">
        <w:instrText>表</w:instrText>
      </w:r>
      <w:r w:rsidR="00372953">
        <w:instrText xml:space="preserve"> \* ARABIC \s 2 </w:instrText>
      </w:r>
      <w:r w:rsidR="00372953">
        <w:fldChar w:fldCharType="separate"/>
      </w:r>
      <w:r w:rsidR="00372953">
        <w:rPr>
          <w:noProof/>
        </w:rPr>
        <w:t>3</w:t>
      </w:r>
      <w:r w:rsidR="00372953">
        <w:fldChar w:fldCharType="end"/>
      </w:r>
      <w:r w:rsidRPr="000549B1">
        <w:t>浮游植物种类组成名录</w:t>
      </w:r>
    </w:p>
    <w:tbl>
      <w:tblPr>
        <w:tblW w:w="58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
        <w:gridCol w:w="1553"/>
        <w:gridCol w:w="2657"/>
        <w:gridCol w:w="673"/>
        <w:gridCol w:w="673"/>
        <w:gridCol w:w="673"/>
        <w:gridCol w:w="673"/>
        <w:gridCol w:w="673"/>
        <w:gridCol w:w="674"/>
      </w:tblGrid>
      <w:tr w:rsidR="000549B1" w:rsidRPr="000549B1" w14:paraId="3427DF07" w14:textId="77777777">
        <w:trPr>
          <w:trHeight w:val="300"/>
          <w:tblHeader/>
          <w:jc w:val="center"/>
        </w:trPr>
        <w:tc>
          <w:tcPr>
            <w:tcW w:w="1576" w:type="dxa"/>
            <w:vMerge w:val="restart"/>
            <w:noWrap/>
            <w:vAlign w:val="center"/>
          </w:tcPr>
          <w:p w14:paraId="7D047221" w14:textId="77777777" w:rsidR="00054437" w:rsidRPr="000549B1" w:rsidRDefault="00000000">
            <w:pPr>
              <w:widowControl/>
              <w:spacing w:line="240" w:lineRule="atLeast"/>
              <w:jc w:val="center"/>
              <w:rPr>
                <w:b/>
                <w:bCs/>
                <w:kern w:val="0"/>
                <w:sz w:val="18"/>
                <w:szCs w:val="18"/>
              </w:rPr>
            </w:pPr>
            <w:r w:rsidRPr="000549B1">
              <w:rPr>
                <w:b/>
                <w:bCs/>
                <w:kern w:val="0"/>
                <w:sz w:val="18"/>
                <w:szCs w:val="18"/>
              </w:rPr>
              <w:t>门</w:t>
            </w:r>
          </w:p>
        </w:tc>
        <w:tc>
          <w:tcPr>
            <w:tcW w:w="1600" w:type="dxa"/>
            <w:vMerge w:val="restart"/>
            <w:noWrap/>
            <w:vAlign w:val="center"/>
          </w:tcPr>
          <w:p w14:paraId="2E9B5B98" w14:textId="77777777" w:rsidR="00054437" w:rsidRPr="000549B1" w:rsidRDefault="00000000">
            <w:pPr>
              <w:widowControl/>
              <w:spacing w:line="240" w:lineRule="atLeast"/>
              <w:jc w:val="center"/>
              <w:rPr>
                <w:b/>
                <w:bCs/>
                <w:kern w:val="0"/>
                <w:sz w:val="18"/>
                <w:szCs w:val="18"/>
              </w:rPr>
            </w:pPr>
            <w:r w:rsidRPr="000549B1">
              <w:rPr>
                <w:b/>
                <w:bCs/>
                <w:kern w:val="0"/>
                <w:sz w:val="18"/>
                <w:szCs w:val="18"/>
              </w:rPr>
              <w:t>种属</w:t>
            </w:r>
          </w:p>
        </w:tc>
        <w:tc>
          <w:tcPr>
            <w:tcW w:w="2742" w:type="dxa"/>
            <w:vMerge w:val="restart"/>
            <w:noWrap/>
            <w:vAlign w:val="center"/>
          </w:tcPr>
          <w:p w14:paraId="19159696" w14:textId="77777777" w:rsidR="00054437" w:rsidRPr="000549B1" w:rsidRDefault="00000000">
            <w:pPr>
              <w:widowControl/>
              <w:spacing w:line="240" w:lineRule="atLeast"/>
              <w:jc w:val="center"/>
              <w:rPr>
                <w:b/>
                <w:bCs/>
                <w:kern w:val="0"/>
                <w:sz w:val="18"/>
                <w:szCs w:val="18"/>
              </w:rPr>
            </w:pPr>
            <w:r w:rsidRPr="000549B1">
              <w:rPr>
                <w:b/>
                <w:bCs/>
                <w:kern w:val="0"/>
                <w:sz w:val="18"/>
                <w:szCs w:val="18"/>
              </w:rPr>
              <w:t>拉丁文</w:t>
            </w:r>
          </w:p>
        </w:tc>
        <w:tc>
          <w:tcPr>
            <w:tcW w:w="2064" w:type="dxa"/>
            <w:gridSpan w:val="3"/>
            <w:noWrap/>
            <w:vAlign w:val="center"/>
          </w:tcPr>
          <w:p w14:paraId="6C3EAD17" w14:textId="77777777" w:rsidR="00054437" w:rsidRPr="000549B1" w:rsidRDefault="00000000">
            <w:pPr>
              <w:widowControl/>
              <w:spacing w:line="240" w:lineRule="atLeast"/>
              <w:jc w:val="center"/>
              <w:rPr>
                <w:b/>
                <w:bCs/>
                <w:kern w:val="0"/>
                <w:sz w:val="18"/>
                <w:szCs w:val="18"/>
              </w:rPr>
            </w:pPr>
            <w:r w:rsidRPr="000549B1">
              <w:rPr>
                <w:b/>
                <w:bCs/>
                <w:kern w:val="0"/>
                <w:sz w:val="18"/>
                <w:szCs w:val="18"/>
              </w:rPr>
              <w:t>切吉河</w:t>
            </w:r>
          </w:p>
        </w:tc>
        <w:tc>
          <w:tcPr>
            <w:tcW w:w="2065" w:type="dxa"/>
            <w:gridSpan w:val="3"/>
            <w:noWrap/>
            <w:vAlign w:val="center"/>
          </w:tcPr>
          <w:p w14:paraId="3B8338D4" w14:textId="77777777" w:rsidR="00054437" w:rsidRPr="000549B1" w:rsidRDefault="00000000">
            <w:pPr>
              <w:widowControl/>
              <w:spacing w:line="240" w:lineRule="atLeast"/>
              <w:jc w:val="center"/>
              <w:rPr>
                <w:b/>
                <w:bCs/>
                <w:kern w:val="0"/>
                <w:sz w:val="18"/>
                <w:szCs w:val="18"/>
              </w:rPr>
            </w:pPr>
            <w:r w:rsidRPr="000549B1">
              <w:rPr>
                <w:b/>
                <w:bCs/>
                <w:kern w:val="0"/>
                <w:sz w:val="18"/>
                <w:szCs w:val="18"/>
              </w:rPr>
              <w:t>沙珠玉河</w:t>
            </w:r>
          </w:p>
        </w:tc>
      </w:tr>
      <w:tr w:rsidR="000549B1" w:rsidRPr="000549B1" w14:paraId="68A888A1" w14:textId="77777777">
        <w:trPr>
          <w:trHeight w:val="300"/>
          <w:tblHeader/>
          <w:jc w:val="center"/>
        </w:trPr>
        <w:tc>
          <w:tcPr>
            <w:tcW w:w="1576" w:type="dxa"/>
            <w:vMerge/>
            <w:vAlign w:val="center"/>
          </w:tcPr>
          <w:p w14:paraId="78A3EA5A" w14:textId="77777777" w:rsidR="00054437" w:rsidRPr="000549B1" w:rsidRDefault="00054437">
            <w:pPr>
              <w:widowControl/>
              <w:spacing w:line="240" w:lineRule="atLeast"/>
              <w:rPr>
                <w:b/>
                <w:bCs/>
                <w:kern w:val="0"/>
                <w:sz w:val="18"/>
                <w:szCs w:val="18"/>
              </w:rPr>
            </w:pPr>
          </w:p>
        </w:tc>
        <w:tc>
          <w:tcPr>
            <w:tcW w:w="1600" w:type="dxa"/>
            <w:vMerge/>
            <w:vAlign w:val="center"/>
          </w:tcPr>
          <w:p w14:paraId="43628498" w14:textId="77777777" w:rsidR="00054437" w:rsidRPr="000549B1" w:rsidRDefault="00054437">
            <w:pPr>
              <w:widowControl/>
              <w:spacing w:line="240" w:lineRule="atLeast"/>
              <w:rPr>
                <w:b/>
                <w:bCs/>
                <w:kern w:val="0"/>
                <w:sz w:val="18"/>
                <w:szCs w:val="18"/>
              </w:rPr>
            </w:pPr>
          </w:p>
        </w:tc>
        <w:tc>
          <w:tcPr>
            <w:tcW w:w="2742" w:type="dxa"/>
            <w:vMerge/>
            <w:vAlign w:val="center"/>
          </w:tcPr>
          <w:p w14:paraId="35858579" w14:textId="77777777" w:rsidR="00054437" w:rsidRPr="000549B1" w:rsidRDefault="00054437">
            <w:pPr>
              <w:widowControl/>
              <w:spacing w:line="240" w:lineRule="atLeast"/>
              <w:rPr>
                <w:b/>
                <w:bCs/>
                <w:kern w:val="0"/>
                <w:sz w:val="18"/>
                <w:szCs w:val="18"/>
              </w:rPr>
            </w:pPr>
          </w:p>
        </w:tc>
        <w:tc>
          <w:tcPr>
            <w:tcW w:w="688" w:type="dxa"/>
            <w:noWrap/>
            <w:vAlign w:val="center"/>
          </w:tcPr>
          <w:p w14:paraId="5E5E4D05" w14:textId="77777777" w:rsidR="00054437" w:rsidRPr="000549B1" w:rsidRDefault="00000000">
            <w:pPr>
              <w:widowControl/>
              <w:spacing w:line="240" w:lineRule="atLeast"/>
              <w:jc w:val="center"/>
              <w:rPr>
                <w:b/>
                <w:bCs/>
                <w:kern w:val="0"/>
                <w:sz w:val="18"/>
                <w:szCs w:val="18"/>
              </w:rPr>
            </w:pPr>
            <w:r w:rsidRPr="000549B1">
              <w:rPr>
                <w:b/>
                <w:bCs/>
                <w:kern w:val="0"/>
                <w:sz w:val="18"/>
                <w:szCs w:val="18"/>
              </w:rPr>
              <w:t>切吉水库上游</w:t>
            </w:r>
          </w:p>
        </w:tc>
        <w:tc>
          <w:tcPr>
            <w:tcW w:w="688" w:type="dxa"/>
            <w:noWrap/>
            <w:vAlign w:val="center"/>
          </w:tcPr>
          <w:p w14:paraId="62BD9F64" w14:textId="77777777" w:rsidR="00054437" w:rsidRPr="000549B1" w:rsidRDefault="00000000">
            <w:pPr>
              <w:widowControl/>
              <w:spacing w:line="240" w:lineRule="atLeast"/>
              <w:jc w:val="center"/>
              <w:rPr>
                <w:b/>
                <w:bCs/>
                <w:kern w:val="0"/>
                <w:sz w:val="18"/>
                <w:szCs w:val="18"/>
              </w:rPr>
            </w:pPr>
            <w:r w:rsidRPr="000549B1">
              <w:rPr>
                <w:b/>
                <w:bCs/>
                <w:kern w:val="0"/>
                <w:sz w:val="18"/>
                <w:szCs w:val="18"/>
              </w:rPr>
              <w:t>切吉水库</w:t>
            </w:r>
          </w:p>
        </w:tc>
        <w:tc>
          <w:tcPr>
            <w:tcW w:w="688" w:type="dxa"/>
            <w:noWrap/>
            <w:vAlign w:val="center"/>
          </w:tcPr>
          <w:p w14:paraId="1F98B2B8" w14:textId="77777777" w:rsidR="00054437" w:rsidRPr="000549B1" w:rsidRDefault="00000000">
            <w:pPr>
              <w:widowControl/>
              <w:spacing w:line="240" w:lineRule="atLeast"/>
              <w:jc w:val="center"/>
              <w:rPr>
                <w:b/>
                <w:bCs/>
                <w:kern w:val="0"/>
                <w:sz w:val="18"/>
                <w:szCs w:val="18"/>
              </w:rPr>
            </w:pPr>
            <w:r w:rsidRPr="000549B1">
              <w:rPr>
                <w:b/>
                <w:bCs/>
                <w:kern w:val="0"/>
                <w:sz w:val="18"/>
                <w:szCs w:val="18"/>
              </w:rPr>
              <w:t>切吉水库下游</w:t>
            </w:r>
          </w:p>
        </w:tc>
        <w:tc>
          <w:tcPr>
            <w:tcW w:w="688" w:type="dxa"/>
            <w:noWrap/>
            <w:vAlign w:val="center"/>
          </w:tcPr>
          <w:p w14:paraId="400D0C31" w14:textId="77777777" w:rsidR="00054437" w:rsidRPr="000549B1" w:rsidRDefault="00000000">
            <w:pPr>
              <w:widowControl/>
              <w:spacing w:line="240" w:lineRule="atLeast"/>
              <w:jc w:val="center"/>
              <w:rPr>
                <w:b/>
                <w:bCs/>
                <w:kern w:val="0"/>
                <w:sz w:val="18"/>
                <w:szCs w:val="18"/>
              </w:rPr>
            </w:pPr>
            <w:r w:rsidRPr="000549B1">
              <w:rPr>
                <w:b/>
                <w:bCs/>
                <w:kern w:val="0"/>
                <w:sz w:val="18"/>
                <w:szCs w:val="18"/>
              </w:rPr>
              <w:t>曲黑格木</w:t>
            </w:r>
          </w:p>
        </w:tc>
        <w:tc>
          <w:tcPr>
            <w:tcW w:w="688" w:type="dxa"/>
            <w:noWrap/>
            <w:vAlign w:val="center"/>
          </w:tcPr>
          <w:p w14:paraId="4F999B5A" w14:textId="77777777" w:rsidR="00054437" w:rsidRPr="000549B1" w:rsidRDefault="00000000">
            <w:pPr>
              <w:widowControl/>
              <w:spacing w:line="240" w:lineRule="atLeast"/>
              <w:jc w:val="center"/>
              <w:rPr>
                <w:b/>
                <w:bCs/>
                <w:kern w:val="0"/>
                <w:sz w:val="18"/>
                <w:szCs w:val="18"/>
              </w:rPr>
            </w:pPr>
            <w:r w:rsidRPr="000549B1">
              <w:rPr>
                <w:b/>
                <w:bCs/>
                <w:kern w:val="0"/>
                <w:sz w:val="18"/>
                <w:szCs w:val="18"/>
              </w:rPr>
              <w:t>浪娘村桥下</w:t>
            </w:r>
          </w:p>
        </w:tc>
        <w:tc>
          <w:tcPr>
            <w:tcW w:w="689" w:type="dxa"/>
            <w:noWrap/>
            <w:vAlign w:val="center"/>
          </w:tcPr>
          <w:p w14:paraId="52E9A695" w14:textId="77777777" w:rsidR="00054437" w:rsidRPr="000549B1" w:rsidRDefault="00000000">
            <w:pPr>
              <w:widowControl/>
              <w:spacing w:line="240" w:lineRule="atLeast"/>
              <w:jc w:val="center"/>
              <w:rPr>
                <w:b/>
                <w:bCs/>
                <w:kern w:val="0"/>
                <w:sz w:val="18"/>
                <w:szCs w:val="18"/>
              </w:rPr>
            </w:pPr>
            <w:r w:rsidRPr="000549B1">
              <w:rPr>
                <w:b/>
                <w:bCs/>
                <w:kern w:val="0"/>
                <w:sz w:val="18"/>
                <w:szCs w:val="18"/>
              </w:rPr>
              <w:t>沙珠玉河下游</w:t>
            </w:r>
          </w:p>
        </w:tc>
      </w:tr>
      <w:tr w:rsidR="000549B1" w:rsidRPr="000549B1" w14:paraId="40A22165" w14:textId="77777777">
        <w:trPr>
          <w:trHeight w:val="300"/>
          <w:jc w:val="center"/>
        </w:trPr>
        <w:tc>
          <w:tcPr>
            <w:tcW w:w="1576" w:type="dxa"/>
            <w:vMerge w:val="restart"/>
            <w:noWrap/>
            <w:vAlign w:val="center"/>
          </w:tcPr>
          <w:p w14:paraId="248E74E9" w14:textId="77777777" w:rsidR="00054437" w:rsidRPr="000549B1" w:rsidRDefault="00000000">
            <w:pPr>
              <w:widowControl/>
              <w:spacing w:line="240" w:lineRule="atLeast"/>
              <w:jc w:val="center"/>
              <w:rPr>
                <w:kern w:val="0"/>
                <w:sz w:val="18"/>
                <w:szCs w:val="18"/>
              </w:rPr>
            </w:pPr>
            <w:r w:rsidRPr="000549B1">
              <w:rPr>
                <w:kern w:val="0"/>
                <w:sz w:val="18"/>
                <w:szCs w:val="18"/>
              </w:rPr>
              <w:t>硅藻门</w:t>
            </w:r>
            <w:r w:rsidRPr="000549B1">
              <w:rPr>
                <w:kern w:val="0"/>
                <w:sz w:val="18"/>
                <w:szCs w:val="18"/>
              </w:rPr>
              <w:t>Bacillariophyta</w:t>
            </w:r>
          </w:p>
        </w:tc>
        <w:tc>
          <w:tcPr>
            <w:tcW w:w="1600" w:type="dxa"/>
            <w:noWrap/>
            <w:vAlign w:val="center"/>
          </w:tcPr>
          <w:p w14:paraId="0827E21E" w14:textId="77777777" w:rsidR="00054437" w:rsidRPr="000549B1" w:rsidRDefault="00000000">
            <w:pPr>
              <w:widowControl/>
              <w:spacing w:line="240" w:lineRule="atLeast"/>
              <w:jc w:val="center"/>
              <w:rPr>
                <w:kern w:val="0"/>
                <w:sz w:val="18"/>
                <w:szCs w:val="18"/>
              </w:rPr>
            </w:pPr>
            <w:r w:rsidRPr="000549B1">
              <w:rPr>
                <w:kern w:val="0"/>
                <w:sz w:val="18"/>
                <w:szCs w:val="18"/>
              </w:rPr>
              <w:t>谷皮菱形藻</w:t>
            </w:r>
          </w:p>
        </w:tc>
        <w:tc>
          <w:tcPr>
            <w:tcW w:w="2742" w:type="dxa"/>
            <w:noWrap/>
            <w:vAlign w:val="center"/>
          </w:tcPr>
          <w:p w14:paraId="7D1A59B5" w14:textId="77777777" w:rsidR="00054437" w:rsidRPr="000549B1" w:rsidRDefault="00000000">
            <w:pPr>
              <w:widowControl/>
              <w:spacing w:line="240" w:lineRule="atLeast"/>
              <w:jc w:val="center"/>
              <w:rPr>
                <w:i/>
                <w:iCs/>
                <w:kern w:val="0"/>
                <w:sz w:val="18"/>
                <w:szCs w:val="18"/>
              </w:rPr>
            </w:pPr>
            <w:r w:rsidRPr="000549B1">
              <w:rPr>
                <w:i/>
                <w:iCs/>
                <w:kern w:val="0"/>
                <w:sz w:val="18"/>
                <w:szCs w:val="18"/>
              </w:rPr>
              <w:t>Nitzschiapalea</w:t>
            </w:r>
          </w:p>
        </w:tc>
        <w:tc>
          <w:tcPr>
            <w:tcW w:w="688" w:type="dxa"/>
            <w:noWrap/>
            <w:vAlign w:val="center"/>
          </w:tcPr>
          <w:p w14:paraId="76F07986"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027304CA"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118B7DA5"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2F5FE8A1"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0D6C3020"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9" w:type="dxa"/>
            <w:noWrap/>
            <w:vAlign w:val="center"/>
          </w:tcPr>
          <w:p w14:paraId="0A7EE19E" w14:textId="77777777" w:rsidR="00054437" w:rsidRPr="000549B1" w:rsidRDefault="00000000">
            <w:pPr>
              <w:widowControl/>
              <w:spacing w:line="240" w:lineRule="atLeast"/>
              <w:jc w:val="center"/>
              <w:rPr>
                <w:kern w:val="0"/>
                <w:sz w:val="18"/>
                <w:szCs w:val="18"/>
              </w:rPr>
            </w:pPr>
            <w:r w:rsidRPr="000549B1">
              <w:rPr>
                <w:kern w:val="0"/>
                <w:sz w:val="18"/>
                <w:szCs w:val="18"/>
              </w:rPr>
              <w:t>+</w:t>
            </w:r>
          </w:p>
        </w:tc>
      </w:tr>
      <w:tr w:rsidR="000549B1" w:rsidRPr="000549B1" w14:paraId="563B3710" w14:textId="77777777">
        <w:trPr>
          <w:trHeight w:val="300"/>
          <w:jc w:val="center"/>
        </w:trPr>
        <w:tc>
          <w:tcPr>
            <w:tcW w:w="1576" w:type="dxa"/>
            <w:vMerge/>
            <w:vAlign w:val="center"/>
          </w:tcPr>
          <w:p w14:paraId="26E805F8" w14:textId="77777777" w:rsidR="00054437" w:rsidRPr="000549B1" w:rsidRDefault="00054437">
            <w:pPr>
              <w:widowControl/>
              <w:spacing w:line="240" w:lineRule="atLeast"/>
              <w:rPr>
                <w:kern w:val="0"/>
                <w:sz w:val="18"/>
                <w:szCs w:val="18"/>
              </w:rPr>
            </w:pPr>
          </w:p>
        </w:tc>
        <w:tc>
          <w:tcPr>
            <w:tcW w:w="1600" w:type="dxa"/>
            <w:noWrap/>
            <w:vAlign w:val="center"/>
          </w:tcPr>
          <w:p w14:paraId="2E39D29D" w14:textId="77777777" w:rsidR="00054437" w:rsidRPr="000549B1" w:rsidRDefault="00000000">
            <w:pPr>
              <w:widowControl/>
              <w:spacing w:line="240" w:lineRule="atLeast"/>
              <w:jc w:val="center"/>
              <w:rPr>
                <w:kern w:val="0"/>
                <w:sz w:val="18"/>
                <w:szCs w:val="18"/>
              </w:rPr>
            </w:pPr>
            <w:r w:rsidRPr="000549B1">
              <w:rPr>
                <w:kern w:val="0"/>
                <w:sz w:val="18"/>
                <w:szCs w:val="18"/>
              </w:rPr>
              <w:t>针形菱形藻</w:t>
            </w:r>
          </w:p>
        </w:tc>
        <w:tc>
          <w:tcPr>
            <w:tcW w:w="2742" w:type="dxa"/>
            <w:noWrap/>
            <w:vAlign w:val="center"/>
          </w:tcPr>
          <w:p w14:paraId="7B518A80" w14:textId="77777777" w:rsidR="00054437" w:rsidRPr="000549B1" w:rsidRDefault="00000000">
            <w:pPr>
              <w:widowControl/>
              <w:spacing w:line="240" w:lineRule="atLeast"/>
              <w:jc w:val="center"/>
              <w:rPr>
                <w:i/>
                <w:iCs/>
                <w:kern w:val="0"/>
                <w:sz w:val="18"/>
                <w:szCs w:val="18"/>
              </w:rPr>
            </w:pPr>
            <w:r w:rsidRPr="000549B1">
              <w:rPr>
                <w:i/>
                <w:iCs/>
                <w:kern w:val="0"/>
                <w:sz w:val="18"/>
                <w:szCs w:val="18"/>
              </w:rPr>
              <w:t>Nitzschiaacicularis</w:t>
            </w:r>
          </w:p>
        </w:tc>
        <w:tc>
          <w:tcPr>
            <w:tcW w:w="688" w:type="dxa"/>
            <w:noWrap/>
            <w:vAlign w:val="center"/>
          </w:tcPr>
          <w:p w14:paraId="023B5CEB" w14:textId="77777777" w:rsidR="00054437" w:rsidRPr="000549B1" w:rsidRDefault="00054437">
            <w:pPr>
              <w:spacing w:line="240" w:lineRule="atLeast"/>
              <w:rPr>
                <w:kern w:val="0"/>
                <w:sz w:val="18"/>
                <w:szCs w:val="18"/>
              </w:rPr>
            </w:pPr>
          </w:p>
        </w:tc>
        <w:tc>
          <w:tcPr>
            <w:tcW w:w="688" w:type="dxa"/>
            <w:noWrap/>
            <w:vAlign w:val="center"/>
          </w:tcPr>
          <w:p w14:paraId="3A686622" w14:textId="77777777" w:rsidR="00054437" w:rsidRPr="000549B1" w:rsidRDefault="00054437">
            <w:pPr>
              <w:widowControl/>
              <w:spacing w:line="240" w:lineRule="atLeast"/>
              <w:rPr>
                <w:rFonts w:eastAsia="等线"/>
                <w:kern w:val="0"/>
                <w:sz w:val="18"/>
                <w:szCs w:val="18"/>
              </w:rPr>
            </w:pPr>
          </w:p>
        </w:tc>
        <w:tc>
          <w:tcPr>
            <w:tcW w:w="688" w:type="dxa"/>
            <w:noWrap/>
            <w:vAlign w:val="center"/>
          </w:tcPr>
          <w:p w14:paraId="5222FA1F"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22E26AF4" w14:textId="77777777" w:rsidR="00054437" w:rsidRPr="000549B1" w:rsidRDefault="00054437">
            <w:pPr>
              <w:spacing w:line="240" w:lineRule="atLeast"/>
              <w:rPr>
                <w:kern w:val="0"/>
                <w:sz w:val="18"/>
                <w:szCs w:val="18"/>
              </w:rPr>
            </w:pPr>
          </w:p>
        </w:tc>
        <w:tc>
          <w:tcPr>
            <w:tcW w:w="688" w:type="dxa"/>
            <w:noWrap/>
            <w:vAlign w:val="center"/>
          </w:tcPr>
          <w:p w14:paraId="632DD77F" w14:textId="77777777" w:rsidR="00054437" w:rsidRPr="000549B1" w:rsidRDefault="00054437">
            <w:pPr>
              <w:widowControl/>
              <w:spacing w:line="240" w:lineRule="atLeast"/>
              <w:rPr>
                <w:rFonts w:eastAsia="等线"/>
                <w:kern w:val="0"/>
                <w:sz w:val="18"/>
                <w:szCs w:val="18"/>
              </w:rPr>
            </w:pPr>
          </w:p>
        </w:tc>
        <w:tc>
          <w:tcPr>
            <w:tcW w:w="689" w:type="dxa"/>
            <w:noWrap/>
            <w:vAlign w:val="center"/>
          </w:tcPr>
          <w:p w14:paraId="70B12090" w14:textId="77777777" w:rsidR="00054437" w:rsidRPr="000549B1" w:rsidRDefault="00054437">
            <w:pPr>
              <w:widowControl/>
              <w:spacing w:line="240" w:lineRule="atLeast"/>
              <w:rPr>
                <w:rFonts w:eastAsia="等线"/>
                <w:kern w:val="0"/>
                <w:sz w:val="18"/>
                <w:szCs w:val="18"/>
              </w:rPr>
            </w:pPr>
          </w:p>
        </w:tc>
      </w:tr>
      <w:tr w:rsidR="000549B1" w:rsidRPr="000549B1" w14:paraId="57739707" w14:textId="77777777">
        <w:trPr>
          <w:trHeight w:val="300"/>
          <w:jc w:val="center"/>
        </w:trPr>
        <w:tc>
          <w:tcPr>
            <w:tcW w:w="1576" w:type="dxa"/>
            <w:vMerge/>
            <w:vAlign w:val="center"/>
          </w:tcPr>
          <w:p w14:paraId="38BC394E" w14:textId="77777777" w:rsidR="00054437" w:rsidRPr="000549B1" w:rsidRDefault="00054437">
            <w:pPr>
              <w:widowControl/>
              <w:spacing w:line="240" w:lineRule="atLeast"/>
              <w:rPr>
                <w:kern w:val="0"/>
                <w:sz w:val="18"/>
                <w:szCs w:val="18"/>
              </w:rPr>
            </w:pPr>
          </w:p>
        </w:tc>
        <w:tc>
          <w:tcPr>
            <w:tcW w:w="1600" w:type="dxa"/>
            <w:noWrap/>
            <w:vAlign w:val="center"/>
          </w:tcPr>
          <w:p w14:paraId="27EF2CAB" w14:textId="77777777" w:rsidR="00054437" w:rsidRPr="000549B1" w:rsidRDefault="00000000">
            <w:pPr>
              <w:widowControl/>
              <w:spacing w:line="240" w:lineRule="atLeast"/>
              <w:jc w:val="center"/>
              <w:rPr>
                <w:kern w:val="0"/>
                <w:sz w:val="18"/>
                <w:szCs w:val="18"/>
              </w:rPr>
            </w:pPr>
            <w:r w:rsidRPr="000549B1">
              <w:rPr>
                <w:kern w:val="0"/>
                <w:sz w:val="18"/>
                <w:szCs w:val="18"/>
              </w:rPr>
              <w:t>长菱形藻</w:t>
            </w:r>
          </w:p>
        </w:tc>
        <w:tc>
          <w:tcPr>
            <w:tcW w:w="2742" w:type="dxa"/>
            <w:noWrap/>
            <w:vAlign w:val="center"/>
          </w:tcPr>
          <w:p w14:paraId="1D9172F7" w14:textId="77777777" w:rsidR="00054437" w:rsidRPr="000549B1" w:rsidRDefault="00000000">
            <w:pPr>
              <w:widowControl/>
              <w:spacing w:line="240" w:lineRule="atLeast"/>
              <w:jc w:val="center"/>
              <w:rPr>
                <w:i/>
                <w:iCs/>
                <w:kern w:val="0"/>
                <w:sz w:val="18"/>
                <w:szCs w:val="18"/>
              </w:rPr>
            </w:pPr>
            <w:r w:rsidRPr="000549B1">
              <w:rPr>
                <w:i/>
                <w:iCs/>
                <w:kern w:val="0"/>
                <w:sz w:val="18"/>
                <w:szCs w:val="18"/>
              </w:rPr>
              <w:t>Nitzschialongissima</w:t>
            </w:r>
          </w:p>
        </w:tc>
        <w:tc>
          <w:tcPr>
            <w:tcW w:w="688" w:type="dxa"/>
            <w:noWrap/>
            <w:vAlign w:val="center"/>
          </w:tcPr>
          <w:p w14:paraId="6FF43536" w14:textId="77777777" w:rsidR="00054437" w:rsidRPr="000549B1" w:rsidRDefault="00054437">
            <w:pPr>
              <w:widowControl/>
              <w:spacing w:line="240" w:lineRule="atLeast"/>
              <w:rPr>
                <w:rFonts w:eastAsia="等线"/>
                <w:kern w:val="0"/>
                <w:sz w:val="18"/>
                <w:szCs w:val="18"/>
              </w:rPr>
            </w:pPr>
          </w:p>
        </w:tc>
        <w:tc>
          <w:tcPr>
            <w:tcW w:w="688" w:type="dxa"/>
            <w:noWrap/>
            <w:vAlign w:val="center"/>
          </w:tcPr>
          <w:p w14:paraId="06AA3D66" w14:textId="77777777" w:rsidR="00054437" w:rsidRPr="000549B1" w:rsidRDefault="00054437">
            <w:pPr>
              <w:widowControl/>
              <w:spacing w:line="240" w:lineRule="atLeast"/>
              <w:rPr>
                <w:rFonts w:eastAsia="等线"/>
                <w:kern w:val="0"/>
                <w:sz w:val="18"/>
                <w:szCs w:val="18"/>
              </w:rPr>
            </w:pPr>
          </w:p>
        </w:tc>
        <w:tc>
          <w:tcPr>
            <w:tcW w:w="688" w:type="dxa"/>
            <w:noWrap/>
            <w:vAlign w:val="center"/>
          </w:tcPr>
          <w:p w14:paraId="4C02315E"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0B2CCFA6" w14:textId="77777777" w:rsidR="00054437" w:rsidRPr="000549B1" w:rsidRDefault="00054437">
            <w:pPr>
              <w:spacing w:line="240" w:lineRule="atLeast"/>
              <w:rPr>
                <w:kern w:val="0"/>
                <w:sz w:val="18"/>
                <w:szCs w:val="18"/>
              </w:rPr>
            </w:pPr>
          </w:p>
        </w:tc>
        <w:tc>
          <w:tcPr>
            <w:tcW w:w="688" w:type="dxa"/>
            <w:noWrap/>
            <w:vAlign w:val="center"/>
          </w:tcPr>
          <w:p w14:paraId="5126C761" w14:textId="77777777" w:rsidR="00054437" w:rsidRPr="000549B1" w:rsidRDefault="00054437">
            <w:pPr>
              <w:widowControl/>
              <w:spacing w:line="240" w:lineRule="atLeast"/>
              <w:rPr>
                <w:rFonts w:eastAsia="等线"/>
                <w:kern w:val="0"/>
                <w:sz w:val="18"/>
                <w:szCs w:val="18"/>
              </w:rPr>
            </w:pPr>
          </w:p>
        </w:tc>
        <w:tc>
          <w:tcPr>
            <w:tcW w:w="689" w:type="dxa"/>
            <w:noWrap/>
            <w:vAlign w:val="center"/>
          </w:tcPr>
          <w:p w14:paraId="57BBB74B" w14:textId="77777777" w:rsidR="00054437" w:rsidRPr="000549B1" w:rsidRDefault="00054437">
            <w:pPr>
              <w:widowControl/>
              <w:spacing w:line="240" w:lineRule="atLeast"/>
              <w:rPr>
                <w:rFonts w:eastAsia="等线"/>
                <w:kern w:val="0"/>
                <w:sz w:val="18"/>
                <w:szCs w:val="18"/>
              </w:rPr>
            </w:pPr>
          </w:p>
        </w:tc>
      </w:tr>
      <w:tr w:rsidR="000549B1" w:rsidRPr="000549B1" w14:paraId="01020A45" w14:textId="77777777">
        <w:trPr>
          <w:trHeight w:val="300"/>
          <w:jc w:val="center"/>
        </w:trPr>
        <w:tc>
          <w:tcPr>
            <w:tcW w:w="1576" w:type="dxa"/>
            <w:vMerge/>
            <w:vAlign w:val="center"/>
          </w:tcPr>
          <w:p w14:paraId="0875DF22" w14:textId="77777777" w:rsidR="00054437" w:rsidRPr="000549B1" w:rsidRDefault="00054437">
            <w:pPr>
              <w:widowControl/>
              <w:spacing w:line="240" w:lineRule="atLeast"/>
              <w:rPr>
                <w:kern w:val="0"/>
                <w:sz w:val="18"/>
                <w:szCs w:val="18"/>
              </w:rPr>
            </w:pPr>
          </w:p>
        </w:tc>
        <w:tc>
          <w:tcPr>
            <w:tcW w:w="1600" w:type="dxa"/>
            <w:noWrap/>
            <w:vAlign w:val="center"/>
          </w:tcPr>
          <w:p w14:paraId="2CFDCAEF" w14:textId="77777777" w:rsidR="00054437" w:rsidRPr="000549B1" w:rsidRDefault="00000000">
            <w:pPr>
              <w:widowControl/>
              <w:spacing w:line="240" w:lineRule="atLeast"/>
              <w:jc w:val="center"/>
              <w:rPr>
                <w:kern w:val="0"/>
                <w:sz w:val="18"/>
                <w:szCs w:val="18"/>
              </w:rPr>
            </w:pPr>
            <w:r w:rsidRPr="000549B1">
              <w:rPr>
                <w:kern w:val="0"/>
                <w:sz w:val="18"/>
                <w:szCs w:val="18"/>
              </w:rPr>
              <w:t>广缘小环藻</w:t>
            </w:r>
          </w:p>
        </w:tc>
        <w:tc>
          <w:tcPr>
            <w:tcW w:w="2742" w:type="dxa"/>
            <w:noWrap/>
            <w:vAlign w:val="center"/>
          </w:tcPr>
          <w:p w14:paraId="1F5EF36A" w14:textId="77777777" w:rsidR="00054437" w:rsidRPr="000549B1" w:rsidRDefault="00000000">
            <w:pPr>
              <w:widowControl/>
              <w:spacing w:line="240" w:lineRule="atLeast"/>
              <w:jc w:val="center"/>
              <w:rPr>
                <w:i/>
                <w:iCs/>
                <w:kern w:val="0"/>
                <w:sz w:val="18"/>
                <w:szCs w:val="18"/>
              </w:rPr>
            </w:pPr>
            <w:r w:rsidRPr="000549B1">
              <w:rPr>
                <w:i/>
                <w:iCs/>
                <w:kern w:val="0"/>
                <w:sz w:val="18"/>
                <w:szCs w:val="18"/>
              </w:rPr>
              <w:t>Cyclotellabodanica</w:t>
            </w:r>
          </w:p>
        </w:tc>
        <w:tc>
          <w:tcPr>
            <w:tcW w:w="688" w:type="dxa"/>
            <w:noWrap/>
            <w:vAlign w:val="center"/>
          </w:tcPr>
          <w:p w14:paraId="18ACF304" w14:textId="77777777" w:rsidR="00054437" w:rsidRPr="000549B1" w:rsidRDefault="00054437">
            <w:pPr>
              <w:widowControl/>
              <w:spacing w:line="240" w:lineRule="atLeast"/>
              <w:rPr>
                <w:rFonts w:eastAsia="等线"/>
                <w:kern w:val="0"/>
                <w:sz w:val="18"/>
                <w:szCs w:val="18"/>
              </w:rPr>
            </w:pPr>
          </w:p>
        </w:tc>
        <w:tc>
          <w:tcPr>
            <w:tcW w:w="688" w:type="dxa"/>
            <w:noWrap/>
            <w:vAlign w:val="center"/>
          </w:tcPr>
          <w:p w14:paraId="3DF39B33"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4595B697"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1B8A8823" w14:textId="77777777" w:rsidR="00054437" w:rsidRPr="000549B1" w:rsidRDefault="00054437">
            <w:pPr>
              <w:spacing w:line="240" w:lineRule="atLeast"/>
              <w:rPr>
                <w:kern w:val="0"/>
                <w:sz w:val="18"/>
                <w:szCs w:val="18"/>
              </w:rPr>
            </w:pPr>
          </w:p>
        </w:tc>
        <w:tc>
          <w:tcPr>
            <w:tcW w:w="688" w:type="dxa"/>
            <w:noWrap/>
            <w:vAlign w:val="center"/>
          </w:tcPr>
          <w:p w14:paraId="2C9572EB" w14:textId="77777777" w:rsidR="00054437" w:rsidRPr="000549B1" w:rsidRDefault="00054437">
            <w:pPr>
              <w:widowControl/>
              <w:spacing w:line="240" w:lineRule="atLeast"/>
              <w:rPr>
                <w:rFonts w:eastAsia="等线"/>
                <w:kern w:val="0"/>
                <w:sz w:val="18"/>
                <w:szCs w:val="18"/>
              </w:rPr>
            </w:pPr>
          </w:p>
        </w:tc>
        <w:tc>
          <w:tcPr>
            <w:tcW w:w="689" w:type="dxa"/>
            <w:noWrap/>
            <w:vAlign w:val="center"/>
          </w:tcPr>
          <w:p w14:paraId="7C6670CB" w14:textId="77777777" w:rsidR="00054437" w:rsidRPr="000549B1" w:rsidRDefault="00054437">
            <w:pPr>
              <w:widowControl/>
              <w:spacing w:line="240" w:lineRule="atLeast"/>
              <w:rPr>
                <w:rFonts w:eastAsia="等线"/>
                <w:kern w:val="0"/>
                <w:sz w:val="18"/>
                <w:szCs w:val="18"/>
              </w:rPr>
            </w:pPr>
          </w:p>
        </w:tc>
      </w:tr>
      <w:tr w:rsidR="000549B1" w:rsidRPr="000549B1" w14:paraId="4DC1568C" w14:textId="77777777">
        <w:trPr>
          <w:trHeight w:val="300"/>
          <w:jc w:val="center"/>
        </w:trPr>
        <w:tc>
          <w:tcPr>
            <w:tcW w:w="1576" w:type="dxa"/>
            <w:vMerge/>
            <w:vAlign w:val="center"/>
          </w:tcPr>
          <w:p w14:paraId="4650A98C" w14:textId="77777777" w:rsidR="00054437" w:rsidRPr="000549B1" w:rsidRDefault="00054437">
            <w:pPr>
              <w:widowControl/>
              <w:spacing w:line="240" w:lineRule="atLeast"/>
              <w:rPr>
                <w:kern w:val="0"/>
                <w:sz w:val="18"/>
                <w:szCs w:val="18"/>
              </w:rPr>
            </w:pPr>
          </w:p>
        </w:tc>
        <w:tc>
          <w:tcPr>
            <w:tcW w:w="1600" w:type="dxa"/>
            <w:noWrap/>
            <w:vAlign w:val="center"/>
          </w:tcPr>
          <w:p w14:paraId="1F852758" w14:textId="77777777" w:rsidR="00054437" w:rsidRPr="000549B1" w:rsidRDefault="00000000">
            <w:pPr>
              <w:widowControl/>
              <w:spacing w:line="240" w:lineRule="atLeast"/>
              <w:jc w:val="center"/>
              <w:rPr>
                <w:kern w:val="0"/>
                <w:sz w:val="18"/>
                <w:szCs w:val="18"/>
              </w:rPr>
            </w:pPr>
            <w:r w:rsidRPr="000549B1">
              <w:rPr>
                <w:kern w:val="0"/>
                <w:sz w:val="18"/>
                <w:szCs w:val="18"/>
              </w:rPr>
              <w:t>梅尼小环藻</w:t>
            </w:r>
          </w:p>
        </w:tc>
        <w:tc>
          <w:tcPr>
            <w:tcW w:w="2742" w:type="dxa"/>
            <w:noWrap/>
            <w:vAlign w:val="center"/>
          </w:tcPr>
          <w:p w14:paraId="524324D9" w14:textId="77777777" w:rsidR="00054437" w:rsidRPr="000549B1" w:rsidRDefault="00000000">
            <w:pPr>
              <w:widowControl/>
              <w:spacing w:line="240" w:lineRule="atLeast"/>
              <w:jc w:val="center"/>
              <w:rPr>
                <w:i/>
                <w:iCs/>
                <w:kern w:val="0"/>
                <w:sz w:val="18"/>
                <w:szCs w:val="18"/>
              </w:rPr>
            </w:pPr>
            <w:r w:rsidRPr="000549B1">
              <w:rPr>
                <w:i/>
                <w:iCs/>
                <w:kern w:val="0"/>
                <w:sz w:val="18"/>
                <w:szCs w:val="18"/>
              </w:rPr>
              <w:t>Cyclotellameneghiniana</w:t>
            </w:r>
          </w:p>
        </w:tc>
        <w:tc>
          <w:tcPr>
            <w:tcW w:w="688" w:type="dxa"/>
            <w:noWrap/>
            <w:vAlign w:val="center"/>
          </w:tcPr>
          <w:p w14:paraId="74E9766A"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3B70BBB1"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6EDD4074"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38FE8319" w14:textId="77777777" w:rsidR="00054437" w:rsidRPr="000549B1" w:rsidRDefault="00054437">
            <w:pPr>
              <w:spacing w:line="240" w:lineRule="atLeast"/>
              <w:rPr>
                <w:kern w:val="0"/>
                <w:sz w:val="18"/>
                <w:szCs w:val="18"/>
              </w:rPr>
            </w:pPr>
          </w:p>
        </w:tc>
        <w:tc>
          <w:tcPr>
            <w:tcW w:w="688" w:type="dxa"/>
            <w:noWrap/>
            <w:vAlign w:val="center"/>
          </w:tcPr>
          <w:p w14:paraId="16F831B9"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9" w:type="dxa"/>
            <w:noWrap/>
            <w:vAlign w:val="center"/>
          </w:tcPr>
          <w:p w14:paraId="4A983F4D" w14:textId="77777777" w:rsidR="00054437" w:rsidRPr="000549B1" w:rsidRDefault="00054437">
            <w:pPr>
              <w:spacing w:line="240" w:lineRule="atLeast"/>
              <w:rPr>
                <w:kern w:val="0"/>
                <w:sz w:val="18"/>
                <w:szCs w:val="18"/>
              </w:rPr>
            </w:pPr>
          </w:p>
        </w:tc>
      </w:tr>
      <w:tr w:rsidR="000549B1" w:rsidRPr="000549B1" w14:paraId="10E949C0" w14:textId="77777777">
        <w:trPr>
          <w:trHeight w:val="300"/>
          <w:jc w:val="center"/>
        </w:trPr>
        <w:tc>
          <w:tcPr>
            <w:tcW w:w="1576" w:type="dxa"/>
            <w:vMerge/>
            <w:vAlign w:val="center"/>
          </w:tcPr>
          <w:p w14:paraId="0D221014" w14:textId="77777777" w:rsidR="00054437" w:rsidRPr="000549B1" w:rsidRDefault="00054437">
            <w:pPr>
              <w:widowControl/>
              <w:spacing w:line="240" w:lineRule="atLeast"/>
              <w:rPr>
                <w:kern w:val="0"/>
                <w:sz w:val="18"/>
                <w:szCs w:val="18"/>
              </w:rPr>
            </w:pPr>
          </w:p>
        </w:tc>
        <w:tc>
          <w:tcPr>
            <w:tcW w:w="1600" w:type="dxa"/>
            <w:noWrap/>
            <w:vAlign w:val="center"/>
          </w:tcPr>
          <w:p w14:paraId="6ECF9339" w14:textId="77777777" w:rsidR="00054437" w:rsidRPr="000549B1" w:rsidRDefault="00000000">
            <w:pPr>
              <w:widowControl/>
              <w:spacing w:line="240" w:lineRule="atLeast"/>
              <w:jc w:val="center"/>
              <w:rPr>
                <w:kern w:val="0"/>
                <w:sz w:val="18"/>
                <w:szCs w:val="18"/>
              </w:rPr>
            </w:pPr>
            <w:r w:rsidRPr="000549B1">
              <w:rPr>
                <w:kern w:val="0"/>
                <w:sz w:val="18"/>
                <w:szCs w:val="18"/>
              </w:rPr>
              <w:t>窄异极藻</w:t>
            </w:r>
          </w:p>
        </w:tc>
        <w:tc>
          <w:tcPr>
            <w:tcW w:w="2742" w:type="dxa"/>
            <w:noWrap/>
            <w:vAlign w:val="center"/>
          </w:tcPr>
          <w:p w14:paraId="2C4FE83F" w14:textId="77777777" w:rsidR="00054437" w:rsidRPr="000549B1" w:rsidRDefault="00000000">
            <w:pPr>
              <w:widowControl/>
              <w:spacing w:line="240" w:lineRule="atLeast"/>
              <w:jc w:val="center"/>
              <w:rPr>
                <w:i/>
                <w:iCs/>
                <w:kern w:val="0"/>
                <w:sz w:val="18"/>
                <w:szCs w:val="18"/>
              </w:rPr>
            </w:pPr>
            <w:r w:rsidRPr="000549B1">
              <w:rPr>
                <w:i/>
                <w:iCs/>
                <w:kern w:val="0"/>
                <w:sz w:val="18"/>
                <w:szCs w:val="18"/>
              </w:rPr>
              <w:t>Gomphonemaangustatum</w:t>
            </w:r>
          </w:p>
        </w:tc>
        <w:tc>
          <w:tcPr>
            <w:tcW w:w="688" w:type="dxa"/>
            <w:noWrap/>
            <w:vAlign w:val="center"/>
          </w:tcPr>
          <w:p w14:paraId="108D7A27" w14:textId="77777777" w:rsidR="00054437" w:rsidRPr="000549B1" w:rsidRDefault="00054437">
            <w:pPr>
              <w:widowControl/>
              <w:spacing w:line="240" w:lineRule="atLeast"/>
              <w:rPr>
                <w:rFonts w:eastAsia="等线"/>
                <w:kern w:val="0"/>
                <w:sz w:val="18"/>
                <w:szCs w:val="18"/>
              </w:rPr>
            </w:pPr>
          </w:p>
        </w:tc>
        <w:tc>
          <w:tcPr>
            <w:tcW w:w="688" w:type="dxa"/>
            <w:noWrap/>
            <w:vAlign w:val="center"/>
          </w:tcPr>
          <w:p w14:paraId="1E93E5AA"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2ADE66C7" w14:textId="77777777" w:rsidR="00054437" w:rsidRPr="000549B1" w:rsidRDefault="00054437">
            <w:pPr>
              <w:spacing w:line="240" w:lineRule="atLeast"/>
              <w:rPr>
                <w:kern w:val="0"/>
                <w:sz w:val="18"/>
                <w:szCs w:val="18"/>
              </w:rPr>
            </w:pPr>
          </w:p>
        </w:tc>
        <w:tc>
          <w:tcPr>
            <w:tcW w:w="688" w:type="dxa"/>
            <w:noWrap/>
            <w:vAlign w:val="center"/>
          </w:tcPr>
          <w:p w14:paraId="3119A6BA" w14:textId="77777777" w:rsidR="00054437" w:rsidRPr="000549B1" w:rsidRDefault="00054437">
            <w:pPr>
              <w:widowControl/>
              <w:spacing w:line="240" w:lineRule="atLeast"/>
              <w:rPr>
                <w:rFonts w:eastAsia="等线"/>
                <w:kern w:val="0"/>
                <w:sz w:val="18"/>
                <w:szCs w:val="18"/>
              </w:rPr>
            </w:pPr>
          </w:p>
        </w:tc>
        <w:tc>
          <w:tcPr>
            <w:tcW w:w="688" w:type="dxa"/>
            <w:noWrap/>
            <w:vAlign w:val="center"/>
          </w:tcPr>
          <w:p w14:paraId="401DFD85" w14:textId="77777777" w:rsidR="00054437" w:rsidRPr="000549B1" w:rsidRDefault="00054437">
            <w:pPr>
              <w:widowControl/>
              <w:spacing w:line="240" w:lineRule="atLeast"/>
              <w:rPr>
                <w:rFonts w:eastAsia="等线"/>
                <w:kern w:val="0"/>
                <w:sz w:val="18"/>
                <w:szCs w:val="18"/>
              </w:rPr>
            </w:pPr>
          </w:p>
        </w:tc>
        <w:tc>
          <w:tcPr>
            <w:tcW w:w="689" w:type="dxa"/>
            <w:noWrap/>
            <w:vAlign w:val="center"/>
          </w:tcPr>
          <w:p w14:paraId="5993A9E3" w14:textId="77777777" w:rsidR="00054437" w:rsidRPr="000549B1" w:rsidRDefault="00054437">
            <w:pPr>
              <w:widowControl/>
              <w:spacing w:line="240" w:lineRule="atLeast"/>
              <w:rPr>
                <w:rFonts w:eastAsia="等线"/>
                <w:kern w:val="0"/>
                <w:sz w:val="18"/>
                <w:szCs w:val="18"/>
              </w:rPr>
            </w:pPr>
          </w:p>
        </w:tc>
      </w:tr>
      <w:tr w:rsidR="000549B1" w:rsidRPr="000549B1" w14:paraId="1AC2D65C" w14:textId="77777777">
        <w:trPr>
          <w:trHeight w:val="300"/>
          <w:jc w:val="center"/>
        </w:trPr>
        <w:tc>
          <w:tcPr>
            <w:tcW w:w="1576" w:type="dxa"/>
            <w:vMerge/>
            <w:vAlign w:val="center"/>
          </w:tcPr>
          <w:p w14:paraId="60BF0DE2" w14:textId="77777777" w:rsidR="00054437" w:rsidRPr="000549B1" w:rsidRDefault="00054437">
            <w:pPr>
              <w:widowControl/>
              <w:spacing w:line="240" w:lineRule="atLeast"/>
              <w:rPr>
                <w:kern w:val="0"/>
                <w:sz w:val="18"/>
                <w:szCs w:val="18"/>
              </w:rPr>
            </w:pPr>
          </w:p>
        </w:tc>
        <w:tc>
          <w:tcPr>
            <w:tcW w:w="1600" w:type="dxa"/>
            <w:noWrap/>
            <w:vAlign w:val="center"/>
          </w:tcPr>
          <w:p w14:paraId="1C848DB7" w14:textId="77777777" w:rsidR="00054437" w:rsidRPr="000549B1" w:rsidRDefault="00000000">
            <w:pPr>
              <w:widowControl/>
              <w:spacing w:line="240" w:lineRule="atLeast"/>
              <w:jc w:val="center"/>
              <w:rPr>
                <w:kern w:val="0"/>
                <w:sz w:val="18"/>
                <w:szCs w:val="18"/>
              </w:rPr>
            </w:pPr>
            <w:r w:rsidRPr="000549B1">
              <w:rPr>
                <w:kern w:val="0"/>
                <w:sz w:val="18"/>
                <w:szCs w:val="18"/>
              </w:rPr>
              <w:t>扁鼻异极藻</w:t>
            </w:r>
          </w:p>
        </w:tc>
        <w:tc>
          <w:tcPr>
            <w:tcW w:w="2742" w:type="dxa"/>
            <w:noWrap/>
            <w:vAlign w:val="center"/>
          </w:tcPr>
          <w:p w14:paraId="243D6D90" w14:textId="77777777" w:rsidR="00054437" w:rsidRPr="000549B1" w:rsidRDefault="00000000">
            <w:pPr>
              <w:widowControl/>
              <w:spacing w:line="240" w:lineRule="atLeast"/>
              <w:jc w:val="center"/>
              <w:rPr>
                <w:i/>
                <w:iCs/>
                <w:kern w:val="0"/>
                <w:sz w:val="18"/>
                <w:szCs w:val="18"/>
              </w:rPr>
            </w:pPr>
            <w:r w:rsidRPr="000549B1">
              <w:rPr>
                <w:i/>
                <w:iCs/>
                <w:kern w:val="0"/>
                <w:sz w:val="18"/>
                <w:szCs w:val="18"/>
              </w:rPr>
              <w:t>Gomphonemasimus</w:t>
            </w:r>
          </w:p>
        </w:tc>
        <w:tc>
          <w:tcPr>
            <w:tcW w:w="688" w:type="dxa"/>
            <w:noWrap/>
            <w:vAlign w:val="center"/>
          </w:tcPr>
          <w:p w14:paraId="63A0FD1C" w14:textId="77777777" w:rsidR="00054437" w:rsidRPr="000549B1" w:rsidRDefault="00054437">
            <w:pPr>
              <w:widowControl/>
              <w:spacing w:line="240" w:lineRule="atLeast"/>
              <w:rPr>
                <w:rFonts w:eastAsia="等线"/>
                <w:kern w:val="0"/>
                <w:sz w:val="18"/>
                <w:szCs w:val="18"/>
              </w:rPr>
            </w:pPr>
          </w:p>
        </w:tc>
        <w:tc>
          <w:tcPr>
            <w:tcW w:w="688" w:type="dxa"/>
            <w:noWrap/>
            <w:vAlign w:val="center"/>
          </w:tcPr>
          <w:p w14:paraId="321B062C"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51C88825"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151BDC32"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68DB1B17" w14:textId="77777777" w:rsidR="00054437" w:rsidRPr="000549B1" w:rsidRDefault="00054437">
            <w:pPr>
              <w:spacing w:line="240" w:lineRule="atLeast"/>
              <w:rPr>
                <w:kern w:val="0"/>
                <w:sz w:val="18"/>
                <w:szCs w:val="18"/>
              </w:rPr>
            </w:pPr>
          </w:p>
        </w:tc>
        <w:tc>
          <w:tcPr>
            <w:tcW w:w="689" w:type="dxa"/>
            <w:noWrap/>
            <w:vAlign w:val="center"/>
          </w:tcPr>
          <w:p w14:paraId="38AB32A6" w14:textId="77777777" w:rsidR="00054437" w:rsidRPr="000549B1" w:rsidRDefault="00054437">
            <w:pPr>
              <w:widowControl/>
              <w:spacing w:line="240" w:lineRule="atLeast"/>
              <w:rPr>
                <w:rFonts w:eastAsia="等线"/>
                <w:kern w:val="0"/>
                <w:sz w:val="18"/>
                <w:szCs w:val="18"/>
              </w:rPr>
            </w:pPr>
          </w:p>
        </w:tc>
      </w:tr>
      <w:tr w:rsidR="000549B1" w:rsidRPr="000549B1" w14:paraId="11320409" w14:textId="77777777">
        <w:trPr>
          <w:trHeight w:val="300"/>
          <w:jc w:val="center"/>
        </w:trPr>
        <w:tc>
          <w:tcPr>
            <w:tcW w:w="1576" w:type="dxa"/>
            <w:vMerge/>
            <w:vAlign w:val="center"/>
          </w:tcPr>
          <w:p w14:paraId="3FA648E9" w14:textId="77777777" w:rsidR="00054437" w:rsidRPr="000549B1" w:rsidRDefault="00054437">
            <w:pPr>
              <w:widowControl/>
              <w:spacing w:line="240" w:lineRule="atLeast"/>
              <w:rPr>
                <w:kern w:val="0"/>
                <w:sz w:val="18"/>
                <w:szCs w:val="18"/>
              </w:rPr>
            </w:pPr>
          </w:p>
        </w:tc>
        <w:tc>
          <w:tcPr>
            <w:tcW w:w="1600" w:type="dxa"/>
            <w:noWrap/>
            <w:vAlign w:val="center"/>
          </w:tcPr>
          <w:p w14:paraId="6947E30A" w14:textId="77777777" w:rsidR="00054437" w:rsidRPr="000549B1" w:rsidRDefault="00000000">
            <w:pPr>
              <w:widowControl/>
              <w:spacing w:line="240" w:lineRule="atLeast"/>
              <w:jc w:val="center"/>
              <w:rPr>
                <w:kern w:val="0"/>
                <w:sz w:val="18"/>
                <w:szCs w:val="18"/>
              </w:rPr>
            </w:pPr>
            <w:r w:rsidRPr="000549B1">
              <w:rPr>
                <w:kern w:val="0"/>
                <w:sz w:val="18"/>
                <w:szCs w:val="18"/>
              </w:rPr>
              <w:t>近棒形异极藻</w:t>
            </w:r>
          </w:p>
        </w:tc>
        <w:tc>
          <w:tcPr>
            <w:tcW w:w="2742" w:type="dxa"/>
            <w:noWrap/>
            <w:vAlign w:val="center"/>
          </w:tcPr>
          <w:p w14:paraId="05DDF305" w14:textId="77777777" w:rsidR="00054437" w:rsidRPr="000549B1" w:rsidRDefault="00000000">
            <w:pPr>
              <w:widowControl/>
              <w:spacing w:line="240" w:lineRule="atLeast"/>
              <w:jc w:val="center"/>
              <w:rPr>
                <w:i/>
                <w:iCs/>
                <w:kern w:val="0"/>
                <w:sz w:val="18"/>
                <w:szCs w:val="18"/>
              </w:rPr>
            </w:pPr>
            <w:r w:rsidRPr="000549B1">
              <w:rPr>
                <w:i/>
                <w:iCs/>
                <w:kern w:val="0"/>
                <w:sz w:val="18"/>
                <w:szCs w:val="18"/>
              </w:rPr>
              <w:t>Gomphonemasubclavatum</w:t>
            </w:r>
          </w:p>
        </w:tc>
        <w:tc>
          <w:tcPr>
            <w:tcW w:w="688" w:type="dxa"/>
            <w:noWrap/>
            <w:vAlign w:val="center"/>
          </w:tcPr>
          <w:p w14:paraId="2EC0A803"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2FFA407A" w14:textId="77777777" w:rsidR="00054437" w:rsidRPr="000549B1" w:rsidRDefault="00054437">
            <w:pPr>
              <w:spacing w:line="240" w:lineRule="atLeast"/>
              <w:rPr>
                <w:kern w:val="0"/>
                <w:sz w:val="18"/>
                <w:szCs w:val="18"/>
              </w:rPr>
            </w:pPr>
          </w:p>
        </w:tc>
        <w:tc>
          <w:tcPr>
            <w:tcW w:w="688" w:type="dxa"/>
            <w:noWrap/>
            <w:vAlign w:val="center"/>
          </w:tcPr>
          <w:p w14:paraId="2E884371"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3C900597" w14:textId="77777777" w:rsidR="00054437" w:rsidRPr="000549B1" w:rsidRDefault="00054437">
            <w:pPr>
              <w:spacing w:line="240" w:lineRule="atLeast"/>
              <w:rPr>
                <w:kern w:val="0"/>
                <w:sz w:val="18"/>
                <w:szCs w:val="18"/>
              </w:rPr>
            </w:pPr>
          </w:p>
        </w:tc>
        <w:tc>
          <w:tcPr>
            <w:tcW w:w="688" w:type="dxa"/>
            <w:noWrap/>
            <w:vAlign w:val="center"/>
          </w:tcPr>
          <w:p w14:paraId="7C334CE4"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9" w:type="dxa"/>
            <w:noWrap/>
            <w:vAlign w:val="center"/>
          </w:tcPr>
          <w:p w14:paraId="5719BB44" w14:textId="77777777" w:rsidR="00054437" w:rsidRPr="000549B1" w:rsidRDefault="00054437">
            <w:pPr>
              <w:spacing w:line="240" w:lineRule="atLeast"/>
              <w:rPr>
                <w:kern w:val="0"/>
                <w:sz w:val="18"/>
                <w:szCs w:val="18"/>
              </w:rPr>
            </w:pPr>
          </w:p>
        </w:tc>
      </w:tr>
      <w:tr w:rsidR="000549B1" w:rsidRPr="000549B1" w14:paraId="54EA92E9" w14:textId="77777777">
        <w:trPr>
          <w:trHeight w:val="300"/>
          <w:jc w:val="center"/>
        </w:trPr>
        <w:tc>
          <w:tcPr>
            <w:tcW w:w="1576" w:type="dxa"/>
            <w:vMerge/>
            <w:vAlign w:val="center"/>
          </w:tcPr>
          <w:p w14:paraId="46D18910" w14:textId="77777777" w:rsidR="00054437" w:rsidRPr="000549B1" w:rsidRDefault="00054437">
            <w:pPr>
              <w:widowControl/>
              <w:spacing w:line="240" w:lineRule="atLeast"/>
              <w:rPr>
                <w:kern w:val="0"/>
                <w:sz w:val="18"/>
                <w:szCs w:val="18"/>
              </w:rPr>
            </w:pPr>
          </w:p>
        </w:tc>
        <w:tc>
          <w:tcPr>
            <w:tcW w:w="1600" w:type="dxa"/>
            <w:noWrap/>
            <w:vAlign w:val="center"/>
          </w:tcPr>
          <w:p w14:paraId="6F8402B3" w14:textId="77777777" w:rsidR="00054437" w:rsidRPr="000549B1" w:rsidRDefault="00000000">
            <w:pPr>
              <w:widowControl/>
              <w:spacing w:line="240" w:lineRule="atLeast"/>
              <w:jc w:val="center"/>
              <w:rPr>
                <w:kern w:val="0"/>
                <w:sz w:val="18"/>
                <w:szCs w:val="18"/>
              </w:rPr>
            </w:pPr>
            <w:r w:rsidRPr="000549B1">
              <w:rPr>
                <w:kern w:val="0"/>
                <w:sz w:val="18"/>
                <w:szCs w:val="18"/>
              </w:rPr>
              <w:t>缢缩异极藻</w:t>
            </w:r>
          </w:p>
        </w:tc>
        <w:tc>
          <w:tcPr>
            <w:tcW w:w="2742" w:type="dxa"/>
            <w:noWrap/>
            <w:vAlign w:val="center"/>
          </w:tcPr>
          <w:p w14:paraId="36688FB4" w14:textId="77777777" w:rsidR="00054437" w:rsidRPr="000549B1" w:rsidRDefault="00000000">
            <w:pPr>
              <w:widowControl/>
              <w:spacing w:line="240" w:lineRule="atLeast"/>
              <w:jc w:val="center"/>
              <w:rPr>
                <w:i/>
                <w:iCs/>
                <w:kern w:val="0"/>
                <w:sz w:val="18"/>
                <w:szCs w:val="18"/>
              </w:rPr>
            </w:pPr>
            <w:r w:rsidRPr="000549B1">
              <w:rPr>
                <w:i/>
                <w:iCs/>
                <w:kern w:val="0"/>
                <w:sz w:val="18"/>
                <w:szCs w:val="18"/>
              </w:rPr>
              <w:t>Gomphonemaconstrictum</w:t>
            </w:r>
          </w:p>
        </w:tc>
        <w:tc>
          <w:tcPr>
            <w:tcW w:w="688" w:type="dxa"/>
            <w:noWrap/>
            <w:vAlign w:val="center"/>
          </w:tcPr>
          <w:p w14:paraId="645DBDD6" w14:textId="77777777" w:rsidR="00054437" w:rsidRPr="000549B1" w:rsidRDefault="00054437">
            <w:pPr>
              <w:widowControl/>
              <w:spacing w:line="240" w:lineRule="atLeast"/>
              <w:rPr>
                <w:rFonts w:eastAsia="等线"/>
                <w:kern w:val="0"/>
                <w:sz w:val="18"/>
                <w:szCs w:val="18"/>
              </w:rPr>
            </w:pPr>
          </w:p>
        </w:tc>
        <w:tc>
          <w:tcPr>
            <w:tcW w:w="688" w:type="dxa"/>
            <w:noWrap/>
            <w:vAlign w:val="center"/>
          </w:tcPr>
          <w:p w14:paraId="7B48A596"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2D056C72"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441E1C1E"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52298868"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9" w:type="dxa"/>
            <w:noWrap/>
            <w:vAlign w:val="center"/>
          </w:tcPr>
          <w:p w14:paraId="1E62F1FF" w14:textId="77777777" w:rsidR="00054437" w:rsidRPr="000549B1" w:rsidRDefault="00000000">
            <w:pPr>
              <w:widowControl/>
              <w:spacing w:line="240" w:lineRule="atLeast"/>
              <w:jc w:val="center"/>
              <w:rPr>
                <w:kern w:val="0"/>
                <w:sz w:val="18"/>
                <w:szCs w:val="18"/>
              </w:rPr>
            </w:pPr>
            <w:r w:rsidRPr="000549B1">
              <w:rPr>
                <w:kern w:val="0"/>
                <w:sz w:val="18"/>
                <w:szCs w:val="18"/>
              </w:rPr>
              <w:t>+</w:t>
            </w:r>
          </w:p>
        </w:tc>
      </w:tr>
      <w:tr w:rsidR="000549B1" w:rsidRPr="000549B1" w14:paraId="144D2FE7" w14:textId="77777777">
        <w:trPr>
          <w:trHeight w:val="300"/>
          <w:jc w:val="center"/>
        </w:trPr>
        <w:tc>
          <w:tcPr>
            <w:tcW w:w="1576" w:type="dxa"/>
            <w:vMerge/>
            <w:vAlign w:val="center"/>
          </w:tcPr>
          <w:p w14:paraId="4612D53A" w14:textId="77777777" w:rsidR="00054437" w:rsidRPr="000549B1" w:rsidRDefault="00054437">
            <w:pPr>
              <w:widowControl/>
              <w:spacing w:line="240" w:lineRule="atLeast"/>
              <w:rPr>
                <w:kern w:val="0"/>
                <w:sz w:val="18"/>
                <w:szCs w:val="18"/>
              </w:rPr>
            </w:pPr>
          </w:p>
        </w:tc>
        <w:tc>
          <w:tcPr>
            <w:tcW w:w="1600" w:type="dxa"/>
            <w:noWrap/>
            <w:vAlign w:val="center"/>
          </w:tcPr>
          <w:p w14:paraId="5B8AF114" w14:textId="77777777" w:rsidR="00054437" w:rsidRPr="000549B1" w:rsidRDefault="00000000">
            <w:pPr>
              <w:widowControl/>
              <w:spacing w:line="240" w:lineRule="atLeast"/>
              <w:jc w:val="center"/>
              <w:rPr>
                <w:kern w:val="0"/>
                <w:sz w:val="18"/>
                <w:szCs w:val="18"/>
              </w:rPr>
            </w:pPr>
            <w:r w:rsidRPr="000549B1">
              <w:rPr>
                <w:kern w:val="0"/>
                <w:sz w:val="18"/>
                <w:szCs w:val="18"/>
              </w:rPr>
              <w:t>缢缩异极藻粗壮变种</w:t>
            </w:r>
          </w:p>
        </w:tc>
        <w:tc>
          <w:tcPr>
            <w:tcW w:w="2742" w:type="dxa"/>
            <w:noWrap/>
            <w:vAlign w:val="center"/>
          </w:tcPr>
          <w:p w14:paraId="7C4F7264" w14:textId="77777777" w:rsidR="00054437" w:rsidRPr="000549B1" w:rsidRDefault="00000000">
            <w:pPr>
              <w:widowControl/>
              <w:spacing w:line="240" w:lineRule="atLeast"/>
              <w:jc w:val="center"/>
              <w:rPr>
                <w:i/>
                <w:iCs/>
                <w:kern w:val="0"/>
                <w:sz w:val="18"/>
                <w:szCs w:val="18"/>
              </w:rPr>
            </w:pPr>
            <w:r w:rsidRPr="000549B1">
              <w:rPr>
                <w:i/>
                <w:iCs/>
                <w:kern w:val="0"/>
                <w:sz w:val="18"/>
                <w:szCs w:val="18"/>
              </w:rPr>
              <w:t>Gomphonemaconstrictumvar.robustum</w:t>
            </w:r>
          </w:p>
        </w:tc>
        <w:tc>
          <w:tcPr>
            <w:tcW w:w="688" w:type="dxa"/>
            <w:noWrap/>
            <w:vAlign w:val="center"/>
          </w:tcPr>
          <w:p w14:paraId="0EE45646"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68CE7D4A"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54A9731F" w14:textId="77777777" w:rsidR="00054437" w:rsidRPr="000549B1" w:rsidRDefault="00054437">
            <w:pPr>
              <w:spacing w:line="240" w:lineRule="atLeast"/>
              <w:rPr>
                <w:kern w:val="0"/>
                <w:sz w:val="18"/>
                <w:szCs w:val="18"/>
              </w:rPr>
            </w:pPr>
          </w:p>
        </w:tc>
        <w:tc>
          <w:tcPr>
            <w:tcW w:w="688" w:type="dxa"/>
            <w:noWrap/>
            <w:vAlign w:val="center"/>
          </w:tcPr>
          <w:p w14:paraId="03B2540B"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6B4ECD0F"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9" w:type="dxa"/>
            <w:noWrap/>
            <w:vAlign w:val="center"/>
          </w:tcPr>
          <w:p w14:paraId="491DB8F3" w14:textId="77777777" w:rsidR="00054437" w:rsidRPr="000549B1" w:rsidRDefault="00000000">
            <w:pPr>
              <w:widowControl/>
              <w:spacing w:line="240" w:lineRule="atLeast"/>
              <w:jc w:val="center"/>
              <w:rPr>
                <w:kern w:val="0"/>
                <w:sz w:val="18"/>
                <w:szCs w:val="18"/>
              </w:rPr>
            </w:pPr>
            <w:r w:rsidRPr="000549B1">
              <w:rPr>
                <w:kern w:val="0"/>
                <w:sz w:val="18"/>
                <w:szCs w:val="18"/>
              </w:rPr>
              <w:t>+</w:t>
            </w:r>
          </w:p>
        </w:tc>
      </w:tr>
      <w:tr w:rsidR="000549B1" w:rsidRPr="000549B1" w14:paraId="07E39E1F" w14:textId="77777777">
        <w:trPr>
          <w:trHeight w:val="300"/>
          <w:jc w:val="center"/>
        </w:trPr>
        <w:tc>
          <w:tcPr>
            <w:tcW w:w="1576" w:type="dxa"/>
            <w:vMerge/>
            <w:vAlign w:val="center"/>
          </w:tcPr>
          <w:p w14:paraId="70335A6D" w14:textId="77777777" w:rsidR="00054437" w:rsidRPr="000549B1" w:rsidRDefault="00054437">
            <w:pPr>
              <w:widowControl/>
              <w:spacing w:line="240" w:lineRule="atLeast"/>
              <w:rPr>
                <w:kern w:val="0"/>
                <w:sz w:val="18"/>
                <w:szCs w:val="18"/>
              </w:rPr>
            </w:pPr>
          </w:p>
        </w:tc>
        <w:tc>
          <w:tcPr>
            <w:tcW w:w="1600" w:type="dxa"/>
            <w:noWrap/>
            <w:vAlign w:val="center"/>
          </w:tcPr>
          <w:p w14:paraId="7D20F98F" w14:textId="77777777" w:rsidR="00054437" w:rsidRPr="000549B1" w:rsidRDefault="00000000">
            <w:pPr>
              <w:widowControl/>
              <w:spacing w:line="240" w:lineRule="atLeast"/>
              <w:jc w:val="center"/>
              <w:rPr>
                <w:kern w:val="0"/>
                <w:sz w:val="18"/>
                <w:szCs w:val="18"/>
              </w:rPr>
            </w:pPr>
            <w:r w:rsidRPr="000549B1">
              <w:rPr>
                <w:kern w:val="0"/>
                <w:sz w:val="18"/>
                <w:szCs w:val="18"/>
              </w:rPr>
              <w:t>系带舟形藻</w:t>
            </w:r>
          </w:p>
        </w:tc>
        <w:tc>
          <w:tcPr>
            <w:tcW w:w="2742" w:type="dxa"/>
            <w:noWrap/>
            <w:vAlign w:val="center"/>
          </w:tcPr>
          <w:p w14:paraId="7512EDCA" w14:textId="77777777" w:rsidR="00054437" w:rsidRPr="000549B1" w:rsidRDefault="00000000">
            <w:pPr>
              <w:widowControl/>
              <w:spacing w:line="240" w:lineRule="atLeast"/>
              <w:jc w:val="center"/>
              <w:rPr>
                <w:i/>
                <w:iCs/>
                <w:kern w:val="0"/>
                <w:sz w:val="18"/>
                <w:szCs w:val="18"/>
              </w:rPr>
            </w:pPr>
            <w:r w:rsidRPr="000549B1">
              <w:rPr>
                <w:i/>
                <w:iCs/>
                <w:kern w:val="0"/>
                <w:sz w:val="18"/>
                <w:szCs w:val="18"/>
              </w:rPr>
              <w:t>Naviculacincta</w:t>
            </w:r>
          </w:p>
        </w:tc>
        <w:tc>
          <w:tcPr>
            <w:tcW w:w="688" w:type="dxa"/>
            <w:noWrap/>
            <w:vAlign w:val="center"/>
          </w:tcPr>
          <w:p w14:paraId="72394E8C"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1B874DEB"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30C4E9FE"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0D5182E7"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0B17924A"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9" w:type="dxa"/>
            <w:noWrap/>
            <w:vAlign w:val="center"/>
          </w:tcPr>
          <w:p w14:paraId="2253E778" w14:textId="77777777" w:rsidR="00054437" w:rsidRPr="000549B1" w:rsidRDefault="00054437">
            <w:pPr>
              <w:spacing w:line="240" w:lineRule="atLeast"/>
              <w:rPr>
                <w:kern w:val="0"/>
                <w:sz w:val="18"/>
                <w:szCs w:val="18"/>
              </w:rPr>
            </w:pPr>
          </w:p>
        </w:tc>
      </w:tr>
      <w:tr w:rsidR="000549B1" w:rsidRPr="000549B1" w14:paraId="41C4386C" w14:textId="77777777">
        <w:trPr>
          <w:trHeight w:val="300"/>
          <w:jc w:val="center"/>
        </w:trPr>
        <w:tc>
          <w:tcPr>
            <w:tcW w:w="1576" w:type="dxa"/>
            <w:vMerge/>
            <w:vAlign w:val="center"/>
          </w:tcPr>
          <w:p w14:paraId="4235AF3A" w14:textId="77777777" w:rsidR="00054437" w:rsidRPr="000549B1" w:rsidRDefault="00054437">
            <w:pPr>
              <w:widowControl/>
              <w:spacing w:line="240" w:lineRule="atLeast"/>
              <w:rPr>
                <w:kern w:val="0"/>
                <w:sz w:val="18"/>
                <w:szCs w:val="18"/>
              </w:rPr>
            </w:pPr>
          </w:p>
        </w:tc>
        <w:tc>
          <w:tcPr>
            <w:tcW w:w="1600" w:type="dxa"/>
            <w:noWrap/>
            <w:vAlign w:val="center"/>
          </w:tcPr>
          <w:p w14:paraId="2090251B" w14:textId="77777777" w:rsidR="00054437" w:rsidRPr="000549B1" w:rsidRDefault="00000000">
            <w:pPr>
              <w:widowControl/>
              <w:spacing w:line="240" w:lineRule="atLeast"/>
              <w:jc w:val="center"/>
              <w:rPr>
                <w:kern w:val="0"/>
                <w:sz w:val="18"/>
                <w:szCs w:val="18"/>
              </w:rPr>
            </w:pPr>
            <w:r w:rsidRPr="000549B1">
              <w:rPr>
                <w:kern w:val="0"/>
                <w:sz w:val="18"/>
                <w:szCs w:val="18"/>
              </w:rPr>
              <w:t>放射舟形藻</w:t>
            </w:r>
          </w:p>
        </w:tc>
        <w:tc>
          <w:tcPr>
            <w:tcW w:w="2742" w:type="dxa"/>
            <w:noWrap/>
            <w:vAlign w:val="center"/>
          </w:tcPr>
          <w:p w14:paraId="54EC38E6" w14:textId="77777777" w:rsidR="00054437" w:rsidRPr="000549B1" w:rsidRDefault="00000000">
            <w:pPr>
              <w:widowControl/>
              <w:spacing w:line="240" w:lineRule="atLeast"/>
              <w:jc w:val="center"/>
              <w:rPr>
                <w:i/>
                <w:iCs/>
                <w:kern w:val="0"/>
                <w:sz w:val="18"/>
                <w:szCs w:val="18"/>
              </w:rPr>
            </w:pPr>
            <w:r w:rsidRPr="000549B1">
              <w:rPr>
                <w:i/>
                <w:iCs/>
                <w:kern w:val="0"/>
                <w:sz w:val="18"/>
                <w:szCs w:val="18"/>
              </w:rPr>
              <w:t>Navicularadiosa</w:t>
            </w:r>
          </w:p>
        </w:tc>
        <w:tc>
          <w:tcPr>
            <w:tcW w:w="688" w:type="dxa"/>
            <w:noWrap/>
            <w:vAlign w:val="center"/>
          </w:tcPr>
          <w:p w14:paraId="054FC353"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6004EC9D"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37F63C58"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7C75D8BA"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500852D4"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9" w:type="dxa"/>
            <w:noWrap/>
            <w:vAlign w:val="center"/>
          </w:tcPr>
          <w:p w14:paraId="6A5E6136" w14:textId="77777777" w:rsidR="00054437" w:rsidRPr="000549B1" w:rsidRDefault="00000000">
            <w:pPr>
              <w:widowControl/>
              <w:spacing w:line="240" w:lineRule="atLeast"/>
              <w:jc w:val="center"/>
              <w:rPr>
                <w:kern w:val="0"/>
                <w:sz w:val="18"/>
                <w:szCs w:val="18"/>
              </w:rPr>
            </w:pPr>
            <w:r w:rsidRPr="000549B1">
              <w:rPr>
                <w:kern w:val="0"/>
                <w:sz w:val="18"/>
                <w:szCs w:val="18"/>
              </w:rPr>
              <w:t>++</w:t>
            </w:r>
          </w:p>
        </w:tc>
      </w:tr>
      <w:tr w:rsidR="000549B1" w:rsidRPr="000549B1" w14:paraId="2458A5A5" w14:textId="77777777">
        <w:trPr>
          <w:trHeight w:val="300"/>
          <w:jc w:val="center"/>
        </w:trPr>
        <w:tc>
          <w:tcPr>
            <w:tcW w:w="1576" w:type="dxa"/>
            <w:vMerge/>
            <w:vAlign w:val="center"/>
          </w:tcPr>
          <w:p w14:paraId="1FB55EFA" w14:textId="77777777" w:rsidR="00054437" w:rsidRPr="000549B1" w:rsidRDefault="00054437">
            <w:pPr>
              <w:widowControl/>
              <w:spacing w:line="240" w:lineRule="atLeast"/>
              <w:rPr>
                <w:kern w:val="0"/>
                <w:sz w:val="18"/>
                <w:szCs w:val="18"/>
              </w:rPr>
            </w:pPr>
          </w:p>
        </w:tc>
        <w:tc>
          <w:tcPr>
            <w:tcW w:w="1600" w:type="dxa"/>
            <w:noWrap/>
            <w:vAlign w:val="center"/>
          </w:tcPr>
          <w:p w14:paraId="0C096B33" w14:textId="77777777" w:rsidR="00054437" w:rsidRPr="000549B1" w:rsidRDefault="00000000">
            <w:pPr>
              <w:widowControl/>
              <w:spacing w:line="240" w:lineRule="atLeast"/>
              <w:jc w:val="center"/>
              <w:rPr>
                <w:kern w:val="0"/>
                <w:sz w:val="18"/>
                <w:szCs w:val="18"/>
              </w:rPr>
            </w:pPr>
            <w:r w:rsidRPr="000549B1">
              <w:rPr>
                <w:kern w:val="0"/>
                <w:sz w:val="18"/>
                <w:szCs w:val="18"/>
              </w:rPr>
              <w:t>短小舟形藻</w:t>
            </w:r>
          </w:p>
        </w:tc>
        <w:tc>
          <w:tcPr>
            <w:tcW w:w="2742" w:type="dxa"/>
            <w:noWrap/>
            <w:vAlign w:val="center"/>
          </w:tcPr>
          <w:p w14:paraId="606236DA" w14:textId="77777777" w:rsidR="00054437" w:rsidRPr="000549B1" w:rsidRDefault="00000000">
            <w:pPr>
              <w:widowControl/>
              <w:spacing w:line="240" w:lineRule="atLeast"/>
              <w:jc w:val="center"/>
              <w:rPr>
                <w:i/>
                <w:iCs/>
                <w:kern w:val="0"/>
                <w:sz w:val="18"/>
                <w:szCs w:val="18"/>
              </w:rPr>
            </w:pPr>
            <w:r w:rsidRPr="000549B1">
              <w:rPr>
                <w:i/>
                <w:iCs/>
                <w:kern w:val="0"/>
                <w:sz w:val="18"/>
                <w:szCs w:val="18"/>
              </w:rPr>
              <w:t>Naviculaexigua</w:t>
            </w:r>
          </w:p>
        </w:tc>
        <w:tc>
          <w:tcPr>
            <w:tcW w:w="688" w:type="dxa"/>
            <w:noWrap/>
            <w:vAlign w:val="center"/>
          </w:tcPr>
          <w:p w14:paraId="32DF334B"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37BFA5E1"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4E4B7637"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4002EEC7"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4B8F171E" w14:textId="77777777" w:rsidR="00054437" w:rsidRPr="000549B1" w:rsidRDefault="00054437">
            <w:pPr>
              <w:spacing w:line="240" w:lineRule="atLeast"/>
              <w:rPr>
                <w:kern w:val="0"/>
                <w:sz w:val="18"/>
                <w:szCs w:val="18"/>
              </w:rPr>
            </w:pPr>
          </w:p>
        </w:tc>
        <w:tc>
          <w:tcPr>
            <w:tcW w:w="689" w:type="dxa"/>
            <w:noWrap/>
            <w:vAlign w:val="center"/>
          </w:tcPr>
          <w:p w14:paraId="4B76B709" w14:textId="77777777" w:rsidR="00054437" w:rsidRPr="000549B1" w:rsidRDefault="00000000">
            <w:pPr>
              <w:widowControl/>
              <w:spacing w:line="240" w:lineRule="atLeast"/>
              <w:jc w:val="center"/>
              <w:rPr>
                <w:kern w:val="0"/>
                <w:sz w:val="18"/>
                <w:szCs w:val="18"/>
              </w:rPr>
            </w:pPr>
            <w:r w:rsidRPr="000549B1">
              <w:rPr>
                <w:kern w:val="0"/>
                <w:sz w:val="18"/>
                <w:szCs w:val="18"/>
              </w:rPr>
              <w:t>++</w:t>
            </w:r>
          </w:p>
        </w:tc>
      </w:tr>
      <w:tr w:rsidR="000549B1" w:rsidRPr="000549B1" w14:paraId="0FDDD600" w14:textId="77777777">
        <w:trPr>
          <w:trHeight w:val="300"/>
          <w:jc w:val="center"/>
        </w:trPr>
        <w:tc>
          <w:tcPr>
            <w:tcW w:w="1576" w:type="dxa"/>
            <w:vMerge/>
            <w:vAlign w:val="center"/>
          </w:tcPr>
          <w:p w14:paraId="77D76874" w14:textId="77777777" w:rsidR="00054437" w:rsidRPr="000549B1" w:rsidRDefault="00054437">
            <w:pPr>
              <w:widowControl/>
              <w:spacing w:line="240" w:lineRule="atLeast"/>
              <w:rPr>
                <w:kern w:val="0"/>
                <w:sz w:val="18"/>
                <w:szCs w:val="18"/>
              </w:rPr>
            </w:pPr>
          </w:p>
        </w:tc>
        <w:tc>
          <w:tcPr>
            <w:tcW w:w="1600" w:type="dxa"/>
            <w:noWrap/>
            <w:vAlign w:val="center"/>
          </w:tcPr>
          <w:p w14:paraId="1DCF2F37" w14:textId="77777777" w:rsidR="00054437" w:rsidRPr="000549B1" w:rsidRDefault="00000000">
            <w:pPr>
              <w:widowControl/>
              <w:spacing w:line="240" w:lineRule="atLeast"/>
              <w:jc w:val="center"/>
              <w:rPr>
                <w:kern w:val="0"/>
                <w:sz w:val="18"/>
                <w:szCs w:val="18"/>
              </w:rPr>
            </w:pPr>
            <w:r w:rsidRPr="000549B1">
              <w:rPr>
                <w:kern w:val="0"/>
                <w:sz w:val="18"/>
                <w:szCs w:val="18"/>
              </w:rPr>
              <w:t>喙头舟形藻</w:t>
            </w:r>
          </w:p>
        </w:tc>
        <w:tc>
          <w:tcPr>
            <w:tcW w:w="2742" w:type="dxa"/>
            <w:noWrap/>
            <w:vAlign w:val="center"/>
          </w:tcPr>
          <w:p w14:paraId="30531B3C" w14:textId="77777777" w:rsidR="00054437" w:rsidRPr="000549B1" w:rsidRDefault="00000000">
            <w:pPr>
              <w:widowControl/>
              <w:spacing w:line="240" w:lineRule="atLeast"/>
              <w:jc w:val="center"/>
              <w:rPr>
                <w:i/>
                <w:iCs/>
                <w:kern w:val="0"/>
                <w:sz w:val="18"/>
                <w:szCs w:val="18"/>
              </w:rPr>
            </w:pPr>
            <w:r w:rsidRPr="000549B1">
              <w:rPr>
                <w:i/>
                <w:iCs/>
                <w:kern w:val="0"/>
                <w:sz w:val="18"/>
                <w:szCs w:val="18"/>
              </w:rPr>
              <w:t>Navicularhynchocephala</w:t>
            </w:r>
          </w:p>
        </w:tc>
        <w:tc>
          <w:tcPr>
            <w:tcW w:w="688" w:type="dxa"/>
            <w:noWrap/>
            <w:vAlign w:val="center"/>
          </w:tcPr>
          <w:p w14:paraId="7F48A6DB" w14:textId="77777777" w:rsidR="00054437" w:rsidRPr="000549B1" w:rsidRDefault="00054437">
            <w:pPr>
              <w:widowControl/>
              <w:spacing w:line="240" w:lineRule="atLeast"/>
              <w:rPr>
                <w:rFonts w:eastAsia="等线"/>
                <w:kern w:val="0"/>
                <w:sz w:val="18"/>
                <w:szCs w:val="18"/>
              </w:rPr>
            </w:pPr>
          </w:p>
        </w:tc>
        <w:tc>
          <w:tcPr>
            <w:tcW w:w="688" w:type="dxa"/>
            <w:noWrap/>
            <w:vAlign w:val="center"/>
          </w:tcPr>
          <w:p w14:paraId="21362C80"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3655F79A"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1B08A544" w14:textId="77777777" w:rsidR="00054437" w:rsidRPr="000549B1" w:rsidRDefault="00054437">
            <w:pPr>
              <w:spacing w:line="240" w:lineRule="atLeast"/>
              <w:rPr>
                <w:kern w:val="0"/>
                <w:sz w:val="18"/>
                <w:szCs w:val="18"/>
              </w:rPr>
            </w:pPr>
          </w:p>
        </w:tc>
        <w:tc>
          <w:tcPr>
            <w:tcW w:w="688" w:type="dxa"/>
            <w:noWrap/>
            <w:vAlign w:val="center"/>
          </w:tcPr>
          <w:p w14:paraId="35B8DEC5" w14:textId="77777777" w:rsidR="00054437" w:rsidRPr="000549B1" w:rsidRDefault="00054437">
            <w:pPr>
              <w:widowControl/>
              <w:spacing w:line="240" w:lineRule="atLeast"/>
              <w:rPr>
                <w:rFonts w:eastAsia="等线"/>
                <w:kern w:val="0"/>
                <w:sz w:val="18"/>
                <w:szCs w:val="18"/>
              </w:rPr>
            </w:pPr>
          </w:p>
        </w:tc>
        <w:tc>
          <w:tcPr>
            <w:tcW w:w="689" w:type="dxa"/>
            <w:noWrap/>
            <w:vAlign w:val="center"/>
          </w:tcPr>
          <w:p w14:paraId="104706D5" w14:textId="77777777" w:rsidR="00054437" w:rsidRPr="000549B1" w:rsidRDefault="00054437">
            <w:pPr>
              <w:widowControl/>
              <w:spacing w:line="240" w:lineRule="atLeast"/>
              <w:rPr>
                <w:rFonts w:eastAsia="等线"/>
                <w:kern w:val="0"/>
                <w:sz w:val="18"/>
                <w:szCs w:val="18"/>
              </w:rPr>
            </w:pPr>
          </w:p>
        </w:tc>
      </w:tr>
      <w:tr w:rsidR="000549B1" w:rsidRPr="000549B1" w14:paraId="45909C69" w14:textId="77777777">
        <w:trPr>
          <w:trHeight w:val="300"/>
          <w:jc w:val="center"/>
        </w:trPr>
        <w:tc>
          <w:tcPr>
            <w:tcW w:w="1576" w:type="dxa"/>
            <w:vMerge/>
            <w:vAlign w:val="center"/>
          </w:tcPr>
          <w:p w14:paraId="4C676F74" w14:textId="77777777" w:rsidR="00054437" w:rsidRPr="000549B1" w:rsidRDefault="00054437">
            <w:pPr>
              <w:widowControl/>
              <w:spacing w:line="240" w:lineRule="atLeast"/>
              <w:rPr>
                <w:kern w:val="0"/>
                <w:sz w:val="18"/>
                <w:szCs w:val="18"/>
              </w:rPr>
            </w:pPr>
          </w:p>
        </w:tc>
        <w:tc>
          <w:tcPr>
            <w:tcW w:w="1600" w:type="dxa"/>
            <w:noWrap/>
            <w:vAlign w:val="center"/>
          </w:tcPr>
          <w:p w14:paraId="372B8A7C" w14:textId="77777777" w:rsidR="00054437" w:rsidRPr="000549B1" w:rsidRDefault="00000000">
            <w:pPr>
              <w:widowControl/>
              <w:spacing w:line="240" w:lineRule="atLeast"/>
              <w:jc w:val="center"/>
              <w:rPr>
                <w:kern w:val="0"/>
                <w:sz w:val="18"/>
                <w:szCs w:val="18"/>
              </w:rPr>
            </w:pPr>
            <w:r w:rsidRPr="000549B1">
              <w:rPr>
                <w:kern w:val="0"/>
                <w:sz w:val="18"/>
                <w:szCs w:val="18"/>
              </w:rPr>
              <w:t>瞳孔舟形藻</w:t>
            </w:r>
          </w:p>
        </w:tc>
        <w:tc>
          <w:tcPr>
            <w:tcW w:w="2742" w:type="dxa"/>
            <w:noWrap/>
            <w:vAlign w:val="center"/>
          </w:tcPr>
          <w:p w14:paraId="1C6C8C9E" w14:textId="77777777" w:rsidR="00054437" w:rsidRPr="000549B1" w:rsidRDefault="00000000">
            <w:pPr>
              <w:widowControl/>
              <w:spacing w:line="240" w:lineRule="atLeast"/>
              <w:jc w:val="center"/>
              <w:rPr>
                <w:i/>
                <w:iCs/>
                <w:kern w:val="0"/>
                <w:sz w:val="18"/>
                <w:szCs w:val="18"/>
              </w:rPr>
            </w:pPr>
            <w:r w:rsidRPr="000549B1">
              <w:rPr>
                <w:i/>
                <w:iCs/>
                <w:kern w:val="0"/>
                <w:sz w:val="18"/>
                <w:szCs w:val="18"/>
              </w:rPr>
              <w:t>Naviculapupula</w:t>
            </w:r>
          </w:p>
        </w:tc>
        <w:tc>
          <w:tcPr>
            <w:tcW w:w="688" w:type="dxa"/>
            <w:noWrap/>
            <w:vAlign w:val="center"/>
          </w:tcPr>
          <w:p w14:paraId="0B5B4D83" w14:textId="77777777" w:rsidR="00054437" w:rsidRPr="000549B1" w:rsidRDefault="00054437">
            <w:pPr>
              <w:widowControl/>
              <w:spacing w:line="240" w:lineRule="atLeast"/>
              <w:rPr>
                <w:rFonts w:eastAsia="等线"/>
                <w:kern w:val="0"/>
                <w:sz w:val="18"/>
                <w:szCs w:val="18"/>
              </w:rPr>
            </w:pPr>
          </w:p>
        </w:tc>
        <w:tc>
          <w:tcPr>
            <w:tcW w:w="688" w:type="dxa"/>
            <w:noWrap/>
            <w:vAlign w:val="center"/>
          </w:tcPr>
          <w:p w14:paraId="48B95256"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08988C7B" w14:textId="77777777" w:rsidR="00054437" w:rsidRPr="000549B1" w:rsidRDefault="00054437">
            <w:pPr>
              <w:spacing w:line="240" w:lineRule="atLeast"/>
              <w:rPr>
                <w:kern w:val="0"/>
                <w:sz w:val="18"/>
                <w:szCs w:val="18"/>
              </w:rPr>
            </w:pPr>
          </w:p>
        </w:tc>
        <w:tc>
          <w:tcPr>
            <w:tcW w:w="688" w:type="dxa"/>
            <w:noWrap/>
            <w:vAlign w:val="center"/>
          </w:tcPr>
          <w:p w14:paraId="5F51F8FD" w14:textId="77777777" w:rsidR="00054437" w:rsidRPr="000549B1" w:rsidRDefault="00054437">
            <w:pPr>
              <w:widowControl/>
              <w:spacing w:line="240" w:lineRule="atLeast"/>
              <w:rPr>
                <w:rFonts w:eastAsia="等线"/>
                <w:kern w:val="0"/>
                <w:sz w:val="18"/>
                <w:szCs w:val="18"/>
              </w:rPr>
            </w:pPr>
          </w:p>
        </w:tc>
        <w:tc>
          <w:tcPr>
            <w:tcW w:w="688" w:type="dxa"/>
            <w:noWrap/>
            <w:vAlign w:val="center"/>
          </w:tcPr>
          <w:p w14:paraId="66C9E57D" w14:textId="77777777" w:rsidR="00054437" w:rsidRPr="000549B1" w:rsidRDefault="00054437">
            <w:pPr>
              <w:widowControl/>
              <w:spacing w:line="240" w:lineRule="atLeast"/>
              <w:rPr>
                <w:rFonts w:eastAsia="等线"/>
                <w:kern w:val="0"/>
                <w:sz w:val="18"/>
                <w:szCs w:val="18"/>
              </w:rPr>
            </w:pPr>
          </w:p>
        </w:tc>
        <w:tc>
          <w:tcPr>
            <w:tcW w:w="689" w:type="dxa"/>
            <w:noWrap/>
            <w:vAlign w:val="center"/>
          </w:tcPr>
          <w:p w14:paraId="6A75D59B" w14:textId="77777777" w:rsidR="00054437" w:rsidRPr="000549B1" w:rsidRDefault="00054437">
            <w:pPr>
              <w:widowControl/>
              <w:spacing w:line="240" w:lineRule="atLeast"/>
              <w:rPr>
                <w:rFonts w:eastAsia="等线"/>
                <w:kern w:val="0"/>
                <w:sz w:val="18"/>
                <w:szCs w:val="18"/>
              </w:rPr>
            </w:pPr>
          </w:p>
        </w:tc>
      </w:tr>
      <w:tr w:rsidR="000549B1" w:rsidRPr="000549B1" w14:paraId="79C37882" w14:textId="77777777">
        <w:trPr>
          <w:trHeight w:val="300"/>
          <w:jc w:val="center"/>
        </w:trPr>
        <w:tc>
          <w:tcPr>
            <w:tcW w:w="1576" w:type="dxa"/>
            <w:vMerge/>
            <w:vAlign w:val="center"/>
          </w:tcPr>
          <w:p w14:paraId="57CD40B5" w14:textId="77777777" w:rsidR="00054437" w:rsidRPr="000549B1" w:rsidRDefault="00054437">
            <w:pPr>
              <w:widowControl/>
              <w:spacing w:line="240" w:lineRule="atLeast"/>
              <w:rPr>
                <w:kern w:val="0"/>
                <w:sz w:val="18"/>
                <w:szCs w:val="18"/>
              </w:rPr>
            </w:pPr>
          </w:p>
        </w:tc>
        <w:tc>
          <w:tcPr>
            <w:tcW w:w="1600" w:type="dxa"/>
            <w:noWrap/>
            <w:vAlign w:val="center"/>
          </w:tcPr>
          <w:p w14:paraId="7838546A" w14:textId="77777777" w:rsidR="00054437" w:rsidRPr="000549B1" w:rsidRDefault="00000000">
            <w:pPr>
              <w:widowControl/>
              <w:spacing w:line="240" w:lineRule="atLeast"/>
              <w:jc w:val="center"/>
              <w:rPr>
                <w:kern w:val="0"/>
                <w:sz w:val="18"/>
                <w:szCs w:val="18"/>
              </w:rPr>
            </w:pPr>
            <w:r w:rsidRPr="000549B1">
              <w:rPr>
                <w:kern w:val="0"/>
                <w:sz w:val="18"/>
                <w:szCs w:val="18"/>
              </w:rPr>
              <w:t>两球舟形藻</w:t>
            </w:r>
          </w:p>
        </w:tc>
        <w:tc>
          <w:tcPr>
            <w:tcW w:w="2742" w:type="dxa"/>
            <w:noWrap/>
            <w:vAlign w:val="center"/>
          </w:tcPr>
          <w:p w14:paraId="240B5F98" w14:textId="77777777" w:rsidR="00054437" w:rsidRPr="000549B1" w:rsidRDefault="00000000">
            <w:pPr>
              <w:widowControl/>
              <w:spacing w:line="240" w:lineRule="atLeast"/>
              <w:jc w:val="center"/>
              <w:rPr>
                <w:i/>
                <w:iCs/>
                <w:kern w:val="0"/>
                <w:sz w:val="18"/>
                <w:szCs w:val="18"/>
              </w:rPr>
            </w:pPr>
            <w:r w:rsidRPr="000549B1">
              <w:rPr>
                <w:i/>
                <w:iCs/>
                <w:kern w:val="0"/>
                <w:sz w:val="18"/>
                <w:szCs w:val="18"/>
              </w:rPr>
              <w:t>Naviculaamphibola</w:t>
            </w:r>
          </w:p>
        </w:tc>
        <w:tc>
          <w:tcPr>
            <w:tcW w:w="688" w:type="dxa"/>
            <w:noWrap/>
            <w:vAlign w:val="center"/>
          </w:tcPr>
          <w:p w14:paraId="635F1213" w14:textId="77777777" w:rsidR="00054437" w:rsidRPr="000549B1" w:rsidRDefault="00054437">
            <w:pPr>
              <w:widowControl/>
              <w:spacing w:line="240" w:lineRule="atLeast"/>
              <w:rPr>
                <w:rFonts w:eastAsia="等线"/>
                <w:kern w:val="0"/>
                <w:sz w:val="18"/>
                <w:szCs w:val="18"/>
              </w:rPr>
            </w:pPr>
          </w:p>
        </w:tc>
        <w:tc>
          <w:tcPr>
            <w:tcW w:w="688" w:type="dxa"/>
            <w:noWrap/>
            <w:vAlign w:val="center"/>
          </w:tcPr>
          <w:p w14:paraId="51454429" w14:textId="77777777" w:rsidR="00054437" w:rsidRPr="000549B1" w:rsidRDefault="00054437">
            <w:pPr>
              <w:widowControl/>
              <w:spacing w:line="240" w:lineRule="atLeast"/>
              <w:rPr>
                <w:rFonts w:eastAsia="等线"/>
                <w:kern w:val="0"/>
                <w:sz w:val="18"/>
                <w:szCs w:val="18"/>
              </w:rPr>
            </w:pPr>
          </w:p>
        </w:tc>
        <w:tc>
          <w:tcPr>
            <w:tcW w:w="688" w:type="dxa"/>
            <w:noWrap/>
            <w:vAlign w:val="center"/>
          </w:tcPr>
          <w:p w14:paraId="6954A9E4"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7006773A" w14:textId="77777777" w:rsidR="00054437" w:rsidRPr="000549B1" w:rsidRDefault="00054437">
            <w:pPr>
              <w:spacing w:line="240" w:lineRule="atLeast"/>
              <w:rPr>
                <w:kern w:val="0"/>
                <w:sz w:val="18"/>
                <w:szCs w:val="18"/>
              </w:rPr>
            </w:pPr>
          </w:p>
        </w:tc>
        <w:tc>
          <w:tcPr>
            <w:tcW w:w="688" w:type="dxa"/>
            <w:noWrap/>
            <w:vAlign w:val="center"/>
          </w:tcPr>
          <w:p w14:paraId="4318DF63" w14:textId="77777777" w:rsidR="00054437" w:rsidRPr="000549B1" w:rsidRDefault="00054437">
            <w:pPr>
              <w:widowControl/>
              <w:spacing w:line="240" w:lineRule="atLeast"/>
              <w:rPr>
                <w:rFonts w:eastAsia="等线"/>
                <w:kern w:val="0"/>
                <w:sz w:val="18"/>
                <w:szCs w:val="18"/>
              </w:rPr>
            </w:pPr>
          </w:p>
        </w:tc>
        <w:tc>
          <w:tcPr>
            <w:tcW w:w="689" w:type="dxa"/>
            <w:noWrap/>
            <w:vAlign w:val="center"/>
          </w:tcPr>
          <w:p w14:paraId="2C3EA16C" w14:textId="77777777" w:rsidR="00054437" w:rsidRPr="000549B1" w:rsidRDefault="00054437">
            <w:pPr>
              <w:widowControl/>
              <w:spacing w:line="240" w:lineRule="atLeast"/>
              <w:rPr>
                <w:rFonts w:eastAsia="等线"/>
                <w:kern w:val="0"/>
                <w:sz w:val="18"/>
                <w:szCs w:val="18"/>
              </w:rPr>
            </w:pPr>
          </w:p>
        </w:tc>
      </w:tr>
      <w:tr w:rsidR="000549B1" w:rsidRPr="000549B1" w14:paraId="7ABC9984" w14:textId="77777777">
        <w:trPr>
          <w:trHeight w:val="300"/>
          <w:jc w:val="center"/>
        </w:trPr>
        <w:tc>
          <w:tcPr>
            <w:tcW w:w="1576" w:type="dxa"/>
            <w:vMerge/>
            <w:vAlign w:val="center"/>
          </w:tcPr>
          <w:p w14:paraId="5AF30FFB" w14:textId="77777777" w:rsidR="00054437" w:rsidRPr="000549B1" w:rsidRDefault="00054437">
            <w:pPr>
              <w:widowControl/>
              <w:spacing w:line="240" w:lineRule="atLeast"/>
              <w:rPr>
                <w:kern w:val="0"/>
                <w:sz w:val="18"/>
                <w:szCs w:val="18"/>
              </w:rPr>
            </w:pPr>
          </w:p>
        </w:tc>
        <w:tc>
          <w:tcPr>
            <w:tcW w:w="1600" w:type="dxa"/>
            <w:noWrap/>
            <w:vAlign w:val="center"/>
          </w:tcPr>
          <w:p w14:paraId="39B8FAA8" w14:textId="77777777" w:rsidR="00054437" w:rsidRPr="000549B1" w:rsidRDefault="00000000">
            <w:pPr>
              <w:widowControl/>
              <w:spacing w:line="240" w:lineRule="atLeast"/>
              <w:jc w:val="center"/>
              <w:rPr>
                <w:kern w:val="0"/>
                <w:sz w:val="18"/>
                <w:szCs w:val="18"/>
              </w:rPr>
            </w:pPr>
            <w:r w:rsidRPr="000549B1">
              <w:rPr>
                <w:kern w:val="0"/>
                <w:sz w:val="18"/>
                <w:szCs w:val="18"/>
              </w:rPr>
              <w:t>燕麦舟形藻</w:t>
            </w:r>
          </w:p>
        </w:tc>
        <w:tc>
          <w:tcPr>
            <w:tcW w:w="2742" w:type="dxa"/>
            <w:noWrap/>
            <w:vAlign w:val="center"/>
          </w:tcPr>
          <w:p w14:paraId="0874DD25" w14:textId="77777777" w:rsidR="00054437" w:rsidRPr="000549B1" w:rsidRDefault="00000000">
            <w:pPr>
              <w:widowControl/>
              <w:spacing w:line="240" w:lineRule="atLeast"/>
              <w:jc w:val="center"/>
              <w:rPr>
                <w:i/>
                <w:iCs/>
                <w:kern w:val="0"/>
                <w:sz w:val="18"/>
                <w:szCs w:val="18"/>
              </w:rPr>
            </w:pPr>
            <w:r w:rsidRPr="000549B1">
              <w:rPr>
                <w:i/>
                <w:iCs/>
                <w:kern w:val="0"/>
                <w:sz w:val="18"/>
                <w:szCs w:val="18"/>
              </w:rPr>
              <w:t>Naviculaavenacea</w:t>
            </w:r>
          </w:p>
        </w:tc>
        <w:tc>
          <w:tcPr>
            <w:tcW w:w="688" w:type="dxa"/>
            <w:noWrap/>
            <w:vAlign w:val="center"/>
          </w:tcPr>
          <w:p w14:paraId="06548D51" w14:textId="77777777" w:rsidR="00054437" w:rsidRPr="000549B1" w:rsidRDefault="00054437">
            <w:pPr>
              <w:widowControl/>
              <w:spacing w:line="240" w:lineRule="atLeast"/>
              <w:rPr>
                <w:rFonts w:eastAsia="等线"/>
                <w:kern w:val="0"/>
                <w:sz w:val="18"/>
                <w:szCs w:val="18"/>
              </w:rPr>
            </w:pPr>
          </w:p>
        </w:tc>
        <w:tc>
          <w:tcPr>
            <w:tcW w:w="688" w:type="dxa"/>
            <w:noWrap/>
            <w:vAlign w:val="center"/>
          </w:tcPr>
          <w:p w14:paraId="74BE0ABB" w14:textId="77777777" w:rsidR="00054437" w:rsidRPr="000549B1" w:rsidRDefault="00054437">
            <w:pPr>
              <w:widowControl/>
              <w:spacing w:line="240" w:lineRule="atLeast"/>
              <w:rPr>
                <w:rFonts w:eastAsia="等线"/>
                <w:kern w:val="0"/>
                <w:sz w:val="18"/>
                <w:szCs w:val="18"/>
              </w:rPr>
            </w:pPr>
          </w:p>
        </w:tc>
        <w:tc>
          <w:tcPr>
            <w:tcW w:w="688" w:type="dxa"/>
            <w:noWrap/>
            <w:vAlign w:val="center"/>
          </w:tcPr>
          <w:p w14:paraId="39AE8B84" w14:textId="77777777" w:rsidR="00054437" w:rsidRPr="000549B1" w:rsidRDefault="00054437">
            <w:pPr>
              <w:widowControl/>
              <w:spacing w:line="240" w:lineRule="atLeast"/>
              <w:rPr>
                <w:rFonts w:eastAsia="等线"/>
                <w:kern w:val="0"/>
                <w:sz w:val="18"/>
                <w:szCs w:val="18"/>
              </w:rPr>
            </w:pPr>
          </w:p>
        </w:tc>
        <w:tc>
          <w:tcPr>
            <w:tcW w:w="688" w:type="dxa"/>
            <w:noWrap/>
            <w:vAlign w:val="center"/>
          </w:tcPr>
          <w:p w14:paraId="782B09DC" w14:textId="77777777" w:rsidR="00054437" w:rsidRPr="000549B1" w:rsidRDefault="00054437">
            <w:pPr>
              <w:widowControl/>
              <w:spacing w:line="240" w:lineRule="atLeast"/>
              <w:rPr>
                <w:rFonts w:eastAsia="等线"/>
                <w:kern w:val="0"/>
                <w:sz w:val="18"/>
                <w:szCs w:val="18"/>
              </w:rPr>
            </w:pPr>
          </w:p>
        </w:tc>
        <w:tc>
          <w:tcPr>
            <w:tcW w:w="688" w:type="dxa"/>
            <w:noWrap/>
            <w:vAlign w:val="center"/>
          </w:tcPr>
          <w:p w14:paraId="262644FE" w14:textId="77777777" w:rsidR="00054437" w:rsidRPr="000549B1" w:rsidRDefault="00054437">
            <w:pPr>
              <w:widowControl/>
              <w:spacing w:line="240" w:lineRule="atLeast"/>
              <w:rPr>
                <w:rFonts w:eastAsia="等线"/>
                <w:kern w:val="0"/>
                <w:sz w:val="18"/>
                <w:szCs w:val="18"/>
              </w:rPr>
            </w:pPr>
          </w:p>
        </w:tc>
        <w:tc>
          <w:tcPr>
            <w:tcW w:w="689" w:type="dxa"/>
            <w:noWrap/>
            <w:vAlign w:val="center"/>
          </w:tcPr>
          <w:p w14:paraId="253198B8" w14:textId="77777777" w:rsidR="00054437" w:rsidRPr="000549B1" w:rsidRDefault="00000000">
            <w:pPr>
              <w:widowControl/>
              <w:spacing w:line="240" w:lineRule="atLeast"/>
              <w:jc w:val="center"/>
              <w:rPr>
                <w:kern w:val="0"/>
                <w:sz w:val="18"/>
                <w:szCs w:val="18"/>
              </w:rPr>
            </w:pPr>
            <w:r w:rsidRPr="000549B1">
              <w:rPr>
                <w:kern w:val="0"/>
                <w:sz w:val="18"/>
                <w:szCs w:val="18"/>
              </w:rPr>
              <w:t>++</w:t>
            </w:r>
          </w:p>
        </w:tc>
      </w:tr>
      <w:tr w:rsidR="000549B1" w:rsidRPr="000549B1" w14:paraId="6CB70B7F" w14:textId="77777777">
        <w:trPr>
          <w:trHeight w:val="300"/>
          <w:jc w:val="center"/>
        </w:trPr>
        <w:tc>
          <w:tcPr>
            <w:tcW w:w="1576" w:type="dxa"/>
            <w:vMerge/>
            <w:vAlign w:val="center"/>
          </w:tcPr>
          <w:p w14:paraId="305A5284" w14:textId="77777777" w:rsidR="00054437" w:rsidRPr="000549B1" w:rsidRDefault="00054437">
            <w:pPr>
              <w:widowControl/>
              <w:spacing w:line="240" w:lineRule="atLeast"/>
              <w:rPr>
                <w:kern w:val="0"/>
                <w:sz w:val="18"/>
                <w:szCs w:val="18"/>
              </w:rPr>
            </w:pPr>
          </w:p>
        </w:tc>
        <w:tc>
          <w:tcPr>
            <w:tcW w:w="1600" w:type="dxa"/>
            <w:noWrap/>
            <w:vAlign w:val="center"/>
          </w:tcPr>
          <w:p w14:paraId="141C6BA5" w14:textId="77777777" w:rsidR="00054437" w:rsidRPr="000549B1" w:rsidRDefault="00000000">
            <w:pPr>
              <w:widowControl/>
              <w:spacing w:line="240" w:lineRule="atLeast"/>
              <w:jc w:val="center"/>
              <w:rPr>
                <w:kern w:val="0"/>
                <w:sz w:val="18"/>
                <w:szCs w:val="18"/>
              </w:rPr>
            </w:pPr>
            <w:r w:rsidRPr="000549B1">
              <w:rPr>
                <w:kern w:val="0"/>
                <w:sz w:val="18"/>
                <w:szCs w:val="18"/>
              </w:rPr>
              <w:t>胀大桥弯藻</w:t>
            </w:r>
          </w:p>
        </w:tc>
        <w:tc>
          <w:tcPr>
            <w:tcW w:w="2742" w:type="dxa"/>
            <w:noWrap/>
            <w:vAlign w:val="center"/>
          </w:tcPr>
          <w:p w14:paraId="215A5CAE" w14:textId="77777777" w:rsidR="00054437" w:rsidRPr="000549B1" w:rsidRDefault="00000000">
            <w:pPr>
              <w:widowControl/>
              <w:spacing w:line="240" w:lineRule="atLeast"/>
              <w:jc w:val="center"/>
              <w:rPr>
                <w:i/>
                <w:iCs/>
                <w:kern w:val="0"/>
                <w:sz w:val="18"/>
                <w:szCs w:val="18"/>
              </w:rPr>
            </w:pPr>
            <w:r w:rsidRPr="000549B1">
              <w:rPr>
                <w:i/>
                <w:iCs/>
                <w:kern w:val="0"/>
                <w:sz w:val="18"/>
                <w:szCs w:val="18"/>
              </w:rPr>
              <w:t>Cymbellaturgidula</w:t>
            </w:r>
          </w:p>
        </w:tc>
        <w:tc>
          <w:tcPr>
            <w:tcW w:w="688" w:type="dxa"/>
            <w:noWrap/>
            <w:vAlign w:val="center"/>
          </w:tcPr>
          <w:p w14:paraId="22A23A7B" w14:textId="77777777" w:rsidR="00054437" w:rsidRPr="000549B1" w:rsidRDefault="00054437">
            <w:pPr>
              <w:widowControl/>
              <w:spacing w:line="240" w:lineRule="atLeast"/>
              <w:rPr>
                <w:rFonts w:eastAsia="等线"/>
                <w:kern w:val="0"/>
                <w:sz w:val="18"/>
                <w:szCs w:val="18"/>
              </w:rPr>
            </w:pPr>
          </w:p>
        </w:tc>
        <w:tc>
          <w:tcPr>
            <w:tcW w:w="688" w:type="dxa"/>
            <w:noWrap/>
            <w:vAlign w:val="center"/>
          </w:tcPr>
          <w:p w14:paraId="44AA4E29"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54854DB0" w14:textId="77777777" w:rsidR="00054437" w:rsidRPr="000549B1" w:rsidRDefault="00054437">
            <w:pPr>
              <w:spacing w:line="240" w:lineRule="atLeast"/>
              <w:rPr>
                <w:kern w:val="0"/>
                <w:sz w:val="18"/>
                <w:szCs w:val="18"/>
              </w:rPr>
            </w:pPr>
          </w:p>
        </w:tc>
        <w:tc>
          <w:tcPr>
            <w:tcW w:w="688" w:type="dxa"/>
            <w:noWrap/>
            <w:vAlign w:val="center"/>
          </w:tcPr>
          <w:p w14:paraId="19024E21" w14:textId="77777777" w:rsidR="00054437" w:rsidRPr="000549B1" w:rsidRDefault="00054437">
            <w:pPr>
              <w:widowControl/>
              <w:spacing w:line="240" w:lineRule="atLeast"/>
              <w:rPr>
                <w:rFonts w:eastAsia="等线"/>
                <w:kern w:val="0"/>
                <w:sz w:val="18"/>
                <w:szCs w:val="18"/>
              </w:rPr>
            </w:pPr>
          </w:p>
        </w:tc>
        <w:tc>
          <w:tcPr>
            <w:tcW w:w="688" w:type="dxa"/>
            <w:noWrap/>
            <w:vAlign w:val="center"/>
          </w:tcPr>
          <w:p w14:paraId="087BFEC4" w14:textId="77777777" w:rsidR="00054437" w:rsidRPr="000549B1" w:rsidRDefault="00054437">
            <w:pPr>
              <w:widowControl/>
              <w:spacing w:line="240" w:lineRule="atLeast"/>
              <w:rPr>
                <w:rFonts w:eastAsia="等线"/>
                <w:kern w:val="0"/>
                <w:sz w:val="18"/>
                <w:szCs w:val="18"/>
              </w:rPr>
            </w:pPr>
          </w:p>
        </w:tc>
        <w:tc>
          <w:tcPr>
            <w:tcW w:w="689" w:type="dxa"/>
            <w:noWrap/>
            <w:vAlign w:val="center"/>
          </w:tcPr>
          <w:p w14:paraId="17E95037" w14:textId="77777777" w:rsidR="00054437" w:rsidRPr="000549B1" w:rsidRDefault="00054437">
            <w:pPr>
              <w:widowControl/>
              <w:spacing w:line="240" w:lineRule="atLeast"/>
              <w:rPr>
                <w:rFonts w:eastAsia="等线"/>
                <w:kern w:val="0"/>
                <w:sz w:val="18"/>
                <w:szCs w:val="18"/>
              </w:rPr>
            </w:pPr>
          </w:p>
        </w:tc>
      </w:tr>
      <w:tr w:rsidR="000549B1" w:rsidRPr="000549B1" w14:paraId="32B9E83D" w14:textId="77777777">
        <w:trPr>
          <w:trHeight w:val="300"/>
          <w:jc w:val="center"/>
        </w:trPr>
        <w:tc>
          <w:tcPr>
            <w:tcW w:w="1576" w:type="dxa"/>
            <w:vMerge/>
            <w:vAlign w:val="center"/>
          </w:tcPr>
          <w:p w14:paraId="4540E5D9" w14:textId="77777777" w:rsidR="00054437" w:rsidRPr="000549B1" w:rsidRDefault="00054437">
            <w:pPr>
              <w:widowControl/>
              <w:spacing w:line="240" w:lineRule="atLeast"/>
              <w:rPr>
                <w:kern w:val="0"/>
                <w:sz w:val="18"/>
                <w:szCs w:val="18"/>
              </w:rPr>
            </w:pPr>
          </w:p>
        </w:tc>
        <w:tc>
          <w:tcPr>
            <w:tcW w:w="1600" w:type="dxa"/>
            <w:noWrap/>
            <w:vAlign w:val="center"/>
          </w:tcPr>
          <w:p w14:paraId="65BE8016" w14:textId="77777777" w:rsidR="00054437" w:rsidRPr="000549B1" w:rsidRDefault="00000000">
            <w:pPr>
              <w:widowControl/>
              <w:spacing w:line="240" w:lineRule="atLeast"/>
              <w:jc w:val="center"/>
              <w:rPr>
                <w:kern w:val="0"/>
                <w:sz w:val="18"/>
                <w:szCs w:val="18"/>
              </w:rPr>
            </w:pPr>
            <w:r w:rsidRPr="000549B1">
              <w:rPr>
                <w:kern w:val="0"/>
                <w:sz w:val="18"/>
                <w:szCs w:val="18"/>
              </w:rPr>
              <w:t>膨胀桥弯藻</w:t>
            </w:r>
          </w:p>
        </w:tc>
        <w:tc>
          <w:tcPr>
            <w:tcW w:w="2742" w:type="dxa"/>
            <w:noWrap/>
            <w:vAlign w:val="center"/>
          </w:tcPr>
          <w:p w14:paraId="5844A60E" w14:textId="77777777" w:rsidR="00054437" w:rsidRPr="000549B1" w:rsidRDefault="00000000">
            <w:pPr>
              <w:widowControl/>
              <w:spacing w:line="240" w:lineRule="atLeast"/>
              <w:jc w:val="center"/>
              <w:rPr>
                <w:i/>
                <w:iCs/>
                <w:kern w:val="0"/>
                <w:sz w:val="18"/>
                <w:szCs w:val="18"/>
              </w:rPr>
            </w:pPr>
            <w:r w:rsidRPr="000549B1">
              <w:rPr>
                <w:i/>
                <w:iCs/>
                <w:kern w:val="0"/>
                <w:sz w:val="18"/>
                <w:szCs w:val="18"/>
              </w:rPr>
              <w:t>Cymbellatumida</w:t>
            </w:r>
          </w:p>
        </w:tc>
        <w:tc>
          <w:tcPr>
            <w:tcW w:w="688" w:type="dxa"/>
            <w:noWrap/>
            <w:vAlign w:val="center"/>
          </w:tcPr>
          <w:p w14:paraId="5CA34DA9"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7FE73FC8"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6586D15E" w14:textId="77777777" w:rsidR="00054437" w:rsidRPr="000549B1" w:rsidRDefault="00054437">
            <w:pPr>
              <w:spacing w:line="240" w:lineRule="atLeast"/>
              <w:rPr>
                <w:kern w:val="0"/>
                <w:sz w:val="18"/>
                <w:szCs w:val="18"/>
              </w:rPr>
            </w:pPr>
          </w:p>
        </w:tc>
        <w:tc>
          <w:tcPr>
            <w:tcW w:w="688" w:type="dxa"/>
            <w:noWrap/>
            <w:vAlign w:val="center"/>
          </w:tcPr>
          <w:p w14:paraId="001AEAC7"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23AD8FCA" w14:textId="77777777" w:rsidR="00054437" w:rsidRPr="000549B1" w:rsidRDefault="00054437">
            <w:pPr>
              <w:spacing w:line="240" w:lineRule="atLeast"/>
              <w:rPr>
                <w:kern w:val="0"/>
                <w:sz w:val="18"/>
                <w:szCs w:val="18"/>
              </w:rPr>
            </w:pPr>
          </w:p>
        </w:tc>
        <w:tc>
          <w:tcPr>
            <w:tcW w:w="689" w:type="dxa"/>
            <w:noWrap/>
            <w:vAlign w:val="center"/>
          </w:tcPr>
          <w:p w14:paraId="5471F467" w14:textId="77777777" w:rsidR="00054437" w:rsidRPr="000549B1" w:rsidRDefault="00054437">
            <w:pPr>
              <w:widowControl/>
              <w:spacing w:line="240" w:lineRule="atLeast"/>
              <w:rPr>
                <w:rFonts w:eastAsia="等线"/>
                <w:kern w:val="0"/>
                <w:sz w:val="18"/>
                <w:szCs w:val="18"/>
              </w:rPr>
            </w:pPr>
          </w:p>
        </w:tc>
      </w:tr>
      <w:tr w:rsidR="000549B1" w:rsidRPr="000549B1" w14:paraId="787955A4" w14:textId="77777777">
        <w:trPr>
          <w:trHeight w:val="300"/>
          <w:jc w:val="center"/>
        </w:trPr>
        <w:tc>
          <w:tcPr>
            <w:tcW w:w="1576" w:type="dxa"/>
            <w:vMerge/>
            <w:vAlign w:val="center"/>
          </w:tcPr>
          <w:p w14:paraId="210F3751" w14:textId="77777777" w:rsidR="00054437" w:rsidRPr="000549B1" w:rsidRDefault="00054437">
            <w:pPr>
              <w:widowControl/>
              <w:spacing w:line="240" w:lineRule="atLeast"/>
              <w:rPr>
                <w:kern w:val="0"/>
                <w:sz w:val="18"/>
                <w:szCs w:val="18"/>
              </w:rPr>
            </w:pPr>
          </w:p>
        </w:tc>
        <w:tc>
          <w:tcPr>
            <w:tcW w:w="1600" w:type="dxa"/>
            <w:noWrap/>
            <w:vAlign w:val="center"/>
          </w:tcPr>
          <w:p w14:paraId="5FC9D905" w14:textId="77777777" w:rsidR="00054437" w:rsidRPr="000549B1" w:rsidRDefault="00000000">
            <w:pPr>
              <w:widowControl/>
              <w:spacing w:line="240" w:lineRule="atLeast"/>
              <w:jc w:val="center"/>
              <w:rPr>
                <w:kern w:val="0"/>
                <w:sz w:val="18"/>
                <w:szCs w:val="18"/>
              </w:rPr>
            </w:pPr>
            <w:r w:rsidRPr="000549B1">
              <w:rPr>
                <w:kern w:val="0"/>
                <w:sz w:val="18"/>
                <w:szCs w:val="18"/>
              </w:rPr>
              <w:t>纤细桥弯藻</w:t>
            </w:r>
          </w:p>
        </w:tc>
        <w:tc>
          <w:tcPr>
            <w:tcW w:w="2742" w:type="dxa"/>
            <w:noWrap/>
            <w:vAlign w:val="center"/>
          </w:tcPr>
          <w:p w14:paraId="5D97704D" w14:textId="77777777" w:rsidR="00054437" w:rsidRPr="000549B1" w:rsidRDefault="00000000">
            <w:pPr>
              <w:widowControl/>
              <w:spacing w:line="240" w:lineRule="atLeast"/>
              <w:jc w:val="center"/>
              <w:rPr>
                <w:i/>
                <w:iCs/>
                <w:kern w:val="0"/>
                <w:sz w:val="18"/>
                <w:szCs w:val="18"/>
              </w:rPr>
            </w:pPr>
            <w:r w:rsidRPr="000549B1">
              <w:rPr>
                <w:i/>
                <w:iCs/>
                <w:kern w:val="0"/>
                <w:sz w:val="18"/>
                <w:szCs w:val="18"/>
              </w:rPr>
              <w:t>Cymbellagracilis</w:t>
            </w:r>
          </w:p>
        </w:tc>
        <w:tc>
          <w:tcPr>
            <w:tcW w:w="688" w:type="dxa"/>
            <w:noWrap/>
            <w:vAlign w:val="center"/>
          </w:tcPr>
          <w:p w14:paraId="15BC31DC"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6FD1905F"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559C8957" w14:textId="77777777" w:rsidR="00054437" w:rsidRPr="000549B1" w:rsidRDefault="00054437">
            <w:pPr>
              <w:spacing w:line="240" w:lineRule="atLeast"/>
              <w:rPr>
                <w:kern w:val="0"/>
                <w:sz w:val="18"/>
                <w:szCs w:val="18"/>
              </w:rPr>
            </w:pPr>
          </w:p>
        </w:tc>
        <w:tc>
          <w:tcPr>
            <w:tcW w:w="688" w:type="dxa"/>
            <w:noWrap/>
            <w:vAlign w:val="center"/>
          </w:tcPr>
          <w:p w14:paraId="714DC01F"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4ED04638" w14:textId="77777777" w:rsidR="00054437" w:rsidRPr="000549B1" w:rsidRDefault="00054437">
            <w:pPr>
              <w:spacing w:line="240" w:lineRule="atLeast"/>
              <w:rPr>
                <w:kern w:val="0"/>
                <w:sz w:val="18"/>
                <w:szCs w:val="18"/>
              </w:rPr>
            </w:pPr>
          </w:p>
        </w:tc>
        <w:tc>
          <w:tcPr>
            <w:tcW w:w="689" w:type="dxa"/>
            <w:noWrap/>
            <w:vAlign w:val="center"/>
          </w:tcPr>
          <w:p w14:paraId="2722ADFC" w14:textId="77777777" w:rsidR="00054437" w:rsidRPr="000549B1" w:rsidRDefault="00000000">
            <w:pPr>
              <w:widowControl/>
              <w:spacing w:line="240" w:lineRule="atLeast"/>
              <w:jc w:val="center"/>
              <w:rPr>
                <w:kern w:val="0"/>
                <w:sz w:val="18"/>
                <w:szCs w:val="18"/>
              </w:rPr>
            </w:pPr>
            <w:r w:rsidRPr="000549B1">
              <w:rPr>
                <w:kern w:val="0"/>
                <w:sz w:val="18"/>
                <w:szCs w:val="18"/>
              </w:rPr>
              <w:t>+</w:t>
            </w:r>
          </w:p>
        </w:tc>
      </w:tr>
      <w:tr w:rsidR="000549B1" w:rsidRPr="000549B1" w14:paraId="4F52C88E" w14:textId="77777777">
        <w:trPr>
          <w:trHeight w:val="300"/>
          <w:jc w:val="center"/>
        </w:trPr>
        <w:tc>
          <w:tcPr>
            <w:tcW w:w="1576" w:type="dxa"/>
            <w:vMerge/>
            <w:vAlign w:val="center"/>
          </w:tcPr>
          <w:p w14:paraId="61D75E26" w14:textId="77777777" w:rsidR="00054437" w:rsidRPr="000549B1" w:rsidRDefault="00054437">
            <w:pPr>
              <w:widowControl/>
              <w:spacing w:line="240" w:lineRule="atLeast"/>
              <w:rPr>
                <w:kern w:val="0"/>
                <w:sz w:val="18"/>
                <w:szCs w:val="18"/>
              </w:rPr>
            </w:pPr>
          </w:p>
        </w:tc>
        <w:tc>
          <w:tcPr>
            <w:tcW w:w="1600" w:type="dxa"/>
            <w:noWrap/>
            <w:vAlign w:val="center"/>
          </w:tcPr>
          <w:p w14:paraId="1E43D576" w14:textId="77777777" w:rsidR="00054437" w:rsidRPr="000549B1" w:rsidRDefault="00000000">
            <w:pPr>
              <w:widowControl/>
              <w:spacing w:line="240" w:lineRule="atLeast"/>
              <w:jc w:val="center"/>
              <w:rPr>
                <w:kern w:val="0"/>
                <w:sz w:val="18"/>
                <w:szCs w:val="18"/>
              </w:rPr>
            </w:pPr>
            <w:r w:rsidRPr="000549B1">
              <w:rPr>
                <w:kern w:val="0"/>
                <w:sz w:val="18"/>
                <w:szCs w:val="18"/>
              </w:rPr>
              <w:t>近缘桥弯藻</w:t>
            </w:r>
          </w:p>
        </w:tc>
        <w:tc>
          <w:tcPr>
            <w:tcW w:w="2742" w:type="dxa"/>
            <w:noWrap/>
            <w:vAlign w:val="center"/>
          </w:tcPr>
          <w:p w14:paraId="2B60DACC" w14:textId="77777777" w:rsidR="00054437" w:rsidRPr="000549B1" w:rsidRDefault="00000000">
            <w:pPr>
              <w:widowControl/>
              <w:spacing w:line="240" w:lineRule="atLeast"/>
              <w:jc w:val="center"/>
              <w:rPr>
                <w:i/>
                <w:iCs/>
                <w:kern w:val="0"/>
                <w:sz w:val="18"/>
                <w:szCs w:val="18"/>
              </w:rPr>
            </w:pPr>
            <w:r w:rsidRPr="000549B1">
              <w:rPr>
                <w:i/>
                <w:iCs/>
                <w:kern w:val="0"/>
                <w:sz w:val="18"/>
                <w:szCs w:val="18"/>
              </w:rPr>
              <w:t>Cymbellaaffinis</w:t>
            </w:r>
          </w:p>
        </w:tc>
        <w:tc>
          <w:tcPr>
            <w:tcW w:w="688" w:type="dxa"/>
            <w:noWrap/>
            <w:vAlign w:val="center"/>
          </w:tcPr>
          <w:p w14:paraId="3DB69029"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1FC55CBF" w14:textId="77777777" w:rsidR="00054437" w:rsidRPr="000549B1" w:rsidRDefault="00054437">
            <w:pPr>
              <w:spacing w:line="240" w:lineRule="atLeast"/>
              <w:rPr>
                <w:kern w:val="0"/>
                <w:sz w:val="18"/>
                <w:szCs w:val="18"/>
              </w:rPr>
            </w:pPr>
          </w:p>
        </w:tc>
        <w:tc>
          <w:tcPr>
            <w:tcW w:w="688" w:type="dxa"/>
            <w:noWrap/>
            <w:vAlign w:val="center"/>
          </w:tcPr>
          <w:p w14:paraId="7183DBC8" w14:textId="77777777" w:rsidR="00054437" w:rsidRPr="000549B1" w:rsidRDefault="00054437">
            <w:pPr>
              <w:widowControl/>
              <w:spacing w:line="240" w:lineRule="atLeast"/>
              <w:rPr>
                <w:rFonts w:eastAsia="等线"/>
                <w:kern w:val="0"/>
                <w:sz w:val="18"/>
                <w:szCs w:val="18"/>
              </w:rPr>
            </w:pPr>
          </w:p>
        </w:tc>
        <w:tc>
          <w:tcPr>
            <w:tcW w:w="688" w:type="dxa"/>
            <w:noWrap/>
            <w:vAlign w:val="center"/>
          </w:tcPr>
          <w:p w14:paraId="6A938409" w14:textId="77777777" w:rsidR="00054437" w:rsidRPr="000549B1" w:rsidRDefault="00054437">
            <w:pPr>
              <w:widowControl/>
              <w:spacing w:line="240" w:lineRule="atLeast"/>
              <w:rPr>
                <w:rFonts w:eastAsia="等线"/>
                <w:kern w:val="0"/>
                <w:sz w:val="18"/>
                <w:szCs w:val="18"/>
              </w:rPr>
            </w:pPr>
          </w:p>
        </w:tc>
        <w:tc>
          <w:tcPr>
            <w:tcW w:w="688" w:type="dxa"/>
            <w:noWrap/>
            <w:vAlign w:val="center"/>
          </w:tcPr>
          <w:p w14:paraId="383D3B31" w14:textId="77777777" w:rsidR="00054437" w:rsidRPr="000549B1" w:rsidRDefault="00054437">
            <w:pPr>
              <w:widowControl/>
              <w:spacing w:line="240" w:lineRule="atLeast"/>
              <w:rPr>
                <w:rFonts w:eastAsia="等线"/>
                <w:kern w:val="0"/>
                <w:sz w:val="18"/>
                <w:szCs w:val="18"/>
              </w:rPr>
            </w:pPr>
          </w:p>
        </w:tc>
        <w:tc>
          <w:tcPr>
            <w:tcW w:w="689" w:type="dxa"/>
            <w:noWrap/>
            <w:vAlign w:val="center"/>
          </w:tcPr>
          <w:p w14:paraId="20148C30" w14:textId="77777777" w:rsidR="00054437" w:rsidRPr="000549B1" w:rsidRDefault="00054437">
            <w:pPr>
              <w:widowControl/>
              <w:spacing w:line="240" w:lineRule="atLeast"/>
              <w:rPr>
                <w:rFonts w:eastAsia="等线"/>
                <w:kern w:val="0"/>
                <w:sz w:val="18"/>
                <w:szCs w:val="18"/>
              </w:rPr>
            </w:pPr>
          </w:p>
        </w:tc>
      </w:tr>
      <w:tr w:rsidR="000549B1" w:rsidRPr="000549B1" w14:paraId="65644FA4" w14:textId="77777777">
        <w:trPr>
          <w:trHeight w:val="300"/>
          <w:jc w:val="center"/>
        </w:trPr>
        <w:tc>
          <w:tcPr>
            <w:tcW w:w="1576" w:type="dxa"/>
            <w:vMerge/>
            <w:vAlign w:val="center"/>
          </w:tcPr>
          <w:p w14:paraId="35E4D57D" w14:textId="77777777" w:rsidR="00054437" w:rsidRPr="000549B1" w:rsidRDefault="00054437">
            <w:pPr>
              <w:widowControl/>
              <w:spacing w:line="240" w:lineRule="atLeast"/>
              <w:rPr>
                <w:kern w:val="0"/>
                <w:sz w:val="18"/>
                <w:szCs w:val="18"/>
              </w:rPr>
            </w:pPr>
          </w:p>
        </w:tc>
        <w:tc>
          <w:tcPr>
            <w:tcW w:w="1600" w:type="dxa"/>
            <w:noWrap/>
            <w:vAlign w:val="center"/>
          </w:tcPr>
          <w:p w14:paraId="26DEF773" w14:textId="77777777" w:rsidR="00054437" w:rsidRPr="000549B1" w:rsidRDefault="00000000">
            <w:pPr>
              <w:widowControl/>
              <w:spacing w:line="240" w:lineRule="atLeast"/>
              <w:jc w:val="center"/>
              <w:rPr>
                <w:kern w:val="0"/>
                <w:sz w:val="18"/>
                <w:szCs w:val="18"/>
              </w:rPr>
            </w:pPr>
            <w:r w:rsidRPr="000549B1">
              <w:rPr>
                <w:kern w:val="0"/>
                <w:sz w:val="18"/>
                <w:szCs w:val="18"/>
              </w:rPr>
              <w:t>极小桥弯藻</w:t>
            </w:r>
          </w:p>
        </w:tc>
        <w:tc>
          <w:tcPr>
            <w:tcW w:w="2742" w:type="dxa"/>
            <w:noWrap/>
            <w:vAlign w:val="center"/>
          </w:tcPr>
          <w:p w14:paraId="52C7C4DA" w14:textId="77777777" w:rsidR="00054437" w:rsidRPr="000549B1" w:rsidRDefault="00000000">
            <w:pPr>
              <w:widowControl/>
              <w:spacing w:line="240" w:lineRule="atLeast"/>
              <w:jc w:val="center"/>
              <w:rPr>
                <w:i/>
                <w:iCs/>
                <w:kern w:val="0"/>
                <w:sz w:val="18"/>
                <w:szCs w:val="18"/>
              </w:rPr>
            </w:pPr>
            <w:r w:rsidRPr="000549B1">
              <w:rPr>
                <w:i/>
                <w:iCs/>
                <w:kern w:val="0"/>
                <w:sz w:val="18"/>
                <w:szCs w:val="18"/>
              </w:rPr>
              <w:t>Cymbellaperpusilla</w:t>
            </w:r>
          </w:p>
        </w:tc>
        <w:tc>
          <w:tcPr>
            <w:tcW w:w="688" w:type="dxa"/>
            <w:noWrap/>
            <w:vAlign w:val="center"/>
          </w:tcPr>
          <w:p w14:paraId="54D7C360"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746F0E17"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637C8EDA"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3C811CD5" w14:textId="77777777" w:rsidR="00054437" w:rsidRPr="000549B1" w:rsidRDefault="00054437">
            <w:pPr>
              <w:spacing w:line="240" w:lineRule="atLeast"/>
              <w:rPr>
                <w:kern w:val="0"/>
                <w:sz w:val="18"/>
                <w:szCs w:val="18"/>
              </w:rPr>
            </w:pPr>
          </w:p>
        </w:tc>
        <w:tc>
          <w:tcPr>
            <w:tcW w:w="688" w:type="dxa"/>
            <w:noWrap/>
            <w:vAlign w:val="center"/>
          </w:tcPr>
          <w:p w14:paraId="403BF6D6" w14:textId="77777777" w:rsidR="00054437" w:rsidRPr="000549B1" w:rsidRDefault="00054437">
            <w:pPr>
              <w:widowControl/>
              <w:spacing w:line="240" w:lineRule="atLeast"/>
              <w:rPr>
                <w:rFonts w:eastAsia="等线"/>
                <w:kern w:val="0"/>
                <w:sz w:val="18"/>
                <w:szCs w:val="18"/>
              </w:rPr>
            </w:pPr>
          </w:p>
        </w:tc>
        <w:tc>
          <w:tcPr>
            <w:tcW w:w="689" w:type="dxa"/>
            <w:noWrap/>
            <w:vAlign w:val="center"/>
          </w:tcPr>
          <w:p w14:paraId="57795951" w14:textId="77777777" w:rsidR="00054437" w:rsidRPr="000549B1" w:rsidRDefault="00054437">
            <w:pPr>
              <w:widowControl/>
              <w:spacing w:line="240" w:lineRule="atLeast"/>
              <w:rPr>
                <w:rFonts w:eastAsia="等线"/>
                <w:kern w:val="0"/>
                <w:sz w:val="18"/>
                <w:szCs w:val="18"/>
              </w:rPr>
            </w:pPr>
          </w:p>
        </w:tc>
      </w:tr>
      <w:tr w:rsidR="000549B1" w:rsidRPr="000549B1" w14:paraId="453A6983" w14:textId="77777777">
        <w:trPr>
          <w:trHeight w:val="300"/>
          <w:jc w:val="center"/>
        </w:trPr>
        <w:tc>
          <w:tcPr>
            <w:tcW w:w="1576" w:type="dxa"/>
            <w:vMerge/>
            <w:vAlign w:val="center"/>
          </w:tcPr>
          <w:p w14:paraId="545030E7" w14:textId="77777777" w:rsidR="00054437" w:rsidRPr="000549B1" w:rsidRDefault="00054437">
            <w:pPr>
              <w:widowControl/>
              <w:spacing w:line="240" w:lineRule="atLeast"/>
              <w:rPr>
                <w:kern w:val="0"/>
                <w:sz w:val="18"/>
                <w:szCs w:val="18"/>
              </w:rPr>
            </w:pPr>
          </w:p>
        </w:tc>
        <w:tc>
          <w:tcPr>
            <w:tcW w:w="1600" w:type="dxa"/>
            <w:noWrap/>
            <w:vAlign w:val="center"/>
          </w:tcPr>
          <w:p w14:paraId="2370DE18" w14:textId="77777777" w:rsidR="00054437" w:rsidRPr="000549B1" w:rsidRDefault="00000000">
            <w:pPr>
              <w:widowControl/>
              <w:spacing w:line="240" w:lineRule="atLeast"/>
              <w:jc w:val="center"/>
              <w:rPr>
                <w:kern w:val="0"/>
                <w:sz w:val="18"/>
                <w:szCs w:val="18"/>
              </w:rPr>
            </w:pPr>
            <w:r w:rsidRPr="000549B1">
              <w:rPr>
                <w:kern w:val="0"/>
                <w:sz w:val="18"/>
                <w:szCs w:val="18"/>
              </w:rPr>
              <w:t>披针形曲壳藻</w:t>
            </w:r>
          </w:p>
        </w:tc>
        <w:tc>
          <w:tcPr>
            <w:tcW w:w="2742" w:type="dxa"/>
            <w:noWrap/>
            <w:vAlign w:val="center"/>
          </w:tcPr>
          <w:p w14:paraId="3C04FFD5" w14:textId="77777777" w:rsidR="00054437" w:rsidRPr="000549B1" w:rsidRDefault="00000000">
            <w:pPr>
              <w:widowControl/>
              <w:spacing w:line="240" w:lineRule="atLeast"/>
              <w:jc w:val="center"/>
              <w:rPr>
                <w:i/>
                <w:iCs/>
                <w:kern w:val="0"/>
                <w:sz w:val="18"/>
                <w:szCs w:val="18"/>
              </w:rPr>
            </w:pPr>
            <w:r w:rsidRPr="000549B1">
              <w:rPr>
                <w:i/>
                <w:iCs/>
                <w:kern w:val="0"/>
                <w:sz w:val="18"/>
                <w:szCs w:val="18"/>
              </w:rPr>
              <w:t>Achnantheslanceolata</w:t>
            </w:r>
          </w:p>
        </w:tc>
        <w:tc>
          <w:tcPr>
            <w:tcW w:w="688" w:type="dxa"/>
            <w:noWrap/>
            <w:vAlign w:val="center"/>
          </w:tcPr>
          <w:p w14:paraId="26D7624D" w14:textId="77777777" w:rsidR="00054437" w:rsidRPr="000549B1" w:rsidRDefault="00054437">
            <w:pPr>
              <w:widowControl/>
              <w:spacing w:line="240" w:lineRule="atLeast"/>
              <w:rPr>
                <w:rFonts w:eastAsia="等线"/>
                <w:kern w:val="0"/>
                <w:sz w:val="18"/>
                <w:szCs w:val="18"/>
              </w:rPr>
            </w:pPr>
          </w:p>
        </w:tc>
        <w:tc>
          <w:tcPr>
            <w:tcW w:w="688" w:type="dxa"/>
            <w:noWrap/>
            <w:vAlign w:val="center"/>
          </w:tcPr>
          <w:p w14:paraId="2FE2E83C" w14:textId="77777777" w:rsidR="00054437" w:rsidRPr="000549B1" w:rsidRDefault="00054437">
            <w:pPr>
              <w:widowControl/>
              <w:spacing w:line="240" w:lineRule="atLeast"/>
              <w:rPr>
                <w:rFonts w:eastAsia="等线"/>
                <w:kern w:val="0"/>
                <w:sz w:val="18"/>
                <w:szCs w:val="18"/>
              </w:rPr>
            </w:pPr>
          </w:p>
        </w:tc>
        <w:tc>
          <w:tcPr>
            <w:tcW w:w="688" w:type="dxa"/>
            <w:noWrap/>
            <w:vAlign w:val="center"/>
          </w:tcPr>
          <w:p w14:paraId="2EF40B7B" w14:textId="77777777" w:rsidR="00054437" w:rsidRPr="000549B1" w:rsidRDefault="00054437">
            <w:pPr>
              <w:widowControl/>
              <w:spacing w:line="240" w:lineRule="atLeast"/>
              <w:rPr>
                <w:rFonts w:eastAsia="等线"/>
                <w:kern w:val="0"/>
                <w:sz w:val="18"/>
                <w:szCs w:val="18"/>
              </w:rPr>
            </w:pPr>
          </w:p>
        </w:tc>
        <w:tc>
          <w:tcPr>
            <w:tcW w:w="688" w:type="dxa"/>
            <w:noWrap/>
            <w:vAlign w:val="center"/>
          </w:tcPr>
          <w:p w14:paraId="636944AC"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587C7644" w14:textId="77777777" w:rsidR="00054437" w:rsidRPr="000549B1" w:rsidRDefault="00054437">
            <w:pPr>
              <w:spacing w:line="240" w:lineRule="atLeast"/>
              <w:rPr>
                <w:kern w:val="0"/>
                <w:sz w:val="18"/>
                <w:szCs w:val="18"/>
              </w:rPr>
            </w:pPr>
          </w:p>
        </w:tc>
        <w:tc>
          <w:tcPr>
            <w:tcW w:w="689" w:type="dxa"/>
            <w:noWrap/>
            <w:vAlign w:val="center"/>
          </w:tcPr>
          <w:p w14:paraId="39D1EB3E" w14:textId="77777777" w:rsidR="00054437" w:rsidRPr="000549B1" w:rsidRDefault="00054437">
            <w:pPr>
              <w:widowControl/>
              <w:spacing w:line="240" w:lineRule="atLeast"/>
              <w:rPr>
                <w:rFonts w:eastAsia="等线"/>
                <w:kern w:val="0"/>
                <w:sz w:val="18"/>
                <w:szCs w:val="18"/>
              </w:rPr>
            </w:pPr>
          </w:p>
        </w:tc>
      </w:tr>
      <w:tr w:rsidR="000549B1" w:rsidRPr="000549B1" w14:paraId="609FF54A" w14:textId="77777777">
        <w:trPr>
          <w:trHeight w:val="300"/>
          <w:jc w:val="center"/>
        </w:trPr>
        <w:tc>
          <w:tcPr>
            <w:tcW w:w="1576" w:type="dxa"/>
            <w:vMerge/>
            <w:vAlign w:val="center"/>
          </w:tcPr>
          <w:p w14:paraId="6CEEA512" w14:textId="77777777" w:rsidR="00054437" w:rsidRPr="000549B1" w:rsidRDefault="00054437">
            <w:pPr>
              <w:widowControl/>
              <w:spacing w:line="240" w:lineRule="atLeast"/>
              <w:rPr>
                <w:kern w:val="0"/>
                <w:sz w:val="18"/>
                <w:szCs w:val="18"/>
              </w:rPr>
            </w:pPr>
          </w:p>
        </w:tc>
        <w:tc>
          <w:tcPr>
            <w:tcW w:w="1600" w:type="dxa"/>
            <w:noWrap/>
            <w:vAlign w:val="center"/>
          </w:tcPr>
          <w:p w14:paraId="1A3FA59E" w14:textId="77777777" w:rsidR="00054437" w:rsidRPr="000549B1" w:rsidRDefault="00000000">
            <w:pPr>
              <w:widowControl/>
              <w:spacing w:line="240" w:lineRule="atLeast"/>
              <w:jc w:val="center"/>
              <w:rPr>
                <w:kern w:val="0"/>
                <w:sz w:val="18"/>
                <w:szCs w:val="18"/>
              </w:rPr>
            </w:pPr>
            <w:r w:rsidRPr="000549B1">
              <w:rPr>
                <w:kern w:val="0"/>
                <w:sz w:val="18"/>
                <w:szCs w:val="18"/>
              </w:rPr>
              <w:t>颗粒直链藻</w:t>
            </w:r>
          </w:p>
        </w:tc>
        <w:tc>
          <w:tcPr>
            <w:tcW w:w="2742" w:type="dxa"/>
            <w:noWrap/>
            <w:vAlign w:val="center"/>
          </w:tcPr>
          <w:p w14:paraId="16C15E77" w14:textId="77777777" w:rsidR="00054437" w:rsidRPr="000549B1" w:rsidRDefault="00000000">
            <w:pPr>
              <w:widowControl/>
              <w:spacing w:line="240" w:lineRule="atLeast"/>
              <w:jc w:val="center"/>
              <w:rPr>
                <w:i/>
                <w:iCs/>
                <w:kern w:val="0"/>
                <w:sz w:val="18"/>
                <w:szCs w:val="18"/>
              </w:rPr>
            </w:pPr>
            <w:r w:rsidRPr="000549B1">
              <w:rPr>
                <w:i/>
                <w:iCs/>
                <w:kern w:val="0"/>
                <w:sz w:val="18"/>
                <w:szCs w:val="18"/>
              </w:rPr>
              <w:t>Melosiragranulata</w:t>
            </w:r>
          </w:p>
        </w:tc>
        <w:tc>
          <w:tcPr>
            <w:tcW w:w="688" w:type="dxa"/>
            <w:noWrap/>
            <w:vAlign w:val="center"/>
          </w:tcPr>
          <w:p w14:paraId="1351BA53" w14:textId="77777777" w:rsidR="00054437" w:rsidRPr="000549B1" w:rsidRDefault="00054437">
            <w:pPr>
              <w:spacing w:line="240" w:lineRule="atLeast"/>
              <w:rPr>
                <w:kern w:val="0"/>
                <w:sz w:val="18"/>
                <w:szCs w:val="18"/>
              </w:rPr>
            </w:pPr>
          </w:p>
        </w:tc>
        <w:tc>
          <w:tcPr>
            <w:tcW w:w="688" w:type="dxa"/>
            <w:noWrap/>
            <w:vAlign w:val="center"/>
          </w:tcPr>
          <w:p w14:paraId="4165B361" w14:textId="77777777" w:rsidR="00054437" w:rsidRPr="000549B1" w:rsidRDefault="00054437">
            <w:pPr>
              <w:widowControl/>
              <w:spacing w:line="240" w:lineRule="atLeast"/>
              <w:rPr>
                <w:rFonts w:eastAsia="等线"/>
                <w:kern w:val="0"/>
                <w:sz w:val="18"/>
                <w:szCs w:val="18"/>
              </w:rPr>
            </w:pPr>
          </w:p>
        </w:tc>
        <w:tc>
          <w:tcPr>
            <w:tcW w:w="688" w:type="dxa"/>
            <w:noWrap/>
            <w:vAlign w:val="center"/>
          </w:tcPr>
          <w:p w14:paraId="759F7709"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01A69C91" w14:textId="77777777" w:rsidR="00054437" w:rsidRPr="000549B1" w:rsidRDefault="00054437">
            <w:pPr>
              <w:spacing w:line="240" w:lineRule="atLeast"/>
              <w:rPr>
                <w:kern w:val="0"/>
                <w:sz w:val="18"/>
                <w:szCs w:val="18"/>
              </w:rPr>
            </w:pPr>
          </w:p>
        </w:tc>
        <w:tc>
          <w:tcPr>
            <w:tcW w:w="688" w:type="dxa"/>
            <w:noWrap/>
            <w:vAlign w:val="center"/>
          </w:tcPr>
          <w:p w14:paraId="6FD129BC" w14:textId="77777777" w:rsidR="00054437" w:rsidRPr="000549B1" w:rsidRDefault="00054437">
            <w:pPr>
              <w:widowControl/>
              <w:spacing w:line="240" w:lineRule="atLeast"/>
              <w:rPr>
                <w:rFonts w:eastAsia="等线"/>
                <w:kern w:val="0"/>
                <w:sz w:val="18"/>
                <w:szCs w:val="18"/>
              </w:rPr>
            </w:pPr>
          </w:p>
        </w:tc>
        <w:tc>
          <w:tcPr>
            <w:tcW w:w="689" w:type="dxa"/>
            <w:noWrap/>
            <w:vAlign w:val="center"/>
          </w:tcPr>
          <w:p w14:paraId="463B00F1" w14:textId="77777777" w:rsidR="00054437" w:rsidRPr="000549B1" w:rsidRDefault="00054437">
            <w:pPr>
              <w:widowControl/>
              <w:spacing w:line="240" w:lineRule="atLeast"/>
              <w:rPr>
                <w:rFonts w:eastAsia="等线"/>
                <w:kern w:val="0"/>
                <w:sz w:val="18"/>
                <w:szCs w:val="18"/>
              </w:rPr>
            </w:pPr>
          </w:p>
        </w:tc>
      </w:tr>
      <w:tr w:rsidR="000549B1" w:rsidRPr="000549B1" w14:paraId="36E59F9B" w14:textId="77777777">
        <w:trPr>
          <w:trHeight w:val="300"/>
          <w:jc w:val="center"/>
        </w:trPr>
        <w:tc>
          <w:tcPr>
            <w:tcW w:w="1576" w:type="dxa"/>
            <w:vMerge/>
            <w:vAlign w:val="center"/>
          </w:tcPr>
          <w:p w14:paraId="73920C9E" w14:textId="77777777" w:rsidR="00054437" w:rsidRPr="000549B1" w:rsidRDefault="00054437">
            <w:pPr>
              <w:widowControl/>
              <w:spacing w:line="240" w:lineRule="atLeast"/>
              <w:rPr>
                <w:kern w:val="0"/>
                <w:sz w:val="18"/>
                <w:szCs w:val="18"/>
              </w:rPr>
            </w:pPr>
          </w:p>
        </w:tc>
        <w:tc>
          <w:tcPr>
            <w:tcW w:w="1600" w:type="dxa"/>
            <w:noWrap/>
            <w:vAlign w:val="center"/>
          </w:tcPr>
          <w:p w14:paraId="44FB0973" w14:textId="77777777" w:rsidR="00054437" w:rsidRPr="000549B1" w:rsidRDefault="00000000">
            <w:pPr>
              <w:widowControl/>
              <w:spacing w:line="240" w:lineRule="atLeast"/>
              <w:jc w:val="center"/>
              <w:rPr>
                <w:kern w:val="0"/>
                <w:sz w:val="18"/>
                <w:szCs w:val="18"/>
              </w:rPr>
            </w:pPr>
            <w:r w:rsidRPr="000549B1">
              <w:rPr>
                <w:kern w:val="0"/>
                <w:sz w:val="18"/>
                <w:szCs w:val="18"/>
              </w:rPr>
              <w:t>变异直链藻</w:t>
            </w:r>
          </w:p>
        </w:tc>
        <w:tc>
          <w:tcPr>
            <w:tcW w:w="2742" w:type="dxa"/>
            <w:noWrap/>
            <w:vAlign w:val="center"/>
          </w:tcPr>
          <w:p w14:paraId="6DA66AF3" w14:textId="77777777" w:rsidR="00054437" w:rsidRPr="000549B1" w:rsidRDefault="00000000">
            <w:pPr>
              <w:widowControl/>
              <w:spacing w:line="240" w:lineRule="atLeast"/>
              <w:jc w:val="center"/>
              <w:rPr>
                <w:i/>
                <w:iCs/>
                <w:kern w:val="0"/>
                <w:sz w:val="18"/>
                <w:szCs w:val="18"/>
              </w:rPr>
            </w:pPr>
            <w:r w:rsidRPr="000549B1">
              <w:rPr>
                <w:i/>
                <w:iCs/>
                <w:kern w:val="0"/>
                <w:sz w:val="18"/>
                <w:szCs w:val="18"/>
              </w:rPr>
              <w:t>Melosirsvarians</w:t>
            </w:r>
          </w:p>
        </w:tc>
        <w:tc>
          <w:tcPr>
            <w:tcW w:w="688" w:type="dxa"/>
            <w:noWrap/>
            <w:vAlign w:val="center"/>
          </w:tcPr>
          <w:p w14:paraId="2461D4E1"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58308518"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586EBCE3" w14:textId="77777777" w:rsidR="00054437" w:rsidRPr="000549B1" w:rsidRDefault="00054437">
            <w:pPr>
              <w:spacing w:line="240" w:lineRule="atLeast"/>
              <w:rPr>
                <w:kern w:val="0"/>
                <w:sz w:val="18"/>
                <w:szCs w:val="18"/>
              </w:rPr>
            </w:pPr>
          </w:p>
        </w:tc>
        <w:tc>
          <w:tcPr>
            <w:tcW w:w="688" w:type="dxa"/>
            <w:noWrap/>
            <w:vAlign w:val="center"/>
          </w:tcPr>
          <w:p w14:paraId="2B514222" w14:textId="77777777" w:rsidR="00054437" w:rsidRPr="000549B1" w:rsidRDefault="00054437">
            <w:pPr>
              <w:widowControl/>
              <w:spacing w:line="240" w:lineRule="atLeast"/>
              <w:rPr>
                <w:rFonts w:eastAsia="等线"/>
                <w:kern w:val="0"/>
                <w:sz w:val="18"/>
                <w:szCs w:val="18"/>
              </w:rPr>
            </w:pPr>
          </w:p>
        </w:tc>
        <w:tc>
          <w:tcPr>
            <w:tcW w:w="688" w:type="dxa"/>
            <w:noWrap/>
            <w:vAlign w:val="center"/>
          </w:tcPr>
          <w:p w14:paraId="6762DAE1" w14:textId="77777777" w:rsidR="00054437" w:rsidRPr="000549B1" w:rsidRDefault="00054437">
            <w:pPr>
              <w:widowControl/>
              <w:spacing w:line="240" w:lineRule="atLeast"/>
              <w:rPr>
                <w:rFonts w:eastAsia="等线"/>
                <w:kern w:val="0"/>
                <w:sz w:val="18"/>
                <w:szCs w:val="18"/>
              </w:rPr>
            </w:pPr>
          </w:p>
        </w:tc>
        <w:tc>
          <w:tcPr>
            <w:tcW w:w="689" w:type="dxa"/>
            <w:noWrap/>
            <w:vAlign w:val="center"/>
          </w:tcPr>
          <w:p w14:paraId="5673E359" w14:textId="77777777" w:rsidR="00054437" w:rsidRPr="000549B1" w:rsidRDefault="00054437">
            <w:pPr>
              <w:widowControl/>
              <w:spacing w:line="240" w:lineRule="atLeast"/>
              <w:rPr>
                <w:rFonts w:eastAsia="等线"/>
                <w:kern w:val="0"/>
                <w:sz w:val="18"/>
                <w:szCs w:val="18"/>
              </w:rPr>
            </w:pPr>
          </w:p>
        </w:tc>
      </w:tr>
      <w:tr w:rsidR="000549B1" w:rsidRPr="000549B1" w14:paraId="0BA7EC28" w14:textId="77777777">
        <w:trPr>
          <w:trHeight w:val="300"/>
          <w:jc w:val="center"/>
        </w:trPr>
        <w:tc>
          <w:tcPr>
            <w:tcW w:w="1576" w:type="dxa"/>
            <w:vMerge/>
            <w:vAlign w:val="center"/>
          </w:tcPr>
          <w:p w14:paraId="2228C1B8" w14:textId="77777777" w:rsidR="00054437" w:rsidRPr="000549B1" w:rsidRDefault="00054437">
            <w:pPr>
              <w:widowControl/>
              <w:spacing w:line="240" w:lineRule="atLeast"/>
              <w:rPr>
                <w:kern w:val="0"/>
                <w:sz w:val="18"/>
                <w:szCs w:val="18"/>
              </w:rPr>
            </w:pPr>
          </w:p>
        </w:tc>
        <w:tc>
          <w:tcPr>
            <w:tcW w:w="1600" w:type="dxa"/>
            <w:noWrap/>
            <w:vAlign w:val="center"/>
          </w:tcPr>
          <w:p w14:paraId="109C8378" w14:textId="77777777" w:rsidR="00054437" w:rsidRPr="000549B1" w:rsidRDefault="00000000">
            <w:pPr>
              <w:widowControl/>
              <w:spacing w:line="240" w:lineRule="atLeast"/>
              <w:jc w:val="center"/>
              <w:rPr>
                <w:kern w:val="0"/>
                <w:sz w:val="18"/>
                <w:szCs w:val="18"/>
              </w:rPr>
            </w:pPr>
            <w:r w:rsidRPr="000549B1">
              <w:rPr>
                <w:kern w:val="0"/>
                <w:sz w:val="18"/>
                <w:szCs w:val="18"/>
              </w:rPr>
              <w:t>念珠状等片藻</w:t>
            </w:r>
          </w:p>
        </w:tc>
        <w:tc>
          <w:tcPr>
            <w:tcW w:w="2742" w:type="dxa"/>
            <w:noWrap/>
            <w:vAlign w:val="center"/>
          </w:tcPr>
          <w:p w14:paraId="5F6C3AFA" w14:textId="77777777" w:rsidR="00054437" w:rsidRPr="000549B1" w:rsidRDefault="00000000">
            <w:pPr>
              <w:widowControl/>
              <w:spacing w:line="240" w:lineRule="atLeast"/>
              <w:jc w:val="center"/>
              <w:rPr>
                <w:i/>
                <w:iCs/>
                <w:kern w:val="0"/>
                <w:sz w:val="18"/>
                <w:szCs w:val="18"/>
              </w:rPr>
            </w:pPr>
            <w:r w:rsidRPr="000549B1">
              <w:rPr>
                <w:i/>
                <w:iCs/>
                <w:kern w:val="0"/>
                <w:sz w:val="18"/>
                <w:szCs w:val="18"/>
              </w:rPr>
              <w:t>Diatomomoniliforme</w:t>
            </w:r>
          </w:p>
        </w:tc>
        <w:tc>
          <w:tcPr>
            <w:tcW w:w="688" w:type="dxa"/>
            <w:noWrap/>
            <w:vAlign w:val="center"/>
          </w:tcPr>
          <w:p w14:paraId="561F855A"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124BA331"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7AC04BF0"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3E2E3EC8"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0F2B5D98"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9" w:type="dxa"/>
            <w:noWrap/>
            <w:vAlign w:val="center"/>
          </w:tcPr>
          <w:p w14:paraId="0DB24905" w14:textId="77777777" w:rsidR="00054437" w:rsidRPr="000549B1" w:rsidRDefault="00000000">
            <w:pPr>
              <w:widowControl/>
              <w:spacing w:line="240" w:lineRule="atLeast"/>
              <w:jc w:val="center"/>
              <w:rPr>
                <w:kern w:val="0"/>
                <w:sz w:val="18"/>
                <w:szCs w:val="18"/>
              </w:rPr>
            </w:pPr>
            <w:r w:rsidRPr="000549B1">
              <w:rPr>
                <w:kern w:val="0"/>
                <w:sz w:val="18"/>
                <w:szCs w:val="18"/>
              </w:rPr>
              <w:t>++</w:t>
            </w:r>
          </w:p>
        </w:tc>
      </w:tr>
      <w:tr w:rsidR="000549B1" w:rsidRPr="000549B1" w14:paraId="49B6D01D" w14:textId="77777777">
        <w:trPr>
          <w:trHeight w:val="300"/>
          <w:jc w:val="center"/>
        </w:trPr>
        <w:tc>
          <w:tcPr>
            <w:tcW w:w="1576" w:type="dxa"/>
            <w:vMerge/>
            <w:vAlign w:val="center"/>
          </w:tcPr>
          <w:p w14:paraId="441B7BDE" w14:textId="77777777" w:rsidR="00054437" w:rsidRPr="000549B1" w:rsidRDefault="00054437">
            <w:pPr>
              <w:widowControl/>
              <w:spacing w:line="240" w:lineRule="atLeast"/>
              <w:rPr>
                <w:kern w:val="0"/>
                <w:sz w:val="18"/>
                <w:szCs w:val="18"/>
              </w:rPr>
            </w:pPr>
          </w:p>
        </w:tc>
        <w:tc>
          <w:tcPr>
            <w:tcW w:w="1600" w:type="dxa"/>
            <w:noWrap/>
            <w:vAlign w:val="center"/>
          </w:tcPr>
          <w:p w14:paraId="6D6BDC78" w14:textId="77777777" w:rsidR="00054437" w:rsidRPr="000549B1" w:rsidRDefault="00000000">
            <w:pPr>
              <w:widowControl/>
              <w:spacing w:line="240" w:lineRule="atLeast"/>
              <w:jc w:val="center"/>
              <w:rPr>
                <w:kern w:val="0"/>
                <w:sz w:val="18"/>
                <w:szCs w:val="18"/>
              </w:rPr>
            </w:pPr>
            <w:r w:rsidRPr="000549B1">
              <w:rPr>
                <w:kern w:val="0"/>
                <w:sz w:val="18"/>
                <w:szCs w:val="18"/>
              </w:rPr>
              <w:t>普通等片藻</w:t>
            </w:r>
          </w:p>
        </w:tc>
        <w:tc>
          <w:tcPr>
            <w:tcW w:w="2742" w:type="dxa"/>
            <w:noWrap/>
            <w:vAlign w:val="center"/>
          </w:tcPr>
          <w:p w14:paraId="5DF5EC37" w14:textId="77777777" w:rsidR="00054437" w:rsidRPr="000549B1" w:rsidRDefault="00000000">
            <w:pPr>
              <w:widowControl/>
              <w:spacing w:line="240" w:lineRule="atLeast"/>
              <w:jc w:val="center"/>
              <w:rPr>
                <w:i/>
                <w:iCs/>
                <w:kern w:val="0"/>
                <w:sz w:val="18"/>
                <w:szCs w:val="18"/>
              </w:rPr>
            </w:pPr>
            <w:r w:rsidRPr="000549B1">
              <w:rPr>
                <w:i/>
                <w:iCs/>
                <w:kern w:val="0"/>
                <w:sz w:val="18"/>
                <w:szCs w:val="18"/>
              </w:rPr>
              <w:t>Diatomovulgare</w:t>
            </w:r>
          </w:p>
        </w:tc>
        <w:tc>
          <w:tcPr>
            <w:tcW w:w="688" w:type="dxa"/>
            <w:noWrap/>
            <w:vAlign w:val="center"/>
          </w:tcPr>
          <w:p w14:paraId="3E73E74D"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7F7D4F55"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05597255" w14:textId="77777777" w:rsidR="00054437" w:rsidRPr="000549B1" w:rsidRDefault="00054437">
            <w:pPr>
              <w:spacing w:line="240" w:lineRule="atLeast"/>
              <w:rPr>
                <w:kern w:val="0"/>
                <w:sz w:val="18"/>
                <w:szCs w:val="18"/>
              </w:rPr>
            </w:pPr>
          </w:p>
        </w:tc>
        <w:tc>
          <w:tcPr>
            <w:tcW w:w="688" w:type="dxa"/>
            <w:noWrap/>
            <w:vAlign w:val="center"/>
          </w:tcPr>
          <w:p w14:paraId="5383E37F"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05BB56F5"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9" w:type="dxa"/>
            <w:noWrap/>
            <w:vAlign w:val="center"/>
          </w:tcPr>
          <w:p w14:paraId="7F03A3FB" w14:textId="77777777" w:rsidR="00054437" w:rsidRPr="000549B1" w:rsidRDefault="00000000">
            <w:pPr>
              <w:widowControl/>
              <w:spacing w:line="240" w:lineRule="atLeast"/>
              <w:jc w:val="center"/>
              <w:rPr>
                <w:kern w:val="0"/>
                <w:sz w:val="18"/>
                <w:szCs w:val="18"/>
              </w:rPr>
            </w:pPr>
            <w:r w:rsidRPr="000549B1">
              <w:rPr>
                <w:kern w:val="0"/>
                <w:sz w:val="18"/>
                <w:szCs w:val="18"/>
              </w:rPr>
              <w:t>++</w:t>
            </w:r>
          </w:p>
        </w:tc>
      </w:tr>
      <w:tr w:rsidR="000549B1" w:rsidRPr="000549B1" w14:paraId="17EBFF6A" w14:textId="77777777">
        <w:trPr>
          <w:trHeight w:val="300"/>
          <w:jc w:val="center"/>
        </w:trPr>
        <w:tc>
          <w:tcPr>
            <w:tcW w:w="1576" w:type="dxa"/>
            <w:vMerge/>
            <w:vAlign w:val="center"/>
          </w:tcPr>
          <w:p w14:paraId="055AD329" w14:textId="77777777" w:rsidR="00054437" w:rsidRPr="000549B1" w:rsidRDefault="00054437">
            <w:pPr>
              <w:widowControl/>
              <w:spacing w:line="240" w:lineRule="atLeast"/>
              <w:rPr>
                <w:kern w:val="0"/>
                <w:sz w:val="18"/>
                <w:szCs w:val="18"/>
              </w:rPr>
            </w:pPr>
          </w:p>
        </w:tc>
        <w:tc>
          <w:tcPr>
            <w:tcW w:w="1600" w:type="dxa"/>
            <w:noWrap/>
            <w:vAlign w:val="center"/>
          </w:tcPr>
          <w:p w14:paraId="08639195" w14:textId="77777777" w:rsidR="00054437" w:rsidRPr="000549B1" w:rsidRDefault="00000000">
            <w:pPr>
              <w:widowControl/>
              <w:spacing w:line="240" w:lineRule="atLeast"/>
              <w:jc w:val="center"/>
              <w:rPr>
                <w:kern w:val="0"/>
                <w:sz w:val="18"/>
                <w:szCs w:val="18"/>
              </w:rPr>
            </w:pPr>
            <w:r w:rsidRPr="000549B1">
              <w:rPr>
                <w:kern w:val="0"/>
                <w:sz w:val="18"/>
                <w:szCs w:val="18"/>
              </w:rPr>
              <w:t>扁圆卵形藻</w:t>
            </w:r>
          </w:p>
        </w:tc>
        <w:tc>
          <w:tcPr>
            <w:tcW w:w="2742" w:type="dxa"/>
            <w:noWrap/>
            <w:vAlign w:val="center"/>
          </w:tcPr>
          <w:p w14:paraId="6ED4B1C1" w14:textId="77777777" w:rsidR="00054437" w:rsidRPr="000549B1" w:rsidRDefault="00000000">
            <w:pPr>
              <w:widowControl/>
              <w:spacing w:line="240" w:lineRule="atLeast"/>
              <w:jc w:val="center"/>
              <w:rPr>
                <w:i/>
                <w:iCs/>
                <w:kern w:val="0"/>
                <w:sz w:val="18"/>
                <w:szCs w:val="18"/>
              </w:rPr>
            </w:pPr>
            <w:r w:rsidRPr="000549B1">
              <w:rPr>
                <w:i/>
                <w:iCs/>
                <w:kern w:val="0"/>
                <w:sz w:val="18"/>
                <w:szCs w:val="18"/>
              </w:rPr>
              <w:t>Cocconeisplacentula</w:t>
            </w:r>
          </w:p>
        </w:tc>
        <w:tc>
          <w:tcPr>
            <w:tcW w:w="688" w:type="dxa"/>
            <w:noWrap/>
            <w:vAlign w:val="center"/>
          </w:tcPr>
          <w:p w14:paraId="70B434E4"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4C5E11BA" w14:textId="77777777" w:rsidR="00054437" w:rsidRPr="000549B1" w:rsidRDefault="00054437">
            <w:pPr>
              <w:spacing w:line="240" w:lineRule="atLeast"/>
              <w:rPr>
                <w:kern w:val="0"/>
                <w:sz w:val="18"/>
                <w:szCs w:val="18"/>
              </w:rPr>
            </w:pPr>
          </w:p>
        </w:tc>
        <w:tc>
          <w:tcPr>
            <w:tcW w:w="688" w:type="dxa"/>
            <w:noWrap/>
            <w:vAlign w:val="center"/>
          </w:tcPr>
          <w:p w14:paraId="4FDAF2FF"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1DA90618" w14:textId="77777777" w:rsidR="00054437" w:rsidRPr="000549B1" w:rsidRDefault="00054437">
            <w:pPr>
              <w:spacing w:line="240" w:lineRule="atLeast"/>
              <w:rPr>
                <w:kern w:val="0"/>
                <w:sz w:val="18"/>
                <w:szCs w:val="18"/>
              </w:rPr>
            </w:pPr>
          </w:p>
        </w:tc>
        <w:tc>
          <w:tcPr>
            <w:tcW w:w="688" w:type="dxa"/>
            <w:noWrap/>
            <w:vAlign w:val="center"/>
          </w:tcPr>
          <w:p w14:paraId="785B77F2"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9" w:type="dxa"/>
            <w:noWrap/>
            <w:vAlign w:val="center"/>
          </w:tcPr>
          <w:p w14:paraId="681565B7" w14:textId="77777777" w:rsidR="00054437" w:rsidRPr="000549B1" w:rsidRDefault="00054437">
            <w:pPr>
              <w:spacing w:line="240" w:lineRule="atLeast"/>
              <w:rPr>
                <w:kern w:val="0"/>
                <w:sz w:val="18"/>
                <w:szCs w:val="18"/>
              </w:rPr>
            </w:pPr>
          </w:p>
        </w:tc>
      </w:tr>
      <w:tr w:rsidR="000549B1" w:rsidRPr="000549B1" w14:paraId="28881E22" w14:textId="77777777">
        <w:trPr>
          <w:trHeight w:val="300"/>
          <w:jc w:val="center"/>
        </w:trPr>
        <w:tc>
          <w:tcPr>
            <w:tcW w:w="1576" w:type="dxa"/>
            <w:vMerge/>
            <w:vAlign w:val="center"/>
          </w:tcPr>
          <w:p w14:paraId="53B2487E" w14:textId="77777777" w:rsidR="00054437" w:rsidRPr="000549B1" w:rsidRDefault="00054437">
            <w:pPr>
              <w:widowControl/>
              <w:spacing w:line="240" w:lineRule="atLeast"/>
              <w:rPr>
                <w:kern w:val="0"/>
                <w:sz w:val="18"/>
                <w:szCs w:val="18"/>
              </w:rPr>
            </w:pPr>
          </w:p>
        </w:tc>
        <w:tc>
          <w:tcPr>
            <w:tcW w:w="1600" w:type="dxa"/>
            <w:noWrap/>
            <w:vAlign w:val="center"/>
          </w:tcPr>
          <w:p w14:paraId="7993F272" w14:textId="77777777" w:rsidR="00054437" w:rsidRPr="000549B1" w:rsidRDefault="00000000">
            <w:pPr>
              <w:widowControl/>
              <w:spacing w:line="240" w:lineRule="atLeast"/>
              <w:jc w:val="center"/>
              <w:rPr>
                <w:kern w:val="0"/>
                <w:sz w:val="18"/>
                <w:szCs w:val="18"/>
              </w:rPr>
            </w:pPr>
            <w:r w:rsidRPr="000549B1">
              <w:rPr>
                <w:kern w:val="0"/>
                <w:sz w:val="18"/>
                <w:szCs w:val="18"/>
              </w:rPr>
              <w:t>中型脆杆藻</w:t>
            </w:r>
          </w:p>
        </w:tc>
        <w:tc>
          <w:tcPr>
            <w:tcW w:w="2742" w:type="dxa"/>
            <w:noWrap/>
            <w:vAlign w:val="center"/>
          </w:tcPr>
          <w:p w14:paraId="3BC8F61A" w14:textId="77777777" w:rsidR="00054437" w:rsidRPr="000549B1" w:rsidRDefault="00000000">
            <w:pPr>
              <w:widowControl/>
              <w:spacing w:line="240" w:lineRule="atLeast"/>
              <w:jc w:val="center"/>
              <w:rPr>
                <w:i/>
                <w:iCs/>
                <w:kern w:val="0"/>
                <w:sz w:val="18"/>
                <w:szCs w:val="18"/>
              </w:rPr>
            </w:pPr>
            <w:r w:rsidRPr="000549B1">
              <w:rPr>
                <w:i/>
                <w:iCs/>
                <w:kern w:val="0"/>
                <w:sz w:val="18"/>
                <w:szCs w:val="18"/>
              </w:rPr>
              <w:t>Fragilariaintermedia</w:t>
            </w:r>
          </w:p>
        </w:tc>
        <w:tc>
          <w:tcPr>
            <w:tcW w:w="688" w:type="dxa"/>
            <w:noWrap/>
            <w:vAlign w:val="center"/>
          </w:tcPr>
          <w:p w14:paraId="2796127F"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43505DD0"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7D2BDFEE"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173AB8D5"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42D17129"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9" w:type="dxa"/>
            <w:noWrap/>
            <w:vAlign w:val="center"/>
          </w:tcPr>
          <w:p w14:paraId="77EF0B0E" w14:textId="77777777" w:rsidR="00054437" w:rsidRPr="000549B1" w:rsidRDefault="00000000">
            <w:pPr>
              <w:widowControl/>
              <w:spacing w:line="240" w:lineRule="atLeast"/>
              <w:jc w:val="center"/>
              <w:rPr>
                <w:kern w:val="0"/>
                <w:sz w:val="18"/>
                <w:szCs w:val="18"/>
              </w:rPr>
            </w:pPr>
            <w:r w:rsidRPr="000549B1">
              <w:rPr>
                <w:kern w:val="0"/>
                <w:sz w:val="18"/>
                <w:szCs w:val="18"/>
              </w:rPr>
              <w:t>++</w:t>
            </w:r>
          </w:p>
        </w:tc>
      </w:tr>
      <w:tr w:rsidR="000549B1" w:rsidRPr="000549B1" w14:paraId="12F46A25" w14:textId="77777777">
        <w:trPr>
          <w:trHeight w:val="300"/>
          <w:jc w:val="center"/>
        </w:trPr>
        <w:tc>
          <w:tcPr>
            <w:tcW w:w="1576" w:type="dxa"/>
            <w:vMerge/>
            <w:vAlign w:val="center"/>
          </w:tcPr>
          <w:p w14:paraId="08F8D68C" w14:textId="77777777" w:rsidR="00054437" w:rsidRPr="000549B1" w:rsidRDefault="00054437">
            <w:pPr>
              <w:widowControl/>
              <w:spacing w:line="240" w:lineRule="atLeast"/>
              <w:rPr>
                <w:kern w:val="0"/>
                <w:sz w:val="18"/>
                <w:szCs w:val="18"/>
              </w:rPr>
            </w:pPr>
          </w:p>
        </w:tc>
        <w:tc>
          <w:tcPr>
            <w:tcW w:w="1600" w:type="dxa"/>
            <w:noWrap/>
            <w:vAlign w:val="center"/>
          </w:tcPr>
          <w:p w14:paraId="4D4B6451" w14:textId="77777777" w:rsidR="00054437" w:rsidRPr="000549B1" w:rsidRDefault="00000000">
            <w:pPr>
              <w:widowControl/>
              <w:spacing w:line="240" w:lineRule="atLeast"/>
              <w:jc w:val="center"/>
              <w:rPr>
                <w:kern w:val="0"/>
                <w:sz w:val="18"/>
                <w:szCs w:val="18"/>
              </w:rPr>
            </w:pPr>
            <w:r w:rsidRPr="000549B1">
              <w:rPr>
                <w:kern w:val="0"/>
                <w:sz w:val="18"/>
                <w:szCs w:val="18"/>
              </w:rPr>
              <w:t>著名羽纹藻</w:t>
            </w:r>
          </w:p>
        </w:tc>
        <w:tc>
          <w:tcPr>
            <w:tcW w:w="2742" w:type="dxa"/>
            <w:noWrap/>
            <w:vAlign w:val="center"/>
          </w:tcPr>
          <w:p w14:paraId="60545EC0" w14:textId="77777777" w:rsidR="00054437" w:rsidRPr="000549B1" w:rsidRDefault="00000000">
            <w:pPr>
              <w:widowControl/>
              <w:spacing w:line="240" w:lineRule="atLeast"/>
              <w:jc w:val="center"/>
              <w:rPr>
                <w:i/>
                <w:iCs/>
                <w:kern w:val="0"/>
                <w:sz w:val="18"/>
                <w:szCs w:val="18"/>
              </w:rPr>
            </w:pPr>
            <w:r w:rsidRPr="000549B1">
              <w:rPr>
                <w:i/>
                <w:iCs/>
                <w:kern w:val="0"/>
                <w:sz w:val="18"/>
                <w:szCs w:val="18"/>
              </w:rPr>
              <w:t>Pinnularianobilis</w:t>
            </w:r>
          </w:p>
        </w:tc>
        <w:tc>
          <w:tcPr>
            <w:tcW w:w="688" w:type="dxa"/>
            <w:noWrap/>
            <w:vAlign w:val="center"/>
          </w:tcPr>
          <w:p w14:paraId="1FC3D819" w14:textId="77777777" w:rsidR="00054437" w:rsidRPr="000549B1" w:rsidRDefault="00054437">
            <w:pPr>
              <w:widowControl/>
              <w:spacing w:line="240" w:lineRule="atLeast"/>
              <w:rPr>
                <w:rFonts w:eastAsia="等线"/>
                <w:kern w:val="0"/>
                <w:sz w:val="18"/>
                <w:szCs w:val="18"/>
              </w:rPr>
            </w:pPr>
          </w:p>
        </w:tc>
        <w:tc>
          <w:tcPr>
            <w:tcW w:w="688" w:type="dxa"/>
            <w:noWrap/>
            <w:vAlign w:val="center"/>
          </w:tcPr>
          <w:p w14:paraId="37460396" w14:textId="77777777" w:rsidR="00054437" w:rsidRPr="000549B1" w:rsidRDefault="00054437">
            <w:pPr>
              <w:widowControl/>
              <w:spacing w:line="240" w:lineRule="atLeast"/>
              <w:rPr>
                <w:rFonts w:eastAsia="等线"/>
                <w:kern w:val="0"/>
                <w:sz w:val="18"/>
                <w:szCs w:val="18"/>
              </w:rPr>
            </w:pPr>
          </w:p>
        </w:tc>
        <w:tc>
          <w:tcPr>
            <w:tcW w:w="688" w:type="dxa"/>
            <w:noWrap/>
            <w:vAlign w:val="center"/>
          </w:tcPr>
          <w:p w14:paraId="1404566E" w14:textId="77777777" w:rsidR="00054437" w:rsidRPr="000549B1" w:rsidRDefault="00054437">
            <w:pPr>
              <w:widowControl/>
              <w:spacing w:line="240" w:lineRule="atLeast"/>
              <w:rPr>
                <w:rFonts w:eastAsia="等线"/>
                <w:kern w:val="0"/>
                <w:sz w:val="18"/>
                <w:szCs w:val="18"/>
              </w:rPr>
            </w:pPr>
          </w:p>
        </w:tc>
        <w:tc>
          <w:tcPr>
            <w:tcW w:w="688" w:type="dxa"/>
            <w:noWrap/>
            <w:vAlign w:val="center"/>
          </w:tcPr>
          <w:p w14:paraId="057471A3"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5F382C1E"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9" w:type="dxa"/>
            <w:noWrap/>
            <w:vAlign w:val="center"/>
          </w:tcPr>
          <w:p w14:paraId="090153B1" w14:textId="77777777" w:rsidR="00054437" w:rsidRPr="000549B1" w:rsidRDefault="00000000">
            <w:pPr>
              <w:widowControl/>
              <w:spacing w:line="240" w:lineRule="atLeast"/>
              <w:jc w:val="center"/>
              <w:rPr>
                <w:kern w:val="0"/>
                <w:sz w:val="18"/>
                <w:szCs w:val="18"/>
              </w:rPr>
            </w:pPr>
            <w:r w:rsidRPr="000549B1">
              <w:rPr>
                <w:kern w:val="0"/>
                <w:sz w:val="18"/>
                <w:szCs w:val="18"/>
              </w:rPr>
              <w:t>+</w:t>
            </w:r>
          </w:p>
        </w:tc>
      </w:tr>
      <w:tr w:rsidR="000549B1" w:rsidRPr="000549B1" w14:paraId="75F65739" w14:textId="77777777">
        <w:trPr>
          <w:trHeight w:val="90"/>
          <w:jc w:val="center"/>
        </w:trPr>
        <w:tc>
          <w:tcPr>
            <w:tcW w:w="1576" w:type="dxa"/>
            <w:vMerge/>
            <w:vAlign w:val="center"/>
          </w:tcPr>
          <w:p w14:paraId="4598D3CD" w14:textId="77777777" w:rsidR="00054437" w:rsidRPr="000549B1" w:rsidRDefault="00054437">
            <w:pPr>
              <w:widowControl/>
              <w:spacing w:line="240" w:lineRule="atLeast"/>
              <w:rPr>
                <w:kern w:val="0"/>
                <w:sz w:val="18"/>
                <w:szCs w:val="18"/>
              </w:rPr>
            </w:pPr>
          </w:p>
        </w:tc>
        <w:tc>
          <w:tcPr>
            <w:tcW w:w="1600" w:type="dxa"/>
            <w:noWrap/>
            <w:vAlign w:val="center"/>
          </w:tcPr>
          <w:p w14:paraId="13022875" w14:textId="77777777" w:rsidR="00054437" w:rsidRPr="000549B1" w:rsidRDefault="00000000">
            <w:pPr>
              <w:widowControl/>
              <w:spacing w:line="240" w:lineRule="atLeast"/>
              <w:jc w:val="center"/>
              <w:rPr>
                <w:kern w:val="0"/>
                <w:sz w:val="18"/>
                <w:szCs w:val="18"/>
              </w:rPr>
            </w:pPr>
            <w:r w:rsidRPr="000549B1">
              <w:rPr>
                <w:kern w:val="0"/>
                <w:sz w:val="18"/>
                <w:szCs w:val="18"/>
              </w:rPr>
              <w:t>绿色羽纹藻</w:t>
            </w:r>
          </w:p>
        </w:tc>
        <w:tc>
          <w:tcPr>
            <w:tcW w:w="2742" w:type="dxa"/>
            <w:noWrap/>
            <w:vAlign w:val="center"/>
          </w:tcPr>
          <w:p w14:paraId="54D6C0D5" w14:textId="77777777" w:rsidR="00054437" w:rsidRPr="000549B1" w:rsidRDefault="00000000">
            <w:pPr>
              <w:widowControl/>
              <w:spacing w:line="240" w:lineRule="atLeast"/>
              <w:jc w:val="center"/>
              <w:rPr>
                <w:i/>
                <w:iCs/>
                <w:kern w:val="0"/>
                <w:sz w:val="18"/>
                <w:szCs w:val="18"/>
              </w:rPr>
            </w:pPr>
            <w:r w:rsidRPr="000549B1">
              <w:rPr>
                <w:i/>
                <w:iCs/>
                <w:kern w:val="0"/>
                <w:sz w:val="18"/>
                <w:szCs w:val="18"/>
              </w:rPr>
              <w:t>Pinnulariaviridis</w:t>
            </w:r>
          </w:p>
        </w:tc>
        <w:tc>
          <w:tcPr>
            <w:tcW w:w="688" w:type="dxa"/>
            <w:noWrap/>
            <w:vAlign w:val="center"/>
          </w:tcPr>
          <w:p w14:paraId="4DB08B49" w14:textId="77777777" w:rsidR="00054437" w:rsidRPr="000549B1" w:rsidRDefault="00054437">
            <w:pPr>
              <w:widowControl/>
              <w:spacing w:line="240" w:lineRule="atLeast"/>
              <w:rPr>
                <w:rFonts w:eastAsia="等线"/>
                <w:kern w:val="0"/>
                <w:sz w:val="18"/>
                <w:szCs w:val="18"/>
              </w:rPr>
            </w:pPr>
          </w:p>
        </w:tc>
        <w:tc>
          <w:tcPr>
            <w:tcW w:w="688" w:type="dxa"/>
            <w:noWrap/>
            <w:vAlign w:val="center"/>
          </w:tcPr>
          <w:p w14:paraId="08DC5C8B"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08D6FEFD"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3B00F61E"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2EEEBE4E"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9" w:type="dxa"/>
            <w:noWrap/>
            <w:vAlign w:val="center"/>
          </w:tcPr>
          <w:p w14:paraId="18079546" w14:textId="77777777" w:rsidR="00054437" w:rsidRPr="000549B1" w:rsidRDefault="00000000">
            <w:pPr>
              <w:widowControl/>
              <w:spacing w:line="240" w:lineRule="atLeast"/>
              <w:jc w:val="center"/>
              <w:rPr>
                <w:kern w:val="0"/>
                <w:sz w:val="18"/>
                <w:szCs w:val="18"/>
              </w:rPr>
            </w:pPr>
            <w:r w:rsidRPr="000549B1">
              <w:rPr>
                <w:kern w:val="0"/>
                <w:sz w:val="18"/>
                <w:szCs w:val="18"/>
              </w:rPr>
              <w:t>++</w:t>
            </w:r>
          </w:p>
        </w:tc>
      </w:tr>
      <w:tr w:rsidR="000549B1" w:rsidRPr="000549B1" w14:paraId="7FC4B039" w14:textId="77777777">
        <w:trPr>
          <w:trHeight w:val="300"/>
          <w:jc w:val="center"/>
        </w:trPr>
        <w:tc>
          <w:tcPr>
            <w:tcW w:w="1576" w:type="dxa"/>
            <w:vMerge/>
            <w:vAlign w:val="center"/>
          </w:tcPr>
          <w:p w14:paraId="067D19C6" w14:textId="77777777" w:rsidR="00054437" w:rsidRPr="000549B1" w:rsidRDefault="00054437">
            <w:pPr>
              <w:widowControl/>
              <w:spacing w:line="240" w:lineRule="atLeast"/>
              <w:rPr>
                <w:kern w:val="0"/>
                <w:sz w:val="18"/>
                <w:szCs w:val="18"/>
              </w:rPr>
            </w:pPr>
          </w:p>
        </w:tc>
        <w:tc>
          <w:tcPr>
            <w:tcW w:w="1600" w:type="dxa"/>
            <w:noWrap/>
            <w:vAlign w:val="center"/>
          </w:tcPr>
          <w:p w14:paraId="08528259" w14:textId="77777777" w:rsidR="00054437" w:rsidRPr="000549B1" w:rsidRDefault="00000000">
            <w:pPr>
              <w:widowControl/>
              <w:spacing w:line="240" w:lineRule="atLeast"/>
              <w:jc w:val="center"/>
              <w:rPr>
                <w:kern w:val="0"/>
                <w:sz w:val="18"/>
                <w:szCs w:val="18"/>
              </w:rPr>
            </w:pPr>
            <w:r w:rsidRPr="000549B1">
              <w:rPr>
                <w:kern w:val="0"/>
                <w:sz w:val="18"/>
                <w:szCs w:val="18"/>
              </w:rPr>
              <w:t>微辐节羽纹藻</w:t>
            </w:r>
          </w:p>
        </w:tc>
        <w:tc>
          <w:tcPr>
            <w:tcW w:w="2742" w:type="dxa"/>
            <w:noWrap/>
            <w:vAlign w:val="center"/>
          </w:tcPr>
          <w:p w14:paraId="605F3366" w14:textId="77777777" w:rsidR="00054437" w:rsidRPr="000549B1" w:rsidRDefault="00000000">
            <w:pPr>
              <w:widowControl/>
              <w:spacing w:line="240" w:lineRule="atLeast"/>
              <w:jc w:val="center"/>
              <w:rPr>
                <w:i/>
                <w:iCs/>
                <w:kern w:val="0"/>
                <w:sz w:val="18"/>
                <w:szCs w:val="18"/>
              </w:rPr>
            </w:pPr>
            <w:r w:rsidRPr="000549B1">
              <w:rPr>
                <w:i/>
                <w:iCs/>
                <w:kern w:val="0"/>
                <w:sz w:val="18"/>
                <w:szCs w:val="18"/>
              </w:rPr>
              <w:t>Pinnulariamicrostauron</w:t>
            </w:r>
          </w:p>
        </w:tc>
        <w:tc>
          <w:tcPr>
            <w:tcW w:w="688" w:type="dxa"/>
            <w:noWrap/>
            <w:vAlign w:val="center"/>
          </w:tcPr>
          <w:p w14:paraId="3F43AA32" w14:textId="77777777" w:rsidR="00054437" w:rsidRPr="000549B1" w:rsidRDefault="00054437">
            <w:pPr>
              <w:widowControl/>
              <w:spacing w:line="240" w:lineRule="atLeast"/>
              <w:rPr>
                <w:rFonts w:eastAsia="等线"/>
                <w:kern w:val="0"/>
                <w:sz w:val="18"/>
                <w:szCs w:val="18"/>
              </w:rPr>
            </w:pPr>
          </w:p>
        </w:tc>
        <w:tc>
          <w:tcPr>
            <w:tcW w:w="688" w:type="dxa"/>
            <w:noWrap/>
            <w:vAlign w:val="center"/>
          </w:tcPr>
          <w:p w14:paraId="21E50759" w14:textId="77777777" w:rsidR="00054437" w:rsidRPr="000549B1" w:rsidRDefault="00054437">
            <w:pPr>
              <w:widowControl/>
              <w:spacing w:line="240" w:lineRule="atLeast"/>
              <w:rPr>
                <w:rFonts w:eastAsia="等线"/>
                <w:kern w:val="0"/>
                <w:sz w:val="18"/>
                <w:szCs w:val="18"/>
              </w:rPr>
            </w:pPr>
          </w:p>
        </w:tc>
        <w:tc>
          <w:tcPr>
            <w:tcW w:w="688" w:type="dxa"/>
            <w:noWrap/>
            <w:vAlign w:val="center"/>
          </w:tcPr>
          <w:p w14:paraId="6A57AA3C" w14:textId="77777777" w:rsidR="00054437" w:rsidRPr="000549B1" w:rsidRDefault="00054437">
            <w:pPr>
              <w:widowControl/>
              <w:spacing w:line="240" w:lineRule="atLeast"/>
              <w:rPr>
                <w:rFonts w:eastAsia="等线"/>
                <w:kern w:val="0"/>
                <w:sz w:val="18"/>
                <w:szCs w:val="18"/>
              </w:rPr>
            </w:pPr>
          </w:p>
        </w:tc>
        <w:tc>
          <w:tcPr>
            <w:tcW w:w="688" w:type="dxa"/>
            <w:noWrap/>
            <w:vAlign w:val="center"/>
          </w:tcPr>
          <w:p w14:paraId="402AB5E2" w14:textId="77777777" w:rsidR="00054437" w:rsidRPr="000549B1" w:rsidRDefault="00054437">
            <w:pPr>
              <w:widowControl/>
              <w:spacing w:line="240" w:lineRule="atLeast"/>
              <w:rPr>
                <w:rFonts w:eastAsia="等线"/>
                <w:kern w:val="0"/>
                <w:sz w:val="18"/>
                <w:szCs w:val="18"/>
              </w:rPr>
            </w:pPr>
          </w:p>
        </w:tc>
        <w:tc>
          <w:tcPr>
            <w:tcW w:w="688" w:type="dxa"/>
            <w:noWrap/>
            <w:vAlign w:val="center"/>
          </w:tcPr>
          <w:p w14:paraId="41908322" w14:textId="77777777" w:rsidR="00054437" w:rsidRPr="000549B1" w:rsidRDefault="00054437">
            <w:pPr>
              <w:widowControl/>
              <w:spacing w:line="240" w:lineRule="atLeast"/>
              <w:rPr>
                <w:rFonts w:eastAsia="等线"/>
                <w:kern w:val="0"/>
                <w:sz w:val="18"/>
                <w:szCs w:val="18"/>
              </w:rPr>
            </w:pPr>
          </w:p>
        </w:tc>
        <w:tc>
          <w:tcPr>
            <w:tcW w:w="689" w:type="dxa"/>
            <w:noWrap/>
            <w:vAlign w:val="center"/>
          </w:tcPr>
          <w:p w14:paraId="600375A2" w14:textId="77777777" w:rsidR="00054437" w:rsidRPr="000549B1" w:rsidRDefault="00000000">
            <w:pPr>
              <w:widowControl/>
              <w:spacing w:line="240" w:lineRule="atLeast"/>
              <w:jc w:val="center"/>
              <w:rPr>
                <w:kern w:val="0"/>
                <w:sz w:val="18"/>
                <w:szCs w:val="18"/>
              </w:rPr>
            </w:pPr>
            <w:r w:rsidRPr="000549B1">
              <w:rPr>
                <w:kern w:val="0"/>
                <w:sz w:val="18"/>
                <w:szCs w:val="18"/>
              </w:rPr>
              <w:t>++</w:t>
            </w:r>
          </w:p>
        </w:tc>
      </w:tr>
      <w:tr w:rsidR="000549B1" w:rsidRPr="000549B1" w14:paraId="1CEF92F0" w14:textId="77777777">
        <w:trPr>
          <w:trHeight w:val="300"/>
          <w:jc w:val="center"/>
        </w:trPr>
        <w:tc>
          <w:tcPr>
            <w:tcW w:w="1576" w:type="dxa"/>
            <w:vMerge/>
            <w:vAlign w:val="center"/>
          </w:tcPr>
          <w:p w14:paraId="37A97BE2" w14:textId="77777777" w:rsidR="00054437" w:rsidRPr="000549B1" w:rsidRDefault="00054437">
            <w:pPr>
              <w:widowControl/>
              <w:spacing w:line="240" w:lineRule="atLeast"/>
              <w:rPr>
                <w:kern w:val="0"/>
                <w:sz w:val="18"/>
                <w:szCs w:val="18"/>
              </w:rPr>
            </w:pPr>
          </w:p>
        </w:tc>
        <w:tc>
          <w:tcPr>
            <w:tcW w:w="1600" w:type="dxa"/>
            <w:noWrap/>
            <w:vAlign w:val="center"/>
          </w:tcPr>
          <w:p w14:paraId="7C026CA2" w14:textId="77777777" w:rsidR="00054437" w:rsidRPr="000549B1" w:rsidRDefault="00000000">
            <w:pPr>
              <w:widowControl/>
              <w:spacing w:line="240" w:lineRule="atLeast"/>
              <w:jc w:val="center"/>
              <w:rPr>
                <w:kern w:val="0"/>
                <w:sz w:val="18"/>
                <w:szCs w:val="18"/>
              </w:rPr>
            </w:pPr>
            <w:r w:rsidRPr="000549B1">
              <w:rPr>
                <w:kern w:val="0"/>
                <w:sz w:val="18"/>
                <w:szCs w:val="18"/>
              </w:rPr>
              <w:t>双头辐节藻</w:t>
            </w:r>
          </w:p>
        </w:tc>
        <w:tc>
          <w:tcPr>
            <w:tcW w:w="2742" w:type="dxa"/>
            <w:noWrap/>
            <w:vAlign w:val="center"/>
          </w:tcPr>
          <w:p w14:paraId="040E7366" w14:textId="77777777" w:rsidR="00054437" w:rsidRPr="000549B1" w:rsidRDefault="00000000">
            <w:pPr>
              <w:widowControl/>
              <w:spacing w:line="240" w:lineRule="atLeast"/>
              <w:jc w:val="center"/>
              <w:rPr>
                <w:i/>
                <w:iCs/>
                <w:kern w:val="0"/>
                <w:sz w:val="18"/>
                <w:szCs w:val="18"/>
              </w:rPr>
            </w:pPr>
            <w:r w:rsidRPr="000549B1">
              <w:rPr>
                <w:i/>
                <w:iCs/>
                <w:kern w:val="0"/>
                <w:sz w:val="18"/>
                <w:szCs w:val="18"/>
              </w:rPr>
              <w:t>Stauroneisanceps</w:t>
            </w:r>
          </w:p>
        </w:tc>
        <w:tc>
          <w:tcPr>
            <w:tcW w:w="688" w:type="dxa"/>
            <w:noWrap/>
            <w:vAlign w:val="center"/>
          </w:tcPr>
          <w:p w14:paraId="396DBCF0"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41F61575"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18A21448"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1CF0BB6A"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5A52A042"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9" w:type="dxa"/>
            <w:noWrap/>
            <w:vAlign w:val="center"/>
          </w:tcPr>
          <w:p w14:paraId="2EDADA25" w14:textId="77777777" w:rsidR="00054437" w:rsidRPr="000549B1" w:rsidRDefault="00000000">
            <w:pPr>
              <w:widowControl/>
              <w:spacing w:line="240" w:lineRule="atLeast"/>
              <w:jc w:val="center"/>
              <w:rPr>
                <w:kern w:val="0"/>
                <w:sz w:val="18"/>
                <w:szCs w:val="18"/>
              </w:rPr>
            </w:pPr>
            <w:r w:rsidRPr="000549B1">
              <w:rPr>
                <w:kern w:val="0"/>
                <w:sz w:val="18"/>
                <w:szCs w:val="18"/>
              </w:rPr>
              <w:t>++</w:t>
            </w:r>
          </w:p>
        </w:tc>
      </w:tr>
      <w:tr w:rsidR="000549B1" w:rsidRPr="000549B1" w14:paraId="109F8504" w14:textId="77777777">
        <w:trPr>
          <w:trHeight w:val="300"/>
          <w:jc w:val="center"/>
        </w:trPr>
        <w:tc>
          <w:tcPr>
            <w:tcW w:w="1576" w:type="dxa"/>
            <w:vMerge/>
            <w:vAlign w:val="center"/>
          </w:tcPr>
          <w:p w14:paraId="2DE4BE55" w14:textId="77777777" w:rsidR="00054437" w:rsidRPr="000549B1" w:rsidRDefault="00054437">
            <w:pPr>
              <w:widowControl/>
              <w:spacing w:line="240" w:lineRule="atLeast"/>
              <w:rPr>
                <w:kern w:val="0"/>
                <w:sz w:val="18"/>
                <w:szCs w:val="18"/>
              </w:rPr>
            </w:pPr>
          </w:p>
        </w:tc>
        <w:tc>
          <w:tcPr>
            <w:tcW w:w="1600" w:type="dxa"/>
            <w:noWrap/>
            <w:vAlign w:val="center"/>
          </w:tcPr>
          <w:p w14:paraId="3B667EBF" w14:textId="77777777" w:rsidR="00054437" w:rsidRPr="000549B1" w:rsidRDefault="00000000">
            <w:pPr>
              <w:widowControl/>
              <w:spacing w:line="240" w:lineRule="atLeast"/>
              <w:jc w:val="center"/>
              <w:rPr>
                <w:kern w:val="0"/>
                <w:sz w:val="18"/>
                <w:szCs w:val="18"/>
              </w:rPr>
            </w:pPr>
            <w:r w:rsidRPr="000549B1">
              <w:rPr>
                <w:kern w:val="0"/>
                <w:sz w:val="18"/>
                <w:szCs w:val="18"/>
              </w:rPr>
              <w:t>尖布纹藻</w:t>
            </w:r>
          </w:p>
        </w:tc>
        <w:tc>
          <w:tcPr>
            <w:tcW w:w="2742" w:type="dxa"/>
            <w:noWrap/>
            <w:vAlign w:val="center"/>
          </w:tcPr>
          <w:p w14:paraId="6619443E" w14:textId="77777777" w:rsidR="00054437" w:rsidRPr="000549B1" w:rsidRDefault="00000000">
            <w:pPr>
              <w:widowControl/>
              <w:spacing w:line="240" w:lineRule="atLeast"/>
              <w:jc w:val="center"/>
              <w:rPr>
                <w:i/>
                <w:iCs/>
                <w:kern w:val="0"/>
                <w:sz w:val="18"/>
                <w:szCs w:val="18"/>
              </w:rPr>
            </w:pPr>
            <w:r w:rsidRPr="000549B1">
              <w:rPr>
                <w:i/>
                <w:iCs/>
                <w:kern w:val="0"/>
                <w:sz w:val="18"/>
                <w:szCs w:val="18"/>
              </w:rPr>
              <w:t>Gyrosigmaacuminatum</w:t>
            </w:r>
          </w:p>
        </w:tc>
        <w:tc>
          <w:tcPr>
            <w:tcW w:w="688" w:type="dxa"/>
            <w:noWrap/>
            <w:vAlign w:val="center"/>
          </w:tcPr>
          <w:p w14:paraId="725BFD13" w14:textId="77777777" w:rsidR="00054437" w:rsidRPr="000549B1" w:rsidRDefault="00054437">
            <w:pPr>
              <w:widowControl/>
              <w:spacing w:line="240" w:lineRule="atLeast"/>
              <w:rPr>
                <w:rFonts w:eastAsia="等线"/>
                <w:kern w:val="0"/>
                <w:sz w:val="18"/>
                <w:szCs w:val="18"/>
              </w:rPr>
            </w:pPr>
          </w:p>
        </w:tc>
        <w:tc>
          <w:tcPr>
            <w:tcW w:w="688" w:type="dxa"/>
            <w:noWrap/>
            <w:vAlign w:val="center"/>
          </w:tcPr>
          <w:p w14:paraId="4E08BA16" w14:textId="77777777" w:rsidR="00054437" w:rsidRPr="000549B1" w:rsidRDefault="00054437">
            <w:pPr>
              <w:widowControl/>
              <w:spacing w:line="240" w:lineRule="atLeast"/>
              <w:rPr>
                <w:rFonts w:eastAsia="等线"/>
                <w:kern w:val="0"/>
                <w:sz w:val="18"/>
                <w:szCs w:val="18"/>
              </w:rPr>
            </w:pPr>
          </w:p>
        </w:tc>
        <w:tc>
          <w:tcPr>
            <w:tcW w:w="688" w:type="dxa"/>
            <w:noWrap/>
            <w:vAlign w:val="center"/>
          </w:tcPr>
          <w:p w14:paraId="3FD7C552" w14:textId="77777777" w:rsidR="00054437" w:rsidRPr="000549B1" w:rsidRDefault="00054437">
            <w:pPr>
              <w:widowControl/>
              <w:spacing w:line="240" w:lineRule="atLeast"/>
              <w:rPr>
                <w:rFonts w:eastAsia="等线"/>
                <w:kern w:val="0"/>
                <w:sz w:val="18"/>
                <w:szCs w:val="18"/>
              </w:rPr>
            </w:pPr>
          </w:p>
        </w:tc>
        <w:tc>
          <w:tcPr>
            <w:tcW w:w="688" w:type="dxa"/>
            <w:noWrap/>
            <w:vAlign w:val="center"/>
          </w:tcPr>
          <w:p w14:paraId="53B9A0C5" w14:textId="77777777" w:rsidR="00054437" w:rsidRPr="000549B1" w:rsidRDefault="00054437">
            <w:pPr>
              <w:widowControl/>
              <w:spacing w:line="240" w:lineRule="atLeast"/>
              <w:rPr>
                <w:rFonts w:eastAsia="等线"/>
                <w:kern w:val="0"/>
                <w:sz w:val="18"/>
                <w:szCs w:val="18"/>
              </w:rPr>
            </w:pPr>
          </w:p>
        </w:tc>
        <w:tc>
          <w:tcPr>
            <w:tcW w:w="688" w:type="dxa"/>
            <w:noWrap/>
            <w:vAlign w:val="center"/>
          </w:tcPr>
          <w:p w14:paraId="1359986F"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9" w:type="dxa"/>
            <w:noWrap/>
            <w:vAlign w:val="center"/>
          </w:tcPr>
          <w:p w14:paraId="6F399F41" w14:textId="77777777" w:rsidR="00054437" w:rsidRPr="000549B1" w:rsidRDefault="00054437">
            <w:pPr>
              <w:spacing w:line="240" w:lineRule="atLeast"/>
              <w:rPr>
                <w:kern w:val="0"/>
                <w:sz w:val="18"/>
                <w:szCs w:val="18"/>
              </w:rPr>
            </w:pPr>
          </w:p>
        </w:tc>
      </w:tr>
      <w:tr w:rsidR="000549B1" w:rsidRPr="000549B1" w14:paraId="07265C51" w14:textId="77777777">
        <w:trPr>
          <w:trHeight w:val="300"/>
          <w:jc w:val="center"/>
        </w:trPr>
        <w:tc>
          <w:tcPr>
            <w:tcW w:w="1576" w:type="dxa"/>
            <w:vMerge/>
            <w:vAlign w:val="center"/>
          </w:tcPr>
          <w:p w14:paraId="52BE9C6E" w14:textId="77777777" w:rsidR="00054437" w:rsidRPr="000549B1" w:rsidRDefault="00054437">
            <w:pPr>
              <w:widowControl/>
              <w:spacing w:line="240" w:lineRule="atLeast"/>
              <w:rPr>
                <w:kern w:val="0"/>
                <w:sz w:val="18"/>
                <w:szCs w:val="18"/>
              </w:rPr>
            </w:pPr>
          </w:p>
        </w:tc>
        <w:tc>
          <w:tcPr>
            <w:tcW w:w="1600" w:type="dxa"/>
            <w:noWrap/>
            <w:vAlign w:val="center"/>
          </w:tcPr>
          <w:p w14:paraId="758407B7" w14:textId="77777777" w:rsidR="00054437" w:rsidRPr="000549B1" w:rsidRDefault="00000000">
            <w:pPr>
              <w:widowControl/>
              <w:spacing w:line="240" w:lineRule="atLeast"/>
              <w:jc w:val="center"/>
              <w:rPr>
                <w:kern w:val="0"/>
                <w:sz w:val="18"/>
                <w:szCs w:val="18"/>
              </w:rPr>
            </w:pPr>
            <w:r w:rsidRPr="000549B1">
              <w:rPr>
                <w:kern w:val="0"/>
                <w:sz w:val="18"/>
                <w:szCs w:val="18"/>
              </w:rPr>
              <w:t>软双菱藻</w:t>
            </w:r>
          </w:p>
        </w:tc>
        <w:tc>
          <w:tcPr>
            <w:tcW w:w="2742" w:type="dxa"/>
            <w:noWrap/>
            <w:vAlign w:val="center"/>
          </w:tcPr>
          <w:p w14:paraId="6528FCED" w14:textId="77777777" w:rsidR="00054437" w:rsidRPr="000549B1" w:rsidRDefault="00000000">
            <w:pPr>
              <w:widowControl/>
              <w:spacing w:line="240" w:lineRule="atLeast"/>
              <w:jc w:val="center"/>
              <w:rPr>
                <w:i/>
                <w:iCs/>
                <w:kern w:val="0"/>
                <w:sz w:val="18"/>
                <w:szCs w:val="18"/>
              </w:rPr>
            </w:pPr>
            <w:r w:rsidRPr="000549B1">
              <w:rPr>
                <w:i/>
                <w:iCs/>
                <w:kern w:val="0"/>
                <w:sz w:val="18"/>
                <w:szCs w:val="18"/>
              </w:rPr>
              <w:t>Surirellatenera</w:t>
            </w:r>
          </w:p>
        </w:tc>
        <w:tc>
          <w:tcPr>
            <w:tcW w:w="688" w:type="dxa"/>
            <w:noWrap/>
            <w:vAlign w:val="center"/>
          </w:tcPr>
          <w:p w14:paraId="707BFD44"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5FB00C7E" w14:textId="77777777" w:rsidR="00054437" w:rsidRPr="000549B1" w:rsidRDefault="00054437">
            <w:pPr>
              <w:spacing w:line="240" w:lineRule="atLeast"/>
              <w:rPr>
                <w:kern w:val="0"/>
                <w:sz w:val="18"/>
                <w:szCs w:val="18"/>
              </w:rPr>
            </w:pPr>
          </w:p>
        </w:tc>
        <w:tc>
          <w:tcPr>
            <w:tcW w:w="688" w:type="dxa"/>
            <w:noWrap/>
            <w:vAlign w:val="center"/>
          </w:tcPr>
          <w:p w14:paraId="7FDC2219" w14:textId="77777777" w:rsidR="00054437" w:rsidRPr="000549B1" w:rsidRDefault="00054437">
            <w:pPr>
              <w:widowControl/>
              <w:spacing w:line="240" w:lineRule="atLeast"/>
              <w:rPr>
                <w:rFonts w:eastAsia="等线"/>
                <w:kern w:val="0"/>
                <w:sz w:val="18"/>
                <w:szCs w:val="18"/>
              </w:rPr>
            </w:pPr>
          </w:p>
        </w:tc>
        <w:tc>
          <w:tcPr>
            <w:tcW w:w="688" w:type="dxa"/>
            <w:noWrap/>
            <w:vAlign w:val="center"/>
          </w:tcPr>
          <w:p w14:paraId="3B15219A" w14:textId="77777777" w:rsidR="00054437" w:rsidRPr="000549B1" w:rsidRDefault="00054437">
            <w:pPr>
              <w:widowControl/>
              <w:spacing w:line="240" w:lineRule="atLeast"/>
              <w:rPr>
                <w:rFonts w:eastAsia="等线"/>
                <w:kern w:val="0"/>
                <w:sz w:val="18"/>
                <w:szCs w:val="18"/>
              </w:rPr>
            </w:pPr>
          </w:p>
        </w:tc>
        <w:tc>
          <w:tcPr>
            <w:tcW w:w="688" w:type="dxa"/>
            <w:noWrap/>
            <w:vAlign w:val="center"/>
          </w:tcPr>
          <w:p w14:paraId="34B6E8FD" w14:textId="77777777" w:rsidR="00054437" w:rsidRPr="000549B1" w:rsidRDefault="00054437">
            <w:pPr>
              <w:widowControl/>
              <w:spacing w:line="240" w:lineRule="atLeast"/>
              <w:rPr>
                <w:rFonts w:eastAsia="等线"/>
                <w:kern w:val="0"/>
                <w:sz w:val="18"/>
                <w:szCs w:val="18"/>
              </w:rPr>
            </w:pPr>
          </w:p>
        </w:tc>
        <w:tc>
          <w:tcPr>
            <w:tcW w:w="689" w:type="dxa"/>
            <w:noWrap/>
            <w:vAlign w:val="center"/>
          </w:tcPr>
          <w:p w14:paraId="6814F5CB" w14:textId="77777777" w:rsidR="00054437" w:rsidRPr="000549B1" w:rsidRDefault="00054437">
            <w:pPr>
              <w:widowControl/>
              <w:spacing w:line="240" w:lineRule="atLeast"/>
              <w:rPr>
                <w:rFonts w:eastAsia="等线"/>
                <w:kern w:val="0"/>
                <w:sz w:val="18"/>
                <w:szCs w:val="18"/>
              </w:rPr>
            </w:pPr>
          </w:p>
        </w:tc>
      </w:tr>
      <w:tr w:rsidR="000549B1" w:rsidRPr="000549B1" w14:paraId="2B917425" w14:textId="77777777">
        <w:trPr>
          <w:trHeight w:val="300"/>
          <w:jc w:val="center"/>
        </w:trPr>
        <w:tc>
          <w:tcPr>
            <w:tcW w:w="1576" w:type="dxa"/>
            <w:vMerge/>
            <w:vAlign w:val="center"/>
          </w:tcPr>
          <w:p w14:paraId="65B054A8" w14:textId="77777777" w:rsidR="00054437" w:rsidRPr="000549B1" w:rsidRDefault="00054437">
            <w:pPr>
              <w:widowControl/>
              <w:spacing w:line="240" w:lineRule="atLeast"/>
              <w:rPr>
                <w:kern w:val="0"/>
                <w:sz w:val="18"/>
                <w:szCs w:val="18"/>
              </w:rPr>
            </w:pPr>
          </w:p>
        </w:tc>
        <w:tc>
          <w:tcPr>
            <w:tcW w:w="1600" w:type="dxa"/>
            <w:noWrap/>
            <w:vAlign w:val="center"/>
          </w:tcPr>
          <w:p w14:paraId="38ACAAF1" w14:textId="77777777" w:rsidR="00054437" w:rsidRPr="000549B1" w:rsidRDefault="00000000">
            <w:pPr>
              <w:widowControl/>
              <w:spacing w:line="240" w:lineRule="atLeast"/>
              <w:jc w:val="center"/>
              <w:rPr>
                <w:kern w:val="0"/>
                <w:sz w:val="18"/>
                <w:szCs w:val="18"/>
              </w:rPr>
            </w:pPr>
            <w:r w:rsidRPr="000549B1">
              <w:rPr>
                <w:kern w:val="0"/>
                <w:sz w:val="18"/>
                <w:szCs w:val="18"/>
              </w:rPr>
              <w:t>肘状针杆藻</w:t>
            </w:r>
          </w:p>
        </w:tc>
        <w:tc>
          <w:tcPr>
            <w:tcW w:w="2742" w:type="dxa"/>
            <w:noWrap/>
            <w:vAlign w:val="center"/>
          </w:tcPr>
          <w:p w14:paraId="5326A755" w14:textId="77777777" w:rsidR="00054437" w:rsidRPr="000549B1" w:rsidRDefault="00000000">
            <w:pPr>
              <w:widowControl/>
              <w:spacing w:line="240" w:lineRule="atLeast"/>
              <w:jc w:val="center"/>
              <w:rPr>
                <w:i/>
                <w:iCs/>
                <w:kern w:val="0"/>
                <w:sz w:val="18"/>
                <w:szCs w:val="18"/>
              </w:rPr>
            </w:pPr>
            <w:r w:rsidRPr="000549B1">
              <w:rPr>
                <w:i/>
                <w:iCs/>
                <w:kern w:val="0"/>
                <w:sz w:val="18"/>
                <w:szCs w:val="18"/>
              </w:rPr>
              <w:t>Synedraulna</w:t>
            </w:r>
          </w:p>
        </w:tc>
        <w:tc>
          <w:tcPr>
            <w:tcW w:w="688" w:type="dxa"/>
            <w:noWrap/>
            <w:vAlign w:val="center"/>
          </w:tcPr>
          <w:p w14:paraId="0CEE422C"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2B6D40BE"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195979B0"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189E256A"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060E0A22"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9" w:type="dxa"/>
            <w:noWrap/>
            <w:vAlign w:val="center"/>
          </w:tcPr>
          <w:p w14:paraId="63A77DC9" w14:textId="77777777" w:rsidR="00054437" w:rsidRPr="000549B1" w:rsidRDefault="00000000">
            <w:pPr>
              <w:widowControl/>
              <w:spacing w:line="240" w:lineRule="atLeast"/>
              <w:jc w:val="center"/>
              <w:rPr>
                <w:kern w:val="0"/>
                <w:sz w:val="18"/>
                <w:szCs w:val="18"/>
              </w:rPr>
            </w:pPr>
            <w:r w:rsidRPr="000549B1">
              <w:rPr>
                <w:kern w:val="0"/>
                <w:sz w:val="18"/>
                <w:szCs w:val="18"/>
              </w:rPr>
              <w:t>++</w:t>
            </w:r>
          </w:p>
        </w:tc>
      </w:tr>
      <w:tr w:rsidR="000549B1" w:rsidRPr="000549B1" w14:paraId="76BBF770" w14:textId="77777777">
        <w:trPr>
          <w:trHeight w:val="300"/>
          <w:jc w:val="center"/>
        </w:trPr>
        <w:tc>
          <w:tcPr>
            <w:tcW w:w="1576" w:type="dxa"/>
            <w:vMerge/>
            <w:vAlign w:val="center"/>
          </w:tcPr>
          <w:p w14:paraId="0621670B" w14:textId="77777777" w:rsidR="00054437" w:rsidRPr="000549B1" w:rsidRDefault="00054437">
            <w:pPr>
              <w:widowControl/>
              <w:spacing w:line="240" w:lineRule="atLeast"/>
              <w:rPr>
                <w:kern w:val="0"/>
                <w:sz w:val="18"/>
                <w:szCs w:val="18"/>
              </w:rPr>
            </w:pPr>
          </w:p>
        </w:tc>
        <w:tc>
          <w:tcPr>
            <w:tcW w:w="1600" w:type="dxa"/>
            <w:noWrap/>
            <w:vAlign w:val="center"/>
          </w:tcPr>
          <w:p w14:paraId="4A7ABBEE" w14:textId="77777777" w:rsidR="00054437" w:rsidRPr="000549B1" w:rsidRDefault="00000000">
            <w:pPr>
              <w:widowControl/>
              <w:spacing w:line="240" w:lineRule="atLeast"/>
              <w:jc w:val="center"/>
              <w:rPr>
                <w:kern w:val="0"/>
                <w:sz w:val="18"/>
                <w:szCs w:val="18"/>
              </w:rPr>
            </w:pPr>
            <w:r w:rsidRPr="000549B1">
              <w:rPr>
                <w:kern w:val="0"/>
                <w:sz w:val="18"/>
                <w:szCs w:val="18"/>
              </w:rPr>
              <w:t>尖针杆藻</w:t>
            </w:r>
          </w:p>
        </w:tc>
        <w:tc>
          <w:tcPr>
            <w:tcW w:w="2742" w:type="dxa"/>
            <w:noWrap/>
            <w:vAlign w:val="center"/>
          </w:tcPr>
          <w:p w14:paraId="6188765F" w14:textId="77777777" w:rsidR="00054437" w:rsidRPr="000549B1" w:rsidRDefault="00000000">
            <w:pPr>
              <w:widowControl/>
              <w:spacing w:line="240" w:lineRule="atLeast"/>
              <w:jc w:val="center"/>
              <w:rPr>
                <w:i/>
                <w:iCs/>
                <w:kern w:val="0"/>
                <w:sz w:val="18"/>
                <w:szCs w:val="18"/>
              </w:rPr>
            </w:pPr>
            <w:r w:rsidRPr="000549B1">
              <w:rPr>
                <w:i/>
                <w:iCs/>
                <w:kern w:val="0"/>
                <w:sz w:val="18"/>
                <w:szCs w:val="18"/>
              </w:rPr>
              <w:t>Synedraacus</w:t>
            </w:r>
          </w:p>
        </w:tc>
        <w:tc>
          <w:tcPr>
            <w:tcW w:w="688" w:type="dxa"/>
            <w:noWrap/>
            <w:vAlign w:val="center"/>
          </w:tcPr>
          <w:p w14:paraId="4B31FD57"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57D0E2D9"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039B7C6C"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7F00E9B0"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6111F674"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9" w:type="dxa"/>
            <w:noWrap/>
            <w:vAlign w:val="center"/>
          </w:tcPr>
          <w:p w14:paraId="0928A12D" w14:textId="77777777" w:rsidR="00054437" w:rsidRPr="000549B1" w:rsidRDefault="00000000">
            <w:pPr>
              <w:widowControl/>
              <w:spacing w:line="240" w:lineRule="atLeast"/>
              <w:jc w:val="center"/>
              <w:rPr>
                <w:kern w:val="0"/>
                <w:sz w:val="18"/>
                <w:szCs w:val="18"/>
              </w:rPr>
            </w:pPr>
            <w:r w:rsidRPr="000549B1">
              <w:rPr>
                <w:kern w:val="0"/>
                <w:sz w:val="18"/>
                <w:szCs w:val="18"/>
              </w:rPr>
              <w:t>++</w:t>
            </w:r>
          </w:p>
        </w:tc>
      </w:tr>
      <w:tr w:rsidR="000549B1" w:rsidRPr="000549B1" w14:paraId="4A2069E2" w14:textId="77777777">
        <w:trPr>
          <w:trHeight w:val="300"/>
          <w:jc w:val="center"/>
        </w:trPr>
        <w:tc>
          <w:tcPr>
            <w:tcW w:w="1576" w:type="dxa"/>
            <w:vMerge/>
            <w:vAlign w:val="center"/>
          </w:tcPr>
          <w:p w14:paraId="24107774" w14:textId="77777777" w:rsidR="00054437" w:rsidRPr="000549B1" w:rsidRDefault="00054437">
            <w:pPr>
              <w:widowControl/>
              <w:spacing w:line="240" w:lineRule="atLeast"/>
              <w:rPr>
                <w:kern w:val="0"/>
                <w:sz w:val="18"/>
                <w:szCs w:val="18"/>
              </w:rPr>
            </w:pPr>
          </w:p>
        </w:tc>
        <w:tc>
          <w:tcPr>
            <w:tcW w:w="1600" w:type="dxa"/>
            <w:noWrap/>
            <w:vAlign w:val="center"/>
          </w:tcPr>
          <w:p w14:paraId="26C3690B" w14:textId="77777777" w:rsidR="00054437" w:rsidRPr="000549B1" w:rsidRDefault="00000000">
            <w:pPr>
              <w:widowControl/>
              <w:spacing w:line="240" w:lineRule="atLeast"/>
              <w:jc w:val="center"/>
              <w:rPr>
                <w:kern w:val="0"/>
                <w:sz w:val="18"/>
                <w:szCs w:val="18"/>
              </w:rPr>
            </w:pPr>
            <w:r w:rsidRPr="000549B1">
              <w:rPr>
                <w:kern w:val="0"/>
                <w:sz w:val="18"/>
                <w:szCs w:val="18"/>
              </w:rPr>
              <w:t>双头针杆藻</w:t>
            </w:r>
          </w:p>
        </w:tc>
        <w:tc>
          <w:tcPr>
            <w:tcW w:w="2742" w:type="dxa"/>
            <w:noWrap/>
            <w:vAlign w:val="center"/>
          </w:tcPr>
          <w:p w14:paraId="31A1A4E9" w14:textId="77777777" w:rsidR="00054437" w:rsidRPr="000549B1" w:rsidRDefault="00000000">
            <w:pPr>
              <w:widowControl/>
              <w:spacing w:line="240" w:lineRule="atLeast"/>
              <w:jc w:val="center"/>
              <w:rPr>
                <w:i/>
                <w:iCs/>
                <w:kern w:val="0"/>
                <w:sz w:val="18"/>
                <w:szCs w:val="18"/>
              </w:rPr>
            </w:pPr>
            <w:r w:rsidRPr="000549B1">
              <w:rPr>
                <w:i/>
                <w:iCs/>
                <w:kern w:val="0"/>
                <w:sz w:val="18"/>
                <w:szCs w:val="18"/>
              </w:rPr>
              <w:t>Synedraamphicephala</w:t>
            </w:r>
          </w:p>
        </w:tc>
        <w:tc>
          <w:tcPr>
            <w:tcW w:w="688" w:type="dxa"/>
            <w:noWrap/>
            <w:vAlign w:val="center"/>
          </w:tcPr>
          <w:p w14:paraId="21405749"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3C6160CA" w14:textId="77777777" w:rsidR="00054437" w:rsidRPr="000549B1" w:rsidRDefault="00054437">
            <w:pPr>
              <w:spacing w:line="240" w:lineRule="atLeast"/>
              <w:rPr>
                <w:kern w:val="0"/>
                <w:sz w:val="18"/>
                <w:szCs w:val="18"/>
              </w:rPr>
            </w:pPr>
          </w:p>
        </w:tc>
        <w:tc>
          <w:tcPr>
            <w:tcW w:w="688" w:type="dxa"/>
            <w:noWrap/>
            <w:vAlign w:val="center"/>
          </w:tcPr>
          <w:p w14:paraId="7ECAF3FB" w14:textId="77777777" w:rsidR="00054437" w:rsidRPr="000549B1" w:rsidRDefault="00054437">
            <w:pPr>
              <w:widowControl/>
              <w:spacing w:line="240" w:lineRule="atLeast"/>
              <w:rPr>
                <w:rFonts w:eastAsia="等线"/>
                <w:kern w:val="0"/>
                <w:sz w:val="18"/>
                <w:szCs w:val="18"/>
              </w:rPr>
            </w:pPr>
          </w:p>
        </w:tc>
        <w:tc>
          <w:tcPr>
            <w:tcW w:w="688" w:type="dxa"/>
            <w:noWrap/>
            <w:vAlign w:val="center"/>
          </w:tcPr>
          <w:p w14:paraId="4AFED2C7" w14:textId="77777777" w:rsidR="00054437" w:rsidRPr="000549B1" w:rsidRDefault="00054437">
            <w:pPr>
              <w:widowControl/>
              <w:spacing w:line="240" w:lineRule="atLeast"/>
              <w:rPr>
                <w:rFonts w:eastAsia="等线"/>
                <w:kern w:val="0"/>
                <w:sz w:val="18"/>
                <w:szCs w:val="18"/>
              </w:rPr>
            </w:pPr>
          </w:p>
        </w:tc>
        <w:tc>
          <w:tcPr>
            <w:tcW w:w="688" w:type="dxa"/>
            <w:noWrap/>
            <w:vAlign w:val="center"/>
          </w:tcPr>
          <w:p w14:paraId="2CE8FA08" w14:textId="77777777" w:rsidR="00054437" w:rsidRPr="000549B1" w:rsidRDefault="00054437">
            <w:pPr>
              <w:widowControl/>
              <w:spacing w:line="240" w:lineRule="atLeast"/>
              <w:rPr>
                <w:rFonts w:eastAsia="等线"/>
                <w:kern w:val="0"/>
                <w:sz w:val="18"/>
                <w:szCs w:val="18"/>
              </w:rPr>
            </w:pPr>
          </w:p>
        </w:tc>
        <w:tc>
          <w:tcPr>
            <w:tcW w:w="689" w:type="dxa"/>
            <w:noWrap/>
            <w:vAlign w:val="center"/>
          </w:tcPr>
          <w:p w14:paraId="00CCC14D" w14:textId="77777777" w:rsidR="00054437" w:rsidRPr="000549B1" w:rsidRDefault="00054437">
            <w:pPr>
              <w:widowControl/>
              <w:spacing w:line="240" w:lineRule="atLeast"/>
              <w:rPr>
                <w:rFonts w:eastAsia="等线"/>
                <w:kern w:val="0"/>
                <w:sz w:val="18"/>
                <w:szCs w:val="18"/>
              </w:rPr>
            </w:pPr>
          </w:p>
        </w:tc>
      </w:tr>
      <w:tr w:rsidR="000549B1" w:rsidRPr="000549B1" w14:paraId="7DE28356" w14:textId="77777777">
        <w:trPr>
          <w:trHeight w:val="300"/>
          <w:jc w:val="center"/>
        </w:trPr>
        <w:tc>
          <w:tcPr>
            <w:tcW w:w="1576" w:type="dxa"/>
            <w:vMerge/>
            <w:vAlign w:val="center"/>
          </w:tcPr>
          <w:p w14:paraId="588AE4CF" w14:textId="77777777" w:rsidR="00054437" w:rsidRPr="000549B1" w:rsidRDefault="00054437">
            <w:pPr>
              <w:widowControl/>
              <w:spacing w:line="240" w:lineRule="atLeast"/>
              <w:rPr>
                <w:kern w:val="0"/>
                <w:sz w:val="18"/>
                <w:szCs w:val="18"/>
              </w:rPr>
            </w:pPr>
          </w:p>
        </w:tc>
        <w:tc>
          <w:tcPr>
            <w:tcW w:w="1600" w:type="dxa"/>
            <w:noWrap/>
            <w:vAlign w:val="center"/>
          </w:tcPr>
          <w:p w14:paraId="6378B91B" w14:textId="77777777" w:rsidR="00054437" w:rsidRPr="000549B1" w:rsidRDefault="00000000">
            <w:pPr>
              <w:widowControl/>
              <w:spacing w:line="240" w:lineRule="atLeast"/>
              <w:jc w:val="center"/>
              <w:rPr>
                <w:kern w:val="0"/>
                <w:sz w:val="18"/>
                <w:szCs w:val="18"/>
              </w:rPr>
            </w:pPr>
            <w:r w:rsidRPr="000549B1">
              <w:rPr>
                <w:kern w:val="0"/>
                <w:sz w:val="18"/>
                <w:szCs w:val="18"/>
              </w:rPr>
              <w:t>胸膈藻</w:t>
            </w:r>
          </w:p>
        </w:tc>
        <w:tc>
          <w:tcPr>
            <w:tcW w:w="2742" w:type="dxa"/>
            <w:noWrap/>
            <w:vAlign w:val="center"/>
          </w:tcPr>
          <w:p w14:paraId="29622DD5" w14:textId="77777777" w:rsidR="00054437" w:rsidRPr="000549B1" w:rsidRDefault="00000000">
            <w:pPr>
              <w:widowControl/>
              <w:spacing w:line="240" w:lineRule="atLeast"/>
              <w:jc w:val="center"/>
              <w:rPr>
                <w:i/>
                <w:iCs/>
                <w:kern w:val="0"/>
                <w:sz w:val="18"/>
                <w:szCs w:val="18"/>
              </w:rPr>
            </w:pPr>
            <w:r w:rsidRPr="000549B1">
              <w:rPr>
                <w:i/>
                <w:iCs/>
                <w:kern w:val="0"/>
                <w:sz w:val="18"/>
                <w:szCs w:val="18"/>
              </w:rPr>
              <w:t>Mastogloia</w:t>
            </w:r>
            <w:r w:rsidRPr="000549B1">
              <w:rPr>
                <w:kern w:val="0"/>
                <w:sz w:val="18"/>
                <w:szCs w:val="18"/>
              </w:rPr>
              <w:t>sp.</w:t>
            </w:r>
          </w:p>
        </w:tc>
        <w:tc>
          <w:tcPr>
            <w:tcW w:w="688" w:type="dxa"/>
            <w:noWrap/>
            <w:vAlign w:val="center"/>
          </w:tcPr>
          <w:p w14:paraId="368502DF"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27CBEB39"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550BA4C0"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3ABC38AF" w14:textId="77777777" w:rsidR="00054437" w:rsidRPr="000549B1" w:rsidRDefault="00054437">
            <w:pPr>
              <w:spacing w:line="240" w:lineRule="atLeast"/>
              <w:rPr>
                <w:kern w:val="0"/>
                <w:sz w:val="18"/>
                <w:szCs w:val="18"/>
              </w:rPr>
            </w:pPr>
          </w:p>
        </w:tc>
        <w:tc>
          <w:tcPr>
            <w:tcW w:w="688" w:type="dxa"/>
            <w:noWrap/>
            <w:vAlign w:val="center"/>
          </w:tcPr>
          <w:p w14:paraId="61D770BB"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9" w:type="dxa"/>
            <w:noWrap/>
            <w:vAlign w:val="center"/>
          </w:tcPr>
          <w:p w14:paraId="210CAA00" w14:textId="77777777" w:rsidR="00054437" w:rsidRPr="000549B1" w:rsidRDefault="00000000">
            <w:pPr>
              <w:widowControl/>
              <w:spacing w:line="240" w:lineRule="atLeast"/>
              <w:jc w:val="center"/>
              <w:rPr>
                <w:kern w:val="0"/>
                <w:sz w:val="18"/>
                <w:szCs w:val="18"/>
              </w:rPr>
            </w:pPr>
            <w:r w:rsidRPr="000549B1">
              <w:rPr>
                <w:kern w:val="0"/>
                <w:sz w:val="18"/>
                <w:szCs w:val="18"/>
              </w:rPr>
              <w:t>+</w:t>
            </w:r>
          </w:p>
        </w:tc>
      </w:tr>
      <w:tr w:rsidR="000549B1" w:rsidRPr="000549B1" w14:paraId="22002CBC" w14:textId="77777777">
        <w:trPr>
          <w:trHeight w:val="300"/>
          <w:jc w:val="center"/>
        </w:trPr>
        <w:tc>
          <w:tcPr>
            <w:tcW w:w="1576" w:type="dxa"/>
            <w:vMerge/>
            <w:vAlign w:val="center"/>
          </w:tcPr>
          <w:p w14:paraId="75D56310" w14:textId="77777777" w:rsidR="00054437" w:rsidRPr="000549B1" w:rsidRDefault="00054437">
            <w:pPr>
              <w:widowControl/>
              <w:spacing w:line="240" w:lineRule="atLeast"/>
              <w:rPr>
                <w:kern w:val="0"/>
                <w:sz w:val="18"/>
                <w:szCs w:val="18"/>
              </w:rPr>
            </w:pPr>
          </w:p>
        </w:tc>
        <w:tc>
          <w:tcPr>
            <w:tcW w:w="1600" w:type="dxa"/>
            <w:noWrap/>
            <w:vAlign w:val="center"/>
          </w:tcPr>
          <w:p w14:paraId="16466183" w14:textId="77777777" w:rsidR="00054437" w:rsidRPr="000549B1" w:rsidRDefault="00000000">
            <w:pPr>
              <w:widowControl/>
              <w:spacing w:line="240" w:lineRule="atLeast"/>
              <w:jc w:val="center"/>
              <w:rPr>
                <w:kern w:val="0"/>
                <w:sz w:val="18"/>
                <w:szCs w:val="18"/>
              </w:rPr>
            </w:pPr>
            <w:r w:rsidRPr="000549B1">
              <w:rPr>
                <w:kern w:val="0"/>
                <w:sz w:val="18"/>
                <w:szCs w:val="18"/>
              </w:rPr>
              <w:t>椭圆双壁藻</w:t>
            </w:r>
          </w:p>
        </w:tc>
        <w:tc>
          <w:tcPr>
            <w:tcW w:w="2742" w:type="dxa"/>
            <w:noWrap/>
            <w:vAlign w:val="center"/>
          </w:tcPr>
          <w:p w14:paraId="2517AC71" w14:textId="77777777" w:rsidR="00054437" w:rsidRPr="000549B1" w:rsidRDefault="00000000">
            <w:pPr>
              <w:widowControl/>
              <w:spacing w:line="240" w:lineRule="atLeast"/>
              <w:jc w:val="center"/>
              <w:rPr>
                <w:i/>
                <w:iCs/>
                <w:kern w:val="0"/>
                <w:sz w:val="18"/>
                <w:szCs w:val="18"/>
              </w:rPr>
            </w:pPr>
            <w:r w:rsidRPr="000549B1">
              <w:rPr>
                <w:i/>
                <w:iCs/>
                <w:kern w:val="0"/>
                <w:sz w:val="18"/>
                <w:szCs w:val="18"/>
              </w:rPr>
              <w:t>Diploneiselliptica</w:t>
            </w:r>
          </w:p>
        </w:tc>
        <w:tc>
          <w:tcPr>
            <w:tcW w:w="688" w:type="dxa"/>
            <w:noWrap/>
            <w:vAlign w:val="center"/>
          </w:tcPr>
          <w:p w14:paraId="183F3A54"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4CAD62BC"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32B1A54F" w14:textId="77777777" w:rsidR="00054437" w:rsidRPr="000549B1" w:rsidRDefault="00054437">
            <w:pPr>
              <w:spacing w:line="240" w:lineRule="atLeast"/>
              <w:rPr>
                <w:kern w:val="0"/>
                <w:sz w:val="18"/>
                <w:szCs w:val="18"/>
              </w:rPr>
            </w:pPr>
          </w:p>
        </w:tc>
        <w:tc>
          <w:tcPr>
            <w:tcW w:w="688" w:type="dxa"/>
            <w:noWrap/>
            <w:vAlign w:val="center"/>
          </w:tcPr>
          <w:p w14:paraId="641F8776" w14:textId="77777777" w:rsidR="00054437" w:rsidRPr="000549B1" w:rsidRDefault="00054437">
            <w:pPr>
              <w:widowControl/>
              <w:spacing w:line="240" w:lineRule="atLeast"/>
              <w:rPr>
                <w:rFonts w:eastAsia="等线"/>
                <w:kern w:val="0"/>
                <w:sz w:val="18"/>
                <w:szCs w:val="18"/>
              </w:rPr>
            </w:pPr>
          </w:p>
        </w:tc>
        <w:tc>
          <w:tcPr>
            <w:tcW w:w="688" w:type="dxa"/>
            <w:noWrap/>
            <w:vAlign w:val="center"/>
          </w:tcPr>
          <w:p w14:paraId="289CA9D0"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9" w:type="dxa"/>
            <w:noWrap/>
            <w:vAlign w:val="center"/>
          </w:tcPr>
          <w:p w14:paraId="1D2B5247" w14:textId="77777777" w:rsidR="00054437" w:rsidRPr="000549B1" w:rsidRDefault="00054437">
            <w:pPr>
              <w:spacing w:line="240" w:lineRule="atLeast"/>
              <w:rPr>
                <w:kern w:val="0"/>
                <w:sz w:val="18"/>
                <w:szCs w:val="18"/>
              </w:rPr>
            </w:pPr>
          </w:p>
        </w:tc>
      </w:tr>
      <w:tr w:rsidR="000549B1" w:rsidRPr="000549B1" w14:paraId="745364F6" w14:textId="77777777">
        <w:trPr>
          <w:trHeight w:val="300"/>
          <w:jc w:val="center"/>
        </w:trPr>
        <w:tc>
          <w:tcPr>
            <w:tcW w:w="1576" w:type="dxa"/>
            <w:vMerge/>
            <w:vAlign w:val="center"/>
          </w:tcPr>
          <w:p w14:paraId="7BC0F1F3" w14:textId="77777777" w:rsidR="00054437" w:rsidRPr="000549B1" w:rsidRDefault="00054437">
            <w:pPr>
              <w:widowControl/>
              <w:spacing w:line="240" w:lineRule="atLeast"/>
              <w:rPr>
                <w:kern w:val="0"/>
                <w:sz w:val="18"/>
                <w:szCs w:val="18"/>
              </w:rPr>
            </w:pPr>
          </w:p>
        </w:tc>
        <w:tc>
          <w:tcPr>
            <w:tcW w:w="1600" w:type="dxa"/>
            <w:noWrap/>
            <w:vAlign w:val="center"/>
          </w:tcPr>
          <w:p w14:paraId="340EE652" w14:textId="77777777" w:rsidR="00054437" w:rsidRPr="000549B1" w:rsidRDefault="00000000">
            <w:pPr>
              <w:widowControl/>
              <w:spacing w:line="240" w:lineRule="atLeast"/>
              <w:jc w:val="center"/>
              <w:rPr>
                <w:kern w:val="0"/>
                <w:sz w:val="18"/>
                <w:szCs w:val="18"/>
              </w:rPr>
            </w:pPr>
            <w:r w:rsidRPr="000549B1">
              <w:rPr>
                <w:kern w:val="0"/>
                <w:sz w:val="18"/>
                <w:szCs w:val="18"/>
              </w:rPr>
              <w:t>卵圆双眉藻</w:t>
            </w:r>
          </w:p>
        </w:tc>
        <w:tc>
          <w:tcPr>
            <w:tcW w:w="2742" w:type="dxa"/>
            <w:noWrap/>
            <w:vAlign w:val="center"/>
          </w:tcPr>
          <w:p w14:paraId="3AA6B91F" w14:textId="77777777" w:rsidR="00054437" w:rsidRPr="000549B1" w:rsidRDefault="00000000">
            <w:pPr>
              <w:widowControl/>
              <w:spacing w:line="240" w:lineRule="atLeast"/>
              <w:jc w:val="center"/>
              <w:rPr>
                <w:i/>
                <w:iCs/>
                <w:kern w:val="0"/>
                <w:sz w:val="18"/>
                <w:szCs w:val="18"/>
              </w:rPr>
            </w:pPr>
            <w:r w:rsidRPr="000549B1">
              <w:rPr>
                <w:i/>
                <w:iCs/>
                <w:kern w:val="0"/>
                <w:sz w:val="18"/>
                <w:szCs w:val="18"/>
              </w:rPr>
              <w:t>Amphoraovalis</w:t>
            </w:r>
          </w:p>
        </w:tc>
        <w:tc>
          <w:tcPr>
            <w:tcW w:w="688" w:type="dxa"/>
            <w:noWrap/>
            <w:vAlign w:val="center"/>
          </w:tcPr>
          <w:p w14:paraId="2918B23B"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337A3E5A" w14:textId="77777777" w:rsidR="00054437" w:rsidRPr="000549B1" w:rsidRDefault="00054437">
            <w:pPr>
              <w:spacing w:line="240" w:lineRule="atLeast"/>
              <w:rPr>
                <w:kern w:val="0"/>
                <w:sz w:val="18"/>
                <w:szCs w:val="18"/>
              </w:rPr>
            </w:pPr>
          </w:p>
        </w:tc>
        <w:tc>
          <w:tcPr>
            <w:tcW w:w="688" w:type="dxa"/>
            <w:noWrap/>
            <w:vAlign w:val="center"/>
          </w:tcPr>
          <w:p w14:paraId="73B6D005" w14:textId="77777777" w:rsidR="00054437" w:rsidRPr="000549B1" w:rsidRDefault="00054437">
            <w:pPr>
              <w:widowControl/>
              <w:spacing w:line="240" w:lineRule="atLeast"/>
              <w:rPr>
                <w:rFonts w:eastAsia="等线"/>
                <w:kern w:val="0"/>
                <w:sz w:val="18"/>
                <w:szCs w:val="18"/>
              </w:rPr>
            </w:pPr>
          </w:p>
        </w:tc>
        <w:tc>
          <w:tcPr>
            <w:tcW w:w="688" w:type="dxa"/>
            <w:noWrap/>
            <w:vAlign w:val="center"/>
          </w:tcPr>
          <w:p w14:paraId="47573B0A" w14:textId="77777777" w:rsidR="00054437" w:rsidRPr="000549B1" w:rsidRDefault="00054437">
            <w:pPr>
              <w:widowControl/>
              <w:spacing w:line="240" w:lineRule="atLeast"/>
              <w:rPr>
                <w:rFonts w:eastAsia="等线"/>
                <w:kern w:val="0"/>
                <w:sz w:val="18"/>
                <w:szCs w:val="18"/>
              </w:rPr>
            </w:pPr>
          </w:p>
        </w:tc>
        <w:tc>
          <w:tcPr>
            <w:tcW w:w="688" w:type="dxa"/>
            <w:noWrap/>
            <w:vAlign w:val="center"/>
          </w:tcPr>
          <w:p w14:paraId="7880C5C5" w14:textId="77777777" w:rsidR="00054437" w:rsidRPr="000549B1" w:rsidRDefault="00054437">
            <w:pPr>
              <w:widowControl/>
              <w:spacing w:line="240" w:lineRule="atLeast"/>
              <w:rPr>
                <w:rFonts w:eastAsia="等线"/>
                <w:kern w:val="0"/>
                <w:sz w:val="18"/>
                <w:szCs w:val="18"/>
              </w:rPr>
            </w:pPr>
          </w:p>
        </w:tc>
        <w:tc>
          <w:tcPr>
            <w:tcW w:w="689" w:type="dxa"/>
            <w:noWrap/>
            <w:vAlign w:val="center"/>
          </w:tcPr>
          <w:p w14:paraId="7F302048" w14:textId="77777777" w:rsidR="00054437" w:rsidRPr="000549B1" w:rsidRDefault="00054437">
            <w:pPr>
              <w:widowControl/>
              <w:spacing w:line="240" w:lineRule="atLeast"/>
              <w:rPr>
                <w:rFonts w:eastAsia="等线"/>
                <w:kern w:val="0"/>
                <w:sz w:val="18"/>
                <w:szCs w:val="18"/>
              </w:rPr>
            </w:pPr>
          </w:p>
        </w:tc>
      </w:tr>
      <w:tr w:rsidR="000549B1" w:rsidRPr="000549B1" w14:paraId="6136E867" w14:textId="77777777">
        <w:trPr>
          <w:trHeight w:val="300"/>
          <w:jc w:val="center"/>
        </w:trPr>
        <w:tc>
          <w:tcPr>
            <w:tcW w:w="1576" w:type="dxa"/>
            <w:vMerge/>
            <w:vAlign w:val="center"/>
          </w:tcPr>
          <w:p w14:paraId="3E55267B" w14:textId="77777777" w:rsidR="00054437" w:rsidRPr="000549B1" w:rsidRDefault="00054437">
            <w:pPr>
              <w:widowControl/>
              <w:spacing w:line="240" w:lineRule="atLeast"/>
              <w:rPr>
                <w:kern w:val="0"/>
                <w:sz w:val="18"/>
                <w:szCs w:val="18"/>
              </w:rPr>
            </w:pPr>
          </w:p>
        </w:tc>
        <w:tc>
          <w:tcPr>
            <w:tcW w:w="1600" w:type="dxa"/>
            <w:noWrap/>
            <w:vAlign w:val="center"/>
          </w:tcPr>
          <w:p w14:paraId="63B212ED" w14:textId="77777777" w:rsidR="00054437" w:rsidRPr="000549B1" w:rsidRDefault="00000000">
            <w:pPr>
              <w:widowControl/>
              <w:spacing w:line="240" w:lineRule="atLeast"/>
              <w:jc w:val="center"/>
              <w:rPr>
                <w:kern w:val="0"/>
                <w:sz w:val="18"/>
                <w:szCs w:val="18"/>
              </w:rPr>
            </w:pPr>
            <w:r w:rsidRPr="000549B1">
              <w:rPr>
                <w:kern w:val="0"/>
                <w:sz w:val="18"/>
                <w:szCs w:val="18"/>
              </w:rPr>
              <w:t>弧形蛾眉藻</w:t>
            </w:r>
          </w:p>
        </w:tc>
        <w:tc>
          <w:tcPr>
            <w:tcW w:w="2742" w:type="dxa"/>
            <w:noWrap/>
            <w:vAlign w:val="center"/>
          </w:tcPr>
          <w:p w14:paraId="418CEA8F" w14:textId="77777777" w:rsidR="00054437" w:rsidRPr="000549B1" w:rsidRDefault="00000000">
            <w:pPr>
              <w:widowControl/>
              <w:spacing w:line="240" w:lineRule="atLeast"/>
              <w:jc w:val="center"/>
              <w:rPr>
                <w:i/>
                <w:iCs/>
                <w:kern w:val="0"/>
                <w:sz w:val="18"/>
                <w:szCs w:val="18"/>
              </w:rPr>
            </w:pPr>
            <w:r w:rsidRPr="000549B1">
              <w:rPr>
                <w:i/>
                <w:iCs/>
                <w:kern w:val="0"/>
                <w:sz w:val="18"/>
                <w:szCs w:val="18"/>
              </w:rPr>
              <w:t>Ceratoneisarcus</w:t>
            </w:r>
          </w:p>
        </w:tc>
        <w:tc>
          <w:tcPr>
            <w:tcW w:w="688" w:type="dxa"/>
            <w:noWrap/>
            <w:vAlign w:val="center"/>
          </w:tcPr>
          <w:p w14:paraId="560F4F55" w14:textId="77777777" w:rsidR="00054437" w:rsidRPr="000549B1" w:rsidRDefault="00054437">
            <w:pPr>
              <w:widowControl/>
              <w:spacing w:line="240" w:lineRule="atLeast"/>
              <w:rPr>
                <w:rFonts w:eastAsia="等线"/>
                <w:kern w:val="0"/>
                <w:sz w:val="18"/>
                <w:szCs w:val="18"/>
              </w:rPr>
            </w:pPr>
          </w:p>
        </w:tc>
        <w:tc>
          <w:tcPr>
            <w:tcW w:w="688" w:type="dxa"/>
            <w:noWrap/>
            <w:vAlign w:val="center"/>
          </w:tcPr>
          <w:p w14:paraId="2463527D"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11603A63" w14:textId="77777777" w:rsidR="00054437" w:rsidRPr="000549B1" w:rsidRDefault="00054437">
            <w:pPr>
              <w:spacing w:line="240" w:lineRule="atLeast"/>
              <w:rPr>
                <w:kern w:val="0"/>
                <w:sz w:val="18"/>
                <w:szCs w:val="18"/>
              </w:rPr>
            </w:pPr>
          </w:p>
        </w:tc>
        <w:tc>
          <w:tcPr>
            <w:tcW w:w="688" w:type="dxa"/>
            <w:noWrap/>
            <w:vAlign w:val="center"/>
          </w:tcPr>
          <w:p w14:paraId="33ACAB8D" w14:textId="77777777" w:rsidR="00054437" w:rsidRPr="000549B1" w:rsidRDefault="00054437">
            <w:pPr>
              <w:widowControl/>
              <w:spacing w:line="240" w:lineRule="atLeast"/>
              <w:rPr>
                <w:rFonts w:eastAsia="等线"/>
                <w:kern w:val="0"/>
                <w:sz w:val="18"/>
                <w:szCs w:val="18"/>
              </w:rPr>
            </w:pPr>
          </w:p>
        </w:tc>
        <w:tc>
          <w:tcPr>
            <w:tcW w:w="688" w:type="dxa"/>
            <w:noWrap/>
            <w:vAlign w:val="center"/>
          </w:tcPr>
          <w:p w14:paraId="023E13EC" w14:textId="77777777" w:rsidR="00054437" w:rsidRPr="000549B1" w:rsidRDefault="00054437">
            <w:pPr>
              <w:widowControl/>
              <w:spacing w:line="240" w:lineRule="atLeast"/>
              <w:rPr>
                <w:rFonts w:eastAsia="等线"/>
                <w:kern w:val="0"/>
                <w:sz w:val="18"/>
                <w:szCs w:val="18"/>
              </w:rPr>
            </w:pPr>
          </w:p>
        </w:tc>
        <w:tc>
          <w:tcPr>
            <w:tcW w:w="689" w:type="dxa"/>
            <w:noWrap/>
            <w:vAlign w:val="center"/>
          </w:tcPr>
          <w:p w14:paraId="228EF417" w14:textId="77777777" w:rsidR="00054437" w:rsidRPr="000549B1" w:rsidRDefault="00054437">
            <w:pPr>
              <w:widowControl/>
              <w:spacing w:line="240" w:lineRule="atLeast"/>
              <w:rPr>
                <w:rFonts w:eastAsia="等线"/>
                <w:kern w:val="0"/>
                <w:sz w:val="18"/>
                <w:szCs w:val="18"/>
              </w:rPr>
            </w:pPr>
          </w:p>
        </w:tc>
      </w:tr>
      <w:tr w:rsidR="000549B1" w:rsidRPr="000549B1" w14:paraId="519B1266" w14:textId="77777777">
        <w:trPr>
          <w:trHeight w:val="300"/>
          <w:jc w:val="center"/>
        </w:trPr>
        <w:tc>
          <w:tcPr>
            <w:tcW w:w="1576" w:type="dxa"/>
            <w:vMerge/>
            <w:vAlign w:val="center"/>
          </w:tcPr>
          <w:p w14:paraId="127EA44B" w14:textId="77777777" w:rsidR="00054437" w:rsidRPr="000549B1" w:rsidRDefault="00054437">
            <w:pPr>
              <w:widowControl/>
              <w:spacing w:line="240" w:lineRule="atLeast"/>
              <w:rPr>
                <w:kern w:val="0"/>
                <w:sz w:val="18"/>
                <w:szCs w:val="18"/>
              </w:rPr>
            </w:pPr>
          </w:p>
        </w:tc>
        <w:tc>
          <w:tcPr>
            <w:tcW w:w="1600" w:type="dxa"/>
            <w:noWrap/>
            <w:vAlign w:val="center"/>
          </w:tcPr>
          <w:p w14:paraId="1F7181CD" w14:textId="77777777" w:rsidR="00054437" w:rsidRPr="000549B1" w:rsidRDefault="00000000">
            <w:pPr>
              <w:widowControl/>
              <w:spacing w:line="240" w:lineRule="atLeast"/>
              <w:jc w:val="center"/>
              <w:rPr>
                <w:kern w:val="0"/>
                <w:sz w:val="18"/>
                <w:szCs w:val="18"/>
              </w:rPr>
            </w:pPr>
            <w:r w:rsidRPr="000549B1">
              <w:rPr>
                <w:kern w:val="0"/>
                <w:sz w:val="18"/>
                <w:szCs w:val="18"/>
              </w:rPr>
              <w:t>弧形短缝藻</w:t>
            </w:r>
          </w:p>
        </w:tc>
        <w:tc>
          <w:tcPr>
            <w:tcW w:w="2742" w:type="dxa"/>
            <w:noWrap/>
            <w:vAlign w:val="center"/>
          </w:tcPr>
          <w:p w14:paraId="608D63EC" w14:textId="77777777" w:rsidR="00054437" w:rsidRPr="000549B1" w:rsidRDefault="00000000">
            <w:pPr>
              <w:widowControl/>
              <w:spacing w:line="240" w:lineRule="atLeast"/>
              <w:jc w:val="center"/>
              <w:rPr>
                <w:i/>
                <w:iCs/>
                <w:kern w:val="0"/>
                <w:sz w:val="18"/>
                <w:szCs w:val="18"/>
              </w:rPr>
            </w:pPr>
            <w:r w:rsidRPr="000549B1">
              <w:rPr>
                <w:i/>
                <w:iCs/>
                <w:kern w:val="0"/>
                <w:sz w:val="18"/>
                <w:szCs w:val="18"/>
              </w:rPr>
              <w:t>Eunotiaarcus</w:t>
            </w:r>
          </w:p>
        </w:tc>
        <w:tc>
          <w:tcPr>
            <w:tcW w:w="688" w:type="dxa"/>
            <w:noWrap/>
            <w:vAlign w:val="center"/>
          </w:tcPr>
          <w:p w14:paraId="2B3F3565"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32F0234F" w14:textId="77777777" w:rsidR="00054437" w:rsidRPr="000549B1" w:rsidRDefault="00054437">
            <w:pPr>
              <w:spacing w:line="240" w:lineRule="atLeast"/>
              <w:rPr>
                <w:kern w:val="0"/>
                <w:sz w:val="18"/>
                <w:szCs w:val="18"/>
              </w:rPr>
            </w:pPr>
          </w:p>
        </w:tc>
        <w:tc>
          <w:tcPr>
            <w:tcW w:w="688" w:type="dxa"/>
            <w:noWrap/>
            <w:vAlign w:val="center"/>
          </w:tcPr>
          <w:p w14:paraId="41874958"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7E157EEB"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19B3084A"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9" w:type="dxa"/>
            <w:noWrap/>
            <w:vAlign w:val="center"/>
          </w:tcPr>
          <w:p w14:paraId="0451CFBC" w14:textId="77777777" w:rsidR="00054437" w:rsidRPr="000549B1" w:rsidRDefault="00054437">
            <w:pPr>
              <w:spacing w:line="240" w:lineRule="atLeast"/>
              <w:rPr>
                <w:kern w:val="0"/>
                <w:sz w:val="18"/>
                <w:szCs w:val="18"/>
              </w:rPr>
            </w:pPr>
          </w:p>
        </w:tc>
      </w:tr>
      <w:tr w:rsidR="000549B1" w:rsidRPr="000549B1" w14:paraId="739F3304" w14:textId="77777777">
        <w:trPr>
          <w:trHeight w:val="300"/>
          <w:jc w:val="center"/>
        </w:trPr>
        <w:tc>
          <w:tcPr>
            <w:tcW w:w="1576" w:type="dxa"/>
            <w:vMerge/>
            <w:vAlign w:val="center"/>
          </w:tcPr>
          <w:p w14:paraId="451DA840" w14:textId="77777777" w:rsidR="00054437" w:rsidRPr="000549B1" w:rsidRDefault="00054437">
            <w:pPr>
              <w:widowControl/>
              <w:spacing w:line="240" w:lineRule="atLeast"/>
              <w:rPr>
                <w:kern w:val="0"/>
                <w:sz w:val="18"/>
                <w:szCs w:val="18"/>
              </w:rPr>
            </w:pPr>
          </w:p>
        </w:tc>
        <w:tc>
          <w:tcPr>
            <w:tcW w:w="1600" w:type="dxa"/>
            <w:noWrap/>
            <w:vAlign w:val="center"/>
          </w:tcPr>
          <w:p w14:paraId="1DCC66E2" w14:textId="77777777" w:rsidR="00054437" w:rsidRPr="000549B1" w:rsidRDefault="00000000">
            <w:pPr>
              <w:widowControl/>
              <w:spacing w:line="240" w:lineRule="atLeast"/>
              <w:jc w:val="center"/>
              <w:rPr>
                <w:kern w:val="0"/>
                <w:sz w:val="18"/>
                <w:szCs w:val="18"/>
              </w:rPr>
            </w:pPr>
            <w:r w:rsidRPr="000549B1">
              <w:rPr>
                <w:kern w:val="0"/>
                <w:sz w:val="18"/>
                <w:szCs w:val="18"/>
              </w:rPr>
              <w:t>双尖菱板藻</w:t>
            </w:r>
          </w:p>
        </w:tc>
        <w:tc>
          <w:tcPr>
            <w:tcW w:w="2742" w:type="dxa"/>
            <w:noWrap/>
            <w:vAlign w:val="center"/>
          </w:tcPr>
          <w:p w14:paraId="4593B874" w14:textId="77777777" w:rsidR="00054437" w:rsidRPr="000549B1" w:rsidRDefault="00000000">
            <w:pPr>
              <w:widowControl/>
              <w:spacing w:line="240" w:lineRule="atLeast"/>
              <w:jc w:val="center"/>
              <w:rPr>
                <w:i/>
                <w:iCs/>
                <w:kern w:val="0"/>
                <w:sz w:val="18"/>
                <w:szCs w:val="18"/>
              </w:rPr>
            </w:pPr>
            <w:r w:rsidRPr="000549B1">
              <w:rPr>
                <w:i/>
                <w:iCs/>
                <w:kern w:val="0"/>
                <w:sz w:val="18"/>
                <w:szCs w:val="18"/>
              </w:rPr>
              <w:t>Hantzschiaamphioxys</w:t>
            </w:r>
          </w:p>
        </w:tc>
        <w:tc>
          <w:tcPr>
            <w:tcW w:w="688" w:type="dxa"/>
            <w:noWrap/>
            <w:vAlign w:val="center"/>
          </w:tcPr>
          <w:p w14:paraId="4F181780" w14:textId="77777777" w:rsidR="00054437" w:rsidRPr="000549B1" w:rsidRDefault="00054437">
            <w:pPr>
              <w:widowControl/>
              <w:spacing w:line="240" w:lineRule="atLeast"/>
              <w:rPr>
                <w:rFonts w:eastAsia="等线"/>
                <w:kern w:val="0"/>
                <w:sz w:val="18"/>
                <w:szCs w:val="18"/>
              </w:rPr>
            </w:pPr>
          </w:p>
        </w:tc>
        <w:tc>
          <w:tcPr>
            <w:tcW w:w="688" w:type="dxa"/>
            <w:noWrap/>
            <w:vAlign w:val="center"/>
          </w:tcPr>
          <w:p w14:paraId="6A4A6FC6"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44AEFCCF" w14:textId="77777777" w:rsidR="00054437" w:rsidRPr="000549B1" w:rsidRDefault="00054437">
            <w:pPr>
              <w:spacing w:line="240" w:lineRule="atLeast"/>
              <w:rPr>
                <w:kern w:val="0"/>
                <w:sz w:val="18"/>
                <w:szCs w:val="18"/>
              </w:rPr>
            </w:pPr>
          </w:p>
        </w:tc>
        <w:tc>
          <w:tcPr>
            <w:tcW w:w="688" w:type="dxa"/>
            <w:noWrap/>
            <w:vAlign w:val="center"/>
          </w:tcPr>
          <w:p w14:paraId="08257109" w14:textId="77777777" w:rsidR="00054437" w:rsidRPr="000549B1" w:rsidRDefault="00054437">
            <w:pPr>
              <w:widowControl/>
              <w:spacing w:line="240" w:lineRule="atLeast"/>
              <w:rPr>
                <w:rFonts w:eastAsia="等线"/>
                <w:kern w:val="0"/>
                <w:sz w:val="18"/>
                <w:szCs w:val="18"/>
              </w:rPr>
            </w:pPr>
          </w:p>
        </w:tc>
        <w:tc>
          <w:tcPr>
            <w:tcW w:w="688" w:type="dxa"/>
            <w:noWrap/>
            <w:vAlign w:val="center"/>
          </w:tcPr>
          <w:p w14:paraId="1F6E25F6" w14:textId="77777777" w:rsidR="00054437" w:rsidRPr="000549B1" w:rsidRDefault="00054437">
            <w:pPr>
              <w:widowControl/>
              <w:spacing w:line="240" w:lineRule="atLeast"/>
              <w:rPr>
                <w:rFonts w:eastAsia="等线"/>
                <w:kern w:val="0"/>
                <w:sz w:val="18"/>
                <w:szCs w:val="18"/>
              </w:rPr>
            </w:pPr>
          </w:p>
        </w:tc>
        <w:tc>
          <w:tcPr>
            <w:tcW w:w="689" w:type="dxa"/>
            <w:noWrap/>
            <w:vAlign w:val="center"/>
          </w:tcPr>
          <w:p w14:paraId="5FB310FA" w14:textId="77777777" w:rsidR="00054437" w:rsidRPr="000549B1" w:rsidRDefault="00054437">
            <w:pPr>
              <w:widowControl/>
              <w:spacing w:line="240" w:lineRule="atLeast"/>
              <w:rPr>
                <w:rFonts w:eastAsia="等线"/>
                <w:kern w:val="0"/>
                <w:sz w:val="18"/>
                <w:szCs w:val="18"/>
              </w:rPr>
            </w:pPr>
          </w:p>
        </w:tc>
      </w:tr>
      <w:tr w:rsidR="000549B1" w:rsidRPr="000549B1" w14:paraId="24C40F54" w14:textId="77777777">
        <w:trPr>
          <w:trHeight w:val="300"/>
          <w:jc w:val="center"/>
        </w:trPr>
        <w:tc>
          <w:tcPr>
            <w:tcW w:w="1576" w:type="dxa"/>
            <w:vMerge/>
            <w:vAlign w:val="center"/>
          </w:tcPr>
          <w:p w14:paraId="3D750562" w14:textId="77777777" w:rsidR="00054437" w:rsidRPr="000549B1" w:rsidRDefault="00054437">
            <w:pPr>
              <w:widowControl/>
              <w:spacing w:line="240" w:lineRule="atLeast"/>
              <w:rPr>
                <w:kern w:val="0"/>
                <w:sz w:val="18"/>
                <w:szCs w:val="18"/>
              </w:rPr>
            </w:pPr>
          </w:p>
        </w:tc>
        <w:tc>
          <w:tcPr>
            <w:tcW w:w="1600" w:type="dxa"/>
            <w:noWrap/>
            <w:vAlign w:val="center"/>
          </w:tcPr>
          <w:p w14:paraId="4D5C4DDA" w14:textId="77777777" w:rsidR="00054437" w:rsidRPr="000549B1" w:rsidRDefault="00000000">
            <w:pPr>
              <w:widowControl/>
              <w:spacing w:line="240" w:lineRule="atLeast"/>
              <w:jc w:val="center"/>
              <w:rPr>
                <w:kern w:val="0"/>
                <w:sz w:val="18"/>
                <w:szCs w:val="18"/>
              </w:rPr>
            </w:pPr>
            <w:r w:rsidRPr="000549B1">
              <w:rPr>
                <w:kern w:val="0"/>
                <w:sz w:val="18"/>
                <w:szCs w:val="18"/>
              </w:rPr>
              <w:t>膨大窗纹藻</w:t>
            </w:r>
          </w:p>
        </w:tc>
        <w:tc>
          <w:tcPr>
            <w:tcW w:w="2742" w:type="dxa"/>
            <w:noWrap/>
            <w:vAlign w:val="center"/>
          </w:tcPr>
          <w:p w14:paraId="69238872" w14:textId="77777777" w:rsidR="00054437" w:rsidRPr="000549B1" w:rsidRDefault="00000000">
            <w:pPr>
              <w:widowControl/>
              <w:spacing w:line="240" w:lineRule="atLeast"/>
              <w:jc w:val="center"/>
              <w:rPr>
                <w:i/>
                <w:iCs/>
                <w:kern w:val="0"/>
                <w:sz w:val="18"/>
                <w:szCs w:val="18"/>
              </w:rPr>
            </w:pPr>
            <w:r w:rsidRPr="000549B1">
              <w:rPr>
                <w:i/>
                <w:iCs/>
                <w:kern w:val="0"/>
                <w:sz w:val="18"/>
                <w:szCs w:val="18"/>
              </w:rPr>
              <w:t>Epithemiaturgida</w:t>
            </w:r>
          </w:p>
        </w:tc>
        <w:tc>
          <w:tcPr>
            <w:tcW w:w="688" w:type="dxa"/>
            <w:noWrap/>
            <w:vAlign w:val="center"/>
          </w:tcPr>
          <w:p w14:paraId="13367EF8"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2CB1A5BE" w14:textId="77777777" w:rsidR="00054437" w:rsidRPr="000549B1" w:rsidRDefault="00054437">
            <w:pPr>
              <w:spacing w:line="240" w:lineRule="atLeast"/>
              <w:rPr>
                <w:kern w:val="0"/>
                <w:sz w:val="18"/>
                <w:szCs w:val="18"/>
              </w:rPr>
            </w:pPr>
          </w:p>
        </w:tc>
        <w:tc>
          <w:tcPr>
            <w:tcW w:w="688" w:type="dxa"/>
            <w:noWrap/>
            <w:vAlign w:val="center"/>
          </w:tcPr>
          <w:p w14:paraId="363045F6" w14:textId="77777777" w:rsidR="00054437" w:rsidRPr="000549B1" w:rsidRDefault="00054437">
            <w:pPr>
              <w:widowControl/>
              <w:spacing w:line="240" w:lineRule="atLeast"/>
              <w:rPr>
                <w:rFonts w:eastAsia="等线"/>
                <w:kern w:val="0"/>
                <w:sz w:val="18"/>
                <w:szCs w:val="18"/>
              </w:rPr>
            </w:pPr>
          </w:p>
        </w:tc>
        <w:tc>
          <w:tcPr>
            <w:tcW w:w="688" w:type="dxa"/>
            <w:noWrap/>
            <w:vAlign w:val="center"/>
          </w:tcPr>
          <w:p w14:paraId="74F8C355" w14:textId="77777777" w:rsidR="00054437" w:rsidRPr="000549B1" w:rsidRDefault="00054437">
            <w:pPr>
              <w:widowControl/>
              <w:spacing w:line="240" w:lineRule="atLeast"/>
              <w:rPr>
                <w:rFonts w:eastAsia="等线"/>
                <w:kern w:val="0"/>
                <w:sz w:val="18"/>
                <w:szCs w:val="18"/>
              </w:rPr>
            </w:pPr>
          </w:p>
        </w:tc>
        <w:tc>
          <w:tcPr>
            <w:tcW w:w="688" w:type="dxa"/>
            <w:noWrap/>
            <w:vAlign w:val="center"/>
          </w:tcPr>
          <w:p w14:paraId="066A9356" w14:textId="77777777" w:rsidR="00054437" w:rsidRPr="000549B1" w:rsidRDefault="00054437">
            <w:pPr>
              <w:widowControl/>
              <w:spacing w:line="240" w:lineRule="atLeast"/>
              <w:rPr>
                <w:rFonts w:eastAsia="等线"/>
                <w:kern w:val="0"/>
                <w:sz w:val="18"/>
                <w:szCs w:val="18"/>
              </w:rPr>
            </w:pPr>
          </w:p>
        </w:tc>
        <w:tc>
          <w:tcPr>
            <w:tcW w:w="689" w:type="dxa"/>
            <w:noWrap/>
            <w:vAlign w:val="center"/>
          </w:tcPr>
          <w:p w14:paraId="41A2FCAB" w14:textId="77777777" w:rsidR="00054437" w:rsidRPr="000549B1" w:rsidRDefault="00054437">
            <w:pPr>
              <w:widowControl/>
              <w:spacing w:line="240" w:lineRule="atLeast"/>
              <w:rPr>
                <w:rFonts w:eastAsia="等线"/>
                <w:kern w:val="0"/>
                <w:sz w:val="18"/>
                <w:szCs w:val="18"/>
              </w:rPr>
            </w:pPr>
          </w:p>
        </w:tc>
      </w:tr>
      <w:tr w:rsidR="000549B1" w:rsidRPr="000549B1" w14:paraId="0AD4B482" w14:textId="77777777">
        <w:trPr>
          <w:trHeight w:val="300"/>
          <w:jc w:val="center"/>
        </w:trPr>
        <w:tc>
          <w:tcPr>
            <w:tcW w:w="1576" w:type="dxa"/>
            <w:vMerge/>
            <w:vAlign w:val="center"/>
          </w:tcPr>
          <w:p w14:paraId="108CCFE0" w14:textId="77777777" w:rsidR="00054437" w:rsidRPr="000549B1" w:rsidRDefault="00054437">
            <w:pPr>
              <w:widowControl/>
              <w:spacing w:line="240" w:lineRule="atLeast"/>
              <w:rPr>
                <w:kern w:val="0"/>
                <w:sz w:val="18"/>
                <w:szCs w:val="18"/>
              </w:rPr>
            </w:pPr>
          </w:p>
        </w:tc>
        <w:tc>
          <w:tcPr>
            <w:tcW w:w="1600" w:type="dxa"/>
            <w:noWrap/>
            <w:vAlign w:val="center"/>
          </w:tcPr>
          <w:p w14:paraId="050F8D5C" w14:textId="77777777" w:rsidR="00054437" w:rsidRPr="000549B1" w:rsidRDefault="00000000">
            <w:pPr>
              <w:widowControl/>
              <w:spacing w:line="240" w:lineRule="atLeast"/>
              <w:jc w:val="center"/>
              <w:rPr>
                <w:kern w:val="0"/>
                <w:sz w:val="18"/>
                <w:szCs w:val="18"/>
              </w:rPr>
            </w:pPr>
            <w:r w:rsidRPr="000549B1">
              <w:rPr>
                <w:kern w:val="0"/>
                <w:sz w:val="18"/>
                <w:szCs w:val="18"/>
              </w:rPr>
              <w:t>草鞋波缘藻</w:t>
            </w:r>
          </w:p>
        </w:tc>
        <w:tc>
          <w:tcPr>
            <w:tcW w:w="2742" w:type="dxa"/>
            <w:noWrap/>
            <w:vAlign w:val="center"/>
          </w:tcPr>
          <w:p w14:paraId="40AEB2C0" w14:textId="77777777" w:rsidR="00054437" w:rsidRPr="000549B1" w:rsidRDefault="00000000">
            <w:pPr>
              <w:widowControl/>
              <w:spacing w:line="240" w:lineRule="atLeast"/>
              <w:jc w:val="center"/>
              <w:rPr>
                <w:i/>
                <w:iCs/>
                <w:kern w:val="0"/>
                <w:sz w:val="18"/>
                <w:szCs w:val="18"/>
              </w:rPr>
            </w:pPr>
            <w:r w:rsidRPr="000549B1">
              <w:rPr>
                <w:i/>
                <w:iCs/>
                <w:kern w:val="0"/>
                <w:sz w:val="18"/>
                <w:szCs w:val="18"/>
              </w:rPr>
              <w:t>Cymatopleurasolea</w:t>
            </w:r>
          </w:p>
        </w:tc>
        <w:tc>
          <w:tcPr>
            <w:tcW w:w="688" w:type="dxa"/>
            <w:noWrap/>
            <w:vAlign w:val="center"/>
          </w:tcPr>
          <w:p w14:paraId="090C4FA9" w14:textId="77777777" w:rsidR="00054437" w:rsidRPr="000549B1" w:rsidRDefault="00054437">
            <w:pPr>
              <w:widowControl/>
              <w:spacing w:line="240" w:lineRule="atLeast"/>
              <w:rPr>
                <w:rFonts w:eastAsia="等线"/>
                <w:kern w:val="0"/>
                <w:sz w:val="18"/>
                <w:szCs w:val="18"/>
              </w:rPr>
            </w:pPr>
          </w:p>
        </w:tc>
        <w:tc>
          <w:tcPr>
            <w:tcW w:w="688" w:type="dxa"/>
            <w:noWrap/>
            <w:vAlign w:val="center"/>
          </w:tcPr>
          <w:p w14:paraId="3858CD0D"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41BF5094" w14:textId="77777777" w:rsidR="00054437" w:rsidRPr="000549B1" w:rsidRDefault="00054437">
            <w:pPr>
              <w:spacing w:line="240" w:lineRule="atLeast"/>
              <w:rPr>
                <w:kern w:val="0"/>
                <w:sz w:val="18"/>
                <w:szCs w:val="18"/>
              </w:rPr>
            </w:pPr>
          </w:p>
        </w:tc>
        <w:tc>
          <w:tcPr>
            <w:tcW w:w="688" w:type="dxa"/>
            <w:noWrap/>
            <w:vAlign w:val="center"/>
          </w:tcPr>
          <w:p w14:paraId="638303F9"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343C48DD" w14:textId="77777777" w:rsidR="00054437" w:rsidRPr="000549B1" w:rsidRDefault="00054437">
            <w:pPr>
              <w:spacing w:line="240" w:lineRule="atLeast"/>
              <w:rPr>
                <w:kern w:val="0"/>
                <w:sz w:val="18"/>
                <w:szCs w:val="18"/>
              </w:rPr>
            </w:pPr>
          </w:p>
        </w:tc>
        <w:tc>
          <w:tcPr>
            <w:tcW w:w="689" w:type="dxa"/>
            <w:noWrap/>
            <w:vAlign w:val="center"/>
          </w:tcPr>
          <w:p w14:paraId="07C42539" w14:textId="77777777" w:rsidR="00054437" w:rsidRPr="000549B1" w:rsidRDefault="00000000">
            <w:pPr>
              <w:widowControl/>
              <w:spacing w:line="240" w:lineRule="atLeast"/>
              <w:jc w:val="center"/>
              <w:rPr>
                <w:kern w:val="0"/>
                <w:sz w:val="18"/>
                <w:szCs w:val="18"/>
              </w:rPr>
            </w:pPr>
            <w:r w:rsidRPr="000549B1">
              <w:rPr>
                <w:kern w:val="0"/>
                <w:sz w:val="18"/>
                <w:szCs w:val="18"/>
              </w:rPr>
              <w:t>+</w:t>
            </w:r>
          </w:p>
        </w:tc>
      </w:tr>
      <w:tr w:rsidR="000549B1" w:rsidRPr="000549B1" w14:paraId="2C4E718D" w14:textId="77777777">
        <w:trPr>
          <w:trHeight w:val="300"/>
          <w:jc w:val="center"/>
        </w:trPr>
        <w:tc>
          <w:tcPr>
            <w:tcW w:w="1576" w:type="dxa"/>
            <w:noWrap/>
            <w:vAlign w:val="center"/>
          </w:tcPr>
          <w:p w14:paraId="1D1D8691" w14:textId="77777777" w:rsidR="00054437" w:rsidRPr="000549B1" w:rsidRDefault="00000000">
            <w:pPr>
              <w:widowControl/>
              <w:spacing w:line="240" w:lineRule="atLeast"/>
              <w:jc w:val="center"/>
              <w:rPr>
                <w:kern w:val="0"/>
                <w:sz w:val="18"/>
                <w:szCs w:val="18"/>
              </w:rPr>
            </w:pPr>
            <w:r w:rsidRPr="000549B1">
              <w:rPr>
                <w:kern w:val="0"/>
                <w:sz w:val="18"/>
                <w:szCs w:val="18"/>
              </w:rPr>
              <w:t>绿藻门</w:t>
            </w:r>
            <w:r w:rsidRPr="000549B1">
              <w:rPr>
                <w:kern w:val="0"/>
                <w:sz w:val="18"/>
                <w:szCs w:val="18"/>
              </w:rPr>
              <w:t>Chlorophyta</w:t>
            </w:r>
          </w:p>
        </w:tc>
        <w:tc>
          <w:tcPr>
            <w:tcW w:w="1600" w:type="dxa"/>
            <w:noWrap/>
            <w:vAlign w:val="center"/>
          </w:tcPr>
          <w:p w14:paraId="10C02A04" w14:textId="77777777" w:rsidR="00054437" w:rsidRPr="000549B1" w:rsidRDefault="00000000">
            <w:pPr>
              <w:widowControl/>
              <w:spacing w:line="240" w:lineRule="atLeast"/>
              <w:jc w:val="center"/>
              <w:rPr>
                <w:kern w:val="0"/>
                <w:sz w:val="18"/>
                <w:szCs w:val="18"/>
              </w:rPr>
            </w:pPr>
            <w:r w:rsidRPr="000549B1">
              <w:rPr>
                <w:kern w:val="0"/>
                <w:sz w:val="18"/>
                <w:szCs w:val="18"/>
              </w:rPr>
              <w:t>纤细新月藻</w:t>
            </w:r>
          </w:p>
        </w:tc>
        <w:tc>
          <w:tcPr>
            <w:tcW w:w="2742" w:type="dxa"/>
            <w:noWrap/>
            <w:vAlign w:val="center"/>
          </w:tcPr>
          <w:p w14:paraId="37189DEA" w14:textId="77777777" w:rsidR="00054437" w:rsidRPr="000549B1" w:rsidRDefault="00000000">
            <w:pPr>
              <w:widowControl/>
              <w:spacing w:line="240" w:lineRule="atLeast"/>
              <w:jc w:val="center"/>
              <w:rPr>
                <w:i/>
                <w:iCs/>
                <w:kern w:val="0"/>
                <w:sz w:val="18"/>
                <w:szCs w:val="18"/>
              </w:rPr>
            </w:pPr>
            <w:r w:rsidRPr="000549B1">
              <w:rPr>
                <w:i/>
                <w:iCs/>
                <w:kern w:val="0"/>
                <w:sz w:val="18"/>
                <w:szCs w:val="18"/>
              </w:rPr>
              <w:t>Closteriumgracile</w:t>
            </w:r>
          </w:p>
        </w:tc>
        <w:tc>
          <w:tcPr>
            <w:tcW w:w="688" w:type="dxa"/>
            <w:noWrap/>
            <w:vAlign w:val="center"/>
          </w:tcPr>
          <w:p w14:paraId="466EF844" w14:textId="77777777" w:rsidR="00054437" w:rsidRPr="000549B1" w:rsidRDefault="00054437">
            <w:pPr>
              <w:widowControl/>
              <w:spacing w:line="240" w:lineRule="atLeast"/>
              <w:rPr>
                <w:rFonts w:eastAsia="等线"/>
                <w:kern w:val="0"/>
                <w:sz w:val="18"/>
                <w:szCs w:val="18"/>
              </w:rPr>
            </w:pPr>
          </w:p>
        </w:tc>
        <w:tc>
          <w:tcPr>
            <w:tcW w:w="688" w:type="dxa"/>
            <w:noWrap/>
            <w:vAlign w:val="center"/>
          </w:tcPr>
          <w:p w14:paraId="2A3735E0" w14:textId="77777777" w:rsidR="00054437" w:rsidRPr="000549B1" w:rsidRDefault="00054437">
            <w:pPr>
              <w:widowControl/>
              <w:spacing w:line="240" w:lineRule="atLeast"/>
              <w:rPr>
                <w:rFonts w:eastAsia="等线"/>
                <w:kern w:val="0"/>
                <w:sz w:val="18"/>
                <w:szCs w:val="18"/>
              </w:rPr>
            </w:pPr>
          </w:p>
        </w:tc>
        <w:tc>
          <w:tcPr>
            <w:tcW w:w="688" w:type="dxa"/>
            <w:noWrap/>
            <w:vAlign w:val="center"/>
          </w:tcPr>
          <w:p w14:paraId="231A9ECE"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4F4B02CD" w14:textId="77777777" w:rsidR="00054437" w:rsidRPr="000549B1" w:rsidRDefault="00054437">
            <w:pPr>
              <w:spacing w:line="240" w:lineRule="atLeast"/>
              <w:rPr>
                <w:kern w:val="0"/>
                <w:sz w:val="18"/>
                <w:szCs w:val="18"/>
              </w:rPr>
            </w:pPr>
          </w:p>
        </w:tc>
        <w:tc>
          <w:tcPr>
            <w:tcW w:w="688" w:type="dxa"/>
            <w:noWrap/>
            <w:vAlign w:val="center"/>
          </w:tcPr>
          <w:p w14:paraId="0BB754A2" w14:textId="77777777" w:rsidR="00054437" w:rsidRPr="000549B1" w:rsidRDefault="00054437">
            <w:pPr>
              <w:widowControl/>
              <w:spacing w:line="240" w:lineRule="atLeast"/>
              <w:rPr>
                <w:rFonts w:eastAsia="等线"/>
                <w:kern w:val="0"/>
                <w:sz w:val="18"/>
                <w:szCs w:val="18"/>
              </w:rPr>
            </w:pPr>
          </w:p>
        </w:tc>
        <w:tc>
          <w:tcPr>
            <w:tcW w:w="689" w:type="dxa"/>
            <w:noWrap/>
            <w:vAlign w:val="center"/>
          </w:tcPr>
          <w:p w14:paraId="13367C62" w14:textId="77777777" w:rsidR="00054437" w:rsidRPr="000549B1" w:rsidRDefault="00054437">
            <w:pPr>
              <w:widowControl/>
              <w:spacing w:line="240" w:lineRule="atLeast"/>
              <w:rPr>
                <w:rFonts w:eastAsia="等线"/>
                <w:kern w:val="0"/>
                <w:sz w:val="18"/>
                <w:szCs w:val="18"/>
              </w:rPr>
            </w:pPr>
          </w:p>
        </w:tc>
      </w:tr>
      <w:tr w:rsidR="000549B1" w:rsidRPr="000549B1" w14:paraId="10E3B9C6" w14:textId="77777777">
        <w:trPr>
          <w:trHeight w:val="300"/>
          <w:jc w:val="center"/>
        </w:trPr>
        <w:tc>
          <w:tcPr>
            <w:tcW w:w="1576" w:type="dxa"/>
            <w:vMerge w:val="restart"/>
            <w:noWrap/>
            <w:vAlign w:val="center"/>
          </w:tcPr>
          <w:p w14:paraId="5866FFAB" w14:textId="77777777" w:rsidR="00054437" w:rsidRPr="000549B1" w:rsidRDefault="00000000">
            <w:pPr>
              <w:widowControl/>
              <w:spacing w:line="240" w:lineRule="atLeast"/>
              <w:jc w:val="center"/>
              <w:rPr>
                <w:kern w:val="0"/>
                <w:sz w:val="18"/>
                <w:szCs w:val="18"/>
              </w:rPr>
            </w:pPr>
            <w:r w:rsidRPr="000549B1">
              <w:rPr>
                <w:kern w:val="0"/>
                <w:sz w:val="18"/>
                <w:szCs w:val="18"/>
              </w:rPr>
              <w:t>裸藻门</w:t>
            </w:r>
            <w:r w:rsidRPr="000549B1">
              <w:rPr>
                <w:kern w:val="0"/>
                <w:sz w:val="18"/>
                <w:szCs w:val="18"/>
              </w:rPr>
              <w:t>Euglenophyta</w:t>
            </w:r>
          </w:p>
        </w:tc>
        <w:tc>
          <w:tcPr>
            <w:tcW w:w="1600" w:type="dxa"/>
            <w:noWrap/>
            <w:vAlign w:val="center"/>
          </w:tcPr>
          <w:p w14:paraId="026B2DF9" w14:textId="77777777" w:rsidR="00054437" w:rsidRPr="000549B1" w:rsidRDefault="00000000">
            <w:pPr>
              <w:widowControl/>
              <w:spacing w:line="240" w:lineRule="atLeast"/>
              <w:jc w:val="center"/>
              <w:rPr>
                <w:kern w:val="0"/>
                <w:sz w:val="18"/>
                <w:szCs w:val="18"/>
              </w:rPr>
            </w:pPr>
            <w:r w:rsidRPr="000549B1">
              <w:rPr>
                <w:kern w:val="0"/>
                <w:sz w:val="18"/>
                <w:szCs w:val="18"/>
              </w:rPr>
              <w:t>拟尖尾裸藻</w:t>
            </w:r>
          </w:p>
        </w:tc>
        <w:tc>
          <w:tcPr>
            <w:tcW w:w="2742" w:type="dxa"/>
            <w:noWrap/>
            <w:vAlign w:val="center"/>
          </w:tcPr>
          <w:p w14:paraId="64CF5DAE" w14:textId="77777777" w:rsidR="00054437" w:rsidRPr="000549B1" w:rsidRDefault="00000000">
            <w:pPr>
              <w:widowControl/>
              <w:spacing w:line="240" w:lineRule="atLeast"/>
              <w:jc w:val="center"/>
              <w:rPr>
                <w:i/>
                <w:iCs/>
                <w:kern w:val="0"/>
                <w:sz w:val="18"/>
                <w:szCs w:val="18"/>
              </w:rPr>
            </w:pPr>
            <w:r w:rsidRPr="000549B1">
              <w:rPr>
                <w:i/>
                <w:iCs/>
                <w:kern w:val="0"/>
                <w:sz w:val="18"/>
                <w:szCs w:val="18"/>
              </w:rPr>
              <w:t>Euglenophytaoxyuropsis</w:t>
            </w:r>
          </w:p>
        </w:tc>
        <w:tc>
          <w:tcPr>
            <w:tcW w:w="688" w:type="dxa"/>
            <w:noWrap/>
            <w:vAlign w:val="center"/>
          </w:tcPr>
          <w:p w14:paraId="0249CD36" w14:textId="77777777" w:rsidR="00054437" w:rsidRPr="000549B1" w:rsidRDefault="00054437">
            <w:pPr>
              <w:widowControl/>
              <w:spacing w:line="240" w:lineRule="atLeast"/>
              <w:rPr>
                <w:rFonts w:eastAsia="等线"/>
                <w:kern w:val="0"/>
                <w:sz w:val="18"/>
                <w:szCs w:val="18"/>
              </w:rPr>
            </w:pPr>
          </w:p>
        </w:tc>
        <w:tc>
          <w:tcPr>
            <w:tcW w:w="688" w:type="dxa"/>
            <w:noWrap/>
            <w:vAlign w:val="center"/>
          </w:tcPr>
          <w:p w14:paraId="6452316F"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403F5E98" w14:textId="77777777" w:rsidR="00054437" w:rsidRPr="000549B1" w:rsidRDefault="00054437">
            <w:pPr>
              <w:spacing w:line="240" w:lineRule="atLeast"/>
              <w:rPr>
                <w:kern w:val="0"/>
                <w:sz w:val="18"/>
                <w:szCs w:val="18"/>
              </w:rPr>
            </w:pPr>
          </w:p>
        </w:tc>
        <w:tc>
          <w:tcPr>
            <w:tcW w:w="688" w:type="dxa"/>
            <w:noWrap/>
            <w:vAlign w:val="center"/>
          </w:tcPr>
          <w:p w14:paraId="5A1CD3F2"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1EFBC5E1" w14:textId="77777777" w:rsidR="00054437" w:rsidRPr="000549B1" w:rsidRDefault="00054437">
            <w:pPr>
              <w:spacing w:line="240" w:lineRule="atLeast"/>
              <w:rPr>
                <w:kern w:val="0"/>
                <w:sz w:val="18"/>
                <w:szCs w:val="18"/>
              </w:rPr>
            </w:pPr>
          </w:p>
        </w:tc>
        <w:tc>
          <w:tcPr>
            <w:tcW w:w="689" w:type="dxa"/>
            <w:noWrap/>
            <w:vAlign w:val="center"/>
          </w:tcPr>
          <w:p w14:paraId="3BE30FD9" w14:textId="77777777" w:rsidR="00054437" w:rsidRPr="000549B1" w:rsidRDefault="00054437">
            <w:pPr>
              <w:widowControl/>
              <w:spacing w:line="240" w:lineRule="atLeast"/>
              <w:rPr>
                <w:rFonts w:eastAsia="等线"/>
                <w:kern w:val="0"/>
                <w:sz w:val="18"/>
                <w:szCs w:val="18"/>
              </w:rPr>
            </w:pPr>
          </w:p>
        </w:tc>
      </w:tr>
      <w:tr w:rsidR="000549B1" w:rsidRPr="000549B1" w14:paraId="29DF7CCB" w14:textId="77777777">
        <w:trPr>
          <w:trHeight w:val="300"/>
          <w:jc w:val="center"/>
        </w:trPr>
        <w:tc>
          <w:tcPr>
            <w:tcW w:w="1576" w:type="dxa"/>
            <w:vMerge/>
            <w:vAlign w:val="center"/>
          </w:tcPr>
          <w:p w14:paraId="0B5A8E6A" w14:textId="77777777" w:rsidR="00054437" w:rsidRPr="000549B1" w:rsidRDefault="00054437">
            <w:pPr>
              <w:widowControl/>
              <w:spacing w:line="240" w:lineRule="atLeast"/>
              <w:rPr>
                <w:kern w:val="0"/>
                <w:sz w:val="18"/>
                <w:szCs w:val="18"/>
              </w:rPr>
            </w:pPr>
          </w:p>
        </w:tc>
        <w:tc>
          <w:tcPr>
            <w:tcW w:w="1600" w:type="dxa"/>
            <w:noWrap/>
            <w:vAlign w:val="center"/>
          </w:tcPr>
          <w:p w14:paraId="2C1635CD" w14:textId="77777777" w:rsidR="00054437" w:rsidRPr="000549B1" w:rsidRDefault="00000000">
            <w:pPr>
              <w:widowControl/>
              <w:spacing w:line="240" w:lineRule="atLeast"/>
              <w:jc w:val="center"/>
              <w:rPr>
                <w:kern w:val="0"/>
                <w:sz w:val="18"/>
                <w:szCs w:val="18"/>
              </w:rPr>
            </w:pPr>
            <w:r w:rsidRPr="000549B1">
              <w:rPr>
                <w:kern w:val="0"/>
                <w:sz w:val="18"/>
                <w:szCs w:val="18"/>
              </w:rPr>
              <w:t>尖尾裸藻</w:t>
            </w:r>
          </w:p>
        </w:tc>
        <w:tc>
          <w:tcPr>
            <w:tcW w:w="2742" w:type="dxa"/>
            <w:noWrap/>
            <w:vAlign w:val="center"/>
          </w:tcPr>
          <w:p w14:paraId="6B1AC346" w14:textId="77777777" w:rsidR="00054437" w:rsidRPr="000549B1" w:rsidRDefault="00000000">
            <w:pPr>
              <w:widowControl/>
              <w:spacing w:line="240" w:lineRule="atLeast"/>
              <w:jc w:val="center"/>
              <w:rPr>
                <w:i/>
                <w:iCs/>
                <w:kern w:val="0"/>
                <w:sz w:val="18"/>
                <w:szCs w:val="18"/>
              </w:rPr>
            </w:pPr>
            <w:r w:rsidRPr="000549B1">
              <w:rPr>
                <w:i/>
                <w:iCs/>
                <w:kern w:val="0"/>
                <w:sz w:val="18"/>
                <w:szCs w:val="18"/>
              </w:rPr>
              <w:t>Euglenophytaoxyuris</w:t>
            </w:r>
          </w:p>
        </w:tc>
        <w:tc>
          <w:tcPr>
            <w:tcW w:w="688" w:type="dxa"/>
            <w:noWrap/>
            <w:vAlign w:val="center"/>
          </w:tcPr>
          <w:p w14:paraId="7CC25168" w14:textId="77777777" w:rsidR="00054437" w:rsidRPr="000549B1" w:rsidRDefault="00054437">
            <w:pPr>
              <w:spacing w:line="240" w:lineRule="atLeast"/>
              <w:rPr>
                <w:kern w:val="0"/>
                <w:sz w:val="18"/>
                <w:szCs w:val="18"/>
              </w:rPr>
            </w:pPr>
          </w:p>
        </w:tc>
        <w:tc>
          <w:tcPr>
            <w:tcW w:w="688" w:type="dxa"/>
            <w:noWrap/>
            <w:vAlign w:val="center"/>
          </w:tcPr>
          <w:p w14:paraId="45BA0216"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0BEED0D9"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63CED9EA" w14:textId="77777777" w:rsidR="00054437" w:rsidRPr="000549B1" w:rsidRDefault="00054437">
            <w:pPr>
              <w:spacing w:line="240" w:lineRule="atLeast"/>
              <w:rPr>
                <w:kern w:val="0"/>
                <w:sz w:val="18"/>
                <w:szCs w:val="18"/>
              </w:rPr>
            </w:pPr>
          </w:p>
        </w:tc>
        <w:tc>
          <w:tcPr>
            <w:tcW w:w="688" w:type="dxa"/>
            <w:noWrap/>
            <w:vAlign w:val="center"/>
          </w:tcPr>
          <w:p w14:paraId="118AD1FC" w14:textId="77777777" w:rsidR="00054437" w:rsidRPr="000549B1" w:rsidRDefault="00054437">
            <w:pPr>
              <w:widowControl/>
              <w:spacing w:line="240" w:lineRule="atLeast"/>
              <w:rPr>
                <w:rFonts w:eastAsia="等线"/>
                <w:kern w:val="0"/>
                <w:sz w:val="18"/>
                <w:szCs w:val="18"/>
              </w:rPr>
            </w:pPr>
          </w:p>
        </w:tc>
        <w:tc>
          <w:tcPr>
            <w:tcW w:w="689" w:type="dxa"/>
            <w:noWrap/>
            <w:vAlign w:val="center"/>
          </w:tcPr>
          <w:p w14:paraId="15A65A36" w14:textId="77777777" w:rsidR="00054437" w:rsidRPr="000549B1" w:rsidRDefault="00054437">
            <w:pPr>
              <w:widowControl/>
              <w:spacing w:line="240" w:lineRule="atLeast"/>
              <w:rPr>
                <w:rFonts w:eastAsia="等线"/>
                <w:kern w:val="0"/>
                <w:sz w:val="18"/>
                <w:szCs w:val="18"/>
              </w:rPr>
            </w:pPr>
          </w:p>
        </w:tc>
      </w:tr>
      <w:tr w:rsidR="000549B1" w:rsidRPr="000549B1" w14:paraId="498DAA94" w14:textId="77777777">
        <w:trPr>
          <w:trHeight w:val="300"/>
          <w:jc w:val="center"/>
        </w:trPr>
        <w:tc>
          <w:tcPr>
            <w:tcW w:w="1576" w:type="dxa"/>
            <w:vMerge w:val="restart"/>
            <w:noWrap/>
            <w:vAlign w:val="center"/>
          </w:tcPr>
          <w:p w14:paraId="7DC353E8" w14:textId="77777777" w:rsidR="00054437" w:rsidRPr="000549B1" w:rsidRDefault="00000000">
            <w:pPr>
              <w:widowControl/>
              <w:spacing w:line="240" w:lineRule="atLeast"/>
              <w:jc w:val="center"/>
              <w:rPr>
                <w:kern w:val="0"/>
                <w:sz w:val="18"/>
                <w:szCs w:val="18"/>
              </w:rPr>
            </w:pPr>
            <w:r w:rsidRPr="000549B1">
              <w:rPr>
                <w:kern w:val="0"/>
                <w:sz w:val="18"/>
                <w:szCs w:val="18"/>
              </w:rPr>
              <w:t>蓝藻门</w:t>
            </w:r>
            <w:r w:rsidRPr="000549B1">
              <w:rPr>
                <w:kern w:val="0"/>
                <w:sz w:val="18"/>
                <w:szCs w:val="18"/>
              </w:rPr>
              <w:t>Cyanophyta</w:t>
            </w:r>
          </w:p>
        </w:tc>
        <w:tc>
          <w:tcPr>
            <w:tcW w:w="1600" w:type="dxa"/>
            <w:noWrap/>
            <w:vAlign w:val="center"/>
          </w:tcPr>
          <w:p w14:paraId="4976D528" w14:textId="77777777" w:rsidR="00054437" w:rsidRPr="000549B1" w:rsidRDefault="00000000">
            <w:pPr>
              <w:widowControl/>
              <w:spacing w:line="240" w:lineRule="atLeast"/>
              <w:jc w:val="center"/>
              <w:rPr>
                <w:kern w:val="0"/>
                <w:sz w:val="18"/>
                <w:szCs w:val="18"/>
              </w:rPr>
            </w:pPr>
            <w:r w:rsidRPr="000549B1">
              <w:rPr>
                <w:kern w:val="0"/>
                <w:sz w:val="18"/>
                <w:szCs w:val="18"/>
              </w:rPr>
              <w:t>小席藻</w:t>
            </w:r>
          </w:p>
        </w:tc>
        <w:tc>
          <w:tcPr>
            <w:tcW w:w="2742" w:type="dxa"/>
            <w:noWrap/>
            <w:vAlign w:val="center"/>
          </w:tcPr>
          <w:p w14:paraId="6EDC2C55" w14:textId="77777777" w:rsidR="00054437" w:rsidRPr="000549B1" w:rsidRDefault="00000000">
            <w:pPr>
              <w:widowControl/>
              <w:spacing w:line="240" w:lineRule="atLeast"/>
              <w:jc w:val="center"/>
              <w:rPr>
                <w:i/>
                <w:iCs/>
                <w:kern w:val="0"/>
                <w:sz w:val="18"/>
                <w:szCs w:val="18"/>
              </w:rPr>
            </w:pPr>
            <w:r w:rsidRPr="000549B1">
              <w:rPr>
                <w:i/>
                <w:iCs/>
                <w:kern w:val="0"/>
                <w:sz w:val="18"/>
                <w:szCs w:val="18"/>
              </w:rPr>
              <w:t>Phorimidiumtenus</w:t>
            </w:r>
          </w:p>
        </w:tc>
        <w:tc>
          <w:tcPr>
            <w:tcW w:w="688" w:type="dxa"/>
            <w:noWrap/>
            <w:vAlign w:val="center"/>
          </w:tcPr>
          <w:p w14:paraId="0F9D99B1" w14:textId="77777777" w:rsidR="00054437" w:rsidRPr="000549B1" w:rsidRDefault="00054437">
            <w:pPr>
              <w:spacing w:line="240" w:lineRule="atLeast"/>
              <w:rPr>
                <w:kern w:val="0"/>
                <w:sz w:val="18"/>
                <w:szCs w:val="18"/>
              </w:rPr>
            </w:pPr>
          </w:p>
        </w:tc>
        <w:tc>
          <w:tcPr>
            <w:tcW w:w="688" w:type="dxa"/>
            <w:noWrap/>
            <w:vAlign w:val="center"/>
          </w:tcPr>
          <w:p w14:paraId="2C1DC27D" w14:textId="77777777" w:rsidR="00054437" w:rsidRPr="000549B1" w:rsidRDefault="00054437">
            <w:pPr>
              <w:widowControl/>
              <w:spacing w:line="240" w:lineRule="atLeast"/>
              <w:rPr>
                <w:rFonts w:eastAsia="等线"/>
                <w:kern w:val="0"/>
                <w:sz w:val="18"/>
                <w:szCs w:val="18"/>
              </w:rPr>
            </w:pPr>
          </w:p>
        </w:tc>
        <w:tc>
          <w:tcPr>
            <w:tcW w:w="688" w:type="dxa"/>
            <w:noWrap/>
            <w:vAlign w:val="center"/>
          </w:tcPr>
          <w:p w14:paraId="0CBB0F2D" w14:textId="77777777" w:rsidR="00054437" w:rsidRPr="000549B1" w:rsidRDefault="00054437">
            <w:pPr>
              <w:widowControl/>
              <w:spacing w:line="240" w:lineRule="atLeast"/>
              <w:rPr>
                <w:rFonts w:eastAsia="等线"/>
                <w:kern w:val="0"/>
                <w:sz w:val="18"/>
                <w:szCs w:val="18"/>
              </w:rPr>
            </w:pPr>
          </w:p>
        </w:tc>
        <w:tc>
          <w:tcPr>
            <w:tcW w:w="688" w:type="dxa"/>
            <w:noWrap/>
            <w:vAlign w:val="center"/>
          </w:tcPr>
          <w:p w14:paraId="7F41FC0C"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216F5C3C" w14:textId="77777777" w:rsidR="00054437" w:rsidRPr="000549B1" w:rsidRDefault="00054437">
            <w:pPr>
              <w:spacing w:line="240" w:lineRule="atLeast"/>
              <w:rPr>
                <w:kern w:val="0"/>
                <w:sz w:val="18"/>
                <w:szCs w:val="18"/>
              </w:rPr>
            </w:pPr>
          </w:p>
        </w:tc>
        <w:tc>
          <w:tcPr>
            <w:tcW w:w="689" w:type="dxa"/>
            <w:noWrap/>
            <w:vAlign w:val="center"/>
          </w:tcPr>
          <w:p w14:paraId="483237A6" w14:textId="77777777" w:rsidR="00054437" w:rsidRPr="000549B1" w:rsidRDefault="00054437">
            <w:pPr>
              <w:widowControl/>
              <w:spacing w:line="240" w:lineRule="atLeast"/>
              <w:rPr>
                <w:rFonts w:eastAsia="等线"/>
                <w:kern w:val="0"/>
                <w:sz w:val="18"/>
                <w:szCs w:val="18"/>
              </w:rPr>
            </w:pPr>
          </w:p>
        </w:tc>
      </w:tr>
      <w:tr w:rsidR="000549B1" w:rsidRPr="000549B1" w14:paraId="7464B025" w14:textId="77777777">
        <w:trPr>
          <w:trHeight w:val="300"/>
          <w:jc w:val="center"/>
        </w:trPr>
        <w:tc>
          <w:tcPr>
            <w:tcW w:w="1576" w:type="dxa"/>
            <w:vMerge/>
            <w:vAlign w:val="center"/>
          </w:tcPr>
          <w:p w14:paraId="5AD5D059" w14:textId="77777777" w:rsidR="00054437" w:rsidRPr="000549B1" w:rsidRDefault="00054437">
            <w:pPr>
              <w:widowControl/>
              <w:spacing w:line="240" w:lineRule="atLeast"/>
              <w:rPr>
                <w:kern w:val="0"/>
                <w:sz w:val="18"/>
                <w:szCs w:val="18"/>
              </w:rPr>
            </w:pPr>
          </w:p>
        </w:tc>
        <w:tc>
          <w:tcPr>
            <w:tcW w:w="1600" w:type="dxa"/>
            <w:noWrap/>
            <w:vAlign w:val="center"/>
          </w:tcPr>
          <w:p w14:paraId="57A6C557" w14:textId="77777777" w:rsidR="00054437" w:rsidRPr="000549B1" w:rsidRDefault="00000000">
            <w:pPr>
              <w:widowControl/>
              <w:spacing w:line="240" w:lineRule="atLeast"/>
              <w:jc w:val="center"/>
              <w:rPr>
                <w:kern w:val="0"/>
                <w:sz w:val="18"/>
                <w:szCs w:val="18"/>
              </w:rPr>
            </w:pPr>
            <w:r w:rsidRPr="000549B1">
              <w:rPr>
                <w:kern w:val="0"/>
                <w:sz w:val="18"/>
                <w:szCs w:val="18"/>
              </w:rPr>
              <w:t>小颤藻</w:t>
            </w:r>
          </w:p>
        </w:tc>
        <w:tc>
          <w:tcPr>
            <w:tcW w:w="2742" w:type="dxa"/>
            <w:noWrap/>
            <w:vAlign w:val="center"/>
          </w:tcPr>
          <w:p w14:paraId="33ED80BC" w14:textId="77777777" w:rsidR="00054437" w:rsidRPr="000549B1" w:rsidRDefault="00000000">
            <w:pPr>
              <w:widowControl/>
              <w:spacing w:line="240" w:lineRule="atLeast"/>
              <w:jc w:val="center"/>
              <w:rPr>
                <w:i/>
                <w:iCs/>
                <w:kern w:val="0"/>
                <w:sz w:val="18"/>
                <w:szCs w:val="18"/>
              </w:rPr>
            </w:pPr>
            <w:r w:rsidRPr="000549B1">
              <w:rPr>
                <w:i/>
                <w:iCs/>
                <w:kern w:val="0"/>
                <w:sz w:val="18"/>
                <w:szCs w:val="18"/>
              </w:rPr>
              <w:t>Oscillatoriatenuis</w:t>
            </w:r>
          </w:p>
        </w:tc>
        <w:tc>
          <w:tcPr>
            <w:tcW w:w="688" w:type="dxa"/>
            <w:noWrap/>
            <w:vAlign w:val="center"/>
          </w:tcPr>
          <w:p w14:paraId="397075E1"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2A66FA74"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4BA2F314"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45543649" w14:textId="77777777" w:rsidR="00054437" w:rsidRPr="000549B1" w:rsidRDefault="00054437">
            <w:pPr>
              <w:spacing w:line="240" w:lineRule="atLeast"/>
              <w:rPr>
                <w:kern w:val="0"/>
                <w:sz w:val="18"/>
                <w:szCs w:val="18"/>
              </w:rPr>
            </w:pPr>
          </w:p>
        </w:tc>
        <w:tc>
          <w:tcPr>
            <w:tcW w:w="688" w:type="dxa"/>
            <w:noWrap/>
            <w:vAlign w:val="center"/>
          </w:tcPr>
          <w:p w14:paraId="4AB35733" w14:textId="77777777" w:rsidR="00054437" w:rsidRPr="000549B1" w:rsidRDefault="00054437">
            <w:pPr>
              <w:widowControl/>
              <w:spacing w:line="240" w:lineRule="atLeast"/>
              <w:rPr>
                <w:rFonts w:eastAsia="等线"/>
                <w:kern w:val="0"/>
                <w:sz w:val="18"/>
                <w:szCs w:val="18"/>
              </w:rPr>
            </w:pPr>
          </w:p>
        </w:tc>
        <w:tc>
          <w:tcPr>
            <w:tcW w:w="689" w:type="dxa"/>
            <w:noWrap/>
            <w:vAlign w:val="center"/>
          </w:tcPr>
          <w:p w14:paraId="5D2520B5" w14:textId="77777777" w:rsidR="00054437" w:rsidRPr="000549B1" w:rsidRDefault="00054437">
            <w:pPr>
              <w:widowControl/>
              <w:spacing w:line="240" w:lineRule="atLeast"/>
              <w:rPr>
                <w:rFonts w:eastAsia="等线"/>
                <w:kern w:val="0"/>
                <w:sz w:val="18"/>
                <w:szCs w:val="18"/>
              </w:rPr>
            </w:pPr>
          </w:p>
        </w:tc>
      </w:tr>
      <w:tr w:rsidR="000549B1" w:rsidRPr="000549B1" w14:paraId="7E3AF2C1" w14:textId="77777777">
        <w:trPr>
          <w:trHeight w:val="300"/>
          <w:jc w:val="center"/>
        </w:trPr>
        <w:tc>
          <w:tcPr>
            <w:tcW w:w="1576" w:type="dxa"/>
            <w:vMerge/>
            <w:vAlign w:val="center"/>
          </w:tcPr>
          <w:p w14:paraId="55C666F6" w14:textId="77777777" w:rsidR="00054437" w:rsidRPr="000549B1" w:rsidRDefault="00054437">
            <w:pPr>
              <w:widowControl/>
              <w:spacing w:line="240" w:lineRule="atLeast"/>
              <w:rPr>
                <w:kern w:val="0"/>
                <w:sz w:val="18"/>
                <w:szCs w:val="18"/>
              </w:rPr>
            </w:pPr>
          </w:p>
        </w:tc>
        <w:tc>
          <w:tcPr>
            <w:tcW w:w="1600" w:type="dxa"/>
            <w:noWrap/>
            <w:vAlign w:val="center"/>
          </w:tcPr>
          <w:p w14:paraId="3768DE62" w14:textId="77777777" w:rsidR="00054437" w:rsidRPr="000549B1" w:rsidRDefault="00000000">
            <w:pPr>
              <w:widowControl/>
              <w:spacing w:line="240" w:lineRule="atLeast"/>
              <w:jc w:val="center"/>
              <w:rPr>
                <w:kern w:val="0"/>
                <w:sz w:val="18"/>
                <w:szCs w:val="18"/>
              </w:rPr>
            </w:pPr>
            <w:r w:rsidRPr="000549B1">
              <w:rPr>
                <w:kern w:val="0"/>
                <w:sz w:val="18"/>
                <w:szCs w:val="18"/>
              </w:rPr>
              <w:t>蛇形颤藻</w:t>
            </w:r>
          </w:p>
        </w:tc>
        <w:tc>
          <w:tcPr>
            <w:tcW w:w="2742" w:type="dxa"/>
            <w:noWrap/>
            <w:vAlign w:val="center"/>
          </w:tcPr>
          <w:p w14:paraId="4D282879" w14:textId="77777777" w:rsidR="00054437" w:rsidRPr="000549B1" w:rsidRDefault="00000000">
            <w:pPr>
              <w:widowControl/>
              <w:spacing w:line="240" w:lineRule="atLeast"/>
              <w:jc w:val="center"/>
              <w:rPr>
                <w:i/>
                <w:iCs/>
                <w:kern w:val="0"/>
                <w:sz w:val="18"/>
                <w:szCs w:val="18"/>
              </w:rPr>
            </w:pPr>
            <w:r w:rsidRPr="000549B1">
              <w:rPr>
                <w:i/>
                <w:iCs/>
                <w:kern w:val="0"/>
                <w:sz w:val="18"/>
                <w:szCs w:val="18"/>
              </w:rPr>
              <w:t>Oscillatoriaanguina</w:t>
            </w:r>
          </w:p>
        </w:tc>
        <w:tc>
          <w:tcPr>
            <w:tcW w:w="688" w:type="dxa"/>
            <w:noWrap/>
            <w:vAlign w:val="center"/>
          </w:tcPr>
          <w:p w14:paraId="18A57FC1"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2022C1C4"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70704DF2" w14:textId="77777777" w:rsidR="00054437" w:rsidRPr="000549B1" w:rsidRDefault="00054437">
            <w:pPr>
              <w:spacing w:line="240" w:lineRule="atLeast"/>
              <w:rPr>
                <w:kern w:val="0"/>
                <w:sz w:val="18"/>
                <w:szCs w:val="18"/>
              </w:rPr>
            </w:pPr>
          </w:p>
        </w:tc>
        <w:tc>
          <w:tcPr>
            <w:tcW w:w="688" w:type="dxa"/>
            <w:noWrap/>
            <w:vAlign w:val="center"/>
          </w:tcPr>
          <w:p w14:paraId="1F6B43A3"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710E8E77" w14:textId="77777777" w:rsidR="00054437" w:rsidRPr="000549B1" w:rsidRDefault="00054437">
            <w:pPr>
              <w:spacing w:line="240" w:lineRule="atLeast"/>
              <w:rPr>
                <w:kern w:val="0"/>
                <w:sz w:val="18"/>
                <w:szCs w:val="18"/>
              </w:rPr>
            </w:pPr>
          </w:p>
        </w:tc>
        <w:tc>
          <w:tcPr>
            <w:tcW w:w="689" w:type="dxa"/>
            <w:noWrap/>
            <w:vAlign w:val="center"/>
          </w:tcPr>
          <w:p w14:paraId="567C6BA8" w14:textId="77777777" w:rsidR="00054437" w:rsidRPr="000549B1" w:rsidRDefault="00054437">
            <w:pPr>
              <w:widowControl/>
              <w:spacing w:line="240" w:lineRule="atLeast"/>
              <w:rPr>
                <w:rFonts w:eastAsia="等线"/>
                <w:kern w:val="0"/>
                <w:sz w:val="18"/>
                <w:szCs w:val="18"/>
              </w:rPr>
            </w:pPr>
          </w:p>
        </w:tc>
      </w:tr>
      <w:tr w:rsidR="000549B1" w:rsidRPr="000549B1" w14:paraId="7E79F829" w14:textId="77777777">
        <w:trPr>
          <w:trHeight w:val="300"/>
          <w:jc w:val="center"/>
        </w:trPr>
        <w:tc>
          <w:tcPr>
            <w:tcW w:w="1576" w:type="dxa"/>
            <w:vMerge/>
            <w:vAlign w:val="center"/>
          </w:tcPr>
          <w:p w14:paraId="367FD771" w14:textId="77777777" w:rsidR="00054437" w:rsidRPr="000549B1" w:rsidRDefault="00054437">
            <w:pPr>
              <w:widowControl/>
              <w:spacing w:line="240" w:lineRule="atLeast"/>
              <w:rPr>
                <w:kern w:val="0"/>
                <w:sz w:val="18"/>
                <w:szCs w:val="18"/>
              </w:rPr>
            </w:pPr>
          </w:p>
        </w:tc>
        <w:tc>
          <w:tcPr>
            <w:tcW w:w="1600" w:type="dxa"/>
            <w:noWrap/>
            <w:vAlign w:val="center"/>
          </w:tcPr>
          <w:p w14:paraId="6178D14E" w14:textId="77777777" w:rsidR="00054437" w:rsidRPr="000549B1" w:rsidRDefault="00000000">
            <w:pPr>
              <w:widowControl/>
              <w:spacing w:line="240" w:lineRule="atLeast"/>
              <w:jc w:val="center"/>
              <w:rPr>
                <w:kern w:val="0"/>
                <w:sz w:val="18"/>
                <w:szCs w:val="18"/>
              </w:rPr>
            </w:pPr>
            <w:r w:rsidRPr="000549B1">
              <w:rPr>
                <w:kern w:val="0"/>
                <w:sz w:val="18"/>
                <w:szCs w:val="18"/>
              </w:rPr>
              <w:t>螺旋藻</w:t>
            </w:r>
          </w:p>
        </w:tc>
        <w:tc>
          <w:tcPr>
            <w:tcW w:w="2742" w:type="dxa"/>
            <w:noWrap/>
            <w:vAlign w:val="center"/>
          </w:tcPr>
          <w:p w14:paraId="73029392" w14:textId="77777777" w:rsidR="00054437" w:rsidRPr="000549B1" w:rsidRDefault="00000000">
            <w:pPr>
              <w:widowControl/>
              <w:spacing w:line="240" w:lineRule="atLeast"/>
              <w:jc w:val="center"/>
              <w:rPr>
                <w:i/>
                <w:iCs/>
                <w:kern w:val="0"/>
                <w:sz w:val="18"/>
                <w:szCs w:val="18"/>
              </w:rPr>
            </w:pPr>
            <w:r w:rsidRPr="000549B1">
              <w:rPr>
                <w:i/>
                <w:iCs/>
                <w:kern w:val="0"/>
                <w:sz w:val="18"/>
                <w:szCs w:val="18"/>
              </w:rPr>
              <w:t>Spirulina</w:t>
            </w:r>
            <w:r w:rsidRPr="000549B1">
              <w:rPr>
                <w:kern w:val="0"/>
                <w:sz w:val="18"/>
                <w:szCs w:val="18"/>
              </w:rPr>
              <w:t>sp.</w:t>
            </w:r>
          </w:p>
        </w:tc>
        <w:tc>
          <w:tcPr>
            <w:tcW w:w="688" w:type="dxa"/>
            <w:noWrap/>
            <w:vAlign w:val="center"/>
          </w:tcPr>
          <w:p w14:paraId="44E43A01" w14:textId="77777777" w:rsidR="00054437" w:rsidRPr="000549B1" w:rsidRDefault="00054437">
            <w:pPr>
              <w:widowControl/>
              <w:spacing w:line="240" w:lineRule="atLeast"/>
              <w:rPr>
                <w:rFonts w:eastAsia="等线"/>
                <w:kern w:val="0"/>
                <w:sz w:val="18"/>
                <w:szCs w:val="18"/>
              </w:rPr>
            </w:pPr>
          </w:p>
        </w:tc>
        <w:tc>
          <w:tcPr>
            <w:tcW w:w="688" w:type="dxa"/>
            <w:noWrap/>
            <w:vAlign w:val="center"/>
          </w:tcPr>
          <w:p w14:paraId="02921CD9"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3A695433" w14:textId="77777777" w:rsidR="00054437" w:rsidRPr="000549B1" w:rsidRDefault="00054437">
            <w:pPr>
              <w:spacing w:line="240" w:lineRule="atLeast"/>
              <w:rPr>
                <w:kern w:val="0"/>
                <w:sz w:val="18"/>
                <w:szCs w:val="18"/>
              </w:rPr>
            </w:pPr>
          </w:p>
        </w:tc>
        <w:tc>
          <w:tcPr>
            <w:tcW w:w="688" w:type="dxa"/>
            <w:noWrap/>
            <w:vAlign w:val="center"/>
          </w:tcPr>
          <w:p w14:paraId="75CFF82D" w14:textId="77777777" w:rsidR="00054437" w:rsidRPr="000549B1" w:rsidRDefault="00054437">
            <w:pPr>
              <w:widowControl/>
              <w:spacing w:line="240" w:lineRule="atLeast"/>
              <w:rPr>
                <w:rFonts w:eastAsia="等线"/>
                <w:kern w:val="0"/>
                <w:sz w:val="18"/>
                <w:szCs w:val="18"/>
              </w:rPr>
            </w:pPr>
          </w:p>
        </w:tc>
        <w:tc>
          <w:tcPr>
            <w:tcW w:w="688" w:type="dxa"/>
            <w:noWrap/>
            <w:vAlign w:val="center"/>
          </w:tcPr>
          <w:p w14:paraId="4670CA69" w14:textId="77777777" w:rsidR="00054437" w:rsidRPr="000549B1" w:rsidRDefault="00054437">
            <w:pPr>
              <w:widowControl/>
              <w:spacing w:line="240" w:lineRule="atLeast"/>
              <w:rPr>
                <w:rFonts w:eastAsia="等线"/>
                <w:kern w:val="0"/>
                <w:sz w:val="18"/>
                <w:szCs w:val="18"/>
              </w:rPr>
            </w:pPr>
          </w:p>
        </w:tc>
        <w:tc>
          <w:tcPr>
            <w:tcW w:w="689" w:type="dxa"/>
            <w:noWrap/>
            <w:vAlign w:val="center"/>
          </w:tcPr>
          <w:p w14:paraId="701205EB" w14:textId="77777777" w:rsidR="00054437" w:rsidRPr="000549B1" w:rsidRDefault="00054437">
            <w:pPr>
              <w:widowControl/>
              <w:spacing w:line="240" w:lineRule="atLeast"/>
              <w:rPr>
                <w:rFonts w:eastAsia="等线"/>
                <w:kern w:val="0"/>
                <w:sz w:val="18"/>
                <w:szCs w:val="18"/>
              </w:rPr>
            </w:pPr>
          </w:p>
        </w:tc>
      </w:tr>
      <w:tr w:rsidR="000549B1" w:rsidRPr="000549B1" w14:paraId="5043E5CB" w14:textId="77777777">
        <w:trPr>
          <w:trHeight w:val="300"/>
          <w:jc w:val="center"/>
        </w:trPr>
        <w:tc>
          <w:tcPr>
            <w:tcW w:w="1576" w:type="dxa"/>
            <w:noWrap/>
            <w:vAlign w:val="center"/>
          </w:tcPr>
          <w:p w14:paraId="28323D66" w14:textId="77777777" w:rsidR="00054437" w:rsidRPr="000549B1" w:rsidRDefault="00000000">
            <w:pPr>
              <w:widowControl/>
              <w:spacing w:line="240" w:lineRule="atLeast"/>
              <w:jc w:val="center"/>
              <w:rPr>
                <w:kern w:val="0"/>
                <w:sz w:val="18"/>
                <w:szCs w:val="18"/>
              </w:rPr>
            </w:pPr>
            <w:r w:rsidRPr="000549B1">
              <w:rPr>
                <w:kern w:val="0"/>
                <w:sz w:val="18"/>
                <w:szCs w:val="18"/>
              </w:rPr>
              <w:t>甲藻门</w:t>
            </w:r>
            <w:r w:rsidRPr="000549B1">
              <w:rPr>
                <w:kern w:val="0"/>
                <w:sz w:val="18"/>
                <w:szCs w:val="18"/>
              </w:rPr>
              <w:t>Pyrrophta</w:t>
            </w:r>
          </w:p>
        </w:tc>
        <w:tc>
          <w:tcPr>
            <w:tcW w:w="1600" w:type="dxa"/>
            <w:noWrap/>
            <w:vAlign w:val="center"/>
          </w:tcPr>
          <w:p w14:paraId="2A6A3950" w14:textId="77777777" w:rsidR="00054437" w:rsidRPr="000549B1" w:rsidRDefault="00000000">
            <w:pPr>
              <w:widowControl/>
              <w:spacing w:line="240" w:lineRule="atLeast"/>
              <w:jc w:val="center"/>
              <w:rPr>
                <w:kern w:val="0"/>
                <w:sz w:val="18"/>
                <w:szCs w:val="18"/>
              </w:rPr>
            </w:pPr>
            <w:r w:rsidRPr="000549B1">
              <w:rPr>
                <w:kern w:val="0"/>
                <w:sz w:val="18"/>
                <w:szCs w:val="18"/>
              </w:rPr>
              <w:t>裸甲藻</w:t>
            </w:r>
          </w:p>
        </w:tc>
        <w:tc>
          <w:tcPr>
            <w:tcW w:w="2742" w:type="dxa"/>
            <w:noWrap/>
            <w:vAlign w:val="center"/>
          </w:tcPr>
          <w:p w14:paraId="482581F0" w14:textId="77777777" w:rsidR="00054437" w:rsidRPr="000549B1" w:rsidRDefault="00000000">
            <w:pPr>
              <w:widowControl/>
              <w:spacing w:line="240" w:lineRule="atLeast"/>
              <w:jc w:val="center"/>
              <w:rPr>
                <w:i/>
                <w:iCs/>
                <w:kern w:val="0"/>
                <w:sz w:val="18"/>
                <w:szCs w:val="18"/>
              </w:rPr>
            </w:pPr>
            <w:r w:rsidRPr="000549B1">
              <w:rPr>
                <w:i/>
                <w:iCs/>
                <w:kern w:val="0"/>
                <w:sz w:val="18"/>
                <w:szCs w:val="18"/>
              </w:rPr>
              <w:t>Pyrrophtaaeruginosum</w:t>
            </w:r>
          </w:p>
        </w:tc>
        <w:tc>
          <w:tcPr>
            <w:tcW w:w="688" w:type="dxa"/>
            <w:noWrap/>
            <w:vAlign w:val="center"/>
          </w:tcPr>
          <w:p w14:paraId="61F69FCA" w14:textId="77777777" w:rsidR="00054437" w:rsidRPr="000549B1" w:rsidRDefault="00054437">
            <w:pPr>
              <w:widowControl/>
              <w:spacing w:line="240" w:lineRule="atLeast"/>
              <w:rPr>
                <w:rFonts w:eastAsia="等线"/>
                <w:kern w:val="0"/>
                <w:sz w:val="18"/>
                <w:szCs w:val="18"/>
              </w:rPr>
            </w:pPr>
          </w:p>
        </w:tc>
        <w:tc>
          <w:tcPr>
            <w:tcW w:w="688" w:type="dxa"/>
            <w:noWrap/>
            <w:vAlign w:val="center"/>
          </w:tcPr>
          <w:p w14:paraId="4D5CECC9"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00F4C426" w14:textId="77777777" w:rsidR="00054437" w:rsidRPr="000549B1" w:rsidRDefault="00054437">
            <w:pPr>
              <w:spacing w:line="240" w:lineRule="atLeast"/>
              <w:rPr>
                <w:kern w:val="0"/>
                <w:sz w:val="18"/>
                <w:szCs w:val="18"/>
              </w:rPr>
            </w:pPr>
          </w:p>
        </w:tc>
        <w:tc>
          <w:tcPr>
            <w:tcW w:w="688" w:type="dxa"/>
            <w:noWrap/>
            <w:vAlign w:val="center"/>
          </w:tcPr>
          <w:p w14:paraId="49159336" w14:textId="77777777" w:rsidR="00054437" w:rsidRPr="000549B1" w:rsidRDefault="00054437">
            <w:pPr>
              <w:widowControl/>
              <w:spacing w:line="240" w:lineRule="atLeast"/>
              <w:rPr>
                <w:rFonts w:eastAsia="等线"/>
                <w:kern w:val="0"/>
                <w:sz w:val="18"/>
                <w:szCs w:val="18"/>
              </w:rPr>
            </w:pPr>
          </w:p>
        </w:tc>
        <w:tc>
          <w:tcPr>
            <w:tcW w:w="688" w:type="dxa"/>
            <w:noWrap/>
            <w:vAlign w:val="center"/>
          </w:tcPr>
          <w:p w14:paraId="5BBD5B4E" w14:textId="77777777" w:rsidR="00054437" w:rsidRPr="000549B1" w:rsidRDefault="00054437">
            <w:pPr>
              <w:widowControl/>
              <w:spacing w:line="240" w:lineRule="atLeast"/>
              <w:rPr>
                <w:rFonts w:eastAsia="等线"/>
                <w:kern w:val="0"/>
                <w:sz w:val="18"/>
                <w:szCs w:val="18"/>
              </w:rPr>
            </w:pPr>
          </w:p>
        </w:tc>
        <w:tc>
          <w:tcPr>
            <w:tcW w:w="689" w:type="dxa"/>
            <w:noWrap/>
            <w:vAlign w:val="center"/>
          </w:tcPr>
          <w:p w14:paraId="0A6498BB" w14:textId="77777777" w:rsidR="00054437" w:rsidRPr="000549B1" w:rsidRDefault="00054437">
            <w:pPr>
              <w:widowControl/>
              <w:spacing w:line="240" w:lineRule="atLeast"/>
              <w:rPr>
                <w:rFonts w:eastAsia="等线"/>
                <w:kern w:val="0"/>
                <w:sz w:val="18"/>
                <w:szCs w:val="18"/>
              </w:rPr>
            </w:pPr>
          </w:p>
        </w:tc>
      </w:tr>
      <w:tr w:rsidR="000549B1" w:rsidRPr="000549B1" w14:paraId="76877618" w14:textId="77777777">
        <w:trPr>
          <w:trHeight w:val="300"/>
          <w:jc w:val="center"/>
        </w:trPr>
        <w:tc>
          <w:tcPr>
            <w:tcW w:w="1576" w:type="dxa"/>
            <w:noWrap/>
            <w:vAlign w:val="center"/>
          </w:tcPr>
          <w:p w14:paraId="57D38EDC" w14:textId="77777777" w:rsidR="00054437" w:rsidRPr="000549B1" w:rsidRDefault="00000000">
            <w:pPr>
              <w:widowControl/>
              <w:spacing w:line="240" w:lineRule="atLeast"/>
              <w:jc w:val="center"/>
              <w:rPr>
                <w:kern w:val="0"/>
                <w:sz w:val="18"/>
                <w:szCs w:val="18"/>
              </w:rPr>
            </w:pPr>
            <w:r w:rsidRPr="000549B1">
              <w:rPr>
                <w:kern w:val="0"/>
                <w:sz w:val="18"/>
                <w:szCs w:val="18"/>
              </w:rPr>
              <w:t>金藻门</w:t>
            </w:r>
            <w:r w:rsidRPr="000549B1">
              <w:rPr>
                <w:kern w:val="0"/>
                <w:sz w:val="18"/>
                <w:szCs w:val="18"/>
              </w:rPr>
              <w:t>Chrysophyta</w:t>
            </w:r>
          </w:p>
        </w:tc>
        <w:tc>
          <w:tcPr>
            <w:tcW w:w="1600" w:type="dxa"/>
            <w:noWrap/>
            <w:vAlign w:val="center"/>
          </w:tcPr>
          <w:p w14:paraId="6A1C8043" w14:textId="77777777" w:rsidR="00054437" w:rsidRPr="000549B1" w:rsidRDefault="00000000">
            <w:pPr>
              <w:widowControl/>
              <w:spacing w:line="240" w:lineRule="atLeast"/>
              <w:jc w:val="center"/>
              <w:rPr>
                <w:kern w:val="0"/>
                <w:sz w:val="18"/>
                <w:szCs w:val="18"/>
              </w:rPr>
            </w:pPr>
            <w:r w:rsidRPr="000549B1">
              <w:rPr>
                <w:kern w:val="0"/>
                <w:sz w:val="18"/>
                <w:szCs w:val="18"/>
              </w:rPr>
              <w:t>分歧锥囊藻</w:t>
            </w:r>
          </w:p>
        </w:tc>
        <w:tc>
          <w:tcPr>
            <w:tcW w:w="2742" w:type="dxa"/>
            <w:noWrap/>
            <w:vAlign w:val="center"/>
          </w:tcPr>
          <w:p w14:paraId="62716B38" w14:textId="77777777" w:rsidR="00054437" w:rsidRPr="000549B1" w:rsidRDefault="00000000">
            <w:pPr>
              <w:widowControl/>
              <w:spacing w:line="240" w:lineRule="atLeast"/>
              <w:jc w:val="center"/>
              <w:rPr>
                <w:i/>
                <w:iCs/>
                <w:kern w:val="0"/>
                <w:sz w:val="18"/>
                <w:szCs w:val="18"/>
              </w:rPr>
            </w:pPr>
            <w:r w:rsidRPr="000549B1">
              <w:rPr>
                <w:i/>
                <w:iCs/>
                <w:kern w:val="0"/>
                <w:sz w:val="18"/>
                <w:szCs w:val="18"/>
              </w:rPr>
              <w:t>Dinobryondivergens</w:t>
            </w:r>
          </w:p>
        </w:tc>
        <w:tc>
          <w:tcPr>
            <w:tcW w:w="688" w:type="dxa"/>
            <w:noWrap/>
            <w:vAlign w:val="center"/>
          </w:tcPr>
          <w:p w14:paraId="342B3E3A" w14:textId="77777777" w:rsidR="00054437" w:rsidRPr="000549B1" w:rsidRDefault="00054437">
            <w:pPr>
              <w:widowControl/>
              <w:spacing w:line="240" w:lineRule="atLeast"/>
              <w:rPr>
                <w:rFonts w:eastAsia="等线"/>
                <w:kern w:val="0"/>
                <w:sz w:val="18"/>
                <w:szCs w:val="18"/>
              </w:rPr>
            </w:pPr>
          </w:p>
        </w:tc>
        <w:tc>
          <w:tcPr>
            <w:tcW w:w="688" w:type="dxa"/>
            <w:noWrap/>
            <w:vAlign w:val="center"/>
          </w:tcPr>
          <w:p w14:paraId="79FF0CB6"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4897938F" w14:textId="77777777" w:rsidR="00054437" w:rsidRPr="000549B1" w:rsidRDefault="00000000">
            <w:pPr>
              <w:widowControl/>
              <w:spacing w:line="240" w:lineRule="atLeast"/>
              <w:jc w:val="center"/>
              <w:rPr>
                <w:kern w:val="0"/>
                <w:sz w:val="18"/>
                <w:szCs w:val="18"/>
              </w:rPr>
            </w:pPr>
            <w:r w:rsidRPr="000549B1">
              <w:rPr>
                <w:kern w:val="0"/>
                <w:sz w:val="18"/>
                <w:szCs w:val="18"/>
              </w:rPr>
              <w:t>+</w:t>
            </w:r>
          </w:p>
        </w:tc>
        <w:tc>
          <w:tcPr>
            <w:tcW w:w="688" w:type="dxa"/>
            <w:noWrap/>
            <w:vAlign w:val="center"/>
          </w:tcPr>
          <w:p w14:paraId="7A04AF16" w14:textId="77777777" w:rsidR="00054437" w:rsidRPr="000549B1" w:rsidRDefault="00054437">
            <w:pPr>
              <w:spacing w:line="240" w:lineRule="atLeast"/>
              <w:rPr>
                <w:kern w:val="0"/>
                <w:sz w:val="18"/>
                <w:szCs w:val="18"/>
              </w:rPr>
            </w:pPr>
          </w:p>
        </w:tc>
        <w:tc>
          <w:tcPr>
            <w:tcW w:w="688" w:type="dxa"/>
            <w:noWrap/>
            <w:vAlign w:val="center"/>
          </w:tcPr>
          <w:p w14:paraId="20BDCC8A" w14:textId="77777777" w:rsidR="00054437" w:rsidRPr="000549B1" w:rsidRDefault="00054437">
            <w:pPr>
              <w:widowControl/>
              <w:spacing w:line="240" w:lineRule="atLeast"/>
              <w:rPr>
                <w:rFonts w:eastAsia="等线"/>
                <w:kern w:val="0"/>
                <w:sz w:val="18"/>
                <w:szCs w:val="18"/>
              </w:rPr>
            </w:pPr>
          </w:p>
        </w:tc>
        <w:tc>
          <w:tcPr>
            <w:tcW w:w="689" w:type="dxa"/>
            <w:noWrap/>
            <w:vAlign w:val="center"/>
          </w:tcPr>
          <w:p w14:paraId="2C5C9330" w14:textId="77777777" w:rsidR="00054437" w:rsidRPr="000549B1" w:rsidRDefault="00054437">
            <w:pPr>
              <w:widowControl/>
              <w:spacing w:line="240" w:lineRule="atLeast"/>
              <w:rPr>
                <w:rFonts w:eastAsia="等线"/>
                <w:kern w:val="0"/>
                <w:sz w:val="18"/>
                <w:szCs w:val="18"/>
              </w:rPr>
            </w:pPr>
          </w:p>
        </w:tc>
      </w:tr>
    </w:tbl>
    <w:p w14:paraId="45CA78DF" w14:textId="77777777" w:rsidR="00054437" w:rsidRPr="000549B1" w:rsidRDefault="00000000">
      <w:pPr>
        <w:spacing w:line="300" w:lineRule="auto"/>
        <w:rPr>
          <w:b/>
          <w:bCs/>
          <w:sz w:val="18"/>
          <w:szCs w:val="18"/>
        </w:rPr>
      </w:pPr>
      <w:r w:rsidRPr="000549B1">
        <w:rPr>
          <w:b/>
          <w:bCs/>
          <w:sz w:val="18"/>
          <w:szCs w:val="18"/>
        </w:rPr>
        <w:t>注：用符号表示分布状况：</w:t>
      </w:r>
      <w:r w:rsidRPr="000549B1">
        <w:rPr>
          <w:rFonts w:ascii="宋体" w:hAnsi="宋体"/>
          <w:b/>
          <w:bCs/>
          <w:sz w:val="18"/>
          <w:szCs w:val="18"/>
        </w:rPr>
        <w:t>“</w:t>
      </w:r>
      <w:r w:rsidRPr="000549B1">
        <w:rPr>
          <w:b/>
          <w:bCs/>
          <w:sz w:val="18"/>
          <w:szCs w:val="18"/>
        </w:rPr>
        <w:t>+</w:t>
      </w:r>
      <w:r w:rsidRPr="000549B1">
        <w:rPr>
          <w:rFonts w:ascii="宋体" w:hAnsi="宋体"/>
          <w:b/>
          <w:bCs/>
          <w:sz w:val="18"/>
          <w:szCs w:val="18"/>
        </w:rPr>
        <w:t>”</w:t>
      </w:r>
      <w:r w:rsidRPr="000549B1">
        <w:rPr>
          <w:b/>
          <w:bCs/>
          <w:sz w:val="18"/>
          <w:szCs w:val="18"/>
        </w:rPr>
        <w:t>表示一般，</w:t>
      </w:r>
      <w:r w:rsidRPr="000549B1">
        <w:rPr>
          <w:rFonts w:ascii="宋体" w:hAnsi="宋体"/>
          <w:b/>
          <w:bCs/>
          <w:sz w:val="18"/>
          <w:szCs w:val="18"/>
        </w:rPr>
        <w:t>“</w:t>
      </w:r>
      <w:r w:rsidRPr="000549B1">
        <w:rPr>
          <w:b/>
          <w:bCs/>
          <w:sz w:val="18"/>
          <w:szCs w:val="18"/>
        </w:rPr>
        <w:t>++</w:t>
      </w:r>
      <w:r w:rsidRPr="000549B1">
        <w:rPr>
          <w:rFonts w:ascii="宋体" w:hAnsi="宋体"/>
          <w:b/>
          <w:bCs/>
          <w:sz w:val="18"/>
          <w:szCs w:val="18"/>
        </w:rPr>
        <w:t>”</w:t>
      </w:r>
      <w:r w:rsidRPr="000549B1">
        <w:rPr>
          <w:b/>
          <w:bCs/>
          <w:sz w:val="18"/>
          <w:szCs w:val="18"/>
        </w:rPr>
        <w:t>表示较多，</w:t>
      </w:r>
      <w:r w:rsidRPr="000549B1">
        <w:rPr>
          <w:rFonts w:ascii="宋体" w:hAnsi="宋体"/>
          <w:b/>
          <w:bCs/>
          <w:sz w:val="18"/>
          <w:szCs w:val="18"/>
        </w:rPr>
        <w:t>“</w:t>
      </w:r>
      <w:r w:rsidRPr="000549B1">
        <w:rPr>
          <w:b/>
          <w:bCs/>
          <w:sz w:val="18"/>
          <w:szCs w:val="18"/>
        </w:rPr>
        <w:t>+++</w:t>
      </w:r>
      <w:r w:rsidRPr="000549B1">
        <w:rPr>
          <w:rFonts w:ascii="宋体" w:hAnsi="宋体"/>
          <w:b/>
          <w:bCs/>
          <w:sz w:val="18"/>
          <w:szCs w:val="18"/>
        </w:rPr>
        <w:t>”</w:t>
      </w:r>
      <w:r w:rsidRPr="000549B1">
        <w:rPr>
          <w:b/>
          <w:bCs/>
          <w:sz w:val="18"/>
          <w:szCs w:val="18"/>
        </w:rPr>
        <w:t>表示很多，用于定性比较。</w:t>
      </w:r>
    </w:p>
    <w:p w14:paraId="038BCA1F" w14:textId="77777777" w:rsidR="00054437" w:rsidRPr="000549B1" w:rsidRDefault="00054437">
      <w:pPr>
        <w:rPr>
          <w:rFonts w:eastAsia="黑体"/>
          <w:b/>
          <w:bCs/>
          <w:kern w:val="0"/>
          <w:sz w:val="24"/>
          <w:szCs w:val="20"/>
        </w:rPr>
        <w:sectPr w:rsidR="00054437" w:rsidRPr="000549B1">
          <w:pgSz w:w="11906" w:h="16838"/>
          <w:pgMar w:top="1440" w:right="1800" w:bottom="1440" w:left="1800" w:header="851" w:footer="992" w:gutter="0"/>
          <w:cols w:space="0"/>
          <w:docGrid w:type="lines" w:linePitch="312"/>
        </w:sectPr>
      </w:pPr>
    </w:p>
    <w:p w14:paraId="24D5C933" w14:textId="6889C774" w:rsidR="00054437" w:rsidRPr="000549B1" w:rsidRDefault="00000000">
      <w:pPr>
        <w:pStyle w:val="0A51"/>
        <w:ind w:firstLine="422"/>
      </w:pPr>
      <w:r w:rsidRPr="000549B1">
        <w:t>表</w:t>
      </w:r>
      <w:fldSimple w:instr=" STYLEREF 2 \s ">
        <w:r w:rsidR="00372953">
          <w:rPr>
            <w:noProof/>
          </w:rPr>
          <w:t>3.6</w:t>
        </w:r>
      </w:fldSimple>
      <w:r w:rsidR="00372953">
        <w:noBreakHyphen/>
      </w:r>
      <w:r w:rsidR="00372953">
        <w:fldChar w:fldCharType="begin"/>
      </w:r>
      <w:r w:rsidR="00372953">
        <w:instrText xml:space="preserve"> SEQ </w:instrText>
      </w:r>
      <w:r w:rsidR="00372953">
        <w:instrText>表</w:instrText>
      </w:r>
      <w:r w:rsidR="00372953">
        <w:instrText xml:space="preserve"> \* ARABIC \s 2 </w:instrText>
      </w:r>
      <w:r w:rsidR="00372953">
        <w:fldChar w:fldCharType="separate"/>
      </w:r>
      <w:r w:rsidR="00372953">
        <w:rPr>
          <w:noProof/>
        </w:rPr>
        <w:t>4</w:t>
      </w:r>
      <w:r w:rsidR="00372953">
        <w:fldChar w:fldCharType="end"/>
      </w:r>
      <w:r w:rsidRPr="000549B1">
        <w:t>浮游植物定量分析表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5"/>
        <w:gridCol w:w="2560"/>
        <w:gridCol w:w="2404"/>
        <w:gridCol w:w="995"/>
        <w:gridCol w:w="958"/>
        <w:gridCol w:w="1056"/>
        <w:gridCol w:w="1056"/>
        <w:gridCol w:w="1056"/>
        <w:gridCol w:w="1056"/>
        <w:gridCol w:w="1056"/>
        <w:gridCol w:w="1056"/>
      </w:tblGrid>
      <w:tr w:rsidR="000549B1" w:rsidRPr="000549B1" w14:paraId="1E562C38" w14:textId="77777777">
        <w:trPr>
          <w:trHeight w:val="300"/>
          <w:tblHeader/>
          <w:jc w:val="center"/>
        </w:trPr>
        <w:tc>
          <w:tcPr>
            <w:tcW w:w="3312" w:type="dxa"/>
            <w:gridSpan w:val="2"/>
            <w:vMerge w:val="restart"/>
            <w:noWrap/>
            <w:vAlign w:val="center"/>
          </w:tcPr>
          <w:p w14:paraId="38947D5F" w14:textId="77777777" w:rsidR="00054437" w:rsidRPr="000549B1" w:rsidRDefault="00000000">
            <w:pPr>
              <w:widowControl/>
              <w:spacing w:line="240" w:lineRule="atLeast"/>
              <w:jc w:val="center"/>
              <w:rPr>
                <w:b/>
                <w:bCs/>
                <w:kern w:val="0"/>
                <w:szCs w:val="21"/>
              </w:rPr>
            </w:pPr>
            <w:r w:rsidRPr="000549B1">
              <w:rPr>
                <w:b/>
                <w:bCs/>
                <w:kern w:val="0"/>
                <w:szCs w:val="21"/>
              </w:rPr>
              <w:t>采样断面</w:t>
            </w:r>
          </w:p>
        </w:tc>
        <w:tc>
          <w:tcPr>
            <w:tcW w:w="3458" w:type="dxa"/>
            <w:gridSpan w:val="2"/>
            <w:vMerge w:val="restart"/>
            <w:noWrap/>
            <w:vAlign w:val="center"/>
          </w:tcPr>
          <w:p w14:paraId="339A892B" w14:textId="77777777" w:rsidR="00054437" w:rsidRPr="000549B1" w:rsidRDefault="00000000">
            <w:pPr>
              <w:widowControl/>
              <w:spacing w:line="240" w:lineRule="atLeast"/>
              <w:jc w:val="center"/>
              <w:rPr>
                <w:b/>
                <w:bCs/>
                <w:kern w:val="0"/>
                <w:szCs w:val="21"/>
              </w:rPr>
            </w:pPr>
            <w:r w:rsidRPr="000549B1">
              <w:rPr>
                <w:b/>
                <w:bCs/>
                <w:kern w:val="0"/>
                <w:szCs w:val="21"/>
              </w:rPr>
              <w:t>浮游植物总量</w:t>
            </w:r>
          </w:p>
        </w:tc>
        <w:tc>
          <w:tcPr>
            <w:tcW w:w="7404" w:type="dxa"/>
            <w:gridSpan w:val="7"/>
            <w:noWrap/>
            <w:vAlign w:val="center"/>
          </w:tcPr>
          <w:p w14:paraId="4A8D006D" w14:textId="77777777" w:rsidR="00054437" w:rsidRPr="000549B1" w:rsidRDefault="00000000">
            <w:pPr>
              <w:widowControl/>
              <w:spacing w:line="240" w:lineRule="atLeast"/>
              <w:jc w:val="center"/>
              <w:rPr>
                <w:b/>
                <w:bCs/>
                <w:kern w:val="0"/>
                <w:szCs w:val="21"/>
              </w:rPr>
            </w:pPr>
            <w:r w:rsidRPr="000549B1">
              <w:rPr>
                <w:b/>
                <w:bCs/>
                <w:kern w:val="0"/>
                <w:szCs w:val="21"/>
              </w:rPr>
              <w:t>各门浮游植物总量</w:t>
            </w:r>
          </w:p>
        </w:tc>
      </w:tr>
      <w:tr w:rsidR="000549B1" w:rsidRPr="000549B1" w14:paraId="5803765B" w14:textId="77777777">
        <w:trPr>
          <w:trHeight w:val="300"/>
          <w:tblHeader/>
          <w:jc w:val="center"/>
        </w:trPr>
        <w:tc>
          <w:tcPr>
            <w:tcW w:w="3312" w:type="dxa"/>
            <w:gridSpan w:val="2"/>
            <w:vMerge/>
            <w:vAlign w:val="center"/>
          </w:tcPr>
          <w:p w14:paraId="6AEB12EB" w14:textId="77777777" w:rsidR="00054437" w:rsidRPr="000549B1" w:rsidRDefault="00054437">
            <w:pPr>
              <w:widowControl/>
              <w:spacing w:line="240" w:lineRule="atLeast"/>
              <w:rPr>
                <w:b/>
                <w:bCs/>
                <w:kern w:val="0"/>
                <w:szCs w:val="21"/>
              </w:rPr>
            </w:pPr>
          </w:p>
        </w:tc>
        <w:tc>
          <w:tcPr>
            <w:tcW w:w="3458" w:type="dxa"/>
            <w:gridSpan w:val="2"/>
            <w:vMerge/>
            <w:vAlign w:val="center"/>
          </w:tcPr>
          <w:p w14:paraId="5741B283" w14:textId="77777777" w:rsidR="00054437" w:rsidRPr="000549B1" w:rsidRDefault="00054437">
            <w:pPr>
              <w:widowControl/>
              <w:spacing w:line="240" w:lineRule="atLeast"/>
              <w:rPr>
                <w:b/>
                <w:bCs/>
                <w:kern w:val="0"/>
                <w:szCs w:val="21"/>
              </w:rPr>
            </w:pPr>
          </w:p>
        </w:tc>
        <w:tc>
          <w:tcPr>
            <w:tcW w:w="972" w:type="dxa"/>
            <w:noWrap/>
            <w:vAlign w:val="center"/>
          </w:tcPr>
          <w:p w14:paraId="0E6A3039" w14:textId="77777777" w:rsidR="00054437" w:rsidRPr="000549B1" w:rsidRDefault="00000000">
            <w:pPr>
              <w:widowControl/>
              <w:spacing w:line="240" w:lineRule="atLeast"/>
              <w:jc w:val="center"/>
              <w:rPr>
                <w:b/>
                <w:bCs/>
                <w:kern w:val="0"/>
                <w:szCs w:val="21"/>
              </w:rPr>
            </w:pPr>
            <w:r w:rsidRPr="000549B1">
              <w:rPr>
                <w:b/>
                <w:bCs/>
                <w:kern w:val="0"/>
                <w:szCs w:val="21"/>
              </w:rPr>
              <w:t>硅藻门</w:t>
            </w:r>
          </w:p>
        </w:tc>
        <w:tc>
          <w:tcPr>
            <w:tcW w:w="1072" w:type="dxa"/>
            <w:noWrap/>
            <w:vAlign w:val="center"/>
          </w:tcPr>
          <w:p w14:paraId="1AC8AC03" w14:textId="77777777" w:rsidR="00054437" w:rsidRPr="000549B1" w:rsidRDefault="00000000">
            <w:pPr>
              <w:widowControl/>
              <w:spacing w:line="240" w:lineRule="atLeast"/>
              <w:jc w:val="center"/>
              <w:rPr>
                <w:b/>
                <w:bCs/>
                <w:kern w:val="0"/>
                <w:szCs w:val="21"/>
              </w:rPr>
            </w:pPr>
            <w:r w:rsidRPr="000549B1">
              <w:rPr>
                <w:b/>
                <w:bCs/>
                <w:kern w:val="0"/>
                <w:szCs w:val="21"/>
              </w:rPr>
              <w:t>绿藻门</w:t>
            </w:r>
          </w:p>
        </w:tc>
        <w:tc>
          <w:tcPr>
            <w:tcW w:w="1072" w:type="dxa"/>
            <w:noWrap/>
            <w:vAlign w:val="center"/>
          </w:tcPr>
          <w:p w14:paraId="1F7BB680" w14:textId="77777777" w:rsidR="00054437" w:rsidRPr="000549B1" w:rsidRDefault="00000000">
            <w:pPr>
              <w:widowControl/>
              <w:spacing w:line="240" w:lineRule="atLeast"/>
              <w:jc w:val="center"/>
              <w:rPr>
                <w:b/>
                <w:bCs/>
                <w:kern w:val="0"/>
                <w:szCs w:val="21"/>
              </w:rPr>
            </w:pPr>
            <w:r w:rsidRPr="000549B1">
              <w:rPr>
                <w:b/>
                <w:bCs/>
                <w:kern w:val="0"/>
                <w:szCs w:val="21"/>
              </w:rPr>
              <w:t>裸藻门</w:t>
            </w:r>
          </w:p>
        </w:tc>
        <w:tc>
          <w:tcPr>
            <w:tcW w:w="1072" w:type="dxa"/>
            <w:noWrap/>
            <w:vAlign w:val="center"/>
          </w:tcPr>
          <w:p w14:paraId="681503F2" w14:textId="77777777" w:rsidR="00054437" w:rsidRPr="000549B1" w:rsidRDefault="00000000">
            <w:pPr>
              <w:widowControl/>
              <w:spacing w:line="240" w:lineRule="atLeast"/>
              <w:jc w:val="center"/>
              <w:rPr>
                <w:b/>
                <w:bCs/>
                <w:kern w:val="0"/>
                <w:szCs w:val="21"/>
              </w:rPr>
            </w:pPr>
            <w:r w:rsidRPr="000549B1">
              <w:rPr>
                <w:b/>
                <w:bCs/>
                <w:kern w:val="0"/>
                <w:szCs w:val="21"/>
              </w:rPr>
              <w:t>蓝藻门</w:t>
            </w:r>
          </w:p>
        </w:tc>
        <w:tc>
          <w:tcPr>
            <w:tcW w:w="1072" w:type="dxa"/>
            <w:noWrap/>
            <w:vAlign w:val="center"/>
          </w:tcPr>
          <w:p w14:paraId="094544A4" w14:textId="77777777" w:rsidR="00054437" w:rsidRPr="000549B1" w:rsidRDefault="00000000">
            <w:pPr>
              <w:widowControl/>
              <w:spacing w:line="240" w:lineRule="atLeast"/>
              <w:jc w:val="center"/>
              <w:rPr>
                <w:b/>
                <w:bCs/>
                <w:kern w:val="0"/>
                <w:szCs w:val="21"/>
              </w:rPr>
            </w:pPr>
            <w:r w:rsidRPr="000549B1">
              <w:rPr>
                <w:b/>
                <w:bCs/>
                <w:kern w:val="0"/>
                <w:szCs w:val="21"/>
              </w:rPr>
              <w:t>甲藻门</w:t>
            </w:r>
          </w:p>
        </w:tc>
        <w:tc>
          <w:tcPr>
            <w:tcW w:w="1072" w:type="dxa"/>
            <w:noWrap/>
            <w:vAlign w:val="center"/>
          </w:tcPr>
          <w:p w14:paraId="4167065E" w14:textId="77777777" w:rsidR="00054437" w:rsidRPr="000549B1" w:rsidRDefault="00000000">
            <w:pPr>
              <w:widowControl/>
              <w:spacing w:line="240" w:lineRule="atLeast"/>
              <w:jc w:val="center"/>
              <w:rPr>
                <w:b/>
                <w:bCs/>
                <w:kern w:val="0"/>
                <w:szCs w:val="21"/>
              </w:rPr>
            </w:pPr>
            <w:r w:rsidRPr="000549B1">
              <w:rPr>
                <w:b/>
                <w:bCs/>
                <w:kern w:val="0"/>
                <w:szCs w:val="21"/>
              </w:rPr>
              <w:t>隐藻门</w:t>
            </w:r>
          </w:p>
        </w:tc>
        <w:tc>
          <w:tcPr>
            <w:tcW w:w="1072" w:type="dxa"/>
            <w:noWrap/>
            <w:vAlign w:val="center"/>
          </w:tcPr>
          <w:p w14:paraId="286C263B" w14:textId="77777777" w:rsidR="00054437" w:rsidRPr="000549B1" w:rsidRDefault="00000000">
            <w:pPr>
              <w:widowControl/>
              <w:spacing w:line="240" w:lineRule="atLeast"/>
              <w:jc w:val="center"/>
              <w:rPr>
                <w:b/>
                <w:bCs/>
                <w:kern w:val="0"/>
                <w:szCs w:val="21"/>
              </w:rPr>
            </w:pPr>
            <w:r w:rsidRPr="000549B1">
              <w:rPr>
                <w:b/>
                <w:bCs/>
                <w:kern w:val="0"/>
                <w:szCs w:val="21"/>
              </w:rPr>
              <w:t>金藻门</w:t>
            </w:r>
          </w:p>
        </w:tc>
      </w:tr>
      <w:tr w:rsidR="000549B1" w:rsidRPr="000549B1" w14:paraId="580E9C83" w14:textId="77777777">
        <w:trPr>
          <w:trHeight w:val="360"/>
          <w:jc w:val="center"/>
        </w:trPr>
        <w:tc>
          <w:tcPr>
            <w:tcW w:w="705" w:type="dxa"/>
            <w:vMerge w:val="restart"/>
            <w:noWrap/>
            <w:vAlign w:val="center"/>
          </w:tcPr>
          <w:p w14:paraId="17E0617E" w14:textId="77777777" w:rsidR="00054437" w:rsidRPr="000549B1" w:rsidRDefault="00000000">
            <w:pPr>
              <w:widowControl/>
              <w:spacing w:line="240" w:lineRule="atLeast"/>
              <w:jc w:val="center"/>
              <w:rPr>
                <w:kern w:val="0"/>
                <w:szCs w:val="21"/>
              </w:rPr>
            </w:pPr>
            <w:r w:rsidRPr="000549B1">
              <w:rPr>
                <w:kern w:val="0"/>
                <w:szCs w:val="21"/>
              </w:rPr>
              <w:t>切吉河</w:t>
            </w:r>
          </w:p>
        </w:tc>
        <w:tc>
          <w:tcPr>
            <w:tcW w:w="2607" w:type="dxa"/>
            <w:vMerge w:val="restart"/>
            <w:noWrap/>
            <w:vAlign w:val="center"/>
          </w:tcPr>
          <w:p w14:paraId="1608EFD9" w14:textId="77777777" w:rsidR="00054437" w:rsidRPr="000549B1" w:rsidRDefault="00000000">
            <w:pPr>
              <w:widowControl/>
              <w:spacing w:line="240" w:lineRule="atLeast"/>
              <w:jc w:val="center"/>
              <w:rPr>
                <w:kern w:val="0"/>
                <w:szCs w:val="21"/>
              </w:rPr>
            </w:pPr>
            <w:r w:rsidRPr="000549B1">
              <w:rPr>
                <w:kern w:val="0"/>
                <w:szCs w:val="21"/>
              </w:rPr>
              <w:t>切吉水库上游</w:t>
            </w:r>
          </w:p>
        </w:tc>
        <w:tc>
          <w:tcPr>
            <w:tcW w:w="2448" w:type="dxa"/>
            <w:noWrap/>
            <w:vAlign w:val="center"/>
          </w:tcPr>
          <w:p w14:paraId="6FE61FD6" w14:textId="77777777" w:rsidR="00054437" w:rsidRPr="000549B1" w:rsidRDefault="00000000">
            <w:pPr>
              <w:widowControl/>
              <w:spacing w:line="240" w:lineRule="atLeast"/>
              <w:jc w:val="center"/>
              <w:rPr>
                <w:kern w:val="0"/>
                <w:szCs w:val="21"/>
              </w:rPr>
            </w:pPr>
            <w:r w:rsidRPr="000549B1">
              <w:rPr>
                <w:kern w:val="0"/>
                <w:szCs w:val="21"/>
              </w:rPr>
              <w:t>密度</w:t>
            </w:r>
            <w:r w:rsidRPr="000549B1">
              <w:rPr>
                <w:rFonts w:eastAsia="等线"/>
                <w:kern w:val="0"/>
                <w:szCs w:val="21"/>
                <w:lang w:bidi="ar"/>
              </w:rPr>
              <w:t>×</w:t>
            </w:r>
            <w:r w:rsidRPr="000549B1">
              <w:rPr>
                <w:kern w:val="0"/>
                <w:szCs w:val="21"/>
              </w:rPr>
              <w:t>（</w:t>
            </w:r>
            <w:r w:rsidRPr="000549B1">
              <w:rPr>
                <w:kern w:val="0"/>
                <w:szCs w:val="21"/>
              </w:rPr>
              <w:t>10</w:t>
            </w:r>
            <w:r w:rsidRPr="000549B1">
              <w:rPr>
                <w:kern w:val="0"/>
                <w:szCs w:val="21"/>
                <w:vertAlign w:val="superscript"/>
              </w:rPr>
              <w:t>4</w:t>
            </w:r>
            <w:r w:rsidRPr="000549B1">
              <w:rPr>
                <w:kern w:val="0"/>
                <w:szCs w:val="21"/>
              </w:rPr>
              <w:t>cells</w:t>
            </w:r>
            <w:r w:rsidRPr="000549B1">
              <w:rPr>
                <w:kern w:val="0"/>
                <w:szCs w:val="21"/>
              </w:rPr>
              <w:t>．</w:t>
            </w:r>
            <w:r w:rsidRPr="000549B1">
              <w:rPr>
                <w:kern w:val="0"/>
                <w:szCs w:val="21"/>
              </w:rPr>
              <w:t>L</w:t>
            </w:r>
            <w:r w:rsidRPr="000549B1">
              <w:rPr>
                <w:kern w:val="0"/>
                <w:szCs w:val="21"/>
                <w:vertAlign w:val="superscript"/>
              </w:rPr>
              <w:t>-1</w:t>
            </w:r>
            <w:r w:rsidRPr="000549B1">
              <w:rPr>
                <w:kern w:val="0"/>
                <w:szCs w:val="21"/>
              </w:rPr>
              <w:t>）</w:t>
            </w:r>
          </w:p>
        </w:tc>
        <w:tc>
          <w:tcPr>
            <w:tcW w:w="1010" w:type="dxa"/>
            <w:noWrap/>
            <w:vAlign w:val="center"/>
          </w:tcPr>
          <w:p w14:paraId="6A6043EF" w14:textId="77777777" w:rsidR="00054437" w:rsidRPr="000549B1" w:rsidRDefault="00000000">
            <w:pPr>
              <w:widowControl/>
              <w:spacing w:line="240" w:lineRule="atLeast"/>
              <w:jc w:val="center"/>
              <w:rPr>
                <w:kern w:val="0"/>
                <w:szCs w:val="21"/>
              </w:rPr>
            </w:pPr>
            <w:r w:rsidRPr="000549B1">
              <w:rPr>
                <w:kern w:val="0"/>
                <w:szCs w:val="21"/>
              </w:rPr>
              <w:t>37.85</w:t>
            </w:r>
          </w:p>
        </w:tc>
        <w:tc>
          <w:tcPr>
            <w:tcW w:w="972" w:type="dxa"/>
            <w:noWrap/>
            <w:vAlign w:val="center"/>
          </w:tcPr>
          <w:p w14:paraId="0A1B16F2" w14:textId="77777777" w:rsidR="00054437" w:rsidRPr="000549B1" w:rsidRDefault="00000000">
            <w:pPr>
              <w:widowControl/>
              <w:spacing w:line="240" w:lineRule="atLeast"/>
              <w:jc w:val="center"/>
              <w:rPr>
                <w:kern w:val="0"/>
                <w:szCs w:val="21"/>
              </w:rPr>
            </w:pPr>
            <w:r w:rsidRPr="000549B1">
              <w:rPr>
                <w:kern w:val="0"/>
                <w:szCs w:val="21"/>
              </w:rPr>
              <w:t>37.65</w:t>
            </w:r>
          </w:p>
        </w:tc>
        <w:tc>
          <w:tcPr>
            <w:tcW w:w="1072" w:type="dxa"/>
            <w:noWrap/>
            <w:vAlign w:val="center"/>
          </w:tcPr>
          <w:p w14:paraId="4C4C03B3" w14:textId="77777777" w:rsidR="00054437" w:rsidRPr="000549B1" w:rsidRDefault="00000000">
            <w:pPr>
              <w:widowControl/>
              <w:spacing w:line="240" w:lineRule="atLeast"/>
              <w:jc w:val="center"/>
              <w:rPr>
                <w:kern w:val="0"/>
                <w:szCs w:val="21"/>
              </w:rPr>
            </w:pPr>
            <w:r w:rsidRPr="000549B1">
              <w:rPr>
                <w:kern w:val="0"/>
                <w:szCs w:val="21"/>
              </w:rPr>
              <w:t>0.00</w:t>
            </w:r>
          </w:p>
        </w:tc>
        <w:tc>
          <w:tcPr>
            <w:tcW w:w="1072" w:type="dxa"/>
            <w:noWrap/>
            <w:vAlign w:val="center"/>
          </w:tcPr>
          <w:p w14:paraId="1B36D64D" w14:textId="77777777" w:rsidR="00054437" w:rsidRPr="000549B1" w:rsidRDefault="00000000">
            <w:pPr>
              <w:widowControl/>
              <w:spacing w:line="240" w:lineRule="atLeast"/>
              <w:jc w:val="center"/>
              <w:rPr>
                <w:kern w:val="0"/>
                <w:szCs w:val="21"/>
              </w:rPr>
            </w:pPr>
            <w:r w:rsidRPr="000549B1">
              <w:rPr>
                <w:kern w:val="0"/>
                <w:szCs w:val="21"/>
              </w:rPr>
              <w:t>0.00</w:t>
            </w:r>
          </w:p>
        </w:tc>
        <w:tc>
          <w:tcPr>
            <w:tcW w:w="1072" w:type="dxa"/>
            <w:noWrap/>
            <w:vAlign w:val="center"/>
          </w:tcPr>
          <w:p w14:paraId="21C80D82" w14:textId="77777777" w:rsidR="00054437" w:rsidRPr="000549B1" w:rsidRDefault="00000000">
            <w:pPr>
              <w:widowControl/>
              <w:spacing w:line="240" w:lineRule="atLeast"/>
              <w:jc w:val="center"/>
              <w:rPr>
                <w:kern w:val="0"/>
                <w:szCs w:val="21"/>
              </w:rPr>
            </w:pPr>
            <w:r w:rsidRPr="000549B1">
              <w:rPr>
                <w:kern w:val="0"/>
                <w:szCs w:val="21"/>
              </w:rPr>
              <w:t>0.20</w:t>
            </w:r>
          </w:p>
        </w:tc>
        <w:tc>
          <w:tcPr>
            <w:tcW w:w="1072" w:type="dxa"/>
            <w:noWrap/>
            <w:vAlign w:val="center"/>
          </w:tcPr>
          <w:p w14:paraId="12BAFD49" w14:textId="77777777" w:rsidR="00054437" w:rsidRPr="000549B1" w:rsidRDefault="00000000">
            <w:pPr>
              <w:widowControl/>
              <w:spacing w:line="240" w:lineRule="atLeast"/>
              <w:jc w:val="center"/>
              <w:rPr>
                <w:kern w:val="0"/>
                <w:szCs w:val="21"/>
              </w:rPr>
            </w:pPr>
            <w:r w:rsidRPr="000549B1">
              <w:rPr>
                <w:kern w:val="0"/>
                <w:szCs w:val="21"/>
              </w:rPr>
              <w:t>0.00</w:t>
            </w:r>
          </w:p>
        </w:tc>
        <w:tc>
          <w:tcPr>
            <w:tcW w:w="1072" w:type="dxa"/>
            <w:noWrap/>
            <w:vAlign w:val="center"/>
          </w:tcPr>
          <w:p w14:paraId="2A9390D1" w14:textId="77777777" w:rsidR="00054437" w:rsidRPr="000549B1" w:rsidRDefault="00000000">
            <w:pPr>
              <w:widowControl/>
              <w:spacing w:line="240" w:lineRule="atLeast"/>
              <w:jc w:val="center"/>
              <w:rPr>
                <w:kern w:val="0"/>
                <w:szCs w:val="21"/>
              </w:rPr>
            </w:pPr>
            <w:r w:rsidRPr="000549B1">
              <w:rPr>
                <w:kern w:val="0"/>
                <w:szCs w:val="21"/>
              </w:rPr>
              <w:t>0.00</w:t>
            </w:r>
          </w:p>
        </w:tc>
        <w:tc>
          <w:tcPr>
            <w:tcW w:w="1072" w:type="dxa"/>
            <w:noWrap/>
            <w:vAlign w:val="center"/>
          </w:tcPr>
          <w:p w14:paraId="7A277DB6" w14:textId="77777777" w:rsidR="00054437" w:rsidRPr="000549B1" w:rsidRDefault="00000000">
            <w:pPr>
              <w:widowControl/>
              <w:spacing w:line="240" w:lineRule="atLeast"/>
              <w:jc w:val="center"/>
              <w:rPr>
                <w:kern w:val="0"/>
                <w:szCs w:val="21"/>
              </w:rPr>
            </w:pPr>
            <w:r w:rsidRPr="000549B1">
              <w:rPr>
                <w:kern w:val="0"/>
                <w:szCs w:val="21"/>
              </w:rPr>
              <w:t>0.00</w:t>
            </w:r>
          </w:p>
        </w:tc>
      </w:tr>
      <w:tr w:rsidR="000549B1" w:rsidRPr="000549B1" w14:paraId="15736B59" w14:textId="77777777">
        <w:trPr>
          <w:trHeight w:val="70"/>
          <w:jc w:val="center"/>
        </w:trPr>
        <w:tc>
          <w:tcPr>
            <w:tcW w:w="705" w:type="dxa"/>
            <w:vMerge/>
            <w:vAlign w:val="center"/>
          </w:tcPr>
          <w:p w14:paraId="43972EEC" w14:textId="77777777" w:rsidR="00054437" w:rsidRPr="000549B1" w:rsidRDefault="00054437">
            <w:pPr>
              <w:widowControl/>
              <w:spacing w:line="240" w:lineRule="atLeast"/>
              <w:rPr>
                <w:kern w:val="0"/>
                <w:szCs w:val="21"/>
              </w:rPr>
            </w:pPr>
          </w:p>
        </w:tc>
        <w:tc>
          <w:tcPr>
            <w:tcW w:w="2607" w:type="dxa"/>
            <w:vMerge/>
            <w:vAlign w:val="center"/>
          </w:tcPr>
          <w:p w14:paraId="19EFEBB4" w14:textId="77777777" w:rsidR="00054437" w:rsidRPr="000549B1" w:rsidRDefault="00054437">
            <w:pPr>
              <w:widowControl/>
              <w:spacing w:line="240" w:lineRule="atLeast"/>
              <w:rPr>
                <w:kern w:val="0"/>
                <w:szCs w:val="21"/>
              </w:rPr>
            </w:pPr>
          </w:p>
        </w:tc>
        <w:tc>
          <w:tcPr>
            <w:tcW w:w="2448" w:type="dxa"/>
            <w:noWrap/>
            <w:vAlign w:val="center"/>
          </w:tcPr>
          <w:p w14:paraId="2432154F" w14:textId="77777777" w:rsidR="00054437" w:rsidRPr="000549B1" w:rsidRDefault="00000000">
            <w:pPr>
              <w:widowControl/>
              <w:spacing w:line="240" w:lineRule="atLeast"/>
              <w:jc w:val="center"/>
              <w:rPr>
                <w:kern w:val="0"/>
                <w:szCs w:val="21"/>
              </w:rPr>
            </w:pPr>
            <w:r w:rsidRPr="000549B1">
              <w:rPr>
                <w:kern w:val="0"/>
                <w:szCs w:val="21"/>
              </w:rPr>
              <w:t>生物量（</w:t>
            </w:r>
            <w:r w:rsidRPr="000549B1">
              <w:rPr>
                <w:kern w:val="0"/>
                <w:szCs w:val="21"/>
              </w:rPr>
              <w:t>mg</w:t>
            </w:r>
            <w:r w:rsidRPr="000549B1">
              <w:rPr>
                <w:kern w:val="0"/>
                <w:szCs w:val="21"/>
              </w:rPr>
              <w:t>．</w:t>
            </w:r>
            <w:r w:rsidRPr="000549B1">
              <w:rPr>
                <w:kern w:val="0"/>
                <w:szCs w:val="21"/>
              </w:rPr>
              <w:t>L</w:t>
            </w:r>
            <w:r w:rsidRPr="000549B1">
              <w:rPr>
                <w:kern w:val="0"/>
                <w:szCs w:val="21"/>
                <w:vertAlign w:val="superscript"/>
              </w:rPr>
              <w:t>-1</w:t>
            </w:r>
            <w:r w:rsidRPr="000549B1">
              <w:rPr>
                <w:kern w:val="0"/>
                <w:szCs w:val="21"/>
              </w:rPr>
              <w:t>）</w:t>
            </w:r>
          </w:p>
        </w:tc>
        <w:tc>
          <w:tcPr>
            <w:tcW w:w="1010" w:type="dxa"/>
            <w:noWrap/>
            <w:vAlign w:val="center"/>
          </w:tcPr>
          <w:p w14:paraId="30684507" w14:textId="77777777" w:rsidR="00054437" w:rsidRPr="000549B1" w:rsidRDefault="00000000">
            <w:pPr>
              <w:widowControl/>
              <w:spacing w:line="240" w:lineRule="atLeast"/>
              <w:jc w:val="center"/>
              <w:rPr>
                <w:kern w:val="0"/>
                <w:szCs w:val="21"/>
              </w:rPr>
            </w:pPr>
            <w:r w:rsidRPr="000549B1">
              <w:rPr>
                <w:kern w:val="0"/>
                <w:szCs w:val="21"/>
              </w:rPr>
              <w:t>1.1002</w:t>
            </w:r>
          </w:p>
        </w:tc>
        <w:tc>
          <w:tcPr>
            <w:tcW w:w="972" w:type="dxa"/>
            <w:noWrap/>
            <w:vAlign w:val="center"/>
          </w:tcPr>
          <w:p w14:paraId="2B2CE267" w14:textId="77777777" w:rsidR="00054437" w:rsidRPr="000549B1" w:rsidRDefault="00000000">
            <w:pPr>
              <w:widowControl/>
              <w:spacing w:line="240" w:lineRule="atLeast"/>
              <w:jc w:val="center"/>
              <w:rPr>
                <w:kern w:val="0"/>
                <w:szCs w:val="21"/>
              </w:rPr>
            </w:pPr>
            <w:r w:rsidRPr="000549B1">
              <w:rPr>
                <w:kern w:val="0"/>
                <w:szCs w:val="21"/>
              </w:rPr>
              <w:t>1.0987</w:t>
            </w:r>
          </w:p>
        </w:tc>
        <w:tc>
          <w:tcPr>
            <w:tcW w:w="1072" w:type="dxa"/>
            <w:noWrap/>
            <w:vAlign w:val="center"/>
          </w:tcPr>
          <w:p w14:paraId="73F6607B" w14:textId="77777777" w:rsidR="00054437" w:rsidRPr="000549B1" w:rsidRDefault="00000000">
            <w:pPr>
              <w:widowControl/>
              <w:spacing w:line="240" w:lineRule="atLeast"/>
              <w:jc w:val="center"/>
              <w:rPr>
                <w:kern w:val="0"/>
                <w:szCs w:val="21"/>
              </w:rPr>
            </w:pPr>
            <w:r w:rsidRPr="000549B1">
              <w:rPr>
                <w:kern w:val="0"/>
                <w:szCs w:val="21"/>
              </w:rPr>
              <w:t>0.0000</w:t>
            </w:r>
          </w:p>
        </w:tc>
        <w:tc>
          <w:tcPr>
            <w:tcW w:w="1072" w:type="dxa"/>
            <w:noWrap/>
            <w:vAlign w:val="center"/>
          </w:tcPr>
          <w:p w14:paraId="4DE0516F" w14:textId="77777777" w:rsidR="00054437" w:rsidRPr="000549B1" w:rsidRDefault="00000000">
            <w:pPr>
              <w:widowControl/>
              <w:spacing w:line="240" w:lineRule="atLeast"/>
              <w:jc w:val="center"/>
              <w:rPr>
                <w:kern w:val="0"/>
                <w:szCs w:val="21"/>
              </w:rPr>
            </w:pPr>
            <w:r w:rsidRPr="000549B1">
              <w:rPr>
                <w:kern w:val="0"/>
                <w:szCs w:val="21"/>
              </w:rPr>
              <w:t>0.0000</w:t>
            </w:r>
          </w:p>
        </w:tc>
        <w:tc>
          <w:tcPr>
            <w:tcW w:w="1072" w:type="dxa"/>
            <w:noWrap/>
            <w:vAlign w:val="center"/>
          </w:tcPr>
          <w:p w14:paraId="31A0E7D1" w14:textId="77777777" w:rsidR="00054437" w:rsidRPr="000549B1" w:rsidRDefault="00000000">
            <w:pPr>
              <w:widowControl/>
              <w:spacing w:line="240" w:lineRule="atLeast"/>
              <w:jc w:val="center"/>
              <w:rPr>
                <w:kern w:val="0"/>
                <w:szCs w:val="21"/>
              </w:rPr>
            </w:pPr>
            <w:r w:rsidRPr="000549B1">
              <w:rPr>
                <w:kern w:val="0"/>
                <w:szCs w:val="21"/>
              </w:rPr>
              <w:t>0.0015</w:t>
            </w:r>
          </w:p>
        </w:tc>
        <w:tc>
          <w:tcPr>
            <w:tcW w:w="1072" w:type="dxa"/>
            <w:noWrap/>
            <w:vAlign w:val="center"/>
          </w:tcPr>
          <w:p w14:paraId="04EA0443" w14:textId="77777777" w:rsidR="00054437" w:rsidRPr="000549B1" w:rsidRDefault="00000000">
            <w:pPr>
              <w:widowControl/>
              <w:spacing w:line="240" w:lineRule="atLeast"/>
              <w:jc w:val="center"/>
              <w:rPr>
                <w:kern w:val="0"/>
                <w:szCs w:val="21"/>
              </w:rPr>
            </w:pPr>
            <w:r w:rsidRPr="000549B1">
              <w:rPr>
                <w:kern w:val="0"/>
                <w:szCs w:val="21"/>
              </w:rPr>
              <w:t>0.0000</w:t>
            </w:r>
          </w:p>
        </w:tc>
        <w:tc>
          <w:tcPr>
            <w:tcW w:w="1072" w:type="dxa"/>
            <w:noWrap/>
            <w:vAlign w:val="center"/>
          </w:tcPr>
          <w:p w14:paraId="20B22ED2" w14:textId="77777777" w:rsidR="00054437" w:rsidRPr="000549B1" w:rsidRDefault="00000000">
            <w:pPr>
              <w:widowControl/>
              <w:spacing w:line="240" w:lineRule="atLeast"/>
              <w:jc w:val="center"/>
              <w:rPr>
                <w:kern w:val="0"/>
                <w:szCs w:val="21"/>
              </w:rPr>
            </w:pPr>
            <w:r w:rsidRPr="000549B1">
              <w:rPr>
                <w:kern w:val="0"/>
                <w:szCs w:val="21"/>
              </w:rPr>
              <w:t>0.0000</w:t>
            </w:r>
          </w:p>
        </w:tc>
        <w:tc>
          <w:tcPr>
            <w:tcW w:w="1072" w:type="dxa"/>
            <w:noWrap/>
            <w:vAlign w:val="center"/>
          </w:tcPr>
          <w:p w14:paraId="6EBAF5C5" w14:textId="77777777" w:rsidR="00054437" w:rsidRPr="000549B1" w:rsidRDefault="00000000">
            <w:pPr>
              <w:widowControl/>
              <w:spacing w:line="240" w:lineRule="atLeast"/>
              <w:jc w:val="center"/>
              <w:rPr>
                <w:kern w:val="0"/>
                <w:szCs w:val="21"/>
              </w:rPr>
            </w:pPr>
            <w:r w:rsidRPr="000549B1">
              <w:rPr>
                <w:kern w:val="0"/>
                <w:szCs w:val="21"/>
              </w:rPr>
              <w:t>0.0000</w:t>
            </w:r>
          </w:p>
        </w:tc>
      </w:tr>
      <w:tr w:rsidR="000549B1" w:rsidRPr="000549B1" w14:paraId="13526DC5" w14:textId="77777777">
        <w:trPr>
          <w:trHeight w:val="360"/>
          <w:jc w:val="center"/>
        </w:trPr>
        <w:tc>
          <w:tcPr>
            <w:tcW w:w="705" w:type="dxa"/>
            <w:vMerge/>
            <w:vAlign w:val="center"/>
          </w:tcPr>
          <w:p w14:paraId="07E9F4A6" w14:textId="77777777" w:rsidR="00054437" w:rsidRPr="000549B1" w:rsidRDefault="00054437">
            <w:pPr>
              <w:widowControl/>
              <w:spacing w:line="240" w:lineRule="atLeast"/>
              <w:rPr>
                <w:kern w:val="0"/>
                <w:szCs w:val="21"/>
              </w:rPr>
            </w:pPr>
          </w:p>
        </w:tc>
        <w:tc>
          <w:tcPr>
            <w:tcW w:w="2607" w:type="dxa"/>
            <w:vMerge w:val="restart"/>
            <w:noWrap/>
            <w:vAlign w:val="center"/>
          </w:tcPr>
          <w:p w14:paraId="355B4A70" w14:textId="77777777" w:rsidR="00054437" w:rsidRPr="000549B1" w:rsidRDefault="00000000">
            <w:pPr>
              <w:widowControl/>
              <w:spacing w:line="240" w:lineRule="atLeast"/>
              <w:jc w:val="center"/>
              <w:rPr>
                <w:kern w:val="0"/>
                <w:szCs w:val="21"/>
              </w:rPr>
            </w:pPr>
            <w:r w:rsidRPr="000549B1">
              <w:rPr>
                <w:kern w:val="0"/>
                <w:szCs w:val="21"/>
              </w:rPr>
              <w:t>切吉水库</w:t>
            </w:r>
          </w:p>
        </w:tc>
        <w:tc>
          <w:tcPr>
            <w:tcW w:w="2448" w:type="dxa"/>
            <w:noWrap/>
            <w:vAlign w:val="center"/>
          </w:tcPr>
          <w:p w14:paraId="0A438521" w14:textId="77777777" w:rsidR="00054437" w:rsidRPr="000549B1" w:rsidRDefault="00000000">
            <w:pPr>
              <w:widowControl/>
              <w:spacing w:line="240" w:lineRule="atLeast"/>
              <w:jc w:val="center"/>
              <w:rPr>
                <w:kern w:val="0"/>
                <w:szCs w:val="21"/>
              </w:rPr>
            </w:pPr>
            <w:r w:rsidRPr="000549B1">
              <w:rPr>
                <w:kern w:val="0"/>
                <w:szCs w:val="21"/>
              </w:rPr>
              <w:t>密度</w:t>
            </w:r>
            <w:r w:rsidRPr="000549B1">
              <w:rPr>
                <w:rFonts w:eastAsia="等线"/>
                <w:kern w:val="0"/>
                <w:szCs w:val="21"/>
                <w:lang w:bidi="ar"/>
              </w:rPr>
              <w:t>×</w:t>
            </w:r>
            <w:r w:rsidRPr="000549B1">
              <w:rPr>
                <w:kern w:val="0"/>
                <w:szCs w:val="21"/>
              </w:rPr>
              <w:t>（</w:t>
            </w:r>
            <w:r w:rsidRPr="000549B1">
              <w:rPr>
                <w:kern w:val="0"/>
                <w:szCs w:val="21"/>
              </w:rPr>
              <w:t>10</w:t>
            </w:r>
            <w:r w:rsidRPr="000549B1">
              <w:rPr>
                <w:kern w:val="0"/>
                <w:szCs w:val="21"/>
                <w:vertAlign w:val="superscript"/>
              </w:rPr>
              <w:t>4</w:t>
            </w:r>
            <w:r w:rsidRPr="000549B1">
              <w:rPr>
                <w:kern w:val="0"/>
                <w:szCs w:val="21"/>
              </w:rPr>
              <w:t>cells</w:t>
            </w:r>
            <w:r w:rsidRPr="000549B1">
              <w:rPr>
                <w:kern w:val="0"/>
                <w:szCs w:val="21"/>
              </w:rPr>
              <w:t>．</w:t>
            </w:r>
            <w:r w:rsidRPr="000549B1">
              <w:rPr>
                <w:kern w:val="0"/>
                <w:szCs w:val="21"/>
              </w:rPr>
              <w:t>L</w:t>
            </w:r>
            <w:r w:rsidRPr="000549B1">
              <w:rPr>
                <w:kern w:val="0"/>
                <w:szCs w:val="21"/>
                <w:vertAlign w:val="superscript"/>
              </w:rPr>
              <w:t>-1</w:t>
            </w:r>
            <w:r w:rsidRPr="000549B1">
              <w:rPr>
                <w:kern w:val="0"/>
                <w:szCs w:val="21"/>
              </w:rPr>
              <w:t>）</w:t>
            </w:r>
          </w:p>
        </w:tc>
        <w:tc>
          <w:tcPr>
            <w:tcW w:w="1010" w:type="dxa"/>
            <w:noWrap/>
            <w:vAlign w:val="center"/>
          </w:tcPr>
          <w:p w14:paraId="5B56FFAE" w14:textId="77777777" w:rsidR="00054437" w:rsidRPr="000549B1" w:rsidRDefault="00000000">
            <w:pPr>
              <w:widowControl/>
              <w:spacing w:line="240" w:lineRule="atLeast"/>
              <w:jc w:val="center"/>
              <w:rPr>
                <w:kern w:val="0"/>
                <w:szCs w:val="21"/>
              </w:rPr>
            </w:pPr>
            <w:r w:rsidRPr="000549B1">
              <w:rPr>
                <w:kern w:val="0"/>
                <w:szCs w:val="21"/>
              </w:rPr>
              <w:t>123.50</w:t>
            </w:r>
          </w:p>
        </w:tc>
        <w:tc>
          <w:tcPr>
            <w:tcW w:w="972" w:type="dxa"/>
            <w:noWrap/>
            <w:vAlign w:val="center"/>
          </w:tcPr>
          <w:p w14:paraId="339B94FF" w14:textId="77777777" w:rsidR="00054437" w:rsidRPr="000549B1" w:rsidRDefault="00000000">
            <w:pPr>
              <w:widowControl/>
              <w:spacing w:line="240" w:lineRule="atLeast"/>
              <w:jc w:val="center"/>
              <w:rPr>
                <w:kern w:val="0"/>
                <w:szCs w:val="21"/>
              </w:rPr>
            </w:pPr>
            <w:r w:rsidRPr="000549B1">
              <w:rPr>
                <w:kern w:val="0"/>
                <w:szCs w:val="21"/>
              </w:rPr>
              <w:t>112.75</w:t>
            </w:r>
          </w:p>
        </w:tc>
        <w:tc>
          <w:tcPr>
            <w:tcW w:w="1072" w:type="dxa"/>
            <w:noWrap/>
            <w:vAlign w:val="center"/>
          </w:tcPr>
          <w:p w14:paraId="72AFCBDB" w14:textId="77777777" w:rsidR="00054437" w:rsidRPr="000549B1" w:rsidRDefault="00000000">
            <w:pPr>
              <w:widowControl/>
              <w:spacing w:line="240" w:lineRule="atLeast"/>
              <w:jc w:val="center"/>
              <w:rPr>
                <w:kern w:val="0"/>
                <w:szCs w:val="21"/>
              </w:rPr>
            </w:pPr>
            <w:r w:rsidRPr="000549B1">
              <w:rPr>
                <w:kern w:val="0"/>
                <w:szCs w:val="21"/>
              </w:rPr>
              <w:t>0.00</w:t>
            </w:r>
          </w:p>
        </w:tc>
        <w:tc>
          <w:tcPr>
            <w:tcW w:w="1072" w:type="dxa"/>
            <w:noWrap/>
            <w:vAlign w:val="center"/>
          </w:tcPr>
          <w:p w14:paraId="5D2C8CDD" w14:textId="77777777" w:rsidR="00054437" w:rsidRPr="000549B1" w:rsidRDefault="00000000">
            <w:pPr>
              <w:widowControl/>
              <w:spacing w:line="240" w:lineRule="atLeast"/>
              <w:jc w:val="center"/>
              <w:rPr>
                <w:kern w:val="0"/>
                <w:szCs w:val="21"/>
              </w:rPr>
            </w:pPr>
            <w:r w:rsidRPr="000549B1">
              <w:rPr>
                <w:kern w:val="0"/>
                <w:szCs w:val="21"/>
              </w:rPr>
              <w:t>8.50</w:t>
            </w:r>
          </w:p>
        </w:tc>
        <w:tc>
          <w:tcPr>
            <w:tcW w:w="1072" w:type="dxa"/>
            <w:noWrap/>
            <w:vAlign w:val="center"/>
          </w:tcPr>
          <w:p w14:paraId="1124E151" w14:textId="77777777" w:rsidR="00054437" w:rsidRPr="000549B1" w:rsidRDefault="00000000">
            <w:pPr>
              <w:widowControl/>
              <w:spacing w:line="240" w:lineRule="atLeast"/>
              <w:jc w:val="center"/>
              <w:rPr>
                <w:kern w:val="0"/>
                <w:szCs w:val="21"/>
              </w:rPr>
            </w:pPr>
            <w:r w:rsidRPr="000549B1">
              <w:rPr>
                <w:kern w:val="0"/>
                <w:szCs w:val="21"/>
              </w:rPr>
              <w:t>1.75</w:t>
            </w:r>
          </w:p>
        </w:tc>
        <w:tc>
          <w:tcPr>
            <w:tcW w:w="1072" w:type="dxa"/>
            <w:noWrap/>
            <w:vAlign w:val="center"/>
          </w:tcPr>
          <w:p w14:paraId="4EE48A89" w14:textId="77777777" w:rsidR="00054437" w:rsidRPr="000549B1" w:rsidRDefault="00000000">
            <w:pPr>
              <w:widowControl/>
              <w:spacing w:line="240" w:lineRule="atLeast"/>
              <w:jc w:val="center"/>
              <w:rPr>
                <w:kern w:val="0"/>
                <w:szCs w:val="21"/>
              </w:rPr>
            </w:pPr>
            <w:r w:rsidRPr="000549B1">
              <w:rPr>
                <w:kern w:val="0"/>
                <w:szCs w:val="21"/>
              </w:rPr>
              <w:t>0.25</w:t>
            </w:r>
          </w:p>
        </w:tc>
        <w:tc>
          <w:tcPr>
            <w:tcW w:w="1072" w:type="dxa"/>
            <w:noWrap/>
            <w:vAlign w:val="center"/>
          </w:tcPr>
          <w:p w14:paraId="30A386C2" w14:textId="77777777" w:rsidR="00054437" w:rsidRPr="000549B1" w:rsidRDefault="00000000">
            <w:pPr>
              <w:widowControl/>
              <w:spacing w:line="240" w:lineRule="atLeast"/>
              <w:jc w:val="center"/>
              <w:rPr>
                <w:kern w:val="0"/>
                <w:szCs w:val="21"/>
              </w:rPr>
            </w:pPr>
            <w:r w:rsidRPr="000549B1">
              <w:rPr>
                <w:kern w:val="0"/>
                <w:szCs w:val="21"/>
              </w:rPr>
              <w:t>0.00</w:t>
            </w:r>
          </w:p>
        </w:tc>
        <w:tc>
          <w:tcPr>
            <w:tcW w:w="1072" w:type="dxa"/>
            <w:noWrap/>
            <w:vAlign w:val="center"/>
          </w:tcPr>
          <w:p w14:paraId="0C7583EA" w14:textId="77777777" w:rsidR="00054437" w:rsidRPr="000549B1" w:rsidRDefault="00000000">
            <w:pPr>
              <w:widowControl/>
              <w:spacing w:line="240" w:lineRule="atLeast"/>
              <w:jc w:val="center"/>
              <w:rPr>
                <w:kern w:val="0"/>
                <w:szCs w:val="21"/>
              </w:rPr>
            </w:pPr>
            <w:r w:rsidRPr="000549B1">
              <w:rPr>
                <w:kern w:val="0"/>
                <w:szCs w:val="21"/>
              </w:rPr>
              <w:t>0.25</w:t>
            </w:r>
          </w:p>
        </w:tc>
      </w:tr>
      <w:tr w:rsidR="000549B1" w:rsidRPr="000549B1" w14:paraId="1828D899" w14:textId="77777777">
        <w:trPr>
          <w:trHeight w:val="360"/>
          <w:jc w:val="center"/>
        </w:trPr>
        <w:tc>
          <w:tcPr>
            <w:tcW w:w="705" w:type="dxa"/>
            <w:vMerge/>
            <w:vAlign w:val="center"/>
          </w:tcPr>
          <w:p w14:paraId="5C49D629" w14:textId="77777777" w:rsidR="00054437" w:rsidRPr="000549B1" w:rsidRDefault="00054437">
            <w:pPr>
              <w:widowControl/>
              <w:spacing w:line="240" w:lineRule="atLeast"/>
              <w:rPr>
                <w:kern w:val="0"/>
                <w:szCs w:val="21"/>
              </w:rPr>
            </w:pPr>
          </w:p>
        </w:tc>
        <w:tc>
          <w:tcPr>
            <w:tcW w:w="2607" w:type="dxa"/>
            <w:vMerge/>
            <w:vAlign w:val="center"/>
          </w:tcPr>
          <w:p w14:paraId="17A9DA8F" w14:textId="77777777" w:rsidR="00054437" w:rsidRPr="000549B1" w:rsidRDefault="00054437">
            <w:pPr>
              <w:widowControl/>
              <w:spacing w:line="240" w:lineRule="atLeast"/>
              <w:rPr>
                <w:kern w:val="0"/>
                <w:szCs w:val="21"/>
              </w:rPr>
            </w:pPr>
          </w:p>
        </w:tc>
        <w:tc>
          <w:tcPr>
            <w:tcW w:w="2448" w:type="dxa"/>
            <w:noWrap/>
            <w:vAlign w:val="center"/>
          </w:tcPr>
          <w:p w14:paraId="6A32567F" w14:textId="77777777" w:rsidR="00054437" w:rsidRPr="000549B1" w:rsidRDefault="00000000">
            <w:pPr>
              <w:widowControl/>
              <w:spacing w:line="240" w:lineRule="atLeast"/>
              <w:jc w:val="center"/>
              <w:rPr>
                <w:kern w:val="0"/>
                <w:szCs w:val="21"/>
              </w:rPr>
            </w:pPr>
            <w:r w:rsidRPr="000549B1">
              <w:rPr>
                <w:kern w:val="0"/>
                <w:szCs w:val="21"/>
              </w:rPr>
              <w:t>生物量（</w:t>
            </w:r>
            <w:r w:rsidRPr="000549B1">
              <w:rPr>
                <w:kern w:val="0"/>
                <w:szCs w:val="21"/>
              </w:rPr>
              <w:t>mg</w:t>
            </w:r>
            <w:r w:rsidRPr="000549B1">
              <w:rPr>
                <w:kern w:val="0"/>
                <w:szCs w:val="21"/>
              </w:rPr>
              <w:t>．</w:t>
            </w:r>
            <w:r w:rsidRPr="000549B1">
              <w:rPr>
                <w:kern w:val="0"/>
                <w:szCs w:val="21"/>
              </w:rPr>
              <w:t>L</w:t>
            </w:r>
            <w:r w:rsidRPr="000549B1">
              <w:rPr>
                <w:kern w:val="0"/>
                <w:szCs w:val="21"/>
                <w:vertAlign w:val="superscript"/>
              </w:rPr>
              <w:t>-1</w:t>
            </w:r>
            <w:r w:rsidRPr="000549B1">
              <w:rPr>
                <w:kern w:val="0"/>
                <w:szCs w:val="21"/>
              </w:rPr>
              <w:t>）</w:t>
            </w:r>
          </w:p>
        </w:tc>
        <w:tc>
          <w:tcPr>
            <w:tcW w:w="1010" w:type="dxa"/>
            <w:noWrap/>
            <w:vAlign w:val="center"/>
          </w:tcPr>
          <w:p w14:paraId="282D28F8" w14:textId="77777777" w:rsidR="00054437" w:rsidRPr="000549B1" w:rsidRDefault="00000000">
            <w:pPr>
              <w:widowControl/>
              <w:spacing w:line="240" w:lineRule="atLeast"/>
              <w:jc w:val="center"/>
              <w:rPr>
                <w:kern w:val="0"/>
                <w:szCs w:val="21"/>
              </w:rPr>
            </w:pPr>
            <w:r w:rsidRPr="000549B1">
              <w:rPr>
                <w:kern w:val="0"/>
                <w:szCs w:val="21"/>
              </w:rPr>
              <w:t>5.1405</w:t>
            </w:r>
          </w:p>
        </w:tc>
        <w:tc>
          <w:tcPr>
            <w:tcW w:w="972" w:type="dxa"/>
            <w:noWrap/>
            <w:vAlign w:val="center"/>
          </w:tcPr>
          <w:p w14:paraId="67897BF9" w14:textId="77777777" w:rsidR="00054437" w:rsidRPr="000549B1" w:rsidRDefault="00000000">
            <w:pPr>
              <w:widowControl/>
              <w:spacing w:line="240" w:lineRule="atLeast"/>
              <w:jc w:val="center"/>
              <w:rPr>
                <w:kern w:val="0"/>
                <w:szCs w:val="21"/>
              </w:rPr>
            </w:pPr>
            <w:r w:rsidRPr="000549B1">
              <w:rPr>
                <w:kern w:val="0"/>
                <w:szCs w:val="21"/>
              </w:rPr>
              <w:t>2.9845</w:t>
            </w:r>
          </w:p>
        </w:tc>
        <w:tc>
          <w:tcPr>
            <w:tcW w:w="1072" w:type="dxa"/>
            <w:noWrap/>
            <w:vAlign w:val="center"/>
          </w:tcPr>
          <w:p w14:paraId="2065DD0B" w14:textId="77777777" w:rsidR="00054437" w:rsidRPr="000549B1" w:rsidRDefault="00000000">
            <w:pPr>
              <w:widowControl/>
              <w:spacing w:line="240" w:lineRule="atLeast"/>
              <w:jc w:val="center"/>
              <w:rPr>
                <w:kern w:val="0"/>
                <w:szCs w:val="21"/>
              </w:rPr>
            </w:pPr>
            <w:r w:rsidRPr="000549B1">
              <w:rPr>
                <w:kern w:val="0"/>
                <w:szCs w:val="21"/>
              </w:rPr>
              <w:t>0.0000</w:t>
            </w:r>
          </w:p>
        </w:tc>
        <w:tc>
          <w:tcPr>
            <w:tcW w:w="1072" w:type="dxa"/>
            <w:noWrap/>
            <w:vAlign w:val="center"/>
          </w:tcPr>
          <w:p w14:paraId="7EDDC3D0" w14:textId="77777777" w:rsidR="00054437" w:rsidRPr="000549B1" w:rsidRDefault="00000000">
            <w:pPr>
              <w:widowControl/>
              <w:spacing w:line="240" w:lineRule="atLeast"/>
              <w:jc w:val="center"/>
              <w:rPr>
                <w:kern w:val="0"/>
                <w:szCs w:val="21"/>
              </w:rPr>
            </w:pPr>
            <w:r w:rsidRPr="000549B1">
              <w:rPr>
                <w:kern w:val="0"/>
                <w:szCs w:val="21"/>
              </w:rPr>
              <w:t>2.1250</w:t>
            </w:r>
          </w:p>
        </w:tc>
        <w:tc>
          <w:tcPr>
            <w:tcW w:w="1072" w:type="dxa"/>
            <w:noWrap/>
            <w:vAlign w:val="center"/>
          </w:tcPr>
          <w:p w14:paraId="1CADF415" w14:textId="77777777" w:rsidR="00054437" w:rsidRPr="000549B1" w:rsidRDefault="00000000">
            <w:pPr>
              <w:widowControl/>
              <w:spacing w:line="240" w:lineRule="atLeast"/>
              <w:jc w:val="center"/>
              <w:rPr>
                <w:kern w:val="0"/>
                <w:szCs w:val="21"/>
              </w:rPr>
            </w:pPr>
            <w:r w:rsidRPr="000549B1">
              <w:rPr>
                <w:kern w:val="0"/>
                <w:szCs w:val="21"/>
              </w:rPr>
              <w:t>0.0085</w:t>
            </w:r>
          </w:p>
        </w:tc>
        <w:tc>
          <w:tcPr>
            <w:tcW w:w="1072" w:type="dxa"/>
            <w:noWrap/>
            <w:vAlign w:val="center"/>
          </w:tcPr>
          <w:p w14:paraId="5879844C" w14:textId="77777777" w:rsidR="00054437" w:rsidRPr="000549B1" w:rsidRDefault="00000000">
            <w:pPr>
              <w:widowControl/>
              <w:spacing w:line="240" w:lineRule="atLeast"/>
              <w:jc w:val="center"/>
              <w:rPr>
                <w:kern w:val="0"/>
                <w:szCs w:val="21"/>
              </w:rPr>
            </w:pPr>
            <w:r w:rsidRPr="000549B1">
              <w:rPr>
                <w:kern w:val="0"/>
                <w:szCs w:val="21"/>
              </w:rPr>
              <w:t>0.0200</w:t>
            </w:r>
          </w:p>
        </w:tc>
        <w:tc>
          <w:tcPr>
            <w:tcW w:w="1072" w:type="dxa"/>
            <w:noWrap/>
            <w:vAlign w:val="center"/>
          </w:tcPr>
          <w:p w14:paraId="48D53A11" w14:textId="77777777" w:rsidR="00054437" w:rsidRPr="000549B1" w:rsidRDefault="00000000">
            <w:pPr>
              <w:widowControl/>
              <w:spacing w:line="240" w:lineRule="atLeast"/>
              <w:jc w:val="center"/>
              <w:rPr>
                <w:kern w:val="0"/>
                <w:szCs w:val="21"/>
              </w:rPr>
            </w:pPr>
            <w:r w:rsidRPr="000549B1">
              <w:rPr>
                <w:kern w:val="0"/>
                <w:szCs w:val="21"/>
              </w:rPr>
              <w:t>0.0000</w:t>
            </w:r>
          </w:p>
        </w:tc>
        <w:tc>
          <w:tcPr>
            <w:tcW w:w="1072" w:type="dxa"/>
            <w:noWrap/>
            <w:vAlign w:val="center"/>
          </w:tcPr>
          <w:p w14:paraId="37216B94" w14:textId="77777777" w:rsidR="00054437" w:rsidRPr="000549B1" w:rsidRDefault="00000000">
            <w:pPr>
              <w:widowControl/>
              <w:spacing w:line="240" w:lineRule="atLeast"/>
              <w:jc w:val="center"/>
              <w:rPr>
                <w:kern w:val="0"/>
                <w:szCs w:val="21"/>
              </w:rPr>
            </w:pPr>
            <w:r w:rsidRPr="000549B1">
              <w:rPr>
                <w:kern w:val="0"/>
                <w:szCs w:val="21"/>
              </w:rPr>
              <w:t>0.0025</w:t>
            </w:r>
          </w:p>
        </w:tc>
      </w:tr>
      <w:tr w:rsidR="000549B1" w:rsidRPr="000549B1" w14:paraId="67C0FF47" w14:textId="77777777">
        <w:trPr>
          <w:trHeight w:val="360"/>
          <w:jc w:val="center"/>
        </w:trPr>
        <w:tc>
          <w:tcPr>
            <w:tcW w:w="705" w:type="dxa"/>
            <w:vMerge/>
            <w:vAlign w:val="center"/>
          </w:tcPr>
          <w:p w14:paraId="720A1229" w14:textId="77777777" w:rsidR="00054437" w:rsidRPr="000549B1" w:rsidRDefault="00054437">
            <w:pPr>
              <w:widowControl/>
              <w:spacing w:line="240" w:lineRule="atLeast"/>
              <w:rPr>
                <w:kern w:val="0"/>
                <w:szCs w:val="21"/>
              </w:rPr>
            </w:pPr>
          </w:p>
        </w:tc>
        <w:tc>
          <w:tcPr>
            <w:tcW w:w="2607" w:type="dxa"/>
            <w:vMerge w:val="restart"/>
            <w:noWrap/>
            <w:vAlign w:val="center"/>
          </w:tcPr>
          <w:p w14:paraId="0767B206" w14:textId="77777777" w:rsidR="00054437" w:rsidRPr="000549B1" w:rsidRDefault="00000000">
            <w:pPr>
              <w:widowControl/>
              <w:spacing w:line="240" w:lineRule="atLeast"/>
              <w:jc w:val="center"/>
              <w:rPr>
                <w:kern w:val="0"/>
                <w:szCs w:val="21"/>
              </w:rPr>
            </w:pPr>
            <w:r w:rsidRPr="000549B1">
              <w:rPr>
                <w:kern w:val="0"/>
                <w:szCs w:val="21"/>
              </w:rPr>
              <w:t>切吉水库下游</w:t>
            </w:r>
          </w:p>
        </w:tc>
        <w:tc>
          <w:tcPr>
            <w:tcW w:w="2448" w:type="dxa"/>
            <w:noWrap/>
            <w:vAlign w:val="center"/>
          </w:tcPr>
          <w:p w14:paraId="30253EDC" w14:textId="77777777" w:rsidR="00054437" w:rsidRPr="000549B1" w:rsidRDefault="00000000">
            <w:pPr>
              <w:widowControl/>
              <w:spacing w:line="240" w:lineRule="atLeast"/>
              <w:jc w:val="center"/>
              <w:rPr>
                <w:kern w:val="0"/>
                <w:szCs w:val="21"/>
              </w:rPr>
            </w:pPr>
            <w:r w:rsidRPr="000549B1">
              <w:rPr>
                <w:kern w:val="0"/>
                <w:szCs w:val="21"/>
              </w:rPr>
              <w:t>密度</w:t>
            </w:r>
            <w:r w:rsidRPr="000549B1">
              <w:rPr>
                <w:rFonts w:eastAsia="等线"/>
                <w:kern w:val="0"/>
                <w:szCs w:val="21"/>
                <w:lang w:bidi="ar"/>
              </w:rPr>
              <w:t>×</w:t>
            </w:r>
            <w:r w:rsidRPr="000549B1">
              <w:rPr>
                <w:kern w:val="0"/>
                <w:szCs w:val="21"/>
              </w:rPr>
              <w:t>（</w:t>
            </w:r>
            <w:r w:rsidRPr="000549B1">
              <w:rPr>
                <w:kern w:val="0"/>
                <w:szCs w:val="21"/>
              </w:rPr>
              <w:t>10</w:t>
            </w:r>
            <w:r w:rsidRPr="000549B1">
              <w:rPr>
                <w:kern w:val="0"/>
                <w:szCs w:val="21"/>
                <w:vertAlign w:val="superscript"/>
              </w:rPr>
              <w:t>4</w:t>
            </w:r>
            <w:r w:rsidRPr="000549B1">
              <w:rPr>
                <w:kern w:val="0"/>
                <w:szCs w:val="21"/>
              </w:rPr>
              <w:t>cells</w:t>
            </w:r>
            <w:r w:rsidRPr="000549B1">
              <w:rPr>
                <w:kern w:val="0"/>
                <w:szCs w:val="21"/>
              </w:rPr>
              <w:t>．</w:t>
            </w:r>
            <w:r w:rsidRPr="000549B1">
              <w:rPr>
                <w:kern w:val="0"/>
                <w:szCs w:val="21"/>
              </w:rPr>
              <w:t>L</w:t>
            </w:r>
            <w:r w:rsidRPr="000549B1">
              <w:rPr>
                <w:kern w:val="0"/>
                <w:szCs w:val="21"/>
                <w:vertAlign w:val="superscript"/>
              </w:rPr>
              <w:t>-1</w:t>
            </w:r>
            <w:r w:rsidRPr="000549B1">
              <w:rPr>
                <w:kern w:val="0"/>
                <w:szCs w:val="21"/>
              </w:rPr>
              <w:t>）</w:t>
            </w:r>
          </w:p>
        </w:tc>
        <w:tc>
          <w:tcPr>
            <w:tcW w:w="1010" w:type="dxa"/>
            <w:noWrap/>
            <w:vAlign w:val="center"/>
          </w:tcPr>
          <w:p w14:paraId="1FE95DFB" w14:textId="77777777" w:rsidR="00054437" w:rsidRPr="000549B1" w:rsidRDefault="00000000">
            <w:pPr>
              <w:widowControl/>
              <w:spacing w:line="240" w:lineRule="atLeast"/>
              <w:jc w:val="center"/>
              <w:rPr>
                <w:kern w:val="0"/>
                <w:szCs w:val="21"/>
              </w:rPr>
            </w:pPr>
            <w:r w:rsidRPr="000549B1">
              <w:rPr>
                <w:kern w:val="0"/>
                <w:szCs w:val="21"/>
              </w:rPr>
              <w:t>35.75</w:t>
            </w:r>
          </w:p>
        </w:tc>
        <w:tc>
          <w:tcPr>
            <w:tcW w:w="972" w:type="dxa"/>
            <w:noWrap/>
            <w:vAlign w:val="center"/>
          </w:tcPr>
          <w:p w14:paraId="56C73AC7" w14:textId="77777777" w:rsidR="00054437" w:rsidRPr="000549B1" w:rsidRDefault="00000000">
            <w:pPr>
              <w:widowControl/>
              <w:spacing w:line="240" w:lineRule="atLeast"/>
              <w:jc w:val="center"/>
              <w:rPr>
                <w:kern w:val="0"/>
                <w:szCs w:val="21"/>
              </w:rPr>
            </w:pPr>
            <w:r w:rsidRPr="000549B1">
              <w:rPr>
                <w:kern w:val="0"/>
                <w:szCs w:val="21"/>
              </w:rPr>
              <w:t>34.25</w:t>
            </w:r>
          </w:p>
        </w:tc>
        <w:tc>
          <w:tcPr>
            <w:tcW w:w="1072" w:type="dxa"/>
            <w:noWrap/>
            <w:vAlign w:val="center"/>
          </w:tcPr>
          <w:p w14:paraId="3426C0E8" w14:textId="77777777" w:rsidR="00054437" w:rsidRPr="000549B1" w:rsidRDefault="00000000">
            <w:pPr>
              <w:widowControl/>
              <w:spacing w:line="240" w:lineRule="atLeast"/>
              <w:jc w:val="center"/>
              <w:rPr>
                <w:kern w:val="0"/>
                <w:szCs w:val="21"/>
              </w:rPr>
            </w:pPr>
            <w:r w:rsidRPr="000549B1">
              <w:rPr>
                <w:kern w:val="0"/>
                <w:szCs w:val="21"/>
              </w:rPr>
              <w:t>0.25</w:t>
            </w:r>
          </w:p>
        </w:tc>
        <w:tc>
          <w:tcPr>
            <w:tcW w:w="1072" w:type="dxa"/>
            <w:noWrap/>
            <w:vAlign w:val="center"/>
          </w:tcPr>
          <w:p w14:paraId="4DC34B3D" w14:textId="77777777" w:rsidR="00054437" w:rsidRPr="000549B1" w:rsidRDefault="00000000">
            <w:pPr>
              <w:widowControl/>
              <w:spacing w:line="240" w:lineRule="atLeast"/>
              <w:jc w:val="center"/>
              <w:rPr>
                <w:kern w:val="0"/>
                <w:szCs w:val="21"/>
              </w:rPr>
            </w:pPr>
            <w:r w:rsidRPr="000549B1">
              <w:rPr>
                <w:kern w:val="0"/>
                <w:szCs w:val="21"/>
              </w:rPr>
              <w:t>0.75</w:t>
            </w:r>
          </w:p>
        </w:tc>
        <w:tc>
          <w:tcPr>
            <w:tcW w:w="1072" w:type="dxa"/>
            <w:noWrap/>
            <w:vAlign w:val="center"/>
          </w:tcPr>
          <w:p w14:paraId="582A3D86" w14:textId="77777777" w:rsidR="00054437" w:rsidRPr="000549B1" w:rsidRDefault="00000000">
            <w:pPr>
              <w:widowControl/>
              <w:spacing w:line="240" w:lineRule="atLeast"/>
              <w:jc w:val="center"/>
              <w:rPr>
                <w:kern w:val="0"/>
                <w:szCs w:val="21"/>
              </w:rPr>
            </w:pPr>
            <w:r w:rsidRPr="000549B1">
              <w:rPr>
                <w:kern w:val="0"/>
                <w:szCs w:val="21"/>
              </w:rPr>
              <w:t>0.25</w:t>
            </w:r>
          </w:p>
        </w:tc>
        <w:tc>
          <w:tcPr>
            <w:tcW w:w="1072" w:type="dxa"/>
            <w:noWrap/>
            <w:vAlign w:val="center"/>
          </w:tcPr>
          <w:p w14:paraId="678719C4" w14:textId="77777777" w:rsidR="00054437" w:rsidRPr="000549B1" w:rsidRDefault="00000000">
            <w:pPr>
              <w:widowControl/>
              <w:spacing w:line="240" w:lineRule="atLeast"/>
              <w:jc w:val="center"/>
              <w:rPr>
                <w:kern w:val="0"/>
                <w:szCs w:val="21"/>
              </w:rPr>
            </w:pPr>
            <w:r w:rsidRPr="000549B1">
              <w:rPr>
                <w:kern w:val="0"/>
                <w:szCs w:val="21"/>
              </w:rPr>
              <w:t>0.00</w:t>
            </w:r>
          </w:p>
        </w:tc>
        <w:tc>
          <w:tcPr>
            <w:tcW w:w="1072" w:type="dxa"/>
            <w:noWrap/>
            <w:vAlign w:val="center"/>
          </w:tcPr>
          <w:p w14:paraId="44F4571C" w14:textId="77777777" w:rsidR="00054437" w:rsidRPr="000549B1" w:rsidRDefault="00000000">
            <w:pPr>
              <w:widowControl/>
              <w:spacing w:line="240" w:lineRule="atLeast"/>
              <w:jc w:val="center"/>
              <w:rPr>
                <w:kern w:val="0"/>
                <w:szCs w:val="21"/>
              </w:rPr>
            </w:pPr>
            <w:r w:rsidRPr="000549B1">
              <w:rPr>
                <w:kern w:val="0"/>
                <w:szCs w:val="21"/>
              </w:rPr>
              <w:t>0.00</w:t>
            </w:r>
          </w:p>
        </w:tc>
        <w:tc>
          <w:tcPr>
            <w:tcW w:w="1072" w:type="dxa"/>
            <w:noWrap/>
            <w:vAlign w:val="center"/>
          </w:tcPr>
          <w:p w14:paraId="6CBE9E04" w14:textId="77777777" w:rsidR="00054437" w:rsidRPr="000549B1" w:rsidRDefault="00000000">
            <w:pPr>
              <w:widowControl/>
              <w:spacing w:line="240" w:lineRule="atLeast"/>
              <w:jc w:val="center"/>
              <w:rPr>
                <w:kern w:val="0"/>
                <w:szCs w:val="21"/>
              </w:rPr>
            </w:pPr>
            <w:r w:rsidRPr="000549B1">
              <w:rPr>
                <w:kern w:val="0"/>
                <w:szCs w:val="21"/>
              </w:rPr>
              <w:t>0.25</w:t>
            </w:r>
          </w:p>
        </w:tc>
      </w:tr>
      <w:tr w:rsidR="000549B1" w:rsidRPr="000549B1" w14:paraId="04A54846" w14:textId="77777777">
        <w:trPr>
          <w:trHeight w:val="360"/>
          <w:jc w:val="center"/>
        </w:trPr>
        <w:tc>
          <w:tcPr>
            <w:tcW w:w="705" w:type="dxa"/>
            <w:vMerge/>
            <w:vAlign w:val="center"/>
          </w:tcPr>
          <w:p w14:paraId="720E427F" w14:textId="77777777" w:rsidR="00054437" w:rsidRPr="000549B1" w:rsidRDefault="00054437">
            <w:pPr>
              <w:widowControl/>
              <w:spacing w:line="240" w:lineRule="atLeast"/>
              <w:rPr>
                <w:kern w:val="0"/>
                <w:szCs w:val="21"/>
              </w:rPr>
            </w:pPr>
          </w:p>
        </w:tc>
        <w:tc>
          <w:tcPr>
            <w:tcW w:w="2607" w:type="dxa"/>
            <w:vMerge/>
            <w:vAlign w:val="center"/>
          </w:tcPr>
          <w:p w14:paraId="2819FE12" w14:textId="77777777" w:rsidR="00054437" w:rsidRPr="000549B1" w:rsidRDefault="00054437">
            <w:pPr>
              <w:widowControl/>
              <w:spacing w:line="240" w:lineRule="atLeast"/>
              <w:rPr>
                <w:kern w:val="0"/>
                <w:szCs w:val="21"/>
              </w:rPr>
            </w:pPr>
          </w:p>
        </w:tc>
        <w:tc>
          <w:tcPr>
            <w:tcW w:w="2448" w:type="dxa"/>
            <w:noWrap/>
            <w:vAlign w:val="center"/>
          </w:tcPr>
          <w:p w14:paraId="0834BCCD" w14:textId="77777777" w:rsidR="00054437" w:rsidRPr="000549B1" w:rsidRDefault="00000000">
            <w:pPr>
              <w:widowControl/>
              <w:spacing w:line="240" w:lineRule="atLeast"/>
              <w:jc w:val="center"/>
              <w:rPr>
                <w:kern w:val="0"/>
                <w:szCs w:val="21"/>
              </w:rPr>
            </w:pPr>
            <w:r w:rsidRPr="000549B1">
              <w:rPr>
                <w:kern w:val="0"/>
                <w:szCs w:val="21"/>
              </w:rPr>
              <w:t>生物量（</w:t>
            </w:r>
            <w:r w:rsidRPr="000549B1">
              <w:rPr>
                <w:kern w:val="0"/>
                <w:szCs w:val="21"/>
              </w:rPr>
              <w:t>mg</w:t>
            </w:r>
            <w:r w:rsidRPr="000549B1">
              <w:rPr>
                <w:kern w:val="0"/>
                <w:szCs w:val="21"/>
              </w:rPr>
              <w:t>．</w:t>
            </w:r>
            <w:r w:rsidRPr="000549B1">
              <w:rPr>
                <w:kern w:val="0"/>
                <w:szCs w:val="21"/>
              </w:rPr>
              <w:t>L</w:t>
            </w:r>
            <w:r w:rsidRPr="000549B1">
              <w:rPr>
                <w:kern w:val="0"/>
                <w:szCs w:val="21"/>
                <w:vertAlign w:val="superscript"/>
              </w:rPr>
              <w:t>-1</w:t>
            </w:r>
            <w:r w:rsidRPr="000549B1">
              <w:rPr>
                <w:kern w:val="0"/>
                <w:szCs w:val="21"/>
              </w:rPr>
              <w:t>）</w:t>
            </w:r>
          </w:p>
        </w:tc>
        <w:tc>
          <w:tcPr>
            <w:tcW w:w="1010" w:type="dxa"/>
            <w:noWrap/>
            <w:vAlign w:val="center"/>
          </w:tcPr>
          <w:p w14:paraId="6A3BCA27" w14:textId="77777777" w:rsidR="00054437" w:rsidRPr="000549B1" w:rsidRDefault="00000000">
            <w:pPr>
              <w:widowControl/>
              <w:spacing w:line="240" w:lineRule="atLeast"/>
              <w:jc w:val="center"/>
              <w:rPr>
                <w:kern w:val="0"/>
                <w:szCs w:val="21"/>
              </w:rPr>
            </w:pPr>
            <w:r w:rsidRPr="000549B1">
              <w:rPr>
                <w:kern w:val="0"/>
                <w:szCs w:val="21"/>
              </w:rPr>
              <w:t>1.0660</w:t>
            </w:r>
          </w:p>
        </w:tc>
        <w:tc>
          <w:tcPr>
            <w:tcW w:w="972" w:type="dxa"/>
            <w:noWrap/>
            <w:vAlign w:val="center"/>
          </w:tcPr>
          <w:p w14:paraId="12C73787" w14:textId="77777777" w:rsidR="00054437" w:rsidRPr="000549B1" w:rsidRDefault="00000000">
            <w:pPr>
              <w:widowControl/>
              <w:spacing w:line="240" w:lineRule="atLeast"/>
              <w:jc w:val="center"/>
              <w:rPr>
                <w:kern w:val="0"/>
                <w:szCs w:val="21"/>
              </w:rPr>
            </w:pPr>
            <w:r w:rsidRPr="000549B1">
              <w:rPr>
                <w:kern w:val="0"/>
                <w:szCs w:val="21"/>
              </w:rPr>
              <w:t>0.8685</w:t>
            </w:r>
          </w:p>
        </w:tc>
        <w:tc>
          <w:tcPr>
            <w:tcW w:w="1072" w:type="dxa"/>
            <w:noWrap/>
            <w:vAlign w:val="center"/>
          </w:tcPr>
          <w:p w14:paraId="7FA9E518" w14:textId="77777777" w:rsidR="00054437" w:rsidRPr="000549B1" w:rsidRDefault="00000000">
            <w:pPr>
              <w:widowControl/>
              <w:spacing w:line="240" w:lineRule="atLeast"/>
              <w:jc w:val="center"/>
              <w:rPr>
                <w:kern w:val="0"/>
                <w:szCs w:val="21"/>
              </w:rPr>
            </w:pPr>
            <w:r w:rsidRPr="000549B1">
              <w:rPr>
                <w:kern w:val="0"/>
                <w:szCs w:val="21"/>
              </w:rPr>
              <w:t>0.0050</w:t>
            </w:r>
          </w:p>
        </w:tc>
        <w:tc>
          <w:tcPr>
            <w:tcW w:w="1072" w:type="dxa"/>
            <w:noWrap/>
            <w:vAlign w:val="center"/>
          </w:tcPr>
          <w:p w14:paraId="33C6CC9F" w14:textId="77777777" w:rsidR="00054437" w:rsidRPr="000549B1" w:rsidRDefault="00000000">
            <w:pPr>
              <w:widowControl/>
              <w:spacing w:line="240" w:lineRule="atLeast"/>
              <w:jc w:val="center"/>
              <w:rPr>
                <w:kern w:val="0"/>
                <w:szCs w:val="21"/>
              </w:rPr>
            </w:pPr>
            <w:r w:rsidRPr="000549B1">
              <w:rPr>
                <w:kern w:val="0"/>
                <w:szCs w:val="21"/>
              </w:rPr>
              <w:t>0.1875</w:t>
            </w:r>
          </w:p>
        </w:tc>
        <w:tc>
          <w:tcPr>
            <w:tcW w:w="1072" w:type="dxa"/>
            <w:noWrap/>
            <w:vAlign w:val="center"/>
          </w:tcPr>
          <w:p w14:paraId="6CA4AFD3" w14:textId="77777777" w:rsidR="00054437" w:rsidRPr="000549B1" w:rsidRDefault="00000000">
            <w:pPr>
              <w:widowControl/>
              <w:spacing w:line="240" w:lineRule="atLeast"/>
              <w:jc w:val="center"/>
              <w:rPr>
                <w:kern w:val="0"/>
                <w:szCs w:val="21"/>
              </w:rPr>
            </w:pPr>
            <w:r w:rsidRPr="000549B1">
              <w:rPr>
                <w:kern w:val="0"/>
                <w:szCs w:val="21"/>
              </w:rPr>
              <w:t>0.0025</w:t>
            </w:r>
          </w:p>
        </w:tc>
        <w:tc>
          <w:tcPr>
            <w:tcW w:w="1072" w:type="dxa"/>
            <w:noWrap/>
            <w:vAlign w:val="center"/>
          </w:tcPr>
          <w:p w14:paraId="04FA171C" w14:textId="77777777" w:rsidR="00054437" w:rsidRPr="000549B1" w:rsidRDefault="00000000">
            <w:pPr>
              <w:widowControl/>
              <w:spacing w:line="240" w:lineRule="atLeast"/>
              <w:jc w:val="center"/>
              <w:rPr>
                <w:kern w:val="0"/>
                <w:szCs w:val="21"/>
              </w:rPr>
            </w:pPr>
            <w:r w:rsidRPr="000549B1">
              <w:rPr>
                <w:kern w:val="0"/>
                <w:szCs w:val="21"/>
              </w:rPr>
              <w:t>0.0000</w:t>
            </w:r>
          </w:p>
        </w:tc>
        <w:tc>
          <w:tcPr>
            <w:tcW w:w="1072" w:type="dxa"/>
            <w:noWrap/>
            <w:vAlign w:val="center"/>
          </w:tcPr>
          <w:p w14:paraId="09553E8E" w14:textId="77777777" w:rsidR="00054437" w:rsidRPr="000549B1" w:rsidRDefault="00000000">
            <w:pPr>
              <w:widowControl/>
              <w:spacing w:line="240" w:lineRule="atLeast"/>
              <w:jc w:val="center"/>
              <w:rPr>
                <w:kern w:val="0"/>
                <w:szCs w:val="21"/>
              </w:rPr>
            </w:pPr>
            <w:r w:rsidRPr="000549B1">
              <w:rPr>
                <w:kern w:val="0"/>
                <w:szCs w:val="21"/>
              </w:rPr>
              <w:t>0.0000</w:t>
            </w:r>
          </w:p>
        </w:tc>
        <w:tc>
          <w:tcPr>
            <w:tcW w:w="1072" w:type="dxa"/>
            <w:noWrap/>
            <w:vAlign w:val="center"/>
          </w:tcPr>
          <w:p w14:paraId="264D7599" w14:textId="77777777" w:rsidR="00054437" w:rsidRPr="000549B1" w:rsidRDefault="00000000">
            <w:pPr>
              <w:widowControl/>
              <w:spacing w:line="240" w:lineRule="atLeast"/>
              <w:jc w:val="center"/>
              <w:rPr>
                <w:kern w:val="0"/>
                <w:szCs w:val="21"/>
              </w:rPr>
            </w:pPr>
            <w:r w:rsidRPr="000549B1">
              <w:rPr>
                <w:kern w:val="0"/>
                <w:szCs w:val="21"/>
              </w:rPr>
              <w:t>0.0025</w:t>
            </w:r>
          </w:p>
        </w:tc>
      </w:tr>
      <w:tr w:rsidR="000549B1" w:rsidRPr="000549B1" w14:paraId="0D0C92BC" w14:textId="77777777">
        <w:trPr>
          <w:trHeight w:val="360"/>
          <w:jc w:val="center"/>
        </w:trPr>
        <w:tc>
          <w:tcPr>
            <w:tcW w:w="705" w:type="dxa"/>
            <w:vMerge w:val="restart"/>
            <w:noWrap/>
            <w:vAlign w:val="center"/>
          </w:tcPr>
          <w:p w14:paraId="53D2692A" w14:textId="77777777" w:rsidR="00054437" w:rsidRPr="000549B1" w:rsidRDefault="00000000">
            <w:pPr>
              <w:widowControl/>
              <w:spacing w:line="240" w:lineRule="atLeast"/>
              <w:jc w:val="center"/>
              <w:rPr>
                <w:kern w:val="0"/>
                <w:szCs w:val="21"/>
              </w:rPr>
            </w:pPr>
            <w:r w:rsidRPr="000549B1">
              <w:rPr>
                <w:kern w:val="0"/>
                <w:szCs w:val="21"/>
              </w:rPr>
              <w:t>沙珠玉河</w:t>
            </w:r>
          </w:p>
        </w:tc>
        <w:tc>
          <w:tcPr>
            <w:tcW w:w="2607" w:type="dxa"/>
            <w:vMerge w:val="restart"/>
            <w:noWrap/>
            <w:vAlign w:val="center"/>
          </w:tcPr>
          <w:p w14:paraId="4A1951E4" w14:textId="77777777" w:rsidR="00054437" w:rsidRPr="000549B1" w:rsidRDefault="00000000">
            <w:pPr>
              <w:widowControl/>
              <w:spacing w:line="240" w:lineRule="atLeast"/>
              <w:jc w:val="center"/>
              <w:rPr>
                <w:kern w:val="0"/>
                <w:szCs w:val="21"/>
              </w:rPr>
            </w:pPr>
            <w:r w:rsidRPr="000549B1">
              <w:rPr>
                <w:kern w:val="0"/>
                <w:szCs w:val="21"/>
              </w:rPr>
              <w:t>曲黑格木</w:t>
            </w:r>
          </w:p>
        </w:tc>
        <w:tc>
          <w:tcPr>
            <w:tcW w:w="2448" w:type="dxa"/>
            <w:noWrap/>
            <w:vAlign w:val="center"/>
          </w:tcPr>
          <w:p w14:paraId="4867654E" w14:textId="77777777" w:rsidR="00054437" w:rsidRPr="000549B1" w:rsidRDefault="00000000">
            <w:pPr>
              <w:widowControl/>
              <w:spacing w:line="240" w:lineRule="atLeast"/>
              <w:jc w:val="center"/>
              <w:rPr>
                <w:kern w:val="0"/>
                <w:szCs w:val="21"/>
              </w:rPr>
            </w:pPr>
            <w:r w:rsidRPr="000549B1">
              <w:rPr>
                <w:kern w:val="0"/>
                <w:szCs w:val="21"/>
              </w:rPr>
              <w:t>密度</w:t>
            </w:r>
            <w:r w:rsidRPr="000549B1">
              <w:rPr>
                <w:rFonts w:eastAsia="等线"/>
                <w:kern w:val="0"/>
                <w:szCs w:val="21"/>
                <w:lang w:bidi="ar"/>
              </w:rPr>
              <w:t>×</w:t>
            </w:r>
            <w:r w:rsidRPr="000549B1">
              <w:rPr>
                <w:kern w:val="0"/>
                <w:szCs w:val="21"/>
              </w:rPr>
              <w:t>（</w:t>
            </w:r>
            <w:r w:rsidRPr="000549B1">
              <w:rPr>
                <w:kern w:val="0"/>
                <w:szCs w:val="21"/>
              </w:rPr>
              <w:t>10</w:t>
            </w:r>
            <w:r w:rsidRPr="000549B1">
              <w:rPr>
                <w:kern w:val="0"/>
                <w:szCs w:val="21"/>
                <w:vertAlign w:val="superscript"/>
              </w:rPr>
              <w:t>4</w:t>
            </w:r>
            <w:r w:rsidRPr="000549B1">
              <w:rPr>
                <w:kern w:val="0"/>
                <w:szCs w:val="21"/>
              </w:rPr>
              <w:t>cells</w:t>
            </w:r>
            <w:r w:rsidRPr="000549B1">
              <w:rPr>
                <w:kern w:val="0"/>
                <w:szCs w:val="21"/>
              </w:rPr>
              <w:t>．</w:t>
            </w:r>
            <w:r w:rsidRPr="000549B1">
              <w:rPr>
                <w:kern w:val="0"/>
                <w:szCs w:val="21"/>
              </w:rPr>
              <w:t>L</w:t>
            </w:r>
            <w:r w:rsidRPr="000549B1">
              <w:rPr>
                <w:kern w:val="0"/>
                <w:szCs w:val="21"/>
                <w:vertAlign w:val="superscript"/>
              </w:rPr>
              <w:t>-1</w:t>
            </w:r>
            <w:r w:rsidRPr="000549B1">
              <w:rPr>
                <w:kern w:val="0"/>
                <w:szCs w:val="21"/>
              </w:rPr>
              <w:t>）</w:t>
            </w:r>
          </w:p>
        </w:tc>
        <w:tc>
          <w:tcPr>
            <w:tcW w:w="1010" w:type="dxa"/>
            <w:noWrap/>
            <w:vAlign w:val="center"/>
          </w:tcPr>
          <w:p w14:paraId="41A63422" w14:textId="77777777" w:rsidR="00054437" w:rsidRPr="000549B1" w:rsidRDefault="00000000">
            <w:pPr>
              <w:widowControl/>
              <w:spacing w:line="240" w:lineRule="atLeast"/>
              <w:jc w:val="center"/>
              <w:rPr>
                <w:kern w:val="0"/>
                <w:szCs w:val="21"/>
              </w:rPr>
            </w:pPr>
            <w:r w:rsidRPr="000549B1">
              <w:rPr>
                <w:kern w:val="0"/>
                <w:szCs w:val="21"/>
              </w:rPr>
              <w:t>37.70</w:t>
            </w:r>
          </w:p>
        </w:tc>
        <w:tc>
          <w:tcPr>
            <w:tcW w:w="972" w:type="dxa"/>
            <w:noWrap/>
            <w:vAlign w:val="center"/>
          </w:tcPr>
          <w:p w14:paraId="202ACB2E" w14:textId="77777777" w:rsidR="00054437" w:rsidRPr="000549B1" w:rsidRDefault="00000000">
            <w:pPr>
              <w:widowControl/>
              <w:spacing w:line="240" w:lineRule="atLeast"/>
              <w:jc w:val="center"/>
              <w:rPr>
                <w:kern w:val="0"/>
                <w:szCs w:val="21"/>
              </w:rPr>
            </w:pPr>
            <w:r w:rsidRPr="000549B1">
              <w:rPr>
                <w:kern w:val="0"/>
                <w:szCs w:val="21"/>
              </w:rPr>
              <w:t>36.70</w:t>
            </w:r>
          </w:p>
        </w:tc>
        <w:tc>
          <w:tcPr>
            <w:tcW w:w="1072" w:type="dxa"/>
            <w:noWrap/>
            <w:vAlign w:val="center"/>
          </w:tcPr>
          <w:p w14:paraId="24C15A7C" w14:textId="77777777" w:rsidR="00054437" w:rsidRPr="000549B1" w:rsidRDefault="00000000">
            <w:pPr>
              <w:widowControl/>
              <w:spacing w:line="240" w:lineRule="atLeast"/>
              <w:jc w:val="center"/>
              <w:rPr>
                <w:kern w:val="0"/>
                <w:szCs w:val="21"/>
              </w:rPr>
            </w:pPr>
            <w:r w:rsidRPr="000549B1">
              <w:rPr>
                <w:kern w:val="0"/>
                <w:szCs w:val="21"/>
              </w:rPr>
              <w:t>0.00</w:t>
            </w:r>
          </w:p>
        </w:tc>
        <w:tc>
          <w:tcPr>
            <w:tcW w:w="1072" w:type="dxa"/>
            <w:noWrap/>
            <w:vAlign w:val="center"/>
          </w:tcPr>
          <w:p w14:paraId="28B9186C" w14:textId="77777777" w:rsidR="00054437" w:rsidRPr="000549B1" w:rsidRDefault="00000000">
            <w:pPr>
              <w:widowControl/>
              <w:spacing w:line="240" w:lineRule="atLeast"/>
              <w:jc w:val="center"/>
              <w:rPr>
                <w:kern w:val="0"/>
                <w:szCs w:val="21"/>
              </w:rPr>
            </w:pPr>
            <w:r w:rsidRPr="000549B1">
              <w:rPr>
                <w:kern w:val="0"/>
                <w:szCs w:val="21"/>
              </w:rPr>
              <w:t>0.50</w:t>
            </w:r>
          </w:p>
        </w:tc>
        <w:tc>
          <w:tcPr>
            <w:tcW w:w="1072" w:type="dxa"/>
            <w:noWrap/>
            <w:vAlign w:val="center"/>
          </w:tcPr>
          <w:p w14:paraId="5FEAA4C0" w14:textId="77777777" w:rsidR="00054437" w:rsidRPr="000549B1" w:rsidRDefault="00000000">
            <w:pPr>
              <w:widowControl/>
              <w:spacing w:line="240" w:lineRule="atLeast"/>
              <w:jc w:val="center"/>
              <w:rPr>
                <w:kern w:val="0"/>
                <w:szCs w:val="21"/>
              </w:rPr>
            </w:pPr>
            <w:r w:rsidRPr="000549B1">
              <w:rPr>
                <w:kern w:val="0"/>
                <w:szCs w:val="21"/>
              </w:rPr>
              <w:t>0.50</w:t>
            </w:r>
          </w:p>
        </w:tc>
        <w:tc>
          <w:tcPr>
            <w:tcW w:w="1072" w:type="dxa"/>
            <w:noWrap/>
            <w:vAlign w:val="center"/>
          </w:tcPr>
          <w:p w14:paraId="47BF3876" w14:textId="77777777" w:rsidR="00054437" w:rsidRPr="000549B1" w:rsidRDefault="00000000">
            <w:pPr>
              <w:widowControl/>
              <w:spacing w:line="240" w:lineRule="atLeast"/>
              <w:jc w:val="center"/>
              <w:rPr>
                <w:kern w:val="0"/>
                <w:szCs w:val="21"/>
              </w:rPr>
            </w:pPr>
            <w:r w:rsidRPr="000549B1">
              <w:rPr>
                <w:kern w:val="0"/>
                <w:szCs w:val="21"/>
              </w:rPr>
              <w:t>0.00</w:t>
            </w:r>
          </w:p>
        </w:tc>
        <w:tc>
          <w:tcPr>
            <w:tcW w:w="1072" w:type="dxa"/>
            <w:noWrap/>
            <w:vAlign w:val="center"/>
          </w:tcPr>
          <w:p w14:paraId="0DE5D120" w14:textId="77777777" w:rsidR="00054437" w:rsidRPr="000549B1" w:rsidRDefault="00000000">
            <w:pPr>
              <w:widowControl/>
              <w:spacing w:line="240" w:lineRule="atLeast"/>
              <w:jc w:val="center"/>
              <w:rPr>
                <w:kern w:val="0"/>
                <w:szCs w:val="21"/>
              </w:rPr>
            </w:pPr>
            <w:r w:rsidRPr="000549B1">
              <w:rPr>
                <w:kern w:val="0"/>
                <w:szCs w:val="21"/>
              </w:rPr>
              <w:t>0.00</w:t>
            </w:r>
          </w:p>
        </w:tc>
        <w:tc>
          <w:tcPr>
            <w:tcW w:w="1072" w:type="dxa"/>
            <w:noWrap/>
            <w:vAlign w:val="center"/>
          </w:tcPr>
          <w:p w14:paraId="44946C53" w14:textId="77777777" w:rsidR="00054437" w:rsidRPr="000549B1" w:rsidRDefault="00000000">
            <w:pPr>
              <w:widowControl/>
              <w:spacing w:line="240" w:lineRule="atLeast"/>
              <w:jc w:val="center"/>
              <w:rPr>
                <w:kern w:val="0"/>
                <w:szCs w:val="21"/>
              </w:rPr>
            </w:pPr>
            <w:r w:rsidRPr="000549B1">
              <w:rPr>
                <w:kern w:val="0"/>
                <w:szCs w:val="21"/>
              </w:rPr>
              <w:t>0.00</w:t>
            </w:r>
          </w:p>
        </w:tc>
      </w:tr>
      <w:tr w:rsidR="000549B1" w:rsidRPr="000549B1" w14:paraId="2658A950" w14:textId="77777777">
        <w:trPr>
          <w:trHeight w:val="360"/>
          <w:jc w:val="center"/>
        </w:trPr>
        <w:tc>
          <w:tcPr>
            <w:tcW w:w="705" w:type="dxa"/>
            <w:vMerge/>
            <w:vAlign w:val="center"/>
          </w:tcPr>
          <w:p w14:paraId="3665DCF6" w14:textId="77777777" w:rsidR="00054437" w:rsidRPr="000549B1" w:rsidRDefault="00054437">
            <w:pPr>
              <w:widowControl/>
              <w:spacing w:line="240" w:lineRule="atLeast"/>
              <w:rPr>
                <w:kern w:val="0"/>
                <w:szCs w:val="21"/>
              </w:rPr>
            </w:pPr>
          </w:p>
        </w:tc>
        <w:tc>
          <w:tcPr>
            <w:tcW w:w="2607" w:type="dxa"/>
            <w:vMerge/>
            <w:vAlign w:val="center"/>
          </w:tcPr>
          <w:p w14:paraId="7CDA98B6" w14:textId="77777777" w:rsidR="00054437" w:rsidRPr="000549B1" w:rsidRDefault="00054437">
            <w:pPr>
              <w:widowControl/>
              <w:spacing w:line="240" w:lineRule="atLeast"/>
              <w:rPr>
                <w:kern w:val="0"/>
                <w:szCs w:val="21"/>
              </w:rPr>
            </w:pPr>
          </w:p>
        </w:tc>
        <w:tc>
          <w:tcPr>
            <w:tcW w:w="2448" w:type="dxa"/>
            <w:noWrap/>
            <w:vAlign w:val="center"/>
          </w:tcPr>
          <w:p w14:paraId="69218C07" w14:textId="77777777" w:rsidR="00054437" w:rsidRPr="000549B1" w:rsidRDefault="00000000">
            <w:pPr>
              <w:widowControl/>
              <w:spacing w:line="240" w:lineRule="atLeast"/>
              <w:jc w:val="center"/>
              <w:rPr>
                <w:kern w:val="0"/>
                <w:szCs w:val="21"/>
              </w:rPr>
            </w:pPr>
            <w:r w:rsidRPr="000549B1">
              <w:rPr>
                <w:kern w:val="0"/>
                <w:szCs w:val="21"/>
              </w:rPr>
              <w:t>生物量（</w:t>
            </w:r>
            <w:r w:rsidRPr="000549B1">
              <w:rPr>
                <w:kern w:val="0"/>
                <w:szCs w:val="21"/>
              </w:rPr>
              <w:t>mg</w:t>
            </w:r>
            <w:r w:rsidRPr="000549B1">
              <w:rPr>
                <w:kern w:val="0"/>
                <w:szCs w:val="21"/>
              </w:rPr>
              <w:t>．</w:t>
            </w:r>
            <w:r w:rsidRPr="000549B1">
              <w:rPr>
                <w:kern w:val="0"/>
                <w:szCs w:val="21"/>
              </w:rPr>
              <w:t>L</w:t>
            </w:r>
            <w:r w:rsidRPr="000549B1">
              <w:rPr>
                <w:kern w:val="0"/>
                <w:szCs w:val="21"/>
                <w:vertAlign w:val="superscript"/>
              </w:rPr>
              <w:t>-1</w:t>
            </w:r>
            <w:r w:rsidRPr="000549B1">
              <w:rPr>
                <w:kern w:val="0"/>
                <w:szCs w:val="21"/>
              </w:rPr>
              <w:t>）</w:t>
            </w:r>
          </w:p>
        </w:tc>
        <w:tc>
          <w:tcPr>
            <w:tcW w:w="1010" w:type="dxa"/>
            <w:noWrap/>
            <w:vAlign w:val="center"/>
          </w:tcPr>
          <w:p w14:paraId="4705E9F2" w14:textId="77777777" w:rsidR="00054437" w:rsidRPr="000549B1" w:rsidRDefault="00000000">
            <w:pPr>
              <w:widowControl/>
              <w:spacing w:line="240" w:lineRule="atLeast"/>
              <w:jc w:val="center"/>
              <w:rPr>
                <w:kern w:val="0"/>
                <w:szCs w:val="21"/>
              </w:rPr>
            </w:pPr>
            <w:r w:rsidRPr="000549B1">
              <w:rPr>
                <w:kern w:val="0"/>
                <w:szCs w:val="21"/>
              </w:rPr>
              <w:t>1.0766</w:t>
            </w:r>
          </w:p>
        </w:tc>
        <w:tc>
          <w:tcPr>
            <w:tcW w:w="972" w:type="dxa"/>
            <w:noWrap/>
            <w:vAlign w:val="center"/>
          </w:tcPr>
          <w:p w14:paraId="48ECB6FD" w14:textId="77777777" w:rsidR="00054437" w:rsidRPr="000549B1" w:rsidRDefault="00000000">
            <w:pPr>
              <w:widowControl/>
              <w:spacing w:line="240" w:lineRule="atLeast"/>
              <w:jc w:val="center"/>
              <w:rPr>
                <w:kern w:val="0"/>
                <w:szCs w:val="21"/>
              </w:rPr>
            </w:pPr>
            <w:r w:rsidRPr="000549B1">
              <w:rPr>
                <w:kern w:val="0"/>
                <w:szCs w:val="21"/>
              </w:rPr>
              <w:t>0.9510</w:t>
            </w:r>
          </w:p>
        </w:tc>
        <w:tc>
          <w:tcPr>
            <w:tcW w:w="1072" w:type="dxa"/>
            <w:noWrap/>
            <w:vAlign w:val="center"/>
          </w:tcPr>
          <w:p w14:paraId="3C34EC17" w14:textId="77777777" w:rsidR="00054437" w:rsidRPr="000549B1" w:rsidRDefault="00000000">
            <w:pPr>
              <w:widowControl/>
              <w:spacing w:line="240" w:lineRule="atLeast"/>
              <w:jc w:val="center"/>
              <w:rPr>
                <w:kern w:val="0"/>
                <w:szCs w:val="21"/>
              </w:rPr>
            </w:pPr>
            <w:r w:rsidRPr="000549B1">
              <w:rPr>
                <w:kern w:val="0"/>
                <w:szCs w:val="21"/>
              </w:rPr>
              <w:t>0.0000</w:t>
            </w:r>
          </w:p>
        </w:tc>
        <w:tc>
          <w:tcPr>
            <w:tcW w:w="1072" w:type="dxa"/>
            <w:noWrap/>
            <w:vAlign w:val="center"/>
          </w:tcPr>
          <w:p w14:paraId="55520293" w14:textId="77777777" w:rsidR="00054437" w:rsidRPr="000549B1" w:rsidRDefault="00000000">
            <w:pPr>
              <w:widowControl/>
              <w:spacing w:line="240" w:lineRule="atLeast"/>
              <w:jc w:val="center"/>
              <w:rPr>
                <w:kern w:val="0"/>
                <w:szCs w:val="21"/>
              </w:rPr>
            </w:pPr>
            <w:r w:rsidRPr="000549B1">
              <w:rPr>
                <w:kern w:val="0"/>
                <w:szCs w:val="21"/>
              </w:rPr>
              <w:t>0.1250</w:t>
            </w:r>
          </w:p>
        </w:tc>
        <w:tc>
          <w:tcPr>
            <w:tcW w:w="1072" w:type="dxa"/>
            <w:noWrap/>
            <w:vAlign w:val="center"/>
          </w:tcPr>
          <w:p w14:paraId="4639A189" w14:textId="77777777" w:rsidR="00054437" w:rsidRPr="000549B1" w:rsidRDefault="00000000">
            <w:pPr>
              <w:widowControl/>
              <w:spacing w:line="240" w:lineRule="atLeast"/>
              <w:jc w:val="center"/>
              <w:rPr>
                <w:kern w:val="0"/>
                <w:szCs w:val="21"/>
              </w:rPr>
            </w:pPr>
            <w:r w:rsidRPr="000549B1">
              <w:rPr>
                <w:kern w:val="0"/>
                <w:szCs w:val="21"/>
              </w:rPr>
              <w:t>0.0006</w:t>
            </w:r>
          </w:p>
        </w:tc>
        <w:tc>
          <w:tcPr>
            <w:tcW w:w="1072" w:type="dxa"/>
            <w:noWrap/>
            <w:vAlign w:val="center"/>
          </w:tcPr>
          <w:p w14:paraId="2BF6E055" w14:textId="77777777" w:rsidR="00054437" w:rsidRPr="000549B1" w:rsidRDefault="00000000">
            <w:pPr>
              <w:widowControl/>
              <w:spacing w:line="240" w:lineRule="atLeast"/>
              <w:jc w:val="center"/>
              <w:rPr>
                <w:kern w:val="0"/>
                <w:szCs w:val="21"/>
              </w:rPr>
            </w:pPr>
            <w:r w:rsidRPr="000549B1">
              <w:rPr>
                <w:kern w:val="0"/>
                <w:szCs w:val="21"/>
              </w:rPr>
              <w:t>0.0000</w:t>
            </w:r>
          </w:p>
        </w:tc>
        <w:tc>
          <w:tcPr>
            <w:tcW w:w="1072" w:type="dxa"/>
            <w:noWrap/>
            <w:vAlign w:val="center"/>
          </w:tcPr>
          <w:p w14:paraId="3908F55F" w14:textId="77777777" w:rsidR="00054437" w:rsidRPr="000549B1" w:rsidRDefault="00000000">
            <w:pPr>
              <w:widowControl/>
              <w:spacing w:line="240" w:lineRule="atLeast"/>
              <w:jc w:val="center"/>
              <w:rPr>
                <w:kern w:val="0"/>
                <w:szCs w:val="21"/>
              </w:rPr>
            </w:pPr>
            <w:r w:rsidRPr="000549B1">
              <w:rPr>
                <w:kern w:val="0"/>
                <w:szCs w:val="21"/>
              </w:rPr>
              <w:t>0.0000</w:t>
            </w:r>
          </w:p>
        </w:tc>
        <w:tc>
          <w:tcPr>
            <w:tcW w:w="1072" w:type="dxa"/>
            <w:noWrap/>
            <w:vAlign w:val="center"/>
          </w:tcPr>
          <w:p w14:paraId="27BA04D8" w14:textId="77777777" w:rsidR="00054437" w:rsidRPr="000549B1" w:rsidRDefault="00000000">
            <w:pPr>
              <w:widowControl/>
              <w:spacing w:line="240" w:lineRule="atLeast"/>
              <w:jc w:val="center"/>
              <w:rPr>
                <w:kern w:val="0"/>
                <w:szCs w:val="21"/>
              </w:rPr>
            </w:pPr>
            <w:r w:rsidRPr="000549B1">
              <w:rPr>
                <w:kern w:val="0"/>
                <w:szCs w:val="21"/>
              </w:rPr>
              <w:t>0.0000</w:t>
            </w:r>
          </w:p>
        </w:tc>
      </w:tr>
      <w:tr w:rsidR="000549B1" w:rsidRPr="000549B1" w14:paraId="48896E36" w14:textId="77777777">
        <w:trPr>
          <w:trHeight w:val="360"/>
          <w:jc w:val="center"/>
        </w:trPr>
        <w:tc>
          <w:tcPr>
            <w:tcW w:w="705" w:type="dxa"/>
            <w:vMerge/>
            <w:vAlign w:val="center"/>
          </w:tcPr>
          <w:p w14:paraId="3264298C" w14:textId="77777777" w:rsidR="00054437" w:rsidRPr="000549B1" w:rsidRDefault="00054437">
            <w:pPr>
              <w:widowControl/>
              <w:spacing w:line="240" w:lineRule="atLeast"/>
              <w:rPr>
                <w:kern w:val="0"/>
                <w:szCs w:val="21"/>
              </w:rPr>
            </w:pPr>
          </w:p>
        </w:tc>
        <w:tc>
          <w:tcPr>
            <w:tcW w:w="2607" w:type="dxa"/>
            <w:vMerge w:val="restart"/>
            <w:noWrap/>
            <w:vAlign w:val="center"/>
          </w:tcPr>
          <w:p w14:paraId="479A9E46" w14:textId="77777777" w:rsidR="00054437" w:rsidRPr="000549B1" w:rsidRDefault="00000000">
            <w:pPr>
              <w:widowControl/>
              <w:spacing w:line="240" w:lineRule="atLeast"/>
              <w:jc w:val="center"/>
              <w:rPr>
                <w:kern w:val="0"/>
                <w:szCs w:val="21"/>
              </w:rPr>
            </w:pPr>
            <w:r w:rsidRPr="000549B1">
              <w:rPr>
                <w:kern w:val="0"/>
                <w:szCs w:val="21"/>
              </w:rPr>
              <w:t>浪娘村桥下</w:t>
            </w:r>
          </w:p>
        </w:tc>
        <w:tc>
          <w:tcPr>
            <w:tcW w:w="2448" w:type="dxa"/>
            <w:noWrap/>
            <w:vAlign w:val="center"/>
          </w:tcPr>
          <w:p w14:paraId="11B6C909" w14:textId="77777777" w:rsidR="00054437" w:rsidRPr="000549B1" w:rsidRDefault="00000000">
            <w:pPr>
              <w:widowControl/>
              <w:spacing w:line="240" w:lineRule="atLeast"/>
              <w:jc w:val="center"/>
              <w:rPr>
                <w:kern w:val="0"/>
                <w:szCs w:val="21"/>
              </w:rPr>
            </w:pPr>
            <w:r w:rsidRPr="000549B1">
              <w:rPr>
                <w:kern w:val="0"/>
                <w:szCs w:val="21"/>
              </w:rPr>
              <w:t>密度</w:t>
            </w:r>
            <w:r w:rsidRPr="000549B1">
              <w:rPr>
                <w:rFonts w:eastAsia="等线"/>
                <w:kern w:val="0"/>
                <w:szCs w:val="21"/>
                <w:lang w:bidi="ar"/>
              </w:rPr>
              <w:t>×</w:t>
            </w:r>
            <w:r w:rsidRPr="000549B1">
              <w:rPr>
                <w:kern w:val="0"/>
                <w:szCs w:val="21"/>
              </w:rPr>
              <w:t>（</w:t>
            </w:r>
            <w:r w:rsidRPr="000549B1">
              <w:rPr>
                <w:kern w:val="0"/>
                <w:szCs w:val="21"/>
              </w:rPr>
              <w:t>10</w:t>
            </w:r>
            <w:r w:rsidRPr="000549B1">
              <w:rPr>
                <w:kern w:val="0"/>
                <w:szCs w:val="21"/>
                <w:vertAlign w:val="superscript"/>
              </w:rPr>
              <w:t>4</w:t>
            </w:r>
            <w:r w:rsidRPr="000549B1">
              <w:rPr>
                <w:kern w:val="0"/>
                <w:szCs w:val="21"/>
              </w:rPr>
              <w:t>cells</w:t>
            </w:r>
            <w:r w:rsidRPr="000549B1">
              <w:rPr>
                <w:kern w:val="0"/>
                <w:szCs w:val="21"/>
              </w:rPr>
              <w:t>．</w:t>
            </w:r>
            <w:r w:rsidRPr="000549B1">
              <w:rPr>
                <w:kern w:val="0"/>
                <w:szCs w:val="21"/>
              </w:rPr>
              <w:t>L</w:t>
            </w:r>
            <w:r w:rsidRPr="000549B1">
              <w:rPr>
                <w:kern w:val="0"/>
                <w:szCs w:val="21"/>
                <w:vertAlign w:val="superscript"/>
              </w:rPr>
              <w:t>-1</w:t>
            </w:r>
            <w:r w:rsidRPr="000549B1">
              <w:rPr>
                <w:kern w:val="0"/>
                <w:szCs w:val="21"/>
              </w:rPr>
              <w:t>）</w:t>
            </w:r>
          </w:p>
        </w:tc>
        <w:tc>
          <w:tcPr>
            <w:tcW w:w="1010" w:type="dxa"/>
            <w:noWrap/>
            <w:vAlign w:val="center"/>
          </w:tcPr>
          <w:p w14:paraId="2C4B1D70" w14:textId="77777777" w:rsidR="00054437" w:rsidRPr="000549B1" w:rsidRDefault="00000000">
            <w:pPr>
              <w:widowControl/>
              <w:spacing w:line="240" w:lineRule="atLeast"/>
              <w:jc w:val="center"/>
              <w:rPr>
                <w:kern w:val="0"/>
                <w:szCs w:val="21"/>
              </w:rPr>
            </w:pPr>
            <w:r w:rsidRPr="000549B1">
              <w:rPr>
                <w:kern w:val="0"/>
                <w:szCs w:val="21"/>
              </w:rPr>
              <w:t>25.00</w:t>
            </w:r>
          </w:p>
        </w:tc>
        <w:tc>
          <w:tcPr>
            <w:tcW w:w="972" w:type="dxa"/>
            <w:noWrap/>
            <w:vAlign w:val="center"/>
          </w:tcPr>
          <w:p w14:paraId="58B509E2" w14:textId="77777777" w:rsidR="00054437" w:rsidRPr="000549B1" w:rsidRDefault="00000000">
            <w:pPr>
              <w:widowControl/>
              <w:spacing w:line="240" w:lineRule="atLeast"/>
              <w:jc w:val="center"/>
              <w:rPr>
                <w:kern w:val="0"/>
                <w:szCs w:val="21"/>
              </w:rPr>
            </w:pPr>
            <w:r w:rsidRPr="000549B1">
              <w:rPr>
                <w:kern w:val="0"/>
                <w:szCs w:val="21"/>
              </w:rPr>
              <w:t>25.00</w:t>
            </w:r>
          </w:p>
        </w:tc>
        <w:tc>
          <w:tcPr>
            <w:tcW w:w="1072" w:type="dxa"/>
            <w:noWrap/>
            <w:vAlign w:val="center"/>
          </w:tcPr>
          <w:p w14:paraId="344905C8" w14:textId="77777777" w:rsidR="00054437" w:rsidRPr="000549B1" w:rsidRDefault="00000000">
            <w:pPr>
              <w:widowControl/>
              <w:spacing w:line="240" w:lineRule="atLeast"/>
              <w:jc w:val="center"/>
              <w:rPr>
                <w:kern w:val="0"/>
                <w:szCs w:val="21"/>
              </w:rPr>
            </w:pPr>
            <w:r w:rsidRPr="000549B1">
              <w:rPr>
                <w:kern w:val="0"/>
                <w:szCs w:val="21"/>
              </w:rPr>
              <w:t>0.00</w:t>
            </w:r>
          </w:p>
        </w:tc>
        <w:tc>
          <w:tcPr>
            <w:tcW w:w="1072" w:type="dxa"/>
            <w:noWrap/>
            <w:vAlign w:val="center"/>
          </w:tcPr>
          <w:p w14:paraId="706FABF6" w14:textId="77777777" w:rsidR="00054437" w:rsidRPr="000549B1" w:rsidRDefault="00000000">
            <w:pPr>
              <w:widowControl/>
              <w:spacing w:line="240" w:lineRule="atLeast"/>
              <w:jc w:val="center"/>
              <w:rPr>
                <w:kern w:val="0"/>
                <w:szCs w:val="21"/>
              </w:rPr>
            </w:pPr>
            <w:r w:rsidRPr="000549B1">
              <w:rPr>
                <w:kern w:val="0"/>
                <w:szCs w:val="21"/>
              </w:rPr>
              <w:t>0.00</w:t>
            </w:r>
          </w:p>
        </w:tc>
        <w:tc>
          <w:tcPr>
            <w:tcW w:w="1072" w:type="dxa"/>
            <w:noWrap/>
            <w:vAlign w:val="center"/>
          </w:tcPr>
          <w:p w14:paraId="0724E233" w14:textId="77777777" w:rsidR="00054437" w:rsidRPr="000549B1" w:rsidRDefault="00000000">
            <w:pPr>
              <w:widowControl/>
              <w:spacing w:line="240" w:lineRule="atLeast"/>
              <w:jc w:val="center"/>
              <w:rPr>
                <w:kern w:val="0"/>
                <w:szCs w:val="21"/>
              </w:rPr>
            </w:pPr>
            <w:r w:rsidRPr="000549B1">
              <w:rPr>
                <w:kern w:val="0"/>
                <w:szCs w:val="21"/>
              </w:rPr>
              <w:t>0.00</w:t>
            </w:r>
          </w:p>
        </w:tc>
        <w:tc>
          <w:tcPr>
            <w:tcW w:w="1072" w:type="dxa"/>
            <w:noWrap/>
            <w:vAlign w:val="center"/>
          </w:tcPr>
          <w:p w14:paraId="2D066C4F" w14:textId="77777777" w:rsidR="00054437" w:rsidRPr="000549B1" w:rsidRDefault="00000000">
            <w:pPr>
              <w:widowControl/>
              <w:spacing w:line="240" w:lineRule="atLeast"/>
              <w:jc w:val="center"/>
              <w:rPr>
                <w:kern w:val="0"/>
                <w:szCs w:val="21"/>
              </w:rPr>
            </w:pPr>
            <w:r w:rsidRPr="000549B1">
              <w:rPr>
                <w:kern w:val="0"/>
                <w:szCs w:val="21"/>
              </w:rPr>
              <w:t>0.00</w:t>
            </w:r>
          </w:p>
        </w:tc>
        <w:tc>
          <w:tcPr>
            <w:tcW w:w="1072" w:type="dxa"/>
            <w:noWrap/>
            <w:vAlign w:val="center"/>
          </w:tcPr>
          <w:p w14:paraId="6A75EBDD" w14:textId="77777777" w:rsidR="00054437" w:rsidRPr="000549B1" w:rsidRDefault="00000000">
            <w:pPr>
              <w:widowControl/>
              <w:spacing w:line="240" w:lineRule="atLeast"/>
              <w:jc w:val="center"/>
              <w:rPr>
                <w:kern w:val="0"/>
                <w:szCs w:val="21"/>
              </w:rPr>
            </w:pPr>
            <w:r w:rsidRPr="000549B1">
              <w:rPr>
                <w:kern w:val="0"/>
                <w:szCs w:val="21"/>
              </w:rPr>
              <w:t>0.00</w:t>
            </w:r>
          </w:p>
        </w:tc>
        <w:tc>
          <w:tcPr>
            <w:tcW w:w="1072" w:type="dxa"/>
            <w:noWrap/>
            <w:vAlign w:val="center"/>
          </w:tcPr>
          <w:p w14:paraId="48E65CF8" w14:textId="77777777" w:rsidR="00054437" w:rsidRPr="000549B1" w:rsidRDefault="00000000">
            <w:pPr>
              <w:widowControl/>
              <w:spacing w:line="240" w:lineRule="atLeast"/>
              <w:jc w:val="center"/>
              <w:rPr>
                <w:kern w:val="0"/>
                <w:szCs w:val="21"/>
              </w:rPr>
            </w:pPr>
            <w:r w:rsidRPr="000549B1">
              <w:rPr>
                <w:kern w:val="0"/>
                <w:szCs w:val="21"/>
              </w:rPr>
              <w:t>0.00</w:t>
            </w:r>
          </w:p>
        </w:tc>
      </w:tr>
      <w:tr w:rsidR="000549B1" w:rsidRPr="000549B1" w14:paraId="3B7FD60C" w14:textId="77777777">
        <w:trPr>
          <w:trHeight w:val="70"/>
          <w:jc w:val="center"/>
        </w:trPr>
        <w:tc>
          <w:tcPr>
            <w:tcW w:w="705" w:type="dxa"/>
            <w:vMerge/>
            <w:vAlign w:val="center"/>
          </w:tcPr>
          <w:p w14:paraId="5B55D878" w14:textId="77777777" w:rsidR="00054437" w:rsidRPr="000549B1" w:rsidRDefault="00054437">
            <w:pPr>
              <w:widowControl/>
              <w:spacing w:line="240" w:lineRule="atLeast"/>
              <w:rPr>
                <w:kern w:val="0"/>
                <w:szCs w:val="21"/>
              </w:rPr>
            </w:pPr>
          </w:p>
        </w:tc>
        <w:tc>
          <w:tcPr>
            <w:tcW w:w="2607" w:type="dxa"/>
            <w:vMerge/>
            <w:vAlign w:val="center"/>
          </w:tcPr>
          <w:p w14:paraId="075E5F0B" w14:textId="77777777" w:rsidR="00054437" w:rsidRPr="000549B1" w:rsidRDefault="00054437">
            <w:pPr>
              <w:widowControl/>
              <w:spacing w:line="240" w:lineRule="atLeast"/>
              <w:rPr>
                <w:kern w:val="0"/>
                <w:szCs w:val="21"/>
              </w:rPr>
            </w:pPr>
          </w:p>
        </w:tc>
        <w:tc>
          <w:tcPr>
            <w:tcW w:w="2448" w:type="dxa"/>
            <w:noWrap/>
            <w:vAlign w:val="center"/>
          </w:tcPr>
          <w:p w14:paraId="4A70EE9B" w14:textId="77777777" w:rsidR="00054437" w:rsidRPr="000549B1" w:rsidRDefault="00000000">
            <w:pPr>
              <w:widowControl/>
              <w:spacing w:line="240" w:lineRule="atLeast"/>
              <w:jc w:val="center"/>
              <w:rPr>
                <w:kern w:val="0"/>
                <w:szCs w:val="21"/>
              </w:rPr>
            </w:pPr>
            <w:r w:rsidRPr="000549B1">
              <w:rPr>
                <w:kern w:val="0"/>
                <w:szCs w:val="21"/>
              </w:rPr>
              <w:t>生物量（</w:t>
            </w:r>
            <w:r w:rsidRPr="000549B1">
              <w:rPr>
                <w:kern w:val="0"/>
                <w:szCs w:val="21"/>
              </w:rPr>
              <w:t>mg</w:t>
            </w:r>
            <w:r w:rsidRPr="000549B1">
              <w:rPr>
                <w:kern w:val="0"/>
                <w:szCs w:val="21"/>
              </w:rPr>
              <w:t>．</w:t>
            </w:r>
            <w:r w:rsidRPr="000549B1">
              <w:rPr>
                <w:kern w:val="0"/>
                <w:szCs w:val="21"/>
              </w:rPr>
              <w:t>L</w:t>
            </w:r>
            <w:r w:rsidRPr="000549B1">
              <w:rPr>
                <w:kern w:val="0"/>
                <w:szCs w:val="21"/>
                <w:vertAlign w:val="superscript"/>
              </w:rPr>
              <w:t>-1</w:t>
            </w:r>
            <w:r w:rsidRPr="000549B1">
              <w:rPr>
                <w:kern w:val="0"/>
                <w:szCs w:val="21"/>
              </w:rPr>
              <w:t>）</w:t>
            </w:r>
          </w:p>
        </w:tc>
        <w:tc>
          <w:tcPr>
            <w:tcW w:w="1010" w:type="dxa"/>
            <w:noWrap/>
            <w:vAlign w:val="center"/>
          </w:tcPr>
          <w:p w14:paraId="697E8054" w14:textId="77777777" w:rsidR="00054437" w:rsidRPr="000549B1" w:rsidRDefault="00000000">
            <w:pPr>
              <w:widowControl/>
              <w:spacing w:line="240" w:lineRule="atLeast"/>
              <w:jc w:val="center"/>
              <w:rPr>
                <w:kern w:val="0"/>
                <w:szCs w:val="21"/>
              </w:rPr>
            </w:pPr>
            <w:r w:rsidRPr="000549B1">
              <w:rPr>
                <w:kern w:val="0"/>
                <w:szCs w:val="21"/>
              </w:rPr>
              <w:t>0.6493</w:t>
            </w:r>
          </w:p>
        </w:tc>
        <w:tc>
          <w:tcPr>
            <w:tcW w:w="972" w:type="dxa"/>
            <w:noWrap/>
            <w:vAlign w:val="center"/>
          </w:tcPr>
          <w:p w14:paraId="350E166B" w14:textId="77777777" w:rsidR="00054437" w:rsidRPr="000549B1" w:rsidRDefault="00000000">
            <w:pPr>
              <w:widowControl/>
              <w:spacing w:line="240" w:lineRule="atLeast"/>
              <w:jc w:val="center"/>
              <w:rPr>
                <w:kern w:val="0"/>
                <w:szCs w:val="21"/>
              </w:rPr>
            </w:pPr>
            <w:r w:rsidRPr="000549B1">
              <w:rPr>
                <w:kern w:val="0"/>
                <w:szCs w:val="21"/>
              </w:rPr>
              <w:t>0.6493</w:t>
            </w:r>
          </w:p>
        </w:tc>
        <w:tc>
          <w:tcPr>
            <w:tcW w:w="1072" w:type="dxa"/>
            <w:noWrap/>
            <w:vAlign w:val="center"/>
          </w:tcPr>
          <w:p w14:paraId="787EE308" w14:textId="77777777" w:rsidR="00054437" w:rsidRPr="000549B1" w:rsidRDefault="00000000">
            <w:pPr>
              <w:widowControl/>
              <w:spacing w:line="240" w:lineRule="atLeast"/>
              <w:jc w:val="center"/>
              <w:rPr>
                <w:kern w:val="0"/>
                <w:szCs w:val="21"/>
              </w:rPr>
            </w:pPr>
            <w:r w:rsidRPr="000549B1">
              <w:rPr>
                <w:kern w:val="0"/>
                <w:szCs w:val="21"/>
              </w:rPr>
              <w:t>0.0000</w:t>
            </w:r>
          </w:p>
        </w:tc>
        <w:tc>
          <w:tcPr>
            <w:tcW w:w="1072" w:type="dxa"/>
            <w:noWrap/>
            <w:vAlign w:val="center"/>
          </w:tcPr>
          <w:p w14:paraId="36D893C8" w14:textId="77777777" w:rsidR="00054437" w:rsidRPr="000549B1" w:rsidRDefault="00000000">
            <w:pPr>
              <w:widowControl/>
              <w:spacing w:line="240" w:lineRule="atLeast"/>
              <w:jc w:val="center"/>
              <w:rPr>
                <w:kern w:val="0"/>
                <w:szCs w:val="21"/>
              </w:rPr>
            </w:pPr>
            <w:r w:rsidRPr="000549B1">
              <w:rPr>
                <w:kern w:val="0"/>
                <w:szCs w:val="21"/>
              </w:rPr>
              <w:t>0.0000</w:t>
            </w:r>
          </w:p>
        </w:tc>
        <w:tc>
          <w:tcPr>
            <w:tcW w:w="1072" w:type="dxa"/>
            <w:noWrap/>
            <w:vAlign w:val="center"/>
          </w:tcPr>
          <w:p w14:paraId="2DAA2C76" w14:textId="77777777" w:rsidR="00054437" w:rsidRPr="000549B1" w:rsidRDefault="00000000">
            <w:pPr>
              <w:widowControl/>
              <w:spacing w:line="240" w:lineRule="atLeast"/>
              <w:jc w:val="center"/>
              <w:rPr>
                <w:kern w:val="0"/>
                <w:szCs w:val="21"/>
              </w:rPr>
            </w:pPr>
            <w:r w:rsidRPr="000549B1">
              <w:rPr>
                <w:kern w:val="0"/>
                <w:szCs w:val="21"/>
              </w:rPr>
              <w:t>0.0000</w:t>
            </w:r>
          </w:p>
        </w:tc>
        <w:tc>
          <w:tcPr>
            <w:tcW w:w="1072" w:type="dxa"/>
            <w:noWrap/>
            <w:vAlign w:val="center"/>
          </w:tcPr>
          <w:p w14:paraId="7478654F" w14:textId="77777777" w:rsidR="00054437" w:rsidRPr="000549B1" w:rsidRDefault="00000000">
            <w:pPr>
              <w:widowControl/>
              <w:spacing w:line="240" w:lineRule="atLeast"/>
              <w:jc w:val="center"/>
              <w:rPr>
                <w:kern w:val="0"/>
                <w:szCs w:val="21"/>
              </w:rPr>
            </w:pPr>
            <w:r w:rsidRPr="000549B1">
              <w:rPr>
                <w:kern w:val="0"/>
                <w:szCs w:val="21"/>
              </w:rPr>
              <w:t>0.0000</w:t>
            </w:r>
          </w:p>
        </w:tc>
        <w:tc>
          <w:tcPr>
            <w:tcW w:w="1072" w:type="dxa"/>
            <w:noWrap/>
            <w:vAlign w:val="center"/>
          </w:tcPr>
          <w:p w14:paraId="49D37B9D" w14:textId="77777777" w:rsidR="00054437" w:rsidRPr="000549B1" w:rsidRDefault="00000000">
            <w:pPr>
              <w:widowControl/>
              <w:spacing w:line="240" w:lineRule="atLeast"/>
              <w:jc w:val="center"/>
              <w:rPr>
                <w:kern w:val="0"/>
                <w:szCs w:val="21"/>
              </w:rPr>
            </w:pPr>
            <w:r w:rsidRPr="000549B1">
              <w:rPr>
                <w:kern w:val="0"/>
                <w:szCs w:val="21"/>
              </w:rPr>
              <w:t>0.0000</w:t>
            </w:r>
          </w:p>
        </w:tc>
        <w:tc>
          <w:tcPr>
            <w:tcW w:w="1072" w:type="dxa"/>
            <w:noWrap/>
            <w:vAlign w:val="center"/>
          </w:tcPr>
          <w:p w14:paraId="513A0FE0" w14:textId="77777777" w:rsidR="00054437" w:rsidRPr="000549B1" w:rsidRDefault="00000000">
            <w:pPr>
              <w:widowControl/>
              <w:spacing w:line="240" w:lineRule="atLeast"/>
              <w:jc w:val="center"/>
              <w:rPr>
                <w:kern w:val="0"/>
                <w:szCs w:val="21"/>
              </w:rPr>
            </w:pPr>
            <w:r w:rsidRPr="000549B1">
              <w:rPr>
                <w:kern w:val="0"/>
                <w:szCs w:val="21"/>
              </w:rPr>
              <w:t>0.0000</w:t>
            </w:r>
          </w:p>
        </w:tc>
      </w:tr>
      <w:tr w:rsidR="000549B1" w:rsidRPr="000549B1" w14:paraId="5DA97FD1" w14:textId="77777777">
        <w:trPr>
          <w:trHeight w:val="360"/>
          <w:jc w:val="center"/>
        </w:trPr>
        <w:tc>
          <w:tcPr>
            <w:tcW w:w="705" w:type="dxa"/>
            <w:vMerge/>
            <w:vAlign w:val="center"/>
          </w:tcPr>
          <w:p w14:paraId="324363C0" w14:textId="77777777" w:rsidR="00054437" w:rsidRPr="000549B1" w:rsidRDefault="00054437">
            <w:pPr>
              <w:widowControl/>
              <w:spacing w:line="240" w:lineRule="atLeast"/>
              <w:rPr>
                <w:kern w:val="0"/>
                <w:szCs w:val="21"/>
              </w:rPr>
            </w:pPr>
          </w:p>
        </w:tc>
        <w:tc>
          <w:tcPr>
            <w:tcW w:w="2607" w:type="dxa"/>
            <w:vMerge w:val="restart"/>
            <w:noWrap/>
            <w:vAlign w:val="center"/>
          </w:tcPr>
          <w:p w14:paraId="5E568AF9" w14:textId="77777777" w:rsidR="00054437" w:rsidRPr="000549B1" w:rsidRDefault="00000000">
            <w:pPr>
              <w:widowControl/>
              <w:spacing w:line="240" w:lineRule="atLeast"/>
              <w:jc w:val="center"/>
              <w:rPr>
                <w:kern w:val="0"/>
                <w:szCs w:val="21"/>
              </w:rPr>
            </w:pPr>
            <w:r w:rsidRPr="000549B1">
              <w:rPr>
                <w:kern w:val="0"/>
                <w:szCs w:val="21"/>
              </w:rPr>
              <w:t>沙珠玉河下游</w:t>
            </w:r>
          </w:p>
        </w:tc>
        <w:tc>
          <w:tcPr>
            <w:tcW w:w="2448" w:type="dxa"/>
            <w:noWrap/>
            <w:vAlign w:val="center"/>
          </w:tcPr>
          <w:p w14:paraId="391E6493" w14:textId="77777777" w:rsidR="00054437" w:rsidRPr="000549B1" w:rsidRDefault="00000000">
            <w:pPr>
              <w:widowControl/>
              <w:spacing w:line="240" w:lineRule="atLeast"/>
              <w:jc w:val="center"/>
              <w:rPr>
                <w:kern w:val="0"/>
                <w:szCs w:val="21"/>
              </w:rPr>
            </w:pPr>
            <w:r w:rsidRPr="000549B1">
              <w:rPr>
                <w:kern w:val="0"/>
                <w:szCs w:val="21"/>
              </w:rPr>
              <w:t>密度</w:t>
            </w:r>
            <w:r w:rsidRPr="000549B1">
              <w:rPr>
                <w:rFonts w:eastAsia="等线"/>
                <w:kern w:val="0"/>
                <w:szCs w:val="21"/>
                <w:lang w:bidi="ar"/>
              </w:rPr>
              <w:t>×</w:t>
            </w:r>
            <w:r w:rsidRPr="000549B1">
              <w:rPr>
                <w:kern w:val="0"/>
                <w:szCs w:val="21"/>
              </w:rPr>
              <w:t>（</w:t>
            </w:r>
            <w:r w:rsidRPr="000549B1">
              <w:rPr>
                <w:kern w:val="0"/>
                <w:szCs w:val="21"/>
              </w:rPr>
              <w:t>10</w:t>
            </w:r>
            <w:r w:rsidRPr="000549B1">
              <w:rPr>
                <w:kern w:val="0"/>
                <w:szCs w:val="21"/>
                <w:vertAlign w:val="superscript"/>
              </w:rPr>
              <w:t>4</w:t>
            </w:r>
            <w:r w:rsidRPr="000549B1">
              <w:rPr>
                <w:kern w:val="0"/>
                <w:szCs w:val="21"/>
              </w:rPr>
              <w:t>cells</w:t>
            </w:r>
            <w:r w:rsidRPr="000549B1">
              <w:rPr>
                <w:kern w:val="0"/>
                <w:szCs w:val="21"/>
              </w:rPr>
              <w:t>．</w:t>
            </w:r>
            <w:r w:rsidRPr="000549B1">
              <w:rPr>
                <w:kern w:val="0"/>
                <w:szCs w:val="21"/>
              </w:rPr>
              <w:t>L</w:t>
            </w:r>
            <w:r w:rsidRPr="000549B1">
              <w:rPr>
                <w:kern w:val="0"/>
                <w:szCs w:val="21"/>
                <w:vertAlign w:val="superscript"/>
              </w:rPr>
              <w:t>-1</w:t>
            </w:r>
            <w:r w:rsidRPr="000549B1">
              <w:rPr>
                <w:kern w:val="0"/>
                <w:szCs w:val="21"/>
              </w:rPr>
              <w:t>）</w:t>
            </w:r>
          </w:p>
        </w:tc>
        <w:tc>
          <w:tcPr>
            <w:tcW w:w="1010" w:type="dxa"/>
            <w:noWrap/>
            <w:vAlign w:val="center"/>
          </w:tcPr>
          <w:p w14:paraId="5E052761" w14:textId="77777777" w:rsidR="00054437" w:rsidRPr="000549B1" w:rsidRDefault="00000000">
            <w:pPr>
              <w:widowControl/>
              <w:spacing w:line="240" w:lineRule="atLeast"/>
              <w:jc w:val="center"/>
              <w:rPr>
                <w:kern w:val="0"/>
                <w:szCs w:val="21"/>
              </w:rPr>
            </w:pPr>
            <w:r w:rsidRPr="000549B1">
              <w:rPr>
                <w:kern w:val="0"/>
                <w:szCs w:val="21"/>
              </w:rPr>
              <w:t>18.25</w:t>
            </w:r>
          </w:p>
        </w:tc>
        <w:tc>
          <w:tcPr>
            <w:tcW w:w="972" w:type="dxa"/>
            <w:noWrap/>
            <w:vAlign w:val="center"/>
          </w:tcPr>
          <w:p w14:paraId="06C49520" w14:textId="77777777" w:rsidR="00054437" w:rsidRPr="000549B1" w:rsidRDefault="00000000">
            <w:pPr>
              <w:widowControl/>
              <w:spacing w:line="240" w:lineRule="atLeast"/>
              <w:jc w:val="center"/>
              <w:rPr>
                <w:kern w:val="0"/>
                <w:szCs w:val="21"/>
              </w:rPr>
            </w:pPr>
            <w:r w:rsidRPr="000549B1">
              <w:rPr>
                <w:kern w:val="0"/>
                <w:szCs w:val="21"/>
              </w:rPr>
              <w:t>18.25</w:t>
            </w:r>
          </w:p>
        </w:tc>
        <w:tc>
          <w:tcPr>
            <w:tcW w:w="1072" w:type="dxa"/>
            <w:noWrap/>
            <w:vAlign w:val="center"/>
          </w:tcPr>
          <w:p w14:paraId="3E999AC8" w14:textId="77777777" w:rsidR="00054437" w:rsidRPr="000549B1" w:rsidRDefault="00000000">
            <w:pPr>
              <w:widowControl/>
              <w:spacing w:line="240" w:lineRule="atLeast"/>
              <w:jc w:val="center"/>
              <w:rPr>
                <w:kern w:val="0"/>
                <w:szCs w:val="21"/>
              </w:rPr>
            </w:pPr>
            <w:r w:rsidRPr="000549B1">
              <w:rPr>
                <w:kern w:val="0"/>
                <w:szCs w:val="21"/>
              </w:rPr>
              <w:t>0.00</w:t>
            </w:r>
          </w:p>
        </w:tc>
        <w:tc>
          <w:tcPr>
            <w:tcW w:w="1072" w:type="dxa"/>
            <w:noWrap/>
            <w:vAlign w:val="center"/>
          </w:tcPr>
          <w:p w14:paraId="25D3C04D" w14:textId="77777777" w:rsidR="00054437" w:rsidRPr="000549B1" w:rsidRDefault="00000000">
            <w:pPr>
              <w:widowControl/>
              <w:spacing w:line="240" w:lineRule="atLeast"/>
              <w:jc w:val="center"/>
              <w:rPr>
                <w:kern w:val="0"/>
                <w:szCs w:val="21"/>
              </w:rPr>
            </w:pPr>
            <w:r w:rsidRPr="000549B1">
              <w:rPr>
                <w:kern w:val="0"/>
                <w:szCs w:val="21"/>
              </w:rPr>
              <w:t>0.00</w:t>
            </w:r>
          </w:p>
        </w:tc>
        <w:tc>
          <w:tcPr>
            <w:tcW w:w="1072" w:type="dxa"/>
            <w:noWrap/>
            <w:vAlign w:val="center"/>
          </w:tcPr>
          <w:p w14:paraId="4785150D" w14:textId="77777777" w:rsidR="00054437" w:rsidRPr="000549B1" w:rsidRDefault="00000000">
            <w:pPr>
              <w:widowControl/>
              <w:spacing w:line="240" w:lineRule="atLeast"/>
              <w:jc w:val="center"/>
              <w:rPr>
                <w:kern w:val="0"/>
                <w:szCs w:val="21"/>
              </w:rPr>
            </w:pPr>
            <w:r w:rsidRPr="000549B1">
              <w:rPr>
                <w:kern w:val="0"/>
                <w:szCs w:val="21"/>
              </w:rPr>
              <w:t>0.00</w:t>
            </w:r>
          </w:p>
        </w:tc>
        <w:tc>
          <w:tcPr>
            <w:tcW w:w="1072" w:type="dxa"/>
            <w:noWrap/>
            <w:vAlign w:val="center"/>
          </w:tcPr>
          <w:p w14:paraId="57856DB6" w14:textId="77777777" w:rsidR="00054437" w:rsidRPr="000549B1" w:rsidRDefault="00000000">
            <w:pPr>
              <w:widowControl/>
              <w:spacing w:line="240" w:lineRule="atLeast"/>
              <w:jc w:val="center"/>
              <w:rPr>
                <w:kern w:val="0"/>
                <w:szCs w:val="21"/>
              </w:rPr>
            </w:pPr>
            <w:r w:rsidRPr="000549B1">
              <w:rPr>
                <w:kern w:val="0"/>
                <w:szCs w:val="21"/>
              </w:rPr>
              <w:t>0.00</w:t>
            </w:r>
          </w:p>
        </w:tc>
        <w:tc>
          <w:tcPr>
            <w:tcW w:w="1072" w:type="dxa"/>
            <w:noWrap/>
            <w:vAlign w:val="center"/>
          </w:tcPr>
          <w:p w14:paraId="34CEBEBA" w14:textId="77777777" w:rsidR="00054437" w:rsidRPr="000549B1" w:rsidRDefault="00000000">
            <w:pPr>
              <w:widowControl/>
              <w:spacing w:line="240" w:lineRule="atLeast"/>
              <w:jc w:val="center"/>
              <w:rPr>
                <w:kern w:val="0"/>
                <w:szCs w:val="21"/>
              </w:rPr>
            </w:pPr>
            <w:r w:rsidRPr="000549B1">
              <w:rPr>
                <w:kern w:val="0"/>
                <w:szCs w:val="21"/>
              </w:rPr>
              <w:t>0.00</w:t>
            </w:r>
          </w:p>
        </w:tc>
        <w:tc>
          <w:tcPr>
            <w:tcW w:w="1072" w:type="dxa"/>
            <w:noWrap/>
            <w:vAlign w:val="center"/>
          </w:tcPr>
          <w:p w14:paraId="7A77B6B7" w14:textId="77777777" w:rsidR="00054437" w:rsidRPr="000549B1" w:rsidRDefault="00000000">
            <w:pPr>
              <w:widowControl/>
              <w:spacing w:line="240" w:lineRule="atLeast"/>
              <w:jc w:val="center"/>
              <w:rPr>
                <w:kern w:val="0"/>
                <w:szCs w:val="21"/>
              </w:rPr>
            </w:pPr>
            <w:r w:rsidRPr="000549B1">
              <w:rPr>
                <w:kern w:val="0"/>
                <w:szCs w:val="21"/>
              </w:rPr>
              <w:t>0.00</w:t>
            </w:r>
          </w:p>
        </w:tc>
      </w:tr>
      <w:tr w:rsidR="000549B1" w:rsidRPr="000549B1" w14:paraId="31001916" w14:textId="77777777">
        <w:trPr>
          <w:trHeight w:val="100"/>
          <w:jc w:val="center"/>
        </w:trPr>
        <w:tc>
          <w:tcPr>
            <w:tcW w:w="705" w:type="dxa"/>
            <w:vMerge/>
            <w:vAlign w:val="center"/>
          </w:tcPr>
          <w:p w14:paraId="4A996026" w14:textId="77777777" w:rsidR="00054437" w:rsidRPr="000549B1" w:rsidRDefault="00054437">
            <w:pPr>
              <w:widowControl/>
              <w:spacing w:line="240" w:lineRule="atLeast"/>
              <w:rPr>
                <w:kern w:val="0"/>
                <w:szCs w:val="21"/>
              </w:rPr>
            </w:pPr>
          </w:p>
        </w:tc>
        <w:tc>
          <w:tcPr>
            <w:tcW w:w="2607" w:type="dxa"/>
            <w:vMerge/>
            <w:vAlign w:val="center"/>
          </w:tcPr>
          <w:p w14:paraId="790A68DE" w14:textId="77777777" w:rsidR="00054437" w:rsidRPr="000549B1" w:rsidRDefault="00054437">
            <w:pPr>
              <w:widowControl/>
              <w:spacing w:line="240" w:lineRule="atLeast"/>
              <w:rPr>
                <w:kern w:val="0"/>
                <w:szCs w:val="21"/>
              </w:rPr>
            </w:pPr>
          </w:p>
        </w:tc>
        <w:tc>
          <w:tcPr>
            <w:tcW w:w="2448" w:type="dxa"/>
            <w:noWrap/>
            <w:vAlign w:val="center"/>
          </w:tcPr>
          <w:p w14:paraId="1F660F67" w14:textId="77777777" w:rsidR="00054437" w:rsidRPr="000549B1" w:rsidRDefault="00000000">
            <w:pPr>
              <w:widowControl/>
              <w:spacing w:line="240" w:lineRule="atLeast"/>
              <w:jc w:val="center"/>
              <w:rPr>
                <w:kern w:val="0"/>
                <w:szCs w:val="21"/>
              </w:rPr>
            </w:pPr>
            <w:r w:rsidRPr="000549B1">
              <w:rPr>
                <w:kern w:val="0"/>
                <w:szCs w:val="21"/>
              </w:rPr>
              <w:t>生物量（</w:t>
            </w:r>
            <w:r w:rsidRPr="000549B1">
              <w:rPr>
                <w:kern w:val="0"/>
                <w:szCs w:val="21"/>
              </w:rPr>
              <w:t>mg</w:t>
            </w:r>
            <w:r w:rsidRPr="000549B1">
              <w:rPr>
                <w:kern w:val="0"/>
                <w:szCs w:val="21"/>
              </w:rPr>
              <w:t>．</w:t>
            </w:r>
            <w:r w:rsidRPr="000549B1">
              <w:rPr>
                <w:kern w:val="0"/>
                <w:szCs w:val="21"/>
              </w:rPr>
              <w:t>L</w:t>
            </w:r>
            <w:r w:rsidRPr="000549B1">
              <w:rPr>
                <w:kern w:val="0"/>
                <w:szCs w:val="21"/>
                <w:vertAlign w:val="superscript"/>
              </w:rPr>
              <w:t>-1</w:t>
            </w:r>
            <w:r w:rsidRPr="000549B1">
              <w:rPr>
                <w:kern w:val="0"/>
                <w:szCs w:val="21"/>
              </w:rPr>
              <w:t>）</w:t>
            </w:r>
          </w:p>
        </w:tc>
        <w:tc>
          <w:tcPr>
            <w:tcW w:w="1010" w:type="dxa"/>
            <w:noWrap/>
            <w:vAlign w:val="center"/>
          </w:tcPr>
          <w:p w14:paraId="2969948C" w14:textId="77777777" w:rsidR="00054437" w:rsidRPr="000549B1" w:rsidRDefault="00000000">
            <w:pPr>
              <w:widowControl/>
              <w:spacing w:line="240" w:lineRule="atLeast"/>
              <w:jc w:val="center"/>
              <w:rPr>
                <w:kern w:val="0"/>
                <w:szCs w:val="21"/>
              </w:rPr>
            </w:pPr>
            <w:r w:rsidRPr="000549B1">
              <w:rPr>
                <w:kern w:val="0"/>
                <w:szCs w:val="21"/>
              </w:rPr>
              <w:t>0.4953</w:t>
            </w:r>
          </w:p>
        </w:tc>
        <w:tc>
          <w:tcPr>
            <w:tcW w:w="972" w:type="dxa"/>
            <w:noWrap/>
            <w:vAlign w:val="center"/>
          </w:tcPr>
          <w:p w14:paraId="52748631" w14:textId="77777777" w:rsidR="00054437" w:rsidRPr="000549B1" w:rsidRDefault="00000000">
            <w:pPr>
              <w:widowControl/>
              <w:spacing w:line="240" w:lineRule="atLeast"/>
              <w:jc w:val="center"/>
              <w:rPr>
                <w:kern w:val="0"/>
                <w:szCs w:val="21"/>
              </w:rPr>
            </w:pPr>
            <w:r w:rsidRPr="000549B1">
              <w:rPr>
                <w:kern w:val="0"/>
                <w:szCs w:val="21"/>
              </w:rPr>
              <w:t>0.4953</w:t>
            </w:r>
          </w:p>
        </w:tc>
        <w:tc>
          <w:tcPr>
            <w:tcW w:w="1072" w:type="dxa"/>
            <w:noWrap/>
            <w:vAlign w:val="center"/>
          </w:tcPr>
          <w:p w14:paraId="5B4CDCA4" w14:textId="77777777" w:rsidR="00054437" w:rsidRPr="000549B1" w:rsidRDefault="00000000">
            <w:pPr>
              <w:widowControl/>
              <w:spacing w:line="240" w:lineRule="atLeast"/>
              <w:jc w:val="center"/>
              <w:rPr>
                <w:kern w:val="0"/>
                <w:szCs w:val="21"/>
              </w:rPr>
            </w:pPr>
            <w:r w:rsidRPr="000549B1">
              <w:rPr>
                <w:kern w:val="0"/>
                <w:szCs w:val="21"/>
              </w:rPr>
              <w:t>0.0000</w:t>
            </w:r>
          </w:p>
        </w:tc>
        <w:tc>
          <w:tcPr>
            <w:tcW w:w="1072" w:type="dxa"/>
            <w:noWrap/>
            <w:vAlign w:val="center"/>
          </w:tcPr>
          <w:p w14:paraId="2EB96D6D" w14:textId="77777777" w:rsidR="00054437" w:rsidRPr="000549B1" w:rsidRDefault="00000000">
            <w:pPr>
              <w:widowControl/>
              <w:spacing w:line="240" w:lineRule="atLeast"/>
              <w:jc w:val="center"/>
              <w:rPr>
                <w:kern w:val="0"/>
                <w:szCs w:val="21"/>
              </w:rPr>
            </w:pPr>
            <w:r w:rsidRPr="000549B1">
              <w:rPr>
                <w:kern w:val="0"/>
                <w:szCs w:val="21"/>
              </w:rPr>
              <w:t>0.0000</w:t>
            </w:r>
          </w:p>
        </w:tc>
        <w:tc>
          <w:tcPr>
            <w:tcW w:w="1072" w:type="dxa"/>
            <w:noWrap/>
            <w:vAlign w:val="center"/>
          </w:tcPr>
          <w:p w14:paraId="1AA7AD04" w14:textId="77777777" w:rsidR="00054437" w:rsidRPr="000549B1" w:rsidRDefault="00000000">
            <w:pPr>
              <w:widowControl/>
              <w:spacing w:line="240" w:lineRule="atLeast"/>
              <w:jc w:val="center"/>
              <w:rPr>
                <w:kern w:val="0"/>
                <w:szCs w:val="21"/>
              </w:rPr>
            </w:pPr>
            <w:r w:rsidRPr="000549B1">
              <w:rPr>
                <w:kern w:val="0"/>
                <w:szCs w:val="21"/>
              </w:rPr>
              <w:t>0.0000</w:t>
            </w:r>
          </w:p>
        </w:tc>
        <w:tc>
          <w:tcPr>
            <w:tcW w:w="1072" w:type="dxa"/>
            <w:noWrap/>
            <w:vAlign w:val="center"/>
          </w:tcPr>
          <w:p w14:paraId="2DA531B2" w14:textId="77777777" w:rsidR="00054437" w:rsidRPr="000549B1" w:rsidRDefault="00000000">
            <w:pPr>
              <w:widowControl/>
              <w:spacing w:line="240" w:lineRule="atLeast"/>
              <w:jc w:val="center"/>
              <w:rPr>
                <w:kern w:val="0"/>
                <w:szCs w:val="21"/>
              </w:rPr>
            </w:pPr>
            <w:r w:rsidRPr="000549B1">
              <w:rPr>
                <w:kern w:val="0"/>
                <w:szCs w:val="21"/>
              </w:rPr>
              <w:t>0.0000</w:t>
            </w:r>
          </w:p>
        </w:tc>
        <w:tc>
          <w:tcPr>
            <w:tcW w:w="1072" w:type="dxa"/>
            <w:noWrap/>
            <w:vAlign w:val="center"/>
          </w:tcPr>
          <w:p w14:paraId="357038D4" w14:textId="77777777" w:rsidR="00054437" w:rsidRPr="000549B1" w:rsidRDefault="00000000">
            <w:pPr>
              <w:widowControl/>
              <w:spacing w:line="240" w:lineRule="atLeast"/>
              <w:jc w:val="center"/>
              <w:rPr>
                <w:kern w:val="0"/>
                <w:szCs w:val="21"/>
              </w:rPr>
            </w:pPr>
            <w:r w:rsidRPr="000549B1">
              <w:rPr>
                <w:kern w:val="0"/>
                <w:szCs w:val="21"/>
              </w:rPr>
              <w:t>0.0000</w:t>
            </w:r>
          </w:p>
        </w:tc>
        <w:tc>
          <w:tcPr>
            <w:tcW w:w="1072" w:type="dxa"/>
            <w:noWrap/>
            <w:vAlign w:val="center"/>
          </w:tcPr>
          <w:p w14:paraId="2D40FB94" w14:textId="77777777" w:rsidR="00054437" w:rsidRPr="000549B1" w:rsidRDefault="00000000">
            <w:pPr>
              <w:widowControl/>
              <w:spacing w:line="240" w:lineRule="atLeast"/>
              <w:jc w:val="center"/>
              <w:rPr>
                <w:kern w:val="0"/>
                <w:szCs w:val="21"/>
              </w:rPr>
            </w:pPr>
            <w:r w:rsidRPr="000549B1">
              <w:rPr>
                <w:kern w:val="0"/>
                <w:szCs w:val="21"/>
              </w:rPr>
              <w:t>0.0000</w:t>
            </w:r>
          </w:p>
        </w:tc>
      </w:tr>
      <w:tr w:rsidR="000549B1" w:rsidRPr="000549B1" w14:paraId="7A4AA76A" w14:textId="77777777">
        <w:trPr>
          <w:trHeight w:val="360"/>
          <w:jc w:val="center"/>
        </w:trPr>
        <w:tc>
          <w:tcPr>
            <w:tcW w:w="3312" w:type="dxa"/>
            <w:gridSpan w:val="2"/>
            <w:vMerge w:val="restart"/>
            <w:noWrap/>
            <w:vAlign w:val="center"/>
          </w:tcPr>
          <w:p w14:paraId="6BCF1CEF" w14:textId="77777777" w:rsidR="00054437" w:rsidRPr="000549B1" w:rsidRDefault="00000000">
            <w:pPr>
              <w:widowControl/>
              <w:spacing w:line="240" w:lineRule="atLeast"/>
              <w:jc w:val="center"/>
              <w:rPr>
                <w:kern w:val="0"/>
                <w:szCs w:val="21"/>
              </w:rPr>
            </w:pPr>
            <w:r w:rsidRPr="000549B1">
              <w:rPr>
                <w:kern w:val="0"/>
                <w:szCs w:val="21"/>
              </w:rPr>
              <w:t>平均</w:t>
            </w:r>
          </w:p>
        </w:tc>
        <w:tc>
          <w:tcPr>
            <w:tcW w:w="2448" w:type="dxa"/>
            <w:noWrap/>
            <w:vAlign w:val="center"/>
          </w:tcPr>
          <w:p w14:paraId="0395E2A8" w14:textId="77777777" w:rsidR="00054437" w:rsidRPr="000549B1" w:rsidRDefault="00000000">
            <w:pPr>
              <w:widowControl/>
              <w:spacing w:line="240" w:lineRule="atLeast"/>
              <w:jc w:val="center"/>
              <w:rPr>
                <w:kern w:val="0"/>
                <w:szCs w:val="21"/>
              </w:rPr>
            </w:pPr>
            <w:r w:rsidRPr="000549B1">
              <w:rPr>
                <w:kern w:val="0"/>
                <w:szCs w:val="21"/>
              </w:rPr>
              <w:t>密度</w:t>
            </w:r>
            <w:r w:rsidRPr="000549B1">
              <w:rPr>
                <w:rFonts w:eastAsia="等线"/>
                <w:kern w:val="0"/>
                <w:szCs w:val="21"/>
                <w:lang w:bidi="ar"/>
              </w:rPr>
              <w:t>×</w:t>
            </w:r>
            <w:r w:rsidRPr="000549B1">
              <w:rPr>
                <w:kern w:val="0"/>
                <w:szCs w:val="21"/>
              </w:rPr>
              <w:t>（</w:t>
            </w:r>
            <w:r w:rsidRPr="000549B1">
              <w:rPr>
                <w:kern w:val="0"/>
                <w:szCs w:val="21"/>
              </w:rPr>
              <w:t>10</w:t>
            </w:r>
            <w:r w:rsidRPr="000549B1">
              <w:rPr>
                <w:kern w:val="0"/>
                <w:szCs w:val="21"/>
                <w:vertAlign w:val="superscript"/>
              </w:rPr>
              <w:t>4</w:t>
            </w:r>
            <w:r w:rsidRPr="000549B1">
              <w:rPr>
                <w:kern w:val="0"/>
                <w:szCs w:val="21"/>
              </w:rPr>
              <w:t>cells</w:t>
            </w:r>
            <w:r w:rsidRPr="000549B1">
              <w:rPr>
                <w:kern w:val="0"/>
                <w:szCs w:val="21"/>
              </w:rPr>
              <w:t>．</w:t>
            </w:r>
            <w:r w:rsidRPr="000549B1">
              <w:rPr>
                <w:kern w:val="0"/>
                <w:szCs w:val="21"/>
              </w:rPr>
              <w:t>L</w:t>
            </w:r>
            <w:r w:rsidRPr="000549B1">
              <w:rPr>
                <w:kern w:val="0"/>
                <w:szCs w:val="21"/>
                <w:vertAlign w:val="superscript"/>
              </w:rPr>
              <w:t>-1</w:t>
            </w:r>
            <w:r w:rsidRPr="000549B1">
              <w:rPr>
                <w:kern w:val="0"/>
                <w:szCs w:val="21"/>
              </w:rPr>
              <w:t>）</w:t>
            </w:r>
          </w:p>
        </w:tc>
        <w:tc>
          <w:tcPr>
            <w:tcW w:w="1010" w:type="dxa"/>
            <w:noWrap/>
            <w:vAlign w:val="center"/>
          </w:tcPr>
          <w:p w14:paraId="2824F4D0" w14:textId="77777777" w:rsidR="00054437" w:rsidRPr="000549B1" w:rsidRDefault="00000000">
            <w:pPr>
              <w:widowControl/>
              <w:jc w:val="center"/>
              <w:textAlignment w:val="center"/>
              <w:rPr>
                <w:kern w:val="0"/>
                <w:szCs w:val="21"/>
              </w:rPr>
            </w:pPr>
            <w:r w:rsidRPr="000549B1">
              <w:rPr>
                <w:kern w:val="0"/>
                <w:szCs w:val="21"/>
                <w:lang w:bidi="ar"/>
              </w:rPr>
              <w:t>46.34</w:t>
            </w:r>
          </w:p>
        </w:tc>
        <w:tc>
          <w:tcPr>
            <w:tcW w:w="972" w:type="dxa"/>
            <w:noWrap/>
            <w:vAlign w:val="center"/>
          </w:tcPr>
          <w:p w14:paraId="2CD0A8BB" w14:textId="77777777" w:rsidR="00054437" w:rsidRPr="000549B1" w:rsidRDefault="00000000">
            <w:pPr>
              <w:widowControl/>
              <w:jc w:val="center"/>
              <w:textAlignment w:val="center"/>
              <w:rPr>
                <w:kern w:val="0"/>
                <w:szCs w:val="21"/>
              </w:rPr>
            </w:pPr>
            <w:r w:rsidRPr="000549B1">
              <w:rPr>
                <w:kern w:val="0"/>
                <w:szCs w:val="21"/>
                <w:lang w:bidi="ar"/>
              </w:rPr>
              <w:t>44.10</w:t>
            </w:r>
          </w:p>
        </w:tc>
        <w:tc>
          <w:tcPr>
            <w:tcW w:w="1072" w:type="dxa"/>
            <w:noWrap/>
            <w:vAlign w:val="center"/>
          </w:tcPr>
          <w:p w14:paraId="5BE5C741" w14:textId="77777777" w:rsidR="00054437" w:rsidRPr="000549B1" w:rsidRDefault="00000000">
            <w:pPr>
              <w:widowControl/>
              <w:jc w:val="center"/>
              <w:textAlignment w:val="center"/>
              <w:rPr>
                <w:kern w:val="0"/>
                <w:szCs w:val="21"/>
              </w:rPr>
            </w:pPr>
            <w:r w:rsidRPr="000549B1">
              <w:rPr>
                <w:kern w:val="0"/>
                <w:szCs w:val="21"/>
                <w:lang w:bidi="ar"/>
              </w:rPr>
              <w:t>0.04</w:t>
            </w:r>
          </w:p>
        </w:tc>
        <w:tc>
          <w:tcPr>
            <w:tcW w:w="1072" w:type="dxa"/>
            <w:noWrap/>
            <w:vAlign w:val="center"/>
          </w:tcPr>
          <w:p w14:paraId="1919E0BB" w14:textId="77777777" w:rsidR="00054437" w:rsidRPr="000549B1" w:rsidRDefault="00000000">
            <w:pPr>
              <w:widowControl/>
              <w:jc w:val="center"/>
              <w:textAlignment w:val="center"/>
              <w:rPr>
                <w:kern w:val="0"/>
                <w:szCs w:val="21"/>
              </w:rPr>
            </w:pPr>
            <w:r w:rsidRPr="000549B1">
              <w:rPr>
                <w:kern w:val="0"/>
                <w:szCs w:val="21"/>
                <w:lang w:bidi="ar"/>
              </w:rPr>
              <w:t>1.63</w:t>
            </w:r>
          </w:p>
        </w:tc>
        <w:tc>
          <w:tcPr>
            <w:tcW w:w="1072" w:type="dxa"/>
            <w:noWrap/>
            <w:vAlign w:val="center"/>
          </w:tcPr>
          <w:p w14:paraId="10CF30CA" w14:textId="77777777" w:rsidR="00054437" w:rsidRPr="000549B1" w:rsidRDefault="00000000">
            <w:pPr>
              <w:widowControl/>
              <w:jc w:val="center"/>
              <w:textAlignment w:val="center"/>
              <w:rPr>
                <w:kern w:val="0"/>
                <w:szCs w:val="21"/>
              </w:rPr>
            </w:pPr>
            <w:r w:rsidRPr="000549B1">
              <w:rPr>
                <w:kern w:val="0"/>
                <w:szCs w:val="21"/>
                <w:lang w:bidi="ar"/>
              </w:rPr>
              <w:t>0.45</w:t>
            </w:r>
          </w:p>
        </w:tc>
        <w:tc>
          <w:tcPr>
            <w:tcW w:w="1072" w:type="dxa"/>
            <w:noWrap/>
            <w:vAlign w:val="center"/>
          </w:tcPr>
          <w:p w14:paraId="778F7A77" w14:textId="77777777" w:rsidR="00054437" w:rsidRPr="000549B1" w:rsidRDefault="00000000">
            <w:pPr>
              <w:widowControl/>
              <w:jc w:val="center"/>
              <w:textAlignment w:val="center"/>
              <w:rPr>
                <w:kern w:val="0"/>
                <w:szCs w:val="21"/>
              </w:rPr>
            </w:pPr>
            <w:r w:rsidRPr="000549B1">
              <w:rPr>
                <w:kern w:val="0"/>
                <w:szCs w:val="21"/>
                <w:lang w:bidi="ar"/>
              </w:rPr>
              <w:t>0.04</w:t>
            </w:r>
          </w:p>
        </w:tc>
        <w:tc>
          <w:tcPr>
            <w:tcW w:w="1072" w:type="dxa"/>
            <w:noWrap/>
            <w:vAlign w:val="center"/>
          </w:tcPr>
          <w:p w14:paraId="565A1333" w14:textId="77777777" w:rsidR="00054437" w:rsidRPr="000549B1" w:rsidRDefault="00000000">
            <w:pPr>
              <w:widowControl/>
              <w:jc w:val="center"/>
              <w:textAlignment w:val="center"/>
              <w:rPr>
                <w:kern w:val="0"/>
                <w:szCs w:val="21"/>
              </w:rPr>
            </w:pPr>
            <w:r w:rsidRPr="000549B1">
              <w:rPr>
                <w:kern w:val="0"/>
                <w:szCs w:val="21"/>
                <w:lang w:bidi="ar"/>
              </w:rPr>
              <w:t>0.00</w:t>
            </w:r>
          </w:p>
        </w:tc>
        <w:tc>
          <w:tcPr>
            <w:tcW w:w="1072" w:type="dxa"/>
            <w:noWrap/>
            <w:vAlign w:val="center"/>
          </w:tcPr>
          <w:p w14:paraId="589F81FD" w14:textId="77777777" w:rsidR="00054437" w:rsidRPr="000549B1" w:rsidRDefault="00000000">
            <w:pPr>
              <w:widowControl/>
              <w:jc w:val="center"/>
              <w:textAlignment w:val="center"/>
              <w:rPr>
                <w:kern w:val="0"/>
                <w:szCs w:val="21"/>
              </w:rPr>
            </w:pPr>
            <w:r w:rsidRPr="000549B1">
              <w:rPr>
                <w:kern w:val="0"/>
                <w:szCs w:val="21"/>
                <w:lang w:bidi="ar"/>
              </w:rPr>
              <w:t>0.08</w:t>
            </w:r>
          </w:p>
        </w:tc>
      </w:tr>
      <w:tr w:rsidR="00054437" w:rsidRPr="000549B1" w14:paraId="42F2446C" w14:textId="77777777">
        <w:trPr>
          <w:trHeight w:val="360"/>
          <w:jc w:val="center"/>
        </w:trPr>
        <w:tc>
          <w:tcPr>
            <w:tcW w:w="3312" w:type="dxa"/>
            <w:gridSpan w:val="2"/>
            <w:vMerge/>
            <w:vAlign w:val="center"/>
          </w:tcPr>
          <w:p w14:paraId="1D058BEA" w14:textId="77777777" w:rsidR="00054437" w:rsidRPr="000549B1" w:rsidRDefault="00054437">
            <w:pPr>
              <w:widowControl/>
              <w:spacing w:line="240" w:lineRule="atLeast"/>
              <w:rPr>
                <w:kern w:val="0"/>
                <w:szCs w:val="21"/>
              </w:rPr>
            </w:pPr>
          </w:p>
        </w:tc>
        <w:tc>
          <w:tcPr>
            <w:tcW w:w="2448" w:type="dxa"/>
            <w:noWrap/>
            <w:vAlign w:val="center"/>
          </w:tcPr>
          <w:p w14:paraId="78D553F7" w14:textId="77777777" w:rsidR="00054437" w:rsidRPr="000549B1" w:rsidRDefault="00000000">
            <w:pPr>
              <w:widowControl/>
              <w:spacing w:line="240" w:lineRule="atLeast"/>
              <w:jc w:val="center"/>
              <w:rPr>
                <w:kern w:val="0"/>
                <w:szCs w:val="21"/>
              </w:rPr>
            </w:pPr>
            <w:r w:rsidRPr="000549B1">
              <w:rPr>
                <w:kern w:val="0"/>
                <w:szCs w:val="21"/>
              </w:rPr>
              <w:t>生物量（</w:t>
            </w:r>
            <w:r w:rsidRPr="000549B1">
              <w:rPr>
                <w:kern w:val="0"/>
                <w:szCs w:val="21"/>
              </w:rPr>
              <w:t>mg</w:t>
            </w:r>
            <w:r w:rsidRPr="000549B1">
              <w:rPr>
                <w:kern w:val="0"/>
                <w:szCs w:val="21"/>
              </w:rPr>
              <w:t>．</w:t>
            </w:r>
            <w:r w:rsidRPr="000549B1">
              <w:rPr>
                <w:kern w:val="0"/>
                <w:szCs w:val="21"/>
              </w:rPr>
              <w:t>L</w:t>
            </w:r>
            <w:r w:rsidRPr="000549B1">
              <w:rPr>
                <w:kern w:val="0"/>
                <w:szCs w:val="21"/>
                <w:vertAlign w:val="superscript"/>
              </w:rPr>
              <w:t>-1</w:t>
            </w:r>
            <w:r w:rsidRPr="000549B1">
              <w:rPr>
                <w:kern w:val="0"/>
                <w:szCs w:val="21"/>
              </w:rPr>
              <w:t>）</w:t>
            </w:r>
          </w:p>
        </w:tc>
        <w:tc>
          <w:tcPr>
            <w:tcW w:w="1010" w:type="dxa"/>
            <w:noWrap/>
            <w:vAlign w:val="center"/>
          </w:tcPr>
          <w:p w14:paraId="2B032145" w14:textId="77777777" w:rsidR="00054437" w:rsidRPr="000549B1" w:rsidRDefault="00000000">
            <w:pPr>
              <w:widowControl/>
              <w:jc w:val="center"/>
              <w:textAlignment w:val="center"/>
              <w:rPr>
                <w:kern w:val="0"/>
                <w:szCs w:val="21"/>
              </w:rPr>
            </w:pPr>
            <w:r w:rsidRPr="000549B1">
              <w:rPr>
                <w:kern w:val="0"/>
                <w:szCs w:val="21"/>
                <w:lang w:bidi="ar"/>
              </w:rPr>
              <w:t>1.5880</w:t>
            </w:r>
          </w:p>
        </w:tc>
        <w:tc>
          <w:tcPr>
            <w:tcW w:w="972" w:type="dxa"/>
            <w:noWrap/>
            <w:vAlign w:val="center"/>
          </w:tcPr>
          <w:p w14:paraId="32201555" w14:textId="77777777" w:rsidR="00054437" w:rsidRPr="000549B1" w:rsidRDefault="00000000">
            <w:pPr>
              <w:widowControl/>
              <w:jc w:val="center"/>
              <w:textAlignment w:val="center"/>
              <w:rPr>
                <w:kern w:val="0"/>
                <w:szCs w:val="21"/>
              </w:rPr>
            </w:pPr>
            <w:r w:rsidRPr="000549B1">
              <w:rPr>
                <w:kern w:val="0"/>
                <w:szCs w:val="21"/>
                <w:lang w:bidi="ar"/>
              </w:rPr>
              <w:t>1.1746</w:t>
            </w:r>
          </w:p>
        </w:tc>
        <w:tc>
          <w:tcPr>
            <w:tcW w:w="1072" w:type="dxa"/>
            <w:noWrap/>
            <w:vAlign w:val="center"/>
          </w:tcPr>
          <w:p w14:paraId="13DF1960" w14:textId="77777777" w:rsidR="00054437" w:rsidRPr="000549B1" w:rsidRDefault="00000000">
            <w:pPr>
              <w:widowControl/>
              <w:jc w:val="center"/>
              <w:textAlignment w:val="center"/>
              <w:rPr>
                <w:kern w:val="0"/>
                <w:szCs w:val="21"/>
              </w:rPr>
            </w:pPr>
            <w:r w:rsidRPr="000549B1">
              <w:rPr>
                <w:kern w:val="0"/>
                <w:szCs w:val="21"/>
                <w:lang w:bidi="ar"/>
              </w:rPr>
              <w:t>0.0008</w:t>
            </w:r>
          </w:p>
        </w:tc>
        <w:tc>
          <w:tcPr>
            <w:tcW w:w="1072" w:type="dxa"/>
            <w:noWrap/>
            <w:vAlign w:val="center"/>
          </w:tcPr>
          <w:p w14:paraId="70DD33E4" w14:textId="77777777" w:rsidR="00054437" w:rsidRPr="000549B1" w:rsidRDefault="00000000">
            <w:pPr>
              <w:widowControl/>
              <w:jc w:val="center"/>
              <w:textAlignment w:val="center"/>
              <w:rPr>
                <w:kern w:val="0"/>
                <w:szCs w:val="21"/>
              </w:rPr>
            </w:pPr>
            <w:r w:rsidRPr="000549B1">
              <w:rPr>
                <w:kern w:val="0"/>
                <w:szCs w:val="21"/>
                <w:lang w:bidi="ar"/>
              </w:rPr>
              <w:t>0.4063</w:t>
            </w:r>
          </w:p>
        </w:tc>
        <w:tc>
          <w:tcPr>
            <w:tcW w:w="1072" w:type="dxa"/>
            <w:noWrap/>
            <w:vAlign w:val="center"/>
          </w:tcPr>
          <w:p w14:paraId="711C9E9F" w14:textId="77777777" w:rsidR="00054437" w:rsidRPr="000549B1" w:rsidRDefault="00000000">
            <w:pPr>
              <w:widowControl/>
              <w:jc w:val="center"/>
              <w:textAlignment w:val="center"/>
              <w:rPr>
                <w:kern w:val="0"/>
                <w:szCs w:val="21"/>
              </w:rPr>
            </w:pPr>
            <w:r w:rsidRPr="000549B1">
              <w:rPr>
                <w:kern w:val="0"/>
                <w:szCs w:val="21"/>
                <w:lang w:bidi="ar"/>
              </w:rPr>
              <w:t>0.0022</w:t>
            </w:r>
          </w:p>
        </w:tc>
        <w:tc>
          <w:tcPr>
            <w:tcW w:w="1072" w:type="dxa"/>
            <w:noWrap/>
            <w:vAlign w:val="center"/>
          </w:tcPr>
          <w:p w14:paraId="71FE3012" w14:textId="77777777" w:rsidR="00054437" w:rsidRPr="000549B1" w:rsidRDefault="00000000">
            <w:pPr>
              <w:widowControl/>
              <w:jc w:val="center"/>
              <w:textAlignment w:val="center"/>
              <w:rPr>
                <w:kern w:val="0"/>
                <w:szCs w:val="21"/>
              </w:rPr>
            </w:pPr>
            <w:r w:rsidRPr="000549B1">
              <w:rPr>
                <w:kern w:val="0"/>
                <w:szCs w:val="21"/>
                <w:lang w:bidi="ar"/>
              </w:rPr>
              <w:t>0.0033</w:t>
            </w:r>
          </w:p>
        </w:tc>
        <w:tc>
          <w:tcPr>
            <w:tcW w:w="1072" w:type="dxa"/>
            <w:noWrap/>
            <w:vAlign w:val="center"/>
          </w:tcPr>
          <w:p w14:paraId="3F871B8C" w14:textId="77777777" w:rsidR="00054437" w:rsidRPr="000549B1" w:rsidRDefault="00000000">
            <w:pPr>
              <w:widowControl/>
              <w:jc w:val="center"/>
              <w:textAlignment w:val="center"/>
              <w:rPr>
                <w:kern w:val="0"/>
                <w:szCs w:val="21"/>
              </w:rPr>
            </w:pPr>
            <w:r w:rsidRPr="000549B1">
              <w:rPr>
                <w:kern w:val="0"/>
                <w:szCs w:val="21"/>
                <w:lang w:bidi="ar"/>
              </w:rPr>
              <w:t>0.0000</w:t>
            </w:r>
          </w:p>
        </w:tc>
        <w:tc>
          <w:tcPr>
            <w:tcW w:w="1072" w:type="dxa"/>
            <w:noWrap/>
            <w:vAlign w:val="center"/>
          </w:tcPr>
          <w:p w14:paraId="3D38B130" w14:textId="77777777" w:rsidR="00054437" w:rsidRPr="000549B1" w:rsidRDefault="00000000">
            <w:pPr>
              <w:widowControl/>
              <w:jc w:val="center"/>
              <w:textAlignment w:val="center"/>
              <w:rPr>
                <w:kern w:val="0"/>
                <w:szCs w:val="21"/>
              </w:rPr>
            </w:pPr>
            <w:r w:rsidRPr="000549B1">
              <w:rPr>
                <w:kern w:val="0"/>
                <w:szCs w:val="21"/>
                <w:lang w:bidi="ar"/>
              </w:rPr>
              <w:t>0.0008</w:t>
            </w:r>
          </w:p>
        </w:tc>
      </w:tr>
    </w:tbl>
    <w:p w14:paraId="6337AFBC" w14:textId="77777777" w:rsidR="00054437" w:rsidRPr="000549B1" w:rsidRDefault="00054437">
      <w:pPr>
        <w:spacing w:beforeLines="50" w:before="156" w:line="360" w:lineRule="auto"/>
        <w:jc w:val="center"/>
        <w:rPr>
          <w:rFonts w:eastAsia="黑体"/>
          <w:b/>
          <w:bCs/>
          <w:sz w:val="24"/>
        </w:rPr>
      </w:pPr>
    </w:p>
    <w:p w14:paraId="6A5DAA98" w14:textId="77777777" w:rsidR="00054437" w:rsidRPr="000549B1" w:rsidRDefault="00054437">
      <w:pPr>
        <w:widowControl/>
        <w:spacing w:line="360" w:lineRule="auto"/>
        <w:rPr>
          <w:rFonts w:eastAsia="黑体"/>
          <w:b/>
          <w:bCs/>
          <w:kern w:val="0"/>
          <w:sz w:val="24"/>
        </w:rPr>
        <w:sectPr w:rsidR="00054437" w:rsidRPr="000549B1">
          <w:pgSz w:w="16838" w:h="11906" w:orient="landscape"/>
          <w:pgMar w:top="1800" w:right="1440" w:bottom="1800" w:left="1440" w:header="851" w:footer="992" w:gutter="0"/>
          <w:cols w:space="720"/>
          <w:docGrid w:type="lines" w:linePitch="312"/>
        </w:sectPr>
      </w:pPr>
    </w:p>
    <w:p w14:paraId="26666741" w14:textId="77777777" w:rsidR="00054437" w:rsidRPr="000549B1" w:rsidRDefault="00000000">
      <w:pPr>
        <w:widowControl/>
        <w:spacing w:line="360" w:lineRule="auto"/>
        <w:jc w:val="center"/>
        <w:rPr>
          <w14:ligatures w14:val="standardContextual"/>
        </w:rPr>
      </w:pPr>
      <w:r w:rsidRPr="000549B1">
        <w:rPr>
          <w:noProof/>
        </w:rPr>
        <w:drawing>
          <wp:inline distT="0" distB="0" distL="114300" distR="114300" wp14:anchorId="15D7CEE1" wp14:editId="583C885A">
            <wp:extent cx="5269865" cy="2630170"/>
            <wp:effectExtent l="0" t="0" r="6985" b="17780"/>
            <wp:docPr id="10790505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2"/>
              </a:graphicData>
            </a:graphic>
          </wp:inline>
        </w:drawing>
      </w:r>
    </w:p>
    <w:p w14:paraId="419400E1" w14:textId="7F2A9A49" w:rsidR="00054437" w:rsidRPr="000549B1" w:rsidRDefault="00000000">
      <w:pPr>
        <w:pStyle w:val="0A51"/>
        <w:ind w:firstLine="422"/>
      </w:pPr>
      <w:r w:rsidRPr="000549B1">
        <w:t>图</w:t>
      </w:r>
      <w:fldSimple w:instr=" STYLEREF 2 \s ">
        <w:r w:rsidR="00F32CCA">
          <w:rPr>
            <w:noProof/>
          </w:rPr>
          <w:t>3.6</w:t>
        </w:r>
      </w:fldSimple>
      <w:r w:rsidR="00F1314B">
        <w:noBreakHyphen/>
      </w:r>
      <w:r w:rsidR="00F1314B">
        <w:fldChar w:fldCharType="begin"/>
      </w:r>
      <w:r w:rsidR="00F1314B">
        <w:instrText xml:space="preserve"> SEQ </w:instrText>
      </w:r>
      <w:r w:rsidR="00F1314B">
        <w:instrText>图</w:instrText>
      </w:r>
      <w:r w:rsidR="00F1314B">
        <w:instrText xml:space="preserve"> \* ARABIC \s 2 </w:instrText>
      </w:r>
      <w:r w:rsidR="00F1314B">
        <w:fldChar w:fldCharType="separate"/>
      </w:r>
      <w:r w:rsidR="00F32CCA">
        <w:rPr>
          <w:noProof/>
        </w:rPr>
        <w:t>3</w:t>
      </w:r>
      <w:r w:rsidR="00F1314B">
        <w:fldChar w:fldCharType="end"/>
      </w:r>
      <w:r w:rsidRPr="000549B1">
        <w:t>浮游植物密度及生物量图</w:t>
      </w:r>
    </w:p>
    <w:p w14:paraId="65F29087" w14:textId="77777777" w:rsidR="00054437" w:rsidRPr="000549B1" w:rsidRDefault="00000000">
      <w:pPr>
        <w:pStyle w:val="4"/>
        <w:adjustRightInd w:val="0"/>
        <w:snapToGrid w:val="0"/>
        <w:spacing w:before="0" w:after="0" w:line="360" w:lineRule="auto"/>
        <w:rPr>
          <w:rFonts w:ascii="Times New Roman" w:eastAsia="黑体" w:hAnsi="Times New Roman"/>
          <w:bCs w:val="0"/>
        </w:rPr>
      </w:pPr>
      <w:r w:rsidRPr="000549B1">
        <w:rPr>
          <w:rFonts w:ascii="Times New Roman" w:eastAsia="黑体" w:hAnsi="Times New Roman"/>
          <w:bCs w:val="0"/>
        </w:rPr>
        <w:t>浮游植物现状评价</w:t>
      </w:r>
    </w:p>
    <w:p w14:paraId="259F6E40" w14:textId="77777777" w:rsidR="00054437" w:rsidRPr="000549B1" w:rsidRDefault="00000000">
      <w:pPr>
        <w:tabs>
          <w:tab w:val="left" w:pos="4500"/>
        </w:tabs>
        <w:spacing w:line="500" w:lineRule="exact"/>
        <w:ind w:firstLineChars="200" w:firstLine="480"/>
        <w:jc w:val="left"/>
        <w:rPr>
          <w:kern w:val="0"/>
          <w:sz w:val="24"/>
          <w:szCs w:val="44"/>
        </w:rPr>
      </w:pPr>
      <w:r w:rsidRPr="000549B1">
        <w:rPr>
          <w:kern w:val="0"/>
          <w:sz w:val="24"/>
          <w:szCs w:val="44"/>
        </w:rPr>
        <w:t>浮游植物的群落受所在生境影响，生境多样性造就了浮游植物群落多样性。覆水流速、基质类型、光照、温度、养分有效性等因素都会影响浮游植物群落结构。较低的流速、表面粗糙度较大的基质、光照充足的沿岸带等环境条件都适合浮游植物附着和生长。</w:t>
      </w:r>
    </w:p>
    <w:p w14:paraId="7055539B" w14:textId="77777777" w:rsidR="00054437" w:rsidRPr="000549B1" w:rsidRDefault="00000000">
      <w:pPr>
        <w:tabs>
          <w:tab w:val="left" w:pos="4500"/>
        </w:tabs>
        <w:spacing w:line="500" w:lineRule="exact"/>
        <w:ind w:firstLineChars="200" w:firstLine="480"/>
        <w:jc w:val="left"/>
        <w:rPr>
          <w:kern w:val="0"/>
          <w:sz w:val="24"/>
        </w:rPr>
      </w:pPr>
      <w:r w:rsidRPr="000549B1">
        <w:rPr>
          <w:kern w:val="0"/>
          <w:sz w:val="24"/>
          <w:szCs w:val="44"/>
        </w:rPr>
        <w:t>通过切吉河、沙珠玉河浮游植物定量分析显示，浮游植物密度变化与生物量变化趋势一致。其中切吉河切吉水库采样点浮游植物密度、生物量最大，分别为</w:t>
      </w:r>
      <w:r w:rsidRPr="000549B1">
        <w:rPr>
          <w:kern w:val="0"/>
          <w:sz w:val="24"/>
          <w:szCs w:val="44"/>
        </w:rPr>
        <w:t>123.50×10</w:t>
      </w:r>
      <w:r w:rsidRPr="000549B1">
        <w:rPr>
          <w:kern w:val="0"/>
          <w:sz w:val="24"/>
          <w:szCs w:val="44"/>
          <w:vertAlign w:val="superscript"/>
        </w:rPr>
        <w:t>4</w:t>
      </w:r>
      <w:r w:rsidRPr="000549B1">
        <w:rPr>
          <w:kern w:val="0"/>
          <w:sz w:val="24"/>
          <w:szCs w:val="44"/>
        </w:rPr>
        <w:t>cells</w:t>
      </w:r>
      <w:r w:rsidRPr="000549B1">
        <w:rPr>
          <w:kern w:val="0"/>
          <w:sz w:val="24"/>
          <w:szCs w:val="44"/>
        </w:rPr>
        <w:t>．</w:t>
      </w:r>
      <w:r w:rsidRPr="000549B1">
        <w:rPr>
          <w:kern w:val="0"/>
          <w:sz w:val="24"/>
          <w:szCs w:val="44"/>
        </w:rPr>
        <w:t>L</w:t>
      </w:r>
      <w:r w:rsidRPr="000549B1">
        <w:rPr>
          <w:kern w:val="0"/>
          <w:sz w:val="24"/>
          <w:szCs w:val="44"/>
          <w:vertAlign w:val="superscript"/>
        </w:rPr>
        <w:t>-1</w:t>
      </w:r>
      <w:r w:rsidRPr="000549B1">
        <w:rPr>
          <w:kern w:val="0"/>
          <w:sz w:val="24"/>
          <w:szCs w:val="44"/>
        </w:rPr>
        <w:t>（占总密度的</w:t>
      </w:r>
      <w:r w:rsidRPr="000549B1">
        <w:rPr>
          <w:kern w:val="0"/>
          <w:sz w:val="24"/>
          <w:szCs w:val="44"/>
        </w:rPr>
        <w:t>62.66%</w:t>
      </w:r>
      <w:r w:rsidRPr="000549B1">
        <w:rPr>
          <w:kern w:val="0"/>
          <w:sz w:val="24"/>
          <w:szCs w:val="44"/>
        </w:rPr>
        <w:t>）、</w:t>
      </w:r>
      <w:r w:rsidRPr="000549B1">
        <w:rPr>
          <w:kern w:val="0"/>
          <w:sz w:val="24"/>
          <w:szCs w:val="44"/>
        </w:rPr>
        <w:t>5.1405mg</w:t>
      </w:r>
      <w:r w:rsidRPr="000549B1">
        <w:rPr>
          <w:kern w:val="0"/>
          <w:sz w:val="24"/>
          <w:szCs w:val="44"/>
        </w:rPr>
        <w:t>．</w:t>
      </w:r>
      <w:r w:rsidRPr="000549B1">
        <w:rPr>
          <w:kern w:val="0"/>
          <w:sz w:val="24"/>
          <w:szCs w:val="44"/>
        </w:rPr>
        <w:t>L</w:t>
      </w:r>
      <w:r w:rsidRPr="000549B1">
        <w:rPr>
          <w:kern w:val="0"/>
          <w:sz w:val="24"/>
          <w:szCs w:val="44"/>
          <w:vertAlign w:val="superscript"/>
        </w:rPr>
        <w:t>-1</w:t>
      </w:r>
      <w:r w:rsidRPr="000549B1">
        <w:rPr>
          <w:kern w:val="0"/>
          <w:sz w:val="24"/>
          <w:szCs w:val="44"/>
        </w:rPr>
        <w:t>（占总生物量的</w:t>
      </w:r>
      <w:r w:rsidRPr="000549B1">
        <w:rPr>
          <w:kern w:val="0"/>
          <w:sz w:val="24"/>
          <w:szCs w:val="44"/>
        </w:rPr>
        <w:t>70.35%</w:t>
      </w:r>
      <w:r w:rsidRPr="000549B1">
        <w:rPr>
          <w:kern w:val="0"/>
          <w:sz w:val="24"/>
          <w:szCs w:val="44"/>
        </w:rPr>
        <w:t>）；沙珠玉河曲黑格木采样点浮游植物密度、生物量最大，分别为</w:t>
      </w:r>
      <w:r w:rsidRPr="000549B1">
        <w:rPr>
          <w:kern w:val="0"/>
          <w:sz w:val="24"/>
          <w:szCs w:val="44"/>
        </w:rPr>
        <w:t>37.70×10</w:t>
      </w:r>
      <w:r w:rsidRPr="000549B1">
        <w:rPr>
          <w:kern w:val="0"/>
          <w:sz w:val="24"/>
          <w:szCs w:val="44"/>
          <w:vertAlign w:val="superscript"/>
        </w:rPr>
        <w:t>4</w:t>
      </w:r>
      <w:r w:rsidRPr="000549B1">
        <w:rPr>
          <w:kern w:val="0"/>
          <w:sz w:val="24"/>
          <w:szCs w:val="44"/>
        </w:rPr>
        <w:t>cells</w:t>
      </w:r>
      <w:r w:rsidRPr="000549B1">
        <w:rPr>
          <w:kern w:val="0"/>
          <w:sz w:val="24"/>
          <w:szCs w:val="44"/>
        </w:rPr>
        <w:t>．</w:t>
      </w:r>
      <w:r w:rsidRPr="000549B1">
        <w:rPr>
          <w:kern w:val="0"/>
          <w:sz w:val="24"/>
          <w:szCs w:val="44"/>
        </w:rPr>
        <w:t>L</w:t>
      </w:r>
      <w:r w:rsidRPr="000549B1">
        <w:rPr>
          <w:kern w:val="0"/>
          <w:sz w:val="24"/>
          <w:szCs w:val="44"/>
          <w:vertAlign w:val="superscript"/>
        </w:rPr>
        <w:t>-1</w:t>
      </w:r>
      <w:r w:rsidRPr="000549B1">
        <w:rPr>
          <w:kern w:val="0"/>
          <w:sz w:val="24"/>
          <w:szCs w:val="44"/>
        </w:rPr>
        <w:t>（占总密度的</w:t>
      </w:r>
      <w:r w:rsidRPr="000549B1">
        <w:rPr>
          <w:kern w:val="0"/>
          <w:sz w:val="24"/>
          <w:szCs w:val="44"/>
        </w:rPr>
        <w:t>46.57%</w:t>
      </w:r>
      <w:r w:rsidRPr="000549B1">
        <w:rPr>
          <w:kern w:val="0"/>
          <w:sz w:val="24"/>
          <w:szCs w:val="44"/>
        </w:rPr>
        <w:t>）、</w:t>
      </w:r>
      <w:r w:rsidRPr="000549B1">
        <w:rPr>
          <w:kern w:val="0"/>
          <w:sz w:val="24"/>
          <w:szCs w:val="44"/>
        </w:rPr>
        <w:t>1.0766mg</w:t>
      </w:r>
      <w:r w:rsidRPr="000549B1">
        <w:rPr>
          <w:kern w:val="0"/>
          <w:sz w:val="24"/>
          <w:szCs w:val="44"/>
        </w:rPr>
        <w:t>．</w:t>
      </w:r>
      <w:r w:rsidRPr="000549B1">
        <w:rPr>
          <w:kern w:val="0"/>
          <w:sz w:val="24"/>
          <w:szCs w:val="44"/>
        </w:rPr>
        <w:t>L</w:t>
      </w:r>
      <w:r w:rsidRPr="000549B1">
        <w:rPr>
          <w:kern w:val="0"/>
          <w:sz w:val="24"/>
          <w:szCs w:val="44"/>
          <w:vertAlign w:val="superscript"/>
        </w:rPr>
        <w:t>-1</w:t>
      </w:r>
      <w:r w:rsidRPr="000549B1">
        <w:rPr>
          <w:kern w:val="0"/>
          <w:sz w:val="24"/>
          <w:szCs w:val="44"/>
        </w:rPr>
        <w:t>（占总生物量的</w:t>
      </w:r>
      <w:r w:rsidRPr="000549B1">
        <w:rPr>
          <w:kern w:val="0"/>
          <w:sz w:val="24"/>
          <w:szCs w:val="44"/>
        </w:rPr>
        <w:t>48.47%</w:t>
      </w:r>
      <w:r w:rsidRPr="000549B1">
        <w:rPr>
          <w:kern w:val="0"/>
          <w:sz w:val="24"/>
          <w:szCs w:val="44"/>
        </w:rPr>
        <w:t>）。浮游植物空间分布较为均匀，群落结构较为稳定。此次调查未检测到污染种，初步判断调查无污染断面。</w:t>
      </w:r>
    </w:p>
    <w:p w14:paraId="147550A8" w14:textId="77777777" w:rsidR="00054437" w:rsidRPr="000549B1" w:rsidRDefault="00000000">
      <w:pPr>
        <w:pStyle w:val="Z4"/>
        <w:rPr>
          <w:color w:val="auto"/>
        </w:rPr>
      </w:pPr>
      <w:r w:rsidRPr="000549B1">
        <w:rPr>
          <w:color w:val="auto"/>
        </w:rPr>
        <w:t>多样性指数</w:t>
      </w:r>
    </w:p>
    <w:p w14:paraId="73A3ED82" w14:textId="77777777" w:rsidR="00054437" w:rsidRPr="000549B1" w:rsidRDefault="00000000">
      <w:pPr>
        <w:spacing w:line="500" w:lineRule="exact"/>
        <w:ind w:firstLineChars="200" w:firstLine="480"/>
        <w:rPr>
          <w:sz w:val="24"/>
        </w:rPr>
      </w:pPr>
      <w:r w:rsidRPr="000549B1">
        <w:rPr>
          <w:sz w:val="24"/>
        </w:rPr>
        <w:t>多样性指数一般采用香农</w:t>
      </w:r>
      <w:r w:rsidRPr="000549B1">
        <w:rPr>
          <w:sz w:val="24"/>
        </w:rPr>
        <w:t>—</w:t>
      </w:r>
      <w:r w:rsidRPr="000549B1">
        <w:rPr>
          <w:sz w:val="24"/>
        </w:rPr>
        <w:t>威纳（</w:t>
      </w:r>
      <w:r w:rsidRPr="000549B1">
        <w:rPr>
          <w:sz w:val="24"/>
        </w:rPr>
        <w:t>Shannon—Wienerindex1949</w:t>
      </w:r>
      <w:r w:rsidRPr="000549B1">
        <w:rPr>
          <w:sz w:val="24"/>
        </w:rPr>
        <w:t>）物种多样性指数进行评价，反映种类的多寡和各个种类数量分配的函数关系。多样性指数可以表明群落中水生生物与食物链结构、水质自动调节能力和群落稳定性的关系。多样性指数也可以作为水质监测的参数，一般多样性指数（</w:t>
      </w:r>
      <w:r w:rsidRPr="000549B1">
        <w:rPr>
          <w:i/>
          <w:iCs/>
          <w:sz w:val="24"/>
        </w:rPr>
        <w:t>H′</w:t>
      </w:r>
      <w:r w:rsidRPr="000549B1">
        <w:rPr>
          <w:sz w:val="24"/>
        </w:rPr>
        <w:t>）值为</w:t>
      </w:r>
      <w:r w:rsidRPr="000549B1">
        <w:rPr>
          <w:sz w:val="24"/>
        </w:rPr>
        <w:t>0</w:t>
      </w:r>
      <w:r w:rsidRPr="000549B1">
        <w:rPr>
          <w:sz w:val="24"/>
        </w:rPr>
        <w:t>～</w:t>
      </w:r>
      <w:r w:rsidRPr="000549B1">
        <w:rPr>
          <w:sz w:val="24"/>
        </w:rPr>
        <w:t>1</w:t>
      </w:r>
      <w:r w:rsidRPr="000549B1">
        <w:rPr>
          <w:sz w:val="24"/>
        </w:rPr>
        <w:t>时，水体重污染；</w:t>
      </w:r>
      <w:r w:rsidRPr="000549B1">
        <w:rPr>
          <w:sz w:val="24"/>
        </w:rPr>
        <w:t>1</w:t>
      </w:r>
      <w:r w:rsidRPr="000549B1">
        <w:rPr>
          <w:sz w:val="24"/>
        </w:rPr>
        <w:t>～</w:t>
      </w:r>
      <w:r w:rsidRPr="000549B1">
        <w:rPr>
          <w:sz w:val="24"/>
        </w:rPr>
        <w:t>3</w:t>
      </w:r>
      <w:r w:rsidRPr="000549B1">
        <w:rPr>
          <w:sz w:val="24"/>
        </w:rPr>
        <w:t>时，水体中污染；＞</w:t>
      </w:r>
      <w:r w:rsidRPr="000549B1">
        <w:rPr>
          <w:sz w:val="24"/>
        </w:rPr>
        <w:t>3</w:t>
      </w:r>
      <w:r w:rsidRPr="000549B1">
        <w:rPr>
          <w:sz w:val="24"/>
        </w:rPr>
        <w:t>时，水体为轻度污染或无污染。在这里生物多样性指数不能完全来反映水的污染情况，更多的是反映出该河段生物种群组成的丰度和种群结构的稳定性。</w:t>
      </w:r>
    </w:p>
    <w:p w14:paraId="72DB8212" w14:textId="77777777" w:rsidR="00054437" w:rsidRPr="000549B1" w:rsidRDefault="00000000">
      <w:pPr>
        <w:spacing w:line="500" w:lineRule="exact"/>
        <w:ind w:firstLineChars="200" w:firstLine="480"/>
        <w:rPr>
          <w:sz w:val="24"/>
        </w:rPr>
      </w:pPr>
      <w:r w:rsidRPr="000549B1">
        <w:rPr>
          <w:sz w:val="24"/>
        </w:rPr>
        <w:t>多样性指数（</w:t>
      </w:r>
      <w:r w:rsidRPr="000549B1">
        <w:rPr>
          <w:i/>
          <w:iCs/>
          <w:sz w:val="24"/>
        </w:rPr>
        <w:t>H′</w:t>
      </w:r>
      <w:r w:rsidRPr="000549B1">
        <w:rPr>
          <w:sz w:val="24"/>
        </w:rPr>
        <w:t>）应用下列公式计算</w:t>
      </w:r>
    </w:p>
    <w:p w14:paraId="6A19D177" w14:textId="77777777" w:rsidR="00054437" w:rsidRPr="000549B1" w:rsidRDefault="00054437">
      <w:pPr>
        <w:spacing w:after="120" w:line="360" w:lineRule="auto"/>
        <w:ind w:firstLineChars="200" w:firstLine="480"/>
        <w:rPr>
          <w:sz w:val="24"/>
        </w:rPr>
      </w:pPr>
    </w:p>
    <w:p w14:paraId="7B85B5D7" w14:textId="77777777" w:rsidR="00054437" w:rsidRPr="000549B1" w:rsidRDefault="00000000">
      <w:pPr>
        <w:spacing w:after="120" w:line="360" w:lineRule="auto"/>
        <w:ind w:firstLineChars="200" w:firstLine="320"/>
        <w:rPr>
          <w:sz w:val="24"/>
        </w:rPr>
      </w:pPr>
      <w:r w:rsidRPr="000549B1">
        <w:rPr>
          <w:rFonts w:eastAsia="等线"/>
          <w:noProof/>
          <w:sz w:val="16"/>
          <w:szCs w:val="16"/>
        </w:rPr>
        <mc:AlternateContent>
          <mc:Choice Requires="wps">
            <w:drawing>
              <wp:anchor distT="0" distB="0" distL="114300" distR="114300" simplePos="0" relativeHeight="251659264" behindDoc="0" locked="0" layoutInCell="1" allowOverlap="1" wp14:anchorId="0B887F14" wp14:editId="0E7FCA95">
                <wp:simplePos x="0" y="0"/>
                <wp:positionH relativeFrom="column">
                  <wp:posOffset>1774825</wp:posOffset>
                </wp:positionH>
                <wp:positionV relativeFrom="paragraph">
                  <wp:posOffset>-379095</wp:posOffset>
                </wp:positionV>
                <wp:extent cx="2060575" cy="848360"/>
                <wp:effectExtent l="0" t="0" r="0" b="0"/>
                <wp:wrapNone/>
                <wp:docPr id="203" name="矩形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0575" cy="848360"/>
                        </a:xfrm>
                        <a:prstGeom prst="rect">
                          <a:avLst/>
                        </a:prstGeom>
                        <a:noFill/>
                        <a:ln>
                          <a:noFill/>
                        </a:ln>
                        <a:effectLst/>
                      </wps:spPr>
                      <wps:txbx>
                        <w:txbxContent>
                          <w:p w14:paraId="67BAAE3C" w14:textId="77777777" w:rsidR="00054437" w:rsidRDefault="00000000">
                            <w:pPr>
                              <w:spacing w:line="80" w:lineRule="atLeast"/>
                              <w:ind w:firstLine="480"/>
                              <w:rPr>
                                <w:i/>
                                <w:sz w:val="18"/>
                                <w:szCs w:val="18"/>
                              </w:rPr>
                            </w:pPr>
                            <w:r>
                              <w:rPr>
                                <w:i/>
                              </w:rPr>
                              <w:t>n</w:t>
                            </w:r>
                          </w:p>
                          <w:p w14:paraId="7FBB2888" w14:textId="77777777" w:rsidR="00054437" w:rsidRDefault="00000000">
                            <w:pPr>
                              <w:spacing w:line="80" w:lineRule="atLeast"/>
                              <w:ind w:firstLine="480"/>
                            </w:pPr>
                            <w:r>
                              <w:rPr>
                                <w:i/>
                              </w:rPr>
                              <w:t>H′</w:t>
                            </w:r>
                            <w:r>
                              <w:rPr>
                                <w:rFonts w:hint="eastAsia"/>
                              </w:rPr>
                              <w:t>＝－</w:t>
                            </w:r>
                            <w:r>
                              <w:rPr>
                                <w:sz w:val="44"/>
                                <w:szCs w:val="44"/>
                              </w:rPr>
                              <w:t>∑</w:t>
                            </w:r>
                            <w:r>
                              <w:rPr>
                                <w:i/>
                              </w:rPr>
                              <w:t>P</w:t>
                            </w:r>
                            <w:r>
                              <w:rPr>
                                <w:i/>
                                <w:vertAlign w:val="subscript"/>
                              </w:rPr>
                              <w:t>i</w:t>
                            </w:r>
                            <w:r>
                              <w:rPr>
                                <w:rFonts w:hint="eastAsia"/>
                              </w:rPr>
                              <w:t>㏒</w:t>
                            </w:r>
                            <w:r>
                              <w:rPr>
                                <w:vertAlign w:val="subscript"/>
                              </w:rPr>
                              <w:t>2</w:t>
                            </w:r>
                            <w:r>
                              <w:rPr>
                                <w:i/>
                              </w:rPr>
                              <w:t>P</w:t>
                            </w:r>
                            <w:r>
                              <w:rPr>
                                <w:i/>
                                <w:vertAlign w:val="subscript"/>
                              </w:rPr>
                              <w:t>i</w:t>
                            </w:r>
                          </w:p>
                          <w:p w14:paraId="4A0EE975" w14:textId="77777777" w:rsidR="00054437" w:rsidRDefault="00000000">
                            <w:pPr>
                              <w:spacing w:line="80" w:lineRule="atLeast"/>
                              <w:ind w:firstLine="480"/>
                            </w:pPr>
                            <w:r>
                              <w:rPr>
                                <w:i/>
                              </w:rPr>
                              <w:t>i</w:t>
                            </w:r>
                            <w:r>
                              <w:t>=1</w:t>
                            </w:r>
                          </w:p>
                        </w:txbxContent>
                      </wps:txbx>
                      <wps:bodyPr rot="0" vertOverflow="clip" horzOverflow="clip" vert="horz" wrap="square" lIns="91440" tIns="45720" rIns="91440" bIns="45720" anchor="t" anchorCtr="0" upright="1">
                        <a:noAutofit/>
                      </wps:bodyPr>
                    </wps:wsp>
                  </a:graphicData>
                </a:graphic>
              </wp:anchor>
            </w:drawing>
          </mc:Choice>
          <mc:Fallback>
            <w:pict>
              <v:rect w14:anchorId="0B887F14" id="矩形 203" o:spid="_x0000_s1026" style="position:absolute;left:0;text-align:left;margin-left:139.75pt;margin-top:-29.85pt;width:162.25pt;height:66.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" filled="f" stroked="f">
                <v:textbox>
                  <w:txbxContent>
                    <w:p w14:paraId="67BAAE3C" w14:textId="77777777" w:rsidR="00054437" w:rsidRDefault="00000000">
                      <w:pPr>
                        <w:spacing w:line="80" w:lineRule="atLeast"/>
                        <w:ind w:firstLine="480"/>
                        <w:rPr>
                          <w:i/>
                          <w:sz w:val="18"/>
                          <w:szCs w:val="18"/>
                        </w:rPr>
                      </w:pPr>
                      <w:r>
                        <w:rPr>
                          <w:i/>
                        </w:rPr>
                        <w:t>n</w:t>
                      </w:r>
                    </w:p>
                    <w:p w14:paraId="7FBB2888" w14:textId="77777777" w:rsidR="00054437" w:rsidRDefault="00000000">
                      <w:pPr>
                        <w:spacing w:line="80" w:lineRule="atLeast"/>
                        <w:ind w:firstLine="480"/>
                      </w:pPr>
                      <w:r>
                        <w:rPr>
                          <w:i/>
                        </w:rPr>
                        <w:t>H′</w:t>
                      </w:r>
                      <w:r>
                        <w:rPr>
                          <w:rFonts w:hint="eastAsia"/>
                        </w:rPr>
                        <w:t>＝－</w:t>
                      </w:r>
                      <w:r>
                        <w:rPr>
                          <w:sz w:val="44"/>
                          <w:szCs w:val="44"/>
                        </w:rPr>
                        <w:t>∑</w:t>
                      </w:r>
                      <w:r>
                        <w:rPr>
                          <w:i/>
                        </w:rPr>
                        <w:t>P</w:t>
                      </w:r>
                      <w:r>
                        <w:rPr>
                          <w:i/>
                          <w:vertAlign w:val="subscript"/>
                        </w:rPr>
                        <w:t>i</w:t>
                      </w:r>
                      <w:r>
                        <w:rPr>
                          <w:rFonts w:hint="eastAsia"/>
                        </w:rPr>
                        <w:t>㏒</w:t>
                      </w:r>
                      <w:r>
                        <w:rPr>
                          <w:vertAlign w:val="subscript"/>
                        </w:rPr>
                        <w:t>2</w:t>
                      </w:r>
                      <w:r>
                        <w:rPr>
                          <w:i/>
                        </w:rPr>
                        <w:t>P</w:t>
                      </w:r>
                      <w:r>
                        <w:rPr>
                          <w:i/>
                          <w:vertAlign w:val="subscript"/>
                        </w:rPr>
                        <w:t>i</w:t>
                      </w:r>
                    </w:p>
                    <w:p w14:paraId="4A0EE975" w14:textId="77777777" w:rsidR="00054437" w:rsidRDefault="00000000">
                      <w:pPr>
                        <w:spacing w:line="80" w:lineRule="atLeast"/>
                        <w:ind w:firstLine="480"/>
                      </w:pPr>
                      <w:r>
                        <w:rPr>
                          <w:i/>
                        </w:rPr>
                        <w:t>i</w:t>
                      </w:r>
                      <w:r>
                        <w:t>=1</w:t>
                      </w:r>
                    </w:p>
                  </w:txbxContent>
                </v:textbox>
              </v:rect>
            </w:pict>
          </mc:Fallback>
        </mc:AlternateContent>
      </w:r>
    </w:p>
    <w:p w14:paraId="539E03B9" w14:textId="77777777" w:rsidR="00054437" w:rsidRPr="000549B1" w:rsidRDefault="00000000">
      <w:pPr>
        <w:spacing w:line="500" w:lineRule="exact"/>
        <w:ind w:firstLineChars="200" w:firstLine="480"/>
        <w:rPr>
          <w:sz w:val="24"/>
        </w:rPr>
      </w:pPr>
      <w:r w:rsidRPr="000549B1">
        <w:rPr>
          <w:sz w:val="24"/>
        </w:rPr>
        <w:t>均匀度指数（</w:t>
      </w:r>
      <w:r w:rsidRPr="000549B1">
        <w:rPr>
          <w:i/>
          <w:iCs/>
          <w:sz w:val="24"/>
        </w:rPr>
        <w:t>J</w:t>
      </w:r>
      <w:r w:rsidRPr="000549B1">
        <w:rPr>
          <w:sz w:val="24"/>
        </w:rPr>
        <w:t>）采用</w:t>
      </w:r>
      <w:r w:rsidRPr="000549B1">
        <w:rPr>
          <w:sz w:val="24"/>
        </w:rPr>
        <w:t>Pielou</w:t>
      </w:r>
      <w:r w:rsidRPr="000549B1">
        <w:rPr>
          <w:sz w:val="24"/>
        </w:rPr>
        <w:t>均匀度指数：</w:t>
      </w:r>
    </w:p>
    <w:p w14:paraId="7001AB8B" w14:textId="77777777" w:rsidR="00054437" w:rsidRPr="000549B1" w:rsidRDefault="00000000">
      <w:pPr>
        <w:spacing w:line="360" w:lineRule="auto"/>
        <w:ind w:firstLineChars="200" w:firstLine="480"/>
        <w:jc w:val="center"/>
        <w:rPr>
          <w:sz w:val="24"/>
        </w:rPr>
      </w:pPr>
      <w:r w:rsidRPr="000549B1">
        <w:rPr>
          <w:sz w:val="24"/>
        </w:rPr>
        <w:t>J=</w:t>
      </w:r>
      <w:r w:rsidRPr="000549B1">
        <w:rPr>
          <w:i/>
          <w:iCs/>
          <w:sz w:val="24"/>
        </w:rPr>
        <w:t>H′</w:t>
      </w:r>
      <w:r w:rsidRPr="000549B1">
        <w:rPr>
          <w:sz w:val="24"/>
        </w:rPr>
        <w:t>/log</w:t>
      </w:r>
      <w:r w:rsidRPr="000549B1">
        <w:rPr>
          <w:sz w:val="24"/>
          <w:vertAlign w:val="subscript"/>
        </w:rPr>
        <w:t>2</w:t>
      </w:r>
      <w:r w:rsidRPr="000549B1">
        <w:rPr>
          <w:sz w:val="24"/>
        </w:rPr>
        <w:t>S</w:t>
      </w:r>
    </w:p>
    <w:p w14:paraId="0B1EDD73" w14:textId="77777777" w:rsidR="00054437" w:rsidRPr="000549B1" w:rsidRDefault="00000000">
      <w:pPr>
        <w:spacing w:line="500" w:lineRule="exact"/>
        <w:ind w:firstLineChars="200" w:firstLine="480"/>
        <w:rPr>
          <w:sz w:val="24"/>
        </w:rPr>
      </w:pPr>
      <w:r w:rsidRPr="000549B1">
        <w:rPr>
          <w:sz w:val="24"/>
        </w:rPr>
        <w:t>式中，</w:t>
      </w:r>
      <w:r w:rsidRPr="000549B1">
        <w:rPr>
          <w:sz w:val="24"/>
        </w:rPr>
        <w:t>n</w:t>
      </w:r>
      <w:r w:rsidRPr="000549B1">
        <w:rPr>
          <w:sz w:val="24"/>
        </w:rPr>
        <w:t>为种类数，</w:t>
      </w:r>
      <w:r w:rsidRPr="000549B1">
        <w:rPr>
          <w:i/>
          <w:iCs/>
          <w:sz w:val="24"/>
        </w:rPr>
        <w:t>Pi</w:t>
      </w:r>
      <w:r w:rsidRPr="000549B1">
        <w:rPr>
          <w:sz w:val="24"/>
        </w:rPr>
        <w:t>为第</w:t>
      </w:r>
      <w:r w:rsidRPr="000549B1">
        <w:rPr>
          <w:sz w:val="24"/>
        </w:rPr>
        <w:t>i</w:t>
      </w:r>
      <w:r w:rsidRPr="000549B1">
        <w:rPr>
          <w:sz w:val="24"/>
        </w:rPr>
        <w:t>种个体数与总个体数的比值。</w:t>
      </w:r>
    </w:p>
    <w:p w14:paraId="3A223242" w14:textId="77777777" w:rsidR="00054437" w:rsidRPr="000549B1" w:rsidRDefault="00000000">
      <w:pPr>
        <w:spacing w:line="500" w:lineRule="exact"/>
        <w:ind w:firstLineChars="200" w:firstLine="480"/>
        <w:rPr>
          <w:sz w:val="24"/>
        </w:rPr>
      </w:pPr>
      <w:r w:rsidRPr="000549B1">
        <w:rPr>
          <w:sz w:val="24"/>
        </w:rPr>
        <w:t>各断面浮游植物多样性指数在</w:t>
      </w:r>
      <w:r w:rsidRPr="000549B1">
        <w:rPr>
          <w:sz w:val="24"/>
        </w:rPr>
        <w:t>3.4678~4.1801</w:t>
      </w:r>
      <w:r w:rsidRPr="000549B1">
        <w:rPr>
          <w:sz w:val="24"/>
        </w:rPr>
        <w:t>，表明调查断面水体存在轻度污染或无污染。浮游植物均匀度指数在</w:t>
      </w:r>
      <w:r w:rsidRPr="000549B1">
        <w:rPr>
          <w:sz w:val="24"/>
        </w:rPr>
        <w:t>0.7438~0.8774</w:t>
      </w:r>
      <w:r w:rsidRPr="000549B1">
        <w:rPr>
          <w:sz w:val="24"/>
        </w:rPr>
        <w:t>之间，表明浮游植物各种属分布较为均匀，群落结构较为稳定。</w:t>
      </w:r>
    </w:p>
    <w:p w14:paraId="4CEEF1A1" w14:textId="77777777" w:rsidR="00054437" w:rsidRPr="000549B1" w:rsidRDefault="00000000">
      <w:pPr>
        <w:spacing w:line="500" w:lineRule="exact"/>
        <w:ind w:firstLineChars="200" w:firstLine="480"/>
        <w:rPr>
          <w:sz w:val="24"/>
        </w:rPr>
      </w:pPr>
      <w:r w:rsidRPr="000549B1">
        <w:rPr>
          <w:sz w:val="24"/>
        </w:rPr>
        <w:t>各断面均以硅藻门类为主要优势种。从数据分析可以看出浮游植物群落结构组成以硅藻门为主要优势门类，其他藻类占比较小。切吉河优势种为硅藻门的中型脆杆藻（</w:t>
      </w:r>
      <w:r w:rsidRPr="000549B1">
        <w:rPr>
          <w:sz w:val="24"/>
        </w:rPr>
        <w:t>Fragilariaintermedia</w:t>
      </w:r>
      <w:r w:rsidRPr="000549B1">
        <w:rPr>
          <w:sz w:val="24"/>
        </w:rPr>
        <w:t>）、喙头舟形藻（</w:t>
      </w:r>
      <w:r w:rsidRPr="000549B1">
        <w:rPr>
          <w:sz w:val="24"/>
        </w:rPr>
        <w:t>Navicularhynchocephala</w:t>
      </w:r>
      <w:r w:rsidRPr="000549B1">
        <w:rPr>
          <w:sz w:val="24"/>
        </w:rPr>
        <w:t>）；沙珠玉河优势种为硅藻门的中型脆杆藻（</w:t>
      </w:r>
      <w:r w:rsidRPr="000549B1">
        <w:rPr>
          <w:sz w:val="24"/>
        </w:rPr>
        <w:t>Fragilariaintermedia</w:t>
      </w:r>
      <w:r w:rsidRPr="000549B1">
        <w:rPr>
          <w:sz w:val="24"/>
        </w:rPr>
        <w:t>）、肘状针杆藻（</w:t>
      </w:r>
      <w:r w:rsidRPr="000549B1">
        <w:rPr>
          <w:sz w:val="24"/>
        </w:rPr>
        <w:t>Synedraulna</w:t>
      </w:r>
      <w:r w:rsidRPr="000549B1">
        <w:rPr>
          <w:sz w:val="24"/>
        </w:rPr>
        <w:t>）。检测出的数量及种类最多的点位是切吉水库，主要优势种为硅藻门的中型脆杆藻。检测未发现污染种，初步判断这些断面不存在点源或面源的污染。</w:t>
      </w:r>
    </w:p>
    <w:p w14:paraId="05B89DA9" w14:textId="77777777" w:rsidR="00054437" w:rsidRPr="000549B1" w:rsidRDefault="00000000">
      <w:pPr>
        <w:spacing w:line="500" w:lineRule="exact"/>
        <w:ind w:firstLineChars="200" w:firstLine="480"/>
        <w:rPr>
          <w:rFonts w:eastAsia="黑体"/>
          <w:kern w:val="0"/>
          <w:sz w:val="24"/>
          <w:szCs w:val="20"/>
        </w:rPr>
      </w:pPr>
      <w:r w:rsidRPr="000549B1">
        <w:rPr>
          <w:sz w:val="24"/>
        </w:rPr>
        <w:t>此次调查生物多样性指数可以作为评定水质的参考，但多样性指数更多的是反应该评价河段浮游植物群落结构组成的丰富度和群落的稳定性。</w:t>
      </w:r>
    </w:p>
    <w:p w14:paraId="16850CA7" w14:textId="5F3ACF44" w:rsidR="00054437" w:rsidRPr="000549B1" w:rsidRDefault="00000000">
      <w:pPr>
        <w:pStyle w:val="0A51"/>
        <w:ind w:firstLine="422"/>
      </w:pPr>
      <w:r w:rsidRPr="000549B1">
        <w:t>表</w:t>
      </w:r>
      <w:fldSimple w:instr=" STYLEREF 2 \s ">
        <w:r w:rsidR="00372953">
          <w:rPr>
            <w:noProof/>
          </w:rPr>
          <w:t>3.6</w:t>
        </w:r>
      </w:fldSimple>
      <w:r w:rsidR="00372953">
        <w:noBreakHyphen/>
      </w:r>
      <w:r w:rsidR="00372953">
        <w:fldChar w:fldCharType="begin"/>
      </w:r>
      <w:r w:rsidR="00372953">
        <w:instrText xml:space="preserve"> SEQ </w:instrText>
      </w:r>
      <w:r w:rsidR="00372953">
        <w:instrText>表</w:instrText>
      </w:r>
      <w:r w:rsidR="00372953">
        <w:instrText xml:space="preserve"> \* ARABIC \s 2 </w:instrText>
      </w:r>
      <w:r w:rsidR="00372953">
        <w:fldChar w:fldCharType="separate"/>
      </w:r>
      <w:r w:rsidR="00372953">
        <w:rPr>
          <w:noProof/>
        </w:rPr>
        <w:t>5</w:t>
      </w:r>
      <w:r w:rsidR="00372953">
        <w:fldChar w:fldCharType="end"/>
      </w:r>
      <w:r w:rsidRPr="000549B1">
        <w:t>浮游植物多样性指数组成表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1"/>
        <w:gridCol w:w="3942"/>
        <w:gridCol w:w="1531"/>
        <w:gridCol w:w="1532"/>
      </w:tblGrid>
      <w:tr w:rsidR="000549B1" w:rsidRPr="000549B1" w14:paraId="42B4CFF7" w14:textId="77777777">
        <w:trPr>
          <w:trHeight w:val="300"/>
          <w:jc w:val="center"/>
        </w:trPr>
        <w:tc>
          <w:tcPr>
            <w:tcW w:w="5379" w:type="dxa"/>
            <w:gridSpan w:val="2"/>
            <w:noWrap/>
            <w:vAlign w:val="center"/>
          </w:tcPr>
          <w:p w14:paraId="09431540" w14:textId="77777777" w:rsidR="00054437" w:rsidRPr="000549B1" w:rsidRDefault="00000000">
            <w:pPr>
              <w:widowControl/>
              <w:spacing w:line="240" w:lineRule="atLeast"/>
              <w:jc w:val="center"/>
              <w:rPr>
                <w:b/>
                <w:bCs/>
                <w:kern w:val="0"/>
                <w:szCs w:val="21"/>
              </w:rPr>
            </w:pPr>
            <w:r w:rsidRPr="000549B1">
              <w:rPr>
                <w:b/>
                <w:bCs/>
                <w:kern w:val="0"/>
                <w:szCs w:val="21"/>
              </w:rPr>
              <w:t>采样断面</w:t>
            </w:r>
          </w:p>
        </w:tc>
        <w:tc>
          <w:tcPr>
            <w:tcW w:w="1571" w:type="dxa"/>
            <w:noWrap/>
            <w:vAlign w:val="center"/>
          </w:tcPr>
          <w:p w14:paraId="6D92DCAA" w14:textId="77777777" w:rsidR="00054437" w:rsidRPr="000549B1" w:rsidRDefault="00000000">
            <w:pPr>
              <w:widowControl/>
              <w:spacing w:line="240" w:lineRule="atLeast"/>
              <w:jc w:val="center"/>
              <w:rPr>
                <w:b/>
                <w:bCs/>
                <w:kern w:val="0"/>
                <w:szCs w:val="21"/>
              </w:rPr>
            </w:pPr>
            <w:r w:rsidRPr="000549B1">
              <w:rPr>
                <w:b/>
                <w:bCs/>
                <w:kern w:val="0"/>
                <w:szCs w:val="21"/>
              </w:rPr>
              <w:t>浮游植物多样性指数</w:t>
            </w:r>
            <w:r w:rsidRPr="000549B1">
              <w:rPr>
                <w:b/>
                <w:bCs/>
                <w:kern w:val="0"/>
                <w:szCs w:val="21"/>
              </w:rPr>
              <w:t>(</w:t>
            </w:r>
            <w:r w:rsidRPr="000549B1">
              <w:rPr>
                <w:b/>
                <w:bCs/>
                <w:i/>
                <w:iCs/>
                <w:kern w:val="0"/>
                <w:szCs w:val="21"/>
              </w:rPr>
              <w:t>H</w:t>
            </w:r>
            <w:r w:rsidRPr="000549B1">
              <w:rPr>
                <w:b/>
                <w:bCs/>
                <w:kern w:val="0"/>
                <w:szCs w:val="21"/>
              </w:rPr>
              <w:t>')</w:t>
            </w:r>
          </w:p>
        </w:tc>
        <w:tc>
          <w:tcPr>
            <w:tcW w:w="1572" w:type="dxa"/>
            <w:noWrap/>
            <w:vAlign w:val="center"/>
          </w:tcPr>
          <w:p w14:paraId="36284A3D" w14:textId="77777777" w:rsidR="00054437" w:rsidRPr="000549B1" w:rsidRDefault="00000000">
            <w:pPr>
              <w:widowControl/>
              <w:spacing w:line="240" w:lineRule="atLeast"/>
              <w:jc w:val="center"/>
              <w:rPr>
                <w:b/>
                <w:bCs/>
                <w:kern w:val="0"/>
                <w:szCs w:val="21"/>
              </w:rPr>
            </w:pPr>
            <w:r w:rsidRPr="000549B1">
              <w:rPr>
                <w:b/>
                <w:bCs/>
                <w:kern w:val="0"/>
                <w:szCs w:val="21"/>
              </w:rPr>
              <w:t>浮游植物均匀度指数</w:t>
            </w:r>
            <w:r w:rsidRPr="000549B1">
              <w:rPr>
                <w:b/>
                <w:bCs/>
                <w:kern w:val="0"/>
                <w:szCs w:val="21"/>
              </w:rPr>
              <w:t>(J)</w:t>
            </w:r>
          </w:p>
        </w:tc>
      </w:tr>
      <w:tr w:rsidR="000549B1" w:rsidRPr="000549B1" w14:paraId="2DD36707" w14:textId="77777777">
        <w:trPr>
          <w:trHeight w:val="300"/>
          <w:jc w:val="center"/>
        </w:trPr>
        <w:tc>
          <w:tcPr>
            <w:tcW w:w="1324" w:type="dxa"/>
            <w:vMerge w:val="restart"/>
            <w:noWrap/>
            <w:vAlign w:val="center"/>
          </w:tcPr>
          <w:p w14:paraId="2D9B0D59" w14:textId="77777777" w:rsidR="00054437" w:rsidRPr="000549B1" w:rsidRDefault="00000000">
            <w:pPr>
              <w:widowControl/>
              <w:spacing w:line="240" w:lineRule="atLeast"/>
              <w:jc w:val="center"/>
              <w:rPr>
                <w:kern w:val="0"/>
                <w:szCs w:val="21"/>
              </w:rPr>
            </w:pPr>
            <w:r w:rsidRPr="000549B1">
              <w:rPr>
                <w:kern w:val="0"/>
                <w:szCs w:val="21"/>
              </w:rPr>
              <w:t>切吉河</w:t>
            </w:r>
          </w:p>
        </w:tc>
        <w:tc>
          <w:tcPr>
            <w:tcW w:w="4055" w:type="dxa"/>
            <w:noWrap/>
            <w:vAlign w:val="center"/>
          </w:tcPr>
          <w:p w14:paraId="305BE846" w14:textId="77777777" w:rsidR="00054437" w:rsidRPr="000549B1" w:rsidRDefault="00000000">
            <w:pPr>
              <w:widowControl/>
              <w:spacing w:line="240" w:lineRule="atLeast"/>
              <w:jc w:val="center"/>
              <w:rPr>
                <w:kern w:val="0"/>
                <w:szCs w:val="21"/>
              </w:rPr>
            </w:pPr>
            <w:r w:rsidRPr="000549B1">
              <w:rPr>
                <w:kern w:val="0"/>
                <w:szCs w:val="21"/>
              </w:rPr>
              <w:t>切吉水库上游</w:t>
            </w:r>
          </w:p>
        </w:tc>
        <w:tc>
          <w:tcPr>
            <w:tcW w:w="1571" w:type="dxa"/>
            <w:noWrap/>
            <w:vAlign w:val="center"/>
          </w:tcPr>
          <w:p w14:paraId="50EA9035" w14:textId="77777777" w:rsidR="00054437" w:rsidRPr="000549B1" w:rsidRDefault="00000000">
            <w:pPr>
              <w:widowControl/>
              <w:spacing w:line="240" w:lineRule="atLeast"/>
              <w:jc w:val="center"/>
              <w:rPr>
                <w:kern w:val="0"/>
                <w:szCs w:val="21"/>
              </w:rPr>
            </w:pPr>
            <w:r w:rsidRPr="000549B1">
              <w:rPr>
                <w:kern w:val="0"/>
                <w:szCs w:val="21"/>
              </w:rPr>
              <w:t>4.</w:t>
            </w:r>
            <w:bookmarkStart w:id="290" w:name="_Hlk209537915"/>
            <w:r w:rsidRPr="000549B1">
              <w:rPr>
                <w:kern w:val="0"/>
                <w:szCs w:val="21"/>
              </w:rPr>
              <w:t>1801</w:t>
            </w:r>
            <w:bookmarkEnd w:id="290"/>
          </w:p>
        </w:tc>
        <w:tc>
          <w:tcPr>
            <w:tcW w:w="1572" w:type="dxa"/>
            <w:noWrap/>
            <w:vAlign w:val="center"/>
          </w:tcPr>
          <w:p w14:paraId="51AB25BB" w14:textId="77777777" w:rsidR="00054437" w:rsidRPr="000549B1" w:rsidRDefault="00000000">
            <w:pPr>
              <w:widowControl/>
              <w:spacing w:line="240" w:lineRule="atLeast"/>
              <w:jc w:val="center"/>
              <w:rPr>
                <w:kern w:val="0"/>
                <w:szCs w:val="21"/>
              </w:rPr>
            </w:pPr>
            <w:r w:rsidRPr="000549B1">
              <w:rPr>
                <w:kern w:val="0"/>
                <w:szCs w:val="21"/>
              </w:rPr>
              <w:t>0.8695</w:t>
            </w:r>
          </w:p>
        </w:tc>
      </w:tr>
      <w:tr w:rsidR="000549B1" w:rsidRPr="000549B1" w14:paraId="2486C386" w14:textId="77777777">
        <w:trPr>
          <w:trHeight w:val="300"/>
          <w:jc w:val="center"/>
        </w:trPr>
        <w:tc>
          <w:tcPr>
            <w:tcW w:w="0" w:type="auto"/>
            <w:vMerge/>
            <w:vAlign w:val="center"/>
          </w:tcPr>
          <w:p w14:paraId="22244732" w14:textId="77777777" w:rsidR="00054437" w:rsidRPr="000549B1" w:rsidRDefault="00054437">
            <w:pPr>
              <w:widowControl/>
              <w:spacing w:line="240" w:lineRule="atLeast"/>
              <w:rPr>
                <w:kern w:val="0"/>
                <w:szCs w:val="21"/>
              </w:rPr>
            </w:pPr>
          </w:p>
        </w:tc>
        <w:tc>
          <w:tcPr>
            <w:tcW w:w="4055" w:type="dxa"/>
            <w:noWrap/>
            <w:vAlign w:val="center"/>
          </w:tcPr>
          <w:p w14:paraId="64CBFFDC" w14:textId="77777777" w:rsidR="00054437" w:rsidRPr="000549B1" w:rsidRDefault="00000000">
            <w:pPr>
              <w:widowControl/>
              <w:spacing w:line="240" w:lineRule="atLeast"/>
              <w:jc w:val="center"/>
              <w:rPr>
                <w:kern w:val="0"/>
                <w:szCs w:val="21"/>
              </w:rPr>
            </w:pPr>
            <w:r w:rsidRPr="000549B1">
              <w:rPr>
                <w:kern w:val="0"/>
                <w:szCs w:val="21"/>
              </w:rPr>
              <w:t>切吉水库</w:t>
            </w:r>
          </w:p>
        </w:tc>
        <w:tc>
          <w:tcPr>
            <w:tcW w:w="1571" w:type="dxa"/>
            <w:noWrap/>
            <w:vAlign w:val="center"/>
          </w:tcPr>
          <w:p w14:paraId="01238BB1" w14:textId="77777777" w:rsidR="00054437" w:rsidRPr="000549B1" w:rsidRDefault="00000000">
            <w:pPr>
              <w:widowControl/>
              <w:spacing w:line="240" w:lineRule="atLeast"/>
              <w:jc w:val="center"/>
              <w:rPr>
                <w:kern w:val="0"/>
                <w:szCs w:val="21"/>
              </w:rPr>
            </w:pPr>
            <w:r w:rsidRPr="000549B1">
              <w:rPr>
                <w:kern w:val="0"/>
                <w:szCs w:val="21"/>
              </w:rPr>
              <w:t>3.8453</w:t>
            </w:r>
          </w:p>
        </w:tc>
        <w:tc>
          <w:tcPr>
            <w:tcW w:w="1572" w:type="dxa"/>
            <w:noWrap/>
            <w:vAlign w:val="center"/>
          </w:tcPr>
          <w:p w14:paraId="4BB2C6F0" w14:textId="77777777" w:rsidR="00054437" w:rsidRPr="000549B1" w:rsidRDefault="00000000">
            <w:pPr>
              <w:widowControl/>
              <w:spacing w:line="240" w:lineRule="atLeast"/>
              <w:jc w:val="center"/>
              <w:rPr>
                <w:kern w:val="0"/>
                <w:szCs w:val="21"/>
              </w:rPr>
            </w:pPr>
            <w:r w:rsidRPr="000549B1">
              <w:rPr>
                <w:kern w:val="0"/>
                <w:szCs w:val="21"/>
              </w:rPr>
              <w:t>0.7438</w:t>
            </w:r>
          </w:p>
        </w:tc>
      </w:tr>
      <w:tr w:rsidR="000549B1" w:rsidRPr="000549B1" w14:paraId="2E3E6F55" w14:textId="77777777">
        <w:trPr>
          <w:trHeight w:val="300"/>
          <w:jc w:val="center"/>
        </w:trPr>
        <w:tc>
          <w:tcPr>
            <w:tcW w:w="0" w:type="auto"/>
            <w:vMerge/>
            <w:vAlign w:val="center"/>
          </w:tcPr>
          <w:p w14:paraId="6107C4EB" w14:textId="77777777" w:rsidR="00054437" w:rsidRPr="000549B1" w:rsidRDefault="00054437">
            <w:pPr>
              <w:widowControl/>
              <w:spacing w:line="240" w:lineRule="atLeast"/>
              <w:rPr>
                <w:kern w:val="0"/>
                <w:szCs w:val="21"/>
              </w:rPr>
            </w:pPr>
          </w:p>
        </w:tc>
        <w:tc>
          <w:tcPr>
            <w:tcW w:w="4055" w:type="dxa"/>
            <w:noWrap/>
            <w:vAlign w:val="center"/>
          </w:tcPr>
          <w:p w14:paraId="021A5207" w14:textId="77777777" w:rsidR="00054437" w:rsidRPr="000549B1" w:rsidRDefault="00000000">
            <w:pPr>
              <w:widowControl/>
              <w:spacing w:line="240" w:lineRule="atLeast"/>
              <w:jc w:val="center"/>
              <w:rPr>
                <w:kern w:val="0"/>
                <w:szCs w:val="21"/>
              </w:rPr>
            </w:pPr>
            <w:r w:rsidRPr="000549B1">
              <w:rPr>
                <w:kern w:val="0"/>
                <w:szCs w:val="21"/>
              </w:rPr>
              <w:t>切吉水库下游</w:t>
            </w:r>
          </w:p>
        </w:tc>
        <w:tc>
          <w:tcPr>
            <w:tcW w:w="1571" w:type="dxa"/>
            <w:noWrap/>
            <w:vAlign w:val="center"/>
          </w:tcPr>
          <w:p w14:paraId="46C9842D" w14:textId="77777777" w:rsidR="00054437" w:rsidRPr="000549B1" w:rsidRDefault="00000000">
            <w:pPr>
              <w:widowControl/>
              <w:spacing w:line="240" w:lineRule="atLeast"/>
              <w:jc w:val="center"/>
              <w:rPr>
                <w:kern w:val="0"/>
                <w:szCs w:val="21"/>
              </w:rPr>
            </w:pPr>
            <w:bookmarkStart w:id="291" w:name="_Hlk209536501"/>
            <w:r w:rsidRPr="000549B1">
              <w:rPr>
                <w:kern w:val="0"/>
                <w:szCs w:val="21"/>
              </w:rPr>
              <w:t>4.0674</w:t>
            </w:r>
            <w:bookmarkEnd w:id="291"/>
          </w:p>
        </w:tc>
        <w:tc>
          <w:tcPr>
            <w:tcW w:w="1572" w:type="dxa"/>
            <w:noWrap/>
            <w:vAlign w:val="center"/>
          </w:tcPr>
          <w:p w14:paraId="3BE07D94" w14:textId="77777777" w:rsidR="00054437" w:rsidRPr="000549B1" w:rsidRDefault="00000000">
            <w:pPr>
              <w:widowControl/>
              <w:spacing w:line="240" w:lineRule="atLeast"/>
              <w:jc w:val="center"/>
              <w:rPr>
                <w:kern w:val="0"/>
                <w:szCs w:val="21"/>
              </w:rPr>
            </w:pPr>
            <w:r w:rsidRPr="000549B1">
              <w:rPr>
                <w:kern w:val="0"/>
                <w:szCs w:val="21"/>
              </w:rPr>
              <w:t>0.8461</w:t>
            </w:r>
          </w:p>
        </w:tc>
      </w:tr>
      <w:tr w:rsidR="000549B1" w:rsidRPr="000549B1" w14:paraId="1D6E76F7" w14:textId="77777777">
        <w:trPr>
          <w:trHeight w:val="300"/>
          <w:jc w:val="center"/>
        </w:trPr>
        <w:tc>
          <w:tcPr>
            <w:tcW w:w="1324" w:type="dxa"/>
            <w:vMerge w:val="restart"/>
            <w:noWrap/>
            <w:vAlign w:val="center"/>
          </w:tcPr>
          <w:p w14:paraId="2C41DE2E" w14:textId="77777777" w:rsidR="00054437" w:rsidRPr="000549B1" w:rsidRDefault="00000000">
            <w:pPr>
              <w:widowControl/>
              <w:spacing w:line="240" w:lineRule="atLeast"/>
              <w:jc w:val="center"/>
              <w:rPr>
                <w:kern w:val="0"/>
                <w:szCs w:val="21"/>
              </w:rPr>
            </w:pPr>
            <w:r w:rsidRPr="000549B1">
              <w:rPr>
                <w:kern w:val="0"/>
                <w:szCs w:val="21"/>
              </w:rPr>
              <w:t>沙珠玉河</w:t>
            </w:r>
          </w:p>
        </w:tc>
        <w:tc>
          <w:tcPr>
            <w:tcW w:w="4055" w:type="dxa"/>
            <w:noWrap/>
            <w:vAlign w:val="center"/>
          </w:tcPr>
          <w:p w14:paraId="75F55D6E" w14:textId="77777777" w:rsidR="00054437" w:rsidRPr="000549B1" w:rsidRDefault="00000000">
            <w:pPr>
              <w:widowControl/>
              <w:spacing w:line="240" w:lineRule="atLeast"/>
              <w:jc w:val="center"/>
              <w:rPr>
                <w:kern w:val="0"/>
                <w:szCs w:val="21"/>
              </w:rPr>
            </w:pPr>
            <w:r w:rsidRPr="000549B1">
              <w:rPr>
                <w:kern w:val="0"/>
                <w:szCs w:val="21"/>
              </w:rPr>
              <w:t>曲黑格木</w:t>
            </w:r>
          </w:p>
        </w:tc>
        <w:tc>
          <w:tcPr>
            <w:tcW w:w="1571" w:type="dxa"/>
            <w:noWrap/>
            <w:vAlign w:val="center"/>
          </w:tcPr>
          <w:p w14:paraId="610E332E" w14:textId="77777777" w:rsidR="00054437" w:rsidRPr="000549B1" w:rsidRDefault="00000000">
            <w:pPr>
              <w:widowControl/>
              <w:spacing w:line="240" w:lineRule="atLeast"/>
              <w:jc w:val="center"/>
              <w:rPr>
                <w:kern w:val="0"/>
                <w:szCs w:val="21"/>
              </w:rPr>
            </w:pPr>
            <w:r w:rsidRPr="000549B1">
              <w:rPr>
                <w:kern w:val="0"/>
                <w:szCs w:val="21"/>
              </w:rPr>
              <w:t>3.4678</w:t>
            </w:r>
          </w:p>
        </w:tc>
        <w:tc>
          <w:tcPr>
            <w:tcW w:w="1572" w:type="dxa"/>
            <w:noWrap/>
            <w:vAlign w:val="center"/>
          </w:tcPr>
          <w:p w14:paraId="78CE4D0A" w14:textId="77777777" w:rsidR="00054437" w:rsidRPr="000549B1" w:rsidRDefault="00000000">
            <w:pPr>
              <w:widowControl/>
              <w:spacing w:line="240" w:lineRule="atLeast"/>
              <w:jc w:val="center"/>
              <w:rPr>
                <w:kern w:val="0"/>
                <w:szCs w:val="21"/>
              </w:rPr>
            </w:pPr>
            <w:r w:rsidRPr="000549B1">
              <w:rPr>
                <w:kern w:val="0"/>
                <w:szCs w:val="21"/>
              </w:rPr>
              <w:t>0.7666</w:t>
            </w:r>
          </w:p>
        </w:tc>
      </w:tr>
      <w:tr w:rsidR="000549B1" w:rsidRPr="000549B1" w14:paraId="30182133" w14:textId="77777777">
        <w:trPr>
          <w:trHeight w:val="300"/>
          <w:jc w:val="center"/>
        </w:trPr>
        <w:tc>
          <w:tcPr>
            <w:tcW w:w="0" w:type="auto"/>
            <w:vMerge/>
            <w:vAlign w:val="center"/>
          </w:tcPr>
          <w:p w14:paraId="31D69ECC" w14:textId="77777777" w:rsidR="00054437" w:rsidRPr="000549B1" w:rsidRDefault="00054437">
            <w:pPr>
              <w:widowControl/>
              <w:spacing w:line="240" w:lineRule="atLeast"/>
              <w:rPr>
                <w:kern w:val="0"/>
                <w:szCs w:val="21"/>
              </w:rPr>
            </w:pPr>
          </w:p>
        </w:tc>
        <w:tc>
          <w:tcPr>
            <w:tcW w:w="4055" w:type="dxa"/>
            <w:noWrap/>
            <w:vAlign w:val="center"/>
          </w:tcPr>
          <w:p w14:paraId="1196D360" w14:textId="77777777" w:rsidR="00054437" w:rsidRPr="000549B1" w:rsidRDefault="00000000">
            <w:pPr>
              <w:widowControl/>
              <w:spacing w:line="240" w:lineRule="atLeast"/>
              <w:jc w:val="center"/>
              <w:rPr>
                <w:kern w:val="0"/>
                <w:szCs w:val="21"/>
              </w:rPr>
            </w:pPr>
            <w:r w:rsidRPr="000549B1">
              <w:rPr>
                <w:kern w:val="0"/>
                <w:szCs w:val="21"/>
              </w:rPr>
              <w:t>浪娘村桥下</w:t>
            </w:r>
          </w:p>
        </w:tc>
        <w:tc>
          <w:tcPr>
            <w:tcW w:w="1571" w:type="dxa"/>
            <w:noWrap/>
            <w:vAlign w:val="center"/>
          </w:tcPr>
          <w:p w14:paraId="6237C67D" w14:textId="77777777" w:rsidR="00054437" w:rsidRPr="000549B1" w:rsidRDefault="00000000">
            <w:pPr>
              <w:widowControl/>
              <w:spacing w:line="240" w:lineRule="atLeast"/>
              <w:jc w:val="center"/>
              <w:rPr>
                <w:kern w:val="0"/>
                <w:szCs w:val="21"/>
              </w:rPr>
            </w:pPr>
            <w:r w:rsidRPr="000549B1">
              <w:rPr>
                <w:kern w:val="0"/>
                <w:szCs w:val="21"/>
              </w:rPr>
              <w:t>3.4817</w:t>
            </w:r>
          </w:p>
        </w:tc>
        <w:tc>
          <w:tcPr>
            <w:tcW w:w="1572" w:type="dxa"/>
            <w:noWrap/>
            <w:vAlign w:val="center"/>
          </w:tcPr>
          <w:p w14:paraId="10C6A798" w14:textId="77777777" w:rsidR="00054437" w:rsidRPr="000549B1" w:rsidRDefault="00000000">
            <w:pPr>
              <w:widowControl/>
              <w:spacing w:line="240" w:lineRule="atLeast"/>
              <w:jc w:val="center"/>
              <w:rPr>
                <w:kern w:val="0"/>
                <w:szCs w:val="21"/>
              </w:rPr>
            </w:pPr>
            <w:r w:rsidRPr="000549B1">
              <w:rPr>
                <w:kern w:val="0"/>
                <w:szCs w:val="21"/>
              </w:rPr>
              <w:t>0.8056</w:t>
            </w:r>
          </w:p>
        </w:tc>
      </w:tr>
      <w:tr w:rsidR="000549B1" w:rsidRPr="000549B1" w14:paraId="7869E467" w14:textId="77777777">
        <w:trPr>
          <w:trHeight w:val="300"/>
          <w:jc w:val="center"/>
        </w:trPr>
        <w:tc>
          <w:tcPr>
            <w:tcW w:w="0" w:type="auto"/>
            <w:vMerge/>
            <w:vAlign w:val="center"/>
          </w:tcPr>
          <w:p w14:paraId="28BE7719" w14:textId="77777777" w:rsidR="00054437" w:rsidRPr="000549B1" w:rsidRDefault="00054437">
            <w:pPr>
              <w:widowControl/>
              <w:spacing w:line="240" w:lineRule="atLeast"/>
              <w:rPr>
                <w:kern w:val="0"/>
                <w:szCs w:val="21"/>
              </w:rPr>
            </w:pPr>
          </w:p>
        </w:tc>
        <w:tc>
          <w:tcPr>
            <w:tcW w:w="4055" w:type="dxa"/>
            <w:noWrap/>
            <w:vAlign w:val="center"/>
          </w:tcPr>
          <w:p w14:paraId="2DEBBE31" w14:textId="77777777" w:rsidR="00054437" w:rsidRPr="000549B1" w:rsidRDefault="00000000">
            <w:pPr>
              <w:widowControl/>
              <w:spacing w:line="240" w:lineRule="atLeast"/>
              <w:jc w:val="center"/>
              <w:rPr>
                <w:kern w:val="0"/>
                <w:szCs w:val="21"/>
              </w:rPr>
            </w:pPr>
            <w:r w:rsidRPr="000549B1">
              <w:rPr>
                <w:kern w:val="0"/>
                <w:szCs w:val="21"/>
              </w:rPr>
              <w:t>沙珠玉河下游</w:t>
            </w:r>
          </w:p>
        </w:tc>
        <w:tc>
          <w:tcPr>
            <w:tcW w:w="1571" w:type="dxa"/>
            <w:noWrap/>
            <w:vAlign w:val="center"/>
          </w:tcPr>
          <w:p w14:paraId="47EC3BE9" w14:textId="77777777" w:rsidR="00054437" w:rsidRPr="000549B1" w:rsidRDefault="00000000">
            <w:pPr>
              <w:widowControl/>
              <w:spacing w:line="240" w:lineRule="atLeast"/>
              <w:jc w:val="center"/>
              <w:rPr>
                <w:kern w:val="0"/>
                <w:szCs w:val="21"/>
              </w:rPr>
            </w:pPr>
            <w:r w:rsidRPr="000549B1">
              <w:rPr>
                <w:kern w:val="0"/>
                <w:szCs w:val="21"/>
              </w:rPr>
              <w:t>3.6587</w:t>
            </w:r>
          </w:p>
        </w:tc>
        <w:tc>
          <w:tcPr>
            <w:tcW w:w="1572" w:type="dxa"/>
            <w:noWrap/>
            <w:vAlign w:val="center"/>
          </w:tcPr>
          <w:p w14:paraId="4CC338E1" w14:textId="77777777" w:rsidR="00054437" w:rsidRPr="000549B1" w:rsidRDefault="00000000">
            <w:pPr>
              <w:widowControl/>
              <w:spacing w:line="240" w:lineRule="atLeast"/>
              <w:jc w:val="center"/>
              <w:rPr>
                <w:kern w:val="0"/>
                <w:szCs w:val="21"/>
              </w:rPr>
            </w:pPr>
            <w:r w:rsidRPr="000549B1">
              <w:rPr>
                <w:kern w:val="0"/>
                <w:szCs w:val="21"/>
              </w:rPr>
              <w:t>0.8774</w:t>
            </w:r>
          </w:p>
        </w:tc>
      </w:tr>
    </w:tbl>
    <w:p w14:paraId="116C4D5D" w14:textId="77777777" w:rsidR="00054437" w:rsidRPr="000549B1" w:rsidRDefault="00000000">
      <w:pPr>
        <w:jc w:val="center"/>
        <w:rPr>
          <w:rFonts w:eastAsia="等线"/>
          <w:b/>
          <w:bCs/>
        </w:rPr>
      </w:pPr>
      <w:r w:rsidRPr="000549B1">
        <w:rPr>
          <w:noProof/>
        </w:rPr>
        <w:drawing>
          <wp:inline distT="0" distB="0" distL="114300" distR="114300" wp14:anchorId="578B5EF7" wp14:editId="2547B9D1">
            <wp:extent cx="5270500" cy="3613150"/>
            <wp:effectExtent l="0" t="0" r="6350" b="6350"/>
            <wp:docPr id="1865469268"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3"/>
              </a:graphicData>
            </a:graphic>
          </wp:inline>
        </w:drawing>
      </w:r>
    </w:p>
    <w:p w14:paraId="02E0ABB3" w14:textId="707F54E8" w:rsidR="00054437" w:rsidRPr="000549B1" w:rsidRDefault="00000000">
      <w:pPr>
        <w:pStyle w:val="0A51"/>
        <w:ind w:firstLine="422"/>
      </w:pPr>
      <w:r w:rsidRPr="000549B1">
        <w:t>图</w:t>
      </w:r>
      <w:fldSimple w:instr=" STYLEREF 2 \s ">
        <w:r w:rsidR="00F32CCA">
          <w:rPr>
            <w:noProof/>
          </w:rPr>
          <w:t>3.6</w:t>
        </w:r>
      </w:fldSimple>
      <w:r w:rsidR="00F1314B">
        <w:noBreakHyphen/>
      </w:r>
      <w:r w:rsidR="00F1314B">
        <w:fldChar w:fldCharType="begin"/>
      </w:r>
      <w:r w:rsidR="00F1314B">
        <w:instrText xml:space="preserve"> SEQ </w:instrText>
      </w:r>
      <w:r w:rsidR="00F1314B">
        <w:instrText>图</w:instrText>
      </w:r>
      <w:r w:rsidR="00F1314B">
        <w:instrText xml:space="preserve"> \* ARABIC \s 2 </w:instrText>
      </w:r>
      <w:r w:rsidR="00F1314B">
        <w:fldChar w:fldCharType="separate"/>
      </w:r>
      <w:r w:rsidR="00F32CCA">
        <w:rPr>
          <w:noProof/>
        </w:rPr>
        <w:t>4</w:t>
      </w:r>
      <w:r w:rsidR="00F1314B">
        <w:fldChar w:fldCharType="end"/>
      </w:r>
      <w:r w:rsidRPr="000549B1">
        <w:t>浮游植物多样性及均匀度变化趋势图</w:t>
      </w:r>
    </w:p>
    <w:p w14:paraId="0027AD60" w14:textId="77777777" w:rsidR="00054437" w:rsidRPr="000549B1" w:rsidRDefault="00000000">
      <w:pPr>
        <w:pStyle w:val="3"/>
      </w:pPr>
      <w:bookmarkStart w:id="292" w:name="_Toc10316"/>
      <w:bookmarkStart w:id="293" w:name="_Toc216107026"/>
      <w:r w:rsidRPr="000549B1">
        <w:t>浮游动物</w:t>
      </w:r>
      <w:bookmarkEnd w:id="292"/>
      <w:bookmarkEnd w:id="293"/>
    </w:p>
    <w:p w14:paraId="0D32E9F6" w14:textId="77777777" w:rsidR="00054437" w:rsidRPr="000549B1" w:rsidRDefault="00000000">
      <w:pPr>
        <w:pStyle w:val="4"/>
        <w:adjustRightInd w:val="0"/>
        <w:snapToGrid w:val="0"/>
        <w:spacing w:before="0" w:after="0" w:line="360" w:lineRule="auto"/>
        <w:rPr>
          <w:rFonts w:ascii="Times New Roman" w:eastAsia="黑体" w:hAnsi="Times New Roman"/>
          <w:bCs w:val="0"/>
        </w:rPr>
      </w:pPr>
      <w:r w:rsidRPr="000549B1">
        <w:rPr>
          <w:rFonts w:ascii="Times New Roman" w:eastAsia="黑体" w:hAnsi="Times New Roman"/>
          <w:bCs w:val="0"/>
        </w:rPr>
        <w:t>浮游动物种类组成</w:t>
      </w:r>
    </w:p>
    <w:p w14:paraId="754641AC" w14:textId="77777777" w:rsidR="00054437" w:rsidRPr="000549B1" w:rsidRDefault="00000000">
      <w:pPr>
        <w:tabs>
          <w:tab w:val="left" w:pos="4500"/>
        </w:tabs>
        <w:spacing w:line="500" w:lineRule="exact"/>
        <w:ind w:firstLineChars="200" w:firstLine="480"/>
        <w:jc w:val="left"/>
        <w:rPr>
          <w:kern w:val="0"/>
          <w:sz w:val="24"/>
          <w:szCs w:val="44"/>
          <w:lang w:val="zh-CN"/>
        </w:rPr>
      </w:pPr>
      <w:r w:rsidRPr="000549B1">
        <w:rPr>
          <w:kern w:val="0"/>
          <w:sz w:val="24"/>
          <w:szCs w:val="44"/>
          <w:lang w:val="zh-CN"/>
        </w:rPr>
        <w:t>通过对各采样断面的浮游动物进行定量分析，共检出浮游动物</w:t>
      </w:r>
      <w:r w:rsidRPr="000549B1">
        <w:rPr>
          <w:kern w:val="0"/>
          <w:sz w:val="24"/>
          <w:szCs w:val="44"/>
          <w:lang w:val="zh-CN"/>
        </w:rPr>
        <w:t>4</w:t>
      </w:r>
      <w:r w:rsidRPr="000549B1">
        <w:rPr>
          <w:kern w:val="0"/>
          <w:sz w:val="24"/>
          <w:szCs w:val="44"/>
          <w:lang w:val="zh-CN"/>
        </w:rPr>
        <w:t>大类</w:t>
      </w:r>
      <w:r w:rsidRPr="000549B1">
        <w:rPr>
          <w:kern w:val="0"/>
          <w:sz w:val="24"/>
          <w:szCs w:val="44"/>
        </w:rPr>
        <w:t>9</w:t>
      </w:r>
      <w:r w:rsidRPr="000549B1">
        <w:rPr>
          <w:kern w:val="0"/>
          <w:sz w:val="24"/>
          <w:szCs w:val="44"/>
          <w:lang w:val="zh-CN"/>
        </w:rPr>
        <w:t>种属。其中原生动物、桡足类为主要优势群体，各</w:t>
      </w:r>
      <w:r w:rsidRPr="000549B1">
        <w:rPr>
          <w:kern w:val="0"/>
          <w:sz w:val="24"/>
          <w:szCs w:val="44"/>
        </w:rPr>
        <w:t>3</w:t>
      </w:r>
      <w:r w:rsidRPr="000549B1">
        <w:rPr>
          <w:kern w:val="0"/>
          <w:sz w:val="24"/>
          <w:szCs w:val="44"/>
          <w:lang w:val="zh-CN"/>
        </w:rPr>
        <w:t>种，</w:t>
      </w:r>
      <w:bookmarkStart w:id="294" w:name="_Hlk209541509"/>
      <w:r w:rsidRPr="000549B1">
        <w:rPr>
          <w:kern w:val="0"/>
          <w:sz w:val="24"/>
          <w:szCs w:val="44"/>
          <w:lang w:val="zh-CN"/>
        </w:rPr>
        <w:t>占总种类数的</w:t>
      </w:r>
      <w:r w:rsidRPr="000549B1">
        <w:rPr>
          <w:kern w:val="0"/>
          <w:sz w:val="24"/>
          <w:szCs w:val="44"/>
        </w:rPr>
        <w:t>33.33</w:t>
      </w:r>
      <w:r w:rsidRPr="000549B1">
        <w:rPr>
          <w:kern w:val="0"/>
          <w:sz w:val="24"/>
          <w:szCs w:val="44"/>
          <w:lang w:val="zh-CN"/>
        </w:rPr>
        <w:t>%</w:t>
      </w:r>
      <w:bookmarkEnd w:id="294"/>
      <w:r w:rsidRPr="000549B1">
        <w:rPr>
          <w:kern w:val="0"/>
          <w:sz w:val="24"/>
          <w:szCs w:val="44"/>
          <w:lang w:val="zh-CN"/>
        </w:rPr>
        <w:t>；轮虫类</w:t>
      </w:r>
      <w:r w:rsidRPr="000549B1">
        <w:rPr>
          <w:kern w:val="0"/>
          <w:sz w:val="24"/>
          <w:szCs w:val="44"/>
        </w:rPr>
        <w:t>2</w:t>
      </w:r>
      <w:r w:rsidRPr="000549B1">
        <w:rPr>
          <w:kern w:val="0"/>
          <w:sz w:val="24"/>
          <w:szCs w:val="44"/>
          <w:lang w:val="zh-CN"/>
        </w:rPr>
        <w:t>种，占总物种数的</w:t>
      </w:r>
      <w:r w:rsidRPr="000549B1">
        <w:rPr>
          <w:kern w:val="0"/>
          <w:sz w:val="24"/>
          <w:szCs w:val="44"/>
        </w:rPr>
        <w:t>22.22</w:t>
      </w:r>
      <w:r w:rsidRPr="000549B1">
        <w:rPr>
          <w:kern w:val="0"/>
          <w:sz w:val="24"/>
          <w:szCs w:val="44"/>
          <w:lang w:val="zh-CN"/>
        </w:rPr>
        <w:t>%</w:t>
      </w:r>
      <w:r w:rsidRPr="000549B1">
        <w:rPr>
          <w:kern w:val="0"/>
          <w:sz w:val="24"/>
          <w:szCs w:val="44"/>
          <w:lang w:val="zh-CN"/>
        </w:rPr>
        <w:t>；枝角类</w:t>
      </w:r>
      <w:r w:rsidRPr="000549B1">
        <w:rPr>
          <w:kern w:val="0"/>
          <w:sz w:val="24"/>
          <w:szCs w:val="44"/>
          <w:lang w:val="zh-CN"/>
        </w:rPr>
        <w:t>1</w:t>
      </w:r>
      <w:r w:rsidRPr="000549B1">
        <w:rPr>
          <w:kern w:val="0"/>
          <w:sz w:val="24"/>
          <w:szCs w:val="44"/>
          <w:lang w:val="zh-CN"/>
        </w:rPr>
        <w:t>种，占总种类数的</w:t>
      </w:r>
      <w:r w:rsidRPr="000549B1">
        <w:rPr>
          <w:kern w:val="0"/>
          <w:sz w:val="24"/>
          <w:szCs w:val="44"/>
        </w:rPr>
        <w:t>11.11</w:t>
      </w:r>
      <w:r w:rsidRPr="000549B1">
        <w:rPr>
          <w:kern w:val="0"/>
          <w:sz w:val="24"/>
          <w:szCs w:val="44"/>
          <w:lang w:val="zh-CN"/>
        </w:rPr>
        <w:t>%</w:t>
      </w:r>
      <w:r w:rsidRPr="000549B1">
        <w:rPr>
          <w:kern w:val="0"/>
          <w:sz w:val="24"/>
          <w:szCs w:val="44"/>
          <w:lang w:val="zh-CN"/>
        </w:rPr>
        <w:t>。</w:t>
      </w:r>
    </w:p>
    <w:p w14:paraId="0C07BFA0" w14:textId="77777777" w:rsidR="00054437" w:rsidRPr="000549B1" w:rsidRDefault="00000000">
      <w:pPr>
        <w:topLinePunct/>
        <w:adjustRightInd w:val="0"/>
        <w:snapToGrid w:val="0"/>
        <w:spacing w:line="360" w:lineRule="auto"/>
        <w:jc w:val="center"/>
        <w:rPr>
          <w:b/>
          <w:bCs/>
          <w:kern w:val="0"/>
          <w:sz w:val="24"/>
          <w:shd w:val="clear" w:color="auto" w:fill="FFFFFF"/>
          <w:lang w:val="zh-CN" w:bidi="en-US"/>
        </w:rPr>
      </w:pPr>
      <w:r w:rsidRPr="000549B1">
        <w:rPr>
          <w:noProof/>
        </w:rPr>
        <w:drawing>
          <wp:inline distT="0" distB="0" distL="114300" distR="114300" wp14:anchorId="25D82A1A" wp14:editId="4BB04797">
            <wp:extent cx="4464050" cy="2349500"/>
            <wp:effectExtent l="0" t="0" r="12700" b="12700"/>
            <wp:docPr id="675984006"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4"/>
              </a:graphicData>
            </a:graphic>
          </wp:inline>
        </w:drawing>
      </w:r>
    </w:p>
    <w:p w14:paraId="204F1027" w14:textId="1BFA7AA9" w:rsidR="00054437" w:rsidRPr="000549B1" w:rsidRDefault="00000000">
      <w:pPr>
        <w:pStyle w:val="0A51"/>
        <w:ind w:firstLine="422"/>
      </w:pPr>
      <w:r w:rsidRPr="000549B1">
        <w:t>图</w:t>
      </w:r>
      <w:fldSimple w:instr=" STYLEREF 2 \s ">
        <w:r w:rsidR="00F32CCA">
          <w:rPr>
            <w:noProof/>
          </w:rPr>
          <w:t>3.6</w:t>
        </w:r>
      </w:fldSimple>
      <w:r w:rsidR="00F1314B">
        <w:noBreakHyphen/>
      </w:r>
      <w:r w:rsidR="00F1314B">
        <w:fldChar w:fldCharType="begin"/>
      </w:r>
      <w:r w:rsidR="00F1314B">
        <w:instrText xml:space="preserve"> SEQ </w:instrText>
      </w:r>
      <w:r w:rsidR="00F1314B">
        <w:instrText>图</w:instrText>
      </w:r>
      <w:r w:rsidR="00F1314B">
        <w:instrText xml:space="preserve"> \* ARABIC \s 2 </w:instrText>
      </w:r>
      <w:r w:rsidR="00F1314B">
        <w:fldChar w:fldCharType="separate"/>
      </w:r>
      <w:r w:rsidR="00F32CCA">
        <w:rPr>
          <w:noProof/>
        </w:rPr>
        <w:t>5</w:t>
      </w:r>
      <w:r w:rsidR="00F1314B">
        <w:fldChar w:fldCharType="end"/>
      </w:r>
      <w:r w:rsidRPr="000549B1">
        <w:t>浮游动物种类组成</w:t>
      </w:r>
    </w:p>
    <w:p w14:paraId="142B7665" w14:textId="77777777" w:rsidR="00054437" w:rsidRPr="000549B1" w:rsidRDefault="00000000">
      <w:pPr>
        <w:pStyle w:val="4"/>
        <w:adjustRightInd w:val="0"/>
        <w:snapToGrid w:val="0"/>
        <w:spacing w:before="0" w:after="0" w:line="360" w:lineRule="auto"/>
        <w:rPr>
          <w:rFonts w:ascii="Times New Roman" w:eastAsia="黑体" w:hAnsi="Times New Roman"/>
          <w:bCs w:val="0"/>
          <w:lang w:val="zh-CN"/>
        </w:rPr>
      </w:pPr>
      <w:r w:rsidRPr="000549B1">
        <w:rPr>
          <w:rFonts w:ascii="Times New Roman" w:eastAsia="黑体" w:hAnsi="Times New Roman"/>
          <w:bCs w:val="0"/>
          <w:lang w:val="zh-CN"/>
        </w:rPr>
        <w:t>浮游动物定量结果</w:t>
      </w:r>
    </w:p>
    <w:p w14:paraId="6269CC71" w14:textId="77777777" w:rsidR="00054437" w:rsidRPr="000549B1" w:rsidRDefault="00000000">
      <w:pPr>
        <w:adjustRightInd w:val="0"/>
        <w:snapToGrid w:val="0"/>
        <w:spacing w:line="500" w:lineRule="exact"/>
        <w:ind w:firstLineChars="200" w:firstLine="480"/>
        <w:rPr>
          <w:kern w:val="0"/>
          <w:sz w:val="24"/>
          <w:shd w:val="clear" w:color="auto" w:fill="FFFFFF"/>
          <w:lang w:val="zh-CN" w:bidi="en-US"/>
        </w:rPr>
      </w:pPr>
      <w:r w:rsidRPr="000549B1">
        <w:rPr>
          <w:kern w:val="0"/>
          <w:sz w:val="24"/>
          <w:shd w:val="clear" w:color="auto" w:fill="FFFFFF"/>
          <w:lang w:val="zh-CN" w:bidi="en-US"/>
        </w:rPr>
        <w:t>通过对浮游动物进行定量分析，此次调查到的浮游动物的密度区间为</w:t>
      </w:r>
      <w:r w:rsidRPr="000549B1">
        <w:rPr>
          <w:kern w:val="0"/>
          <w:sz w:val="24"/>
          <w:shd w:val="clear" w:color="auto" w:fill="FFFFFF"/>
          <w:lang w:val="zh-CN" w:bidi="en-US"/>
        </w:rPr>
        <w:t>5.00~230.00ind.L</w:t>
      </w:r>
      <w:r w:rsidRPr="000549B1">
        <w:rPr>
          <w:kern w:val="0"/>
          <w:sz w:val="24"/>
          <w:shd w:val="clear" w:color="auto" w:fill="FFFFFF"/>
          <w:vertAlign w:val="superscript"/>
          <w:lang w:val="zh-CN" w:bidi="en-US"/>
        </w:rPr>
        <w:t>-1</w:t>
      </w:r>
      <w:r w:rsidRPr="000549B1">
        <w:rPr>
          <w:kern w:val="0"/>
          <w:sz w:val="24"/>
          <w:shd w:val="clear" w:color="auto" w:fill="FFFFFF"/>
          <w:lang w:val="zh-CN" w:bidi="en-US"/>
        </w:rPr>
        <w:t>，生物量区间为</w:t>
      </w:r>
      <w:r w:rsidRPr="000549B1">
        <w:rPr>
          <w:kern w:val="0"/>
          <w:sz w:val="24"/>
          <w:shd w:val="clear" w:color="auto" w:fill="FFFFFF"/>
          <w:lang w:val="zh-CN" w:bidi="en-US"/>
        </w:rPr>
        <w:t>0.0003~0.0885mg.L</w:t>
      </w:r>
      <w:r w:rsidRPr="000549B1">
        <w:rPr>
          <w:kern w:val="0"/>
          <w:sz w:val="24"/>
          <w:shd w:val="clear" w:color="auto" w:fill="FFFFFF"/>
          <w:vertAlign w:val="superscript"/>
          <w:lang w:val="zh-CN" w:bidi="en-US"/>
        </w:rPr>
        <w:t>-1</w:t>
      </w:r>
      <w:r w:rsidRPr="000549B1">
        <w:rPr>
          <w:kern w:val="0"/>
          <w:sz w:val="24"/>
          <w:shd w:val="clear" w:color="auto" w:fill="FFFFFF"/>
          <w:lang w:val="zh-CN" w:bidi="en-US"/>
        </w:rPr>
        <w:t>，平均密度为</w:t>
      </w:r>
      <w:r w:rsidRPr="000549B1">
        <w:rPr>
          <w:kern w:val="0"/>
          <w:sz w:val="24"/>
          <w:shd w:val="clear" w:color="auto" w:fill="FFFFFF"/>
          <w:lang w:bidi="en-US"/>
        </w:rPr>
        <w:t>52.5</w:t>
      </w:r>
      <w:r w:rsidRPr="000549B1">
        <w:rPr>
          <w:kern w:val="0"/>
          <w:sz w:val="24"/>
          <w:shd w:val="clear" w:color="auto" w:fill="FFFFFF"/>
          <w:lang w:val="zh-CN" w:bidi="en-US"/>
        </w:rPr>
        <w:t>ind..L</w:t>
      </w:r>
      <w:r w:rsidRPr="000549B1">
        <w:rPr>
          <w:kern w:val="0"/>
          <w:sz w:val="24"/>
          <w:shd w:val="clear" w:color="auto" w:fill="FFFFFF"/>
          <w:vertAlign w:val="superscript"/>
          <w:lang w:val="zh-CN" w:bidi="en-US"/>
        </w:rPr>
        <w:t>-1</w:t>
      </w:r>
      <w:r w:rsidRPr="000549B1">
        <w:rPr>
          <w:kern w:val="0"/>
          <w:sz w:val="24"/>
          <w:shd w:val="clear" w:color="auto" w:fill="FFFFFF"/>
          <w:lang w:val="zh-CN" w:bidi="en-US"/>
        </w:rPr>
        <w:t>，平均生物量为</w:t>
      </w:r>
      <w:r w:rsidRPr="000549B1">
        <w:rPr>
          <w:kern w:val="0"/>
          <w:sz w:val="24"/>
          <w:shd w:val="clear" w:color="auto" w:fill="FFFFFF"/>
          <w:lang w:val="zh-CN" w:bidi="en-US"/>
        </w:rPr>
        <w:t>0.0</w:t>
      </w:r>
      <w:r w:rsidRPr="000549B1">
        <w:rPr>
          <w:kern w:val="0"/>
          <w:sz w:val="24"/>
          <w:shd w:val="clear" w:color="auto" w:fill="FFFFFF"/>
          <w:lang w:bidi="en-US"/>
        </w:rPr>
        <w:t>172</w:t>
      </w:r>
      <w:r w:rsidRPr="000549B1">
        <w:rPr>
          <w:kern w:val="0"/>
          <w:sz w:val="24"/>
          <w:shd w:val="clear" w:color="auto" w:fill="FFFFFF"/>
          <w:lang w:val="zh-CN" w:bidi="en-US"/>
        </w:rPr>
        <w:t>mg.L</w:t>
      </w:r>
      <w:r w:rsidRPr="000549B1">
        <w:rPr>
          <w:kern w:val="0"/>
          <w:sz w:val="24"/>
          <w:shd w:val="clear" w:color="auto" w:fill="FFFFFF"/>
          <w:vertAlign w:val="superscript"/>
          <w:lang w:val="zh-CN" w:bidi="en-US"/>
        </w:rPr>
        <w:t>-1</w:t>
      </w:r>
      <w:r w:rsidRPr="000549B1">
        <w:rPr>
          <w:kern w:val="0"/>
          <w:sz w:val="24"/>
          <w:shd w:val="clear" w:color="auto" w:fill="FFFFFF"/>
          <w:lang w:val="zh-CN" w:bidi="en-US"/>
        </w:rPr>
        <w:t>。调查结果显示，切吉水库断面浮游动物密度和生物量最大，沙珠玉河下游断面浮游动物密度和生物量最小。</w:t>
      </w:r>
    </w:p>
    <w:p w14:paraId="0FD4FD65" w14:textId="6C25A645" w:rsidR="00054437" w:rsidRPr="000549B1" w:rsidRDefault="00000000">
      <w:pPr>
        <w:pStyle w:val="0A51"/>
        <w:ind w:firstLine="422"/>
      </w:pPr>
      <w:r w:rsidRPr="000549B1">
        <w:t>表</w:t>
      </w:r>
      <w:fldSimple w:instr=" STYLEREF 2 \s ">
        <w:r w:rsidR="00372953">
          <w:rPr>
            <w:noProof/>
          </w:rPr>
          <w:t>3.6</w:t>
        </w:r>
      </w:fldSimple>
      <w:r w:rsidR="00372953">
        <w:noBreakHyphen/>
      </w:r>
      <w:r w:rsidR="00372953">
        <w:fldChar w:fldCharType="begin"/>
      </w:r>
      <w:r w:rsidR="00372953">
        <w:instrText xml:space="preserve"> SEQ </w:instrText>
      </w:r>
      <w:r w:rsidR="00372953">
        <w:instrText>表</w:instrText>
      </w:r>
      <w:r w:rsidR="00372953">
        <w:instrText xml:space="preserve"> \* ARABIC \s 2 </w:instrText>
      </w:r>
      <w:r w:rsidR="00372953">
        <w:fldChar w:fldCharType="separate"/>
      </w:r>
      <w:r w:rsidR="00372953">
        <w:rPr>
          <w:noProof/>
        </w:rPr>
        <w:t>6</w:t>
      </w:r>
      <w:r w:rsidR="00372953">
        <w:fldChar w:fldCharType="end"/>
      </w:r>
      <w:r w:rsidRPr="000549B1">
        <w:t>浮游动物种类组成名录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5"/>
        <w:gridCol w:w="1534"/>
        <w:gridCol w:w="1828"/>
        <w:gridCol w:w="768"/>
        <w:gridCol w:w="658"/>
        <w:gridCol w:w="714"/>
        <w:gridCol w:w="714"/>
        <w:gridCol w:w="714"/>
        <w:gridCol w:w="714"/>
      </w:tblGrid>
      <w:tr w:rsidR="000549B1" w:rsidRPr="000549B1" w14:paraId="6630495C" w14:textId="77777777">
        <w:trPr>
          <w:trHeight w:val="300"/>
          <w:jc w:val="center"/>
        </w:trPr>
        <w:tc>
          <w:tcPr>
            <w:tcW w:w="875" w:type="dxa"/>
            <w:noWrap/>
            <w:vAlign w:val="center"/>
          </w:tcPr>
          <w:p w14:paraId="7909C635" w14:textId="77777777" w:rsidR="00054437" w:rsidRPr="000549B1" w:rsidRDefault="00000000">
            <w:pPr>
              <w:widowControl/>
              <w:spacing w:line="240" w:lineRule="atLeast"/>
              <w:jc w:val="center"/>
              <w:rPr>
                <w:b/>
                <w:bCs/>
                <w:kern w:val="0"/>
                <w:szCs w:val="21"/>
              </w:rPr>
            </w:pPr>
            <w:r w:rsidRPr="000549B1">
              <w:rPr>
                <w:b/>
                <w:bCs/>
                <w:kern w:val="0"/>
                <w:szCs w:val="21"/>
              </w:rPr>
              <w:t>门类</w:t>
            </w:r>
          </w:p>
        </w:tc>
        <w:tc>
          <w:tcPr>
            <w:tcW w:w="1534" w:type="dxa"/>
            <w:noWrap/>
            <w:vAlign w:val="center"/>
          </w:tcPr>
          <w:p w14:paraId="0705DA24" w14:textId="77777777" w:rsidR="00054437" w:rsidRPr="000549B1" w:rsidRDefault="00000000">
            <w:pPr>
              <w:widowControl/>
              <w:spacing w:line="240" w:lineRule="atLeast"/>
              <w:jc w:val="center"/>
              <w:rPr>
                <w:b/>
                <w:bCs/>
                <w:kern w:val="0"/>
                <w:szCs w:val="21"/>
              </w:rPr>
            </w:pPr>
            <w:r w:rsidRPr="000549B1">
              <w:rPr>
                <w:b/>
                <w:bCs/>
                <w:kern w:val="0"/>
                <w:szCs w:val="21"/>
              </w:rPr>
              <w:t>种属</w:t>
            </w:r>
          </w:p>
        </w:tc>
        <w:tc>
          <w:tcPr>
            <w:tcW w:w="1828" w:type="dxa"/>
            <w:noWrap/>
            <w:vAlign w:val="center"/>
          </w:tcPr>
          <w:p w14:paraId="068E465D" w14:textId="77777777" w:rsidR="00054437" w:rsidRPr="000549B1" w:rsidRDefault="00000000">
            <w:pPr>
              <w:widowControl/>
              <w:spacing w:line="240" w:lineRule="atLeast"/>
              <w:jc w:val="center"/>
              <w:rPr>
                <w:b/>
                <w:bCs/>
                <w:kern w:val="0"/>
                <w:szCs w:val="21"/>
              </w:rPr>
            </w:pPr>
            <w:r w:rsidRPr="000549B1">
              <w:rPr>
                <w:b/>
                <w:bCs/>
                <w:kern w:val="0"/>
                <w:szCs w:val="21"/>
              </w:rPr>
              <w:t>拉丁文名</w:t>
            </w:r>
          </w:p>
        </w:tc>
        <w:tc>
          <w:tcPr>
            <w:tcW w:w="768" w:type="dxa"/>
            <w:noWrap/>
            <w:vAlign w:val="center"/>
          </w:tcPr>
          <w:p w14:paraId="1B2E0281" w14:textId="77777777" w:rsidR="00054437" w:rsidRPr="000549B1" w:rsidRDefault="00000000">
            <w:pPr>
              <w:widowControl/>
              <w:spacing w:line="240" w:lineRule="atLeast"/>
              <w:jc w:val="center"/>
              <w:rPr>
                <w:b/>
                <w:bCs/>
                <w:kern w:val="0"/>
                <w:szCs w:val="21"/>
              </w:rPr>
            </w:pPr>
            <w:r w:rsidRPr="000549B1">
              <w:rPr>
                <w:b/>
                <w:bCs/>
                <w:kern w:val="0"/>
                <w:szCs w:val="21"/>
              </w:rPr>
              <w:t>切吉水库上游</w:t>
            </w:r>
          </w:p>
        </w:tc>
        <w:tc>
          <w:tcPr>
            <w:tcW w:w="658" w:type="dxa"/>
            <w:noWrap/>
            <w:vAlign w:val="center"/>
          </w:tcPr>
          <w:p w14:paraId="4F22C27D" w14:textId="77777777" w:rsidR="00054437" w:rsidRPr="000549B1" w:rsidRDefault="00000000">
            <w:pPr>
              <w:widowControl/>
              <w:spacing w:line="240" w:lineRule="atLeast"/>
              <w:jc w:val="center"/>
              <w:rPr>
                <w:b/>
                <w:bCs/>
                <w:kern w:val="0"/>
                <w:szCs w:val="21"/>
              </w:rPr>
            </w:pPr>
            <w:r w:rsidRPr="000549B1">
              <w:rPr>
                <w:b/>
                <w:bCs/>
                <w:kern w:val="0"/>
                <w:szCs w:val="21"/>
              </w:rPr>
              <w:t>切吉水库</w:t>
            </w:r>
          </w:p>
        </w:tc>
        <w:tc>
          <w:tcPr>
            <w:tcW w:w="714" w:type="dxa"/>
            <w:noWrap/>
            <w:vAlign w:val="center"/>
          </w:tcPr>
          <w:p w14:paraId="038C1506" w14:textId="77777777" w:rsidR="00054437" w:rsidRPr="000549B1" w:rsidRDefault="00000000">
            <w:pPr>
              <w:widowControl/>
              <w:spacing w:line="240" w:lineRule="atLeast"/>
              <w:jc w:val="center"/>
              <w:rPr>
                <w:b/>
                <w:bCs/>
                <w:kern w:val="0"/>
                <w:szCs w:val="21"/>
              </w:rPr>
            </w:pPr>
            <w:r w:rsidRPr="000549B1">
              <w:rPr>
                <w:b/>
                <w:bCs/>
                <w:kern w:val="0"/>
                <w:szCs w:val="21"/>
              </w:rPr>
              <w:t>切吉河下游</w:t>
            </w:r>
          </w:p>
        </w:tc>
        <w:tc>
          <w:tcPr>
            <w:tcW w:w="714" w:type="dxa"/>
            <w:noWrap/>
            <w:vAlign w:val="center"/>
          </w:tcPr>
          <w:p w14:paraId="300F31F7" w14:textId="77777777" w:rsidR="00054437" w:rsidRPr="000549B1" w:rsidRDefault="00000000">
            <w:pPr>
              <w:widowControl/>
              <w:spacing w:line="240" w:lineRule="atLeast"/>
              <w:jc w:val="center"/>
              <w:rPr>
                <w:b/>
                <w:bCs/>
                <w:kern w:val="0"/>
                <w:szCs w:val="21"/>
              </w:rPr>
            </w:pPr>
            <w:r w:rsidRPr="000549B1">
              <w:rPr>
                <w:b/>
                <w:bCs/>
                <w:kern w:val="0"/>
                <w:szCs w:val="21"/>
              </w:rPr>
              <w:t>曲黑格木</w:t>
            </w:r>
          </w:p>
        </w:tc>
        <w:tc>
          <w:tcPr>
            <w:tcW w:w="714" w:type="dxa"/>
            <w:noWrap/>
            <w:vAlign w:val="center"/>
          </w:tcPr>
          <w:p w14:paraId="51FC9FB4" w14:textId="77777777" w:rsidR="00054437" w:rsidRPr="000549B1" w:rsidRDefault="00000000">
            <w:pPr>
              <w:widowControl/>
              <w:spacing w:line="240" w:lineRule="atLeast"/>
              <w:jc w:val="center"/>
              <w:rPr>
                <w:b/>
                <w:bCs/>
                <w:kern w:val="0"/>
                <w:szCs w:val="21"/>
              </w:rPr>
            </w:pPr>
            <w:r w:rsidRPr="000549B1">
              <w:rPr>
                <w:b/>
                <w:bCs/>
                <w:kern w:val="0"/>
                <w:szCs w:val="21"/>
              </w:rPr>
              <w:t>浪娘村桥下</w:t>
            </w:r>
          </w:p>
        </w:tc>
        <w:tc>
          <w:tcPr>
            <w:tcW w:w="714" w:type="dxa"/>
            <w:noWrap/>
            <w:vAlign w:val="center"/>
          </w:tcPr>
          <w:p w14:paraId="6387A776" w14:textId="77777777" w:rsidR="00054437" w:rsidRPr="000549B1" w:rsidRDefault="00000000">
            <w:pPr>
              <w:widowControl/>
              <w:spacing w:line="240" w:lineRule="atLeast"/>
              <w:jc w:val="center"/>
              <w:rPr>
                <w:b/>
                <w:bCs/>
                <w:kern w:val="0"/>
                <w:szCs w:val="21"/>
              </w:rPr>
            </w:pPr>
            <w:r w:rsidRPr="000549B1">
              <w:rPr>
                <w:b/>
                <w:bCs/>
                <w:kern w:val="0"/>
                <w:szCs w:val="21"/>
              </w:rPr>
              <w:t>沙珠玉河下游</w:t>
            </w:r>
          </w:p>
        </w:tc>
      </w:tr>
      <w:tr w:rsidR="000549B1" w:rsidRPr="000549B1" w14:paraId="3D08785A" w14:textId="77777777">
        <w:trPr>
          <w:trHeight w:val="300"/>
          <w:jc w:val="center"/>
        </w:trPr>
        <w:tc>
          <w:tcPr>
            <w:tcW w:w="875" w:type="dxa"/>
            <w:vMerge w:val="restart"/>
            <w:noWrap/>
            <w:vAlign w:val="center"/>
          </w:tcPr>
          <w:p w14:paraId="657B330C" w14:textId="77777777" w:rsidR="00054437" w:rsidRPr="000549B1" w:rsidRDefault="00000000">
            <w:pPr>
              <w:widowControl/>
              <w:spacing w:line="240" w:lineRule="atLeast"/>
              <w:jc w:val="center"/>
              <w:rPr>
                <w:kern w:val="0"/>
                <w:szCs w:val="21"/>
              </w:rPr>
            </w:pPr>
            <w:r w:rsidRPr="000549B1">
              <w:rPr>
                <w:kern w:val="0"/>
                <w:szCs w:val="21"/>
              </w:rPr>
              <w:t>原生</w:t>
            </w:r>
          </w:p>
          <w:p w14:paraId="42625164" w14:textId="77777777" w:rsidR="00054437" w:rsidRPr="000549B1" w:rsidRDefault="00000000">
            <w:pPr>
              <w:widowControl/>
              <w:spacing w:line="240" w:lineRule="atLeast"/>
              <w:jc w:val="center"/>
              <w:rPr>
                <w:kern w:val="0"/>
                <w:szCs w:val="21"/>
              </w:rPr>
            </w:pPr>
            <w:r w:rsidRPr="000549B1">
              <w:rPr>
                <w:kern w:val="0"/>
                <w:szCs w:val="21"/>
              </w:rPr>
              <w:t>动物</w:t>
            </w:r>
          </w:p>
        </w:tc>
        <w:tc>
          <w:tcPr>
            <w:tcW w:w="1534" w:type="dxa"/>
            <w:noWrap/>
            <w:vAlign w:val="center"/>
          </w:tcPr>
          <w:p w14:paraId="50D930BC" w14:textId="77777777" w:rsidR="00054437" w:rsidRPr="000549B1" w:rsidRDefault="00000000">
            <w:pPr>
              <w:widowControl/>
              <w:spacing w:line="240" w:lineRule="atLeast"/>
              <w:jc w:val="center"/>
              <w:rPr>
                <w:kern w:val="0"/>
                <w:szCs w:val="21"/>
              </w:rPr>
            </w:pPr>
            <w:r w:rsidRPr="000549B1">
              <w:rPr>
                <w:kern w:val="0"/>
                <w:szCs w:val="21"/>
              </w:rPr>
              <w:t>透明裸足虫</w:t>
            </w:r>
          </w:p>
        </w:tc>
        <w:tc>
          <w:tcPr>
            <w:tcW w:w="1828" w:type="dxa"/>
            <w:noWrap/>
            <w:vAlign w:val="center"/>
          </w:tcPr>
          <w:p w14:paraId="372F7A1C" w14:textId="77777777" w:rsidR="00054437" w:rsidRPr="000549B1" w:rsidRDefault="00000000">
            <w:pPr>
              <w:widowControl/>
              <w:spacing w:line="240" w:lineRule="atLeast"/>
              <w:jc w:val="center"/>
              <w:rPr>
                <w:i/>
                <w:iCs/>
                <w:kern w:val="0"/>
                <w:szCs w:val="21"/>
              </w:rPr>
            </w:pPr>
            <w:r w:rsidRPr="000549B1">
              <w:rPr>
                <w:i/>
                <w:iCs/>
                <w:kern w:val="0"/>
                <w:szCs w:val="21"/>
              </w:rPr>
              <w:t>Cochliopodiumbilimbosum</w:t>
            </w:r>
          </w:p>
        </w:tc>
        <w:tc>
          <w:tcPr>
            <w:tcW w:w="768" w:type="dxa"/>
            <w:noWrap/>
            <w:vAlign w:val="center"/>
          </w:tcPr>
          <w:p w14:paraId="336C4789" w14:textId="77777777" w:rsidR="00054437" w:rsidRPr="000549B1" w:rsidRDefault="00054437">
            <w:pPr>
              <w:widowControl/>
              <w:spacing w:line="240" w:lineRule="atLeast"/>
              <w:jc w:val="center"/>
              <w:rPr>
                <w:kern w:val="0"/>
                <w:szCs w:val="21"/>
              </w:rPr>
            </w:pPr>
          </w:p>
        </w:tc>
        <w:tc>
          <w:tcPr>
            <w:tcW w:w="658" w:type="dxa"/>
            <w:noWrap/>
            <w:vAlign w:val="center"/>
          </w:tcPr>
          <w:p w14:paraId="5C01118F" w14:textId="77777777" w:rsidR="00054437" w:rsidRPr="000549B1" w:rsidRDefault="00000000">
            <w:pPr>
              <w:widowControl/>
              <w:spacing w:line="240" w:lineRule="atLeast"/>
              <w:jc w:val="center"/>
              <w:rPr>
                <w:kern w:val="0"/>
                <w:szCs w:val="21"/>
              </w:rPr>
            </w:pPr>
            <w:r w:rsidRPr="000549B1">
              <w:rPr>
                <w:kern w:val="0"/>
                <w:szCs w:val="21"/>
              </w:rPr>
              <w:t>+</w:t>
            </w:r>
          </w:p>
        </w:tc>
        <w:tc>
          <w:tcPr>
            <w:tcW w:w="714" w:type="dxa"/>
            <w:noWrap/>
            <w:vAlign w:val="center"/>
          </w:tcPr>
          <w:p w14:paraId="300B7D08" w14:textId="77777777" w:rsidR="00054437" w:rsidRPr="000549B1" w:rsidRDefault="00054437">
            <w:pPr>
              <w:widowControl/>
              <w:spacing w:line="240" w:lineRule="atLeast"/>
              <w:jc w:val="center"/>
              <w:rPr>
                <w:kern w:val="0"/>
                <w:szCs w:val="21"/>
              </w:rPr>
            </w:pPr>
          </w:p>
        </w:tc>
        <w:tc>
          <w:tcPr>
            <w:tcW w:w="714" w:type="dxa"/>
            <w:noWrap/>
            <w:vAlign w:val="center"/>
          </w:tcPr>
          <w:p w14:paraId="43C86CD4" w14:textId="77777777" w:rsidR="00054437" w:rsidRPr="000549B1" w:rsidRDefault="00054437">
            <w:pPr>
              <w:widowControl/>
              <w:spacing w:line="240" w:lineRule="atLeast"/>
              <w:jc w:val="center"/>
              <w:rPr>
                <w:kern w:val="0"/>
                <w:szCs w:val="21"/>
              </w:rPr>
            </w:pPr>
          </w:p>
        </w:tc>
        <w:tc>
          <w:tcPr>
            <w:tcW w:w="714" w:type="dxa"/>
            <w:noWrap/>
            <w:vAlign w:val="center"/>
          </w:tcPr>
          <w:p w14:paraId="7B03E172" w14:textId="77777777" w:rsidR="00054437" w:rsidRPr="000549B1" w:rsidRDefault="00054437">
            <w:pPr>
              <w:widowControl/>
              <w:spacing w:line="240" w:lineRule="atLeast"/>
              <w:jc w:val="center"/>
              <w:rPr>
                <w:kern w:val="0"/>
                <w:szCs w:val="21"/>
              </w:rPr>
            </w:pPr>
          </w:p>
        </w:tc>
        <w:tc>
          <w:tcPr>
            <w:tcW w:w="714" w:type="dxa"/>
            <w:noWrap/>
            <w:vAlign w:val="center"/>
          </w:tcPr>
          <w:p w14:paraId="5EECC9D9" w14:textId="77777777" w:rsidR="00054437" w:rsidRPr="000549B1" w:rsidRDefault="00000000">
            <w:pPr>
              <w:widowControl/>
              <w:spacing w:line="240" w:lineRule="atLeast"/>
              <w:jc w:val="center"/>
              <w:rPr>
                <w:kern w:val="0"/>
                <w:szCs w:val="21"/>
              </w:rPr>
            </w:pPr>
            <w:r w:rsidRPr="000549B1">
              <w:rPr>
                <w:kern w:val="0"/>
                <w:szCs w:val="21"/>
              </w:rPr>
              <w:t>+</w:t>
            </w:r>
          </w:p>
        </w:tc>
      </w:tr>
      <w:tr w:rsidR="000549B1" w:rsidRPr="000549B1" w14:paraId="1788193E" w14:textId="77777777">
        <w:trPr>
          <w:trHeight w:val="300"/>
          <w:jc w:val="center"/>
        </w:trPr>
        <w:tc>
          <w:tcPr>
            <w:tcW w:w="875" w:type="dxa"/>
            <w:vMerge/>
            <w:vAlign w:val="center"/>
          </w:tcPr>
          <w:p w14:paraId="08FDEB77" w14:textId="77777777" w:rsidR="00054437" w:rsidRPr="000549B1" w:rsidRDefault="00054437">
            <w:pPr>
              <w:widowControl/>
              <w:spacing w:line="240" w:lineRule="atLeast"/>
              <w:jc w:val="center"/>
              <w:rPr>
                <w:kern w:val="0"/>
                <w:szCs w:val="21"/>
              </w:rPr>
            </w:pPr>
          </w:p>
        </w:tc>
        <w:tc>
          <w:tcPr>
            <w:tcW w:w="1534" w:type="dxa"/>
            <w:noWrap/>
            <w:vAlign w:val="center"/>
          </w:tcPr>
          <w:p w14:paraId="103EF4BF" w14:textId="77777777" w:rsidR="00054437" w:rsidRPr="000549B1" w:rsidRDefault="00000000">
            <w:pPr>
              <w:widowControl/>
              <w:spacing w:line="240" w:lineRule="atLeast"/>
              <w:jc w:val="center"/>
              <w:rPr>
                <w:kern w:val="0"/>
                <w:szCs w:val="21"/>
              </w:rPr>
            </w:pPr>
            <w:r w:rsidRPr="000549B1">
              <w:rPr>
                <w:kern w:val="0"/>
                <w:szCs w:val="21"/>
              </w:rPr>
              <w:t>褐砂壳虫</w:t>
            </w:r>
          </w:p>
        </w:tc>
        <w:tc>
          <w:tcPr>
            <w:tcW w:w="1828" w:type="dxa"/>
            <w:noWrap/>
            <w:vAlign w:val="center"/>
          </w:tcPr>
          <w:p w14:paraId="5A4005EC" w14:textId="77777777" w:rsidR="00054437" w:rsidRPr="000549B1" w:rsidRDefault="00000000">
            <w:pPr>
              <w:widowControl/>
              <w:spacing w:line="240" w:lineRule="atLeast"/>
              <w:jc w:val="center"/>
              <w:rPr>
                <w:i/>
                <w:iCs/>
                <w:kern w:val="0"/>
                <w:szCs w:val="21"/>
              </w:rPr>
            </w:pPr>
            <w:r w:rsidRPr="000549B1">
              <w:rPr>
                <w:i/>
                <w:iCs/>
                <w:kern w:val="0"/>
                <w:szCs w:val="21"/>
              </w:rPr>
              <w:t>Difflugiaavellana</w:t>
            </w:r>
          </w:p>
        </w:tc>
        <w:tc>
          <w:tcPr>
            <w:tcW w:w="768" w:type="dxa"/>
            <w:noWrap/>
            <w:vAlign w:val="center"/>
          </w:tcPr>
          <w:p w14:paraId="653013F6" w14:textId="77777777" w:rsidR="00054437" w:rsidRPr="000549B1" w:rsidRDefault="00054437">
            <w:pPr>
              <w:widowControl/>
              <w:spacing w:line="240" w:lineRule="atLeast"/>
              <w:jc w:val="center"/>
              <w:rPr>
                <w:kern w:val="0"/>
                <w:szCs w:val="21"/>
              </w:rPr>
            </w:pPr>
          </w:p>
        </w:tc>
        <w:tc>
          <w:tcPr>
            <w:tcW w:w="658" w:type="dxa"/>
            <w:noWrap/>
            <w:vAlign w:val="center"/>
          </w:tcPr>
          <w:p w14:paraId="007AAD6C" w14:textId="77777777" w:rsidR="00054437" w:rsidRPr="000549B1" w:rsidRDefault="00000000">
            <w:pPr>
              <w:widowControl/>
              <w:spacing w:line="240" w:lineRule="atLeast"/>
              <w:jc w:val="center"/>
              <w:rPr>
                <w:kern w:val="0"/>
                <w:szCs w:val="21"/>
              </w:rPr>
            </w:pPr>
            <w:r w:rsidRPr="000549B1">
              <w:rPr>
                <w:kern w:val="0"/>
                <w:szCs w:val="21"/>
              </w:rPr>
              <w:t>+</w:t>
            </w:r>
          </w:p>
        </w:tc>
        <w:tc>
          <w:tcPr>
            <w:tcW w:w="714" w:type="dxa"/>
            <w:noWrap/>
            <w:vAlign w:val="center"/>
          </w:tcPr>
          <w:p w14:paraId="7D5BAEAB" w14:textId="77777777" w:rsidR="00054437" w:rsidRPr="000549B1" w:rsidRDefault="00054437">
            <w:pPr>
              <w:widowControl/>
              <w:spacing w:line="240" w:lineRule="atLeast"/>
              <w:jc w:val="center"/>
              <w:rPr>
                <w:kern w:val="0"/>
                <w:szCs w:val="21"/>
              </w:rPr>
            </w:pPr>
          </w:p>
        </w:tc>
        <w:tc>
          <w:tcPr>
            <w:tcW w:w="714" w:type="dxa"/>
            <w:noWrap/>
            <w:vAlign w:val="center"/>
          </w:tcPr>
          <w:p w14:paraId="4148DD4B" w14:textId="77777777" w:rsidR="00054437" w:rsidRPr="000549B1" w:rsidRDefault="00000000">
            <w:pPr>
              <w:widowControl/>
              <w:spacing w:line="240" w:lineRule="atLeast"/>
              <w:jc w:val="center"/>
              <w:rPr>
                <w:kern w:val="0"/>
                <w:szCs w:val="21"/>
              </w:rPr>
            </w:pPr>
            <w:r w:rsidRPr="000549B1">
              <w:rPr>
                <w:kern w:val="0"/>
                <w:szCs w:val="21"/>
              </w:rPr>
              <w:t>+</w:t>
            </w:r>
          </w:p>
        </w:tc>
        <w:tc>
          <w:tcPr>
            <w:tcW w:w="714" w:type="dxa"/>
            <w:noWrap/>
            <w:vAlign w:val="center"/>
          </w:tcPr>
          <w:p w14:paraId="235E5F57" w14:textId="77777777" w:rsidR="00054437" w:rsidRPr="000549B1" w:rsidRDefault="00054437">
            <w:pPr>
              <w:widowControl/>
              <w:spacing w:line="240" w:lineRule="atLeast"/>
              <w:jc w:val="center"/>
              <w:rPr>
                <w:kern w:val="0"/>
                <w:szCs w:val="21"/>
              </w:rPr>
            </w:pPr>
          </w:p>
        </w:tc>
        <w:tc>
          <w:tcPr>
            <w:tcW w:w="714" w:type="dxa"/>
            <w:noWrap/>
            <w:vAlign w:val="center"/>
          </w:tcPr>
          <w:p w14:paraId="767C3EF4" w14:textId="77777777" w:rsidR="00054437" w:rsidRPr="000549B1" w:rsidRDefault="00054437">
            <w:pPr>
              <w:widowControl/>
              <w:spacing w:line="240" w:lineRule="atLeast"/>
              <w:jc w:val="center"/>
              <w:rPr>
                <w:kern w:val="0"/>
                <w:szCs w:val="21"/>
              </w:rPr>
            </w:pPr>
          </w:p>
        </w:tc>
      </w:tr>
      <w:tr w:rsidR="000549B1" w:rsidRPr="000549B1" w14:paraId="3A4B7579" w14:textId="77777777">
        <w:trPr>
          <w:trHeight w:val="300"/>
          <w:jc w:val="center"/>
        </w:trPr>
        <w:tc>
          <w:tcPr>
            <w:tcW w:w="875" w:type="dxa"/>
            <w:vMerge/>
            <w:vAlign w:val="center"/>
          </w:tcPr>
          <w:p w14:paraId="5B3D2A13" w14:textId="77777777" w:rsidR="00054437" w:rsidRPr="000549B1" w:rsidRDefault="00054437">
            <w:pPr>
              <w:widowControl/>
              <w:spacing w:line="240" w:lineRule="atLeast"/>
              <w:jc w:val="center"/>
              <w:rPr>
                <w:kern w:val="0"/>
                <w:szCs w:val="21"/>
              </w:rPr>
            </w:pPr>
          </w:p>
        </w:tc>
        <w:tc>
          <w:tcPr>
            <w:tcW w:w="1534" w:type="dxa"/>
            <w:noWrap/>
            <w:vAlign w:val="center"/>
          </w:tcPr>
          <w:p w14:paraId="548410D7" w14:textId="77777777" w:rsidR="00054437" w:rsidRPr="000549B1" w:rsidRDefault="00000000">
            <w:pPr>
              <w:widowControl/>
              <w:spacing w:line="240" w:lineRule="atLeast"/>
              <w:jc w:val="center"/>
              <w:rPr>
                <w:kern w:val="0"/>
                <w:szCs w:val="21"/>
              </w:rPr>
            </w:pPr>
            <w:r w:rsidRPr="000549B1">
              <w:rPr>
                <w:kern w:val="0"/>
                <w:szCs w:val="21"/>
              </w:rPr>
              <w:t>球形砂壳虫</w:t>
            </w:r>
          </w:p>
        </w:tc>
        <w:tc>
          <w:tcPr>
            <w:tcW w:w="1828" w:type="dxa"/>
            <w:noWrap/>
            <w:vAlign w:val="center"/>
          </w:tcPr>
          <w:p w14:paraId="6986DE32" w14:textId="77777777" w:rsidR="00054437" w:rsidRPr="000549B1" w:rsidRDefault="00000000">
            <w:pPr>
              <w:widowControl/>
              <w:spacing w:line="240" w:lineRule="atLeast"/>
              <w:jc w:val="center"/>
              <w:rPr>
                <w:i/>
                <w:iCs/>
                <w:kern w:val="0"/>
                <w:szCs w:val="21"/>
              </w:rPr>
            </w:pPr>
            <w:r w:rsidRPr="000549B1">
              <w:rPr>
                <w:i/>
                <w:iCs/>
                <w:kern w:val="0"/>
                <w:szCs w:val="21"/>
              </w:rPr>
              <w:t>Difflugiaglobulosa</w:t>
            </w:r>
          </w:p>
        </w:tc>
        <w:tc>
          <w:tcPr>
            <w:tcW w:w="768" w:type="dxa"/>
            <w:noWrap/>
            <w:vAlign w:val="center"/>
          </w:tcPr>
          <w:p w14:paraId="7607190D" w14:textId="77777777" w:rsidR="00054437" w:rsidRPr="000549B1" w:rsidRDefault="00000000">
            <w:pPr>
              <w:widowControl/>
              <w:spacing w:line="240" w:lineRule="atLeast"/>
              <w:jc w:val="center"/>
              <w:rPr>
                <w:kern w:val="0"/>
                <w:szCs w:val="21"/>
              </w:rPr>
            </w:pPr>
            <w:r w:rsidRPr="000549B1">
              <w:rPr>
                <w:kern w:val="0"/>
                <w:szCs w:val="21"/>
              </w:rPr>
              <w:t>+</w:t>
            </w:r>
          </w:p>
        </w:tc>
        <w:tc>
          <w:tcPr>
            <w:tcW w:w="658" w:type="dxa"/>
            <w:noWrap/>
            <w:vAlign w:val="center"/>
          </w:tcPr>
          <w:p w14:paraId="0958EF5A" w14:textId="77777777" w:rsidR="00054437" w:rsidRPr="000549B1" w:rsidRDefault="00054437">
            <w:pPr>
              <w:widowControl/>
              <w:spacing w:line="240" w:lineRule="atLeast"/>
              <w:jc w:val="center"/>
              <w:rPr>
                <w:kern w:val="0"/>
                <w:szCs w:val="21"/>
              </w:rPr>
            </w:pPr>
          </w:p>
        </w:tc>
        <w:tc>
          <w:tcPr>
            <w:tcW w:w="714" w:type="dxa"/>
            <w:noWrap/>
            <w:vAlign w:val="center"/>
          </w:tcPr>
          <w:p w14:paraId="33E30B44" w14:textId="77777777" w:rsidR="00054437" w:rsidRPr="000549B1" w:rsidRDefault="00054437">
            <w:pPr>
              <w:widowControl/>
              <w:spacing w:line="240" w:lineRule="atLeast"/>
              <w:jc w:val="center"/>
              <w:rPr>
                <w:kern w:val="0"/>
                <w:szCs w:val="21"/>
              </w:rPr>
            </w:pPr>
          </w:p>
        </w:tc>
        <w:tc>
          <w:tcPr>
            <w:tcW w:w="714" w:type="dxa"/>
            <w:noWrap/>
            <w:vAlign w:val="center"/>
          </w:tcPr>
          <w:p w14:paraId="2833F2B1" w14:textId="77777777" w:rsidR="00054437" w:rsidRPr="000549B1" w:rsidRDefault="00000000">
            <w:pPr>
              <w:widowControl/>
              <w:spacing w:line="240" w:lineRule="atLeast"/>
              <w:jc w:val="center"/>
              <w:rPr>
                <w:kern w:val="0"/>
                <w:szCs w:val="21"/>
              </w:rPr>
            </w:pPr>
            <w:r w:rsidRPr="000549B1">
              <w:rPr>
                <w:kern w:val="0"/>
                <w:szCs w:val="21"/>
              </w:rPr>
              <w:t>+</w:t>
            </w:r>
          </w:p>
        </w:tc>
        <w:tc>
          <w:tcPr>
            <w:tcW w:w="714" w:type="dxa"/>
            <w:noWrap/>
            <w:vAlign w:val="center"/>
          </w:tcPr>
          <w:p w14:paraId="6BF2329C" w14:textId="77777777" w:rsidR="00054437" w:rsidRPr="000549B1" w:rsidRDefault="00000000">
            <w:pPr>
              <w:widowControl/>
              <w:spacing w:line="240" w:lineRule="atLeast"/>
              <w:jc w:val="center"/>
              <w:rPr>
                <w:kern w:val="0"/>
                <w:szCs w:val="21"/>
              </w:rPr>
            </w:pPr>
            <w:r w:rsidRPr="000549B1">
              <w:rPr>
                <w:kern w:val="0"/>
                <w:szCs w:val="21"/>
              </w:rPr>
              <w:t>+</w:t>
            </w:r>
          </w:p>
        </w:tc>
        <w:tc>
          <w:tcPr>
            <w:tcW w:w="714" w:type="dxa"/>
            <w:noWrap/>
            <w:vAlign w:val="center"/>
          </w:tcPr>
          <w:p w14:paraId="458C815C" w14:textId="77777777" w:rsidR="00054437" w:rsidRPr="000549B1" w:rsidRDefault="00054437">
            <w:pPr>
              <w:widowControl/>
              <w:spacing w:line="240" w:lineRule="atLeast"/>
              <w:jc w:val="center"/>
              <w:rPr>
                <w:kern w:val="0"/>
                <w:szCs w:val="21"/>
              </w:rPr>
            </w:pPr>
          </w:p>
        </w:tc>
      </w:tr>
      <w:tr w:rsidR="000549B1" w:rsidRPr="000549B1" w14:paraId="3B501B5B" w14:textId="77777777">
        <w:trPr>
          <w:trHeight w:val="300"/>
          <w:jc w:val="center"/>
        </w:trPr>
        <w:tc>
          <w:tcPr>
            <w:tcW w:w="875" w:type="dxa"/>
            <w:vMerge w:val="restart"/>
            <w:noWrap/>
            <w:vAlign w:val="center"/>
          </w:tcPr>
          <w:p w14:paraId="7BE66EA2" w14:textId="77777777" w:rsidR="00054437" w:rsidRPr="000549B1" w:rsidRDefault="00000000">
            <w:pPr>
              <w:widowControl/>
              <w:spacing w:line="240" w:lineRule="atLeast"/>
              <w:jc w:val="center"/>
              <w:rPr>
                <w:kern w:val="0"/>
                <w:szCs w:val="21"/>
              </w:rPr>
            </w:pPr>
            <w:r w:rsidRPr="000549B1">
              <w:rPr>
                <w:kern w:val="0"/>
                <w:szCs w:val="21"/>
              </w:rPr>
              <w:t>轮虫</w:t>
            </w:r>
          </w:p>
        </w:tc>
        <w:tc>
          <w:tcPr>
            <w:tcW w:w="1534" w:type="dxa"/>
            <w:noWrap/>
            <w:vAlign w:val="center"/>
          </w:tcPr>
          <w:p w14:paraId="522F2839" w14:textId="77777777" w:rsidR="00054437" w:rsidRPr="000549B1" w:rsidRDefault="00000000">
            <w:pPr>
              <w:widowControl/>
              <w:spacing w:line="240" w:lineRule="atLeast"/>
              <w:jc w:val="center"/>
              <w:rPr>
                <w:kern w:val="0"/>
                <w:szCs w:val="21"/>
              </w:rPr>
            </w:pPr>
            <w:r w:rsidRPr="000549B1">
              <w:rPr>
                <w:kern w:val="0"/>
                <w:szCs w:val="21"/>
              </w:rPr>
              <w:t>针簇多肢轮虫</w:t>
            </w:r>
          </w:p>
        </w:tc>
        <w:tc>
          <w:tcPr>
            <w:tcW w:w="1828" w:type="dxa"/>
            <w:noWrap/>
            <w:vAlign w:val="center"/>
          </w:tcPr>
          <w:p w14:paraId="7626F7C8" w14:textId="77777777" w:rsidR="00054437" w:rsidRPr="000549B1" w:rsidRDefault="00000000">
            <w:pPr>
              <w:widowControl/>
              <w:spacing w:line="240" w:lineRule="atLeast"/>
              <w:jc w:val="center"/>
              <w:rPr>
                <w:i/>
                <w:iCs/>
                <w:kern w:val="0"/>
                <w:szCs w:val="21"/>
              </w:rPr>
            </w:pPr>
            <w:r w:rsidRPr="000549B1">
              <w:rPr>
                <w:i/>
                <w:iCs/>
                <w:kern w:val="0"/>
                <w:szCs w:val="21"/>
              </w:rPr>
              <w:t>Polyarthratrigla</w:t>
            </w:r>
          </w:p>
        </w:tc>
        <w:tc>
          <w:tcPr>
            <w:tcW w:w="768" w:type="dxa"/>
            <w:noWrap/>
            <w:vAlign w:val="center"/>
          </w:tcPr>
          <w:p w14:paraId="4FFCB522" w14:textId="77777777" w:rsidR="00054437" w:rsidRPr="000549B1" w:rsidRDefault="00054437">
            <w:pPr>
              <w:widowControl/>
              <w:spacing w:line="240" w:lineRule="atLeast"/>
              <w:jc w:val="center"/>
              <w:rPr>
                <w:kern w:val="0"/>
                <w:szCs w:val="21"/>
              </w:rPr>
            </w:pPr>
          </w:p>
        </w:tc>
        <w:tc>
          <w:tcPr>
            <w:tcW w:w="658" w:type="dxa"/>
            <w:noWrap/>
            <w:vAlign w:val="center"/>
          </w:tcPr>
          <w:p w14:paraId="2CBDAE66" w14:textId="77777777" w:rsidR="00054437" w:rsidRPr="000549B1" w:rsidRDefault="00000000">
            <w:pPr>
              <w:widowControl/>
              <w:spacing w:line="240" w:lineRule="atLeast"/>
              <w:jc w:val="center"/>
              <w:rPr>
                <w:kern w:val="0"/>
                <w:szCs w:val="21"/>
              </w:rPr>
            </w:pPr>
            <w:r w:rsidRPr="000549B1">
              <w:rPr>
                <w:kern w:val="0"/>
                <w:szCs w:val="21"/>
              </w:rPr>
              <w:t>++</w:t>
            </w:r>
          </w:p>
        </w:tc>
        <w:tc>
          <w:tcPr>
            <w:tcW w:w="714" w:type="dxa"/>
            <w:noWrap/>
            <w:vAlign w:val="center"/>
          </w:tcPr>
          <w:p w14:paraId="03D838C1" w14:textId="77777777" w:rsidR="00054437" w:rsidRPr="000549B1" w:rsidRDefault="00000000">
            <w:pPr>
              <w:widowControl/>
              <w:spacing w:line="240" w:lineRule="atLeast"/>
              <w:jc w:val="center"/>
              <w:rPr>
                <w:kern w:val="0"/>
                <w:szCs w:val="21"/>
              </w:rPr>
            </w:pPr>
            <w:r w:rsidRPr="000549B1">
              <w:rPr>
                <w:kern w:val="0"/>
                <w:szCs w:val="21"/>
              </w:rPr>
              <w:t>+</w:t>
            </w:r>
          </w:p>
        </w:tc>
        <w:tc>
          <w:tcPr>
            <w:tcW w:w="714" w:type="dxa"/>
            <w:noWrap/>
            <w:vAlign w:val="center"/>
          </w:tcPr>
          <w:p w14:paraId="1905F259" w14:textId="77777777" w:rsidR="00054437" w:rsidRPr="000549B1" w:rsidRDefault="00054437">
            <w:pPr>
              <w:widowControl/>
              <w:spacing w:line="240" w:lineRule="atLeast"/>
              <w:jc w:val="center"/>
              <w:rPr>
                <w:kern w:val="0"/>
                <w:szCs w:val="21"/>
              </w:rPr>
            </w:pPr>
          </w:p>
        </w:tc>
        <w:tc>
          <w:tcPr>
            <w:tcW w:w="714" w:type="dxa"/>
            <w:noWrap/>
            <w:vAlign w:val="center"/>
          </w:tcPr>
          <w:p w14:paraId="142EF695" w14:textId="77777777" w:rsidR="00054437" w:rsidRPr="000549B1" w:rsidRDefault="00054437">
            <w:pPr>
              <w:widowControl/>
              <w:spacing w:line="240" w:lineRule="atLeast"/>
              <w:jc w:val="center"/>
              <w:rPr>
                <w:kern w:val="0"/>
                <w:szCs w:val="21"/>
              </w:rPr>
            </w:pPr>
          </w:p>
        </w:tc>
        <w:tc>
          <w:tcPr>
            <w:tcW w:w="714" w:type="dxa"/>
            <w:noWrap/>
            <w:vAlign w:val="center"/>
          </w:tcPr>
          <w:p w14:paraId="68B67915" w14:textId="77777777" w:rsidR="00054437" w:rsidRPr="000549B1" w:rsidRDefault="00054437">
            <w:pPr>
              <w:widowControl/>
              <w:spacing w:line="240" w:lineRule="atLeast"/>
              <w:jc w:val="center"/>
              <w:rPr>
                <w:kern w:val="0"/>
                <w:szCs w:val="21"/>
              </w:rPr>
            </w:pPr>
          </w:p>
        </w:tc>
      </w:tr>
      <w:tr w:rsidR="000549B1" w:rsidRPr="000549B1" w14:paraId="7DD5EA3D" w14:textId="77777777">
        <w:trPr>
          <w:trHeight w:val="300"/>
          <w:jc w:val="center"/>
        </w:trPr>
        <w:tc>
          <w:tcPr>
            <w:tcW w:w="875" w:type="dxa"/>
            <w:vMerge/>
            <w:vAlign w:val="center"/>
          </w:tcPr>
          <w:p w14:paraId="0B364E26" w14:textId="77777777" w:rsidR="00054437" w:rsidRPr="000549B1" w:rsidRDefault="00054437">
            <w:pPr>
              <w:widowControl/>
              <w:spacing w:line="240" w:lineRule="atLeast"/>
              <w:jc w:val="center"/>
              <w:rPr>
                <w:kern w:val="0"/>
                <w:szCs w:val="21"/>
              </w:rPr>
            </w:pPr>
          </w:p>
        </w:tc>
        <w:tc>
          <w:tcPr>
            <w:tcW w:w="1534" w:type="dxa"/>
            <w:noWrap/>
            <w:vAlign w:val="center"/>
          </w:tcPr>
          <w:p w14:paraId="3D60C459" w14:textId="77777777" w:rsidR="00054437" w:rsidRPr="000549B1" w:rsidRDefault="00000000">
            <w:pPr>
              <w:widowControl/>
              <w:spacing w:line="240" w:lineRule="atLeast"/>
              <w:jc w:val="center"/>
              <w:rPr>
                <w:kern w:val="0"/>
                <w:szCs w:val="21"/>
              </w:rPr>
            </w:pPr>
            <w:r w:rsidRPr="000549B1">
              <w:rPr>
                <w:kern w:val="0"/>
                <w:szCs w:val="21"/>
              </w:rPr>
              <w:t>广布多肢轮虫</w:t>
            </w:r>
          </w:p>
        </w:tc>
        <w:tc>
          <w:tcPr>
            <w:tcW w:w="1828" w:type="dxa"/>
            <w:noWrap/>
            <w:vAlign w:val="center"/>
          </w:tcPr>
          <w:p w14:paraId="44595B2E" w14:textId="77777777" w:rsidR="00054437" w:rsidRPr="000549B1" w:rsidRDefault="00000000">
            <w:pPr>
              <w:widowControl/>
              <w:spacing w:line="240" w:lineRule="atLeast"/>
              <w:jc w:val="center"/>
              <w:rPr>
                <w:i/>
                <w:iCs/>
                <w:kern w:val="0"/>
                <w:szCs w:val="21"/>
              </w:rPr>
            </w:pPr>
            <w:r w:rsidRPr="000549B1">
              <w:rPr>
                <w:i/>
                <w:iCs/>
                <w:kern w:val="0"/>
                <w:szCs w:val="21"/>
              </w:rPr>
              <w:t>Polyarthravnlyaris</w:t>
            </w:r>
          </w:p>
        </w:tc>
        <w:tc>
          <w:tcPr>
            <w:tcW w:w="768" w:type="dxa"/>
            <w:noWrap/>
            <w:vAlign w:val="center"/>
          </w:tcPr>
          <w:p w14:paraId="330BCD2D" w14:textId="77777777" w:rsidR="00054437" w:rsidRPr="000549B1" w:rsidRDefault="00000000">
            <w:pPr>
              <w:widowControl/>
              <w:spacing w:line="240" w:lineRule="atLeast"/>
              <w:jc w:val="center"/>
              <w:rPr>
                <w:kern w:val="0"/>
                <w:szCs w:val="21"/>
              </w:rPr>
            </w:pPr>
            <w:r w:rsidRPr="000549B1">
              <w:rPr>
                <w:kern w:val="0"/>
                <w:szCs w:val="21"/>
              </w:rPr>
              <w:t>+</w:t>
            </w:r>
          </w:p>
        </w:tc>
        <w:tc>
          <w:tcPr>
            <w:tcW w:w="658" w:type="dxa"/>
            <w:noWrap/>
            <w:vAlign w:val="center"/>
          </w:tcPr>
          <w:p w14:paraId="66CB0C8A" w14:textId="77777777" w:rsidR="00054437" w:rsidRPr="000549B1" w:rsidRDefault="00000000">
            <w:pPr>
              <w:widowControl/>
              <w:spacing w:line="240" w:lineRule="atLeast"/>
              <w:jc w:val="center"/>
              <w:rPr>
                <w:kern w:val="0"/>
                <w:szCs w:val="21"/>
              </w:rPr>
            </w:pPr>
            <w:r w:rsidRPr="000549B1">
              <w:rPr>
                <w:kern w:val="0"/>
                <w:szCs w:val="21"/>
              </w:rPr>
              <w:t>+++</w:t>
            </w:r>
          </w:p>
        </w:tc>
        <w:tc>
          <w:tcPr>
            <w:tcW w:w="714" w:type="dxa"/>
            <w:noWrap/>
            <w:vAlign w:val="center"/>
          </w:tcPr>
          <w:p w14:paraId="16ACF821" w14:textId="77777777" w:rsidR="00054437" w:rsidRPr="000549B1" w:rsidRDefault="00054437">
            <w:pPr>
              <w:widowControl/>
              <w:spacing w:line="240" w:lineRule="atLeast"/>
              <w:jc w:val="center"/>
              <w:rPr>
                <w:kern w:val="0"/>
                <w:szCs w:val="21"/>
              </w:rPr>
            </w:pPr>
          </w:p>
        </w:tc>
        <w:tc>
          <w:tcPr>
            <w:tcW w:w="714" w:type="dxa"/>
            <w:noWrap/>
            <w:vAlign w:val="center"/>
          </w:tcPr>
          <w:p w14:paraId="04B7D658" w14:textId="77777777" w:rsidR="00054437" w:rsidRPr="000549B1" w:rsidRDefault="00054437">
            <w:pPr>
              <w:widowControl/>
              <w:spacing w:line="240" w:lineRule="atLeast"/>
              <w:jc w:val="center"/>
              <w:rPr>
                <w:kern w:val="0"/>
                <w:szCs w:val="21"/>
              </w:rPr>
            </w:pPr>
          </w:p>
        </w:tc>
        <w:tc>
          <w:tcPr>
            <w:tcW w:w="714" w:type="dxa"/>
            <w:noWrap/>
            <w:vAlign w:val="center"/>
          </w:tcPr>
          <w:p w14:paraId="1BA6A4F8" w14:textId="77777777" w:rsidR="00054437" w:rsidRPr="000549B1" w:rsidRDefault="00054437">
            <w:pPr>
              <w:widowControl/>
              <w:spacing w:line="240" w:lineRule="atLeast"/>
              <w:jc w:val="center"/>
              <w:rPr>
                <w:kern w:val="0"/>
                <w:szCs w:val="21"/>
              </w:rPr>
            </w:pPr>
          </w:p>
        </w:tc>
        <w:tc>
          <w:tcPr>
            <w:tcW w:w="714" w:type="dxa"/>
            <w:noWrap/>
            <w:vAlign w:val="center"/>
          </w:tcPr>
          <w:p w14:paraId="63137E01" w14:textId="77777777" w:rsidR="00054437" w:rsidRPr="000549B1" w:rsidRDefault="00054437">
            <w:pPr>
              <w:widowControl/>
              <w:spacing w:line="240" w:lineRule="atLeast"/>
              <w:jc w:val="center"/>
              <w:rPr>
                <w:kern w:val="0"/>
                <w:szCs w:val="21"/>
              </w:rPr>
            </w:pPr>
          </w:p>
        </w:tc>
      </w:tr>
      <w:tr w:rsidR="000549B1" w:rsidRPr="000549B1" w14:paraId="77C802F0" w14:textId="77777777">
        <w:trPr>
          <w:trHeight w:val="300"/>
          <w:jc w:val="center"/>
        </w:trPr>
        <w:tc>
          <w:tcPr>
            <w:tcW w:w="875" w:type="dxa"/>
            <w:vMerge w:val="restart"/>
            <w:noWrap/>
            <w:vAlign w:val="center"/>
          </w:tcPr>
          <w:p w14:paraId="12882C5C" w14:textId="77777777" w:rsidR="00054437" w:rsidRPr="000549B1" w:rsidRDefault="00000000">
            <w:pPr>
              <w:widowControl/>
              <w:spacing w:line="240" w:lineRule="atLeast"/>
              <w:jc w:val="center"/>
              <w:rPr>
                <w:kern w:val="0"/>
                <w:szCs w:val="21"/>
              </w:rPr>
            </w:pPr>
            <w:r w:rsidRPr="000549B1">
              <w:rPr>
                <w:kern w:val="0"/>
                <w:szCs w:val="21"/>
              </w:rPr>
              <w:t>桡足类</w:t>
            </w:r>
          </w:p>
        </w:tc>
        <w:tc>
          <w:tcPr>
            <w:tcW w:w="1534" w:type="dxa"/>
            <w:noWrap/>
            <w:vAlign w:val="center"/>
          </w:tcPr>
          <w:p w14:paraId="0D1A8530" w14:textId="77777777" w:rsidR="00054437" w:rsidRPr="000549B1" w:rsidRDefault="00000000">
            <w:pPr>
              <w:widowControl/>
              <w:spacing w:line="240" w:lineRule="atLeast"/>
              <w:jc w:val="center"/>
              <w:rPr>
                <w:kern w:val="0"/>
                <w:szCs w:val="21"/>
              </w:rPr>
            </w:pPr>
            <w:r w:rsidRPr="000549B1">
              <w:rPr>
                <w:kern w:val="0"/>
                <w:szCs w:val="21"/>
              </w:rPr>
              <w:t>无节幼体</w:t>
            </w:r>
          </w:p>
        </w:tc>
        <w:tc>
          <w:tcPr>
            <w:tcW w:w="1828" w:type="dxa"/>
            <w:noWrap/>
            <w:vAlign w:val="center"/>
          </w:tcPr>
          <w:p w14:paraId="4D744C04" w14:textId="77777777" w:rsidR="00054437" w:rsidRPr="000549B1" w:rsidRDefault="00000000">
            <w:pPr>
              <w:widowControl/>
              <w:spacing w:line="240" w:lineRule="atLeast"/>
              <w:jc w:val="center"/>
              <w:rPr>
                <w:i/>
                <w:iCs/>
                <w:kern w:val="0"/>
                <w:szCs w:val="21"/>
              </w:rPr>
            </w:pPr>
            <w:r w:rsidRPr="000549B1">
              <w:rPr>
                <w:i/>
                <w:iCs/>
                <w:kern w:val="0"/>
                <w:szCs w:val="21"/>
              </w:rPr>
              <w:t>Copepodaspp.</w:t>
            </w:r>
          </w:p>
        </w:tc>
        <w:tc>
          <w:tcPr>
            <w:tcW w:w="768" w:type="dxa"/>
            <w:noWrap/>
            <w:vAlign w:val="center"/>
          </w:tcPr>
          <w:p w14:paraId="01951D88" w14:textId="77777777" w:rsidR="00054437" w:rsidRPr="000549B1" w:rsidRDefault="00054437">
            <w:pPr>
              <w:widowControl/>
              <w:spacing w:line="240" w:lineRule="atLeast"/>
              <w:jc w:val="center"/>
              <w:rPr>
                <w:kern w:val="0"/>
                <w:szCs w:val="21"/>
              </w:rPr>
            </w:pPr>
          </w:p>
        </w:tc>
        <w:tc>
          <w:tcPr>
            <w:tcW w:w="658" w:type="dxa"/>
            <w:noWrap/>
            <w:vAlign w:val="center"/>
          </w:tcPr>
          <w:p w14:paraId="509AA958" w14:textId="77777777" w:rsidR="00054437" w:rsidRPr="000549B1" w:rsidRDefault="00054437">
            <w:pPr>
              <w:widowControl/>
              <w:spacing w:line="240" w:lineRule="atLeast"/>
              <w:jc w:val="center"/>
              <w:rPr>
                <w:kern w:val="0"/>
                <w:szCs w:val="21"/>
              </w:rPr>
            </w:pPr>
          </w:p>
        </w:tc>
        <w:tc>
          <w:tcPr>
            <w:tcW w:w="714" w:type="dxa"/>
            <w:noWrap/>
            <w:vAlign w:val="center"/>
          </w:tcPr>
          <w:p w14:paraId="585F84FD" w14:textId="77777777" w:rsidR="00054437" w:rsidRPr="000549B1" w:rsidRDefault="00000000">
            <w:pPr>
              <w:widowControl/>
              <w:spacing w:line="240" w:lineRule="atLeast"/>
              <w:jc w:val="center"/>
              <w:rPr>
                <w:kern w:val="0"/>
                <w:szCs w:val="21"/>
              </w:rPr>
            </w:pPr>
            <w:r w:rsidRPr="000549B1">
              <w:rPr>
                <w:kern w:val="0"/>
                <w:szCs w:val="21"/>
              </w:rPr>
              <w:t>+</w:t>
            </w:r>
          </w:p>
        </w:tc>
        <w:tc>
          <w:tcPr>
            <w:tcW w:w="714" w:type="dxa"/>
            <w:noWrap/>
            <w:vAlign w:val="center"/>
          </w:tcPr>
          <w:p w14:paraId="637DB20E" w14:textId="77777777" w:rsidR="00054437" w:rsidRPr="000549B1" w:rsidRDefault="00054437">
            <w:pPr>
              <w:widowControl/>
              <w:spacing w:line="240" w:lineRule="atLeast"/>
              <w:jc w:val="center"/>
              <w:rPr>
                <w:kern w:val="0"/>
                <w:szCs w:val="21"/>
              </w:rPr>
            </w:pPr>
          </w:p>
        </w:tc>
        <w:tc>
          <w:tcPr>
            <w:tcW w:w="714" w:type="dxa"/>
            <w:noWrap/>
            <w:vAlign w:val="center"/>
          </w:tcPr>
          <w:p w14:paraId="68249C40" w14:textId="77777777" w:rsidR="00054437" w:rsidRPr="000549B1" w:rsidRDefault="00054437">
            <w:pPr>
              <w:widowControl/>
              <w:spacing w:line="240" w:lineRule="atLeast"/>
              <w:jc w:val="center"/>
              <w:rPr>
                <w:kern w:val="0"/>
                <w:szCs w:val="21"/>
              </w:rPr>
            </w:pPr>
          </w:p>
        </w:tc>
        <w:tc>
          <w:tcPr>
            <w:tcW w:w="714" w:type="dxa"/>
            <w:noWrap/>
            <w:vAlign w:val="center"/>
          </w:tcPr>
          <w:p w14:paraId="5F8B22EF" w14:textId="77777777" w:rsidR="00054437" w:rsidRPr="000549B1" w:rsidRDefault="00054437">
            <w:pPr>
              <w:widowControl/>
              <w:spacing w:line="240" w:lineRule="atLeast"/>
              <w:jc w:val="center"/>
              <w:rPr>
                <w:kern w:val="0"/>
                <w:szCs w:val="21"/>
              </w:rPr>
            </w:pPr>
          </w:p>
        </w:tc>
      </w:tr>
      <w:tr w:rsidR="000549B1" w:rsidRPr="000549B1" w14:paraId="7CF89C94" w14:textId="77777777">
        <w:trPr>
          <w:trHeight w:val="300"/>
          <w:jc w:val="center"/>
        </w:trPr>
        <w:tc>
          <w:tcPr>
            <w:tcW w:w="875" w:type="dxa"/>
            <w:vMerge/>
            <w:vAlign w:val="center"/>
          </w:tcPr>
          <w:p w14:paraId="4F25A267" w14:textId="77777777" w:rsidR="00054437" w:rsidRPr="000549B1" w:rsidRDefault="00054437">
            <w:pPr>
              <w:widowControl/>
              <w:spacing w:line="240" w:lineRule="atLeast"/>
              <w:jc w:val="center"/>
              <w:rPr>
                <w:kern w:val="0"/>
                <w:szCs w:val="21"/>
              </w:rPr>
            </w:pPr>
          </w:p>
        </w:tc>
        <w:tc>
          <w:tcPr>
            <w:tcW w:w="1534" w:type="dxa"/>
            <w:noWrap/>
            <w:vAlign w:val="center"/>
          </w:tcPr>
          <w:p w14:paraId="71D434F0" w14:textId="77777777" w:rsidR="00054437" w:rsidRPr="000549B1" w:rsidRDefault="00000000">
            <w:pPr>
              <w:widowControl/>
              <w:spacing w:line="240" w:lineRule="atLeast"/>
              <w:jc w:val="center"/>
              <w:rPr>
                <w:kern w:val="0"/>
                <w:szCs w:val="21"/>
              </w:rPr>
            </w:pPr>
            <w:r w:rsidRPr="000549B1">
              <w:rPr>
                <w:kern w:val="0"/>
                <w:szCs w:val="21"/>
              </w:rPr>
              <w:t>剑水蚤</w:t>
            </w:r>
          </w:p>
        </w:tc>
        <w:tc>
          <w:tcPr>
            <w:tcW w:w="1828" w:type="dxa"/>
            <w:noWrap/>
            <w:vAlign w:val="center"/>
          </w:tcPr>
          <w:p w14:paraId="74FFCE20" w14:textId="77777777" w:rsidR="00054437" w:rsidRPr="000549B1" w:rsidRDefault="00000000">
            <w:pPr>
              <w:widowControl/>
              <w:spacing w:line="240" w:lineRule="atLeast"/>
              <w:jc w:val="center"/>
              <w:rPr>
                <w:i/>
                <w:iCs/>
                <w:kern w:val="0"/>
                <w:szCs w:val="21"/>
              </w:rPr>
            </w:pPr>
            <w:r w:rsidRPr="000549B1">
              <w:rPr>
                <w:i/>
                <w:iCs/>
                <w:kern w:val="0"/>
                <w:szCs w:val="21"/>
              </w:rPr>
              <w:t>Cyclopssp.</w:t>
            </w:r>
          </w:p>
        </w:tc>
        <w:tc>
          <w:tcPr>
            <w:tcW w:w="768" w:type="dxa"/>
            <w:noWrap/>
            <w:vAlign w:val="center"/>
          </w:tcPr>
          <w:p w14:paraId="1493940B" w14:textId="77777777" w:rsidR="00054437" w:rsidRPr="000549B1" w:rsidRDefault="00000000">
            <w:pPr>
              <w:widowControl/>
              <w:spacing w:line="240" w:lineRule="atLeast"/>
              <w:jc w:val="center"/>
              <w:rPr>
                <w:kern w:val="0"/>
                <w:szCs w:val="21"/>
              </w:rPr>
            </w:pPr>
            <w:r w:rsidRPr="000549B1">
              <w:rPr>
                <w:kern w:val="0"/>
                <w:szCs w:val="21"/>
              </w:rPr>
              <w:t>+</w:t>
            </w:r>
          </w:p>
        </w:tc>
        <w:tc>
          <w:tcPr>
            <w:tcW w:w="658" w:type="dxa"/>
            <w:noWrap/>
            <w:vAlign w:val="center"/>
          </w:tcPr>
          <w:p w14:paraId="7CA32B8E" w14:textId="77777777" w:rsidR="00054437" w:rsidRPr="000549B1" w:rsidRDefault="00054437">
            <w:pPr>
              <w:widowControl/>
              <w:spacing w:line="240" w:lineRule="atLeast"/>
              <w:jc w:val="center"/>
              <w:rPr>
                <w:kern w:val="0"/>
                <w:szCs w:val="21"/>
              </w:rPr>
            </w:pPr>
          </w:p>
        </w:tc>
        <w:tc>
          <w:tcPr>
            <w:tcW w:w="714" w:type="dxa"/>
            <w:noWrap/>
            <w:vAlign w:val="center"/>
          </w:tcPr>
          <w:p w14:paraId="1ACAE451" w14:textId="77777777" w:rsidR="00054437" w:rsidRPr="000549B1" w:rsidRDefault="00054437">
            <w:pPr>
              <w:widowControl/>
              <w:spacing w:line="240" w:lineRule="atLeast"/>
              <w:jc w:val="center"/>
              <w:rPr>
                <w:kern w:val="0"/>
                <w:szCs w:val="21"/>
              </w:rPr>
            </w:pPr>
          </w:p>
        </w:tc>
        <w:tc>
          <w:tcPr>
            <w:tcW w:w="714" w:type="dxa"/>
            <w:noWrap/>
            <w:vAlign w:val="center"/>
          </w:tcPr>
          <w:p w14:paraId="74A5C978" w14:textId="77777777" w:rsidR="00054437" w:rsidRPr="000549B1" w:rsidRDefault="00054437">
            <w:pPr>
              <w:widowControl/>
              <w:spacing w:line="240" w:lineRule="atLeast"/>
              <w:jc w:val="center"/>
              <w:rPr>
                <w:kern w:val="0"/>
                <w:szCs w:val="21"/>
              </w:rPr>
            </w:pPr>
          </w:p>
        </w:tc>
        <w:tc>
          <w:tcPr>
            <w:tcW w:w="714" w:type="dxa"/>
            <w:noWrap/>
            <w:vAlign w:val="center"/>
          </w:tcPr>
          <w:p w14:paraId="172EFCD4" w14:textId="77777777" w:rsidR="00054437" w:rsidRPr="000549B1" w:rsidRDefault="00054437">
            <w:pPr>
              <w:widowControl/>
              <w:spacing w:line="240" w:lineRule="atLeast"/>
              <w:jc w:val="center"/>
              <w:rPr>
                <w:kern w:val="0"/>
                <w:szCs w:val="21"/>
              </w:rPr>
            </w:pPr>
          </w:p>
        </w:tc>
        <w:tc>
          <w:tcPr>
            <w:tcW w:w="714" w:type="dxa"/>
            <w:noWrap/>
            <w:vAlign w:val="center"/>
          </w:tcPr>
          <w:p w14:paraId="00A60ACA" w14:textId="77777777" w:rsidR="00054437" w:rsidRPr="000549B1" w:rsidRDefault="00054437">
            <w:pPr>
              <w:widowControl/>
              <w:spacing w:line="240" w:lineRule="atLeast"/>
              <w:jc w:val="center"/>
              <w:rPr>
                <w:kern w:val="0"/>
                <w:szCs w:val="21"/>
              </w:rPr>
            </w:pPr>
          </w:p>
        </w:tc>
      </w:tr>
      <w:tr w:rsidR="000549B1" w:rsidRPr="000549B1" w14:paraId="1615C4E1" w14:textId="77777777">
        <w:trPr>
          <w:trHeight w:val="300"/>
          <w:jc w:val="center"/>
        </w:trPr>
        <w:tc>
          <w:tcPr>
            <w:tcW w:w="875" w:type="dxa"/>
            <w:vMerge/>
            <w:vAlign w:val="center"/>
          </w:tcPr>
          <w:p w14:paraId="689BD89E" w14:textId="77777777" w:rsidR="00054437" w:rsidRPr="000549B1" w:rsidRDefault="00054437">
            <w:pPr>
              <w:widowControl/>
              <w:spacing w:line="240" w:lineRule="atLeast"/>
              <w:jc w:val="center"/>
              <w:rPr>
                <w:kern w:val="0"/>
                <w:szCs w:val="21"/>
              </w:rPr>
            </w:pPr>
          </w:p>
        </w:tc>
        <w:tc>
          <w:tcPr>
            <w:tcW w:w="1534" w:type="dxa"/>
            <w:noWrap/>
            <w:vAlign w:val="center"/>
          </w:tcPr>
          <w:p w14:paraId="3DD21EB5" w14:textId="77777777" w:rsidR="00054437" w:rsidRPr="000549B1" w:rsidRDefault="00000000">
            <w:pPr>
              <w:widowControl/>
              <w:spacing w:line="240" w:lineRule="atLeast"/>
              <w:jc w:val="center"/>
              <w:rPr>
                <w:kern w:val="0"/>
                <w:szCs w:val="21"/>
              </w:rPr>
            </w:pPr>
            <w:r w:rsidRPr="000549B1">
              <w:rPr>
                <w:kern w:val="0"/>
                <w:szCs w:val="21"/>
              </w:rPr>
              <w:t>猛水蚤</w:t>
            </w:r>
          </w:p>
        </w:tc>
        <w:tc>
          <w:tcPr>
            <w:tcW w:w="1828" w:type="dxa"/>
            <w:noWrap/>
            <w:vAlign w:val="center"/>
          </w:tcPr>
          <w:p w14:paraId="40F0E284" w14:textId="77777777" w:rsidR="00054437" w:rsidRPr="000549B1" w:rsidRDefault="00000000">
            <w:pPr>
              <w:widowControl/>
              <w:spacing w:line="240" w:lineRule="atLeast"/>
              <w:jc w:val="center"/>
              <w:rPr>
                <w:i/>
                <w:iCs/>
                <w:kern w:val="0"/>
                <w:szCs w:val="21"/>
              </w:rPr>
            </w:pPr>
            <w:r w:rsidRPr="000549B1">
              <w:rPr>
                <w:i/>
                <w:iCs/>
                <w:kern w:val="0"/>
                <w:szCs w:val="21"/>
              </w:rPr>
              <w:t>Harpacticidaesp.</w:t>
            </w:r>
          </w:p>
        </w:tc>
        <w:tc>
          <w:tcPr>
            <w:tcW w:w="768" w:type="dxa"/>
            <w:noWrap/>
            <w:vAlign w:val="center"/>
          </w:tcPr>
          <w:p w14:paraId="742EB6D8" w14:textId="77777777" w:rsidR="00054437" w:rsidRPr="000549B1" w:rsidRDefault="00000000">
            <w:pPr>
              <w:widowControl/>
              <w:spacing w:line="240" w:lineRule="atLeast"/>
              <w:jc w:val="center"/>
              <w:rPr>
                <w:kern w:val="0"/>
                <w:szCs w:val="21"/>
              </w:rPr>
            </w:pPr>
            <w:r w:rsidRPr="000549B1">
              <w:rPr>
                <w:kern w:val="0"/>
                <w:szCs w:val="21"/>
              </w:rPr>
              <w:t>+</w:t>
            </w:r>
          </w:p>
        </w:tc>
        <w:tc>
          <w:tcPr>
            <w:tcW w:w="658" w:type="dxa"/>
            <w:noWrap/>
            <w:vAlign w:val="center"/>
          </w:tcPr>
          <w:p w14:paraId="3F2974F4" w14:textId="77777777" w:rsidR="00054437" w:rsidRPr="000549B1" w:rsidRDefault="00054437">
            <w:pPr>
              <w:widowControl/>
              <w:spacing w:line="240" w:lineRule="atLeast"/>
              <w:jc w:val="center"/>
              <w:rPr>
                <w:kern w:val="0"/>
                <w:szCs w:val="21"/>
              </w:rPr>
            </w:pPr>
          </w:p>
        </w:tc>
        <w:tc>
          <w:tcPr>
            <w:tcW w:w="714" w:type="dxa"/>
            <w:noWrap/>
            <w:vAlign w:val="center"/>
          </w:tcPr>
          <w:p w14:paraId="3478917A" w14:textId="77777777" w:rsidR="00054437" w:rsidRPr="000549B1" w:rsidRDefault="00054437">
            <w:pPr>
              <w:widowControl/>
              <w:spacing w:line="240" w:lineRule="atLeast"/>
              <w:jc w:val="center"/>
              <w:rPr>
                <w:kern w:val="0"/>
                <w:szCs w:val="21"/>
              </w:rPr>
            </w:pPr>
          </w:p>
        </w:tc>
        <w:tc>
          <w:tcPr>
            <w:tcW w:w="714" w:type="dxa"/>
            <w:noWrap/>
            <w:vAlign w:val="center"/>
          </w:tcPr>
          <w:p w14:paraId="1071D130" w14:textId="77777777" w:rsidR="00054437" w:rsidRPr="000549B1" w:rsidRDefault="00054437">
            <w:pPr>
              <w:widowControl/>
              <w:spacing w:line="240" w:lineRule="atLeast"/>
              <w:jc w:val="center"/>
              <w:rPr>
                <w:kern w:val="0"/>
                <w:szCs w:val="21"/>
              </w:rPr>
            </w:pPr>
          </w:p>
        </w:tc>
        <w:tc>
          <w:tcPr>
            <w:tcW w:w="714" w:type="dxa"/>
            <w:noWrap/>
            <w:vAlign w:val="center"/>
          </w:tcPr>
          <w:p w14:paraId="7972C612" w14:textId="77777777" w:rsidR="00054437" w:rsidRPr="000549B1" w:rsidRDefault="00054437">
            <w:pPr>
              <w:widowControl/>
              <w:spacing w:line="240" w:lineRule="atLeast"/>
              <w:jc w:val="center"/>
              <w:rPr>
                <w:kern w:val="0"/>
                <w:szCs w:val="21"/>
              </w:rPr>
            </w:pPr>
          </w:p>
        </w:tc>
        <w:tc>
          <w:tcPr>
            <w:tcW w:w="714" w:type="dxa"/>
            <w:noWrap/>
            <w:vAlign w:val="center"/>
          </w:tcPr>
          <w:p w14:paraId="4325A41D" w14:textId="77777777" w:rsidR="00054437" w:rsidRPr="000549B1" w:rsidRDefault="00054437">
            <w:pPr>
              <w:widowControl/>
              <w:spacing w:line="240" w:lineRule="atLeast"/>
              <w:jc w:val="center"/>
              <w:rPr>
                <w:kern w:val="0"/>
                <w:szCs w:val="21"/>
              </w:rPr>
            </w:pPr>
          </w:p>
        </w:tc>
      </w:tr>
      <w:tr w:rsidR="000549B1" w:rsidRPr="000549B1" w14:paraId="6FDBD416" w14:textId="77777777">
        <w:trPr>
          <w:trHeight w:val="300"/>
          <w:jc w:val="center"/>
        </w:trPr>
        <w:tc>
          <w:tcPr>
            <w:tcW w:w="875" w:type="dxa"/>
            <w:vAlign w:val="center"/>
          </w:tcPr>
          <w:p w14:paraId="5C2EA522" w14:textId="77777777" w:rsidR="00054437" w:rsidRPr="000549B1" w:rsidRDefault="00000000">
            <w:pPr>
              <w:widowControl/>
              <w:spacing w:line="240" w:lineRule="atLeast"/>
              <w:jc w:val="center"/>
              <w:rPr>
                <w:kern w:val="0"/>
                <w:szCs w:val="21"/>
                <w:lang w:val="zh-CN"/>
              </w:rPr>
            </w:pPr>
            <w:r w:rsidRPr="000549B1">
              <w:rPr>
                <w:kern w:val="0"/>
                <w:szCs w:val="21"/>
              </w:rPr>
              <w:t>枝角类</w:t>
            </w:r>
          </w:p>
        </w:tc>
        <w:tc>
          <w:tcPr>
            <w:tcW w:w="1534" w:type="dxa"/>
            <w:noWrap/>
            <w:vAlign w:val="center"/>
          </w:tcPr>
          <w:p w14:paraId="0481E871" w14:textId="77777777" w:rsidR="00054437" w:rsidRPr="000549B1" w:rsidRDefault="00000000">
            <w:pPr>
              <w:widowControl/>
              <w:spacing w:line="240" w:lineRule="atLeast"/>
              <w:jc w:val="center"/>
              <w:rPr>
                <w:kern w:val="0"/>
                <w:szCs w:val="21"/>
                <w:lang w:val="zh-CN"/>
              </w:rPr>
            </w:pPr>
            <w:r w:rsidRPr="000549B1">
              <w:rPr>
                <w:kern w:val="0"/>
                <w:szCs w:val="21"/>
              </w:rPr>
              <w:t>低额溞</w:t>
            </w:r>
          </w:p>
        </w:tc>
        <w:tc>
          <w:tcPr>
            <w:tcW w:w="1828" w:type="dxa"/>
            <w:noWrap/>
            <w:vAlign w:val="center"/>
          </w:tcPr>
          <w:p w14:paraId="06BED76C" w14:textId="77777777" w:rsidR="00054437" w:rsidRPr="000549B1" w:rsidRDefault="00000000">
            <w:pPr>
              <w:widowControl/>
              <w:spacing w:line="240" w:lineRule="atLeast"/>
              <w:jc w:val="center"/>
              <w:rPr>
                <w:kern w:val="0"/>
                <w:szCs w:val="21"/>
                <w:lang w:val="zh-CN"/>
              </w:rPr>
            </w:pPr>
            <w:r w:rsidRPr="000549B1">
              <w:rPr>
                <w:kern w:val="0"/>
                <w:szCs w:val="21"/>
              </w:rPr>
              <w:t>Simocephalussp.</w:t>
            </w:r>
          </w:p>
        </w:tc>
        <w:tc>
          <w:tcPr>
            <w:tcW w:w="768" w:type="dxa"/>
            <w:noWrap/>
            <w:vAlign w:val="center"/>
          </w:tcPr>
          <w:p w14:paraId="625B0FB1" w14:textId="77777777" w:rsidR="00054437" w:rsidRPr="000549B1" w:rsidRDefault="00054437">
            <w:pPr>
              <w:widowControl/>
              <w:spacing w:line="240" w:lineRule="atLeast"/>
              <w:jc w:val="center"/>
              <w:rPr>
                <w:kern w:val="0"/>
                <w:szCs w:val="21"/>
                <w:lang w:val="zh-CN"/>
              </w:rPr>
            </w:pPr>
          </w:p>
        </w:tc>
        <w:tc>
          <w:tcPr>
            <w:tcW w:w="658" w:type="dxa"/>
            <w:noWrap/>
            <w:vAlign w:val="center"/>
          </w:tcPr>
          <w:p w14:paraId="5A75E1C0" w14:textId="77777777" w:rsidR="00054437" w:rsidRPr="000549B1" w:rsidRDefault="00054437">
            <w:pPr>
              <w:widowControl/>
              <w:spacing w:line="240" w:lineRule="atLeast"/>
              <w:jc w:val="center"/>
              <w:rPr>
                <w:kern w:val="0"/>
                <w:szCs w:val="21"/>
                <w:lang w:val="zh-CN"/>
              </w:rPr>
            </w:pPr>
          </w:p>
        </w:tc>
        <w:tc>
          <w:tcPr>
            <w:tcW w:w="714" w:type="dxa"/>
            <w:noWrap/>
            <w:vAlign w:val="center"/>
          </w:tcPr>
          <w:p w14:paraId="77626487" w14:textId="77777777" w:rsidR="00054437" w:rsidRPr="000549B1" w:rsidRDefault="00054437">
            <w:pPr>
              <w:widowControl/>
              <w:spacing w:line="240" w:lineRule="atLeast"/>
              <w:jc w:val="center"/>
              <w:rPr>
                <w:kern w:val="0"/>
                <w:szCs w:val="21"/>
                <w:lang w:val="zh-CN"/>
              </w:rPr>
            </w:pPr>
          </w:p>
        </w:tc>
        <w:tc>
          <w:tcPr>
            <w:tcW w:w="714" w:type="dxa"/>
            <w:noWrap/>
            <w:vAlign w:val="center"/>
          </w:tcPr>
          <w:p w14:paraId="14B790D2" w14:textId="77777777" w:rsidR="00054437" w:rsidRPr="000549B1" w:rsidRDefault="00054437">
            <w:pPr>
              <w:widowControl/>
              <w:spacing w:line="240" w:lineRule="atLeast"/>
              <w:jc w:val="center"/>
              <w:rPr>
                <w:kern w:val="0"/>
                <w:szCs w:val="21"/>
              </w:rPr>
            </w:pPr>
          </w:p>
        </w:tc>
        <w:tc>
          <w:tcPr>
            <w:tcW w:w="714" w:type="dxa"/>
            <w:noWrap/>
            <w:vAlign w:val="center"/>
          </w:tcPr>
          <w:p w14:paraId="613B92D7" w14:textId="77777777" w:rsidR="00054437" w:rsidRPr="000549B1" w:rsidRDefault="00000000">
            <w:pPr>
              <w:widowControl/>
              <w:spacing w:line="240" w:lineRule="atLeast"/>
              <w:jc w:val="center"/>
              <w:rPr>
                <w:kern w:val="0"/>
                <w:szCs w:val="21"/>
              </w:rPr>
            </w:pPr>
            <w:r w:rsidRPr="000549B1">
              <w:rPr>
                <w:kern w:val="0"/>
                <w:szCs w:val="21"/>
              </w:rPr>
              <w:t>+</w:t>
            </w:r>
          </w:p>
        </w:tc>
        <w:tc>
          <w:tcPr>
            <w:tcW w:w="714" w:type="dxa"/>
            <w:noWrap/>
            <w:vAlign w:val="center"/>
          </w:tcPr>
          <w:p w14:paraId="457D380B" w14:textId="77777777" w:rsidR="00054437" w:rsidRPr="000549B1" w:rsidRDefault="00054437">
            <w:pPr>
              <w:widowControl/>
              <w:spacing w:line="240" w:lineRule="atLeast"/>
              <w:jc w:val="center"/>
              <w:rPr>
                <w:kern w:val="0"/>
                <w:szCs w:val="21"/>
              </w:rPr>
            </w:pPr>
          </w:p>
        </w:tc>
      </w:tr>
    </w:tbl>
    <w:p w14:paraId="5F6444E1" w14:textId="77777777" w:rsidR="00054437" w:rsidRPr="000549B1" w:rsidRDefault="00000000">
      <w:pPr>
        <w:widowControl/>
        <w:rPr>
          <w:b/>
          <w:bCs/>
          <w:szCs w:val="21"/>
        </w:rPr>
      </w:pPr>
      <w:r w:rsidRPr="000549B1">
        <w:rPr>
          <w:b/>
          <w:bCs/>
          <w:szCs w:val="21"/>
        </w:rPr>
        <w:t>注：用符号表示分布状况：</w:t>
      </w:r>
      <w:r w:rsidRPr="000549B1">
        <w:rPr>
          <w:rFonts w:ascii="宋体" w:hAnsi="宋体"/>
          <w:b/>
          <w:bCs/>
          <w:szCs w:val="21"/>
        </w:rPr>
        <w:t>“</w:t>
      </w:r>
      <w:r w:rsidRPr="000549B1">
        <w:rPr>
          <w:b/>
          <w:bCs/>
          <w:szCs w:val="21"/>
        </w:rPr>
        <w:t>+</w:t>
      </w:r>
      <w:r w:rsidRPr="000549B1">
        <w:rPr>
          <w:rFonts w:ascii="宋体" w:hAnsi="宋体"/>
          <w:b/>
          <w:bCs/>
          <w:szCs w:val="21"/>
        </w:rPr>
        <w:t>”</w:t>
      </w:r>
      <w:r w:rsidRPr="000549B1">
        <w:rPr>
          <w:b/>
          <w:bCs/>
          <w:szCs w:val="21"/>
        </w:rPr>
        <w:t>表示一般，</w:t>
      </w:r>
      <w:r w:rsidRPr="000549B1">
        <w:rPr>
          <w:rFonts w:ascii="宋体" w:hAnsi="宋体"/>
          <w:b/>
          <w:bCs/>
          <w:szCs w:val="21"/>
        </w:rPr>
        <w:t>“</w:t>
      </w:r>
      <w:r w:rsidRPr="000549B1">
        <w:rPr>
          <w:b/>
          <w:bCs/>
          <w:szCs w:val="21"/>
        </w:rPr>
        <w:t>++</w:t>
      </w:r>
      <w:r w:rsidRPr="000549B1">
        <w:rPr>
          <w:rFonts w:ascii="宋体" w:hAnsi="宋体"/>
          <w:b/>
          <w:bCs/>
          <w:szCs w:val="21"/>
        </w:rPr>
        <w:t>”</w:t>
      </w:r>
      <w:r w:rsidRPr="000549B1">
        <w:rPr>
          <w:b/>
          <w:bCs/>
          <w:szCs w:val="21"/>
        </w:rPr>
        <w:t>表示较多，</w:t>
      </w:r>
      <w:r w:rsidRPr="000549B1">
        <w:rPr>
          <w:rFonts w:ascii="宋体" w:hAnsi="宋体"/>
          <w:b/>
          <w:bCs/>
          <w:szCs w:val="21"/>
        </w:rPr>
        <w:t>“</w:t>
      </w:r>
      <w:r w:rsidRPr="000549B1">
        <w:rPr>
          <w:b/>
          <w:bCs/>
          <w:szCs w:val="21"/>
        </w:rPr>
        <w:t>+++</w:t>
      </w:r>
      <w:r w:rsidRPr="000549B1">
        <w:rPr>
          <w:rFonts w:ascii="宋体" w:hAnsi="宋体"/>
          <w:b/>
          <w:bCs/>
          <w:szCs w:val="21"/>
        </w:rPr>
        <w:t>”</w:t>
      </w:r>
      <w:r w:rsidRPr="000549B1">
        <w:rPr>
          <w:b/>
          <w:bCs/>
          <w:szCs w:val="21"/>
        </w:rPr>
        <w:t>表示很多，用于定性比较。</w:t>
      </w:r>
    </w:p>
    <w:p w14:paraId="2F28F9B7" w14:textId="77777777" w:rsidR="00054437" w:rsidRPr="000549B1" w:rsidRDefault="00054437">
      <w:pPr>
        <w:spacing w:line="500" w:lineRule="exact"/>
        <w:ind w:firstLineChars="200" w:firstLine="482"/>
        <w:jc w:val="center"/>
        <w:rPr>
          <w:rFonts w:eastAsia="黑体"/>
          <w:b/>
          <w:bCs/>
          <w:kern w:val="0"/>
          <w:sz w:val="24"/>
          <w:szCs w:val="20"/>
        </w:rPr>
      </w:pPr>
    </w:p>
    <w:p w14:paraId="5139E00F" w14:textId="77777777" w:rsidR="00054437" w:rsidRPr="000549B1" w:rsidRDefault="00054437">
      <w:pPr>
        <w:spacing w:line="500" w:lineRule="exact"/>
        <w:ind w:firstLineChars="200" w:firstLine="482"/>
        <w:jc w:val="center"/>
        <w:rPr>
          <w:rFonts w:eastAsia="黑体"/>
          <w:b/>
          <w:bCs/>
          <w:kern w:val="0"/>
          <w:sz w:val="24"/>
          <w:szCs w:val="20"/>
        </w:rPr>
      </w:pPr>
    </w:p>
    <w:p w14:paraId="6F35EED4" w14:textId="77777777" w:rsidR="00054437" w:rsidRPr="000549B1" w:rsidRDefault="00054437">
      <w:pPr>
        <w:spacing w:line="500" w:lineRule="exact"/>
        <w:ind w:firstLineChars="200" w:firstLine="482"/>
        <w:jc w:val="center"/>
        <w:rPr>
          <w:rFonts w:eastAsia="黑体"/>
          <w:b/>
          <w:bCs/>
          <w:kern w:val="0"/>
          <w:sz w:val="24"/>
          <w:szCs w:val="20"/>
        </w:rPr>
      </w:pPr>
    </w:p>
    <w:p w14:paraId="24B3535E" w14:textId="6338F132" w:rsidR="00054437" w:rsidRPr="000549B1" w:rsidRDefault="00000000">
      <w:pPr>
        <w:pStyle w:val="0A51"/>
        <w:ind w:firstLine="422"/>
      </w:pPr>
      <w:r w:rsidRPr="000549B1">
        <w:t>表</w:t>
      </w:r>
      <w:fldSimple w:instr=" STYLEREF 2 \s ">
        <w:r w:rsidR="00372953">
          <w:rPr>
            <w:noProof/>
          </w:rPr>
          <w:t>3.6</w:t>
        </w:r>
      </w:fldSimple>
      <w:r w:rsidR="00372953">
        <w:noBreakHyphen/>
      </w:r>
      <w:r w:rsidR="00372953">
        <w:fldChar w:fldCharType="begin"/>
      </w:r>
      <w:r w:rsidR="00372953">
        <w:instrText xml:space="preserve"> SEQ </w:instrText>
      </w:r>
      <w:r w:rsidR="00372953">
        <w:instrText>表</w:instrText>
      </w:r>
      <w:r w:rsidR="00372953">
        <w:instrText xml:space="preserve"> \* ARABIC \s 2 </w:instrText>
      </w:r>
      <w:r w:rsidR="00372953">
        <w:fldChar w:fldCharType="separate"/>
      </w:r>
      <w:r w:rsidR="00372953">
        <w:rPr>
          <w:noProof/>
        </w:rPr>
        <w:t>7</w:t>
      </w:r>
      <w:r w:rsidR="00372953">
        <w:fldChar w:fldCharType="end"/>
      </w:r>
      <w:r w:rsidRPr="000549B1">
        <w:t>浮游动物定量分析表</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
        <w:gridCol w:w="1546"/>
        <w:gridCol w:w="1591"/>
        <w:gridCol w:w="901"/>
        <w:gridCol w:w="1057"/>
        <w:gridCol w:w="848"/>
        <w:gridCol w:w="899"/>
        <w:gridCol w:w="899"/>
      </w:tblGrid>
      <w:tr w:rsidR="000549B1" w:rsidRPr="000549B1" w14:paraId="2061D866" w14:textId="77777777">
        <w:trPr>
          <w:trHeight w:val="300"/>
          <w:tblHeader/>
          <w:jc w:val="center"/>
        </w:trPr>
        <w:tc>
          <w:tcPr>
            <w:tcW w:w="1264" w:type="pct"/>
            <w:gridSpan w:val="2"/>
            <w:vAlign w:val="center"/>
          </w:tcPr>
          <w:p w14:paraId="0E91F8A5" w14:textId="77777777" w:rsidR="00054437" w:rsidRPr="000549B1" w:rsidRDefault="00000000">
            <w:pPr>
              <w:widowControl/>
              <w:spacing w:line="240" w:lineRule="atLeast"/>
              <w:jc w:val="center"/>
              <w:rPr>
                <w:b/>
                <w:bCs/>
                <w:szCs w:val="21"/>
              </w:rPr>
            </w:pPr>
            <w:r w:rsidRPr="000549B1">
              <w:rPr>
                <w:b/>
                <w:bCs/>
                <w:szCs w:val="21"/>
              </w:rPr>
              <w:t>采样断面</w:t>
            </w:r>
          </w:p>
        </w:tc>
        <w:tc>
          <w:tcPr>
            <w:tcW w:w="1502" w:type="pct"/>
            <w:gridSpan w:val="2"/>
            <w:noWrap/>
            <w:vAlign w:val="center"/>
          </w:tcPr>
          <w:p w14:paraId="10FC8DF6" w14:textId="77777777" w:rsidR="00054437" w:rsidRPr="000549B1" w:rsidRDefault="00000000">
            <w:pPr>
              <w:spacing w:line="240" w:lineRule="atLeast"/>
              <w:jc w:val="center"/>
              <w:rPr>
                <w:b/>
                <w:bCs/>
                <w:szCs w:val="21"/>
              </w:rPr>
            </w:pPr>
            <w:r w:rsidRPr="000549B1">
              <w:rPr>
                <w:b/>
                <w:bCs/>
                <w:szCs w:val="21"/>
              </w:rPr>
              <w:t>浮游动物总量</w:t>
            </w:r>
          </w:p>
        </w:tc>
        <w:tc>
          <w:tcPr>
            <w:tcW w:w="637" w:type="pct"/>
            <w:noWrap/>
            <w:vAlign w:val="center"/>
          </w:tcPr>
          <w:p w14:paraId="43DEDCCD" w14:textId="77777777" w:rsidR="00054437" w:rsidRPr="000549B1" w:rsidRDefault="00000000">
            <w:pPr>
              <w:spacing w:line="240" w:lineRule="atLeast"/>
              <w:jc w:val="center"/>
              <w:rPr>
                <w:b/>
                <w:bCs/>
                <w:szCs w:val="21"/>
              </w:rPr>
            </w:pPr>
            <w:r w:rsidRPr="000549B1">
              <w:rPr>
                <w:b/>
                <w:bCs/>
                <w:szCs w:val="21"/>
              </w:rPr>
              <w:t>原生动物</w:t>
            </w:r>
          </w:p>
        </w:tc>
        <w:tc>
          <w:tcPr>
            <w:tcW w:w="511" w:type="pct"/>
            <w:noWrap/>
            <w:vAlign w:val="center"/>
          </w:tcPr>
          <w:p w14:paraId="57C9746C" w14:textId="77777777" w:rsidR="00054437" w:rsidRPr="000549B1" w:rsidRDefault="00000000">
            <w:pPr>
              <w:spacing w:line="240" w:lineRule="atLeast"/>
              <w:jc w:val="center"/>
              <w:rPr>
                <w:b/>
                <w:bCs/>
                <w:szCs w:val="21"/>
              </w:rPr>
            </w:pPr>
            <w:r w:rsidRPr="000549B1">
              <w:rPr>
                <w:b/>
                <w:bCs/>
                <w:szCs w:val="21"/>
              </w:rPr>
              <w:t>轮虫类</w:t>
            </w:r>
          </w:p>
        </w:tc>
        <w:tc>
          <w:tcPr>
            <w:tcW w:w="542" w:type="pct"/>
            <w:noWrap/>
            <w:vAlign w:val="center"/>
          </w:tcPr>
          <w:p w14:paraId="668425CE" w14:textId="77777777" w:rsidR="00054437" w:rsidRPr="000549B1" w:rsidRDefault="00000000">
            <w:pPr>
              <w:spacing w:line="240" w:lineRule="atLeast"/>
              <w:jc w:val="center"/>
              <w:rPr>
                <w:b/>
                <w:bCs/>
                <w:szCs w:val="21"/>
              </w:rPr>
            </w:pPr>
            <w:r w:rsidRPr="000549B1">
              <w:rPr>
                <w:b/>
                <w:bCs/>
                <w:szCs w:val="21"/>
              </w:rPr>
              <w:t>枝角类</w:t>
            </w:r>
          </w:p>
        </w:tc>
        <w:tc>
          <w:tcPr>
            <w:tcW w:w="542" w:type="pct"/>
            <w:noWrap/>
            <w:vAlign w:val="center"/>
          </w:tcPr>
          <w:p w14:paraId="76AB301E" w14:textId="77777777" w:rsidR="00054437" w:rsidRPr="000549B1" w:rsidRDefault="00000000">
            <w:pPr>
              <w:spacing w:line="240" w:lineRule="atLeast"/>
              <w:jc w:val="center"/>
              <w:rPr>
                <w:b/>
                <w:bCs/>
                <w:szCs w:val="21"/>
              </w:rPr>
            </w:pPr>
            <w:r w:rsidRPr="000549B1">
              <w:rPr>
                <w:b/>
                <w:bCs/>
                <w:szCs w:val="21"/>
              </w:rPr>
              <w:t>桡足类</w:t>
            </w:r>
          </w:p>
        </w:tc>
      </w:tr>
      <w:tr w:rsidR="000549B1" w:rsidRPr="000549B1" w14:paraId="5EC4C33A" w14:textId="77777777">
        <w:trPr>
          <w:trHeight w:val="330"/>
          <w:jc w:val="center"/>
        </w:trPr>
        <w:tc>
          <w:tcPr>
            <w:tcW w:w="332" w:type="pct"/>
            <w:vMerge w:val="restart"/>
            <w:vAlign w:val="center"/>
          </w:tcPr>
          <w:p w14:paraId="64B7914D" w14:textId="77777777" w:rsidR="00054437" w:rsidRPr="000549B1" w:rsidRDefault="00000000">
            <w:pPr>
              <w:spacing w:line="240" w:lineRule="atLeast"/>
              <w:jc w:val="center"/>
              <w:rPr>
                <w:szCs w:val="21"/>
              </w:rPr>
            </w:pPr>
            <w:r w:rsidRPr="000549B1">
              <w:rPr>
                <w:szCs w:val="21"/>
              </w:rPr>
              <w:t>切吉河</w:t>
            </w:r>
          </w:p>
        </w:tc>
        <w:tc>
          <w:tcPr>
            <w:tcW w:w="931" w:type="pct"/>
            <w:vMerge w:val="restart"/>
            <w:vAlign w:val="center"/>
          </w:tcPr>
          <w:p w14:paraId="714E256A" w14:textId="77777777" w:rsidR="00054437" w:rsidRPr="000549B1" w:rsidRDefault="00000000">
            <w:pPr>
              <w:spacing w:line="240" w:lineRule="atLeast"/>
              <w:jc w:val="center"/>
              <w:rPr>
                <w:szCs w:val="21"/>
              </w:rPr>
            </w:pPr>
            <w:r w:rsidRPr="000549B1">
              <w:rPr>
                <w:szCs w:val="21"/>
              </w:rPr>
              <w:t>切吉水库上游</w:t>
            </w:r>
          </w:p>
        </w:tc>
        <w:tc>
          <w:tcPr>
            <w:tcW w:w="959" w:type="pct"/>
            <w:vAlign w:val="center"/>
          </w:tcPr>
          <w:p w14:paraId="5DFE49AB" w14:textId="77777777" w:rsidR="00054437" w:rsidRPr="000549B1" w:rsidRDefault="00000000">
            <w:pPr>
              <w:spacing w:line="240" w:lineRule="atLeast"/>
              <w:jc w:val="center"/>
              <w:rPr>
                <w:szCs w:val="21"/>
              </w:rPr>
            </w:pPr>
            <w:r w:rsidRPr="000549B1">
              <w:rPr>
                <w:szCs w:val="21"/>
              </w:rPr>
              <w:t>密度</w:t>
            </w:r>
            <w:r w:rsidRPr="000549B1">
              <w:rPr>
                <w:szCs w:val="21"/>
              </w:rPr>
              <w:t>ind.L</w:t>
            </w:r>
            <w:r w:rsidRPr="000549B1">
              <w:rPr>
                <w:szCs w:val="21"/>
                <w:vertAlign w:val="superscript"/>
              </w:rPr>
              <w:t>-1</w:t>
            </w:r>
          </w:p>
        </w:tc>
        <w:tc>
          <w:tcPr>
            <w:tcW w:w="542" w:type="pct"/>
            <w:noWrap/>
            <w:vAlign w:val="center"/>
          </w:tcPr>
          <w:p w14:paraId="7F5D1031" w14:textId="77777777" w:rsidR="00054437" w:rsidRPr="000549B1" w:rsidRDefault="00000000">
            <w:pPr>
              <w:spacing w:line="240" w:lineRule="atLeast"/>
              <w:jc w:val="center"/>
              <w:rPr>
                <w:szCs w:val="21"/>
              </w:rPr>
            </w:pPr>
            <w:r w:rsidRPr="000549B1">
              <w:rPr>
                <w:szCs w:val="21"/>
              </w:rPr>
              <w:t>35</w:t>
            </w:r>
          </w:p>
        </w:tc>
        <w:tc>
          <w:tcPr>
            <w:tcW w:w="637" w:type="pct"/>
            <w:noWrap/>
            <w:vAlign w:val="center"/>
          </w:tcPr>
          <w:p w14:paraId="3043174C" w14:textId="77777777" w:rsidR="00054437" w:rsidRPr="000549B1" w:rsidRDefault="00000000">
            <w:pPr>
              <w:spacing w:line="240" w:lineRule="atLeast"/>
              <w:jc w:val="center"/>
              <w:rPr>
                <w:szCs w:val="21"/>
              </w:rPr>
            </w:pPr>
            <w:r w:rsidRPr="000549B1">
              <w:rPr>
                <w:szCs w:val="21"/>
              </w:rPr>
              <w:t>5</w:t>
            </w:r>
          </w:p>
        </w:tc>
        <w:tc>
          <w:tcPr>
            <w:tcW w:w="511" w:type="pct"/>
            <w:noWrap/>
            <w:vAlign w:val="center"/>
          </w:tcPr>
          <w:p w14:paraId="18E17CE1" w14:textId="77777777" w:rsidR="00054437" w:rsidRPr="000549B1" w:rsidRDefault="00000000">
            <w:pPr>
              <w:spacing w:line="240" w:lineRule="atLeast"/>
              <w:jc w:val="center"/>
              <w:rPr>
                <w:szCs w:val="21"/>
              </w:rPr>
            </w:pPr>
            <w:r w:rsidRPr="000549B1">
              <w:rPr>
                <w:szCs w:val="21"/>
              </w:rPr>
              <w:t>20</w:t>
            </w:r>
          </w:p>
        </w:tc>
        <w:tc>
          <w:tcPr>
            <w:tcW w:w="542" w:type="pct"/>
            <w:noWrap/>
            <w:vAlign w:val="center"/>
          </w:tcPr>
          <w:p w14:paraId="1D80750B" w14:textId="77777777" w:rsidR="00054437" w:rsidRPr="000549B1" w:rsidRDefault="00000000">
            <w:pPr>
              <w:spacing w:line="240" w:lineRule="atLeast"/>
              <w:jc w:val="center"/>
              <w:rPr>
                <w:szCs w:val="21"/>
              </w:rPr>
            </w:pPr>
            <w:r w:rsidRPr="000549B1">
              <w:rPr>
                <w:szCs w:val="21"/>
              </w:rPr>
              <w:t>0</w:t>
            </w:r>
          </w:p>
        </w:tc>
        <w:tc>
          <w:tcPr>
            <w:tcW w:w="542" w:type="pct"/>
            <w:noWrap/>
            <w:vAlign w:val="center"/>
          </w:tcPr>
          <w:p w14:paraId="6416EE67" w14:textId="77777777" w:rsidR="00054437" w:rsidRPr="000549B1" w:rsidRDefault="00000000">
            <w:pPr>
              <w:spacing w:line="240" w:lineRule="atLeast"/>
              <w:jc w:val="center"/>
              <w:rPr>
                <w:szCs w:val="21"/>
              </w:rPr>
            </w:pPr>
            <w:r w:rsidRPr="000549B1">
              <w:rPr>
                <w:szCs w:val="21"/>
              </w:rPr>
              <w:t>10</w:t>
            </w:r>
          </w:p>
        </w:tc>
      </w:tr>
      <w:tr w:rsidR="000549B1" w:rsidRPr="000549B1" w14:paraId="0D963D1A" w14:textId="77777777">
        <w:trPr>
          <w:trHeight w:val="585"/>
          <w:jc w:val="center"/>
        </w:trPr>
        <w:tc>
          <w:tcPr>
            <w:tcW w:w="332" w:type="pct"/>
            <w:vMerge/>
            <w:vAlign w:val="center"/>
          </w:tcPr>
          <w:p w14:paraId="3D8271CB" w14:textId="77777777" w:rsidR="00054437" w:rsidRPr="000549B1" w:rsidRDefault="00054437">
            <w:pPr>
              <w:spacing w:line="240" w:lineRule="atLeast"/>
              <w:jc w:val="center"/>
              <w:rPr>
                <w:szCs w:val="21"/>
              </w:rPr>
            </w:pPr>
          </w:p>
        </w:tc>
        <w:tc>
          <w:tcPr>
            <w:tcW w:w="931" w:type="pct"/>
            <w:vMerge/>
            <w:vAlign w:val="center"/>
          </w:tcPr>
          <w:p w14:paraId="50545DE6" w14:textId="77777777" w:rsidR="00054437" w:rsidRPr="000549B1" w:rsidRDefault="00054437">
            <w:pPr>
              <w:spacing w:line="240" w:lineRule="atLeast"/>
              <w:jc w:val="center"/>
              <w:rPr>
                <w:szCs w:val="21"/>
              </w:rPr>
            </w:pPr>
          </w:p>
        </w:tc>
        <w:tc>
          <w:tcPr>
            <w:tcW w:w="959" w:type="pct"/>
            <w:vAlign w:val="center"/>
          </w:tcPr>
          <w:p w14:paraId="4FA322A3" w14:textId="77777777" w:rsidR="00054437" w:rsidRPr="000549B1" w:rsidRDefault="00000000">
            <w:pPr>
              <w:spacing w:line="240" w:lineRule="atLeast"/>
              <w:jc w:val="center"/>
              <w:rPr>
                <w:szCs w:val="21"/>
              </w:rPr>
            </w:pPr>
            <w:r w:rsidRPr="000549B1">
              <w:rPr>
                <w:szCs w:val="21"/>
              </w:rPr>
              <w:t>生物量</w:t>
            </w:r>
            <w:r w:rsidRPr="000549B1">
              <w:rPr>
                <w:szCs w:val="21"/>
              </w:rPr>
              <w:t>mg.L</w:t>
            </w:r>
            <w:r w:rsidRPr="000549B1">
              <w:rPr>
                <w:szCs w:val="21"/>
                <w:vertAlign w:val="superscript"/>
              </w:rPr>
              <w:t>-1</w:t>
            </w:r>
          </w:p>
        </w:tc>
        <w:tc>
          <w:tcPr>
            <w:tcW w:w="542" w:type="pct"/>
            <w:noWrap/>
            <w:vAlign w:val="center"/>
          </w:tcPr>
          <w:p w14:paraId="40749823" w14:textId="77777777" w:rsidR="00054437" w:rsidRPr="000549B1" w:rsidRDefault="00000000">
            <w:pPr>
              <w:spacing w:line="240" w:lineRule="atLeast"/>
              <w:jc w:val="center"/>
              <w:rPr>
                <w:szCs w:val="21"/>
              </w:rPr>
            </w:pPr>
            <w:r w:rsidRPr="000549B1">
              <w:rPr>
                <w:szCs w:val="21"/>
              </w:rPr>
              <w:t>0.00855</w:t>
            </w:r>
          </w:p>
        </w:tc>
        <w:tc>
          <w:tcPr>
            <w:tcW w:w="637" w:type="pct"/>
            <w:noWrap/>
            <w:vAlign w:val="center"/>
          </w:tcPr>
          <w:p w14:paraId="53FD5726" w14:textId="77777777" w:rsidR="00054437" w:rsidRPr="000549B1" w:rsidRDefault="00000000">
            <w:pPr>
              <w:spacing w:line="240" w:lineRule="atLeast"/>
              <w:jc w:val="center"/>
              <w:rPr>
                <w:szCs w:val="21"/>
              </w:rPr>
            </w:pPr>
            <w:r w:rsidRPr="000549B1">
              <w:rPr>
                <w:szCs w:val="21"/>
              </w:rPr>
              <w:t>0.00025</w:t>
            </w:r>
          </w:p>
        </w:tc>
        <w:tc>
          <w:tcPr>
            <w:tcW w:w="511" w:type="pct"/>
            <w:noWrap/>
            <w:vAlign w:val="center"/>
          </w:tcPr>
          <w:p w14:paraId="39051DE1" w14:textId="77777777" w:rsidR="00054437" w:rsidRPr="000549B1" w:rsidRDefault="00000000">
            <w:pPr>
              <w:spacing w:line="240" w:lineRule="atLeast"/>
              <w:jc w:val="center"/>
              <w:rPr>
                <w:szCs w:val="21"/>
              </w:rPr>
            </w:pPr>
            <w:r w:rsidRPr="000549B1">
              <w:rPr>
                <w:szCs w:val="21"/>
              </w:rPr>
              <w:t>0.008</w:t>
            </w:r>
          </w:p>
        </w:tc>
        <w:tc>
          <w:tcPr>
            <w:tcW w:w="542" w:type="pct"/>
            <w:noWrap/>
            <w:vAlign w:val="center"/>
          </w:tcPr>
          <w:p w14:paraId="145808BF" w14:textId="77777777" w:rsidR="00054437" w:rsidRPr="000549B1" w:rsidRDefault="00000000">
            <w:pPr>
              <w:spacing w:line="240" w:lineRule="atLeast"/>
              <w:jc w:val="center"/>
              <w:rPr>
                <w:szCs w:val="21"/>
              </w:rPr>
            </w:pPr>
            <w:r w:rsidRPr="000549B1">
              <w:rPr>
                <w:szCs w:val="21"/>
              </w:rPr>
              <w:t>0</w:t>
            </w:r>
          </w:p>
        </w:tc>
        <w:tc>
          <w:tcPr>
            <w:tcW w:w="542" w:type="pct"/>
            <w:noWrap/>
            <w:vAlign w:val="center"/>
          </w:tcPr>
          <w:p w14:paraId="10545038" w14:textId="77777777" w:rsidR="00054437" w:rsidRPr="000549B1" w:rsidRDefault="00000000">
            <w:pPr>
              <w:spacing w:line="240" w:lineRule="atLeast"/>
              <w:jc w:val="center"/>
              <w:rPr>
                <w:szCs w:val="21"/>
              </w:rPr>
            </w:pPr>
            <w:r w:rsidRPr="000549B1">
              <w:rPr>
                <w:szCs w:val="21"/>
              </w:rPr>
              <w:t>0.0003</w:t>
            </w:r>
          </w:p>
        </w:tc>
      </w:tr>
      <w:tr w:rsidR="000549B1" w:rsidRPr="000549B1" w14:paraId="08539384" w14:textId="77777777">
        <w:trPr>
          <w:trHeight w:val="330"/>
          <w:jc w:val="center"/>
        </w:trPr>
        <w:tc>
          <w:tcPr>
            <w:tcW w:w="332" w:type="pct"/>
            <w:vMerge/>
            <w:vAlign w:val="center"/>
          </w:tcPr>
          <w:p w14:paraId="57B2D03B" w14:textId="77777777" w:rsidR="00054437" w:rsidRPr="000549B1" w:rsidRDefault="00054437">
            <w:pPr>
              <w:spacing w:line="240" w:lineRule="atLeast"/>
              <w:jc w:val="center"/>
              <w:rPr>
                <w:szCs w:val="21"/>
              </w:rPr>
            </w:pPr>
          </w:p>
        </w:tc>
        <w:tc>
          <w:tcPr>
            <w:tcW w:w="931" w:type="pct"/>
            <w:vMerge w:val="restart"/>
            <w:vAlign w:val="center"/>
          </w:tcPr>
          <w:p w14:paraId="01EB53B6" w14:textId="77777777" w:rsidR="00054437" w:rsidRPr="000549B1" w:rsidRDefault="00000000">
            <w:pPr>
              <w:spacing w:line="240" w:lineRule="atLeast"/>
              <w:jc w:val="center"/>
              <w:rPr>
                <w:szCs w:val="21"/>
              </w:rPr>
            </w:pPr>
            <w:r w:rsidRPr="000549B1">
              <w:rPr>
                <w:szCs w:val="21"/>
              </w:rPr>
              <w:t>切吉水库</w:t>
            </w:r>
          </w:p>
        </w:tc>
        <w:tc>
          <w:tcPr>
            <w:tcW w:w="959" w:type="pct"/>
            <w:vAlign w:val="center"/>
          </w:tcPr>
          <w:p w14:paraId="3BF70C4A" w14:textId="77777777" w:rsidR="00054437" w:rsidRPr="000549B1" w:rsidRDefault="00000000">
            <w:pPr>
              <w:spacing w:line="240" w:lineRule="atLeast"/>
              <w:jc w:val="center"/>
              <w:rPr>
                <w:szCs w:val="21"/>
              </w:rPr>
            </w:pPr>
            <w:r w:rsidRPr="000549B1">
              <w:rPr>
                <w:szCs w:val="21"/>
              </w:rPr>
              <w:t>密度</w:t>
            </w:r>
            <w:r w:rsidRPr="000549B1">
              <w:rPr>
                <w:szCs w:val="21"/>
              </w:rPr>
              <w:t>ind.L</w:t>
            </w:r>
            <w:r w:rsidRPr="000549B1">
              <w:rPr>
                <w:szCs w:val="21"/>
                <w:vertAlign w:val="superscript"/>
              </w:rPr>
              <w:t>-1</w:t>
            </w:r>
          </w:p>
        </w:tc>
        <w:tc>
          <w:tcPr>
            <w:tcW w:w="542" w:type="pct"/>
            <w:noWrap/>
            <w:vAlign w:val="center"/>
          </w:tcPr>
          <w:p w14:paraId="0F9F3BF2" w14:textId="77777777" w:rsidR="00054437" w:rsidRPr="000549B1" w:rsidRDefault="00000000">
            <w:pPr>
              <w:spacing w:line="240" w:lineRule="atLeast"/>
              <w:jc w:val="center"/>
              <w:rPr>
                <w:szCs w:val="21"/>
              </w:rPr>
            </w:pPr>
            <w:r w:rsidRPr="000549B1">
              <w:rPr>
                <w:szCs w:val="21"/>
              </w:rPr>
              <w:t>230</w:t>
            </w:r>
          </w:p>
        </w:tc>
        <w:tc>
          <w:tcPr>
            <w:tcW w:w="637" w:type="pct"/>
            <w:noWrap/>
            <w:vAlign w:val="center"/>
          </w:tcPr>
          <w:p w14:paraId="6ACB5AD9" w14:textId="77777777" w:rsidR="00054437" w:rsidRPr="000549B1" w:rsidRDefault="00000000">
            <w:pPr>
              <w:spacing w:line="240" w:lineRule="atLeast"/>
              <w:jc w:val="center"/>
              <w:rPr>
                <w:szCs w:val="21"/>
              </w:rPr>
            </w:pPr>
            <w:r w:rsidRPr="000549B1">
              <w:rPr>
                <w:szCs w:val="21"/>
              </w:rPr>
              <w:t>10</w:t>
            </w:r>
          </w:p>
        </w:tc>
        <w:tc>
          <w:tcPr>
            <w:tcW w:w="511" w:type="pct"/>
            <w:noWrap/>
            <w:vAlign w:val="center"/>
          </w:tcPr>
          <w:p w14:paraId="16692FEB" w14:textId="77777777" w:rsidR="00054437" w:rsidRPr="000549B1" w:rsidRDefault="00000000">
            <w:pPr>
              <w:spacing w:line="240" w:lineRule="atLeast"/>
              <w:jc w:val="center"/>
              <w:rPr>
                <w:szCs w:val="21"/>
              </w:rPr>
            </w:pPr>
            <w:r w:rsidRPr="000549B1">
              <w:rPr>
                <w:szCs w:val="21"/>
              </w:rPr>
              <w:t>220</w:t>
            </w:r>
          </w:p>
        </w:tc>
        <w:tc>
          <w:tcPr>
            <w:tcW w:w="542" w:type="pct"/>
            <w:noWrap/>
            <w:vAlign w:val="center"/>
          </w:tcPr>
          <w:p w14:paraId="5C60123A" w14:textId="77777777" w:rsidR="00054437" w:rsidRPr="000549B1" w:rsidRDefault="00000000">
            <w:pPr>
              <w:spacing w:line="240" w:lineRule="atLeast"/>
              <w:jc w:val="center"/>
              <w:rPr>
                <w:szCs w:val="21"/>
              </w:rPr>
            </w:pPr>
            <w:r w:rsidRPr="000549B1">
              <w:rPr>
                <w:szCs w:val="21"/>
              </w:rPr>
              <w:t>0</w:t>
            </w:r>
          </w:p>
        </w:tc>
        <w:tc>
          <w:tcPr>
            <w:tcW w:w="542" w:type="pct"/>
            <w:noWrap/>
            <w:vAlign w:val="center"/>
          </w:tcPr>
          <w:p w14:paraId="6CA81C53" w14:textId="77777777" w:rsidR="00054437" w:rsidRPr="000549B1" w:rsidRDefault="00000000">
            <w:pPr>
              <w:spacing w:line="240" w:lineRule="atLeast"/>
              <w:jc w:val="center"/>
              <w:rPr>
                <w:szCs w:val="21"/>
              </w:rPr>
            </w:pPr>
            <w:r w:rsidRPr="000549B1">
              <w:rPr>
                <w:szCs w:val="21"/>
              </w:rPr>
              <w:t>0</w:t>
            </w:r>
          </w:p>
        </w:tc>
      </w:tr>
      <w:tr w:rsidR="000549B1" w:rsidRPr="000549B1" w14:paraId="376FD32E" w14:textId="77777777">
        <w:trPr>
          <w:trHeight w:val="585"/>
          <w:jc w:val="center"/>
        </w:trPr>
        <w:tc>
          <w:tcPr>
            <w:tcW w:w="332" w:type="pct"/>
            <w:vMerge/>
            <w:vAlign w:val="center"/>
          </w:tcPr>
          <w:p w14:paraId="094EF012" w14:textId="77777777" w:rsidR="00054437" w:rsidRPr="000549B1" w:rsidRDefault="00054437">
            <w:pPr>
              <w:spacing w:line="240" w:lineRule="atLeast"/>
              <w:jc w:val="center"/>
              <w:rPr>
                <w:szCs w:val="21"/>
              </w:rPr>
            </w:pPr>
          </w:p>
        </w:tc>
        <w:tc>
          <w:tcPr>
            <w:tcW w:w="931" w:type="pct"/>
            <w:vMerge/>
            <w:vAlign w:val="center"/>
          </w:tcPr>
          <w:p w14:paraId="345C9019" w14:textId="77777777" w:rsidR="00054437" w:rsidRPr="000549B1" w:rsidRDefault="00054437">
            <w:pPr>
              <w:spacing w:line="240" w:lineRule="atLeast"/>
              <w:jc w:val="center"/>
              <w:rPr>
                <w:szCs w:val="21"/>
              </w:rPr>
            </w:pPr>
          </w:p>
        </w:tc>
        <w:tc>
          <w:tcPr>
            <w:tcW w:w="959" w:type="pct"/>
            <w:vAlign w:val="center"/>
          </w:tcPr>
          <w:p w14:paraId="5E10D357" w14:textId="77777777" w:rsidR="00054437" w:rsidRPr="000549B1" w:rsidRDefault="00000000">
            <w:pPr>
              <w:spacing w:line="240" w:lineRule="atLeast"/>
              <w:jc w:val="center"/>
              <w:rPr>
                <w:szCs w:val="21"/>
              </w:rPr>
            </w:pPr>
            <w:r w:rsidRPr="000549B1">
              <w:rPr>
                <w:szCs w:val="21"/>
              </w:rPr>
              <w:t>生物量</w:t>
            </w:r>
            <w:r w:rsidRPr="000549B1">
              <w:rPr>
                <w:szCs w:val="21"/>
              </w:rPr>
              <w:t>mg.L</w:t>
            </w:r>
            <w:r w:rsidRPr="000549B1">
              <w:rPr>
                <w:szCs w:val="21"/>
                <w:vertAlign w:val="superscript"/>
              </w:rPr>
              <w:t>-1</w:t>
            </w:r>
          </w:p>
        </w:tc>
        <w:tc>
          <w:tcPr>
            <w:tcW w:w="542" w:type="pct"/>
            <w:noWrap/>
            <w:vAlign w:val="center"/>
          </w:tcPr>
          <w:p w14:paraId="46889CA7" w14:textId="77777777" w:rsidR="00054437" w:rsidRPr="000549B1" w:rsidRDefault="00000000">
            <w:pPr>
              <w:spacing w:line="240" w:lineRule="atLeast"/>
              <w:jc w:val="center"/>
              <w:rPr>
                <w:szCs w:val="21"/>
              </w:rPr>
            </w:pPr>
            <w:r w:rsidRPr="000549B1">
              <w:rPr>
                <w:szCs w:val="21"/>
              </w:rPr>
              <w:t>0.0885</w:t>
            </w:r>
          </w:p>
        </w:tc>
        <w:tc>
          <w:tcPr>
            <w:tcW w:w="637" w:type="pct"/>
            <w:noWrap/>
            <w:vAlign w:val="center"/>
          </w:tcPr>
          <w:p w14:paraId="01EE89AA" w14:textId="77777777" w:rsidR="00054437" w:rsidRPr="000549B1" w:rsidRDefault="00000000">
            <w:pPr>
              <w:spacing w:line="240" w:lineRule="atLeast"/>
              <w:jc w:val="center"/>
              <w:rPr>
                <w:szCs w:val="21"/>
              </w:rPr>
            </w:pPr>
            <w:r w:rsidRPr="000549B1">
              <w:rPr>
                <w:szCs w:val="21"/>
              </w:rPr>
              <w:t>0.0005</w:t>
            </w:r>
          </w:p>
        </w:tc>
        <w:tc>
          <w:tcPr>
            <w:tcW w:w="511" w:type="pct"/>
            <w:noWrap/>
            <w:vAlign w:val="center"/>
          </w:tcPr>
          <w:p w14:paraId="3723EDD0" w14:textId="77777777" w:rsidR="00054437" w:rsidRPr="000549B1" w:rsidRDefault="00000000">
            <w:pPr>
              <w:spacing w:line="240" w:lineRule="atLeast"/>
              <w:jc w:val="center"/>
              <w:rPr>
                <w:szCs w:val="21"/>
              </w:rPr>
            </w:pPr>
            <w:r w:rsidRPr="000549B1">
              <w:rPr>
                <w:szCs w:val="21"/>
              </w:rPr>
              <w:t>0.088</w:t>
            </w:r>
          </w:p>
        </w:tc>
        <w:tc>
          <w:tcPr>
            <w:tcW w:w="542" w:type="pct"/>
            <w:noWrap/>
            <w:vAlign w:val="center"/>
          </w:tcPr>
          <w:p w14:paraId="78672119" w14:textId="77777777" w:rsidR="00054437" w:rsidRPr="000549B1" w:rsidRDefault="00000000">
            <w:pPr>
              <w:spacing w:line="240" w:lineRule="atLeast"/>
              <w:jc w:val="center"/>
              <w:rPr>
                <w:szCs w:val="21"/>
              </w:rPr>
            </w:pPr>
            <w:r w:rsidRPr="000549B1">
              <w:rPr>
                <w:szCs w:val="21"/>
              </w:rPr>
              <w:t>0</w:t>
            </w:r>
          </w:p>
        </w:tc>
        <w:tc>
          <w:tcPr>
            <w:tcW w:w="542" w:type="pct"/>
            <w:noWrap/>
            <w:vAlign w:val="center"/>
          </w:tcPr>
          <w:p w14:paraId="276DB970" w14:textId="77777777" w:rsidR="00054437" w:rsidRPr="000549B1" w:rsidRDefault="00000000">
            <w:pPr>
              <w:spacing w:line="240" w:lineRule="atLeast"/>
              <w:jc w:val="center"/>
              <w:rPr>
                <w:szCs w:val="21"/>
              </w:rPr>
            </w:pPr>
            <w:r w:rsidRPr="000549B1">
              <w:rPr>
                <w:szCs w:val="21"/>
              </w:rPr>
              <w:t>0</w:t>
            </w:r>
          </w:p>
        </w:tc>
      </w:tr>
      <w:tr w:rsidR="000549B1" w:rsidRPr="000549B1" w14:paraId="7EF36604" w14:textId="77777777">
        <w:trPr>
          <w:trHeight w:val="330"/>
          <w:jc w:val="center"/>
        </w:trPr>
        <w:tc>
          <w:tcPr>
            <w:tcW w:w="332" w:type="pct"/>
            <w:vMerge/>
            <w:vAlign w:val="center"/>
          </w:tcPr>
          <w:p w14:paraId="58056F37" w14:textId="77777777" w:rsidR="00054437" w:rsidRPr="000549B1" w:rsidRDefault="00054437">
            <w:pPr>
              <w:spacing w:line="240" w:lineRule="atLeast"/>
              <w:jc w:val="center"/>
              <w:rPr>
                <w:szCs w:val="21"/>
              </w:rPr>
            </w:pPr>
          </w:p>
        </w:tc>
        <w:tc>
          <w:tcPr>
            <w:tcW w:w="931" w:type="pct"/>
            <w:vMerge w:val="restart"/>
            <w:noWrap/>
            <w:vAlign w:val="center"/>
          </w:tcPr>
          <w:p w14:paraId="63887336" w14:textId="77777777" w:rsidR="00054437" w:rsidRPr="000549B1" w:rsidRDefault="00000000">
            <w:pPr>
              <w:spacing w:line="240" w:lineRule="atLeast"/>
              <w:jc w:val="center"/>
              <w:rPr>
                <w:szCs w:val="21"/>
              </w:rPr>
            </w:pPr>
            <w:r w:rsidRPr="000549B1">
              <w:rPr>
                <w:szCs w:val="21"/>
              </w:rPr>
              <w:t>切吉河下游</w:t>
            </w:r>
          </w:p>
        </w:tc>
        <w:tc>
          <w:tcPr>
            <w:tcW w:w="959" w:type="pct"/>
            <w:vAlign w:val="center"/>
          </w:tcPr>
          <w:p w14:paraId="04B8BD7B" w14:textId="77777777" w:rsidR="00054437" w:rsidRPr="000549B1" w:rsidRDefault="00000000">
            <w:pPr>
              <w:spacing w:line="240" w:lineRule="atLeast"/>
              <w:jc w:val="center"/>
              <w:rPr>
                <w:szCs w:val="21"/>
              </w:rPr>
            </w:pPr>
            <w:r w:rsidRPr="000549B1">
              <w:rPr>
                <w:szCs w:val="21"/>
              </w:rPr>
              <w:t>密度</w:t>
            </w:r>
            <w:r w:rsidRPr="000549B1">
              <w:rPr>
                <w:szCs w:val="21"/>
              </w:rPr>
              <w:t>ind.L</w:t>
            </w:r>
            <w:r w:rsidRPr="000549B1">
              <w:rPr>
                <w:szCs w:val="21"/>
                <w:vertAlign w:val="superscript"/>
              </w:rPr>
              <w:t>-1</w:t>
            </w:r>
          </w:p>
        </w:tc>
        <w:tc>
          <w:tcPr>
            <w:tcW w:w="542" w:type="pct"/>
            <w:noWrap/>
            <w:vAlign w:val="center"/>
          </w:tcPr>
          <w:p w14:paraId="3E49C983" w14:textId="77777777" w:rsidR="00054437" w:rsidRPr="000549B1" w:rsidRDefault="00000000">
            <w:pPr>
              <w:spacing w:line="240" w:lineRule="atLeast"/>
              <w:jc w:val="center"/>
              <w:rPr>
                <w:szCs w:val="21"/>
              </w:rPr>
            </w:pPr>
            <w:r w:rsidRPr="000549B1">
              <w:rPr>
                <w:szCs w:val="21"/>
              </w:rPr>
              <w:t>15</w:t>
            </w:r>
          </w:p>
        </w:tc>
        <w:tc>
          <w:tcPr>
            <w:tcW w:w="637" w:type="pct"/>
            <w:noWrap/>
            <w:vAlign w:val="center"/>
          </w:tcPr>
          <w:p w14:paraId="2FC4786A" w14:textId="77777777" w:rsidR="00054437" w:rsidRPr="000549B1" w:rsidRDefault="00000000">
            <w:pPr>
              <w:spacing w:line="240" w:lineRule="atLeast"/>
              <w:jc w:val="center"/>
              <w:rPr>
                <w:szCs w:val="21"/>
              </w:rPr>
            </w:pPr>
            <w:r w:rsidRPr="000549B1">
              <w:rPr>
                <w:szCs w:val="21"/>
              </w:rPr>
              <w:t>0</w:t>
            </w:r>
          </w:p>
        </w:tc>
        <w:tc>
          <w:tcPr>
            <w:tcW w:w="511" w:type="pct"/>
            <w:noWrap/>
            <w:vAlign w:val="center"/>
          </w:tcPr>
          <w:p w14:paraId="1F4C3B79" w14:textId="77777777" w:rsidR="00054437" w:rsidRPr="000549B1" w:rsidRDefault="00000000">
            <w:pPr>
              <w:spacing w:line="240" w:lineRule="atLeast"/>
              <w:jc w:val="center"/>
              <w:rPr>
                <w:szCs w:val="21"/>
              </w:rPr>
            </w:pPr>
            <w:r w:rsidRPr="000549B1">
              <w:rPr>
                <w:szCs w:val="21"/>
              </w:rPr>
              <w:t>5</w:t>
            </w:r>
          </w:p>
        </w:tc>
        <w:tc>
          <w:tcPr>
            <w:tcW w:w="542" w:type="pct"/>
            <w:noWrap/>
            <w:vAlign w:val="center"/>
          </w:tcPr>
          <w:p w14:paraId="4A9256F1" w14:textId="77777777" w:rsidR="00054437" w:rsidRPr="000549B1" w:rsidRDefault="00000000">
            <w:pPr>
              <w:spacing w:line="240" w:lineRule="atLeast"/>
              <w:jc w:val="center"/>
              <w:rPr>
                <w:szCs w:val="21"/>
              </w:rPr>
            </w:pPr>
            <w:r w:rsidRPr="000549B1">
              <w:rPr>
                <w:szCs w:val="21"/>
              </w:rPr>
              <w:t>0</w:t>
            </w:r>
          </w:p>
        </w:tc>
        <w:tc>
          <w:tcPr>
            <w:tcW w:w="542" w:type="pct"/>
            <w:noWrap/>
            <w:vAlign w:val="center"/>
          </w:tcPr>
          <w:p w14:paraId="6B1E280D" w14:textId="77777777" w:rsidR="00054437" w:rsidRPr="000549B1" w:rsidRDefault="00000000">
            <w:pPr>
              <w:spacing w:line="240" w:lineRule="atLeast"/>
              <w:jc w:val="center"/>
              <w:rPr>
                <w:szCs w:val="21"/>
              </w:rPr>
            </w:pPr>
            <w:r w:rsidRPr="000549B1">
              <w:rPr>
                <w:szCs w:val="21"/>
              </w:rPr>
              <w:t>10</w:t>
            </w:r>
          </w:p>
        </w:tc>
      </w:tr>
      <w:tr w:rsidR="000549B1" w:rsidRPr="000549B1" w14:paraId="48D60CE6" w14:textId="77777777">
        <w:trPr>
          <w:trHeight w:val="585"/>
          <w:jc w:val="center"/>
        </w:trPr>
        <w:tc>
          <w:tcPr>
            <w:tcW w:w="332" w:type="pct"/>
            <w:vMerge/>
            <w:vAlign w:val="center"/>
          </w:tcPr>
          <w:p w14:paraId="5A9DABDA" w14:textId="77777777" w:rsidR="00054437" w:rsidRPr="000549B1" w:rsidRDefault="00054437">
            <w:pPr>
              <w:spacing w:line="240" w:lineRule="atLeast"/>
              <w:jc w:val="center"/>
              <w:rPr>
                <w:szCs w:val="21"/>
              </w:rPr>
            </w:pPr>
          </w:p>
        </w:tc>
        <w:tc>
          <w:tcPr>
            <w:tcW w:w="931" w:type="pct"/>
            <w:vMerge/>
            <w:vAlign w:val="center"/>
          </w:tcPr>
          <w:p w14:paraId="6DD6A289" w14:textId="77777777" w:rsidR="00054437" w:rsidRPr="000549B1" w:rsidRDefault="00054437">
            <w:pPr>
              <w:spacing w:line="240" w:lineRule="atLeast"/>
              <w:jc w:val="center"/>
              <w:rPr>
                <w:szCs w:val="21"/>
              </w:rPr>
            </w:pPr>
          </w:p>
        </w:tc>
        <w:tc>
          <w:tcPr>
            <w:tcW w:w="959" w:type="pct"/>
            <w:vAlign w:val="center"/>
          </w:tcPr>
          <w:p w14:paraId="5E264187" w14:textId="77777777" w:rsidR="00054437" w:rsidRPr="000549B1" w:rsidRDefault="00000000">
            <w:pPr>
              <w:spacing w:line="240" w:lineRule="atLeast"/>
              <w:jc w:val="center"/>
              <w:rPr>
                <w:szCs w:val="21"/>
              </w:rPr>
            </w:pPr>
            <w:r w:rsidRPr="000549B1">
              <w:rPr>
                <w:szCs w:val="21"/>
              </w:rPr>
              <w:t>生物量</w:t>
            </w:r>
            <w:r w:rsidRPr="000549B1">
              <w:rPr>
                <w:szCs w:val="21"/>
              </w:rPr>
              <w:t>mg.L</w:t>
            </w:r>
            <w:r w:rsidRPr="000549B1">
              <w:rPr>
                <w:szCs w:val="21"/>
                <w:vertAlign w:val="superscript"/>
              </w:rPr>
              <w:t>-1</w:t>
            </w:r>
          </w:p>
        </w:tc>
        <w:tc>
          <w:tcPr>
            <w:tcW w:w="542" w:type="pct"/>
            <w:noWrap/>
            <w:vAlign w:val="center"/>
          </w:tcPr>
          <w:p w14:paraId="7CACB746" w14:textId="77777777" w:rsidR="00054437" w:rsidRPr="000549B1" w:rsidRDefault="00000000">
            <w:pPr>
              <w:spacing w:line="240" w:lineRule="atLeast"/>
              <w:jc w:val="center"/>
              <w:rPr>
                <w:szCs w:val="21"/>
              </w:rPr>
            </w:pPr>
            <w:r w:rsidRPr="000549B1">
              <w:rPr>
                <w:szCs w:val="21"/>
              </w:rPr>
              <w:t>0.00203</w:t>
            </w:r>
          </w:p>
        </w:tc>
        <w:tc>
          <w:tcPr>
            <w:tcW w:w="637" w:type="pct"/>
            <w:noWrap/>
            <w:vAlign w:val="center"/>
          </w:tcPr>
          <w:p w14:paraId="08FFF377" w14:textId="77777777" w:rsidR="00054437" w:rsidRPr="000549B1" w:rsidRDefault="00000000">
            <w:pPr>
              <w:spacing w:line="240" w:lineRule="atLeast"/>
              <w:jc w:val="center"/>
              <w:rPr>
                <w:szCs w:val="21"/>
              </w:rPr>
            </w:pPr>
            <w:r w:rsidRPr="000549B1">
              <w:rPr>
                <w:szCs w:val="21"/>
              </w:rPr>
              <w:t>0</w:t>
            </w:r>
          </w:p>
        </w:tc>
        <w:tc>
          <w:tcPr>
            <w:tcW w:w="511" w:type="pct"/>
            <w:noWrap/>
            <w:vAlign w:val="center"/>
          </w:tcPr>
          <w:p w14:paraId="5E2BD998" w14:textId="77777777" w:rsidR="00054437" w:rsidRPr="000549B1" w:rsidRDefault="00000000">
            <w:pPr>
              <w:spacing w:line="240" w:lineRule="atLeast"/>
              <w:jc w:val="center"/>
              <w:rPr>
                <w:szCs w:val="21"/>
              </w:rPr>
            </w:pPr>
            <w:r w:rsidRPr="000549B1">
              <w:rPr>
                <w:szCs w:val="21"/>
              </w:rPr>
              <w:t>0.002</w:t>
            </w:r>
          </w:p>
        </w:tc>
        <w:tc>
          <w:tcPr>
            <w:tcW w:w="542" w:type="pct"/>
            <w:noWrap/>
            <w:vAlign w:val="center"/>
          </w:tcPr>
          <w:p w14:paraId="5347935B" w14:textId="77777777" w:rsidR="00054437" w:rsidRPr="000549B1" w:rsidRDefault="00000000">
            <w:pPr>
              <w:spacing w:line="240" w:lineRule="atLeast"/>
              <w:jc w:val="center"/>
              <w:rPr>
                <w:szCs w:val="21"/>
              </w:rPr>
            </w:pPr>
            <w:r w:rsidRPr="000549B1">
              <w:rPr>
                <w:szCs w:val="21"/>
              </w:rPr>
              <w:t>0</w:t>
            </w:r>
          </w:p>
        </w:tc>
        <w:tc>
          <w:tcPr>
            <w:tcW w:w="542" w:type="pct"/>
            <w:noWrap/>
            <w:vAlign w:val="center"/>
          </w:tcPr>
          <w:p w14:paraId="7BECDC8D" w14:textId="77777777" w:rsidR="00054437" w:rsidRPr="000549B1" w:rsidRDefault="00000000">
            <w:pPr>
              <w:spacing w:line="240" w:lineRule="atLeast"/>
              <w:jc w:val="center"/>
              <w:rPr>
                <w:szCs w:val="21"/>
              </w:rPr>
            </w:pPr>
            <w:r w:rsidRPr="000549B1">
              <w:rPr>
                <w:szCs w:val="21"/>
              </w:rPr>
              <w:t>0.00003</w:t>
            </w:r>
          </w:p>
        </w:tc>
      </w:tr>
      <w:tr w:rsidR="000549B1" w:rsidRPr="000549B1" w14:paraId="46080392" w14:textId="77777777">
        <w:trPr>
          <w:trHeight w:val="330"/>
          <w:jc w:val="center"/>
        </w:trPr>
        <w:tc>
          <w:tcPr>
            <w:tcW w:w="332" w:type="pct"/>
            <w:vMerge w:val="restart"/>
            <w:vAlign w:val="center"/>
          </w:tcPr>
          <w:p w14:paraId="56B9C12C" w14:textId="77777777" w:rsidR="00054437" w:rsidRPr="000549B1" w:rsidRDefault="00000000">
            <w:pPr>
              <w:spacing w:line="240" w:lineRule="atLeast"/>
              <w:jc w:val="center"/>
              <w:rPr>
                <w:szCs w:val="21"/>
              </w:rPr>
            </w:pPr>
            <w:r w:rsidRPr="000549B1">
              <w:rPr>
                <w:szCs w:val="21"/>
              </w:rPr>
              <w:t>沙珠玉河</w:t>
            </w:r>
          </w:p>
        </w:tc>
        <w:tc>
          <w:tcPr>
            <w:tcW w:w="931" w:type="pct"/>
            <w:vMerge w:val="restart"/>
            <w:vAlign w:val="center"/>
          </w:tcPr>
          <w:p w14:paraId="2F34AB39" w14:textId="77777777" w:rsidR="00054437" w:rsidRPr="000549B1" w:rsidRDefault="00000000">
            <w:pPr>
              <w:spacing w:line="240" w:lineRule="atLeast"/>
              <w:jc w:val="center"/>
              <w:rPr>
                <w:szCs w:val="21"/>
              </w:rPr>
            </w:pPr>
            <w:r w:rsidRPr="000549B1">
              <w:rPr>
                <w:szCs w:val="21"/>
              </w:rPr>
              <w:t>曲黑格木</w:t>
            </w:r>
          </w:p>
        </w:tc>
        <w:tc>
          <w:tcPr>
            <w:tcW w:w="959" w:type="pct"/>
            <w:vAlign w:val="center"/>
          </w:tcPr>
          <w:p w14:paraId="12997550" w14:textId="77777777" w:rsidR="00054437" w:rsidRPr="000549B1" w:rsidRDefault="00000000">
            <w:pPr>
              <w:spacing w:line="240" w:lineRule="atLeast"/>
              <w:jc w:val="center"/>
              <w:rPr>
                <w:szCs w:val="21"/>
              </w:rPr>
            </w:pPr>
            <w:r w:rsidRPr="000549B1">
              <w:rPr>
                <w:szCs w:val="21"/>
              </w:rPr>
              <w:t>密度</w:t>
            </w:r>
            <w:r w:rsidRPr="000549B1">
              <w:rPr>
                <w:szCs w:val="21"/>
              </w:rPr>
              <w:t>ind.L</w:t>
            </w:r>
            <w:r w:rsidRPr="000549B1">
              <w:rPr>
                <w:szCs w:val="21"/>
                <w:vertAlign w:val="superscript"/>
              </w:rPr>
              <w:t>-1</w:t>
            </w:r>
          </w:p>
        </w:tc>
        <w:tc>
          <w:tcPr>
            <w:tcW w:w="542" w:type="pct"/>
            <w:noWrap/>
            <w:vAlign w:val="center"/>
          </w:tcPr>
          <w:p w14:paraId="24363C1B" w14:textId="77777777" w:rsidR="00054437" w:rsidRPr="000549B1" w:rsidRDefault="00000000">
            <w:pPr>
              <w:spacing w:line="240" w:lineRule="atLeast"/>
              <w:jc w:val="center"/>
              <w:rPr>
                <w:szCs w:val="21"/>
              </w:rPr>
            </w:pPr>
            <w:r w:rsidRPr="000549B1">
              <w:rPr>
                <w:szCs w:val="21"/>
              </w:rPr>
              <w:t>20</w:t>
            </w:r>
          </w:p>
        </w:tc>
        <w:tc>
          <w:tcPr>
            <w:tcW w:w="637" w:type="pct"/>
            <w:noWrap/>
            <w:vAlign w:val="center"/>
          </w:tcPr>
          <w:p w14:paraId="4FAC9A92" w14:textId="77777777" w:rsidR="00054437" w:rsidRPr="000549B1" w:rsidRDefault="00000000">
            <w:pPr>
              <w:spacing w:line="240" w:lineRule="atLeast"/>
              <w:jc w:val="center"/>
              <w:rPr>
                <w:szCs w:val="21"/>
              </w:rPr>
            </w:pPr>
            <w:r w:rsidRPr="000549B1">
              <w:rPr>
                <w:szCs w:val="21"/>
              </w:rPr>
              <w:t>20</w:t>
            </w:r>
          </w:p>
        </w:tc>
        <w:tc>
          <w:tcPr>
            <w:tcW w:w="511" w:type="pct"/>
            <w:noWrap/>
            <w:vAlign w:val="center"/>
          </w:tcPr>
          <w:p w14:paraId="2BB2A6CF" w14:textId="77777777" w:rsidR="00054437" w:rsidRPr="000549B1" w:rsidRDefault="00000000">
            <w:pPr>
              <w:spacing w:line="240" w:lineRule="atLeast"/>
              <w:jc w:val="center"/>
              <w:rPr>
                <w:szCs w:val="21"/>
              </w:rPr>
            </w:pPr>
            <w:r w:rsidRPr="000549B1">
              <w:rPr>
                <w:szCs w:val="21"/>
              </w:rPr>
              <w:t>0</w:t>
            </w:r>
          </w:p>
        </w:tc>
        <w:tc>
          <w:tcPr>
            <w:tcW w:w="542" w:type="pct"/>
            <w:noWrap/>
            <w:vAlign w:val="center"/>
          </w:tcPr>
          <w:p w14:paraId="7FB62FE2" w14:textId="77777777" w:rsidR="00054437" w:rsidRPr="000549B1" w:rsidRDefault="00000000">
            <w:pPr>
              <w:spacing w:line="240" w:lineRule="atLeast"/>
              <w:jc w:val="center"/>
              <w:rPr>
                <w:szCs w:val="21"/>
              </w:rPr>
            </w:pPr>
            <w:r w:rsidRPr="000549B1">
              <w:rPr>
                <w:szCs w:val="21"/>
              </w:rPr>
              <w:t>0</w:t>
            </w:r>
          </w:p>
        </w:tc>
        <w:tc>
          <w:tcPr>
            <w:tcW w:w="542" w:type="pct"/>
            <w:noWrap/>
            <w:vAlign w:val="center"/>
          </w:tcPr>
          <w:p w14:paraId="0B57E565" w14:textId="77777777" w:rsidR="00054437" w:rsidRPr="000549B1" w:rsidRDefault="00000000">
            <w:pPr>
              <w:spacing w:line="240" w:lineRule="atLeast"/>
              <w:jc w:val="center"/>
              <w:rPr>
                <w:szCs w:val="21"/>
              </w:rPr>
            </w:pPr>
            <w:r w:rsidRPr="000549B1">
              <w:rPr>
                <w:szCs w:val="21"/>
              </w:rPr>
              <w:t>0</w:t>
            </w:r>
          </w:p>
        </w:tc>
      </w:tr>
      <w:tr w:rsidR="000549B1" w:rsidRPr="000549B1" w14:paraId="2D2E05EE" w14:textId="77777777">
        <w:trPr>
          <w:trHeight w:val="585"/>
          <w:jc w:val="center"/>
        </w:trPr>
        <w:tc>
          <w:tcPr>
            <w:tcW w:w="332" w:type="pct"/>
            <w:vMerge/>
            <w:vAlign w:val="center"/>
          </w:tcPr>
          <w:p w14:paraId="3C7DD480" w14:textId="77777777" w:rsidR="00054437" w:rsidRPr="000549B1" w:rsidRDefault="00054437">
            <w:pPr>
              <w:spacing w:line="240" w:lineRule="atLeast"/>
              <w:jc w:val="center"/>
              <w:rPr>
                <w:szCs w:val="21"/>
              </w:rPr>
            </w:pPr>
          </w:p>
        </w:tc>
        <w:tc>
          <w:tcPr>
            <w:tcW w:w="931" w:type="pct"/>
            <w:vMerge/>
            <w:vAlign w:val="center"/>
          </w:tcPr>
          <w:p w14:paraId="424E11E2" w14:textId="77777777" w:rsidR="00054437" w:rsidRPr="000549B1" w:rsidRDefault="00054437">
            <w:pPr>
              <w:spacing w:line="240" w:lineRule="atLeast"/>
              <w:jc w:val="center"/>
              <w:rPr>
                <w:szCs w:val="21"/>
              </w:rPr>
            </w:pPr>
          </w:p>
        </w:tc>
        <w:tc>
          <w:tcPr>
            <w:tcW w:w="959" w:type="pct"/>
            <w:vAlign w:val="center"/>
          </w:tcPr>
          <w:p w14:paraId="4810EDB5" w14:textId="77777777" w:rsidR="00054437" w:rsidRPr="000549B1" w:rsidRDefault="00000000">
            <w:pPr>
              <w:spacing w:line="240" w:lineRule="atLeast"/>
              <w:jc w:val="center"/>
              <w:rPr>
                <w:szCs w:val="21"/>
              </w:rPr>
            </w:pPr>
            <w:r w:rsidRPr="000549B1">
              <w:rPr>
                <w:szCs w:val="21"/>
              </w:rPr>
              <w:t>生物量</w:t>
            </w:r>
            <w:r w:rsidRPr="000549B1">
              <w:rPr>
                <w:szCs w:val="21"/>
              </w:rPr>
              <w:t>mg.L</w:t>
            </w:r>
            <w:r w:rsidRPr="000549B1">
              <w:rPr>
                <w:szCs w:val="21"/>
                <w:vertAlign w:val="superscript"/>
              </w:rPr>
              <w:t>-1</w:t>
            </w:r>
          </w:p>
        </w:tc>
        <w:tc>
          <w:tcPr>
            <w:tcW w:w="542" w:type="pct"/>
            <w:noWrap/>
            <w:vAlign w:val="center"/>
          </w:tcPr>
          <w:p w14:paraId="4C7C1417" w14:textId="77777777" w:rsidR="00054437" w:rsidRPr="000549B1" w:rsidRDefault="00000000">
            <w:pPr>
              <w:spacing w:line="240" w:lineRule="atLeast"/>
              <w:jc w:val="center"/>
              <w:rPr>
                <w:szCs w:val="21"/>
              </w:rPr>
            </w:pPr>
            <w:r w:rsidRPr="000549B1">
              <w:rPr>
                <w:szCs w:val="21"/>
              </w:rPr>
              <w:t>0.001</w:t>
            </w:r>
          </w:p>
        </w:tc>
        <w:tc>
          <w:tcPr>
            <w:tcW w:w="637" w:type="pct"/>
            <w:noWrap/>
            <w:vAlign w:val="center"/>
          </w:tcPr>
          <w:p w14:paraId="4F1BA04E" w14:textId="77777777" w:rsidR="00054437" w:rsidRPr="000549B1" w:rsidRDefault="00000000">
            <w:pPr>
              <w:spacing w:line="240" w:lineRule="atLeast"/>
              <w:jc w:val="center"/>
              <w:rPr>
                <w:szCs w:val="21"/>
              </w:rPr>
            </w:pPr>
            <w:r w:rsidRPr="000549B1">
              <w:rPr>
                <w:szCs w:val="21"/>
              </w:rPr>
              <w:t>0.001</w:t>
            </w:r>
          </w:p>
        </w:tc>
        <w:tc>
          <w:tcPr>
            <w:tcW w:w="511" w:type="pct"/>
            <w:noWrap/>
            <w:vAlign w:val="center"/>
          </w:tcPr>
          <w:p w14:paraId="71E1A407" w14:textId="77777777" w:rsidR="00054437" w:rsidRPr="000549B1" w:rsidRDefault="00000000">
            <w:pPr>
              <w:spacing w:line="240" w:lineRule="atLeast"/>
              <w:jc w:val="center"/>
              <w:rPr>
                <w:szCs w:val="21"/>
              </w:rPr>
            </w:pPr>
            <w:r w:rsidRPr="000549B1">
              <w:rPr>
                <w:szCs w:val="21"/>
              </w:rPr>
              <w:t>0</w:t>
            </w:r>
          </w:p>
        </w:tc>
        <w:tc>
          <w:tcPr>
            <w:tcW w:w="542" w:type="pct"/>
            <w:noWrap/>
            <w:vAlign w:val="center"/>
          </w:tcPr>
          <w:p w14:paraId="785E9C9F" w14:textId="77777777" w:rsidR="00054437" w:rsidRPr="000549B1" w:rsidRDefault="00000000">
            <w:pPr>
              <w:spacing w:line="240" w:lineRule="atLeast"/>
              <w:jc w:val="center"/>
              <w:rPr>
                <w:szCs w:val="21"/>
              </w:rPr>
            </w:pPr>
            <w:r w:rsidRPr="000549B1">
              <w:rPr>
                <w:szCs w:val="21"/>
              </w:rPr>
              <w:t>0</w:t>
            </w:r>
          </w:p>
        </w:tc>
        <w:tc>
          <w:tcPr>
            <w:tcW w:w="542" w:type="pct"/>
            <w:noWrap/>
            <w:vAlign w:val="center"/>
          </w:tcPr>
          <w:p w14:paraId="60AB782B" w14:textId="77777777" w:rsidR="00054437" w:rsidRPr="000549B1" w:rsidRDefault="00000000">
            <w:pPr>
              <w:spacing w:line="240" w:lineRule="atLeast"/>
              <w:jc w:val="center"/>
              <w:rPr>
                <w:szCs w:val="21"/>
              </w:rPr>
            </w:pPr>
            <w:r w:rsidRPr="000549B1">
              <w:rPr>
                <w:szCs w:val="21"/>
              </w:rPr>
              <w:t>0</w:t>
            </w:r>
          </w:p>
        </w:tc>
      </w:tr>
      <w:tr w:rsidR="000549B1" w:rsidRPr="000549B1" w14:paraId="4A5A872C" w14:textId="77777777">
        <w:trPr>
          <w:trHeight w:val="330"/>
          <w:jc w:val="center"/>
        </w:trPr>
        <w:tc>
          <w:tcPr>
            <w:tcW w:w="332" w:type="pct"/>
            <w:vMerge/>
            <w:vAlign w:val="center"/>
          </w:tcPr>
          <w:p w14:paraId="59A63C0C" w14:textId="77777777" w:rsidR="00054437" w:rsidRPr="000549B1" w:rsidRDefault="00054437">
            <w:pPr>
              <w:spacing w:line="240" w:lineRule="atLeast"/>
              <w:jc w:val="center"/>
              <w:rPr>
                <w:szCs w:val="21"/>
              </w:rPr>
            </w:pPr>
          </w:p>
        </w:tc>
        <w:tc>
          <w:tcPr>
            <w:tcW w:w="931" w:type="pct"/>
            <w:vMerge w:val="restart"/>
            <w:vAlign w:val="center"/>
          </w:tcPr>
          <w:p w14:paraId="595A883A" w14:textId="77777777" w:rsidR="00054437" w:rsidRPr="000549B1" w:rsidRDefault="00000000">
            <w:pPr>
              <w:spacing w:line="240" w:lineRule="atLeast"/>
              <w:jc w:val="center"/>
              <w:rPr>
                <w:szCs w:val="21"/>
              </w:rPr>
            </w:pPr>
            <w:r w:rsidRPr="000549B1">
              <w:rPr>
                <w:szCs w:val="21"/>
              </w:rPr>
              <w:t>浪娘村桥下</w:t>
            </w:r>
          </w:p>
        </w:tc>
        <w:tc>
          <w:tcPr>
            <w:tcW w:w="959" w:type="pct"/>
            <w:vAlign w:val="center"/>
          </w:tcPr>
          <w:p w14:paraId="0128FA2E" w14:textId="77777777" w:rsidR="00054437" w:rsidRPr="000549B1" w:rsidRDefault="00000000">
            <w:pPr>
              <w:spacing w:line="240" w:lineRule="atLeast"/>
              <w:jc w:val="center"/>
              <w:rPr>
                <w:szCs w:val="21"/>
              </w:rPr>
            </w:pPr>
            <w:r w:rsidRPr="000549B1">
              <w:rPr>
                <w:szCs w:val="21"/>
              </w:rPr>
              <w:t>密度</w:t>
            </w:r>
            <w:r w:rsidRPr="000549B1">
              <w:rPr>
                <w:szCs w:val="21"/>
              </w:rPr>
              <w:t>ind.L</w:t>
            </w:r>
            <w:r w:rsidRPr="000549B1">
              <w:rPr>
                <w:szCs w:val="21"/>
                <w:vertAlign w:val="superscript"/>
              </w:rPr>
              <w:t>-1</w:t>
            </w:r>
          </w:p>
        </w:tc>
        <w:tc>
          <w:tcPr>
            <w:tcW w:w="542" w:type="pct"/>
            <w:noWrap/>
            <w:vAlign w:val="center"/>
          </w:tcPr>
          <w:p w14:paraId="1C1279C6" w14:textId="77777777" w:rsidR="00054437" w:rsidRPr="000549B1" w:rsidRDefault="00000000">
            <w:pPr>
              <w:spacing w:line="240" w:lineRule="atLeast"/>
              <w:jc w:val="center"/>
              <w:rPr>
                <w:szCs w:val="21"/>
              </w:rPr>
            </w:pPr>
            <w:r w:rsidRPr="000549B1">
              <w:rPr>
                <w:szCs w:val="21"/>
              </w:rPr>
              <w:t>10</w:t>
            </w:r>
          </w:p>
        </w:tc>
        <w:tc>
          <w:tcPr>
            <w:tcW w:w="637" w:type="pct"/>
            <w:noWrap/>
            <w:vAlign w:val="center"/>
          </w:tcPr>
          <w:p w14:paraId="0BD66A37" w14:textId="77777777" w:rsidR="00054437" w:rsidRPr="000549B1" w:rsidRDefault="00000000">
            <w:pPr>
              <w:spacing w:line="240" w:lineRule="atLeast"/>
              <w:jc w:val="center"/>
              <w:rPr>
                <w:szCs w:val="21"/>
              </w:rPr>
            </w:pPr>
            <w:r w:rsidRPr="000549B1">
              <w:rPr>
                <w:szCs w:val="21"/>
              </w:rPr>
              <w:t>5</w:t>
            </w:r>
          </w:p>
        </w:tc>
        <w:tc>
          <w:tcPr>
            <w:tcW w:w="511" w:type="pct"/>
            <w:noWrap/>
            <w:vAlign w:val="center"/>
          </w:tcPr>
          <w:p w14:paraId="3BB57152" w14:textId="77777777" w:rsidR="00054437" w:rsidRPr="000549B1" w:rsidRDefault="00000000">
            <w:pPr>
              <w:spacing w:line="240" w:lineRule="atLeast"/>
              <w:jc w:val="center"/>
              <w:rPr>
                <w:szCs w:val="21"/>
              </w:rPr>
            </w:pPr>
            <w:r w:rsidRPr="000549B1">
              <w:rPr>
                <w:szCs w:val="21"/>
              </w:rPr>
              <w:t>0</w:t>
            </w:r>
          </w:p>
        </w:tc>
        <w:tc>
          <w:tcPr>
            <w:tcW w:w="542" w:type="pct"/>
            <w:noWrap/>
            <w:vAlign w:val="center"/>
          </w:tcPr>
          <w:p w14:paraId="3AC934DD" w14:textId="77777777" w:rsidR="00054437" w:rsidRPr="000549B1" w:rsidRDefault="00000000">
            <w:pPr>
              <w:spacing w:line="240" w:lineRule="atLeast"/>
              <w:jc w:val="center"/>
              <w:rPr>
                <w:szCs w:val="21"/>
              </w:rPr>
            </w:pPr>
            <w:r w:rsidRPr="000549B1">
              <w:rPr>
                <w:szCs w:val="21"/>
              </w:rPr>
              <w:t>5</w:t>
            </w:r>
          </w:p>
        </w:tc>
        <w:tc>
          <w:tcPr>
            <w:tcW w:w="542" w:type="pct"/>
            <w:noWrap/>
            <w:vAlign w:val="center"/>
          </w:tcPr>
          <w:p w14:paraId="53FDCAD1" w14:textId="77777777" w:rsidR="00054437" w:rsidRPr="000549B1" w:rsidRDefault="00000000">
            <w:pPr>
              <w:spacing w:line="240" w:lineRule="atLeast"/>
              <w:jc w:val="center"/>
              <w:rPr>
                <w:szCs w:val="21"/>
              </w:rPr>
            </w:pPr>
            <w:r w:rsidRPr="000549B1">
              <w:rPr>
                <w:szCs w:val="21"/>
              </w:rPr>
              <w:t>0</w:t>
            </w:r>
          </w:p>
        </w:tc>
      </w:tr>
      <w:tr w:rsidR="000549B1" w:rsidRPr="000549B1" w14:paraId="73933501" w14:textId="77777777">
        <w:trPr>
          <w:trHeight w:val="585"/>
          <w:jc w:val="center"/>
        </w:trPr>
        <w:tc>
          <w:tcPr>
            <w:tcW w:w="332" w:type="pct"/>
            <w:vMerge/>
            <w:vAlign w:val="center"/>
          </w:tcPr>
          <w:p w14:paraId="0E007542" w14:textId="77777777" w:rsidR="00054437" w:rsidRPr="000549B1" w:rsidRDefault="00054437">
            <w:pPr>
              <w:spacing w:line="240" w:lineRule="atLeast"/>
              <w:jc w:val="center"/>
              <w:rPr>
                <w:szCs w:val="21"/>
              </w:rPr>
            </w:pPr>
          </w:p>
        </w:tc>
        <w:tc>
          <w:tcPr>
            <w:tcW w:w="931" w:type="pct"/>
            <w:vMerge/>
            <w:vAlign w:val="center"/>
          </w:tcPr>
          <w:p w14:paraId="429F2963" w14:textId="77777777" w:rsidR="00054437" w:rsidRPr="000549B1" w:rsidRDefault="00054437">
            <w:pPr>
              <w:spacing w:line="240" w:lineRule="atLeast"/>
              <w:jc w:val="center"/>
              <w:rPr>
                <w:szCs w:val="21"/>
              </w:rPr>
            </w:pPr>
          </w:p>
        </w:tc>
        <w:tc>
          <w:tcPr>
            <w:tcW w:w="959" w:type="pct"/>
            <w:vAlign w:val="center"/>
          </w:tcPr>
          <w:p w14:paraId="6F038E95" w14:textId="77777777" w:rsidR="00054437" w:rsidRPr="000549B1" w:rsidRDefault="00000000">
            <w:pPr>
              <w:spacing w:line="240" w:lineRule="atLeast"/>
              <w:jc w:val="center"/>
              <w:rPr>
                <w:szCs w:val="21"/>
              </w:rPr>
            </w:pPr>
            <w:r w:rsidRPr="000549B1">
              <w:rPr>
                <w:szCs w:val="21"/>
              </w:rPr>
              <w:t>生物量</w:t>
            </w:r>
            <w:r w:rsidRPr="000549B1">
              <w:rPr>
                <w:szCs w:val="21"/>
              </w:rPr>
              <w:t>mg.L</w:t>
            </w:r>
            <w:r w:rsidRPr="000549B1">
              <w:rPr>
                <w:szCs w:val="21"/>
                <w:vertAlign w:val="superscript"/>
              </w:rPr>
              <w:t>-1</w:t>
            </w:r>
          </w:p>
        </w:tc>
        <w:tc>
          <w:tcPr>
            <w:tcW w:w="542" w:type="pct"/>
            <w:noWrap/>
            <w:vAlign w:val="center"/>
          </w:tcPr>
          <w:p w14:paraId="7681DF3D" w14:textId="77777777" w:rsidR="00054437" w:rsidRPr="000549B1" w:rsidRDefault="00000000">
            <w:pPr>
              <w:spacing w:line="240" w:lineRule="atLeast"/>
              <w:jc w:val="center"/>
              <w:rPr>
                <w:szCs w:val="21"/>
              </w:rPr>
            </w:pPr>
            <w:r w:rsidRPr="000549B1">
              <w:rPr>
                <w:szCs w:val="21"/>
              </w:rPr>
              <w:t>0.0029</w:t>
            </w:r>
          </w:p>
        </w:tc>
        <w:tc>
          <w:tcPr>
            <w:tcW w:w="637" w:type="pct"/>
            <w:noWrap/>
            <w:vAlign w:val="center"/>
          </w:tcPr>
          <w:p w14:paraId="6F5E23C3" w14:textId="77777777" w:rsidR="00054437" w:rsidRPr="000549B1" w:rsidRDefault="00000000">
            <w:pPr>
              <w:spacing w:line="240" w:lineRule="atLeast"/>
              <w:jc w:val="center"/>
              <w:rPr>
                <w:szCs w:val="21"/>
              </w:rPr>
            </w:pPr>
            <w:r w:rsidRPr="000549B1">
              <w:rPr>
                <w:szCs w:val="21"/>
              </w:rPr>
              <w:t>0.00025</w:t>
            </w:r>
          </w:p>
        </w:tc>
        <w:tc>
          <w:tcPr>
            <w:tcW w:w="511" w:type="pct"/>
            <w:noWrap/>
            <w:vAlign w:val="center"/>
          </w:tcPr>
          <w:p w14:paraId="098EF2BE" w14:textId="77777777" w:rsidR="00054437" w:rsidRPr="000549B1" w:rsidRDefault="00000000">
            <w:pPr>
              <w:spacing w:line="240" w:lineRule="atLeast"/>
              <w:jc w:val="center"/>
              <w:rPr>
                <w:szCs w:val="21"/>
              </w:rPr>
            </w:pPr>
            <w:r w:rsidRPr="000549B1">
              <w:rPr>
                <w:szCs w:val="21"/>
              </w:rPr>
              <w:t>0</w:t>
            </w:r>
          </w:p>
        </w:tc>
        <w:tc>
          <w:tcPr>
            <w:tcW w:w="542" w:type="pct"/>
            <w:noWrap/>
            <w:vAlign w:val="center"/>
          </w:tcPr>
          <w:p w14:paraId="4C032316" w14:textId="77777777" w:rsidR="00054437" w:rsidRPr="000549B1" w:rsidRDefault="00000000">
            <w:pPr>
              <w:spacing w:line="240" w:lineRule="atLeast"/>
              <w:jc w:val="center"/>
              <w:rPr>
                <w:szCs w:val="21"/>
              </w:rPr>
            </w:pPr>
            <w:r w:rsidRPr="000549B1">
              <w:rPr>
                <w:szCs w:val="21"/>
              </w:rPr>
              <w:t>0.00265</w:t>
            </w:r>
          </w:p>
        </w:tc>
        <w:tc>
          <w:tcPr>
            <w:tcW w:w="542" w:type="pct"/>
            <w:noWrap/>
            <w:vAlign w:val="center"/>
          </w:tcPr>
          <w:p w14:paraId="2F65E872" w14:textId="77777777" w:rsidR="00054437" w:rsidRPr="000549B1" w:rsidRDefault="00000000">
            <w:pPr>
              <w:spacing w:line="240" w:lineRule="atLeast"/>
              <w:jc w:val="center"/>
              <w:rPr>
                <w:szCs w:val="21"/>
              </w:rPr>
            </w:pPr>
            <w:r w:rsidRPr="000549B1">
              <w:rPr>
                <w:szCs w:val="21"/>
              </w:rPr>
              <w:t>0</w:t>
            </w:r>
          </w:p>
        </w:tc>
      </w:tr>
      <w:tr w:rsidR="000549B1" w:rsidRPr="000549B1" w14:paraId="16ACB14F" w14:textId="77777777">
        <w:trPr>
          <w:trHeight w:val="330"/>
          <w:jc w:val="center"/>
        </w:trPr>
        <w:tc>
          <w:tcPr>
            <w:tcW w:w="332" w:type="pct"/>
            <w:vMerge/>
            <w:vAlign w:val="center"/>
          </w:tcPr>
          <w:p w14:paraId="71654E2A" w14:textId="77777777" w:rsidR="00054437" w:rsidRPr="000549B1" w:rsidRDefault="00054437">
            <w:pPr>
              <w:spacing w:line="240" w:lineRule="atLeast"/>
              <w:jc w:val="center"/>
              <w:rPr>
                <w:szCs w:val="21"/>
              </w:rPr>
            </w:pPr>
          </w:p>
        </w:tc>
        <w:tc>
          <w:tcPr>
            <w:tcW w:w="931" w:type="pct"/>
            <w:vMerge w:val="restart"/>
            <w:noWrap/>
            <w:vAlign w:val="center"/>
          </w:tcPr>
          <w:p w14:paraId="56748330" w14:textId="77777777" w:rsidR="00054437" w:rsidRPr="000549B1" w:rsidRDefault="00000000">
            <w:pPr>
              <w:spacing w:line="240" w:lineRule="atLeast"/>
              <w:jc w:val="center"/>
              <w:rPr>
                <w:szCs w:val="21"/>
              </w:rPr>
            </w:pPr>
            <w:r w:rsidRPr="000549B1">
              <w:rPr>
                <w:szCs w:val="21"/>
              </w:rPr>
              <w:t>沙珠玉河下游</w:t>
            </w:r>
          </w:p>
        </w:tc>
        <w:tc>
          <w:tcPr>
            <w:tcW w:w="959" w:type="pct"/>
            <w:vAlign w:val="center"/>
          </w:tcPr>
          <w:p w14:paraId="4ED9B1DC" w14:textId="77777777" w:rsidR="00054437" w:rsidRPr="000549B1" w:rsidRDefault="00000000">
            <w:pPr>
              <w:spacing w:line="240" w:lineRule="atLeast"/>
              <w:jc w:val="center"/>
              <w:rPr>
                <w:szCs w:val="21"/>
              </w:rPr>
            </w:pPr>
            <w:r w:rsidRPr="000549B1">
              <w:rPr>
                <w:szCs w:val="21"/>
              </w:rPr>
              <w:t>密度</w:t>
            </w:r>
            <w:r w:rsidRPr="000549B1">
              <w:rPr>
                <w:szCs w:val="21"/>
              </w:rPr>
              <w:t>ind.L</w:t>
            </w:r>
            <w:r w:rsidRPr="000549B1">
              <w:rPr>
                <w:szCs w:val="21"/>
                <w:vertAlign w:val="superscript"/>
              </w:rPr>
              <w:t>-1</w:t>
            </w:r>
          </w:p>
        </w:tc>
        <w:tc>
          <w:tcPr>
            <w:tcW w:w="542" w:type="pct"/>
            <w:noWrap/>
            <w:vAlign w:val="center"/>
          </w:tcPr>
          <w:p w14:paraId="10893491" w14:textId="77777777" w:rsidR="00054437" w:rsidRPr="000549B1" w:rsidRDefault="00000000">
            <w:pPr>
              <w:spacing w:line="240" w:lineRule="atLeast"/>
              <w:jc w:val="center"/>
              <w:rPr>
                <w:szCs w:val="21"/>
              </w:rPr>
            </w:pPr>
            <w:r w:rsidRPr="000549B1">
              <w:rPr>
                <w:szCs w:val="21"/>
              </w:rPr>
              <w:t>5</w:t>
            </w:r>
          </w:p>
        </w:tc>
        <w:tc>
          <w:tcPr>
            <w:tcW w:w="637" w:type="pct"/>
            <w:noWrap/>
            <w:vAlign w:val="center"/>
          </w:tcPr>
          <w:p w14:paraId="7AB26AE0" w14:textId="77777777" w:rsidR="00054437" w:rsidRPr="000549B1" w:rsidRDefault="00000000">
            <w:pPr>
              <w:spacing w:line="240" w:lineRule="atLeast"/>
              <w:jc w:val="center"/>
              <w:rPr>
                <w:szCs w:val="21"/>
              </w:rPr>
            </w:pPr>
            <w:r w:rsidRPr="000549B1">
              <w:rPr>
                <w:szCs w:val="21"/>
              </w:rPr>
              <w:t>5</w:t>
            </w:r>
          </w:p>
        </w:tc>
        <w:tc>
          <w:tcPr>
            <w:tcW w:w="511" w:type="pct"/>
            <w:noWrap/>
            <w:vAlign w:val="center"/>
          </w:tcPr>
          <w:p w14:paraId="29BB092A" w14:textId="77777777" w:rsidR="00054437" w:rsidRPr="000549B1" w:rsidRDefault="00000000">
            <w:pPr>
              <w:spacing w:line="240" w:lineRule="atLeast"/>
              <w:jc w:val="center"/>
              <w:rPr>
                <w:szCs w:val="21"/>
              </w:rPr>
            </w:pPr>
            <w:r w:rsidRPr="000549B1">
              <w:rPr>
                <w:szCs w:val="21"/>
              </w:rPr>
              <w:t>0</w:t>
            </w:r>
          </w:p>
        </w:tc>
        <w:tc>
          <w:tcPr>
            <w:tcW w:w="542" w:type="pct"/>
            <w:noWrap/>
            <w:vAlign w:val="center"/>
          </w:tcPr>
          <w:p w14:paraId="075B586B" w14:textId="77777777" w:rsidR="00054437" w:rsidRPr="000549B1" w:rsidRDefault="00000000">
            <w:pPr>
              <w:spacing w:line="240" w:lineRule="atLeast"/>
              <w:jc w:val="center"/>
              <w:rPr>
                <w:szCs w:val="21"/>
              </w:rPr>
            </w:pPr>
            <w:r w:rsidRPr="000549B1">
              <w:rPr>
                <w:szCs w:val="21"/>
              </w:rPr>
              <w:t>0</w:t>
            </w:r>
          </w:p>
        </w:tc>
        <w:tc>
          <w:tcPr>
            <w:tcW w:w="542" w:type="pct"/>
            <w:noWrap/>
            <w:vAlign w:val="center"/>
          </w:tcPr>
          <w:p w14:paraId="565BB146" w14:textId="77777777" w:rsidR="00054437" w:rsidRPr="000549B1" w:rsidRDefault="00000000">
            <w:pPr>
              <w:spacing w:line="240" w:lineRule="atLeast"/>
              <w:jc w:val="center"/>
              <w:rPr>
                <w:szCs w:val="21"/>
              </w:rPr>
            </w:pPr>
            <w:r w:rsidRPr="000549B1">
              <w:rPr>
                <w:szCs w:val="21"/>
              </w:rPr>
              <w:t>0</w:t>
            </w:r>
          </w:p>
        </w:tc>
      </w:tr>
      <w:tr w:rsidR="000549B1" w:rsidRPr="000549B1" w14:paraId="72D0EA0A" w14:textId="77777777">
        <w:trPr>
          <w:trHeight w:val="585"/>
          <w:jc w:val="center"/>
        </w:trPr>
        <w:tc>
          <w:tcPr>
            <w:tcW w:w="332" w:type="pct"/>
            <w:vMerge/>
            <w:vAlign w:val="center"/>
          </w:tcPr>
          <w:p w14:paraId="7A1AE63B" w14:textId="77777777" w:rsidR="00054437" w:rsidRPr="000549B1" w:rsidRDefault="00054437">
            <w:pPr>
              <w:spacing w:line="240" w:lineRule="atLeast"/>
              <w:jc w:val="center"/>
              <w:rPr>
                <w:szCs w:val="21"/>
              </w:rPr>
            </w:pPr>
          </w:p>
        </w:tc>
        <w:tc>
          <w:tcPr>
            <w:tcW w:w="931" w:type="pct"/>
            <w:vMerge/>
            <w:vAlign w:val="center"/>
          </w:tcPr>
          <w:p w14:paraId="74FF7106" w14:textId="77777777" w:rsidR="00054437" w:rsidRPr="000549B1" w:rsidRDefault="00054437">
            <w:pPr>
              <w:spacing w:line="240" w:lineRule="atLeast"/>
              <w:jc w:val="center"/>
              <w:rPr>
                <w:szCs w:val="21"/>
              </w:rPr>
            </w:pPr>
          </w:p>
        </w:tc>
        <w:tc>
          <w:tcPr>
            <w:tcW w:w="959" w:type="pct"/>
            <w:vAlign w:val="center"/>
          </w:tcPr>
          <w:p w14:paraId="069FDC4F" w14:textId="77777777" w:rsidR="00054437" w:rsidRPr="000549B1" w:rsidRDefault="00000000">
            <w:pPr>
              <w:spacing w:line="240" w:lineRule="atLeast"/>
              <w:jc w:val="center"/>
              <w:rPr>
                <w:szCs w:val="21"/>
              </w:rPr>
            </w:pPr>
            <w:r w:rsidRPr="000549B1">
              <w:rPr>
                <w:szCs w:val="21"/>
              </w:rPr>
              <w:t>生物量</w:t>
            </w:r>
            <w:r w:rsidRPr="000549B1">
              <w:rPr>
                <w:szCs w:val="21"/>
              </w:rPr>
              <w:t>mg.L</w:t>
            </w:r>
            <w:r w:rsidRPr="000549B1">
              <w:rPr>
                <w:szCs w:val="21"/>
                <w:vertAlign w:val="superscript"/>
              </w:rPr>
              <w:t>-1</w:t>
            </w:r>
          </w:p>
        </w:tc>
        <w:tc>
          <w:tcPr>
            <w:tcW w:w="542" w:type="pct"/>
            <w:noWrap/>
            <w:vAlign w:val="center"/>
          </w:tcPr>
          <w:p w14:paraId="3DD3702E" w14:textId="77777777" w:rsidR="00054437" w:rsidRPr="000549B1" w:rsidRDefault="00000000">
            <w:pPr>
              <w:spacing w:line="240" w:lineRule="atLeast"/>
              <w:jc w:val="center"/>
              <w:rPr>
                <w:szCs w:val="21"/>
              </w:rPr>
            </w:pPr>
            <w:r w:rsidRPr="000549B1">
              <w:rPr>
                <w:szCs w:val="21"/>
              </w:rPr>
              <w:t>0.00025</w:t>
            </w:r>
          </w:p>
        </w:tc>
        <w:tc>
          <w:tcPr>
            <w:tcW w:w="637" w:type="pct"/>
            <w:noWrap/>
            <w:vAlign w:val="center"/>
          </w:tcPr>
          <w:p w14:paraId="7383785D" w14:textId="77777777" w:rsidR="00054437" w:rsidRPr="000549B1" w:rsidRDefault="00000000">
            <w:pPr>
              <w:spacing w:line="240" w:lineRule="atLeast"/>
              <w:jc w:val="center"/>
              <w:rPr>
                <w:szCs w:val="21"/>
              </w:rPr>
            </w:pPr>
            <w:r w:rsidRPr="000549B1">
              <w:rPr>
                <w:szCs w:val="21"/>
              </w:rPr>
              <w:t>0.00025</w:t>
            </w:r>
          </w:p>
        </w:tc>
        <w:tc>
          <w:tcPr>
            <w:tcW w:w="511" w:type="pct"/>
            <w:noWrap/>
            <w:vAlign w:val="center"/>
          </w:tcPr>
          <w:p w14:paraId="15AD77F5" w14:textId="77777777" w:rsidR="00054437" w:rsidRPr="000549B1" w:rsidRDefault="00000000">
            <w:pPr>
              <w:spacing w:line="240" w:lineRule="atLeast"/>
              <w:jc w:val="center"/>
              <w:rPr>
                <w:szCs w:val="21"/>
              </w:rPr>
            </w:pPr>
            <w:r w:rsidRPr="000549B1">
              <w:rPr>
                <w:szCs w:val="21"/>
              </w:rPr>
              <w:t>0</w:t>
            </w:r>
          </w:p>
        </w:tc>
        <w:tc>
          <w:tcPr>
            <w:tcW w:w="542" w:type="pct"/>
            <w:noWrap/>
            <w:vAlign w:val="center"/>
          </w:tcPr>
          <w:p w14:paraId="3ADFA255" w14:textId="77777777" w:rsidR="00054437" w:rsidRPr="000549B1" w:rsidRDefault="00000000">
            <w:pPr>
              <w:spacing w:line="240" w:lineRule="atLeast"/>
              <w:jc w:val="center"/>
              <w:rPr>
                <w:szCs w:val="21"/>
              </w:rPr>
            </w:pPr>
            <w:r w:rsidRPr="000549B1">
              <w:rPr>
                <w:szCs w:val="21"/>
              </w:rPr>
              <w:t>0</w:t>
            </w:r>
          </w:p>
        </w:tc>
        <w:tc>
          <w:tcPr>
            <w:tcW w:w="542" w:type="pct"/>
            <w:noWrap/>
            <w:vAlign w:val="center"/>
          </w:tcPr>
          <w:p w14:paraId="306376CA" w14:textId="77777777" w:rsidR="00054437" w:rsidRPr="000549B1" w:rsidRDefault="00000000">
            <w:pPr>
              <w:spacing w:line="240" w:lineRule="atLeast"/>
              <w:jc w:val="center"/>
              <w:rPr>
                <w:szCs w:val="21"/>
              </w:rPr>
            </w:pPr>
            <w:r w:rsidRPr="000549B1">
              <w:rPr>
                <w:szCs w:val="21"/>
              </w:rPr>
              <w:t>0</w:t>
            </w:r>
          </w:p>
        </w:tc>
      </w:tr>
      <w:tr w:rsidR="000549B1" w:rsidRPr="000549B1" w14:paraId="0583218B" w14:textId="77777777">
        <w:trPr>
          <w:trHeight w:val="330"/>
          <w:jc w:val="center"/>
        </w:trPr>
        <w:tc>
          <w:tcPr>
            <w:tcW w:w="1264" w:type="pct"/>
            <w:gridSpan w:val="2"/>
            <w:vMerge w:val="restart"/>
            <w:vAlign w:val="center"/>
          </w:tcPr>
          <w:p w14:paraId="53AF667C" w14:textId="77777777" w:rsidR="00054437" w:rsidRPr="000549B1" w:rsidRDefault="00000000">
            <w:pPr>
              <w:spacing w:line="240" w:lineRule="atLeast"/>
              <w:jc w:val="center"/>
              <w:rPr>
                <w:szCs w:val="21"/>
              </w:rPr>
            </w:pPr>
            <w:r w:rsidRPr="000549B1">
              <w:rPr>
                <w:szCs w:val="21"/>
              </w:rPr>
              <w:t>平均</w:t>
            </w:r>
          </w:p>
        </w:tc>
        <w:tc>
          <w:tcPr>
            <w:tcW w:w="959" w:type="pct"/>
            <w:vAlign w:val="center"/>
          </w:tcPr>
          <w:p w14:paraId="0AFB8FC5" w14:textId="77777777" w:rsidR="00054437" w:rsidRPr="000549B1" w:rsidRDefault="00000000">
            <w:pPr>
              <w:spacing w:line="240" w:lineRule="atLeast"/>
              <w:jc w:val="center"/>
              <w:rPr>
                <w:szCs w:val="21"/>
              </w:rPr>
            </w:pPr>
            <w:r w:rsidRPr="000549B1">
              <w:rPr>
                <w:szCs w:val="21"/>
              </w:rPr>
              <w:t>密度</w:t>
            </w:r>
            <w:r w:rsidRPr="000549B1">
              <w:rPr>
                <w:szCs w:val="21"/>
              </w:rPr>
              <w:t>ind.L</w:t>
            </w:r>
            <w:r w:rsidRPr="000549B1">
              <w:rPr>
                <w:szCs w:val="21"/>
                <w:vertAlign w:val="superscript"/>
              </w:rPr>
              <w:t>-1</w:t>
            </w:r>
          </w:p>
        </w:tc>
        <w:tc>
          <w:tcPr>
            <w:tcW w:w="925" w:type="dxa"/>
            <w:noWrap/>
            <w:vAlign w:val="bottom"/>
          </w:tcPr>
          <w:p w14:paraId="6FC7418B" w14:textId="77777777" w:rsidR="00054437" w:rsidRPr="000549B1" w:rsidRDefault="00000000">
            <w:pPr>
              <w:widowControl/>
              <w:jc w:val="center"/>
              <w:textAlignment w:val="bottom"/>
              <w:rPr>
                <w:szCs w:val="21"/>
              </w:rPr>
            </w:pPr>
            <w:r w:rsidRPr="000549B1">
              <w:rPr>
                <w:rFonts w:eastAsia="等线"/>
                <w:kern w:val="0"/>
                <w:szCs w:val="21"/>
                <w:lang w:bidi="ar"/>
              </w:rPr>
              <w:t>52.5</w:t>
            </w:r>
          </w:p>
        </w:tc>
        <w:tc>
          <w:tcPr>
            <w:tcW w:w="1086" w:type="dxa"/>
            <w:noWrap/>
            <w:vAlign w:val="bottom"/>
          </w:tcPr>
          <w:p w14:paraId="4A2A6E8D" w14:textId="77777777" w:rsidR="00054437" w:rsidRPr="000549B1" w:rsidRDefault="00000000">
            <w:pPr>
              <w:widowControl/>
              <w:jc w:val="center"/>
              <w:textAlignment w:val="bottom"/>
              <w:rPr>
                <w:szCs w:val="21"/>
              </w:rPr>
            </w:pPr>
            <w:r w:rsidRPr="000549B1">
              <w:rPr>
                <w:rFonts w:eastAsia="等线"/>
                <w:kern w:val="0"/>
                <w:szCs w:val="21"/>
                <w:lang w:bidi="ar"/>
              </w:rPr>
              <w:t>7.5</w:t>
            </w:r>
          </w:p>
        </w:tc>
        <w:tc>
          <w:tcPr>
            <w:tcW w:w="871" w:type="dxa"/>
            <w:noWrap/>
            <w:vAlign w:val="bottom"/>
          </w:tcPr>
          <w:p w14:paraId="58DFF734" w14:textId="77777777" w:rsidR="00054437" w:rsidRPr="000549B1" w:rsidRDefault="00000000">
            <w:pPr>
              <w:widowControl/>
              <w:jc w:val="center"/>
              <w:textAlignment w:val="bottom"/>
              <w:rPr>
                <w:szCs w:val="21"/>
              </w:rPr>
            </w:pPr>
            <w:r w:rsidRPr="000549B1">
              <w:rPr>
                <w:rFonts w:eastAsia="等线"/>
                <w:kern w:val="0"/>
                <w:szCs w:val="21"/>
                <w:lang w:bidi="ar"/>
              </w:rPr>
              <w:t>40.8</w:t>
            </w:r>
          </w:p>
        </w:tc>
        <w:tc>
          <w:tcPr>
            <w:tcW w:w="924" w:type="dxa"/>
            <w:noWrap/>
            <w:vAlign w:val="bottom"/>
          </w:tcPr>
          <w:p w14:paraId="231B79E2" w14:textId="77777777" w:rsidR="00054437" w:rsidRPr="000549B1" w:rsidRDefault="00000000">
            <w:pPr>
              <w:widowControl/>
              <w:jc w:val="center"/>
              <w:textAlignment w:val="bottom"/>
              <w:rPr>
                <w:szCs w:val="21"/>
              </w:rPr>
            </w:pPr>
            <w:r w:rsidRPr="000549B1">
              <w:rPr>
                <w:rFonts w:eastAsia="等线"/>
                <w:kern w:val="0"/>
                <w:szCs w:val="21"/>
                <w:lang w:bidi="ar"/>
              </w:rPr>
              <w:t>0.8</w:t>
            </w:r>
          </w:p>
        </w:tc>
        <w:tc>
          <w:tcPr>
            <w:tcW w:w="924" w:type="dxa"/>
            <w:noWrap/>
            <w:vAlign w:val="bottom"/>
          </w:tcPr>
          <w:p w14:paraId="701F8D78" w14:textId="77777777" w:rsidR="00054437" w:rsidRPr="000549B1" w:rsidRDefault="00000000">
            <w:pPr>
              <w:widowControl/>
              <w:jc w:val="center"/>
              <w:textAlignment w:val="bottom"/>
              <w:rPr>
                <w:szCs w:val="21"/>
              </w:rPr>
            </w:pPr>
            <w:r w:rsidRPr="000549B1">
              <w:rPr>
                <w:rFonts w:eastAsia="等线"/>
                <w:kern w:val="0"/>
                <w:szCs w:val="21"/>
                <w:lang w:bidi="ar"/>
              </w:rPr>
              <w:t>3.3</w:t>
            </w:r>
          </w:p>
        </w:tc>
      </w:tr>
      <w:tr w:rsidR="00054437" w:rsidRPr="000549B1" w14:paraId="49E3C086" w14:textId="77777777">
        <w:trPr>
          <w:trHeight w:val="585"/>
          <w:jc w:val="center"/>
        </w:trPr>
        <w:tc>
          <w:tcPr>
            <w:tcW w:w="1264" w:type="pct"/>
            <w:gridSpan w:val="2"/>
            <w:vMerge/>
            <w:vAlign w:val="center"/>
          </w:tcPr>
          <w:p w14:paraId="12AA892C" w14:textId="77777777" w:rsidR="00054437" w:rsidRPr="000549B1" w:rsidRDefault="00054437">
            <w:pPr>
              <w:spacing w:line="240" w:lineRule="atLeast"/>
              <w:jc w:val="center"/>
              <w:rPr>
                <w:szCs w:val="21"/>
              </w:rPr>
            </w:pPr>
          </w:p>
        </w:tc>
        <w:tc>
          <w:tcPr>
            <w:tcW w:w="959" w:type="pct"/>
            <w:vAlign w:val="center"/>
          </w:tcPr>
          <w:p w14:paraId="335D0EE3" w14:textId="77777777" w:rsidR="00054437" w:rsidRPr="000549B1" w:rsidRDefault="00000000">
            <w:pPr>
              <w:spacing w:line="240" w:lineRule="atLeast"/>
              <w:jc w:val="center"/>
              <w:rPr>
                <w:szCs w:val="21"/>
              </w:rPr>
            </w:pPr>
            <w:r w:rsidRPr="000549B1">
              <w:rPr>
                <w:szCs w:val="21"/>
              </w:rPr>
              <w:t>生物量</w:t>
            </w:r>
            <w:r w:rsidRPr="000549B1">
              <w:rPr>
                <w:szCs w:val="21"/>
              </w:rPr>
              <w:t>mg.L</w:t>
            </w:r>
            <w:r w:rsidRPr="000549B1">
              <w:rPr>
                <w:szCs w:val="21"/>
                <w:vertAlign w:val="superscript"/>
              </w:rPr>
              <w:t>-1</w:t>
            </w:r>
          </w:p>
        </w:tc>
        <w:tc>
          <w:tcPr>
            <w:tcW w:w="925" w:type="dxa"/>
            <w:noWrap/>
            <w:vAlign w:val="bottom"/>
          </w:tcPr>
          <w:p w14:paraId="1410F342" w14:textId="77777777" w:rsidR="00054437" w:rsidRPr="000549B1" w:rsidRDefault="00000000">
            <w:pPr>
              <w:widowControl/>
              <w:jc w:val="center"/>
              <w:textAlignment w:val="bottom"/>
              <w:rPr>
                <w:szCs w:val="21"/>
              </w:rPr>
            </w:pPr>
            <w:r w:rsidRPr="000549B1">
              <w:rPr>
                <w:rFonts w:eastAsia="等线"/>
                <w:kern w:val="0"/>
                <w:szCs w:val="21"/>
                <w:lang w:bidi="ar"/>
              </w:rPr>
              <w:t>0.0172</w:t>
            </w:r>
          </w:p>
        </w:tc>
        <w:tc>
          <w:tcPr>
            <w:tcW w:w="1086" w:type="dxa"/>
            <w:noWrap/>
            <w:vAlign w:val="bottom"/>
          </w:tcPr>
          <w:p w14:paraId="6950E7D1" w14:textId="77777777" w:rsidR="00054437" w:rsidRPr="000549B1" w:rsidRDefault="00000000">
            <w:pPr>
              <w:widowControl/>
              <w:jc w:val="center"/>
              <w:textAlignment w:val="bottom"/>
              <w:rPr>
                <w:szCs w:val="21"/>
              </w:rPr>
            </w:pPr>
            <w:r w:rsidRPr="000549B1">
              <w:rPr>
                <w:rFonts w:eastAsia="等线"/>
                <w:kern w:val="0"/>
                <w:szCs w:val="21"/>
                <w:lang w:bidi="ar"/>
              </w:rPr>
              <w:t>0.0004</w:t>
            </w:r>
          </w:p>
        </w:tc>
        <w:tc>
          <w:tcPr>
            <w:tcW w:w="871" w:type="dxa"/>
            <w:noWrap/>
            <w:vAlign w:val="bottom"/>
          </w:tcPr>
          <w:p w14:paraId="5FDA29A5" w14:textId="77777777" w:rsidR="00054437" w:rsidRPr="000549B1" w:rsidRDefault="00000000">
            <w:pPr>
              <w:widowControl/>
              <w:jc w:val="center"/>
              <w:textAlignment w:val="bottom"/>
              <w:rPr>
                <w:szCs w:val="21"/>
              </w:rPr>
            </w:pPr>
            <w:r w:rsidRPr="000549B1">
              <w:rPr>
                <w:rFonts w:eastAsia="等线"/>
                <w:kern w:val="0"/>
                <w:szCs w:val="21"/>
                <w:lang w:bidi="ar"/>
              </w:rPr>
              <w:t>0.0163</w:t>
            </w:r>
          </w:p>
        </w:tc>
        <w:tc>
          <w:tcPr>
            <w:tcW w:w="924" w:type="dxa"/>
            <w:noWrap/>
            <w:vAlign w:val="bottom"/>
          </w:tcPr>
          <w:p w14:paraId="4F7C8E49" w14:textId="77777777" w:rsidR="00054437" w:rsidRPr="000549B1" w:rsidRDefault="00000000">
            <w:pPr>
              <w:widowControl/>
              <w:jc w:val="center"/>
              <w:textAlignment w:val="bottom"/>
              <w:rPr>
                <w:szCs w:val="21"/>
              </w:rPr>
            </w:pPr>
            <w:r w:rsidRPr="000549B1">
              <w:rPr>
                <w:rFonts w:eastAsia="等线"/>
                <w:kern w:val="0"/>
                <w:szCs w:val="21"/>
                <w:lang w:bidi="ar"/>
              </w:rPr>
              <w:t>0.0004</w:t>
            </w:r>
          </w:p>
        </w:tc>
        <w:tc>
          <w:tcPr>
            <w:tcW w:w="924" w:type="dxa"/>
            <w:noWrap/>
            <w:vAlign w:val="bottom"/>
          </w:tcPr>
          <w:p w14:paraId="786B5D35" w14:textId="77777777" w:rsidR="00054437" w:rsidRPr="000549B1" w:rsidRDefault="00000000">
            <w:pPr>
              <w:widowControl/>
              <w:jc w:val="center"/>
              <w:textAlignment w:val="bottom"/>
              <w:rPr>
                <w:szCs w:val="21"/>
              </w:rPr>
            </w:pPr>
            <w:r w:rsidRPr="000549B1">
              <w:rPr>
                <w:rFonts w:eastAsia="等线"/>
                <w:kern w:val="0"/>
                <w:szCs w:val="21"/>
                <w:lang w:bidi="ar"/>
              </w:rPr>
              <w:t>0.0001</w:t>
            </w:r>
          </w:p>
        </w:tc>
      </w:tr>
    </w:tbl>
    <w:p w14:paraId="415DC1B3" w14:textId="77777777" w:rsidR="00054437" w:rsidRPr="000549B1" w:rsidRDefault="00054437">
      <w:pPr>
        <w:rPr>
          <w:b/>
          <w:bCs/>
          <w:szCs w:val="21"/>
        </w:rPr>
      </w:pPr>
    </w:p>
    <w:p w14:paraId="44DCD4E1" w14:textId="77777777" w:rsidR="00054437" w:rsidRPr="000549B1" w:rsidRDefault="00000000">
      <w:pPr>
        <w:jc w:val="center"/>
        <w:rPr>
          <w:b/>
          <w:bCs/>
          <w:szCs w:val="21"/>
        </w:rPr>
      </w:pPr>
      <w:r w:rsidRPr="000549B1">
        <w:rPr>
          <w:noProof/>
        </w:rPr>
        <w:drawing>
          <wp:inline distT="0" distB="0" distL="114300" distR="114300" wp14:anchorId="0C4B6CD9" wp14:editId="44B73C54">
            <wp:extent cx="4979035" cy="3248660"/>
            <wp:effectExtent l="0" t="0" r="12065" b="8890"/>
            <wp:docPr id="69731049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5"/>
              </a:graphicData>
            </a:graphic>
          </wp:inline>
        </w:drawing>
      </w:r>
    </w:p>
    <w:p w14:paraId="66DFA84F" w14:textId="1AEF294E" w:rsidR="00054437" w:rsidRPr="000549B1" w:rsidRDefault="00000000">
      <w:pPr>
        <w:pStyle w:val="0A51"/>
        <w:ind w:firstLine="422"/>
        <w:sectPr w:rsidR="00054437" w:rsidRPr="000549B1">
          <w:type w:val="continuous"/>
          <w:pgSz w:w="11906" w:h="16838"/>
          <w:pgMar w:top="1440" w:right="1800" w:bottom="1440" w:left="1800" w:header="851" w:footer="992" w:gutter="0"/>
          <w:cols w:space="425"/>
          <w:docGrid w:type="lines" w:linePitch="312"/>
        </w:sectPr>
      </w:pPr>
      <w:r w:rsidRPr="000549B1">
        <w:t>图</w:t>
      </w:r>
      <w:fldSimple w:instr=" STYLEREF 2 \s ">
        <w:r w:rsidR="00F32CCA">
          <w:rPr>
            <w:noProof/>
          </w:rPr>
          <w:t>3.6</w:t>
        </w:r>
      </w:fldSimple>
      <w:r w:rsidR="00F1314B">
        <w:noBreakHyphen/>
      </w:r>
      <w:r w:rsidR="00F1314B">
        <w:fldChar w:fldCharType="begin"/>
      </w:r>
      <w:r w:rsidR="00F1314B">
        <w:instrText xml:space="preserve"> SEQ </w:instrText>
      </w:r>
      <w:r w:rsidR="00F1314B">
        <w:instrText>图</w:instrText>
      </w:r>
      <w:r w:rsidR="00F1314B">
        <w:instrText xml:space="preserve"> \* ARABIC \s 2 </w:instrText>
      </w:r>
      <w:r w:rsidR="00F1314B">
        <w:fldChar w:fldCharType="separate"/>
      </w:r>
      <w:r w:rsidR="00F32CCA">
        <w:rPr>
          <w:noProof/>
        </w:rPr>
        <w:t>6</w:t>
      </w:r>
      <w:r w:rsidR="00F1314B">
        <w:fldChar w:fldCharType="end"/>
      </w:r>
      <w:r w:rsidRPr="000549B1">
        <w:t>浮游动物密度生物量变化趋势</w:t>
      </w:r>
    </w:p>
    <w:p w14:paraId="2D48C01C" w14:textId="77777777" w:rsidR="00054437" w:rsidRPr="000549B1" w:rsidRDefault="00000000">
      <w:pPr>
        <w:pStyle w:val="4"/>
        <w:adjustRightInd w:val="0"/>
        <w:snapToGrid w:val="0"/>
        <w:spacing w:before="0" w:after="0" w:line="360" w:lineRule="auto"/>
        <w:rPr>
          <w:rFonts w:ascii="Times New Roman" w:eastAsia="黑体" w:hAnsi="Times New Roman"/>
          <w:bCs w:val="0"/>
          <w:lang w:val="zh-CN"/>
        </w:rPr>
      </w:pPr>
      <w:r w:rsidRPr="000549B1">
        <w:rPr>
          <w:rFonts w:ascii="Times New Roman" w:eastAsia="黑体" w:hAnsi="Times New Roman"/>
          <w:bCs w:val="0"/>
          <w:lang w:val="zh-CN"/>
        </w:rPr>
        <w:t>多样性指数</w:t>
      </w:r>
    </w:p>
    <w:p w14:paraId="5AFEAABE" w14:textId="77777777" w:rsidR="00054437" w:rsidRPr="000549B1" w:rsidRDefault="00000000">
      <w:pPr>
        <w:adjustRightInd w:val="0"/>
        <w:snapToGrid w:val="0"/>
        <w:spacing w:line="500" w:lineRule="exact"/>
        <w:ind w:firstLineChars="200" w:firstLine="480"/>
        <w:rPr>
          <w:kern w:val="0"/>
          <w:sz w:val="24"/>
          <w:shd w:val="clear" w:color="auto" w:fill="FFFFFF"/>
          <w:lang w:val="zh-CN" w:bidi="en-US"/>
        </w:rPr>
      </w:pPr>
      <w:r w:rsidRPr="000549B1">
        <w:rPr>
          <w:kern w:val="0"/>
          <w:sz w:val="24"/>
          <w:shd w:val="clear" w:color="auto" w:fill="FFFFFF"/>
          <w:lang w:val="zh-CN" w:bidi="en-US"/>
        </w:rPr>
        <w:t>根据调查结果，各断面的多样性指数在</w:t>
      </w:r>
      <w:r w:rsidRPr="000549B1">
        <w:rPr>
          <w:kern w:val="0"/>
          <w:sz w:val="24"/>
          <w:shd w:val="clear" w:color="auto" w:fill="FFFFFF"/>
          <w:lang w:val="zh-CN" w:bidi="en-US"/>
        </w:rPr>
        <w:t>0~1.</w:t>
      </w:r>
      <w:r w:rsidRPr="000549B1">
        <w:rPr>
          <w:kern w:val="0"/>
          <w:sz w:val="24"/>
          <w:shd w:val="clear" w:color="auto" w:fill="FFFFFF"/>
          <w:lang w:bidi="en-US"/>
        </w:rPr>
        <w:t>15</w:t>
      </w:r>
      <w:r w:rsidRPr="000549B1">
        <w:rPr>
          <w:kern w:val="0"/>
          <w:sz w:val="24"/>
          <w:shd w:val="clear" w:color="auto" w:fill="FFFFFF"/>
          <w:lang w:val="zh-CN" w:bidi="en-US"/>
        </w:rPr>
        <w:t>之间，均匀度指数值在</w:t>
      </w:r>
      <w:r w:rsidRPr="000549B1">
        <w:rPr>
          <w:kern w:val="0"/>
          <w:sz w:val="24"/>
          <w:shd w:val="clear" w:color="auto" w:fill="FFFFFF"/>
          <w:lang w:val="zh-CN" w:bidi="en-US"/>
        </w:rPr>
        <w:t>0~1</w:t>
      </w:r>
      <w:r w:rsidRPr="000549B1">
        <w:rPr>
          <w:kern w:val="0"/>
          <w:sz w:val="24"/>
          <w:shd w:val="clear" w:color="auto" w:fill="FFFFFF"/>
          <w:lang w:val="zh-CN" w:bidi="en-US"/>
        </w:rPr>
        <w:t>之间。因在沙珠玉河下游断面浮游动物只采到</w:t>
      </w:r>
      <w:r w:rsidRPr="000549B1">
        <w:rPr>
          <w:kern w:val="0"/>
          <w:sz w:val="24"/>
          <w:shd w:val="clear" w:color="auto" w:fill="FFFFFF"/>
          <w:lang w:bidi="en-US"/>
        </w:rPr>
        <w:t>1</w:t>
      </w:r>
      <w:r w:rsidRPr="000549B1">
        <w:rPr>
          <w:kern w:val="0"/>
          <w:sz w:val="24"/>
          <w:shd w:val="clear" w:color="auto" w:fill="FFFFFF"/>
          <w:lang w:val="zh-CN" w:bidi="en-US"/>
        </w:rPr>
        <w:t>种，故多样性和均匀度为</w:t>
      </w:r>
      <w:r w:rsidRPr="000549B1">
        <w:rPr>
          <w:kern w:val="0"/>
          <w:sz w:val="24"/>
          <w:shd w:val="clear" w:color="auto" w:fill="FFFFFF"/>
          <w:lang w:val="zh-CN" w:bidi="en-US"/>
        </w:rPr>
        <w:t>0</w:t>
      </w:r>
      <w:r w:rsidRPr="000549B1">
        <w:rPr>
          <w:kern w:val="0"/>
          <w:sz w:val="24"/>
          <w:shd w:val="clear" w:color="auto" w:fill="FFFFFF"/>
          <w:lang w:val="zh-CN" w:bidi="en-US"/>
        </w:rPr>
        <w:t>。切吉水库上游多样性指数最高，沙珠玉河浪娘村桥下断面均匀度最高。整体而言，水体的种群结构稳定性较弱，物种分布均匀度一般，抗外界干扰能力一般。</w:t>
      </w:r>
    </w:p>
    <w:p w14:paraId="76E91A2E" w14:textId="08FD6423" w:rsidR="00054437" w:rsidRPr="000549B1" w:rsidRDefault="00000000">
      <w:pPr>
        <w:pStyle w:val="0A51"/>
        <w:ind w:firstLine="422"/>
      </w:pPr>
      <w:r w:rsidRPr="000549B1">
        <w:t>表</w:t>
      </w:r>
      <w:fldSimple w:instr=" STYLEREF 2 \s ">
        <w:r w:rsidR="00372953">
          <w:rPr>
            <w:noProof/>
          </w:rPr>
          <w:t>3.6</w:t>
        </w:r>
      </w:fldSimple>
      <w:r w:rsidR="00372953">
        <w:noBreakHyphen/>
      </w:r>
      <w:r w:rsidR="00372953">
        <w:fldChar w:fldCharType="begin"/>
      </w:r>
      <w:r w:rsidR="00372953">
        <w:instrText xml:space="preserve"> SEQ </w:instrText>
      </w:r>
      <w:r w:rsidR="00372953">
        <w:instrText>表</w:instrText>
      </w:r>
      <w:r w:rsidR="00372953">
        <w:instrText xml:space="preserve"> \* ARABIC \s 2 </w:instrText>
      </w:r>
      <w:r w:rsidR="00372953">
        <w:fldChar w:fldCharType="separate"/>
      </w:r>
      <w:r w:rsidR="00372953">
        <w:rPr>
          <w:noProof/>
        </w:rPr>
        <w:t>8</w:t>
      </w:r>
      <w:r w:rsidR="00372953">
        <w:fldChar w:fldCharType="end"/>
      </w:r>
      <w:r w:rsidRPr="000549B1">
        <w:t>浮游动物多样性指数表</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1"/>
        <w:gridCol w:w="3242"/>
        <w:gridCol w:w="2402"/>
        <w:gridCol w:w="1454"/>
      </w:tblGrid>
      <w:tr w:rsidR="000549B1" w:rsidRPr="000549B1" w14:paraId="03056738" w14:textId="77777777">
        <w:trPr>
          <w:trHeight w:val="285"/>
          <w:tblHeader/>
          <w:jc w:val="center"/>
        </w:trPr>
        <w:tc>
          <w:tcPr>
            <w:tcW w:w="2676" w:type="pct"/>
            <w:gridSpan w:val="2"/>
            <w:vAlign w:val="center"/>
          </w:tcPr>
          <w:p w14:paraId="679E4AC6" w14:textId="77777777" w:rsidR="00054437" w:rsidRPr="000549B1" w:rsidRDefault="00000000">
            <w:pPr>
              <w:widowControl/>
              <w:spacing w:line="240" w:lineRule="atLeast"/>
              <w:jc w:val="center"/>
              <w:rPr>
                <w:b/>
                <w:bCs/>
                <w:kern w:val="0"/>
                <w:szCs w:val="21"/>
              </w:rPr>
            </w:pPr>
            <w:r w:rsidRPr="000549B1">
              <w:rPr>
                <w:b/>
                <w:bCs/>
                <w:kern w:val="0"/>
                <w:szCs w:val="21"/>
              </w:rPr>
              <w:t>采样断面</w:t>
            </w:r>
          </w:p>
        </w:tc>
        <w:tc>
          <w:tcPr>
            <w:tcW w:w="1447" w:type="pct"/>
            <w:noWrap/>
            <w:vAlign w:val="center"/>
          </w:tcPr>
          <w:p w14:paraId="3EA775B5" w14:textId="77777777" w:rsidR="00054437" w:rsidRPr="000549B1" w:rsidRDefault="00000000">
            <w:pPr>
              <w:widowControl/>
              <w:spacing w:line="240" w:lineRule="atLeast"/>
              <w:jc w:val="center"/>
              <w:rPr>
                <w:b/>
                <w:bCs/>
                <w:kern w:val="0"/>
                <w:szCs w:val="21"/>
              </w:rPr>
            </w:pPr>
            <w:r w:rsidRPr="000549B1">
              <w:rPr>
                <w:b/>
                <w:bCs/>
                <w:kern w:val="0"/>
                <w:szCs w:val="21"/>
              </w:rPr>
              <w:t>Shannon-Wiener</w:t>
            </w:r>
            <w:r w:rsidRPr="000549B1">
              <w:rPr>
                <w:b/>
                <w:bCs/>
                <w:kern w:val="0"/>
                <w:szCs w:val="21"/>
              </w:rPr>
              <w:t>指数</w:t>
            </w:r>
          </w:p>
        </w:tc>
        <w:tc>
          <w:tcPr>
            <w:tcW w:w="876" w:type="pct"/>
            <w:noWrap/>
            <w:vAlign w:val="center"/>
          </w:tcPr>
          <w:p w14:paraId="395B6A2F" w14:textId="77777777" w:rsidR="00054437" w:rsidRPr="000549B1" w:rsidRDefault="00000000">
            <w:pPr>
              <w:widowControl/>
              <w:spacing w:line="240" w:lineRule="atLeast"/>
              <w:jc w:val="center"/>
              <w:rPr>
                <w:b/>
                <w:bCs/>
                <w:kern w:val="0"/>
                <w:szCs w:val="21"/>
              </w:rPr>
            </w:pPr>
            <w:r w:rsidRPr="000549B1">
              <w:rPr>
                <w:b/>
                <w:bCs/>
                <w:kern w:val="0"/>
                <w:szCs w:val="21"/>
              </w:rPr>
              <w:t>Pielou</w:t>
            </w:r>
            <w:r w:rsidRPr="000549B1">
              <w:rPr>
                <w:b/>
                <w:bCs/>
                <w:kern w:val="0"/>
                <w:szCs w:val="21"/>
              </w:rPr>
              <w:t>指数</w:t>
            </w:r>
          </w:p>
        </w:tc>
      </w:tr>
      <w:tr w:rsidR="000549B1" w:rsidRPr="000549B1" w14:paraId="55695EF7" w14:textId="77777777">
        <w:trPr>
          <w:trHeight w:val="285"/>
          <w:jc w:val="center"/>
        </w:trPr>
        <w:tc>
          <w:tcPr>
            <w:tcW w:w="723" w:type="pct"/>
            <w:vMerge w:val="restart"/>
            <w:vAlign w:val="center"/>
          </w:tcPr>
          <w:p w14:paraId="0155702B" w14:textId="77777777" w:rsidR="00054437" w:rsidRPr="000549B1" w:rsidRDefault="00000000">
            <w:pPr>
              <w:widowControl/>
              <w:spacing w:line="240" w:lineRule="atLeast"/>
              <w:jc w:val="center"/>
            </w:pPr>
            <w:r w:rsidRPr="000549B1">
              <w:t>切吉河</w:t>
            </w:r>
          </w:p>
        </w:tc>
        <w:tc>
          <w:tcPr>
            <w:tcW w:w="1953" w:type="pct"/>
            <w:noWrap/>
            <w:vAlign w:val="center"/>
          </w:tcPr>
          <w:p w14:paraId="45BCC42A" w14:textId="77777777" w:rsidR="00054437" w:rsidRPr="000549B1" w:rsidRDefault="00000000">
            <w:pPr>
              <w:widowControl/>
              <w:spacing w:line="240" w:lineRule="atLeast"/>
              <w:jc w:val="center"/>
              <w:rPr>
                <w:kern w:val="0"/>
                <w:szCs w:val="21"/>
              </w:rPr>
            </w:pPr>
            <w:r w:rsidRPr="000549B1">
              <w:t>切吉水库上游</w:t>
            </w:r>
          </w:p>
        </w:tc>
        <w:tc>
          <w:tcPr>
            <w:tcW w:w="1447" w:type="pct"/>
            <w:noWrap/>
            <w:vAlign w:val="center"/>
          </w:tcPr>
          <w:p w14:paraId="75BE65FA" w14:textId="77777777" w:rsidR="00054437" w:rsidRPr="000549B1" w:rsidRDefault="00000000">
            <w:pPr>
              <w:widowControl/>
              <w:spacing w:line="240" w:lineRule="atLeast"/>
              <w:jc w:val="center"/>
              <w:rPr>
                <w:kern w:val="0"/>
                <w:szCs w:val="21"/>
              </w:rPr>
            </w:pPr>
            <w:r w:rsidRPr="000549B1">
              <w:t>1.15</w:t>
            </w:r>
          </w:p>
        </w:tc>
        <w:tc>
          <w:tcPr>
            <w:tcW w:w="876" w:type="pct"/>
            <w:noWrap/>
            <w:vAlign w:val="center"/>
          </w:tcPr>
          <w:p w14:paraId="245B160B" w14:textId="77777777" w:rsidR="00054437" w:rsidRPr="000549B1" w:rsidRDefault="00000000">
            <w:pPr>
              <w:widowControl/>
              <w:spacing w:line="240" w:lineRule="atLeast"/>
              <w:jc w:val="center"/>
              <w:rPr>
                <w:kern w:val="0"/>
                <w:szCs w:val="21"/>
              </w:rPr>
            </w:pPr>
            <w:r w:rsidRPr="000549B1">
              <w:t>0.83</w:t>
            </w:r>
          </w:p>
        </w:tc>
      </w:tr>
      <w:tr w:rsidR="000549B1" w:rsidRPr="000549B1" w14:paraId="414EEEAB" w14:textId="77777777">
        <w:trPr>
          <w:trHeight w:val="285"/>
          <w:jc w:val="center"/>
        </w:trPr>
        <w:tc>
          <w:tcPr>
            <w:tcW w:w="723" w:type="pct"/>
            <w:vMerge/>
            <w:vAlign w:val="center"/>
          </w:tcPr>
          <w:p w14:paraId="466D01B2" w14:textId="77777777" w:rsidR="00054437" w:rsidRPr="000549B1" w:rsidRDefault="00054437">
            <w:pPr>
              <w:widowControl/>
              <w:spacing w:line="240" w:lineRule="atLeast"/>
              <w:jc w:val="center"/>
            </w:pPr>
          </w:p>
        </w:tc>
        <w:tc>
          <w:tcPr>
            <w:tcW w:w="1953" w:type="pct"/>
            <w:noWrap/>
            <w:vAlign w:val="center"/>
          </w:tcPr>
          <w:p w14:paraId="5EE6ECF1" w14:textId="77777777" w:rsidR="00054437" w:rsidRPr="000549B1" w:rsidRDefault="00000000">
            <w:pPr>
              <w:widowControl/>
              <w:spacing w:line="240" w:lineRule="atLeast"/>
              <w:jc w:val="center"/>
              <w:rPr>
                <w:kern w:val="0"/>
                <w:szCs w:val="21"/>
              </w:rPr>
            </w:pPr>
            <w:r w:rsidRPr="000549B1">
              <w:t>切吉水库</w:t>
            </w:r>
          </w:p>
        </w:tc>
        <w:tc>
          <w:tcPr>
            <w:tcW w:w="1447" w:type="pct"/>
            <w:noWrap/>
            <w:vAlign w:val="center"/>
          </w:tcPr>
          <w:p w14:paraId="5C1CCD3D" w14:textId="77777777" w:rsidR="00054437" w:rsidRPr="000549B1" w:rsidRDefault="00000000">
            <w:pPr>
              <w:widowControl/>
              <w:spacing w:line="240" w:lineRule="atLeast"/>
              <w:jc w:val="center"/>
              <w:rPr>
                <w:kern w:val="0"/>
                <w:szCs w:val="21"/>
              </w:rPr>
            </w:pPr>
            <w:r w:rsidRPr="000549B1">
              <w:t>0.84</w:t>
            </w:r>
          </w:p>
        </w:tc>
        <w:tc>
          <w:tcPr>
            <w:tcW w:w="876" w:type="pct"/>
            <w:noWrap/>
            <w:vAlign w:val="center"/>
          </w:tcPr>
          <w:p w14:paraId="57FA8862" w14:textId="77777777" w:rsidR="00054437" w:rsidRPr="000549B1" w:rsidRDefault="00000000">
            <w:pPr>
              <w:widowControl/>
              <w:spacing w:line="240" w:lineRule="atLeast"/>
              <w:jc w:val="center"/>
              <w:rPr>
                <w:kern w:val="0"/>
                <w:szCs w:val="21"/>
              </w:rPr>
            </w:pPr>
            <w:r w:rsidRPr="000549B1">
              <w:t>0.60</w:t>
            </w:r>
          </w:p>
        </w:tc>
      </w:tr>
      <w:tr w:rsidR="000549B1" w:rsidRPr="000549B1" w14:paraId="21C6CB15" w14:textId="77777777">
        <w:trPr>
          <w:trHeight w:val="285"/>
          <w:jc w:val="center"/>
        </w:trPr>
        <w:tc>
          <w:tcPr>
            <w:tcW w:w="723" w:type="pct"/>
            <w:vMerge/>
            <w:vAlign w:val="center"/>
          </w:tcPr>
          <w:p w14:paraId="0C26F283" w14:textId="77777777" w:rsidR="00054437" w:rsidRPr="000549B1" w:rsidRDefault="00054437">
            <w:pPr>
              <w:widowControl/>
              <w:spacing w:line="240" w:lineRule="atLeast"/>
              <w:jc w:val="center"/>
            </w:pPr>
          </w:p>
        </w:tc>
        <w:tc>
          <w:tcPr>
            <w:tcW w:w="1953" w:type="pct"/>
            <w:noWrap/>
            <w:vAlign w:val="center"/>
          </w:tcPr>
          <w:p w14:paraId="4D323DA4" w14:textId="77777777" w:rsidR="00054437" w:rsidRPr="000549B1" w:rsidRDefault="00000000">
            <w:pPr>
              <w:widowControl/>
              <w:spacing w:line="240" w:lineRule="atLeast"/>
              <w:jc w:val="center"/>
              <w:rPr>
                <w:kern w:val="0"/>
                <w:szCs w:val="21"/>
              </w:rPr>
            </w:pPr>
            <w:r w:rsidRPr="000549B1">
              <w:t>切吉河下游</w:t>
            </w:r>
          </w:p>
        </w:tc>
        <w:tc>
          <w:tcPr>
            <w:tcW w:w="1447" w:type="pct"/>
            <w:noWrap/>
            <w:vAlign w:val="center"/>
          </w:tcPr>
          <w:p w14:paraId="1B73A34F" w14:textId="77777777" w:rsidR="00054437" w:rsidRPr="000549B1" w:rsidRDefault="00000000">
            <w:pPr>
              <w:widowControl/>
              <w:spacing w:line="240" w:lineRule="atLeast"/>
              <w:jc w:val="center"/>
              <w:rPr>
                <w:kern w:val="0"/>
                <w:szCs w:val="21"/>
              </w:rPr>
            </w:pPr>
            <w:r w:rsidRPr="000549B1">
              <w:t>0.64</w:t>
            </w:r>
          </w:p>
        </w:tc>
        <w:tc>
          <w:tcPr>
            <w:tcW w:w="876" w:type="pct"/>
            <w:noWrap/>
            <w:vAlign w:val="center"/>
          </w:tcPr>
          <w:p w14:paraId="3E4CC24D" w14:textId="77777777" w:rsidR="00054437" w:rsidRPr="000549B1" w:rsidRDefault="00000000">
            <w:pPr>
              <w:widowControl/>
              <w:spacing w:line="240" w:lineRule="atLeast"/>
              <w:jc w:val="center"/>
              <w:rPr>
                <w:kern w:val="0"/>
                <w:szCs w:val="21"/>
              </w:rPr>
            </w:pPr>
            <w:r w:rsidRPr="000549B1">
              <w:t>0.92</w:t>
            </w:r>
          </w:p>
        </w:tc>
      </w:tr>
      <w:tr w:rsidR="000549B1" w:rsidRPr="000549B1" w14:paraId="0CDEB7F6" w14:textId="77777777">
        <w:trPr>
          <w:trHeight w:val="285"/>
          <w:jc w:val="center"/>
        </w:trPr>
        <w:tc>
          <w:tcPr>
            <w:tcW w:w="723" w:type="pct"/>
            <w:vMerge w:val="restart"/>
            <w:vAlign w:val="center"/>
          </w:tcPr>
          <w:p w14:paraId="6269A690" w14:textId="77777777" w:rsidR="00054437" w:rsidRPr="000549B1" w:rsidRDefault="00000000">
            <w:pPr>
              <w:widowControl/>
              <w:spacing w:line="240" w:lineRule="atLeast"/>
              <w:jc w:val="center"/>
            </w:pPr>
            <w:r w:rsidRPr="000549B1">
              <w:t>沙珠玉河</w:t>
            </w:r>
          </w:p>
        </w:tc>
        <w:tc>
          <w:tcPr>
            <w:tcW w:w="1953" w:type="pct"/>
            <w:noWrap/>
            <w:vAlign w:val="center"/>
          </w:tcPr>
          <w:p w14:paraId="0A27DC86" w14:textId="77777777" w:rsidR="00054437" w:rsidRPr="000549B1" w:rsidRDefault="00000000">
            <w:pPr>
              <w:widowControl/>
              <w:spacing w:line="240" w:lineRule="atLeast"/>
              <w:jc w:val="center"/>
            </w:pPr>
            <w:r w:rsidRPr="000549B1">
              <w:t>曲黑格木</w:t>
            </w:r>
          </w:p>
        </w:tc>
        <w:tc>
          <w:tcPr>
            <w:tcW w:w="1447" w:type="pct"/>
            <w:noWrap/>
            <w:vAlign w:val="center"/>
          </w:tcPr>
          <w:p w14:paraId="3643BDF9" w14:textId="77777777" w:rsidR="00054437" w:rsidRPr="000549B1" w:rsidRDefault="00000000">
            <w:pPr>
              <w:widowControl/>
              <w:spacing w:line="240" w:lineRule="atLeast"/>
              <w:jc w:val="center"/>
            </w:pPr>
            <w:r w:rsidRPr="000549B1">
              <w:t>0.56</w:t>
            </w:r>
          </w:p>
        </w:tc>
        <w:tc>
          <w:tcPr>
            <w:tcW w:w="876" w:type="pct"/>
            <w:noWrap/>
            <w:vAlign w:val="center"/>
          </w:tcPr>
          <w:p w14:paraId="5FDBC343" w14:textId="77777777" w:rsidR="00054437" w:rsidRPr="000549B1" w:rsidRDefault="00000000">
            <w:pPr>
              <w:widowControl/>
              <w:spacing w:line="240" w:lineRule="atLeast"/>
              <w:jc w:val="center"/>
            </w:pPr>
            <w:r w:rsidRPr="000549B1">
              <w:t>0.81</w:t>
            </w:r>
          </w:p>
        </w:tc>
      </w:tr>
      <w:tr w:rsidR="000549B1" w:rsidRPr="000549B1" w14:paraId="171BC99E" w14:textId="77777777">
        <w:trPr>
          <w:trHeight w:val="285"/>
          <w:jc w:val="center"/>
        </w:trPr>
        <w:tc>
          <w:tcPr>
            <w:tcW w:w="723" w:type="pct"/>
            <w:vMerge/>
            <w:vAlign w:val="center"/>
          </w:tcPr>
          <w:p w14:paraId="57440AF1" w14:textId="77777777" w:rsidR="00054437" w:rsidRPr="000549B1" w:rsidRDefault="00054437">
            <w:pPr>
              <w:widowControl/>
              <w:spacing w:line="240" w:lineRule="atLeast"/>
              <w:jc w:val="center"/>
            </w:pPr>
          </w:p>
        </w:tc>
        <w:tc>
          <w:tcPr>
            <w:tcW w:w="1953" w:type="pct"/>
            <w:noWrap/>
            <w:vAlign w:val="center"/>
          </w:tcPr>
          <w:p w14:paraId="6864B0B1" w14:textId="77777777" w:rsidR="00054437" w:rsidRPr="000549B1" w:rsidRDefault="00000000">
            <w:pPr>
              <w:widowControl/>
              <w:spacing w:line="240" w:lineRule="atLeast"/>
              <w:jc w:val="center"/>
            </w:pPr>
            <w:r w:rsidRPr="000549B1">
              <w:t>浪娘村桥下</w:t>
            </w:r>
          </w:p>
        </w:tc>
        <w:tc>
          <w:tcPr>
            <w:tcW w:w="1447" w:type="pct"/>
            <w:noWrap/>
            <w:vAlign w:val="center"/>
          </w:tcPr>
          <w:p w14:paraId="79DB5AC7" w14:textId="77777777" w:rsidR="00054437" w:rsidRPr="000549B1" w:rsidRDefault="00000000">
            <w:pPr>
              <w:widowControl/>
              <w:spacing w:line="240" w:lineRule="atLeast"/>
              <w:jc w:val="center"/>
            </w:pPr>
            <w:r w:rsidRPr="000549B1">
              <w:t>0.69</w:t>
            </w:r>
          </w:p>
        </w:tc>
        <w:tc>
          <w:tcPr>
            <w:tcW w:w="876" w:type="pct"/>
            <w:noWrap/>
            <w:vAlign w:val="center"/>
          </w:tcPr>
          <w:p w14:paraId="6F367462" w14:textId="77777777" w:rsidR="00054437" w:rsidRPr="000549B1" w:rsidRDefault="00000000">
            <w:pPr>
              <w:widowControl/>
              <w:spacing w:line="240" w:lineRule="atLeast"/>
              <w:jc w:val="center"/>
            </w:pPr>
            <w:r w:rsidRPr="000549B1">
              <w:t>1</w:t>
            </w:r>
          </w:p>
        </w:tc>
      </w:tr>
      <w:tr w:rsidR="000549B1" w:rsidRPr="000549B1" w14:paraId="05FE7EC2" w14:textId="77777777">
        <w:trPr>
          <w:trHeight w:val="285"/>
          <w:jc w:val="center"/>
        </w:trPr>
        <w:tc>
          <w:tcPr>
            <w:tcW w:w="723" w:type="pct"/>
            <w:vMerge/>
            <w:vAlign w:val="center"/>
          </w:tcPr>
          <w:p w14:paraId="2012692C" w14:textId="77777777" w:rsidR="00054437" w:rsidRPr="000549B1" w:rsidRDefault="00054437">
            <w:pPr>
              <w:widowControl/>
              <w:spacing w:line="240" w:lineRule="atLeast"/>
              <w:jc w:val="center"/>
            </w:pPr>
          </w:p>
        </w:tc>
        <w:tc>
          <w:tcPr>
            <w:tcW w:w="1953" w:type="pct"/>
            <w:noWrap/>
            <w:vAlign w:val="center"/>
          </w:tcPr>
          <w:p w14:paraId="7D598E5A" w14:textId="77777777" w:rsidR="00054437" w:rsidRPr="000549B1" w:rsidRDefault="00000000">
            <w:pPr>
              <w:widowControl/>
              <w:spacing w:line="240" w:lineRule="atLeast"/>
              <w:jc w:val="center"/>
            </w:pPr>
            <w:r w:rsidRPr="000549B1">
              <w:t>沙珠玉河下游</w:t>
            </w:r>
          </w:p>
        </w:tc>
        <w:tc>
          <w:tcPr>
            <w:tcW w:w="1447" w:type="pct"/>
            <w:noWrap/>
            <w:vAlign w:val="center"/>
          </w:tcPr>
          <w:p w14:paraId="6FB71CEF" w14:textId="77777777" w:rsidR="00054437" w:rsidRPr="000549B1" w:rsidRDefault="00000000">
            <w:pPr>
              <w:widowControl/>
              <w:spacing w:line="240" w:lineRule="atLeast"/>
              <w:jc w:val="center"/>
            </w:pPr>
            <w:r w:rsidRPr="000549B1">
              <w:t>0</w:t>
            </w:r>
          </w:p>
        </w:tc>
        <w:tc>
          <w:tcPr>
            <w:tcW w:w="876" w:type="pct"/>
            <w:noWrap/>
            <w:vAlign w:val="center"/>
          </w:tcPr>
          <w:p w14:paraId="5EDE01F8" w14:textId="77777777" w:rsidR="00054437" w:rsidRPr="000549B1" w:rsidRDefault="00000000">
            <w:pPr>
              <w:widowControl/>
              <w:spacing w:line="240" w:lineRule="atLeast"/>
              <w:jc w:val="center"/>
            </w:pPr>
            <w:r w:rsidRPr="000549B1">
              <w:t>0</w:t>
            </w:r>
          </w:p>
        </w:tc>
      </w:tr>
    </w:tbl>
    <w:p w14:paraId="0F518F07" w14:textId="77777777" w:rsidR="00054437" w:rsidRPr="000549B1" w:rsidRDefault="00000000">
      <w:pPr>
        <w:tabs>
          <w:tab w:val="left" w:pos="1843"/>
        </w:tabs>
        <w:adjustRightInd w:val="0"/>
        <w:snapToGrid w:val="0"/>
        <w:spacing w:beforeLines="50" w:before="120" w:afterLines="50" w:after="120"/>
        <w:jc w:val="center"/>
        <w:rPr>
          <w:b/>
          <w:bCs/>
          <w:snapToGrid w:val="0"/>
          <w:kern w:val="0"/>
          <w:szCs w:val="28"/>
          <w:u w:color="000000"/>
        </w:rPr>
      </w:pPr>
      <w:r w:rsidRPr="000549B1">
        <w:rPr>
          <w:noProof/>
        </w:rPr>
        <w:drawing>
          <wp:inline distT="0" distB="0" distL="114300" distR="114300" wp14:anchorId="1A459253" wp14:editId="44923F80">
            <wp:extent cx="4682490" cy="3204845"/>
            <wp:effectExtent l="0" t="0" r="3810" b="14605"/>
            <wp:docPr id="24262371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6"/>
              </a:graphicData>
            </a:graphic>
          </wp:inline>
        </w:drawing>
      </w:r>
    </w:p>
    <w:p w14:paraId="46E8BC03" w14:textId="0141075E" w:rsidR="00054437" w:rsidRPr="000549B1" w:rsidRDefault="00000000">
      <w:pPr>
        <w:pStyle w:val="0A51"/>
        <w:ind w:firstLine="422"/>
      </w:pPr>
      <w:r w:rsidRPr="000549B1">
        <w:t>图</w:t>
      </w:r>
      <w:fldSimple w:instr=" STYLEREF 2 \s ">
        <w:r w:rsidR="00F32CCA">
          <w:rPr>
            <w:noProof/>
          </w:rPr>
          <w:t>3.6</w:t>
        </w:r>
      </w:fldSimple>
      <w:r w:rsidR="00F1314B">
        <w:noBreakHyphen/>
      </w:r>
      <w:r w:rsidR="00F1314B">
        <w:fldChar w:fldCharType="begin"/>
      </w:r>
      <w:r w:rsidR="00F1314B">
        <w:instrText xml:space="preserve"> SEQ </w:instrText>
      </w:r>
      <w:r w:rsidR="00F1314B">
        <w:instrText>图</w:instrText>
      </w:r>
      <w:r w:rsidR="00F1314B">
        <w:instrText xml:space="preserve"> \* ARABIC \s 2 </w:instrText>
      </w:r>
      <w:r w:rsidR="00F1314B">
        <w:fldChar w:fldCharType="separate"/>
      </w:r>
      <w:r w:rsidR="00F32CCA">
        <w:rPr>
          <w:noProof/>
        </w:rPr>
        <w:t>7</w:t>
      </w:r>
      <w:r w:rsidR="00F1314B">
        <w:fldChar w:fldCharType="end"/>
      </w:r>
      <w:r w:rsidRPr="000549B1">
        <w:t>浮游动物多样性指数和均匀度指数变化趋势</w:t>
      </w:r>
    </w:p>
    <w:p w14:paraId="698188F8" w14:textId="77777777" w:rsidR="00054437" w:rsidRPr="000549B1" w:rsidRDefault="00000000">
      <w:pPr>
        <w:pStyle w:val="3"/>
        <w:spacing w:before="120" w:after="120"/>
      </w:pPr>
      <w:bookmarkStart w:id="295" w:name="_Toc20121"/>
      <w:bookmarkStart w:id="296" w:name="_Toc216107027"/>
      <w:r w:rsidRPr="000549B1">
        <w:t>底栖动物</w:t>
      </w:r>
      <w:bookmarkEnd w:id="295"/>
      <w:bookmarkEnd w:id="296"/>
    </w:p>
    <w:p w14:paraId="29706FAE" w14:textId="77777777" w:rsidR="00054437" w:rsidRPr="000549B1" w:rsidRDefault="00000000">
      <w:pPr>
        <w:wordWrap w:val="0"/>
        <w:adjustRightInd w:val="0"/>
        <w:snapToGrid w:val="0"/>
        <w:spacing w:line="500" w:lineRule="exact"/>
        <w:ind w:firstLineChars="200" w:firstLine="480"/>
        <w:rPr>
          <w:kern w:val="0"/>
          <w:sz w:val="24"/>
          <w:shd w:val="clear" w:color="auto" w:fill="FFFFFF"/>
          <w:lang w:val="zh-CN" w:bidi="en-US"/>
        </w:rPr>
      </w:pPr>
      <w:r w:rsidRPr="000549B1">
        <w:rPr>
          <w:kern w:val="0"/>
          <w:sz w:val="24"/>
          <w:shd w:val="clear" w:color="auto" w:fill="FFFFFF"/>
          <w:lang w:val="zh-CN" w:bidi="en-US"/>
        </w:rPr>
        <w:t>根据本次底栖动物调查结果，在切吉河、沙珠玉河调查河段共记录到底栖动物</w:t>
      </w:r>
      <w:r w:rsidRPr="000549B1">
        <w:rPr>
          <w:kern w:val="0"/>
          <w:sz w:val="24"/>
          <w:shd w:val="clear" w:color="auto" w:fill="FFFFFF"/>
          <w:lang w:bidi="en-US"/>
        </w:rPr>
        <w:t>11</w:t>
      </w:r>
      <w:r w:rsidRPr="000549B1">
        <w:rPr>
          <w:kern w:val="0"/>
          <w:sz w:val="24"/>
          <w:shd w:val="clear" w:color="auto" w:fill="FFFFFF"/>
          <w:lang w:val="zh-CN" w:bidi="en-US"/>
        </w:rPr>
        <w:t>种属，隶属于</w:t>
      </w:r>
      <w:r w:rsidRPr="000549B1">
        <w:rPr>
          <w:kern w:val="0"/>
          <w:sz w:val="24"/>
          <w:shd w:val="clear" w:color="auto" w:fill="FFFFFF"/>
          <w:lang w:val="zh-CN" w:bidi="en-US"/>
        </w:rPr>
        <w:t>2</w:t>
      </w:r>
      <w:r w:rsidRPr="000549B1">
        <w:rPr>
          <w:kern w:val="0"/>
          <w:sz w:val="24"/>
          <w:shd w:val="clear" w:color="auto" w:fill="FFFFFF"/>
          <w:lang w:val="zh-CN" w:bidi="en-US"/>
        </w:rPr>
        <w:t>门</w:t>
      </w:r>
      <w:r w:rsidRPr="000549B1">
        <w:rPr>
          <w:kern w:val="0"/>
          <w:sz w:val="24"/>
          <w:shd w:val="clear" w:color="auto" w:fill="FFFFFF"/>
          <w:lang w:val="zh-CN" w:bidi="en-US"/>
        </w:rPr>
        <w:t>3</w:t>
      </w:r>
      <w:r w:rsidRPr="000549B1">
        <w:rPr>
          <w:kern w:val="0"/>
          <w:sz w:val="24"/>
          <w:shd w:val="clear" w:color="auto" w:fill="FFFFFF"/>
          <w:lang w:val="zh-CN" w:bidi="en-US"/>
        </w:rPr>
        <w:t>纲</w:t>
      </w:r>
      <w:r w:rsidRPr="000549B1">
        <w:rPr>
          <w:kern w:val="0"/>
          <w:sz w:val="24"/>
          <w:shd w:val="clear" w:color="auto" w:fill="FFFFFF"/>
          <w:lang w:bidi="en-US"/>
        </w:rPr>
        <w:t>7</w:t>
      </w:r>
      <w:r w:rsidRPr="000549B1">
        <w:rPr>
          <w:kern w:val="0"/>
          <w:sz w:val="24"/>
          <w:shd w:val="clear" w:color="auto" w:fill="FFFFFF"/>
          <w:lang w:val="zh-CN" w:bidi="en-US"/>
        </w:rPr>
        <w:t>目</w:t>
      </w:r>
      <w:r w:rsidRPr="000549B1">
        <w:rPr>
          <w:kern w:val="0"/>
          <w:sz w:val="24"/>
          <w:shd w:val="clear" w:color="auto" w:fill="FFFFFF"/>
          <w:lang w:bidi="en-US"/>
        </w:rPr>
        <w:t>8</w:t>
      </w:r>
      <w:r w:rsidRPr="000549B1">
        <w:rPr>
          <w:kern w:val="0"/>
          <w:sz w:val="24"/>
          <w:shd w:val="clear" w:color="auto" w:fill="FFFFFF"/>
          <w:lang w:val="zh-CN" w:bidi="en-US"/>
        </w:rPr>
        <w:t>科，昆虫纲</w:t>
      </w:r>
      <w:r w:rsidRPr="000549B1">
        <w:rPr>
          <w:kern w:val="0"/>
          <w:sz w:val="24"/>
          <w:shd w:val="clear" w:color="auto" w:fill="FFFFFF"/>
          <w:lang w:bidi="en-US"/>
        </w:rPr>
        <w:t>8</w:t>
      </w:r>
      <w:r w:rsidRPr="000549B1">
        <w:rPr>
          <w:kern w:val="0"/>
          <w:sz w:val="24"/>
          <w:shd w:val="clear" w:color="auto" w:fill="FFFFFF"/>
          <w:lang w:val="zh-CN" w:bidi="en-US"/>
        </w:rPr>
        <w:t>种属，占比</w:t>
      </w:r>
      <w:r w:rsidRPr="000549B1">
        <w:rPr>
          <w:kern w:val="0"/>
          <w:sz w:val="24"/>
          <w:shd w:val="clear" w:color="auto" w:fill="FFFFFF"/>
          <w:lang w:bidi="en-US"/>
        </w:rPr>
        <w:t>72.73</w:t>
      </w:r>
      <w:r w:rsidRPr="000549B1">
        <w:rPr>
          <w:kern w:val="0"/>
          <w:sz w:val="24"/>
          <w:shd w:val="clear" w:color="auto" w:fill="FFFFFF"/>
          <w:lang w:val="zh-CN" w:bidi="en-US"/>
        </w:rPr>
        <w:t>%</w:t>
      </w:r>
      <w:r w:rsidRPr="000549B1">
        <w:rPr>
          <w:kern w:val="0"/>
          <w:sz w:val="24"/>
          <w:shd w:val="clear" w:color="auto" w:fill="FFFFFF"/>
          <w:lang w:val="zh-CN" w:bidi="en-US"/>
        </w:rPr>
        <w:t>，为绝对优势类群；腹足纲</w:t>
      </w:r>
      <w:r w:rsidRPr="000549B1">
        <w:rPr>
          <w:kern w:val="0"/>
          <w:sz w:val="24"/>
          <w:shd w:val="clear" w:color="auto" w:fill="FFFFFF"/>
          <w:lang w:val="zh-CN" w:bidi="en-US"/>
        </w:rPr>
        <w:t>2</w:t>
      </w:r>
      <w:r w:rsidRPr="000549B1">
        <w:rPr>
          <w:kern w:val="0"/>
          <w:sz w:val="24"/>
          <w:shd w:val="clear" w:color="auto" w:fill="FFFFFF"/>
          <w:lang w:val="zh-CN" w:bidi="en-US"/>
        </w:rPr>
        <w:t>种属，占比</w:t>
      </w:r>
      <w:r w:rsidRPr="000549B1">
        <w:rPr>
          <w:kern w:val="0"/>
          <w:sz w:val="24"/>
          <w:shd w:val="clear" w:color="auto" w:fill="FFFFFF"/>
          <w:lang w:bidi="en-US"/>
        </w:rPr>
        <w:t>18.18</w:t>
      </w:r>
      <w:r w:rsidRPr="000549B1">
        <w:rPr>
          <w:kern w:val="0"/>
          <w:sz w:val="24"/>
          <w:shd w:val="clear" w:color="auto" w:fill="FFFFFF"/>
          <w:lang w:val="zh-CN" w:bidi="en-US"/>
        </w:rPr>
        <w:t>%</w:t>
      </w:r>
      <w:r w:rsidRPr="000549B1">
        <w:rPr>
          <w:kern w:val="0"/>
          <w:sz w:val="24"/>
          <w:shd w:val="clear" w:color="auto" w:fill="FFFFFF"/>
          <w:lang w:val="zh-CN" w:bidi="en-US"/>
        </w:rPr>
        <w:t>；软甲纲</w:t>
      </w:r>
      <w:r w:rsidRPr="000549B1">
        <w:rPr>
          <w:kern w:val="0"/>
          <w:sz w:val="24"/>
          <w:shd w:val="clear" w:color="auto" w:fill="FFFFFF"/>
          <w:lang w:val="zh-CN" w:bidi="en-US"/>
        </w:rPr>
        <w:t>1</w:t>
      </w:r>
      <w:r w:rsidRPr="000549B1">
        <w:rPr>
          <w:kern w:val="0"/>
          <w:sz w:val="24"/>
          <w:shd w:val="clear" w:color="auto" w:fill="FFFFFF"/>
          <w:lang w:val="zh-CN" w:bidi="en-US"/>
        </w:rPr>
        <w:t>种属，占比</w:t>
      </w:r>
      <w:r w:rsidRPr="000549B1">
        <w:rPr>
          <w:kern w:val="0"/>
          <w:sz w:val="24"/>
          <w:shd w:val="clear" w:color="auto" w:fill="FFFFFF"/>
          <w:lang w:bidi="en-US"/>
        </w:rPr>
        <w:t>9.09</w:t>
      </w:r>
      <w:r w:rsidRPr="000549B1">
        <w:rPr>
          <w:kern w:val="0"/>
          <w:sz w:val="24"/>
          <w:shd w:val="clear" w:color="auto" w:fill="FFFFFF"/>
          <w:lang w:val="zh-CN" w:bidi="en-US"/>
        </w:rPr>
        <w:t>%</w:t>
      </w:r>
      <w:r w:rsidRPr="000549B1">
        <w:rPr>
          <w:kern w:val="0"/>
          <w:sz w:val="24"/>
          <w:shd w:val="clear" w:color="auto" w:fill="FFFFFF"/>
          <w:lang w:val="zh-CN" w:bidi="en-US"/>
        </w:rPr>
        <w:t>。</w:t>
      </w:r>
    </w:p>
    <w:p w14:paraId="59793B07" w14:textId="77777777" w:rsidR="00054437" w:rsidRPr="000549B1" w:rsidRDefault="00000000">
      <w:pPr>
        <w:topLinePunct/>
        <w:adjustRightInd w:val="0"/>
        <w:snapToGrid w:val="0"/>
        <w:spacing w:line="360" w:lineRule="auto"/>
        <w:jc w:val="center"/>
        <w:rPr>
          <w:b/>
          <w:bCs/>
          <w:kern w:val="0"/>
          <w:sz w:val="24"/>
          <w:shd w:val="clear" w:color="auto" w:fill="FFFFFF"/>
          <w:lang w:val="zh-CN" w:bidi="en-US"/>
        </w:rPr>
      </w:pPr>
      <w:r w:rsidRPr="000549B1">
        <w:rPr>
          <w:noProof/>
        </w:rPr>
        <w:drawing>
          <wp:inline distT="0" distB="0" distL="114300" distR="114300" wp14:anchorId="197ACFD2" wp14:editId="399AFB4D">
            <wp:extent cx="4820285" cy="2743200"/>
            <wp:effectExtent l="0" t="0" r="18415" b="0"/>
            <wp:docPr id="12"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7"/>
              </a:graphicData>
            </a:graphic>
          </wp:inline>
        </w:drawing>
      </w:r>
    </w:p>
    <w:p w14:paraId="1ADA6D10" w14:textId="4255FF6D" w:rsidR="00054437" w:rsidRPr="000549B1" w:rsidRDefault="00000000">
      <w:pPr>
        <w:pStyle w:val="0A51"/>
        <w:ind w:firstLine="422"/>
      </w:pPr>
      <w:r w:rsidRPr="000549B1">
        <w:t>图</w:t>
      </w:r>
      <w:fldSimple w:instr=" STYLEREF 2 \s ">
        <w:r w:rsidR="00F32CCA">
          <w:rPr>
            <w:noProof/>
          </w:rPr>
          <w:t>3.6</w:t>
        </w:r>
      </w:fldSimple>
      <w:r w:rsidR="00F1314B">
        <w:noBreakHyphen/>
      </w:r>
      <w:r w:rsidR="00F1314B">
        <w:fldChar w:fldCharType="begin"/>
      </w:r>
      <w:r w:rsidR="00F1314B">
        <w:instrText xml:space="preserve"> SEQ </w:instrText>
      </w:r>
      <w:r w:rsidR="00F1314B">
        <w:instrText>图</w:instrText>
      </w:r>
      <w:r w:rsidR="00F1314B">
        <w:instrText xml:space="preserve"> \* ARABIC \s 2 </w:instrText>
      </w:r>
      <w:r w:rsidR="00F1314B">
        <w:fldChar w:fldCharType="separate"/>
      </w:r>
      <w:r w:rsidR="00F32CCA">
        <w:rPr>
          <w:noProof/>
        </w:rPr>
        <w:t>8</w:t>
      </w:r>
      <w:r w:rsidR="00F1314B">
        <w:fldChar w:fldCharType="end"/>
      </w:r>
      <w:r w:rsidRPr="000549B1">
        <w:t>底栖动物种类组成</w:t>
      </w:r>
    </w:p>
    <w:p w14:paraId="4896B968" w14:textId="77777777" w:rsidR="00054437" w:rsidRPr="000549B1" w:rsidRDefault="00000000">
      <w:pPr>
        <w:wordWrap w:val="0"/>
        <w:adjustRightInd w:val="0"/>
        <w:snapToGrid w:val="0"/>
        <w:spacing w:line="500" w:lineRule="exact"/>
        <w:ind w:firstLineChars="200" w:firstLine="480"/>
        <w:rPr>
          <w:kern w:val="0"/>
          <w:sz w:val="24"/>
          <w:shd w:val="clear" w:color="auto" w:fill="FFFFFF"/>
          <w:lang w:val="zh-CN" w:bidi="en-US"/>
        </w:rPr>
      </w:pPr>
      <w:r w:rsidRPr="000549B1">
        <w:rPr>
          <w:kern w:val="0"/>
          <w:sz w:val="24"/>
          <w:shd w:val="clear" w:color="auto" w:fill="FFFFFF"/>
          <w:lang w:val="zh-CN" w:bidi="en-US"/>
        </w:rPr>
        <w:t>各调查断面底栖动物密度在</w:t>
      </w:r>
      <w:r w:rsidRPr="000549B1">
        <w:rPr>
          <w:kern w:val="0"/>
          <w:sz w:val="24"/>
          <w:shd w:val="clear" w:color="auto" w:fill="FFFFFF"/>
          <w:lang w:bidi="en-US"/>
        </w:rPr>
        <w:t>8</w:t>
      </w:r>
      <w:r w:rsidRPr="000549B1">
        <w:rPr>
          <w:kern w:val="0"/>
          <w:sz w:val="24"/>
          <w:shd w:val="clear" w:color="auto" w:fill="FFFFFF"/>
          <w:lang w:val="zh-CN" w:bidi="en-US"/>
        </w:rPr>
        <w:t>.00~122.00ind./m</w:t>
      </w:r>
      <w:r w:rsidRPr="000549B1">
        <w:rPr>
          <w:kern w:val="0"/>
          <w:sz w:val="24"/>
          <w:shd w:val="clear" w:color="auto" w:fill="FFFFFF"/>
          <w:vertAlign w:val="superscript"/>
          <w:lang w:val="zh-CN" w:bidi="en-US"/>
        </w:rPr>
        <w:t>2</w:t>
      </w:r>
      <w:r w:rsidRPr="000549B1">
        <w:rPr>
          <w:kern w:val="0"/>
          <w:sz w:val="24"/>
          <w:shd w:val="clear" w:color="auto" w:fill="FFFFFF"/>
          <w:lang w:val="zh-CN" w:bidi="en-US"/>
        </w:rPr>
        <w:t>之间，平均密度为</w:t>
      </w:r>
      <w:r w:rsidRPr="000549B1">
        <w:rPr>
          <w:kern w:val="0"/>
          <w:sz w:val="24"/>
          <w:shd w:val="clear" w:color="auto" w:fill="FFFFFF"/>
          <w:lang w:bidi="en-US"/>
        </w:rPr>
        <w:t>57.00</w:t>
      </w:r>
      <w:r w:rsidRPr="000549B1">
        <w:rPr>
          <w:kern w:val="0"/>
          <w:sz w:val="24"/>
          <w:shd w:val="clear" w:color="auto" w:fill="FFFFFF"/>
          <w:lang w:val="zh-CN" w:bidi="en-US"/>
        </w:rPr>
        <w:t>ind./m</w:t>
      </w:r>
      <w:r w:rsidRPr="000549B1">
        <w:rPr>
          <w:kern w:val="0"/>
          <w:sz w:val="24"/>
          <w:shd w:val="clear" w:color="auto" w:fill="FFFFFF"/>
          <w:vertAlign w:val="superscript"/>
          <w:lang w:val="zh-CN" w:bidi="en-US"/>
        </w:rPr>
        <w:t>2</w:t>
      </w:r>
      <w:r w:rsidRPr="000549B1">
        <w:rPr>
          <w:kern w:val="0"/>
          <w:sz w:val="24"/>
          <w:shd w:val="clear" w:color="auto" w:fill="FFFFFF"/>
          <w:lang w:val="zh-CN" w:bidi="en-US"/>
        </w:rPr>
        <w:t>；底栖动物生物量在</w:t>
      </w:r>
      <w:r w:rsidRPr="000549B1">
        <w:rPr>
          <w:kern w:val="0"/>
          <w:sz w:val="24"/>
          <w:shd w:val="clear" w:color="auto" w:fill="FFFFFF"/>
          <w:lang w:val="zh-CN" w:bidi="en-US"/>
        </w:rPr>
        <w:t>0.0</w:t>
      </w:r>
      <w:r w:rsidRPr="000549B1">
        <w:rPr>
          <w:kern w:val="0"/>
          <w:sz w:val="24"/>
          <w:shd w:val="clear" w:color="auto" w:fill="FFFFFF"/>
          <w:lang w:bidi="en-US"/>
        </w:rPr>
        <w:t>368</w:t>
      </w:r>
      <w:r w:rsidRPr="000549B1">
        <w:rPr>
          <w:kern w:val="0"/>
          <w:sz w:val="24"/>
          <w:shd w:val="clear" w:color="auto" w:fill="FFFFFF"/>
          <w:lang w:val="zh-CN" w:bidi="en-US"/>
        </w:rPr>
        <w:t>~2.0030g/m</w:t>
      </w:r>
      <w:r w:rsidRPr="000549B1">
        <w:rPr>
          <w:kern w:val="0"/>
          <w:sz w:val="24"/>
          <w:shd w:val="clear" w:color="auto" w:fill="FFFFFF"/>
          <w:vertAlign w:val="superscript"/>
          <w:lang w:val="zh-CN" w:bidi="en-US"/>
        </w:rPr>
        <w:t>2</w:t>
      </w:r>
      <w:r w:rsidRPr="000549B1">
        <w:rPr>
          <w:kern w:val="0"/>
          <w:sz w:val="24"/>
          <w:shd w:val="clear" w:color="auto" w:fill="FFFFFF"/>
          <w:lang w:val="zh-CN" w:bidi="en-US"/>
        </w:rPr>
        <w:t>之间，平均生物量为</w:t>
      </w:r>
      <w:r w:rsidRPr="000549B1">
        <w:rPr>
          <w:kern w:val="0"/>
          <w:sz w:val="24"/>
          <w:shd w:val="clear" w:color="auto" w:fill="FFFFFF"/>
          <w:lang w:val="zh-CN" w:bidi="en-US"/>
        </w:rPr>
        <w:t>0.</w:t>
      </w:r>
      <w:r w:rsidRPr="000549B1">
        <w:rPr>
          <w:kern w:val="0"/>
          <w:sz w:val="24"/>
          <w:shd w:val="clear" w:color="auto" w:fill="FFFFFF"/>
          <w:lang w:bidi="en-US"/>
        </w:rPr>
        <w:t>7318</w:t>
      </w:r>
      <w:r w:rsidRPr="000549B1">
        <w:rPr>
          <w:kern w:val="0"/>
          <w:sz w:val="24"/>
          <w:shd w:val="clear" w:color="auto" w:fill="FFFFFF"/>
          <w:lang w:val="zh-CN" w:bidi="en-US"/>
        </w:rPr>
        <w:t>g/m</w:t>
      </w:r>
      <w:r w:rsidRPr="000549B1">
        <w:rPr>
          <w:kern w:val="0"/>
          <w:sz w:val="24"/>
          <w:shd w:val="clear" w:color="auto" w:fill="FFFFFF"/>
          <w:vertAlign w:val="superscript"/>
          <w:lang w:val="zh-CN" w:bidi="en-US"/>
        </w:rPr>
        <w:t>2</w:t>
      </w:r>
      <w:r w:rsidRPr="000549B1">
        <w:rPr>
          <w:kern w:val="0"/>
          <w:sz w:val="24"/>
          <w:shd w:val="clear" w:color="auto" w:fill="FFFFFF"/>
          <w:lang w:val="zh-CN" w:bidi="en-US"/>
        </w:rPr>
        <w:t>，其中切吉河下游底栖密度、生物量最小，曲黑格木底栖密度、生物量最大。</w:t>
      </w:r>
    </w:p>
    <w:p w14:paraId="5953A644" w14:textId="77777777" w:rsidR="00054437" w:rsidRPr="000549B1" w:rsidRDefault="00000000">
      <w:pPr>
        <w:wordWrap w:val="0"/>
        <w:adjustRightInd w:val="0"/>
        <w:snapToGrid w:val="0"/>
        <w:spacing w:line="500" w:lineRule="exact"/>
        <w:ind w:firstLineChars="200" w:firstLine="480"/>
        <w:rPr>
          <w:kern w:val="0"/>
          <w:sz w:val="24"/>
          <w:shd w:val="clear" w:color="auto" w:fill="FFFFFF"/>
          <w:lang w:val="zh-CN" w:bidi="en-US"/>
        </w:rPr>
      </w:pPr>
      <w:r w:rsidRPr="000549B1">
        <w:rPr>
          <w:kern w:val="0"/>
          <w:sz w:val="24"/>
          <w:shd w:val="clear" w:color="auto" w:fill="FFFFFF"/>
          <w:lang w:val="zh-CN" w:bidi="en-US"/>
        </w:rPr>
        <w:t>总体来看，调查河段底栖动物多样性偏低，种类组成中昆虫纲占比较高，说明河段水体清洁、水质较好，污染物浓度低、溶解氧充足，河段水生环境整体良好。</w:t>
      </w:r>
    </w:p>
    <w:p w14:paraId="791E7696" w14:textId="77777777" w:rsidR="00054437" w:rsidRPr="000549B1" w:rsidRDefault="00000000">
      <w:pPr>
        <w:wordWrap w:val="0"/>
        <w:adjustRightInd w:val="0"/>
        <w:snapToGrid w:val="0"/>
        <w:spacing w:line="360" w:lineRule="auto"/>
        <w:jc w:val="center"/>
        <w:rPr>
          <w:b/>
          <w:bCs/>
          <w:kern w:val="0"/>
          <w:sz w:val="24"/>
          <w:szCs w:val="21"/>
          <w:shd w:val="clear" w:color="auto" w:fill="FFFFFF"/>
          <w:lang w:val="zh-CN" w:bidi="en-US"/>
        </w:rPr>
      </w:pPr>
      <w:r w:rsidRPr="000549B1">
        <w:rPr>
          <w:noProof/>
        </w:rPr>
        <w:drawing>
          <wp:inline distT="0" distB="0" distL="114300" distR="114300" wp14:anchorId="25086030" wp14:editId="09A77EBC">
            <wp:extent cx="5109210" cy="2948940"/>
            <wp:effectExtent l="0" t="0" r="15240" b="3810"/>
            <wp:docPr id="164451231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8"/>
              </a:graphicData>
            </a:graphic>
          </wp:inline>
        </w:drawing>
      </w:r>
    </w:p>
    <w:p w14:paraId="20B84A4F" w14:textId="0E8A3B21" w:rsidR="00054437" w:rsidRPr="000549B1" w:rsidRDefault="00000000">
      <w:pPr>
        <w:pStyle w:val="0A51"/>
        <w:ind w:firstLine="422"/>
      </w:pPr>
      <w:r w:rsidRPr="000549B1">
        <w:t>图</w:t>
      </w:r>
      <w:fldSimple w:instr=" STYLEREF 2 \s ">
        <w:r w:rsidR="00F32CCA">
          <w:rPr>
            <w:noProof/>
          </w:rPr>
          <w:t>3.6</w:t>
        </w:r>
      </w:fldSimple>
      <w:r w:rsidR="00F1314B">
        <w:noBreakHyphen/>
      </w:r>
      <w:r w:rsidR="00F1314B">
        <w:fldChar w:fldCharType="begin"/>
      </w:r>
      <w:r w:rsidR="00F1314B">
        <w:instrText xml:space="preserve"> SEQ </w:instrText>
      </w:r>
      <w:r w:rsidR="00F1314B">
        <w:instrText>图</w:instrText>
      </w:r>
      <w:r w:rsidR="00F1314B">
        <w:instrText xml:space="preserve"> \* ARABIC \s 2 </w:instrText>
      </w:r>
      <w:r w:rsidR="00F1314B">
        <w:fldChar w:fldCharType="separate"/>
      </w:r>
      <w:r w:rsidR="00F32CCA">
        <w:rPr>
          <w:noProof/>
        </w:rPr>
        <w:t>9</w:t>
      </w:r>
      <w:r w:rsidR="00F1314B">
        <w:fldChar w:fldCharType="end"/>
      </w:r>
      <w:r w:rsidRPr="000549B1">
        <w:t>底栖动物密度与生物量</w:t>
      </w:r>
    </w:p>
    <w:p w14:paraId="4B92A082" w14:textId="77777777" w:rsidR="00054437" w:rsidRPr="000549B1" w:rsidRDefault="00054437">
      <w:pPr>
        <w:spacing w:line="500" w:lineRule="exact"/>
        <w:ind w:firstLineChars="200" w:firstLine="482"/>
        <w:jc w:val="center"/>
        <w:rPr>
          <w:rFonts w:eastAsia="黑体"/>
          <w:b/>
          <w:bCs/>
          <w:kern w:val="0"/>
          <w:sz w:val="24"/>
          <w:szCs w:val="20"/>
        </w:rPr>
      </w:pPr>
    </w:p>
    <w:p w14:paraId="675047F9" w14:textId="77777777" w:rsidR="00054437" w:rsidRPr="000549B1" w:rsidRDefault="00054437">
      <w:pPr>
        <w:spacing w:line="500" w:lineRule="exact"/>
        <w:ind w:firstLineChars="200" w:firstLine="482"/>
        <w:jc w:val="center"/>
        <w:rPr>
          <w:rFonts w:eastAsia="黑体"/>
          <w:b/>
          <w:bCs/>
          <w:kern w:val="0"/>
          <w:sz w:val="24"/>
          <w:szCs w:val="20"/>
        </w:rPr>
      </w:pPr>
    </w:p>
    <w:p w14:paraId="59078F3D" w14:textId="5EDB65D6" w:rsidR="00054437" w:rsidRPr="000549B1" w:rsidRDefault="00000000">
      <w:pPr>
        <w:pStyle w:val="0A51"/>
        <w:ind w:firstLine="422"/>
      </w:pPr>
      <w:r w:rsidRPr="000549B1">
        <w:t>表</w:t>
      </w:r>
      <w:fldSimple w:instr=" STYLEREF 2 \s ">
        <w:r w:rsidR="00372953">
          <w:rPr>
            <w:noProof/>
          </w:rPr>
          <w:t>3.6</w:t>
        </w:r>
      </w:fldSimple>
      <w:r w:rsidR="00372953">
        <w:noBreakHyphen/>
      </w:r>
      <w:r w:rsidR="00372953">
        <w:fldChar w:fldCharType="begin"/>
      </w:r>
      <w:r w:rsidR="00372953">
        <w:instrText xml:space="preserve"> SEQ </w:instrText>
      </w:r>
      <w:r w:rsidR="00372953">
        <w:instrText>表</w:instrText>
      </w:r>
      <w:r w:rsidR="00372953">
        <w:instrText xml:space="preserve"> \* ARABIC \s 2 </w:instrText>
      </w:r>
      <w:r w:rsidR="00372953">
        <w:fldChar w:fldCharType="separate"/>
      </w:r>
      <w:r w:rsidR="00372953">
        <w:rPr>
          <w:noProof/>
        </w:rPr>
        <w:t>9</w:t>
      </w:r>
      <w:r w:rsidR="00372953">
        <w:fldChar w:fldCharType="end"/>
      </w:r>
      <w:r w:rsidRPr="000549B1">
        <w:t>底栖动物名录表</w:t>
      </w:r>
    </w:p>
    <w:tbl>
      <w:tblPr>
        <w:tblW w:w="4998" w:type="pct"/>
        <w:tblLook w:val="04A0" w:firstRow="1" w:lastRow="0" w:firstColumn="1" w:lastColumn="0" w:noHBand="0" w:noVBand="1"/>
      </w:tblPr>
      <w:tblGrid>
        <w:gridCol w:w="1056"/>
        <w:gridCol w:w="1028"/>
        <w:gridCol w:w="940"/>
        <w:gridCol w:w="853"/>
        <w:gridCol w:w="961"/>
        <w:gridCol w:w="650"/>
        <w:gridCol w:w="505"/>
        <w:gridCol w:w="577"/>
        <w:gridCol w:w="505"/>
        <w:gridCol w:w="577"/>
        <w:gridCol w:w="650"/>
      </w:tblGrid>
      <w:tr w:rsidR="000549B1" w:rsidRPr="000549B1" w14:paraId="4774DE1C" w14:textId="77777777">
        <w:trPr>
          <w:trHeight w:val="285"/>
        </w:trPr>
        <w:tc>
          <w:tcPr>
            <w:tcW w:w="679" w:type="pct"/>
            <w:vMerge w:val="restart"/>
            <w:tcBorders>
              <w:top w:val="single" w:sz="4" w:space="0" w:color="000000"/>
              <w:left w:val="single" w:sz="4" w:space="0" w:color="000000"/>
              <w:bottom w:val="single" w:sz="4" w:space="0" w:color="000000"/>
              <w:right w:val="single" w:sz="4" w:space="0" w:color="000000"/>
            </w:tcBorders>
            <w:noWrap/>
            <w:vAlign w:val="center"/>
          </w:tcPr>
          <w:p w14:paraId="120F0F80" w14:textId="77777777" w:rsidR="00054437" w:rsidRPr="000549B1" w:rsidRDefault="00000000">
            <w:pPr>
              <w:widowControl/>
              <w:jc w:val="center"/>
              <w:textAlignment w:val="center"/>
              <w:rPr>
                <w:sz w:val="22"/>
              </w:rPr>
            </w:pPr>
            <w:r w:rsidRPr="000549B1">
              <w:rPr>
                <w:kern w:val="0"/>
                <w:sz w:val="22"/>
                <w:lang w:bidi="ar"/>
              </w:rPr>
              <w:t>门</w:t>
            </w:r>
          </w:p>
        </w:tc>
        <w:tc>
          <w:tcPr>
            <w:tcW w:w="650" w:type="pct"/>
            <w:vMerge w:val="restart"/>
            <w:tcBorders>
              <w:top w:val="single" w:sz="4" w:space="0" w:color="000000"/>
              <w:left w:val="single" w:sz="4" w:space="0" w:color="000000"/>
              <w:bottom w:val="single" w:sz="4" w:space="0" w:color="000000"/>
              <w:right w:val="single" w:sz="4" w:space="0" w:color="000000"/>
            </w:tcBorders>
            <w:noWrap/>
            <w:vAlign w:val="center"/>
          </w:tcPr>
          <w:p w14:paraId="66D24A09" w14:textId="77777777" w:rsidR="00054437" w:rsidRPr="000549B1" w:rsidRDefault="00000000">
            <w:pPr>
              <w:widowControl/>
              <w:jc w:val="center"/>
              <w:textAlignment w:val="center"/>
              <w:rPr>
                <w:sz w:val="22"/>
              </w:rPr>
            </w:pPr>
            <w:r w:rsidRPr="000549B1">
              <w:rPr>
                <w:kern w:val="0"/>
                <w:sz w:val="22"/>
                <w:lang w:bidi="ar"/>
              </w:rPr>
              <w:t>纲</w:t>
            </w:r>
          </w:p>
        </w:tc>
        <w:tc>
          <w:tcPr>
            <w:tcW w:w="586" w:type="pct"/>
            <w:vMerge w:val="restart"/>
            <w:tcBorders>
              <w:top w:val="single" w:sz="4" w:space="0" w:color="000000"/>
              <w:left w:val="single" w:sz="4" w:space="0" w:color="000000"/>
              <w:bottom w:val="single" w:sz="4" w:space="0" w:color="000000"/>
              <w:right w:val="single" w:sz="4" w:space="0" w:color="000000"/>
            </w:tcBorders>
            <w:noWrap/>
            <w:vAlign w:val="center"/>
          </w:tcPr>
          <w:p w14:paraId="2C6F1F60" w14:textId="77777777" w:rsidR="00054437" w:rsidRPr="000549B1" w:rsidRDefault="00000000">
            <w:pPr>
              <w:widowControl/>
              <w:jc w:val="center"/>
              <w:textAlignment w:val="center"/>
              <w:rPr>
                <w:sz w:val="22"/>
              </w:rPr>
            </w:pPr>
            <w:r w:rsidRPr="000549B1">
              <w:rPr>
                <w:kern w:val="0"/>
                <w:sz w:val="22"/>
                <w:lang w:bidi="ar"/>
              </w:rPr>
              <w:t>目</w:t>
            </w:r>
          </w:p>
        </w:tc>
        <w:tc>
          <w:tcPr>
            <w:tcW w:w="528" w:type="pct"/>
            <w:vMerge w:val="restart"/>
            <w:tcBorders>
              <w:top w:val="single" w:sz="4" w:space="0" w:color="000000"/>
              <w:left w:val="single" w:sz="4" w:space="0" w:color="000000"/>
              <w:bottom w:val="single" w:sz="4" w:space="0" w:color="000000"/>
              <w:right w:val="single" w:sz="4" w:space="0" w:color="000000"/>
            </w:tcBorders>
            <w:noWrap/>
            <w:vAlign w:val="center"/>
          </w:tcPr>
          <w:p w14:paraId="3E137320" w14:textId="77777777" w:rsidR="00054437" w:rsidRPr="000549B1" w:rsidRDefault="00000000">
            <w:pPr>
              <w:widowControl/>
              <w:jc w:val="center"/>
              <w:textAlignment w:val="center"/>
              <w:rPr>
                <w:sz w:val="22"/>
              </w:rPr>
            </w:pPr>
            <w:r w:rsidRPr="000549B1">
              <w:rPr>
                <w:kern w:val="0"/>
                <w:sz w:val="22"/>
                <w:lang w:bidi="ar"/>
              </w:rPr>
              <w:t>科</w:t>
            </w:r>
          </w:p>
        </w:tc>
        <w:tc>
          <w:tcPr>
            <w:tcW w:w="626" w:type="pct"/>
            <w:vMerge w:val="restart"/>
            <w:tcBorders>
              <w:top w:val="single" w:sz="4" w:space="0" w:color="000000"/>
              <w:left w:val="single" w:sz="4" w:space="0" w:color="000000"/>
              <w:bottom w:val="single" w:sz="4" w:space="0" w:color="000000"/>
              <w:right w:val="single" w:sz="4" w:space="0" w:color="000000"/>
            </w:tcBorders>
            <w:noWrap/>
            <w:vAlign w:val="center"/>
          </w:tcPr>
          <w:p w14:paraId="0B3476E2" w14:textId="77777777" w:rsidR="00054437" w:rsidRPr="000549B1" w:rsidRDefault="00000000">
            <w:pPr>
              <w:widowControl/>
              <w:jc w:val="center"/>
              <w:textAlignment w:val="center"/>
              <w:rPr>
                <w:sz w:val="22"/>
              </w:rPr>
            </w:pPr>
            <w:r w:rsidRPr="000549B1">
              <w:rPr>
                <w:kern w:val="0"/>
                <w:sz w:val="22"/>
                <w:lang w:bidi="ar"/>
              </w:rPr>
              <w:t>种属</w:t>
            </w:r>
          </w:p>
        </w:tc>
        <w:tc>
          <w:tcPr>
            <w:tcW w:w="995" w:type="pct"/>
            <w:gridSpan w:val="3"/>
            <w:tcBorders>
              <w:top w:val="single" w:sz="4" w:space="0" w:color="000000"/>
              <w:left w:val="single" w:sz="4" w:space="0" w:color="000000"/>
              <w:bottom w:val="single" w:sz="4" w:space="0" w:color="000000"/>
              <w:right w:val="single" w:sz="4" w:space="0" w:color="000000"/>
            </w:tcBorders>
            <w:noWrap/>
            <w:vAlign w:val="bottom"/>
          </w:tcPr>
          <w:p w14:paraId="76C170EC" w14:textId="77777777" w:rsidR="00054437" w:rsidRPr="000549B1" w:rsidRDefault="00000000">
            <w:pPr>
              <w:widowControl/>
              <w:jc w:val="center"/>
              <w:textAlignment w:val="bottom"/>
              <w:rPr>
                <w:sz w:val="22"/>
              </w:rPr>
            </w:pPr>
            <w:r w:rsidRPr="000549B1">
              <w:rPr>
                <w:kern w:val="0"/>
                <w:sz w:val="22"/>
                <w:lang w:bidi="ar"/>
              </w:rPr>
              <w:t>切吉河</w:t>
            </w:r>
          </w:p>
        </w:tc>
        <w:tc>
          <w:tcPr>
            <w:tcW w:w="932" w:type="pct"/>
            <w:gridSpan w:val="3"/>
            <w:tcBorders>
              <w:top w:val="single" w:sz="4" w:space="0" w:color="000000"/>
              <w:left w:val="single" w:sz="4" w:space="0" w:color="000000"/>
              <w:bottom w:val="single" w:sz="4" w:space="0" w:color="000000"/>
              <w:right w:val="single" w:sz="4" w:space="0" w:color="000000"/>
            </w:tcBorders>
            <w:noWrap/>
            <w:vAlign w:val="bottom"/>
          </w:tcPr>
          <w:p w14:paraId="7616101B" w14:textId="77777777" w:rsidR="00054437" w:rsidRPr="000549B1" w:rsidRDefault="00000000">
            <w:pPr>
              <w:widowControl/>
              <w:jc w:val="center"/>
              <w:textAlignment w:val="bottom"/>
              <w:rPr>
                <w:sz w:val="22"/>
              </w:rPr>
            </w:pPr>
            <w:r w:rsidRPr="000549B1">
              <w:rPr>
                <w:kern w:val="0"/>
                <w:sz w:val="22"/>
                <w:lang w:bidi="ar"/>
              </w:rPr>
              <w:t>沙珠玉河</w:t>
            </w:r>
          </w:p>
        </w:tc>
      </w:tr>
      <w:tr w:rsidR="000549B1" w:rsidRPr="000549B1" w14:paraId="60C58C20" w14:textId="77777777">
        <w:trPr>
          <w:trHeight w:val="285"/>
        </w:trPr>
        <w:tc>
          <w:tcPr>
            <w:tcW w:w="679" w:type="pct"/>
            <w:vMerge/>
            <w:tcBorders>
              <w:top w:val="single" w:sz="4" w:space="0" w:color="000000"/>
              <w:left w:val="single" w:sz="4" w:space="0" w:color="000000"/>
              <w:bottom w:val="single" w:sz="4" w:space="0" w:color="000000"/>
              <w:right w:val="single" w:sz="4" w:space="0" w:color="000000"/>
            </w:tcBorders>
            <w:noWrap/>
            <w:vAlign w:val="center"/>
          </w:tcPr>
          <w:p w14:paraId="6979AD37" w14:textId="77777777" w:rsidR="00054437" w:rsidRPr="000549B1" w:rsidRDefault="00054437">
            <w:pPr>
              <w:jc w:val="center"/>
              <w:rPr>
                <w:sz w:val="22"/>
              </w:rPr>
            </w:pPr>
          </w:p>
        </w:tc>
        <w:tc>
          <w:tcPr>
            <w:tcW w:w="650" w:type="pct"/>
            <w:vMerge/>
            <w:tcBorders>
              <w:top w:val="single" w:sz="4" w:space="0" w:color="000000"/>
              <w:left w:val="single" w:sz="4" w:space="0" w:color="000000"/>
              <w:bottom w:val="single" w:sz="4" w:space="0" w:color="000000"/>
              <w:right w:val="single" w:sz="4" w:space="0" w:color="000000"/>
            </w:tcBorders>
            <w:noWrap/>
            <w:vAlign w:val="center"/>
          </w:tcPr>
          <w:p w14:paraId="7BF6F709" w14:textId="77777777" w:rsidR="00054437" w:rsidRPr="000549B1" w:rsidRDefault="00054437">
            <w:pPr>
              <w:jc w:val="center"/>
              <w:rPr>
                <w:sz w:val="22"/>
              </w:rPr>
            </w:pPr>
          </w:p>
        </w:tc>
        <w:tc>
          <w:tcPr>
            <w:tcW w:w="586" w:type="pct"/>
            <w:vMerge/>
            <w:tcBorders>
              <w:top w:val="single" w:sz="4" w:space="0" w:color="000000"/>
              <w:left w:val="single" w:sz="4" w:space="0" w:color="000000"/>
              <w:bottom w:val="single" w:sz="4" w:space="0" w:color="000000"/>
              <w:right w:val="single" w:sz="4" w:space="0" w:color="000000"/>
            </w:tcBorders>
            <w:noWrap/>
            <w:vAlign w:val="center"/>
          </w:tcPr>
          <w:p w14:paraId="4C700F3A" w14:textId="77777777" w:rsidR="00054437" w:rsidRPr="000549B1" w:rsidRDefault="00054437">
            <w:pPr>
              <w:jc w:val="center"/>
              <w:rPr>
                <w:sz w:val="22"/>
              </w:rPr>
            </w:pPr>
          </w:p>
        </w:tc>
        <w:tc>
          <w:tcPr>
            <w:tcW w:w="528" w:type="pct"/>
            <w:vMerge/>
            <w:tcBorders>
              <w:top w:val="single" w:sz="4" w:space="0" w:color="000000"/>
              <w:left w:val="single" w:sz="4" w:space="0" w:color="000000"/>
              <w:bottom w:val="single" w:sz="4" w:space="0" w:color="000000"/>
              <w:right w:val="single" w:sz="4" w:space="0" w:color="000000"/>
            </w:tcBorders>
            <w:noWrap/>
            <w:vAlign w:val="center"/>
          </w:tcPr>
          <w:p w14:paraId="020500C3" w14:textId="77777777" w:rsidR="00054437" w:rsidRPr="000549B1" w:rsidRDefault="00054437">
            <w:pPr>
              <w:jc w:val="center"/>
              <w:rPr>
                <w:sz w:val="22"/>
              </w:rPr>
            </w:pPr>
          </w:p>
        </w:tc>
        <w:tc>
          <w:tcPr>
            <w:tcW w:w="626" w:type="pct"/>
            <w:vMerge/>
            <w:tcBorders>
              <w:top w:val="single" w:sz="4" w:space="0" w:color="000000"/>
              <w:left w:val="single" w:sz="4" w:space="0" w:color="000000"/>
              <w:bottom w:val="single" w:sz="4" w:space="0" w:color="000000"/>
              <w:right w:val="single" w:sz="4" w:space="0" w:color="000000"/>
            </w:tcBorders>
            <w:noWrap/>
            <w:vAlign w:val="center"/>
          </w:tcPr>
          <w:p w14:paraId="14FAE068" w14:textId="77777777" w:rsidR="00054437" w:rsidRPr="000549B1" w:rsidRDefault="00054437">
            <w:pPr>
              <w:jc w:val="center"/>
              <w:rPr>
                <w:sz w:val="22"/>
              </w:rPr>
            </w:pPr>
          </w:p>
        </w:tc>
        <w:tc>
          <w:tcPr>
            <w:tcW w:w="387" w:type="pct"/>
            <w:tcBorders>
              <w:top w:val="single" w:sz="4" w:space="0" w:color="000000"/>
              <w:left w:val="single" w:sz="4" w:space="0" w:color="000000"/>
              <w:bottom w:val="single" w:sz="4" w:space="0" w:color="000000"/>
              <w:right w:val="single" w:sz="4" w:space="0" w:color="000000"/>
            </w:tcBorders>
            <w:noWrap/>
            <w:vAlign w:val="center"/>
          </w:tcPr>
          <w:p w14:paraId="777FA5A9" w14:textId="77777777" w:rsidR="00054437" w:rsidRPr="000549B1" w:rsidRDefault="00000000">
            <w:pPr>
              <w:widowControl/>
              <w:jc w:val="center"/>
              <w:textAlignment w:val="center"/>
              <w:rPr>
                <w:sz w:val="22"/>
              </w:rPr>
            </w:pPr>
            <w:r w:rsidRPr="000549B1">
              <w:rPr>
                <w:kern w:val="0"/>
                <w:sz w:val="22"/>
                <w:lang w:bidi="ar"/>
              </w:rPr>
              <w:t>切吉水库上游</w:t>
            </w:r>
          </w:p>
        </w:tc>
        <w:tc>
          <w:tcPr>
            <w:tcW w:w="276" w:type="pct"/>
            <w:tcBorders>
              <w:top w:val="single" w:sz="4" w:space="0" w:color="000000"/>
              <w:left w:val="single" w:sz="4" w:space="0" w:color="000000"/>
              <w:bottom w:val="single" w:sz="4" w:space="0" w:color="000000"/>
              <w:right w:val="single" w:sz="4" w:space="0" w:color="000000"/>
            </w:tcBorders>
            <w:noWrap/>
            <w:vAlign w:val="center"/>
          </w:tcPr>
          <w:p w14:paraId="770337DB" w14:textId="77777777" w:rsidR="00054437" w:rsidRPr="000549B1" w:rsidRDefault="00000000">
            <w:pPr>
              <w:widowControl/>
              <w:jc w:val="center"/>
              <w:textAlignment w:val="center"/>
              <w:rPr>
                <w:sz w:val="22"/>
              </w:rPr>
            </w:pPr>
            <w:r w:rsidRPr="000549B1">
              <w:rPr>
                <w:kern w:val="0"/>
                <w:sz w:val="22"/>
                <w:lang w:bidi="ar"/>
              </w:rPr>
              <w:t>切吉水库</w:t>
            </w:r>
          </w:p>
        </w:tc>
        <w:tc>
          <w:tcPr>
            <w:tcW w:w="332" w:type="pct"/>
            <w:tcBorders>
              <w:top w:val="single" w:sz="4" w:space="0" w:color="000000"/>
              <w:left w:val="single" w:sz="4" w:space="0" w:color="000000"/>
              <w:bottom w:val="single" w:sz="4" w:space="0" w:color="000000"/>
              <w:right w:val="single" w:sz="4" w:space="0" w:color="000000"/>
            </w:tcBorders>
            <w:noWrap/>
            <w:vAlign w:val="center"/>
          </w:tcPr>
          <w:p w14:paraId="5182C950" w14:textId="77777777" w:rsidR="00054437" w:rsidRPr="000549B1" w:rsidRDefault="00000000">
            <w:pPr>
              <w:widowControl/>
              <w:jc w:val="center"/>
              <w:textAlignment w:val="center"/>
              <w:rPr>
                <w:sz w:val="22"/>
              </w:rPr>
            </w:pPr>
            <w:r w:rsidRPr="000549B1">
              <w:rPr>
                <w:kern w:val="0"/>
                <w:sz w:val="22"/>
                <w:lang w:bidi="ar"/>
              </w:rPr>
              <w:t>切吉河下游</w:t>
            </w:r>
          </w:p>
        </w:tc>
        <w:tc>
          <w:tcPr>
            <w:tcW w:w="258" w:type="pct"/>
            <w:tcBorders>
              <w:top w:val="single" w:sz="4" w:space="0" w:color="000000"/>
              <w:left w:val="single" w:sz="4" w:space="0" w:color="000000"/>
              <w:bottom w:val="single" w:sz="4" w:space="0" w:color="000000"/>
              <w:right w:val="single" w:sz="4" w:space="0" w:color="000000"/>
            </w:tcBorders>
            <w:noWrap/>
            <w:vAlign w:val="center"/>
          </w:tcPr>
          <w:p w14:paraId="2171EC8A" w14:textId="77777777" w:rsidR="00054437" w:rsidRPr="000549B1" w:rsidRDefault="00000000">
            <w:pPr>
              <w:widowControl/>
              <w:jc w:val="center"/>
              <w:textAlignment w:val="center"/>
              <w:rPr>
                <w:sz w:val="22"/>
              </w:rPr>
            </w:pPr>
            <w:r w:rsidRPr="000549B1">
              <w:rPr>
                <w:kern w:val="0"/>
                <w:sz w:val="22"/>
                <w:lang w:bidi="ar"/>
              </w:rPr>
              <w:t>曲黑格木</w:t>
            </w:r>
          </w:p>
        </w:tc>
        <w:tc>
          <w:tcPr>
            <w:tcW w:w="310" w:type="pct"/>
            <w:tcBorders>
              <w:top w:val="single" w:sz="4" w:space="0" w:color="000000"/>
              <w:left w:val="single" w:sz="4" w:space="0" w:color="000000"/>
              <w:bottom w:val="single" w:sz="4" w:space="0" w:color="000000"/>
              <w:right w:val="single" w:sz="4" w:space="0" w:color="000000"/>
            </w:tcBorders>
            <w:noWrap/>
            <w:vAlign w:val="center"/>
          </w:tcPr>
          <w:p w14:paraId="2A8C21E2" w14:textId="77777777" w:rsidR="00054437" w:rsidRPr="000549B1" w:rsidRDefault="00000000">
            <w:pPr>
              <w:widowControl/>
              <w:jc w:val="center"/>
              <w:textAlignment w:val="center"/>
              <w:rPr>
                <w:sz w:val="22"/>
              </w:rPr>
            </w:pPr>
            <w:r w:rsidRPr="000549B1">
              <w:rPr>
                <w:kern w:val="0"/>
                <w:sz w:val="22"/>
                <w:lang w:bidi="ar"/>
              </w:rPr>
              <w:t>浪娘村桥下</w:t>
            </w:r>
          </w:p>
        </w:tc>
        <w:tc>
          <w:tcPr>
            <w:tcW w:w="363" w:type="pct"/>
            <w:tcBorders>
              <w:top w:val="single" w:sz="4" w:space="0" w:color="000000"/>
              <w:left w:val="single" w:sz="4" w:space="0" w:color="000000"/>
              <w:bottom w:val="single" w:sz="4" w:space="0" w:color="000000"/>
              <w:right w:val="single" w:sz="4" w:space="0" w:color="000000"/>
            </w:tcBorders>
            <w:noWrap/>
            <w:vAlign w:val="center"/>
          </w:tcPr>
          <w:p w14:paraId="5CFC93F8" w14:textId="77777777" w:rsidR="00054437" w:rsidRPr="000549B1" w:rsidRDefault="00000000">
            <w:pPr>
              <w:widowControl/>
              <w:jc w:val="center"/>
              <w:textAlignment w:val="center"/>
              <w:rPr>
                <w:sz w:val="22"/>
              </w:rPr>
            </w:pPr>
            <w:r w:rsidRPr="000549B1">
              <w:rPr>
                <w:kern w:val="0"/>
                <w:sz w:val="22"/>
                <w:lang w:bidi="ar"/>
              </w:rPr>
              <w:t>沙珠玉河下游</w:t>
            </w:r>
          </w:p>
        </w:tc>
      </w:tr>
      <w:tr w:rsidR="000549B1" w:rsidRPr="000549B1" w14:paraId="1E6B916E" w14:textId="77777777">
        <w:trPr>
          <w:trHeight w:val="300"/>
        </w:trPr>
        <w:tc>
          <w:tcPr>
            <w:tcW w:w="679" w:type="pct"/>
            <w:vMerge w:val="restart"/>
            <w:tcBorders>
              <w:top w:val="single" w:sz="4" w:space="0" w:color="000000"/>
              <w:left w:val="single" w:sz="4" w:space="0" w:color="000000"/>
              <w:bottom w:val="single" w:sz="4" w:space="0" w:color="000000"/>
              <w:right w:val="single" w:sz="4" w:space="0" w:color="000000"/>
            </w:tcBorders>
            <w:noWrap/>
            <w:vAlign w:val="center"/>
          </w:tcPr>
          <w:p w14:paraId="159D8B35" w14:textId="77777777" w:rsidR="00054437" w:rsidRPr="000549B1" w:rsidRDefault="00000000">
            <w:pPr>
              <w:widowControl/>
              <w:jc w:val="center"/>
              <w:textAlignment w:val="center"/>
              <w:rPr>
                <w:rFonts w:eastAsia="等线"/>
                <w:sz w:val="22"/>
              </w:rPr>
            </w:pPr>
            <w:r w:rsidRPr="000549B1">
              <w:rPr>
                <w:rStyle w:val="font11"/>
                <w:rFonts w:ascii="Times New Roman" w:hAnsi="Times New Roman" w:cs="Times New Roman" w:hint="default"/>
                <w:color w:val="auto"/>
                <w:lang w:bidi="ar"/>
              </w:rPr>
              <w:t>节肢动物门</w:t>
            </w:r>
            <w:r w:rsidRPr="000549B1">
              <w:rPr>
                <w:rFonts w:eastAsia="等线"/>
                <w:kern w:val="0"/>
                <w:sz w:val="22"/>
                <w:lang w:bidi="ar"/>
              </w:rPr>
              <w:t>ARTHROPODA</w:t>
            </w:r>
          </w:p>
        </w:tc>
        <w:tc>
          <w:tcPr>
            <w:tcW w:w="650" w:type="pct"/>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7F23317" w14:textId="77777777" w:rsidR="00054437" w:rsidRPr="000549B1" w:rsidRDefault="00000000">
            <w:pPr>
              <w:widowControl/>
              <w:jc w:val="center"/>
              <w:textAlignment w:val="center"/>
              <w:rPr>
                <w:rFonts w:eastAsia="等线"/>
                <w:sz w:val="22"/>
              </w:rPr>
            </w:pPr>
            <w:r w:rsidRPr="000549B1">
              <w:rPr>
                <w:rStyle w:val="font11"/>
                <w:rFonts w:ascii="Times New Roman" w:hAnsi="Times New Roman" w:cs="Times New Roman" w:hint="default"/>
                <w:color w:val="auto"/>
                <w:lang w:bidi="ar"/>
              </w:rPr>
              <w:t>昆虫纲</w:t>
            </w:r>
            <w:r w:rsidRPr="000549B1">
              <w:rPr>
                <w:rFonts w:eastAsia="等线"/>
                <w:kern w:val="0"/>
                <w:sz w:val="22"/>
                <w:lang w:bidi="ar"/>
              </w:rPr>
              <w:t>INSECTA</w:t>
            </w:r>
          </w:p>
        </w:tc>
        <w:tc>
          <w:tcPr>
            <w:tcW w:w="58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19ED419" w14:textId="77777777" w:rsidR="00054437" w:rsidRPr="000549B1" w:rsidRDefault="00000000">
            <w:pPr>
              <w:widowControl/>
              <w:jc w:val="center"/>
              <w:textAlignment w:val="center"/>
              <w:rPr>
                <w:rFonts w:eastAsia="等线"/>
                <w:sz w:val="22"/>
              </w:rPr>
            </w:pPr>
            <w:r w:rsidRPr="000549B1">
              <w:rPr>
                <w:rStyle w:val="font11"/>
                <w:rFonts w:ascii="Times New Roman" w:hAnsi="Times New Roman" w:cs="Times New Roman" w:hint="default"/>
                <w:color w:val="auto"/>
                <w:lang w:bidi="ar"/>
              </w:rPr>
              <w:t>襀翅目</w:t>
            </w:r>
            <w:r w:rsidRPr="000549B1">
              <w:rPr>
                <w:rFonts w:eastAsia="等线"/>
                <w:kern w:val="0"/>
                <w:sz w:val="22"/>
                <w:lang w:bidi="ar"/>
              </w:rPr>
              <w:t>Plecoptera</w:t>
            </w:r>
          </w:p>
        </w:tc>
        <w:tc>
          <w:tcPr>
            <w:tcW w:w="52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53B7549" w14:textId="77777777" w:rsidR="00054437" w:rsidRPr="000549B1" w:rsidRDefault="00000000">
            <w:pPr>
              <w:widowControl/>
              <w:jc w:val="center"/>
              <w:textAlignment w:val="center"/>
              <w:rPr>
                <w:rFonts w:eastAsia="等线"/>
                <w:sz w:val="22"/>
              </w:rPr>
            </w:pPr>
            <w:r w:rsidRPr="000549B1">
              <w:rPr>
                <w:rStyle w:val="font71"/>
                <w:color w:val="auto"/>
                <w:lang w:bidi="ar"/>
              </w:rPr>
              <w:t>襀科</w:t>
            </w:r>
            <w:r w:rsidRPr="000549B1">
              <w:rPr>
                <w:rFonts w:eastAsia="等线"/>
                <w:kern w:val="0"/>
                <w:sz w:val="22"/>
                <w:lang w:bidi="ar"/>
              </w:rPr>
              <w:t>Perlodidae</w:t>
            </w:r>
          </w:p>
        </w:tc>
        <w:tc>
          <w:tcPr>
            <w:tcW w:w="62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50F3FD3" w14:textId="77777777" w:rsidR="00054437" w:rsidRPr="000549B1" w:rsidRDefault="00000000">
            <w:pPr>
              <w:widowControl/>
              <w:jc w:val="center"/>
              <w:textAlignment w:val="center"/>
              <w:rPr>
                <w:rFonts w:eastAsia="等线"/>
                <w:sz w:val="22"/>
              </w:rPr>
            </w:pPr>
            <w:r w:rsidRPr="000549B1">
              <w:rPr>
                <w:rStyle w:val="font11"/>
                <w:rFonts w:ascii="Times New Roman" w:hAnsi="Times New Roman" w:cs="Times New Roman" w:hint="default"/>
                <w:color w:val="auto"/>
                <w:lang w:bidi="ar"/>
              </w:rPr>
              <w:t>剑襀属</w:t>
            </w:r>
            <w:r w:rsidRPr="000549B1">
              <w:rPr>
                <w:rFonts w:eastAsia="等线"/>
                <w:i/>
                <w:iCs/>
                <w:kern w:val="0"/>
                <w:sz w:val="22"/>
                <w:lang w:bidi="ar"/>
              </w:rPr>
              <w:t>Agnetina</w:t>
            </w:r>
            <w:r w:rsidRPr="000549B1">
              <w:rPr>
                <w:rFonts w:eastAsia="等线"/>
                <w:kern w:val="0"/>
                <w:sz w:val="22"/>
                <w:lang w:bidi="ar"/>
              </w:rPr>
              <w:t>sp.</w:t>
            </w:r>
          </w:p>
        </w:tc>
        <w:tc>
          <w:tcPr>
            <w:tcW w:w="387" w:type="pct"/>
            <w:tcBorders>
              <w:top w:val="single" w:sz="4" w:space="0" w:color="000000"/>
              <w:left w:val="single" w:sz="4" w:space="0" w:color="000000"/>
              <w:bottom w:val="single" w:sz="4" w:space="0" w:color="000000"/>
              <w:right w:val="single" w:sz="4" w:space="0" w:color="000000"/>
            </w:tcBorders>
            <w:noWrap/>
            <w:vAlign w:val="bottom"/>
          </w:tcPr>
          <w:p w14:paraId="0510397A" w14:textId="77777777" w:rsidR="00054437" w:rsidRPr="000549B1" w:rsidRDefault="00054437">
            <w:pPr>
              <w:rPr>
                <w:rFonts w:eastAsia="等线"/>
                <w:sz w:val="22"/>
              </w:rPr>
            </w:pPr>
          </w:p>
        </w:tc>
        <w:tc>
          <w:tcPr>
            <w:tcW w:w="276" w:type="pct"/>
            <w:tcBorders>
              <w:top w:val="single" w:sz="4" w:space="0" w:color="000000"/>
              <w:left w:val="single" w:sz="4" w:space="0" w:color="000000"/>
              <w:bottom w:val="single" w:sz="4" w:space="0" w:color="000000"/>
              <w:right w:val="single" w:sz="4" w:space="0" w:color="000000"/>
            </w:tcBorders>
            <w:noWrap/>
            <w:vAlign w:val="bottom"/>
          </w:tcPr>
          <w:p w14:paraId="5A79BD28" w14:textId="77777777" w:rsidR="00054437" w:rsidRPr="000549B1" w:rsidRDefault="00054437">
            <w:pPr>
              <w:rPr>
                <w:rFonts w:eastAsia="等线"/>
                <w:sz w:val="22"/>
              </w:rPr>
            </w:pPr>
          </w:p>
        </w:tc>
        <w:tc>
          <w:tcPr>
            <w:tcW w:w="332" w:type="pct"/>
            <w:tcBorders>
              <w:top w:val="single" w:sz="4" w:space="0" w:color="000000"/>
              <w:left w:val="single" w:sz="4" w:space="0" w:color="000000"/>
              <w:bottom w:val="single" w:sz="4" w:space="0" w:color="000000"/>
              <w:right w:val="single" w:sz="4" w:space="0" w:color="000000"/>
            </w:tcBorders>
            <w:noWrap/>
            <w:vAlign w:val="bottom"/>
          </w:tcPr>
          <w:p w14:paraId="0B5A9E72" w14:textId="77777777" w:rsidR="00054437" w:rsidRPr="000549B1" w:rsidRDefault="00054437">
            <w:pPr>
              <w:rPr>
                <w:rFonts w:eastAsia="等线"/>
                <w:sz w:val="22"/>
              </w:rPr>
            </w:pPr>
          </w:p>
        </w:tc>
        <w:tc>
          <w:tcPr>
            <w:tcW w:w="258" w:type="pct"/>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2E7D3902" w14:textId="77777777" w:rsidR="00054437" w:rsidRPr="000549B1" w:rsidRDefault="00054437">
            <w:pPr>
              <w:rPr>
                <w:rFonts w:eastAsia="等线"/>
                <w:sz w:val="22"/>
              </w:rPr>
            </w:pPr>
          </w:p>
        </w:tc>
        <w:tc>
          <w:tcPr>
            <w:tcW w:w="310"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500C10B" w14:textId="77777777" w:rsidR="00054437" w:rsidRPr="000549B1" w:rsidRDefault="00000000">
            <w:pPr>
              <w:widowControl/>
              <w:jc w:val="center"/>
              <w:textAlignment w:val="center"/>
              <w:rPr>
                <w:rFonts w:eastAsia="等线"/>
                <w:sz w:val="22"/>
              </w:rPr>
            </w:pPr>
            <w:r w:rsidRPr="000549B1">
              <w:rPr>
                <w:rFonts w:eastAsia="等线"/>
                <w:kern w:val="0"/>
                <w:sz w:val="22"/>
                <w:lang w:bidi="ar"/>
              </w:rPr>
              <w:t>+</w:t>
            </w:r>
          </w:p>
        </w:tc>
        <w:tc>
          <w:tcPr>
            <w:tcW w:w="363" w:type="pct"/>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58FA8921" w14:textId="77777777" w:rsidR="00054437" w:rsidRPr="000549B1" w:rsidRDefault="00054437">
            <w:pPr>
              <w:rPr>
                <w:rFonts w:eastAsia="等线"/>
                <w:sz w:val="22"/>
              </w:rPr>
            </w:pPr>
          </w:p>
        </w:tc>
      </w:tr>
      <w:tr w:rsidR="000549B1" w:rsidRPr="000549B1" w14:paraId="3DD2D190" w14:textId="77777777">
        <w:trPr>
          <w:trHeight w:val="300"/>
        </w:trPr>
        <w:tc>
          <w:tcPr>
            <w:tcW w:w="679" w:type="pct"/>
            <w:vMerge/>
            <w:tcBorders>
              <w:top w:val="single" w:sz="4" w:space="0" w:color="000000"/>
              <w:left w:val="single" w:sz="4" w:space="0" w:color="000000"/>
              <w:bottom w:val="single" w:sz="4" w:space="0" w:color="000000"/>
              <w:right w:val="single" w:sz="4" w:space="0" w:color="000000"/>
            </w:tcBorders>
            <w:noWrap/>
            <w:vAlign w:val="center"/>
          </w:tcPr>
          <w:p w14:paraId="1FB6E5A8" w14:textId="77777777" w:rsidR="00054437" w:rsidRPr="000549B1" w:rsidRDefault="00054437">
            <w:pPr>
              <w:jc w:val="center"/>
              <w:rPr>
                <w:rFonts w:eastAsia="等线"/>
                <w:sz w:val="22"/>
              </w:rPr>
            </w:pPr>
          </w:p>
        </w:tc>
        <w:tc>
          <w:tcPr>
            <w:tcW w:w="650" w:type="pct"/>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6951674" w14:textId="77777777" w:rsidR="00054437" w:rsidRPr="000549B1" w:rsidRDefault="00054437">
            <w:pPr>
              <w:jc w:val="center"/>
              <w:rPr>
                <w:rFonts w:eastAsia="等线"/>
                <w:sz w:val="22"/>
              </w:rPr>
            </w:pPr>
          </w:p>
        </w:tc>
        <w:tc>
          <w:tcPr>
            <w:tcW w:w="586" w:type="pct"/>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08B315C" w14:textId="77777777" w:rsidR="00054437" w:rsidRPr="000549B1" w:rsidRDefault="00000000">
            <w:pPr>
              <w:widowControl/>
              <w:jc w:val="center"/>
              <w:textAlignment w:val="center"/>
              <w:rPr>
                <w:rFonts w:eastAsia="等线"/>
                <w:sz w:val="22"/>
              </w:rPr>
            </w:pPr>
            <w:r w:rsidRPr="000549B1">
              <w:rPr>
                <w:rStyle w:val="font71"/>
                <w:color w:val="auto"/>
                <w:lang w:bidi="ar"/>
              </w:rPr>
              <w:t>双翅目</w:t>
            </w:r>
            <w:r w:rsidRPr="000549B1">
              <w:rPr>
                <w:rFonts w:eastAsia="等线"/>
                <w:kern w:val="0"/>
                <w:sz w:val="22"/>
                <w:lang w:bidi="ar"/>
              </w:rPr>
              <w:t>Diptera</w:t>
            </w:r>
          </w:p>
        </w:tc>
        <w:tc>
          <w:tcPr>
            <w:tcW w:w="528" w:type="pct"/>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6F192BA" w14:textId="77777777" w:rsidR="00054437" w:rsidRPr="000549B1" w:rsidRDefault="00000000">
            <w:pPr>
              <w:widowControl/>
              <w:jc w:val="center"/>
              <w:textAlignment w:val="center"/>
              <w:rPr>
                <w:rFonts w:eastAsia="等线"/>
                <w:sz w:val="22"/>
              </w:rPr>
            </w:pPr>
            <w:r w:rsidRPr="000549B1">
              <w:rPr>
                <w:rStyle w:val="font11"/>
                <w:rFonts w:ascii="Times New Roman" w:hAnsi="Times New Roman" w:cs="Times New Roman" w:hint="default"/>
                <w:color w:val="auto"/>
                <w:lang w:bidi="ar"/>
              </w:rPr>
              <w:t>摇蚊科</w:t>
            </w:r>
            <w:r w:rsidRPr="000549B1">
              <w:rPr>
                <w:rFonts w:eastAsia="等线"/>
                <w:kern w:val="0"/>
                <w:sz w:val="22"/>
                <w:lang w:bidi="ar"/>
              </w:rPr>
              <w:t>Chironomidae</w:t>
            </w:r>
          </w:p>
        </w:tc>
        <w:tc>
          <w:tcPr>
            <w:tcW w:w="62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C96D086" w14:textId="77777777" w:rsidR="00054437" w:rsidRPr="000549B1" w:rsidRDefault="00000000">
            <w:pPr>
              <w:widowControl/>
              <w:jc w:val="center"/>
              <w:textAlignment w:val="center"/>
              <w:rPr>
                <w:rFonts w:eastAsia="等线"/>
                <w:sz w:val="22"/>
              </w:rPr>
            </w:pPr>
            <w:r w:rsidRPr="000549B1">
              <w:rPr>
                <w:rStyle w:val="font11"/>
                <w:rFonts w:ascii="Times New Roman" w:hAnsi="Times New Roman" w:cs="Times New Roman" w:hint="default"/>
                <w:color w:val="auto"/>
                <w:lang w:bidi="ar"/>
              </w:rPr>
              <w:t>波摇蚊属</w:t>
            </w:r>
            <w:r w:rsidRPr="000549B1">
              <w:rPr>
                <w:rFonts w:eastAsia="等线"/>
                <w:i/>
                <w:iCs/>
                <w:kern w:val="0"/>
                <w:sz w:val="22"/>
                <w:lang w:bidi="ar"/>
              </w:rPr>
              <w:t>Chironomus</w:t>
            </w:r>
            <w:r w:rsidRPr="000549B1">
              <w:rPr>
                <w:rStyle w:val="font31"/>
                <w:rFonts w:eastAsia="等线"/>
                <w:color w:val="auto"/>
                <w:lang w:bidi="ar"/>
              </w:rPr>
              <w:t>sp.</w:t>
            </w:r>
          </w:p>
        </w:tc>
        <w:tc>
          <w:tcPr>
            <w:tcW w:w="387" w:type="pct"/>
            <w:tcBorders>
              <w:top w:val="single" w:sz="4" w:space="0" w:color="000000"/>
              <w:left w:val="single" w:sz="4" w:space="0" w:color="000000"/>
              <w:bottom w:val="single" w:sz="4" w:space="0" w:color="000000"/>
              <w:right w:val="single" w:sz="4" w:space="0" w:color="000000"/>
            </w:tcBorders>
            <w:noWrap/>
            <w:vAlign w:val="bottom"/>
          </w:tcPr>
          <w:p w14:paraId="10CA6E30" w14:textId="77777777" w:rsidR="00054437" w:rsidRPr="000549B1" w:rsidRDefault="00054437">
            <w:pPr>
              <w:rPr>
                <w:rFonts w:eastAsia="等线"/>
                <w:sz w:val="22"/>
              </w:rPr>
            </w:pPr>
          </w:p>
        </w:tc>
        <w:tc>
          <w:tcPr>
            <w:tcW w:w="276" w:type="pct"/>
            <w:tcBorders>
              <w:top w:val="single" w:sz="4" w:space="0" w:color="000000"/>
              <w:left w:val="single" w:sz="4" w:space="0" w:color="000000"/>
              <w:bottom w:val="single" w:sz="4" w:space="0" w:color="000000"/>
              <w:right w:val="single" w:sz="4" w:space="0" w:color="000000"/>
            </w:tcBorders>
            <w:noWrap/>
            <w:vAlign w:val="bottom"/>
          </w:tcPr>
          <w:p w14:paraId="40F1E22E" w14:textId="77777777" w:rsidR="00054437" w:rsidRPr="000549B1" w:rsidRDefault="00054437">
            <w:pPr>
              <w:rPr>
                <w:rFonts w:eastAsia="等线"/>
                <w:sz w:val="22"/>
              </w:rPr>
            </w:pPr>
          </w:p>
        </w:tc>
        <w:tc>
          <w:tcPr>
            <w:tcW w:w="332" w:type="pct"/>
            <w:tcBorders>
              <w:top w:val="single" w:sz="4" w:space="0" w:color="000000"/>
              <w:left w:val="single" w:sz="4" w:space="0" w:color="000000"/>
              <w:bottom w:val="single" w:sz="4" w:space="0" w:color="000000"/>
              <w:right w:val="single" w:sz="4" w:space="0" w:color="000000"/>
            </w:tcBorders>
            <w:noWrap/>
            <w:vAlign w:val="bottom"/>
          </w:tcPr>
          <w:p w14:paraId="1A7EE823" w14:textId="77777777" w:rsidR="00054437" w:rsidRPr="000549B1" w:rsidRDefault="00054437">
            <w:pPr>
              <w:rPr>
                <w:rFonts w:eastAsia="等线"/>
                <w:sz w:val="22"/>
              </w:rPr>
            </w:pPr>
          </w:p>
        </w:tc>
        <w:tc>
          <w:tcPr>
            <w:tcW w:w="25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19C4FFF" w14:textId="77777777" w:rsidR="00054437" w:rsidRPr="000549B1" w:rsidRDefault="00000000">
            <w:pPr>
              <w:widowControl/>
              <w:jc w:val="center"/>
              <w:textAlignment w:val="center"/>
              <w:rPr>
                <w:rFonts w:eastAsia="等线"/>
                <w:sz w:val="22"/>
              </w:rPr>
            </w:pPr>
            <w:r w:rsidRPr="000549B1">
              <w:rPr>
                <w:rFonts w:eastAsia="等线"/>
                <w:kern w:val="0"/>
                <w:sz w:val="22"/>
                <w:lang w:bidi="ar"/>
              </w:rPr>
              <w:t>+</w:t>
            </w:r>
          </w:p>
        </w:tc>
        <w:tc>
          <w:tcPr>
            <w:tcW w:w="310"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4B5B5D7" w14:textId="77777777" w:rsidR="00054437" w:rsidRPr="000549B1" w:rsidRDefault="00054437">
            <w:pPr>
              <w:jc w:val="center"/>
              <w:rPr>
                <w:rFonts w:eastAsia="等线"/>
                <w:sz w:val="22"/>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3A0DC888" w14:textId="77777777" w:rsidR="00054437" w:rsidRPr="000549B1" w:rsidRDefault="00054437">
            <w:pPr>
              <w:rPr>
                <w:rFonts w:eastAsia="等线"/>
                <w:sz w:val="22"/>
              </w:rPr>
            </w:pPr>
          </w:p>
        </w:tc>
      </w:tr>
      <w:tr w:rsidR="000549B1" w:rsidRPr="000549B1" w14:paraId="653E02C2" w14:textId="77777777">
        <w:trPr>
          <w:trHeight w:val="300"/>
        </w:trPr>
        <w:tc>
          <w:tcPr>
            <w:tcW w:w="679" w:type="pct"/>
            <w:vMerge/>
            <w:tcBorders>
              <w:top w:val="single" w:sz="4" w:space="0" w:color="000000"/>
              <w:left w:val="single" w:sz="4" w:space="0" w:color="000000"/>
              <w:bottom w:val="single" w:sz="4" w:space="0" w:color="000000"/>
              <w:right w:val="single" w:sz="4" w:space="0" w:color="000000"/>
            </w:tcBorders>
            <w:noWrap/>
            <w:vAlign w:val="center"/>
          </w:tcPr>
          <w:p w14:paraId="5BBE5814" w14:textId="77777777" w:rsidR="00054437" w:rsidRPr="000549B1" w:rsidRDefault="00054437">
            <w:pPr>
              <w:jc w:val="center"/>
              <w:rPr>
                <w:rFonts w:eastAsia="等线"/>
                <w:sz w:val="22"/>
              </w:rPr>
            </w:pPr>
          </w:p>
        </w:tc>
        <w:tc>
          <w:tcPr>
            <w:tcW w:w="650" w:type="pct"/>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045DE25" w14:textId="77777777" w:rsidR="00054437" w:rsidRPr="000549B1" w:rsidRDefault="00054437">
            <w:pPr>
              <w:jc w:val="center"/>
              <w:rPr>
                <w:rFonts w:eastAsia="等线"/>
                <w:sz w:val="22"/>
              </w:rPr>
            </w:pPr>
          </w:p>
        </w:tc>
        <w:tc>
          <w:tcPr>
            <w:tcW w:w="586" w:type="pct"/>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367F3FB" w14:textId="77777777" w:rsidR="00054437" w:rsidRPr="000549B1" w:rsidRDefault="00054437">
            <w:pPr>
              <w:jc w:val="center"/>
              <w:rPr>
                <w:rFonts w:eastAsia="等线"/>
                <w:sz w:val="22"/>
              </w:rPr>
            </w:pPr>
          </w:p>
        </w:tc>
        <w:tc>
          <w:tcPr>
            <w:tcW w:w="528" w:type="pct"/>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607A30C" w14:textId="77777777" w:rsidR="00054437" w:rsidRPr="000549B1" w:rsidRDefault="00054437">
            <w:pPr>
              <w:jc w:val="center"/>
              <w:rPr>
                <w:rFonts w:eastAsia="等线"/>
                <w:sz w:val="22"/>
              </w:rPr>
            </w:pPr>
          </w:p>
        </w:tc>
        <w:tc>
          <w:tcPr>
            <w:tcW w:w="62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E06EC69" w14:textId="77777777" w:rsidR="00054437" w:rsidRPr="000549B1" w:rsidRDefault="00000000">
            <w:pPr>
              <w:widowControl/>
              <w:jc w:val="center"/>
              <w:textAlignment w:val="center"/>
              <w:rPr>
                <w:rFonts w:eastAsia="等线"/>
                <w:sz w:val="22"/>
              </w:rPr>
            </w:pPr>
            <w:r w:rsidRPr="000549B1">
              <w:rPr>
                <w:rStyle w:val="font11"/>
                <w:rFonts w:ascii="Times New Roman" w:hAnsi="Times New Roman" w:cs="Times New Roman" w:hint="default"/>
                <w:color w:val="auto"/>
                <w:lang w:bidi="ar"/>
              </w:rPr>
              <w:t>摇蚊属</w:t>
            </w:r>
            <w:r w:rsidRPr="000549B1">
              <w:rPr>
                <w:rFonts w:eastAsia="等线"/>
                <w:i/>
                <w:iCs/>
                <w:kern w:val="0"/>
                <w:sz w:val="22"/>
                <w:lang w:bidi="ar"/>
              </w:rPr>
              <w:t>Chironomus</w:t>
            </w:r>
            <w:r w:rsidRPr="000549B1">
              <w:rPr>
                <w:rFonts w:eastAsia="等线"/>
                <w:kern w:val="0"/>
                <w:sz w:val="22"/>
                <w:lang w:bidi="ar"/>
              </w:rPr>
              <w:t>sp.</w:t>
            </w:r>
          </w:p>
        </w:tc>
        <w:tc>
          <w:tcPr>
            <w:tcW w:w="387" w:type="pct"/>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5AA844F2" w14:textId="77777777" w:rsidR="00054437" w:rsidRPr="000549B1" w:rsidRDefault="00054437">
            <w:pPr>
              <w:rPr>
                <w:rFonts w:eastAsia="等线"/>
                <w:sz w:val="22"/>
              </w:rPr>
            </w:pPr>
          </w:p>
        </w:tc>
        <w:tc>
          <w:tcPr>
            <w:tcW w:w="27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469D8BA" w14:textId="77777777" w:rsidR="00054437" w:rsidRPr="000549B1" w:rsidRDefault="00000000">
            <w:pPr>
              <w:widowControl/>
              <w:jc w:val="center"/>
              <w:textAlignment w:val="center"/>
              <w:rPr>
                <w:rFonts w:eastAsia="等线"/>
                <w:sz w:val="22"/>
              </w:rPr>
            </w:pPr>
            <w:r w:rsidRPr="000549B1">
              <w:rPr>
                <w:rFonts w:eastAsia="等线"/>
                <w:kern w:val="0"/>
                <w:sz w:val="22"/>
                <w:lang w:bidi="ar"/>
              </w:rPr>
              <w:t>+</w:t>
            </w:r>
          </w:p>
        </w:tc>
        <w:tc>
          <w:tcPr>
            <w:tcW w:w="33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BABFEC1" w14:textId="77777777" w:rsidR="00054437" w:rsidRPr="000549B1" w:rsidRDefault="00054437">
            <w:pPr>
              <w:jc w:val="center"/>
              <w:rPr>
                <w:rFonts w:eastAsia="等线"/>
                <w:sz w:val="22"/>
              </w:rPr>
            </w:pPr>
          </w:p>
        </w:tc>
        <w:tc>
          <w:tcPr>
            <w:tcW w:w="258" w:type="pct"/>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4059323E" w14:textId="77777777" w:rsidR="00054437" w:rsidRPr="000549B1" w:rsidRDefault="00054437">
            <w:pPr>
              <w:rPr>
                <w:rFonts w:eastAsia="等线"/>
                <w:sz w:val="22"/>
              </w:rPr>
            </w:pPr>
          </w:p>
        </w:tc>
        <w:tc>
          <w:tcPr>
            <w:tcW w:w="310"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8E93F61" w14:textId="77777777" w:rsidR="00054437" w:rsidRPr="000549B1" w:rsidRDefault="00000000">
            <w:pPr>
              <w:widowControl/>
              <w:jc w:val="center"/>
              <w:textAlignment w:val="center"/>
              <w:rPr>
                <w:rFonts w:eastAsia="等线"/>
                <w:sz w:val="22"/>
              </w:rPr>
            </w:pPr>
            <w:r w:rsidRPr="000549B1">
              <w:rPr>
                <w:rFonts w:eastAsia="等线"/>
                <w:kern w:val="0"/>
                <w:sz w:val="22"/>
                <w:lang w:bidi="ar"/>
              </w:rPr>
              <w:t>++</w:t>
            </w:r>
          </w:p>
        </w:tc>
        <w:tc>
          <w:tcPr>
            <w:tcW w:w="36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7313152" w14:textId="77777777" w:rsidR="00054437" w:rsidRPr="000549B1" w:rsidRDefault="00000000">
            <w:pPr>
              <w:widowControl/>
              <w:jc w:val="center"/>
              <w:textAlignment w:val="center"/>
              <w:rPr>
                <w:rFonts w:eastAsia="等线"/>
                <w:sz w:val="22"/>
              </w:rPr>
            </w:pPr>
            <w:r w:rsidRPr="000549B1">
              <w:rPr>
                <w:rFonts w:eastAsia="等线"/>
                <w:kern w:val="0"/>
                <w:sz w:val="22"/>
                <w:lang w:bidi="ar"/>
              </w:rPr>
              <w:t>+</w:t>
            </w:r>
          </w:p>
        </w:tc>
      </w:tr>
      <w:tr w:rsidR="000549B1" w:rsidRPr="000549B1" w14:paraId="4597EE82" w14:textId="77777777">
        <w:trPr>
          <w:trHeight w:val="300"/>
        </w:trPr>
        <w:tc>
          <w:tcPr>
            <w:tcW w:w="679" w:type="pct"/>
            <w:vMerge/>
            <w:tcBorders>
              <w:top w:val="single" w:sz="4" w:space="0" w:color="000000"/>
              <w:left w:val="single" w:sz="4" w:space="0" w:color="000000"/>
              <w:bottom w:val="single" w:sz="4" w:space="0" w:color="000000"/>
              <w:right w:val="single" w:sz="4" w:space="0" w:color="000000"/>
            </w:tcBorders>
            <w:noWrap/>
            <w:vAlign w:val="center"/>
          </w:tcPr>
          <w:p w14:paraId="16FCC2DE" w14:textId="77777777" w:rsidR="00054437" w:rsidRPr="000549B1" w:rsidRDefault="00054437">
            <w:pPr>
              <w:jc w:val="center"/>
              <w:rPr>
                <w:rFonts w:eastAsia="等线"/>
                <w:sz w:val="22"/>
              </w:rPr>
            </w:pPr>
          </w:p>
        </w:tc>
        <w:tc>
          <w:tcPr>
            <w:tcW w:w="650" w:type="pct"/>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9CC71D2" w14:textId="77777777" w:rsidR="00054437" w:rsidRPr="000549B1" w:rsidRDefault="00054437">
            <w:pPr>
              <w:jc w:val="center"/>
              <w:rPr>
                <w:rFonts w:eastAsia="等线"/>
                <w:sz w:val="22"/>
              </w:rPr>
            </w:pPr>
          </w:p>
        </w:tc>
        <w:tc>
          <w:tcPr>
            <w:tcW w:w="586" w:type="pct"/>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33787D1" w14:textId="77777777" w:rsidR="00054437" w:rsidRPr="000549B1" w:rsidRDefault="00054437">
            <w:pPr>
              <w:jc w:val="center"/>
              <w:rPr>
                <w:rFonts w:eastAsia="等线"/>
                <w:sz w:val="22"/>
              </w:rPr>
            </w:pPr>
          </w:p>
        </w:tc>
        <w:tc>
          <w:tcPr>
            <w:tcW w:w="528" w:type="pct"/>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4622095" w14:textId="77777777" w:rsidR="00054437" w:rsidRPr="000549B1" w:rsidRDefault="00054437">
            <w:pPr>
              <w:jc w:val="center"/>
              <w:rPr>
                <w:rFonts w:eastAsia="等线"/>
                <w:sz w:val="22"/>
              </w:rPr>
            </w:pPr>
          </w:p>
        </w:tc>
        <w:tc>
          <w:tcPr>
            <w:tcW w:w="62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388F527" w14:textId="77777777" w:rsidR="00054437" w:rsidRPr="000549B1" w:rsidRDefault="00000000">
            <w:pPr>
              <w:widowControl/>
              <w:jc w:val="center"/>
              <w:textAlignment w:val="center"/>
              <w:rPr>
                <w:sz w:val="22"/>
              </w:rPr>
            </w:pPr>
            <w:r w:rsidRPr="000549B1">
              <w:rPr>
                <w:kern w:val="0"/>
                <w:sz w:val="22"/>
                <w:lang w:bidi="ar"/>
              </w:rPr>
              <w:t>环足摇蚊属</w:t>
            </w:r>
            <w:r w:rsidRPr="000549B1">
              <w:rPr>
                <w:rStyle w:val="font101"/>
                <w:color w:val="auto"/>
                <w:lang w:bidi="ar"/>
              </w:rPr>
              <w:t>Cricotopus</w:t>
            </w:r>
            <w:r w:rsidRPr="000549B1">
              <w:rPr>
                <w:rStyle w:val="font41"/>
                <w:rFonts w:ascii="Times New Roman" w:hAnsi="Times New Roman" w:hint="default"/>
                <w:color w:val="auto"/>
                <w:lang w:bidi="ar"/>
              </w:rPr>
              <w:t>sp.</w:t>
            </w:r>
          </w:p>
        </w:tc>
        <w:tc>
          <w:tcPr>
            <w:tcW w:w="38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831D147" w14:textId="77777777" w:rsidR="00054437" w:rsidRPr="000549B1" w:rsidRDefault="00000000">
            <w:pPr>
              <w:widowControl/>
              <w:jc w:val="center"/>
              <w:textAlignment w:val="center"/>
              <w:rPr>
                <w:rFonts w:eastAsia="等线"/>
                <w:sz w:val="22"/>
              </w:rPr>
            </w:pPr>
            <w:r w:rsidRPr="000549B1">
              <w:rPr>
                <w:rFonts w:eastAsia="等线"/>
                <w:kern w:val="0"/>
                <w:sz w:val="22"/>
                <w:lang w:bidi="ar"/>
              </w:rPr>
              <w:t>+</w:t>
            </w:r>
          </w:p>
        </w:tc>
        <w:tc>
          <w:tcPr>
            <w:tcW w:w="276" w:type="pct"/>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5A367139" w14:textId="77777777" w:rsidR="00054437" w:rsidRPr="000549B1" w:rsidRDefault="00054437">
            <w:pPr>
              <w:rPr>
                <w:rFonts w:eastAsia="等线"/>
                <w:sz w:val="22"/>
              </w:rPr>
            </w:pPr>
          </w:p>
        </w:tc>
        <w:tc>
          <w:tcPr>
            <w:tcW w:w="332" w:type="pct"/>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75A28F24" w14:textId="77777777" w:rsidR="00054437" w:rsidRPr="000549B1" w:rsidRDefault="00054437">
            <w:pPr>
              <w:rPr>
                <w:rFonts w:eastAsia="等线"/>
                <w:sz w:val="22"/>
              </w:rPr>
            </w:pPr>
          </w:p>
        </w:tc>
        <w:tc>
          <w:tcPr>
            <w:tcW w:w="258" w:type="pct"/>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785A4672" w14:textId="77777777" w:rsidR="00054437" w:rsidRPr="000549B1" w:rsidRDefault="00054437">
            <w:pPr>
              <w:rPr>
                <w:rFonts w:eastAsia="等线"/>
                <w:sz w:val="22"/>
              </w:rPr>
            </w:pPr>
          </w:p>
        </w:tc>
        <w:tc>
          <w:tcPr>
            <w:tcW w:w="310"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A4D72AF" w14:textId="77777777" w:rsidR="00054437" w:rsidRPr="000549B1" w:rsidRDefault="00054437">
            <w:pPr>
              <w:jc w:val="center"/>
              <w:rPr>
                <w:rFonts w:eastAsia="等线"/>
                <w:sz w:val="22"/>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835735F" w14:textId="77777777" w:rsidR="00054437" w:rsidRPr="000549B1" w:rsidRDefault="00054437">
            <w:pPr>
              <w:jc w:val="center"/>
              <w:rPr>
                <w:rFonts w:eastAsia="等线"/>
                <w:sz w:val="22"/>
              </w:rPr>
            </w:pPr>
          </w:p>
        </w:tc>
      </w:tr>
      <w:tr w:rsidR="000549B1" w:rsidRPr="000549B1" w14:paraId="28245488" w14:textId="77777777">
        <w:trPr>
          <w:trHeight w:val="300"/>
        </w:trPr>
        <w:tc>
          <w:tcPr>
            <w:tcW w:w="679" w:type="pct"/>
            <w:vMerge/>
            <w:tcBorders>
              <w:top w:val="single" w:sz="4" w:space="0" w:color="000000"/>
              <w:left w:val="single" w:sz="4" w:space="0" w:color="000000"/>
              <w:bottom w:val="single" w:sz="4" w:space="0" w:color="000000"/>
              <w:right w:val="single" w:sz="4" w:space="0" w:color="000000"/>
            </w:tcBorders>
            <w:noWrap/>
            <w:vAlign w:val="center"/>
          </w:tcPr>
          <w:p w14:paraId="70A5D9C0" w14:textId="77777777" w:rsidR="00054437" w:rsidRPr="000549B1" w:rsidRDefault="00054437">
            <w:pPr>
              <w:jc w:val="center"/>
              <w:rPr>
                <w:rFonts w:eastAsia="等线"/>
                <w:sz w:val="22"/>
              </w:rPr>
            </w:pPr>
          </w:p>
        </w:tc>
        <w:tc>
          <w:tcPr>
            <w:tcW w:w="650" w:type="pct"/>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59F8380" w14:textId="77777777" w:rsidR="00054437" w:rsidRPr="000549B1" w:rsidRDefault="00054437">
            <w:pPr>
              <w:jc w:val="center"/>
              <w:rPr>
                <w:rFonts w:eastAsia="等线"/>
                <w:sz w:val="22"/>
              </w:rPr>
            </w:pPr>
          </w:p>
        </w:tc>
        <w:tc>
          <w:tcPr>
            <w:tcW w:w="586" w:type="pct"/>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3849CF0" w14:textId="77777777" w:rsidR="00054437" w:rsidRPr="000549B1" w:rsidRDefault="00054437">
            <w:pPr>
              <w:jc w:val="center"/>
              <w:rPr>
                <w:rFonts w:eastAsia="等线"/>
                <w:sz w:val="22"/>
              </w:rPr>
            </w:pPr>
          </w:p>
        </w:tc>
        <w:tc>
          <w:tcPr>
            <w:tcW w:w="528" w:type="pct"/>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185A26A" w14:textId="77777777" w:rsidR="00054437" w:rsidRPr="000549B1" w:rsidRDefault="00054437">
            <w:pPr>
              <w:jc w:val="center"/>
              <w:rPr>
                <w:rFonts w:eastAsia="等线"/>
                <w:sz w:val="22"/>
              </w:rPr>
            </w:pPr>
          </w:p>
        </w:tc>
        <w:tc>
          <w:tcPr>
            <w:tcW w:w="62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EB4A6D5" w14:textId="77777777" w:rsidR="00054437" w:rsidRPr="000549B1" w:rsidRDefault="00000000">
            <w:pPr>
              <w:widowControl/>
              <w:jc w:val="center"/>
              <w:textAlignment w:val="center"/>
              <w:rPr>
                <w:rFonts w:eastAsia="等线"/>
                <w:sz w:val="22"/>
              </w:rPr>
            </w:pPr>
            <w:r w:rsidRPr="000549B1">
              <w:rPr>
                <w:rStyle w:val="font11"/>
                <w:rFonts w:ascii="Times New Roman" w:hAnsi="Times New Roman" w:cs="Times New Roman" w:hint="default"/>
                <w:color w:val="auto"/>
                <w:lang w:bidi="ar"/>
              </w:rPr>
              <w:t>前突摇蚊属</w:t>
            </w:r>
            <w:r w:rsidRPr="000549B1">
              <w:rPr>
                <w:rFonts w:eastAsia="等线"/>
                <w:i/>
                <w:iCs/>
                <w:kern w:val="0"/>
                <w:sz w:val="22"/>
                <w:lang w:bidi="ar"/>
              </w:rPr>
              <w:t>Procladius</w:t>
            </w:r>
            <w:r w:rsidRPr="000549B1">
              <w:rPr>
                <w:rFonts w:eastAsia="等线"/>
                <w:kern w:val="0"/>
                <w:sz w:val="22"/>
                <w:lang w:bidi="ar"/>
              </w:rPr>
              <w:t>sp.</w:t>
            </w:r>
          </w:p>
        </w:tc>
        <w:tc>
          <w:tcPr>
            <w:tcW w:w="387" w:type="pct"/>
            <w:tcBorders>
              <w:top w:val="single" w:sz="4" w:space="0" w:color="000000"/>
              <w:left w:val="single" w:sz="4" w:space="0" w:color="000000"/>
              <w:bottom w:val="single" w:sz="4" w:space="0" w:color="000000"/>
              <w:right w:val="single" w:sz="4" w:space="0" w:color="000000"/>
            </w:tcBorders>
            <w:noWrap/>
            <w:vAlign w:val="bottom"/>
          </w:tcPr>
          <w:p w14:paraId="3371098E" w14:textId="77777777" w:rsidR="00054437" w:rsidRPr="000549B1" w:rsidRDefault="00054437">
            <w:pPr>
              <w:rPr>
                <w:rFonts w:eastAsia="等线"/>
                <w:sz w:val="22"/>
              </w:rPr>
            </w:pPr>
          </w:p>
        </w:tc>
        <w:tc>
          <w:tcPr>
            <w:tcW w:w="276" w:type="pct"/>
            <w:tcBorders>
              <w:top w:val="single" w:sz="4" w:space="0" w:color="000000"/>
              <w:left w:val="single" w:sz="4" w:space="0" w:color="000000"/>
              <w:bottom w:val="single" w:sz="4" w:space="0" w:color="000000"/>
              <w:right w:val="single" w:sz="4" w:space="0" w:color="000000"/>
            </w:tcBorders>
            <w:noWrap/>
            <w:vAlign w:val="bottom"/>
          </w:tcPr>
          <w:p w14:paraId="12884DB4" w14:textId="77777777" w:rsidR="00054437" w:rsidRPr="000549B1" w:rsidRDefault="00054437">
            <w:pPr>
              <w:rPr>
                <w:rFonts w:eastAsia="等线"/>
                <w:sz w:val="22"/>
              </w:rPr>
            </w:pPr>
          </w:p>
        </w:tc>
        <w:tc>
          <w:tcPr>
            <w:tcW w:w="332" w:type="pct"/>
            <w:tcBorders>
              <w:top w:val="single" w:sz="4" w:space="0" w:color="000000"/>
              <w:left w:val="single" w:sz="4" w:space="0" w:color="000000"/>
              <w:bottom w:val="single" w:sz="4" w:space="0" w:color="000000"/>
              <w:right w:val="single" w:sz="4" w:space="0" w:color="000000"/>
            </w:tcBorders>
            <w:noWrap/>
            <w:vAlign w:val="bottom"/>
          </w:tcPr>
          <w:p w14:paraId="12199FF3" w14:textId="77777777" w:rsidR="00054437" w:rsidRPr="000549B1" w:rsidRDefault="00054437">
            <w:pPr>
              <w:rPr>
                <w:rFonts w:eastAsia="等线"/>
                <w:sz w:val="22"/>
              </w:rPr>
            </w:pPr>
          </w:p>
        </w:tc>
        <w:tc>
          <w:tcPr>
            <w:tcW w:w="258" w:type="pct"/>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7C19F189" w14:textId="77777777" w:rsidR="00054437" w:rsidRPr="000549B1" w:rsidRDefault="00054437">
            <w:pPr>
              <w:rPr>
                <w:rFonts w:eastAsia="等线"/>
                <w:sz w:val="22"/>
              </w:rPr>
            </w:pPr>
          </w:p>
        </w:tc>
        <w:tc>
          <w:tcPr>
            <w:tcW w:w="310"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A5400D2" w14:textId="77777777" w:rsidR="00054437" w:rsidRPr="000549B1" w:rsidRDefault="00054437">
            <w:pPr>
              <w:jc w:val="center"/>
              <w:rPr>
                <w:rFonts w:eastAsia="等线"/>
                <w:sz w:val="22"/>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3B02911" w14:textId="77777777" w:rsidR="00054437" w:rsidRPr="000549B1" w:rsidRDefault="00000000">
            <w:pPr>
              <w:widowControl/>
              <w:jc w:val="center"/>
              <w:textAlignment w:val="center"/>
              <w:rPr>
                <w:rFonts w:eastAsia="等线"/>
                <w:sz w:val="22"/>
              </w:rPr>
            </w:pPr>
            <w:r w:rsidRPr="000549B1">
              <w:rPr>
                <w:rFonts w:eastAsia="等线"/>
                <w:kern w:val="0"/>
                <w:sz w:val="22"/>
                <w:lang w:bidi="ar"/>
              </w:rPr>
              <w:t>+</w:t>
            </w:r>
          </w:p>
        </w:tc>
      </w:tr>
      <w:tr w:rsidR="000549B1" w:rsidRPr="000549B1" w14:paraId="0E367CBE" w14:textId="77777777">
        <w:trPr>
          <w:trHeight w:val="300"/>
        </w:trPr>
        <w:tc>
          <w:tcPr>
            <w:tcW w:w="679" w:type="pct"/>
            <w:vMerge/>
            <w:tcBorders>
              <w:top w:val="single" w:sz="4" w:space="0" w:color="000000"/>
              <w:left w:val="single" w:sz="4" w:space="0" w:color="000000"/>
              <w:bottom w:val="single" w:sz="4" w:space="0" w:color="000000"/>
              <w:right w:val="single" w:sz="4" w:space="0" w:color="000000"/>
            </w:tcBorders>
            <w:noWrap/>
            <w:vAlign w:val="center"/>
          </w:tcPr>
          <w:p w14:paraId="14CBB9B4" w14:textId="77777777" w:rsidR="00054437" w:rsidRPr="000549B1" w:rsidRDefault="00054437">
            <w:pPr>
              <w:jc w:val="center"/>
              <w:rPr>
                <w:rFonts w:eastAsia="等线"/>
                <w:sz w:val="22"/>
              </w:rPr>
            </w:pPr>
          </w:p>
        </w:tc>
        <w:tc>
          <w:tcPr>
            <w:tcW w:w="650" w:type="pct"/>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69FEF20" w14:textId="77777777" w:rsidR="00054437" w:rsidRPr="000549B1" w:rsidRDefault="00054437">
            <w:pPr>
              <w:jc w:val="center"/>
              <w:rPr>
                <w:rFonts w:eastAsia="等线"/>
                <w:sz w:val="22"/>
              </w:rPr>
            </w:pPr>
          </w:p>
        </w:tc>
        <w:tc>
          <w:tcPr>
            <w:tcW w:w="58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0A59C6F" w14:textId="77777777" w:rsidR="00054437" w:rsidRPr="000549B1" w:rsidRDefault="00000000">
            <w:pPr>
              <w:widowControl/>
              <w:jc w:val="left"/>
              <w:textAlignment w:val="center"/>
              <w:rPr>
                <w:sz w:val="22"/>
              </w:rPr>
            </w:pPr>
            <w:r w:rsidRPr="000549B1">
              <w:rPr>
                <w:kern w:val="0"/>
                <w:sz w:val="22"/>
                <w:lang w:bidi="ar"/>
              </w:rPr>
              <w:t>毛翅目</w:t>
            </w:r>
            <w:r w:rsidRPr="000549B1">
              <w:rPr>
                <w:rStyle w:val="font41"/>
                <w:rFonts w:ascii="Times New Roman" w:hAnsi="Times New Roman" w:hint="default"/>
                <w:color w:val="auto"/>
                <w:lang w:bidi="ar"/>
              </w:rPr>
              <w:t>Trichoptera</w:t>
            </w:r>
          </w:p>
        </w:tc>
        <w:tc>
          <w:tcPr>
            <w:tcW w:w="52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C6F00D4" w14:textId="77777777" w:rsidR="00054437" w:rsidRPr="000549B1" w:rsidRDefault="00000000">
            <w:pPr>
              <w:widowControl/>
              <w:jc w:val="center"/>
              <w:textAlignment w:val="center"/>
              <w:rPr>
                <w:sz w:val="22"/>
              </w:rPr>
            </w:pPr>
            <w:r w:rsidRPr="000549B1">
              <w:rPr>
                <w:kern w:val="0"/>
                <w:sz w:val="22"/>
                <w:lang w:bidi="ar"/>
              </w:rPr>
              <w:t>乌石蛾科</w:t>
            </w:r>
            <w:r w:rsidRPr="000549B1">
              <w:rPr>
                <w:rStyle w:val="font41"/>
                <w:rFonts w:ascii="Times New Roman" w:hAnsi="Times New Roman" w:hint="default"/>
                <w:color w:val="auto"/>
                <w:lang w:bidi="ar"/>
              </w:rPr>
              <w:t>Uenoidae</w:t>
            </w:r>
          </w:p>
        </w:tc>
        <w:tc>
          <w:tcPr>
            <w:tcW w:w="62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97F88D4" w14:textId="77777777" w:rsidR="00054437" w:rsidRPr="000549B1" w:rsidRDefault="00054437">
            <w:pPr>
              <w:jc w:val="center"/>
              <w:rPr>
                <w:rFonts w:eastAsia="等线"/>
                <w:sz w:val="22"/>
              </w:rPr>
            </w:pPr>
          </w:p>
        </w:tc>
        <w:tc>
          <w:tcPr>
            <w:tcW w:w="38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CB0EF40" w14:textId="77777777" w:rsidR="00054437" w:rsidRPr="000549B1" w:rsidRDefault="00000000">
            <w:pPr>
              <w:widowControl/>
              <w:jc w:val="center"/>
              <w:textAlignment w:val="center"/>
              <w:rPr>
                <w:rFonts w:eastAsia="等线"/>
                <w:sz w:val="22"/>
              </w:rPr>
            </w:pPr>
            <w:r w:rsidRPr="000549B1">
              <w:rPr>
                <w:rFonts w:eastAsia="等线"/>
                <w:kern w:val="0"/>
                <w:sz w:val="22"/>
                <w:lang w:bidi="ar"/>
              </w:rPr>
              <w:t>+</w:t>
            </w:r>
          </w:p>
        </w:tc>
        <w:tc>
          <w:tcPr>
            <w:tcW w:w="27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AD759F8" w14:textId="77777777" w:rsidR="00054437" w:rsidRPr="000549B1" w:rsidRDefault="00054437">
            <w:pPr>
              <w:jc w:val="center"/>
              <w:rPr>
                <w:rFonts w:eastAsia="等线"/>
                <w:sz w:val="22"/>
              </w:rPr>
            </w:pPr>
          </w:p>
        </w:tc>
        <w:tc>
          <w:tcPr>
            <w:tcW w:w="33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2A35243" w14:textId="77777777" w:rsidR="00054437" w:rsidRPr="000549B1" w:rsidRDefault="00054437">
            <w:pPr>
              <w:jc w:val="center"/>
              <w:rPr>
                <w:rFonts w:eastAsia="等线"/>
                <w:sz w:val="22"/>
              </w:rPr>
            </w:pPr>
          </w:p>
        </w:tc>
        <w:tc>
          <w:tcPr>
            <w:tcW w:w="258" w:type="pct"/>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7E97C601" w14:textId="77777777" w:rsidR="00054437" w:rsidRPr="000549B1" w:rsidRDefault="00054437">
            <w:pPr>
              <w:rPr>
                <w:rFonts w:eastAsia="等线"/>
                <w:sz w:val="22"/>
              </w:rPr>
            </w:pPr>
          </w:p>
        </w:tc>
        <w:tc>
          <w:tcPr>
            <w:tcW w:w="310"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F940356" w14:textId="77777777" w:rsidR="00054437" w:rsidRPr="000549B1" w:rsidRDefault="00054437">
            <w:pPr>
              <w:jc w:val="center"/>
              <w:rPr>
                <w:rFonts w:eastAsia="等线"/>
                <w:sz w:val="22"/>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C50AE2C" w14:textId="77777777" w:rsidR="00054437" w:rsidRPr="000549B1" w:rsidRDefault="00054437">
            <w:pPr>
              <w:jc w:val="center"/>
              <w:rPr>
                <w:rFonts w:eastAsia="等线"/>
                <w:sz w:val="22"/>
              </w:rPr>
            </w:pPr>
          </w:p>
        </w:tc>
      </w:tr>
      <w:tr w:rsidR="000549B1" w:rsidRPr="000549B1" w14:paraId="269DDA53" w14:textId="77777777">
        <w:trPr>
          <w:trHeight w:val="300"/>
        </w:trPr>
        <w:tc>
          <w:tcPr>
            <w:tcW w:w="679" w:type="pct"/>
            <w:vMerge/>
            <w:tcBorders>
              <w:top w:val="single" w:sz="4" w:space="0" w:color="000000"/>
              <w:left w:val="single" w:sz="4" w:space="0" w:color="000000"/>
              <w:bottom w:val="single" w:sz="4" w:space="0" w:color="000000"/>
              <w:right w:val="single" w:sz="4" w:space="0" w:color="000000"/>
            </w:tcBorders>
            <w:noWrap/>
            <w:vAlign w:val="center"/>
          </w:tcPr>
          <w:p w14:paraId="5B5C45AF" w14:textId="77777777" w:rsidR="00054437" w:rsidRPr="000549B1" w:rsidRDefault="00054437">
            <w:pPr>
              <w:jc w:val="center"/>
              <w:rPr>
                <w:rFonts w:eastAsia="等线"/>
                <w:sz w:val="22"/>
              </w:rPr>
            </w:pPr>
          </w:p>
        </w:tc>
        <w:tc>
          <w:tcPr>
            <w:tcW w:w="650" w:type="pct"/>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DEA4168" w14:textId="77777777" w:rsidR="00054437" w:rsidRPr="000549B1" w:rsidRDefault="00054437">
            <w:pPr>
              <w:jc w:val="center"/>
              <w:rPr>
                <w:rFonts w:eastAsia="等线"/>
                <w:sz w:val="22"/>
              </w:rPr>
            </w:pPr>
          </w:p>
        </w:tc>
        <w:tc>
          <w:tcPr>
            <w:tcW w:w="58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EDC3622" w14:textId="77777777" w:rsidR="00054437" w:rsidRPr="000549B1" w:rsidRDefault="00000000">
            <w:pPr>
              <w:widowControl/>
              <w:jc w:val="center"/>
              <w:textAlignment w:val="center"/>
              <w:rPr>
                <w:rFonts w:eastAsia="等线"/>
                <w:sz w:val="22"/>
              </w:rPr>
            </w:pPr>
            <w:r w:rsidRPr="000549B1">
              <w:rPr>
                <w:rStyle w:val="font11"/>
                <w:rFonts w:ascii="Times New Roman" w:hAnsi="Times New Roman" w:cs="Times New Roman" w:hint="default"/>
                <w:color w:val="auto"/>
                <w:lang w:bidi="ar"/>
              </w:rPr>
              <w:t>鞘翅目</w:t>
            </w:r>
            <w:r w:rsidRPr="000549B1">
              <w:rPr>
                <w:rFonts w:eastAsia="等线"/>
                <w:kern w:val="0"/>
                <w:sz w:val="22"/>
                <w:lang w:bidi="ar"/>
              </w:rPr>
              <w:t>Coleoptera</w:t>
            </w:r>
          </w:p>
        </w:tc>
        <w:tc>
          <w:tcPr>
            <w:tcW w:w="52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11579DE" w14:textId="77777777" w:rsidR="00054437" w:rsidRPr="000549B1" w:rsidRDefault="00000000">
            <w:pPr>
              <w:widowControl/>
              <w:jc w:val="center"/>
              <w:textAlignment w:val="center"/>
              <w:rPr>
                <w:rFonts w:eastAsia="等线"/>
                <w:sz w:val="22"/>
              </w:rPr>
            </w:pPr>
            <w:r w:rsidRPr="000549B1">
              <w:rPr>
                <w:rStyle w:val="font11"/>
                <w:rFonts w:ascii="Times New Roman" w:hAnsi="Times New Roman" w:cs="Times New Roman" w:hint="default"/>
                <w:color w:val="auto"/>
                <w:lang w:bidi="ar"/>
              </w:rPr>
              <w:t>龙虱科</w:t>
            </w:r>
            <w:r w:rsidRPr="000549B1">
              <w:rPr>
                <w:rFonts w:eastAsia="等线"/>
                <w:kern w:val="0"/>
                <w:sz w:val="22"/>
                <w:lang w:bidi="ar"/>
              </w:rPr>
              <w:t>Dytiscidae</w:t>
            </w:r>
          </w:p>
        </w:tc>
        <w:tc>
          <w:tcPr>
            <w:tcW w:w="62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FF0E003" w14:textId="77777777" w:rsidR="00054437" w:rsidRPr="000549B1" w:rsidRDefault="00054437">
            <w:pPr>
              <w:jc w:val="center"/>
              <w:rPr>
                <w:rFonts w:eastAsia="等线"/>
                <w:sz w:val="22"/>
              </w:rPr>
            </w:pPr>
          </w:p>
        </w:tc>
        <w:tc>
          <w:tcPr>
            <w:tcW w:w="38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6CEACEE" w14:textId="77777777" w:rsidR="00054437" w:rsidRPr="000549B1" w:rsidRDefault="00054437">
            <w:pPr>
              <w:jc w:val="center"/>
              <w:rPr>
                <w:rFonts w:eastAsia="等线"/>
                <w:sz w:val="22"/>
              </w:rPr>
            </w:pPr>
          </w:p>
        </w:tc>
        <w:tc>
          <w:tcPr>
            <w:tcW w:w="27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1CD03A3" w14:textId="77777777" w:rsidR="00054437" w:rsidRPr="000549B1" w:rsidRDefault="00054437">
            <w:pPr>
              <w:jc w:val="center"/>
              <w:rPr>
                <w:rFonts w:eastAsia="等线"/>
                <w:sz w:val="22"/>
              </w:rPr>
            </w:pPr>
          </w:p>
        </w:tc>
        <w:tc>
          <w:tcPr>
            <w:tcW w:w="33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11145DA" w14:textId="77777777" w:rsidR="00054437" w:rsidRPr="000549B1" w:rsidRDefault="00000000">
            <w:pPr>
              <w:widowControl/>
              <w:jc w:val="center"/>
              <w:textAlignment w:val="center"/>
              <w:rPr>
                <w:rFonts w:eastAsia="等线"/>
                <w:sz w:val="22"/>
              </w:rPr>
            </w:pPr>
            <w:r w:rsidRPr="000549B1">
              <w:rPr>
                <w:rFonts w:eastAsia="等线"/>
                <w:kern w:val="0"/>
                <w:sz w:val="22"/>
                <w:lang w:bidi="ar"/>
              </w:rPr>
              <w:t>+</w:t>
            </w:r>
          </w:p>
        </w:tc>
        <w:tc>
          <w:tcPr>
            <w:tcW w:w="25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EB19A87" w14:textId="77777777" w:rsidR="00054437" w:rsidRPr="000549B1" w:rsidRDefault="00054437">
            <w:pPr>
              <w:jc w:val="center"/>
              <w:rPr>
                <w:rFonts w:eastAsia="等线"/>
                <w:sz w:val="22"/>
              </w:rPr>
            </w:pPr>
          </w:p>
        </w:tc>
        <w:tc>
          <w:tcPr>
            <w:tcW w:w="310" w:type="pct"/>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7E82382E" w14:textId="77777777" w:rsidR="00054437" w:rsidRPr="000549B1" w:rsidRDefault="00054437">
            <w:pPr>
              <w:rPr>
                <w:rFonts w:eastAsia="等线"/>
                <w:sz w:val="22"/>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4B248C0" w14:textId="77777777" w:rsidR="00054437" w:rsidRPr="000549B1" w:rsidRDefault="00000000">
            <w:pPr>
              <w:widowControl/>
              <w:jc w:val="center"/>
              <w:textAlignment w:val="center"/>
              <w:rPr>
                <w:rFonts w:eastAsia="等线"/>
                <w:sz w:val="22"/>
              </w:rPr>
            </w:pPr>
            <w:r w:rsidRPr="000549B1">
              <w:rPr>
                <w:rFonts w:eastAsia="等线"/>
                <w:kern w:val="0"/>
                <w:sz w:val="22"/>
                <w:lang w:bidi="ar"/>
              </w:rPr>
              <w:t>+</w:t>
            </w:r>
          </w:p>
        </w:tc>
      </w:tr>
      <w:tr w:rsidR="000549B1" w:rsidRPr="000549B1" w14:paraId="7B27A7F0" w14:textId="77777777">
        <w:trPr>
          <w:trHeight w:val="300"/>
        </w:trPr>
        <w:tc>
          <w:tcPr>
            <w:tcW w:w="679" w:type="pct"/>
            <w:vMerge/>
            <w:tcBorders>
              <w:top w:val="single" w:sz="4" w:space="0" w:color="000000"/>
              <w:left w:val="single" w:sz="4" w:space="0" w:color="000000"/>
              <w:bottom w:val="single" w:sz="4" w:space="0" w:color="000000"/>
              <w:right w:val="single" w:sz="4" w:space="0" w:color="000000"/>
            </w:tcBorders>
            <w:noWrap/>
            <w:vAlign w:val="center"/>
          </w:tcPr>
          <w:p w14:paraId="10CD5D33" w14:textId="77777777" w:rsidR="00054437" w:rsidRPr="000549B1" w:rsidRDefault="00054437">
            <w:pPr>
              <w:jc w:val="center"/>
              <w:rPr>
                <w:rFonts w:eastAsia="等线"/>
                <w:sz w:val="22"/>
              </w:rPr>
            </w:pPr>
          </w:p>
        </w:tc>
        <w:tc>
          <w:tcPr>
            <w:tcW w:w="650" w:type="pct"/>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17D2619" w14:textId="77777777" w:rsidR="00054437" w:rsidRPr="000549B1" w:rsidRDefault="00054437">
            <w:pPr>
              <w:jc w:val="center"/>
              <w:rPr>
                <w:rFonts w:eastAsia="等线"/>
                <w:sz w:val="22"/>
              </w:rPr>
            </w:pPr>
          </w:p>
        </w:tc>
        <w:tc>
          <w:tcPr>
            <w:tcW w:w="58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92B6C3E" w14:textId="77777777" w:rsidR="00054437" w:rsidRPr="000549B1" w:rsidRDefault="00000000">
            <w:pPr>
              <w:widowControl/>
              <w:jc w:val="center"/>
              <w:textAlignment w:val="center"/>
              <w:rPr>
                <w:rFonts w:eastAsia="等线"/>
                <w:sz w:val="22"/>
              </w:rPr>
            </w:pPr>
            <w:r w:rsidRPr="000549B1">
              <w:rPr>
                <w:rStyle w:val="font11"/>
                <w:rFonts w:ascii="Times New Roman" w:hAnsi="Times New Roman" w:cs="Times New Roman" w:hint="default"/>
                <w:color w:val="auto"/>
                <w:lang w:bidi="ar"/>
              </w:rPr>
              <w:t>半翅目</w:t>
            </w:r>
            <w:r w:rsidRPr="000549B1">
              <w:rPr>
                <w:rFonts w:eastAsia="等线"/>
                <w:kern w:val="0"/>
                <w:sz w:val="22"/>
                <w:lang w:bidi="ar"/>
              </w:rPr>
              <w:t>Hemiptera</w:t>
            </w:r>
          </w:p>
        </w:tc>
        <w:tc>
          <w:tcPr>
            <w:tcW w:w="52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1E4543A" w14:textId="77777777" w:rsidR="00054437" w:rsidRPr="000549B1" w:rsidRDefault="00000000">
            <w:pPr>
              <w:widowControl/>
              <w:jc w:val="center"/>
              <w:textAlignment w:val="center"/>
              <w:rPr>
                <w:rFonts w:eastAsia="等线"/>
                <w:sz w:val="22"/>
              </w:rPr>
            </w:pPr>
            <w:r w:rsidRPr="000549B1">
              <w:rPr>
                <w:rStyle w:val="font11"/>
                <w:rFonts w:ascii="Times New Roman" w:hAnsi="Times New Roman" w:cs="Times New Roman" w:hint="default"/>
                <w:color w:val="auto"/>
                <w:lang w:bidi="ar"/>
              </w:rPr>
              <w:t>划蝽科</w:t>
            </w:r>
            <w:r w:rsidRPr="000549B1">
              <w:rPr>
                <w:rFonts w:eastAsia="等线"/>
                <w:kern w:val="0"/>
                <w:sz w:val="22"/>
                <w:lang w:bidi="ar"/>
              </w:rPr>
              <w:t>Corixidae</w:t>
            </w:r>
          </w:p>
        </w:tc>
        <w:tc>
          <w:tcPr>
            <w:tcW w:w="62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F7FF669" w14:textId="77777777" w:rsidR="00054437" w:rsidRPr="000549B1" w:rsidRDefault="00054437">
            <w:pPr>
              <w:jc w:val="center"/>
              <w:rPr>
                <w:rFonts w:eastAsia="等线"/>
                <w:sz w:val="22"/>
              </w:rPr>
            </w:pPr>
          </w:p>
        </w:tc>
        <w:tc>
          <w:tcPr>
            <w:tcW w:w="38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B1CDC9B" w14:textId="77777777" w:rsidR="00054437" w:rsidRPr="000549B1" w:rsidRDefault="00054437">
            <w:pPr>
              <w:jc w:val="center"/>
              <w:rPr>
                <w:rFonts w:eastAsia="等线"/>
                <w:sz w:val="22"/>
              </w:rPr>
            </w:pPr>
          </w:p>
        </w:tc>
        <w:tc>
          <w:tcPr>
            <w:tcW w:w="27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D481B91" w14:textId="77777777" w:rsidR="00054437" w:rsidRPr="000549B1" w:rsidRDefault="00000000">
            <w:pPr>
              <w:widowControl/>
              <w:jc w:val="center"/>
              <w:textAlignment w:val="center"/>
              <w:rPr>
                <w:rFonts w:eastAsia="等线"/>
                <w:sz w:val="22"/>
              </w:rPr>
            </w:pPr>
            <w:r w:rsidRPr="000549B1">
              <w:rPr>
                <w:rFonts w:eastAsia="等线"/>
                <w:kern w:val="0"/>
                <w:sz w:val="22"/>
                <w:lang w:bidi="ar"/>
              </w:rPr>
              <w:t>+</w:t>
            </w:r>
          </w:p>
        </w:tc>
        <w:tc>
          <w:tcPr>
            <w:tcW w:w="33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2569424" w14:textId="77777777" w:rsidR="00054437" w:rsidRPr="000549B1" w:rsidRDefault="00054437">
            <w:pPr>
              <w:jc w:val="center"/>
              <w:rPr>
                <w:rFonts w:eastAsia="等线"/>
                <w:sz w:val="22"/>
              </w:rPr>
            </w:pPr>
          </w:p>
        </w:tc>
        <w:tc>
          <w:tcPr>
            <w:tcW w:w="25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E7E1CB1" w14:textId="77777777" w:rsidR="00054437" w:rsidRPr="000549B1" w:rsidRDefault="00000000">
            <w:pPr>
              <w:widowControl/>
              <w:jc w:val="center"/>
              <w:textAlignment w:val="center"/>
              <w:rPr>
                <w:rFonts w:eastAsia="等线"/>
                <w:sz w:val="22"/>
              </w:rPr>
            </w:pPr>
            <w:r w:rsidRPr="000549B1">
              <w:rPr>
                <w:rFonts w:eastAsia="等线"/>
                <w:kern w:val="0"/>
                <w:sz w:val="22"/>
                <w:lang w:bidi="ar"/>
              </w:rPr>
              <w:t>+</w:t>
            </w:r>
          </w:p>
        </w:tc>
        <w:tc>
          <w:tcPr>
            <w:tcW w:w="310"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71F968F" w14:textId="77777777" w:rsidR="00054437" w:rsidRPr="000549B1" w:rsidRDefault="00000000">
            <w:pPr>
              <w:widowControl/>
              <w:jc w:val="center"/>
              <w:textAlignment w:val="center"/>
              <w:rPr>
                <w:rFonts w:eastAsia="等线"/>
                <w:sz w:val="22"/>
              </w:rPr>
            </w:pPr>
            <w:r w:rsidRPr="000549B1">
              <w:rPr>
                <w:rFonts w:eastAsia="等线"/>
                <w:kern w:val="0"/>
                <w:sz w:val="22"/>
                <w:lang w:bidi="ar"/>
              </w:rPr>
              <w:t>+</w:t>
            </w:r>
          </w:p>
        </w:tc>
        <w:tc>
          <w:tcPr>
            <w:tcW w:w="36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1DFA0C7" w14:textId="77777777" w:rsidR="00054437" w:rsidRPr="000549B1" w:rsidRDefault="00000000">
            <w:pPr>
              <w:widowControl/>
              <w:jc w:val="center"/>
              <w:textAlignment w:val="center"/>
              <w:rPr>
                <w:rFonts w:eastAsia="等线"/>
                <w:sz w:val="22"/>
              </w:rPr>
            </w:pPr>
            <w:r w:rsidRPr="000549B1">
              <w:rPr>
                <w:rFonts w:eastAsia="等线"/>
                <w:kern w:val="0"/>
                <w:sz w:val="22"/>
                <w:lang w:bidi="ar"/>
              </w:rPr>
              <w:t>+</w:t>
            </w:r>
          </w:p>
        </w:tc>
      </w:tr>
      <w:tr w:rsidR="000549B1" w:rsidRPr="000549B1" w14:paraId="740AC67E" w14:textId="77777777">
        <w:trPr>
          <w:trHeight w:val="300"/>
        </w:trPr>
        <w:tc>
          <w:tcPr>
            <w:tcW w:w="679" w:type="pct"/>
            <w:vMerge/>
            <w:tcBorders>
              <w:top w:val="single" w:sz="4" w:space="0" w:color="000000"/>
              <w:left w:val="single" w:sz="4" w:space="0" w:color="000000"/>
              <w:bottom w:val="single" w:sz="4" w:space="0" w:color="000000"/>
              <w:right w:val="single" w:sz="4" w:space="0" w:color="000000"/>
            </w:tcBorders>
            <w:noWrap/>
            <w:vAlign w:val="center"/>
          </w:tcPr>
          <w:p w14:paraId="3B62A47E" w14:textId="77777777" w:rsidR="00054437" w:rsidRPr="000549B1" w:rsidRDefault="00054437">
            <w:pPr>
              <w:jc w:val="center"/>
              <w:rPr>
                <w:rFonts w:eastAsia="等线"/>
                <w:sz w:val="22"/>
              </w:rPr>
            </w:pPr>
          </w:p>
        </w:tc>
        <w:tc>
          <w:tcPr>
            <w:tcW w:w="650"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24D3B62" w14:textId="77777777" w:rsidR="00054437" w:rsidRPr="000549B1" w:rsidRDefault="00000000">
            <w:pPr>
              <w:widowControl/>
              <w:jc w:val="center"/>
              <w:textAlignment w:val="center"/>
              <w:rPr>
                <w:sz w:val="22"/>
              </w:rPr>
            </w:pPr>
            <w:r w:rsidRPr="000549B1">
              <w:rPr>
                <w:rStyle w:val="font11"/>
                <w:rFonts w:ascii="Times New Roman" w:hAnsi="Times New Roman" w:cs="Times New Roman" w:hint="default"/>
                <w:color w:val="auto"/>
                <w:lang w:bidi="ar"/>
              </w:rPr>
              <w:t>软甲纲</w:t>
            </w:r>
            <w:r w:rsidRPr="000549B1">
              <w:rPr>
                <w:kern w:val="0"/>
                <w:sz w:val="22"/>
                <w:lang w:bidi="ar"/>
              </w:rPr>
              <w:t>MALACOSTRACA</w:t>
            </w:r>
          </w:p>
        </w:tc>
        <w:tc>
          <w:tcPr>
            <w:tcW w:w="58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7EBEE9F" w14:textId="77777777" w:rsidR="00054437" w:rsidRPr="000549B1" w:rsidRDefault="00000000">
            <w:pPr>
              <w:widowControl/>
              <w:jc w:val="center"/>
              <w:textAlignment w:val="center"/>
              <w:rPr>
                <w:rFonts w:eastAsia="等线"/>
                <w:sz w:val="22"/>
              </w:rPr>
            </w:pPr>
            <w:r w:rsidRPr="000549B1">
              <w:rPr>
                <w:rStyle w:val="font11"/>
                <w:rFonts w:ascii="Times New Roman" w:hAnsi="Times New Roman" w:cs="Times New Roman" w:hint="default"/>
                <w:color w:val="auto"/>
                <w:lang w:bidi="ar"/>
              </w:rPr>
              <w:t>端足目</w:t>
            </w:r>
            <w:r w:rsidRPr="000549B1">
              <w:rPr>
                <w:rFonts w:eastAsia="等线"/>
                <w:kern w:val="0"/>
                <w:sz w:val="22"/>
                <w:lang w:bidi="ar"/>
              </w:rPr>
              <w:t>Amphipoda</w:t>
            </w:r>
          </w:p>
        </w:tc>
        <w:tc>
          <w:tcPr>
            <w:tcW w:w="52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12E49AA" w14:textId="77777777" w:rsidR="00054437" w:rsidRPr="000549B1" w:rsidRDefault="00000000">
            <w:pPr>
              <w:widowControl/>
              <w:jc w:val="center"/>
              <w:textAlignment w:val="center"/>
              <w:rPr>
                <w:rFonts w:eastAsia="等线"/>
                <w:sz w:val="22"/>
              </w:rPr>
            </w:pPr>
            <w:r w:rsidRPr="000549B1">
              <w:rPr>
                <w:rStyle w:val="font11"/>
                <w:rFonts w:ascii="Times New Roman" w:hAnsi="Times New Roman" w:cs="Times New Roman" w:hint="default"/>
                <w:color w:val="auto"/>
                <w:lang w:bidi="ar"/>
              </w:rPr>
              <w:t>钩虾科</w:t>
            </w:r>
            <w:r w:rsidRPr="000549B1">
              <w:rPr>
                <w:rFonts w:eastAsia="等线"/>
                <w:kern w:val="0"/>
                <w:sz w:val="22"/>
                <w:lang w:bidi="ar"/>
              </w:rPr>
              <w:t>Gammaridae</w:t>
            </w:r>
          </w:p>
        </w:tc>
        <w:tc>
          <w:tcPr>
            <w:tcW w:w="62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7CCDAFE" w14:textId="77777777" w:rsidR="00054437" w:rsidRPr="000549B1" w:rsidRDefault="00000000">
            <w:pPr>
              <w:widowControl/>
              <w:jc w:val="center"/>
              <w:textAlignment w:val="center"/>
              <w:rPr>
                <w:rFonts w:eastAsia="等线"/>
                <w:sz w:val="22"/>
              </w:rPr>
            </w:pPr>
            <w:r w:rsidRPr="000549B1">
              <w:rPr>
                <w:rStyle w:val="font11"/>
                <w:rFonts w:ascii="Times New Roman" w:hAnsi="Times New Roman" w:cs="Times New Roman" w:hint="default"/>
                <w:color w:val="auto"/>
                <w:lang w:bidi="ar"/>
              </w:rPr>
              <w:t>钩虾</w:t>
            </w:r>
            <w:r w:rsidRPr="000549B1">
              <w:rPr>
                <w:rFonts w:eastAsia="等线"/>
                <w:i/>
                <w:iCs/>
                <w:kern w:val="0"/>
                <w:sz w:val="22"/>
                <w:lang w:bidi="ar"/>
              </w:rPr>
              <w:t>Gammarus</w:t>
            </w:r>
          </w:p>
        </w:tc>
        <w:tc>
          <w:tcPr>
            <w:tcW w:w="387"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8FA331D" w14:textId="77777777" w:rsidR="00054437" w:rsidRPr="000549B1" w:rsidRDefault="00000000">
            <w:pPr>
              <w:widowControl/>
              <w:jc w:val="center"/>
              <w:textAlignment w:val="center"/>
              <w:rPr>
                <w:rFonts w:eastAsia="等线"/>
                <w:sz w:val="22"/>
              </w:rPr>
            </w:pPr>
            <w:r w:rsidRPr="000549B1">
              <w:rPr>
                <w:rFonts w:eastAsia="等线"/>
                <w:kern w:val="0"/>
                <w:sz w:val="22"/>
                <w:lang w:bidi="ar"/>
              </w:rPr>
              <w:t>+++</w:t>
            </w:r>
          </w:p>
        </w:tc>
        <w:tc>
          <w:tcPr>
            <w:tcW w:w="276" w:type="pct"/>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6187CE81" w14:textId="77777777" w:rsidR="00054437" w:rsidRPr="000549B1" w:rsidRDefault="00054437">
            <w:pPr>
              <w:jc w:val="center"/>
              <w:rPr>
                <w:rFonts w:eastAsia="等线"/>
                <w:sz w:val="22"/>
              </w:rPr>
            </w:pPr>
          </w:p>
        </w:tc>
        <w:tc>
          <w:tcPr>
            <w:tcW w:w="332" w:type="pct"/>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320A0514" w14:textId="77777777" w:rsidR="00054437" w:rsidRPr="000549B1" w:rsidRDefault="00054437">
            <w:pPr>
              <w:jc w:val="center"/>
              <w:rPr>
                <w:rFonts w:eastAsia="等线"/>
                <w:sz w:val="22"/>
              </w:rPr>
            </w:pPr>
          </w:p>
        </w:tc>
        <w:tc>
          <w:tcPr>
            <w:tcW w:w="25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5719E6A" w14:textId="77777777" w:rsidR="00054437" w:rsidRPr="000549B1" w:rsidRDefault="00000000">
            <w:pPr>
              <w:widowControl/>
              <w:jc w:val="center"/>
              <w:textAlignment w:val="center"/>
              <w:rPr>
                <w:rFonts w:eastAsia="等线"/>
                <w:sz w:val="22"/>
              </w:rPr>
            </w:pPr>
            <w:r w:rsidRPr="000549B1">
              <w:rPr>
                <w:rFonts w:eastAsia="等线"/>
                <w:kern w:val="0"/>
                <w:sz w:val="22"/>
                <w:lang w:bidi="ar"/>
              </w:rPr>
              <w:t>+++</w:t>
            </w:r>
          </w:p>
        </w:tc>
        <w:tc>
          <w:tcPr>
            <w:tcW w:w="310"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2D733A8" w14:textId="77777777" w:rsidR="00054437" w:rsidRPr="000549B1" w:rsidRDefault="00000000">
            <w:pPr>
              <w:widowControl/>
              <w:jc w:val="center"/>
              <w:textAlignment w:val="center"/>
              <w:rPr>
                <w:rFonts w:eastAsia="等线"/>
                <w:sz w:val="22"/>
              </w:rPr>
            </w:pPr>
            <w:r w:rsidRPr="000549B1">
              <w:rPr>
                <w:rFonts w:eastAsia="等线"/>
                <w:kern w:val="0"/>
                <w:sz w:val="22"/>
                <w:lang w:bidi="ar"/>
              </w:rPr>
              <w:t>+++</w:t>
            </w:r>
          </w:p>
        </w:tc>
        <w:tc>
          <w:tcPr>
            <w:tcW w:w="36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4E58422" w14:textId="77777777" w:rsidR="00054437" w:rsidRPr="000549B1" w:rsidRDefault="00000000">
            <w:pPr>
              <w:widowControl/>
              <w:jc w:val="center"/>
              <w:textAlignment w:val="center"/>
              <w:rPr>
                <w:rFonts w:eastAsia="等线"/>
                <w:sz w:val="22"/>
              </w:rPr>
            </w:pPr>
            <w:r w:rsidRPr="000549B1">
              <w:rPr>
                <w:rFonts w:eastAsia="等线"/>
                <w:kern w:val="0"/>
                <w:sz w:val="22"/>
                <w:lang w:bidi="ar"/>
              </w:rPr>
              <w:t>+</w:t>
            </w:r>
          </w:p>
        </w:tc>
      </w:tr>
      <w:tr w:rsidR="000549B1" w:rsidRPr="000549B1" w14:paraId="744983B8" w14:textId="77777777">
        <w:trPr>
          <w:trHeight w:val="300"/>
        </w:trPr>
        <w:tc>
          <w:tcPr>
            <w:tcW w:w="679" w:type="pct"/>
            <w:vMerge w:val="restart"/>
            <w:tcBorders>
              <w:top w:val="single" w:sz="4" w:space="0" w:color="000000"/>
              <w:left w:val="single" w:sz="4" w:space="0" w:color="000000"/>
              <w:bottom w:val="single" w:sz="4" w:space="0" w:color="000000"/>
              <w:right w:val="single" w:sz="4" w:space="0" w:color="000000"/>
            </w:tcBorders>
            <w:noWrap/>
            <w:vAlign w:val="center"/>
          </w:tcPr>
          <w:p w14:paraId="5C6DCE2D" w14:textId="77777777" w:rsidR="00054437" w:rsidRPr="000549B1" w:rsidRDefault="00000000">
            <w:pPr>
              <w:widowControl/>
              <w:jc w:val="center"/>
              <w:textAlignment w:val="center"/>
              <w:rPr>
                <w:rFonts w:eastAsia="等线"/>
                <w:sz w:val="22"/>
              </w:rPr>
            </w:pPr>
            <w:r w:rsidRPr="000549B1">
              <w:rPr>
                <w:rStyle w:val="font11"/>
                <w:rFonts w:ascii="Times New Roman" w:hAnsi="Times New Roman" w:cs="Times New Roman" w:hint="default"/>
                <w:color w:val="auto"/>
                <w:lang w:bidi="ar"/>
              </w:rPr>
              <w:t>软体动物门</w:t>
            </w:r>
            <w:r w:rsidRPr="000549B1">
              <w:rPr>
                <w:rFonts w:eastAsia="等线"/>
                <w:kern w:val="0"/>
                <w:sz w:val="22"/>
                <w:lang w:bidi="ar"/>
              </w:rPr>
              <w:t>MOLLUSCA</w:t>
            </w:r>
          </w:p>
        </w:tc>
        <w:tc>
          <w:tcPr>
            <w:tcW w:w="650" w:type="pct"/>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B8B7EAB" w14:textId="77777777" w:rsidR="00054437" w:rsidRPr="000549B1" w:rsidRDefault="00000000">
            <w:pPr>
              <w:widowControl/>
              <w:jc w:val="center"/>
              <w:textAlignment w:val="center"/>
              <w:rPr>
                <w:rFonts w:eastAsia="等线"/>
                <w:sz w:val="22"/>
              </w:rPr>
            </w:pPr>
            <w:r w:rsidRPr="000549B1">
              <w:rPr>
                <w:rStyle w:val="font11"/>
                <w:rFonts w:ascii="Times New Roman" w:hAnsi="Times New Roman" w:cs="Times New Roman" w:hint="default"/>
                <w:color w:val="auto"/>
                <w:lang w:bidi="ar"/>
              </w:rPr>
              <w:t>腹足纲</w:t>
            </w:r>
            <w:r w:rsidRPr="000549B1">
              <w:rPr>
                <w:rFonts w:eastAsia="等线"/>
                <w:kern w:val="0"/>
                <w:sz w:val="22"/>
                <w:lang w:bidi="ar"/>
              </w:rPr>
              <w:t>GASTROPODA</w:t>
            </w:r>
          </w:p>
        </w:tc>
        <w:tc>
          <w:tcPr>
            <w:tcW w:w="586" w:type="pct"/>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1875CA9" w14:textId="77777777" w:rsidR="00054437" w:rsidRPr="000549B1" w:rsidRDefault="00000000">
            <w:pPr>
              <w:widowControl/>
              <w:jc w:val="center"/>
              <w:textAlignment w:val="center"/>
              <w:rPr>
                <w:rFonts w:eastAsia="等线"/>
                <w:sz w:val="22"/>
              </w:rPr>
            </w:pPr>
            <w:r w:rsidRPr="000549B1">
              <w:rPr>
                <w:rStyle w:val="font11"/>
                <w:rFonts w:ascii="Times New Roman" w:hAnsi="Times New Roman" w:cs="Times New Roman" w:hint="default"/>
                <w:color w:val="auto"/>
                <w:lang w:bidi="ar"/>
              </w:rPr>
              <w:t>基眼目</w:t>
            </w:r>
            <w:r w:rsidRPr="000549B1">
              <w:rPr>
                <w:rFonts w:eastAsia="等线"/>
                <w:kern w:val="0"/>
                <w:sz w:val="22"/>
                <w:lang w:bidi="ar"/>
              </w:rPr>
              <w:t>Basommatophora</w:t>
            </w:r>
          </w:p>
        </w:tc>
        <w:tc>
          <w:tcPr>
            <w:tcW w:w="52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0FA80A9" w14:textId="77777777" w:rsidR="00054437" w:rsidRPr="000549B1" w:rsidRDefault="00000000">
            <w:pPr>
              <w:widowControl/>
              <w:jc w:val="center"/>
              <w:textAlignment w:val="center"/>
              <w:rPr>
                <w:rFonts w:eastAsia="等线"/>
                <w:sz w:val="22"/>
              </w:rPr>
            </w:pPr>
            <w:r w:rsidRPr="000549B1">
              <w:rPr>
                <w:rStyle w:val="font11"/>
                <w:rFonts w:ascii="Times New Roman" w:hAnsi="Times New Roman" w:cs="Times New Roman" w:hint="default"/>
                <w:color w:val="auto"/>
                <w:lang w:bidi="ar"/>
              </w:rPr>
              <w:t>椎实螺科</w:t>
            </w:r>
            <w:r w:rsidRPr="000549B1">
              <w:rPr>
                <w:rFonts w:eastAsia="等线"/>
                <w:kern w:val="0"/>
                <w:sz w:val="22"/>
                <w:lang w:bidi="ar"/>
              </w:rPr>
              <w:t>Lymnaeidae</w:t>
            </w:r>
          </w:p>
        </w:tc>
        <w:tc>
          <w:tcPr>
            <w:tcW w:w="62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5268EE4" w14:textId="77777777" w:rsidR="00054437" w:rsidRPr="000549B1" w:rsidRDefault="00000000">
            <w:pPr>
              <w:widowControl/>
              <w:jc w:val="center"/>
              <w:textAlignment w:val="center"/>
              <w:rPr>
                <w:rFonts w:eastAsia="等线"/>
                <w:sz w:val="22"/>
              </w:rPr>
            </w:pPr>
            <w:r w:rsidRPr="000549B1">
              <w:rPr>
                <w:rStyle w:val="font11"/>
                <w:rFonts w:ascii="Times New Roman" w:hAnsi="Times New Roman" w:cs="Times New Roman" w:hint="default"/>
                <w:color w:val="auto"/>
                <w:lang w:bidi="ar"/>
              </w:rPr>
              <w:t>萝卜螺属</w:t>
            </w:r>
            <w:r w:rsidRPr="000549B1">
              <w:rPr>
                <w:rFonts w:eastAsia="等线"/>
                <w:i/>
                <w:iCs/>
                <w:kern w:val="0"/>
                <w:sz w:val="22"/>
                <w:lang w:bidi="ar"/>
              </w:rPr>
              <w:t>Radix</w:t>
            </w:r>
            <w:r w:rsidRPr="000549B1">
              <w:rPr>
                <w:rFonts w:eastAsia="等线"/>
                <w:kern w:val="0"/>
                <w:sz w:val="22"/>
                <w:lang w:bidi="ar"/>
              </w:rPr>
              <w:t>sp.</w:t>
            </w:r>
          </w:p>
        </w:tc>
        <w:tc>
          <w:tcPr>
            <w:tcW w:w="387" w:type="pct"/>
            <w:tcBorders>
              <w:top w:val="single" w:sz="4" w:space="0" w:color="000000"/>
              <w:left w:val="single" w:sz="4" w:space="0" w:color="000000"/>
              <w:bottom w:val="single" w:sz="4" w:space="0" w:color="000000"/>
              <w:right w:val="single" w:sz="4" w:space="0" w:color="000000"/>
            </w:tcBorders>
            <w:noWrap/>
            <w:vAlign w:val="bottom"/>
          </w:tcPr>
          <w:p w14:paraId="03447CDA" w14:textId="77777777" w:rsidR="00054437" w:rsidRPr="000549B1" w:rsidRDefault="00054437">
            <w:pPr>
              <w:rPr>
                <w:rFonts w:eastAsia="等线"/>
                <w:sz w:val="22"/>
              </w:rPr>
            </w:pPr>
          </w:p>
        </w:tc>
        <w:tc>
          <w:tcPr>
            <w:tcW w:w="276" w:type="pct"/>
            <w:tcBorders>
              <w:top w:val="single" w:sz="4" w:space="0" w:color="000000"/>
              <w:left w:val="single" w:sz="4" w:space="0" w:color="000000"/>
              <w:bottom w:val="single" w:sz="4" w:space="0" w:color="000000"/>
              <w:right w:val="single" w:sz="4" w:space="0" w:color="000000"/>
            </w:tcBorders>
            <w:noWrap/>
            <w:vAlign w:val="bottom"/>
          </w:tcPr>
          <w:p w14:paraId="75765743" w14:textId="77777777" w:rsidR="00054437" w:rsidRPr="000549B1" w:rsidRDefault="00054437">
            <w:pPr>
              <w:rPr>
                <w:rFonts w:eastAsia="等线"/>
                <w:sz w:val="22"/>
              </w:rPr>
            </w:pPr>
          </w:p>
        </w:tc>
        <w:tc>
          <w:tcPr>
            <w:tcW w:w="332" w:type="pct"/>
            <w:tcBorders>
              <w:top w:val="single" w:sz="4" w:space="0" w:color="000000"/>
              <w:left w:val="single" w:sz="4" w:space="0" w:color="000000"/>
              <w:bottom w:val="single" w:sz="4" w:space="0" w:color="000000"/>
              <w:right w:val="single" w:sz="4" w:space="0" w:color="000000"/>
            </w:tcBorders>
            <w:noWrap/>
            <w:vAlign w:val="bottom"/>
          </w:tcPr>
          <w:p w14:paraId="57FE9BA7" w14:textId="77777777" w:rsidR="00054437" w:rsidRPr="000549B1" w:rsidRDefault="00054437">
            <w:pPr>
              <w:rPr>
                <w:rFonts w:eastAsia="等线"/>
                <w:sz w:val="22"/>
              </w:rPr>
            </w:pPr>
          </w:p>
        </w:tc>
        <w:tc>
          <w:tcPr>
            <w:tcW w:w="25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DA63F3E" w14:textId="77777777" w:rsidR="00054437" w:rsidRPr="000549B1" w:rsidRDefault="00000000">
            <w:pPr>
              <w:widowControl/>
              <w:jc w:val="center"/>
              <w:textAlignment w:val="center"/>
              <w:rPr>
                <w:rFonts w:eastAsia="等线"/>
                <w:sz w:val="22"/>
              </w:rPr>
            </w:pPr>
            <w:r w:rsidRPr="000549B1">
              <w:rPr>
                <w:rFonts w:eastAsia="等线"/>
                <w:kern w:val="0"/>
                <w:sz w:val="22"/>
                <w:lang w:bidi="ar"/>
              </w:rPr>
              <w:t>+</w:t>
            </w:r>
          </w:p>
        </w:tc>
        <w:tc>
          <w:tcPr>
            <w:tcW w:w="310"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DD504BD" w14:textId="77777777" w:rsidR="00054437" w:rsidRPr="000549B1" w:rsidRDefault="00054437">
            <w:pPr>
              <w:jc w:val="center"/>
              <w:rPr>
                <w:rFonts w:eastAsia="等线"/>
                <w:sz w:val="22"/>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023B0FD" w14:textId="77777777" w:rsidR="00054437" w:rsidRPr="000549B1" w:rsidRDefault="00054437">
            <w:pPr>
              <w:jc w:val="center"/>
              <w:rPr>
                <w:rFonts w:eastAsia="等线"/>
                <w:sz w:val="22"/>
              </w:rPr>
            </w:pPr>
          </w:p>
        </w:tc>
      </w:tr>
      <w:tr w:rsidR="000549B1" w:rsidRPr="000549B1" w14:paraId="03DAD293" w14:textId="77777777">
        <w:trPr>
          <w:trHeight w:val="300"/>
        </w:trPr>
        <w:tc>
          <w:tcPr>
            <w:tcW w:w="679" w:type="pct"/>
            <w:vMerge/>
            <w:tcBorders>
              <w:top w:val="single" w:sz="4" w:space="0" w:color="000000"/>
              <w:left w:val="single" w:sz="4" w:space="0" w:color="000000"/>
              <w:bottom w:val="single" w:sz="4" w:space="0" w:color="000000"/>
              <w:right w:val="single" w:sz="4" w:space="0" w:color="000000"/>
            </w:tcBorders>
            <w:noWrap/>
            <w:vAlign w:val="center"/>
          </w:tcPr>
          <w:p w14:paraId="434F1152" w14:textId="77777777" w:rsidR="00054437" w:rsidRPr="000549B1" w:rsidRDefault="00054437">
            <w:pPr>
              <w:jc w:val="center"/>
              <w:rPr>
                <w:rFonts w:eastAsia="等线"/>
                <w:sz w:val="22"/>
              </w:rPr>
            </w:pPr>
          </w:p>
        </w:tc>
        <w:tc>
          <w:tcPr>
            <w:tcW w:w="650" w:type="pct"/>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B58592B" w14:textId="77777777" w:rsidR="00054437" w:rsidRPr="000549B1" w:rsidRDefault="00054437">
            <w:pPr>
              <w:jc w:val="center"/>
              <w:rPr>
                <w:rFonts w:eastAsia="等线"/>
                <w:sz w:val="22"/>
              </w:rPr>
            </w:pPr>
          </w:p>
        </w:tc>
        <w:tc>
          <w:tcPr>
            <w:tcW w:w="586" w:type="pct"/>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761B36B" w14:textId="77777777" w:rsidR="00054437" w:rsidRPr="000549B1" w:rsidRDefault="00054437">
            <w:pPr>
              <w:jc w:val="center"/>
              <w:rPr>
                <w:rFonts w:eastAsia="等线"/>
                <w:sz w:val="22"/>
              </w:rPr>
            </w:pPr>
          </w:p>
        </w:tc>
        <w:tc>
          <w:tcPr>
            <w:tcW w:w="52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A2CDFD2" w14:textId="77777777" w:rsidR="00054437" w:rsidRPr="000549B1" w:rsidRDefault="00000000">
            <w:pPr>
              <w:widowControl/>
              <w:jc w:val="center"/>
              <w:textAlignment w:val="center"/>
              <w:rPr>
                <w:rFonts w:eastAsia="等线"/>
                <w:sz w:val="22"/>
              </w:rPr>
            </w:pPr>
            <w:r w:rsidRPr="000549B1">
              <w:rPr>
                <w:rStyle w:val="font11"/>
                <w:rFonts w:ascii="Times New Roman" w:hAnsi="Times New Roman" w:cs="Times New Roman" w:hint="default"/>
                <w:color w:val="auto"/>
                <w:lang w:bidi="ar"/>
              </w:rPr>
              <w:t>扁卷螺科</w:t>
            </w:r>
            <w:r w:rsidRPr="000549B1">
              <w:rPr>
                <w:rFonts w:eastAsia="等线"/>
                <w:kern w:val="0"/>
                <w:sz w:val="22"/>
                <w:lang w:bidi="ar"/>
              </w:rPr>
              <w:t>Planorbidae</w:t>
            </w:r>
          </w:p>
        </w:tc>
        <w:tc>
          <w:tcPr>
            <w:tcW w:w="626"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6934DDC" w14:textId="77777777" w:rsidR="00054437" w:rsidRPr="000549B1" w:rsidRDefault="00054437">
            <w:pPr>
              <w:jc w:val="center"/>
              <w:rPr>
                <w:rFonts w:eastAsia="等线"/>
                <w:sz w:val="22"/>
              </w:rPr>
            </w:pPr>
          </w:p>
        </w:tc>
        <w:tc>
          <w:tcPr>
            <w:tcW w:w="387" w:type="pct"/>
            <w:tcBorders>
              <w:top w:val="single" w:sz="4" w:space="0" w:color="000000"/>
              <w:left w:val="single" w:sz="4" w:space="0" w:color="000000"/>
              <w:bottom w:val="single" w:sz="4" w:space="0" w:color="000000"/>
              <w:right w:val="single" w:sz="4" w:space="0" w:color="000000"/>
            </w:tcBorders>
            <w:noWrap/>
            <w:vAlign w:val="bottom"/>
          </w:tcPr>
          <w:p w14:paraId="1C1ED135" w14:textId="77777777" w:rsidR="00054437" w:rsidRPr="000549B1" w:rsidRDefault="00054437">
            <w:pPr>
              <w:rPr>
                <w:rFonts w:eastAsia="等线"/>
                <w:sz w:val="22"/>
              </w:rPr>
            </w:pPr>
          </w:p>
        </w:tc>
        <w:tc>
          <w:tcPr>
            <w:tcW w:w="276" w:type="pct"/>
            <w:tcBorders>
              <w:top w:val="single" w:sz="4" w:space="0" w:color="000000"/>
              <w:left w:val="single" w:sz="4" w:space="0" w:color="000000"/>
              <w:bottom w:val="single" w:sz="4" w:space="0" w:color="000000"/>
              <w:right w:val="single" w:sz="4" w:space="0" w:color="000000"/>
            </w:tcBorders>
            <w:noWrap/>
            <w:vAlign w:val="bottom"/>
          </w:tcPr>
          <w:p w14:paraId="654CA163" w14:textId="77777777" w:rsidR="00054437" w:rsidRPr="000549B1" w:rsidRDefault="00054437">
            <w:pPr>
              <w:rPr>
                <w:rFonts w:eastAsia="等线"/>
                <w:sz w:val="22"/>
              </w:rPr>
            </w:pPr>
          </w:p>
        </w:tc>
        <w:tc>
          <w:tcPr>
            <w:tcW w:w="332" w:type="pct"/>
            <w:tcBorders>
              <w:top w:val="single" w:sz="4" w:space="0" w:color="000000"/>
              <w:left w:val="single" w:sz="4" w:space="0" w:color="000000"/>
              <w:bottom w:val="single" w:sz="4" w:space="0" w:color="000000"/>
              <w:right w:val="single" w:sz="4" w:space="0" w:color="000000"/>
            </w:tcBorders>
            <w:noWrap/>
            <w:vAlign w:val="bottom"/>
          </w:tcPr>
          <w:p w14:paraId="47D84994" w14:textId="77777777" w:rsidR="00054437" w:rsidRPr="000549B1" w:rsidRDefault="00054437">
            <w:pPr>
              <w:rPr>
                <w:rFonts w:eastAsia="等线"/>
                <w:sz w:val="22"/>
              </w:rPr>
            </w:pPr>
          </w:p>
        </w:tc>
        <w:tc>
          <w:tcPr>
            <w:tcW w:w="258"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F8B7AD9" w14:textId="77777777" w:rsidR="00054437" w:rsidRPr="000549B1" w:rsidRDefault="00054437">
            <w:pPr>
              <w:jc w:val="center"/>
              <w:rPr>
                <w:rFonts w:eastAsia="等线"/>
                <w:sz w:val="22"/>
              </w:rPr>
            </w:pPr>
          </w:p>
        </w:tc>
        <w:tc>
          <w:tcPr>
            <w:tcW w:w="310"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4F4A6A2" w14:textId="77777777" w:rsidR="00054437" w:rsidRPr="000549B1" w:rsidRDefault="00000000">
            <w:pPr>
              <w:widowControl/>
              <w:jc w:val="center"/>
              <w:textAlignment w:val="center"/>
              <w:rPr>
                <w:rFonts w:eastAsia="等线"/>
                <w:sz w:val="22"/>
              </w:rPr>
            </w:pPr>
            <w:r w:rsidRPr="000549B1">
              <w:rPr>
                <w:rFonts w:eastAsia="等线"/>
                <w:kern w:val="0"/>
                <w:sz w:val="22"/>
                <w:lang w:bidi="ar"/>
              </w:rPr>
              <w:t>+</w:t>
            </w:r>
          </w:p>
        </w:tc>
        <w:tc>
          <w:tcPr>
            <w:tcW w:w="36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8A9597D" w14:textId="77777777" w:rsidR="00054437" w:rsidRPr="000549B1" w:rsidRDefault="00054437">
            <w:pPr>
              <w:jc w:val="center"/>
              <w:rPr>
                <w:rFonts w:eastAsia="等线"/>
                <w:sz w:val="22"/>
              </w:rPr>
            </w:pPr>
          </w:p>
        </w:tc>
      </w:tr>
    </w:tbl>
    <w:p w14:paraId="7CCD13C9" w14:textId="77777777" w:rsidR="00054437" w:rsidRPr="000549B1" w:rsidRDefault="00000000">
      <w:pPr>
        <w:spacing w:line="360" w:lineRule="auto"/>
        <w:rPr>
          <w:b/>
          <w:bCs/>
          <w:szCs w:val="21"/>
        </w:rPr>
      </w:pPr>
      <w:r w:rsidRPr="000549B1">
        <w:rPr>
          <w:b/>
          <w:bCs/>
          <w:szCs w:val="21"/>
        </w:rPr>
        <w:t>注：用符号表示分布状况：</w:t>
      </w:r>
      <w:r w:rsidRPr="000549B1">
        <w:rPr>
          <w:rFonts w:ascii="宋体" w:hAnsi="宋体"/>
          <w:b/>
          <w:bCs/>
          <w:szCs w:val="21"/>
        </w:rPr>
        <w:t>“</w:t>
      </w:r>
      <w:r w:rsidRPr="000549B1">
        <w:rPr>
          <w:b/>
          <w:bCs/>
          <w:szCs w:val="21"/>
        </w:rPr>
        <w:t>+</w:t>
      </w:r>
      <w:r w:rsidRPr="000549B1">
        <w:rPr>
          <w:rFonts w:ascii="宋体" w:hAnsi="宋体"/>
          <w:b/>
          <w:bCs/>
          <w:szCs w:val="21"/>
        </w:rPr>
        <w:t>”</w:t>
      </w:r>
      <w:r w:rsidRPr="000549B1">
        <w:rPr>
          <w:b/>
          <w:bCs/>
          <w:szCs w:val="21"/>
        </w:rPr>
        <w:t>表示一般，</w:t>
      </w:r>
      <w:r w:rsidRPr="000549B1">
        <w:rPr>
          <w:rFonts w:ascii="宋体" w:hAnsi="宋体"/>
          <w:b/>
          <w:bCs/>
          <w:szCs w:val="21"/>
        </w:rPr>
        <w:t>“</w:t>
      </w:r>
      <w:r w:rsidRPr="000549B1">
        <w:rPr>
          <w:b/>
          <w:bCs/>
          <w:szCs w:val="21"/>
        </w:rPr>
        <w:t>++</w:t>
      </w:r>
      <w:r w:rsidRPr="000549B1">
        <w:rPr>
          <w:rFonts w:ascii="宋体" w:hAnsi="宋体"/>
          <w:b/>
          <w:bCs/>
          <w:szCs w:val="21"/>
        </w:rPr>
        <w:t>”</w:t>
      </w:r>
      <w:r w:rsidRPr="000549B1">
        <w:rPr>
          <w:b/>
          <w:bCs/>
          <w:szCs w:val="21"/>
        </w:rPr>
        <w:t>表示较多，</w:t>
      </w:r>
      <w:r w:rsidRPr="000549B1">
        <w:rPr>
          <w:rFonts w:ascii="宋体" w:hAnsi="宋体"/>
          <w:b/>
          <w:bCs/>
          <w:szCs w:val="21"/>
        </w:rPr>
        <w:t>“</w:t>
      </w:r>
      <w:r w:rsidRPr="000549B1">
        <w:rPr>
          <w:b/>
          <w:bCs/>
          <w:szCs w:val="21"/>
        </w:rPr>
        <w:t>+++</w:t>
      </w:r>
      <w:r w:rsidRPr="000549B1">
        <w:rPr>
          <w:rFonts w:ascii="宋体" w:hAnsi="宋体"/>
          <w:b/>
          <w:bCs/>
          <w:szCs w:val="21"/>
        </w:rPr>
        <w:t>”</w:t>
      </w:r>
      <w:r w:rsidRPr="000549B1">
        <w:rPr>
          <w:b/>
          <w:bCs/>
          <w:szCs w:val="21"/>
        </w:rPr>
        <w:t>表示很多，用于定性比较。</w:t>
      </w:r>
    </w:p>
    <w:p w14:paraId="627D03AC" w14:textId="77777777" w:rsidR="00054437" w:rsidRPr="000549B1" w:rsidRDefault="00054437">
      <w:pPr>
        <w:keepNext/>
        <w:rPr>
          <w:b/>
          <w:bCs/>
          <w:szCs w:val="21"/>
        </w:rPr>
        <w:sectPr w:rsidR="00054437" w:rsidRPr="000549B1">
          <w:type w:val="continuous"/>
          <w:pgSz w:w="11906" w:h="16838"/>
          <w:pgMar w:top="1440" w:right="1797" w:bottom="1440" w:left="1797" w:header="851" w:footer="992" w:gutter="0"/>
          <w:cols w:space="0"/>
          <w:docGrid w:linePitch="326"/>
        </w:sectPr>
      </w:pPr>
    </w:p>
    <w:p w14:paraId="7102CED9" w14:textId="4956218E" w:rsidR="00054437" w:rsidRPr="000549B1" w:rsidRDefault="00000000">
      <w:pPr>
        <w:pStyle w:val="0A51"/>
        <w:ind w:firstLine="422"/>
      </w:pPr>
      <w:r w:rsidRPr="000549B1">
        <w:t>表</w:t>
      </w:r>
      <w:fldSimple w:instr=" STYLEREF 2 \s ">
        <w:r w:rsidR="00372953">
          <w:rPr>
            <w:noProof/>
          </w:rPr>
          <w:t>3.6</w:t>
        </w:r>
      </w:fldSimple>
      <w:r w:rsidR="00372953">
        <w:noBreakHyphen/>
      </w:r>
      <w:r w:rsidR="00372953">
        <w:fldChar w:fldCharType="begin"/>
      </w:r>
      <w:r w:rsidR="00372953">
        <w:instrText xml:space="preserve"> SEQ </w:instrText>
      </w:r>
      <w:r w:rsidR="00372953">
        <w:instrText>表</w:instrText>
      </w:r>
      <w:r w:rsidR="00372953">
        <w:instrText xml:space="preserve"> \* ARABIC \s 2 </w:instrText>
      </w:r>
      <w:r w:rsidR="00372953">
        <w:fldChar w:fldCharType="separate"/>
      </w:r>
      <w:r w:rsidR="00372953">
        <w:rPr>
          <w:noProof/>
        </w:rPr>
        <w:t>10</w:t>
      </w:r>
      <w:r w:rsidR="00372953">
        <w:fldChar w:fldCharType="end"/>
      </w:r>
      <w:r w:rsidRPr="000549B1">
        <w:t>底栖动物密度与生物量表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409"/>
        <w:gridCol w:w="1485"/>
        <w:gridCol w:w="901"/>
        <w:gridCol w:w="981"/>
        <w:gridCol w:w="981"/>
        <w:gridCol w:w="981"/>
      </w:tblGrid>
      <w:tr w:rsidR="000549B1" w:rsidRPr="000549B1" w14:paraId="78768852" w14:textId="77777777">
        <w:trPr>
          <w:trHeight w:val="288"/>
          <w:jc w:val="center"/>
        </w:trPr>
        <w:tc>
          <w:tcPr>
            <w:tcW w:w="3050" w:type="dxa"/>
            <w:gridSpan w:val="2"/>
            <w:vMerge w:val="restart"/>
            <w:noWrap/>
            <w:vAlign w:val="center"/>
          </w:tcPr>
          <w:p w14:paraId="13C65438" w14:textId="77777777" w:rsidR="00054437" w:rsidRPr="000549B1" w:rsidRDefault="00000000">
            <w:pPr>
              <w:widowControl/>
              <w:spacing w:line="240" w:lineRule="atLeast"/>
              <w:jc w:val="center"/>
              <w:rPr>
                <w:b/>
                <w:bCs/>
                <w:kern w:val="0"/>
                <w:szCs w:val="21"/>
              </w:rPr>
            </w:pPr>
            <w:r w:rsidRPr="000549B1">
              <w:rPr>
                <w:b/>
                <w:bCs/>
                <w:kern w:val="0"/>
                <w:szCs w:val="21"/>
              </w:rPr>
              <w:t>采样断面</w:t>
            </w:r>
          </w:p>
        </w:tc>
        <w:tc>
          <w:tcPr>
            <w:tcW w:w="2451" w:type="dxa"/>
            <w:gridSpan w:val="2"/>
            <w:vMerge w:val="restart"/>
            <w:noWrap/>
            <w:vAlign w:val="center"/>
          </w:tcPr>
          <w:p w14:paraId="3A99A5B6" w14:textId="77777777" w:rsidR="00054437" w:rsidRPr="000549B1" w:rsidRDefault="00000000">
            <w:pPr>
              <w:widowControl/>
              <w:spacing w:line="240" w:lineRule="atLeast"/>
              <w:jc w:val="center"/>
              <w:rPr>
                <w:b/>
                <w:bCs/>
                <w:kern w:val="0"/>
                <w:szCs w:val="21"/>
              </w:rPr>
            </w:pPr>
            <w:r w:rsidRPr="000549B1">
              <w:rPr>
                <w:b/>
                <w:bCs/>
                <w:kern w:val="0"/>
                <w:szCs w:val="21"/>
              </w:rPr>
              <w:t>底栖动物总量</w:t>
            </w:r>
          </w:p>
        </w:tc>
        <w:tc>
          <w:tcPr>
            <w:tcW w:w="3021" w:type="dxa"/>
            <w:gridSpan w:val="3"/>
            <w:noWrap/>
            <w:vAlign w:val="center"/>
          </w:tcPr>
          <w:p w14:paraId="337707E4" w14:textId="77777777" w:rsidR="00054437" w:rsidRPr="000549B1" w:rsidRDefault="00000000">
            <w:pPr>
              <w:widowControl/>
              <w:spacing w:line="240" w:lineRule="atLeast"/>
              <w:jc w:val="center"/>
              <w:rPr>
                <w:b/>
                <w:bCs/>
                <w:kern w:val="0"/>
                <w:szCs w:val="21"/>
              </w:rPr>
            </w:pPr>
            <w:r w:rsidRPr="000549B1">
              <w:rPr>
                <w:b/>
                <w:bCs/>
                <w:kern w:val="0"/>
                <w:szCs w:val="21"/>
              </w:rPr>
              <w:t>各纲底栖动物总量</w:t>
            </w:r>
          </w:p>
        </w:tc>
      </w:tr>
      <w:tr w:rsidR="000549B1" w:rsidRPr="000549B1" w14:paraId="115980D5" w14:textId="77777777">
        <w:trPr>
          <w:trHeight w:val="288"/>
          <w:jc w:val="center"/>
        </w:trPr>
        <w:tc>
          <w:tcPr>
            <w:tcW w:w="3050" w:type="dxa"/>
            <w:gridSpan w:val="2"/>
            <w:vMerge/>
            <w:vAlign w:val="center"/>
          </w:tcPr>
          <w:p w14:paraId="7658B177" w14:textId="77777777" w:rsidR="00054437" w:rsidRPr="000549B1" w:rsidRDefault="00054437">
            <w:pPr>
              <w:widowControl/>
              <w:spacing w:line="240" w:lineRule="atLeast"/>
              <w:jc w:val="center"/>
              <w:rPr>
                <w:b/>
                <w:bCs/>
                <w:kern w:val="0"/>
                <w:szCs w:val="21"/>
              </w:rPr>
            </w:pPr>
          </w:p>
        </w:tc>
        <w:tc>
          <w:tcPr>
            <w:tcW w:w="2451" w:type="dxa"/>
            <w:gridSpan w:val="2"/>
            <w:vMerge/>
            <w:vAlign w:val="center"/>
          </w:tcPr>
          <w:p w14:paraId="439D0FDA" w14:textId="77777777" w:rsidR="00054437" w:rsidRPr="000549B1" w:rsidRDefault="00054437">
            <w:pPr>
              <w:widowControl/>
              <w:spacing w:line="240" w:lineRule="atLeast"/>
              <w:jc w:val="center"/>
              <w:rPr>
                <w:b/>
                <w:bCs/>
                <w:kern w:val="0"/>
                <w:szCs w:val="21"/>
              </w:rPr>
            </w:pPr>
          </w:p>
        </w:tc>
        <w:tc>
          <w:tcPr>
            <w:tcW w:w="1007" w:type="dxa"/>
            <w:noWrap/>
            <w:vAlign w:val="center"/>
          </w:tcPr>
          <w:p w14:paraId="7B75EE24" w14:textId="77777777" w:rsidR="00054437" w:rsidRPr="000549B1" w:rsidRDefault="00000000">
            <w:pPr>
              <w:widowControl/>
              <w:spacing w:line="240" w:lineRule="atLeast"/>
              <w:jc w:val="center"/>
              <w:rPr>
                <w:b/>
                <w:bCs/>
                <w:kern w:val="0"/>
                <w:szCs w:val="21"/>
              </w:rPr>
            </w:pPr>
            <w:r w:rsidRPr="000549B1">
              <w:rPr>
                <w:b/>
                <w:bCs/>
                <w:kern w:val="0"/>
                <w:szCs w:val="21"/>
              </w:rPr>
              <w:t>昆虫纲</w:t>
            </w:r>
          </w:p>
        </w:tc>
        <w:tc>
          <w:tcPr>
            <w:tcW w:w="1007" w:type="dxa"/>
            <w:noWrap/>
            <w:vAlign w:val="center"/>
          </w:tcPr>
          <w:p w14:paraId="763DD402" w14:textId="77777777" w:rsidR="00054437" w:rsidRPr="000549B1" w:rsidRDefault="00000000">
            <w:pPr>
              <w:widowControl/>
              <w:spacing w:line="240" w:lineRule="atLeast"/>
              <w:jc w:val="center"/>
              <w:rPr>
                <w:b/>
                <w:bCs/>
                <w:kern w:val="0"/>
                <w:szCs w:val="21"/>
              </w:rPr>
            </w:pPr>
            <w:r w:rsidRPr="000549B1">
              <w:rPr>
                <w:b/>
                <w:bCs/>
                <w:kern w:val="0"/>
                <w:szCs w:val="21"/>
              </w:rPr>
              <w:t>软甲纲</w:t>
            </w:r>
          </w:p>
        </w:tc>
        <w:tc>
          <w:tcPr>
            <w:tcW w:w="1007" w:type="dxa"/>
            <w:noWrap/>
            <w:vAlign w:val="center"/>
          </w:tcPr>
          <w:p w14:paraId="3CFB5786" w14:textId="77777777" w:rsidR="00054437" w:rsidRPr="000549B1" w:rsidRDefault="00000000">
            <w:pPr>
              <w:widowControl/>
              <w:spacing w:line="240" w:lineRule="atLeast"/>
              <w:jc w:val="center"/>
              <w:rPr>
                <w:b/>
                <w:bCs/>
                <w:kern w:val="0"/>
                <w:szCs w:val="21"/>
              </w:rPr>
            </w:pPr>
            <w:r w:rsidRPr="000549B1">
              <w:rPr>
                <w:b/>
                <w:bCs/>
                <w:kern w:val="0"/>
                <w:szCs w:val="21"/>
              </w:rPr>
              <w:t>腹足纲</w:t>
            </w:r>
          </w:p>
        </w:tc>
      </w:tr>
      <w:tr w:rsidR="000549B1" w:rsidRPr="000549B1" w14:paraId="43875885" w14:textId="77777777">
        <w:trPr>
          <w:trHeight w:val="336"/>
          <w:jc w:val="center"/>
        </w:trPr>
        <w:tc>
          <w:tcPr>
            <w:tcW w:w="568" w:type="dxa"/>
            <w:vMerge w:val="restart"/>
            <w:noWrap/>
            <w:vAlign w:val="center"/>
          </w:tcPr>
          <w:p w14:paraId="31B013FE" w14:textId="77777777" w:rsidR="00054437" w:rsidRPr="000549B1" w:rsidRDefault="00000000">
            <w:pPr>
              <w:widowControl/>
              <w:spacing w:line="240" w:lineRule="atLeast"/>
              <w:jc w:val="center"/>
              <w:rPr>
                <w:kern w:val="0"/>
                <w:szCs w:val="21"/>
              </w:rPr>
            </w:pPr>
            <w:r w:rsidRPr="000549B1">
              <w:rPr>
                <w:kern w:val="0"/>
                <w:szCs w:val="21"/>
              </w:rPr>
              <w:t>切吉河</w:t>
            </w:r>
          </w:p>
        </w:tc>
        <w:tc>
          <w:tcPr>
            <w:tcW w:w="2482" w:type="dxa"/>
            <w:vMerge w:val="restart"/>
            <w:vAlign w:val="center"/>
          </w:tcPr>
          <w:p w14:paraId="4AFBBBFB" w14:textId="77777777" w:rsidR="00054437" w:rsidRPr="000549B1" w:rsidRDefault="00000000">
            <w:pPr>
              <w:widowControl/>
              <w:spacing w:line="240" w:lineRule="atLeast"/>
              <w:jc w:val="center"/>
              <w:rPr>
                <w:kern w:val="0"/>
                <w:szCs w:val="21"/>
              </w:rPr>
            </w:pPr>
            <w:r w:rsidRPr="000549B1">
              <w:rPr>
                <w:kern w:val="0"/>
                <w:szCs w:val="21"/>
              </w:rPr>
              <w:t>切吉水库上游</w:t>
            </w:r>
          </w:p>
        </w:tc>
        <w:tc>
          <w:tcPr>
            <w:tcW w:w="1527" w:type="dxa"/>
            <w:noWrap/>
            <w:vAlign w:val="center"/>
          </w:tcPr>
          <w:p w14:paraId="36677BAE" w14:textId="77777777" w:rsidR="00054437" w:rsidRPr="000549B1" w:rsidRDefault="00000000">
            <w:pPr>
              <w:widowControl/>
              <w:spacing w:line="240" w:lineRule="atLeast"/>
              <w:jc w:val="center"/>
              <w:rPr>
                <w:kern w:val="0"/>
                <w:szCs w:val="21"/>
              </w:rPr>
            </w:pPr>
            <w:r w:rsidRPr="000549B1">
              <w:rPr>
                <w:kern w:val="0"/>
                <w:szCs w:val="21"/>
              </w:rPr>
              <w:t>密度</w:t>
            </w:r>
            <w:r w:rsidRPr="000549B1">
              <w:rPr>
                <w:kern w:val="0"/>
                <w:szCs w:val="21"/>
              </w:rPr>
              <w:t>(ind./m</w:t>
            </w:r>
            <w:r w:rsidRPr="000549B1">
              <w:rPr>
                <w:kern w:val="0"/>
                <w:szCs w:val="21"/>
                <w:vertAlign w:val="superscript"/>
              </w:rPr>
              <w:t>2</w:t>
            </w:r>
            <w:r w:rsidRPr="000549B1">
              <w:rPr>
                <w:kern w:val="0"/>
                <w:szCs w:val="21"/>
              </w:rPr>
              <w:t>)</w:t>
            </w:r>
          </w:p>
        </w:tc>
        <w:tc>
          <w:tcPr>
            <w:tcW w:w="924" w:type="dxa"/>
            <w:noWrap/>
            <w:vAlign w:val="center"/>
          </w:tcPr>
          <w:p w14:paraId="3B00807A" w14:textId="77777777" w:rsidR="00054437" w:rsidRPr="000549B1" w:rsidRDefault="00000000">
            <w:pPr>
              <w:widowControl/>
              <w:spacing w:line="240" w:lineRule="atLeast"/>
              <w:jc w:val="center"/>
              <w:rPr>
                <w:kern w:val="0"/>
                <w:szCs w:val="21"/>
              </w:rPr>
            </w:pPr>
            <w:r w:rsidRPr="000549B1">
              <w:rPr>
                <w:kern w:val="0"/>
                <w:szCs w:val="21"/>
              </w:rPr>
              <w:t>78.00</w:t>
            </w:r>
          </w:p>
        </w:tc>
        <w:tc>
          <w:tcPr>
            <w:tcW w:w="1007" w:type="dxa"/>
            <w:noWrap/>
            <w:vAlign w:val="center"/>
          </w:tcPr>
          <w:p w14:paraId="1D4D9FFD" w14:textId="77777777" w:rsidR="00054437" w:rsidRPr="000549B1" w:rsidRDefault="00000000">
            <w:pPr>
              <w:widowControl/>
              <w:spacing w:line="240" w:lineRule="atLeast"/>
              <w:jc w:val="center"/>
              <w:rPr>
                <w:kern w:val="0"/>
                <w:szCs w:val="21"/>
              </w:rPr>
            </w:pPr>
            <w:r w:rsidRPr="000549B1">
              <w:rPr>
                <w:kern w:val="0"/>
                <w:szCs w:val="21"/>
              </w:rPr>
              <w:t>4.00</w:t>
            </w:r>
          </w:p>
        </w:tc>
        <w:tc>
          <w:tcPr>
            <w:tcW w:w="1007" w:type="dxa"/>
            <w:noWrap/>
            <w:vAlign w:val="center"/>
          </w:tcPr>
          <w:p w14:paraId="45FF7451" w14:textId="77777777" w:rsidR="00054437" w:rsidRPr="000549B1" w:rsidRDefault="00000000">
            <w:pPr>
              <w:widowControl/>
              <w:spacing w:line="240" w:lineRule="atLeast"/>
              <w:jc w:val="center"/>
              <w:rPr>
                <w:kern w:val="0"/>
                <w:szCs w:val="21"/>
              </w:rPr>
            </w:pPr>
            <w:r w:rsidRPr="000549B1">
              <w:rPr>
                <w:kern w:val="0"/>
                <w:szCs w:val="21"/>
              </w:rPr>
              <w:t>74.00</w:t>
            </w:r>
          </w:p>
        </w:tc>
        <w:tc>
          <w:tcPr>
            <w:tcW w:w="1007" w:type="dxa"/>
            <w:noWrap/>
            <w:vAlign w:val="center"/>
          </w:tcPr>
          <w:p w14:paraId="741E253C" w14:textId="77777777" w:rsidR="00054437" w:rsidRPr="000549B1" w:rsidRDefault="00000000">
            <w:pPr>
              <w:widowControl/>
              <w:spacing w:line="240" w:lineRule="atLeast"/>
              <w:jc w:val="center"/>
              <w:rPr>
                <w:kern w:val="0"/>
                <w:szCs w:val="21"/>
              </w:rPr>
            </w:pPr>
            <w:r w:rsidRPr="000549B1">
              <w:rPr>
                <w:kern w:val="0"/>
                <w:szCs w:val="21"/>
              </w:rPr>
              <w:t>0.00</w:t>
            </w:r>
          </w:p>
        </w:tc>
      </w:tr>
      <w:tr w:rsidR="000549B1" w:rsidRPr="000549B1" w14:paraId="07B5AC51" w14:textId="77777777">
        <w:trPr>
          <w:trHeight w:val="336"/>
          <w:jc w:val="center"/>
        </w:trPr>
        <w:tc>
          <w:tcPr>
            <w:tcW w:w="568" w:type="dxa"/>
            <w:vMerge/>
            <w:vAlign w:val="center"/>
          </w:tcPr>
          <w:p w14:paraId="3A5BCB8C" w14:textId="77777777" w:rsidR="00054437" w:rsidRPr="000549B1" w:rsidRDefault="00054437">
            <w:pPr>
              <w:widowControl/>
              <w:spacing w:line="240" w:lineRule="atLeast"/>
              <w:jc w:val="center"/>
              <w:rPr>
                <w:kern w:val="0"/>
                <w:szCs w:val="21"/>
              </w:rPr>
            </w:pPr>
          </w:p>
        </w:tc>
        <w:tc>
          <w:tcPr>
            <w:tcW w:w="2482" w:type="dxa"/>
            <w:vMerge/>
            <w:vAlign w:val="center"/>
          </w:tcPr>
          <w:p w14:paraId="6E9C7C8B" w14:textId="77777777" w:rsidR="00054437" w:rsidRPr="000549B1" w:rsidRDefault="00054437">
            <w:pPr>
              <w:widowControl/>
              <w:spacing w:line="240" w:lineRule="atLeast"/>
              <w:jc w:val="center"/>
              <w:rPr>
                <w:kern w:val="0"/>
                <w:szCs w:val="21"/>
              </w:rPr>
            </w:pPr>
          </w:p>
        </w:tc>
        <w:tc>
          <w:tcPr>
            <w:tcW w:w="1527" w:type="dxa"/>
            <w:noWrap/>
            <w:vAlign w:val="center"/>
          </w:tcPr>
          <w:p w14:paraId="0462D3AA" w14:textId="77777777" w:rsidR="00054437" w:rsidRPr="000549B1" w:rsidRDefault="00000000">
            <w:pPr>
              <w:widowControl/>
              <w:spacing w:line="240" w:lineRule="atLeast"/>
              <w:jc w:val="center"/>
              <w:rPr>
                <w:kern w:val="0"/>
                <w:szCs w:val="21"/>
              </w:rPr>
            </w:pPr>
            <w:r w:rsidRPr="000549B1">
              <w:rPr>
                <w:kern w:val="0"/>
                <w:szCs w:val="21"/>
              </w:rPr>
              <w:t>生物量</w:t>
            </w:r>
            <w:r w:rsidRPr="000549B1">
              <w:rPr>
                <w:kern w:val="0"/>
                <w:szCs w:val="21"/>
              </w:rPr>
              <w:t>(g/m</w:t>
            </w:r>
            <w:r w:rsidRPr="000549B1">
              <w:rPr>
                <w:kern w:val="0"/>
                <w:szCs w:val="21"/>
                <w:vertAlign w:val="superscript"/>
              </w:rPr>
              <w:t>2</w:t>
            </w:r>
            <w:r w:rsidRPr="000549B1">
              <w:rPr>
                <w:kern w:val="0"/>
                <w:szCs w:val="21"/>
              </w:rPr>
              <w:t>)</w:t>
            </w:r>
          </w:p>
        </w:tc>
        <w:tc>
          <w:tcPr>
            <w:tcW w:w="924" w:type="dxa"/>
            <w:noWrap/>
            <w:vAlign w:val="center"/>
          </w:tcPr>
          <w:p w14:paraId="5E5EDB46" w14:textId="77777777" w:rsidR="00054437" w:rsidRPr="000549B1" w:rsidRDefault="00000000">
            <w:pPr>
              <w:widowControl/>
              <w:spacing w:line="240" w:lineRule="atLeast"/>
              <w:jc w:val="center"/>
              <w:rPr>
                <w:kern w:val="0"/>
                <w:szCs w:val="21"/>
              </w:rPr>
            </w:pPr>
            <w:r w:rsidRPr="000549B1">
              <w:rPr>
                <w:kern w:val="0"/>
                <w:szCs w:val="21"/>
              </w:rPr>
              <w:t>1.1290</w:t>
            </w:r>
          </w:p>
        </w:tc>
        <w:tc>
          <w:tcPr>
            <w:tcW w:w="1007" w:type="dxa"/>
            <w:noWrap/>
            <w:vAlign w:val="center"/>
          </w:tcPr>
          <w:p w14:paraId="780F074F" w14:textId="77777777" w:rsidR="00054437" w:rsidRPr="000549B1" w:rsidRDefault="00000000">
            <w:pPr>
              <w:widowControl/>
              <w:spacing w:line="240" w:lineRule="atLeast"/>
              <w:jc w:val="center"/>
              <w:rPr>
                <w:kern w:val="0"/>
                <w:szCs w:val="21"/>
              </w:rPr>
            </w:pPr>
            <w:r w:rsidRPr="000549B1">
              <w:rPr>
                <w:kern w:val="0"/>
                <w:szCs w:val="21"/>
              </w:rPr>
              <w:t>0.0176</w:t>
            </w:r>
          </w:p>
        </w:tc>
        <w:tc>
          <w:tcPr>
            <w:tcW w:w="1007" w:type="dxa"/>
            <w:noWrap/>
            <w:vAlign w:val="center"/>
          </w:tcPr>
          <w:p w14:paraId="73985DB4" w14:textId="77777777" w:rsidR="00054437" w:rsidRPr="000549B1" w:rsidRDefault="00000000">
            <w:pPr>
              <w:widowControl/>
              <w:spacing w:line="240" w:lineRule="atLeast"/>
              <w:jc w:val="center"/>
              <w:rPr>
                <w:kern w:val="0"/>
                <w:szCs w:val="21"/>
              </w:rPr>
            </w:pPr>
            <w:r w:rsidRPr="000549B1">
              <w:rPr>
                <w:kern w:val="0"/>
                <w:szCs w:val="21"/>
              </w:rPr>
              <w:t>1.1114</w:t>
            </w:r>
          </w:p>
        </w:tc>
        <w:tc>
          <w:tcPr>
            <w:tcW w:w="1007" w:type="dxa"/>
            <w:noWrap/>
            <w:vAlign w:val="center"/>
          </w:tcPr>
          <w:p w14:paraId="374FB3E8" w14:textId="77777777" w:rsidR="00054437" w:rsidRPr="000549B1" w:rsidRDefault="00000000">
            <w:pPr>
              <w:widowControl/>
              <w:spacing w:line="240" w:lineRule="atLeast"/>
              <w:jc w:val="center"/>
              <w:rPr>
                <w:kern w:val="0"/>
                <w:szCs w:val="21"/>
              </w:rPr>
            </w:pPr>
            <w:r w:rsidRPr="000549B1">
              <w:rPr>
                <w:kern w:val="0"/>
                <w:szCs w:val="21"/>
              </w:rPr>
              <w:t>0.0000</w:t>
            </w:r>
          </w:p>
        </w:tc>
      </w:tr>
      <w:tr w:rsidR="000549B1" w:rsidRPr="000549B1" w14:paraId="5636F183" w14:textId="77777777">
        <w:trPr>
          <w:trHeight w:val="336"/>
          <w:jc w:val="center"/>
        </w:trPr>
        <w:tc>
          <w:tcPr>
            <w:tcW w:w="568" w:type="dxa"/>
            <w:vMerge/>
            <w:vAlign w:val="center"/>
          </w:tcPr>
          <w:p w14:paraId="5FA05B84" w14:textId="77777777" w:rsidR="00054437" w:rsidRPr="000549B1" w:rsidRDefault="00054437">
            <w:pPr>
              <w:widowControl/>
              <w:spacing w:line="240" w:lineRule="atLeast"/>
              <w:jc w:val="center"/>
              <w:rPr>
                <w:kern w:val="0"/>
                <w:szCs w:val="21"/>
              </w:rPr>
            </w:pPr>
          </w:p>
        </w:tc>
        <w:tc>
          <w:tcPr>
            <w:tcW w:w="2482" w:type="dxa"/>
            <w:vMerge w:val="restart"/>
            <w:vAlign w:val="center"/>
          </w:tcPr>
          <w:p w14:paraId="25E3CAB8" w14:textId="77777777" w:rsidR="00054437" w:rsidRPr="000549B1" w:rsidRDefault="00000000">
            <w:pPr>
              <w:widowControl/>
              <w:spacing w:line="240" w:lineRule="atLeast"/>
              <w:jc w:val="center"/>
              <w:rPr>
                <w:kern w:val="0"/>
                <w:szCs w:val="21"/>
              </w:rPr>
            </w:pPr>
            <w:r w:rsidRPr="000549B1">
              <w:rPr>
                <w:kern w:val="0"/>
                <w:szCs w:val="21"/>
              </w:rPr>
              <w:t>切吉水库</w:t>
            </w:r>
          </w:p>
        </w:tc>
        <w:tc>
          <w:tcPr>
            <w:tcW w:w="1527" w:type="dxa"/>
            <w:noWrap/>
            <w:vAlign w:val="center"/>
          </w:tcPr>
          <w:p w14:paraId="2EE4C0AC" w14:textId="77777777" w:rsidR="00054437" w:rsidRPr="000549B1" w:rsidRDefault="00000000">
            <w:pPr>
              <w:widowControl/>
              <w:spacing w:line="240" w:lineRule="atLeast"/>
              <w:jc w:val="center"/>
              <w:rPr>
                <w:kern w:val="0"/>
                <w:szCs w:val="21"/>
              </w:rPr>
            </w:pPr>
            <w:r w:rsidRPr="000549B1">
              <w:rPr>
                <w:kern w:val="0"/>
                <w:szCs w:val="21"/>
              </w:rPr>
              <w:t>密度</w:t>
            </w:r>
            <w:r w:rsidRPr="000549B1">
              <w:rPr>
                <w:kern w:val="0"/>
                <w:szCs w:val="21"/>
              </w:rPr>
              <w:t>(ind./m</w:t>
            </w:r>
            <w:r w:rsidRPr="000549B1">
              <w:rPr>
                <w:kern w:val="0"/>
                <w:szCs w:val="21"/>
                <w:vertAlign w:val="superscript"/>
              </w:rPr>
              <w:t>2</w:t>
            </w:r>
            <w:r w:rsidRPr="000549B1">
              <w:rPr>
                <w:kern w:val="0"/>
                <w:szCs w:val="21"/>
              </w:rPr>
              <w:t>)</w:t>
            </w:r>
          </w:p>
        </w:tc>
        <w:tc>
          <w:tcPr>
            <w:tcW w:w="924" w:type="dxa"/>
            <w:noWrap/>
            <w:vAlign w:val="center"/>
          </w:tcPr>
          <w:p w14:paraId="18C0596F" w14:textId="77777777" w:rsidR="00054437" w:rsidRPr="000549B1" w:rsidRDefault="00000000">
            <w:pPr>
              <w:widowControl/>
              <w:spacing w:line="240" w:lineRule="atLeast"/>
              <w:jc w:val="center"/>
              <w:rPr>
                <w:kern w:val="0"/>
                <w:szCs w:val="21"/>
              </w:rPr>
            </w:pPr>
            <w:r w:rsidRPr="000549B1">
              <w:rPr>
                <w:kern w:val="0"/>
                <w:szCs w:val="21"/>
              </w:rPr>
              <w:t>10.00</w:t>
            </w:r>
          </w:p>
        </w:tc>
        <w:tc>
          <w:tcPr>
            <w:tcW w:w="1007" w:type="dxa"/>
            <w:noWrap/>
            <w:vAlign w:val="center"/>
          </w:tcPr>
          <w:p w14:paraId="2633ADB9" w14:textId="77777777" w:rsidR="00054437" w:rsidRPr="000549B1" w:rsidRDefault="00000000">
            <w:pPr>
              <w:widowControl/>
              <w:spacing w:line="240" w:lineRule="atLeast"/>
              <w:jc w:val="center"/>
              <w:rPr>
                <w:kern w:val="0"/>
                <w:szCs w:val="21"/>
              </w:rPr>
            </w:pPr>
            <w:r w:rsidRPr="000549B1">
              <w:rPr>
                <w:kern w:val="0"/>
                <w:szCs w:val="21"/>
              </w:rPr>
              <w:t>10.00</w:t>
            </w:r>
          </w:p>
        </w:tc>
        <w:tc>
          <w:tcPr>
            <w:tcW w:w="1007" w:type="dxa"/>
            <w:noWrap/>
            <w:vAlign w:val="center"/>
          </w:tcPr>
          <w:p w14:paraId="279C671A" w14:textId="77777777" w:rsidR="00054437" w:rsidRPr="000549B1" w:rsidRDefault="00000000">
            <w:pPr>
              <w:widowControl/>
              <w:spacing w:line="240" w:lineRule="atLeast"/>
              <w:jc w:val="center"/>
              <w:rPr>
                <w:kern w:val="0"/>
                <w:szCs w:val="21"/>
              </w:rPr>
            </w:pPr>
            <w:r w:rsidRPr="000549B1">
              <w:rPr>
                <w:kern w:val="0"/>
                <w:szCs w:val="21"/>
              </w:rPr>
              <w:t>0.00</w:t>
            </w:r>
          </w:p>
        </w:tc>
        <w:tc>
          <w:tcPr>
            <w:tcW w:w="1007" w:type="dxa"/>
            <w:noWrap/>
            <w:vAlign w:val="center"/>
          </w:tcPr>
          <w:p w14:paraId="362C2291" w14:textId="77777777" w:rsidR="00054437" w:rsidRPr="000549B1" w:rsidRDefault="00000000">
            <w:pPr>
              <w:widowControl/>
              <w:spacing w:line="240" w:lineRule="atLeast"/>
              <w:jc w:val="center"/>
              <w:rPr>
                <w:kern w:val="0"/>
                <w:szCs w:val="21"/>
              </w:rPr>
            </w:pPr>
            <w:r w:rsidRPr="000549B1">
              <w:rPr>
                <w:kern w:val="0"/>
                <w:szCs w:val="21"/>
              </w:rPr>
              <w:t>0.00</w:t>
            </w:r>
          </w:p>
        </w:tc>
      </w:tr>
      <w:tr w:rsidR="000549B1" w:rsidRPr="000549B1" w14:paraId="3640ED3A" w14:textId="77777777">
        <w:trPr>
          <w:trHeight w:val="336"/>
          <w:jc w:val="center"/>
        </w:trPr>
        <w:tc>
          <w:tcPr>
            <w:tcW w:w="568" w:type="dxa"/>
            <w:vMerge/>
            <w:vAlign w:val="center"/>
          </w:tcPr>
          <w:p w14:paraId="14DC0A74" w14:textId="77777777" w:rsidR="00054437" w:rsidRPr="000549B1" w:rsidRDefault="00054437">
            <w:pPr>
              <w:widowControl/>
              <w:spacing w:line="240" w:lineRule="atLeast"/>
              <w:jc w:val="center"/>
              <w:rPr>
                <w:kern w:val="0"/>
                <w:szCs w:val="21"/>
              </w:rPr>
            </w:pPr>
          </w:p>
        </w:tc>
        <w:tc>
          <w:tcPr>
            <w:tcW w:w="2482" w:type="dxa"/>
            <w:vMerge/>
            <w:vAlign w:val="center"/>
          </w:tcPr>
          <w:p w14:paraId="5889D224" w14:textId="77777777" w:rsidR="00054437" w:rsidRPr="000549B1" w:rsidRDefault="00054437">
            <w:pPr>
              <w:widowControl/>
              <w:spacing w:line="240" w:lineRule="atLeast"/>
              <w:jc w:val="center"/>
              <w:rPr>
                <w:kern w:val="0"/>
                <w:szCs w:val="21"/>
              </w:rPr>
            </w:pPr>
          </w:p>
        </w:tc>
        <w:tc>
          <w:tcPr>
            <w:tcW w:w="1527" w:type="dxa"/>
            <w:noWrap/>
            <w:vAlign w:val="center"/>
          </w:tcPr>
          <w:p w14:paraId="3A4F8C4A" w14:textId="77777777" w:rsidR="00054437" w:rsidRPr="000549B1" w:rsidRDefault="00000000">
            <w:pPr>
              <w:widowControl/>
              <w:spacing w:line="240" w:lineRule="atLeast"/>
              <w:jc w:val="center"/>
              <w:rPr>
                <w:kern w:val="0"/>
                <w:szCs w:val="21"/>
              </w:rPr>
            </w:pPr>
            <w:r w:rsidRPr="000549B1">
              <w:rPr>
                <w:kern w:val="0"/>
                <w:szCs w:val="21"/>
              </w:rPr>
              <w:t>生物量</w:t>
            </w:r>
            <w:r w:rsidRPr="000549B1">
              <w:rPr>
                <w:kern w:val="0"/>
                <w:szCs w:val="21"/>
              </w:rPr>
              <w:t>(g/m</w:t>
            </w:r>
            <w:r w:rsidRPr="000549B1">
              <w:rPr>
                <w:kern w:val="0"/>
                <w:szCs w:val="21"/>
                <w:vertAlign w:val="superscript"/>
              </w:rPr>
              <w:t>2</w:t>
            </w:r>
            <w:r w:rsidRPr="000549B1">
              <w:rPr>
                <w:kern w:val="0"/>
                <w:szCs w:val="21"/>
              </w:rPr>
              <w:t>)</w:t>
            </w:r>
          </w:p>
        </w:tc>
        <w:tc>
          <w:tcPr>
            <w:tcW w:w="924" w:type="dxa"/>
            <w:noWrap/>
            <w:vAlign w:val="center"/>
          </w:tcPr>
          <w:p w14:paraId="18C5CB3A" w14:textId="77777777" w:rsidR="00054437" w:rsidRPr="000549B1" w:rsidRDefault="00000000">
            <w:pPr>
              <w:widowControl/>
              <w:spacing w:line="240" w:lineRule="atLeast"/>
              <w:jc w:val="center"/>
              <w:rPr>
                <w:kern w:val="0"/>
                <w:szCs w:val="21"/>
              </w:rPr>
            </w:pPr>
            <w:r w:rsidRPr="000549B1">
              <w:rPr>
                <w:kern w:val="0"/>
                <w:szCs w:val="21"/>
              </w:rPr>
              <w:t>0.1116</w:t>
            </w:r>
          </w:p>
        </w:tc>
        <w:tc>
          <w:tcPr>
            <w:tcW w:w="1007" w:type="dxa"/>
            <w:noWrap/>
            <w:vAlign w:val="center"/>
          </w:tcPr>
          <w:p w14:paraId="77122976" w14:textId="77777777" w:rsidR="00054437" w:rsidRPr="000549B1" w:rsidRDefault="00000000">
            <w:pPr>
              <w:widowControl/>
              <w:spacing w:line="240" w:lineRule="atLeast"/>
              <w:jc w:val="center"/>
              <w:rPr>
                <w:kern w:val="0"/>
                <w:szCs w:val="21"/>
              </w:rPr>
            </w:pPr>
            <w:r w:rsidRPr="000549B1">
              <w:rPr>
                <w:kern w:val="0"/>
                <w:szCs w:val="21"/>
              </w:rPr>
              <w:t>0.1116</w:t>
            </w:r>
          </w:p>
        </w:tc>
        <w:tc>
          <w:tcPr>
            <w:tcW w:w="1007" w:type="dxa"/>
            <w:noWrap/>
            <w:vAlign w:val="center"/>
          </w:tcPr>
          <w:p w14:paraId="0ECD9951" w14:textId="77777777" w:rsidR="00054437" w:rsidRPr="000549B1" w:rsidRDefault="00000000">
            <w:pPr>
              <w:widowControl/>
              <w:spacing w:line="240" w:lineRule="atLeast"/>
              <w:jc w:val="center"/>
              <w:rPr>
                <w:kern w:val="0"/>
                <w:szCs w:val="21"/>
              </w:rPr>
            </w:pPr>
            <w:r w:rsidRPr="000549B1">
              <w:rPr>
                <w:kern w:val="0"/>
                <w:szCs w:val="21"/>
              </w:rPr>
              <w:t>0.0000</w:t>
            </w:r>
          </w:p>
        </w:tc>
        <w:tc>
          <w:tcPr>
            <w:tcW w:w="1007" w:type="dxa"/>
            <w:noWrap/>
            <w:vAlign w:val="center"/>
          </w:tcPr>
          <w:p w14:paraId="007F7F3D" w14:textId="77777777" w:rsidR="00054437" w:rsidRPr="000549B1" w:rsidRDefault="00000000">
            <w:pPr>
              <w:widowControl/>
              <w:spacing w:line="240" w:lineRule="atLeast"/>
              <w:jc w:val="center"/>
              <w:rPr>
                <w:kern w:val="0"/>
                <w:szCs w:val="21"/>
              </w:rPr>
            </w:pPr>
            <w:r w:rsidRPr="000549B1">
              <w:rPr>
                <w:kern w:val="0"/>
                <w:szCs w:val="21"/>
              </w:rPr>
              <w:t>0.0000</w:t>
            </w:r>
          </w:p>
        </w:tc>
      </w:tr>
      <w:tr w:rsidR="000549B1" w:rsidRPr="000549B1" w14:paraId="15863109" w14:textId="77777777">
        <w:trPr>
          <w:trHeight w:val="336"/>
          <w:jc w:val="center"/>
        </w:trPr>
        <w:tc>
          <w:tcPr>
            <w:tcW w:w="568" w:type="dxa"/>
            <w:vMerge/>
            <w:vAlign w:val="center"/>
          </w:tcPr>
          <w:p w14:paraId="73D98809" w14:textId="77777777" w:rsidR="00054437" w:rsidRPr="000549B1" w:rsidRDefault="00054437">
            <w:pPr>
              <w:widowControl/>
              <w:spacing w:line="240" w:lineRule="atLeast"/>
              <w:jc w:val="center"/>
              <w:rPr>
                <w:kern w:val="0"/>
                <w:szCs w:val="21"/>
              </w:rPr>
            </w:pPr>
          </w:p>
        </w:tc>
        <w:tc>
          <w:tcPr>
            <w:tcW w:w="2482" w:type="dxa"/>
            <w:vMerge w:val="restart"/>
            <w:vAlign w:val="center"/>
          </w:tcPr>
          <w:p w14:paraId="7B44AEE3" w14:textId="77777777" w:rsidR="00054437" w:rsidRPr="000549B1" w:rsidRDefault="00000000">
            <w:pPr>
              <w:widowControl/>
              <w:spacing w:line="240" w:lineRule="atLeast"/>
              <w:jc w:val="center"/>
              <w:rPr>
                <w:kern w:val="0"/>
                <w:szCs w:val="21"/>
              </w:rPr>
            </w:pPr>
            <w:r w:rsidRPr="000549B1">
              <w:rPr>
                <w:kern w:val="0"/>
                <w:szCs w:val="21"/>
              </w:rPr>
              <w:t>切吉河下游</w:t>
            </w:r>
          </w:p>
        </w:tc>
        <w:tc>
          <w:tcPr>
            <w:tcW w:w="1527" w:type="dxa"/>
            <w:noWrap/>
            <w:vAlign w:val="center"/>
          </w:tcPr>
          <w:p w14:paraId="14F630C8" w14:textId="77777777" w:rsidR="00054437" w:rsidRPr="000549B1" w:rsidRDefault="00000000">
            <w:pPr>
              <w:widowControl/>
              <w:spacing w:line="240" w:lineRule="atLeast"/>
              <w:jc w:val="center"/>
              <w:rPr>
                <w:kern w:val="0"/>
                <w:szCs w:val="21"/>
              </w:rPr>
            </w:pPr>
            <w:r w:rsidRPr="000549B1">
              <w:rPr>
                <w:kern w:val="0"/>
                <w:szCs w:val="21"/>
              </w:rPr>
              <w:t>密度</w:t>
            </w:r>
            <w:r w:rsidRPr="000549B1">
              <w:rPr>
                <w:kern w:val="0"/>
                <w:szCs w:val="21"/>
              </w:rPr>
              <w:t>(ind./m</w:t>
            </w:r>
            <w:r w:rsidRPr="000549B1">
              <w:rPr>
                <w:kern w:val="0"/>
                <w:szCs w:val="21"/>
                <w:vertAlign w:val="superscript"/>
              </w:rPr>
              <w:t>2</w:t>
            </w:r>
            <w:r w:rsidRPr="000549B1">
              <w:rPr>
                <w:kern w:val="0"/>
                <w:szCs w:val="21"/>
              </w:rPr>
              <w:t>)</w:t>
            </w:r>
          </w:p>
        </w:tc>
        <w:tc>
          <w:tcPr>
            <w:tcW w:w="924" w:type="dxa"/>
            <w:noWrap/>
            <w:vAlign w:val="center"/>
          </w:tcPr>
          <w:p w14:paraId="43BA14F0" w14:textId="77777777" w:rsidR="00054437" w:rsidRPr="000549B1" w:rsidRDefault="00000000">
            <w:pPr>
              <w:widowControl/>
              <w:spacing w:line="240" w:lineRule="atLeast"/>
              <w:jc w:val="center"/>
              <w:rPr>
                <w:kern w:val="0"/>
                <w:szCs w:val="21"/>
              </w:rPr>
            </w:pPr>
            <w:r w:rsidRPr="000549B1">
              <w:rPr>
                <w:kern w:val="0"/>
                <w:szCs w:val="21"/>
              </w:rPr>
              <w:t>8.00</w:t>
            </w:r>
          </w:p>
        </w:tc>
        <w:tc>
          <w:tcPr>
            <w:tcW w:w="1007" w:type="dxa"/>
            <w:noWrap/>
            <w:vAlign w:val="center"/>
          </w:tcPr>
          <w:p w14:paraId="54C22270" w14:textId="77777777" w:rsidR="00054437" w:rsidRPr="000549B1" w:rsidRDefault="00000000">
            <w:pPr>
              <w:widowControl/>
              <w:spacing w:line="240" w:lineRule="atLeast"/>
              <w:jc w:val="center"/>
              <w:rPr>
                <w:kern w:val="0"/>
                <w:szCs w:val="21"/>
              </w:rPr>
            </w:pPr>
            <w:r w:rsidRPr="000549B1">
              <w:rPr>
                <w:kern w:val="0"/>
                <w:szCs w:val="21"/>
              </w:rPr>
              <w:t>8.00</w:t>
            </w:r>
          </w:p>
        </w:tc>
        <w:tc>
          <w:tcPr>
            <w:tcW w:w="1007" w:type="dxa"/>
            <w:noWrap/>
            <w:vAlign w:val="center"/>
          </w:tcPr>
          <w:p w14:paraId="36B00811" w14:textId="77777777" w:rsidR="00054437" w:rsidRPr="000549B1" w:rsidRDefault="00000000">
            <w:pPr>
              <w:widowControl/>
              <w:spacing w:line="240" w:lineRule="atLeast"/>
              <w:jc w:val="center"/>
              <w:rPr>
                <w:kern w:val="0"/>
                <w:szCs w:val="21"/>
              </w:rPr>
            </w:pPr>
            <w:r w:rsidRPr="000549B1">
              <w:rPr>
                <w:kern w:val="0"/>
                <w:szCs w:val="21"/>
              </w:rPr>
              <w:t>0.00</w:t>
            </w:r>
          </w:p>
        </w:tc>
        <w:tc>
          <w:tcPr>
            <w:tcW w:w="1007" w:type="dxa"/>
            <w:noWrap/>
            <w:vAlign w:val="center"/>
          </w:tcPr>
          <w:p w14:paraId="1A3244CD" w14:textId="77777777" w:rsidR="00054437" w:rsidRPr="000549B1" w:rsidRDefault="00000000">
            <w:pPr>
              <w:widowControl/>
              <w:spacing w:line="240" w:lineRule="atLeast"/>
              <w:jc w:val="center"/>
              <w:rPr>
                <w:kern w:val="0"/>
                <w:szCs w:val="21"/>
              </w:rPr>
            </w:pPr>
            <w:r w:rsidRPr="000549B1">
              <w:rPr>
                <w:kern w:val="0"/>
                <w:szCs w:val="21"/>
              </w:rPr>
              <w:t>0.00</w:t>
            </w:r>
          </w:p>
        </w:tc>
      </w:tr>
      <w:tr w:rsidR="000549B1" w:rsidRPr="000549B1" w14:paraId="5D918E27" w14:textId="77777777">
        <w:trPr>
          <w:trHeight w:val="336"/>
          <w:jc w:val="center"/>
        </w:trPr>
        <w:tc>
          <w:tcPr>
            <w:tcW w:w="568" w:type="dxa"/>
            <w:vMerge/>
            <w:vAlign w:val="center"/>
          </w:tcPr>
          <w:p w14:paraId="5813E176" w14:textId="77777777" w:rsidR="00054437" w:rsidRPr="000549B1" w:rsidRDefault="00054437">
            <w:pPr>
              <w:widowControl/>
              <w:spacing w:line="240" w:lineRule="atLeast"/>
              <w:jc w:val="center"/>
              <w:rPr>
                <w:kern w:val="0"/>
                <w:szCs w:val="21"/>
              </w:rPr>
            </w:pPr>
          </w:p>
        </w:tc>
        <w:tc>
          <w:tcPr>
            <w:tcW w:w="2482" w:type="dxa"/>
            <w:vMerge/>
            <w:vAlign w:val="center"/>
          </w:tcPr>
          <w:p w14:paraId="0DBD58BE" w14:textId="77777777" w:rsidR="00054437" w:rsidRPr="000549B1" w:rsidRDefault="00054437">
            <w:pPr>
              <w:widowControl/>
              <w:spacing w:line="240" w:lineRule="atLeast"/>
              <w:jc w:val="center"/>
              <w:rPr>
                <w:kern w:val="0"/>
                <w:szCs w:val="21"/>
              </w:rPr>
            </w:pPr>
          </w:p>
        </w:tc>
        <w:tc>
          <w:tcPr>
            <w:tcW w:w="1527" w:type="dxa"/>
            <w:noWrap/>
            <w:vAlign w:val="center"/>
          </w:tcPr>
          <w:p w14:paraId="34022194" w14:textId="77777777" w:rsidR="00054437" w:rsidRPr="000549B1" w:rsidRDefault="00000000">
            <w:pPr>
              <w:widowControl/>
              <w:spacing w:line="240" w:lineRule="atLeast"/>
              <w:jc w:val="center"/>
              <w:rPr>
                <w:kern w:val="0"/>
                <w:szCs w:val="21"/>
              </w:rPr>
            </w:pPr>
            <w:r w:rsidRPr="000549B1">
              <w:rPr>
                <w:kern w:val="0"/>
                <w:szCs w:val="21"/>
              </w:rPr>
              <w:t>生物量</w:t>
            </w:r>
            <w:r w:rsidRPr="000549B1">
              <w:rPr>
                <w:kern w:val="0"/>
                <w:szCs w:val="21"/>
              </w:rPr>
              <w:t>(g/m</w:t>
            </w:r>
            <w:r w:rsidRPr="000549B1">
              <w:rPr>
                <w:kern w:val="0"/>
                <w:szCs w:val="21"/>
                <w:vertAlign w:val="superscript"/>
              </w:rPr>
              <w:t>2</w:t>
            </w:r>
            <w:r w:rsidRPr="000549B1">
              <w:rPr>
                <w:kern w:val="0"/>
                <w:szCs w:val="21"/>
              </w:rPr>
              <w:t>)</w:t>
            </w:r>
          </w:p>
        </w:tc>
        <w:tc>
          <w:tcPr>
            <w:tcW w:w="924" w:type="dxa"/>
            <w:noWrap/>
            <w:vAlign w:val="center"/>
          </w:tcPr>
          <w:p w14:paraId="50CEF937" w14:textId="77777777" w:rsidR="00054437" w:rsidRPr="000549B1" w:rsidRDefault="00000000">
            <w:pPr>
              <w:widowControl/>
              <w:spacing w:line="240" w:lineRule="atLeast"/>
              <w:jc w:val="center"/>
              <w:rPr>
                <w:kern w:val="0"/>
                <w:szCs w:val="21"/>
              </w:rPr>
            </w:pPr>
            <w:r w:rsidRPr="000549B1">
              <w:rPr>
                <w:kern w:val="0"/>
                <w:szCs w:val="21"/>
              </w:rPr>
              <w:t>0.0368</w:t>
            </w:r>
          </w:p>
        </w:tc>
        <w:tc>
          <w:tcPr>
            <w:tcW w:w="1007" w:type="dxa"/>
            <w:noWrap/>
            <w:vAlign w:val="center"/>
          </w:tcPr>
          <w:p w14:paraId="2F3B93A4" w14:textId="77777777" w:rsidR="00054437" w:rsidRPr="000549B1" w:rsidRDefault="00000000">
            <w:pPr>
              <w:widowControl/>
              <w:spacing w:line="240" w:lineRule="atLeast"/>
              <w:jc w:val="center"/>
              <w:rPr>
                <w:kern w:val="0"/>
                <w:szCs w:val="21"/>
              </w:rPr>
            </w:pPr>
            <w:r w:rsidRPr="000549B1">
              <w:rPr>
                <w:kern w:val="0"/>
                <w:szCs w:val="21"/>
              </w:rPr>
              <w:t>0.0368</w:t>
            </w:r>
          </w:p>
        </w:tc>
        <w:tc>
          <w:tcPr>
            <w:tcW w:w="1007" w:type="dxa"/>
            <w:noWrap/>
            <w:vAlign w:val="center"/>
          </w:tcPr>
          <w:p w14:paraId="1B9BBA32" w14:textId="77777777" w:rsidR="00054437" w:rsidRPr="000549B1" w:rsidRDefault="00000000">
            <w:pPr>
              <w:widowControl/>
              <w:spacing w:line="240" w:lineRule="atLeast"/>
              <w:jc w:val="center"/>
              <w:rPr>
                <w:kern w:val="0"/>
                <w:szCs w:val="21"/>
              </w:rPr>
            </w:pPr>
            <w:r w:rsidRPr="000549B1">
              <w:rPr>
                <w:kern w:val="0"/>
                <w:szCs w:val="21"/>
              </w:rPr>
              <w:t>0.0000</w:t>
            </w:r>
          </w:p>
        </w:tc>
        <w:tc>
          <w:tcPr>
            <w:tcW w:w="1007" w:type="dxa"/>
            <w:noWrap/>
            <w:vAlign w:val="center"/>
          </w:tcPr>
          <w:p w14:paraId="4042CBCF" w14:textId="77777777" w:rsidR="00054437" w:rsidRPr="000549B1" w:rsidRDefault="00000000">
            <w:pPr>
              <w:widowControl/>
              <w:spacing w:line="240" w:lineRule="atLeast"/>
              <w:jc w:val="center"/>
              <w:rPr>
                <w:kern w:val="0"/>
                <w:szCs w:val="21"/>
              </w:rPr>
            </w:pPr>
            <w:r w:rsidRPr="000549B1">
              <w:rPr>
                <w:kern w:val="0"/>
                <w:szCs w:val="21"/>
              </w:rPr>
              <w:t>0.0000</w:t>
            </w:r>
          </w:p>
        </w:tc>
      </w:tr>
      <w:tr w:rsidR="000549B1" w:rsidRPr="000549B1" w14:paraId="21D55B85" w14:textId="77777777">
        <w:trPr>
          <w:trHeight w:val="336"/>
          <w:jc w:val="center"/>
        </w:trPr>
        <w:tc>
          <w:tcPr>
            <w:tcW w:w="568" w:type="dxa"/>
            <w:vMerge w:val="restart"/>
            <w:noWrap/>
            <w:vAlign w:val="center"/>
          </w:tcPr>
          <w:p w14:paraId="340752B9" w14:textId="77777777" w:rsidR="00054437" w:rsidRPr="000549B1" w:rsidRDefault="00000000">
            <w:pPr>
              <w:widowControl/>
              <w:spacing w:line="240" w:lineRule="atLeast"/>
              <w:jc w:val="center"/>
              <w:rPr>
                <w:kern w:val="0"/>
                <w:szCs w:val="21"/>
              </w:rPr>
            </w:pPr>
            <w:r w:rsidRPr="000549B1">
              <w:rPr>
                <w:kern w:val="0"/>
                <w:szCs w:val="21"/>
              </w:rPr>
              <w:t>沙珠玉河</w:t>
            </w:r>
          </w:p>
        </w:tc>
        <w:tc>
          <w:tcPr>
            <w:tcW w:w="2482" w:type="dxa"/>
            <w:vMerge w:val="restart"/>
            <w:vAlign w:val="center"/>
          </w:tcPr>
          <w:p w14:paraId="17FD53E8" w14:textId="77777777" w:rsidR="00054437" w:rsidRPr="000549B1" w:rsidRDefault="00000000">
            <w:pPr>
              <w:widowControl/>
              <w:spacing w:line="240" w:lineRule="atLeast"/>
              <w:jc w:val="center"/>
              <w:rPr>
                <w:kern w:val="0"/>
                <w:szCs w:val="21"/>
              </w:rPr>
            </w:pPr>
            <w:r w:rsidRPr="000549B1">
              <w:rPr>
                <w:kern w:val="0"/>
                <w:szCs w:val="21"/>
              </w:rPr>
              <w:t>曲黑格木</w:t>
            </w:r>
          </w:p>
        </w:tc>
        <w:tc>
          <w:tcPr>
            <w:tcW w:w="1527" w:type="dxa"/>
            <w:noWrap/>
            <w:vAlign w:val="center"/>
          </w:tcPr>
          <w:p w14:paraId="6C88B6CE" w14:textId="77777777" w:rsidR="00054437" w:rsidRPr="000549B1" w:rsidRDefault="00000000">
            <w:pPr>
              <w:widowControl/>
              <w:spacing w:line="240" w:lineRule="atLeast"/>
              <w:jc w:val="center"/>
              <w:rPr>
                <w:kern w:val="0"/>
                <w:szCs w:val="21"/>
              </w:rPr>
            </w:pPr>
            <w:r w:rsidRPr="000549B1">
              <w:rPr>
                <w:kern w:val="0"/>
                <w:szCs w:val="21"/>
              </w:rPr>
              <w:t>密度</w:t>
            </w:r>
            <w:r w:rsidRPr="000549B1">
              <w:rPr>
                <w:kern w:val="0"/>
                <w:szCs w:val="21"/>
              </w:rPr>
              <w:t>(ind./m</w:t>
            </w:r>
            <w:r w:rsidRPr="000549B1">
              <w:rPr>
                <w:kern w:val="0"/>
                <w:szCs w:val="21"/>
                <w:vertAlign w:val="superscript"/>
              </w:rPr>
              <w:t>2</w:t>
            </w:r>
            <w:r w:rsidRPr="000549B1">
              <w:rPr>
                <w:kern w:val="0"/>
                <w:szCs w:val="21"/>
              </w:rPr>
              <w:t>)</w:t>
            </w:r>
          </w:p>
        </w:tc>
        <w:tc>
          <w:tcPr>
            <w:tcW w:w="924" w:type="dxa"/>
            <w:noWrap/>
            <w:vAlign w:val="center"/>
          </w:tcPr>
          <w:p w14:paraId="53DA00A2" w14:textId="77777777" w:rsidR="00054437" w:rsidRPr="000549B1" w:rsidRDefault="00000000">
            <w:pPr>
              <w:widowControl/>
              <w:spacing w:line="240" w:lineRule="atLeast"/>
              <w:jc w:val="center"/>
              <w:rPr>
                <w:kern w:val="0"/>
                <w:szCs w:val="21"/>
              </w:rPr>
            </w:pPr>
            <w:r w:rsidRPr="000549B1">
              <w:rPr>
                <w:kern w:val="0"/>
                <w:szCs w:val="21"/>
              </w:rPr>
              <w:t>122.00</w:t>
            </w:r>
          </w:p>
        </w:tc>
        <w:tc>
          <w:tcPr>
            <w:tcW w:w="1007" w:type="dxa"/>
            <w:noWrap/>
            <w:vAlign w:val="center"/>
          </w:tcPr>
          <w:p w14:paraId="6D57342B" w14:textId="77777777" w:rsidR="00054437" w:rsidRPr="000549B1" w:rsidRDefault="00000000">
            <w:pPr>
              <w:widowControl/>
              <w:spacing w:line="240" w:lineRule="atLeast"/>
              <w:jc w:val="center"/>
              <w:rPr>
                <w:kern w:val="0"/>
                <w:szCs w:val="21"/>
              </w:rPr>
            </w:pPr>
            <w:r w:rsidRPr="000549B1">
              <w:rPr>
                <w:kern w:val="0"/>
                <w:szCs w:val="21"/>
              </w:rPr>
              <w:t>4.00</w:t>
            </w:r>
          </w:p>
        </w:tc>
        <w:tc>
          <w:tcPr>
            <w:tcW w:w="1007" w:type="dxa"/>
            <w:noWrap/>
            <w:vAlign w:val="center"/>
          </w:tcPr>
          <w:p w14:paraId="45795659" w14:textId="77777777" w:rsidR="00054437" w:rsidRPr="000549B1" w:rsidRDefault="00000000">
            <w:pPr>
              <w:widowControl/>
              <w:spacing w:line="240" w:lineRule="atLeast"/>
              <w:jc w:val="center"/>
              <w:rPr>
                <w:kern w:val="0"/>
                <w:szCs w:val="21"/>
              </w:rPr>
            </w:pPr>
            <w:r w:rsidRPr="000549B1">
              <w:rPr>
                <w:kern w:val="0"/>
                <w:szCs w:val="21"/>
              </w:rPr>
              <w:t>112.00</w:t>
            </w:r>
          </w:p>
        </w:tc>
        <w:tc>
          <w:tcPr>
            <w:tcW w:w="1007" w:type="dxa"/>
            <w:noWrap/>
            <w:vAlign w:val="center"/>
          </w:tcPr>
          <w:p w14:paraId="5AF27091" w14:textId="77777777" w:rsidR="00054437" w:rsidRPr="000549B1" w:rsidRDefault="00000000">
            <w:pPr>
              <w:widowControl/>
              <w:spacing w:line="240" w:lineRule="atLeast"/>
              <w:jc w:val="center"/>
              <w:rPr>
                <w:kern w:val="0"/>
                <w:szCs w:val="21"/>
              </w:rPr>
            </w:pPr>
            <w:r w:rsidRPr="000549B1">
              <w:rPr>
                <w:kern w:val="0"/>
                <w:szCs w:val="21"/>
              </w:rPr>
              <w:t>6.00</w:t>
            </w:r>
          </w:p>
        </w:tc>
      </w:tr>
      <w:tr w:rsidR="000549B1" w:rsidRPr="000549B1" w14:paraId="2C45CF60" w14:textId="77777777">
        <w:trPr>
          <w:trHeight w:val="336"/>
          <w:jc w:val="center"/>
        </w:trPr>
        <w:tc>
          <w:tcPr>
            <w:tcW w:w="568" w:type="dxa"/>
            <w:vMerge/>
            <w:vAlign w:val="center"/>
          </w:tcPr>
          <w:p w14:paraId="1124C5ED" w14:textId="77777777" w:rsidR="00054437" w:rsidRPr="000549B1" w:rsidRDefault="00054437">
            <w:pPr>
              <w:widowControl/>
              <w:spacing w:line="240" w:lineRule="atLeast"/>
              <w:jc w:val="center"/>
              <w:rPr>
                <w:kern w:val="0"/>
                <w:szCs w:val="21"/>
              </w:rPr>
            </w:pPr>
          </w:p>
        </w:tc>
        <w:tc>
          <w:tcPr>
            <w:tcW w:w="2482" w:type="dxa"/>
            <w:vMerge/>
            <w:vAlign w:val="center"/>
          </w:tcPr>
          <w:p w14:paraId="4AC9C8F3" w14:textId="77777777" w:rsidR="00054437" w:rsidRPr="000549B1" w:rsidRDefault="00054437">
            <w:pPr>
              <w:widowControl/>
              <w:spacing w:line="240" w:lineRule="atLeast"/>
              <w:jc w:val="center"/>
              <w:rPr>
                <w:kern w:val="0"/>
                <w:szCs w:val="21"/>
              </w:rPr>
            </w:pPr>
          </w:p>
        </w:tc>
        <w:tc>
          <w:tcPr>
            <w:tcW w:w="1527" w:type="dxa"/>
            <w:noWrap/>
            <w:vAlign w:val="center"/>
          </w:tcPr>
          <w:p w14:paraId="3A2EE06E" w14:textId="77777777" w:rsidR="00054437" w:rsidRPr="000549B1" w:rsidRDefault="00000000">
            <w:pPr>
              <w:widowControl/>
              <w:spacing w:line="240" w:lineRule="atLeast"/>
              <w:jc w:val="center"/>
              <w:rPr>
                <w:kern w:val="0"/>
                <w:szCs w:val="21"/>
              </w:rPr>
            </w:pPr>
            <w:r w:rsidRPr="000549B1">
              <w:rPr>
                <w:kern w:val="0"/>
                <w:szCs w:val="21"/>
              </w:rPr>
              <w:t>生物量</w:t>
            </w:r>
            <w:r w:rsidRPr="000549B1">
              <w:rPr>
                <w:kern w:val="0"/>
                <w:szCs w:val="21"/>
              </w:rPr>
              <w:t>(g/m</w:t>
            </w:r>
            <w:r w:rsidRPr="000549B1">
              <w:rPr>
                <w:kern w:val="0"/>
                <w:szCs w:val="21"/>
                <w:vertAlign w:val="superscript"/>
              </w:rPr>
              <w:t>2</w:t>
            </w:r>
            <w:r w:rsidRPr="000549B1">
              <w:rPr>
                <w:kern w:val="0"/>
                <w:szCs w:val="21"/>
              </w:rPr>
              <w:t>)</w:t>
            </w:r>
          </w:p>
        </w:tc>
        <w:tc>
          <w:tcPr>
            <w:tcW w:w="924" w:type="dxa"/>
            <w:noWrap/>
            <w:vAlign w:val="center"/>
          </w:tcPr>
          <w:p w14:paraId="3364A0BF" w14:textId="77777777" w:rsidR="00054437" w:rsidRPr="000549B1" w:rsidRDefault="00000000">
            <w:pPr>
              <w:widowControl/>
              <w:spacing w:line="240" w:lineRule="atLeast"/>
              <w:jc w:val="center"/>
              <w:rPr>
                <w:kern w:val="0"/>
                <w:szCs w:val="21"/>
              </w:rPr>
            </w:pPr>
            <w:r w:rsidRPr="000549B1">
              <w:rPr>
                <w:kern w:val="0"/>
                <w:szCs w:val="21"/>
              </w:rPr>
              <w:t>2.0030</w:t>
            </w:r>
          </w:p>
        </w:tc>
        <w:tc>
          <w:tcPr>
            <w:tcW w:w="1007" w:type="dxa"/>
            <w:noWrap/>
            <w:vAlign w:val="center"/>
          </w:tcPr>
          <w:p w14:paraId="36778F7C" w14:textId="77777777" w:rsidR="00054437" w:rsidRPr="000549B1" w:rsidRDefault="00000000">
            <w:pPr>
              <w:widowControl/>
              <w:spacing w:line="240" w:lineRule="atLeast"/>
              <w:jc w:val="center"/>
              <w:rPr>
                <w:kern w:val="0"/>
                <w:szCs w:val="21"/>
              </w:rPr>
            </w:pPr>
            <w:r w:rsidRPr="000549B1">
              <w:rPr>
                <w:kern w:val="0"/>
                <w:szCs w:val="21"/>
              </w:rPr>
              <w:t>0.0286</w:t>
            </w:r>
          </w:p>
        </w:tc>
        <w:tc>
          <w:tcPr>
            <w:tcW w:w="1007" w:type="dxa"/>
            <w:noWrap/>
            <w:vAlign w:val="center"/>
          </w:tcPr>
          <w:p w14:paraId="23C8688E" w14:textId="77777777" w:rsidR="00054437" w:rsidRPr="000549B1" w:rsidRDefault="00000000">
            <w:pPr>
              <w:widowControl/>
              <w:spacing w:line="240" w:lineRule="atLeast"/>
              <w:jc w:val="center"/>
              <w:rPr>
                <w:kern w:val="0"/>
                <w:szCs w:val="21"/>
              </w:rPr>
            </w:pPr>
            <w:r w:rsidRPr="000549B1">
              <w:rPr>
                <w:kern w:val="0"/>
                <w:szCs w:val="21"/>
              </w:rPr>
              <w:t>1.6184</w:t>
            </w:r>
          </w:p>
        </w:tc>
        <w:tc>
          <w:tcPr>
            <w:tcW w:w="1007" w:type="dxa"/>
            <w:noWrap/>
            <w:vAlign w:val="center"/>
          </w:tcPr>
          <w:p w14:paraId="5A5FE7A0" w14:textId="77777777" w:rsidR="00054437" w:rsidRPr="000549B1" w:rsidRDefault="00000000">
            <w:pPr>
              <w:widowControl/>
              <w:spacing w:line="240" w:lineRule="atLeast"/>
              <w:jc w:val="center"/>
              <w:rPr>
                <w:kern w:val="0"/>
                <w:szCs w:val="21"/>
              </w:rPr>
            </w:pPr>
            <w:r w:rsidRPr="000549B1">
              <w:rPr>
                <w:kern w:val="0"/>
                <w:szCs w:val="21"/>
              </w:rPr>
              <w:t>0.3560</w:t>
            </w:r>
          </w:p>
        </w:tc>
      </w:tr>
      <w:tr w:rsidR="000549B1" w:rsidRPr="000549B1" w14:paraId="4D6A9854" w14:textId="77777777">
        <w:trPr>
          <w:trHeight w:val="336"/>
          <w:jc w:val="center"/>
        </w:trPr>
        <w:tc>
          <w:tcPr>
            <w:tcW w:w="568" w:type="dxa"/>
            <w:vMerge/>
            <w:vAlign w:val="center"/>
          </w:tcPr>
          <w:p w14:paraId="0D315F15" w14:textId="77777777" w:rsidR="00054437" w:rsidRPr="000549B1" w:rsidRDefault="00054437">
            <w:pPr>
              <w:widowControl/>
              <w:spacing w:line="240" w:lineRule="atLeast"/>
              <w:jc w:val="center"/>
              <w:rPr>
                <w:kern w:val="0"/>
                <w:szCs w:val="21"/>
              </w:rPr>
            </w:pPr>
          </w:p>
        </w:tc>
        <w:tc>
          <w:tcPr>
            <w:tcW w:w="2482" w:type="dxa"/>
            <w:vMerge w:val="restart"/>
            <w:vAlign w:val="center"/>
          </w:tcPr>
          <w:p w14:paraId="3A196DDD" w14:textId="77777777" w:rsidR="00054437" w:rsidRPr="000549B1" w:rsidRDefault="00000000">
            <w:pPr>
              <w:widowControl/>
              <w:spacing w:line="240" w:lineRule="atLeast"/>
              <w:jc w:val="center"/>
              <w:rPr>
                <w:kern w:val="0"/>
                <w:szCs w:val="21"/>
              </w:rPr>
            </w:pPr>
            <w:r w:rsidRPr="000549B1">
              <w:rPr>
                <w:kern w:val="0"/>
                <w:szCs w:val="21"/>
              </w:rPr>
              <w:t>浪娘村桥下</w:t>
            </w:r>
          </w:p>
        </w:tc>
        <w:tc>
          <w:tcPr>
            <w:tcW w:w="1527" w:type="dxa"/>
            <w:noWrap/>
            <w:vAlign w:val="center"/>
          </w:tcPr>
          <w:p w14:paraId="7C988AD4" w14:textId="77777777" w:rsidR="00054437" w:rsidRPr="000549B1" w:rsidRDefault="00000000">
            <w:pPr>
              <w:widowControl/>
              <w:spacing w:line="240" w:lineRule="atLeast"/>
              <w:jc w:val="center"/>
              <w:rPr>
                <w:kern w:val="0"/>
                <w:szCs w:val="21"/>
              </w:rPr>
            </w:pPr>
            <w:r w:rsidRPr="000549B1">
              <w:rPr>
                <w:kern w:val="0"/>
                <w:szCs w:val="21"/>
              </w:rPr>
              <w:t>密度</w:t>
            </w:r>
            <w:r w:rsidRPr="000549B1">
              <w:rPr>
                <w:kern w:val="0"/>
                <w:szCs w:val="21"/>
              </w:rPr>
              <w:t>(ind./m</w:t>
            </w:r>
            <w:r w:rsidRPr="000549B1">
              <w:rPr>
                <w:kern w:val="0"/>
                <w:szCs w:val="21"/>
                <w:vertAlign w:val="superscript"/>
              </w:rPr>
              <w:t>2</w:t>
            </w:r>
            <w:r w:rsidRPr="000549B1">
              <w:rPr>
                <w:kern w:val="0"/>
                <w:szCs w:val="21"/>
              </w:rPr>
              <w:t>)</w:t>
            </w:r>
          </w:p>
        </w:tc>
        <w:tc>
          <w:tcPr>
            <w:tcW w:w="924" w:type="dxa"/>
            <w:noWrap/>
            <w:vAlign w:val="center"/>
          </w:tcPr>
          <w:p w14:paraId="0312D52A" w14:textId="77777777" w:rsidR="00054437" w:rsidRPr="000549B1" w:rsidRDefault="00000000">
            <w:pPr>
              <w:widowControl/>
              <w:spacing w:line="240" w:lineRule="atLeast"/>
              <w:jc w:val="center"/>
              <w:rPr>
                <w:kern w:val="0"/>
                <w:szCs w:val="21"/>
              </w:rPr>
            </w:pPr>
            <w:r w:rsidRPr="000549B1">
              <w:rPr>
                <w:kern w:val="0"/>
                <w:szCs w:val="21"/>
              </w:rPr>
              <w:t>90.00</w:t>
            </w:r>
          </w:p>
        </w:tc>
        <w:tc>
          <w:tcPr>
            <w:tcW w:w="1007" w:type="dxa"/>
            <w:noWrap/>
            <w:vAlign w:val="center"/>
          </w:tcPr>
          <w:p w14:paraId="04886056" w14:textId="77777777" w:rsidR="00054437" w:rsidRPr="000549B1" w:rsidRDefault="00000000">
            <w:pPr>
              <w:widowControl/>
              <w:spacing w:line="240" w:lineRule="atLeast"/>
              <w:jc w:val="center"/>
              <w:rPr>
                <w:kern w:val="0"/>
                <w:szCs w:val="21"/>
              </w:rPr>
            </w:pPr>
            <w:r w:rsidRPr="000549B1">
              <w:rPr>
                <w:kern w:val="0"/>
                <w:szCs w:val="21"/>
              </w:rPr>
              <w:t>36.00</w:t>
            </w:r>
          </w:p>
        </w:tc>
        <w:tc>
          <w:tcPr>
            <w:tcW w:w="1007" w:type="dxa"/>
            <w:noWrap/>
            <w:vAlign w:val="center"/>
          </w:tcPr>
          <w:p w14:paraId="7EE47FEF" w14:textId="77777777" w:rsidR="00054437" w:rsidRPr="000549B1" w:rsidRDefault="00000000">
            <w:pPr>
              <w:widowControl/>
              <w:spacing w:line="240" w:lineRule="atLeast"/>
              <w:jc w:val="center"/>
              <w:rPr>
                <w:kern w:val="0"/>
                <w:szCs w:val="21"/>
              </w:rPr>
            </w:pPr>
            <w:r w:rsidRPr="000549B1">
              <w:rPr>
                <w:kern w:val="0"/>
                <w:szCs w:val="21"/>
              </w:rPr>
              <w:t>46.00</w:t>
            </w:r>
          </w:p>
        </w:tc>
        <w:tc>
          <w:tcPr>
            <w:tcW w:w="1007" w:type="dxa"/>
            <w:noWrap/>
            <w:vAlign w:val="center"/>
          </w:tcPr>
          <w:p w14:paraId="1F0CE99B" w14:textId="77777777" w:rsidR="00054437" w:rsidRPr="000549B1" w:rsidRDefault="00000000">
            <w:pPr>
              <w:widowControl/>
              <w:spacing w:line="240" w:lineRule="atLeast"/>
              <w:jc w:val="center"/>
              <w:rPr>
                <w:kern w:val="0"/>
                <w:szCs w:val="21"/>
              </w:rPr>
            </w:pPr>
            <w:r w:rsidRPr="000549B1">
              <w:rPr>
                <w:kern w:val="0"/>
                <w:szCs w:val="21"/>
              </w:rPr>
              <w:t>8.00</w:t>
            </w:r>
          </w:p>
        </w:tc>
      </w:tr>
      <w:tr w:rsidR="000549B1" w:rsidRPr="000549B1" w14:paraId="76F26A13" w14:textId="77777777">
        <w:trPr>
          <w:trHeight w:val="336"/>
          <w:jc w:val="center"/>
        </w:trPr>
        <w:tc>
          <w:tcPr>
            <w:tcW w:w="568" w:type="dxa"/>
            <w:vMerge/>
            <w:vAlign w:val="center"/>
          </w:tcPr>
          <w:p w14:paraId="0D62B120" w14:textId="77777777" w:rsidR="00054437" w:rsidRPr="000549B1" w:rsidRDefault="00054437">
            <w:pPr>
              <w:widowControl/>
              <w:spacing w:line="240" w:lineRule="atLeast"/>
              <w:jc w:val="center"/>
              <w:rPr>
                <w:kern w:val="0"/>
                <w:szCs w:val="21"/>
              </w:rPr>
            </w:pPr>
          </w:p>
        </w:tc>
        <w:tc>
          <w:tcPr>
            <w:tcW w:w="2482" w:type="dxa"/>
            <w:vMerge/>
            <w:vAlign w:val="center"/>
          </w:tcPr>
          <w:p w14:paraId="1E31CD9A" w14:textId="77777777" w:rsidR="00054437" w:rsidRPr="000549B1" w:rsidRDefault="00054437">
            <w:pPr>
              <w:widowControl/>
              <w:spacing w:line="240" w:lineRule="atLeast"/>
              <w:jc w:val="center"/>
              <w:rPr>
                <w:kern w:val="0"/>
                <w:szCs w:val="21"/>
              </w:rPr>
            </w:pPr>
          </w:p>
        </w:tc>
        <w:tc>
          <w:tcPr>
            <w:tcW w:w="1527" w:type="dxa"/>
            <w:noWrap/>
            <w:vAlign w:val="center"/>
          </w:tcPr>
          <w:p w14:paraId="77A95087" w14:textId="77777777" w:rsidR="00054437" w:rsidRPr="000549B1" w:rsidRDefault="00000000">
            <w:pPr>
              <w:widowControl/>
              <w:spacing w:line="240" w:lineRule="atLeast"/>
              <w:jc w:val="center"/>
              <w:rPr>
                <w:kern w:val="0"/>
                <w:szCs w:val="21"/>
              </w:rPr>
            </w:pPr>
            <w:r w:rsidRPr="000549B1">
              <w:rPr>
                <w:kern w:val="0"/>
                <w:szCs w:val="21"/>
              </w:rPr>
              <w:t>生物量</w:t>
            </w:r>
            <w:r w:rsidRPr="000549B1">
              <w:rPr>
                <w:kern w:val="0"/>
                <w:szCs w:val="21"/>
              </w:rPr>
              <w:t>(g/m</w:t>
            </w:r>
            <w:r w:rsidRPr="000549B1">
              <w:rPr>
                <w:kern w:val="0"/>
                <w:szCs w:val="21"/>
                <w:vertAlign w:val="superscript"/>
              </w:rPr>
              <w:t>2</w:t>
            </w:r>
            <w:r w:rsidRPr="000549B1">
              <w:rPr>
                <w:kern w:val="0"/>
                <w:szCs w:val="21"/>
              </w:rPr>
              <w:t>)</w:t>
            </w:r>
          </w:p>
        </w:tc>
        <w:tc>
          <w:tcPr>
            <w:tcW w:w="924" w:type="dxa"/>
            <w:noWrap/>
            <w:vAlign w:val="center"/>
          </w:tcPr>
          <w:p w14:paraId="3583451A" w14:textId="77777777" w:rsidR="00054437" w:rsidRPr="000549B1" w:rsidRDefault="00000000">
            <w:pPr>
              <w:widowControl/>
              <w:spacing w:line="240" w:lineRule="atLeast"/>
              <w:jc w:val="center"/>
              <w:rPr>
                <w:kern w:val="0"/>
                <w:szCs w:val="21"/>
              </w:rPr>
            </w:pPr>
            <w:r w:rsidRPr="000549B1">
              <w:rPr>
                <w:kern w:val="0"/>
                <w:szCs w:val="21"/>
              </w:rPr>
              <w:t>0.8650</w:t>
            </w:r>
          </w:p>
        </w:tc>
        <w:tc>
          <w:tcPr>
            <w:tcW w:w="1007" w:type="dxa"/>
            <w:noWrap/>
            <w:vAlign w:val="center"/>
          </w:tcPr>
          <w:p w14:paraId="07FECC3E" w14:textId="77777777" w:rsidR="00054437" w:rsidRPr="000549B1" w:rsidRDefault="00000000">
            <w:pPr>
              <w:widowControl/>
              <w:spacing w:line="240" w:lineRule="atLeast"/>
              <w:jc w:val="center"/>
              <w:rPr>
                <w:kern w:val="0"/>
                <w:szCs w:val="21"/>
              </w:rPr>
            </w:pPr>
            <w:r w:rsidRPr="000549B1">
              <w:rPr>
                <w:kern w:val="0"/>
                <w:szCs w:val="21"/>
              </w:rPr>
              <w:t>0.1802</w:t>
            </w:r>
          </w:p>
        </w:tc>
        <w:tc>
          <w:tcPr>
            <w:tcW w:w="1007" w:type="dxa"/>
            <w:noWrap/>
            <w:vAlign w:val="center"/>
          </w:tcPr>
          <w:p w14:paraId="54EE192D" w14:textId="77777777" w:rsidR="00054437" w:rsidRPr="000549B1" w:rsidRDefault="00000000">
            <w:pPr>
              <w:widowControl/>
              <w:spacing w:line="240" w:lineRule="atLeast"/>
              <w:jc w:val="center"/>
              <w:rPr>
                <w:kern w:val="0"/>
                <w:szCs w:val="21"/>
              </w:rPr>
            </w:pPr>
            <w:r w:rsidRPr="000549B1">
              <w:rPr>
                <w:kern w:val="0"/>
                <w:szCs w:val="21"/>
              </w:rPr>
              <w:t>0.5670</w:t>
            </w:r>
          </w:p>
        </w:tc>
        <w:tc>
          <w:tcPr>
            <w:tcW w:w="1007" w:type="dxa"/>
            <w:noWrap/>
            <w:vAlign w:val="center"/>
          </w:tcPr>
          <w:p w14:paraId="4D48A518" w14:textId="77777777" w:rsidR="00054437" w:rsidRPr="000549B1" w:rsidRDefault="00000000">
            <w:pPr>
              <w:widowControl/>
              <w:spacing w:line="240" w:lineRule="atLeast"/>
              <w:jc w:val="center"/>
              <w:rPr>
                <w:kern w:val="0"/>
                <w:szCs w:val="21"/>
              </w:rPr>
            </w:pPr>
            <w:r w:rsidRPr="000549B1">
              <w:rPr>
                <w:kern w:val="0"/>
                <w:szCs w:val="21"/>
              </w:rPr>
              <w:t>0.1178</w:t>
            </w:r>
          </w:p>
        </w:tc>
      </w:tr>
      <w:tr w:rsidR="000549B1" w:rsidRPr="000549B1" w14:paraId="70D9E1EC" w14:textId="77777777">
        <w:trPr>
          <w:trHeight w:val="336"/>
          <w:jc w:val="center"/>
        </w:trPr>
        <w:tc>
          <w:tcPr>
            <w:tcW w:w="568" w:type="dxa"/>
            <w:vMerge/>
            <w:vAlign w:val="center"/>
          </w:tcPr>
          <w:p w14:paraId="4CDC4B5F" w14:textId="77777777" w:rsidR="00054437" w:rsidRPr="000549B1" w:rsidRDefault="00054437">
            <w:pPr>
              <w:widowControl/>
              <w:spacing w:line="240" w:lineRule="atLeast"/>
              <w:jc w:val="center"/>
              <w:rPr>
                <w:kern w:val="0"/>
                <w:szCs w:val="21"/>
              </w:rPr>
            </w:pPr>
          </w:p>
        </w:tc>
        <w:tc>
          <w:tcPr>
            <w:tcW w:w="2482" w:type="dxa"/>
            <w:vMerge w:val="restart"/>
            <w:vAlign w:val="center"/>
          </w:tcPr>
          <w:p w14:paraId="3A4447B7" w14:textId="77777777" w:rsidR="00054437" w:rsidRPr="000549B1" w:rsidRDefault="00000000">
            <w:pPr>
              <w:widowControl/>
              <w:spacing w:line="240" w:lineRule="atLeast"/>
              <w:jc w:val="center"/>
              <w:rPr>
                <w:kern w:val="0"/>
                <w:szCs w:val="21"/>
              </w:rPr>
            </w:pPr>
            <w:r w:rsidRPr="000549B1">
              <w:rPr>
                <w:kern w:val="0"/>
                <w:szCs w:val="21"/>
              </w:rPr>
              <w:t>沙珠玉河下游</w:t>
            </w:r>
          </w:p>
        </w:tc>
        <w:tc>
          <w:tcPr>
            <w:tcW w:w="1527" w:type="dxa"/>
            <w:noWrap/>
            <w:vAlign w:val="center"/>
          </w:tcPr>
          <w:p w14:paraId="688006E7" w14:textId="77777777" w:rsidR="00054437" w:rsidRPr="000549B1" w:rsidRDefault="00000000">
            <w:pPr>
              <w:widowControl/>
              <w:spacing w:line="240" w:lineRule="atLeast"/>
              <w:jc w:val="center"/>
              <w:rPr>
                <w:kern w:val="0"/>
                <w:szCs w:val="21"/>
              </w:rPr>
            </w:pPr>
            <w:r w:rsidRPr="000549B1">
              <w:rPr>
                <w:kern w:val="0"/>
                <w:szCs w:val="21"/>
              </w:rPr>
              <w:t>密度</w:t>
            </w:r>
            <w:r w:rsidRPr="000549B1">
              <w:rPr>
                <w:kern w:val="0"/>
                <w:szCs w:val="21"/>
              </w:rPr>
              <w:t>(ind./m</w:t>
            </w:r>
            <w:r w:rsidRPr="000549B1">
              <w:rPr>
                <w:kern w:val="0"/>
                <w:szCs w:val="21"/>
                <w:vertAlign w:val="superscript"/>
              </w:rPr>
              <w:t>2</w:t>
            </w:r>
            <w:r w:rsidRPr="000549B1">
              <w:rPr>
                <w:kern w:val="0"/>
                <w:szCs w:val="21"/>
              </w:rPr>
              <w:t>)</w:t>
            </w:r>
          </w:p>
        </w:tc>
        <w:tc>
          <w:tcPr>
            <w:tcW w:w="924" w:type="dxa"/>
            <w:noWrap/>
            <w:vAlign w:val="center"/>
          </w:tcPr>
          <w:p w14:paraId="1295BA71" w14:textId="77777777" w:rsidR="00054437" w:rsidRPr="000549B1" w:rsidRDefault="00000000">
            <w:pPr>
              <w:widowControl/>
              <w:spacing w:line="240" w:lineRule="atLeast"/>
              <w:jc w:val="center"/>
              <w:rPr>
                <w:kern w:val="0"/>
                <w:szCs w:val="21"/>
              </w:rPr>
            </w:pPr>
            <w:r w:rsidRPr="000549B1">
              <w:rPr>
                <w:kern w:val="0"/>
                <w:szCs w:val="21"/>
              </w:rPr>
              <w:t>34.00</w:t>
            </w:r>
          </w:p>
        </w:tc>
        <w:tc>
          <w:tcPr>
            <w:tcW w:w="1007" w:type="dxa"/>
            <w:noWrap/>
            <w:vAlign w:val="center"/>
          </w:tcPr>
          <w:p w14:paraId="151E3175" w14:textId="77777777" w:rsidR="00054437" w:rsidRPr="000549B1" w:rsidRDefault="00000000">
            <w:pPr>
              <w:widowControl/>
              <w:spacing w:line="240" w:lineRule="atLeast"/>
              <w:jc w:val="center"/>
              <w:rPr>
                <w:kern w:val="0"/>
                <w:szCs w:val="21"/>
              </w:rPr>
            </w:pPr>
            <w:r w:rsidRPr="000549B1">
              <w:rPr>
                <w:kern w:val="0"/>
                <w:szCs w:val="21"/>
              </w:rPr>
              <w:t>18.00</w:t>
            </w:r>
          </w:p>
        </w:tc>
        <w:tc>
          <w:tcPr>
            <w:tcW w:w="1007" w:type="dxa"/>
            <w:noWrap/>
            <w:vAlign w:val="center"/>
          </w:tcPr>
          <w:p w14:paraId="425C1604" w14:textId="77777777" w:rsidR="00054437" w:rsidRPr="000549B1" w:rsidRDefault="00000000">
            <w:pPr>
              <w:widowControl/>
              <w:spacing w:line="240" w:lineRule="atLeast"/>
              <w:jc w:val="center"/>
              <w:rPr>
                <w:kern w:val="0"/>
                <w:szCs w:val="21"/>
              </w:rPr>
            </w:pPr>
            <w:r w:rsidRPr="000549B1">
              <w:rPr>
                <w:kern w:val="0"/>
                <w:szCs w:val="21"/>
              </w:rPr>
              <w:t>16.00</w:t>
            </w:r>
          </w:p>
        </w:tc>
        <w:tc>
          <w:tcPr>
            <w:tcW w:w="1007" w:type="dxa"/>
            <w:noWrap/>
            <w:vAlign w:val="center"/>
          </w:tcPr>
          <w:p w14:paraId="61C5805A" w14:textId="77777777" w:rsidR="00054437" w:rsidRPr="000549B1" w:rsidRDefault="00000000">
            <w:pPr>
              <w:widowControl/>
              <w:spacing w:line="240" w:lineRule="atLeast"/>
              <w:jc w:val="center"/>
              <w:rPr>
                <w:kern w:val="0"/>
                <w:szCs w:val="21"/>
              </w:rPr>
            </w:pPr>
            <w:r w:rsidRPr="000549B1">
              <w:rPr>
                <w:kern w:val="0"/>
                <w:szCs w:val="21"/>
              </w:rPr>
              <w:t>0.00</w:t>
            </w:r>
          </w:p>
        </w:tc>
      </w:tr>
      <w:tr w:rsidR="000549B1" w:rsidRPr="000549B1" w14:paraId="2054A4A5" w14:textId="77777777">
        <w:trPr>
          <w:trHeight w:val="336"/>
          <w:jc w:val="center"/>
        </w:trPr>
        <w:tc>
          <w:tcPr>
            <w:tcW w:w="568" w:type="dxa"/>
            <w:vMerge/>
            <w:vAlign w:val="center"/>
          </w:tcPr>
          <w:p w14:paraId="71BD03C8" w14:textId="77777777" w:rsidR="00054437" w:rsidRPr="000549B1" w:rsidRDefault="00054437">
            <w:pPr>
              <w:widowControl/>
              <w:spacing w:line="240" w:lineRule="atLeast"/>
              <w:jc w:val="center"/>
              <w:rPr>
                <w:kern w:val="0"/>
                <w:szCs w:val="21"/>
              </w:rPr>
            </w:pPr>
          </w:p>
        </w:tc>
        <w:tc>
          <w:tcPr>
            <w:tcW w:w="2482" w:type="dxa"/>
            <w:vMerge/>
            <w:vAlign w:val="center"/>
          </w:tcPr>
          <w:p w14:paraId="7B4702F8" w14:textId="77777777" w:rsidR="00054437" w:rsidRPr="000549B1" w:rsidRDefault="00054437">
            <w:pPr>
              <w:widowControl/>
              <w:spacing w:line="240" w:lineRule="atLeast"/>
              <w:jc w:val="center"/>
              <w:rPr>
                <w:kern w:val="0"/>
                <w:szCs w:val="21"/>
              </w:rPr>
            </w:pPr>
          </w:p>
        </w:tc>
        <w:tc>
          <w:tcPr>
            <w:tcW w:w="1527" w:type="dxa"/>
            <w:noWrap/>
            <w:vAlign w:val="center"/>
          </w:tcPr>
          <w:p w14:paraId="6E49D2E9" w14:textId="77777777" w:rsidR="00054437" w:rsidRPr="000549B1" w:rsidRDefault="00000000">
            <w:pPr>
              <w:widowControl/>
              <w:spacing w:line="240" w:lineRule="atLeast"/>
              <w:jc w:val="center"/>
              <w:rPr>
                <w:kern w:val="0"/>
                <w:szCs w:val="21"/>
              </w:rPr>
            </w:pPr>
            <w:r w:rsidRPr="000549B1">
              <w:rPr>
                <w:kern w:val="0"/>
                <w:szCs w:val="21"/>
              </w:rPr>
              <w:t>生物量</w:t>
            </w:r>
            <w:r w:rsidRPr="000549B1">
              <w:rPr>
                <w:kern w:val="0"/>
                <w:szCs w:val="21"/>
              </w:rPr>
              <w:t>(g/m</w:t>
            </w:r>
            <w:r w:rsidRPr="000549B1">
              <w:rPr>
                <w:kern w:val="0"/>
                <w:szCs w:val="21"/>
                <w:vertAlign w:val="superscript"/>
              </w:rPr>
              <w:t>2</w:t>
            </w:r>
            <w:r w:rsidRPr="000549B1">
              <w:rPr>
                <w:kern w:val="0"/>
                <w:szCs w:val="21"/>
              </w:rPr>
              <w:t>)</w:t>
            </w:r>
          </w:p>
        </w:tc>
        <w:tc>
          <w:tcPr>
            <w:tcW w:w="924" w:type="dxa"/>
            <w:noWrap/>
            <w:vAlign w:val="center"/>
          </w:tcPr>
          <w:p w14:paraId="212D275D" w14:textId="77777777" w:rsidR="00054437" w:rsidRPr="000549B1" w:rsidRDefault="00000000">
            <w:pPr>
              <w:widowControl/>
              <w:spacing w:line="240" w:lineRule="atLeast"/>
              <w:jc w:val="center"/>
              <w:rPr>
                <w:kern w:val="0"/>
                <w:szCs w:val="21"/>
              </w:rPr>
            </w:pPr>
            <w:r w:rsidRPr="000549B1">
              <w:rPr>
                <w:kern w:val="0"/>
                <w:szCs w:val="21"/>
              </w:rPr>
              <w:t>0.2452</w:t>
            </w:r>
          </w:p>
        </w:tc>
        <w:tc>
          <w:tcPr>
            <w:tcW w:w="1007" w:type="dxa"/>
            <w:noWrap/>
            <w:vAlign w:val="center"/>
          </w:tcPr>
          <w:p w14:paraId="5C4BD1DB" w14:textId="77777777" w:rsidR="00054437" w:rsidRPr="000549B1" w:rsidRDefault="00000000">
            <w:pPr>
              <w:widowControl/>
              <w:spacing w:line="240" w:lineRule="atLeast"/>
              <w:jc w:val="center"/>
              <w:rPr>
                <w:kern w:val="0"/>
                <w:szCs w:val="21"/>
              </w:rPr>
            </w:pPr>
            <w:r w:rsidRPr="000549B1">
              <w:rPr>
                <w:kern w:val="0"/>
                <w:szCs w:val="21"/>
              </w:rPr>
              <w:t>0.0640</w:t>
            </w:r>
          </w:p>
        </w:tc>
        <w:tc>
          <w:tcPr>
            <w:tcW w:w="1007" w:type="dxa"/>
            <w:noWrap/>
            <w:vAlign w:val="center"/>
          </w:tcPr>
          <w:p w14:paraId="63BEABCD" w14:textId="77777777" w:rsidR="00054437" w:rsidRPr="000549B1" w:rsidRDefault="00000000">
            <w:pPr>
              <w:widowControl/>
              <w:spacing w:line="240" w:lineRule="atLeast"/>
              <w:jc w:val="center"/>
              <w:rPr>
                <w:kern w:val="0"/>
                <w:szCs w:val="21"/>
              </w:rPr>
            </w:pPr>
            <w:r w:rsidRPr="000549B1">
              <w:rPr>
                <w:kern w:val="0"/>
                <w:szCs w:val="21"/>
              </w:rPr>
              <w:t>0.1812</w:t>
            </w:r>
          </w:p>
        </w:tc>
        <w:tc>
          <w:tcPr>
            <w:tcW w:w="1007" w:type="dxa"/>
            <w:noWrap/>
            <w:vAlign w:val="center"/>
          </w:tcPr>
          <w:p w14:paraId="24D1D13C" w14:textId="77777777" w:rsidR="00054437" w:rsidRPr="000549B1" w:rsidRDefault="00000000">
            <w:pPr>
              <w:widowControl/>
              <w:spacing w:line="240" w:lineRule="atLeast"/>
              <w:jc w:val="center"/>
              <w:rPr>
                <w:kern w:val="0"/>
                <w:szCs w:val="21"/>
              </w:rPr>
            </w:pPr>
            <w:r w:rsidRPr="000549B1">
              <w:rPr>
                <w:kern w:val="0"/>
                <w:szCs w:val="21"/>
              </w:rPr>
              <w:t>0.0000</w:t>
            </w:r>
          </w:p>
        </w:tc>
      </w:tr>
      <w:tr w:rsidR="000549B1" w:rsidRPr="000549B1" w14:paraId="62ED2D9C" w14:textId="77777777">
        <w:trPr>
          <w:trHeight w:val="321"/>
          <w:jc w:val="center"/>
        </w:trPr>
        <w:tc>
          <w:tcPr>
            <w:tcW w:w="3050" w:type="dxa"/>
            <w:gridSpan w:val="2"/>
            <w:vMerge w:val="restart"/>
            <w:vAlign w:val="center"/>
          </w:tcPr>
          <w:p w14:paraId="6A3D0A1B" w14:textId="77777777" w:rsidR="00054437" w:rsidRPr="000549B1" w:rsidRDefault="00000000">
            <w:pPr>
              <w:widowControl/>
              <w:spacing w:line="240" w:lineRule="atLeast"/>
              <w:jc w:val="center"/>
              <w:rPr>
                <w:kern w:val="0"/>
                <w:szCs w:val="21"/>
              </w:rPr>
            </w:pPr>
            <w:r w:rsidRPr="000549B1">
              <w:rPr>
                <w:kern w:val="0"/>
                <w:szCs w:val="21"/>
              </w:rPr>
              <w:t>均值</w:t>
            </w:r>
          </w:p>
        </w:tc>
        <w:tc>
          <w:tcPr>
            <w:tcW w:w="1527" w:type="dxa"/>
            <w:noWrap/>
            <w:vAlign w:val="center"/>
          </w:tcPr>
          <w:p w14:paraId="42B9A88B" w14:textId="77777777" w:rsidR="00054437" w:rsidRPr="000549B1" w:rsidRDefault="00000000">
            <w:pPr>
              <w:widowControl/>
              <w:spacing w:line="240" w:lineRule="atLeast"/>
              <w:jc w:val="center"/>
              <w:rPr>
                <w:kern w:val="0"/>
                <w:szCs w:val="21"/>
              </w:rPr>
            </w:pPr>
            <w:r w:rsidRPr="000549B1">
              <w:rPr>
                <w:kern w:val="0"/>
                <w:szCs w:val="21"/>
              </w:rPr>
              <w:t>密度</w:t>
            </w:r>
            <w:r w:rsidRPr="000549B1">
              <w:rPr>
                <w:kern w:val="0"/>
                <w:szCs w:val="21"/>
              </w:rPr>
              <w:t>(ind./m</w:t>
            </w:r>
            <w:r w:rsidRPr="000549B1">
              <w:rPr>
                <w:kern w:val="0"/>
                <w:szCs w:val="21"/>
                <w:vertAlign w:val="superscript"/>
              </w:rPr>
              <w:t>2</w:t>
            </w:r>
            <w:r w:rsidRPr="000549B1">
              <w:rPr>
                <w:kern w:val="0"/>
                <w:szCs w:val="21"/>
              </w:rPr>
              <w:t>)</w:t>
            </w:r>
          </w:p>
        </w:tc>
        <w:tc>
          <w:tcPr>
            <w:tcW w:w="924" w:type="dxa"/>
            <w:noWrap/>
            <w:vAlign w:val="bottom"/>
          </w:tcPr>
          <w:p w14:paraId="6783A433" w14:textId="77777777" w:rsidR="00054437" w:rsidRPr="000549B1" w:rsidRDefault="00000000">
            <w:pPr>
              <w:widowControl/>
              <w:jc w:val="center"/>
              <w:textAlignment w:val="bottom"/>
              <w:rPr>
                <w:kern w:val="0"/>
                <w:szCs w:val="21"/>
              </w:rPr>
            </w:pPr>
            <w:r w:rsidRPr="000549B1">
              <w:rPr>
                <w:rFonts w:eastAsia="等线"/>
                <w:kern w:val="0"/>
                <w:szCs w:val="21"/>
                <w:lang w:bidi="ar"/>
              </w:rPr>
              <w:t>57.0</w:t>
            </w:r>
          </w:p>
        </w:tc>
        <w:tc>
          <w:tcPr>
            <w:tcW w:w="1007" w:type="dxa"/>
            <w:noWrap/>
            <w:vAlign w:val="bottom"/>
          </w:tcPr>
          <w:p w14:paraId="403F3236" w14:textId="77777777" w:rsidR="00054437" w:rsidRPr="000549B1" w:rsidRDefault="00000000">
            <w:pPr>
              <w:widowControl/>
              <w:jc w:val="center"/>
              <w:textAlignment w:val="bottom"/>
              <w:rPr>
                <w:kern w:val="0"/>
                <w:szCs w:val="21"/>
              </w:rPr>
            </w:pPr>
            <w:r w:rsidRPr="000549B1">
              <w:rPr>
                <w:rFonts w:eastAsia="等线"/>
                <w:kern w:val="0"/>
                <w:szCs w:val="21"/>
                <w:lang w:bidi="ar"/>
              </w:rPr>
              <w:t>13.3</w:t>
            </w:r>
          </w:p>
        </w:tc>
        <w:tc>
          <w:tcPr>
            <w:tcW w:w="1007" w:type="dxa"/>
            <w:noWrap/>
            <w:vAlign w:val="bottom"/>
          </w:tcPr>
          <w:p w14:paraId="53761ADB" w14:textId="77777777" w:rsidR="00054437" w:rsidRPr="000549B1" w:rsidRDefault="00000000">
            <w:pPr>
              <w:widowControl/>
              <w:jc w:val="center"/>
              <w:textAlignment w:val="bottom"/>
              <w:rPr>
                <w:kern w:val="0"/>
                <w:szCs w:val="21"/>
              </w:rPr>
            </w:pPr>
            <w:r w:rsidRPr="000549B1">
              <w:rPr>
                <w:rFonts w:eastAsia="等线"/>
                <w:kern w:val="0"/>
                <w:szCs w:val="21"/>
                <w:lang w:bidi="ar"/>
              </w:rPr>
              <w:t>41.3</w:t>
            </w:r>
          </w:p>
        </w:tc>
        <w:tc>
          <w:tcPr>
            <w:tcW w:w="1007" w:type="dxa"/>
            <w:noWrap/>
            <w:vAlign w:val="bottom"/>
          </w:tcPr>
          <w:p w14:paraId="74F12A35" w14:textId="77777777" w:rsidR="00054437" w:rsidRPr="000549B1" w:rsidRDefault="00000000">
            <w:pPr>
              <w:widowControl/>
              <w:jc w:val="center"/>
              <w:textAlignment w:val="bottom"/>
              <w:rPr>
                <w:kern w:val="0"/>
                <w:szCs w:val="21"/>
              </w:rPr>
            </w:pPr>
            <w:r w:rsidRPr="000549B1">
              <w:rPr>
                <w:rFonts w:eastAsia="等线"/>
                <w:kern w:val="0"/>
                <w:szCs w:val="21"/>
                <w:lang w:bidi="ar"/>
              </w:rPr>
              <w:t>2.3</w:t>
            </w:r>
          </w:p>
        </w:tc>
      </w:tr>
      <w:tr w:rsidR="000549B1" w:rsidRPr="000549B1" w14:paraId="3E177107" w14:textId="77777777">
        <w:trPr>
          <w:trHeight w:val="321"/>
          <w:jc w:val="center"/>
        </w:trPr>
        <w:tc>
          <w:tcPr>
            <w:tcW w:w="3050" w:type="dxa"/>
            <w:gridSpan w:val="2"/>
            <w:vMerge/>
            <w:vAlign w:val="center"/>
          </w:tcPr>
          <w:p w14:paraId="3FFBAB57" w14:textId="77777777" w:rsidR="00054437" w:rsidRPr="000549B1" w:rsidRDefault="00054437">
            <w:pPr>
              <w:widowControl/>
              <w:spacing w:line="240" w:lineRule="atLeast"/>
              <w:jc w:val="center"/>
              <w:rPr>
                <w:kern w:val="0"/>
                <w:szCs w:val="21"/>
              </w:rPr>
            </w:pPr>
          </w:p>
        </w:tc>
        <w:tc>
          <w:tcPr>
            <w:tcW w:w="1527" w:type="dxa"/>
            <w:noWrap/>
            <w:vAlign w:val="center"/>
          </w:tcPr>
          <w:p w14:paraId="34E8F123" w14:textId="77777777" w:rsidR="00054437" w:rsidRPr="000549B1" w:rsidRDefault="00000000">
            <w:pPr>
              <w:widowControl/>
              <w:spacing w:line="240" w:lineRule="atLeast"/>
              <w:jc w:val="center"/>
              <w:rPr>
                <w:kern w:val="0"/>
                <w:szCs w:val="21"/>
              </w:rPr>
            </w:pPr>
            <w:r w:rsidRPr="000549B1">
              <w:rPr>
                <w:kern w:val="0"/>
                <w:szCs w:val="21"/>
              </w:rPr>
              <w:t>生物量</w:t>
            </w:r>
            <w:r w:rsidRPr="000549B1">
              <w:rPr>
                <w:kern w:val="0"/>
                <w:szCs w:val="21"/>
              </w:rPr>
              <w:t>(g/m</w:t>
            </w:r>
            <w:r w:rsidRPr="000549B1">
              <w:rPr>
                <w:kern w:val="0"/>
                <w:szCs w:val="21"/>
                <w:vertAlign w:val="superscript"/>
              </w:rPr>
              <w:t>2</w:t>
            </w:r>
            <w:r w:rsidRPr="000549B1">
              <w:rPr>
                <w:kern w:val="0"/>
                <w:szCs w:val="21"/>
              </w:rPr>
              <w:t>)</w:t>
            </w:r>
          </w:p>
        </w:tc>
        <w:tc>
          <w:tcPr>
            <w:tcW w:w="924" w:type="dxa"/>
            <w:noWrap/>
            <w:vAlign w:val="bottom"/>
          </w:tcPr>
          <w:p w14:paraId="67779EF5" w14:textId="77777777" w:rsidR="00054437" w:rsidRPr="000549B1" w:rsidRDefault="00000000">
            <w:pPr>
              <w:widowControl/>
              <w:jc w:val="center"/>
              <w:textAlignment w:val="bottom"/>
              <w:rPr>
                <w:kern w:val="0"/>
                <w:szCs w:val="21"/>
              </w:rPr>
            </w:pPr>
            <w:r w:rsidRPr="000549B1">
              <w:rPr>
                <w:rFonts w:eastAsia="等线"/>
                <w:kern w:val="0"/>
                <w:szCs w:val="21"/>
                <w:lang w:bidi="ar"/>
              </w:rPr>
              <w:t>0.7318</w:t>
            </w:r>
          </w:p>
        </w:tc>
        <w:tc>
          <w:tcPr>
            <w:tcW w:w="1007" w:type="dxa"/>
            <w:noWrap/>
            <w:vAlign w:val="bottom"/>
          </w:tcPr>
          <w:p w14:paraId="731A15A3" w14:textId="77777777" w:rsidR="00054437" w:rsidRPr="000549B1" w:rsidRDefault="00000000">
            <w:pPr>
              <w:widowControl/>
              <w:jc w:val="center"/>
              <w:textAlignment w:val="bottom"/>
              <w:rPr>
                <w:kern w:val="0"/>
                <w:szCs w:val="21"/>
              </w:rPr>
            </w:pPr>
            <w:r w:rsidRPr="000549B1">
              <w:rPr>
                <w:rFonts w:eastAsia="等线"/>
                <w:kern w:val="0"/>
                <w:szCs w:val="21"/>
                <w:lang w:bidi="ar"/>
              </w:rPr>
              <w:t>0.0731</w:t>
            </w:r>
          </w:p>
        </w:tc>
        <w:tc>
          <w:tcPr>
            <w:tcW w:w="1007" w:type="dxa"/>
            <w:noWrap/>
            <w:vAlign w:val="bottom"/>
          </w:tcPr>
          <w:p w14:paraId="4ABCF8FD" w14:textId="77777777" w:rsidR="00054437" w:rsidRPr="000549B1" w:rsidRDefault="00000000">
            <w:pPr>
              <w:widowControl/>
              <w:jc w:val="center"/>
              <w:textAlignment w:val="bottom"/>
              <w:rPr>
                <w:kern w:val="0"/>
                <w:szCs w:val="21"/>
              </w:rPr>
            </w:pPr>
            <w:r w:rsidRPr="000549B1">
              <w:rPr>
                <w:rFonts w:eastAsia="等线"/>
                <w:kern w:val="0"/>
                <w:szCs w:val="21"/>
                <w:lang w:bidi="ar"/>
              </w:rPr>
              <w:t>0.5797</w:t>
            </w:r>
          </w:p>
        </w:tc>
        <w:tc>
          <w:tcPr>
            <w:tcW w:w="1007" w:type="dxa"/>
            <w:noWrap/>
            <w:vAlign w:val="bottom"/>
          </w:tcPr>
          <w:p w14:paraId="4EA8D59B" w14:textId="77777777" w:rsidR="00054437" w:rsidRPr="000549B1" w:rsidRDefault="00000000">
            <w:pPr>
              <w:widowControl/>
              <w:jc w:val="center"/>
              <w:textAlignment w:val="bottom"/>
              <w:rPr>
                <w:kern w:val="0"/>
                <w:szCs w:val="21"/>
              </w:rPr>
            </w:pPr>
            <w:r w:rsidRPr="000549B1">
              <w:rPr>
                <w:rFonts w:eastAsia="等线"/>
                <w:kern w:val="0"/>
                <w:szCs w:val="21"/>
                <w:lang w:bidi="ar"/>
              </w:rPr>
              <w:t>0.0790</w:t>
            </w:r>
          </w:p>
        </w:tc>
      </w:tr>
    </w:tbl>
    <w:p w14:paraId="2457EB97" w14:textId="77777777" w:rsidR="00054437" w:rsidRPr="000549B1" w:rsidRDefault="00000000">
      <w:pPr>
        <w:pStyle w:val="3"/>
      </w:pPr>
      <w:bookmarkStart w:id="297" w:name="_Toc216107028"/>
      <w:r w:rsidRPr="000549B1">
        <w:t>鱼类</w:t>
      </w:r>
      <w:bookmarkEnd w:id="297"/>
    </w:p>
    <w:p w14:paraId="5BF5D5B9" w14:textId="77777777" w:rsidR="00054437" w:rsidRPr="000549B1" w:rsidRDefault="00000000">
      <w:pPr>
        <w:pStyle w:val="4"/>
        <w:adjustRightInd w:val="0"/>
        <w:snapToGrid w:val="0"/>
        <w:spacing w:before="0" w:after="0" w:line="360" w:lineRule="auto"/>
        <w:rPr>
          <w:rFonts w:ascii="Times New Roman" w:eastAsia="黑体" w:hAnsi="Times New Roman"/>
          <w:bCs w:val="0"/>
          <w:lang w:val="zh-CN"/>
        </w:rPr>
      </w:pPr>
      <w:r w:rsidRPr="000549B1">
        <w:rPr>
          <w:rFonts w:ascii="Times New Roman" w:eastAsia="黑体" w:hAnsi="Times New Roman"/>
          <w:bCs w:val="0"/>
        </w:rPr>
        <w:t>鱼类资源</w:t>
      </w:r>
      <w:r w:rsidRPr="000549B1">
        <w:rPr>
          <w:rFonts w:ascii="Times New Roman" w:eastAsia="黑体" w:hAnsi="Times New Roman"/>
          <w:bCs w:val="0"/>
          <w:lang w:val="zh-CN"/>
        </w:rPr>
        <w:t>现状调查与评价</w:t>
      </w:r>
    </w:p>
    <w:p w14:paraId="0114FA32" w14:textId="77777777" w:rsidR="00054437" w:rsidRPr="000549B1" w:rsidRDefault="00000000">
      <w:pPr>
        <w:pStyle w:val="aff9"/>
        <w:numPr>
          <w:ilvl w:val="0"/>
          <w:numId w:val="6"/>
        </w:numPr>
        <w:tabs>
          <w:tab w:val="left" w:pos="4500"/>
        </w:tabs>
        <w:spacing w:line="500" w:lineRule="exact"/>
        <w:ind w:firstLineChars="0"/>
        <w:jc w:val="left"/>
        <w:rPr>
          <w:kern w:val="0"/>
          <w:sz w:val="24"/>
        </w:rPr>
      </w:pPr>
      <w:r w:rsidRPr="000549B1">
        <w:rPr>
          <w:kern w:val="0"/>
          <w:sz w:val="24"/>
        </w:rPr>
        <w:t>鱼类组成名录</w:t>
      </w:r>
    </w:p>
    <w:p w14:paraId="1CCEF76E" w14:textId="77777777" w:rsidR="00054437" w:rsidRPr="000549B1" w:rsidRDefault="00000000">
      <w:pPr>
        <w:tabs>
          <w:tab w:val="left" w:pos="4500"/>
        </w:tabs>
        <w:spacing w:line="500" w:lineRule="exact"/>
        <w:ind w:firstLineChars="200" w:firstLine="480"/>
        <w:jc w:val="left"/>
        <w:rPr>
          <w:kern w:val="0"/>
          <w:sz w:val="24"/>
        </w:rPr>
      </w:pPr>
      <w:r w:rsidRPr="000549B1">
        <w:rPr>
          <w:kern w:val="0"/>
          <w:sz w:val="24"/>
        </w:rPr>
        <w:t>1</w:t>
      </w:r>
      <w:r w:rsidRPr="000549B1">
        <w:rPr>
          <w:kern w:val="0"/>
          <w:sz w:val="24"/>
        </w:rPr>
        <w:t>）切吉河</w:t>
      </w:r>
    </w:p>
    <w:p w14:paraId="4AF6F155" w14:textId="77777777" w:rsidR="00054437" w:rsidRPr="000549B1" w:rsidRDefault="00000000">
      <w:pPr>
        <w:tabs>
          <w:tab w:val="left" w:pos="4500"/>
        </w:tabs>
        <w:spacing w:line="500" w:lineRule="exact"/>
        <w:ind w:firstLineChars="200" w:firstLine="480"/>
        <w:jc w:val="left"/>
        <w:rPr>
          <w:kern w:val="0"/>
          <w:sz w:val="24"/>
        </w:rPr>
      </w:pPr>
      <w:r w:rsidRPr="000549B1">
        <w:rPr>
          <w:kern w:val="0"/>
          <w:sz w:val="24"/>
        </w:rPr>
        <w:t>此次调查在切吉河共记录到鱼类</w:t>
      </w:r>
      <w:r w:rsidRPr="000549B1">
        <w:rPr>
          <w:kern w:val="0"/>
          <w:sz w:val="24"/>
        </w:rPr>
        <w:t>1</w:t>
      </w:r>
      <w:r w:rsidRPr="000549B1">
        <w:rPr>
          <w:kern w:val="0"/>
          <w:sz w:val="24"/>
        </w:rPr>
        <w:t>目</w:t>
      </w:r>
      <w:r w:rsidRPr="000549B1">
        <w:rPr>
          <w:kern w:val="0"/>
          <w:sz w:val="24"/>
        </w:rPr>
        <w:t>1</w:t>
      </w:r>
      <w:r w:rsidRPr="000549B1">
        <w:rPr>
          <w:kern w:val="0"/>
          <w:sz w:val="24"/>
        </w:rPr>
        <w:t>科</w:t>
      </w:r>
      <w:r w:rsidRPr="000549B1">
        <w:rPr>
          <w:kern w:val="0"/>
          <w:sz w:val="24"/>
        </w:rPr>
        <w:t>2</w:t>
      </w:r>
      <w:r w:rsidRPr="000549B1">
        <w:rPr>
          <w:kern w:val="0"/>
          <w:sz w:val="24"/>
        </w:rPr>
        <w:t>种，主要为高原鳅类，茶卡高原鳅在上下游河段及切吉河库区均有分布，短尾高原鳅仅在切吉河库区调查到。</w:t>
      </w:r>
    </w:p>
    <w:p w14:paraId="7E951BF6" w14:textId="56757183" w:rsidR="00054437" w:rsidRPr="000549B1" w:rsidRDefault="00000000">
      <w:pPr>
        <w:pStyle w:val="0A51"/>
        <w:ind w:firstLine="422"/>
      </w:pPr>
      <w:r w:rsidRPr="000549B1">
        <w:t>表</w:t>
      </w:r>
      <w:fldSimple w:instr=" STYLEREF 2 \s ">
        <w:r w:rsidR="00372953">
          <w:rPr>
            <w:noProof/>
          </w:rPr>
          <w:t>3.6</w:t>
        </w:r>
      </w:fldSimple>
      <w:r w:rsidR="00372953">
        <w:noBreakHyphen/>
      </w:r>
      <w:r w:rsidR="00372953">
        <w:fldChar w:fldCharType="begin"/>
      </w:r>
      <w:r w:rsidR="00372953">
        <w:instrText xml:space="preserve"> SEQ </w:instrText>
      </w:r>
      <w:r w:rsidR="00372953">
        <w:instrText>表</w:instrText>
      </w:r>
      <w:r w:rsidR="00372953">
        <w:instrText xml:space="preserve"> \* ARABIC \s 2 </w:instrText>
      </w:r>
      <w:r w:rsidR="00372953">
        <w:fldChar w:fldCharType="separate"/>
      </w:r>
      <w:r w:rsidR="00372953">
        <w:rPr>
          <w:noProof/>
        </w:rPr>
        <w:t>11</w:t>
      </w:r>
      <w:r w:rsidR="00372953">
        <w:fldChar w:fldCharType="end"/>
      </w:r>
      <w:r w:rsidRPr="000549B1">
        <w:t>切吉河鱼类组成名录</w:t>
      </w:r>
    </w:p>
    <w:tbl>
      <w:tblPr>
        <w:tblStyle w:val="43"/>
        <w:tblW w:w="5000" w:type="pct"/>
        <w:tblLook w:val="04A0" w:firstRow="1" w:lastRow="0" w:firstColumn="1" w:lastColumn="0" w:noHBand="0" w:noVBand="1"/>
      </w:tblPr>
      <w:tblGrid>
        <w:gridCol w:w="1569"/>
        <w:gridCol w:w="1359"/>
        <w:gridCol w:w="3901"/>
        <w:gridCol w:w="1467"/>
      </w:tblGrid>
      <w:tr w:rsidR="000549B1" w:rsidRPr="000549B1" w14:paraId="4A166D97" w14:textId="77777777">
        <w:trPr>
          <w:trHeight w:val="20"/>
        </w:trPr>
        <w:tc>
          <w:tcPr>
            <w:tcW w:w="946" w:type="pct"/>
            <w:vAlign w:val="center"/>
          </w:tcPr>
          <w:p w14:paraId="395E98DD" w14:textId="77777777" w:rsidR="00054437" w:rsidRPr="000549B1" w:rsidRDefault="00000000">
            <w:pPr>
              <w:pStyle w:val="27"/>
              <w:ind w:firstLineChars="0" w:firstLine="0"/>
              <w:jc w:val="center"/>
              <w:rPr>
                <w:b/>
                <w:bCs/>
                <w:kern w:val="0"/>
                <w:sz w:val="21"/>
                <w:szCs w:val="21"/>
              </w:rPr>
            </w:pPr>
            <w:r w:rsidRPr="000549B1">
              <w:rPr>
                <w:b/>
                <w:bCs/>
                <w:kern w:val="0"/>
                <w:sz w:val="21"/>
                <w:szCs w:val="21"/>
              </w:rPr>
              <w:t>目</w:t>
            </w:r>
          </w:p>
        </w:tc>
        <w:tc>
          <w:tcPr>
            <w:tcW w:w="819" w:type="pct"/>
            <w:vAlign w:val="center"/>
          </w:tcPr>
          <w:p w14:paraId="7D1B30B8" w14:textId="77777777" w:rsidR="00054437" w:rsidRPr="000549B1" w:rsidRDefault="00000000">
            <w:pPr>
              <w:pStyle w:val="27"/>
              <w:ind w:firstLineChars="0" w:firstLine="0"/>
              <w:jc w:val="center"/>
              <w:rPr>
                <w:b/>
                <w:bCs/>
                <w:kern w:val="0"/>
                <w:sz w:val="21"/>
                <w:szCs w:val="21"/>
              </w:rPr>
            </w:pPr>
            <w:r w:rsidRPr="000549B1">
              <w:rPr>
                <w:b/>
                <w:bCs/>
                <w:kern w:val="0"/>
                <w:sz w:val="21"/>
                <w:szCs w:val="21"/>
              </w:rPr>
              <w:t>科</w:t>
            </w:r>
          </w:p>
        </w:tc>
        <w:tc>
          <w:tcPr>
            <w:tcW w:w="2351" w:type="pct"/>
            <w:vAlign w:val="center"/>
          </w:tcPr>
          <w:p w14:paraId="17290C44" w14:textId="77777777" w:rsidR="00054437" w:rsidRPr="000549B1" w:rsidRDefault="00000000">
            <w:pPr>
              <w:pStyle w:val="27"/>
              <w:ind w:firstLineChars="0" w:firstLine="0"/>
              <w:jc w:val="center"/>
              <w:rPr>
                <w:b/>
                <w:bCs/>
                <w:kern w:val="0"/>
                <w:sz w:val="21"/>
                <w:szCs w:val="21"/>
              </w:rPr>
            </w:pPr>
            <w:r w:rsidRPr="000549B1">
              <w:rPr>
                <w:b/>
                <w:bCs/>
                <w:kern w:val="0"/>
                <w:sz w:val="21"/>
                <w:szCs w:val="21"/>
              </w:rPr>
              <w:t>种</w:t>
            </w:r>
          </w:p>
        </w:tc>
        <w:tc>
          <w:tcPr>
            <w:tcW w:w="884" w:type="pct"/>
            <w:vAlign w:val="center"/>
          </w:tcPr>
          <w:p w14:paraId="1CC84547" w14:textId="77777777" w:rsidR="00054437" w:rsidRPr="000549B1" w:rsidRDefault="00000000">
            <w:pPr>
              <w:pStyle w:val="27"/>
              <w:ind w:firstLineChars="0" w:firstLine="0"/>
              <w:jc w:val="center"/>
              <w:rPr>
                <w:b/>
                <w:bCs/>
                <w:kern w:val="0"/>
                <w:sz w:val="21"/>
                <w:szCs w:val="21"/>
              </w:rPr>
            </w:pPr>
            <w:r w:rsidRPr="000549B1">
              <w:rPr>
                <w:b/>
                <w:bCs/>
                <w:kern w:val="0"/>
                <w:sz w:val="21"/>
                <w:szCs w:val="21"/>
              </w:rPr>
              <w:t>分布情况</w:t>
            </w:r>
          </w:p>
        </w:tc>
      </w:tr>
      <w:tr w:rsidR="000549B1" w:rsidRPr="000549B1" w14:paraId="675591F3" w14:textId="77777777">
        <w:trPr>
          <w:trHeight w:val="20"/>
        </w:trPr>
        <w:tc>
          <w:tcPr>
            <w:tcW w:w="946" w:type="pct"/>
            <w:vMerge w:val="restart"/>
            <w:vAlign w:val="center"/>
          </w:tcPr>
          <w:p w14:paraId="5977078E" w14:textId="77777777" w:rsidR="00054437" w:rsidRPr="000549B1" w:rsidRDefault="00000000">
            <w:pPr>
              <w:pStyle w:val="27"/>
              <w:spacing w:line="240" w:lineRule="atLeast"/>
              <w:ind w:firstLineChars="0" w:firstLine="0"/>
              <w:jc w:val="center"/>
              <w:rPr>
                <w:kern w:val="0"/>
                <w:sz w:val="21"/>
                <w:szCs w:val="21"/>
              </w:rPr>
            </w:pPr>
            <w:r w:rsidRPr="000549B1">
              <w:rPr>
                <w:kern w:val="0"/>
                <w:sz w:val="21"/>
                <w:szCs w:val="21"/>
              </w:rPr>
              <w:t>鲤形目</w:t>
            </w:r>
          </w:p>
          <w:p w14:paraId="4669BA49" w14:textId="77777777" w:rsidR="00054437" w:rsidRPr="000549B1" w:rsidRDefault="00000000">
            <w:pPr>
              <w:pStyle w:val="27"/>
              <w:spacing w:line="240" w:lineRule="atLeast"/>
              <w:ind w:firstLineChars="0" w:firstLine="0"/>
              <w:jc w:val="center"/>
              <w:rPr>
                <w:kern w:val="0"/>
                <w:sz w:val="21"/>
                <w:szCs w:val="21"/>
              </w:rPr>
            </w:pPr>
            <w:r w:rsidRPr="000549B1">
              <w:rPr>
                <w:kern w:val="0"/>
                <w:sz w:val="21"/>
                <w:szCs w:val="21"/>
              </w:rPr>
              <w:t>Cypriniformes</w:t>
            </w:r>
          </w:p>
        </w:tc>
        <w:tc>
          <w:tcPr>
            <w:tcW w:w="819" w:type="pct"/>
            <w:vMerge w:val="restart"/>
            <w:vAlign w:val="center"/>
          </w:tcPr>
          <w:p w14:paraId="611C6B58" w14:textId="77777777" w:rsidR="00054437" w:rsidRPr="000549B1" w:rsidRDefault="00000000">
            <w:pPr>
              <w:pStyle w:val="27"/>
              <w:spacing w:line="240" w:lineRule="atLeast"/>
              <w:ind w:firstLineChars="0" w:firstLine="0"/>
              <w:jc w:val="center"/>
              <w:rPr>
                <w:kern w:val="0"/>
                <w:sz w:val="21"/>
                <w:szCs w:val="21"/>
              </w:rPr>
            </w:pPr>
            <w:r w:rsidRPr="000549B1">
              <w:rPr>
                <w:kern w:val="0"/>
                <w:sz w:val="21"/>
                <w:szCs w:val="21"/>
              </w:rPr>
              <w:t>鳅科</w:t>
            </w:r>
            <w:r w:rsidRPr="000549B1">
              <w:rPr>
                <w:kern w:val="0"/>
                <w:sz w:val="21"/>
                <w:szCs w:val="21"/>
              </w:rPr>
              <w:t>Cobitidae</w:t>
            </w:r>
          </w:p>
        </w:tc>
        <w:tc>
          <w:tcPr>
            <w:tcW w:w="2351" w:type="pct"/>
            <w:vAlign w:val="center"/>
          </w:tcPr>
          <w:p w14:paraId="1A4EED3B" w14:textId="77777777" w:rsidR="00054437" w:rsidRPr="000549B1" w:rsidRDefault="00000000">
            <w:pPr>
              <w:pStyle w:val="27"/>
              <w:spacing w:line="240" w:lineRule="atLeast"/>
              <w:ind w:firstLineChars="0" w:firstLine="0"/>
              <w:jc w:val="center"/>
              <w:rPr>
                <w:kern w:val="0"/>
                <w:sz w:val="21"/>
                <w:szCs w:val="21"/>
              </w:rPr>
            </w:pPr>
            <w:r w:rsidRPr="000549B1">
              <w:rPr>
                <w:kern w:val="0"/>
                <w:sz w:val="21"/>
                <w:szCs w:val="21"/>
              </w:rPr>
              <w:t>茶卡高原鳅</w:t>
            </w:r>
            <w:r w:rsidRPr="000549B1">
              <w:rPr>
                <w:kern w:val="0"/>
                <w:sz w:val="21"/>
                <w:szCs w:val="21"/>
              </w:rPr>
              <w:t>Triplophysacakaensis</w:t>
            </w:r>
          </w:p>
        </w:tc>
        <w:tc>
          <w:tcPr>
            <w:tcW w:w="884" w:type="pct"/>
            <w:vAlign w:val="center"/>
          </w:tcPr>
          <w:p w14:paraId="60EFB73D" w14:textId="77777777" w:rsidR="00054437" w:rsidRPr="000549B1" w:rsidRDefault="00000000">
            <w:pPr>
              <w:pStyle w:val="27"/>
              <w:spacing w:line="240" w:lineRule="atLeast"/>
              <w:ind w:firstLineChars="0" w:firstLine="0"/>
              <w:jc w:val="center"/>
              <w:rPr>
                <w:kern w:val="0"/>
                <w:sz w:val="21"/>
                <w:szCs w:val="21"/>
              </w:rPr>
            </w:pPr>
            <w:r w:rsidRPr="000549B1">
              <w:rPr>
                <w:kern w:val="0"/>
                <w:sz w:val="21"/>
                <w:szCs w:val="21"/>
              </w:rPr>
              <w:t>均有分布</w:t>
            </w:r>
          </w:p>
        </w:tc>
      </w:tr>
      <w:tr w:rsidR="000549B1" w:rsidRPr="000549B1" w14:paraId="375E01DA" w14:textId="77777777">
        <w:trPr>
          <w:trHeight w:val="20"/>
        </w:trPr>
        <w:tc>
          <w:tcPr>
            <w:tcW w:w="946" w:type="pct"/>
            <w:vMerge/>
            <w:vAlign w:val="center"/>
          </w:tcPr>
          <w:p w14:paraId="58CCFB9B" w14:textId="77777777" w:rsidR="00054437" w:rsidRPr="000549B1" w:rsidRDefault="00054437">
            <w:pPr>
              <w:pStyle w:val="27"/>
              <w:spacing w:line="240" w:lineRule="atLeast"/>
              <w:ind w:firstLineChars="0" w:firstLine="0"/>
              <w:jc w:val="center"/>
              <w:rPr>
                <w:kern w:val="0"/>
                <w:sz w:val="21"/>
                <w:szCs w:val="21"/>
              </w:rPr>
            </w:pPr>
          </w:p>
        </w:tc>
        <w:tc>
          <w:tcPr>
            <w:tcW w:w="819" w:type="pct"/>
            <w:vMerge/>
            <w:vAlign w:val="center"/>
          </w:tcPr>
          <w:p w14:paraId="4ADD4B77" w14:textId="77777777" w:rsidR="00054437" w:rsidRPr="000549B1" w:rsidRDefault="00054437">
            <w:pPr>
              <w:pStyle w:val="27"/>
              <w:spacing w:line="240" w:lineRule="atLeast"/>
              <w:ind w:firstLineChars="0" w:firstLine="0"/>
              <w:jc w:val="center"/>
              <w:rPr>
                <w:kern w:val="0"/>
                <w:sz w:val="21"/>
                <w:szCs w:val="21"/>
              </w:rPr>
            </w:pPr>
          </w:p>
        </w:tc>
        <w:tc>
          <w:tcPr>
            <w:tcW w:w="2351" w:type="pct"/>
            <w:vAlign w:val="center"/>
          </w:tcPr>
          <w:p w14:paraId="26A4EC20" w14:textId="77777777" w:rsidR="00054437" w:rsidRPr="000549B1" w:rsidRDefault="00000000">
            <w:pPr>
              <w:pStyle w:val="27"/>
              <w:spacing w:line="240" w:lineRule="atLeast"/>
              <w:ind w:firstLineChars="0" w:firstLine="0"/>
              <w:jc w:val="center"/>
              <w:rPr>
                <w:kern w:val="0"/>
                <w:sz w:val="21"/>
                <w:szCs w:val="21"/>
              </w:rPr>
            </w:pPr>
            <w:bookmarkStart w:id="298" w:name="OLE_LINK8"/>
            <w:r w:rsidRPr="000549B1">
              <w:rPr>
                <w:kern w:val="0"/>
                <w:sz w:val="21"/>
                <w:szCs w:val="21"/>
              </w:rPr>
              <w:t>短尾高原鳅</w:t>
            </w:r>
            <w:bookmarkEnd w:id="298"/>
            <w:r w:rsidRPr="000549B1">
              <w:rPr>
                <w:kern w:val="0"/>
                <w:sz w:val="21"/>
                <w:szCs w:val="21"/>
              </w:rPr>
              <w:t>Triplophysabrevicauda</w:t>
            </w:r>
          </w:p>
        </w:tc>
        <w:tc>
          <w:tcPr>
            <w:tcW w:w="884" w:type="pct"/>
            <w:vAlign w:val="center"/>
          </w:tcPr>
          <w:p w14:paraId="20033D93" w14:textId="77777777" w:rsidR="00054437" w:rsidRPr="000549B1" w:rsidRDefault="00000000">
            <w:pPr>
              <w:pStyle w:val="27"/>
              <w:spacing w:line="240" w:lineRule="atLeast"/>
              <w:ind w:firstLineChars="0" w:firstLine="0"/>
              <w:jc w:val="center"/>
              <w:rPr>
                <w:kern w:val="0"/>
                <w:sz w:val="21"/>
                <w:szCs w:val="21"/>
              </w:rPr>
            </w:pPr>
            <w:r w:rsidRPr="000549B1">
              <w:rPr>
                <w:kern w:val="0"/>
                <w:sz w:val="21"/>
                <w:szCs w:val="21"/>
              </w:rPr>
              <w:t>中上游河段</w:t>
            </w:r>
          </w:p>
        </w:tc>
      </w:tr>
    </w:tbl>
    <w:p w14:paraId="2C79CCAE" w14:textId="77777777" w:rsidR="00054437" w:rsidRPr="000549B1" w:rsidRDefault="00000000">
      <w:pPr>
        <w:tabs>
          <w:tab w:val="left" w:pos="4500"/>
        </w:tabs>
        <w:spacing w:line="500" w:lineRule="exact"/>
        <w:ind w:firstLineChars="200" w:firstLine="480"/>
        <w:jc w:val="left"/>
        <w:rPr>
          <w:kern w:val="0"/>
          <w:sz w:val="24"/>
        </w:rPr>
      </w:pPr>
      <w:r w:rsidRPr="000549B1">
        <w:rPr>
          <w:kern w:val="0"/>
          <w:sz w:val="24"/>
        </w:rPr>
        <w:t>2</w:t>
      </w:r>
      <w:r w:rsidRPr="000549B1">
        <w:rPr>
          <w:kern w:val="0"/>
          <w:sz w:val="24"/>
        </w:rPr>
        <w:t>）沙珠玉河</w:t>
      </w:r>
    </w:p>
    <w:p w14:paraId="57AE09CC" w14:textId="77777777" w:rsidR="00054437" w:rsidRPr="000549B1" w:rsidRDefault="00000000">
      <w:pPr>
        <w:tabs>
          <w:tab w:val="left" w:pos="4500"/>
        </w:tabs>
        <w:spacing w:line="500" w:lineRule="exact"/>
        <w:ind w:firstLineChars="200" w:firstLine="480"/>
        <w:jc w:val="left"/>
        <w:rPr>
          <w:kern w:val="0"/>
          <w:sz w:val="24"/>
        </w:rPr>
      </w:pPr>
      <w:r w:rsidRPr="000549B1">
        <w:rPr>
          <w:kern w:val="0"/>
          <w:sz w:val="24"/>
        </w:rPr>
        <w:t>此次在沙珠玉河共记录到鱼类</w:t>
      </w:r>
      <w:r w:rsidRPr="000549B1">
        <w:rPr>
          <w:kern w:val="0"/>
          <w:sz w:val="24"/>
        </w:rPr>
        <w:t>1</w:t>
      </w:r>
      <w:r w:rsidRPr="000549B1">
        <w:rPr>
          <w:kern w:val="0"/>
          <w:sz w:val="24"/>
        </w:rPr>
        <w:t>目</w:t>
      </w:r>
      <w:r w:rsidRPr="000549B1">
        <w:rPr>
          <w:kern w:val="0"/>
          <w:sz w:val="24"/>
        </w:rPr>
        <w:t>2</w:t>
      </w:r>
      <w:r w:rsidRPr="000549B1">
        <w:rPr>
          <w:kern w:val="0"/>
          <w:sz w:val="24"/>
        </w:rPr>
        <w:t>科</w:t>
      </w:r>
      <w:r w:rsidRPr="000549B1">
        <w:rPr>
          <w:kern w:val="0"/>
          <w:sz w:val="24"/>
        </w:rPr>
        <w:t>4</w:t>
      </w:r>
      <w:r w:rsidRPr="000549B1">
        <w:rPr>
          <w:kern w:val="0"/>
          <w:sz w:val="24"/>
        </w:rPr>
        <w:t>种，其中鲤科鱼类和鳅科鱼类各</w:t>
      </w:r>
      <w:r w:rsidRPr="000549B1">
        <w:rPr>
          <w:kern w:val="0"/>
          <w:sz w:val="24"/>
        </w:rPr>
        <w:t>2</w:t>
      </w:r>
      <w:r w:rsidRPr="000549B1">
        <w:rPr>
          <w:kern w:val="0"/>
          <w:sz w:val="24"/>
        </w:rPr>
        <w:t>种，中上游河段分布的均为土著鱼类，在下游河段调查到外来物种麦穗鱼，但资源量很小。</w:t>
      </w:r>
    </w:p>
    <w:p w14:paraId="732455C4" w14:textId="77777777" w:rsidR="00054437" w:rsidRPr="000549B1" w:rsidRDefault="00054437">
      <w:pPr>
        <w:tabs>
          <w:tab w:val="left" w:pos="4500"/>
        </w:tabs>
        <w:spacing w:line="500" w:lineRule="exact"/>
        <w:ind w:firstLineChars="200" w:firstLine="480"/>
        <w:jc w:val="left"/>
        <w:rPr>
          <w:kern w:val="0"/>
          <w:sz w:val="24"/>
        </w:rPr>
      </w:pPr>
    </w:p>
    <w:p w14:paraId="4ABAC81A" w14:textId="0F80C6B2" w:rsidR="00054437" w:rsidRPr="000549B1" w:rsidRDefault="00000000">
      <w:pPr>
        <w:pStyle w:val="0A51"/>
        <w:ind w:firstLine="422"/>
      </w:pPr>
      <w:r w:rsidRPr="000549B1">
        <w:t>表</w:t>
      </w:r>
      <w:fldSimple w:instr=" STYLEREF 2 \s ">
        <w:r w:rsidR="00372953">
          <w:rPr>
            <w:noProof/>
          </w:rPr>
          <w:t>3.6</w:t>
        </w:r>
      </w:fldSimple>
      <w:r w:rsidR="00372953">
        <w:noBreakHyphen/>
      </w:r>
      <w:r w:rsidR="00372953">
        <w:fldChar w:fldCharType="begin"/>
      </w:r>
      <w:r w:rsidR="00372953">
        <w:instrText xml:space="preserve"> SEQ </w:instrText>
      </w:r>
      <w:r w:rsidR="00372953">
        <w:instrText>表</w:instrText>
      </w:r>
      <w:r w:rsidR="00372953">
        <w:instrText xml:space="preserve"> \* ARABIC \s 2 </w:instrText>
      </w:r>
      <w:r w:rsidR="00372953">
        <w:fldChar w:fldCharType="separate"/>
      </w:r>
      <w:r w:rsidR="00372953">
        <w:rPr>
          <w:noProof/>
        </w:rPr>
        <w:t>12</w:t>
      </w:r>
      <w:r w:rsidR="00372953">
        <w:fldChar w:fldCharType="end"/>
      </w:r>
      <w:r w:rsidRPr="000549B1">
        <w:t>沙珠玉河鱼类组成名录</w:t>
      </w:r>
    </w:p>
    <w:tbl>
      <w:tblPr>
        <w:tblStyle w:val="43"/>
        <w:tblW w:w="5000" w:type="pct"/>
        <w:tblLook w:val="04A0" w:firstRow="1" w:lastRow="0" w:firstColumn="1" w:lastColumn="0" w:noHBand="0" w:noVBand="1"/>
      </w:tblPr>
      <w:tblGrid>
        <w:gridCol w:w="1567"/>
        <w:gridCol w:w="1358"/>
        <w:gridCol w:w="3903"/>
        <w:gridCol w:w="1468"/>
      </w:tblGrid>
      <w:tr w:rsidR="000549B1" w:rsidRPr="000549B1" w14:paraId="5E49CFD7" w14:textId="77777777">
        <w:trPr>
          <w:trHeight w:val="20"/>
        </w:trPr>
        <w:tc>
          <w:tcPr>
            <w:tcW w:w="944" w:type="pct"/>
            <w:vAlign w:val="center"/>
          </w:tcPr>
          <w:p w14:paraId="7A9B63FC" w14:textId="77777777" w:rsidR="00054437" w:rsidRPr="000549B1" w:rsidRDefault="00000000">
            <w:pPr>
              <w:adjustRightInd w:val="0"/>
              <w:snapToGrid w:val="0"/>
              <w:spacing w:beforeLines="50" w:before="156" w:line="240" w:lineRule="atLeast"/>
              <w:jc w:val="center"/>
              <w:rPr>
                <w:b/>
                <w:bCs/>
                <w:kern w:val="0"/>
                <w:szCs w:val="21"/>
              </w:rPr>
            </w:pPr>
            <w:r w:rsidRPr="000549B1">
              <w:rPr>
                <w:b/>
                <w:bCs/>
                <w:kern w:val="0"/>
                <w:szCs w:val="21"/>
              </w:rPr>
              <w:t>目</w:t>
            </w:r>
          </w:p>
        </w:tc>
        <w:tc>
          <w:tcPr>
            <w:tcW w:w="818" w:type="pct"/>
            <w:vAlign w:val="center"/>
          </w:tcPr>
          <w:p w14:paraId="3657B2E2" w14:textId="77777777" w:rsidR="00054437" w:rsidRPr="000549B1" w:rsidRDefault="00000000">
            <w:pPr>
              <w:adjustRightInd w:val="0"/>
              <w:snapToGrid w:val="0"/>
              <w:spacing w:beforeLines="50" w:before="156" w:line="240" w:lineRule="atLeast"/>
              <w:jc w:val="center"/>
              <w:rPr>
                <w:b/>
                <w:bCs/>
                <w:kern w:val="0"/>
                <w:szCs w:val="21"/>
              </w:rPr>
            </w:pPr>
            <w:r w:rsidRPr="000549B1">
              <w:rPr>
                <w:b/>
                <w:bCs/>
                <w:kern w:val="0"/>
                <w:szCs w:val="21"/>
              </w:rPr>
              <w:t>科</w:t>
            </w:r>
          </w:p>
        </w:tc>
        <w:tc>
          <w:tcPr>
            <w:tcW w:w="2351" w:type="pct"/>
            <w:vAlign w:val="center"/>
          </w:tcPr>
          <w:p w14:paraId="5D765726" w14:textId="77777777" w:rsidR="00054437" w:rsidRPr="000549B1" w:rsidRDefault="00000000">
            <w:pPr>
              <w:adjustRightInd w:val="0"/>
              <w:snapToGrid w:val="0"/>
              <w:spacing w:beforeLines="50" w:before="156" w:line="240" w:lineRule="atLeast"/>
              <w:jc w:val="center"/>
              <w:rPr>
                <w:b/>
                <w:bCs/>
                <w:kern w:val="0"/>
                <w:szCs w:val="21"/>
              </w:rPr>
            </w:pPr>
            <w:r w:rsidRPr="000549B1">
              <w:rPr>
                <w:b/>
                <w:bCs/>
                <w:kern w:val="0"/>
                <w:szCs w:val="21"/>
              </w:rPr>
              <w:t>种</w:t>
            </w:r>
          </w:p>
        </w:tc>
        <w:tc>
          <w:tcPr>
            <w:tcW w:w="885" w:type="pct"/>
            <w:vAlign w:val="center"/>
          </w:tcPr>
          <w:p w14:paraId="1FFA3ED9" w14:textId="77777777" w:rsidR="00054437" w:rsidRPr="000549B1" w:rsidRDefault="00000000">
            <w:pPr>
              <w:adjustRightInd w:val="0"/>
              <w:snapToGrid w:val="0"/>
              <w:spacing w:beforeLines="50" w:before="156" w:line="240" w:lineRule="atLeast"/>
              <w:jc w:val="center"/>
              <w:rPr>
                <w:b/>
                <w:bCs/>
                <w:kern w:val="0"/>
                <w:szCs w:val="21"/>
              </w:rPr>
            </w:pPr>
            <w:r w:rsidRPr="000549B1">
              <w:rPr>
                <w:b/>
                <w:bCs/>
                <w:kern w:val="0"/>
                <w:szCs w:val="21"/>
              </w:rPr>
              <w:t>分布情况</w:t>
            </w:r>
          </w:p>
        </w:tc>
      </w:tr>
      <w:tr w:rsidR="000549B1" w:rsidRPr="000549B1" w14:paraId="1FA9721B" w14:textId="77777777">
        <w:trPr>
          <w:trHeight w:val="20"/>
        </w:trPr>
        <w:tc>
          <w:tcPr>
            <w:tcW w:w="944" w:type="pct"/>
            <w:vMerge w:val="restart"/>
            <w:vAlign w:val="center"/>
          </w:tcPr>
          <w:p w14:paraId="50B7501C" w14:textId="77777777" w:rsidR="00054437" w:rsidRPr="000549B1" w:rsidRDefault="00000000">
            <w:pPr>
              <w:adjustRightInd w:val="0"/>
              <w:snapToGrid w:val="0"/>
              <w:spacing w:beforeLines="50" w:before="156" w:line="240" w:lineRule="atLeast"/>
              <w:jc w:val="center"/>
              <w:rPr>
                <w:kern w:val="0"/>
                <w:szCs w:val="21"/>
              </w:rPr>
            </w:pPr>
            <w:r w:rsidRPr="000549B1">
              <w:rPr>
                <w:kern w:val="0"/>
                <w:szCs w:val="21"/>
              </w:rPr>
              <w:t>鲤形目</w:t>
            </w:r>
          </w:p>
          <w:p w14:paraId="23891652" w14:textId="77777777" w:rsidR="00054437" w:rsidRPr="000549B1" w:rsidRDefault="00000000">
            <w:pPr>
              <w:adjustRightInd w:val="0"/>
              <w:snapToGrid w:val="0"/>
              <w:spacing w:beforeLines="50" w:before="156" w:line="240" w:lineRule="atLeast"/>
              <w:jc w:val="center"/>
              <w:rPr>
                <w:kern w:val="0"/>
                <w:szCs w:val="21"/>
              </w:rPr>
            </w:pPr>
            <w:r w:rsidRPr="000549B1">
              <w:rPr>
                <w:kern w:val="0"/>
                <w:szCs w:val="21"/>
              </w:rPr>
              <w:t>Cypriniformes</w:t>
            </w:r>
          </w:p>
        </w:tc>
        <w:tc>
          <w:tcPr>
            <w:tcW w:w="818" w:type="pct"/>
            <w:vMerge w:val="restart"/>
            <w:vAlign w:val="center"/>
          </w:tcPr>
          <w:p w14:paraId="5D29FA97" w14:textId="77777777" w:rsidR="00054437" w:rsidRPr="000549B1" w:rsidRDefault="00000000">
            <w:pPr>
              <w:adjustRightInd w:val="0"/>
              <w:snapToGrid w:val="0"/>
              <w:spacing w:beforeLines="50" w:before="156" w:line="240" w:lineRule="atLeast"/>
              <w:jc w:val="center"/>
              <w:rPr>
                <w:kern w:val="0"/>
                <w:szCs w:val="21"/>
              </w:rPr>
            </w:pPr>
            <w:r w:rsidRPr="000549B1">
              <w:rPr>
                <w:kern w:val="0"/>
                <w:szCs w:val="21"/>
              </w:rPr>
              <w:t>鲤科</w:t>
            </w:r>
            <w:r w:rsidRPr="000549B1">
              <w:rPr>
                <w:kern w:val="0"/>
                <w:szCs w:val="21"/>
              </w:rPr>
              <w:t>Cyprinidae</w:t>
            </w:r>
          </w:p>
        </w:tc>
        <w:tc>
          <w:tcPr>
            <w:tcW w:w="2351" w:type="pct"/>
            <w:vAlign w:val="center"/>
          </w:tcPr>
          <w:p w14:paraId="2E7F528A" w14:textId="77777777" w:rsidR="00054437" w:rsidRPr="000549B1" w:rsidRDefault="00000000">
            <w:pPr>
              <w:adjustRightInd w:val="0"/>
              <w:snapToGrid w:val="0"/>
              <w:spacing w:beforeLines="50" w:before="156" w:line="240" w:lineRule="atLeast"/>
              <w:jc w:val="center"/>
              <w:rPr>
                <w:kern w:val="0"/>
                <w:szCs w:val="21"/>
              </w:rPr>
            </w:pPr>
            <w:r w:rsidRPr="000549B1">
              <w:rPr>
                <w:kern w:val="0"/>
                <w:szCs w:val="21"/>
              </w:rPr>
              <w:t>花斑裸鲤</w:t>
            </w:r>
            <w:r w:rsidRPr="000549B1">
              <w:rPr>
                <w:i/>
                <w:iCs/>
                <w:kern w:val="0"/>
                <w:szCs w:val="21"/>
              </w:rPr>
              <w:t>Gymnocypriseckloni</w:t>
            </w:r>
          </w:p>
        </w:tc>
        <w:tc>
          <w:tcPr>
            <w:tcW w:w="885" w:type="pct"/>
            <w:vAlign w:val="center"/>
          </w:tcPr>
          <w:p w14:paraId="658E503F" w14:textId="77777777" w:rsidR="00054437" w:rsidRPr="000549B1" w:rsidRDefault="00000000">
            <w:pPr>
              <w:adjustRightInd w:val="0"/>
              <w:snapToGrid w:val="0"/>
              <w:spacing w:beforeLines="50" w:before="156" w:line="240" w:lineRule="atLeast"/>
              <w:jc w:val="center"/>
              <w:rPr>
                <w:kern w:val="0"/>
                <w:szCs w:val="21"/>
              </w:rPr>
            </w:pPr>
            <w:r w:rsidRPr="000549B1">
              <w:rPr>
                <w:kern w:val="0"/>
                <w:szCs w:val="21"/>
              </w:rPr>
              <w:t>均有分布</w:t>
            </w:r>
          </w:p>
        </w:tc>
      </w:tr>
      <w:tr w:rsidR="000549B1" w:rsidRPr="000549B1" w14:paraId="2CD31603" w14:textId="77777777">
        <w:trPr>
          <w:trHeight w:val="20"/>
        </w:trPr>
        <w:tc>
          <w:tcPr>
            <w:tcW w:w="944" w:type="pct"/>
            <w:vMerge/>
            <w:vAlign w:val="center"/>
          </w:tcPr>
          <w:p w14:paraId="428B3AE5" w14:textId="77777777" w:rsidR="00054437" w:rsidRPr="000549B1" w:rsidRDefault="00054437">
            <w:pPr>
              <w:adjustRightInd w:val="0"/>
              <w:snapToGrid w:val="0"/>
              <w:spacing w:beforeLines="50" w:before="156" w:line="240" w:lineRule="atLeast"/>
              <w:jc w:val="center"/>
              <w:rPr>
                <w:kern w:val="0"/>
                <w:szCs w:val="21"/>
              </w:rPr>
            </w:pPr>
          </w:p>
        </w:tc>
        <w:tc>
          <w:tcPr>
            <w:tcW w:w="818" w:type="pct"/>
            <w:vMerge/>
            <w:vAlign w:val="center"/>
          </w:tcPr>
          <w:p w14:paraId="725F28CC" w14:textId="77777777" w:rsidR="00054437" w:rsidRPr="000549B1" w:rsidRDefault="00054437">
            <w:pPr>
              <w:adjustRightInd w:val="0"/>
              <w:snapToGrid w:val="0"/>
              <w:spacing w:beforeLines="50" w:before="156" w:line="240" w:lineRule="atLeast"/>
              <w:jc w:val="center"/>
              <w:rPr>
                <w:kern w:val="0"/>
                <w:szCs w:val="21"/>
              </w:rPr>
            </w:pPr>
          </w:p>
        </w:tc>
        <w:tc>
          <w:tcPr>
            <w:tcW w:w="2351" w:type="pct"/>
            <w:vAlign w:val="center"/>
          </w:tcPr>
          <w:p w14:paraId="47AD107F" w14:textId="77777777" w:rsidR="00054437" w:rsidRPr="000549B1" w:rsidRDefault="00000000">
            <w:pPr>
              <w:adjustRightInd w:val="0"/>
              <w:snapToGrid w:val="0"/>
              <w:spacing w:beforeLines="50" w:before="156" w:line="240" w:lineRule="atLeast"/>
              <w:jc w:val="center"/>
              <w:rPr>
                <w:kern w:val="0"/>
                <w:szCs w:val="21"/>
              </w:rPr>
            </w:pPr>
            <w:r w:rsidRPr="000549B1">
              <w:rPr>
                <w:kern w:val="0"/>
                <w:szCs w:val="21"/>
              </w:rPr>
              <w:t>麦穗鱼</w:t>
            </w:r>
            <w:r w:rsidRPr="000549B1">
              <w:rPr>
                <w:i/>
                <w:iCs/>
                <w:kern w:val="0"/>
                <w:szCs w:val="21"/>
              </w:rPr>
              <w:t>Pseudorasboraparva</w:t>
            </w:r>
          </w:p>
        </w:tc>
        <w:tc>
          <w:tcPr>
            <w:tcW w:w="885" w:type="pct"/>
            <w:vAlign w:val="center"/>
          </w:tcPr>
          <w:p w14:paraId="555EB1AD" w14:textId="77777777" w:rsidR="00054437" w:rsidRPr="000549B1" w:rsidRDefault="00000000">
            <w:pPr>
              <w:adjustRightInd w:val="0"/>
              <w:snapToGrid w:val="0"/>
              <w:spacing w:beforeLines="50" w:before="156" w:line="240" w:lineRule="atLeast"/>
              <w:jc w:val="center"/>
              <w:rPr>
                <w:kern w:val="0"/>
                <w:szCs w:val="21"/>
              </w:rPr>
            </w:pPr>
            <w:r w:rsidRPr="000549B1">
              <w:rPr>
                <w:kern w:val="0"/>
                <w:szCs w:val="21"/>
              </w:rPr>
              <w:t>下游河段</w:t>
            </w:r>
          </w:p>
        </w:tc>
      </w:tr>
      <w:tr w:rsidR="000549B1" w:rsidRPr="000549B1" w14:paraId="353C8931" w14:textId="77777777">
        <w:trPr>
          <w:trHeight w:val="20"/>
        </w:trPr>
        <w:tc>
          <w:tcPr>
            <w:tcW w:w="944" w:type="pct"/>
            <w:vMerge/>
            <w:vAlign w:val="center"/>
          </w:tcPr>
          <w:p w14:paraId="3900349A" w14:textId="77777777" w:rsidR="00054437" w:rsidRPr="000549B1" w:rsidRDefault="00054437">
            <w:pPr>
              <w:adjustRightInd w:val="0"/>
              <w:snapToGrid w:val="0"/>
              <w:spacing w:beforeLines="50" w:before="156" w:line="240" w:lineRule="atLeast"/>
              <w:jc w:val="center"/>
              <w:rPr>
                <w:kern w:val="0"/>
                <w:szCs w:val="21"/>
              </w:rPr>
            </w:pPr>
          </w:p>
        </w:tc>
        <w:tc>
          <w:tcPr>
            <w:tcW w:w="818" w:type="pct"/>
            <w:vMerge w:val="restart"/>
            <w:vAlign w:val="center"/>
          </w:tcPr>
          <w:p w14:paraId="57EEC4AC" w14:textId="77777777" w:rsidR="00054437" w:rsidRPr="000549B1" w:rsidRDefault="00000000">
            <w:pPr>
              <w:adjustRightInd w:val="0"/>
              <w:snapToGrid w:val="0"/>
              <w:spacing w:beforeLines="50" w:before="156" w:line="240" w:lineRule="atLeast"/>
              <w:jc w:val="center"/>
              <w:rPr>
                <w:kern w:val="0"/>
                <w:szCs w:val="21"/>
              </w:rPr>
            </w:pPr>
            <w:r w:rsidRPr="000549B1">
              <w:rPr>
                <w:kern w:val="0"/>
                <w:szCs w:val="21"/>
              </w:rPr>
              <w:t>鳅科</w:t>
            </w:r>
            <w:r w:rsidRPr="000549B1">
              <w:rPr>
                <w:kern w:val="0"/>
                <w:szCs w:val="21"/>
              </w:rPr>
              <w:t>Cobitidae</w:t>
            </w:r>
          </w:p>
        </w:tc>
        <w:tc>
          <w:tcPr>
            <w:tcW w:w="2351" w:type="pct"/>
            <w:vAlign w:val="center"/>
          </w:tcPr>
          <w:p w14:paraId="7DFBD452" w14:textId="77777777" w:rsidR="00054437" w:rsidRPr="000549B1" w:rsidRDefault="00000000">
            <w:pPr>
              <w:adjustRightInd w:val="0"/>
              <w:snapToGrid w:val="0"/>
              <w:spacing w:beforeLines="50" w:before="156" w:line="240" w:lineRule="atLeast"/>
              <w:jc w:val="center"/>
              <w:rPr>
                <w:i/>
                <w:iCs/>
                <w:kern w:val="0"/>
                <w:szCs w:val="21"/>
              </w:rPr>
            </w:pPr>
            <w:r w:rsidRPr="000549B1">
              <w:rPr>
                <w:kern w:val="0"/>
                <w:szCs w:val="21"/>
              </w:rPr>
              <w:t>茶卡高原鳅</w:t>
            </w:r>
            <w:r w:rsidRPr="000549B1">
              <w:rPr>
                <w:i/>
                <w:iCs/>
                <w:kern w:val="0"/>
                <w:szCs w:val="21"/>
              </w:rPr>
              <w:t>Triplophysacakaensis</w:t>
            </w:r>
          </w:p>
        </w:tc>
        <w:tc>
          <w:tcPr>
            <w:tcW w:w="885" w:type="pct"/>
            <w:vAlign w:val="center"/>
          </w:tcPr>
          <w:p w14:paraId="410D45D3" w14:textId="77777777" w:rsidR="00054437" w:rsidRPr="000549B1" w:rsidRDefault="00000000">
            <w:pPr>
              <w:adjustRightInd w:val="0"/>
              <w:snapToGrid w:val="0"/>
              <w:spacing w:beforeLines="50" w:before="156" w:line="240" w:lineRule="atLeast"/>
              <w:jc w:val="center"/>
              <w:rPr>
                <w:kern w:val="0"/>
                <w:szCs w:val="21"/>
              </w:rPr>
            </w:pPr>
            <w:r w:rsidRPr="000549B1">
              <w:rPr>
                <w:kern w:val="0"/>
                <w:szCs w:val="21"/>
              </w:rPr>
              <w:t>均有分布</w:t>
            </w:r>
          </w:p>
        </w:tc>
      </w:tr>
      <w:tr w:rsidR="000549B1" w:rsidRPr="000549B1" w14:paraId="59B124EB" w14:textId="77777777">
        <w:trPr>
          <w:trHeight w:val="20"/>
        </w:trPr>
        <w:tc>
          <w:tcPr>
            <w:tcW w:w="944" w:type="pct"/>
            <w:vMerge/>
            <w:vAlign w:val="center"/>
          </w:tcPr>
          <w:p w14:paraId="6E67F8F6" w14:textId="77777777" w:rsidR="00054437" w:rsidRPr="000549B1" w:rsidRDefault="00054437">
            <w:pPr>
              <w:adjustRightInd w:val="0"/>
              <w:snapToGrid w:val="0"/>
              <w:spacing w:beforeLines="50" w:before="156" w:line="240" w:lineRule="atLeast"/>
              <w:jc w:val="center"/>
              <w:rPr>
                <w:kern w:val="0"/>
                <w:szCs w:val="21"/>
              </w:rPr>
            </w:pPr>
          </w:p>
        </w:tc>
        <w:tc>
          <w:tcPr>
            <w:tcW w:w="818" w:type="pct"/>
            <w:vMerge/>
            <w:vAlign w:val="center"/>
          </w:tcPr>
          <w:p w14:paraId="25C6DF3E" w14:textId="77777777" w:rsidR="00054437" w:rsidRPr="000549B1" w:rsidRDefault="00054437">
            <w:pPr>
              <w:adjustRightInd w:val="0"/>
              <w:snapToGrid w:val="0"/>
              <w:spacing w:beforeLines="50" w:before="156" w:line="240" w:lineRule="atLeast"/>
              <w:jc w:val="center"/>
              <w:rPr>
                <w:kern w:val="0"/>
                <w:szCs w:val="21"/>
              </w:rPr>
            </w:pPr>
          </w:p>
        </w:tc>
        <w:tc>
          <w:tcPr>
            <w:tcW w:w="4008" w:type="dxa"/>
            <w:vAlign w:val="center"/>
          </w:tcPr>
          <w:p w14:paraId="596F1A53" w14:textId="77777777" w:rsidR="00054437" w:rsidRPr="000549B1" w:rsidRDefault="00000000">
            <w:pPr>
              <w:adjustRightInd w:val="0"/>
              <w:snapToGrid w:val="0"/>
              <w:spacing w:beforeLines="50" w:before="156" w:line="240" w:lineRule="atLeast"/>
              <w:jc w:val="center"/>
              <w:rPr>
                <w:i/>
                <w:iCs/>
                <w:kern w:val="0"/>
                <w:szCs w:val="21"/>
              </w:rPr>
            </w:pPr>
            <w:r w:rsidRPr="000549B1">
              <w:rPr>
                <w:kern w:val="0"/>
                <w:szCs w:val="21"/>
              </w:rPr>
              <w:t>东方高原鳅</w:t>
            </w:r>
            <w:r w:rsidRPr="000549B1">
              <w:rPr>
                <w:i/>
                <w:iCs/>
                <w:kern w:val="0"/>
                <w:szCs w:val="21"/>
              </w:rPr>
              <w:t>Triplophysaorientalis</w:t>
            </w:r>
          </w:p>
        </w:tc>
        <w:tc>
          <w:tcPr>
            <w:tcW w:w="1509" w:type="dxa"/>
            <w:vAlign w:val="center"/>
          </w:tcPr>
          <w:p w14:paraId="1651C2F6" w14:textId="77777777" w:rsidR="00054437" w:rsidRPr="000549B1" w:rsidRDefault="00000000">
            <w:pPr>
              <w:adjustRightInd w:val="0"/>
              <w:snapToGrid w:val="0"/>
              <w:spacing w:beforeLines="50" w:before="156" w:line="240" w:lineRule="atLeast"/>
              <w:jc w:val="center"/>
              <w:rPr>
                <w:kern w:val="0"/>
                <w:szCs w:val="21"/>
              </w:rPr>
            </w:pPr>
            <w:r w:rsidRPr="000549B1">
              <w:rPr>
                <w:kern w:val="0"/>
                <w:szCs w:val="21"/>
              </w:rPr>
              <w:t>均有分布</w:t>
            </w:r>
          </w:p>
        </w:tc>
      </w:tr>
    </w:tbl>
    <w:p w14:paraId="7BE22522" w14:textId="77777777" w:rsidR="00054437" w:rsidRPr="000549B1" w:rsidRDefault="00000000">
      <w:pPr>
        <w:pStyle w:val="aff9"/>
        <w:numPr>
          <w:ilvl w:val="0"/>
          <w:numId w:val="6"/>
        </w:numPr>
        <w:tabs>
          <w:tab w:val="left" w:pos="4500"/>
        </w:tabs>
        <w:spacing w:line="500" w:lineRule="exact"/>
        <w:ind w:firstLineChars="0"/>
        <w:jc w:val="left"/>
        <w:rPr>
          <w:b/>
          <w:bCs/>
          <w:kern w:val="0"/>
          <w:sz w:val="24"/>
        </w:rPr>
      </w:pPr>
      <w:r w:rsidRPr="000549B1">
        <w:rPr>
          <w:b/>
          <w:bCs/>
          <w:kern w:val="0"/>
          <w:sz w:val="24"/>
        </w:rPr>
        <w:t>鱼类群落结构组成</w:t>
      </w:r>
    </w:p>
    <w:p w14:paraId="2DB77A6B" w14:textId="77777777" w:rsidR="00054437" w:rsidRPr="000549B1" w:rsidRDefault="00000000">
      <w:pPr>
        <w:tabs>
          <w:tab w:val="left" w:pos="4500"/>
        </w:tabs>
        <w:spacing w:line="500" w:lineRule="exact"/>
        <w:ind w:firstLineChars="200" w:firstLine="480"/>
        <w:jc w:val="left"/>
        <w:rPr>
          <w:kern w:val="0"/>
          <w:sz w:val="24"/>
        </w:rPr>
      </w:pPr>
      <w:r w:rsidRPr="000549B1">
        <w:rPr>
          <w:kern w:val="0"/>
          <w:sz w:val="24"/>
        </w:rPr>
        <w:t>1</w:t>
      </w:r>
      <w:r w:rsidRPr="000549B1">
        <w:rPr>
          <w:kern w:val="0"/>
          <w:sz w:val="24"/>
        </w:rPr>
        <w:t>）切吉河</w:t>
      </w:r>
    </w:p>
    <w:p w14:paraId="72E03874" w14:textId="68466737" w:rsidR="00054437" w:rsidRPr="000549B1" w:rsidRDefault="00000000">
      <w:pPr>
        <w:tabs>
          <w:tab w:val="left" w:pos="4500"/>
        </w:tabs>
        <w:spacing w:line="500" w:lineRule="exact"/>
        <w:ind w:firstLineChars="200" w:firstLine="480"/>
        <w:jc w:val="left"/>
        <w:rPr>
          <w:kern w:val="0"/>
          <w:sz w:val="24"/>
        </w:rPr>
      </w:pPr>
      <w:r w:rsidRPr="000549B1">
        <w:rPr>
          <w:kern w:val="0"/>
          <w:sz w:val="24"/>
        </w:rPr>
        <w:t>此次调查在切吉河及切吉水库共记录鱼类</w:t>
      </w:r>
      <w:r w:rsidRPr="000549B1">
        <w:rPr>
          <w:kern w:val="0"/>
          <w:sz w:val="24"/>
        </w:rPr>
        <w:t>15</w:t>
      </w:r>
      <w:r w:rsidRPr="000549B1">
        <w:rPr>
          <w:kern w:val="0"/>
          <w:sz w:val="24"/>
        </w:rPr>
        <w:t>尾，仅为高原鳅鱼类，总重量为</w:t>
      </w:r>
      <w:r w:rsidRPr="000549B1">
        <w:rPr>
          <w:kern w:val="0"/>
          <w:sz w:val="24"/>
        </w:rPr>
        <w:t>47.75g</w:t>
      </w:r>
      <w:r w:rsidRPr="000549B1">
        <w:rPr>
          <w:kern w:val="0"/>
          <w:sz w:val="24"/>
        </w:rPr>
        <w:t>，资源量相对较小，此次调查记录到的所有鱼类经过生物学测量、称重之后全部放回原有水域。渔获物结构组成见下</w:t>
      </w:r>
      <w:r w:rsidR="00F32CCA" w:rsidRPr="00F32CCA">
        <w:rPr>
          <w:kern w:val="0"/>
          <w:sz w:val="24"/>
        </w:rPr>
        <w:t>表</w:t>
      </w:r>
      <w:r w:rsidR="00F32CCA" w:rsidRPr="00F32CCA">
        <w:rPr>
          <w:kern w:val="0"/>
          <w:sz w:val="24"/>
        </w:rPr>
        <w:t>3.6</w:t>
      </w:r>
      <w:r w:rsidR="00F32CCA" w:rsidRPr="00F32CCA">
        <w:rPr>
          <w:kern w:val="0"/>
          <w:sz w:val="24"/>
        </w:rPr>
        <w:noBreakHyphen/>
        <w:t>13</w:t>
      </w:r>
      <w:r w:rsidRPr="000549B1">
        <w:rPr>
          <w:kern w:val="0"/>
          <w:sz w:val="24"/>
        </w:rPr>
        <w:t>。</w:t>
      </w:r>
    </w:p>
    <w:p w14:paraId="1EE2B553" w14:textId="7912B661" w:rsidR="00054437" w:rsidRPr="000549B1" w:rsidRDefault="00000000">
      <w:pPr>
        <w:pStyle w:val="0A51"/>
        <w:ind w:firstLine="422"/>
      </w:pPr>
      <w:bookmarkStart w:id="299" w:name="_Ref214961387"/>
      <w:bookmarkStart w:id="300" w:name="OLE_LINK43"/>
      <w:r w:rsidRPr="000549B1">
        <w:t>表</w:t>
      </w:r>
      <w:fldSimple w:instr=" STYLEREF 2 \s ">
        <w:r w:rsidR="00372953">
          <w:rPr>
            <w:noProof/>
          </w:rPr>
          <w:t>3.6</w:t>
        </w:r>
      </w:fldSimple>
      <w:r w:rsidR="00372953">
        <w:noBreakHyphen/>
      </w:r>
      <w:r w:rsidR="00372953">
        <w:fldChar w:fldCharType="begin"/>
      </w:r>
      <w:r w:rsidR="00372953">
        <w:instrText xml:space="preserve"> SEQ </w:instrText>
      </w:r>
      <w:r w:rsidR="00372953">
        <w:instrText>表</w:instrText>
      </w:r>
      <w:r w:rsidR="00372953">
        <w:instrText xml:space="preserve"> \* ARABIC \s 2 </w:instrText>
      </w:r>
      <w:r w:rsidR="00372953">
        <w:fldChar w:fldCharType="separate"/>
      </w:r>
      <w:r w:rsidR="00372953">
        <w:rPr>
          <w:noProof/>
        </w:rPr>
        <w:t>13</w:t>
      </w:r>
      <w:r w:rsidR="00372953">
        <w:fldChar w:fldCharType="end"/>
      </w:r>
      <w:bookmarkEnd w:id="299"/>
      <w:r w:rsidRPr="000549B1">
        <w:t>渔获物结构组成（切吉河）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778"/>
        <w:gridCol w:w="779"/>
        <w:gridCol w:w="959"/>
        <w:gridCol w:w="811"/>
        <w:gridCol w:w="959"/>
        <w:gridCol w:w="796"/>
        <w:gridCol w:w="969"/>
        <w:gridCol w:w="969"/>
      </w:tblGrid>
      <w:tr w:rsidR="000549B1" w:rsidRPr="000549B1" w14:paraId="2F3ED52E" w14:textId="77777777">
        <w:trPr>
          <w:trHeight w:val="315"/>
        </w:trPr>
        <w:tc>
          <w:tcPr>
            <w:tcW w:w="822" w:type="pct"/>
            <w:noWrap/>
            <w:vAlign w:val="center"/>
          </w:tcPr>
          <w:p w14:paraId="7A52FC4D" w14:textId="77777777" w:rsidR="00054437" w:rsidRPr="000549B1" w:rsidRDefault="00000000">
            <w:pPr>
              <w:pStyle w:val="27"/>
              <w:spacing w:line="240" w:lineRule="atLeast"/>
              <w:ind w:firstLineChars="0" w:firstLine="0"/>
              <w:jc w:val="center"/>
              <w:rPr>
                <w:b/>
                <w:bCs/>
                <w:kern w:val="0"/>
                <w:sz w:val="21"/>
                <w:szCs w:val="21"/>
              </w:rPr>
            </w:pPr>
            <w:r w:rsidRPr="000549B1">
              <w:rPr>
                <w:b/>
                <w:bCs/>
                <w:kern w:val="0"/>
                <w:sz w:val="21"/>
                <w:szCs w:val="21"/>
              </w:rPr>
              <w:t>种名</w:t>
            </w:r>
          </w:p>
        </w:tc>
        <w:tc>
          <w:tcPr>
            <w:tcW w:w="522" w:type="pct"/>
            <w:noWrap/>
            <w:vAlign w:val="center"/>
          </w:tcPr>
          <w:p w14:paraId="5CA61D4B" w14:textId="77777777" w:rsidR="00054437" w:rsidRPr="000549B1" w:rsidRDefault="00000000">
            <w:pPr>
              <w:pStyle w:val="27"/>
              <w:spacing w:line="240" w:lineRule="atLeast"/>
              <w:ind w:firstLineChars="0" w:firstLine="0"/>
              <w:jc w:val="center"/>
              <w:rPr>
                <w:b/>
                <w:bCs/>
                <w:kern w:val="0"/>
                <w:sz w:val="21"/>
                <w:szCs w:val="21"/>
              </w:rPr>
            </w:pPr>
            <w:r w:rsidRPr="000549B1">
              <w:rPr>
                <w:b/>
                <w:bCs/>
                <w:kern w:val="0"/>
                <w:sz w:val="21"/>
                <w:szCs w:val="21"/>
              </w:rPr>
              <w:t>总重</w:t>
            </w:r>
          </w:p>
        </w:tc>
        <w:tc>
          <w:tcPr>
            <w:tcW w:w="522" w:type="pct"/>
            <w:noWrap/>
            <w:vAlign w:val="center"/>
          </w:tcPr>
          <w:p w14:paraId="6BBEA1E2" w14:textId="77777777" w:rsidR="00054437" w:rsidRPr="000549B1" w:rsidRDefault="00000000">
            <w:pPr>
              <w:pStyle w:val="27"/>
              <w:spacing w:line="240" w:lineRule="atLeast"/>
              <w:ind w:firstLineChars="0" w:firstLine="0"/>
              <w:jc w:val="center"/>
              <w:rPr>
                <w:b/>
                <w:bCs/>
                <w:kern w:val="0"/>
                <w:sz w:val="21"/>
                <w:szCs w:val="21"/>
              </w:rPr>
            </w:pPr>
            <w:r w:rsidRPr="000549B1">
              <w:rPr>
                <w:b/>
                <w:bCs/>
                <w:kern w:val="0"/>
                <w:sz w:val="21"/>
                <w:szCs w:val="21"/>
              </w:rPr>
              <w:t>尾数</w:t>
            </w:r>
          </w:p>
        </w:tc>
        <w:tc>
          <w:tcPr>
            <w:tcW w:w="522" w:type="pct"/>
            <w:noWrap/>
            <w:vAlign w:val="center"/>
          </w:tcPr>
          <w:p w14:paraId="0B553A90" w14:textId="77777777" w:rsidR="00054437" w:rsidRPr="000549B1" w:rsidRDefault="00000000">
            <w:pPr>
              <w:pStyle w:val="27"/>
              <w:spacing w:line="240" w:lineRule="atLeast"/>
              <w:ind w:firstLineChars="0" w:firstLine="0"/>
              <w:jc w:val="center"/>
              <w:rPr>
                <w:b/>
                <w:bCs/>
                <w:kern w:val="0"/>
                <w:sz w:val="21"/>
                <w:szCs w:val="21"/>
              </w:rPr>
            </w:pPr>
            <w:r w:rsidRPr="000549B1">
              <w:rPr>
                <w:b/>
                <w:bCs/>
                <w:kern w:val="0"/>
                <w:sz w:val="21"/>
                <w:szCs w:val="21"/>
              </w:rPr>
              <w:t>体长</w:t>
            </w:r>
            <w:r w:rsidRPr="000549B1">
              <w:rPr>
                <w:b/>
                <w:bCs/>
                <w:kern w:val="0"/>
                <w:sz w:val="21"/>
                <w:szCs w:val="21"/>
              </w:rPr>
              <w:t>cm</w:t>
            </w:r>
          </w:p>
        </w:tc>
        <w:tc>
          <w:tcPr>
            <w:tcW w:w="522" w:type="pct"/>
            <w:noWrap/>
            <w:vAlign w:val="center"/>
          </w:tcPr>
          <w:p w14:paraId="5FB469AC" w14:textId="77777777" w:rsidR="00054437" w:rsidRPr="000549B1" w:rsidRDefault="00000000">
            <w:pPr>
              <w:pStyle w:val="27"/>
              <w:spacing w:line="240" w:lineRule="atLeast"/>
              <w:ind w:firstLineChars="0" w:firstLine="0"/>
              <w:jc w:val="center"/>
              <w:rPr>
                <w:b/>
                <w:bCs/>
                <w:kern w:val="0"/>
                <w:sz w:val="21"/>
                <w:szCs w:val="21"/>
              </w:rPr>
            </w:pPr>
            <w:r w:rsidRPr="000549B1">
              <w:rPr>
                <w:b/>
                <w:bCs/>
                <w:kern w:val="0"/>
                <w:sz w:val="21"/>
                <w:szCs w:val="21"/>
              </w:rPr>
              <w:t>体重</w:t>
            </w:r>
            <w:r w:rsidRPr="000549B1">
              <w:rPr>
                <w:b/>
                <w:bCs/>
                <w:kern w:val="0"/>
                <w:sz w:val="21"/>
                <w:szCs w:val="21"/>
              </w:rPr>
              <w:t>g</w:t>
            </w:r>
          </w:p>
        </w:tc>
        <w:tc>
          <w:tcPr>
            <w:tcW w:w="522" w:type="pct"/>
            <w:noWrap/>
            <w:vAlign w:val="center"/>
          </w:tcPr>
          <w:p w14:paraId="2746D0A4" w14:textId="77777777" w:rsidR="00054437" w:rsidRPr="000549B1" w:rsidRDefault="00000000">
            <w:pPr>
              <w:pStyle w:val="27"/>
              <w:spacing w:line="240" w:lineRule="atLeast"/>
              <w:ind w:firstLineChars="0" w:firstLine="0"/>
              <w:jc w:val="center"/>
              <w:rPr>
                <w:b/>
                <w:bCs/>
                <w:kern w:val="0"/>
                <w:sz w:val="21"/>
                <w:szCs w:val="21"/>
              </w:rPr>
            </w:pPr>
            <w:r w:rsidRPr="000549B1">
              <w:rPr>
                <w:b/>
                <w:bCs/>
                <w:kern w:val="0"/>
                <w:sz w:val="21"/>
                <w:szCs w:val="21"/>
              </w:rPr>
              <w:t>均长</w:t>
            </w:r>
            <w:r w:rsidRPr="000549B1">
              <w:rPr>
                <w:b/>
                <w:bCs/>
                <w:kern w:val="0"/>
                <w:sz w:val="21"/>
                <w:szCs w:val="21"/>
              </w:rPr>
              <w:t>cm</w:t>
            </w:r>
          </w:p>
        </w:tc>
        <w:tc>
          <w:tcPr>
            <w:tcW w:w="522" w:type="pct"/>
            <w:noWrap/>
            <w:vAlign w:val="center"/>
          </w:tcPr>
          <w:p w14:paraId="62BEDF4B" w14:textId="77777777" w:rsidR="00054437" w:rsidRPr="000549B1" w:rsidRDefault="00000000">
            <w:pPr>
              <w:pStyle w:val="27"/>
              <w:spacing w:line="240" w:lineRule="atLeast"/>
              <w:ind w:firstLineChars="0" w:firstLine="0"/>
              <w:jc w:val="center"/>
              <w:rPr>
                <w:b/>
                <w:bCs/>
                <w:kern w:val="0"/>
                <w:sz w:val="21"/>
                <w:szCs w:val="21"/>
              </w:rPr>
            </w:pPr>
            <w:r w:rsidRPr="000549B1">
              <w:rPr>
                <w:b/>
                <w:bCs/>
                <w:kern w:val="0"/>
                <w:sz w:val="21"/>
                <w:szCs w:val="21"/>
              </w:rPr>
              <w:t>均重</w:t>
            </w:r>
            <w:r w:rsidRPr="000549B1">
              <w:rPr>
                <w:b/>
                <w:bCs/>
                <w:kern w:val="0"/>
                <w:sz w:val="21"/>
                <w:szCs w:val="21"/>
              </w:rPr>
              <w:t>g</w:t>
            </w:r>
          </w:p>
        </w:tc>
        <w:tc>
          <w:tcPr>
            <w:tcW w:w="522" w:type="pct"/>
            <w:noWrap/>
            <w:vAlign w:val="center"/>
          </w:tcPr>
          <w:p w14:paraId="4F893788" w14:textId="77777777" w:rsidR="00054437" w:rsidRPr="000549B1" w:rsidRDefault="00000000">
            <w:pPr>
              <w:pStyle w:val="27"/>
              <w:spacing w:line="240" w:lineRule="atLeast"/>
              <w:ind w:firstLineChars="0" w:firstLine="0"/>
              <w:jc w:val="center"/>
              <w:rPr>
                <w:b/>
                <w:bCs/>
                <w:kern w:val="0"/>
                <w:sz w:val="21"/>
                <w:szCs w:val="21"/>
              </w:rPr>
            </w:pPr>
            <w:r w:rsidRPr="000549B1">
              <w:rPr>
                <w:b/>
                <w:bCs/>
                <w:kern w:val="0"/>
                <w:sz w:val="21"/>
                <w:szCs w:val="21"/>
              </w:rPr>
              <w:t>重量</w:t>
            </w:r>
            <w:r w:rsidRPr="000549B1">
              <w:rPr>
                <w:b/>
                <w:bCs/>
                <w:kern w:val="0"/>
                <w:sz w:val="21"/>
                <w:szCs w:val="21"/>
              </w:rPr>
              <w:t>%</w:t>
            </w:r>
          </w:p>
        </w:tc>
        <w:tc>
          <w:tcPr>
            <w:tcW w:w="522" w:type="pct"/>
            <w:noWrap/>
            <w:vAlign w:val="center"/>
          </w:tcPr>
          <w:p w14:paraId="5E243CD6" w14:textId="77777777" w:rsidR="00054437" w:rsidRPr="000549B1" w:rsidRDefault="00000000">
            <w:pPr>
              <w:pStyle w:val="27"/>
              <w:spacing w:line="240" w:lineRule="atLeast"/>
              <w:ind w:firstLineChars="0" w:firstLine="0"/>
              <w:jc w:val="center"/>
              <w:rPr>
                <w:b/>
                <w:bCs/>
                <w:kern w:val="0"/>
                <w:sz w:val="21"/>
                <w:szCs w:val="21"/>
              </w:rPr>
            </w:pPr>
            <w:r w:rsidRPr="000549B1">
              <w:rPr>
                <w:b/>
                <w:bCs/>
                <w:kern w:val="0"/>
                <w:sz w:val="21"/>
                <w:szCs w:val="21"/>
              </w:rPr>
              <w:t>尾数</w:t>
            </w:r>
            <w:r w:rsidRPr="000549B1">
              <w:rPr>
                <w:b/>
                <w:bCs/>
                <w:kern w:val="0"/>
                <w:sz w:val="21"/>
                <w:szCs w:val="21"/>
              </w:rPr>
              <w:t>%</w:t>
            </w:r>
          </w:p>
        </w:tc>
      </w:tr>
      <w:tr w:rsidR="000549B1" w:rsidRPr="000549B1" w14:paraId="45515B60" w14:textId="77777777">
        <w:trPr>
          <w:trHeight w:val="315"/>
        </w:trPr>
        <w:tc>
          <w:tcPr>
            <w:tcW w:w="822" w:type="pct"/>
            <w:noWrap/>
            <w:vAlign w:val="center"/>
          </w:tcPr>
          <w:p w14:paraId="18850DB8" w14:textId="77777777" w:rsidR="00054437" w:rsidRPr="000549B1" w:rsidRDefault="00000000">
            <w:pPr>
              <w:pStyle w:val="27"/>
              <w:spacing w:line="240" w:lineRule="atLeast"/>
              <w:ind w:firstLineChars="0" w:firstLine="0"/>
              <w:jc w:val="center"/>
              <w:rPr>
                <w:kern w:val="0"/>
                <w:sz w:val="21"/>
                <w:szCs w:val="21"/>
              </w:rPr>
            </w:pPr>
            <w:r w:rsidRPr="000549B1">
              <w:rPr>
                <w:kern w:val="0"/>
                <w:sz w:val="21"/>
                <w:szCs w:val="21"/>
              </w:rPr>
              <w:t>短尾高原鳅</w:t>
            </w:r>
          </w:p>
        </w:tc>
        <w:tc>
          <w:tcPr>
            <w:tcW w:w="522" w:type="pct"/>
            <w:noWrap/>
            <w:vAlign w:val="center"/>
          </w:tcPr>
          <w:p w14:paraId="436C14AD" w14:textId="77777777" w:rsidR="00054437" w:rsidRPr="000549B1" w:rsidRDefault="00000000">
            <w:pPr>
              <w:pStyle w:val="27"/>
              <w:spacing w:line="240" w:lineRule="atLeast"/>
              <w:ind w:firstLineChars="0" w:firstLine="0"/>
              <w:jc w:val="center"/>
              <w:rPr>
                <w:kern w:val="0"/>
                <w:sz w:val="21"/>
                <w:szCs w:val="21"/>
              </w:rPr>
            </w:pPr>
            <w:r w:rsidRPr="000549B1">
              <w:rPr>
                <w:kern w:val="0"/>
                <w:sz w:val="21"/>
                <w:szCs w:val="21"/>
              </w:rPr>
              <w:t>16.51</w:t>
            </w:r>
          </w:p>
        </w:tc>
        <w:tc>
          <w:tcPr>
            <w:tcW w:w="522" w:type="pct"/>
            <w:noWrap/>
            <w:vAlign w:val="center"/>
          </w:tcPr>
          <w:p w14:paraId="2461F99B" w14:textId="77777777" w:rsidR="00054437" w:rsidRPr="000549B1" w:rsidRDefault="00000000">
            <w:pPr>
              <w:pStyle w:val="27"/>
              <w:spacing w:line="240" w:lineRule="atLeast"/>
              <w:ind w:firstLineChars="0" w:firstLine="0"/>
              <w:jc w:val="center"/>
              <w:rPr>
                <w:kern w:val="0"/>
                <w:sz w:val="21"/>
                <w:szCs w:val="21"/>
              </w:rPr>
            </w:pPr>
            <w:r w:rsidRPr="000549B1">
              <w:rPr>
                <w:kern w:val="0"/>
                <w:sz w:val="21"/>
                <w:szCs w:val="21"/>
              </w:rPr>
              <w:t>5</w:t>
            </w:r>
          </w:p>
        </w:tc>
        <w:tc>
          <w:tcPr>
            <w:tcW w:w="522" w:type="pct"/>
            <w:noWrap/>
            <w:vAlign w:val="center"/>
          </w:tcPr>
          <w:p w14:paraId="5DB17118" w14:textId="77777777" w:rsidR="00054437" w:rsidRPr="000549B1" w:rsidRDefault="00000000">
            <w:pPr>
              <w:pStyle w:val="27"/>
              <w:spacing w:line="240" w:lineRule="atLeast"/>
              <w:ind w:firstLineChars="0" w:firstLine="0"/>
              <w:jc w:val="center"/>
              <w:rPr>
                <w:kern w:val="0"/>
                <w:sz w:val="21"/>
                <w:szCs w:val="21"/>
              </w:rPr>
            </w:pPr>
            <w:r w:rsidRPr="000549B1">
              <w:rPr>
                <w:kern w:val="0"/>
                <w:sz w:val="21"/>
                <w:szCs w:val="21"/>
              </w:rPr>
              <w:t>4.5-8.1</w:t>
            </w:r>
          </w:p>
        </w:tc>
        <w:tc>
          <w:tcPr>
            <w:tcW w:w="522" w:type="pct"/>
            <w:noWrap/>
            <w:vAlign w:val="center"/>
          </w:tcPr>
          <w:p w14:paraId="7B4C91FD" w14:textId="77777777" w:rsidR="00054437" w:rsidRPr="000549B1" w:rsidRDefault="00000000">
            <w:pPr>
              <w:pStyle w:val="27"/>
              <w:spacing w:line="240" w:lineRule="atLeast"/>
              <w:ind w:firstLineChars="0" w:firstLine="0"/>
              <w:jc w:val="center"/>
              <w:rPr>
                <w:kern w:val="0"/>
                <w:sz w:val="21"/>
                <w:szCs w:val="21"/>
              </w:rPr>
            </w:pPr>
            <w:r w:rsidRPr="000549B1">
              <w:rPr>
                <w:kern w:val="0"/>
                <w:sz w:val="21"/>
                <w:szCs w:val="21"/>
              </w:rPr>
              <w:t>0.5-5.2</w:t>
            </w:r>
          </w:p>
        </w:tc>
        <w:tc>
          <w:tcPr>
            <w:tcW w:w="522" w:type="pct"/>
            <w:noWrap/>
            <w:vAlign w:val="center"/>
          </w:tcPr>
          <w:p w14:paraId="438982CF" w14:textId="77777777" w:rsidR="00054437" w:rsidRPr="000549B1" w:rsidRDefault="00000000">
            <w:pPr>
              <w:pStyle w:val="27"/>
              <w:spacing w:line="240" w:lineRule="atLeast"/>
              <w:ind w:firstLineChars="0" w:firstLine="0"/>
              <w:jc w:val="center"/>
              <w:rPr>
                <w:kern w:val="0"/>
                <w:sz w:val="21"/>
                <w:szCs w:val="21"/>
              </w:rPr>
            </w:pPr>
            <w:r w:rsidRPr="000549B1">
              <w:rPr>
                <w:kern w:val="0"/>
                <w:sz w:val="21"/>
                <w:szCs w:val="21"/>
              </w:rPr>
              <w:t>6.82</w:t>
            </w:r>
          </w:p>
        </w:tc>
        <w:tc>
          <w:tcPr>
            <w:tcW w:w="522" w:type="pct"/>
            <w:noWrap/>
            <w:vAlign w:val="center"/>
          </w:tcPr>
          <w:p w14:paraId="0D6C0842" w14:textId="77777777" w:rsidR="00054437" w:rsidRPr="000549B1" w:rsidRDefault="00000000">
            <w:pPr>
              <w:pStyle w:val="27"/>
              <w:spacing w:line="240" w:lineRule="atLeast"/>
              <w:ind w:firstLineChars="0" w:firstLine="0"/>
              <w:jc w:val="center"/>
              <w:rPr>
                <w:kern w:val="0"/>
                <w:sz w:val="21"/>
                <w:szCs w:val="21"/>
              </w:rPr>
            </w:pPr>
            <w:r w:rsidRPr="000549B1">
              <w:rPr>
                <w:kern w:val="0"/>
                <w:sz w:val="21"/>
                <w:szCs w:val="21"/>
              </w:rPr>
              <w:t>3.30</w:t>
            </w:r>
          </w:p>
        </w:tc>
        <w:tc>
          <w:tcPr>
            <w:tcW w:w="522" w:type="pct"/>
            <w:noWrap/>
            <w:vAlign w:val="center"/>
          </w:tcPr>
          <w:p w14:paraId="04858347" w14:textId="77777777" w:rsidR="00054437" w:rsidRPr="000549B1" w:rsidRDefault="00000000">
            <w:pPr>
              <w:pStyle w:val="27"/>
              <w:spacing w:line="240" w:lineRule="atLeast"/>
              <w:ind w:firstLineChars="0" w:firstLine="0"/>
              <w:jc w:val="center"/>
              <w:rPr>
                <w:kern w:val="0"/>
                <w:sz w:val="21"/>
                <w:szCs w:val="21"/>
              </w:rPr>
            </w:pPr>
            <w:r w:rsidRPr="000549B1">
              <w:rPr>
                <w:kern w:val="0"/>
                <w:sz w:val="21"/>
                <w:szCs w:val="21"/>
              </w:rPr>
              <w:t>34.58%</w:t>
            </w:r>
          </w:p>
        </w:tc>
        <w:tc>
          <w:tcPr>
            <w:tcW w:w="522" w:type="pct"/>
            <w:noWrap/>
            <w:vAlign w:val="center"/>
          </w:tcPr>
          <w:p w14:paraId="1109F038" w14:textId="77777777" w:rsidR="00054437" w:rsidRPr="000549B1" w:rsidRDefault="00000000">
            <w:pPr>
              <w:pStyle w:val="27"/>
              <w:spacing w:line="240" w:lineRule="atLeast"/>
              <w:ind w:firstLineChars="0" w:firstLine="0"/>
              <w:jc w:val="center"/>
              <w:rPr>
                <w:kern w:val="0"/>
                <w:sz w:val="21"/>
                <w:szCs w:val="21"/>
              </w:rPr>
            </w:pPr>
            <w:r w:rsidRPr="000549B1">
              <w:rPr>
                <w:kern w:val="0"/>
                <w:sz w:val="21"/>
                <w:szCs w:val="21"/>
              </w:rPr>
              <w:t>33.33%</w:t>
            </w:r>
          </w:p>
        </w:tc>
      </w:tr>
      <w:tr w:rsidR="000549B1" w:rsidRPr="000549B1" w14:paraId="2C2FD493" w14:textId="77777777">
        <w:trPr>
          <w:trHeight w:val="315"/>
        </w:trPr>
        <w:tc>
          <w:tcPr>
            <w:tcW w:w="822" w:type="pct"/>
            <w:noWrap/>
            <w:vAlign w:val="center"/>
          </w:tcPr>
          <w:p w14:paraId="5D2B5335" w14:textId="77777777" w:rsidR="00054437" w:rsidRPr="000549B1" w:rsidRDefault="00000000">
            <w:pPr>
              <w:pStyle w:val="27"/>
              <w:spacing w:line="240" w:lineRule="atLeast"/>
              <w:ind w:firstLineChars="0" w:firstLine="0"/>
              <w:jc w:val="center"/>
              <w:rPr>
                <w:kern w:val="0"/>
                <w:sz w:val="21"/>
                <w:szCs w:val="21"/>
              </w:rPr>
            </w:pPr>
            <w:r w:rsidRPr="000549B1">
              <w:rPr>
                <w:kern w:val="0"/>
                <w:sz w:val="21"/>
                <w:szCs w:val="21"/>
              </w:rPr>
              <w:t>茶卡高原鳅</w:t>
            </w:r>
          </w:p>
        </w:tc>
        <w:tc>
          <w:tcPr>
            <w:tcW w:w="522" w:type="pct"/>
            <w:noWrap/>
            <w:vAlign w:val="center"/>
          </w:tcPr>
          <w:p w14:paraId="6223F038" w14:textId="77777777" w:rsidR="00054437" w:rsidRPr="000549B1" w:rsidRDefault="00000000">
            <w:pPr>
              <w:pStyle w:val="27"/>
              <w:spacing w:line="240" w:lineRule="atLeast"/>
              <w:ind w:firstLineChars="0" w:firstLine="0"/>
              <w:jc w:val="center"/>
              <w:rPr>
                <w:kern w:val="0"/>
                <w:sz w:val="21"/>
                <w:szCs w:val="21"/>
              </w:rPr>
            </w:pPr>
            <w:r w:rsidRPr="000549B1">
              <w:rPr>
                <w:kern w:val="0"/>
                <w:sz w:val="21"/>
                <w:szCs w:val="21"/>
              </w:rPr>
              <w:t>31.24</w:t>
            </w:r>
          </w:p>
        </w:tc>
        <w:tc>
          <w:tcPr>
            <w:tcW w:w="522" w:type="pct"/>
            <w:noWrap/>
            <w:vAlign w:val="center"/>
          </w:tcPr>
          <w:p w14:paraId="17C377A0" w14:textId="77777777" w:rsidR="00054437" w:rsidRPr="000549B1" w:rsidRDefault="00000000">
            <w:pPr>
              <w:pStyle w:val="27"/>
              <w:spacing w:line="240" w:lineRule="atLeast"/>
              <w:ind w:firstLineChars="0" w:firstLine="0"/>
              <w:jc w:val="center"/>
              <w:rPr>
                <w:kern w:val="0"/>
                <w:sz w:val="21"/>
                <w:szCs w:val="21"/>
              </w:rPr>
            </w:pPr>
            <w:r w:rsidRPr="000549B1">
              <w:rPr>
                <w:kern w:val="0"/>
                <w:sz w:val="21"/>
                <w:szCs w:val="21"/>
              </w:rPr>
              <w:t>10</w:t>
            </w:r>
          </w:p>
        </w:tc>
        <w:tc>
          <w:tcPr>
            <w:tcW w:w="522" w:type="pct"/>
            <w:noWrap/>
            <w:vAlign w:val="center"/>
          </w:tcPr>
          <w:p w14:paraId="40D10274" w14:textId="77777777" w:rsidR="00054437" w:rsidRPr="000549B1" w:rsidRDefault="00000000">
            <w:pPr>
              <w:pStyle w:val="27"/>
              <w:spacing w:line="240" w:lineRule="atLeast"/>
              <w:ind w:firstLineChars="0" w:firstLine="0"/>
              <w:jc w:val="center"/>
              <w:rPr>
                <w:kern w:val="0"/>
                <w:sz w:val="21"/>
                <w:szCs w:val="21"/>
              </w:rPr>
            </w:pPr>
            <w:r w:rsidRPr="000549B1">
              <w:rPr>
                <w:kern w:val="0"/>
                <w:sz w:val="21"/>
                <w:szCs w:val="21"/>
              </w:rPr>
              <w:t>6.1-7.2</w:t>
            </w:r>
          </w:p>
        </w:tc>
        <w:tc>
          <w:tcPr>
            <w:tcW w:w="522" w:type="pct"/>
            <w:noWrap/>
            <w:vAlign w:val="center"/>
          </w:tcPr>
          <w:p w14:paraId="2D57E100" w14:textId="77777777" w:rsidR="00054437" w:rsidRPr="000549B1" w:rsidRDefault="00000000">
            <w:pPr>
              <w:pStyle w:val="27"/>
              <w:spacing w:line="240" w:lineRule="atLeast"/>
              <w:ind w:firstLineChars="0" w:firstLine="0"/>
              <w:jc w:val="center"/>
              <w:rPr>
                <w:kern w:val="0"/>
                <w:sz w:val="21"/>
                <w:szCs w:val="21"/>
              </w:rPr>
            </w:pPr>
            <w:r w:rsidRPr="000549B1">
              <w:rPr>
                <w:kern w:val="0"/>
                <w:sz w:val="21"/>
                <w:szCs w:val="21"/>
              </w:rPr>
              <w:t>2.5-5.3</w:t>
            </w:r>
          </w:p>
        </w:tc>
        <w:tc>
          <w:tcPr>
            <w:tcW w:w="522" w:type="pct"/>
            <w:noWrap/>
            <w:vAlign w:val="center"/>
          </w:tcPr>
          <w:p w14:paraId="1F5F9412" w14:textId="77777777" w:rsidR="00054437" w:rsidRPr="000549B1" w:rsidRDefault="00000000">
            <w:pPr>
              <w:pStyle w:val="27"/>
              <w:spacing w:line="240" w:lineRule="atLeast"/>
              <w:ind w:firstLineChars="0" w:firstLine="0"/>
              <w:jc w:val="center"/>
              <w:rPr>
                <w:kern w:val="0"/>
                <w:sz w:val="21"/>
                <w:szCs w:val="21"/>
              </w:rPr>
            </w:pPr>
            <w:r w:rsidRPr="000549B1">
              <w:rPr>
                <w:kern w:val="0"/>
                <w:sz w:val="21"/>
                <w:szCs w:val="21"/>
              </w:rPr>
              <w:t>6.74</w:t>
            </w:r>
          </w:p>
        </w:tc>
        <w:tc>
          <w:tcPr>
            <w:tcW w:w="522" w:type="pct"/>
            <w:noWrap/>
            <w:vAlign w:val="center"/>
          </w:tcPr>
          <w:p w14:paraId="30C02C90" w14:textId="77777777" w:rsidR="00054437" w:rsidRPr="000549B1" w:rsidRDefault="00000000">
            <w:pPr>
              <w:pStyle w:val="27"/>
              <w:spacing w:line="240" w:lineRule="atLeast"/>
              <w:ind w:firstLineChars="0" w:firstLine="0"/>
              <w:jc w:val="center"/>
              <w:rPr>
                <w:kern w:val="0"/>
                <w:sz w:val="21"/>
                <w:szCs w:val="21"/>
              </w:rPr>
            </w:pPr>
            <w:r w:rsidRPr="000549B1">
              <w:rPr>
                <w:kern w:val="0"/>
                <w:sz w:val="21"/>
                <w:szCs w:val="21"/>
              </w:rPr>
              <w:t>3.12</w:t>
            </w:r>
          </w:p>
        </w:tc>
        <w:tc>
          <w:tcPr>
            <w:tcW w:w="522" w:type="pct"/>
            <w:noWrap/>
            <w:vAlign w:val="center"/>
          </w:tcPr>
          <w:p w14:paraId="577A68BA" w14:textId="77777777" w:rsidR="00054437" w:rsidRPr="000549B1" w:rsidRDefault="00000000">
            <w:pPr>
              <w:pStyle w:val="27"/>
              <w:spacing w:line="240" w:lineRule="atLeast"/>
              <w:ind w:firstLineChars="0" w:firstLine="0"/>
              <w:jc w:val="center"/>
              <w:rPr>
                <w:kern w:val="0"/>
                <w:sz w:val="21"/>
                <w:szCs w:val="21"/>
              </w:rPr>
            </w:pPr>
            <w:r w:rsidRPr="000549B1">
              <w:rPr>
                <w:kern w:val="0"/>
                <w:sz w:val="21"/>
                <w:szCs w:val="21"/>
              </w:rPr>
              <w:t>65.42%</w:t>
            </w:r>
          </w:p>
        </w:tc>
        <w:tc>
          <w:tcPr>
            <w:tcW w:w="522" w:type="pct"/>
            <w:noWrap/>
            <w:vAlign w:val="center"/>
          </w:tcPr>
          <w:p w14:paraId="0E108E4D" w14:textId="77777777" w:rsidR="00054437" w:rsidRPr="000549B1" w:rsidRDefault="00000000">
            <w:pPr>
              <w:pStyle w:val="27"/>
              <w:spacing w:line="240" w:lineRule="atLeast"/>
              <w:ind w:firstLineChars="0" w:firstLine="0"/>
              <w:jc w:val="center"/>
              <w:rPr>
                <w:kern w:val="0"/>
                <w:sz w:val="21"/>
                <w:szCs w:val="21"/>
              </w:rPr>
            </w:pPr>
            <w:r w:rsidRPr="000549B1">
              <w:rPr>
                <w:kern w:val="0"/>
                <w:sz w:val="21"/>
                <w:szCs w:val="21"/>
              </w:rPr>
              <w:t>66.67%</w:t>
            </w:r>
          </w:p>
        </w:tc>
      </w:tr>
      <w:tr w:rsidR="000549B1" w:rsidRPr="000549B1" w14:paraId="000DEAFD" w14:textId="77777777">
        <w:trPr>
          <w:trHeight w:val="315"/>
        </w:trPr>
        <w:tc>
          <w:tcPr>
            <w:tcW w:w="822" w:type="pct"/>
            <w:noWrap/>
            <w:vAlign w:val="center"/>
          </w:tcPr>
          <w:p w14:paraId="41FAD282" w14:textId="77777777" w:rsidR="00054437" w:rsidRPr="000549B1" w:rsidRDefault="00000000">
            <w:pPr>
              <w:pStyle w:val="27"/>
              <w:spacing w:line="240" w:lineRule="atLeast"/>
              <w:ind w:firstLineChars="0" w:firstLine="0"/>
              <w:jc w:val="center"/>
              <w:rPr>
                <w:kern w:val="0"/>
                <w:sz w:val="21"/>
                <w:szCs w:val="21"/>
              </w:rPr>
            </w:pPr>
            <w:r w:rsidRPr="000549B1">
              <w:rPr>
                <w:kern w:val="0"/>
                <w:sz w:val="21"/>
                <w:szCs w:val="21"/>
              </w:rPr>
              <w:t>合计</w:t>
            </w:r>
          </w:p>
        </w:tc>
        <w:tc>
          <w:tcPr>
            <w:tcW w:w="522" w:type="pct"/>
            <w:noWrap/>
            <w:vAlign w:val="center"/>
          </w:tcPr>
          <w:p w14:paraId="4E6AAD87" w14:textId="77777777" w:rsidR="00054437" w:rsidRPr="000549B1" w:rsidRDefault="00000000">
            <w:pPr>
              <w:pStyle w:val="27"/>
              <w:spacing w:line="240" w:lineRule="atLeast"/>
              <w:ind w:firstLineChars="0" w:firstLine="0"/>
              <w:jc w:val="center"/>
              <w:rPr>
                <w:kern w:val="0"/>
                <w:sz w:val="21"/>
                <w:szCs w:val="21"/>
              </w:rPr>
            </w:pPr>
            <w:r w:rsidRPr="000549B1">
              <w:rPr>
                <w:kern w:val="0"/>
                <w:sz w:val="21"/>
                <w:szCs w:val="21"/>
              </w:rPr>
              <w:t>47.75</w:t>
            </w:r>
          </w:p>
        </w:tc>
        <w:tc>
          <w:tcPr>
            <w:tcW w:w="522" w:type="pct"/>
            <w:noWrap/>
            <w:vAlign w:val="center"/>
          </w:tcPr>
          <w:p w14:paraId="6D8FE7E3" w14:textId="77777777" w:rsidR="00054437" w:rsidRPr="000549B1" w:rsidRDefault="00000000">
            <w:pPr>
              <w:pStyle w:val="27"/>
              <w:spacing w:line="240" w:lineRule="atLeast"/>
              <w:ind w:firstLineChars="0" w:firstLine="0"/>
              <w:jc w:val="center"/>
              <w:rPr>
                <w:kern w:val="0"/>
                <w:sz w:val="21"/>
                <w:szCs w:val="21"/>
              </w:rPr>
            </w:pPr>
            <w:r w:rsidRPr="000549B1">
              <w:rPr>
                <w:kern w:val="0"/>
                <w:sz w:val="21"/>
                <w:szCs w:val="21"/>
              </w:rPr>
              <w:t>15</w:t>
            </w:r>
          </w:p>
        </w:tc>
        <w:tc>
          <w:tcPr>
            <w:tcW w:w="522" w:type="pct"/>
            <w:noWrap/>
            <w:vAlign w:val="center"/>
          </w:tcPr>
          <w:p w14:paraId="44BFD31F" w14:textId="77777777" w:rsidR="00054437" w:rsidRPr="000549B1" w:rsidRDefault="00000000">
            <w:pPr>
              <w:pStyle w:val="27"/>
              <w:spacing w:line="240" w:lineRule="atLeast"/>
              <w:ind w:firstLineChars="0" w:firstLine="0"/>
              <w:jc w:val="center"/>
              <w:rPr>
                <w:kern w:val="0"/>
                <w:sz w:val="21"/>
                <w:szCs w:val="21"/>
              </w:rPr>
            </w:pPr>
            <w:r w:rsidRPr="000549B1">
              <w:rPr>
                <w:kern w:val="0"/>
                <w:sz w:val="21"/>
                <w:szCs w:val="21"/>
              </w:rPr>
              <w:t xml:space="preserve">　</w:t>
            </w:r>
          </w:p>
        </w:tc>
        <w:tc>
          <w:tcPr>
            <w:tcW w:w="522" w:type="pct"/>
            <w:noWrap/>
            <w:vAlign w:val="center"/>
          </w:tcPr>
          <w:p w14:paraId="0E131638" w14:textId="77777777" w:rsidR="00054437" w:rsidRPr="000549B1" w:rsidRDefault="00000000">
            <w:pPr>
              <w:pStyle w:val="27"/>
              <w:spacing w:line="240" w:lineRule="atLeast"/>
              <w:ind w:firstLineChars="0" w:firstLine="0"/>
              <w:jc w:val="center"/>
              <w:rPr>
                <w:kern w:val="0"/>
                <w:sz w:val="21"/>
                <w:szCs w:val="21"/>
              </w:rPr>
            </w:pPr>
            <w:r w:rsidRPr="000549B1">
              <w:rPr>
                <w:kern w:val="0"/>
                <w:sz w:val="21"/>
                <w:szCs w:val="21"/>
              </w:rPr>
              <w:t xml:space="preserve">　</w:t>
            </w:r>
          </w:p>
        </w:tc>
        <w:tc>
          <w:tcPr>
            <w:tcW w:w="522" w:type="pct"/>
            <w:noWrap/>
            <w:vAlign w:val="center"/>
          </w:tcPr>
          <w:p w14:paraId="0D48208A" w14:textId="77777777" w:rsidR="00054437" w:rsidRPr="000549B1" w:rsidRDefault="00000000">
            <w:pPr>
              <w:pStyle w:val="27"/>
              <w:spacing w:line="240" w:lineRule="atLeast"/>
              <w:ind w:firstLineChars="0" w:firstLine="0"/>
              <w:jc w:val="center"/>
              <w:rPr>
                <w:kern w:val="0"/>
                <w:sz w:val="21"/>
                <w:szCs w:val="21"/>
              </w:rPr>
            </w:pPr>
            <w:r w:rsidRPr="000549B1">
              <w:rPr>
                <w:kern w:val="0"/>
                <w:sz w:val="21"/>
                <w:szCs w:val="21"/>
              </w:rPr>
              <w:t xml:space="preserve">　</w:t>
            </w:r>
          </w:p>
        </w:tc>
        <w:tc>
          <w:tcPr>
            <w:tcW w:w="522" w:type="pct"/>
            <w:noWrap/>
            <w:vAlign w:val="center"/>
          </w:tcPr>
          <w:p w14:paraId="2314F878" w14:textId="77777777" w:rsidR="00054437" w:rsidRPr="000549B1" w:rsidRDefault="00000000">
            <w:pPr>
              <w:pStyle w:val="27"/>
              <w:spacing w:line="240" w:lineRule="atLeast"/>
              <w:ind w:firstLineChars="0" w:firstLine="0"/>
              <w:jc w:val="center"/>
              <w:rPr>
                <w:kern w:val="0"/>
                <w:sz w:val="21"/>
                <w:szCs w:val="21"/>
              </w:rPr>
            </w:pPr>
            <w:r w:rsidRPr="000549B1">
              <w:rPr>
                <w:kern w:val="0"/>
                <w:sz w:val="21"/>
                <w:szCs w:val="21"/>
              </w:rPr>
              <w:t xml:space="preserve">　</w:t>
            </w:r>
          </w:p>
        </w:tc>
        <w:tc>
          <w:tcPr>
            <w:tcW w:w="522" w:type="pct"/>
            <w:noWrap/>
            <w:vAlign w:val="center"/>
          </w:tcPr>
          <w:p w14:paraId="768CDF1E" w14:textId="77777777" w:rsidR="00054437" w:rsidRPr="000549B1" w:rsidRDefault="00000000">
            <w:pPr>
              <w:pStyle w:val="27"/>
              <w:spacing w:line="240" w:lineRule="atLeast"/>
              <w:ind w:firstLineChars="0" w:firstLine="0"/>
              <w:jc w:val="center"/>
              <w:rPr>
                <w:kern w:val="0"/>
                <w:sz w:val="21"/>
                <w:szCs w:val="21"/>
              </w:rPr>
            </w:pPr>
            <w:r w:rsidRPr="000549B1">
              <w:rPr>
                <w:kern w:val="0"/>
                <w:sz w:val="21"/>
                <w:szCs w:val="21"/>
              </w:rPr>
              <w:t>100.00%</w:t>
            </w:r>
          </w:p>
        </w:tc>
        <w:tc>
          <w:tcPr>
            <w:tcW w:w="522" w:type="pct"/>
            <w:noWrap/>
            <w:vAlign w:val="center"/>
          </w:tcPr>
          <w:p w14:paraId="155885B3" w14:textId="77777777" w:rsidR="00054437" w:rsidRPr="000549B1" w:rsidRDefault="00000000">
            <w:pPr>
              <w:pStyle w:val="27"/>
              <w:spacing w:line="240" w:lineRule="atLeast"/>
              <w:ind w:firstLineChars="0" w:firstLine="0"/>
              <w:jc w:val="center"/>
              <w:rPr>
                <w:kern w:val="0"/>
                <w:sz w:val="21"/>
                <w:szCs w:val="21"/>
              </w:rPr>
            </w:pPr>
            <w:r w:rsidRPr="000549B1">
              <w:rPr>
                <w:kern w:val="0"/>
                <w:sz w:val="21"/>
                <w:szCs w:val="21"/>
              </w:rPr>
              <w:t>100.00%</w:t>
            </w:r>
          </w:p>
        </w:tc>
      </w:tr>
    </w:tbl>
    <w:p w14:paraId="30FC9FE9" w14:textId="77777777" w:rsidR="00054437" w:rsidRPr="000549B1" w:rsidRDefault="00000000">
      <w:pPr>
        <w:adjustRightInd w:val="0"/>
        <w:snapToGrid w:val="0"/>
        <w:spacing w:line="360" w:lineRule="auto"/>
        <w:ind w:firstLineChars="200" w:firstLine="420"/>
        <w:jc w:val="center"/>
        <w:rPr>
          <w:b/>
          <w:szCs w:val="21"/>
        </w:rPr>
      </w:pPr>
      <w:r w:rsidRPr="000549B1">
        <w:rPr>
          <w:noProof/>
        </w:rPr>
        <w:drawing>
          <wp:inline distT="0" distB="0" distL="0" distR="0" wp14:anchorId="4BDCA6D4" wp14:editId="6AF8F625">
            <wp:extent cx="4433570" cy="2647950"/>
            <wp:effectExtent l="4445" t="4445" r="19685" b="14605"/>
            <wp:docPr id="82623297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9"/>
              </a:graphicData>
            </a:graphic>
          </wp:inline>
        </w:drawing>
      </w:r>
    </w:p>
    <w:p w14:paraId="668F89BB" w14:textId="25A511F0" w:rsidR="00054437" w:rsidRPr="000549B1" w:rsidRDefault="00000000">
      <w:pPr>
        <w:pStyle w:val="0A51"/>
        <w:ind w:firstLine="422"/>
      </w:pPr>
      <w:r w:rsidRPr="000549B1">
        <w:t>图</w:t>
      </w:r>
      <w:fldSimple w:instr=" STYLEREF 2 \s ">
        <w:r w:rsidR="00F32CCA">
          <w:rPr>
            <w:noProof/>
          </w:rPr>
          <w:t>3.6</w:t>
        </w:r>
      </w:fldSimple>
      <w:r w:rsidR="00F1314B">
        <w:noBreakHyphen/>
      </w:r>
      <w:r w:rsidR="00F1314B">
        <w:fldChar w:fldCharType="begin"/>
      </w:r>
      <w:r w:rsidR="00F1314B">
        <w:instrText xml:space="preserve"> SEQ </w:instrText>
      </w:r>
      <w:r w:rsidR="00F1314B">
        <w:instrText>图</w:instrText>
      </w:r>
      <w:r w:rsidR="00F1314B">
        <w:instrText xml:space="preserve"> \* ARABIC \s 2 </w:instrText>
      </w:r>
      <w:r w:rsidR="00F1314B">
        <w:fldChar w:fldCharType="separate"/>
      </w:r>
      <w:r w:rsidR="00F32CCA">
        <w:rPr>
          <w:noProof/>
        </w:rPr>
        <w:t>10</w:t>
      </w:r>
      <w:r w:rsidR="00F1314B">
        <w:fldChar w:fldCharType="end"/>
      </w:r>
      <w:r w:rsidRPr="000549B1">
        <w:t>切吉河渔获物结构组成图</w:t>
      </w:r>
    </w:p>
    <w:bookmarkEnd w:id="300"/>
    <w:p w14:paraId="2BA3BB7A" w14:textId="77777777" w:rsidR="00054437" w:rsidRPr="000549B1" w:rsidRDefault="00000000">
      <w:pPr>
        <w:tabs>
          <w:tab w:val="left" w:pos="4500"/>
        </w:tabs>
        <w:spacing w:line="500" w:lineRule="exact"/>
        <w:ind w:firstLineChars="200" w:firstLine="482"/>
        <w:jc w:val="left"/>
        <w:rPr>
          <w:b/>
          <w:bCs/>
          <w:kern w:val="0"/>
          <w:sz w:val="24"/>
        </w:rPr>
      </w:pPr>
      <w:r w:rsidRPr="000549B1">
        <w:rPr>
          <w:b/>
          <w:bCs/>
          <w:kern w:val="0"/>
          <w:sz w:val="24"/>
        </w:rPr>
        <w:t>2</w:t>
      </w:r>
      <w:r w:rsidRPr="000549B1">
        <w:rPr>
          <w:b/>
          <w:bCs/>
          <w:kern w:val="0"/>
          <w:sz w:val="24"/>
        </w:rPr>
        <w:t>）沙珠玉河</w:t>
      </w:r>
    </w:p>
    <w:p w14:paraId="435C0A6A" w14:textId="4089E34D" w:rsidR="00054437" w:rsidRPr="000549B1" w:rsidRDefault="00000000">
      <w:pPr>
        <w:tabs>
          <w:tab w:val="left" w:pos="4500"/>
        </w:tabs>
        <w:spacing w:line="500" w:lineRule="exact"/>
        <w:ind w:firstLineChars="200" w:firstLine="480"/>
        <w:jc w:val="left"/>
        <w:rPr>
          <w:kern w:val="0"/>
          <w:sz w:val="24"/>
        </w:rPr>
      </w:pPr>
      <w:r w:rsidRPr="000549B1">
        <w:rPr>
          <w:kern w:val="0"/>
          <w:sz w:val="24"/>
        </w:rPr>
        <w:t>此次调查在沙珠玉河共记录鱼类</w:t>
      </w:r>
      <w:r w:rsidRPr="000549B1">
        <w:rPr>
          <w:kern w:val="0"/>
          <w:sz w:val="24"/>
        </w:rPr>
        <w:t>64</w:t>
      </w:r>
      <w:r w:rsidRPr="000549B1">
        <w:rPr>
          <w:kern w:val="0"/>
          <w:sz w:val="24"/>
        </w:rPr>
        <w:t>尾，总重量为</w:t>
      </w:r>
      <w:r w:rsidRPr="000549B1">
        <w:rPr>
          <w:kern w:val="0"/>
          <w:sz w:val="24"/>
        </w:rPr>
        <w:t>444.0g</w:t>
      </w:r>
      <w:r w:rsidRPr="000549B1">
        <w:rPr>
          <w:kern w:val="0"/>
          <w:sz w:val="24"/>
        </w:rPr>
        <w:t>，主要优势种为茶卡高原鳅，占渔获物总数量的</w:t>
      </w:r>
      <w:r w:rsidRPr="000549B1">
        <w:rPr>
          <w:kern w:val="0"/>
          <w:sz w:val="24"/>
        </w:rPr>
        <w:t>43.75%</w:t>
      </w:r>
      <w:r w:rsidRPr="000549B1">
        <w:rPr>
          <w:kern w:val="0"/>
          <w:sz w:val="24"/>
        </w:rPr>
        <w:t>，其次为花斑裸鲤，占渔获物总数量的</w:t>
      </w:r>
      <w:r w:rsidRPr="000549B1">
        <w:rPr>
          <w:kern w:val="0"/>
          <w:sz w:val="24"/>
        </w:rPr>
        <w:t>35.94%</w:t>
      </w:r>
      <w:r w:rsidRPr="000549B1">
        <w:rPr>
          <w:kern w:val="0"/>
          <w:sz w:val="24"/>
        </w:rPr>
        <w:t>；花斑裸鲤的重量占比最高，占总重量的</w:t>
      </w:r>
      <w:r w:rsidRPr="000549B1">
        <w:rPr>
          <w:kern w:val="0"/>
          <w:sz w:val="24"/>
        </w:rPr>
        <w:t>67.14%</w:t>
      </w:r>
      <w:r w:rsidRPr="000549B1">
        <w:rPr>
          <w:kern w:val="0"/>
          <w:sz w:val="24"/>
        </w:rPr>
        <w:t>，其次为茶卡高原鳅，占总重量的</w:t>
      </w:r>
      <w:r w:rsidRPr="000549B1">
        <w:rPr>
          <w:kern w:val="0"/>
          <w:sz w:val="24"/>
        </w:rPr>
        <w:t>22.67%</w:t>
      </w:r>
      <w:r w:rsidRPr="000549B1">
        <w:rPr>
          <w:kern w:val="0"/>
          <w:sz w:val="24"/>
        </w:rPr>
        <w:t>。鱼类群落结构总体表明，调查河段范围内资源量土著鱼类为主，高原鳅类为鱼类群落结构组成的优势类群，此外在沙珠玉河下游调查到外来物种麦穗鱼，但资源量很小，此次调查记录到的所有鱼类经过生物学测量、称重之后全部放回原有水域。渔获物结构组成见下</w:t>
      </w:r>
      <w:r w:rsidR="00F32CCA" w:rsidRPr="00F32CCA">
        <w:rPr>
          <w:kern w:val="0"/>
          <w:sz w:val="24"/>
        </w:rPr>
        <w:t>表</w:t>
      </w:r>
      <w:r w:rsidR="00F32CCA" w:rsidRPr="00F32CCA">
        <w:rPr>
          <w:kern w:val="0"/>
          <w:sz w:val="24"/>
        </w:rPr>
        <w:t>3.6</w:t>
      </w:r>
      <w:r w:rsidR="00F32CCA" w:rsidRPr="00F32CCA">
        <w:rPr>
          <w:kern w:val="0"/>
          <w:sz w:val="24"/>
        </w:rPr>
        <w:noBreakHyphen/>
        <w:t>14</w:t>
      </w:r>
      <w:r w:rsidRPr="000549B1">
        <w:rPr>
          <w:kern w:val="0"/>
          <w:sz w:val="24"/>
        </w:rPr>
        <w:t>。</w:t>
      </w:r>
    </w:p>
    <w:p w14:paraId="3D086F35" w14:textId="7D53B288" w:rsidR="00054437" w:rsidRPr="000549B1" w:rsidRDefault="00000000">
      <w:pPr>
        <w:pStyle w:val="0A51"/>
        <w:ind w:firstLine="422"/>
      </w:pPr>
      <w:bookmarkStart w:id="301" w:name="_Ref214961468"/>
      <w:r w:rsidRPr="000549B1">
        <w:t>表</w:t>
      </w:r>
      <w:fldSimple w:instr=" STYLEREF 2 \s ">
        <w:r w:rsidR="00372953">
          <w:rPr>
            <w:noProof/>
          </w:rPr>
          <w:t>3.6</w:t>
        </w:r>
      </w:fldSimple>
      <w:r w:rsidR="00372953">
        <w:noBreakHyphen/>
      </w:r>
      <w:r w:rsidR="00372953">
        <w:fldChar w:fldCharType="begin"/>
      </w:r>
      <w:r w:rsidR="00372953">
        <w:instrText xml:space="preserve"> SEQ </w:instrText>
      </w:r>
      <w:r w:rsidR="00372953">
        <w:instrText>表</w:instrText>
      </w:r>
      <w:r w:rsidR="00372953">
        <w:instrText xml:space="preserve"> \* ARABIC \s 2 </w:instrText>
      </w:r>
      <w:r w:rsidR="00372953">
        <w:fldChar w:fldCharType="separate"/>
      </w:r>
      <w:r w:rsidR="00372953">
        <w:rPr>
          <w:noProof/>
        </w:rPr>
        <w:t>14</w:t>
      </w:r>
      <w:r w:rsidR="00372953">
        <w:fldChar w:fldCharType="end"/>
      </w:r>
      <w:bookmarkEnd w:id="301"/>
      <w:r w:rsidRPr="000549B1">
        <w:t>渔获物结构组成</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6"/>
        <w:gridCol w:w="794"/>
        <w:gridCol w:w="668"/>
        <w:gridCol w:w="959"/>
        <w:gridCol w:w="916"/>
        <w:gridCol w:w="959"/>
        <w:gridCol w:w="796"/>
        <w:gridCol w:w="969"/>
        <w:gridCol w:w="969"/>
      </w:tblGrid>
      <w:tr w:rsidR="000549B1" w:rsidRPr="000549B1" w14:paraId="463B46A8" w14:textId="77777777">
        <w:trPr>
          <w:trHeight w:val="315"/>
        </w:trPr>
        <w:tc>
          <w:tcPr>
            <w:tcW w:w="822" w:type="pct"/>
            <w:noWrap/>
            <w:vAlign w:val="center"/>
          </w:tcPr>
          <w:p w14:paraId="079F10E9" w14:textId="77777777" w:rsidR="00054437" w:rsidRPr="000549B1" w:rsidRDefault="00000000">
            <w:pPr>
              <w:pStyle w:val="27"/>
              <w:spacing w:line="240" w:lineRule="atLeast"/>
              <w:ind w:firstLineChars="0" w:firstLine="0"/>
              <w:jc w:val="center"/>
              <w:rPr>
                <w:b/>
                <w:bCs/>
                <w:kern w:val="0"/>
                <w:sz w:val="21"/>
                <w:szCs w:val="21"/>
              </w:rPr>
            </w:pPr>
            <w:r w:rsidRPr="000549B1">
              <w:rPr>
                <w:b/>
                <w:bCs/>
                <w:kern w:val="0"/>
                <w:sz w:val="21"/>
                <w:szCs w:val="21"/>
              </w:rPr>
              <w:t>种名</w:t>
            </w:r>
          </w:p>
        </w:tc>
        <w:tc>
          <w:tcPr>
            <w:tcW w:w="522" w:type="pct"/>
            <w:noWrap/>
            <w:vAlign w:val="center"/>
          </w:tcPr>
          <w:p w14:paraId="7C586726" w14:textId="77777777" w:rsidR="00054437" w:rsidRPr="000549B1" w:rsidRDefault="00000000">
            <w:pPr>
              <w:pStyle w:val="27"/>
              <w:spacing w:line="240" w:lineRule="atLeast"/>
              <w:ind w:firstLineChars="0" w:firstLine="0"/>
              <w:jc w:val="center"/>
              <w:rPr>
                <w:b/>
                <w:bCs/>
                <w:kern w:val="0"/>
                <w:sz w:val="21"/>
                <w:szCs w:val="21"/>
              </w:rPr>
            </w:pPr>
            <w:r w:rsidRPr="000549B1">
              <w:rPr>
                <w:b/>
                <w:bCs/>
                <w:kern w:val="0"/>
                <w:sz w:val="21"/>
                <w:szCs w:val="21"/>
              </w:rPr>
              <w:t>总重</w:t>
            </w:r>
          </w:p>
        </w:tc>
        <w:tc>
          <w:tcPr>
            <w:tcW w:w="522" w:type="pct"/>
            <w:noWrap/>
            <w:vAlign w:val="center"/>
          </w:tcPr>
          <w:p w14:paraId="667A18F5" w14:textId="77777777" w:rsidR="00054437" w:rsidRPr="000549B1" w:rsidRDefault="00000000">
            <w:pPr>
              <w:pStyle w:val="27"/>
              <w:spacing w:line="240" w:lineRule="atLeast"/>
              <w:ind w:firstLineChars="0" w:firstLine="0"/>
              <w:jc w:val="center"/>
              <w:rPr>
                <w:b/>
                <w:bCs/>
                <w:kern w:val="0"/>
                <w:sz w:val="21"/>
                <w:szCs w:val="21"/>
              </w:rPr>
            </w:pPr>
            <w:r w:rsidRPr="000549B1">
              <w:rPr>
                <w:b/>
                <w:bCs/>
                <w:kern w:val="0"/>
                <w:sz w:val="21"/>
                <w:szCs w:val="21"/>
              </w:rPr>
              <w:t>尾数</w:t>
            </w:r>
          </w:p>
        </w:tc>
        <w:tc>
          <w:tcPr>
            <w:tcW w:w="522" w:type="pct"/>
            <w:noWrap/>
            <w:vAlign w:val="center"/>
          </w:tcPr>
          <w:p w14:paraId="751C6E74" w14:textId="77777777" w:rsidR="00054437" w:rsidRPr="000549B1" w:rsidRDefault="00000000">
            <w:pPr>
              <w:pStyle w:val="27"/>
              <w:spacing w:line="240" w:lineRule="atLeast"/>
              <w:ind w:firstLineChars="0" w:firstLine="0"/>
              <w:jc w:val="center"/>
              <w:rPr>
                <w:b/>
                <w:bCs/>
                <w:kern w:val="0"/>
                <w:sz w:val="21"/>
                <w:szCs w:val="21"/>
              </w:rPr>
            </w:pPr>
            <w:r w:rsidRPr="000549B1">
              <w:rPr>
                <w:b/>
                <w:bCs/>
                <w:kern w:val="0"/>
                <w:sz w:val="21"/>
                <w:szCs w:val="21"/>
              </w:rPr>
              <w:t>体长</w:t>
            </w:r>
            <w:r w:rsidRPr="000549B1">
              <w:rPr>
                <w:b/>
                <w:bCs/>
                <w:kern w:val="0"/>
                <w:sz w:val="21"/>
                <w:szCs w:val="21"/>
              </w:rPr>
              <w:t>cm</w:t>
            </w:r>
          </w:p>
        </w:tc>
        <w:tc>
          <w:tcPr>
            <w:tcW w:w="522" w:type="pct"/>
            <w:noWrap/>
            <w:vAlign w:val="center"/>
          </w:tcPr>
          <w:p w14:paraId="5EC65738" w14:textId="77777777" w:rsidR="00054437" w:rsidRPr="000549B1" w:rsidRDefault="00000000">
            <w:pPr>
              <w:pStyle w:val="27"/>
              <w:spacing w:line="240" w:lineRule="atLeast"/>
              <w:ind w:firstLineChars="0" w:firstLine="0"/>
              <w:jc w:val="center"/>
              <w:rPr>
                <w:b/>
                <w:bCs/>
                <w:kern w:val="0"/>
                <w:sz w:val="21"/>
                <w:szCs w:val="21"/>
              </w:rPr>
            </w:pPr>
            <w:r w:rsidRPr="000549B1">
              <w:rPr>
                <w:b/>
                <w:bCs/>
                <w:kern w:val="0"/>
                <w:sz w:val="21"/>
                <w:szCs w:val="21"/>
              </w:rPr>
              <w:t>体重</w:t>
            </w:r>
            <w:r w:rsidRPr="000549B1">
              <w:rPr>
                <w:b/>
                <w:bCs/>
                <w:kern w:val="0"/>
                <w:sz w:val="21"/>
                <w:szCs w:val="21"/>
              </w:rPr>
              <w:t>g</w:t>
            </w:r>
          </w:p>
        </w:tc>
        <w:tc>
          <w:tcPr>
            <w:tcW w:w="522" w:type="pct"/>
            <w:noWrap/>
            <w:vAlign w:val="center"/>
          </w:tcPr>
          <w:p w14:paraId="7A0CDB94" w14:textId="77777777" w:rsidR="00054437" w:rsidRPr="000549B1" w:rsidRDefault="00000000">
            <w:pPr>
              <w:pStyle w:val="27"/>
              <w:spacing w:line="240" w:lineRule="atLeast"/>
              <w:ind w:firstLineChars="0" w:firstLine="0"/>
              <w:jc w:val="center"/>
              <w:rPr>
                <w:b/>
                <w:bCs/>
                <w:kern w:val="0"/>
                <w:sz w:val="21"/>
                <w:szCs w:val="21"/>
              </w:rPr>
            </w:pPr>
            <w:r w:rsidRPr="000549B1">
              <w:rPr>
                <w:b/>
                <w:bCs/>
                <w:kern w:val="0"/>
                <w:sz w:val="21"/>
                <w:szCs w:val="21"/>
              </w:rPr>
              <w:t>均长</w:t>
            </w:r>
            <w:r w:rsidRPr="000549B1">
              <w:rPr>
                <w:b/>
                <w:bCs/>
                <w:kern w:val="0"/>
                <w:sz w:val="21"/>
                <w:szCs w:val="21"/>
              </w:rPr>
              <w:t>cm</w:t>
            </w:r>
          </w:p>
        </w:tc>
        <w:tc>
          <w:tcPr>
            <w:tcW w:w="522" w:type="pct"/>
            <w:noWrap/>
            <w:vAlign w:val="center"/>
          </w:tcPr>
          <w:p w14:paraId="5A50AD9B" w14:textId="77777777" w:rsidR="00054437" w:rsidRPr="000549B1" w:rsidRDefault="00000000">
            <w:pPr>
              <w:pStyle w:val="27"/>
              <w:spacing w:line="240" w:lineRule="atLeast"/>
              <w:ind w:firstLineChars="0" w:firstLine="0"/>
              <w:jc w:val="center"/>
              <w:rPr>
                <w:b/>
                <w:bCs/>
                <w:kern w:val="0"/>
                <w:sz w:val="21"/>
                <w:szCs w:val="21"/>
              </w:rPr>
            </w:pPr>
            <w:r w:rsidRPr="000549B1">
              <w:rPr>
                <w:b/>
                <w:bCs/>
                <w:kern w:val="0"/>
                <w:sz w:val="21"/>
                <w:szCs w:val="21"/>
              </w:rPr>
              <w:t>均重</w:t>
            </w:r>
            <w:r w:rsidRPr="000549B1">
              <w:rPr>
                <w:b/>
                <w:bCs/>
                <w:kern w:val="0"/>
                <w:sz w:val="21"/>
                <w:szCs w:val="21"/>
              </w:rPr>
              <w:t>g</w:t>
            </w:r>
          </w:p>
        </w:tc>
        <w:tc>
          <w:tcPr>
            <w:tcW w:w="522" w:type="pct"/>
            <w:noWrap/>
            <w:vAlign w:val="center"/>
          </w:tcPr>
          <w:p w14:paraId="6421026D" w14:textId="77777777" w:rsidR="00054437" w:rsidRPr="000549B1" w:rsidRDefault="00000000">
            <w:pPr>
              <w:pStyle w:val="27"/>
              <w:spacing w:line="240" w:lineRule="atLeast"/>
              <w:ind w:firstLineChars="0" w:firstLine="0"/>
              <w:jc w:val="center"/>
              <w:rPr>
                <w:b/>
                <w:bCs/>
                <w:kern w:val="0"/>
                <w:sz w:val="21"/>
                <w:szCs w:val="21"/>
              </w:rPr>
            </w:pPr>
            <w:r w:rsidRPr="000549B1">
              <w:rPr>
                <w:b/>
                <w:bCs/>
                <w:kern w:val="0"/>
                <w:sz w:val="21"/>
                <w:szCs w:val="21"/>
              </w:rPr>
              <w:t>重量</w:t>
            </w:r>
            <w:r w:rsidRPr="000549B1">
              <w:rPr>
                <w:b/>
                <w:bCs/>
                <w:kern w:val="0"/>
                <w:sz w:val="21"/>
                <w:szCs w:val="21"/>
              </w:rPr>
              <w:t>%</w:t>
            </w:r>
          </w:p>
        </w:tc>
        <w:tc>
          <w:tcPr>
            <w:tcW w:w="522" w:type="pct"/>
            <w:noWrap/>
            <w:vAlign w:val="center"/>
          </w:tcPr>
          <w:p w14:paraId="6166F7BF" w14:textId="77777777" w:rsidR="00054437" w:rsidRPr="000549B1" w:rsidRDefault="00000000">
            <w:pPr>
              <w:pStyle w:val="27"/>
              <w:spacing w:line="240" w:lineRule="atLeast"/>
              <w:ind w:firstLineChars="0" w:firstLine="0"/>
              <w:jc w:val="center"/>
              <w:rPr>
                <w:b/>
                <w:bCs/>
                <w:kern w:val="0"/>
                <w:sz w:val="21"/>
                <w:szCs w:val="21"/>
              </w:rPr>
            </w:pPr>
            <w:r w:rsidRPr="000549B1">
              <w:rPr>
                <w:b/>
                <w:bCs/>
                <w:kern w:val="0"/>
                <w:sz w:val="21"/>
                <w:szCs w:val="21"/>
              </w:rPr>
              <w:t>尾数</w:t>
            </w:r>
            <w:r w:rsidRPr="000549B1">
              <w:rPr>
                <w:b/>
                <w:bCs/>
                <w:kern w:val="0"/>
                <w:sz w:val="21"/>
                <w:szCs w:val="21"/>
              </w:rPr>
              <w:t>%</w:t>
            </w:r>
          </w:p>
        </w:tc>
      </w:tr>
      <w:tr w:rsidR="000549B1" w:rsidRPr="000549B1" w14:paraId="4C5BB8E0" w14:textId="77777777">
        <w:trPr>
          <w:trHeight w:val="315"/>
        </w:trPr>
        <w:tc>
          <w:tcPr>
            <w:tcW w:w="822" w:type="pct"/>
            <w:noWrap/>
            <w:vAlign w:val="center"/>
          </w:tcPr>
          <w:p w14:paraId="6B1286ED" w14:textId="77777777" w:rsidR="00054437" w:rsidRPr="000549B1" w:rsidRDefault="00000000">
            <w:pPr>
              <w:pStyle w:val="27"/>
              <w:spacing w:line="240" w:lineRule="atLeast"/>
              <w:ind w:firstLineChars="0" w:firstLine="0"/>
              <w:jc w:val="center"/>
              <w:rPr>
                <w:kern w:val="0"/>
                <w:sz w:val="21"/>
                <w:szCs w:val="21"/>
              </w:rPr>
            </w:pPr>
            <w:r w:rsidRPr="000549B1">
              <w:rPr>
                <w:kern w:val="0"/>
                <w:sz w:val="21"/>
                <w:szCs w:val="21"/>
              </w:rPr>
              <w:t>茶卡高原鳅</w:t>
            </w:r>
          </w:p>
        </w:tc>
        <w:tc>
          <w:tcPr>
            <w:tcW w:w="522" w:type="pct"/>
            <w:noWrap/>
            <w:vAlign w:val="center"/>
          </w:tcPr>
          <w:p w14:paraId="40CF2184" w14:textId="77777777" w:rsidR="00054437" w:rsidRPr="000549B1" w:rsidRDefault="00000000">
            <w:pPr>
              <w:pStyle w:val="27"/>
              <w:spacing w:line="240" w:lineRule="atLeast"/>
              <w:ind w:firstLineChars="0" w:firstLine="0"/>
              <w:jc w:val="center"/>
              <w:rPr>
                <w:kern w:val="0"/>
                <w:sz w:val="21"/>
                <w:szCs w:val="21"/>
              </w:rPr>
            </w:pPr>
            <w:r w:rsidRPr="000549B1">
              <w:rPr>
                <w:kern w:val="0"/>
                <w:sz w:val="21"/>
                <w:szCs w:val="21"/>
              </w:rPr>
              <w:t>100.66</w:t>
            </w:r>
          </w:p>
        </w:tc>
        <w:tc>
          <w:tcPr>
            <w:tcW w:w="522" w:type="pct"/>
            <w:noWrap/>
            <w:vAlign w:val="center"/>
          </w:tcPr>
          <w:p w14:paraId="6545A2B0" w14:textId="77777777" w:rsidR="00054437" w:rsidRPr="000549B1" w:rsidRDefault="00000000">
            <w:pPr>
              <w:pStyle w:val="27"/>
              <w:spacing w:line="240" w:lineRule="atLeast"/>
              <w:ind w:firstLineChars="0" w:firstLine="0"/>
              <w:jc w:val="center"/>
              <w:rPr>
                <w:kern w:val="0"/>
                <w:sz w:val="21"/>
                <w:szCs w:val="21"/>
              </w:rPr>
            </w:pPr>
            <w:r w:rsidRPr="000549B1">
              <w:rPr>
                <w:kern w:val="0"/>
                <w:sz w:val="21"/>
                <w:szCs w:val="21"/>
              </w:rPr>
              <w:t>28</w:t>
            </w:r>
          </w:p>
        </w:tc>
        <w:tc>
          <w:tcPr>
            <w:tcW w:w="522" w:type="pct"/>
            <w:noWrap/>
            <w:vAlign w:val="center"/>
          </w:tcPr>
          <w:p w14:paraId="3B7F1CB2" w14:textId="77777777" w:rsidR="00054437" w:rsidRPr="000549B1" w:rsidRDefault="00000000">
            <w:pPr>
              <w:pStyle w:val="27"/>
              <w:spacing w:line="240" w:lineRule="atLeast"/>
              <w:ind w:firstLineChars="0" w:firstLine="0"/>
              <w:jc w:val="center"/>
              <w:rPr>
                <w:kern w:val="0"/>
                <w:sz w:val="21"/>
                <w:szCs w:val="21"/>
              </w:rPr>
            </w:pPr>
            <w:r w:rsidRPr="000549B1">
              <w:rPr>
                <w:kern w:val="0"/>
                <w:sz w:val="21"/>
                <w:szCs w:val="21"/>
              </w:rPr>
              <w:t>2.5-9.1</w:t>
            </w:r>
          </w:p>
        </w:tc>
        <w:tc>
          <w:tcPr>
            <w:tcW w:w="522" w:type="pct"/>
            <w:noWrap/>
            <w:vAlign w:val="center"/>
          </w:tcPr>
          <w:p w14:paraId="167C9B94" w14:textId="77777777" w:rsidR="00054437" w:rsidRPr="000549B1" w:rsidRDefault="00000000">
            <w:pPr>
              <w:pStyle w:val="27"/>
              <w:spacing w:line="240" w:lineRule="atLeast"/>
              <w:ind w:firstLineChars="0" w:firstLine="0"/>
              <w:jc w:val="center"/>
              <w:rPr>
                <w:kern w:val="0"/>
                <w:sz w:val="21"/>
                <w:szCs w:val="21"/>
              </w:rPr>
            </w:pPr>
            <w:r w:rsidRPr="000549B1">
              <w:rPr>
                <w:kern w:val="0"/>
                <w:sz w:val="21"/>
                <w:szCs w:val="21"/>
              </w:rPr>
              <w:t>0.2-9.0</w:t>
            </w:r>
          </w:p>
        </w:tc>
        <w:tc>
          <w:tcPr>
            <w:tcW w:w="522" w:type="pct"/>
            <w:noWrap/>
            <w:vAlign w:val="center"/>
          </w:tcPr>
          <w:p w14:paraId="4569381C" w14:textId="77777777" w:rsidR="00054437" w:rsidRPr="000549B1" w:rsidRDefault="00000000">
            <w:pPr>
              <w:pStyle w:val="27"/>
              <w:spacing w:line="240" w:lineRule="atLeast"/>
              <w:ind w:firstLineChars="0" w:firstLine="0"/>
              <w:jc w:val="center"/>
              <w:rPr>
                <w:kern w:val="0"/>
                <w:sz w:val="21"/>
                <w:szCs w:val="21"/>
              </w:rPr>
            </w:pPr>
            <w:r w:rsidRPr="000549B1">
              <w:rPr>
                <w:kern w:val="0"/>
                <w:sz w:val="21"/>
                <w:szCs w:val="21"/>
              </w:rPr>
              <w:t>4.28</w:t>
            </w:r>
          </w:p>
        </w:tc>
        <w:tc>
          <w:tcPr>
            <w:tcW w:w="522" w:type="pct"/>
            <w:noWrap/>
            <w:vAlign w:val="center"/>
          </w:tcPr>
          <w:p w14:paraId="709A5E9D" w14:textId="77777777" w:rsidR="00054437" w:rsidRPr="000549B1" w:rsidRDefault="00000000">
            <w:pPr>
              <w:pStyle w:val="27"/>
              <w:spacing w:line="240" w:lineRule="atLeast"/>
              <w:ind w:firstLineChars="0" w:firstLine="0"/>
              <w:jc w:val="center"/>
              <w:rPr>
                <w:kern w:val="0"/>
                <w:sz w:val="21"/>
                <w:szCs w:val="21"/>
              </w:rPr>
            </w:pPr>
            <w:r w:rsidRPr="000549B1">
              <w:rPr>
                <w:kern w:val="0"/>
                <w:sz w:val="21"/>
                <w:szCs w:val="21"/>
              </w:rPr>
              <w:t>3.60</w:t>
            </w:r>
          </w:p>
        </w:tc>
        <w:tc>
          <w:tcPr>
            <w:tcW w:w="522" w:type="pct"/>
            <w:noWrap/>
            <w:vAlign w:val="center"/>
          </w:tcPr>
          <w:p w14:paraId="6D2CA212" w14:textId="77777777" w:rsidR="00054437" w:rsidRPr="000549B1" w:rsidRDefault="00000000">
            <w:pPr>
              <w:pStyle w:val="27"/>
              <w:spacing w:line="240" w:lineRule="atLeast"/>
              <w:ind w:firstLineChars="0" w:firstLine="0"/>
              <w:jc w:val="center"/>
              <w:rPr>
                <w:kern w:val="0"/>
                <w:sz w:val="21"/>
                <w:szCs w:val="21"/>
              </w:rPr>
            </w:pPr>
            <w:r w:rsidRPr="000549B1">
              <w:rPr>
                <w:kern w:val="0"/>
                <w:sz w:val="21"/>
                <w:szCs w:val="21"/>
              </w:rPr>
              <w:t>22.67%</w:t>
            </w:r>
          </w:p>
        </w:tc>
        <w:tc>
          <w:tcPr>
            <w:tcW w:w="522" w:type="pct"/>
            <w:noWrap/>
            <w:vAlign w:val="center"/>
          </w:tcPr>
          <w:p w14:paraId="64528240" w14:textId="77777777" w:rsidR="00054437" w:rsidRPr="000549B1" w:rsidRDefault="00000000">
            <w:pPr>
              <w:pStyle w:val="27"/>
              <w:spacing w:line="240" w:lineRule="atLeast"/>
              <w:ind w:firstLineChars="0" w:firstLine="0"/>
              <w:jc w:val="center"/>
              <w:rPr>
                <w:kern w:val="0"/>
                <w:sz w:val="21"/>
                <w:szCs w:val="21"/>
              </w:rPr>
            </w:pPr>
            <w:r w:rsidRPr="000549B1">
              <w:rPr>
                <w:kern w:val="0"/>
                <w:sz w:val="21"/>
                <w:szCs w:val="21"/>
              </w:rPr>
              <w:t>43.75%</w:t>
            </w:r>
          </w:p>
        </w:tc>
      </w:tr>
      <w:tr w:rsidR="000549B1" w:rsidRPr="000549B1" w14:paraId="36DB92BB" w14:textId="77777777">
        <w:trPr>
          <w:trHeight w:val="315"/>
        </w:trPr>
        <w:tc>
          <w:tcPr>
            <w:tcW w:w="822" w:type="pct"/>
            <w:noWrap/>
            <w:vAlign w:val="center"/>
          </w:tcPr>
          <w:p w14:paraId="75D04B3A" w14:textId="77777777" w:rsidR="00054437" w:rsidRPr="000549B1" w:rsidRDefault="00000000">
            <w:pPr>
              <w:pStyle w:val="27"/>
              <w:spacing w:line="240" w:lineRule="atLeast"/>
              <w:ind w:firstLineChars="0" w:firstLine="0"/>
              <w:jc w:val="center"/>
              <w:rPr>
                <w:kern w:val="0"/>
                <w:sz w:val="21"/>
                <w:szCs w:val="21"/>
              </w:rPr>
            </w:pPr>
            <w:r w:rsidRPr="000549B1">
              <w:rPr>
                <w:kern w:val="0"/>
                <w:sz w:val="21"/>
                <w:szCs w:val="21"/>
              </w:rPr>
              <w:t>东方高原鳅</w:t>
            </w:r>
          </w:p>
        </w:tc>
        <w:tc>
          <w:tcPr>
            <w:tcW w:w="522" w:type="pct"/>
            <w:noWrap/>
            <w:vAlign w:val="center"/>
          </w:tcPr>
          <w:p w14:paraId="52E2F8D0" w14:textId="77777777" w:rsidR="00054437" w:rsidRPr="000549B1" w:rsidRDefault="00000000">
            <w:pPr>
              <w:pStyle w:val="27"/>
              <w:spacing w:line="240" w:lineRule="atLeast"/>
              <w:ind w:firstLineChars="0" w:firstLine="0"/>
              <w:jc w:val="center"/>
              <w:rPr>
                <w:kern w:val="0"/>
                <w:sz w:val="21"/>
                <w:szCs w:val="21"/>
              </w:rPr>
            </w:pPr>
            <w:r w:rsidRPr="000549B1">
              <w:rPr>
                <w:kern w:val="0"/>
                <w:sz w:val="21"/>
                <w:szCs w:val="21"/>
              </w:rPr>
              <w:t>42.54</w:t>
            </w:r>
          </w:p>
        </w:tc>
        <w:tc>
          <w:tcPr>
            <w:tcW w:w="522" w:type="pct"/>
            <w:noWrap/>
            <w:vAlign w:val="center"/>
          </w:tcPr>
          <w:p w14:paraId="6870306E" w14:textId="77777777" w:rsidR="00054437" w:rsidRPr="000549B1" w:rsidRDefault="00000000">
            <w:pPr>
              <w:pStyle w:val="27"/>
              <w:spacing w:line="240" w:lineRule="atLeast"/>
              <w:ind w:firstLineChars="0" w:firstLine="0"/>
              <w:jc w:val="center"/>
              <w:rPr>
                <w:kern w:val="0"/>
                <w:sz w:val="21"/>
                <w:szCs w:val="21"/>
              </w:rPr>
            </w:pPr>
            <w:r w:rsidRPr="000549B1">
              <w:rPr>
                <w:kern w:val="0"/>
                <w:sz w:val="21"/>
                <w:szCs w:val="21"/>
              </w:rPr>
              <w:t>12</w:t>
            </w:r>
          </w:p>
        </w:tc>
        <w:tc>
          <w:tcPr>
            <w:tcW w:w="522" w:type="pct"/>
            <w:noWrap/>
            <w:vAlign w:val="center"/>
          </w:tcPr>
          <w:p w14:paraId="32FEE93E" w14:textId="77777777" w:rsidR="00054437" w:rsidRPr="000549B1" w:rsidRDefault="00000000">
            <w:pPr>
              <w:pStyle w:val="27"/>
              <w:spacing w:line="240" w:lineRule="atLeast"/>
              <w:ind w:firstLineChars="0" w:firstLine="0"/>
              <w:jc w:val="center"/>
              <w:rPr>
                <w:kern w:val="0"/>
                <w:sz w:val="21"/>
                <w:szCs w:val="21"/>
              </w:rPr>
            </w:pPr>
            <w:r w:rsidRPr="000549B1">
              <w:rPr>
                <w:kern w:val="0"/>
                <w:sz w:val="21"/>
                <w:szCs w:val="21"/>
              </w:rPr>
              <w:t>2.9-6.1</w:t>
            </w:r>
          </w:p>
        </w:tc>
        <w:tc>
          <w:tcPr>
            <w:tcW w:w="522" w:type="pct"/>
            <w:noWrap/>
            <w:vAlign w:val="center"/>
          </w:tcPr>
          <w:p w14:paraId="7846BDF8" w14:textId="77777777" w:rsidR="00054437" w:rsidRPr="000549B1" w:rsidRDefault="00000000">
            <w:pPr>
              <w:pStyle w:val="27"/>
              <w:spacing w:line="240" w:lineRule="atLeast"/>
              <w:ind w:firstLineChars="0" w:firstLine="0"/>
              <w:jc w:val="center"/>
              <w:rPr>
                <w:kern w:val="0"/>
                <w:sz w:val="21"/>
                <w:szCs w:val="21"/>
              </w:rPr>
            </w:pPr>
            <w:r w:rsidRPr="000549B1">
              <w:rPr>
                <w:kern w:val="0"/>
                <w:sz w:val="21"/>
                <w:szCs w:val="21"/>
              </w:rPr>
              <w:t>1.0-3.5</w:t>
            </w:r>
          </w:p>
        </w:tc>
        <w:tc>
          <w:tcPr>
            <w:tcW w:w="522" w:type="pct"/>
            <w:noWrap/>
            <w:vAlign w:val="center"/>
          </w:tcPr>
          <w:p w14:paraId="4CF2DA1D" w14:textId="77777777" w:rsidR="00054437" w:rsidRPr="000549B1" w:rsidRDefault="00000000">
            <w:pPr>
              <w:pStyle w:val="27"/>
              <w:spacing w:line="240" w:lineRule="atLeast"/>
              <w:ind w:firstLineChars="0" w:firstLine="0"/>
              <w:jc w:val="center"/>
              <w:rPr>
                <w:kern w:val="0"/>
                <w:sz w:val="21"/>
                <w:szCs w:val="21"/>
              </w:rPr>
            </w:pPr>
            <w:r w:rsidRPr="000549B1">
              <w:rPr>
                <w:kern w:val="0"/>
                <w:sz w:val="21"/>
                <w:szCs w:val="21"/>
              </w:rPr>
              <w:t>3.22</w:t>
            </w:r>
          </w:p>
        </w:tc>
        <w:tc>
          <w:tcPr>
            <w:tcW w:w="522" w:type="pct"/>
            <w:noWrap/>
            <w:vAlign w:val="center"/>
          </w:tcPr>
          <w:p w14:paraId="1BA670AA" w14:textId="77777777" w:rsidR="00054437" w:rsidRPr="000549B1" w:rsidRDefault="00000000">
            <w:pPr>
              <w:pStyle w:val="27"/>
              <w:spacing w:line="240" w:lineRule="atLeast"/>
              <w:ind w:firstLineChars="0" w:firstLine="0"/>
              <w:jc w:val="center"/>
              <w:rPr>
                <w:kern w:val="0"/>
                <w:sz w:val="21"/>
                <w:szCs w:val="21"/>
              </w:rPr>
            </w:pPr>
            <w:r w:rsidRPr="000549B1">
              <w:rPr>
                <w:kern w:val="0"/>
                <w:sz w:val="21"/>
                <w:szCs w:val="21"/>
              </w:rPr>
              <w:t>3.55</w:t>
            </w:r>
          </w:p>
        </w:tc>
        <w:tc>
          <w:tcPr>
            <w:tcW w:w="522" w:type="pct"/>
            <w:noWrap/>
            <w:vAlign w:val="center"/>
          </w:tcPr>
          <w:p w14:paraId="5B3CF356" w14:textId="77777777" w:rsidR="00054437" w:rsidRPr="000549B1" w:rsidRDefault="00000000">
            <w:pPr>
              <w:pStyle w:val="27"/>
              <w:spacing w:line="240" w:lineRule="atLeast"/>
              <w:ind w:firstLineChars="0" w:firstLine="0"/>
              <w:jc w:val="center"/>
              <w:rPr>
                <w:kern w:val="0"/>
                <w:sz w:val="21"/>
                <w:szCs w:val="21"/>
              </w:rPr>
            </w:pPr>
            <w:r w:rsidRPr="000549B1">
              <w:rPr>
                <w:kern w:val="0"/>
                <w:sz w:val="21"/>
                <w:szCs w:val="21"/>
              </w:rPr>
              <w:t>9.58%</w:t>
            </w:r>
          </w:p>
        </w:tc>
        <w:tc>
          <w:tcPr>
            <w:tcW w:w="522" w:type="pct"/>
            <w:noWrap/>
            <w:vAlign w:val="center"/>
          </w:tcPr>
          <w:p w14:paraId="4C501251" w14:textId="77777777" w:rsidR="00054437" w:rsidRPr="000549B1" w:rsidRDefault="00000000">
            <w:pPr>
              <w:pStyle w:val="27"/>
              <w:spacing w:line="240" w:lineRule="atLeast"/>
              <w:ind w:firstLineChars="0" w:firstLine="0"/>
              <w:jc w:val="center"/>
              <w:rPr>
                <w:kern w:val="0"/>
                <w:sz w:val="21"/>
                <w:szCs w:val="21"/>
              </w:rPr>
            </w:pPr>
            <w:r w:rsidRPr="000549B1">
              <w:rPr>
                <w:kern w:val="0"/>
                <w:sz w:val="21"/>
                <w:szCs w:val="21"/>
              </w:rPr>
              <w:t>18.75%</w:t>
            </w:r>
          </w:p>
        </w:tc>
      </w:tr>
      <w:tr w:rsidR="000549B1" w:rsidRPr="000549B1" w14:paraId="066CCD82" w14:textId="77777777">
        <w:trPr>
          <w:trHeight w:val="315"/>
        </w:trPr>
        <w:tc>
          <w:tcPr>
            <w:tcW w:w="822" w:type="pct"/>
            <w:noWrap/>
            <w:vAlign w:val="center"/>
          </w:tcPr>
          <w:p w14:paraId="2098D997" w14:textId="77777777" w:rsidR="00054437" w:rsidRPr="000549B1" w:rsidRDefault="00000000">
            <w:pPr>
              <w:pStyle w:val="27"/>
              <w:spacing w:line="240" w:lineRule="atLeast"/>
              <w:ind w:firstLineChars="0" w:firstLine="0"/>
              <w:jc w:val="center"/>
              <w:rPr>
                <w:kern w:val="0"/>
                <w:sz w:val="21"/>
                <w:szCs w:val="21"/>
              </w:rPr>
            </w:pPr>
            <w:r w:rsidRPr="000549B1">
              <w:rPr>
                <w:kern w:val="0"/>
                <w:sz w:val="21"/>
                <w:szCs w:val="21"/>
              </w:rPr>
              <w:t>花斑裸鲤</w:t>
            </w:r>
          </w:p>
        </w:tc>
        <w:tc>
          <w:tcPr>
            <w:tcW w:w="522" w:type="pct"/>
            <w:noWrap/>
            <w:vAlign w:val="center"/>
          </w:tcPr>
          <w:p w14:paraId="22E03E8A" w14:textId="77777777" w:rsidR="00054437" w:rsidRPr="000549B1" w:rsidRDefault="00000000">
            <w:pPr>
              <w:pStyle w:val="27"/>
              <w:spacing w:line="240" w:lineRule="atLeast"/>
              <w:ind w:firstLineChars="0" w:firstLine="0"/>
              <w:jc w:val="center"/>
              <w:rPr>
                <w:kern w:val="0"/>
                <w:sz w:val="21"/>
                <w:szCs w:val="21"/>
              </w:rPr>
            </w:pPr>
            <w:r w:rsidRPr="000549B1">
              <w:rPr>
                <w:kern w:val="0"/>
                <w:sz w:val="21"/>
                <w:szCs w:val="21"/>
              </w:rPr>
              <w:t>298.10</w:t>
            </w:r>
          </w:p>
        </w:tc>
        <w:tc>
          <w:tcPr>
            <w:tcW w:w="522" w:type="pct"/>
            <w:noWrap/>
            <w:vAlign w:val="center"/>
          </w:tcPr>
          <w:p w14:paraId="0FCBEEF4" w14:textId="77777777" w:rsidR="00054437" w:rsidRPr="000549B1" w:rsidRDefault="00000000">
            <w:pPr>
              <w:pStyle w:val="27"/>
              <w:spacing w:line="240" w:lineRule="atLeast"/>
              <w:ind w:firstLineChars="0" w:firstLine="0"/>
              <w:jc w:val="center"/>
              <w:rPr>
                <w:kern w:val="0"/>
                <w:sz w:val="21"/>
                <w:szCs w:val="21"/>
              </w:rPr>
            </w:pPr>
            <w:r w:rsidRPr="000549B1">
              <w:rPr>
                <w:kern w:val="0"/>
                <w:sz w:val="21"/>
                <w:szCs w:val="21"/>
              </w:rPr>
              <w:t>23</w:t>
            </w:r>
          </w:p>
        </w:tc>
        <w:tc>
          <w:tcPr>
            <w:tcW w:w="522" w:type="pct"/>
            <w:noWrap/>
            <w:vAlign w:val="center"/>
          </w:tcPr>
          <w:p w14:paraId="1D9AD0AC" w14:textId="77777777" w:rsidR="00054437" w:rsidRPr="000549B1" w:rsidRDefault="00000000">
            <w:pPr>
              <w:pStyle w:val="27"/>
              <w:spacing w:line="240" w:lineRule="atLeast"/>
              <w:ind w:firstLineChars="0" w:firstLine="0"/>
              <w:jc w:val="center"/>
              <w:rPr>
                <w:kern w:val="0"/>
                <w:sz w:val="21"/>
                <w:szCs w:val="21"/>
              </w:rPr>
            </w:pPr>
            <w:r w:rsidRPr="000549B1">
              <w:rPr>
                <w:kern w:val="0"/>
                <w:sz w:val="21"/>
                <w:szCs w:val="21"/>
              </w:rPr>
              <w:t>3.4-19.9</w:t>
            </w:r>
          </w:p>
        </w:tc>
        <w:tc>
          <w:tcPr>
            <w:tcW w:w="522" w:type="pct"/>
            <w:noWrap/>
            <w:vAlign w:val="center"/>
          </w:tcPr>
          <w:p w14:paraId="57441BA4" w14:textId="77777777" w:rsidR="00054437" w:rsidRPr="000549B1" w:rsidRDefault="00000000">
            <w:pPr>
              <w:pStyle w:val="27"/>
              <w:spacing w:line="240" w:lineRule="atLeast"/>
              <w:ind w:firstLineChars="0" w:firstLine="0"/>
              <w:jc w:val="center"/>
              <w:rPr>
                <w:kern w:val="0"/>
                <w:sz w:val="21"/>
                <w:szCs w:val="21"/>
              </w:rPr>
            </w:pPr>
            <w:r w:rsidRPr="000549B1">
              <w:rPr>
                <w:kern w:val="0"/>
                <w:sz w:val="21"/>
                <w:szCs w:val="21"/>
              </w:rPr>
              <w:t>0.4-99.9</w:t>
            </w:r>
          </w:p>
        </w:tc>
        <w:tc>
          <w:tcPr>
            <w:tcW w:w="522" w:type="pct"/>
            <w:noWrap/>
            <w:vAlign w:val="center"/>
          </w:tcPr>
          <w:p w14:paraId="6AE55584" w14:textId="77777777" w:rsidR="00054437" w:rsidRPr="000549B1" w:rsidRDefault="00000000">
            <w:pPr>
              <w:pStyle w:val="27"/>
              <w:spacing w:line="240" w:lineRule="atLeast"/>
              <w:ind w:firstLineChars="0" w:firstLine="0"/>
              <w:jc w:val="center"/>
              <w:rPr>
                <w:kern w:val="0"/>
                <w:sz w:val="21"/>
                <w:szCs w:val="21"/>
              </w:rPr>
            </w:pPr>
            <w:r w:rsidRPr="000549B1">
              <w:rPr>
                <w:kern w:val="0"/>
                <w:sz w:val="21"/>
                <w:szCs w:val="21"/>
              </w:rPr>
              <w:t>7.04</w:t>
            </w:r>
          </w:p>
        </w:tc>
        <w:tc>
          <w:tcPr>
            <w:tcW w:w="522" w:type="pct"/>
            <w:noWrap/>
            <w:vAlign w:val="center"/>
          </w:tcPr>
          <w:p w14:paraId="7B0E9B37" w14:textId="77777777" w:rsidR="00054437" w:rsidRPr="000549B1" w:rsidRDefault="00000000">
            <w:pPr>
              <w:pStyle w:val="27"/>
              <w:spacing w:line="240" w:lineRule="atLeast"/>
              <w:ind w:firstLineChars="0" w:firstLine="0"/>
              <w:jc w:val="center"/>
              <w:rPr>
                <w:kern w:val="0"/>
                <w:sz w:val="21"/>
                <w:szCs w:val="21"/>
              </w:rPr>
            </w:pPr>
            <w:r w:rsidRPr="000549B1">
              <w:rPr>
                <w:kern w:val="0"/>
                <w:sz w:val="21"/>
                <w:szCs w:val="21"/>
              </w:rPr>
              <w:t>12.96</w:t>
            </w:r>
          </w:p>
        </w:tc>
        <w:tc>
          <w:tcPr>
            <w:tcW w:w="522" w:type="pct"/>
            <w:noWrap/>
            <w:vAlign w:val="center"/>
          </w:tcPr>
          <w:p w14:paraId="7A658D54" w14:textId="77777777" w:rsidR="00054437" w:rsidRPr="000549B1" w:rsidRDefault="00000000">
            <w:pPr>
              <w:pStyle w:val="27"/>
              <w:spacing w:line="240" w:lineRule="atLeast"/>
              <w:ind w:firstLineChars="0" w:firstLine="0"/>
              <w:jc w:val="center"/>
              <w:rPr>
                <w:kern w:val="0"/>
                <w:sz w:val="21"/>
                <w:szCs w:val="21"/>
              </w:rPr>
            </w:pPr>
            <w:r w:rsidRPr="000549B1">
              <w:rPr>
                <w:kern w:val="0"/>
                <w:sz w:val="21"/>
                <w:szCs w:val="21"/>
              </w:rPr>
              <w:t>67.14%</w:t>
            </w:r>
          </w:p>
        </w:tc>
        <w:tc>
          <w:tcPr>
            <w:tcW w:w="522" w:type="pct"/>
            <w:noWrap/>
            <w:vAlign w:val="center"/>
          </w:tcPr>
          <w:p w14:paraId="24EBD590" w14:textId="77777777" w:rsidR="00054437" w:rsidRPr="000549B1" w:rsidRDefault="00000000">
            <w:pPr>
              <w:pStyle w:val="27"/>
              <w:spacing w:line="240" w:lineRule="atLeast"/>
              <w:ind w:firstLineChars="0" w:firstLine="0"/>
              <w:jc w:val="center"/>
              <w:rPr>
                <w:kern w:val="0"/>
                <w:sz w:val="21"/>
                <w:szCs w:val="21"/>
              </w:rPr>
            </w:pPr>
            <w:r w:rsidRPr="000549B1">
              <w:rPr>
                <w:kern w:val="0"/>
                <w:sz w:val="21"/>
                <w:szCs w:val="21"/>
              </w:rPr>
              <w:t>35.94%</w:t>
            </w:r>
          </w:p>
        </w:tc>
      </w:tr>
      <w:tr w:rsidR="000549B1" w:rsidRPr="000549B1" w14:paraId="49A4A0B2" w14:textId="77777777">
        <w:trPr>
          <w:trHeight w:val="315"/>
        </w:trPr>
        <w:tc>
          <w:tcPr>
            <w:tcW w:w="822" w:type="pct"/>
            <w:noWrap/>
            <w:vAlign w:val="center"/>
          </w:tcPr>
          <w:p w14:paraId="17149FB0" w14:textId="77777777" w:rsidR="00054437" w:rsidRPr="000549B1" w:rsidRDefault="00000000">
            <w:pPr>
              <w:pStyle w:val="27"/>
              <w:spacing w:line="240" w:lineRule="atLeast"/>
              <w:ind w:firstLineChars="0" w:firstLine="0"/>
              <w:jc w:val="center"/>
              <w:rPr>
                <w:kern w:val="0"/>
                <w:sz w:val="21"/>
                <w:szCs w:val="21"/>
              </w:rPr>
            </w:pPr>
            <w:r w:rsidRPr="000549B1">
              <w:rPr>
                <w:kern w:val="0"/>
                <w:sz w:val="21"/>
                <w:szCs w:val="21"/>
              </w:rPr>
              <w:t>麦穗鱼</w:t>
            </w:r>
          </w:p>
        </w:tc>
        <w:tc>
          <w:tcPr>
            <w:tcW w:w="522" w:type="pct"/>
            <w:noWrap/>
            <w:vAlign w:val="center"/>
          </w:tcPr>
          <w:p w14:paraId="0D3EE3E7" w14:textId="77777777" w:rsidR="00054437" w:rsidRPr="000549B1" w:rsidRDefault="00000000">
            <w:pPr>
              <w:pStyle w:val="27"/>
              <w:spacing w:line="240" w:lineRule="atLeast"/>
              <w:ind w:firstLineChars="0" w:firstLine="0"/>
              <w:jc w:val="center"/>
              <w:rPr>
                <w:kern w:val="0"/>
                <w:sz w:val="21"/>
                <w:szCs w:val="21"/>
              </w:rPr>
            </w:pPr>
            <w:r w:rsidRPr="000549B1">
              <w:rPr>
                <w:kern w:val="0"/>
                <w:sz w:val="21"/>
                <w:szCs w:val="21"/>
              </w:rPr>
              <w:t>2.70</w:t>
            </w:r>
          </w:p>
        </w:tc>
        <w:tc>
          <w:tcPr>
            <w:tcW w:w="522" w:type="pct"/>
            <w:noWrap/>
            <w:vAlign w:val="center"/>
          </w:tcPr>
          <w:p w14:paraId="40B9DAE7" w14:textId="77777777" w:rsidR="00054437" w:rsidRPr="000549B1" w:rsidRDefault="00000000">
            <w:pPr>
              <w:pStyle w:val="27"/>
              <w:spacing w:line="240" w:lineRule="atLeast"/>
              <w:ind w:firstLineChars="0" w:firstLine="0"/>
              <w:jc w:val="center"/>
              <w:rPr>
                <w:kern w:val="0"/>
                <w:sz w:val="21"/>
                <w:szCs w:val="21"/>
              </w:rPr>
            </w:pPr>
            <w:r w:rsidRPr="000549B1">
              <w:rPr>
                <w:kern w:val="0"/>
                <w:sz w:val="21"/>
                <w:szCs w:val="21"/>
              </w:rPr>
              <w:t>1</w:t>
            </w:r>
          </w:p>
        </w:tc>
        <w:tc>
          <w:tcPr>
            <w:tcW w:w="522" w:type="pct"/>
            <w:noWrap/>
            <w:vAlign w:val="center"/>
          </w:tcPr>
          <w:p w14:paraId="350F9C6C" w14:textId="77777777" w:rsidR="00054437" w:rsidRPr="000549B1" w:rsidRDefault="00000000">
            <w:pPr>
              <w:pStyle w:val="27"/>
              <w:spacing w:line="240" w:lineRule="atLeast"/>
              <w:ind w:firstLineChars="0" w:firstLine="0"/>
              <w:jc w:val="center"/>
              <w:rPr>
                <w:kern w:val="0"/>
                <w:sz w:val="21"/>
                <w:szCs w:val="21"/>
              </w:rPr>
            </w:pPr>
            <w:r w:rsidRPr="000549B1">
              <w:rPr>
                <w:kern w:val="0"/>
                <w:sz w:val="21"/>
                <w:szCs w:val="21"/>
              </w:rPr>
              <w:t>4.8</w:t>
            </w:r>
          </w:p>
        </w:tc>
        <w:tc>
          <w:tcPr>
            <w:tcW w:w="522" w:type="pct"/>
            <w:noWrap/>
            <w:vAlign w:val="center"/>
          </w:tcPr>
          <w:p w14:paraId="32F0A02B" w14:textId="77777777" w:rsidR="00054437" w:rsidRPr="000549B1" w:rsidRDefault="00000000">
            <w:pPr>
              <w:pStyle w:val="27"/>
              <w:spacing w:line="240" w:lineRule="atLeast"/>
              <w:ind w:firstLineChars="0" w:firstLine="0"/>
              <w:jc w:val="center"/>
              <w:rPr>
                <w:kern w:val="0"/>
                <w:sz w:val="21"/>
                <w:szCs w:val="21"/>
              </w:rPr>
            </w:pPr>
            <w:r w:rsidRPr="000549B1">
              <w:rPr>
                <w:kern w:val="0"/>
                <w:sz w:val="21"/>
                <w:szCs w:val="21"/>
              </w:rPr>
              <w:t>2.7</w:t>
            </w:r>
          </w:p>
        </w:tc>
        <w:tc>
          <w:tcPr>
            <w:tcW w:w="522" w:type="pct"/>
            <w:noWrap/>
            <w:vAlign w:val="center"/>
          </w:tcPr>
          <w:p w14:paraId="543D6FA8" w14:textId="77777777" w:rsidR="00054437" w:rsidRPr="000549B1" w:rsidRDefault="00000000">
            <w:pPr>
              <w:pStyle w:val="27"/>
              <w:spacing w:line="240" w:lineRule="atLeast"/>
              <w:ind w:firstLineChars="0" w:firstLine="0"/>
              <w:jc w:val="center"/>
              <w:rPr>
                <w:kern w:val="0"/>
                <w:sz w:val="21"/>
                <w:szCs w:val="21"/>
              </w:rPr>
            </w:pPr>
            <w:r w:rsidRPr="000549B1">
              <w:rPr>
                <w:kern w:val="0"/>
                <w:sz w:val="21"/>
                <w:szCs w:val="21"/>
              </w:rPr>
              <w:t>4.80</w:t>
            </w:r>
          </w:p>
        </w:tc>
        <w:tc>
          <w:tcPr>
            <w:tcW w:w="522" w:type="pct"/>
            <w:noWrap/>
            <w:vAlign w:val="center"/>
          </w:tcPr>
          <w:p w14:paraId="53F1584C" w14:textId="77777777" w:rsidR="00054437" w:rsidRPr="000549B1" w:rsidRDefault="00000000">
            <w:pPr>
              <w:pStyle w:val="27"/>
              <w:spacing w:line="240" w:lineRule="atLeast"/>
              <w:ind w:firstLineChars="0" w:firstLine="0"/>
              <w:jc w:val="center"/>
              <w:rPr>
                <w:kern w:val="0"/>
                <w:sz w:val="21"/>
                <w:szCs w:val="21"/>
              </w:rPr>
            </w:pPr>
            <w:r w:rsidRPr="000549B1">
              <w:rPr>
                <w:kern w:val="0"/>
                <w:sz w:val="21"/>
                <w:szCs w:val="21"/>
              </w:rPr>
              <w:t>2.70</w:t>
            </w:r>
          </w:p>
        </w:tc>
        <w:tc>
          <w:tcPr>
            <w:tcW w:w="522" w:type="pct"/>
            <w:noWrap/>
            <w:vAlign w:val="center"/>
          </w:tcPr>
          <w:p w14:paraId="6CD53466" w14:textId="77777777" w:rsidR="00054437" w:rsidRPr="000549B1" w:rsidRDefault="00000000">
            <w:pPr>
              <w:pStyle w:val="27"/>
              <w:spacing w:line="240" w:lineRule="atLeast"/>
              <w:ind w:firstLineChars="0" w:firstLine="0"/>
              <w:jc w:val="center"/>
              <w:rPr>
                <w:kern w:val="0"/>
                <w:sz w:val="21"/>
                <w:szCs w:val="21"/>
              </w:rPr>
            </w:pPr>
            <w:r w:rsidRPr="000549B1">
              <w:rPr>
                <w:kern w:val="0"/>
                <w:sz w:val="21"/>
                <w:szCs w:val="21"/>
              </w:rPr>
              <w:t>0.61%</w:t>
            </w:r>
          </w:p>
        </w:tc>
        <w:tc>
          <w:tcPr>
            <w:tcW w:w="522" w:type="pct"/>
            <w:noWrap/>
            <w:vAlign w:val="center"/>
          </w:tcPr>
          <w:p w14:paraId="4A481042" w14:textId="77777777" w:rsidR="00054437" w:rsidRPr="000549B1" w:rsidRDefault="00000000">
            <w:pPr>
              <w:pStyle w:val="27"/>
              <w:spacing w:line="240" w:lineRule="atLeast"/>
              <w:ind w:firstLineChars="0" w:firstLine="0"/>
              <w:jc w:val="center"/>
              <w:rPr>
                <w:kern w:val="0"/>
                <w:sz w:val="21"/>
                <w:szCs w:val="21"/>
              </w:rPr>
            </w:pPr>
            <w:r w:rsidRPr="000549B1">
              <w:rPr>
                <w:kern w:val="0"/>
                <w:sz w:val="21"/>
                <w:szCs w:val="21"/>
              </w:rPr>
              <w:t>1.56%</w:t>
            </w:r>
          </w:p>
        </w:tc>
      </w:tr>
      <w:tr w:rsidR="000549B1" w:rsidRPr="000549B1" w14:paraId="756555FA" w14:textId="77777777">
        <w:trPr>
          <w:trHeight w:val="315"/>
        </w:trPr>
        <w:tc>
          <w:tcPr>
            <w:tcW w:w="822" w:type="pct"/>
            <w:noWrap/>
            <w:vAlign w:val="center"/>
          </w:tcPr>
          <w:p w14:paraId="4BB5BC02" w14:textId="77777777" w:rsidR="00054437" w:rsidRPr="000549B1" w:rsidRDefault="00000000">
            <w:pPr>
              <w:pStyle w:val="27"/>
              <w:spacing w:line="240" w:lineRule="atLeast"/>
              <w:ind w:firstLineChars="0" w:firstLine="0"/>
              <w:jc w:val="center"/>
              <w:rPr>
                <w:kern w:val="0"/>
                <w:sz w:val="21"/>
                <w:szCs w:val="21"/>
              </w:rPr>
            </w:pPr>
            <w:r w:rsidRPr="000549B1">
              <w:rPr>
                <w:kern w:val="0"/>
                <w:sz w:val="21"/>
                <w:szCs w:val="21"/>
              </w:rPr>
              <w:t>合计</w:t>
            </w:r>
          </w:p>
        </w:tc>
        <w:tc>
          <w:tcPr>
            <w:tcW w:w="522" w:type="pct"/>
            <w:noWrap/>
            <w:vAlign w:val="center"/>
          </w:tcPr>
          <w:p w14:paraId="15FA6F6C" w14:textId="77777777" w:rsidR="00054437" w:rsidRPr="000549B1" w:rsidRDefault="00000000">
            <w:pPr>
              <w:pStyle w:val="27"/>
              <w:spacing w:line="240" w:lineRule="atLeast"/>
              <w:ind w:firstLineChars="0" w:firstLine="0"/>
              <w:jc w:val="center"/>
              <w:rPr>
                <w:kern w:val="0"/>
                <w:sz w:val="21"/>
                <w:szCs w:val="21"/>
              </w:rPr>
            </w:pPr>
            <w:r w:rsidRPr="000549B1">
              <w:rPr>
                <w:kern w:val="0"/>
                <w:sz w:val="21"/>
                <w:szCs w:val="21"/>
              </w:rPr>
              <w:t>444.00</w:t>
            </w:r>
          </w:p>
        </w:tc>
        <w:tc>
          <w:tcPr>
            <w:tcW w:w="522" w:type="pct"/>
            <w:noWrap/>
            <w:vAlign w:val="center"/>
          </w:tcPr>
          <w:p w14:paraId="43913BC8" w14:textId="77777777" w:rsidR="00054437" w:rsidRPr="000549B1" w:rsidRDefault="00000000">
            <w:pPr>
              <w:pStyle w:val="27"/>
              <w:spacing w:line="240" w:lineRule="atLeast"/>
              <w:ind w:firstLineChars="0" w:firstLine="0"/>
              <w:jc w:val="center"/>
              <w:rPr>
                <w:kern w:val="0"/>
                <w:sz w:val="21"/>
                <w:szCs w:val="21"/>
              </w:rPr>
            </w:pPr>
            <w:r w:rsidRPr="000549B1">
              <w:rPr>
                <w:kern w:val="0"/>
                <w:sz w:val="21"/>
                <w:szCs w:val="21"/>
              </w:rPr>
              <w:t>64</w:t>
            </w:r>
          </w:p>
        </w:tc>
        <w:tc>
          <w:tcPr>
            <w:tcW w:w="522" w:type="pct"/>
            <w:noWrap/>
            <w:vAlign w:val="center"/>
          </w:tcPr>
          <w:p w14:paraId="35AF2E51" w14:textId="77777777" w:rsidR="00054437" w:rsidRPr="000549B1" w:rsidRDefault="00000000">
            <w:pPr>
              <w:pStyle w:val="27"/>
              <w:spacing w:line="240" w:lineRule="atLeast"/>
              <w:ind w:firstLineChars="0" w:firstLine="0"/>
              <w:jc w:val="center"/>
              <w:rPr>
                <w:kern w:val="0"/>
                <w:sz w:val="21"/>
                <w:szCs w:val="21"/>
              </w:rPr>
            </w:pPr>
            <w:r w:rsidRPr="000549B1">
              <w:rPr>
                <w:kern w:val="0"/>
                <w:sz w:val="21"/>
                <w:szCs w:val="21"/>
              </w:rPr>
              <w:t xml:space="preserve">　</w:t>
            </w:r>
          </w:p>
        </w:tc>
        <w:tc>
          <w:tcPr>
            <w:tcW w:w="522" w:type="pct"/>
            <w:noWrap/>
            <w:vAlign w:val="center"/>
          </w:tcPr>
          <w:p w14:paraId="1C9097EB" w14:textId="77777777" w:rsidR="00054437" w:rsidRPr="000549B1" w:rsidRDefault="00000000">
            <w:pPr>
              <w:pStyle w:val="27"/>
              <w:spacing w:line="240" w:lineRule="atLeast"/>
              <w:ind w:firstLineChars="0" w:firstLine="0"/>
              <w:jc w:val="center"/>
              <w:rPr>
                <w:kern w:val="0"/>
                <w:sz w:val="21"/>
                <w:szCs w:val="21"/>
              </w:rPr>
            </w:pPr>
            <w:r w:rsidRPr="000549B1">
              <w:rPr>
                <w:kern w:val="0"/>
                <w:sz w:val="21"/>
                <w:szCs w:val="21"/>
              </w:rPr>
              <w:t xml:space="preserve">　</w:t>
            </w:r>
          </w:p>
        </w:tc>
        <w:tc>
          <w:tcPr>
            <w:tcW w:w="522" w:type="pct"/>
            <w:noWrap/>
            <w:vAlign w:val="center"/>
          </w:tcPr>
          <w:p w14:paraId="7220D893" w14:textId="77777777" w:rsidR="00054437" w:rsidRPr="000549B1" w:rsidRDefault="00000000">
            <w:pPr>
              <w:pStyle w:val="27"/>
              <w:spacing w:line="240" w:lineRule="atLeast"/>
              <w:ind w:firstLineChars="0" w:firstLine="0"/>
              <w:jc w:val="center"/>
              <w:rPr>
                <w:kern w:val="0"/>
                <w:sz w:val="21"/>
                <w:szCs w:val="21"/>
              </w:rPr>
            </w:pPr>
            <w:r w:rsidRPr="000549B1">
              <w:rPr>
                <w:kern w:val="0"/>
                <w:sz w:val="21"/>
                <w:szCs w:val="21"/>
              </w:rPr>
              <w:t xml:space="preserve">　</w:t>
            </w:r>
          </w:p>
        </w:tc>
        <w:tc>
          <w:tcPr>
            <w:tcW w:w="522" w:type="pct"/>
            <w:noWrap/>
            <w:vAlign w:val="center"/>
          </w:tcPr>
          <w:p w14:paraId="7121872B" w14:textId="77777777" w:rsidR="00054437" w:rsidRPr="000549B1" w:rsidRDefault="00000000">
            <w:pPr>
              <w:pStyle w:val="27"/>
              <w:spacing w:line="240" w:lineRule="atLeast"/>
              <w:ind w:firstLineChars="0" w:firstLine="0"/>
              <w:jc w:val="center"/>
              <w:rPr>
                <w:kern w:val="0"/>
                <w:sz w:val="21"/>
                <w:szCs w:val="21"/>
              </w:rPr>
            </w:pPr>
            <w:r w:rsidRPr="000549B1">
              <w:rPr>
                <w:kern w:val="0"/>
                <w:sz w:val="21"/>
                <w:szCs w:val="21"/>
              </w:rPr>
              <w:t xml:space="preserve">　</w:t>
            </w:r>
          </w:p>
        </w:tc>
        <w:tc>
          <w:tcPr>
            <w:tcW w:w="522" w:type="pct"/>
            <w:noWrap/>
            <w:vAlign w:val="center"/>
          </w:tcPr>
          <w:p w14:paraId="2E4B81EC" w14:textId="77777777" w:rsidR="00054437" w:rsidRPr="000549B1" w:rsidRDefault="00000000">
            <w:pPr>
              <w:pStyle w:val="27"/>
              <w:spacing w:line="240" w:lineRule="atLeast"/>
              <w:ind w:firstLineChars="0" w:firstLine="0"/>
              <w:jc w:val="center"/>
              <w:rPr>
                <w:kern w:val="0"/>
                <w:sz w:val="21"/>
                <w:szCs w:val="21"/>
              </w:rPr>
            </w:pPr>
            <w:r w:rsidRPr="000549B1">
              <w:rPr>
                <w:kern w:val="0"/>
                <w:sz w:val="21"/>
                <w:szCs w:val="21"/>
              </w:rPr>
              <w:t>100.00%</w:t>
            </w:r>
          </w:p>
        </w:tc>
        <w:tc>
          <w:tcPr>
            <w:tcW w:w="522" w:type="pct"/>
            <w:noWrap/>
            <w:vAlign w:val="center"/>
          </w:tcPr>
          <w:p w14:paraId="21C3F39B" w14:textId="77777777" w:rsidR="00054437" w:rsidRPr="000549B1" w:rsidRDefault="00000000">
            <w:pPr>
              <w:pStyle w:val="27"/>
              <w:spacing w:line="240" w:lineRule="atLeast"/>
              <w:ind w:firstLineChars="0" w:firstLine="0"/>
              <w:jc w:val="center"/>
              <w:rPr>
                <w:kern w:val="0"/>
                <w:sz w:val="21"/>
                <w:szCs w:val="21"/>
              </w:rPr>
            </w:pPr>
            <w:r w:rsidRPr="000549B1">
              <w:rPr>
                <w:kern w:val="0"/>
                <w:sz w:val="21"/>
                <w:szCs w:val="21"/>
              </w:rPr>
              <w:t>100.00%</w:t>
            </w:r>
          </w:p>
        </w:tc>
      </w:tr>
    </w:tbl>
    <w:p w14:paraId="4BA03B66" w14:textId="77777777" w:rsidR="00054437" w:rsidRPr="000549B1" w:rsidRDefault="00000000">
      <w:pPr>
        <w:widowControl/>
        <w:adjustRightInd w:val="0"/>
        <w:snapToGrid w:val="0"/>
        <w:spacing w:line="360" w:lineRule="auto"/>
        <w:jc w:val="center"/>
        <w:rPr>
          <w:b/>
          <w:bCs/>
          <w:kern w:val="0"/>
        </w:rPr>
      </w:pPr>
      <w:r w:rsidRPr="000549B1">
        <w:rPr>
          <w:noProof/>
        </w:rPr>
        <w:drawing>
          <wp:inline distT="0" distB="0" distL="0" distR="0" wp14:anchorId="6C07CF31" wp14:editId="02A47E6B">
            <wp:extent cx="4572000" cy="2943225"/>
            <wp:effectExtent l="4445" t="4445" r="14605" b="5080"/>
            <wp:docPr id="71416682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0"/>
              </a:graphicData>
            </a:graphic>
          </wp:inline>
        </w:drawing>
      </w:r>
    </w:p>
    <w:p w14:paraId="5D13A154" w14:textId="0853B68C" w:rsidR="00054437" w:rsidRPr="000549B1" w:rsidRDefault="00000000">
      <w:pPr>
        <w:pStyle w:val="0A51"/>
        <w:ind w:firstLine="422"/>
      </w:pPr>
      <w:r w:rsidRPr="000549B1">
        <w:t>图</w:t>
      </w:r>
      <w:fldSimple w:instr=" STYLEREF 2 \s ">
        <w:r w:rsidR="00F32CCA">
          <w:rPr>
            <w:noProof/>
          </w:rPr>
          <w:t>3.6</w:t>
        </w:r>
      </w:fldSimple>
      <w:r w:rsidR="00F1314B">
        <w:noBreakHyphen/>
      </w:r>
      <w:r w:rsidR="00F1314B">
        <w:fldChar w:fldCharType="begin"/>
      </w:r>
      <w:r w:rsidR="00F1314B">
        <w:instrText xml:space="preserve"> SEQ </w:instrText>
      </w:r>
      <w:r w:rsidR="00F1314B">
        <w:instrText>图</w:instrText>
      </w:r>
      <w:r w:rsidR="00F1314B">
        <w:instrText xml:space="preserve"> \* ARABIC \s 2 </w:instrText>
      </w:r>
      <w:r w:rsidR="00F1314B">
        <w:fldChar w:fldCharType="separate"/>
      </w:r>
      <w:r w:rsidR="00F32CCA">
        <w:rPr>
          <w:noProof/>
        </w:rPr>
        <w:t>11</w:t>
      </w:r>
      <w:r w:rsidR="00F1314B">
        <w:fldChar w:fldCharType="end"/>
      </w:r>
      <w:r w:rsidRPr="000549B1">
        <w:t>沙珠玉河渔获物结构组成图</w:t>
      </w:r>
    </w:p>
    <w:p w14:paraId="5520F539" w14:textId="77777777" w:rsidR="00054437" w:rsidRPr="000549B1" w:rsidRDefault="00000000">
      <w:pPr>
        <w:tabs>
          <w:tab w:val="left" w:pos="4500"/>
        </w:tabs>
        <w:spacing w:line="500" w:lineRule="exact"/>
        <w:ind w:left="482"/>
        <w:jc w:val="left"/>
        <w:rPr>
          <w:b/>
          <w:bCs/>
          <w:kern w:val="0"/>
          <w:sz w:val="24"/>
        </w:rPr>
      </w:pPr>
      <w:r w:rsidRPr="000549B1">
        <w:rPr>
          <w:b/>
          <w:bCs/>
          <w:kern w:val="0"/>
          <w:sz w:val="24"/>
        </w:rPr>
        <w:t>3</w:t>
      </w:r>
      <w:r w:rsidRPr="000549B1">
        <w:rPr>
          <w:b/>
          <w:bCs/>
          <w:kern w:val="0"/>
          <w:sz w:val="24"/>
        </w:rPr>
        <w:t>）渔获物分布状况分析</w:t>
      </w:r>
    </w:p>
    <w:p w14:paraId="6C6C6026" w14:textId="77777777" w:rsidR="00054437" w:rsidRPr="000549B1" w:rsidRDefault="00000000">
      <w:pPr>
        <w:spacing w:line="500" w:lineRule="exact"/>
        <w:ind w:firstLineChars="200" w:firstLine="480"/>
        <w:jc w:val="left"/>
        <w:rPr>
          <w:sz w:val="24"/>
        </w:rPr>
      </w:pPr>
      <w:r w:rsidRPr="000549B1">
        <w:rPr>
          <w:sz w:val="24"/>
        </w:rPr>
        <w:t>沙珠玉河流域为内陆河小流域，为独立水系，不属于黄河流域。沙珠玉河流域分布有裂腹鱼类和高原鳅类两大类群，裂腹鱼类仅有花斑裸鲤</w:t>
      </w:r>
      <w:r w:rsidRPr="000549B1">
        <w:rPr>
          <w:sz w:val="24"/>
        </w:rPr>
        <w:t>1</w:t>
      </w:r>
      <w:r w:rsidRPr="000549B1">
        <w:rPr>
          <w:sz w:val="24"/>
        </w:rPr>
        <w:t>种，主要分布于沙珠玉河干流水域（上游盐湖无分布）；高原鳅类亦仅有</w:t>
      </w:r>
      <w:r w:rsidRPr="000549B1">
        <w:rPr>
          <w:sz w:val="24"/>
        </w:rPr>
        <w:t>1</w:t>
      </w:r>
      <w:r w:rsidRPr="000549B1">
        <w:rPr>
          <w:sz w:val="24"/>
        </w:rPr>
        <w:t>种，为茶卡高原鳅，为流域特有种，分布范围较狭窄，仅分布于沙珠玉河干流及其长流水支流，此外在茶卡盐湖汇水支流也有少量分布。茶卡高原鳅在沙珠玉河流域为绝对优势种，其分布范围与花斑裸鲤基本一致。花斑裸鲤在沙珠玉河资源量较小，本次调查仅调查到低龄鱼，未采集到性成熟鱼类，种群较小，推测处于衰退期，沙珠玉河流域鱼类资源制约因素为水量减少和饵料匮乏。</w:t>
      </w:r>
    </w:p>
    <w:p w14:paraId="14B186D8" w14:textId="77777777" w:rsidR="00054437" w:rsidRPr="000549B1" w:rsidRDefault="00000000">
      <w:pPr>
        <w:pStyle w:val="Z4"/>
        <w:rPr>
          <w:color w:val="auto"/>
          <w:lang w:val="zh-CN"/>
        </w:rPr>
      </w:pPr>
      <w:r w:rsidRPr="000549B1">
        <w:rPr>
          <w:color w:val="auto"/>
          <w:lang w:val="zh-CN"/>
        </w:rPr>
        <w:t>鱼类区系组成特点</w:t>
      </w:r>
    </w:p>
    <w:p w14:paraId="798EDBD1" w14:textId="77777777" w:rsidR="00054437" w:rsidRPr="000549B1" w:rsidRDefault="00000000">
      <w:pPr>
        <w:tabs>
          <w:tab w:val="left" w:pos="4500"/>
        </w:tabs>
        <w:spacing w:line="500" w:lineRule="exact"/>
        <w:ind w:firstLineChars="200" w:firstLine="480"/>
        <w:jc w:val="left"/>
        <w:rPr>
          <w:kern w:val="0"/>
          <w:sz w:val="24"/>
          <w:szCs w:val="44"/>
        </w:rPr>
      </w:pPr>
      <w:bookmarkStart w:id="302" w:name="_Toc370116349"/>
      <w:r w:rsidRPr="000549B1">
        <w:rPr>
          <w:kern w:val="0"/>
          <w:sz w:val="24"/>
          <w:szCs w:val="44"/>
        </w:rPr>
        <w:t>依据《中国淡水鱼类的分布区划》（李思忠</w:t>
      </w:r>
      <w:r w:rsidRPr="000549B1">
        <w:rPr>
          <w:kern w:val="0"/>
          <w:sz w:val="24"/>
          <w:szCs w:val="44"/>
        </w:rPr>
        <w:t>1981</w:t>
      </w:r>
      <w:r w:rsidRPr="000549B1">
        <w:rPr>
          <w:kern w:val="0"/>
          <w:sz w:val="24"/>
          <w:szCs w:val="44"/>
        </w:rPr>
        <w:t>）以及《青藏高原鱼类志》对鱼类起源进行划分，在调查河段范围内鱼类区系组成包括中亚高原区系复合体、上第三纪早期复合体。</w:t>
      </w:r>
    </w:p>
    <w:bookmarkEnd w:id="302"/>
    <w:p w14:paraId="7893C879" w14:textId="77777777" w:rsidR="00054437" w:rsidRPr="000549B1" w:rsidRDefault="00000000">
      <w:pPr>
        <w:tabs>
          <w:tab w:val="left" w:pos="4500"/>
        </w:tabs>
        <w:spacing w:line="500" w:lineRule="exact"/>
        <w:ind w:firstLineChars="200" w:firstLine="480"/>
        <w:jc w:val="left"/>
        <w:rPr>
          <w:kern w:val="0"/>
          <w:sz w:val="24"/>
          <w:szCs w:val="44"/>
        </w:rPr>
      </w:pPr>
      <w:r w:rsidRPr="000549B1">
        <w:rPr>
          <w:kern w:val="0"/>
          <w:sz w:val="24"/>
          <w:szCs w:val="44"/>
        </w:rPr>
        <w:t>黄河上游段流域区系主体成分是鲤科的裂腹鱼亚科和鳅科的条鳅亚科，它们均属中亚高原区系复合体鱼类，一向被认为具有共同的地理起源。青藏高原是裂腹鱼类和高原条鳅集中分布的地区，而在其它水域的分布极为零星。</w:t>
      </w:r>
      <w:bookmarkStart w:id="303" w:name="_Hlk115250934"/>
      <w:r w:rsidRPr="000549B1">
        <w:rPr>
          <w:kern w:val="0"/>
          <w:sz w:val="24"/>
          <w:szCs w:val="44"/>
        </w:rPr>
        <w:t>本复合体种类是鲤科中裂腹鱼亚科的所有种类和某些条鳅。以耐寒、耐碱、性成熟晚、生长慢、食性杂为其特点，其生殖腺对哺乳类有毒，是中亚高寒地带的特有鱼类。</w:t>
      </w:r>
      <w:bookmarkStart w:id="304" w:name="_Hlk115250963"/>
      <w:bookmarkEnd w:id="303"/>
      <w:r w:rsidRPr="000549B1">
        <w:rPr>
          <w:kern w:val="0"/>
          <w:sz w:val="24"/>
          <w:szCs w:val="44"/>
        </w:rPr>
        <w:t>在沙珠玉河调查范围内的主要有：花斑裸鲤、高原鳅等。</w:t>
      </w:r>
      <w:bookmarkEnd w:id="304"/>
    </w:p>
    <w:p w14:paraId="587ECB5B" w14:textId="77777777" w:rsidR="00054437" w:rsidRPr="000549B1" w:rsidRDefault="00000000">
      <w:pPr>
        <w:tabs>
          <w:tab w:val="left" w:pos="4500"/>
        </w:tabs>
        <w:spacing w:line="500" w:lineRule="exact"/>
        <w:ind w:firstLineChars="200" w:firstLine="480"/>
        <w:jc w:val="left"/>
        <w:rPr>
          <w:kern w:val="0"/>
          <w:sz w:val="24"/>
          <w:szCs w:val="44"/>
        </w:rPr>
      </w:pPr>
      <w:r w:rsidRPr="000549B1">
        <w:rPr>
          <w:kern w:val="0"/>
          <w:sz w:val="24"/>
          <w:szCs w:val="44"/>
        </w:rPr>
        <w:t>上第三纪早期复合体分布较广，多为常见种类，对环境的适应能力强，该区系鱼类喜栖息于静水及环流水体中，多为产粘性卵鱼类，在调查区域主要有麦穗鱼。</w:t>
      </w:r>
    </w:p>
    <w:p w14:paraId="134C5693" w14:textId="77777777" w:rsidR="00054437" w:rsidRPr="000549B1" w:rsidRDefault="00000000">
      <w:pPr>
        <w:pStyle w:val="Z4"/>
        <w:rPr>
          <w:color w:val="auto"/>
          <w:lang w:val="zh-CN"/>
        </w:rPr>
      </w:pPr>
      <w:r w:rsidRPr="000549B1">
        <w:rPr>
          <w:color w:val="auto"/>
          <w:lang w:val="zh-CN"/>
        </w:rPr>
        <w:t>渔获物生态习性</w:t>
      </w:r>
    </w:p>
    <w:p w14:paraId="72A20A2F" w14:textId="77777777" w:rsidR="00054437" w:rsidRPr="000549B1" w:rsidRDefault="00000000">
      <w:pPr>
        <w:tabs>
          <w:tab w:val="left" w:pos="4500"/>
        </w:tabs>
        <w:spacing w:line="500" w:lineRule="exact"/>
        <w:ind w:firstLineChars="200" w:firstLine="480"/>
        <w:jc w:val="left"/>
        <w:rPr>
          <w:kern w:val="0"/>
          <w:sz w:val="24"/>
          <w:szCs w:val="44"/>
        </w:rPr>
      </w:pPr>
      <w:bookmarkStart w:id="305" w:name="_Toc433033478"/>
      <w:bookmarkStart w:id="306" w:name="_Toc525893934"/>
      <w:bookmarkStart w:id="307" w:name="_Toc515259536"/>
      <w:bookmarkStart w:id="308" w:name="_Toc425246747"/>
      <w:r w:rsidRPr="000549B1">
        <w:rPr>
          <w:kern w:val="0"/>
          <w:sz w:val="24"/>
          <w:szCs w:val="44"/>
        </w:rPr>
        <w:t>（</w:t>
      </w:r>
      <w:r w:rsidRPr="000549B1">
        <w:rPr>
          <w:kern w:val="0"/>
          <w:sz w:val="24"/>
          <w:szCs w:val="44"/>
        </w:rPr>
        <w:t>1</w:t>
      </w:r>
      <w:r w:rsidRPr="000549B1">
        <w:rPr>
          <w:kern w:val="0"/>
          <w:sz w:val="24"/>
          <w:szCs w:val="44"/>
        </w:rPr>
        <w:t>）栖息习性</w:t>
      </w:r>
      <w:bookmarkEnd w:id="305"/>
      <w:bookmarkEnd w:id="306"/>
      <w:bookmarkEnd w:id="307"/>
      <w:bookmarkEnd w:id="308"/>
    </w:p>
    <w:p w14:paraId="4D6DA389" w14:textId="77777777" w:rsidR="00054437" w:rsidRPr="000549B1" w:rsidRDefault="00000000">
      <w:pPr>
        <w:tabs>
          <w:tab w:val="left" w:pos="4500"/>
        </w:tabs>
        <w:spacing w:line="500" w:lineRule="exact"/>
        <w:ind w:firstLineChars="200" w:firstLine="480"/>
        <w:jc w:val="left"/>
        <w:rPr>
          <w:kern w:val="0"/>
          <w:sz w:val="24"/>
          <w:szCs w:val="44"/>
        </w:rPr>
      </w:pPr>
      <w:r w:rsidRPr="000549B1">
        <w:rPr>
          <w:kern w:val="0"/>
          <w:sz w:val="24"/>
          <w:szCs w:val="44"/>
        </w:rPr>
        <w:t>根据鱼类栖息水域特征，主要包括</w:t>
      </w:r>
      <w:r w:rsidRPr="000549B1">
        <w:rPr>
          <w:kern w:val="0"/>
          <w:sz w:val="24"/>
          <w:szCs w:val="44"/>
        </w:rPr>
        <w:t>2</w:t>
      </w:r>
      <w:r w:rsidRPr="000549B1">
        <w:rPr>
          <w:kern w:val="0"/>
          <w:sz w:val="24"/>
          <w:szCs w:val="44"/>
        </w:rPr>
        <w:t>个类群：</w:t>
      </w:r>
    </w:p>
    <w:p w14:paraId="02279F5B" w14:textId="77777777" w:rsidR="00054437" w:rsidRPr="000549B1" w:rsidRDefault="00000000">
      <w:pPr>
        <w:tabs>
          <w:tab w:val="left" w:pos="4500"/>
        </w:tabs>
        <w:spacing w:line="500" w:lineRule="exact"/>
        <w:ind w:firstLineChars="200" w:firstLine="480"/>
        <w:jc w:val="left"/>
        <w:rPr>
          <w:kern w:val="0"/>
          <w:sz w:val="24"/>
          <w:szCs w:val="44"/>
        </w:rPr>
      </w:pPr>
      <w:r w:rsidRPr="000549B1">
        <w:rPr>
          <w:kern w:val="0"/>
          <w:sz w:val="24"/>
          <w:szCs w:val="44"/>
        </w:rPr>
        <w:t>1</w:t>
      </w:r>
      <w:r w:rsidRPr="000549B1">
        <w:rPr>
          <w:kern w:val="0"/>
          <w:sz w:val="24"/>
          <w:szCs w:val="44"/>
        </w:rPr>
        <w:t>）喜缓流水类群：花斑裸鲤、麦穗鱼等。此类群鱼生活在湖泊、河流或静水塘中，对水体环境的适应力强，是一种底层性鱼类。</w:t>
      </w:r>
    </w:p>
    <w:p w14:paraId="45191EB4" w14:textId="77777777" w:rsidR="00054437" w:rsidRPr="000549B1" w:rsidRDefault="00000000">
      <w:pPr>
        <w:tabs>
          <w:tab w:val="left" w:pos="4500"/>
        </w:tabs>
        <w:spacing w:line="500" w:lineRule="exact"/>
        <w:ind w:firstLineChars="200" w:firstLine="480"/>
        <w:jc w:val="left"/>
        <w:rPr>
          <w:kern w:val="0"/>
          <w:sz w:val="24"/>
          <w:szCs w:val="44"/>
        </w:rPr>
      </w:pPr>
      <w:r w:rsidRPr="000549B1">
        <w:rPr>
          <w:kern w:val="0"/>
          <w:sz w:val="24"/>
          <w:szCs w:val="44"/>
        </w:rPr>
        <w:t>2</w:t>
      </w:r>
      <w:r w:rsidRPr="000549B1">
        <w:rPr>
          <w:kern w:val="0"/>
          <w:sz w:val="24"/>
          <w:szCs w:val="44"/>
        </w:rPr>
        <w:t>）喜流水类群：如短尾高原鳅等。此类群鱼类体长形，略侧扁，游泳能力强，适应于在流水环境中生活，或以着生藻类鱼类为食，或以水生昆虫为食。</w:t>
      </w:r>
    </w:p>
    <w:p w14:paraId="6FBBC585" w14:textId="77777777" w:rsidR="00054437" w:rsidRPr="000549B1" w:rsidRDefault="00000000">
      <w:pPr>
        <w:tabs>
          <w:tab w:val="left" w:pos="4500"/>
        </w:tabs>
        <w:spacing w:line="500" w:lineRule="exact"/>
        <w:ind w:firstLineChars="200" w:firstLine="480"/>
        <w:jc w:val="left"/>
        <w:rPr>
          <w:kern w:val="0"/>
          <w:sz w:val="24"/>
          <w:szCs w:val="44"/>
        </w:rPr>
      </w:pPr>
      <w:bookmarkStart w:id="309" w:name="_Toc425246748"/>
      <w:bookmarkStart w:id="310" w:name="_Toc525893935"/>
      <w:bookmarkStart w:id="311" w:name="_Toc515259537"/>
      <w:bookmarkStart w:id="312" w:name="_Toc433033479"/>
      <w:r w:rsidRPr="000549B1">
        <w:rPr>
          <w:kern w:val="0"/>
          <w:sz w:val="24"/>
          <w:szCs w:val="44"/>
        </w:rPr>
        <w:t>（</w:t>
      </w:r>
      <w:r w:rsidRPr="000549B1">
        <w:rPr>
          <w:kern w:val="0"/>
          <w:sz w:val="24"/>
          <w:szCs w:val="44"/>
        </w:rPr>
        <w:t>2</w:t>
      </w:r>
      <w:r w:rsidRPr="000549B1">
        <w:rPr>
          <w:kern w:val="0"/>
          <w:sz w:val="24"/>
          <w:szCs w:val="44"/>
        </w:rPr>
        <w:t>）食性</w:t>
      </w:r>
      <w:bookmarkEnd w:id="309"/>
      <w:bookmarkEnd w:id="310"/>
      <w:bookmarkEnd w:id="311"/>
      <w:bookmarkEnd w:id="312"/>
    </w:p>
    <w:p w14:paraId="11955FE7" w14:textId="77777777" w:rsidR="00054437" w:rsidRPr="000549B1" w:rsidRDefault="00000000">
      <w:pPr>
        <w:tabs>
          <w:tab w:val="left" w:pos="4500"/>
        </w:tabs>
        <w:spacing w:line="500" w:lineRule="exact"/>
        <w:ind w:firstLineChars="200" w:firstLine="480"/>
        <w:jc w:val="left"/>
        <w:rPr>
          <w:kern w:val="0"/>
          <w:sz w:val="24"/>
          <w:szCs w:val="44"/>
        </w:rPr>
      </w:pPr>
      <w:r w:rsidRPr="000549B1">
        <w:rPr>
          <w:kern w:val="0"/>
          <w:sz w:val="24"/>
          <w:szCs w:val="44"/>
        </w:rPr>
        <w:t>从食性上看，评价区鱼类可以划分为</w:t>
      </w:r>
      <w:r w:rsidRPr="000549B1">
        <w:rPr>
          <w:kern w:val="0"/>
          <w:sz w:val="24"/>
          <w:szCs w:val="44"/>
        </w:rPr>
        <w:t>2</w:t>
      </w:r>
      <w:r w:rsidRPr="000549B1">
        <w:rPr>
          <w:kern w:val="0"/>
          <w:sz w:val="24"/>
          <w:szCs w:val="44"/>
        </w:rPr>
        <w:t>类：</w:t>
      </w:r>
    </w:p>
    <w:p w14:paraId="2A8CD9A4" w14:textId="77777777" w:rsidR="00054437" w:rsidRPr="000549B1" w:rsidRDefault="00000000">
      <w:pPr>
        <w:tabs>
          <w:tab w:val="left" w:pos="4500"/>
        </w:tabs>
        <w:spacing w:line="500" w:lineRule="exact"/>
        <w:ind w:firstLineChars="200" w:firstLine="480"/>
        <w:jc w:val="left"/>
        <w:rPr>
          <w:kern w:val="0"/>
          <w:sz w:val="24"/>
          <w:szCs w:val="44"/>
        </w:rPr>
      </w:pPr>
      <w:bookmarkStart w:id="313" w:name="_Toc433033480"/>
      <w:bookmarkStart w:id="314" w:name="_Toc525893936"/>
      <w:bookmarkStart w:id="315" w:name="_Toc515259538"/>
      <w:bookmarkStart w:id="316" w:name="_Toc425246749"/>
      <w:r w:rsidRPr="000549B1">
        <w:rPr>
          <w:kern w:val="0"/>
          <w:sz w:val="24"/>
          <w:szCs w:val="44"/>
        </w:rPr>
        <w:t>1</w:t>
      </w:r>
      <w:r w:rsidRPr="000549B1">
        <w:rPr>
          <w:kern w:val="0"/>
          <w:sz w:val="24"/>
          <w:szCs w:val="44"/>
        </w:rPr>
        <w:t>）肉食性鱼类：如高原鳅，捕食小型鱼类和一些水生昆虫类、甲壳类等；</w:t>
      </w:r>
    </w:p>
    <w:p w14:paraId="78862F4F" w14:textId="77777777" w:rsidR="00054437" w:rsidRPr="000549B1" w:rsidRDefault="00000000">
      <w:pPr>
        <w:tabs>
          <w:tab w:val="left" w:pos="4500"/>
        </w:tabs>
        <w:spacing w:line="500" w:lineRule="exact"/>
        <w:ind w:firstLineChars="200" w:firstLine="480"/>
        <w:jc w:val="left"/>
        <w:rPr>
          <w:kern w:val="0"/>
          <w:sz w:val="24"/>
          <w:szCs w:val="44"/>
        </w:rPr>
      </w:pPr>
      <w:r w:rsidRPr="000549B1">
        <w:rPr>
          <w:kern w:val="0"/>
          <w:sz w:val="24"/>
          <w:szCs w:val="44"/>
        </w:rPr>
        <w:t>2</w:t>
      </w:r>
      <w:r w:rsidRPr="000549B1">
        <w:rPr>
          <w:kern w:val="0"/>
          <w:sz w:val="24"/>
          <w:szCs w:val="44"/>
        </w:rPr>
        <w:t>）杂食性鱼类：如花斑裸鲤、短尾高原鳅、麦穗鱼等，摄食着生藻类、水底植物碎屑，兼食部分水生维管束植物叶片和水生昆虫。</w:t>
      </w:r>
    </w:p>
    <w:p w14:paraId="4ED1D585" w14:textId="77777777" w:rsidR="00054437" w:rsidRPr="000549B1" w:rsidRDefault="00000000">
      <w:pPr>
        <w:tabs>
          <w:tab w:val="left" w:pos="4500"/>
        </w:tabs>
        <w:spacing w:line="500" w:lineRule="exact"/>
        <w:ind w:firstLineChars="200" w:firstLine="480"/>
        <w:jc w:val="left"/>
        <w:rPr>
          <w:kern w:val="0"/>
          <w:sz w:val="24"/>
          <w:szCs w:val="44"/>
        </w:rPr>
      </w:pPr>
      <w:r w:rsidRPr="000549B1">
        <w:rPr>
          <w:kern w:val="0"/>
          <w:sz w:val="24"/>
          <w:szCs w:val="44"/>
        </w:rPr>
        <w:t>（</w:t>
      </w:r>
      <w:r w:rsidRPr="000549B1">
        <w:rPr>
          <w:kern w:val="0"/>
          <w:sz w:val="24"/>
          <w:szCs w:val="44"/>
        </w:rPr>
        <w:t>3</w:t>
      </w:r>
      <w:r w:rsidRPr="000549B1">
        <w:rPr>
          <w:kern w:val="0"/>
          <w:sz w:val="24"/>
          <w:szCs w:val="44"/>
        </w:rPr>
        <w:t>）繁殖习性</w:t>
      </w:r>
      <w:bookmarkEnd w:id="313"/>
      <w:bookmarkEnd w:id="314"/>
      <w:bookmarkEnd w:id="315"/>
      <w:bookmarkEnd w:id="316"/>
    </w:p>
    <w:p w14:paraId="62F937D7" w14:textId="77777777" w:rsidR="00054437" w:rsidRPr="000549B1" w:rsidRDefault="00000000">
      <w:pPr>
        <w:tabs>
          <w:tab w:val="left" w:pos="4500"/>
        </w:tabs>
        <w:spacing w:line="500" w:lineRule="exact"/>
        <w:ind w:firstLineChars="200" w:firstLine="480"/>
        <w:jc w:val="left"/>
        <w:rPr>
          <w:kern w:val="0"/>
          <w:sz w:val="24"/>
          <w:szCs w:val="44"/>
        </w:rPr>
      </w:pPr>
      <w:r w:rsidRPr="000549B1">
        <w:rPr>
          <w:kern w:val="0"/>
          <w:sz w:val="24"/>
          <w:szCs w:val="44"/>
        </w:rPr>
        <w:t>调查区主要为产沉性卵鱼类，此类群鱼类产出的卵为沉性卵，有的具有粘性，有的不具粘性，卵产出后沉入石缝或砂砾石底部，或者附着在水草、砾石上进行孵化。</w:t>
      </w:r>
    </w:p>
    <w:p w14:paraId="0DE01BDC" w14:textId="77777777" w:rsidR="00054437" w:rsidRPr="000549B1" w:rsidRDefault="00000000">
      <w:pPr>
        <w:pStyle w:val="Z4"/>
        <w:rPr>
          <w:color w:val="auto"/>
          <w:lang w:val="zh-CN"/>
        </w:rPr>
      </w:pPr>
      <w:r w:rsidRPr="000549B1">
        <w:rPr>
          <w:color w:val="auto"/>
          <w:lang w:val="zh-CN"/>
        </w:rPr>
        <w:t>珍稀、特有和濒危鱼类现状与评价</w:t>
      </w:r>
    </w:p>
    <w:p w14:paraId="699977D9" w14:textId="49D73EBE" w:rsidR="00054437" w:rsidRPr="000549B1" w:rsidRDefault="00000000">
      <w:pPr>
        <w:pStyle w:val="31"/>
        <w:spacing w:line="500" w:lineRule="exact"/>
        <w:ind w:firstLineChars="225" w:firstLine="549"/>
        <w:rPr>
          <w:color w:val="auto"/>
          <w:kern w:val="0"/>
          <w:sz w:val="24"/>
          <w:szCs w:val="44"/>
        </w:rPr>
      </w:pPr>
      <w:r w:rsidRPr="000549B1">
        <w:rPr>
          <w:color w:val="auto"/>
          <w:kern w:val="0"/>
          <w:sz w:val="24"/>
          <w:szCs w:val="44"/>
        </w:rPr>
        <w:t>根据现场调查及相关资料显示，</w:t>
      </w:r>
      <w:r w:rsidRPr="000549B1">
        <w:rPr>
          <w:color w:val="auto"/>
          <w:sz w:val="24"/>
        </w:rPr>
        <w:t>沙珠玉河流域仅采集到</w:t>
      </w:r>
      <w:r w:rsidRPr="000549B1">
        <w:rPr>
          <w:color w:val="auto"/>
          <w:sz w:val="24"/>
        </w:rPr>
        <w:t>2</w:t>
      </w:r>
      <w:r w:rsidRPr="000549B1">
        <w:rPr>
          <w:color w:val="auto"/>
          <w:sz w:val="24"/>
        </w:rPr>
        <w:t>种鱼类，为花斑裸鲤和茶卡高原鳅。</w:t>
      </w:r>
      <w:r w:rsidRPr="000549B1">
        <w:rPr>
          <w:color w:val="auto"/>
          <w:kern w:val="0"/>
          <w:sz w:val="24"/>
          <w:szCs w:val="44"/>
        </w:rPr>
        <w:t>花斑裸鲤列为《中国生物多样性红色名录》</w:t>
      </w:r>
      <w:r w:rsidRPr="000549B1">
        <w:rPr>
          <w:color w:val="auto"/>
          <w:sz w:val="24"/>
        </w:rPr>
        <w:t>-</w:t>
      </w:r>
      <w:r w:rsidRPr="000549B1">
        <w:rPr>
          <w:color w:val="auto"/>
          <w:sz w:val="24"/>
        </w:rPr>
        <w:t>脊椎动物卷（</w:t>
      </w:r>
      <w:r w:rsidRPr="000549B1">
        <w:rPr>
          <w:color w:val="auto"/>
          <w:sz w:val="24"/>
        </w:rPr>
        <w:t>2020</w:t>
      </w:r>
      <w:r w:rsidRPr="000549B1">
        <w:rPr>
          <w:color w:val="auto"/>
          <w:sz w:val="24"/>
        </w:rPr>
        <w:t>）</w:t>
      </w:r>
      <w:r w:rsidRPr="000549B1">
        <w:rPr>
          <w:color w:val="auto"/>
          <w:kern w:val="0"/>
          <w:sz w:val="24"/>
          <w:szCs w:val="44"/>
        </w:rPr>
        <w:t>易危物种，同时也是</w:t>
      </w:r>
      <w:r w:rsidRPr="000549B1">
        <w:rPr>
          <w:color w:val="auto"/>
          <w:sz w:val="24"/>
        </w:rPr>
        <w:t>青海省省级保护鱼类；茶卡高原鳅被列入青海省重点保护水生野生动物名录（第一批）、《中国生物多样性红色名录》</w:t>
      </w:r>
      <w:r w:rsidRPr="000549B1">
        <w:rPr>
          <w:color w:val="auto"/>
          <w:sz w:val="24"/>
        </w:rPr>
        <w:t>-</w:t>
      </w:r>
      <w:r w:rsidRPr="000549B1">
        <w:rPr>
          <w:color w:val="auto"/>
          <w:sz w:val="24"/>
        </w:rPr>
        <w:t>脊椎动物卷（</w:t>
      </w:r>
      <w:r w:rsidRPr="000549B1">
        <w:rPr>
          <w:color w:val="auto"/>
          <w:sz w:val="24"/>
        </w:rPr>
        <w:t>2020</w:t>
      </w:r>
      <w:r w:rsidRPr="000549B1">
        <w:rPr>
          <w:color w:val="auto"/>
          <w:sz w:val="24"/>
        </w:rPr>
        <w:t>）濒危物种。</w:t>
      </w:r>
      <w:r w:rsidRPr="000549B1">
        <w:rPr>
          <w:color w:val="auto"/>
          <w:kern w:val="0"/>
          <w:sz w:val="24"/>
          <w:szCs w:val="44"/>
        </w:rPr>
        <w:t>具体保护性质及资源状况见</w:t>
      </w:r>
      <w:r w:rsidR="00F32CCA" w:rsidRPr="00F32CCA">
        <w:rPr>
          <w:color w:val="auto"/>
          <w:kern w:val="0"/>
          <w:sz w:val="24"/>
          <w:szCs w:val="44"/>
        </w:rPr>
        <w:t>表</w:t>
      </w:r>
      <w:r w:rsidR="00F32CCA" w:rsidRPr="00F32CCA">
        <w:rPr>
          <w:color w:val="auto"/>
          <w:kern w:val="0"/>
          <w:sz w:val="24"/>
          <w:szCs w:val="44"/>
        </w:rPr>
        <w:t>3.6</w:t>
      </w:r>
      <w:r w:rsidR="00F32CCA" w:rsidRPr="00F32CCA">
        <w:rPr>
          <w:color w:val="auto"/>
          <w:kern w:val="0"/>
          <w:sz w:val="24"/>
          <w:szCs w:val="44"/>
        </w:rPr>
        <w:noBreakHyphen/>
        <w:t>15</w:t>
      </w:r>
      <w:r w:rsidRPr="000549B1">
        <w:rPr>
          <w:color w:val="auto"/>
          <w:kern w:val="0"/>
          <w:sz w:val="24"/>
          <w:szCs w:val="44"/>
        </w:rPr>
        <w:t>、</w:t>
      </w:r>
      <w:r w:rsidR="00F32CCA" w:rsidRPr="00F32CCA">
        <w:rPr>
          <w:color w:val="auto"/>
          <w:kern w:val="0"/>
          <w:sz w:val="24"/>
          <w:szCs w:val="44"/>
        </w:rPr>
        <w:t>图</w:t>
      </w:r>
      <w:r w:rsidR="00F32CCA" w:rsidRPr="00F32CCA">
        <w:rPr>
          <w:color w:val="auto"/>
          <w:kern w:val="0"/>
          <w:sz w:val="24"/>
          <w:szCs w:val="44"/>
        </w:rPr>
        <w:t>3.6</w:t>
      </w:r>
      <w:r w:rsidR="00F32CCA" w:rsidRPr="00F32CCA">
        <w:rPr>
          <w:color w:val="auto"/>
          <w:kern w:val="0"/>
          <w:sz w:val="24"/>
          <w:szCs w:val="44"/>
        </w:rPr>
        <w:noBreakHyphen/>
        <w:t>12</w:t>
      </w:r>
      <w:r w:rsidRPr="000549B1">
        <w:rPr>
          <w:color w:val="auto"/>
          <w:kern w:val="0"/>
          <w:sz w:val="24"/>
          <w:szCs w:val="44"/>
        </w:rPr>
        <w:t>。</w:t>
      </w:r>
    </w:p>
    <w:p w14:paraId="3F97B120" w14:textId="3C2D1D6B" w:rsidR="00054437" w:rsidRPr="000549B1" w:rsidRDefault="00000000">
      <w:pPr>
        <w:pStyle w:val="0A51"/>
        <w:ind w:firstLine="422"/>
      </w:pPr>
      <w:bookmarkStart w:id="317" w:name="_Ref214961838"/>
      <w:r w:rsidRPr="000549B1">
        <w:t>表</w:t>
      </w:r>
      <w:fldSimple w:instr=" STYLEREF 2 \s ">
        <w:r w:rsidR="00372953">
          <w:rPr>
            <w:noProof/>
          </w:rPr>
          <w:t>3.6</w:t>
        </w:r>
      </w:fldSimple>
      <w:r w:rsidR="00372953">
        <w:noBreakHyphen/>
      </w:r>
      <w:r w:rsidR="00372953">
        <w:fldChar w:fldCharType="begin"/>
      </w:r>
      <w:r w:rsidR="00372953">
        <w:instrText xml:space="preserve"> SEQ </w:instrText>
      </w:r>
      <w:r w:rsidR="00372953">
        <w:instrText>表</w:instrText>
      </w:r>
      <w:r w:rsidR="00372953">
        <w:instrText xml:space="preserve"> \* ARABIC \s 2 </w:instrText>
      </w:r>
      <w:r w:rsidR="00372953">
        <w:fldChar w:fldCharType="separate"/>
      </w:r>
      <w:r w:rsidR="00372953">
        <w:rPr>
          <w:noProof/>
        </w:rPr>
        <w:t>15</w:t>
      </w:r>
      <w:r w:rsidR="00372953">
        <w:fldChar w:fldCharType="end"/>
      </w:r>
      <w:bookmarkEnd w:id="317"/>
      <w:r w:rsidRPr="000549B1">
        <w:t>沙珠玉河保护鱼类一览表</w:t>
      </w:r>
    </w:p>
    <w:tbl>
      <w:tblPr>
        <w:tblStyle w:val="aff"/>
        <w:tblW w:w="5045" w:type="pct"/>
        <w:jc w:val="center"/>
        <w:tblLook w:val="04A0" w:firstRow="1" w:lastRow="0" w:firstColumn="1" w:lastColumn="0" w:noHBand="0" w:noVBand="1"/>
      </w:tblPr>
      <w:tblGrid>
        <w:gridCol w:w="410"/>
        <w:gridCol w:w="1280"/>
        <w:gridCol w:w="565"/>
        <w:gridCol w:w="858"/>
        <w:gridCol w:w="1031"/>
        <w:gridCol w:w="1257"/>
        <w:gridCol w:w="1220"/>
        <w:gridCol w:w="1750"/>
      </w:tblGrid>
      <w:tr w:rsidR="000549B1" w:rsidRPr="000549B1" w14:paraId="606C8064" w14:textId="77777777">
        <w:trPr>
          <w:trHeight w:val="322"/>
          <w:jc w:val="center"/>
        </w:trPr>
        <w:tc>
          <w:tcPr>
            <w:tcW w:w="244" w:type="pct"/>
            <w:vMerge w:val="restart"/>
            <w:vAlign w:val="center"/>
          </w:tcPr>
          <w:p w14:paraId="3972E4AE" w14:textId="77777777" w:rsidR="00054437" w:rsidRPr="000549B1" w:rsidRDefault="00000000">
            <w:pPr>
              <w:tabs>
                <w:tab w:val="left" w:pos="4500"/>
              </w:tabs>
              <w:jc w:val="center"/>
              <w:rPr>
                <w:b/>
                <w:bCs/>
                <w:sz w:val="18"/>
                <w:szCs w:val="18"/>
              </w:rPr>
            </w:pPr>
            <w:r w:rsidRPr="000549B1">
              <w:rPr>
                <w:b/>
                <w:bCs/>
                <w:sz w:val="18"/>
                <w:szCs w:val="18"/>
              </w:rPr>
              <w:t>序号</w:t>
            </w:r>
          </w:p>
        </w:tc>
        <w:tc>
          <w:tcPr>
            <w:tcW w:w="764" w:type="pct"/>
            <w:vMerge w:val="restart"/>
            <w:vAlign w:val="center"/>
          </w:tcPr>
          <w:p w14:paraId="07BBA8B4" w14:textId="77777777" w:rsidR="00054437" w:rsidRPr="000549B1" w:rsidRDefault="00000000">
            <w:pPr>
              <w:tabs>
                <w:tab w:val="left" w:pos="4500"/>
              </w:tabs>
              <w:jc w:val="center"/>
              <w:rPr>
                <w:b/>
                <w:bCs/>
                <w:sz w:val="18"/>
                <w:szCs w:val="18"/>
              </w:rPr>
            </w:pPr>
            <w:r w:rsidRPr="000549B1">
              <w:rPr>
                <w:b/>
                <w:bCs/>
                <w:sz w:val="18"/>
                <w:szCs w:val="18"/>
              </w:rPr>
              <w:t>鱼类</w:t>
            </w:r>
          </w:p>
          <w:p w14:paraId="4543AB6D" w14:textId="77777777" w:rsidR="00054437" w:rsidRPr="000549B1" w:rsidRDefault="00000000">
            <w:pPr>
              <w:tabs>
                <w:tab w:val="left" w:pos="4500"/>
              </w:tabs>
              <w:jc w:val="center"/>
              <w:rPr>
                <w:b/>
                <w:bCs/>
                <w:sz w:val="18"/>
                <w:szCs w:val="18"/>
              </w:rPr>
            </w:pPr>
            <w:r w:rsidRPr="000549B1">
              <w:rPr>
                <w:b/>
                <w:bCs/>
                <w:sz w:val="18"/>
                <w:szCs w:val="18"/>
              </w:rPr>
              <w:t>种名</w:t>
            </w:r>
          </w:p>
        </w:tc>
        <w:tc>
          <w:tcPr>
            <w:tcW w:w="337" w:type="pct"/>
            <w:vMerge w:val="restart"/>
            <w:vAlign w:val="center"/>
          </w:tcPr>
          <w:p w14:paraId="50144A9D" w14:textId="77777777" w:rsidR="00054437" w:rsidRPr="000549B1" w:rsidRDefault="00000000">
            <w:pPr>
              <w:tabs>
                <w:tab w:val="left" w:pos="4500"/>
              </w:tabs>
              <w:jc w:val="center"/>
              <w:rPr>
                <w:b/>
                <w:bCs/>
                <w:sz w:val="18"/>
                <w:szCs w:val="18"/>
              </w:rPr>
            </w:pPr>
            <w:r w:rsidRPr="000549B1">
              <w:rPr>
                <w:b/>
                <w:bCs/>
                <w:sz w:val="18"/>
                <w:szCs w:val="18"/>
              </w:rPr>
              <w:t>科</w:t>
            </w:r>
          </w:p>
        </w:tc>
        <w:tc>
          <w:tcPr>
            <w:tcW w:w="512" w:type="pct"/>
            <w:vMerge w:val="restart"/>
            <w:vAlign w:val="center"/>
          </w:tcPr>
          <w:p w14:paraId="357F56F5" w14:textId="77777777" w:rsidR="00054437" w:rsidRPr="000549B1" w:rsidRDefault="00000000">
            <w:pPr>
              <w:tabs>
                <w:tab w:val="left" w:pos="4500"/>
              </w:tabs>
              <w:jc w:val="center"/>
              <w:rPr>
                <w:b/>
                <w:bCs/>
                <w:sz w:val="18"/>
                <w:szCs w:val="18"/>
              </w:rPr>
            </w:pPr>
            <w:r w:rsidRPr="000549B1">
              <w:rPr>
                <w:b/>
                <w:bCs/>
                <w:sz w:val="18"/>
                <w:szCs w:val="18"/>
              </w:rPr>
              <w:t>所属</w:t>
            </w:r>
          </w:p>
          <w:p w14:paraId="7137BA63" w14:textId="77777777" w:rsidR="00054437" w:rsidRPr="000549B1" w:rsidRDefault="00000000">
            <w:pPr>
              <w:tabs>
                <w:tab w:val="left" w:pos="4500"/>
              </w:tabs>
              <w:jc w:val="center"/>
              <w:rPr>
                <w:b/>
                <w:bCs/>
                <w:sz w:val="18"/>
                <w:szCs w:val="18"/>
              </w:rPr>
            </w:pPr>
            <w:r w:rsidRPr="000549B1">
              <w:rPr>
                <w:b/>
                <w:bCs/>
                <w:sz w:val="18"/>
                <w:szCs w:val="18"/>
              </w:rPr>
              <w:t>河段</w:t>
            </w:r>
          </w:p>
        </w:tc>
        <w:tc>
          <w:tcPr>
            <w:tcW w:w="3140" w:type="pct"/>
            <w:gridSpan w:val="4"/>
            <w:vAlign w:val="center"/>
          </w:tcPr>
          <w:p w14:paraId="01F64973" w14:textId="77777777" w:rsidR="00054437" w:rsidRPr="000549B1" w:rsidRDefault="00000000">
            <w:pPr>
              <w:tabs>
                <w:tab w:val="left" w:pos="4500"/>
              </w:tabs>
              <w:jc w:val="center"/>
              <w:rPr>
                <w:b/>
                <w:bCs/>
                <w:sz w:val="18"/>
                <w:szCs w:val="18"/>
              </w:rPr>
            </w:pPr>
            <w:r w:rsidRPr="000549B1">
              <w:rPr>
                <w:b/>
                <w:bCs/>
                <w:sz w:val="18"/>
                <w:szCs w:val="18"/>
              </w:rPr>
              <w:t>保护类别</w:t>
            </w:r>
          </w:p>
        </w:tc>
      </w:tr>
      <w:tr w:rsidR="000549B1" w:rsidRPr="000549B1" w14:paraId="058874D4" w14:textId="77777777">
        <w:trPr>
          <w:trHeight w:val="495"/>
          <w:jc w:val="center"/>
        </w:trPr>
        <w:tc>
          <w:tcPr>
            <w:tcW w:w="244" w:type="pct"/>
            <w:vMerge/>
            <w:vAlign w:val="center"/>
          </w:tcPr>
          <w:p w14:paraId="3D865E56" w14:textId="77777777" w:rsidR="00054437" w:rsidRPr="000549B1" w:rsidRDefault="00054437">
            <w:pPr>
              <w:tabs>
                <w:tab w:val="left" w:pos="4500"/>
              </w:tabs>
              <w:jc w:val="center"/>
              <w:rPr>
                <w:b/>
                <w:bCs/>
                <w:sz w:val="18"/>
                <w:szCs w:val="18"/>
              </w:rPr>
            </w:pPr>
          </w:p>
        </w:tc>
        <w:tc>
          <w:tcPr>
            <w:tcW w:w="764" w:type="pct"/>
            <w:vMerge/>
            <w:vAlign w:val="center"/>
          </w:tcPr>
          <w:p w14:paraId="66DDEA33" w14:textId="77777777" w:rsidR="00054437" w:rsidRPr="000549B1" w:rsidRDefault="00054437">
            <w:pPr>
              <w:tabs>
                <w:tab w:val="left" w:pos="4500"/>
              </w:tabs>
              <w:jc w:val="center"/>
              <w:rPr>
                <w:b/>
                <w:bCs/>
                <w:sz w:val="18"/>
                <w:szCs w:val="18"/>
              </w:rPr>
            </w:pPr>
          </w:p>
        </w:tc>
        <w:tc>
          <w:tcPr>
            <w:tcW w:w="337" w:type="pct"/>
            <w:vMerge/>
            <w:vAlign w:val="center"/>
          </w:tcPr>
          <w:p w14:paraId="6A6E8203" w14:textId="77777777" w:rsidR="00054437" w:rsidRPr="000549B1" w:rsidRDefault="00054437">
            <w:pPr>
              <w:tabs>
                <w:tab w:val="left" w:pos="4500"/>
              </w:tabs>
              <w:jc w:val="center"/>
              <w:rPr>
                <w:b/>
                <w:bCs/>
                <w:sz w:val="18"/>
                <w:szCs w:val="18"/>
              </w:rPr>
            </w:pPr>
          </w:p>
        </w:tc>
        <w:tc>
          <w:tcPr>
            <w:tcW w:w="512" w:type="pct"/>
            <w:vMerge/>
            <w:vAlign w:val="center"/>
          </w:tcPr>
          <w:p w14:paraId="2C7EA4FA" w14:textId="77777777" w:rsidR="00054437" w:rsidRPr="000549B1" w:rsidRDefault="00054437">
            <w:pPr>
              <w:tabs>
                <w:tab w:val="left" w:pos="4500"/>
              </w:tabs>
              <w:jc w:val="center"/>
              <w:rPr>
                <w:b/>
                <w:bCs/>
                <w:sz w:val="18"/>
                <w:szCs w:val="18"/>
              </w:rPr>
            </w:pPr>
          </w:p>
        </w:tc>
        <w:tc>
          <w:tcPr>
            <w:tcW w:w="616" w:type="pct"/>
            <w:vAlign w:val="center"/>
          </w:tcPr>
          <w:p w14:paraId="118BD647" w14:textId="77777777" w:rsidR="00054437" w:rsidRPr="000549B1" w:rsidRDefault="00000000">
            <w:pPr>
              <w:tabs>
                <w:tab w:val="left" w:pos="4500"/>
              </w:tabs>
              <w:jc w:val="center"/>
              <w:rPr>
                <w:b/>
                <w:bCs/>
                <w:sz w:val="18"/>
                <w:szCs w:val="18"/>
              </w:rPr>
            </w:pPr>
            <w:r w:rsidRPr="000549B1">
              <w:rPr>
                <w:b/>
                <w:bCs/>
                <w:sz w:val="18"/>
                <w:szCs w:val="18"/>
              </w:rPr>
              <w:t>《国家重点保护野生动物名录》</w:t>
            </w:r>
          </w:p>
        </w:tc>
        <w:tc>
          <w:tcPr>
            <w:tcW w:w="751" w:type="pct"/>
            <w:vAlign w:val="center"/>
          </w:tcPr>
          <w:p w14:paraId="3CA811E6" w14:textId="77777777" w:rsidR="00054437" w:rsidRPr="000549B1" w:rsidRDefault="00000000">
            <w:pPr>
              <w:tabs>
                <w:tab w:val="left" w:pos="4500"/>
              </w:tabs>
              <w:jc w:val="center"/>
              <w:rPr>
                <w:b/>
                <w:bCs/>
                <w:sz w:val="18"/>
                <w:szCs w:val="18"/>
              </w:rPr>
            </w:pPr>
            <w:r w:rsidRPr="000549B1">
              <w:rPr>
                <w:b/>
                <w:bCs/>
                <w:sz w:val="18"/>
                <w:szCs w:val="18"/>
              </w:rPr>
              <w:t>《中国生物多样性红色名录》</w:t>
            </w:r>
            <w:r w:rsidRPr="000549B1">
              <w:rPr>
                <w:b/>
                <w:bCs/>
                <w:sz w:val="18"/>
                <w:szCs w:val="18"/>
              </w:rPr>
              <w:t>-</w:t>
            </w:r>
            <w:r w:rsidRPr="000549B1">
              <w:rPr>
                <w:b/>
                <w:bCs/>
                <w:sz w:val="18"/>
                <w:szCs w:val="18"/>
              </w:rPr>
              <w:t>脊椎动物卷（</w:t>
            </w:r>
            <w:r w:rsidRPr="000549B1">
              <w:rPr>
                <w:b/>
                <w:bCs/>
                <w:sz w:val="18"/>
                <w:szCs w:val="18"/>
              </w:rPr>
              <w:t>2020</w:t>
            </w:r>
            <w:r w:rsidRPr="000549B1">
              <w:rPr>
                <w:b/>
                <w:bCs/>
                <w:sz w:val="18"/>
                <w:szCs w:val="18"/>
              </w:rPr>
              <w:t>）</w:t>
            </w:r>
          </w:p>
        </w:tc>
        <w:tc>
          <w:tcPr>
            <w:tcW w:w="729" w:type="pct"/>
            <w:vAlign w:val="center"/>
          </w:tcPr>
          <w:p w14:paraId="16C36F90" w14:textId="77777777" w:rsidR="00054437" w:rsidRPr="000549B1" w:rsidRDefault="00000000">
            <w:pPr>
              <w:tabs>
                <w:tab w:val="left" w:pos="4500"/>
              </w:tabs>
              <w:jc w:val="center"/>
              <w:rPr>
                <w:b/>
                <w:bCs/>
                <w:sz w:val="18"/>
                <w:szCs w:val="18"/>
              </w:rPr>
            </w:pPr>
            <w:r w:rsidRPr="000549B1">
              <w:rPr>
                <w:b/>
                <w:bCs/>
                <w:sz w:val="18"/>
                <w:szCs w:val="18"/>
              </w:rPr>
              <w:t>青海省重点保护水生野生动物名录（第一批）</w:t>
            </w:r>
          </w:p>
        </w:tc>
        <w:tc>
          <w:tcPr>
            <w:tcW w:w="1042" w:type="pct"/>
            <w:vAlign w:val="center"/>
          </w:tcPr>
          <w:p w14:paraId="629B93F8" w14:textId="77777777" w:rsidR="00054437" w:rsidRPr="000549B1" w:rsidRDefault="00000000">
            <w:pPr>
              <w:tabs>
                <w:tab w:val="left" w:pos="4500"/>
              </w:tabs>
              <w:jc w:val="center"/>
              <w:rPr>
                <w:b/>
                <w:bCs/>
                <w:sz w:val="18"/>
                <w:szCs w:val="18"/>
              </w:rPr>
            </w:pPr>
            <w:r w:rsidRPr="000549B1">
              <w:rPr>
                <w:b/>
                <w:bCs/>
                <w:sz w:val="18"/>
                <w:szCs w:val="18"/>
              </w:rPr>
              <w:t>青海省实施《中华人民共和国渔业法》办法（</w:t>
            </w:r>
            <w:r w:rsidRPr="000549B1">
              <w:rPr>
                <w:b/>
                <w:bCs/>
                <w:sz w:val="18"/>
                <w:szCs w:val="18"/>
              </w:rPr>
              <w:t>2001</w:t>
            </w:r>
            <w:r w:rsidRPr="000549B1">
              <w:rPr>
                <w:b/>
                <w:bCs/>
                <w:sz w:val="18"/>
                <w:szCs w:val="18"/>
              </w:rPr>
              <w:t>年修正）重点保护鱼类</w:t>
            </w:r>
          </w:p>
        </w:tc>
      </w:tr>
      <w:tr w:rsidR="000549B1" w:rsidRPr="000549B1" w14:paraId="6112E221" w14:textId="77777777">
        <w:trPr>
          <w:jc w:val="center"/>
        </w:trPr>
        <w:tc>
          <w:tcPr>
            <w:tcW w:w="244" w:type="pct"/>
            <w:vAlign w:val="center"/>
          </w:tcPr>
          <w:p w14:paraId="5EF6936C" w14:textId="77777777" w:rsidR="00054437" w:rsidRPr="000549B1" w:rsidRDefault="00000000">
            <w:pPr>
              <w:tabs>
                <w:tab w:val="left" w:pos="4500"/>
              </w:tabs>
              <w:spacing w:line="240" w:lineRule="atLeast"/>
              <w:jc w:val="center"/>
              <w:rPr>
                <w:sz w:val="18"/>
                <w:szCs w:val="18"/>
              </w:rPr>
            </w:pPr>
            <w:r w:rsidRPr="000549B1">
              <w:rPr>
                <w:sz w:val="18"/>
                <w:szCs w:val="18"/>
              </w:rPr>
              <w:t>1</w:t>
            </w:r>
          </w:p>
        </w:tc>
        <w:tc>
          <w:tcPr>
            <w:tcW w:w="764" w:type="pct"/>
            <w:vAlign w:val="center"/>
          </w:tcPr>
          <w:p w14:paraId="34828F18" w14:textId="77777777" w:rsidR="00054437" w:rsidRPr="000549B1" w:rsidRDefault="00000000">
            <w:pPr>
              <w:tabs>
                <w:tab w:val="left" w:pos="4500"/>
              </w:tabs>
              <w:spacing w:line="240" w:lineRule="atLeast"/>
              <w:jc w:val="center"/>
              <w:rPr>
                <w:sz w:val="18"/>
                <w:szCs w:val="18"/>
              </w:rPr>
            </w:pPr>
            <w:r w:rsidRPr="000549B1">
              <w:rPr>
                <w:sz w:val="18"/>
                <w:szCs w:val="18"/>
              </w:rPr>
              <w:t>花斑裸鲤</w:t>
            </w:r>
          </w:p>
        </w:tc>
        <w:tc>
          <w:tcPr>
            <w:tcW w:w="337" w:type="pct"/>
            <w:vAlign w:val="center"/>
          </w:tcPr>
          <w:p w14:paraId="0FB86509" w14:textId="77777777" w:rsidR="00054437" w:rsidRPr="000549B1" w:rsidRDefault="00000000">
            <w:pPr>
              <w:tabs>
                <w:tab w:val="left" w:pos="4500"/>
              </w:tabs>
              <w:spacing w:line="240" w:lineRule="atLeast"/>
              <w:jc w:val="center"/>
              <w:rPr>
                <w:sz w:val="18"/>
                <w:szCs w:val="18"/>
              </w:rPr>
            </w:pPr>
            <w:r w:rsidRPr="000549B1">
              <w:rPr>
                <w:sz w:val="18"/>
                <w:szCs w:val="18"/>
              </w:rPr>
              <w:t>鲤科</w:t>
            </w:r>
          </w:p>
        </w:tc>
        <w:tc>
          <w:tcPr>
            <w:tcW w:w="512" w:type="pct"/>
            <w:vAlign w:val="center"/>
          </w:tcPr>
          <w:p w14:paraId="3008D187" w14:textId="77777777" w:rsidR="00054437" w:rsidRPr="000549B1" w:rsidRDefault="00000000">
            <w:pPr>
              <w:tabs>
                <w:tab w:val="left" w:pos="4500"/>
              </w:tabs>
              <w:spacing w:line="240" w:lineRule="atLeast"/>
              <w:jc w:val="center"/>
              <w:rPr>
                <w:sz w:val="18"/>
                <w:szCs w:val="18"/>
              </w:rPr>
            </w:pPr>
            <w:r w:rsidRPr="000549B1">
              <w:rPr>
                <w:sz w:val="18"/>
                <w:szCs w:val="18"/>
              </w:rPr>
              <w:t>沙珠玉河</w:t>
            </w:r>
          </w:p>
        </w:tc>
        <w:tc>
          <w:tcPr>
            <w:tcW w:w="616" w:type="pct"/>
            <w:vAlign w:val="center"/>
          </w:tcPr>
          <w:p w14:paraId="5D5AF7EA" w14:textId="77777777" w:rsidR="00054437" w:rsidRPr="000549B1" w:rsidRDefault="00054437">
            <w:pPr>
              <w:tabs>
                <w:tab w:val="left" w:pos="4500"/>
              </w:tabs>
              <w:spacing w:line="240" w:lineRule="atLeast"/>
              <w:jc w:val="center"/>
              <w:rPr>
                <w:sz w:val="18"/>
                <w:szCs w:val="18"/>
              </w:rPr>
            </w:pPr>
          </w:p>
        </w:tc>
        <w:tc>
          <w:tcPr>
            <w:tcW w:w="751" w:type="pct"/>
            <w:vAlign w:val="center"/>
          </w:tcPr>
          <w:p w14:paraId="05E5BDFA" w14:textId="77777777" w:rsidR="00054437" w:rsidRPr="000549B1" w:rsidRDefault="00000000">
            <w:pPr>
              <w:tabs>
                <w:tab w:val="left" w:pos="4500"/>
              </w:tabs>
              <w:spacing w:line="240" w:lineRule="atLeast"/>
              <w:jc w:val="center"/>
              <w:rPr>
                <w:sz w:val="18"/>
                <w:szCs w:val="18"/>
              </w:rPr>
            </w:pPr>
            <w:r w:rsidRPr="000549B1">
              <w:rPr>
                <w:sz w:val="18"/>
                <w:szCs w:val="18"/>
              </w:rPr>
              <w:t>易危</w:t>
            </w:r>
          </w:p>
        </w:tc>
        <w:tc>
          <w:tcPr>
            <w:tcW w:w="729" w:type="pct"/>
            <w:vAlign w:val="center"/>
          </w:tcPr>
          <w:p w14:paraId="59B5DDDC" w14:textId="77777777" w:rsidR="00054437" w:rsidRPr="000549B1" w:rsidRDefault="00054437">
            <w:pPr>
              <w:tabs>
                <w:tab w:val="left" w:pos="4500"/>
              </w:tabs>
              <w:spacing w:line="240" w:lineRule="atLeast"/>
              <w:jc w:val="center"/>
              <w:rPr>
                <w:sz w:val="18"/>
                <w:szCs w:val="18"/>
              </w:rPr>
            </w:pPr>
          </w:p>
        </w:tc>
        <w:tc>
          <w:tcPr>
            <w:tcW w:w="1042" w:type="pct"/>
            <w:vAlign w:val="center"/>
          </w:tcPr>
          <w:p w14:paraId="310D2A0C" w14:textId="77777777" w:rsidR="00054437" w:rsidRPr="000549B1" w:rsidRDefault="00000000">
            <w:pPr>
              <w:tabs>
                <w:tab w:val="left" w:pos="4500"/>
              </w:tabs>
              <w:spacing w:line="240" w:lineRule="atLeast"/>
              <w:jc w:val="center"/>
              <w:rPr>
                <w:sz w:val="18"/>
                <w:szCs w:val="18"/>
              </w:rPr>
            </w:pPr>
            <w:r w:rsidRPr="000549B1">
              <w:rPr>
                <w:sz w:val="18"/>
                <w:szCs w:val="18"/>
              </w:rPr>
              <w:t>√</w:t>
            </w:r>
          </w:p>
        </w:tc>
      </w:tr>
      <w:tr w:rsidR="000549B1" w:rsidRPr="000549B1" w14:paraId="711D4B11" w14:textId="77777777">
        <w:trPr>
          <w:jc w:val="center"/>
        </w:trPr>
        <w:tc>
          <w:tcPr>
            <w:tcW w:w="244" w:type="pct"/>
            <w:vAlign w:val="center"/>
          </w:tcPr>
          <w:p w14:paraId="2C79E8AD" w14:textId="77777777" w:rsidR="00054437" w:rsidRPr="000549B1" w:rsidRDefault="00000000">
            <w:pPr>
              <w:tabs>
                <w:tab w:val="left" w:pos="4500"/>
              </w:tabs>
              <w:spacing w:line="240" w:lineRule="atLeast"/>
              <w:jc w:val="center"/>
              <w:rPr>
                <w:sz w:val="18"/>
                <w:szCs w:val="18"/>
              </w:rPr>
            </w:pPr>
            <w:r w:rsidRPr="000549B1">
              <w:rPr>
                <w:sz w:val="18"/>
                <w:szCs w:val="18"/>
              </w:rPr>
              <w:t>2</w:t>
            </w:r>
          </w:p>
        </w:tc>
        <w:tc>
          <w:tcPr>
            <w:tcW w:w="764" w:type="pct"/>
            <w:vAlign w:val="center"/>
          </w:tcPr>
          <w:p w14:paraId="5BE002C6" w14:textId="77777777" w:rsidR="00054437" w:rsidRPr="000549B1" w:rsidRDefault="00000000">
            <w:pPr>
              <w:tabs>
                <w:tab w:val="left" w:pos="4500"/>
              </w:tabs>
              <w:spacing w:line="240" w:lineRule="atLeast"/>
              <w:jc w:val="center"/>
              <w:rPr>
                <w:sz w:val="18"/>
                <w:szCs w:val="18"/>
              </w:rPr>
            </w:pPr>
            <w:r w:rsidRPr="000549B1">
              <w:rPr>
                <w:sz w:val="18"/>
                <w:szCs w:val="18"/>
              </w:rPr>
              <w:t>茶卡高原鳅</w:t>
            </w:r>
          </w:p>
        </w:tc>
        <w:tc>
          <w:tcPr>
            <w:tcW w:w="337" w:type="pct"/>
            <w:vAlign w:val="center"/>
          </w:tcPr>
          <w:p w14:paraId="3BD73C2C" w14:textId="77777777" w:rsidR="00054437" w:rsidRPr="000549B1" w:rsidRDefault="00000000">
            <w:pPr>
              <w:tabs>
                <w:tab w:val="left" w:pos="4500"/>
              </w:tabs>
              <w:spacing w:line="240" w:lineRule="atLeast"/>
              <w:jc w:val="center"/>
              <w:rPr>
                <w:sz w:val="18"/>
                <w:szCs w:val="18"/>
              </w:rPr>
            </w:pPr>
            <w:r w:rsidRPr="000549B1">
              <w:rPr>
                <w:sz w:val="18"/>
                <w:szCs w:val="18"/>
              </w:rPr>
              <w:t>鳅科</w:t>
            </w:r>
          </w:p>
        </w:tc>
        <w:tc>
          <w:tcPr>
            <w:tcW w:w="512" w:type="pct"/>
            <w:vAlign w:val="center"/>
          </w:tcPr>
          <w:p w14:paraId="4B2C4072" w14:textId="77777777" w:rsidR="00054437" w:rsidRPr="000549B1" w:rsidRDefault="00000000">
            <w:pPr>
              <w:tabs>
                <w:tab w:val="left" w:pos="4500"/>
              </w:tabs>
              <w:spacing w:line="240" w:lineRule="atLeast"/>
              <w:jc w:val="center"/>
              <w:rPr>
                <w:sz w:val="18"/>
                <w:szCs w:val="18"/>
              </w:rPr>
            </w:pPr>
            <w:r w:rsidRPr="000549B1">
              <w:rPr>
                <w:sz w:val="18"/>
                <w:szCs w:val="18"/>
              </w:rPr>
              <w:t>沙珠玉河</w:t>
            </w:r>
          </w:p>
        </w:tc>
        <w:tc>
          <w:tcPr>
            <w:tcW w:w="616" w:type="pct"/>
            <w:vAlign w:val="center"/>
          </w:tcPr>
          <w:p w14:paraId="7BB134CB" w14:textId="77777777" w:rsidR="00054437" w:rsidRPr="000549B1" w:rsidRDefault="00054437">
            <w:pPr>
              <w:tabs>
                <w:tab w:val="left" w:pos="4500"/>
              </w:tabs>
              <w:spacing w:line="240" w:lineRule="atLeast"/>
              <w:jc w:val="center"/>
              <w:rPr>
                <w:sz w:val="18"/>
                <w:szCs w:val="18"/>
              </w:rPr>
            </w:pPr>
          </w:p>
        </w:tc>
        <w:tc>
          <w:tcPr>
            <w:tcW w:w="751" w:type="pct"/>
            <w:vAlign w:val="center"/>
          </w:tcPr>
          <w:p w14:paraId="584358B7" w14:textId="77777777" w:rsidR="00054437" w:rsidRPr="000549B1" w:rsidRDefault="00000000">
            <w:pPr>
              <w:tabs>
                <w:tab w:val="left" w:pos="4500"/>
              </w:tabs>
              <w:spacing w:line="240" w:lineRule="atLeast"/>
              <w:jc w:val="center"/>
              <w:rPr>
                <w:sz w:val="18"/>
                <w:szCs w:val="18"/>
              </w:rPr>
            </w:pPr>
            <w:r w:rsidRPr="000549B1">
              <w:rPr>
                <w:sz w:val="18"/>
                <w:szCs w:val="18"/>
              </w:rPr>
              <w:t>濒危</w:t>
            </w:r>
          </w:p>
        </w:tc>
        <w:tc>
          <w:tcPr>
            <w:tcW w:w="729" w:type="pct"/>
            <w:vAlign w:val="center"/>
          </w:tcPr>
          <w:p w14:paraId="2AAF3FD2" w14:textId="77777777" w:rsidR="00054437" w:rsidRPr="000549B1" w:rsidRDefault="00000000">
            <w:pPr>
              <w:tabs>
                <w:tab w:val="left" w:pos="4500"/>
              </w:tabs>
              <w:spacing w:line="240" w:lineRule="atLeast"/>
              <w:jc w:val="center"/>
              <w:rPr>
                <w:sz w:val="18"/>
                <w:szCs w:val="18"/>
              </w:rPr>
            </w:pPr>
            <w:r w:rsidRPr="000549B1">
              <w:rPr>
                <w:sz w:val="18"/>
                <w:szCs w:val="18"/>
              </w:rPr>
              <w:t>√</w:t>
            </w:r>
          </w:p>
        </w:tc>
        <w:tc>
          <w:tcPr>
            <w:tcW w:w="1042" w:type="pct"/>
            <w:vAlign w:val="center"/>
          </w:tcPr>
          <w:p w14:paraId="20301EE0" w14:textId="77777777" w:rsidR="00054437" w:rsidRPr="000549B1" w:rsidRDefault="00054437">
            <w:pPr>
              <w:tabs>
                <w:tab w:val="left" w:pos="4500"/>
              </w:tabs>
              <w:spacing w:line="240" w:lineRule="atLeast"/>
              <w:jc w:val="center"/>
              <w:rPr>
                <w:sz w:val="18"/>
                <w:szCs w:val="18"/>
              </w:rPr>
            </w:pPr>
          </w:p>
        </w:tc>
      </w:tr>
    </w:tbl>
    <w:p w14:paraId="0BD5C743" w14:textId="77777777" w:rsidR="00054437" w:rsidRPr="000549B1" w:rsidRDefault="00000000">
      <w:pPr>
        <w:widowControl/>
        <w:jc w:val="center"/>
        <w:rPr>
          <w:b/>
          <w:bCs/>
          <w:kern w:val="0"/>
          <w:sz w:val="24"/>
          <w:szCs w:val="24"/>
        </w:rPr>
      </w:pPr>
      <w:r w:rsidRPr="000549B1">
        <w:rPr>
          <w:b/>
          <w:bCs/>
          <w:noProof/>
        </w:rPr>
        <w:drawing>
          <wp:inline distT="0" distB="0" distL="114300" distR="114300" wp14:anchorId="7B928CD5" wp14:editId="6FB78472">
            <wp:extent cx="4138295" cy="1428115"/>
            <wp:effectExtent l="0" t="0" r="14605" b="635"/>
            <wp:docPr id="188953946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539463" name="图片 6"/>
                    <pic:cNvPicPr>
                      <a:picLocks noChangeAspect="1"/>
                    </pic:cNvPicPr>
                  </pic:nvPicPr>
                  <pic:blipFill>
                    <a:blip r:embed="rId171">
                      <a:extLst>
                        <a:ext uri="{28A0092B-C50C-407E-A947-70E740481C1C}">
                          <a14:useLocalDpi xmlns:a14="http://schemas.microsoft.com/office/drawing/2010/main"/>
                        </a:ext>
                      </a:extLst>
                    </a:blip>
                    <a:stretch>
                      <a:fillRect/>
                    </a:stretch>
                  </pic:blipFill>
                  <pic:spPr>
                    <a:xfrm>
                      <a:off x="0" y="0"/>
                      <a:ext cx="4138295" cy="1428115"/>
                    </a:xfrm>
                    <a:prstGeom prst="rect">
                      <a:avLst/>
                    </a:prstGeom>
                  </pic:spPr>
                </pic:pic>
              </a:graphicData>
            </a:graphic>
          </wp:inline>
        </w:drawing>
      </w:r>
    </w:p>
    <w:p w14:paraId="234A0106" w14:textId="77777777" w:rsidR="00054437" w:rsidRPr="000549B1" w:rsidRDefault="00000000">
      <w:pPr>
        <w:pStyle w:val="afff7"/>
        <w:spacing w:line="500" w:lineRule="exact"/>
        <w:ind w:firstLineChars="0" w:firstLine="0"/>
        <w:jc w:val="center"/>
        <w:rPr>
          <w:b/>
          <w:bCs/>
        </w:rPr>
      </w:pPr>
      <w:r w:rsidRPr="000549B1">
        <w:rPr>
          <w:b/>
          <w:bCs/>
        </w:rPr>
        <w:t>花斑裸鲤</w:t>
      </w:r>
    </w:p>
    <w:p w14:paraId="6916190C" w14:textId="77777777" w:rsidR="00054437" w:rsidRPr="000549B1" w:rsidRDefault="00000000">
      <w:pPr>
        <w:widowControl/>
        <w:jc w:val="center"/>
        <w:rPr>
          <w:b/>
          <w:bCs/>
          <w:szCs w:val="24"/>
        </w:rPr>
      </w:pPr>
      <w:r w:rsidRPr="000549B1">
        <w:rPr>
          <w:b/>
          <w:bCs/>
          <w:noProof/>
          <w:sz w:val="24"/>
          <w:szCs w:val="24"/>
        </w:rPr>
        <w:drawing>
          <wp:inline distT="0" distB="0" distL="114300" distR="114300" wp14:anchorId="52019986" wp14:editId="3B2403EE">
            <wp:extent cx="4130675" cy="1677035"/>
            <wp:effectExtent l="0" t="0" r="3175" b="18415"/>
            <wp:docPr id="214" name="图片 2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图片 21" descr="IMG_256"/>
                    <pic:cNvPicPr>
                      <a:picLocks noChangeAspect="1"/>
                    </pic:cNvPicPr>
                  </pic:nvPicPr>
                  <pic:blipFill>
                    <a:blip r:embed="rId172" cstate="email">
                      <a:extLst>
                        <a:ext uri="{28A0092B-C50C-407E-A947-70E740481C1C}">
                          <a14:useLocalDpi xmlns:a14="http://schemas.microsoft.com/office/drawing/2010/main"/>
                        </a:ext>
                      </a:extLst>
                    </a:blip>
                    <a:srcRect/>
                    <a:stretch>
                      <a:fillRect/>
                    </a:stretch>
                  </pic:blipFill>
                  <pic:spPr>
                    <a:xfrm>
                      <a:off x="0" y="0"/>
                      <a:ext cx="4130675" cy="1677035"/>
                    </a:xfrm>
                    <a:prstGeom prst="rect">
                      <a:avLst/>
                    </a:prstGeom>
                    <a:noFill/>
                    <a:ln w="9525">
                      <a:noFill/>
                    </a:ln>
                  </pic:spPr>
                </pic:pic>
              </a:graphicData>
            </a:graphic>
          </wp:inline>
        </w:drawing>
      </w:r>
    </w:p>
    <w:p w14:paraId="0FCBC159" w14:textId="77777777" w:rsidR="00054437" w:rsidRPr="000549B1" w:rsidRDefault="00000000">
      <w:pPr>
        <w:pStyle w:val="afff7"/>
        <w:spacing w:line="500" w:lineRule="exact"/>
        <w:ind w:firstLineChars="0" w:firstLine="0"/>
        <w:jc w:val="center"/>
        <w:rPr>
          <w:b/>
          <w:bCs/>
        </w:rPr>
      </w:pPr>
      <w:r w:rsidRPr="000549B1">
        <w:rPr>
          <w:b/>
          <w:bCs/>
        </w:rPr>
        <w:t>茶卡高原鳅</w:t>
      </w:r>
    </w:p>
    <w:p w14:paraId="16C51A99" w14:textId="69722AA2" w:rsidR="00054437" w:rsidRPr="000549B1" w:rsidRDefault="00000000">
      <w:pPr>
        <w:pStyle w:val="0A51"/>
        <w:ind w:firstLine="422"/>
      </w:pPr>
      <w:bookmarkStart w:id="318" w:name="_Ref214961889"/>
      <w:r w:rsidRPr="000549B1">
        <w:t>图</w:t>
      </w:r>
      <w:fldSimple w:instr=" STYLEREF 2 \s ">
        <w:r w:rsidR="00F32CCA">
          <w:rPr>
            <w:noProof/>
          </w:rPr>
          <w:t>3.6</w:t>
        </w:r>
      </w:fldSimple>
      <w:r w:rsidR="00F1314B">
        <w:noBreakHyphen/>
      </w:r>
      <w:r w:rsidR="00F1314B">
        <w:fldChar w:fldCharType="begin"/>
      </w:r>
      <w:r w:rsidR="00F1314B">
        <w:instrText xml:space="preserve"> SEQ </w:instrText>
      </w:r>
      <w:r w:rsidR="00F1314B">
        <w:instrText>图</w:instrText>
      </w:r>
      <w:r w:rsidR="00F1314B">
        <w:instrText xml:space="preserve"> \* ARABIC \s 2 </w:instrText>
      </w:r>
      <w:r w:rsidR="00F1314B">
        <w:fldChar w:fldCharType="separate"/>
      </w:r>
      <w:r w:rsidR="00F32CCA">
        <w:rPr>
          <w:noProof/>
        </w:rPr>
        <w:t>12</w:t>
      </w:r>
      <w:r w:rsidR="00F1314B">
        <w:fldChar w:fldCharType="end"/>
      </w:r>
      <w:bookmarkEnd w:id="318"/>
      <w:r w:rsidRPr="000549B1">
        <w:t>沙珠玉河保护鱼类一览图</w:t>
      </w:r>
    </w:p>
    <w:p w14:paraId="229A19F4" w14:textId="77777777" w:rsidR="00054437" w:rsidRPr="000549B1" w:rsidRDefault="00000000">
      <w:pPr>
        <w:pStyle w:val="4"/>
        <w:adjustRightInd w:val="0"/>
        <w:snapToGrid w:val="0"/>
        <w:spacing w:before="0" w:after="0" w:line="360" w:lineRule="auto"/>
        <w:rPr>
          <w:rFonts w:ascii="Times New Roman" w:eastAsia="黑体" w:hAnsi="Times New Roman"/>
          <w:bCs w:val="0"/>
          <w:lang w:val="zh-CN"/>
        </w:rPr>
      </w:pPr>
      <w:r w:rsidRPr="000549B1">
        <w:rPr>
          <w:rFonts w:ascii="Times New Roman" w:eastAsia="黑体" w:hAnsi="Times New Roman"/>
          <w:bCs w:val="0"/>
          <w:lang w:val="zh-CN"/>
        </w:rPr>
        <w:t>鱼类等水生生物繁殖现状与评价</w:t>
      </w:r>
    </w:p>
    <w:p w14:paraId="0CE26C3A" w14:textId="66145BA6" w:rsidR="00054437" w:rsidRPr="000549B1" w:rsidRDefault="00000000">
      <w:pPr>
        <w:pStyle w:val="31"/>
        <w:spacing w:line="500" w:lineRule="exact"/>
        <w:ind w:firstLineChars="225" w:firstLine="549"/>
        <w:rPr>
          <w:color w:val="auto"/>
          <w:kern w:val="0"/>
          <w:sz w:val="24"/>
          <w:szCs w:val="44"/>
        </w:rPr>
      </w:pPr>
      <w:r w:rsidRPr="000549B1">
        <w:rPr>
          <w:color w:val="auto"/>
          <w:kern w:val="0"/>
          <w:sz w:val="24"/>
          <w:szCs w:val="44"/>
        </w:rPr>
        <w:t>根据相关资料以及调查显示，调查范围内沙珠玉河均无大型洄游性鱼类，裂腹鱼为短距离洄游产卵鱼类，鱼类产卵繁盛期集中在</w:t>
      </w:r>
      <w:r w:rsidRPr="000549B1">
        <w:rPr>
          <w:color w:val="auto"/>
          <w:kern w:val="0"/>
          <w:sz w:val="24"/>
          <w:szCs w:val="44"/>
        </w:rPr>
        <w:t>5</w:t>
      </w:r>
      <w:r w:rsidRPr="000549B1">
        <w:rPr>
          <w:color w:val="auto"/>
          <w:kern w:val="0"/>
          <w:sz w:val="24"/>
          <w:szCs w:val="44"/>
        </w:rPr>
        <w:t>月～</w:t>
      </w:r>
      <w:r w:rsidRPr="000549B1">
        <w:rPr>
          <w:color w:val="auto"/>
          <w:kern w:val="0"/>
          <w:sz w:val="24"/>
          <w:szCs w:val="44"/>
        </w:rPr>
        <w:t>6</w:t>
      </w:r>
      <w:r w:rsidRPr="000549B1">
        <w:rPr>
          <w:color w:val="auto"/>
          <w:kern w:val="0"/>
          <w:sz w:val="24"/>
          <w:szCs w:val="44"/>
        </w:rPr>
        <w:t>月，裂腹鱼类在产卵季节一般逆河而上，沿河寻找缓静水区以及洄水湾等适宜产卵生境，其中花斑裸鲤</w:t>
      </w:r>
      <w:r w:rsidRPr="000549B1">
        <w:rPr>
          <w:color w:val="auto"/>
          <w:kern w:val="0"/>
          <w:sz w:val="24"/>
          <w:szCs w:val="44"/>
        </w:rPr>
        <w:t>5</w:t>
      </w:r>
      <w:r w:rsidRPr="000549B1">
        <w:rPr>
          <w:color w:val="auto"/>
          <w:kern w:val="0"/>
          <w:sz w:val="24"/>
          <w:szCs w:val="44"/>
        </w:rPr>
        <w:t>月初开始繁殖洄游；高原鳅属鱼类分布范围较广，一般在融冰结束即开始繁殖，不少种类为分批产卵，其多数种类对产卵环境要求不高，产卵场一般位于靠近主河道的岸边缓静水体，多数个体适应环境能力较强。捕获鱼类均为产沉性卵和粘性卵鱼类，无产漂流性卵的经济鱼类，总体上要求产卵区域位于靠近岸边的缓静水区域，多数要求河床底质为砂石，并且有较多水草分布，水体水温相对较高，接受日照时间相对较长，各鱼类种类繁殖及所需水文条件详见主要渔获物繁殖特征表</w:t>
      </w:r>
      <w:r w:rsidR="00F32CCA" w:rsidRPr="00F32CCA">
        <w:rPr>
          <w:color w:val="auto"/>
          <w:kern w:val="0"/>
          <w:sz w:val="24"/>
          <w:szCs w:val="44"/>
        </w:rPr>
        <w:t>表</w:t>
      </w:r>
      <w:r w:rsidR="00F32CCA" w:rsidRPr="00F32CCA">
        <w:rPr>
          <w:color w:val="auto"/>
          <w:kern w:val="0"/>
          <w:sz w:val="24"/>
          <w:szCs w:val="44"/>
        </w:rPr>
        <w:t>3.6</w:t>
      </w:r>
      <w:r w:rsidR="00F32CCA" w:rsidRPr="00F32CCA">
        <w:rPr>
          <w:color w:val="auto"/>
          <w:kern w:val="0"/>
          <w:sz w:val="24"/>
          <w:szCs w:val="44"/>
        </w:rPr>
        <w:noBreakHyphen/>
        <w:t>16</w:t>
      </w:r>
      <w:r w:rsidRPr="000549B1">
        <w:rPr>
          <w:color w:val="auto"/>
          <w:kern w:val="0"/>
          <w:sz w:val="24"/>
          <w:szCs w:val="44"/>
        </w:rPr>
        <w:t>。</w:t>
      </w:r>
    </w:p>
    <w:p w14:paraId="655EA497" w14:textId="02B3A2C7" w:rsidR="00054437" w:rsidRPr="000549B1" w:rsidRDefault="00000000">
      <w:pPr>
        <w:pStyle w:val="0A51"/>
        <w:ind w:firstLine="422"/>
      </w:pPr>
      <w:bookmarkStart w:id="319" w:name="_Ref214961943"/>
      <w:r w:rsidRPr="000549B1">
        <w:t>表</w:t>
      </w:r>
      <w:fldSimple w:instr=" STYLEREF 2 \s ">
        <w:r w:rsidR="00372953">
          <w:rPr>
            <w:noProof/>
          </w:rPr>
          <w:t>3.6</w:t>
        </w:r>
      </w:fldSimple>
      <w:r w:rsidR="00372953">
        <w:noBreakHyphen/>
      </w:r>
      <w:r w:rsidR="00372953">
        <w:fldChar w:fldCharType="begin"/>
      </w:r>
      <w:r w:rsidR="00372953">
        <w:instrText xml:space="preserve"> SEQ </w:instrText>
      </w:r>
      <w:r w:rsidR="00372953">
        <w:instrText>表</w:instrText>
      </w:r>
      <w:r w:rsidR="00372953">
        <w:instrText xml:space="preserve"> \* ARABIC \s 2 </w:instrText>
      </w:r>
      <w:r w:rsidR="00372953">
        <w:fldChar w:fldCharType="separate"/>
      </w:r>
      <w:r w:rsidR="00372953">
        <w:rPr>
          <w:noProof/>
        </w:rPr>
        <w:t>16</w:t>
      </w:r>
      <w:r w:rsidR="00372953">
        <w:fldChar w:fldCharType="end"/>
      </w:r>
      <w:bookmarkEnd w:id="319"/>
      <w:r w:rsidRPr="000549B1">
        <w:t>沙珠玉河主要渔获物繁殖特征表</w:t>
      </w:r>
    </w:p>
    <w:tbl>
      <w:tblPr>
        <w:tblW w:w="49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1"/>
        <w:gridCol w:w="1333"/>
        <w:gridCol w:w="905"/>
        <w:gridCol w:w="884"/>
        <w:gridCol w:w="3906"/>
      </w:tblGrid>
      <w:tr w:rsidR="000549B1" w:rsidRPr="000549B1" w14:paraId="66EB4E75" w14:textId="77777777">
        <w:trPr>
          <w:trHeight w:val="510"/>
          <w:tblHeader/>
          <w:jc w:val="center"/>
        </w:trPr>
        <w:tc>
          <w:tcPr>
            <w:tcW w:w="760" w:type="pct"/>
            <w:vAlign w:val="center"/>
          </w:tcPr>
          <w:p w14:paraId="7ADD258B" w14:textId="77777777" w:rsidR="00054437" w:rsidRPr="000549B1" w:rsidRDefault="00000000">
            <w:pPr>
              <w:spacing w:line="320" w:lineRule="exact"/>
              <w:jc w:val="center"/>
              <w:rPr>
                <w:b/>
                <w:bCs/>
                <w:sz w:val="18"/>
                <w:szCs w:val="18"/>
              </w:rPr>
            </w:pPr>
            <w:r w:rsidRPr="000549B1">
              <w:rPr>
                <w:b/>
                <w:bCs/>
                <w:sz w:val="18"/>
                <w:szCs w:val="18"/>
              </w:rPr>
              <w:t>种　　类</w:t>
            </w:r>
          </w:p>
        </w:tc>
        <w:tc>
          <w:tcPr>
            <w:tcW w:w="804" w:type="pct"/>
            <w:vAlign w:val="center"/>
          </w:tcPr>
          <w:p w14:paraId="10F64CE5" w14:textId="77777777" w:rsidR="00054437" w:rsidRPr="000549B1" w:rsidRDefault="00000000">
            <w:pPr>
              <w:spacing w:line="320" w:lineRule="exact"/>
              <w:jc w:val="center"/>
              <w:rPr>
                <w:b/>
                <w:bCs/>
                <w:sz w:val="18"/>
                <w:szCs w:val="18"/>
              </w:rPr>
            </w:pPr>
            <w:r w:rsidRPr="000549B1">
              <w:rPr>
                <w:b/>
                <w:bCs/>
                <w:sz w:val="18"/>
                <w:szCs w:val="18"/>
              </w:rPr>
              <w:t>洄游习性</w:t>
            </w:r>
          </w:p>
        </w:tc>
        <w:tc>
          <w:tcPr>
            <w:tcW w:w="546" w:type="pct"/>
            <w:vAlign w:val="center"/>
          </w:tcPr>
          <w:p w14:paraId="53F0A95C" w14:textId="77777777" w:rsidR="00054437" w:rsidRPr="000549B1" w:rsidRDefault="00000000">
            <w:pPr>
              <w:spacing w:line="320" w:lineRule="exact"/>
              <w:jc w:val="center"/>
              <w:rPr>
                <w:b/>
                <w:bCs/>
                <w:sz w:val="18"/>
                <w:szCs w:val="18"/>
              </w:rPr>
            </w:pPr>
            <w:r w:rsidRPr="000549B1">
              <w:rPr>
                <w:b/>
                <w:bCs/>
                <w:sz w:val="18"/>
                <w:szCs w:val="18"/>
              </w:rPr>
              <w:t>产卵类型</w:t>
            </w:r>
          </w:p>
        </w:tc>
        <w:tc>
          <w:tcPr>
            <w:tcW w:w="533" w:type="pct"/>
            <w:vAlign w:val="center"/>
          </w:tcPr>
          <w:p w14:paraId="529E02CA" w14:textId="77777777" w:rsidR="00054437" w:rsidRPr="000549B1" w:rsidRDefault="00000000">
            <w:pPr>
              <w:spacing w:line="320" w:lineRule="exact"/>
              <w:jc w:val="center"/>
              <w:rPr>
                <w:b/>
                <w:bCs/>
                <w:sz w:val="18"/>
                <w:szCs w:val="18"/>
              </w:rPr>
            </w:pPr>
            <w:r w:rsidRPr="000549B1">
              <w:rPr>
                <w:b/>
                <w:bCs/>
                <w:sz w:val="18"/>
                <w:szCs w:val="18"/>
              </w:rPr>
              <w:t>繁盛期</w:t>
            </w:r>
          </w:p>
        </w:tc>
        <w:tc>
          <w:tcPr>
            <w:tcW w:w="2355" w:type="pct"/>
            <w:vAlign w:val="center"/>
          </w:tcPr>
          <w:p w14:paraId="12DDED75" w14:textId="77777777" w:rsidR="00054437" w:rsidRPr="000549B1" w:rsidRDefault="00000000">
            <w:pPr>
              <w:spacing w:line="320" w:lineRule="exact"/>
              <w:jc w:val="center"/>
              <w:rPr>
                <w:b/>
                <w:bCs/>
                <w:sz w:val="18"/>
                <w:szCs w:val="18"/>
              </w:rPr>
            </w:pPr>
            <w:r w:rsidRPr="000549B1">
              <w:rPr>
                <w:b/>
                <w:bCs/>
                <w:sz w:val="18"/>
                <w:szCs w:val="18"/>
              </w:rPr>
              <w:t>生态水文需求</w:t>
            </w:r>
          </w:p>
        </w:tc>
      </w:tr>
      <w:tr w:rsidR="000549B1" w:rsidRPr="000549B1" w14:paraId="4ACC97BA" w14:textId="77777777">
        <w:trPr>
          <w:trHeight w:val="510"/>
          <w:jc w:val="center"/>
        </w:trPr>
        <w:tc>
          <w:tcPr>
            <w:tcW w:w="760" w:type="pct"/>
            <w:vAlign w:val="center"/>
          </w:tcPr>
          <w:p w14:paraId="6C2DDE1B" w14:textId="77777777" w:rsidR="00054437" w:rsidRPr="000549B1" w:rsidRDefault="00000000">
            <w:pPr>
              <w:spacing w:line="320" w:lineRule="exact"/>
              <w:jc w:val="center"/>
              <w:rPr>
                <w:sz w:val="18"/>
                <w:szCs w:val="18"/>
              </w:rPr>
            </w:pPr>
            <w:r w:rsidRPr="000549B1">
              <w:rPr>
                <w:sz w:val="18"/>
                <w:szCs w:val="18"/>
              </w:rPr>
              <w:t>花斑裸鲤</w:t>
            </w:r>
          </w:p>
        </w:tc>
        <w:tc>
          <w:tcPr>
            <w:tcW w:w="804" w:type="pct"/>
            <w:vAlign w:val="center"/>
          </w:tcPr>
          <w:p w14:paraId="36AE9876" w14:textId="77777777" w:rsidR="00054437" w:rsidRPr="000549B1" w:rsidRDefault="00000000">
            <w:pPr>
              <w:spacing w:line="320" w:lineRule="exact"/>
              <w:jc w:val="center"/>
              <w:rPr>
                <w:sz w:val="18"/>
                <w:szCs w:val="18"/>
              </w:rPr>
            </w:pPr>
            <w:r w:rsidRPr="000549B1">
              <w:rPr>
                <w:sz w:val="18"/>
                <w:szCs w:val="18"/>
              </w:rPr>
              <w:t>短距离繁殖洄游</w:t>
            </w:r>
          </w:p>
        </w:tc>
        <w:tc>
          <w:tcPr>
            <w:tcW w:w="546" w:type="pct"/>
            <w:vAlign w:val="center"/>
          </w:tcPr>
          <w:p w14:paraId="631BBB03" w14:textId="77777777" w:rsidR="00054437" w:rsidRPr="000549B1" w:rsidRDefault="00000000">
            <w:pPr>
              <w:spacing w:line="320" w:lineRule="exact"/>
              <w:jc w:val="center"/>
              <w:rPr>
                <w:sz w:val="18"/>
                <w:szCs w:val="18"/>
              </w:rPr>
            </w:pPr>
            <w:r w:rsidRPr="000549B1">
              <w:rPr>
                <w:sz w:val="18"/>
                <w:szCs w:val="18"/>
              </w:rPr>
              <w:t>沉性卵</w:t>
            </w:r>
          </w:p>
        </w:tc>
        <w:tc>
          <w:tcPr>
            <w:tcW w:w="533" w:type="pct"/>
            <w:vAlign w:val="center"/>
          </w:tcPr>
          <w:p w14:paraId="39E23B41" w14:textId="77777777" w:rsidR="00054437" w:rsidRPr="000549B1" w:rsidRDefault="00000000">
            <w:pPr>
              <w:spacing w:line="320" w:lineRule="exact"/>
              <w:jc w:val="center"/>
              <w:rPr>
                <w:sz w:val="18"/>
                <w:szCs w:val="18"/>
              </w:rPr>
            </w:pPr>
            <w:r w:rsidRPr="000549B1">
              <w:rPr>
                <w:sz w:val="18"/>
                <w:szCs w:val="18"/>
              </w:rPr>
              <w:t>5</w:t>
            </w:r>
            <w:r w:rsidRPr="000549B1">
              <w:rPr>
                <w:sz w:val="18"/>
                <w:szCs w:val="18"/>
              </w:rPr>
              <w:t>月</w:t>
            </w:r>
            <w:r w:rsidRPr="000549B1">
              <w:rPr>
                <w:sz w:val="18"/>
                <w:szCs w:val="18"/>
              </w:rPr>
              <w:t>~6</w:t>
            </w:r>
            <w:r w:rsidRPr="000549B1">
              <w:rPr>
                <w:sz w:val="18"/>
                <w:szCs w:val="18"/>
              </w:rPr>
              <w:t>月</w:t>
            </w:r>
          </w:p>
        </w:tc>
        <w:tc>
          <w:tcPr>
            <w:tcW w:w="2355" w:type="pct"/>
            <w:vAlign w:val="center"/>
          </w:tcPr>
          <w:p w14:paraId="37080C4C" w14:textId="77777777" w:rsidR="00054437" w:rsidRPr="000549B1" w:rsidRDefault="00000000">
            <w:pPr>
              <w:spacing w:line="320" w:lineRule="exact"/>
              <w:rPr>
                <w:sz w:val="18"/>
                <w:szCs w:val="18"/>
              </w:rPr>
            </w:pPr>
            <w:r w:rsidRPr="000549B1">
              <w:rPr>
                <w:sz w:val="18"/>
                <w:szCs w:val="18"/>
              </w:rPr>
              <w:t>一般在河道水深</w:t>
            </w:r>
            <w:r w:rsidRPr="000549B1">
              <w:rPr>
                <w:sz w:val="18"/>
                <w:szCs w:val="18"/>
              </w:rPr>
              <w:t>1m</w:t>
            </w:r>
            <w:r w:rsidRPr="000549B1">
              <w:rPr>
                <w:sz w:val="18"/>
                <w:szCs w:val="18"/>
              </w:rPr>
              <w:t>左右缓流处产卵，产卵场多砾石、砂砾为底，水温</w:t>
            </w:r>
            <w:r w:rsidRPr="000549B1">
              <w:rPr>
                <w:sz w:val="18"/>
                <w:szCs w:val="18"/>
              </w:rPr>
              <w:t>10℃</w:t>
            </w:r>
            <w:r w:rsidRPr="000549B1">
              <w:rPr>
                <w:sz w:val="18"/>
                <w:szCs w:val="18"/>
              </w:rPr>
              <w:t>左右，沙珠玉河繁殖期稍提前</w:t>
            </w:r>
          </w:p>
        </w:tc>
      </w:tr>
      <w:tr w:rsidR="000549B1" w:rsidRPr="000549B1" w14:paraId="72A39AD0" w14:textId="77777777">
        <w:trPr>
          <w:trHeight w:val="510"/>
          <w:jc w:val="center"/>
        </w:trPr>
        <w:tc>
          <w:tcPr>
            <w:tcW w:w="760" w:type="pct"/>
            <w:vAlign w:val="center"/>
          </w:tcPr>
          <w:p w14:paraId="25E5856D" w14:textId="77777777" w:rsidR="00054437" w:rsidRPr="000549B1" w:rsidRDefault="00000000">
            <w:pPr>
              <w:spacing w:line="320" w:lineRule="exact"/>
              <w:jc w:val="center"/>
              <w:rPr>
                <w:sz w:val="18"/>
                <w:szCs w:val="18"/>
              </w:rPr>
            </w:pPr>
            <w:r w:rsidRPr="000549B1">
              <w:rPr>
                <w:sz w:val="18"/>
                <w:szCs w:val="18"/>
              </w:rPr>
              <w:t>茶卡高原鳅</w:t>
            </w:r>
          </w:p>
        </w:tc>
        <w:tc>
          <w:tcPr>
            <w:tcW w:w="804" w:type="pct"/>
            <w:vAlign w:val="center"/>
          </w:tcPr>
          <w:p w14:paraId="713C6BAE" w14:textId="77777777" w:rsidR="00054437" w:rsidRPr="000549B1" w:rsidRDefault="00000000">
            <w:pPr>
              <w:spacing w:line="320" w:lineRule="exact"/>
              <w:jc w:val="center"/>
              <w:rPr>
                <w:sz w:val="18"/>
                <w:szCs w:val="18"/>
              </w:rPr>
            </w:pPr>
            <w:r w:rsidRPr="000549B1">
              <w:rPr>
                <w:sz w:val="18"/>
                <w:szCs w:val="18"/>
              </w:rPr>
              <w:t>定居性</w:t>
            </w:r>
          </w:p>
        </w:tc>
        <w:tc>
          <w:tcPr>
            <w:tcW w:w="546" w:type="pct"/>
            <w:vAlign w:val="center"/>
          </w:tcPr>
          <w:p w14:paraId="35FBDE2F" w14:textId="77777777" w:rsidR="00054437" w:rsidRPr="000549B1" w:rsidRDefault="00000000">
            <w:pPr>
              <w:spacing w:line="320" w:lineRule="exact"/>
              <w:jc w:val="center"/>
              <w:rPr>
                <w:sz w:val="18"/>
                <w:szCs w:val="18"/>
              </w:rPr>
            </w:pPr>
            <w:r w:rsidRPr="000549B1">
              <w:rPr>
                <w:sz w:val="18"/>
                <w:szCs w:val="18"/>
              </w:rPr>
              <w:t>沉粘性卵</w:t>
            </w:r>
          </w:p>
        </w:tc>
        <w:tc>
          <w:tcPr>
            <w:tcW w:w="533" w:type="pct"/>
            <w:vAlign w:val="center"/>
          </w:tcPr>
          <w:p w14:paraId="1A87812D" w14:textId="77777777" w:rsidR="00054437" w:rsidRPr="000549B1" w:rsidRDefault="00000000">
            <w:pPr>
              <w:spacing w:line="320" w:lineRule="exact"/>
              <w:jc w:val="center"/>
              <w:rPr>
                <w:sz w:val="18"/>
                <w:szCs w:val="18"/>
              </w:rPr>
            </w:pPr>
            <w:r w:rsidRPr="000549B1">
              <w:rPr>
                <w:sz w:val="18"/>
                <w:szCs w:val="18"/>
              </w:rPr>
              <w:t>4</w:t>
            </w:r>
            <w:r w:rsidRPr="000549B1">
              <w:rPr>
                <w:sz w:val="18"/>
                <w:szCs w:val="18"/>
              </w:rPr>
              <w:t>月</w:t>
            </w:r>
            <w:r w:rsidRPr="000549B1">
              <w:rPr>
                <w:sz w:val="18"/>
                <w:szCs w:val="18"/>
              </w:rPr>
              <w:t>~5</w:t>
            </w:r>
            <w:r w:rsidRPr="000549B1">
              <w:rPr>
                <w:sz w:val="18"/>
                <w:szCs w:val="18"/>
              </w:rPr>
              <w:t>月</w:t>
            </w:r>
          </w:p>
        </w:tc>
        <w:tc>
          <w:tcPr>
            <w:tcW w:w="2355" w:type="pct"/>
            <w:vAlign w:val="center"/>
          </w:tcPr>
          <w:p w14:paraId="5B73557E" w14:textId="77777777" w:rsidR="00054437" w:rsidRPr="000549B1" w:rsidRDefault="00000000">
            <w:pPr>
              <w:spacing w:line="320" w:lineRule="exact"/>
              <w:rPr>
                <w:sz w:val="18"/>
                <w:szCs w:val="18"/>
              </w:rPr>
            </w:pPr>
            <w:r w:rsidRPr="000549B1">
              <w:rPr>
                <w:sz w:val="18"/>
                <w:szCs w:val="18"/>
              </w:rPr>
              <w:t>产卵场一般位于靠近岸边的浅水区域，要求有水草分布，日照时间长，底质为砂砾以及泥沙均可</w:t>
            </w:r>
          </w:p>
        </w:tc>
      </w:tr>
    </w:tbl>
    <w:p w14:paraId="097707D1" w14:textId="77777777" w:rsidR="00054437" w:rsidRPr="000549B1" w:rsidRDefault="00000000">
      <w:pPr>
        <w:pStyle w:val="3"/>
      </w:pPr>
      <w:bookmarkStart w:id="320" w:name="_Toc14787"/>
      <w:bookmarkStart w:id="321" w:name="_Toc216107029"/>
      <w:r w:rsidRPr="000549B1">
        <w:t>鱼类栖息地</w:t>
      </w:r>
      <w:bookmarkEnd w:id="320"/>
      <w:bookmarkEnd w:id="321"/>
    </w:p>
    <w:p w14:paraId="36737FEB" w14:textId="77777777" w:rsidR="00054437" w:rsidRPr="000549B1" w:rsidRDefault="00000000">
      <w:pPr>
        <w:spacing w:line="500" w:lineRule="exact"/>
        <w:ind w:firstLineChars="200" w:firstLine="480"/>
        <w:jc w:val="left"/>
        <w:rPr>
          <w:sz w:val="24"/>
        </w:rPr>
      </w:pPr>
      <w:r w:rsidRPr="000549B1">
        <w:rPr>
          <w:sz w:val="24"/>
        </w:rPr>
        <w:t>（</w:t>
      </w:r>
      <w:r w:rsidRPr="000549B1">
        <w:rPr>
          <w:sz w:val="24"/>
        </w:rPr>
        <w:t>1</w:t>
      </w:r>
      <w:r w:rsidRPr="000549B1">
        <w:rPr>
          <w:sz w:val="24"/>
        </w:rPr>
        <w:t>）产卵场</w:t>
      </w:r>
    </w:p>
    <w:p w14:paraId="07FF2D8C" w14:textId="77777777" w:rsidR="00054437" w:rsidRPr="000549B1" w:rsidRDefault="00000000">
      <w:pPr>
        <w:spacing w:line="500" w:lineRule="exact"/>
        <w:ind w:firstLineChars="200" w:firstLine="480"/>
        <w:jc w:val="left"/>
        <w:rPr>
          <w:sz w:val="24"/>
        </w:rPr>
      </w:pPr>
      <w:r w:rsidRPr="000549B1">
        <w:rPr>
          <w:sz w:val="24"/>
        </w:rPr>
        <w:t>根据实地调查，河段内无大型洄游性鱼类，部分鱼类为短距离洄游性产卵鱼类。切吉河调查河段内分布有</w:t>
      </w:r>
      <w:r w:rsidRPr="000549B1">
        <w:rPr>
          <w:sz w:val="24"/>
        </w:rPr>
        <w:t>1</w:t>
      </w:r>
      <w:r w:rsidRPr="000549B1">
        <w:rPr>
          <w:sz w:val="24"/>
        </w:rPr>
        <w:t>处鱼类集中产卵场，位于切吉河水库库尾河段，该河段水体静缓，水体较浅，河床底质由卵石、砾石、泥沙、粗沙还有细沙组成，产卵场位于回水湾处，该处河段适宜鱼类繁殖及幼鱼索饵。</w:t>
      </w:r>
    </w:p>
    <w:p w14:paraId="6382F8CC" w14:textId="77777777" w:rsidR="00054437" w:rsidRPr="000549B1" w:rsidRDefault="00000000">
      <w:pPr>
        <w:spacing w:line="500" w:lineRule="exact"/>
        <w:ind w:firstLineChars="200" w:firstLine="480"/>
        <w:jc w:val="left"/>
        <w:rPr>
          <w:sz w:val="24"/>
        </w:rPr>
      </w:pPr>
      <w:r w:rsidRPr="000549B1">
        <w:rPr>
          <w:sz w:val="24"/>
        </w:rPr>
        <w:t>（</w:t>
      </w:r>
      <w:r w:rsidRPr="000549B1">
        <w:rPr>
          <w:sz w:val="24"/>
        </w:rPr>
        <w:t>2</w:t>
      </w:r>
      <w:r w:rsidRPr="000549B1">
        <w:rPr>
          <w:sz w:val="24"/>
        </w:rPr>
        <w:t>）索饵场</w:t>
      </w:r>
    </w:p>
    <w:p w14:paraId="328F9901" w14:textId="77777777" w:rsidR="00054437" w:rsidRPr="000549B1" w:rsidRDefault="00000000">
      <w:pPr>
        <w:spacing w:line="500" w:lineRule="exact"/>
        <w:ind w:firstLineChars="200" w:firstLine="480"/>
        <w:jc w:val="left"/>
        <w:rPr>
          <w:sz w:val="24"/>
        </w:rPr>
      </w:pPr>
      <w:r w:rsidRPr="000549B1">
        <w:rPr>
          <w:sz w:val="24"/>
        </w:rPr>
        <w:t>切吉河调查河段分布有集中索饵场</w:t>
      </w:r>
      <w:r w:rsidRPr="000549B1">
        <w:rPr>
          <w:sz w:val="24"/>
        </w:rPr>
        <w:t>1</w:t>
      </w:r>
      <w:r w:rsidRPr="000549B1">
        <w:rPr>
          <w:sz w:val="24"/>
        </w:rPr>
        <w:t>处，位于切吉河水库库区、库尾河段。</w:t>
      </w:r>
    </w:p>
    <w:p w14:paraId="49ED8E9C" w14:textId="77777777" w:rsidR="00054437" w:rsidRPr="000549B1" w:rsidRDefault="00000000">
      <w:pPr>
        <w:spacing w:line="500" w:lineRule="exact"/>
        <w:ind w:firstLineChars="200" w:firstLine="480"/>
        <w:jc w:val="left"/>
        <w:rPr>
          <w:sz w:val="24"/>
        </w:rPr>
      </w:pPr>
      <w:r w:rsidRPr="000549B1">
        <w:rPr>
          <w:sz w:val="24"/>
        </w:rPr>
        <w:t>（</w:t>
      </w:r>
      <w:r w:rsidRPr="000549B1">
        <w:rPr>
          <w:sz w:val="24"/>
        </w:rPr>
        <w:t>3</w:t>
      </w:r>
      <w:r w:rsidRPr="000549B1">
        <w:rPr>
          <w:sz w:val="24"/>
        </w:rPr>
        <w:t>）越冬场</w:t>
      </w:r>
    </w:p>
    <w:p w14:paraId="3984C8F2" w14:textId="77777777" w:rsidR="00054437" w:rsidRPr="000549B1" w:rsidRDefault="00000000">
      <w:pPr>
        <w:spacing w:line="500" w:lineRule="exact"/>
        <w:ind w:firstLineChars="200" w:firstLine="480"/>
        <w:jc w:val="left"/>
        <w:rPr>
          <w:sz w:val="24"/>
        </w:rPr>
      </w:pPr>
      <w:r w:rsidRPr="000549B1">
        <w:rPr>
          <w:sz w:val="24"/>
        </w:rPr>
        <w:t>调查河段分布有大型越冬场</w:t>
      </w:r>
      <w:r w:rsidRPr="000549B1">
        <w:rPr>
          <w:sz w:val="24"/>
        </w:rPr>
        <w:t>1</w:t>
      </w:r>
      <w:r w:rsidRPr="000549B1">
        <w:rPr>
          <w:sz w:val="24"/>
        </w:rPr>
        <w:t>处，为切吉水库库区河段，库区水体清澈，流速较缓，冬季水温上升较快，加之水流变缓，饵料沉降较为丰富，且库区水深不易受到外界干扰，成为部分鱼类理想的越冬场。</w:t>
      </w:r>
    </w:p>
    <w:p w14:paraId="361DB053" w14:textId="634D5E54" w:rsidR="00054437" w:rsidRPr="000549B1" w:rsidRDefault="00000000">
      <w:pPr>
        <w:pStyle w:val="0A51"/>
        <w:ind w:firstLine="422"/>
      </w:pPr>
      <w:r w:rsidRPr="000549B1">
        <w:t>表</w:t>
      </w:r>
      <w:fldSimple w:instr=" STYLEREF 2 \s ">
        <w:r w:rsidR="00372953">
          <w:rPr>
            <w:noProof/>
          </w:rPr>
          <w:t>3.6</w:t>
        </w:r>
      </w:fldSimple>
      <w:r w:rsidR="00372953">
        <w:noBreakHyphen/>
      </w:r>
      <w:r w:rsidR="00372953">
        <w:fldChar w:fldCharType="begin"/>
      </w:r>
      <w:r w:rsidR="00372953">
        <w:instrText xml:space="preserve"> SEQ </w:instrText>
      </w:r>
      <w:r w:rsidR="00372953">
        <w:instrText>表</w:instrText>
      </w:r>
      <w:r w:rsidR="00372953">
        <w:instrText xml:space="preserve"> \* ARABIC \s 2 </w:instrText>
      </w:r>
      <w:r w:rsidR="00372953">
        <w:fldChar w:fldCharType="separate"/>
      </w:r>
      <w:r w:rsidR="00372953">
        <w:rPr>
          <w:noProof/>
        </w:rPr>
        <w:t>17</w:t>
      </w:r>
      <w:r w:rsidR="00372953">
        <w:fldChar w:fldCharType="end"/>
      </w:r>
      <w:r w:rsidRPr="000549B1">
        <w:t>调查河段鱼类重要生境一览表</w:t>
      </w:r>
    </w:p>
    <w:tbl>
      <w:tblPr>
        <w:tblW w:w="49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07"/>
        <w:gridCol w:w="4011"/>
        <w:gridCol w:w="3270"/>
      </w:tblGrid>
      <w:tr w:rsidR="000549B1" w:rsidRPr="000549B1" w14:paraId="1222CCE2" w14:textId="77777777">
        <w:trPr>
          <w:trHeight w:val="1697"/>
          <w:jc w:val="center"/>
        </w:trPr>
        <w:tc>
          <w:tcPr>
            <w:tcW w:w="616" w:type="pct"/>
            <w:tcMar>
              <w:top w:w="72" w:type="dxa"/>
              <w:left w:w="144" w:type="dxa"/>
              <w:bottom w:w="72" w:type="dxa"/>
              <w:right w:w="144" w:type="dxa"/>
            </w:tcMar>
            <w:vAlign w:val="center"/>
          </w:tcPr>
          <w:p w14:paraId="2C0233C6" w14:textId="77777777" w:rsidR="00054437" w:rsidRPr="000549B1" w:rsidRDefault="00000000">
            <w:pPr>
              <w:widowControl/>
              <w:adjustRightInd w:val="0"/>
              <w:snapToGrid w:val="0"/>
              <w:spacing w:line="240" w:lineRule="atLeast"/>
              <w:ind w:leftChars="-59" w:left="-124"/>
              <w:jc w:val="center"/>
              <w:rPr>
                <w:b/>
                <w:bCs/>
                <w:kern w:val="0"/>
              </w:rPr>
            </w:pPr>
            <w:r w:rsidRPr="000549B1">
              <w:rPr>
                <w:b/>
                <w:bCs/>
                <w:kern w:val="0"/>
              </w:rPr>
              <w:t>切吉河水库库尾产卵场、索饵场</w:t>
            </w:r>
          </w:p>
        </w:tc>
        <w:tc>
          <w:tcPr>
            <w:tcW w:w="2427" w:type="pct"/>
            <w:tcMar>
              <w:top w:w="72" w:type="dxa"/>
              <w:left w:w="144" w:type="dxa"/>
              <w:bottom w:w="72" w:type="dxa"/>
              <w:right w:w="144" w:type="dxa"/>
            </w:tcMar>
            <w:vAlign w:val="center"/>
          </w:tcPr>
          <w:p w14:paraId="6B8901AD" w14:textId="77777777" w:rsidR="00054437" w:rsidRPr="000549B1" w:rsidRDefault="00000000">
            <w:pPr>
              <w:widowControl/>
              <w:adjustRightInd w:val="0"/>
              <w:snapToGrid w:val="0"/>
              <w:spacing w:line="240" w:lineRule="atLeast"/>
              <w:ind w:leftChars="-59" w:left="-124" w:firstLineChars="135" w:firstLine="285"/>
              <w:jc w:val="center"/>
              <w:rPr>
                <w:b/>
                <w:bCs/>
                <w:kern w:val="0"/>
              </w:rPr>
            </w:pPr>
            <w:r w:rsidRPr="000549B1">
              <w:rPr>
                <w:b/>
                <w:bCs/>
                <w:kern w:val="0"/>
              </w:rPr>
              <w:t>该产卵场位于位于切吉河水库库尾河段，河面宽阔，水流静缓，有利于鱼类繁殖和索饵，主要为高原鳅鱼类的繁殖场。</w:t>
            </w:r>
          </w:p>
        </w:tc>
        <w:tc>
          <w:tcPr>
            <w:tcW w:w="1955" w:type="pct"/>
            <w:tcMar>
              <w:top w:w="72" w:type="dxa"/>
              <w:left w:w="144" w:type="dxa"/>
              <w:bottom w:w="72" w:type="dxa"/>
              <w:right w:w="144" w:type="dxa"/>
            </w:tcMar>
            <w:vAlign w:val="center"/>
          </w:tcPr>
          <w:p w14:paraId="02124662" w14:textId="77777777" w:rsidR="00054437" w:rsidRPr="000549B1" w:rsidRDefault="00000000">
            <w:pPr>
              <w:widowControl/>
              <w:adjustRightInd w:val="0"/>
              <w:snapToGrid w:val="0"/>
              <w:spacing w:line="240" w:lineRule="atLeast"/>
              <w:ind w:leftChars="-59" w:left="-124" w:firstLineChars="135" w:firstLine="285"/>
              <w:jc w:val="center"/>
              <w:rPr>
                <w:b/>
                <w:bCs/>
                <w:kern w:val="0"/>
              </w:rPr>
            </w:pPr>
            <w:r w:rsidRPr="000549B1">
              <w:rPr>
                <w:b/>
                <w:bCs/>
                <w:noProof/>
                <w:kern w:val="0"/>
              </w:rPr>
              <w:drawing>
                <wp:inline distT="0" distB="0" distL="0" distR="0" wp14:anchorId="11AFB658" wp14:editId="3C9BAC0B">
                  <wp:extent cx="1783080" cy="1242060"/>
                  <wp:effectExtent l="0" t="0" r="7620" b="15240"/>
                  <wp:docPr id="221" name="图片 27" descr="P1110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图片 27" descr="P1110857"/>
                          <pic:cNvPicPr>
                            <a:picLocks noChangeAspect="1"/>
                          </pic:cNvPicPr>
                        </pic:nvPicPr>
                        <pic:blipFill>
                          <a:blip r:embed="rId173" cstate="email">
                            <a:extLst>
                              <a:ext uri="{28A0092B-C50C-407E-A947-70E740481C1C}">
                                <a14:useLocalDpi xmlns:a14="http://schemas.microsoft.com/office/drawing/2010/main"/>
                              </a:ext>
                            </a:extLst>
                          </a:blip>
                          <a:stretch>
                            <a:fillRect/>
                          </a:stretch>
                        </pic:blipFill>
                        <pic:spPr>
                          <a:xfrm>
                            <a:off x="0" y="0"/>
                            <a:ext cx="1786494" cy="1244581"/>
                          </a:xfrm>
                          <a:prstGeom prst="rect">
                            <a:avLst/>
                          </a:prstGeom>
                        </pic:spPr>
                      </pic:pic>
                    </a:graphicData>
                  </a:graphic>
                </wp:inline>
              </w:drawing>
            </w:r>
          </w:p>
        </w:tc>
      </w:tr>
      <w:tr w:rsidR="000549B1" w:rsidRPr="000549B1" w14:paraId="48A1EBCC" w14:textId="77777777">
        <w:trPr>
          <w:trHeight w:val="1697"/>
          <w:jc w:val="center"/>
        </w:trPr>
        <w:tc>
          <w:tcPr>
            <w:tcW w:w="616" w:type="pct"/>
            <w:tcMar>
              <w:top w:w="72" w:type="dxa"/>
              <w:left w:w="144" w:type="dxa"/>
              <w:bottom w:w="72" w:type="dxa"/>
              <w:right w:w="144" w:type="dxa"/>
            </w:tcMar>
            <w:vAlign w:val="center"/>
          </w:tcPr>
          <w:p w14:paraId="5C1AC52E" w14:textId="77777777" w:rsidR="00054437" w:rsidRPr="000549B1" w:rsidRDefault="00000000">
            <w:pPr>
              <w:widowControl/>
              <w:adjustRightInd w:val="0"/>
              <w:snapToGrid w:val="0"/>
              <w:spacing w:line="240" w:lineRule="atLeast"/>
              <w:ind w:leftChars="-59" w:left="-124"/>
              <w:jc w:val="center"/>
              <w:rPr>
                <w:b/>
                <w:bCs/>
                <w:kern w:val="0"/>
              </w:rPr>
            </w:pPr>
            <w:r w:rsidRPr="000549B1">
              <w:rPr>
                <w:b/>
                <w:bCs/>
                <w:kern w:val="0"/>
              </w:rPr>
              <w:t>切吉河库区越冬场、索饵场</w:t>
            </w:r>
          </w:p>
        </w:tc>
        <w:tc>
          <w:tcPr>
            <w:tcW w:w="2427" w:type="pct"/>
            <w:tcMar>
              <w:top w:w="72" w:type="dxa"/>
              <w:left w:w="144" w:type="dxa"/>
              <w:bottom w:w="72" w:type="dxa"/>
              <w:right w:w="144" w:type="dxa"/>
            </w:tcMar>
            <w:vAlign w:val="center"/>
          </w:tcPr>
          <w:p w14:paraId="0A0B66B5" w14:textId="77777777" w:rsidR="00054437" w:rsidRPr="000549B1" w:rsidRDefault="00000000">
            <w:pPr>
              <w:widowControl/>
              <w:adjustRightInd w:val="0"/>
              <w:snapToGrid w:val="0"/>
              <w:spacing w:line="240" w:lineRule="atLeast"/>
              <w:ind w:leftChars="-59" w:left="-124" w:firstLineChars="135" w:firstLine="285"/>
              <w:jc w:val="center"/>
              <w:rPr>
                <w:b/>
                <w:bCs/>
                <w:kern w:val="0"/>
              </w:rPr>
            </w:pPr>
            <w:r w:rsidRPr="000549B1">
              <w:rPr>
                <w:b/>
                <w:bCs/>
                <w:kern w:val="0"/>
              </w:rPr>
              <w:t>库区水流静缓，水体较深，是鱼类理想的越冬场和索饵场。</w:t>
            </w:r>
          </w:p>
        </w:tc>
        <w:tc>
          <w:tcPr>
            <w:tcW w:w="1955" w:type="pct"/>
            <w:tcMar>
              <w:top w:w="72" w:type="dxa"/>
              <w:left w:w="144" w:type="dxa"/>
              <w:bottom w:w="72" w:type="dxa"/>
              <w:right w:w="144" w:type="dxa"/>
            </w:tcMar>
            <w:vAlign w:val="center"/>
          </w:tcPr>
          <w:p w14:paraId="726FDDEE" w14:textId="77777777" w:rsidR="00054437" w:rsidRPr="000549B1" w:rsidRDefault="00000000">
            <w:pPr>
              <w:widowControl/>
              <w:adjustRightInd w:val="0"/>
              <w:snapToGrid w:val="0"/>
              <w:spacing w:line="240" w:lineRule="atLeast"/>
              <w:ind w:leftChars="-59" w:left="-124" w:firstLineChars="135" w:firstLine="285"/>
              <w:jc w:val="center"/>
              <w:rPr>
                <w:b/>
                <w:bCs/>
                <w:kern w:val="0"/>
              </w:rPr>
            </w:pPr>
            <w:r w:rsidRPr="000549B1">
              <w:rPr>
                <w:b/>
                <w:bCs/>
                <w:noProof/>
              </w:rPr>
              <w:drawing>
                <wp:inline distT="0" distB="0" distL="0" distR="0" wp14:anchorId="34234636" wp14:editId="53674A56">
                  <wp:extent cx="1781810" cy="1187450"/>
                  <wp:effectExtent l="0" t="0" r="8890" b="12700"/>
                  <wp:docPr id="22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图片 9"/>
                          <pic:cNvPicPr>
                            <a:picLocks noChangeAspect="1" noChangeArrowheads="1"/>
                          </pic:cNvPicPr>
                        </pic:nvPicPr>
                        <pic:blipFill>
                          <a:blip r:embed="rId174" cstate="email">
                            <a:extLst>
                              <a:ext uri="{28A0092B-C50C-407E-A947-70E740481C1C}">
                                <a14:useLocalDpi xmlns:a14="http://schemas.microsoft.com/office/drawing/2010/main"/>
                              </a:ext>
                            </a:extLst>
                          </a:blip>
                          <a:srcRect/>
                          <a:stretch>
                            <a:fillRect/>
                          </a:stretch>
                        </pic:blipFill>
                        <pic:spPr>
                          <a:xfrm>
                            <a:off x="0" y="0"/>
                            <a:ext cx="1782000" cy="1187499"/>
                          </a:xfrm>
                          <a:prstGeom prst="rect">
                            <a:avLst/>
                          </a:prstGeom>
                          <a:noFill/>
                          <a:ln>
                            <a:noFill/>
                          </a:ln>
                        </pic:spPr>
                      </pic:pic>
                    </a:graphicData>
                  </a:graphic>
                </wp:inline>
              </w:drawing>
            </w:r>
          </w:p>
        </w:tc>
      </w:tr>
    </w:tbl>
    <w:p w14:paraId="3A04B5FF" w14:textId="189657D5" w:rsidR="00054437" w:rsidRPr="000549B1" w:rsidRDefault="00000000">
      <w:pPr>
        <w:pStyle w:val="3"/>
      </w:pPr>
      <w:bookmarkStart w:id="322" w:name="_Toc216107030"/>
      <w:bookmarkStart w:id="323" w:name="_Toc451"/>
      <w:bookmarkStart w:id="324" w:name="_Toc9144612"/>
      <w:bookmarkStart w:id="325" w:name="_Toc208583920"/>
      <w:r w:rsidRPr="000549B1">
        <w:rPr>
          <w:rFonts w:hint="eastAsia"/>
        </w:rPr>
        <w:t>小结</w:t>
      </w:r>
      <w:bookmarkEnd w:id="322"/>
    </w:p>
    <w:p w14:paraId="2DB59BCA" w14:textId="77777777" w:rsidR="00AF4186" w:rsidRPr="000549B1" w:rsidRDefault="00AF4186" w:rsidP="000549B1">
      <w:pPr>
        <w:pStyle w:val="x"/>
        <w:rPr>
          <w:lang w:bidi="en-US"/>
        </w:rPr>
      </w:pPr>
      <w:r w:rsidRPr="000549B1">
        <w:rPr>
          <w:lang w:bidi="en-US"/>
        </w:rPr>
        <w:t>2025</w:t>
      </w:r>
      <w:r w:rsidRPr="000549B1">
        <w:rPr>
          <w:rFonts w:hint="eastAsia"/>
          <w:lang w:bidi="en-US"/>
        </w:rPr>
        <w:t>年</w:t>
      </w:r>
      <w:r w:rsidRPr="000549B1">
        <w:rPr>
          <w:lang w:bidi="en-US"/>
        </w:rPr>
        <w:t>8</w:t>
      </w:r>
      <w:r w:rsidRPr="000549B1">
        <w:rPr>
          <w:rFonts w:hint="eastAsia"/>
          <w:lang w:bidi="en-US"/>
        </w:rPr>
        <w:t>月在切吉河上共检出浮游植物</w:t>
      </w:r>
      <w:r w:rsidRPr="000549B1">
        <w:rPr>
          <w:lang w:bidi="en-US"/>
        </w:rPr>
        <w:t>6</w:t>
      </w:r>
      <w:r w:rsidRPr="000549B1">
        <w:rPr>
          <w:rFonts w:hint="eastAsia"/>
          <w:lang w:bidi="en-US"/>
        </w:rPr>
        <w:t>门</w:t>
      </w:r>
      <w:r w:rsidRPr="000549B1">
        <w:rPr>
          <w:lang w:bidi="en-US"/>
        </w:rPr>
        <w:t>49</w:t>
      </w:r>
      <w:r w:rsidRPr="000549B1">
        <w:rPr>
          <w:rFonts w:hint="eastAsia"/>
          <w:lang w:bidi="en-US"/>
        </w:rPr>
        <w:t>种属，沙珠玉河</w:t>
      </w:r>
      <w:r w:rsidRPr="000549B1">
        <w:rPr>
          <w:lang w:bidi="en-US"/>
        </w:rPr>
        <w:t>3</w:t>
      </w:r>
      <w:r w:rsidRPr="000549B1">
        <w:rPr>
          <w:rFonts w:hint="eastAsia"/>
          <w:lang w:bidi="en-US"/>
        </w:rPr>
        <w:t>门</w:t>
      </w:r>
      <w:r w:rsidRPr="000549B1">
        <w:rPr>
          <w:lang w:bidi="en-US"/>
        </w:rPr>
        <w:t>31</w:t>
      </w:r>
      <w:r w:rsidRPr="000549B1">
        <w:rPr>
          <w:rFonts w:hint="eastAsia"/>
          <w:lang w:bidi="en-US"/>
        </w:rPr>
        <w:t>种属，硅藻门最多，为主要优势门类；浮游动物切吉河</w:t>
      </w:r>
      <w:r w:rsidRPr="000549B1">
        <w:rPr>
          <w:lang w:bidi="en-US"/>
        </w:rPr>
        <w:t>3</w:t>
      </w:r>
      <w:r w:rsidRPr="000549B1">
        <w:rPr>
          <w:rFonts w:hint="eastAsia"/>
          <w:lang w:bidi="en-US"/>
        </w:rPr>
        <w:t>大类</w:t>
      </w:r>
      <w:r w:rsidRPr="000549B1">
        <w:rPr>
          <w:lang w:bidi="en-US"/>
        </w:rPr>
        <w:t>8</w:t>
      </w:r>
      <w:r w:rsidRPr="000549B1">
        <w:rPr>
          <w:rFonts w:hint="eastAsia"/>
          <w:lang w:bidi="en-US"/>
        </w:rPr>
        <w:t>种属，沙珠玉河</w:t>
      </w:r>
      <w:r w:rsidRPr="000549B1">
        <w:rPr>
          <w:lang w:bidi="en-US"/>
        </w:rPr>
        <w:t>2</w:t>
      </w:r>
      <w:r w:rsidRPr="000549B1">
        <w:rPr>
          <w:rFonts w:hint="eastAsia"/>
          <w:lang w:bidi="en-US"/>
        </w:rPr>
        <w:t>大类</w:t>
      </w:r>
      <w:r w:rsidRPr="000549B1">
        <w:rPr>
          <w:lang w:bidi="en-US"/>
        </w:rPr>
        <w:t>4</w:t>
      </w:r>
      <w:r w:rsidRPr="000549B1">
        <w:rPr>
          <w:rFonts w:hint="eastAsia"/>
          <w:lang w:bidi="en-US"/>
        </w:rPr>
        <w:t>种属；底栖动物切吉河</w:t>
      </w:r>
      <w:r w:rsidRPr="000549B1">
        <w:rPr>
          <w:lang w:bidi="en-US"/>
        </w:rPr>
        <w:t>6</w:t>
      </w:r>
      <w:r w:rsidRPr="000549B1">
        <w:rPr>
          <w:rFonts w:hint="eastAsia"/>
          <w:lang w:bidi="en-US"/>
        </w:rPr>
        <w:t>种属，沙珠玉河</w:t>
      </w:r>
      <w:r w:rsidRPr="000549B1">
        <w:rPr>
          <w:lang w:bidi="en-US"/>
        </w:rPr>
        <w:t>9</w:t>
      </w:r>
      <w:r w:rsidRPr="000549B1">
        <w:rPr>
          <w:rFonts w:hint="eastAsia"/>
          <w:lang w:bidi="en-US"/>
        </w:rPr>
        <w:t>种属，昆虫纲为绝对优势类群。</w:t>
      </w:r>
    </w:p>
    <w:p w14:paraId="39A0E762" w14:textId="2B264CE1" w:rsidR="00054437" w:rsidRPr="000549B1" w:rsidRDefault="00AF4186" w:rsidP="000549B1">
      <w:pPr>
        <w:pStyle w:val="x"/>
      </w:pPr>
      <w:r w:rsidRPr="000549B1">
        <w:rPr>
          <w:lang w:bidi="en-US"/>
        </w:rPr>
        <w:t>2025</w:t>
      </w:r>
      <w:r w:rsidRPr="000549B1">
        <w:rPr>
          <w:rFonts w:hint="eastAsia"/>
          <w:lang w:bidi="en-US"/>
        </w:rPr>
        <w:t>年</w:t>
      </w:r>
      <w:r w:rsidRPr="000549B1">
        <w:rPr>
          <w:lang w:bidi="en-US"/>
        </w:rPr>
        <w:t>8</w:t>
      </w:r>
      <w:r w:rsidRPr="000549B1">
        <w:rPr>
          <w:rFonts w:hint="eastAsia"/>
          <w:lang w:bidi="en-US"/>
        </w:rPr>
        <w:t>月在切吉河、沙珠玉河共调查到鱼类</w:t>
      </w:r>
      <w:r w:rsidRPr="000549B1">
        <w:rPr>
          <w:lang w:bidi="en-US"/>
        </w:rPr>
        <w:t>1</w:t>
      </w:r>
      <w:r w:rsidRPr="000549B1">
        <w:rPr>
          <w:rFonts w:hint="eastAsia"/>
          <w:lang w:bidi="en-US"/>
        </w:rPr>
        <w:t>目</w:t>
      </w:r>
      <w:r w:rsidRPr="000549B1">
        <w:rPr>
          <w:lang w:bidi="en-US"/>
        </w:rPr>
        <w:t>2</w:t>
      </w:r>
      <w:r w:rsidRPr="000549B1">
        <w:rPr>
          <w:rFonts w:hint="eastAsia"/>
          <w:lang w:bidi="en-US"/>
        </w:rPr>
        <w:t>科</w:t>
      </w:r>
      <w:r w:rsidRPr="000549B1">
        <w:rPr>
          <w:lang w:bidi="en-US"/>
        </w:rPr>
        <w:t>5</w:t>
      </w:r>
      <w:r w:rsidRPr="000549B1">
        <w:rPr>
          <w:rFonts w:hint="eastAsia"/>
          <w:lang w:bidi="en-US"/>
        </w:rPr>
        <w:t>种，其中鲤科鱼类</w:t>
      </w:r>
      <w:r w:rsidRPr="000549B1">
        <w:rPr>
          <w:lang w:bidi="en-US"/>
        </w:rPr>
        <w:t>2</w:t>
      </w:r>
      <w:r w:rsidRPr="000549B1">
        <w:rPr>
          <w:rFonts w:hint="eastAsia"/>
          <w:lang w:bidi="en-US"/>
        </w:rPr>
        <w:t>种，鳅科鱼类</w:t>
      </w:r>
      <w:r w:rsidRPr="000549B1">
        <w:rPr>
          <w:lang w:bidi="en-US"/>
        </w:rPr>
        <w:t>3</w:t>
      </w:r>
      <w:r w:rsidRPr="000549B1">
        <w:rPr>
          <w:rFonts w:hint="eastAsia"/>
          <w:lang w:bidi="en-US"/>
        </w:rPr>
        <w:t>种。</w:t>
      </w:r>
      <w:r w:rsidRPr="000549B1">
        <w:rPr>
          <w:rFonts w:hint="eastAsia"/>
        </w:rPr>
        <w:t>根据实地调查，切吉河水库库尾河段分布有</w:t>
      </w:r>
      <w:r w:rsidRPr="000549B1">
        <w:t>1</w:t>
      </w:r>
      <w:r w:rsidRPr="000549B1">
        <w:rPr>
          <w:rFonts w:hint="eastAsia"/>
        </w:rPr>
        <w:t>处鱼类集中产卵场，适宜鱼类繁殖及幼鱼索饵；沙珠玉河流域无洄游性鱼类，沙珠玉河干流是花斑裸鲤和茶卡高原鳅的主要繁殖区，产卵场点状分布，为高原鳅和花斑裸鲤混合产卵场。</w:t>
      </w:r>
    </w:p>
    <w:p w14:paraId="29E691F3" w14:textId="4024020E" w:rsidR="00054437" w:rsidRPr="000549B1" w:rsidRDefault="00000000">
      <w:pPr>
        <w:pStyle w:val="2"/>
        <w:rPr>
          <w:rFonts w:ascii="Times New Roman" w:hAnsi="Times New Roman"/>
        </w:rPr>
      </w:pPr>
      <w:bookmarkStart w:id="326" w:name="_Toc216107031"/>
      <w:r w:rsidRPr="000549B1">
        <w:rPr>
          <w:rFonts w:ascii="Times New Roman" w:hAnsi="Times New Roman"/>
        </w:rPr>
        <w:t>流域环境影响回顾性评价</w:t>
      </w:r>
      <w:bookmarkEnd w:id="323"/>
      <w:bookmarkEnd w:id="324"/>
      <w:bookmarkEnd w:id="325"/>
      <w:bookmarkEnd w:id="326"/>
    </w:p>
    <w:p w14:paraId="45C88AFA" w14:textId="77777777" w:rsidR="00054437" w:rsidRPr="000549B1" w:rsidRDefault="00000000">
      <w:pPr>
        <w:pStyle w:val="zhang3"/>
        <w:spacing w:before="156" w:after="156"/>
      </w:pPr>
      <w:r w:rsidRPr="000549B1">
        <w:t>陆生生态影响回顾性评价</w:t>
      </w:r>
    </w:p>
    <w:p w14:paraId="398867CC" w14:textId="77777777" w:rsidR="00054437" w:rsidRPr="000549B1" w:rsidRDefault="00000000">
      <w:pPr>
        <w:pStyle w:val="4"/>
        <w:rPr>
          <w:rFonts w:ascii="Times New Roman" w:hAnsi="Times New Roman"/>
        </w:rPr>
      </w:pPr>
      <w:r w:rsidRPr="000549B1">
        <w:rPr>
          <w:rFonts w:ascii="Times New Roman" w:hAnsi="Times New Roman"/>
        </w:rPr>
        <w:t>植被及野生植物变化回顾性分析</w:t>
      </w:r>
    </w:p>
    <w:p w14:paraId="4102C1D2" w14:textId="77777777" w:rsidR="00054437" w:rsidRPr="000549B1" w:rsidRDefault="00000000">
      <w:pPr>
        <w:pStyle w:val="x"/>
      </w:pPr>
      <w:r w:rsidRPr="000549B1">
        <w:t>（</w:t>
      </w:r>
      <w:r w:rsidRPr="000549B1">
        <w:t>1</w:t>
      </w:r>
      <w:r w:rsidRPr="000549B1">
        <w:t>）植被类型变化</w:t>
      </w:r>
    </w:p>
    <w:p w14:paraId="21D25E6C" w14:textId="557E96B5" w:rsidR="00054437" w:rsidRPr="000549B1" w:rsidRDefault="00000000">
      <w:pPr>
        <w:pStyle w:val="x"/>
      </w:pPr>
      <w:r w:rsidRPr="000549B1">
        <w:t>流域内植被面积变化主要受工程占地、植被恢复、区域城乡发展及气候水文等因素的影响。本次植被面积变化重点分析最近</w:t>
      </w:r>
      <w:r w:rsidRPr="000549B1">
        <w:t>20</w:t>
      </w:r>
      <w:r w:rsidRPr="000549B1">
        <w:t>年的变化情况。通过野外调查及室内</w:t>
      </w:r>
      <w:r w:rsidRPr="000549B1">
        <w:t>ARCGIS10.8</w:t>
      </w:r>
      <w:r w:rsidRPr="000549B1">
        <w:t>软件的协助，对流域</w:t>
      </w:r>
      <w:r w:rsidRPr="000549B1">
        <w:t>2004</w:t>
      </w:r>
      <w:r w:rsidRPr="000549B1">
        <w:t>年、</w:t>
      </w:r>
      <w:r w:rsidRPr="000549B1">
        <w:t>2014</w:t>
      </w:r>
      <w:r w:rsidRPr="000549B1">
        <w:t>年和</w:t>
      </w:r>
      <w:r w:rsidRPr="000549B1">
        <w:t>2024</w:t>
      </w:r>
      <w:r w:rsidRPr="000549B1">
        <w:t>年的</w:t>
      </w:r>
      <w:r w:rsidRPr="000549B1">
        <w:t>ETM</w:t>
      </w:r>
      <w:r w:rsidRPr="000549B1">
        <w:t>遥感数据（分辨率</w:t>
      </w:r>
      <w:r w:rsidRPr="000549B1">
        <w:t>15m</w:t>
      </w:r>
      <w:r w:rsidRPr="000549B1">
        <w:t>）进行解译，可获得评价区主要植被类型的面积变化情况，详见</w:t>
      </w:r>
      <w:r w:rsidR="00F32CCA" w:rsidRPr="00F1314B">
        <w:rPr>
          <w:rFonts w:hint="eastAsia"/>
        </w:rPr>
        <w:t>表</w:t>
      </w:r>
      <w:r w:rsidR="00F32CCA" w:rsidRPr="00F1314B">
        <w:rPr>
          <w:rFonts w:hint="eastAsia"/>
        </w:rPr>
        <w:t xml:space="preserve"> </w:t>
      </w:r>
      <w:r w:rsidR="00F32CCA">
        <w:rPr>
          <w:noProof/>
        </w:rPr>
        <w:t>3.7</w:t>
      </w:r>
      <w:r w:rsidR="00F32CCA">
        <w:noBreakHyphen/>
      </w:r>
      <w:r w:rsidR="00F32CCA">
        <w:rPr>
          <w:noProof/>
        </w:rPr>
        <w:t>1</w:t>
      </w:r>
      <w:r w:rsidRPr="000549B1">
        <w:t>。</w:t>
      </w:r>
    </w:p>
    <w:p w14:paraId="1E7D1381" w14:textId="47A7AF09" w:rsidR="00054437" w:rsidRPr="00F1314B" w:rsidRDefault="00F1314B" w:rsidP="00F1314B">
      <w:pPr>
        <w:pStyle w:val="aff8"/>
      </w:pPr>
      <w:bookmarkStart w:id="327" w:name="_Ref216101038"/>
      <w:r w:rsidRPr="00F1314B">
        <w:rPr>
          <w:rFonts w:hint="eastAsia"/>
        </w:rPr>
        <w:t>表</w:t>
      </w:r>
      <w:r w:rsidRPr="00F1314B">
        <w:rPr>
          <w:rFonts w:hint="eastAsia"/>
        </w:rPr>
        <w:t xml:space="preserve"> </w:t>
      </w:r>
      <w:r w:rsidR="00372953">
        <w:fldChar w:fldCharType="begin"/>
      </w:r>
      <w:r w:rsidR="00372953">
        <w:instrText xml:space="preserve"> </w:instrText>
      </w:r>
      <w:r w:rsidR="00372953">
        <w:rPr>
          <w:rFonts w:hint="eastAsia"/>
        </w:rPr>
        <w:instrText>STYLEREF 2 \s</w:instrText>
      </w:r>
      <w:r w:rsidR="00372953">
        <w:instrText xml:space="preserve"> </w:instrText>
      </w:r>
      <w:r w:rsidR="00372953">
        <w:fldChar w:fldCharType="separate"/>
      </w:r>
      <w:r w:rsidR="00372953">
        <w:rPr>
          <w:noProof/>
        </w:rPr>
        <w:t>3.7</w:t>
      </w:r>
      <w:r w:rsidR="00372953">
        <w:fldChar w:fldCharType="end"/>
      </w:r>
      <w:r w:rsidR="00372953">
        <w:noBreakHyphen/>
      </w:r>
      <w:r w:rsidR="00372953">
        <w:fldChar w:fldCharType="begin"/>
      </w:r>
      <w:r w:rsidR="00372953">
        <w:instrText xml:space="preserve"> </w:instrText>
      </w:r>
      <w:r w:rsidR="00372953">
        <w:rPr>
          <w:rFonts w:hint="eastAsia"/>
        </w:rPr>
        <w:instrText xml:space="preserve">SEQ </w:instrText>
      </w:r>
      <w:r w:rsidR="00372953">
        <w:rPr>
          <w:rFonts w:hint="eastAsia"/>
        </w:rPr>
        <w:instrText>表</w:instrText>
      </w:r>
      <w:r w:rsidR="00372953">
        <w:rPr>
          <w:rFonts w:hint="eastAsia"/>
        </w:rPr>
        <w:instrText xml:space="preserve"> \* ARABIC \s 2</w:instrText>
      </w:r>
      <w:r w:rsidR="00372953">
        <w:instrText xml:space="preserve"> </w:instrText>
      </w:r>
      <w:r w:rsidR="00372953">
        <w:fldChar w:fldCharType="separate"/>
      </w:r>
      <w:r w:rsidR="00372953">
        <w:rPr>
          <w:noProof/>
        </w:rPr>
        <w:t>1</w:t>
      </w:r>
      <w:r w:rsidR="00372953">
        <w:fldChar w:fldCharType="end"/>
      </w:r>
      <w:bookmarkEnd w:id="327"/>
      <w:r w:rsidRPr="00F1314B">
        <w:t>评价区植被类型变化情况表</w:t>
      </w:r>
    </w:p>
    <w:tbl>
      <w:tblPr>
        <w:tblW w:w="49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7"/>
        <w:gridCol w:w="993"/>
        <w:gridCol w:w="1003"/>
        <w:gridCol w:w="993"/>
        <w:gridCol w:w="993"/>
        <w:gridCol w:w="991"/>
        <w:gridCol w:w="993"/>
        <w:gridCol w:w="866"/>
      </w:tblGrid>
      <w:tr w:rsidR="000549B1" w:rsidRPr="000549B1" w14:paraId="29B35344" w14:textId="77777777">
        <w:trPr>
          <w:cantSplit/>
          <w:trHeight w:val="425"/>
          <w:jc w:val="center"/>
        </w:trPr>
        <w:tc>
          <w:tcPr>
            <w:tcW w:w="901" w:type="pct"/>
            <w:vMerge w:val="restart"/>
            <w:tcBorders>
              <w:top w:val="single" w:sz="4" w:space="0" w:color="auto"/>
              <w:left w:val="single" w:sz="4" w:space="0" w:color="auto"/>
              <w:bottom w:val="single" w:sz="4" w:space="0" w:color="auto"/>
              <w:right w:val="single" w:sz="4" w:space="0" w:color="auto"/>
            </w:tcBorders>
            <w:vAlign w:val="center"/>
          </w:tcPr>
          <w:p w14:paraId="3F61ED2B" w14:textId="77777777" w:rsidR="00054437" w:rsidRPr="000549B1" w:rsidRDefault="00000000">
            <w:pPr>
              <w:pStyle w:val="CharCharCharCharChar"/>
              <w:rPr>
                <w:b/>
                <w:bCs/>
                <w:color w:val="auto"/>
              </w:rPr>
            </w:pPr>
            <w:r w:rsidRPr="000549B1">
              <w:rPr>
                <w:b/>
                <w:bCs/>
                <w:color w:val="auto"/>
              </w:rPr>
              <w:t>植被类型</w:t>
            </w:r>
          </w:p>
        </w:tc>
        <w:tc>
          <w:tcPr>
            <w:tcW w:w="555" w:type="pct"/>
            <w:tcBorders>
              <w:top w:val="single" w:sz="4" w:space="0" w:color="auto"/>
              <w:left w:val="single" w:sz="4" w:space="0" w:color="auto"/>
              <w:bottom w:val="single" w:sz="4" w:space="0" w:color="auto"/>
              <w:right w:val="single" w:sz="4" w:space="0" w:color="auto"/>
            </w:tcBorders>
            <w:vAlign w:val="center"/>
          </w:tcPr>
          <w:p w14:paraId="2AD45208" w14:textId="77777777" w:rsidR="00054437" w:rsidRPr="000549B1" w:rsidRDefault="00000000">
            <w:pPr>
              <w:pStyle w:val="CharCharCharCharChar"/>
              <w:rPr>
                <w:b/>
                <w:bCs/>
                <w:color w:val="auto"/>
              </w:rPr>
            </w:pPr>
            <w:r w:rsidRPr="000549B1">
              <w:rPr>
                <w:b/>
                <w:bCs/>
                <w:color w:val="auto"/>
              </w:rPr>
              <w:t>2004</w:t>
            </w:r>
            <w:r w:rsidRPr="000549B1">
              <w:rPr>
                <w:b/>
                <w:bCs/>
                <w:color w:val="auto"/>
              </w:rPr>
              <w:t>年</w:t>
            </w:r>
          </w:p>
        </w:tc>
        <w:tc>
          <w:tcPr>
            <w:tcW w:w="628" w:type="pct"/>
            <w:tcBorders>
              <w:top w:val="single" w:sz="4" w:space="0" w:color="auto"/>
              <w:left w:val="single" w:sz="4" w:space="0" w:color="auto"/>
              <w:bottom w:val="single" w:sz="4" w:space="0" w:color="auto"/>
              <w:right w:val="single" w:sz="4" w:space="0" w:color="auto"/>
            </w:tcBorders>
            <w:vAlign w:val="center"/>
          </w:tcPr>
          <w:p w14:paraId="2E5BB45B" w14:textId="77777777" w:rsidR="00054437" w:rsidRPr="000549B1" w:rsidRDefault="00000000">
            <w:pPr>
              <w:pStyle w:val="CharCharCharCharChar"/>
              <w:rPr>
                <w:b/>
                <w:bCs/>
                <w:color w:val="auto"/>
              </w:rPr>
            </w:pPr>
            <w:r w:rsidRPr="000549B1">
              <w:rPr>
                <w:b/>
                <w:bCs/>
                <w:color w:val="auto"/>
              </w:rPr>
              <w:t>2014</w:t>
            </w:r>
            <w:r w:rsidRPr="000549B1">
              <w:rPr>
                <w:b/>
                <w:bCs/>
                <w:color w:val="auto"/>
              </w:rPr>
              <w:t>年</w:t>
            </w:r>
          </w:p>
        </w:tc>
        <w:tc>
          <w:tcPr>
            <w:tcW w:w="546" w:type="pct"/>
            <w:tcBorders>
              <w:top w:val="single" w:sz="4" w:space="0" w:color="auto"/>
              <w:left w:val="single" w:sz="4" w:space="0" w:color="auto"/>
              <w:bottom w:val="single" w:sz="4" w:space="0" w:color="auto"/>
              <w:right w:val="single" w:sz="4" w:space="0" w:color="auto"/>
            </w:tcBorders>
            <w:vAlign w:val="center"/>
          </w:tcPr>
          <w:p w14:paraId="0F22CA6C" w14:textId="77777777" w:rsidR="00054437" w:rsidRPr="000549B1" w:rsidRDefault="00000000">
            <w:pPr>
              <w:pStyle w:val="CharCharCharCharChar"/>
              <w:rPr>
                <w:b/>
                <w:bCs/>
                <w:color w:val="auto"/>
              </w:rPr>
            </w:pPr>
            <w:r w:rsidRPr="000549B1">
              <w:rPr>
                <w:b/>
                <w:bCs/>
                <w:color w:val="auto"/>
              </w:rPr>
              <w:t>2024</w:t>
            </w:r>
            <w:r w:rsidRPr="000549B1">
              <w:rPr>
                <w:b/>
                <w:bCs/>
                <w:color w:val="auto"/>
              </w:rPr>
              <w:t>年</w:t>
            </w:r>
          </w:p>
        </w:tc>
        <w:tc>
          <w:tcPr>
            <w:tcW w:w="1201" w:type="pct"/>
            <w:gridSpan w:val="2"/>
            <w:tcBorders>
              <w:top w:val="single" w:sz="4" w:space="0" w:color="auto"/>
              <w:left w:val="single" w:sz="4" w:space="0" w:color="auto"/>
              <w:bottom w:val="single" w:sz="4" w:space="0" w:color="auto"/>
              <w:right w:val="single" w:sz="4" w:space="0" w:color="auto"/>
            </w:tcBorders>
            <w:vAlign w:val="center"/>
          </w:tcPr>
          <w:p w14:paraId="44BC5006" w14:textId="77777777" w:rsidR="00054437" w:rsidRPr="000549B1" w:rsidRDefault="00000000">
            <w:pPr>
              <w:pStyle w:val="CharCharCharCharChar"/>
              <w:rPr>
                <w:b/>
                <w:bCs/>
                <w:color w:val="auto"/>
              </w:rPr>
            </w:pPr>
            <w:r w:rsidRPr="000549B1">
              <w:rPr>
                <w:b/>
                <w:bCs/>
                <w:color w:val="auto"/>
              </w:rPr>
              <w:t>2004-2014</w:t>
            </w:r>
            <w:r w:rsidRPr="000549B1">
              <w:rPr>
                <w:b/>
                <w:bCs/>
                <w:color w:val="auto"/>
              </w:rPr>
              <w:t>年变化</w:t>
            </w:r>
          </w:p>
        </w:tc>
        <w:tc>
          <w:tcPr>
            <w:tcW w:w="1166" w:type="pct"/>
            <w:gridSpan w:val="2"/>
            <w:tcBorders>
              <w:top w:val="single" w:sz="4" w:space="0" w:color="auto"/>
              <w:left w:val="single" w:sz="4" w:space="0" w:color="auto"/>
              <w:bottom w:val="single" w:sz="4" w:space="0" w:color="auto"/>
              <w:right w:val="single" w:sz="4" w:space="0" w:color="auto"/>
            </w:tcBorders>
            <w:vAlign w:val="center"/>
          </w:tcPr>
          <w:p w14:paraId="0756D844" w14:textId="77777777" w:rsidR="00054437" w:rsidRPr="000549B1" w:rsidRDefault="00000000">
            <w:pPr>
              <w:pStyle w:val="CharCharCharCharChar"/>
              <w:rPr>
                <w:b/>
                <w:bCs/>
                <w:color w:val="auto"/>
              </w:rPr>
            </w:pPr>
            <w:r w:rsidRPr="000549B1">
              <w:rPr>
                <w:b/>
                <w:bCs/>
                <w:color w:val="auto"/>
              </w:rPr>
              <w:t>2014-2024</w:t>
            </w:r>
            <w:r w:rsidRPr="000549B1">
              <w:rPr>
                <w:b/>
                <w:bCs/>
                <w:color w:val="auto"/>
              </w:rPr>
              <w:t>年变化</w:t>
            </w:r>
          </w:p>
        </w:tc>
      </w:tr>
      <w:tr w:rsidR="000549B1" w:rsidRPr="000549B1" w14:paraId="34BB9A90" w14:textId="77777777">
        <w:trPr>
          <w:cantSplit/>
          <w:trHeight w:val="544"/>
          <w:jc w:val="center"/>
        </w:trPr>
        <w:tc>
          <w:tcPr>
            <w:tcW w:w="901" w:type="pct"/>
            <w:vMerge/>
            <w:tcBorders>
              <w:top w:val="single" w:sz="4" w:space="0" w:color="auto"/>
              <w:left w:val="single" w:sz="4" w:space="0" w:color="auto"/>
              <w:bottom w:val="single" w:sz="4" w:space="0" w:color="auto"/>
              <w:right w:val="single" w:sz="4" w:space="0" w:color="auto"/>
            </w:tcBorders>
            <w:vAlign w:val="center"/>
          </w:tcPr>
          <w:p w14:paraId="5F8E11C5" w14:textId="77777777" w:rsidR="00054437" w:rsidRPr="000549B1" w:rsidRDefault="00054437">
            <w:pPr>
              <w:pStyle w:val="CharCharCharCharChar"/>
              <w:rPr>
                <w:b/>
                <w:bCs/>
                <w:color w:val="auto"/>
              </w:rPr>
            </w:pPr>
          </w:p>
        </w:tc>
        <w:tc>
          <w:tcPr>
            <w:tcW w:w="555" w:type="pct"/>
            <w:tcBorders>
              <w:top w:val="single" w:sz="4" w:space="0" w:color="auto"/>
              <w:left w:val="single" w:sz="4" w:space="0" w:color="auto"/>
              <w:bottom w:val="single" w:sz="4" w:space="0" w:color="auto"/>
              <w:right w:val="single" w:sz="4" w:space="0" w:color="auto"/>
            </w:tcBorders>
            <w:vAlign w:val="center"/>
          </w:tcPr>
          <w:p w14:paraId="684CAA00" w14:textId="77777777" w:rsidR="00054437" w:rsidRPr="000549B1" w:rsidRDefault="00000000">
            <w:pPr>
              <w:pStyle w:val="CharCharCharCharChar"/>
              <w:rPr>
                <w:b/>
                <w:bCs/>
                <w:color w:val="auto"/>
              </w:rPr>
            </w:pPr>
            <w:r w:rsidRPr="000549B1">
              <w:rPr>
                <w:b/>
                <w:bCs/>
                <w:color w:val="auto"/>
              </w:rPr>
              <w:t>面积（</w:t>
            </w:r>
            <w:r w:rsidRPr="000549B1">
              <w:rPr>
                <w:b/>
                <w:bCs/>
                <w:color w:val="auto"/>
              </w:rPr>
              <w:t>km²</w:t>
            </w:r>
            <w:r w:rsidRPr="000549B1">
              <w:rPr>
                <w:b/>
                <w:bCs/>
                <w:color w:val="auto"/>
              </w:rPr>
              <w:t>）</w:t>
            </w:r>
          </w:p>
        </w:tc>
        <w:tc>
          <w:tcPr>
            <w:tcW w:w="628" w:type="pct"/>
            <w:tcBorders>
              <w:top w:val="single" w:sz="4" w:space="0" w:color="auto"/>
              <w:left w:val="single" w:sz="4" w:space="0" w:color="auto"/>
              <w:bottom w:val="single" w:sz="4" w:space="0" w:color="auto"/>
              <w:right w:val="single" w:sz="4" w:space="0" w:color="auto"/>
            </w:tcBorders>
            <w:vAlign w:val="center"/>
          </w:tcPr>
          <w:p w14:paraId="6022B05E" w14:textId="77777777" w:rsidR="00054437" w:rsidRPr="000549B1" w:rsidRDefault="00000000">
            <w:pPr>
              <w:pStyle w:val="CharCharCharCharChar"/>
              <w:rPr>
                <w:b/>
                <w:bCs/>
                <w:color w:val="auto"/>
              </w:rPr>
            </w:pPr>
            <w:r w:rsidRPr="000549B1">
              <w:rPr>
                <w:b/>
                <w:bCs/>
                <w:color w:val="auto"/>
              </w:rPr>
              <w:t>面积（</w:t>
            </w:r>
            <w:r w:rsidRPr="000549B1">
              <w:rPr>
                <w:b/>
                <w:bCs/>
                <w:color w:val="auto"/>
              </w:rPr>
              <w:t>km²</w:t>
            </w:r>
            <w:r w:rsidRPr="000549B1">
              <w:rPr>
                <w:b/>
                <w:bCs/>
                <w:color w:val="auto"/>
              </w:rPr>
              <w:t>）</w:t>
            </w:r>
          </w:p>
        </w:tc>
        <w:tc>
          <w:tcPr>
            <w:tcW w:w="546" w:type="pct"/>
            <w:tcBorders>
              <w:top w:val="single" w:sz="4" w:space="0" w:color="auto"/>
              <w:left w:val="single" w:sz="4" w:space="0" w:color="auto"/>
              <w:bottom w:val="single" w:sz="4" w:space="0" w:color="auto"/>
              <w:right w:val="single" w:sz="4" w:space="0" w:color="auto"/>
            </w:tcBorders>
            <w:vAlign w:val="center"/>
          </w:tcPr>
          <w:p w14:paraId="2DD4F558" w14:textId="77777777" w:rsidR="00054437" w:rsidRPr="000549B1" w:rsidRDefault="00000000">
            <w:pPr>
              <w:pStyle w:val="CharCharCharCharChar"/>
              <w:rPr>
                <w:b/>
                <w:bCs/>
                <w:color w:val="auto"/>
              </w:rPr>
            </w:pPr>
            <w:r w:rsidRPr="000549B1">
              <w:rPr>
                <w:b/>
                <w:bCs/>
                <w:color w:val="auto"/>
              </w:rPr>
              <w:t>面积（</w:t>
            </w:r>
            <w:r w:rsidRPr="000549B1">
              <w:rPr>
                <w:b/>
                <w:bCs/>
                <w:color w:val="auto"/>
              </w:rPr>
              <w:t>km²</w:t>
            </w:r>
            <w:r w:rsidRPr="000549B1">
              <w:rPr>
                <w:b/>
                <w:bCs/>
                <w:color w:val="auto"/>
              </w:rPr>
              <w:t>）</w:t>
            </w:r>
          </w:p>
        </w:tc>
        <w:tc>
          <w:tcPr>
            <w:tcW w:w="580" w:type="pct"/>
            <w:tcBorders>
              <w:top w:val="single" w:sz="4" w:space="0" w:color="auto"/>
              <w:left w:val="single" w:sz="4" w:space="0" w:color="auto"/>
              <w:bottom w:val="single" w:sz="4" w:space="0" w:color="auto"/>
              <w:right w:val="single" w:sz="4" w:space="0" w:color="auto"/>
            </w:tcBorders>
            <w:vAlign w:val="center"/>
          </w:tcPr>
          <w:p w14:paraId="5DD4F9B9" w14:textId="77777777" w:rsidR="00054437" w:rsidRPr="000549B1" w:rsidRDefault="00000000">
            <w:pPr>
              <w:pStyle w:val="CharCharCharCharChar"/>
              <w:rPr>
                <w:b/>
                <w:bCs/>
                <w:color w:val="auto"/>
              </w:rPr>
            </w:pPr>
            <w:r w:rsidRPr="000549B1">
              <w:rPr>
                <w:b/>
                <w:bCs/>
                <w:color w:val="auto"/>
              </w:rPr>
              <w:t>面积（</w:t>
            </w:r>
            <w:r w:rsidRPr="000549B1">
              <w:rPr>
                <w:b/>
                <w:bCs/>
                <w:color w:val="auto"/>
              </w:rPr>
              <w:t>km²</w:t>
            </w:r>
            <w:r w:rsidRPr="000549B1">
              <w:rPr>
                <w:b/>
                <w:bCs/>
                <w:color w:val="auto"/>
              </w:rPr>
              <w:t>）</w:t>
            </w:r>
          </w:p>
        </w:tc>
        <w:tc>
          <w:tcPr>
            <w:tcW w:w="621" w:type="pct"/>
            <w:tcBorders>
              <w:top w:val="single" w:sz="4" w:space="0" w:color="auto"/>
              <w:left w:val="single" w:sz="4" w:space="0" w:color="auto"/>
              <w:bottom w:val="single" w:sz="4" w:space="0" w:color="auto"/>
              <w:right w:val="single" w:sz="4" w:space="0" w:color="auto"/>
            </w:tcBorders>
            <w:vAlign w:val="center"/>
          </w:tcPr>
          <w:p w14:paraId="4E7D165B" w14:textId="77777777" w:rsidR="00054437" w:rsidRPr="000549B1" w:rsidRDefault="00000000">
            <w:pPr>
              <w:pStyle w:val="CharCharCharCharChar"/>
              <w:rPr>
                <w:b/>
                <w:bCs/>
                <w:color w:val="auto"/>
              </w:rPr>
            </w:pPr>
            <w:r w:rsidRPr="000549B1">
              <w:rPr>
                <w:b/>
                <w:bCs/>
                <w:color w:val="auto"/>
              </w:rPr>
              <w:t>变化率（</w:t>
            </w:r>
            <w:r w:rsidRPr="000549B1">
              <w:rPr>
                <w:b/>
                <w:bCs/>
                <w:color w:val="auto"/>
              </w:rPr>
              <w:t>%</w:t>
            </w:r>
            <w:r w:rsidRPr="000549B1">
              <w:rPr>
                <w:b/>
                <w:bCs/>
                <w:color w:val="auto"/>
              </w:rPr>
              <w:t>）</w:t>
            </w:r>
          </w:p>
        </w:tc>
        <w:tc>
          <w:tcPr>
            <w:tcW w:w="606" w:type="pct"/>
            <w:tcBorders>
              <w:top w:val="single" w:sz="4" w:space="0" w:color="auto"/>
              <w:left w:val="single" w:sz="4" w:space="0" w:color="auto"/>
              <w:bottom w:val="single" w:sz="4" w:space="0" w:color="auto"/>
              <w:right w:val="single" w:sz="4" w:space="0" w:color="auto"/>
            </w:tcBorders>
            <w:vAlign w:val="center"/>
          </w:tcPr>
          <w:p w14:paraId="2FCF8D55" w14:textId="77777777" w:rsidR="00054437" w:rsidRPr="000549B1" w:rsidRDefault="00000000">
            <w:pPr>
              <w:pStyle w:val="CharCharCharCharChar"/>
              <w:rPr>
                <w:b/>
                <w:bCs/>
                <w:color w:val="auto"/>
              </w:rPr>
            </w:pPr>
            <w:r w:rsidRPr="000549B1">
              <w:rPr>
                <w:b/>
                <w:bCs/>
                <w:color w:val="auto"/>
              </w:rPr>
              <w:t>面积（</w:t>
            </w:r>
            <w:r w:rsidRPr="000549B1">
              <w:rPr>
                <w:b/>
                <w:bCs/>
                <w:color w:val="auto"/>
              </w:rPr>
              <w:t>km²</w:t>
            </w:r>
            <w:r w:rsidRPr="000549B1">
              <w:rPr>
                <w:b/>
                <w:bCs/>
                <w:color w:val="auto"/>
              </w:rPr>
              <w:t>）</w:t>
            </w:r>
          </w:p>
        </w:tc>
        <w:tc>
          <w:tcPr>
            <w:tcW w:w="560" w:type="pct"/>
            <w:tcBorders>
              <w:top w:val="single" w:sz="4" w:space="0" w:color="auto"/>
              <w:left w:val="single" w:sz="4" w:space="0" w:color="auto"/>
              <w:bottom w:val="single" w:sz="4" w:space="0" w:color="auto"/>
              <w:right w:val="single" w:sz="4" w:space="0" w:color="auto"/>
            </w:tcBorders>
            <w:vAlign w:val="center"/>
          </w:tcPr>
          <w:p w14:paraId="486DBB6A" w14:textId="77777777" w:rsidR="00054437" w:rsidRPr="000549B1" w:rsidRDefault="00000000">
            <w:pPr>
              <w:pStyle w:val="CharCharCharCharChar"/>
              <w:rPr>
                <w:b/>
                <w:bCs/>
                <w:color w:val="auto"/>
              </w:rPr>
            </w:pPr>
            <w:r w:rsidRPr="000549B1">
              <w:rPr>
                <w:b/>
                <w:bCs/>
                <w:color w:val="auto"/>
              </w:rPr>
              <w:t>变化率（</w:t>
            </w:r>
            <w:r w:rsidRPr="000549B1">
              <w:rPr>
                <w:b/>
                <w:bCs/>
                <w:color w:val="auto"/>
              </w:rPr>
              <w:t>%</w:t>
            </w:r>
            <w:r w:rsidRPr="000549B1">
              <w:rPr>
                <w:b/>
                <w:bCs/>
                <w:color w:val="auto"/>
              </w:rPr>
              <w:t>）</w:t>
            </w:r>
          </w:p>
        </w:tc>
      </w:tr>
      <w:tr w:rsidR="000549B1" w:rsidRPr="000549B1" w14:paraId="325EC403" w14:textId="77777777">
        <w:trPr>
          <w:cantSplit/>
          <w:trHeight w:val="409"/>
          <w:jc w:val="center"/>
        </w:trPr>
        <w:tc>
          <w:tcPr>
            <w:tcW w:w="901" w:type="pct"/>
            <w:tcBorders>
              <w:top w:val="single" w:sz="4" w:space="0" w:color="auto"/>
              <w:left w:val="single" w:sz="4" w:space="0" w:color="auto"/>
              <w:bottom w:val="single" w:sz="4" w:space="0" w:color="auto"/>
              <w:right w:val="single" w:sz="4" w:space="0" w:color="auto"/>
            </w:tcBorders>
            <w:vAlign w:val="center"/>
          </w:tcPr>
          <w:p w14:paraId="1C2563FA" w14:textId="77777777" w:rsidR="00054437" w:rsidRPr="000549B1" w:rsidRDefault="00000000">
            <w:pPr>
              <w:pStyle w:val="CharCharCharCharChar"/>
              <w:rPr>
                <w:color w:val="auto"/>
              </w:rPr>
            </w:pPr>
            <w:r w:rsidRPr="000549B1">
              <w:rPr>
                <w:color w:val="auto"/>
              </w:rPr>
              <w:t>阔叶林</w:t>
            </w:r>
          </w:p>
        </w:tc>
        <w:tc>
          <w:tcPr>
            <w:tcW w:w="555" w:type="pct"/>
            <w:tcBorders>
              <w:top w:val="single" w:sz="4" w:space="0" w:color="auto"/>
              <w:left w:val="single" w:sz="4" w:space="0" w:color="auto"/>
              <w:bottom w:val="single" w:sz="4" w:space="0" w:color="auto"/>
              <w:right w:val="single" w:sz="4" w:space="0" w:color="auto"/>
            </w:tcBorders>
            <w:vAlign w:val="center"/>
          </w:tcPr>
          <w:p w14:paraId="6179233E" w14:textId="77777777" w:rsidR="00054437" w:rsidRPr="000549B1" w:rsidRDefault="00000000">
            <w:pPr>
              <w:pStyle w:val="CharCharCharCharChar"/>
              <w:rPr>
                <w:color w:val="auto"/>
              </w:rPr>
            </w:pPr>
            <w:r w:rsidRPr="000549B1">
              <w:rPr>
                <w:color w:val="auto"/>
              </w:rPr>
              <w:t>38.35</w:t>
            </w:r>
          </w:p>
        </w:tc>
        <w:tc>
          <w:tcPr>
            <w:tcW w:w="628" w:type="pct"/>
            <w:tcBorders>
              <w:top w:val="single" w:sz="4" w:space="0" w:color="auto"/>
              <w:left w:val="single" w:sz="4" w:space="0" w:color="auto"/>
              <w:bottom w:val="single" w:sz="4" w:space="0" w:color="auto"/>
              <w:right w:val="single" w:sz="4" w:space="0" w:color="auto"/>
            </w:tcBorders>
            <w:vAlign w:val="center"/>
          </w:tcPr>
          <w:p w14:paraId="7F49EEEA" w14:textId="77777777" w:rsidR="00054437" w:rsidRPr="000549B1" w:rsidRDefault="00000000">
            <w:pPr>
              <w:pStyle w:val="CharCharCharCharChar"/>
              <w:rPr>
                <w:color w:val="auto"/>
              </w:rPr>
            </w:pPr>
            <w:r w:rsidRPr="000549B1">
              <w:rPr>
                <w:color w:val="auto"/>
              </w:rPr>
              <w:t>32.00</w:t>
            </w:r>
          </w:p>
        </w:tc>
        <w:tc>
          <w:tcPr>
            <w:tcW w:w="546" w:type="pct"/>
            <w:tcBorders>
              <w:top w:val="single" w:sz="4" w:space="0" w:color="auto"/>
              <w:left w:val="single" w:sz="4" w:space="0" w:color="auto"/>
              <w:bottom w:val="single" w:sz="4" w:space="0" w:color="auto"/>
              <w:right w:val="single" w:sz="4" w:space="0" w:color="auto"/>
            </w:tcBorders>
            <w:vAlign w:val="center"/>
          </w:tcPr>
          <w:p w14:paraId="525F8EB4" w14:textId="77777777" w:rsidR="00054437" w:rsidRPr="000549B1" w:rsidRDefault="00000000">
            <w:pPr>
              <w:pStyle w:val="CharCharCharCharChar"/>
              <w:rPr>
                <w:color w:val="auto"/>
              </w:rPr>
            </w:pPr>
            <w:r w:rsidRPr="000549B1">
              <w:rPr>
                <w:color w:val="auto"/>
              </w:rPr>
              <w:t>30.12</w:t>
            </w:r>
          </w:p>
        </w:tc>
        <w:tc>
          <w:tcPr>
            <w:tcW w:w="580" w:type="pct"/>
            <w:tcBorders>
              <w:top w:val="single" w:sz="4" w:space="0" w:color="auto"/>
              <w:left w:val="single" w:sz="4" w:space="0" w:color="auto"/>
              <w:bottom w:val="single" w:sz="4" w:space="0" w:color="auto"/>
              <w:right w:val="single" w:sz="4" w:space="0" w:color="auto"/>
            </w:tcBorders>
            <w:vAlign w:val="center"/>
          </w:tcPr>
          <w:p w14:paraId="36F2676F" w14:textId="77777777" w:rsidR="00054437" w:rsidRPr="000549B1" w:rsidRDefault="00000000">
            <w:pPr>
              <w:pStyle w:val="CharCharCharCharChar"/>
              <w:rPr>
                <w:color w:val="auto"/>
              </w:rPr>
            </w:pPr>
            <w:r w:rsidRPr="000549B1">
              <w:rPr>
                <w:color w:val="auto"/>
              </w:rPr>
              <w:t>-6.35</w:t>
            </w:r>
          </w:p>
        </w:tc>
        <w:tc>
          <w:tcPr>
            <w:tcW w:w="621" w:type="pct"/>
            <w:tcBorders>
              <w:top w:val="single" w:sz="4" w:space="0" w:color="auto"/>
              <w:left w:val="single" w:sz="4" w:space="0" w:color="auto"/>
              <w:bottom w:val="single" w:sz="4" w:space="0" w:color="auto"/>
              <w:right w:val="single" w:sz="4" w:space="0" w:color="auto"/>
            </w:tcBorders>
            <w:vAlign w:val="center"/>
          </w:tcPr>
          <w:p w14:paraId="0C76D136" w14:textId="77777777" w:rsidR="00054437" w:rsidRPr="000549B1" w:rsidRDefault="00000000">
            <w:pPr>
              <w:pStyle w:val="CharCharCharCharChar"/>
              <w:rPr>
                <w:color w:val="auto"/>
              </w:rPr>
            </w:pPr>
            <w:r w:rsidRPr="000549B1">
              <w:rPr>
                <w:color w:val="auto"/>
              </w:rPr>
              <w:t>-16.56</w:t>
            </w:r>
          </w:p>
        </w:tc>
        <w:tc>
          <w:tcPr>
            <w:tcW w:w="606" w:type="pct"/>
            <w:tcBorders>
              <w:top w:val="single" w:sz="4" w:space="0" w:color="auto"/>
              <w:left w:val="single" w:sz="4" w:space="0" w:color="auto"/>
              <w:bottom w:val="single" w:sz="4" w:space="0" w:color="auto"/>
              <w:right w:val="single" w:sz="4" w:space="0" w:color="auto"/>
            </w:tcBorders>
            <w:vAlign w:val="center"/>
          </w:tcPr>
          <w:p w14:paraId="4544CDD2" w14:textId="77777777" w:rsidR="00054437" w:rsidRPr="000549B1" w:rsidRDefault="00000000">
            <w:pPr>
              <w:pStyle w:val="CharCharCharCharChar"/>
              <w:rPr>
                <w:color w:val="auto"/>
              </w:rPr>
            </w:pPr>
            <w:r w:rsidRPr="000549B1">
              <w:rPr>
                <w:color w:val="auto"/>
              </w:rPr>
              <w:t>-1.88</w:t>
            </w:r>
          </w:p>
        </w:tc>
        <w:tc>
          <w:tcPr>
            <w:tcW w:w="560" w:type="pct"/>
            <w:tcBorders>
              <w:top w:val="single" w:sz="4" w:space="0" w:color="auto"/>
              <w:left w:val="single" w:sz="4" w:space="0" w:color="auto"/>
              <w:bottom w:val="single" w:sz="4" w:space="0" w:color="auto"/>
              <w:right w:val="single" w:sz="4" w:space="0" w:color="auto"/>
            </w:tcBorders>
            <w:vAlign w:val="center"/>
          </w:tcPr>
          <w:p w14:paraId="7B98DCE2" w14:textId="77777777" w:rsidR="00054437" w:rsidRPr="000549B1" w:rsidRDefault="00000000">
            <w:pPr>
              <w:pStyle w:val="CharCharCharCharChar"/>
              <w:rPr>
                <w:color w:val="auto"/>
              </w:rPr>
            </w:pPr>
            <w:r w:rsidRPr="000549B1">
              <w:rPr>
                <w:color w:val="auto"/>
              </w:rPr>
              <w:t>-5.88</w:t>
            </w:r>
          </w:p>
        </w:tc>
      </w:tr>
      <w:tr w:rsidR="000549B1" w:rsidRPr="000549B1" w14:paraId="26130B24" w14:textId="77777777">
        <w:trPr>
          <w:cantSplit/>
          <w:trHeight w:val="382"/>
          <w:jc w:val="center"/>
        </w:trPr>
        <w:tc>
          <w:tcPr>
            <w:tcW w:w="901" w:type="pct"/>
            <w:tcBorders>
              <w:top w:val="single" w:sz="4" w:space="0" w:color="auto"/>
              <w:left w:val="single" w:sz="4" w:space="0" w:color="auto"/>
              <w:bottom w:val="single" w:sz="4" w:space="0" w:color="auto"/>
              <w:right w:val="single" w:sz="4" w:space="0" w:color="auto"/>
            </w:tcBorders>
            <w:vAlign w:val="center"/>
          </w:tcPr>
          <w:p w14:paraId="78926EF1" w14:textId="77777777" w:rsidR="00054437" w:rsidRPr="000549B1" w:rsidRDefault="00000000">
            <w:pPr>
              <w:pStyle w:val="CharCharCharCharChar"/>
              <w:rPr>
                <w:color w:val="auto"/>
              </w:rPr>
            </w:pPr>
            <w:r w:rsidRPr="000549B1">
              <w:rPr>
                <w:color w:val="auto"/>
              </w:rPr>
              <w:t>灌丛</w:t>
            </w:r>
          </w:p>
        </w:tc>
        <w:tc>
          <w:tcPr>
            <w:tcW w:w="555" w:type="pct"/>
            <w:tcBorders>
              <w:top w:val="single" w:sz="4" w:space="0" w:color="auto"/>
              <w:left w:val="single" w:sz="4" w:space="0" w:color="auto"/>
              <w:bottom w:val="single" w:sz="4" w:space="0" w:color="auto"/>
              <w:right w:val="single" w:sz="4" w:space="0" w:color="auto"/>
            </w:tcBorders>
            <w:vAlign w:val="center"/>
          </w:tcPr>
          <w:p w14:paraId="24B71B2C" w14:textId="77777777" w:rsidR="00054437" w:rsidRPr="000549B1" w:rsidRDefault="00000000">
            <w:pPr>
              <w:pStyle w:val="CharCharCharCharChar"/>
              <w:rPr>
                <w:color w:val="auto"/>
              </w:rPr>
            </w:pPr>
            <w:r w:rsidRPr="000549B1">
              <w:rPr>
                <w:color w:val="auto"/>
              </w:rPr>
              <w:t>50.25</w:t>
            </w:r>
          </w:p>
        </w:tc>
        <w:tc>
          <w:tcPr>
            <w:tcW w:w="628" w:type="pct"/>
            <w:tcBorders>
              <w:top w:val="single" w:sz="4" w:space="0" w:color="auto"/>
              <w:left w:val="single" w:sz="4" w:space="0" w:color="auto"/>
              <w:bottom w:val="single" w:sz="4" w:space="0" w:color="auto"/>
              <w:right w:val="single" w:sz="4" w:space="0" w:color="auto"/>
            </w:tcBorders>
            <w:vAlign w:val="center"/>
          </w:tcPr>
          <w:p w14:paraId="1F9A3822" w14:textId="77777777" w:rsidR="00054437" w:rsidRPr="000549B1" w:rsidRDefault="00000000">
            <w:pPr>
              <w:pStyle w:val="CharCharCharCharChar"/>
              <w:rPr>
                <w:color w:val="auto"/>
              </w:rPr>
            </w:pPr>
            <w:r w:rsidRPr="000549B1">
              <w:rPr>
                <w:color w:val="auto"/>
              </w:rPr>
              <w:t>44.20</w:t>
            </w:r>
          </w:p>
        </w:tc>
        <w:tc>
          <w:tcPr>
            <w:tcW w:w="546" w:type="pct"/>
            <w:tcBorders>
              <w:top w:val="single" w:sz="4" w:space="0" w:color="auto"/>
              <w:left w:val="single" w:sz="4" w:space="0" w:color="auto"/>
              <w:bottom w:val="single" w:sz="4" w:space="0" w:color="auto"/>
              <w:right w:val="single" w:sz="4" w:space="0" w:color="auto"/>
            </w:tcBorders>
            <w:vAlign w:val="center"/>
          </w:tcPr>
          <w:p w14:paraId="7A683F53" w14:textId="77777777" w:rsidR="00054437" w:rsidRPr="000549B1" w:rsidRDefault="00000000">
            <w:pPr>
              <w:pStyle w:val="CharCharCharCharChar"/>
              <w:rPr>
                <w:color w:val="auto"/>
              </w:rPr>
            </w:pPr>
            <w:r w:rsidRPr="000549B1">
              <w:rPr>
                <w:color w:val="auto"/>
              </w:rPr>
              <w:t>52.58</w:t>
            </w:r>
          </w:p>
        </w:tc>
        <w:tc>
          <w:tcPr>
            <w:tcW w:w="580" w:type="pct"/>
            <w:tcBorders>
              <w:top w:val="single" w:sz="4" w:space="0" w:color="auto"/>
              <w:left w:val="single" w:sz="4" w:space="0" w:color="auto"/>
              <w:bottom w:val="single" w:sz="4" w:space="0" w:color="auto"/>
              <w:right w:val="single" w:sz="4" w:space="0" w:color="auto"/>
            </w:tcBorders>
            <w:vAlign w:val="center"/>
          </w:tcPr>
          <w:p w14:paraId="0C523E3A" w14:textId="77777777" w:rsidR="00054437" w:rsidRPr="000549B1" w:rsidRDefault="00000000">
            <w:pPr>
              <w:pStyle w:val="CharCharCharCharChar"/>
              <w:rPr>
                <w:color w:val="auto"/>
              </w:rPr>
            </w:pPr>
            <w:r w:rsidRPr="000549B1">
              <w:rPr>
                <w:color w:val="auto"/>
              </w:rPr>
              <w:t>-6.05</w:t>
            </w:r>
          </w:p>
        </w:tc>
        <w:tc>
          <w:tcPr>
            <w:tcW w:w="621" w:type="pct"/>
            <w:tcBorders>
              <w:top w:val="single" w:sz="4" w:space="0" w:color="auto"/>
              <w:left w:val="single" w:sz="4" w:space="0" w:color="auto"/>
              <w:bottom w:val="single" w:sz="4" w:space="0" w:color="auto"/>
              <w:right w:val="single" w:sz="4" w:space="0" w:color="auto"/>
            </w:tcBorders>
            <w:vAlign w:val="center"/>
          </w:tcPr>
          <w:p w14:paraId="4A2A0046" w14:textId="77777777" w:rsidR="00054437" w:rsidRPr="000549B1" w:rsidRDefault="00000000">
            <w:pPr>
              <w:pStyle w:val="CharCharCharCharChar"/>
              <w:rPr>
                <w:color w:val="auto"/>
              </w:rPr>
            </w:pPr>
            <w:r w:rsidRPr="000549B1">
              <w:rPr>
                <w:color w:val="auto"/>
              </w:rPr>
              <w:t>-12.04</w:t>
            </w:r>
          </w:p>
        </w:tc>
        <w:tc>
          <w:tcPr>
            <w:tcW w:w="606" w:type="pct"/>
            <w:tcBorders>
              <w:top w:val="single" w:sz="4" w:space="0" w:color="auto"/>
              <w:left w:val="single" w:sz="4" w:space="0" w:color="auto"/>
              <w:bottom w:val="single" w:sz="4" w:space="0" w:color="auto"/>
              <w:right w:val="single" w:sz="4" w:space="0" w:color="auto"/>
            </w:tcBorders>
            <w:vAlign w:val="center"/>
          </w:tcPr>
          <w:p w14:paraId="48596907" w14:textId="77777777" w:rsidR="00054437" w:rsidRPr="000549B1" w:rsidRDefault="00000000">
            <w:pPr>
              <w:pStyle w:val="CharCharCharCharChar"/>
              <w:rPr>
                <w:color w:val="auto"/>
              </w:rPr>
            </w:pPr>
            <w:r w:rsidRPr="000549B1">
              <w:rPr>
                <w:color w:val="auto"/>
              </w:rPr>
              <w:t>8.38</w:t>
            </w:r>
          </w:p>
        </w:tc>
        <w:tc>
          <w:tcPr>
            <w:tcW w:w="560" w:type="pct"/>
            <w:tcBorders>
              <w:top w:val="single" w:sz="4" w:space="0" w:color="auto"/>
              <w:left w:val="single" w:sz="4" w:space="0" w:color="auto"/>
              <w:bottom w:val="single" w:sz="4" w:space="0" w:color="auto"/>
              <w:right w:val="single" w:sz="4" w:space="0" w:color="auto"/>
            </w:tcBorders>
            <w:vAlign w:val="center"/>
          </w:tcPr>
          <w:p w14:paraId="291F0517" w14:textId="77777777" w:rsidR="00054437" w:rsidRPr="000549B1" w:rsidRDefault="00000000">
            <w:pPr>
              <w:pStyle w:val="CharCharCharCharChar"/>
              <w:rPr>
                <w:color w:val="auto"/>
              </w:rPr>
            </w:pPr>
            <w:r w:rsidRPr="000549B1">
              <w:rPr>
                <w:color w:val="auto"/>
              </w:rPr>
              <w:t>18.96</w:t>
            </w:r>
          </w:p>
        </w:tc>
      </w:tr>
      <w:tr w:rsidR="000549B1" w:rsidRPr="000549B1" w14:paraId="2583C785" w14:textId="77777777">
        <w:trPr>
          <w:cantSplit/>
          <w:trHeight w:val="393"/>
          <w:jc w:val="center"/>
        </w:trPr>
        <w:tc>
          <w:tcPr>
            <w:tcW w:w="901" w:type="pct"/>
            <w:tcBorders>
              <w:top w:val="single" w:sz="4" w:space="0" w:color="auto"/>
              <w:left w:val="single" w:sz="4" w:space="0" w:color="auto"/>
              <w:bottom w:val="single" w:sz="4" w:space="0" w:color="auto"/>
              <w:right w:val="single" w:sz="4" w:space="0" w:color="auto"/>
            </w:tcBorders>
            <w:vAlign w:val="center"/>
          </w:tcPr>
          <w:p w14:paraId="439F1801" w14:textId="77777777" w:rsidR="00054437" w:rsidRPr="000549B1" w:rsidRDefault="00000000">
            <w:pPr>
              <w:pStyle w:val="CharCharCharCharChar"/>
              <w:rPr>
                <w:color w:val="auto"/>
              </w:rPr>
            </w:pPr>
            <w:r w:rsidRPr="000549B1">
              <w:rPr>
                <w:color w:val="auto"/>
              </w:rPr>
              <w:t>草丛</w:t>
            </w:r>
          </w:p>
        </w:tc>
        <w:tc>
          <w:tcPr>
            <w:tcW w:w="555" w:type="pct"/>
            <w:tcBorders>
              <w:top w:val="single" w:sz="4" w:space="0" w:color="auto"/>
              <w:left w:val="single" w:sz="4" w:space="0" w:color="auto"/>
              <w:bottom w:val="single" w:sz="4" w:space="0" w:color="auto"/>
              <w:right w:val="single" w:sz="4" w:space="0" w:color="auto"/>
            </w:tcBorders>
            <w:vAlign w:val="center"/>
          </w:tcPr>
          <w:p w14:paraId="4968B37B" w14:textId="77777777" w:rsidR="00054437" w:rsidRPr="000549B1" w:rsidRDefault="00000000">
            <w:pPr>
              <w:pStyle w:val="CharCharCharCharChar"/>
              <w:rPr>
                <w:color w:val="auto"/>
              </w:rPr>
            </w:pPr>
            <w:r w:rsidRPr="000549B1">
              <w:rPr>
                <w:color w:val="auto"/>
              </w:rPr>
              <w:t>320.14</w:t>
            </w:r>
          </w:p>
        </w:tc>
        <w:tc>
          <w:tcPr>
            <w:tcW w:w="628" w:type="pct"/>
            <w:tcBorders>
              <w:top w:val="single" w:sz="4" w:space="0" w:color="auto"/>
              <w:left w:val="single" w:sz="4" w:space="0" w:color="auto"/>
              <w:bottom w:val="single" w:sz="4" w:space="0" w:color="auto"/>
              <w:right w:val="single" w:sz="4" w:space="0" w:color="auto"/>
            </w:tcBorders>
            <w:vAlign w:val="center"/>
          </w:tcPr>
          <w:p w14:paraId="50BA5CB6" w14:textId="77777777" w:rsidR="00054437" w:rsidRPr="000549B1" w:rsidRDefault="00000000">
            <w:pPr>
              <w:pStyle w:val="CharCharCharCharChar"/>
              <w:rPr>
                <w:color w:val="auto"/>
              </w:rPr>
            </w:pPr>
            <w:r w:rsidRPr="000549B1">
              <w:rPr>
                <w:color w:val="auto"/>
              </w:rPr>
              <w:t>244.58</w:t>
            </w:r>
          </w:p>
        </w:tc>
        <w:tc>
          <w:tcPr>
            <w:tcW w:w="546" w:type="pct"/>
            <w:tcBorders>
              <w:top w:val="single" w:sz="4" w:space="0" w:color="auto"/>
              <w:left w:val="single" w:sz="4" w:space="0" w:color="auto"/>
              <w:bottom w:val="single" w:sz="4" w:space="0" w:color="auto"/>
              <w:right w:val="single" w:sz="4" w:space="0" w:color="auto"/>
            </w:tcBorders>
            <w:vAlign w:val="center"/>
          </w:tcPr>
          <w:p w14:paraId="18838298" w14:textId="77777777" w:rsidR="00054437" w:rsidRPr="000549B1" w:rsidRDefault="00000000">
            <w:pPr>
              <w:pStyle w:val="CharCharCharCharChar"/>
              <w:rPr>
                <w:color w:val="auto"/>
              </w:rPr>
            </w:pPr>
            <w:r w:rsidRPr="000549B1">
              <w:rPr>
                <w:color w:val="auto"/>
              </w:rPr>
              <w:t>256.86</w:t>
            </w:r>
          </w:p>
        </w:tc>
        <w:tc>
          <w:tcPr>
            <w:tcW w:w="580" w:type="pct"/>
            <w:tcBorders>
              <w:top w:val="single" w:sz="4" w:space="0" w:color="auto"/>
              <w:left w:val="single" w:sz="4" w:space="0" w:color="auto"/>
              <w:bottom w:val="single" w:sz="4" w:space="0" w:color="auto"/>
              <w:right w:val="single" w:sz="4" w:space="0" w:color="auto"/>
            </w:tcBorders>
            <w:vAlign w:val="center"/>
          </w:tcPr>
          <w:p w14:paraId="0835B7D8" w14:textId="77777777" w:rsidR="00054437" w:rsidRPr="000549B1" w:rsidRDefault="00000000">
            <w:pPr>
              <w:pStyle w:val="CharCharCharCharChar"/>
              <w:rPr>
                <w:color w:val="auto"/>
              </w:rPr>
            </w:pPr>
            <w:r w:rsidRPr="000549B1">
              <w:rPr>
                <w:color w:val="auto"/>
              </w:rPr>
              <w:t>-75.56</w:t>
            </w:r>
          </w:p>
        </w:tc>
        <w:tc>
          <w:tcPr>
            <w:tcW w:w="621" w:type="pct"/>
            <w:tcBorders>
              <w:top w:val="single" w:sz="4" w:space="0" w:color="auto"/>
              <w:left w:val="single" w:sz="4" w:space="0" w:color="auto"/>
              <w:bottom w:val="single" w:sz="4" w:space="0" w:color="auto"/>
              <w:right w:val="single" w:sz="4" w:space="0" w:color="auto"/>
            </w:tcBorders>
            <w:vAlign w:val="center"/>
          </w:tcPr>
          <w:p w14:paraId="0FDA9CE8" w14:textId="77777777" w:rsidR="00054437" w:rsidRPr="000549B1" w:rsidRDefault="00000000">
            <w:pPr>
              <w:pStyle w:val="CharCharCharCharChar"/>
              <w:rPr>
                <w:color w:val="auto"/>
              </w:rPr>
            </w:pPr>
            <w:r w:rsidRPr="000549B1">
              <w:rPr>
                <w:color w:val="auto"/>
              </w:rPr>
              <w:t>-23.6</w:t>
            </w:r>
          </w:p>
        </w:tc>
        <w:tc>
          <w:tcPr>
            <w:tcW w:w="606" w:type="pct"/>
            <w:tcBorders>
              <w:top w:val="single" w:sz="4" w:space="0" w:color="auto"/>
              <w:left w:val="single" w:sz="4" w:space="0" w:color="auto"/>
              <w:bottom w:val="single" w:sz="4" w:space="0" w:color="auto"/>
              <w:right w:val="single" w:sz="4" w:space="0" w:color="auto"/>
            </w:tcBorders>
            <w:vAlign w:val="center"/>
          </w:tcPr>
          <w:p w14:paraId="50C2360A" w14:textId="77777777" w:rsidR="00054437" w:rsidRPr="000549B1" w:rsidRDefault="00000000">
            <w:pPr>
              <w:pStyle w:val="CharCharCharCharChar"/>
              <w:rPr>
                <w:color w:val="auto"/>
              </w:rPr>
            </w:pPr>
            <w:r w:rsidRPr="000549B1">
              <w:rPr>
                <w:color w:val="auto"/>
              </w:rPr>
              <w:t>12.28</w:t>
            </w:r>
          </w:p>
        </w:tc>
        <w:tc>
          <w:tcPr>
            <w:tcW w:w="560" w:type="pct"/>
            <w:tcBorders>
              <w:top w:val="single" w:sz="4" w:space="0" w:color="auto"/>
              <w:left w:val="single" w:sz="4" w:space="0" w:color="auto"/>
              <w:bottom w:val="single" w:sz="4" w:space="0" w:color="auto"/>
              <w:right w:val="single" w:sz="4" w:space="0" w:color="auto"/>
            </w:tcBorders>
            <w:vAlign w:val="center"/>
          </w:tcPr>
          <w:p w14:paraId="459FFB98" w14:textId="77777777" w:rsidR="00054437" w:rsidRPr="000549B1" w:rsidRDefault="00000000">
            <w:pPr>
              <w:pStyle w:val="CharCharCharCharChar"/>
              <w:rPr>
                <w:color w:val="auto"/>
              </w:rPr>
            </w:pPr>
            <w:r w:rsidRPr="000549B1">
              <w:rPr>
                <w:color w:val="auto"/>
              </w:rPr>
              <w:t>5.02</w:t>
            </w:r>
          </w:p>
        </w:tc>
      </w:tr>
      <w:tr w:rsidR="00054437" w:rsidRPr="000549B1" w14:paraId="1E07C5CE" w14:textId="77777777">
        <w:trPr>
          <w:cantSplit/>
          <w:trHeight w:val="481"/>
          <w:jc w:val="center"/>
        </w:trPr>
        <w:tc>
          <w:tcPr>
            <w:tcW w:w="901" w:type="pct"/>
            <w:tcBorders>
              <w:top w:val="single" w:sz="4" w:space="0" w:color="auto"/>
              <w:left w:val="single" w:sz="4" w:space="0" w:color="auto"/>
              <w:bottom w:val="single" w:sz="4" w:space="0" w:color="auto"/>
              <w:right w:val="single" w:sz="4" w:space="0" w:color="auto"/>
            </w:tcBorders>
            <w:vAlign w:val="center"/>
          </w:tcPr>
          <w:p w14:paraId="4B89EFDD" w14:textId="77777777" w:rsidR="00054437" w:rsidRPr="000549B1" w:rsidRDefault="00000000">
            <w:pPr>
              <w:pStyle w:val="CharCharCharCharChar"/>
              <w:rPr>
                <w:color w:val="auto"/>
              </w:rPr>
            </w:pPr>
            <w:r w:rsidRPr="000549B1">
              <w:rPr>
                <w:color w:val="auto"/>
              </w:rPr>
              <w:t>农业植被</w:t>
            </w:r>
          </w:p>
        </w:tc>
        <w:tc>
          <w:tcPr>
            <w:tcW w:w="555" w:type="pct"/>
            <w:tcBorders>
              <w:top w:val="single" w:sz="4" w:space="0" w:color="auto"/>
              <w:left w:val="single" w:sz="4" w:space="0" w:color="auto"/>
              <w:bottom w:val="single" w:sz="4" w:space="0" w:color="auto"/>
              <w:right w:val="single" w:sz="4" w:space="0" w:color="auto"/>
            </w:tcBorders>
            <w:vAlign w:val="center"/>
          </w:tcPr>
          <w:p w14:paraId="05C3D41F" w14:textId="77777777" w:rsidR="00054437" w:rsidRPr="000549B1" w:rsidRDefault="00000000">
            <w:pPr>
              <w:pStyle w:val="CharCharCharCharChar"/>
              <w:rPr>
                <w:color w:val="auto"/>
              </w:rPr>
            </w:pPr>
            <w:r w:rsidRPr="000549B1">
              <w:rPr>
                <w:color w:val="auto"/>
              </w:rPr>
              <w:t>61.22</w:t>
            </w:r>
          </w:p>
        </w:tc>
        <w:tc>
          <w:tcPr>
            <w:tcW w:w="628" w:type="pct"/>
            <w:tcBorders>
              <w:top w:val="single" w:sz="4" w:space="0" w:color="auto"/>
              <w:left w:val="single" w:sz="4" w:space="0" w:color="auto"/>
              <w:bottom w:val="single" w:sz="4" w:space="0" w:color="auto"/>
              <w:right w:val="single" w:sz="4" w:space="0" w:color="auto"/>
            </w:tcBorders>
            <w:vAlign w:val="center"/>
          </w:tcPr>
          <w:p w14:paraId="44AD4CC7" w14:textId="77777777" w:rsidR="00054437" w:rsidRPr="000549B1" w:rsidRDefault="00000000">
            <w:pPr>
              <w:pStyle w:val="CharCharCharCharChar"/>
              <w:rPr>
                <w:color w:val="auto"/>
              </w:rPr>
            </w:pPr>
            <w:r w:rsidRPr="000549B1">
              <w:rPr>
                <w:color w:val="auto"/>
              </w:rPr>
              <w:t>80.44</w:t>
            </w:r>
          </w:p>
        </w:tc>
        <w:tc>
          <w:tcPr>
            <w:tcW w:w="546" w:type="pct"/>
            <w:tcBorders>
              <w:top w:val="single" w:sz="4" w:space="0" w:color="auto"/>
              <w:left w:val="single" w:sz="4" w:space="0" w:color="auto"/>
              <w:bottom w:val="single" w:sz="4" w:space="0" w:color="auto"/>
              <w:right w:val="single" w:sz="4" w:space="0" w:color="auto"/>
            </w:tcBorders>
            <w:vAlign w:val="center"/>
          </w:tcPr>
          <w:p w14:paraId="47674BE1" w14:textId="77777777" w:rsidR="00054437" w:rsidRPr="000549B1" w:rsidRDefault="00000000">
            <w:pPr>
              <w:pStyle w:val="CharCharCharCharChar"/>
              <w:rPr>
                <w:color w:val="auto"/>
              </w:rPr>
            </w:pPr>
            <w:r w:rsidRPr="000549B1">
              <w:rPr>
                <w:color w:val="auto"/>
              </w:rPr>
              <w:t>98.05</w:t>
            </w:r>
          </w:p>
        </w:tc>
        <w:tc>
          <w:tcPr>
            <w:tcW w:w="580" w:type="pct"/>
            <w:tcBorders>
              <w:top w:val="single" w:sz="4" w:space="0" w:color="auto"/>
              <w:left w:val="single" w:sz="4" w:space="0" w:color="auto"/>
              <w:bottom w:val="single" w:sz="4" w:space="0" w:color="auto"/>
              <w:right w:val="single" w:sz="4" w:space="0" w:color="auto"/>
            </w:tcBorders>
            <w:vAlign w:val="center"/>
          </w:tcPr>
          <w:p w14:paraId="60D6CB8E" w14:textId="77777777" w:rsidR="00054437" w:rsidRPr="000549B1" w:rsidRDefault="00000000">
            <w:pPr>
              <w:pStyle w:val="CharCharCharCharChar"/>
              <w:rPr>
                <w:color w:val="auto"/>
              </w:rPr>
            </w:pPr>
            <w:r w:rsidRPr="000549B1">
              <w:rPr>
                <w:color w:val="auto"/>
              </w:rPr>
              <w:t>19.22</w:t>
            </w:r>
          </w:p>
        </w:tc>
        <w:tc>
          <w:tcPr>
            <w:tcW w:w="621" w:type="pct"/>
            <w:tcBorders>
              <w:top w:val="single" w:sz="4" w:space="0" w:color="auto"/>
              <w:left w:val="single" w:sz="4" w:space="0" w:color="auto"/>
              <w:bottom w:val="single" w:sz="4" w:space="0" w:color="auto"/>
              <w:right w:val="single" w:sz="4" w:space="0" w:color="auto"/>
            </w:tcBorders>
            <w:vAlign w:val="center"/>
          </w:tcPr>
          <w:p w14:paraId="2B4BF81B" w14:textId="77777777" w:rsidR="00054437" w:rsidRPr="000549B1" w:rsidRDefault="00000000">
            <w:pPr>
              <w:pStyle w:val="CharCharCharCharChar"/>
              <w:rPr>
                <w:color w:val="auto"/>
              </w:rPr>
            </w:pPr>
            <w:r w:rsidRPr="000549B1">
              <w:rPr>
                <w:color w:val="auto"/>
              </w:rPr>
              <w:t>31.39%</w:t>
            </w:r>
          </w:p>
        </w:tc>
        <w:tc>
          <w:tcPr>
            <w:tcW w:w="606" w:type="pct"/>
            <w:tcBorders>
              <w:top w:val="single" w:sz="4" w:space="0" w:color="auto"/>
              <w:left w:val="single" w:sz="4" w:space="0" w:color="auto"/>
              <w:bottom w:val="single" w:sz="4" w:space="0" w:color="auto"/>
              <w:right w:val="single" w:sz="4" w:space="0" w:color="auto"/>
            </w:tcBorders>
            <w:vAlign w:val="center"/>
          </w:tcPr>
          <w:p w14:paraId="1C79DE68" w14:textId="77777777" w:rsidR="00054437" w:rsidRPr="000549B1" w:rsidRDefault="00000000">
            <w:pPr>
              <w:pStyle w:val="CharCharCharCharChar"/>
              <w:rPr>
                <w:color w:val="auto"/>
              </w:rPr>
            </w:pPr>
            <w:r w:rsidRPr="000549B1">
              <w:rPr>
                <w:color w:val="auto"/>
              </w:rPr>
              <w:t>17.61</w:t>
            </w:r>
          </w:p>
        </w:tc>
        <w:tc>
          <w:tcPr>
            <w:tcW w:w="560" w:type="pct"/>
            <w:tcBorders>
              <w:top w:val="single" w:sz="4" w:space="0" w:color="auto"/>
              <w:left w:val="single" w:sz="4" w:space="0" w:color="auto"/>
              <w:bottom w:val="single" w:sz="4" w:space="0" w:color="auto"/>
              <w:right w:val="single" w:sz="4" w:space="0" w:color="auto"/>
            </w:tcBorders>
            <w:vAlign w:val="center"/>
          </w:tcPr>
          <w:p w14:paraId="0A55F0E9" w14:textId="77777777" w:rsidR="00054437" w:rsidRPr="000549B1" w:rsidRDefault="00000000">
            <w:pPr>
              <w:pStyle w:val="CharCharCharCharChar"/>
              <w:rPr>
                <w:color w:val="auto"/>
              </w:rPr>
            </w:pPr>
            <w:r w:rsidRPr="000549B1">
              <w:rPr>
                <w:color w:val="auto"/>
              </w:rPr>
              <w:t>21.89%</w:t>
            </w:r>
          </w:p>
        </w:tc>
      </w:tr>
    </w:tbl>
    <w:p w14:paraId="40BB5C5A" w14:textId="77777777" w:rsidR="00054437" w:rsidRPr="000549B1" w:rsidRDefault="00000000">
      <w:pPr>
        <w:pStyle w:val="x"/>
      </w:pPr>
      <w:r w:rsidRPr="000549B1">
        <w:t>（</w:t>
      </w:r>
      <w:r w:rsidRPr="000549B1">
        <w:t>2</w:t>
      </w:r>
      <w:r w:rsidRPr="000549B1">
        <w:t>）植被演替规律</w:t>
      </w:r>
    </w:p>
    <w:p w14:paraId="6ED2B3B2" w14:textId="77777777" w:rsidR="00054437" w:rsidRPr="000549B1" w:rsidRDefault="00000000">
      <w:pPr>
        <w:pStyle w:val="x"/>
      </w:pPr>
      <w:r w:rsidRPr="000549B1">
        <w:t>沙珠玉河流域植被演替的核心规律是</w:t>
      </w:r>
      <w:r w:rsidRPr="000549B1">
        <w:rPr>
          <w:rFonts w:ascii="宋体" w:hAnsi="宋体"/>
        </w:rPr>
        <w:t>“</w:t>
      </w:r>
      <w:r w:rsidRPr="000549B1">
        <w:t>水分主导正向演替、人为干扰逆向退化、修复干预正向逆转</w:t>
      </w:r>
      <w:r w:rsidRPr="000549B1">
        <w:rPr>
          <w:rFonts w:ascii="宋体" w:hAnsi="宋体"/>
        </w:rPr>
        <w:t>”</w:t>
      </w:r>
      <w:r w:rsidRPr="000549B1">
        <w:t>，整体沿</w:t>
      </w:r>
      <w:r w:rsidRPr="000549B1">
        <w:rPr>
          <w:rFonts w:ascii="宋体" w:hAnsi="宋体"/>
        </w:rPr>
        <w:t>“</w:t>
      </w:r>
      <w:r w:rsidRPr="000549B1">
        <w:t>流沙裸地</w:t>
      </w:r>
      <w:r w:rsidRPr="000549B1">
        <w:t>→</w:t>
      </w:r>
      <w:r w:rsidRPr="000549B1">
        <w:t>沙生植被</w:t>
      </w:r>
      <w:r w:rsidRPr="000549B1">
        <w:t>→</w:t>
      </w:r>
      <w:r w:rsidRPr="000549B1">
        <w:t>草原植被</w:t>
      </w:r>
      <w:r w:rsidRPr="000549B1">
        <w:rPr>
          <w:rFonts w:ascii="宋体" w:hAnsi="宋体"/>
        </w:rPr>
        <w:t>”</w:t>
      </w:r>
      <w:r w:rsidRPr="000549B1">
        <w:t>的梯度推进或倒退，演替速度与水分条件、干扰强度直接相关。</w:t>
      </w:r>
    </w:p>
    <w:p w14:paraId="2444AD0D" w14:textId="77777777" w:rsidR="00054437" w:rsidRPr="000549B1" w:rsidRDefault="00000000">
      <w:pPr>
        <w:pStyle w:val="x"/>
        <w:ind w:left="843" w:hanging="843"/>
        <w:rPr>
          <w:bCs/>
        </w:rPr>
      </w:pPr>
      <w:r w:rsidRPr="000549B1">
        <w:rPr>
          <w:bCs/>
        </w:rPr>
        <w:t>1</w:t>
      </w:r>
      <w:r w:rsidRPr="000549B1">
        <w:rPr>
          <w:bCs/>
        </w:rPr>
        <w:t>）演替阶段</w:t>
      </w:r>
    </w:p>
    <w:p w14:paraId="79AF8916" w14:textId="77777777" w:rsidR="00054437" w:rsidRPr="000549B1" w:rsidRDefault="00000000">
      <w:pPr>
        <w:pStyle w:val="x"/>
      </w:pPr>
      <w:r w:rsidRPr="000549B1">
        <w:t>自然状态下，无强烈人为干扰时，植被随水分条件改善或土壤稳定性提升，逐步向更复杂、更稳定的群落演替，呈现</w:t>
      </w:r>
      <w:r w:rsidRPr="000549B1">
        <w:t>4</w:t>
      </w:r>
      <w:r w:rsidRPr="000549B1">
        <w:t>个连续阶段：</w:t>
      </w:r>
    </w:p>
    <w:p w14:paraId="5E2B0820" w14:textId="77777777" w:rsidR="00054437" w:rsidRPr="000549B1" w:rsidRDefault="00000000">
      <w:pPr>
        <w:pStyle w:val="x"/>
      </w:pPr>
      <w:r w:rsidRPr="000549B1">
        <w:rPr>
          <w:rFonts w:ascii="宋体" w:hAnsi="宋体" w:cs="宋体" w:hint="eastAsia"/>
        </w:rPr>
        <w:t>①</w:t>
      </w:r>
      <w:r w:rsidRPr="000549B1">
        <w:t>流沙裸地先锋阶段</w:t>
      </w:r>
    </w:p>
    <w:p w14:paraId="33E3ACA3" w14:textId="77777777" w:rsidR="00054437" w:rsidRPr="000549B1" w:rsidRDefault="00000000">
      <w:pPr>
        <w:pStyle w:val="x"/>
      </w:pPr>
      <w:r w:rsidRPr="000549B1">
        <w:t>核心特征：土壤沙化严重、保水能力极差，仅先锋沙生植物定植。</w:t>
      </w:r>
    </w:p>
    <w:p w14:paraId="4062AA1A" w14:textId="77777777" w:rsidR="00054437" w:rsidRPr="000549B1" w:rsidRDefault="00000000">
      <w:pPr>
        <w:pStyle w:val="x"/>
      </w:pPr>
      <w:r w:rsidRPr="000549B1">
        <w:t>优势物种：沙米、沙蒿（</w:t>
      </w:r>
      <w:r w:rsidRPr="000549B1">
        <w:t>1</w:t>
      </w:r>
      <w:r w:rsidRPr="000549B1">
        <w:t>年生或短寿命草本），偶见沙拐枣幼苗。</w:t>
      </w:r>
    </w:p>
    <w:p w14:paraId="24248CD3" w14:textId="77777777" w:rsidR="00054437" w:rsidRPr="000549B1" w:rsidRDefault="00000000">
      <w:pPr>
        <w:pStyle w:val="x"/>
      </w:pPr>
      <w:r w:rsidRPr="000549B1">
        <w:t>群落指标：覆盖度</w:t>
      </w:r>
      <w:r w:rsidRPr="000549B1">
        <w:t>&lt;10%</w:t>
      </w:r>
      <w:r w:rsidRPr="000549B1">
        <w:t>，物种丰富度</w:t>
      </w:r>
      <w:r w:rsidRPr="000549B1">
        <w:t>2-3</w:t>
      </w:r>
      <w:r w:rsidRPr="000549B1">
        <w:t>种，香农指数</w:t>
      </w:r>
      <w:r w:rsidRPr="000549B1">
        <w:t>&lt;1.0</w:t>
      </w:r>
      <w:r w:rsidRPr="000549B1">
        <w:t>（低多样性），</w:t>
      </w:r>
      <w:r w:rsidRPr="000549B1">
        <w:t>Simpson</w:t>
      </w:r>
      <w:r w:rsidRPr="000549B1">
        <w:t>指数</w:t>
      </w:r>
      <w:r w:rsidRPr="000549B1">
        <w:t>&gt;0.5</w:t>
      </w:r>
      <w:r w:rsidRPr="000549B1">
        <w:t>（高优势度）。</w:t>
      </w:r>
    </w:p>
    <w:p w14:paraId="293B4B47" w14:textId="77777777" w:rsidR="00054437" w:rsidRPr="000549B1" w:rsidRDefault="00000000">
      <w:pPr>
        <w:pStyle w:val="x"/>
      </w:pPr>
      <w:r w:rsidRPr="000549B1">
        <w:rPr>
          <w:rFonts w:ascii="宋体" w:hAnsi="宋体" w:cs="宋体" w:hint="eastAsia"/>
        </w:rPr>
        <w:t>②</w:t>
      </w:r>
      <w:r w:rsidRPr="000549B1">
        <w:t>沙生灌草群落阶段</w:t>
      </w:r>
    </w:p>
    <w:p w14:paraId="62C3A75A" w14:textId="77777777" w:rsidR="00054437" w:rsidRPr="000549B1" w:rsidRDefault="00000000">
      <w:pPr>
        <w:pStyle w:val="x"/>
      </w:pPr>
      <w:r w:rsidRPr="000549B1">
        <w:t>核心特征：流沙逐步固定，土壤颗粒细化，水分条件略有改善。</w:t>
      </w:r>
    </w:p>
    <w:p w14:paraId="06F80941" w14:textId="77777777" w:rsidR="00054437" w:rsidRPr="000549B1" w:rsidRDefault="00000000">
      <w:pPr>
        <w:pStyle w:val="x"/>
      </w:pPr>
      <w:r w:rsidRPr="000549B1">
        <w:t>优势物种：柠条锦鸡儿、沙棘、青海固沙草（多年生灌草），伴生狗娃花、冷蒿。</w:t>
      </w:r>
    </w:p>
    <w:p w14:paraId="7487C91E" w14:textId="77777777" w:rsidR="00054437" w:rsidRPr="000549B1" w:rsidRDefault="00000000">
      <w:pPr>
        <w:pStyle w:val="x"/>
      </w:pPr>
      <w:r w:rsidRPr="000549B1">
        <w:t>群落指标：覆盖度</w:t>
      </w:r>
      <w:r w:rsidRPr="000549B1">
        <w:t>20%-35%</w:t>
      </w:r>
      <w:r w:rsidRPr="000549B1">
        <w:t>，物种丰富度</w:t>
      </w:r>
      <w:r w:rsidRPr="000549B1">
        <w:t>4-6</w:t>
      </w:r>
      <w:r w:rsidRPr="000549B1">
        <w:t>种，香农指数</w:t>
      </w:r>
      <w:r w:rsidRPr="000549B1">
        <w:t>1.2-1.8</w:t>
      </w:r>
      <w:r w:rsidRPr="000549B1">
        <w:t>（中等偏低多样性），均匀度</w:t>
      </w:r>
      <w:r w:rsidRPr="000549B1">
        <w:t>0.35-0.45</w:t>
      </w:r>
      <w:r w:rsidRPr="000549B1">
        <w:t>（中等偏低均匀度）。</w:t>
      </w:r>
    </w:p>
    <w:p w14:paraId="183B812E" w14:textId="77777777" w:rsidR="00054437" w:rsidRPr="000549B1" w:rsidRDefault="00000000">
      <w:pPr>
        <w:pStyle w:val="x"/>
      </w:pPr>
      <w:r w:rsidRPr="000549B1">
        <w:rPr>
          <w:rFonts w:ascii="宋体" w:hAnsi="宋体" w:cs="宋体" w:hint="eastAsia"/>
        </w:rPr>
        <w:t>③</w:t>
      </w:r>
      <w:r w:rsidRPr="000549B1">
        <w:t>荒漠草原群落阶段</w:t>
      </w:r>
    </w:p>
    <w:p w14:paraId="3DD79029" w14:textId="77777777" w:rsidR="00054437" w:rsidRPr="000549B1" w:rsidRDefault="00000000">
      <w:pPr>
        <w:pStyle w:val="x"/>
      </w:pPr>
      <w:r w:rsidRPr="000549B1">
        <w:t>核心特征：土壤沙化减轻，有机质积累，水分条件进一步优化（如河谷阶地、中游洪积扇）。</w:t>
      </w:r>
    </w:p>
    <w:p w14:paraId="11C2558E" w14:textId="77777777" w:rsidR="00054437" w:rsidRPr="000549B1" w:rsidRDefault="00000000">
      <w:pPr>
        <w:pStyle w:val="x"/>
      </w:pPr>
      <w:r w:rsidRPr="000549B1">
        <w:t>优势物种：短花针茅、芨芨草、红砂，伴生披针野决明、糙叶黄芪。</w:t>
      </w:r>
    </w:p>
    <w:p w14:paraId="6758E833" w14:textId="77777777" w:rsidR="00054437" w:rsidRPr="000549B1" w:rsidRDefault="00000000">
      <w:pPr>
        <w:pStyle w:val="x"/>
      </w:pPr>
      <w:r w:rsidRPr="000549B1">
        <w:t>群落指标：覆盖度</w:t>
      </w:r>
      <w:r w:rsidRPr="000549B1">
        <w:t>40%-60%</w:t>
      </w:r>
      <w:r w:rsidRPr="000549B1">
        <w:t>，物种丰富度</w:t>
      </w:r>
      <w:r w:rsidRPr="000549B1">
        <w:t>6-9</w:t>
      </w:r>
      <w:r w:rsidRPr="000549B1">
        <w:t>种，香农指数</w:t>
      </w:r>
      <w:r w:rsidRPr="000549B1">
        <w:t>1.8-2.5</w:t>
      </w:r>
      <w:r w:rsidRPr="000549B1">
        <w:t>（中等多样性），均匀度</w:t>
      </w:r>
      <w:r w:rsidRPr="000549B1">
        <w:t>0.45-0.6</w:t>
      </w:r>
      <w:r w:rsidRPr="000549B1">
        <w:t>（中等均匀度）。</w:t>
      </w:r>
    </w:p>
    <w:p w14:paraId="58D0CE88" w14:textId="77777777" w:rsidR="00054437" w:rsidRPr="000549B1" w:rsidRDefault="00000000">
      <w:pPr>
        <w:pStyle w:val="x"/>
      </w:pPr>
      <w:r w:rsidRPr="000549B1">
        <w:rPr>
          <w:rFonts w:ascii="宋体" w:hAnsi="宋体" w:cs="宋体" w:hint="eastAsia"/>
        </w:rPr>
        <w:t>④</w:t>
      </w:r>
      <w:r w:rsidRPr="000549B1">
        <w:t>高寒草原</w:t>
      </w:r>
      <w:r w:rsidRPr="000549B1">
        <w:t>/</w:t>
      </w:r>
      <w:r w:rsidRPr="000549B1">
        <w:t>草甸化草原阶段</w:t>
      </w:r>
    </w:p>
    <w:p w14:paraId="5D9027B9" w14:textId="77777777" w:rsidR="00054437" w:rsidRPr="000549B1" w:rsidRDefault="00000000">
      <w:pPr>
        <w:pStyle w:val="x"/>
      </w:pPr>
      <w:r w:rsidRPr="000549B1">
        <w:t>核心特征：水热组合最优（上游河源区、高山带），土壤稳定性高，群落达到顶极状态。</w:t>
      </w:r>
    </w:p>
    <w:p w14:paraId="7E50C8C2" w14:textId="77777777" w:rsidR="00054437" w:rsidRPr="000549B1" w:rsidRDefault="00000000">
      <w:pPr>
        <w:pStyle w:val="x"/>
      </w:pPr>
      <w:r w:rsidRPr="000549B1">
        <w:t>优势物种：短花针茅、嵩草、苔草，局部有金露梅灌丛。</w:t>
      </w:r>
    </w:p>
    <w:p w14:paraId="7C32B189" w14:textId="77777777" w:rsidR="00054437" w:rsidRPr="000549B1" w:rsidRDefault="00000000">
      <w:pPr>
        <w:pStyle w:val="x"/>
      </w:pPr>
      <w:r w:rsidRPr="000549B1">
        <w:t>群落指标：覆盖度</w:t>
      </w:r>
      <w:r w:rsidRPr="000549B1">
        <w:t>50%-70%</w:t>
      </w:r>
      <w:r w:rsidRPr="000549B1">
        <w:t>，物种丰富度</w:t>
      </w:r>
      <w:r w:rsidRPr="000549B1">
        <w:t>8-12</w:t>
      </w:r>
      <w:r w:rsidRPr="000549B1">
        <w:t>种，香农指数</w:t>
      </w:r>
      <w:r w:rsidRPr="000549B1">
        <w:t>2.5-2.9</w:t>
      </w:r>
      <w:r w:rsidRPr="000549B1">
        <w:t>（中等偏高多样性），均匀度</w:t>
      </w:r>
      <w:r w:rsidRPr="000549B1">
        <w:t>0.55-0.65</w:t>
      </w:r>
      <w:r w:rsidRPr="000549B1">
        <w:t>（中等均匀度），</w:t>
      </w:r>
      <w:r w:rsidRPr="000549B1">
        <w:t>Simpson</w:t>
      </w:r>
      <w:r w:rsidRPr="000549B1">
        <w:t>指数</w:t>
      </w:r>
      <w:r w:rsidRPr="000549B1">
        <w:t>&lt;0.3</w:t>
      </w:r>
      <w:r w:rsidRPr="000549B1">
        <w:t>（低优势度）。</w:t>
      </w:r>
    </w:p>
    <w:p w14:paraId="3FD1C6BC" w14:textId="77777777" w:rsidR="00054437" w:rsidRPr="000549B1" w:rsidRDefault="00000000">
      <w:pPr>
        <w:pStyle w:val="x"/>
        <w:ind w:left="843" w:hanging="843"/>
        <w:rPr>
          <w:bCs/>
        </w:rPr>
      </w:pPr>
      <w:r w:rsidRPr="000549B1">
        <w:rPr>
          <w:bCs/>
        </w:rPr>
        <w:t>2</w:t>
      </w:r>
      <w:r w:rsidRPr="000549B1">
        <w:rPr>
          <w:bCs/>
        </w:rPr>
        <w:t>）演替核心特征与关键影响因素</w:t>
      </w:r>
    </w:p>
    <w:p w14:paraId="6DC1FEC6" w14:textId="77777777" w:rsidR="00054437" w:rsidRPr="000549B1" w:rsidRDefault="00000000">
      <w:pPr>
        <w:pStyle w:val="x"/>
      </w:pPr>
      <w:r w:rsidRPr="000549B1">
        <w:rPr>
          <w:rFonts w:ascii="宋体" w:hAnsi="宋体" w:cs="宋体" w:hint="eastAsia"/>
        </w:rPr>
        <w:t>①</w:t>
      </w:r>
      <w:r w:rsidRPr="000549B1">
        <w:t>核心驱动逻辑</w:t>
      </w:r>
    </w:p>
    <w:p w14:paraId="4657E206" w14:textId="77777777" w:rsidR="00054437" w:rsidRPr="000549B1" w:rsidRDefault="00000000">
      <w:pPr>
        <w:pStyle w:val="x"/>
      </w:pPr>
      <w:r w:rsidRPr="000549B1">
        <w:t>正向演替需水分条件持续改善（如河流补给稳定、降水均匀），逆向退化多伴随水分胁迫（如断流、土壤沙化导致保水能力下降）。</w:t>
      </w:r>
    </w:p>
    <w:p w14:paraId="3486CFD4" w14:textId="77777777" w:rsidR="00054437" w:rsidRPr="000549B1" w:rsidRDefault="00000000">
      <w:pPr>
        <w:pStyle w:val="x"/>
      </w:pPr>
      <w:r w:rsidRPr="000549B1">
        <w:t>轻度干扰不改变演替方向，重度干扰直接触发逆向退化；生态修复（如围栏封育、人工种草）可阻断退化，推动逆向演替转为正向。</w:t>
      </w:r>
    </w:p>
    <w:p w14:paraId="32DFD514" w14:textId="77777777" w:rsidR="00054437" w:rsidRPr="000549B1" w:rsidRDefault="00000000">
      <w:pPr>
        <w:pStyle w:val="x"/>
      </w:pPr>
      <w:r w:rsidRPr="000549B1">
        <w:rPr>
          <w:rFonts w:ascii="宋体" w:hAnsi="宋体" w:cs="宋体" w:hint="eastAsia"/>
        </w:rPr>
        <w:t>②</w:t>
      </w:r>
      <w:r w:rsidRPr="000549B1">
        <w:t>演替关键特征</w:t>
      </w:r>
    </w:p>
    <w:p w14:paraId="4FFE2AAB" w14:textId="77777777" w:rsidR="00054437" w:rsidRPr="000549B1" w:rsidRDefault="00000000">
      <w:pPr>
        <w:pStyle w:val="x"/>
      </w:pPr>
      <w:r w:rsidRPr="000549B1">
        <w:t>渐进性：自然正向演替每阶段需</w:t>
      </w:r>
      <w:r w:rsidRPr="000549B1">
        <w:t>10-30</w:t>
      </w:r>
      <w:r w:rsidRPr="000549B1">
        <w:t>年（如流沙固定到沙生灌草需</w:t>
      </w:r>
      <w:r w:rsidRPr="000549B1">
        <w:t>15-20</w:t>
      </w:r>
      <w:r w:rsidRPr="000549B1">
        <w:t>年），退化演替速度更快（重度干扰下</w:t>
      </w:r>
      <w:r w:rsidRPr="000549B1">
        <w:t>5-10</w:t>
      </w:r>
      <w:r w:rsidRPr="000549B1">
        <w:t>年即可从草原退化为裸地）。</w:t>
      </w:r>
    </w:p>
    <w:p w14:paraId="64B7CA1F" w14:textId="77777777" w:rsidR="00054437" w:rsidRPr="000549B1" w:rsidRDefault="00000000">
      <w:pPr>
        <w:pStyle w:val="x"/>
      </w:pPr>
      <w:r w:rsidRPr="000549B1">
        <w:t>可逆性：未达到</w:t>
      </w:r>
      <w:r w:rsidRPr="000549B1">
        <w:rPr>
          <w:rFonts w:ascii="宋体" w:hAnsi="宋体"/>
        </w:rPr>
        <w:t>“</w:t>
      </w:r>
      <w:r w:rsidRPr="000549B1">
        <w:t>流沙裸地</w:t>
      </w:r>
      <w:r w:rsidRPr="000549B1">
        <w:rPr>
          <w:rFonts w:ascii="宋体" w:hAnsi="宋体"/>
        </w:rPr>
        <w:t>”</w:t>
      </w:r>
      <w:r w:rsidRPr="000549B1">
        <w:t>的退化阶段，通过减少干扰、补充水分，可在</w:t>
      </w:r>
      <w:r w:rsidRPr="000549B1">
        <w:t>3-10</w:t>
      </w:r>
      <w:r w:rsidRPr="000549B1">
        <w:t>年内恢复至前一阶段；一旦形成大面积流沙，恢复周期需</w:t>
      </w:r>
      <w:r w:rsidRPr="000549B1">
        <w:t>30</w:t>
      </w:r>
      <w:r w:rsidRPr="000549B1">
        <w:t>年以上。</w:t>
      </w:r>
    </w:p>
    <w:p w14:paraId="79D1E598" w14:textId="77777777" w:rsidR="00054437" w:rsidRPr="000549B1" w:rsidRDefault="00000000">
      <w:pPr>
        <w:pStyle w:val="x"/>
      </w:pPr>
      <w:r w:rsidRPr="000549B1">
        <w:t>区域差异性：上游水热条件好，演替速度快、稳定性高；下游干旱沙化区，演替易停滞在沙生植被阶段，需人工干预才能推进。</w:t>
      </w:r>
    </w:p>
    <w:p w14:paraId="0461EC5D" w14:textId="77777777" w:rsidR="00054437" w:rsidRPr="000549B1" w:rsidRDefault="00000000">
      <w:pPr>
        <w:pStyle w:val="x"/>
      </w:pPr>
      <w:r w:rsidRPr="000549B1">
        <w:rPr>
          <w:rFonts w:ascii="宋体" w:hAnsi="宋体" w:cs="宋体" w:hint="eastAsia"/>
        </w:rPr>
        <w:t>③</w:t>
      </w:r>
      <w:r w:rsidRPr="000549B1">
        <w:t>现代演替趋势</w:t>
      </w:r>
    </w:p>
    <w:p w14:paraId="3BB54DE1" w14:textId="77777777" w:rsidR="00054437" w:rsidRPr="000549B1" w:rsidRDefault="00000000">
      <w:pPr>
        <w:pStyle w:val="x"/>
      </w:pPr>
      <w:r w:rsidRPr="000549B1">
        <w:t>近年通过生态修复（如草方格固沙、人工种植青海固沙草、围栏禁牧），下游沙化区正从</w:t>
      </w:r>
      <w:r w:rsidRPr="000549B1">
        <w:rPr>
          <w:rFonts w:ascii="宋体" w:hAnsi="宋体"/>
        </w:rPr>
        <w:t>“</w:t>
      </w:r>
      <w:r w:rsidRPr="000549B1">
        <w:t>流沙裸地</w:t>
      </w:r>
      <w:r w:rsidRPr="000549B1">
        <w:t>→</w:t>
      </w:r>
      <w:r w:rsidRPr="000549B1">
        <w:t>沙生灌草</w:t>
      </w:r>
      <w:r w:rsidRPr="000549B1">
        <w:rPr>
          <w:rFonts w:ascii="宋体" w:hAnsi="宋体"/>
        </w:rPr>
        <w:t>”</w:t>
      </w:r>
      <w:r w:rsidRPr="000549B1">
        <w:t>逆转；中游退化草原通过轮牧管理，逐步恢复为荒漠草原群落，整体呈现</w:t>
      </w:r>
      <w:r w:rsidRPr="000549B1">
        <w:rPr>
          <w:rFonts w:ascii="宋体" w:hAnsi="宋体"/>
        </w:rPr>
        <w:t>“</w:t>
      </w:r>
      <w:r w:rsidRPr="000549B1">
        <w:t>局部正向逆转、流域整体趋稳</w:t>
      </w:r>
      <w:r w:rsidRPr="000549B1">
        <w:rPr>
          <w:rFonts w:ascii="宋体" w:hAnsi="宋体"/>
        </w:rPr>
        <w:t>”</w:t>
      </w:r>
      <w:r w:rsidRPr="000549B1">
        <w:t>的态势。</w:t>
      </w:r>
    </w:p>
    <w:p w14:paraId="41193DD3" w14:textId="7A86B55F" w:rsidR="00054437" w:rsidRPr="000549B1" w:rsidRDefault="00000000">
      <w:pPr>
        <w:pStyle w:val="zhang3"/>
        <w:spacing w:before="156" w:after="156"/>
      </w:pPr>
      <w:r w:rsidRPr="000549B1">
        <w:rPr>
          <w:rFonts w:hint="eastAsia"/>
        </w:rPr>
        <w:t>水</w:t>
      </w:r>
      <w:r w:rsidRPr="000549B1">
        <w:t>生生态影响回顾性评价</w:t>
      </w:r>
    </w:p>
    <w:p w14:paraId="41D32423" w14:textId="77777777" w:rsidR="00AF4186" w:rsidRPr="000549B1" w:rsidRDefault="00AF4186" w:rsidP="00AF4186">
      <w:pPr>
        <w:pStyle w:val="4"/>
        <w:rPr>
          <w:rFonts w:ascii="Times New Roman" w:hAnsi="Times New Roman"/>
        </w:rPr>
      </w:pPr>
      <w:r w:rsidRPr="000549B1">
        <w:rPr>
          <w:rFonts w:ascii="Times New Roman" w:hAnsi="Times New Roman" w:hint="eastAsia"/>
        </w:rPr>
        <w:t>鱼类资源调查成果回顾</w:t>
      </w:r>
    </w:p>
    <w:p w14:paraId="5C1E2762" w14:textId="77777777" w:rsidR="00AF4186" w:rsidRPr="000549B1" w:rsidRDefault="00AF4186" w:rsidP="00AF4186">
      <w:pPr>
        <w:pStyle w:val="x"/>
      </w:pPr>
      <w:r w:rsidRPr="000549B1">
        <w:t>沙珠玉河流域</w:t>
      </w:r>
      <w:r w:rsidRPr="000549B1">
        <w:t>2018</w:t>
      </w:r>
      <w:r w:rsidRPr="000549B1">
        <w:t>年</w:t>
      </w:r>
      <w:r w:rsidRPr="000549B1">
        <w:t>8</w:t>
      </w:r>
      <w:r w:rsidRPr="000549B1">
        <w:t>月共捕获鱼类</w:t>
      </w:r>
      <w:r w:rsidRPr="000549B1">
        <w:t>2</w:t>
      </w:r>
      <w:r w:rsidRPr="000549B1">
        <w:t>种，隶属于</w:t>
      </w:r>
      <w:r w:rsidRPr="000549B1">
        <w:t>1</w:t>
      </w:r>
      <w:r w:rsidRPr="000549B1">
        <w:t>目</w:t>
      </w:r>
      <w:r w:rsidRPr="000549B1">
        <w:t>2</w:t>
      </w:r>
      <w:r w:rsidRPr="000549B1">
        <w:t>科，均为土著种，其中茶卡高原鳅为沙珠玉河流域特有种（茶卡盐湖附属支流水体有分布），花斑裸鲤主要分布于沙珠玉河干流水体。整体来看物种多样性不高，资源量较小。</w:t>
      </w:r>
      <w:r w:rsidRPr="000549B1">
        <w:t>2018</w:t>
      </w:r>
      <w:r w:rsidRPr="000549B1">
        <w:t>年在沙珠玉河流域共捕获渔获物</w:t>
      </w:r>
      <w:r w:rsidRPr="000549B1">
        <w:t>90</w:t>
      </w:r>
      <w:r w:rsidRPr="000549B1">
        <w:t>尾，平均体重为</w:t>
      </w:r>
      <w:r w:rsidRPr="000549B1">
        <w:t>2.64g</w:t>
      </w:r>
      <w:r w:rsidRPr="000549B1">
        <w:t>。渔获物中茶卡高原鳅所占比例最高，为沙珠玉河流域绝对优势种。</w:t>
      </w:r>
    </w:p>
    <w:p w14:paraId="0BD9BE2F" w14:textId="77777777" w:rsidR="00AF4186" w:rsidRPr="000549B1" w:rsidRDefault="00AF4186" w:rsidP="00AF4186">
      <w:pPr>
        <w:pStyle w:val="4"/>
        <w:rPr>
          <w:rFonts w:ascii="Times New Roman" w:hAnsi="Times New Roman"/>
        </w:rPr>
      </w:pPr>
      <w:r w:rsidRPr="000549B1">
        <w:rPr>
          <w:rFonts w:ascii="Times New Roman" w:hAnsi="Times New Roman" w:hint="eastAsia"/>
        </w:rPr>
        <w:t>鱼类习性及其分布回顾</w:t>
      </w:r>
    </w:p>
    <w:p w14:paraId="3B61D3E9" w14:textId="77777777" w:rsidR="00AF4186" w:rsidRPr="000549B1" w:rsidRDefault="00AF4186" w:rsidP="00AF4186">
      <w:pPr>
        <w:pStyle w:val="x"/>
      </w:pPr>
      <w:r w:rsidRPr="000549B1">
        <w:t>根据调查以及相关资料，沙珠玉河流域无洄游性鱼类，裂腹鱼为短距离洄游产卵鱼类，鱼类产卵繁盛期集中在</w:t>
      </w:r>
      <w:r w:rsidRPr="000549B1">
        <w:t>5</w:t>
      </w:r>
      <w:r w:rsidRPr="000549B1">
        <w:t>月～</w:t>
      </w:r>
      <w:r w:rsidRPr="000549B1">
        <w:t>6</w:t>
      </w:r>
      <w:r w:rsidRPr="000549B1">
        <w:t>月，裂腹鱼类在产卵季节一般逆河而上，沿河寻找缓静水区以及洄水湾等适宜产卵生境，花斑裸鲤</w:t>
      </w:r>
      <w:r w:rsidRPr="000549B1">
        <w:t>5</w:t>
      </w:r>
      <w:r w:rsidRPr="000549B1">
        <w:t>月初开始繁殖洄游，主要繁殖区域位于沙珠玉河干流；茶卡高原鳅鱼类分布范围较广，一般在融冰结束即开始繁殖，可能分批产卵，对产卵环境要求不高，产卵场一般位于靠近主河道的岸边缓静水体，位于沙珠玉河干流，个体适应环境能力较强。捕获鱼类均为产沉粘性卵鱼类，无产漂流性卵的经济鱼类，总体上要求产卵区域位于靠近岸边的缓静水区域，多数要求河床地质为砂石，并且有较多水草分布，水体水温相对较高，接受日照时间相对较长</w:t>
      </w:r>
      <w:r w:rsidRPr="000549B1">
        <w:rPr>
          <w:rFonts w:hint="eastAsia"/>
        </w:rPr>
        <w:t>。</w:t>
      </w:r>
    </w:p>
    <w:p w14:paraId="330B6C62" w14:textId="77777777" w:rsidR="00AF4186" w:rsidRPr="000549B1" w:rsidRDefault="00AF4186" w:rsidP="000549B1">
      <w:pPr>
        <w:pStyle w:val="x"/>
      </w:pPr>
      <w:r w:rsidRPr="000549B1">
        <w:t>沙珠玉河流域分布有裂腹鱼类和高原鳅类两大类群，裂腹鱼类仅有花斑裸鲤</w:t>
      </w:r>
      <w:r w:rsidRPr="000549B1">
        <w:t>1</w:t>
      </w:r>
      <w:r w:rsidRPr="000549B1">
        <w:t>种，主要分布于沙珠玉河干流水域（上游盐湖无分布）；高原鳅类亦仅有</w:t>
      </w:r>
      <w:r w:rsidRPr="000549B1">
        <w:t>1</w:t>
      </w:r>
      <w:r w:rsidRPr="000549B1">
        <w:t>种，为茶卡高原鳅为流域特有种，分布范围较狭窄，仅分布于沙珠玉河干流及其长流水支流，此外在茶卡盐湖汇水支流也有少量分布。茶卡高原鳅在沙珠玉河流域为绝对优势种，其分布范围与花斑裸鲤分布分为基本一致。花斑裸鲤在沙珠玉河资源量较小，本次仅调查到低龄鱼，未采集到性成熟鱼类，种群较小，推测处于衰退期，沙珠玉河流域鱼类资源制约因素为水量减少和饵料匮乏。</w:t>
      </w:r>
    </w:p>
    <w:p w14:paraId="5849C42A" w14:textId="77777777" w:rsidR="00AF4186" w:rsidRPr="000549B1" w:rsidRDefault="00AF4186" w:rsidP="000549B1">
      <w:pPr>
        <w:pStyle w:val="4"/>
      </w:pPr>
      <w:r w:rsidRPr="000549B1">
        <w:rPr>
          <w:rFonts w:ascii="Times New Roman" w:hAnsi="Times New Roman" w:hint="eastAsia"/>
        </w:rPr>
        <w:t>鱼类“三场一道”分布状况回顾</w:t>
      </w:r>
    </w:p>
    <w:p w14:paraId="20F773EC" w14:textId="77777777" w:rsidR="00AF4186" w:rsidRPr="000549B1" w:rsidRDefault="00AF4186" w:rsidP="00AF4186">
      <w:pPr>
        <w:pStyle w:val="x"/>
      </w:pPr>
      <w:r w:rsidRPr="000549B1">
        <w:t>（</w:t>
      </w:r>
      <w:r w:rsidRPr="000549B1">
        <w:t>1</w:t>
      </w:r>
      <w:r w:rsidRPr="000549B1">
        <w:t>）索饵场</w:t>
      </w:r>
    </w:p>
    <w:p w14:paraId="5026F774" w14:textId="77777777" w:rsidR="00AF4186" w:rsidRPr="000549B1" w:rsidRDefault="00AF4186" w:rsidP="00AF4186">
      <w:pPr>
        <w:pStyle w:val="x"/>
      </w:pPr>
      <w:r w:rsidRPr="000549B1">
        <w:t>沙珠玉河河道为宽谷河流，河流相对散乱，河床内主要以泥沙为主，大块砾石相对较少。径流主要由地下水和降水补给。由于沙珠玉河地处高原区，且河流流程短，河床底质不稳定，该水域水生生物物种多样性较差，资源量较小，河流生境多样性不高，无较大的稳定回湾水域和淡水附属水体，鱼类适宜生境多呈点状分布。调查发现沙珠玉河主要鱼类为花斑裸鲤和茶卡高原鳅，鱼类个体小，鱼无集中分布的较大规模的索饵场，鱼类主要在两岸草甸湿地水域索饵，全河段索饵。</w:t>
      </w:r>
    </w:p>
    <w:p w14:paraId="01F00B5D" w14:textId="77777777" w:rsidR="00AF4186" w:rsidRPr="000549B1" w:rsidRDefault="00AF4186" w:rsidP="00AF4186">
      <w:pPr>
        <w:pStyle w:val="x"/>
      </w:pPr>
      <w:r w:rsidRPr="000549B1">
        <w:t>（</w:t>
      </w:r>
      <w:r w:rsidRPr="000549B1">
        <w:t>2</w:t>
      </w:r>
      <w:r w:rsidRPr="000549B1">
        <w:t>）越冬场</w:t>
      </w:r>
    </w:p>
    <w:p w14:paraId="70F0A9AD" w14:textId="77777777" w:rsidR="00AF4186" w:rsidRPr="000549B1" w:rsidRDefault="00AF4186" w:rsidP="00AF4186">
      <w:pPr>
        <w:pStyle w:val="x"/>
      </w:pPr>
      <w:r w:rsidRPr="000549B1">
        <w:t>沙珠玉河鱼类越冬场主要分布于个别水深较深的区域，冬季水流相对变缓，不易受到外界干扰。部分喜微流水小型鱼类的越冬场在河道浅湾处。此外沙珠玉河部分有河湾和深水潭形成了土著鱼类的越冬场，白天浅水区域水温上升较快，也是鱼类的理想越冬场。</w:t>
      </w:r>
    </w:p>
    <w:p w14:paraId="5BAA4936" w14:textId="77777777" w:rsidR="00AF4186" w:rsidRPr="000549B1" w:rsidRDefault="00AF4186" w:rsidP="00AF4186">
      <w:pPr>
        <w:pStyle w:val="x"/>
      </w:pPr>
      <w:r w:rsidRPr="000549B1">
        <w:t>（</w:t>
      </w:r>
      <w:r w:rsidRPr="000549B1">
        <w:t>3</w:t>
      </w:r>
      <w:r w:rsidRPr="000549B1">
        <w:t>）产卵场</w:t>
      </w:r>
    </w:p>
    <w:p w14:paraId="2EC774A9" w14:textId="77777777" w:rsidR="00AF4186" w:rsidRPr="000549B1" w:rsidRDefault="00AF4186" w:rsidP="00AF4186">
      <w:pPr>
        <w:pStyle w:val="x"/>
      </w:pPr>
      <w:r w:rsidRPr="000549B1">
        <w:t>根据实地调查显示，沙珠玉河流域无洄游性鱼类，沙珠玉河干流是花斑裸鲤和茶卡高原鳅的主要繁殖区，产卵场点状分布，为高原鳅和花斑裸鲤混合产卵场。通过生境分析，沙珠玉河多数支流不具备鱼类繁殖条件。</w:t>
      </w:r>
    </w:p>
    <w:p w14:paraId="3A7EA1EF" w14:textId="77777777" w:rsidR="00054437" w:rsidRPr="000549B1" w:rsidRDefault="00054437">
      <w:pPr>
        <w:pStyle w:val="x"/>
      </w:pPr>
    </w:p>
    <w:p w14:paraId="5637E720" w14:textId="77777777" w:rsidR="00054437" w:rsidRPr="000549B1" w:rsidRDefault="00000000">
      <w:pPr>
        <w:pStyle w:val="2"/>
        <w:rPr>
          <w:rFonts w:ascii="Times New Roman" w:hAnsi="Times New Roman"/>
        </w:rPr>
      </w:pPr>
      <w:bookmarkStart w:id="328" w:name="_Toc11385"/>
      <w:bookmarkStart w:id="329" w:name="_Toc9144628"/>
      <w:bookmarkStart w:id="330" w:name="_Toc208583923"/>
      <w:bookmarkStart w:id="331" w:name="_Toc216107032"/>
      <w:r w:rsidRPr="000549B1">
        <w:rPr>
          <w:rFonts w:ascii="Times New Roman" w:hAnsi="Times New Roman"/>
        </w:rPr>
        <w:t>资源环境制约因素分析</w:t>
      </w:r>
      <w:bookmarkEnd w:id="328"/>
      <w:bookmarkEnd w:id="329"/>
      <w:bookmarkEnd w:id="330"/>
      <w:bookmarkEnd w:id="331"/>
    </w:p>
    <w:p w14:paraId="20073A9F" w14:textId="77777777" w:rsidR="00054437" w:rsidRPr="000549B1" w:rsidRDefault="00000000">
      <w:pPr>
        <w:pStyle w:val="zhang3"/>
        <w:spacing w:before="156" w:after="156"/>
      </w:pPr>
      <w:r w:rsidRPr="000549B1">
        <w:t>生态保护红线</w:t>
      </w:r>
    </w:p>
    <w:p w14:paraId="5060AB72" w14:textId="77777777" w:rsidR="00054437" w:rsidRPr="000549B1" w:rsidRDefault="00000000">
      <w:pPr>
        <w:pStyle w:val="x"/>
      </w:pPr>
      <w:r w:rsidRPr="000549B1">
        <w:t>根据沙珠玉河流域生态保护红线划定成果，流域内共划定</w:t>
      </w:r>
      <w:r w:rsidRPr="000549B1">
        <w:rPr>
          <w:rStyle w:val="aff0"/>
          <w:b w:val="0"/>
          <w:bCs w:val="0"/>
        </w:rPr>
        <w:t>2</w:t>
      </w:r>
      <w:r w:rsidRPr="000549B1">
        <w:t>处生态保护红线区域，主要类型涵盖水源涵养和水土保持功能，并均以生物多样性保护为重要目标。一处为</w:t>
      </w:r>
      <w:r w:rsidRPr="000549B1">
        <w:rPr>
          <w:rFonts w:ascii="宋体" w:hAnsi="宋体"/>
        </w:rPr>
        <w:t>“</w:t>
      </w:r>
      <w:r w:rsidRPr="000549B1">
        <w:t>柴达木盆地土地沙化防控与生物多样维护生态保护红线</w:t>
      </w:r>
      <w:r w:rsidRPr="000549B1">
        <w:rPr>
          <w:rFonts w:ascii="宋体" w:hAnsi="宋体"/>
        </w:rPr>
        <w:t>”</w:t>
      </w:r>
      <w:r w:rsidRPr="000549B1">
        <w:t>，位于共和县切吉乡，功能侧重于防风固沙、水土保持；另一处为</w:t>
      </w:r>
      <w:r w:rsidRPr="000549B1">
        <w:rPr>
          <w:rFonts w:ascii="宋体" w:hAnsi="宋体"/>
        </w:rPr>
        <w:t>“</w:t>
      </w:r>
      <w:r w:rsidRPr="000549B1">
        <w:t>青海湖水源涵养与生物多样性维护生态保护红线</w:t>
      </w:r>
      <w:r w:rsidRPr="000549B1">
        <w:rPr>
          <w:rFonts w:ascii="宋体" w:hAnsi="宋体"/>
        </w:rPr>
        <w:t>”</w:t>
      </w:r>
      <w:r w:rsidRPr="000549B1">
        <w:t>，位于共和县廿地乡，功能侧重于水源涵养。上述红线区的划定数量和类型表明，沙珠玉河流域在空间生态管控上被严格约束：既保障了有限水源涵养区的水源补给安全，也维护了荒漠生态系统和珍稀物种栖息地不受扰动。这些生态红线的严守对于防止水源过度开发、遏制土地沙化扩展、保护生物多样性具有关键作用，构成了本流域规划必须遵循的生态空间底线。各拟建水利工程在选址时已充分考虑红线避让，确保不触碰流域内的生态保护红线约束。总体而言，沙珠玉河流域的生态保护红线体系以水源涵养、生物多样性维护和水土保持三类功能为主，数量为</w:t>
      </w:r>
      <w:r w:rsidRPr="000549B1">
        <w:t>2</w:t>
      </w:r>
      <w:r w:rsidRPr="000549B1">
        <w:t>处，为流域生态安全提供了</w:t>
      </w:r>
      <w:r w:rsidRPr="000549B1">
        <w:rPr>
          <w:rStyle w:val="aff0"/>
          <w:b w:val="0"/>
          <w:bCs w:val="0"/>
        </w:rPr>
        <w:t>刚性约束</w:t>
      </w:r>
      <w:r w:rsidRPr="000549B1">
        <w:t>基础。</w:t>
      </w:r>
    </w:p>
    <w:p w14:paraId="279E0B68" w14:textId="77777777" w:rsidR="00054437" w:rsidRPr="000549B1" w:rsidRDefault="00000000">
      <w:pPr>
        <w:pStyle w:val="zhang3"/>
        <w:spacing w:before="156" w:after="156"/>
      </w:pPr>
      <w:r w:rsidRPr="000549B1">
        <w:t>环境质量底线</w:t>
      </w:r>
    </w:p>
    <w:p w14:paraId="75286A32" w14:textId="4E5240D0" w:rsidR="00054437" w:rsidRPr="000549B1" w:rsidRDefault="00000000">
      <w:pPr>
        <w:pStyle w:val="x"/>
      </w:pPr>
      <w:r w:rsidRPr="000549B1">
        <w:rPr>
          <w:rStyle w:val="aff0"/>
          <w:b w:val="0"/>
          <w:bCs w:val="0"/>
        </w:rPr>
        <w:t>水环境功能目标</w:t>
      </w:r>
      <w:r w:rsidRPr="000549B1">
        <w:t>方面，沙珠玉河被划定为农业用水区（水功能区二级区为</w:t>
      </w:r>
      <w:r w:rsidRPr="000549B1">
        <w:rPr>
          <w:rFonts w:ascii="宋体" w:hAnsi="宋体"/>
        </w:rPr>
        <w:t>“</w:t>
      </w:r>
      <w:r w:rsidRPr="000549B1">
        <w:t>沙珠玉共和农业用水区</w:t>
      </w:r>
      <w:r w:rsidRPr="000549B1">
        <w:rPr>
          <w:rFonts w:ascii="宋体" w:hAnsi="宋体"/>
        </w:rPr>
        <w:t>”</w:t>
      </w:r>
      <w:r w:rsidRPr="000549B1">
        <w:t>），要求河流水质达到</w:t>
      </w:r>
      <w:r w:rsidRPr="000549B1">
        <w:t>Ⅲ</w:t>
      </w:r>
      <w:r w:rsidRPr="000549B1">
        <w:t>类标准。现状监测显示流域主要河段水质基本满足</w:t>
      </w:r>
      <w:r w:rsidRPr="000549B1">
        <w:t>Ⅱ</w:t>
      </w:r>
      <w:r w:rsidRPr="000549B1">
        <w:t>～</w:t>
      </w:r>
      <w:r w:rsidRPr="000549B1">
        <w:t>Ⅲ</w:t>
      </w:r>
      <w:r w:rsidRPr="000549B1">
        <w:t>类标准</w:t>
      </w:r>
      <w:r w:rsidRPr="000549B1">
        <w:rPr>
          <w:rFonts w:hint="eastAsia"/>
        </w:rPr>
        <w:t>。其中：</w:t>
      </w:r>
      <w:r w:rsidRPr="000549B1">
        <w:t>切吉河及直亥买沟等典型断面在枯水期和丰水期的水质类别介于</w:t>
      </w:r>
      <w:r w:rsidRPr="000549B1">
        <w:t>Ⅱ</w:t>
      </w:r>
      <w:r w:rsidRPr="000549B1">
        <w:t>类和</w:t>
      </w:r>
      <w:r w:rsidRPr="000549B1">
        <w:t>Ⅲ</w:t>
      </w:r>
      <w:r w:rsidRPr="000549B1">
        <w:t>类之间。全流域地表水环境质量达标率为</w:t>
      </w:r>
      <w:r w:rsidRPr="000549B1">
        <w:t>100%</w:t>
      </w:r>
      <w:r w:rsidRPr="000549B1">
        <w:t>，集中式饮用水水源地水质亦全部达到</w:t>
      </w:r>
      <w:r w:rsidRPr="000549B1">
        <w:t>Ⅲ</w:t>
      </w:r>
      <w:r w:rsidRPr="000549B1">
        <w:t>类及以上标准。因此，在水质方面，</w:t>
      </w:r>
      <w:r w:rsidRPr="000549B1">
        <w:rPr>
          <w:rStyle w:val="aff0"/>
          <w:b w:val="0"/>
          <w:bCs w:val="0"/>
        </w:rPr>
        <w:t>流域目前未触及环境质量底线</w:t>
      </w:r>
      <w:r w:rsidRPr="000549B1">
        <w:t>：河流水质总体达到功能区目标要求，饮用水源地水质安全</w:t>
      </w:r>
      <w:r w:rsidRPr="000549B1">
        <w:rPr>
          <w:rStyle w:val="aff0"/>
          <w:b w:val="0"/>
          <w:bCs w:val="0"/>
        </w:rPr>
        <w:t>全面达标</w:t>
      </w:r>
      <w:r w:rsidRPr="000549B1">
        <w:t>。然而，</w:t>
      </w:r>
      <w:r w:rsidRPr="000549B1">
        <w:rPr>
          <w:rStyle w:val="aff0"/>
          <w:b w:val="0"/>
          <w:bCs w:val="0"/>
        </w:rPr>
        <w:t>水量和生态基流底线</w:t>
      </w:r>
      <w:r w:rsidRPr="000549B1">
        <w:t>方面存在明显制约。沙珠玉河属于高寒半干旱区季节性河流，枯水期河道经常断流，生态基流难以有效保障。下游尾闾湖泊（如达连海等）一度出现萎缩干涸趋势，表明河道最低生态流水量未能长期维持。这一现状说明，沙珠玉河</w:t>
      </w:r>
      <w:r w:rsidRPr="000549B1">
        <w:rPr>
          <w:rStyle w:val="aff0"/>
          <w:b w:val="0"/>
          <w:bCs w:val="0"/>
        </w:rPr>
        <w:t>部分突破了河流生态流量的底线要求</w:t>
      </w:r>
      <w:r w:rsidRPr="000549B1">
        <w:t>：基本生态用水尚不足，河流连通性和水生生境受到影响。针对该问题，规划已提出通过河道综合整治、增加生态补水等措施保障下泄生态流量。综合来看，沙珠玉河流域在水环境质量方面尚能维持国家和地方既定底线，但在水资源</w:t>
      </w:r>
      <w:r w:rsidRPr="000549B1">
        <w:rPr>
          <w:rStyle w:val="aff0"/>
          <w:b w:val="0"/>
          <w:bCs w:val="0"/>
        </w:rPr>
        <w:t>数量</w:t>
      </w:r>
      <w:r w:rsidRPr="000549B1">
        <w:t>（生态流量）底线方面存在短板，需要严格管控来确保不断流和生态需水得到满足。</w:t>
      </w:r>
    </w:p>
    <w:p w14:paraId="2A7F0311" w14:textId="6E46AC33" w:rsidR="00054437" w:rsidRPr="000549B1" w:rsidRDefault="00000000">
      <w:pPr>
        <w:pStyle w:val="zhang3"/>
        <w:spacing w:before="156" w:after="156"/>
      </w:pPr>
      <w:r w:rsidRPr="000549B1">
        <w:t>资源利用上线</w:t>
      </w:r>
    </w:p>
    <w:p w14:paraId="289108BE" w14:textId="77777777" w:rsidR="00AB2A7B" w:rsidRPr="000549B1" w:rsidRDefault="00AB2A7B" w:rsidP="00AB2A7B">
      <w:pPr>
        <w:pStyle w:val="x"/>
      </w:pPr>
      <w:r w:rsidRPr="000549B1">
        <w:t>沙珠玉河流域水资源开发利用已接近或局部超过资源利用</w:t>
      </w:r>
      <w:r w:rsidRPr="000549B1">
        <w:rPr>
          <w:rFonts w:hint="eastAsia"/>
        </w:rPr>
        <w:t>上限</w:t>
      </w:r>
      <w:r w:rsidRPr="000549B1">
        <w:t>约束。</w:t>
      </w:r>
      <w:r w:rsidRPr="000549B1">
        <w:rPr>
          <w:rFonts w:hint="eastAsia"/>
        </w:rPr>
        <w:t>用水总量方面</w:t>
      </w:r>
      <w:r w:rsidRPr="000549B1">
        <w:t>，</w:t>
      </w:r>
      <w:r w:rsidRPr="000549B1">
        <w:rPr>
          <w:rFonts w:hint="eastAsia"/>
        </w:rPr>
        <w:t>沙珠玉河流域多年平均地表水河川径流量为</w:t>
      </w:r>
      <w:r w:rsidRPr="000549B1">
        <w:t>13811</w:t>
      </w:r>
      <w:r w:rsidRPr="000549B1">
        <w:rPr>
          <w:rFonts w:hint="eastAsia"/>
        </w:rPr>
        <w:t>亿</w:t>
      </w:r>
      <w:r w:rsidRPr="000549B1">
        <w:t>m</w:t>
      </w:r>
      <w:r w:rsidRPr="000549B1">
        <w:rPr>
          <w:vertAlign w:val="superscript"/>
        </w:rPr>
        <w:t>3</w:t>
      </w:r>
      <w:r w:rsidRPr="000549B1">
        <w:rPr>
          <w:rFonts w:hint="eastAsia"/>
        </w:rPr>
        <w:t>，扣除下泄生态水量及河道基流量，可利用量为</w:t>
      </w:r>
      <w:r w:rsidRPr="000549B1">
        <w:t>11049</w:t>
      </w:r>
      <w:r w:rsidRPr="000549B1">
        <w:rPr>
          <w:rFonts w:hint="eastAsia"/>
        </w:rPr>
        <w:t>亿</w:t>
      </w:r>
      <w:r w:rsidRPr="000549B1">
        <w:t>m</w:t>
      </w:r>
      <w:r w:rsidRPr="000549B1">
        <w:rPr>
          <w:vertAlign w:val="superscript"/>
        </w:rPr>
        <w:t>3</w:t>
      </w:r>
      <w:r w:rsidRPr="000549B1">
        <w:rPr>
          <w:rFonts w:hint="eastAsia"/>
        </w:rPr>
        <w:t>，沙珠玉河流域</w:t>
      </w:r>
      <w:r w:rsidRPr="000549B1">
        <w:t>2024</w:t>
      </w:r>
      <w:r w:rsidRPr="000549B1">
        <w:rPr>
          <w:rFonts w:hint="eastAsia"/>
        </w:rPr>
        <w:t>年地表水实际供水量</w:t>
      </w:r>
      <w:r w:rsidRPr="000549B1">
        <w:t>6520</w:t>
      </w:r>
      <w:r w:rsidRPr="000549B1">
        <w:rPr>
          <w:rFonts w:hint="eastAsia"/>
        </w:rPr>
        <w:t>万</w:t>
      </w:r>
      <w:r w:rsidRPr="000549B1">
        <w:t>m</w:t>
      </w:r>
      <w:r w:rsidRPr="000549B1">
        <w:rPr>
          <w:vertAlign w:val="superscript"/>
        </w:rPr>
        <w:t>3</w:t>
      </w:r>
      <w:r w:rsidRPr="000549B1">
        <w:rPr>
          <w:rFonts w:hint="eastAsia"/>
        </w:rPr>
        <w:t>，按地表水河川径流量计算的地表水开发利用率为</w:t>
      </w:r>
      <w:r w:rsidRPr="000549B1">
        <w:t>47%</w:t>
      </w:r>
      <w:r w:rsidRPr="000549B1">
        <w:rPr>
          <w:rFonts w:hint="eastAsia"/>
        </w:rPr>
        <w:t>，按可利用量计算的地表水开发利用率为</w:t>
      </w:r>
      <w:r w:rsidRPr="000549B1">
        <w:t>59%</w:t>
      </w:r>
      <w:r w:rsidRPr="000549B1">
        <w:rPr>
          <w:rFonts w:hint="eastAsia"/>
        </w:rPr>
        <w:t>，地表水开发利用程度较高。这一开发利用强度明显高于国家倡导的水资源开发利用率红线（一般控制在</w:t>
      </w:r>
      <w:r w:rsidRPr="000549B1">
        <w:rPr>
          <w:rFonts w:hint="eastAsia"/>
        </w:rPr>
        <w:t>40%</w:t>
      </w:r>
      <w:r w:rsidRPr="000549B1">
        <w:rPr>
          <w:rFonts w:hint="eastAsia"/>
        </w:rPr>
        <w:t>以内）。同时，地下水年开采量约</w:t>
      </w:r>
      <w:r w:rsidRPr="000549B1">
        <w:rPr>
          <w:rFonts w:hint="eastAsia"/>
        </w:rPr>
        <w:t>0.0753</w:t>
      </w:r>
      <w:r w:rsidRPr="000549B1">
        <w:rPr>
          <w:rFonts w:hint="eastAsia"/>
        </w:rPr>
        <w:t>亿</w:t>
      </w:r>
      <w:r w:rsidRPr="000549B1">
        <w:rPr>
          <w:rFonts w:hint="eastAsia"/>
        </w:rPr>
        <w:t>m</w:t>
      </w:r>
      <w:r w:rsidRPr="000549B1">
        <w:rPr>
          <w:rFonts w:hint="eastAsia"/>
        </w:rPr>
        <w:t>³，占可开采量的</w:t>
      </w:r>
      <w:r w:rsidRPr="000549B1">
        <w:rPr>
          <w:rFonts w:hint="eastAsia"/>
        </w:rPr>
        <w:t>58%</w:t>
      </w:r>
      <w:r w:rsidRPr="000549B1">
        <w:rPr>
          <w:rFonts w:hint="eastAsia"/>
        </w:rPr>
        <w:t>。</w:t>
      </w:r>
      <w:r w:rsidRPr="000549B1">
        <w:t>流域水资源</w:t>
      </w:r>
      <w:r w:rsidRPr="000549B1">
        <w:rPr>
          <w:rStyle w:val="aff0"/>
          <w:b w:val="0"/>
          <w:bCs w:val="0"/>
        </w:rPr>
        <w:t>总体开发率</w:t>
      </w:r>
      <w:r w:rsidRPr="000549B1">
        <w:t>偏高，已接近海南州下达的控制指标上限，存在突破区域用水总量红线的风险。</w:t>
      </w:r>
      <w:r w:rsidRPr="000549B1">
        <w:rPr>
          <w:rStyle w:val="aff0"/>
          <w:b w:val="0"/>
          <w:bCs w:val="0"/>
        </w:rPr>
        <w:t>用水效率方面</w:t>
      </w:r>
      <w:r w:rsidRPr="000549B1">
        <w:t>，虽然流域工业以清洁能源产业为主，工业万元增加值用水量约</w:t>
      </w:r>
      <w:r w:rsidRPr="000549B1">
        <w:t>7.9m³/</w:t>
      </w:r>
      <w:r w:rsidRPr="000549B1">
        <w:t>万元，仅略高于海南州平均水平</w:t>
      </w:r>
      <w:r w:rsidRPr="000549B1">
        <w:t>7m³/</w:t>
      </w:r>
      <w:r w:rsidRPr="000549B1">
        <w:t>万元，远低于青海省平均</w:t>
      </w:r>
      <w:r w:rsidRPr="000549B1">
        <w:t>25m³/</w:t>
      </w:r>
      <w:r w:rsidRPr="000549B1">
        <w:t>万元。这表明工业用水效率相对较好，未超出全省用水强度控制上线。但</w:t>
      </w:r>
      <w:r w:rsidRPr="000549B1">
        <w:rPr>
          <w:rStyle w:val="aff0"/>
          <w:b w:val="0"/>
          <w:bCs w:val="0"/>
        </w:rPr>
        <w:t>农业用水效率</w:t>
      </w:r>
      <w:r w:rsidRPr="000549B1">
        <w:t>相对滞后：农田灌溉亩均用水量约</w:t>
      </w:r>
      <w:r w:rsidRPr="000549B1">
        <w:t>300m³/</w:t>
      </w:r>
      <w:r w:rsidRPr="000549B1">
        <w:t>亩，低于州平均水平，反映出因水源不足实施了非充分灌溉；现状灌溉水利用系数仅为</w:t>
      </w:r>
      <w:r w:rsidRPr="000549B1">
        <w:t>0.467</w:t>
      </w:r>
      <w:r w:rsidRPr="000549B1">
        <w:t>，低于海南州平均</w:t>
      </w:r>
      <w:r w:rsidRPr="000549B1">
        <w:t>0.474</w:t>
      </w:r>
      <w:r w:rsidRPr="000549B1">
        <w:t>和青海省平均</w:t>
      </w:r>
      <w:r w:rsidRPr="000549B1">
        <w:t>0.509</w:t>
      </w:r>
      <w:r w:rsidRPr="000549B1">
        <w:t>，也低于青海省下达的</w:t>
      </w:r>
      <w:r w:rsidRPr="000549B1">
        <w:t>2025</w:t>
      </w:r>
      <w:r w:rsidRPr="000549B1">
        <w:t>年目标值</w:t>
      </w:r>
      <w:r w:rsidRPr="000549B1">
        <w:t>0.488</w:t>
      </w:r>
      <w:r w:rsidRPr="000549B1">
        <w:t>。灌溉低效意味着单位农业产出耗水偏高，表明</w:t>
      </w:r>
      <w:r w:rsidRPr="000549B1">
        <w:rPr>
          <w:rStyle w:val="aff0"/>
          <w:b w:val="0"/>
          <w:bCs w:val="0"/>
        </w:rPr>
        <w:t>用水效率红线</w:t>
      </w:r>
      <w:r w:rsidRPr="000549B1">
        <w:t>尚未达标。</w:t>
      </w:r>
    </w:p>
    <w:p w14:paraId="5F091685" w14:textId="77777777" w:rsidR="00AB2A7B" w:rsidRPr="000549B1" w:rsidRDefault="00AB2A7B" w:rsidP="00AB2A7B">
      <w:pPr>
        <w:pStyle w:val="x"/>
      </w:pPr>
      <w:r w:rsidRPr="000549B1">
        <w:t>综上，沙珠玉河流域总用水量及水资源开发强度处于偏高水平，灌溉用水效率未达到控制要求</w:t>
      </w:r>
      <w:r w:rsidRPr="000549B1">
        <w:rPr>
          <w:rFonts w:hint="eastAsia"/>
        </w:rPr>
        <w:t>，需</w:t>
      </w:r>
      <w:r w:rsidRPr="000549B1">
        <w:t>通过总量控制、节水增效等措施加以严控。规划流域用水方案已与海南州水资源综合规划指标衔接，确保</w:t>
      </w:r>
      <w:r w:rsidRPr="000549B1">
        <w:t>2035</w:t>
      </w:r>
      <w:r w:rsidRPr="000549B1">
        <w:t>年总用水规模不超出州级下达的用水上限；同时强化节水灌溉和非常规水源利用，以提升灌溉系数和用水效率，将各项指标控制在国家及地方规定的上线以内。</w:t>
      </w:r>
    </w:p>
    <w:p w14:paraId="0D79D519" w14:textId="77777777" w:rsidR="00054437" w:rsidRPr="000549B1" w:rsidRDefault="00054437">
      <w:pPr>
        <w:sectPr w:rsidR="00054437" w:rsidRPr="000549B1">
          <w:pgSz w:w="11906" w:h="16838"/>
          <w:pgMar w:top="1440" w:right="1800" w:bottom="1440" w:left="1800" w:header="851" w:footer="992" w:gutter="0"/>
          <w:cols w:space="425"/>
          <w:docGrid w:type="lines" w:linePitch="312"/>
        </w:sectPr>
      </w:pPr>
    </w:p>
    <w:p w14:paraId="15F0CDF1" w14:textId="77777777" w:rsidR="00054437" w:rsidRPr="000549B1" w:rsidRDefault="00000000">
      <w:pPr>
        <w:pStyle w:val="1"/>
      </w:pPr>
      <w:bookmarkStart w:id="332" w:name="_Toc208583924"/>
      <w:bookmarkStart w:id="333" w:name="_Toc22673"/>
      <w:bookmarkStart w:id="334" w:name="_Toc9144629"/>
      <w:bookmarkStart w:id="335" w:name="_Toc216107033"/>
      <w:r w:rsidRPr="000549B1">
        <w:t>环境影响识别与评价指标体系</w:t>
      </w:r>
      <w:bookmarkEnd w:id="332"/>
      <w:bookmarkEnd w:id="333"/>
      <w:bookmarkEnd w:id="334"/>
      <w:r w:rsidRPr="000549B1">
        <w:rPr>
          <w:rFonts w:hint="eastAsia"/>
        </w:rPr>
        <w:t>构建</w:t>
      </w:r>
      <w:bookmarkEnd w:id="335"/>
    </w:p>
    <w:p w14:paraId="52195052" w14:textId="77777777" w:rsidR="00054437" w:rsidRPr="000549B1" w:rsidRDefault="00000000">
      <w:pPr>
        <w:pStyle w:val="2"/>
        <w:rPr>
          <w:rFonts w:ascii="Times New Roman" w:hAnsi="Times New Roman"/>
        </w:rPr>
      </w:pPr>
      <w:bookmarkStart w:id="336" w:name="_Toc9144630"/>
      <w:bookmarkStart w:id="337" w:name="_Toc12702"/>
      <w:bookmarkStart w:id="338" w:name="_Toc208583925"/>
      <w:bookmarkStart w:id="339" w:name="_Toc216107034"/>
      <w:r w:rsidRPr="000549B1">
        <w:rPr>
          <w:rFonts w:ascii="Times New Roman" w:hAnsi="Times New Roman"/>
        </w:rPr>
        <w:t>环境影响识别</w:t>
      </w:r>
      <w:bookmarkEnd w:id="336"/>
      <w:bookmarkEnd w:id="337"/>
      <w:bookmarkEnd w:id="338"/>
      <w:bookmarkEnd w:id="339"/>
    </w:p>
    <w:p w14:paraId="1D446C35" w14:textId="77777777" w:rsidR="00054437" w:rsidRPr="000549B1" w:rsidRDefault="00000000">
      <w:pPr>
        <w:pStyle w:val="x"/>
      </w:pPr>
      <w:r w:rsidRPr="000549B1">
        <w:t>沙珠玉河流域综合规划由水资源规划、防洪规划、水土保持规划、城乡供水规划、综合管理规划等组成，根据规划目标、布局及各专项规划主要内容，在现状调查和规划分析基础上，从维持国家生态安全和黄河流域水资源和生态安全战略角度，充分考虑沙珠玉河流域生态环境环境特点、社会经济背景等，进行沙珠玉河流域综合规划环境影响识别，重点关注流域性、累积性和长期性环境影响，识别规划方案实施可能对资源环境系统和社会经济系统可能造成的影响。</w:t>
      </w:r>
    </w:p>
    <w:p w14:paraId="4FFCA1E4" w14:textId="77777777" w:rsidR="00054437" w:rsidRPr="000549B1" w:rsidRDefault="00000000">
      <w:pPr>
        <w:pStyle w:val="x"/>
      </w:pPr>
      <w:r w:rsidRPr="000549B1">
        <w:t>（</w:t>
      </w:r>
      <w:r w:rsidRPr="000549B1">
        <w:t>1</w:t>
      </w:r>
      <w:r w:rsidRPr="000549B1">
        <w:t>）水资源规划</w:t>
      </w:r>
    </w:p>
    <w:p w14:paraId="29DB76BB" w14:textId="77777777" w:rsidR="00054437" w:rsidRPr="000549B1" w:rsidRDefault="00000000">
      <w:pPr>
        <w:pStyle w:val="x"/>
      </w:pPr>
      <w:r w:rsidRPr="000549B1">
        <w:rPr>
          <w:rStyle w:val="aff0"/>
          <w:b w:val="0"/>
          <w:bCs w:val="0"/>
        </w:rPr>
        <w:t>水资源规划通过统筹配置全流域有限的水资源，有利于提高用水效率，缓解当前供需矛盾。规划优先满足河道最小生态流量，有助于在极端缺水条件下保障基本生态用水，维持河流和下游湖泊的生命线。总体上，水资源的统一调度和总量控制可改善流域水资源的可持续利用</w:t>
      </w:r>
      <w:r w:rsidRPr="000549B1">
        <w:t>，为生态恢复和经济发展提供基础支撑。</w:t>
      </w:r>
    </w:p>
    <w:p w14:paraId="6366A1AC" w14:textId="77777777" w:rsidR="00054437" w:rsidRPr="000549B1" w:rsidRDefault="00000000">
      <w:pPr>
        <w:pStyle w:val="x"/>
      </w:pPr>
      <w:r w:rsidRPr="000549B1">
        <w:rPr>
          <w:rStyle w:val="aff0"/>
          <w:b w:val="0"/>
          <w:bCs w:val="0"/>
        </w:rPr>
        <w:t>在全面开发利用水资源的同时，生态用水压力依然突出。规划采取严格用水上限（如以水资源总量</w:t>
      </w:r>
      <w:r w:rsidRPr="000549B1">
        <w:rPr>
          <w:rStyle w:val="aff0"/>
          <w:b w:val="0"/>
          <w:bCs w:val="0"/>
        </w:rPr>
        <w:t>40%</w:t>
      </w:r>
      <w:r w:rsidRPr="000549B1">
        <w:rPr>
          <w:rStyle w:val="aff0"/>
          <w:b w:val="0"/>
          <w:bCs w:val="0"/>
        </w:rPr>
        <w:t>的可利用率），虽然保留了一定生态水量，但若各行业用水趋于上限，河川基流仍可能显著减少，生态水量长期不足的风险增加。此外，气候变化或来水波动可能导致生态流量难以保障。一旦出现超计划用水或调度不当，可能打破原有脆弱生态平衡</w:t>
      </w:r>
      <w:r w:rsidRPr="000549B1">
        <w:t>，使下游湿地和河道出现断流风险，生态系统承受更大缺水压力。</w:t>
      </w:r>
    </w:p>
    <w:p w14:paraId="73553719" w14:textId="77777777" w:rsidR="00054437" w:rsidRPr="000549B1" w:rsidRDefault="00000000">
      <w:pPr>
        <w:pStyle w:val="x"/>
      </w:pPr>
      <w:r w:rsidRPr="000549B1">
        <w:t>（</w:t>
      </w:r>
      <w:r w:rsidRPr="000549B1">
        <w:t>2</w:t>
      </w:r>
      <w:r w:rsidRPr="000549B1">
        <w:t>）防洪规划</w:t>
      </w:r>
    </w:p>
    <w:p w14:paraId="272F9E57" w14:textId="77777777" w:rsidR="00054437" w:rsidRPr="000549B1" w:rsidRDefault="00000000">
      <w:pPr>
        <w:pStyle w:val="x"/>
      </w:pPr>
      <w:r w:rsidRPr="000549B1">
        <w:rPr>
          <w:rStyle w:val="aff0"/>
          <w:b w:val="0"/>
          <w:bCs w:val="0"/>
        </w:rPr>
        <w:t>防洪规划着眼于保障沿岸乡镇和耕地的安全，通过提升防洪标准、建设必要的防洪工程，能够减少洪涝灾害对人居环境和农业生产的威胁</w:t>
      </w:r>
      <w:r w:rsidRPr="000549B1">
        <w:t>。洪水的有效调控还有助于减轻泥沙淤积和水土流失，对下游河道和湖泊起到一定的保护作用。总体而言，防洪措施降低了极端洪水对流域社会经济的冲击，间接维护了农业生态和人民生命财产安全。</w:t>
      </w:r>
    </w:p>
    <w:p w14:paraId="68DA2494" w14:textId="77777777" w:rsidR="00054437" w:rsidRPr="000549B1" w:rsidRDefault="00000000">
      <w:pPr>
        <w:pStyle w:val="x"/>
      </w:pPr>
      <w:r w:rsidRPr="000549B1">
        <w:rPr>
          <w:rStyle w:val="aff0"/>
          <w:b w:val="0"/>
          <w:bCs w:val="0"/>
        </w:rPr>
        <w:t>由于沙珠玉河洪水规模相对不大，防洪工程相对有限，但仍需注意工程措施可能带来的河流生态影响</w:t>
      </w:r>
      <w:r w:rsidRPr="000549B1">
        <w:t>。例如，如规划新建堤防或对河道进行渠化整治，可能</w:t>
      </w:r>
      <w:r w:rsidRPr="000549B1">
        <w:rPr>
          <w:rStyle w:val="aff0"/>
          <w:b w:val="0"/>
          <w:bCs w:val="0"/>
        </w:rPr>
        <w:t>割裂河流与滩地的联系</w:t>
      </w:r>
      <w:r w:rsidRPr="000549B1">
        <w:t>，影响洪泛区湿地的补水和养分沉积，减少生境多样性。河道渠化（如扎布达村至达连海段已渠化）将使河流流态单一化，不利于水生生物栖息和繁衍。防洪工程施工也会带来短期扰动，可能造成岸坡植被破坏和泥沙入河，</w:t>
      </w:r>
      <w:r w:rsidRPr="000549B1">
        <w:rPr>
          <w:rStyle w:val="aff0"/>
          <w:b w:val="0"/>
          <w:bCs w:val="0"/>
        </w:rPr>
        <w:t>累积</w:t>
      </w:r>
      <w:r w:rsidRPr="000549B1">
        <w:t>影响河道局部水生环境。虽然防洪规划主要利好于人居环境，但仍需权衡工程措施对</w:t>
      </w:r>
      <w:r w:rsidRPr="000549B1">
        <w:rPr>
          <w:rStyle w:val="aff0"/>
          <w:b w:val="0"/>
          <w:bCs w:val="0"/>
        </w:rPr>
        <w:t>自然河流过程</w:t>
      </w:r>
      <w:r w:rsidRPr="000549B1">
        <w:t>和生态系统的长期影响。</w:t>
      </w:r>
    </w:p>
    <w:p w14:paraId="13BA2BB8" w14:textId="77777777" w:rsidR="00054437" w:rsidRPr="000549B1" w:rsidRDefault="00000000">
      <w:pPr>
        <w:pStyle w:val="x"/>
      </w:pPr>
      <w:r w:rsidRPr="000549B1">
        <w:t>（</w:t>
      </w:r>
      <w:r w:rsidRPr="000549B1">
        <w:t>3</w:t>
      </w:r>
      <w:r w:rsidRPr="000549B1">
        <w:t>）水土保持规划</w:t>
      </w:r>
    </w:p>
    <w:p w14:paraId="682BDF2C" w14:textId="77777777" w:rsidR="00054437" w:rsidRPr="000549B1" w:rsidRDefault="00000000">
      <w:pPr>
        <w:pStyle w:val="x"/>
      </w:pPr>
      <w:r w:rsidRPr="000549B1">
        <w:rPr>
          <w:rStyle w:val="aff0"/>
          <w:b w:val="0"/>
          <w:bCs w:val="0"/>
        </w:rPr>
        <w:t>水土保持规划通过治理水土流失、土地沙化和土壤盐碱化等问题，能够显著改善流域自然资源状况</w:t>
      </w:r>
      <w:r w:rsidRPr="000549B1">
        <w:t>。措施包括坡面植被恢复、梯田与谷坊建设、封禁治理等，将减少土壤流失量和入河泥沙，使河流水质变清，库区淤积减缓。植被覆盖率提高还有助于涵养水源、降低风蚀和沙暴发生频率，保护高寒草甸等脆弱生态系统。总体上，水土保持能</w:t>
      </w:r>
      <w:r w:rsidRPr="000549B1">
        <w:rPr>
          <w:rStyle w:val="aff0"/>
          <w:b w:val="0"/>
          <w:bCs w:val="0"/>
        </w:rPr>
        <w:t>增强流域生态系统稳定性</w:t>
      </w:r>
      <w:r w:rsidRPr="000549B1">
        <w:t>，为荒漠绿洲环境的自我修复创造条件。</w:t>
      </w:r>
    </w:p>
    <w:p w14:paraId="761D9710" w14:textId="77777777" w:rsidR="00054437" w:rsidRPr="000549B1" w:rsidRDefault="00000000">
      <w:pPr>
        <w:pStyle w:val="x"/>
      </w:pPr>
      <w:r w:rsidRPr="000549B1">
        <w:rPr>
          <w:rStyle w:val="aff0"/>
          <w:b w:val="0"/>
          <w:bCs w:val="0"/>
        </w:rPr>
        <w:t>水土保持工程本身可能产生局部、短期的不利影响。如修建截流沟、蓄水坝等工程需要开挖土石方，施工期可能造成植被扰动和水土流失</w:t>
      </w:r>
      <w:r w:rsidRPr="000549B1">
        <w:t>的暂时加剧。引进外来物种进行植被恢复不当，可能与本地生态不相容。部分工程占地可能与农牧用地发生冲突，施工活动也会对野生动物栖息产生短暂干扰。但这些不利影响总体可控，相比其长期效益而言</w:t>
      </w:r>
      <w:r w:rsidRPr="000549B1">
        <w:rPr>
          <w:rStyle w:val="aff0"/>
          <w:b w:val="0"/>
          <w:bCs w:val="0"/>
        </w:rPr>
        <w:t>影响较小且局限</w:t>
      </w:r>
      <w:r w:rsidRPr="000549B1">
        <w:t>，通过合理选址和生态措施可将负面作用降至最低。</w:t>
      </w:r>
    </w:p>
    <w:p w14:paraId="68393938" w14:textId="77777777" w:rsidR="00054437" w:rsidRPr="000549B1" w:rsidRDefault="00000000">
      <w:pPr>
        <w:pStyle w:val="x"/>
      </w:pPr>
      <w:r w:rsidRPr="000549B1">
        <w:t>（</w:t>
      </w:r>
      <w:r w:rsidRPr="000549B1">
        <w:t>4</w:t>
      </w:r>
      <w:r w:rsidRPr="000549B1">
        <w:t>）水生态保护规划</w:t>
      </w:r>
    </w:p>
    <w:p w14:paraId="765515A6" w14:textId="77777777" w:rsidR="00054437" w:rsidRPr="000549B1" w:rsidRDefault="00000000">
      <w:pPr>
        <w:pStyle w:val="x"/>
      </w:pPr>
      <w:r w:rsidRPr="000549B1">
        <w:rPr>
          <w:rStyle w:val="aff0"/>
          <w:b w:val="0"/>
          <w:bCs w:val="0"/>
        </w:rPr>
        <w:t>水生态保护规划直接聚焦于维护和恢复流域生态环境，有明显的积极效益。规划通过保障河湖生态基流、湿地保护和水系连通</w:t>
      </w:r>
      <w:r w:rsidRPr="000549B1">
        <w:t>等措施，能够恢复沙珠玉河下游尾闾湖泊（如达连海、更尕海）的水面，改善湿地生态功能，重新营造天鹅、斑头雁等水禽赖以生存的栖息地。同时，规划可能包含河道清淤疏浚、鱼类增殖放流、栖息地修复等措施，有助于提升水生生物多样性。整体而言，水生态保护规划将</w:t>
      </w:r>
      <w:r w:rsidRPr="000549B1">
        <w:rPr>
          <w:rStyle w:val="aff0"/>
          <w:b w:val="0"/>
          <w:bCs w:val="0"/>
        </w:rPr>
        <w:t>提高流域生态系统韧性</w:t>
      </w:r>
      <w:r w:rsidRPr="000549B1">
        <w:t>，巩固</w:t>
      </w:r>
      <w:r w:rsidRPr="000549B1">
        <w:rPr>
          <w:rFonts w:ascii="宋体" w:hAnsi="宋体"/>
        </w:rPr>
        <w:t>“</w:t>
      </w:r>
      <w:r w:rsidRPr="000549B1">
        <w:t>青藏高原生态屏障</w:t>
      </w:r>
      <w:r w:rsidRPr="000549B1">
        <w:rPr>
          <w:rFonts w:ascii="宋体" w:hAnsi="宋体"/>
        </w:rPr>
        <w:t>”</w:t>
      </w:r>
      <w:r w:rsidRPr="000549B1">
        <w:t>功能，长期来看有利于维护国家重要生态安全格局。</w:t>
      </w:r>
    </w:p>
    <w:p w14:paraId="392C6842" w14:textId="77777777" w:rsidR="00054437" w:rsidRPr="000549B1" w:rsidRDefault="00000000">
      <w:pPr>
        <w:pStyle w:val="x"/>
      </w:pPr>
      <w:r w:rsidRPr="000549B1">
        <w:rPr>
          <w:rStyle w:val="aff0"/>
          <w:b w:val="0"/>
          <w:bCs w:val="0"/>
        </w:rPr>
        <w:t>水生态保护措施大多对环境有利，可能的不利影响主要是实施过程中的短期扰动。例如，在河道整治和湿地修复施工过程中，局部栖息地可能受到临时干扰</w:t>
      </w:r>
      <w:r w:rsidRPr="000549B1">
        <w:t>，施工噪声和人为活动或影响野生动物的正常活动。某些生态工程（如人工增水）需谨慎控制规模和时机，避免改变河湖自然水文节律，</w:t>
      </w:r>
      <w:r w:rsidRPr="000549B1">
        <w:rPr>
          <w:rStyle w:val="aff0"/>
          <w:b w:val="0"/>
          <w:bCs w:val="0"/>
        </w:rPr>
        <w:t>防止次生环境问题</w:t>
      </w:r>
      <w:r w:rsidRPr="000549B1">
        <w:t>（例如水体长期淤积或富营养化）。总体来看，水生态保护规划的不利影响很小，基本不会对生态敏感区产生长远负面作用，只需通过加强施工期环保措施加以减缓。</w:t>
      </w:r>
    </w:p>
    <w:p w14:paraId="77A875A1" w14:textId="77777777" w:rsidR="00054437" w:rsidRPr="000549B1" w:rsidRDefault="00000000">
      <w:pPr>
        <w:pStyle w:val="x"/>
      </w:pPr>
      <w:r w:rsidRPr="000549B1">
        <w:t>（</w:t>
      </w:r>
      <w:r w:rsidRPr="000549B1">
        <w:t>5</w:t>
      </w:r>
      <w:r w:rsidRPr="000549B1">
        <w:t>）节约用水规划</w:t>
      </w:r>
    </w:p>
    <w:p w14:paraId="14B59089" w14:textId="77777777" w:rsidR="00054437" w:rsidRPr="000549B1" w:rsidRDefault="00000000">
      <w:pPr>
        <w:pStyle w:val="x"/>
      </w:pPr>
      <w:r w:rsidRPr="000549B1">
        <w:rPr>
          <w:rStyle w:val="aff0"/>
          <w:b w:val="0"/>
          <w:bCs w:val="0"/>
        </w:rPr>
        <w:t>节约用水规划致力于提高用水效率和节水管理水平，这对沙珠玉河极端缺水的流域尤为重要。通过推广农业高效灌溉、城镇雨水收集利用、工业循环用水等举措，可减少无效耗水</w:t>
      </w:r>
      <w:r w:rsidRPr="000549B1">
        <w:t>，在满足用水需求的同时降低总取水量，从而减轻对河川基流和地下水的抽取压力。全民节水意识的提高和节水新技术的应用，将有助于将有限水资源更多地</w:t>
      </w:r>
      <w:r w:rsidRPr="000549B1">
        <w:rPr>
          <w:rStyle w:val="aff0"/>
          <w:b w:val="0"/>
          <w:bCs w:val="0"/>
        </w:rPr>
        <w:t>留给生态环境</w:t>
      </w:r>
      <w:r w:rsidRPr="000549B1">
        <w:t>和下游水体。长远看，节水措施缓解了水资源过度开发的趋势，是维持流域水生态平衡的关键手段之一。</w:t>
      </w:r>
    </w:p>
    <w:p w14:paraId="147692BE" w14:textId="77777777" w:rsidR="00054437" w:rsidRPr="000549B1" w:rsidRDefault="00000000">
      <w:pPr>
        <w:pStyle w:val="x"/>
      </w:pPr>
      <w:r w:rsidRPr="000549B1">
        <w:rPr>
          <w:rStyle w:val="aff0"/>
          <w:b w:val="0"/>
          <w:bCs w:val="0"/>
        </w:rPr>
        <w:t>大规模节水措施可能带来意想不到的次生影响</w:t>
      </w:r>
      <w:r w:rsidRPr="000549B1">
        <w:t>。一方面，由于节水提高了用水效率，某些用水户可能将节约的水用于扩大灌溉面积或其他用途，出现</w:t>
      </w:r>
      <w:r w:rsidRPr="000549B1">
        <w:rPr>
          <w:rFonts w:ascii="宋体" w:hAnsi="宋体"/>
        </w:rPr>
        <w:t>“</w:t>
      </w:r>
      <w:r w:rsidRPr="000549B1">
        <w:t>用水反弹</w:t>
      </w:r>
      <w:r w:rsidRPr="000549B1">
        <w:rPr>
          <w:rFonts w:ascii="宋体" w:hAnsi="宋体"/>
        </w:rPr>
        <w:t>”</w:t>
      </w:r>
      <w:r w:rsidRPr="000549B1">
        <w:t>现象，反而增加总体耗水量，不利于生态留水。另一方面，农业节水改变了原有灌溉制度下的水文和生态条件：例如过去漫灌的</w:t>
      </w:r>
      <w:r w:rsidRPr="000549B1">
        <w:rPr>
          <w:rStyle w:val="aff0"/>
          <w:b w:val="0"/>
          <w:bCs w:val="0"/>
        </w:rPr>
        <w:t>回归水</w:t>
      </w:r>
      <w:r w:rsidRPr="000549B1">
        <w:t>曾补给地下水和下游湿地，节水灌溉减少了地表渗漏，可能</w:t>
      </w:r>
      <w:r w:rsidRPr="000549B1">
        <w:rPr>
          <w:rStyle w:val="aff0"/>
          <w:b w:val="0"/>
          <w:bCs w:val="0"/>
        </w:rPr>
        <w:t>降低地下水位</w:t>
      </w:r>
      <w:r w:rsidRPr="000549B1">
        <w:t>并使部分湿地水源减少。同时，节水设备和工程的建设需要投入材料和能源，后期可能产生塑料废料等环境问题，但影响较微弱。为避免不利影响，需要配套总量控制政策，确保节水收益真正转化为</w:t>
      </w:r>
      <w:r w:rsidRPr="000549B1">
        <w:rPr>
          <w:rStyle w:val="aff0"/>
          <w:b w:val="0"/>
          <w:bCs w:val="0"/>
        </w:rPr>
        <w:t>生态水量增加</w:t>
      </w:r>
      <w:r w:rsidRPr="000549B1">
        <w:t>，并加强节水技术的全过程环境管理。</w:t>
      </w:r>
    </w:p>
    <w:p w14:paraId="23E834A1" w14:textId="77777777" w:rsidR="00054437" w:rsidRPr="000549B1" w:rsidRDefault="00000000">
      <w:pPr>
        <w:pStyle w:val="x"/>
      </w:pPr>
      <w:r w:rsidRPr="000549B1">
        <w:t>（</w:t>
      </w:r>
      <w:r w:rsidRPr="000549B1">
        <w:t>6</w:t>
      </w:r>
      <w:r w:rsidRPr="000549B1">
        <w:t>）城乡供水规划</w:t>
      </w:r>
    </w:p>
    <w:p w14:paraId="1E37C168" w14:textId="77777777" w:rsidR="00054437" w:rsidRPr="000549B1" w:rsidRDefault="00000000">
      <w:pPr>
        <w:pStyle w:val="x"/>
      </w:pPr>
      <w:r w:rsidRPr="000549B1">
        <w:rPr>
          <w:rStyle w:val="aff0"/>
          <w:b w:val="0"/>
          <w:bCs w:val="0"/>
        </w:rPr>
        <w:t>城乡供水规划旨在提升城乡居民饮水保障水平，其实施对社会环境有直接正面作用。规划通过新建或扩建集中式供水工程、优化水源配置，使偏远牧区和农村获得稳定的饮用水源，有利于改善居民健康和生活质量</w:t>
      </w:r>
      <w:r w:rsidRPr="000549B1">
        <w:t>。安全的自来水普及还可减少居民私打机井取水，降低地下水无序开采和水源污染的风险。规划强调水源地水质达标和净化消毒设施完善，这将</w:t>
      </w:r>
      <w:r w:rsidRPr="000549B1">
        <w:rPr>
          <w:rStyle w:val="aff0"/>
          <w:b w:val="0"/>
          <w:bCs w:val="0"/>
        </w:rPr>
        <w:t>提高水环境安全</w:t>
      </w:r>
      <w:r w:rsidRPr="000549B1">
        <w:t>，确保供水达标率</w:t>
      </w:r>
      <w:r w:rsidRPr="000549B1">
        <w:t>100%</w:t>
      </w:r>
      <w:r w:rsidRPr="000549B1">
        <w:t>。整体而言，城乡供水规划的实施能够促进城乡均衡发展和民生福祉，同时缓解因饮水困难引起的人畜环境卫生问题。</w:t>
      </w:r>
    </w:p>
    <w:p w14:paraId="5C03801B" w14:textId="77777777" w:rsidR="00054437" w:rsidRPr="000549B1" w:rsidRDefault="00000000">
      <w:pPr>
        <w:pStyle w:val="x"/>
      </w:pPr>
      <w:r w:rsidRPr="000549B1">
        <w:rPr>
          <w:rStyle w:val="aff0"/>
          <w:b w:val="0"/>
          <w:bCs w:val="0"/>
        </w:rPr>
        <w:t>供水工程建设和运行可能带来一定环境代价。取水工程从河流或地下抽水，可能减少局部河段径流或引起地下水位下降</w:t>
      </w:r>
      <w:r w:rsidRPr="000549B1">
        <w:t>，对局地水文情势和依赖原水源的生态系统造成影响。例如，过度抽取地下水可能导致泉水减流甚至干涸，影响植被和湿地。管网、水厂等施工占地和挖掘会扰动地表、破坏植被，并产生噪声扬尘等施工期影响。随着自来水供应量增加，如果污水处理设施不同步完善，居民和畜牧用水增加所产生的污水可能</w:t>
      </w:r>
      <w:r w:rsidRPr="000549B1">
        <w:rPr>
          <w:rStyle w:val="aff0"/>
          <w:b w:val="0"/>
          <w:bCs w:val="0"/>
        </w:rPr>
        <w:t>加大水环境污染风险</w:t>
      </w:r>
      <w:r w:rsidRPr="000549B1">
        <w:t>。特别是在水资源本就有限的流域，引入新供水用户需要严格控制废污水排放，避免对地表水和地下水水质造成长期压力。</w:t>
      </w:r>
    </w:p>
    <w:p w14:paraId="0D567709" w14:textId="77777777" w:rsidR="00054437" w:rsidRPr="000549B1" w:rsidRDefault="00000000">
      <w:pPr>
        <w:pStyle w:val="x"/>
      </w:pPr>
      <w:r w:rsidRPr="000549B1">
        <w:t>（</w:t>
      </w:r>
      <w:r w:rsidRPr="000549B1">
        <w:t>6</w:t>
      </w:r>
      <w:r w:rsidRPr="000549B1">
        <w:t>）灌区规划</w:t>
      </w:r>
    </w:p>
    <w:p w14:paraId="492144F9" w14:textId="77777777" w:rsidR="00054437" w:rsidRPr="000549B1" w:rsidRDefault="00000000">
      <w:pPr>
        <w:pStyle w:val="x"/>
      </w:pPr>
      <w:r w:rsidRPr="000549B1">
        <w:rPr>
          <w:rStyle w:val="aff0"/>
          <w:b w:val="0"/>
          <w:bCs w:val="0"/>
        </w:rPr>
        <w:t>灌区规划通过改善和扩大全流域农田灌溉条件，对农业生产和生态环境具有双重效益。一方面，规划实施渠系完善和节水改造，能够提高灌溉水利用系数</w:t>
      </w:r>
      <w:r w:rsidRPr="000549B1">
        <w:t>，减少输配损失和田间渗漏，使有限水资源产生更高的粮食和牧草产出。这将促进当地粮食安全和畜牧业发展，并为周边提供饲草，</w:t>
      </w:r>
      <w:r w:rsidRPr="000549B1">
        <w:rPr>
          <w:rStyle w:val="aff0"/>
          <w:b w:val="0"/>
          <w:bCs w:val="0"/>
        </w:rPr>
        <w:t>减轻天然草场的放牧压力</w:t>
      </w:r>
      <w:r w:rsidRPr="000549B1">
        <w:t>，有利于草原生态恢复。另一方面，规划新增和改造的灌区若配套排水系统，可防治田间积水和盐分集聚，改善土壤质量，减少土地撂荒。灌溉保证率的提高也增强了农业抵御干旱的能力，在气候干旱年份依然能维持一定生态种植，</w:t>
      </w:r>
      <w:r w:rsidRPr="000549B1">
        <w:rPr>
          <w:rStyle w:val="aff0"/>
          <w:b w:val="0"/>
          <w:bCs w:val="0"/>
        </w:rPr>
        <w:t>总体上有利于区域生态和经济的良性循环</w:t>
      </w:r>
      <w:r w:rsidRPr="000549B1">
        <w:t>。</w:t>
      </w:r>
    </w:p>
    <w:p w14:paraId="1C5FE0D9" w14:textId="77777777" w:rsidR="00054437" w:rsidRPr="000549B1" w:rsidRDefault="00000000">
      <w:pPr>
        <w:pStyle w:val="x"/>
      </w:pPr>
      <w:r w:rsidRPr="000549B1">
        <w:rPr>
          <w:rStyle w:val="aff0"/>
          <w:b w:val="0"/>
          <w:bCs w:val="0"/>
        </w:rPr>
        <w:t>灌区规划是流域用水</w:t>
      </w:r>
      <w:r w:rsidRPr="000549B1">
        <w:rPr>
          <w:rStyle w:val="aff0"/>
          <w:rFonts w:ascii="宋体" w:hAnsi="宋体"/>
          <w:b w:val="0"/>
          <w:bCs w:val="0"/>
        </w:rPr>
        <w:t>“</w:t>
      </w:r>
      <w:r w:rsidRPr="000549B1">
        <w:rPr>
          <w:rStyle w:val="aff0"/>
          <w:b w:val="0"/>
          <w:bCs w:val="0"/>
        </w:rPr>
        <w:t>大户</w:t>
      </w:r>
      <w:r w:rsidRPr="000549B1">
        <w:rPr>
          <w:rStyle w:val="aff0"/>
          <w:rFonts w:ascii="宋体" w:hAnsi="宋体"/>
          <w:b w:val="0"/>
          <w:bCs w:val="0"/>
        </w:rPr>
        <w:t>”</w:t>
      </w:r>
      <w:r w:rsidRPr="000549B1">
        <w:rPr>
          <w:rStyle w:val="aff0"/>
          <w:b w:val="0"/>
          <w:bCs w:val="0"/>
        </w:rPr>
        <w:t>，其不利影响主要体现在水资源和土壤环境方面。水资源方面：灌溉用水量巨大，若主要依赖本流域水源，将进一步分流河道径流，加剧下游河湖的缺水状况；即使部分依赖跨流域调水，也需警惕总取水量上升对区域水平衡的冲击。大量引水灌溉还可能抬高浅层地下水水位，在排水不良区域引发土壤次生盐碱化</w:t>
      </w:r>
      <w:r w:rsidRPr="000549B1">
        <w:t>和湿地淹涝等次生环境问题。</w:t>
      </w:r>
      <w:r w:rsidRPr="000549B1">
        <w:rPr>
          <w:rStyle w:val="aff0"/>
          <w:b w:val="0"/>
          <w:bCs w:val="0"/>
        </w:rPr>
        <w:t>水环境方面</w:t>
      </w:r>
      <w:r w:rsidRPr="000549B1">
        <w:t>：灌溉径流和农田排水可能富含氮磷农化物，流入河湖后易导致水质富营养化，危害水生生物。大规模垦荒发展灌溉农业还意味着将部分天然荒地、草地转为耕地，</w:t>
      </w:r>
      <w:r w:rsidRPr="000549B1">
        <w:rPr>
          <w:rStyle w:val="aff0"/>
          <w:b w:val="0"/>
          <w:bCs w:val="0"/>
        </w:rPr>
        <w:t>生境丧失</w:t>
      </w:r>
      <w:r w:rsidRPr="000549B1">
        <w:t>和生物多样性下降在所难免，放大流域生态脆弱性。此外，灌区渠系及田间工程建设施工会对沿线生态造成短期干扰，工程占地也可能涉及草原或湿地。若管理不善，多年累积效应可能包括</w:t>
      </w:r>
      <w:r w:rsidRPr="000549B1">
        <w:rPr>
          <w:rStyle w:val="aff0"/>
          <w:b w:val="0"/>
          <w:bCs w:val="0"/>
        </w:rPr>
        <w:t>土壤退化</w:t>
      </w:r>
      <w:r w:rsidRPr="000549B1">
        <w:t>、农田周边地下水质恶化（因农药化肥淋滤）等问题。因此，在落实灌区规划时需同步加强节水灌溉和排水管理，并划定生态红线以减缓不利影响。</w:t>
      </w:r>
    </w:p>
    <w:p w14:paraId="254196E3" w14:textId="77777777" w:rsidR="00054437" w:rsidRPr="000549B1" w:rsidRDefault="00000000">
      <w:pPr>
        <w:pStyle w:val="x"/>
      </w:pPr>
      <w:r w:rsidRPr="000549B1">
        <w:t>（</w:t>
      </w:r>
      <w:r w:rsidRPr="000549B1">
        <w:t>7</w:t>
      </w:r>
      <w:r w:rsidRPr="000549B1">
        <w:t>）水利信息化规划</w:t>
      </w:r>
    </w:p>
    <w:p w14:paraId="604642D4" w14:textId="77777777" w:rsidR="00054437" w:rsidRPr="000549B1" w:rsidRDefault="00000000">
      <w:pPr>
        <w:pStyle w:val="x"/>
      </w:pPr>
      <w:r w:rsidRPr="000549B1">
        <w:rPr>
          <w:rStyle w:val="aff0"/>
          <w:b w:val="0"/>
          <w:bCs w:val="0"/>
        </w:rPr>
        <w:t>水利信息化规划着力于建设流域水利现代化监测和调度体系，其环境效益虽间接但不可忽视。通过部署完善的雨情、水情、墒情和生态监测网络，管理部门可以实时掌握流域水资源与生态状况</w:t>
      </w:r>
      <w:r w:rsidRPr="000549B1">
        <w:t>，从而科学决策。例如，信息化提高了水库调度的精细化水平，确保在满足供水的同时兼顾下泄生态流量；洪水预警系统的完善则提高了防灾减灾能力，减少洪涝对环境和社会的冲击。同时，水质在线监测、有害指标预警等信息手段，有助于及时发现和处置污染事件，保护水环境安全。总体而言，水利信息化</w:t>
      </w:r>
      <w:r w:rsidRPr="000549B1">
        <w:rPr>
          <w:rStyle w:val="aff0"/>
          <w:b w:val="0"/>
          <w:bCs w:val="0"/>
        </w:rPr>
        <w:t>提升了流域水资源管理的效率与透明度</w:t>
      </w:r>
      <w:r w:rsidRPr="000549B1">
        <w:t>，为各项规划措施的协调实施和环境风险的防控提供了技术保障。</w:t>
      </w:r>
    </w:p>
    <w:p w14:paraId="4DE5F94A" w14:textId="77777777" w:rsidR="00054437" w:rsidRPr="000549B1" w:rsidRDefault="00000000">
      <w:pPr>
        <w:pStyle w:val="x"/>
      </w:pPr>
      <w:r w:rsidRPr="000549B1">
        <w:t>（</w:t>
      </w:r>
      <w:r w:rsidRPr="000549B1">
        <w:t>8</w:t>
      </w:r>
      <w:r w:rsidRPr="000549B1">
        <w:t>）重大水利工程规划</w:t>
      </w:r>
    </w:p>
    <w:p w14:paraId="0A997430" w14:textId="77777777" w:rsidR="00054437" w:rsidRPr="000549B1" w:rsidRDefault="00000000">
      <w:pPr>
        <w:pStyle w:val="x"/>
      </w:pPr>
      <w:r w:rsidRPr="000549B1">
        <w:rPr>
          <w:rStyle w:val="aff0"/>
          <w:b w:val="0"/>
          <w:bCs w:val="0"/>
        </w:rPr>
        <w:t>重大水利工程规划包含流域骨干水源工程和跨流域调水工程，是解决沙珠玉河流域缺水困境的关键举措。通过新建大型水库及引水工程，将外流域黄河水部分引入沙珠玉河流域，可大幅增加可利用水量</w:t>
      </w:r>
      <w:r w:rsidRPr="000549B1">
        <w:t>，从根本上缓解流域长期水资源短缺问题。新增水源不仅保障了</w:t>
      </w:r>
      <w:r w:rsidRPr="000549B1">
        <w:t>59.4</w:t>
      </w:r>
      <w:r w:rsidRPr="000549B1">
        <w:t>万亩灌区灌溉和沿线近</w:t>
      </w:r>
      <w:r w:rsidRPr="000549B1">
        <w:t>4</w:t>
      </w:r>
      <w:r w:rsidRPr="000549B1">
        <w:t>万人生活、工业用水需求，也为沙珠玉河及达连海湖提供生态补水，恢复干涸河段和湖泊水面。这将显著</w:t>
      </w:r>
      <w:r w:rsidRPr="000549B1">
        <w:rPr>
          <w:rStyle w:val="aff0"/>
          <w:b w:val="0"/>
          <w:bCs w:val="0"/>
        </w:rPr>
        <w:t>改善区域水生态环境</w:t>
      </w:r>
      <w:r w:rsidRPr="000549B1">
        <w:t>：河道断流状况得到缓解，尾闾湖泊重新形成稳定水体，区域微气候和地下水补给状况趋于好转，草地湿地生态系统焕发生机。同时，大型水利工程可提高防洪兴利能力，增强流域抵御干旱和极端气候的韧性，长期来看对维护青藏高原生态安全、支持地方社会经济发展具有战略意义。</w:t>
      </w:r>
    </w:p>
    <w:p w14:paraId="446BF895" w14:textId="448D3BD0" w:rsidR="00054437" w:rsidRPr="000549B1" w:rsidRDefault="00000000">
      <w:pPr>
        <w:pStyle w:val="x"/>
      </w:pPr>
      <w:r w:rsidRPr="000549B1">
        <w:rPr>
          <w:rStyle w:val="aff0"/>
          <w:b w:val="0"/>
          <w:bCs w:val="0"/>
        </w:rPr>
        <w:t>重大水利工程规模大、影响范围广，施工和运营过程中可能产生一系列环境问题。首先，跨流域调水将改变两大流域的水文格局</w:t>
      </w:r>
      <w:r w:rsidRPr="000549B1">
        <w:t>：供水区（如大河坝河流域）流量被截留后下泄水量减少，可能影响该区域河道生态基流和下游黄河的水量分配；受水区水量骤增，可能冲击沙珠玉河原有季节性径流规律，需要防范局地洪涝或河岸侵蚀等次生效应。其次，新建大型水库淹没土地和植被，</w:t>
      </w:r>
      <w:r w:rsidRPr="000549B1">
        <w:rPr>
          <w:rStyle w:val="aff0"/>
          <w:b w:val="0"/>
          <w:bCs w:val="0"/>
        </w:rPr>
        <w:t>永久性地改变局部自然景观和生境</w:t>
      </w:r>
      <w:r w:rsidRPr="000549B1">
        <w:t>。库区蓄水将淹没河谷土地，涉及的动植物栖息地（可能包括高寒草甸、灌丛等）将被水体取代，珍稀物种若分布于库区需采取迁地保护或救护措施。再次，工程修建过程中环境扰动强烈：大规模的开挖、填筑和隧洞施工会造成</w:t>
      </w:r>
      <w:r w:rsidRPr="000549B1">
        <w:rPr>
          <w:rStyle w:val="aff0"/>
          <w:b w:val="0"/>
          <w:bCs w:val="0"/>
        </w:rPr>
        <w:t>水土流失、泥石流和粉尘噪声</w:t>
      </w:r>
      <w:r w:rsidRPr="000549B1">
        <w:t>等环境污染，施工营地和弃渣场若管理不善还会威胁周边水源和土壤。大型工程往往建设周期长，多项施工活动叠加，</w:t>
      </w:r>
      <w:r w:rsidRPr="000549B1">
        <w:rPr>
          <w:rStyle w:val="aff0"/>
          <w:b w:val="0"/>
          <w:bCs w:val="0"/>
        </w:rPr>
        <w:t>累积性环境影响</w:t>
      </w:r>
      <w:r w:rsidRPr="000549B1">
        <w:t>突出，需要全过程严格环保措施。最后，调水工程运行后可能带来新的环境管理挑战：外来水体可能引入不同水生生物或病原，需防范</w:t>
      </w:r>
      <w:r w:rsidRPr="000549B1">
        <w:rPr>
          <w:rStyle w:val="aff0"/>
          <w:b w:val="0"/>
          <w:bCs w:val="0"/>
        </w:rPr>
        <w:t>生物入侵</w:t>
      </w:r>
      <w:r w:rsidRPr="000549B1">
        <w:t>和水质变化；库区水体滞留时间长，可能发生富营养化风险，需要控制上游来水的泥沙和营养盐负荷。此外，水库调蓄改变了下游泥沙输移，下游河道长期可能出现冲刷下切或河口湖泊泥沙减少影响湿地演变等。</w:t>
      </w:r>
    </w:p>
    <w:p w14:paraId="3C0B19EC" w14:textId="6CE4F4BB" w:rsidR="00054437" w:rsidRPr="000549B1" w:rsidRDefault="00000000">
      <w:pPr>
        <w:pStyle w:val="x"/>
      </w:pPr>
      <w:r w:rsidRPr="000549B1">
        <w:t>综上，重大水利工程在造福流域的同时，其不利影响涉及水文、水生生态、陆生生态和社会环境多个方面，必须</w:t>
      </w:r>
      <w:r w:rsidRPr="000549B1">
        <w:rPr>
          <w:rFonts w:hint="eastAsia"/>
        </w:rPr>
        <w:t>严格落实</w:t>
      </w:r>
      <w:r w:rsidRPr="000549B1">
        <w:t>环评提出的</w:t>
      </w:r>
      <w:r w:rsidRPr="000549B1">
        <w:rPr>
          <w:rStyle w:val="aff0"/>
          <w:b w:val="0"/>
          <w:bCs w:val="0"/>
        </w:rPr>
        <w:t>减缓和补偿</w:t>
      </w:r>
      <w:r w:rsidRPr="000549B1">
        <w:rPr>
          <w:rStyle w:val="aff0"/>
          <w:rFonts w:hint="eastAsia"/>
          <w:b w:val="0"/>
          <w:bCs w:val="0"/>
        </w:rPr>
        <w:t>等各项</w:t>
      </w:r>
      <w:r w:rsidRPr="000549B1">
        <w:rPr>
          <w:rStyle w:val="aff0"/>
          <w:b w:val="0"/>
          <w:bCs w:val="0"/>
        </w:rPr>
        <w:t>措施</w:t>
      </w:r>
      <w:r w:rsidRPr="000549B1">
        <w:t>来加以解决。</w:t>
      </w:r>
    </w:p>
    <w:p w14:paraId="10EE4D53" w14:textId="77777777" w:rsidR="00054437" w:rsidRPr="000549B1" w:rsidRDefault="00000000">
      <w:pPr>
        <w:pStyle w:val="x"/>
      </w:pPr>
      <w:r w:rsidRPr="000549B1">
        <w:t>（</w:t>
      </w:r>
      <w:r w:rsidRPr="000549B1">
        <w:t>9</w:t>
      </w:r>
      <w:r w:rsidRPr="000549B1">
        <w:t>）流域综合规划</w:t>
      </w:r>
    </w:p>
    <w:p w14:paraId="211933C8" w14:textId="2143CF3B" w:rsidR="00054437" w:rsidRPr="000549B1" w:rsidRDefault="00000000">
      <w:pPr>
        <w:pStyle w:val="x"/>
      </w:pPr>
      <w:r w:rsidRPr="000549B1">
        <w:rPr>
          <w:rStyle w:val="aff0"/>
          <w:b w:val="0"/>
          <w:bCs w:val="0"/>
        </w:rPr>
        <w:t>沙珠玉河流域综合规划整合了上述各专项规划，使流域开发与保护协同推进。综合规划的实施将全面提升流域资源环境承载力</w:t>
      </w:r>
      <w:r w:rsidRPr="000549B1">
        <w:t>：水资源得到优化配置，洪水与干旱风险降低，水土流失和生态退化趋势受控，城乡供水和农业灌溉保障水平提高。各项措施叠加产生</w:t>
      </w:r>
      <w:r w:rsidRPr="000549B1">
        <w:rPr>
          <w:rStyle w:val="aff0"/>
          <w:b w:val="0"/>
          <w:bCs w:val="0"/>
        </w:rPr>
        <w:t>累积性正效应</w:t>
      </w:r>
      <w:r w:rsidRPr="000549B1">
        <w:t>，节水措施与调水工程配合，确保新增水源的一部分用于生态修复，恢复湖泊湿地；水土保持与水生态保护并举，可明显改善土地植被和水环境质量。规划还强调了对生态敏感区和薄弱环节的管控，确保高寒草原、尾闾湿地等关键区域得到优先保护和恢复。总体而言，综合规划为流域</w:t>
      </w:r>
      <w:r w:rsidRPr="000549B1">
        <w:rPr>
          <w:rStyle w:val="aff0"/>
          <w:b w:val="0"/>
          <w:bCs w:val="0"/>
        </w:rPr>
        <w:t>可持续发展</w:t>
      </w:r>
      <w:r w:rsidRPr="000549B1">
        <w:t>奠定基础，在区域经济社会发展和生态环境保护之间形成良性互动的局面。</w:t>
      </w:r>
    </w:p>
    <w:p w14:paraId="5EE45632" w14:textId="3802808D" w:rsidR="00054437" w:rsidRPr="000549B1" w:rsidRDefault="00000000">
      <w:pPr>
        <w:pStyle w:val="x"/>
      </w:pPr>
      <w:r w:rsidRPr="000549B1">
        <w:rPr>
          <w:rStyle w:val="aff0"/>
          <w:b w:val="0"/>
          <w:bCs w:val="0"/>
        </w:rPr>
        <w:t>流域综合规划涉及多领域、多项目同步实施，如果统筹不当，可能引发一些综合性的不利影响。首先，多项开发举措同时推进，可能出现建设时空叠加效应</w:t>
      </w:r>
      <w:r w:rsidRPr="000549B1">
        <w:t>，对局部环境造成较大压力，例如多个工程施工期重叠加剧环境扰动，增加环境管理难度。其次，各专项规划目标之间若存在冲突，可能导致顾此失彼的情况：如灌溉发展与生态留水需求的矛盾，若协调不好将</w:t>
      </w:r>
      <w:r w:rsidRPr="000549B1">
        <w:rPr>
          <w:rStyle w:val="aff0"/>
          <w:b w:val="0"/>
          <w:bCs w:val="0"/>
        </w:rPr>
        <w:t>难以兼顾生态用水</w:t>
      </w:r>
      <w:r w:rsidRPr="000549B1">
        <w:t>；又如供水改善可能刺激人口和产业增长，从而带来新的环境负荷。因此，在综合规划落地过程中，必须强化统一协调和滚动评估，根据环境监测结果适时调整各专项行动，严防各类不利影响的</w:t>
      </w:r>
      <w:r w:rsidRPr="000549B1">
        <w:rPr>
          <w:rStyle w:val="aff0"/>
          <w:b w:val="0"/>
          <w:bCs w:val="0"/>
        </w:rPr>
        <w:t>累积放大</w:t>
      </w:r>
      <w:r w:rsidRPr="000549B1">
        <w:t>。通过设立流域环境监管与河湖健康评估机制，及时发现问题、纠偏治理，方能确保综合规划真正实现预期的环境改善目标。采用矩阵法对规划各环境因素可能产生的影响进行初步识别分析，识别成果见</w:t>
      </w:r>
      <w:r w:rsidR="00F32CCA" w:rsidRPr="00F1314B">
        <w:rPr>
          <w:rFonts w:hint="eastAsia"/>
        </w:rPr>
        <w:t>表</w:t>
      </w:r>
      <w:r w:rsidR="00F32CCA" w:rsidRPr="00F1314B">
        <w:rPr>
          <w:rFonts w:hint="eastAsia"/>
        </w:rPr>
        <w:t xml:space="preserve"> </w:t>
      </w:r>
      <w:r w:rsidR="00F32CCA">
        <w:rPr>
          <w:noProof/>
        </w:rPr>
        <w:t>4.1</w:t>
      </w:r>
      <w:r w:rsidR="00F32CCA">
        <w:noBreakHyphen/>
      </w:r>
      <w:r w:rsidR="00F32CCA">
        <w:rPr>
          <w:noProof/>
        </w:rPr>
        <w:t>1</w:t>
      </w:r>
      <w:r w:rsidRPr="000549B1">
        <w:t>。</w:t>
      </w:r>
    </w:p>
    <w:p w14:paraId="6DF02310" w14:textId="77777777" w:rsidR="00054437" w:rsidRPr="000549B1" w:rsidRDefault="00054437">
      <w:pPr>
        <w:pStyle w:val="x"/>
        <w:ind w:firstLine="0"/>
        <w:sectPr w:rsidR="00054437" w:rsidRPr="000549B1">
          <w:pgSz w:w="11906" w:h="16838"/>
          <w:pgMar w:top="1440" w:right="1800" w:bottom="1440" w:left="1800" w:header="851" w:footer="992" w:gutter="0"/>
          <w:cols w:space="425"/>
          <w:docGrid w:type="lines" w:linePitch="312"/>
        </w:sectPr>
      </w:pPr>
    </w:p>
    <w:p w14:paraId="552AFEB0" w14:textId="21A44E5A" w:rsidR="00054437" w:rsidRDefault="00F1314B" w:rsidP="00F1314B">
      <w:pPr>
        <w:pStyle w:val="aff8"/>
      </w:pPr>
      <w:bookmarkStart w:id="340" w:name="_Ref216101115"/>
      <w:r w:rsidRPr="00F1314B">
        <w:rPr>
          <w:rFonts w:hint="eastAsia"/>
        </w:rPr>
        <w:t>表</w:t>
      </w:r>
      <w:r w:rsidRPr="00F1314B">
        <w:rPr>
          <w:rFonts w:hint="eastAsia"/>
        </w:rPr>
        <w:t xml:space="preserve"> </w:t>
      </w:r>
      <w:r w:rsidR="00372953">
        <w:fldChar w:fldCharType="begin"/>
      </w:r>
      <w:r w:rsidR="00372953">
        <w:instrText xml:space="preserve"> </w:instrText>
      </w:r>
      <w:r w:rsidR="00372953">
        <w:rPr>
          <w:rFonts w:hint="eastAsia"/>
        </w:rPr>
        <w:instrText>STYLEREF 2 \s</w:instrText>
      </w:r>
      <w:r w:rsidR="00372953">
        <w:instrText xml:space="preserve"> </w:instrText>
      </w:r>
      <w:r w:rsidR="00372953">
        <w:fldChar w:fldCharType="separate"/>
      </w:r>
      <w:r w:rsidR="00372953">
        <w:rPr>
          <w:noProof/>
        </w:rPr>
        <w:t>4.1</w:t>
      </w:r>
      <w:r w:rsidR="00372953">
        <w:fldChar w:fldCharType="end"/>
      </w:r>
      <w:r w:rsidR="00372953">
        <w:noBreakHyphen/>
      </w:r>
      <w:r w:rsidR="00372953">
        <w:fldChar w:fldCharType="begin"/>
      </w:r>
      <w:r w:rsidR="00372953">
        <w:instrText xml:space="preserve"> </w:instrText>
      </w:r>
      <w:r w:rsidR="00372953">
        <w:rPr>
          <w:rFonts w:hint="eastAsia"/>
        </w:rPr>
        <w:instrText xml:space="preserve">SEQ </w:instrText>
      </w:r>
      <w:r w:rsidR="00372953">
        <w:rPr>
          <w:rFonts w:hint="eastAsia"/>
        </w:rPr>
        <w:instrText>表</w:instrText>
      </w:r>
      <w:r w:rsidR="00372953">
        <w:rPr>
          <w:rFonts w:hint="eastAsia"/>
        </w:rPr>
        <w:instrText xml:space="preserve"> \* ARABIC \s 2</w:instrText>
      </w:r>
      <w:r w:rsidR="00372953">
        <w:instrText xml:space="preserve"> </w:instrText>
      </w:r>
      <w:r w:rsidR="00372953">
        <w:fldChar w:fldCharType="separate"/>
      </w:r>
      <w:r w:rsidR="00372953">
        <w:rPr>
          <w:noProof/>
        </w:rPr>
        <w:t>1</w:t>
      </w:r>
      <w:r w:rsidR="00372953">
        <w:fldChar w:fldCharType="end"/>
      </w:r>
      <w:bookmarkEnd w:id="340"/>
      <w:r w:rsidRPr="00F1314B">
        <w:t>沙珠玉河流域综合规划环境影响分析识别</w:t>
      </w:r>
    </w:p>
    <w:tbl>
      <w:tblPr>
        <w:tblW w:w="452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1117"/>
        <w:gridCol w:w="697"/>
        <w:gridCol w:w="1031"/>
        <w:gridCol w:w="1236"/>
        <w:gridCol w:w="1056"/>
        <w:gridCol w:w="617"/>
        <w:gridCol w:w="670"/>
        <w:gridCol w:w="725"/>
        <w:gridCol w:w="836"/>
        <w:gridCol w:w="963"/>
        <w:gridCol w:w="644"/>
        <w:gridCol w:w="644"/>
        <w:gridCol w:w="644"/>
        <w:gridCol w:w="783"/>
      </w:tblGrid>
      <w:tr w:rsidR="00201427" w:rsidRPr="000549B1" w14:paraId="33E4C910" w14:textId="77777777" w:rsidTr="00D87628">
        <w:trPr>
          <w:trHeight w:val="398"/>
          <w:jc w:val="center"/>
        </w:trPr>
        <w:tc>
          <w:tcPr>
            <w:tcW w:w="384" w:type="pct"/>
            <w:noWrap/>
            <w:vAlign w:val="center"/>
          </w:tcPr>
          <w:p w14:paraId="2F0146B7"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环境类别</w:t>
            </w:r>
          </w:p>
        </w:tc>
        <w:tc>
          <w:tcPr>
            <w:tcW w:w="442" w:type="pct"/>
            <w:noWrap/>
            <w:vAlign w:val="center"/>
          </w:tcPr>
          <w:p w14:paraId="5F02B48B"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环境要素</w:t>
            </w:r>
          </w:p>
        </w:tc>
        <w:tc>
          <w:tcPr>
            <w:tcW w:w="276" w:type="pct"/>
            <w:noWrap/>
            <w:vAlign w:val="center"/>
          </w:tcPr>
          <w:p w14:paraId="05D51F14"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防洪排涝</w:t>
            </w:r>
          </w:p>
        </w:tc>
        <w:tc>
          <w:tcPr>
            <w:tcW w:w="408" w:type="pct"/>
            <w:noWrap/>
            <w:vAlign w:val="center"/>
          </w:tcPr>
          <w:p w14:paraId="5C15E8ED"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水资源</w:t>
            </w:r>
            <w:r>
              <w:rPr>
                <w:rFonts w:eastAsia="宋体" w:hint="eastAsia"/>
              </w:rPr>
              <w:t>规划</w:t>
            </w:r>
          </w:p>
        </w:tc>
        <w:tc>
          <w:tcPr>
            <w:tcW w:w="489" w:type="pct"/>
            <w:noWrap/>
            <w:vAlign w:val="center"/>
          </w:tcPr>
          <w:p w14:paraId="4F95C1CF"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水</w:t>
            </w:r>
            <w:r>
              <w:rPr>
                <w:rFonts w:eastAsia="宋体" w:hint="eastAsia"/>
              </w:rPr>
              <w:t>生态保护与修复</w:t>
            </w:r>
          </w:p>
        </w:tc>
        <w:tc>
          <w:tcPr>
            <w:tcW w:w="418" w:type="pct"/>
            <w:noWrap/>
            <w:vAlign w:val="center"/>
          </w:tcPr>
          <w:p w14:paraId="3F3909C0"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水土保持</w:t>
            </w:r>
          </w:p>
        </w:tc>
        <w:tc>
          <w:tcPr>
            <w:tcW w:w="244" w:type="pct"/>
            <w:noWrap/>
            <w:vAlign w:val="center"/>
          </w:tcPr>
          <w:p w14:paraId="0A37E5A4"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节水</w:t>
            </w:r>
          </w:p>
        </w:tc>
        <w:tc>
          <w:tcPr>
            <w:tcW w:w="265" w:type="pct"/>
            <w:noWrap/>
            <w:vAlign w:val="center"/>
          </w:tcPr>
          <w:p w14:paraId="1D7184B8"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城乡供水</w:t>
            </w:r>
          </w:p>
        </w:tc>
        <w:tc>
          <w:tcPr>
            <w:tcW w:w="287" w:type="pct"/>
            <w:noWrap/>
            <w:vAlign w:val="center"/>
          </w:tcPr>
          <w:p w14:paraId="26FD4CE7"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灌区</w:t>
            </w:r>
          </w:p>
        </w:tc>
        <w:tc>
          <w:tcPr>
            <w:tcW w:w="331" w:type="pct"/>
            <w:noWrap/>
            <w:vAlign w:val="center"/>
          </w:tcPr>
          <w:p w14:paraId="5E7C0D63"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水利信息化</w:t>
            </w:r>
          </w:p>
        </w:tc>
        <w:tc>
          <w:tcPr>
            <w:tcW w:w="381" w:type="pct"/>
            <w:noWrap/>
            <w:vAlign w:val="center"/>
          </w:tcPr>
          <w:p w14:paraId="581A7624"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重大水利工程</w:t>
            </w:r>
          </w:p>
        </w:tc>
        <w:tc>
          <w:tcPr>
            <w:tcW w:w="255" w:type="pct"/>
            <w:noWrap/>
            <w:vAlign w:val="center"/>
          </w:tcPr>
          <w:p w14:paraId="0A33217E"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累积性</w:t>
            </w:r>
          </w:p>
        </w:tc>
        <w:tc>
          <w:tcPr>
            <w:tcW w:w="255" w:type="pct"/>
            <w:noWrap/>
            <w:vAlign w:val="center"/>
          </w:tcPr>
          <w:p w14:paraId="66988D27"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长期性</w:t>
            </w:r>
          </w:p>
        </w:tc>
        <w:tc>
          <w:tcPr>
            <w:tcW w:w="255" w:type="pct"/>
            <w:noWrap/>
            <w:vAlign w:val="center"/>
          </w:tcPr>
          <w:p w14:paraId="056BFBB8"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区域性</w:t>
            </w:r>
          </w:p>
        </w:tc>
        <w:tc>
          <w:tcPr>
            <w:tcW w:w="311" w:type="pct"/>
            <w:noWrap/>
            <w:vAlign w:val="center"/>
          </w:tcPr>
          <w:p w14:paraId="1AA48090"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识别结果</w:t>
            </w:r>
          </w:p>
        </w:tc>
      </w:tr>
      <w:tr w:rsidR="00201427" w:rsidRPr="000549B1" w14:paraId="48641059" w14:textId="77777777" w:rsidTr="00D87628">
        <w:trPr>
          <w:trHeight w:val="206"/>
          <w:jc w:val="center"/>
        </w:trPr>
        <w:tc>
          <w:tcPr>
            <w:tcW w:w="384" w:type="pct"/>
            <w:vMerge w:val="restart"/>
            <w:noWrap/>
            <w:vAlign w:val="center"/>
          </w:tcPr>
          <w:p w14:paraId="6B023FDB"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水环境</w:t>
            </w:r>
          </w:p>
        </w:tc>
        <w:tc>
          <w:tcPr>
            <w:tcW w:w="442" w:type="pct"/>
            <w:noWrap/>
            <w:vAlign w:val="center"/>
          </w:tcPr>
          <w:p w14:paraId="5058949E"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水质</w:t>
            </w:r>
          </w:p>
        </w:tc>
        <w:tc>
          <w:tcPr>
            <w:tcW w:w="276" w:type="pct"/>
            <w:noWrap/>
            <w:vAlign w:val="center"/>
          </w:tcPr>
          <w:p w14:paraId="714A4624"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+1L</w:t>
            </w:r>
          </w:p>
        </w:tc>
        <w:tc>
          <w:tcPr>
            <w:tcW w:w="408" w:type="pct"/>
            <w:noWrap/>
            <w:vAlign w:val="center"/>
          </w:tcPr>
          <w:p w14:paraId="4971BDA0"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±2L</w:t>
            </w:r>
          </w:p>
        </w:tc>
        <w:tc>
          <w:tcPr>
            <w:tcW w:w="489" w:type="pct"/>
            <w:noWrap/>
            <w:vAlign w:val="center"/>
          </w:tcPr>
          <w:p w14:paraId="2B84885B"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+2L</w:t>
            </w:r>
          </w:p>
        </w:tc>
        <w:tc>
          <w:tcPr>
            <w:tcW w:w="418" w:type="pct"/>
            <w:noWrap/>
            <w:vAlign w:val="center"/>
          </w:tcPr>
          <w:p w14:paraId="166FCDBF"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+1L</w:t>
            </w:r>
          </w:p>
        </w:tc>
        <w:tc>
          <w:tcPr>
            <w:tcW w:w="244" w:type="pct"/>
            <w:noWrap/>
            <w:vAlign w:val="center"/>
          </w:tcPr>
          <w:p w14:paraId="5A34E530"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+1R</w:t>
            </w:r>
          </w:p>
        </w:tc>
        <w:tc>
          <w:tcPr>
            <w:tcW w:w="265" w:type="pct"/>
            <w:noWrap/>
            <w:vAlign w:val="center"/>
          </w:tcPr>
          <w:p w14:paraId="3A49433F"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0</w:t>
            </w:r>
          </w:p>
        </w:tc>
        <w:tc>
          <w:tcPr>
            <w:tcW w:w="287" w:type="pct"/>
            <w:noWrap/>
            <w:vAlign w:val="center"/>
          </w:tcPr>
          <w:p w14:paraId="27A59570"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±1L</w:t>
            </w:r>
          </w:p>
        </w:tc>
        <w:tc>
          <w:tcPr>
            <w:tcW w:w="331" w:type="pct"/>
            <w:noWrap/>
            <w:vAlign w:val="center"/>
          </w:tcPr>
          <w:p w14:paraId="1662C374"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0</w:t>
            </w:r>
          </w:p>
        </w:tc>
        <w:tc>
          <w:tcPr>
            <w:tcW w:w="381" w:type="pct"/>
            <w:noWrap/>
            <w:vAlign w:val="center"/>
          </w:tcPr>
          <w:p w14:paraId="65F103D8"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±2L</w:t>
            </w:r>
          </w:p>
        </w:tc>
        <w:tc>
          <w:tcPr>
            <w:tcW w:w="255" w:type="pct"/>
            <w:noWrap/>
            <w:vAlign w:val="center"/>
          </w:tcPr>
          <w:p w14:paraId="6A2D52FA"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T</w:t>
            </w:r>
          </w:p>
        </w:tc>
        <w:tc>
          <w:tcPr>
            <w:tcW w:w="255" w:type="pct"/>
            <w:noWrap/>
            <w:vAlign w:val="center"/>
          </w:tcPr>
          <w:p w14:paraId="67D53508"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T</w:t>
            </w:r>
          </w:p>
        </w:tc>
        <w:tc>
          <w:tcPr>
            <w:tcW w:w="255" w:type="pct"/>
            <w:noWrap/>
            <w:vAlign w:val="center"/>
          </w:tcPr>
          <w:p w14:paraId="7960698A"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T</w:t>
            </w:r>
          </w:p>
        </w:tc>
        <w:tc>
          <w:tcPr>
            <w:tcW w:w="311" w:type="pct"/>
            <w:noWrap/>
            <w:vAlign w:val="center"/>
          </w:tcPr>
          <w:p w14:paraId="02BDDA15"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±2</w:t>
            </w:r>
          </w:p>
        </w:tc>
      </w:tr>
      <w:tr w:rsidR="00201427" w:rsidRPr="000549B1" w14:paraId="3D068530" w14:textId="77777777" w:rsidTr="00D87628">
        <w:trPr>
          <w:trHeight w:val="206"/>
          <w:jc w:val="center"/>
        </w:trPr>
        <w:tc>
          <w:tcPr>
            <w:tcW w:w="384" w:type="pct"/>
            <w:vMerge/>
            <w:noWrap/>
            <w:vAlign w:val="center"/>
          </w:tcPr>
          <w:p w14:paraId="41D4136E" w14:textId="77777777" w:rsidR="00201427" w:rsidRPr="000549B1" w:rsidRDefault="00201427" w:rsidP="00D87628">
            <w:pPr>
              <w:pStyle w:val="affb"/>
              <w:snapToGrid w:val="0"/>
              <w:spacing w:line="240" w:lineRule="auto"/>
              <w:ind w:leftChars="0" w:left="0" w:rightChars="0" w:right="0"/>
              <w:rPr>
                <w:rFonts w:eastAsia="宋体"/>
              </w:rPr>
            </w:pPr>
          </w:p>
        </w:tc>
        <w:tc>
          <w:tcPr>
            <w:tcW w:w="442" w:type="pct"/>
            <w:noWrap/>
            <w:vAlign w:val="center"/>
          </w:tcPr>
          <w:p w14:paraId="7FFA3F6B"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水温</w:t>
            </w:r>
          </w:p>
        </w:tc>
        <w:tc>
          <w:tcPr>
            <w:tcW w:w="276" w:type="pct"/>
            <w:noWrap/>
            <w:vAlign w:val="center"/>
          </w:tcPr>
          <w:p w14:paraId="3E5FF19E"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0</w:t>
            </w:r>
          </w:p>
        </w:tc>
        <w:tc>
          <w:tcPr>
            <w:tcW w:w="408" w:type="pct"/>
            <w:noWrap/>
            <w:vAlign w:val="center"/>
          </w:tcPr>
          <w:p w14:paraId="01C51D15"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-3L</w:t>
            </w:r>
          </w:p>
        </w:tc>
        <w:tc>
          <w:tcPr>
            <w:tcW w:w="489" w:type="pct"/>
            <w:noWrap/>
            <w:vAlign w:val="center"/>
          </w:tcPr>
          <w:p w14:paraId="01F96A93"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0</w:t>
            </w:r>
          </w:p>
        </w:tc>
        <w:tc>
          <w:tcPr>
            <w:tcW w:w="418" w:type="pct"/>
            <w:noWrap/>
            <w:vAlign w:val="center"/>
          </w:tcPr>
          <w:p w14:paraId="587A48DE"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0</w:t>
            </w:r>
          </w:p>
        </w:tc>
        <w:tc>
          <w:tcPr>
            <w:tcW w:w="244" w:type="pct"/>
            <w:noWrap/>
            <w:vAlign w:val="center"/>
          </w:tcPr>
          <w:p w14:paraId="664A57B7"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0</w:t>
            </w:r>
          </w:p>
        </w:tc>
        <w:tc>
          <w:tcPr>
            <w:tcW w:w="265" w:type="pct"/>
            <w:noWrap/>
            <w:vAlign w:val="center"/>
          </w:tcPr>
          <w:p w14:paraId="4D13EF55"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0</w:t>
            </w:r>
          </w:p>
        </w:tc>
        <w:tc>
          <w:tcPr>
            <w:tcW w:w="287" w:type="pct"/>
            <w:noWrap/>
            <w:vAlign w:val="center"/>
          </w:tcPr>
          <w:p w14:paraId="10D16048"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0</w:t>
            </w:r>
          </w:p>
        </w:tc>
        <w:tc>
          <w:tcPr>
            <w:tcW w:w="331" w:type="pct"/>
            <w:noWrap/>
            <w:vAlign w:val="center"/>
          </w:tcPr>
          <w:p w14:paraId="4B6759CF"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0</w:t>
            </w:r>
          </w:p>
        </w:tc>
        <w:tc>
          <w:tcPr>
            <w:tcW w:w="381" w:type="pct"/>
            <w:noWrap/>
            <w:vAlign w:val="center"/>
          </w:tcPr>
          <w:p w14:paraId="56ED481E"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-3L</w:t>
            </w:r>
          </w:p>
        </w:tc>
        <w:tc>
          <w:tcPr>
            <w:tcW w:w="255" w:type="pct"/>
            <w:noWrap/>
            <w:vAlign w:val="center"/>
          </w:tcPr>
          <w:p w14:paraId="67F492A5"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T</w:t>
            </w:r>
          </w:p>
        </w:tc>
        <w:tc>
          <w:tcPr>
            <w:tcW w:w="255" w:type="pct"/>
            <w:noWrap/>
            <w:vAlign w:val="center"/>
          </w:tcPr>
          <w:p w14:paraId="2CAAA56D"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T</w:t>
            </w:r>
          </w:p>
        </w:tc>
        <w:tc>
          <w:tcPr>
            <w:tcW w:w="255" w:type="pct"/>
            <w:noWrap/>
            <w:vAlign w:val="center"/>
          </w:tcPr>
          <w:p w14:paraId="29990623"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T</w:t>
            </w:r>
          </w:p>
        </w:tc>
        <w:tc>
          <w:tcPr>
            <w:tcW w:w="311" w:type="pct"/>
            <w:noWrap/>
            <w:vAlign w:val="center"/>
          </w:tcPr>
          <w:p w14:paraId="6E8D47C0"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-3</w:t>
            </w:r>
          </w:p>
        </w:tc>
      </w:tr>
      <w:tr w:rsidR="00201427" w:rsidRPr="000549B1" w14:paraId="040DF86D" w14:textId="77777777" w:rsidTr="00D87628">
        <w:trPr>
          <w:trHeight w:val="206"/>
          <w:jc w:val="center"/>
        </w:trPr>
        <w:tc>
          <w:tcPr>
            <w:tcW w:w="384" w:type="pct"/>
            <w:vMerge/>
            <w:noWrap/>
            <w:vAlign w:val="center"/>
          </w:tcPr>
          <w:p w14:paraId="3E3066C4" w14:textId="77777777" w:rsidR="00201427" w:rsidRPr="000549B1" w:rsidRDefault="00201427" w:rsidP="00D87628">
            <w:pPr>
              <w:pStyle w:val="affb"/>
              <w:snapToGrid w:val="0"/>
              <w:spacing w:line="240" w:lineRule="auto"/>
              <w:ind w:leftChars="0" w:left="0" w:rightChars="0" w:right="0"/>
              <w:rPr>
                <w:rFonts w:eastAsia="宋体"/>
              </w:rPr>
            </w:pPr>
          </w:p>
        </w:tc>
        <w:tc>
          <w:tcPr>
            <w:tcW w:w="442" w:type="pct"/>
            <w:noWrap/>
            <w:vAlign w:val="center"/>
          </w:tcPr>
          <w:p w14:paraId="61E34F5C"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水文情势</w:t>
            </w:r>
          </w:p>
        </w:tc>
        <w:tc>
          <w:tcPr>
            <w:tcW w:w="276" w:type="pct"/>
            <w:noWrap/>
            <w:vAlign w:val="center"/>
          </w:tcPr>
          <w:p w14:paraId="68685450"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+2L</w:t>
            </w:r>
          </w:p>
        </w:tc>
        <w:tc>
          <w:tcPr>
            <w:tcW w:w="408" w:type="pct"/>
            <w:noWrap/>
            <w:vAlign w:val="center"/>
          </w:tcPr>
          <w:p w14:paraId="05775D61"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±2L</w:t>
            </w:r>
          </w:p>
        </w:tc>
        <w:tc>
          <w:tcPr>
            <w:tcW w:w="489" w:type="pct"/>
            <w:noWrap/>
            <w:vAlign w:val="center"/>
          </w:tcPr>
          <w:p w14:paraId="4F45FD52"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0</w:t>
            </w:r>
          </w:p>
        </w:tc>
        <w:tc>
          <w:tcPr>
            <w:tcW w:w="418" w:type="pct"/>
            <w:noWrap/>
            <w:vAlign w:val="center"/>
          </w:tcPr>
          <w:p w14:paraId="4B141DA3"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0</w:t>
            </w:r>
          </w:p>
        </w:tc>
        <w:tc>
          <w:tcPr>
            <w:tcW w:w="244" w:type="pct"/>
            <w:noWrap/>
            <w:vAlign w:val="center"/>
          </w:tcPr>
          <w:p w14:paraId="5DC1D0CD"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+1R</w:t>
            </w:r>
          </w:p>
        </w:tc>
        <w:tc>
          <w:tcPr>
            <w:tcW w:w="265" w:type="pct"/>
            <w:noWrap/>
            <w:vAlign w:val="center"/>
          </w:tcPr>
          <w:p w14:paraId="6F743976"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-1L</w:t>
            </w:r>
          </w:p>
        </w:tc>
        <w:tc>
          <w:tcPr>
            <w:tcW w:w="287" w:type="pct"/>
            <w:noWrap/>
            <w:vAlign w:val="center"/>
          </w:tcPr>
          <w:p w14:paraId="58CD60C5"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-2L</w:t>
            </w:r>
          </w:p>
        </w:tc>
        <w:tc>
          <w:tcPr>
            <w:tcW w:w="331" w:type="pct"/>
            <w:noWrap/>
            <w:vAlign w:val="center"/>
          </w:tcPr>
          <w:p w14:paraId="5A065DFA"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0</w:t>
            </w:r>
          </w:p>
        </w:tc>
        <w:tc>
          <w:tcPr>
            <w:tcW w:w="381" w:type="pct"/>
            <w:noWrap/>
            <w:vAlign w:val="center"/>
          </w:tcPr>
          <w:p w14:paraId="415015B0"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±2L</w:t>
            </w:r>
          </w:p>
        </w:tc>
        <w:tc>
          <w:tcPr>
            <w:tcW w:w="255" w:type="pct"/>
            <w:noWrap/>
            <w:vAlign w:val="center"/>
          </w:tcPr>
          <w:p w14:paraId="385CE0EC"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T</w:t>
            </w:r>
          </w:p>
        </w:tc>
        <w:tc>
          <w:tcPr>
            <w:tcW w:w="255" w:type="pct"/>
            <w:noWrap/>
            <w:vAlign w:val="center"/>
          </w:tcPr>
          <w:p w14:paraId="5E2D8B5C"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T</w:t>
            </w:r>
          </w:p>
        </w:tc>
        <w:tc>
          <w:tcPr>
            <w:tcW w:w="255" w:type="pct"/>
            <w:noWrap/>
            <w:vAlign w:val="center"/>
          </w:tcPr>
          <w:p w14:paraId="14482928"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T</w:t>
            </w:r>
          </w:p>
        </w:tc>
        <w:tc>
          <w:tcPr>
            <w:tcW w:w="311" w:type="pct"/>
            <w:noWrap/>
            <w:vAlign w:val="center"/>
          </w:tcPr>
          <w:p w14:paraId="2F5FAA1D"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±2</w:t>
            </w:r>
          </w:p>
        </w:tc>
      </w:tr>
      <w:tr w:rsidR="00201427" w:rsidRPr="000549B1" w14:paraId="0CBFBEC7" w14:textId="77777777" w:rsidTr="00D87628">
        <w:trPr>
          <w:trHeight w:val="206"/>
          <w:jc w:val="center"/>
        </w:trPr>
        <w:tc>
          <w:tcPr>
            <w:tcW w:w="384" w:type="pct"/>
            <w:vMerge/>
            <w:noWrap/>
            <w:vAlign w:val="center"/>
          </w:tcPr>
          <w:p w14:paraId="27001191" w14:textId="77777777" w:rsidR="00201427" w:rsidRPr="000549B1" w:rsidRDefault="00201427" w:rsidP="00D87628">
            <w:pPr>
              <w:pStyle w:val="affb"/>
              <w:snapToGrid w:val="0"/>
              <w:spacing w:line="240" w:lineRule="auto"/>
              <w:ind w:leftChars="0" w:left="0" w:rightChars="0" w:right="0"/>
              <w:rPr>
                <w:rFonts w:eastAsia="宋体"/>
              </w:rPr>
            </w:pPr>
          </w:p>
        </w:tc>
        <w:tc>
          <w:tcPr>
            <w:tcW w:w="442" w:type="pct"/>
            <w:noWrap/>
            <w:vAlign w:val="center"/>
          </w:tcPr>
          <w:p w14:paraId="48AEA258"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泥沙</w:t>
            </w:r>
          </w:p>
        </w:tc>
        <w:tc>
          <w:tcPr>
            <w:tcW w:w="276" w:type="pct"/>
            <w:noWrap/>
            <w:vAlign w:val="center"/>
          </w:tcPr>
          <w:p w14:paraId="6E96EC6C"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+1L</w:t>
            </w:r>
          </w:p>
        </w:tc>
        <w:tc>
          <w:tcPr>
            <w:tcW w:w="408" w:type="pct"/>
            <w:noWrap/>
            <w:vAlign w:val="center"/>
          </w:tcPr>
          <w:p w14:paraId="2EF8DF00"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±2L</w:t>
            </w:r>
          </w:p>
        </w:tc>
        <w:tc>
          <w:tcPr>
            <w:tcW w:w="489" w:type="pct"/>
            <w:noWrap/>
            <w:vAlign w:val="center"/>
          </w:tcPr>
          <w:p w14:paraId="1C8FCEE8"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+1L</w:t>
            </w:r>
          </w:p>
        </w:tc>
        <w:tc>
          <w:tcPr>
            <w:tcW w:w="418" w:type="pct"/>
            <w:noWrap/>
            <w:vAlign w:val="center"/>
          </w:tcPr>
          <w:p w14:paraId="54014DD5"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+2L</w:t>
            </w:r>
          </w:p>
        </w:tc>
        <w:tc>
          <w:tcPr>
            <w:tcW w:w="244" w:type="pct"/>
            <w:noWrap/>
            <w:vAlign w:val="center"/>
          </w:tcPr>
          <w:p w14:paraId="5113BD05"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0</w:t>
            </w:r>
          </w:p>
        </w:tc>
        <w:tc>
          <w:tcPr>
            <w:tcW w:w="265" w:type="pct"/>
            <w:noWrap/>
            <w:vAlign w:val="center"/>
          </w:tcPr>
          <w:p w14:paraId="7D473E15"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0</w:t>
            </w:r>
          </w:p>
        </w:tc>
        <w:tc>
          <w:tcPr>
            <w:tcW w:w="287" w:type="pct"/>
            <w:noWrap/>
            <w:vAlign w:val="center"/>
          </w:tcPr>
          <w:p w14:paraId="3125A098"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±1L</w:t>
            </w:r>
          </w:p>
        </w:tc>
        <w:tc>
          <w:tcPr>
            <w:tcW w:w="331" w:type="pct"/>
            <w:noWrap/>
            <w:vAlign w:val="center"/>
          </w:tcPr>
          <w:p w14:paraId="0B8EAF87"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0</w:t>
            </w:r>
          </w:p>
        </w:tc>
        <w:tc>
          <w:tcPr>
            <w:tcW w:w="381" w:type="pct"/>
            <w:noWrap/>
            <w:vAlign w:val="center"/>
          </w:tcPr>
          <w:p w14:paraId="7BF08C61"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±2L</w:t>
            </w:r>
          </w:p>
        </w:tc>
        <w:tc>
          <w:tcPr>
            <w:tcW w:w="255" w:type="pct"/>
            <w:noWrap/>
            <w:vAlign w:val="center"/>
          </w:tcPr>
          <w:p w14:paraId="56466A3C"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T</w:t>
            </w:r>
          </w:p>
        </w:tc>
        <w:tc>
          <w:tcPr>
            <w:tcW w:w="255" w:type="pct"/>
            <w:noWrap/>
            <w:vAlign w:val="center"/>
          </w:tcPr>
          <w:p w14:paraId="66666985"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T</w:t>
            </w:r>
          </w:p>
        </w:tc>
        <w:tc>
          <w:tcPr>
            <w:tcW w:w="255" w:type="pct"/>
            <w:noWrap/>
            <w:vAlign w:val="center"/>
          </w:tcPr>
          <w:p w14:paraId="01EAF879"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T</w:t>
            </w:r>
          </w:p>
        </w:tc>
        <w:tc>
          <w:tcPr>
            <w:tcW w:w="311" w:type="pct"/>
            <w:noWrap/>
            <w:vAlign w:val="center"/>
          </w:tcPr>
          <w:p w14:paraId="2E4AF5AD"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±2</w:t>
            </w:r>
          </w:p>
        </w:tc>
      </w:tr>
      <w:tr w:rsidR="00201427" w:rsidRPr="000549B1" w14:paraId="6A3E750A" w14:textId="77777777" w:rsidTr="00D87628">
        <w:trPr>
          <w:trHeight w:val="146"/>
          <w:jc w:val="center"/>
        </w:trPr>
        <w:tc>
          <w:tcPr>
            <w:tcW w:w="384" w:type="pct"/>
            <w:vMerge w:val="restart"/>
            <w:noWrap/>
            <w:vAlign w:val="center"/>
          </w:tcPr>
          <w:p w14:paraId="33068301"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生态环境</w:t>
            </w:r>
          </w:p>
        </w:tc>
        <w:tc>
          <w:tcPr>
            <w:tcW w:w="442" w:type="pct"/>
            <w:noWrap/>
            <w:vAlign w:val="center"/>
          </w:tcPr>
          <w:p w14:paraId="1BDC855F"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水生生态</w:t>
            </w:r>
          </w:p>
        </w:tc>
        <w:tc>
          <w:tcPr>
            <w:tcW w:w="276" w:type="pct"/>
            <w:noWrap/>
            <w:vAlign w:val="center"/>
          </w:tcPr>
          <w:p w14:paraId="75F55657"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-1L</w:t>
            </w:r>
          </w:p>
        </w:tc>
        <w:tc>
          <w:tcPr>
            <w:tcW w:w="408" w:type="pct"/>
            <w:noWrap/>
            <w:vAlign w:val="center"/>
          </w:tcPr>
          <w:p w14:paraId="5FFE36B9"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-2L</w:t>
            </w:r>
          </w:p>
        </w:tc>
        <w:tc>
          <w:tcPr>
            <w:tcW w:w="489" w:type="pct"/>
            <w:noWrap/>
            <w:vAlign w:val="center"/>
          </w:tcPr>
          <w:p w14:paraId="36863F6F"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+2L</w:t>
            </w:r>
          </w:p>
        </w:tc>
        <w:tc>
          <w:tcPr>
            <w:tcW w:w="418" w:type="pct"/>
            <w:noWrap/>
            <w:vAlign w:val="center"/>
          </w:tcPr>
          <w:p w14:paraId="573C5233"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+1L</w:t>
            </w:r>
          </w:p>
        </w:tc>
        <w:tc>
          <w:tcPr>
            <w:tcW w:w="244" w:type="pct"/>
            <w:noWrap/>
            <w:vAlign w:val="center"/>
          </w:tcPr>
          <w:p w14:paraId="402A564E"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+1R</w:t>
            </w:r>
          </w:p>
        </w:tc>
        <w:tc>
          <w:tcPr>
            <w:tcW w:w="265" w:type="pct"/>
            <w:noWrap/>
            <w:vAlign w:val="center"/>
          </w:tcPr>
          <w:p w14:paraId="333DB7C4"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-1L</w:t>
            </w:r>
          </w:p>
        </w:tc>
        <w:tc>
          <w:tcPr>
            <w:tcW w:w="287" w:type="pct"/>
            <w:noWrap/>
            <w:vAlign w:val="center"/>
          </w:tcPr>
          <w:p w14:paraId="61BFB457"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-2L</w:t>
            </w:r>
          </w:p>
        </w:tc>
        <w:tc>
          <w:tcPr>
            <w:tcW w:w="331" w:type="pct"/>
            <w:noWrap/>
            <w:vAlign w:val="center"/>
          </w:tcPr>
          <w:p w14:paraId="12765B27"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0</w:t>
            </w:r>
          </w:p>
        </w:tc>
        <w:tc>
          <w:tcPr>
            <w:tcW w:w="381" w:type="pct"/>
            <w:noWrap/>
            <w:vAlign w:val="center"/>
          </w:tcPr>
          <w:p w14:paraId="6193B012"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-2L</w:t>
            </w:r>
          </w:p>
        </w:tc>
        <w:tc>
          <w:tcPr>
            <w:tcW w:w="255" w:type="pct"/>
            <w:noWrap/>
            <w:vAlign w:val="center"/>
          </w:tcPr>
          <w:p w14:paraId="79D6989F"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T</w:t>
            </w:r>
          </w:p>
        </w:tc>
        <w:tc>
          <w:tcPr>
            <w:tcW w:w="255" w:type="pct"/>
            <w:noWrap/>
            <w:vAlign w:val="center"/>
          </w:tcPr>
          <w:p w14:paraId="38AA1628"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T</w:t>
            </w:r>
          </w:p>
        </w:tc>
        <w:tc>
          <w:tcPr>
            <w:tcW w:w="255" w:type="pct"/>
            <w:noWrap/>
            <w:vAlign w:val="center"/>
          </w:tcPr>
          <w:p w14:paraId="7020C2E3"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T</w:t>
            </w:r>
          </w:p>
        </w:tc>
        <w:tc>
          <w:tcPr>
            <w:tcW w:w="311" w:type="pct"/>
            <w:noWrap/>
            <w:vAlign w:val="center"/>
          </w:tcPr>
          <w:p w14:paraId="33E16DCF"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±2</w:t>
            </w:r>
          </w:p>
        </w:tc>
      </w:tr>
      <w:tr w:rsidR="00201427" w:rsidRPr="000549B1" w14:paraId="3087A1AD" w14:textId="77777777" w:rsidTr="00D87628">
        <w:trPr>
          <w:trHeight w:val="206"/>
          <w:jc w:val="center"/>
        </w:trPr>
        <w:tc>
          <w:tcPr>
            <w:tcW w:w="384" w:type="pct"/>
            <w:vMerge/>
            <w:noWrap/>
            <w:vAlign w:val="center"/>
          </w:tcPr>
          <w:p w14:paraId="791CEE79" w14:textId="77777777" w:rsidR="00201427" w:rsidRPr="000549B1" w:rsidRDefault="00201427" w:rsidP="00D87628">
            <w:pPr>
              <w:pStyle w:val="affb"/>
              <w:snapToGrid w:val="0"/>
              <w:spacing w:line="240" w:lineRule="auto"/>
              <w:ind w:leftChars="0" w:left="0" w:rightChars="0" w:right="0"/>
              <w:rPr>
                <w:rFonts w:eastAsia="宋体"/>
              </w:rPr>
            </w:pPr>
          </w:p>
        </w:tc>
        <w:tc>
          <w:tcPr>
            <w:tcW w:w="442" w:type="pct"/>
            <w:noWrap/>
            <w:vAlign w:val="center"/>
          </w:tcPr>
          <w:p w14:paraId="65F5A319"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陆生生态</w:t>
            </w:r>
          </w:p>
        </w:tc>
        <w:tc>
          <w:tcPr>
            <w:tcW w:w="276" w:type="pct"/>
            <w:noWrap/>
            <w:vAlign w:val="center"/>
          </w:tcPr>
          <w:p w14:paraId="1B7EDBC3"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±1L</w:t>
            </w:r>
          </w:p>
        </w:tc>
        <w:tc>
          <w:tcPr>
            <w:tcW w:w="408" w:type="pct"/>
            <w:noWrap/>
            <w:vAlign w:val="center"/>
          </w:tcPr>
          <w:p w14:paraId="6CC18DF8"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±2L</w:t>
            </w:r>
          </w:p>
        </w:tc>
        <w:tc>
          <w:tcPr>
            <w:tcW w:w="489" w:type="pct"/>
            <w:noWrap/>
            <w:vAlign w:val="center"/>
          </w:tcPr>
          <w:p w14:paraId="587063E5"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+2L</w:t>
            </w:r>
          </w:p>
        </w:tc>
        <w:tc>
          <w:tcPr>
            <w:tcW w:w="418" w:type="pct"/>
            <w:noWrap/>
            <w:vAlign w:val="center"/>
          </w:tcPr>
          <w:p w14:paraId="6AB52B52"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+2L</w:t>
            </w:r>
          </w:p>
        </w:tc>
        <w:tc>
          <w:tcPr>
            <w:tcW w:w="244" w:type="pct"/>
            <w:noWrap/>
            <w:vAlign w:val="center"/>
          </w:tcPr>
          <w:p w14:paraId="434BCE8B"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0</w:t>
            </w:r>
          </w:p>
        </w:tc>
        <w:tc>
          <w:tcPr>
            <w:tcW w:w="265" w:type="pct"/>
            <w:noWrap/>
            <w:vAlign w:val="center"/>
          </w:tcPr>
          <w:p w14:paraId="4E3F7799"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0</w:t>
            </w:r>
          </w:p>
        </w:tc>
        <w:tc>
          <w:tcPr>
            <w:tcW w:w="287" w:type="pct"/>
            <w:noWrap/>
            <w:vAlign w:val="center"/>
          </w:tcPr>
          <w:p w14:paraId="73DBFEE6"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-1L</w:t>
            </w:r>
          </w:p>
        </w:tc>
        <w:tc>
          <w:tcPr>
            <w:tcW w:w="331" w:type="pct"/>
            <w:noWrap/>
            <w:vAlign w:val="center"/>
          </w:tcPr>
          <w:p w14:paraId="59CEA0FC"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0</w:t>
            </w:r>
          </w:p>
        </w:tc>
        <w:tc>
          <w:tcPr>
            <w:tcW w:w="381" w:type="pct"/>
            <w:noWrap/>
            <w:vAlign w:val="center"/>
          </w:tcPr>
          <w:p w14:paraId="6702BEE2"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±2L</w:t>
            </w:r>
          </w:p>
        </w:tc>
        <w:tc>
          <w:tcPr>
            <w:tcW w:w="255" w:type="pct"/>
            <w:noWrap/>
            <w:vAlign w:val="center"/>
          </w:tcPr>
          <w:p w14:paraId="6F61CE0C"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F</w:t>
            </w:r>
          </w:p>
        </w:tc>
        <w:tc>
          <w:tcPr>
            <w:tcW w:w="255" w:type="pct"/>
            <w:noWrap/>
            <w:vAlign w:val="center"/>
          </w:tcPr>
          <w:p w14:paraId="162A9C6C"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T</w:t>
            </w:r>
          </w:p>
        </w:tc>
        <w:tc>
          <w:tcPr>
            <w:tcW w:w="255" w:type="pct"/>
            <w:noWrap/>
            <w:vAlign w:val="center"/>
          </w:tcPr>
          <w:p w14:paraId="7BBF8AA9"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T</w:t>
            </w:r>
          </w:p>
        </w:tc>
        <w:tc>
          <w:tcPr>
            <w:tcW w:w="311" w:type="pct"/>
            <w:noWrap/>
            <w:vAlign w:val="center"/>
          </w:tcPr>
          <w:p w14:paraId="7E3774C5"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±2</w:t>
            </w:r>
          </w:p>
        </w:tc>
      </w:tr>
      <w:tr w:rsidR="00201427" w:rsidRPr="000549B1" w14:paraId="66A8FED8" w14:textId="77777777" w:rsidTr="00D87628">
        <w:trPr>
          <w:trHeight w:val="206"/>
          <w:jc w:val="center"/>
        </w:trPr>
        <w:tc>
          <w:tcPr>
            <w:tcW w:w="384" w:type="pct"/>
            <w:vMerge/>
            <w:noWrap/>
            <w:vAlign w:val="center"/>
          </w:tcPr>
          <w:p w14:paraId="5E524A47" w14:textId="77777777" w:rsidR="00201427" w:rsidRPr="000549B1" w:rsidRDefault="00201427" w:rsidP="00D87628">
            <w:pPr>
              <w:pStyle w:val="affb"/>
              <w:snapToGrid w:val="0"/>
              <w:spacing w:line="240" w:lineRule="auto"/>
              <w:ind w:leftChars="0" w:left="0" w:rightChars="0" w:right="0"/>
              <w:rPr>
                <w:rFonts w:eastAsia="宋体"/>
              </w:rPr>
            </w:pPr>
          </w:p>
        </w:tc>
        <w:tc>
          <w:tcPr>
            <w:tcW w:w="442" w:type="pct"/>
            <w:noWrap/>
            <w:vAlign w:val="center"/>
          </w:tcPr>
          <w:p w14:paraId="15F87D3B"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水土流失</w:t>
            </w:r>
          </w:p>
        </w:tc>
        <w:tc>
          <w:tcPr>
            <w:tcW w:w="276" w:type="pct"/>
            <w:noWrap/>
            <w:vAlign w:val="center"/>
          </w:tcPr>
          <w:p w14:paraId="78E90870"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+1L</w:t>
            </w:r>
          </w:p>
        </w:tc>
        <w:tc>
          <w:tcPr>
            <w:tcW w:w="408" w:type="pct"/>
            <w:noWrap/>
            <w:vAlign w:val="center"/>
          </w:tcPr>
          <w:p w14:paraId="1EF59FE2"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+1L</w:t>
            </w:r>
          </w:p>
        </w:tc>
        <w:tc>
          <w:tcPr>
            <w:tcW w:w="489" w:type="pct"/>
            <w:noWrap/>
            <w:vAlign w:val="center"/>
          </w:tcPr>
          <w:p w14:paraId="500369DB"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0</w:t>
            </w:r>
          </w:p>
        </w:tc>
        <w:tc>
          <w:tcPr>
            <w:tcW w:w="418" w:type="pct"/>
            <w:noWrap/>
            <w:vAlign w:val="center"/>
          </w:tcPr>
          <w:p w14:paraId="2E00DEB6"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+3L</w:t>
            </w:r>
          </w:p>
        </w:tc>
        <w:tc>
          <w:tcPr>
            <w:tcW w:w="244" w:type="pct"/>
            <w:noWrap/>
            <w:vAlign w:val="center"/>
          </w:tcPr>
          <w:p w14:paraId="726CB206"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0</w:t>
            </w:r>
          </w:p>
        </w:tc>
        <w:tc>
          <w:tcPr>
            <w:tcW w:w="265" w:type="pct"/>
            <w:noWrap/>
            <w:vAlign w:val="center"/>
          </w:tcPr>
          <w:p w14:paraId="4EF67C13"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0</w:t>
            </w:r>
          </w:p>
        </w:tc>
        <w:tc>
          <w:tcPr>
            <w:tcW w:w="287" w:type="pct"/>
            <w:noWrap/>
            <w:vAlign w:val="center"/>
          </w:tcPr>
          <w:p w14:paraId="6102D452"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0</w:t>
            </w:r>
          </w:p>
        </w:tc>
        <w:tc>
          <w:tcPr>
            <w:tcW w:w="331" w:type="pct"/>
            <w:noWrap/>
            <w:vAlign w:val="center"/>
          </w:tcPr>
          <w:p w14:paraId="44982B73"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0</w:t>
            </w:r>
          </w:p>
        </w:tc>
        <w:tc>
          <w:tcPr>
            <w:tcW w:w="381" w:type="pct"/>
            <w:noWrap/>
            <w:vAlign w:val="center"/>
          </w:tcPr>
          <w:p w14:paraId="1CC7B691"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+1L</w:t>
            </w:r>
          </w:p>
        </w:tc>
        <w:tc>
          <w:tcPr>
            <w:tcW w:w="255" w:type="pct"/>
            <w:noWrap/>
            <w:vAlign w:val="center"/>
          </w:tcPr>
          <w:p w14:paraId="34B39FB5"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F</w:t>
            </w:r>
          </w:p>
        </w:tc>
        <w:tc>
          <w:tcPr>
            <w:tcW w:w="255" w:type="pct"/>
            <w:noWrap/>
            <w:vAlign w:val="center"/>
          </w:tcPr>
          <w:p w14:paraId="6A02C415"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T</w:t>
            </w:r>
          </w:p>
        </w:tc>
        <w:tc>
          <w:tcPr>
            <w:tcW w:w="255" w:type="pct"/>
            <w:noWrap/>
            <w:vAlign w:val="center"/>
          </w:tcPr>
          <w:p w14:paraId="072957F6"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T</w:t>
            </w:r>
          </w:p>
        </w:tc>
        <w:tc>
          <w:tcPr>
            <w:tcW w:w="311" w:type="pct"/>
            <w:noWrap/>
            <w:vAlign w:val="center"/>
          </w:tcPr>
          <w:p w14:paraId="58203548"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3</w:t>
            </w:r>
          </w:p>
        </w:tc>
      </w:tr>
      <w:tr w:rsidR="00201427" w:rsidRPr="000549B1" w14:paraId="40643915" w14:textId="77777777" w:rsidTr="00D87628">
        <w:trPr>
          <w:trHeight w:val="348"/>
          <w:jc w:val="center"/>
        </w:trPr>
        <w:tc>
          <w:tcPr>
            <w:tcW w:w="384" w:type="pct"/>
            <w:vMerge/>
            <w:noWrap/>
            <w:vAlign w:val="center"/>
          </w:tcPr>
          <w:p w14:paraId="7C458FB0" w14:textId="77777777" w:rsidR="00201427" w:rsidRPr="000549B1" w:rsidRDefault="00201427" w:rsidP="00D87628">
            <w:pPr>
              <w:pStyle w:val="affb"/>
              <w:snapToGrid w:val="0"/>
              <w:spacing w:line="240" w:lineRule="auto"/>
              <w:ind w:leftChars="0" w:left="0" w:rightChars="0" w:right="0"/>
              <w:rPr>
                <w:rFonts w:eastAsia="宋体"/>
              </w:rPr>
            </w:pPr>
          </w:p>
        </w:tc>
        <w:tc>
          <w:tcPr>
            <w:tcW w:w="442" w:type="pct"/>
            <w:noWrap/>
            <w:vAlign w:val="center"/>
          </w:tcPr>
          <w:p w14:paraId="13A6505F"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自然保护区</w:t>
            </w:r>
          </w:p>
        </w:tc>
        <w:tc>
          <w:tcPr>
            <w:tcW w:w="276" w:type="pct"/>
            <w:noWrap/>
            <w:vAlign w:val="center"/>
          </w:tcPr>
          <w:p w14:paraId="6E6602AF"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0</w:t>
            </w:r>
          </w:p>
        </w:tc>
        <w:tc>
          <w:tcPr>
            <w:tcW w:w="408" w:type="pct"/>
            <w:noWrap/>
            <w:vAlign w:val="center"/>
          </w:tcPr>
          <w:p w14:paraId="5A81D9ED"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0</w:t>
            </w:r>
          </w:p>
        </w:tc>
        <w:tc>
          <w:tcPr>
            <w:tcW w:w="489" w:type="pct"/>
            <w:noWrap/>
            <w:vAlign w:val="center"/>
          </w:tcPr>
          <w:p w14:paraId="429237BB"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+1L</w:t>
            </w:r>
          </w:p>
        </w:tc>
        <w:tc>
          <w:tcPr>
            <w:tcW w:w="418" w:type="pct"/>
            <w:noWrap/>
            <w:vAlign w:val="center"/>
          </w:tcPr>
          <w:p w14:paraId="7E70EA94"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+1L</w:t>
            </w:r>
          </w:p>
        </w:tc>
        <w:tc>
          <w:tcPr>
            <w:tcW w:w="244" w:type="pct"/>
            <w:noWrap/>
            <w:vAlign w:val="center"/>
          </w:tcPr>
          <w:p w14:paraId="4CE43450"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+1R</w:t>
            </w:r>
          </w:p>
        </w:tc>
        <w:tc>
          <w:tcPr>
            <w:tcW w:w="265" w:type="pct"/>
            <w:noWrap/>
            <w:vAlign w:val="center"/>
          </w:tcPr>
          <w:p w14:paraId="69B7C756"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0</w:t>
            </w:r>
          </w:p>
        </w:tc>
        <w:tc>
          <w:tcPr>
            <w:tcW w:w="287" w:type="pct"/>
            <w:noWrap/>
            <w:vAlign w:val="center"/>
          </w:tcPr>
          <w:p w14:paraId="4A672C1F"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-1L</w:t>
            </w:r>
          </w:p>
        </w:tc>
        <w:tc>
          <w:tcPr>
            <w:tcW w:w="331" w:type="pct"/>
            <w:noWrap/>
            <w:vAlign w:val="center"/>
          </w:tcPr>
          <w:p w14:paraId="73148118"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0</w:t>
            </w:r>
          </w:p>
        </w:tc>
        <w:tc>
          <w:tcPr>
            <w:tcW w:w="381" w:type="pct"/>
            <w:noWrap/>
            <w:vAlign w:val="center"/>
          </w:tcPr>
          <w:p w14:paraId="74A95BC5"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-2L</w:t>
            </w:r>
          </w:p>
        </w:tc>
        <w:tc>
          <w:tcPr>
            <w:tcW w:w="255" w:type="pct"/>
            <w:noWrap/>
            <w:vAlign w:val="center"/>
          </w:tcPr>
          <w:p w14:paraId="20327DB1"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T</w:t>
            </w:r>
          </w:p>
        </w:tc>
        <w:tc>
          <w:tcPr>
            <w:tcW w:w="255" w:type="pct"/>
            <w:noWrap/>
            <w:vAlign w:val="center"/>
          </w:tcPr>
          <w:p w14:paraId="4C0CC325"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T</w:t>
            </w:r>
          </w:p>
        </w:tc>
        <w:tc>
          <w:tcPr>
            <w:tcW w:w="255" w:type="pct"/>
            <w:noWrap/>
            <w:vAlign w:val="center"/>
          </w:tcPr>
          <w:p w14:paraId="20A74619"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T</w:t>
            </w:r>
          </w:p>
        </w:tc>
        <w:tc>
          <w:tcPr>
            <w:tcW w:w="311" w:type="pct"/>
            <w:noWrap/>
            <w:vAlign w:val="center"/>
          </w:tcPr>
          <w:p w14:paraId="4C38F6E3"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±2</w:t>
            </w:r>
          </w:p>
        </w:tc>
      </w:tr>
      <w:tr w:rsidR="00201427" w:rsidRPr="000549B1" w14:paraId="2040101A" w14:textId="77777777" w:rsidTr="00D87628">
        <w:trPr>
          <w:trHeight w:val="206"/>
          <w:jc w:val="center"/>
        </w:trPr>
        <w:tc>
          <w:tcPr>
            <w:tcW w:w="384" w:type="pct"/>
            <w:vMerge/>
            <w:noWrap/>
            <w:vAlign w:val="center"/>
          </w:tcPr>
          <w:p w14:paraId="5FEEB391" w14:textId="77777777" w:rsidR="00201427" w:rsidRPr="000549B1" w:rsidRDefault="00201427" w:rsidP="00D87628">
            <w:pPr>
              <w:pStyle w:val="affb"/>
              <w:snapToGrid w:val="0"/>
              <w:spacing w:line="240" w:lineRule="auto"/>
              <w:ind w:leftChars="0" w:left="0" w:rightChars="0" w:right="0"/>
              <w:rPr>
                <w:rFonts w:eastAsia="宋体"/>
              </w:rPr>
            </w:pPr>
          </w:p>
        </w:tc>
        <w:tc>
          <w:tcPr>
            <w:tcW w:w="442" w:type="pct"/>
            <w:noWrap/>
            <w:vAlign w:val="center"/>
          </w:tcPr>
          <w:p w14:paraId="636BB2D1"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风景名胜区</w:t>
            </w:r>
          </w:p>
        </w:tc>
        <w:tc>
          <w:tcPr>
            <w:tcW w:w="276" w:type="pct"/>
            <w:noWrap/>
            <w:vAlign w:val="center"/>
          </w:tcPr>
          <w:p w14:paraId="35B7E068"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0</w:t>
            </w:r>
          </w:p>
        </w:tc>
        <w:tc>
          <w:tcPr>
            <w:tcW w:w="408" w:type="pct"/>
            <w:noWrap/>
            <w:vAlign w:val="center"/>
          </w:tcPr>
          <w:p w14:paraId="6A28BF82"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0</w:t>
            </w:r>
          </w:p>
        </w:tc>
        <w:tc>
          <w:tcPr>
            <w:tcW w:w="489" w:type="pct"/>
            <w:noWrap/>
            <w:vAlign w:val="center"/>
          </w:tcPr>
          <w:p w14:paraId="3847D43D"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+1L</w:t>
            </w:r>
          </w:p>
        </w:tc>
        <w:tc>
          <w:tcPr>
            <w:tcW w:w="418" w:type="pct"/>
            <w:noWrap/>
            <w:vAlign w:val="center"/>
          </w:tcPr>
          <w:p w14:paraId="36A60539"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+1L</w:t>
            </w:r>
          </w:p>
        </w:tc>
        <w:tc>
          <w:tcPr>
            <w:tcW w:w="244" w:type="pct"/>
            <w:noWrap/>
            <w:vAlign w:val="center"/>
          </w:tcPr>
          <w:p w14:paraId="1A23261D"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+1R</w:t>
            </w:r>
          </w:p>
        </w:tc>
        <w:tc>
          <w:tcPr>
            <w:tcW w:w="265" w:type="pct"/>
            <w:noWrap/>
            <w:vAlign w:val="center"/>
          </w:tcPr>
          <w:p w14:paraId="5179E82C"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0</w:t>
            </w:r>
          </w:p>
        </w:tc>
        <w:tc>
          <w:tcPr>
            <w:tcW w:w="287" w:type="pct"/>
            <w:noWrap/>
            <w:vAlign w:val="center"/>
          </w:tcPr>
          <w:p w14:paraId="4CCCBE52"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-1L</w:t>
            </w:r>
          </w:p>
        </w:tc>
        <w:tc>
          <w:tcPr>
            <w:tcW w:w="331" w:type="pct"/>
            <w:noWrap/>
            <w:vAlign w:val="center"/>
          </w:tcPr>
          <w:p w14:paraId="65AE1D90"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0</w:t>
            </w:r>
          </w:p>
        </w:tc>
        <w:tc>
          <w:tcPr>
            <w:tcW w:w="381" w:type="pct"/>
            <w:noWrap/>
            <w:vAlign w:val="center"/>
          </w:tcPr>
          <w:p w14:paraId="63B10BFB"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-2L</w:t>
            </w:r>
          </w:p>
        </w:tc>
        <w:tc>
          <w:tcPr>
            <w:tcW w:w="255" w:type="pct"/>
            <w:noWrap/>
            <w:vAlign w:val="center"/>
          </w:tcPr>
          <w:p w14:paraId="1A2580E4"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T</w:t>
            </w:r>
          </w:p>
        </w:tc>
        <w:tc>
          <w:tcPr>
            <w:tcW w:w="255" w:type="pct"/>
            <w:noWrap/>
            <w:vAlign w:val="center"/>
          </w:tcPr>
          <w:p w14:paraId="2BCE631A"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T</w:t>
            </w:r>
          </w:p>
        </w:tc>
        <w:tc>
          <w:tcPr>
            <w:tcW w:w="255" w:type="pct"/>
            <w:noWrap/>
            <w:vAlign w:val="center"/>
          </w:tcPr>
          <w:p w14:paraId="27BC9FBC"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T</w:t>
            </w:r>
          </w:p>
        </w:tc>
        <w:tc>
          <w:tcPr>
            <w:tcW w:w="311" w:type="pct"/>
            <w:noWrap/>
            <w:vAlign w:val="center"/>
          </w:tcPr>
          <w:p w14:paraId="0A48A71F"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±2</w:t>
            </w:r>
          </w:p>
        </w:tc>
      </w:tr>
      <w:tr w:rsidR="00201427" w:rsidRPr="000549B1" w14:paraId="5977EA8C" w14:textId="77777777" w:rsidTr="00D87628">
        <w:trPr>
          <w:trHeight w:val="206"/>
          <w:jc w:val="center"/>
        </w:trPr>
        <w:tc>
          <w:tcPr>
            <w:tcW w:w="384" w:type="pct"/>
            <w:vMerge/>
            <w:noWrap/>
            <w:vAlign w:val="center"/>
          </w:tcPr>
          <w:p w14:paraId="54B685FE" w14:textId="77777777" w:rsidR="00201427" w:rsidRPr="000549B1" w:rsidRDefault="00201427" w:rsidP="00D87628">
            <w:pPr>
              <w:pStyle w:val="affb"/>
              <w:snapToGrid w:val="0"/>
              <w:spacing w:line="240" w:lineRule="auto"/>
              <w:ind w:leftChars="0" w:left="0" w:rightChars="0" w:right="0"/>
              <w:rPr>
                <w:rFonts w:eastAsia="宋体"/>
              </w:rPr>
            </w:pPr>
          </w:p>
        </w:tc>
        <w:tc>
          <w:tcPr>
            <w:tcW w:w="442" w:type="pct"/>
            <w:noWrap/>
            <w:vAlign w:val="center"/>
          </w:tcPr>
          <w:p w14:paraId="793F453A"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保护物种</w:t>
            </w:r>
          </w:p>
        </w:tc>
        <w:tc>
          <w:tcPr>
            <w:tcW w:w="276" w:type="pct"/>
            <w:noWrap/>
            <w:vAlign w:val="center"/>
          </w:tcPr>
          <w:p w14:paraId="0B4FA7C0"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-1L</w:t>
            </w:r>
          </w:p>
        </w:tc>
        <w:tc>
          <w:tcPr>
            <w:tcW w:w="408" w:type="pct"/>
            <w:noWrap/>
            <w:vAlign w:val="center"/>
          </w:tcPr>
          <w:p w14:paraId="09E336F6"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-1L</w:t>
            </w:r>
          </w:p>
        </w:tc>
        <w:tc>
          <w:tcPr>
            <w:tcW w:w="489" w:type="pct"/>
            <w:noWrap/>
            <w:vAlign w:val="center"/>
          </w:tcPr>
          <w:p w14:paraId="6CC03669"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+1L</w:t>
            </w:r>
          </w:p>
        </w:tc>
        <w:tc>
          <w:tcPr>
            <w:tcW w:w="418" w:type="pct"/>
            <w:noWrap/>
            <w:vAlign w:val="center"/>
          </w:tcPr>
          <w:p w14:paraId="24F43915"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+1L</w:t>
            </w:r>
          </w:p>
        </w:tc>
        <w:tc>
          <w:tcPr>
            <w:tcW w:w="244" w:type="pct"/>
            <w:noWrap/>
            <w:vAlign w:val="center"/>
          </w:tcPr>
          <w:p w14:paraId="483E9380"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+1R</w:t>
            </w:r>
          </w:p>
        </w:tc>
        <w:tc>
          <w:tcPr>
            <w:tcW w:w="265" w:type="pct"/>
            <w:noWrap/>
            <w:vAlign w:val="center"/>
          </w:tcPr>
          <w:p w14:paraId="23AD6A2C"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0</w:t>
            </w:r>
          </w:p>
        </w:tc>
        <w:tc>
          <w:tcPr>
            <w:tcW w:w="287" w:type="pct"/>
            <w:noWrap/>
            <w:vAlign w:val="center"/>
          </w:tcPr>
          <w:p w14:paraId="4ECED733"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-1L</w:t>
            </w:r>
          </w:p>
        </w:tc>
        <w:tc>
          <w:tcPr>
            <w:tcW w:w="331" w:type="pct"/>
            <w:noWrap/>
            <w:vAlign w:val="center"/>
          </w:tcPr>
          <w:p w14:paraId="7022A8B9"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0</w:t>
            </w:r>
          </w:p>
        </w:tc>
        <w:tc>
          <w:tcPr>
            <w:tcW w:w="381" w:type="pct"/>
            <w:noWrap/>
            <w:vAlign w:val="center"/>
          </w:tcPr>
          <w:p w14:paraId="7CAFC24E"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-2L</w:t>
            </w:r>
          </w:p>
        </w:tc>
        <w:tc>
          <w:tcPr>
            <w:tcW w:w="255" w:type="pct"/>
            <w:noWrap/>
            <w:vAlign w:val="center"/>
          </w:tcPr>
          <w:p w14:paraId="7DBE2956"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F</w:t>
            </w:r>
          </w:p>
        </w:tc>
        <w:tc>
          <w:tcPr>
            <w:tcW w:w="255" w:type="pct"/>
            <w:noWrap/>
            <w:vAlign w:val="center"/>
          </w:tcPr>
          <w:p w14:paraId="0344C3F4"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T</w:t>
            </w:r>
          </w:p>
        </w:tc>
        <w:tc>
          <w:tcPr>
            <w:tcW w:w="255" w:type="pct"/>
            <w:noWrap/>
            <w:vAlign w:val="center"/>
          </w:tcPr>
          <w:p w14:paraId="001E16ED"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F</w:t>
            </w:r>
          </w:p>
        </w:tc>
        <w:tc>
          <w:tcPr>
            <w:tcW w:w="311" w:type="pct"/>
            <w:noWrap/>
            <w:vAlign w:val="center"/>
          </w:tcPr>
          <w:p w14:paraId="1D6226D1"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±2</w:t>
            </w:r>
          </w:p>
        </w:tc>
      </w:tr>
      <w:tr w:rsidR="00201427" w:rsidRPr="000549B1" w14:paraId="5E9C4E0D" w14:textId="77777777" w:rsidTr="00D87628">
        <w:trPr>
          <w:trHeight w:val="206"/>
          <w:jc w:val="center"/>
        </w:trPr>
        <w:tc>
          <w:tcPr>
            <w:tcW w:w="384" w:type="pct"/>
            <w:vMerge w:val="restart"/>
            <w:noWrap/>
            <w:vAlign w:val="center"/>
          </w:tcPr>
          <w:p w14:paraId="686DE981"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社会环境</w:t>
            </w:r>
          </w:p>
        </w:tc>
        <w:tc>
          <w:tcPr>
            <w:tcW w:w="442" w:type="pct"/>
            <w:noWrap/>
            <w:vAlign w:val="center"/>
          </w:tcPr>
          <w:p w14:paraId="5BA3E23D"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社会经济</w:t>
            </w:r>
          </w:p>
        </w:tc>
        <w:tc>
          <w:tcPr>
            <w:tcW w:w="276" w:type="pct"/>
            <w:noWrap/>
            <w:vAlign w:val="center"/>
          </w:tcPr>
          <w:p w14:paraId="392B18F9"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+3L</w:t>
            </w:r>
          </w:p>
        </w:tc>
        <w:tc>
          <w:tcPr>
            <w:tcW w:w="408" w:type="pct"/>
            <w:noWrap/>
            <w:vAlign w:val="center"/>
          </w:tcPr>
          <w:p w14:paraId="4569E7FE"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+3L</w:t>
            </w:r>
          </w:p>
        </w:tc>
        <w:tc>
          <w:tcPr>
            <w:tcW w:w="489" w:type="pct"/>
            <w:noWrap/>
            <w:vAlign w:val="center"/>
          </w:tcPr>
          <w:p w14:paraId="0AF5C575"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+2L</w:t>
            </w:r>
          </w:p>
        </w:tc>
        <w:tc>
          <w:tcPr>
            <w:tcW w:w="418" w:type="pct"/>
            <w:noWrap/>
            <w:vAlign w:val="center"/>
          </w:tcPr>
          <w:p w14:paraId="11A4C63D"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+2L</w:t>
            </w:r>
          </w:p>
        </w:tc>
        <w:tc>
          <w:tcPr>
            <w:tcW w:w="244" w:type="pct"/>
            <w:noWrap/>
            <w:vAlign w:val="center"/>
          </w:tcPr>
          <w:p w14:paraId="7955D67E"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+2L</w:t>
            </w:r>
          </w:p>
        </w:tc>
        <w:tc>
          <w:tcPr>
            <w:tcW w:w="265" w:type="pct"/>
            <w:noWrap/>
            <w:vAlign w:val="center"/>
          </w:tcPr>
          <w:p w14:paraId="6D1292C9"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+3L</w:t>
            </w:r>
          </w:p>
        </w:tc>
        <w:tc>
          <w:tcPr>
            <w:tcW w:w="287" w:type="pct"/>
            <w:noWrap/>
            <w:vAlign w:val="center"/>
          </w:tcPr>
          <w:p w14:paraId="7C962253"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+3L</w:t>
            </w:r>
          </w:p>
        </w:tc>
        <w:tc>
          <w:tcPr>
            <w:tcW w:w="331" w:type="pct"/>
            <w:noWrap/>
            <w:vAlign w:val="center"/>
          </w:tcPr>
          <w:p w14:paraId="26AFCD5B"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+1L</w:t>
            </w:r>
          </w:p>
        </w:tc>
        <w:tc>
          <w:tcPr>
            <w:tcW w:w="381" w:type="pct"/>
            <w:noWrap/>
            <w:vAlign w:val="center"/>
          </w:tcPr>
          <w:p w14:paraId="4165D1A2"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+3L</w:t>
            </w:r>
          </w:p>
        </w:tc>
        <w:tc>
          <w:tcPr>
            <w:tcW w:w="255" w:type="pct"/>
            <w:noWrap/>
            <w:vAlign w:val="center"/>
          </w:tcPr>
          <w:p w14:paraId="7A2808D1"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T</w:t>
            </w:r>
          </w:p>
        </w:tc>
        <w:tc>
          <w:tcPr>
            <w:tcW w:w="255" w:type="pct"/>
            <w:noWrap/>
            <w:vAlign w:val="center"/>
          </w:tcPr>
          <w:p w14:paraId="6CE73960"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T</w:t>
            </w:r>
          </w:p>
        </w:tc>
        <w:tc>
          <w:tcPr>
            <w:tcW w:w="255" w:type="pct"/>
            <w:noWrap/>
            <w:vAlign w:val="center"/>
          </w:tcPr>
          <w:p w14:paraId="7D911706"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T</w:t>
            </w:r>
          </w:p>
        </w:tc>
        <w:tc>
          <w:tcPr>
            <w:tcW w:w="311" w:type="pct"/>
            <w:noWrap/>
            <w:vAlign w:val="center"/>
          </w:tcPr>
          <w:p w14:paraId="422D4AD3"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3</w:t>
            </w:r>
          </w:p>
        </w:tc>
      </w:tr>
      <w:tr w:rsidR="00201427" w:rsidRPr="000549B1" w14:paraId="790848AA" w14:textId="77777777" w:rsidTr="00D87628">
        <w:trPr>
          <w:trHeight w:val="206"/>
          <w:jc w:val="center"/>
        </w:trPr>
        <w:tc>
          <w:tcPr>
            <w:tcW w:w="384" w:type="pct"/>
            <w:vMerge/>
            <w:noWrap/>
            <w:vAlign w:val="center"/>
          </w:tcPr>
          <w:p w14:paraId="2D6B3AEA" w14:textId="77777777" w:rsidR="00201427" w:rsidRPr="000549B1" w:rsidRDefault="00201427" w:rsidP="00D87628">
            <w:pPr>
              <w:pStyle w:val="affb"/>
              <w:snapToGrid w:val="0"/>
              <w:spacing w:line="240" w:lineRule="auto"/>
              <w:ind w:leftChars="0" w:left="0" w:rightChars="0" w:right="0"/>
              <w:rPr>
                <w:rFonts w:eastAsia="宋体"/>
              </w:rPr>
            </w:pPr>
          </w:p>
        </w:tc>
        <w:tc>
          <w:tcPr>
            <w:tcW w:w="442" w:type="pct"/>
            <w:noWrap/>
            <w:vAlign w:val="center"/>
          </w:tcPr>
          <w:p w14:paraId="05BFF5F5"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文物古迹</w:t>
            </w:r>
          </w:p>
        </w:tc>
        <w:tc>
          <w:tcPr>
            <w:tcW w:w="276" w:type="pct"/>
            <w:noWrap/>
            <w:vAlign w:val="center"/>
          </w:tcPr>
          <w:p w14:paraId="304B6E67"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0</w:t>
            </w:r>
          </w:p>
        </w:tc>
        <w:tc>
          <w:tcPr>
            <w:tcW w:w="408" w:type="pct"/>
            <w:noWrap/>
            <w:vAlign w:val="center"/>
          </w:tcPr>
          <w:p w14:paraId="58D73A4F"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0</w:t>
            </w:r>
          </w:p>
        </w:tc>
        <w:tc>
          <w:tcPr>
            <w:tcW w:w="489" w:type="pct"/>
            <w:noWrap/>
            <w:vAlign w:val="center"/>
          </w:tcPr>
          <w:p w14:paraId="53E4E12F"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0</w:t>
            </w:r>
          </w:p>
        </w:tc>
        <w:tc>
          <w:tcPr>
            <w:tcW w:w="418" w:type="pct"/>
            <w:noWrap/>
            <w:vAlign w:val="center"/>
          </w:tcPr>
          <w:p w14:paraId="0E9FA4EA"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0</w:t>
            </w:r>
          </w:p>
        </w:tc>
        <w:tc>
          <w:tcPr>
            <w:tcW w:w="244" w:type="pct"/>
            <w:noWrap/>
            <w:vAlign w:val="center"/>
          </w:tcPr>
          <w:p w14:paraId="1D865A82"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0</w:t>
            </w:r>
          </w:p>
        </w:tc>
        <w:tc>
          <w:tcPr>
            <w:tcW w:w="265" w:type="pct"/>
            <w:noWrap/>
            <w:vAlign w:val="center"/>
          </w:tcPr>
          <w:p w14:paraId="464AFB3A"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0</w:t>
            </w:r>
          </w:p>
        </w:tc>
        <w:tc>
          <w:tcPr>
            <w:tcW w:w="287" w:type="pct"/>
            <w:noWrap/>
            <w:vAlign w:val="center"/>
          </w:tcPr>
          <w:p w14:paraId="4594BD48"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0</w:t>
            </w:r>
          </w:p>
        </w:tc>
        <w:tc>
          <w:tcPr>
            <w:tcW w:w="331" w:type="pct"/>
            <w:noWrap/>
            <w:vAlign w:val="center"/>
          </w:tcPr>
          <w:p w14:paraId="762E4B7E"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0</w:t>
            </w:r>
          </w:p>
        </w:tc>
        <w:tc>
          <w:tcPr>
            <w:tcW w:w="381" w:type="pct"/>
            <w:noWrap/>
            <w:vAlign w:val="center"/>
          </w:tcPr>
          <w:p w14:paraId="691326E5"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0</w:t>
            </w:r>
          </w:p>
        </w:tc>
        <w:tc>
          <w:tcPr>
            <w:tcW w:w="255" w:type="pct"/>
            <w:noWrap/>
            <w:vAlign w:val="center"/>
          </w:tcPr>
          <w:p w14:paraId="1EC7FE6D"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F</w:t>
            </w:r>
          </w:p>
        </w:tc>
        <w:tc>
          <w:tcPr>
            <w:tcW w:w="255" w:type="pct"/>
            <w:noWrap/>
            <w:vAlign w:val="center"/>
          </w:tcPr>
          <w:p w14:paraId="79787043"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F</w:t>
            </w:r>
          </w:p>
        </w:tc>
        <w:tc>
          <w:tcPr>
            <w:tcW w:w="255" w:type="pct"/>
            <w:noWrap/>
            <w:vAlign w:val="center"/>
          </w:tcPr>
          <w:p w14:paraId="1C77C449"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F</w:t>
            </w:r>
          </w:p>
        </w:tc>
        <w:tc>
          <w:tcPr>
            <w:tcW w:w="311" w:type="pct"/>
            <w:noWrap/>
            <w:vAlign w:val="center"/>
          </w:tcPr>
          <w:p w14:paraId="39B1E76E"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0</w:t>
            </w:r>
          </w:p>
        </w:tc>
      </w:tr>
      <w:tr w:rsidR="00201427" w:rsidRPr="000549B1" w14:paraId="5E9070EC" w14:textId="77777777" w:rsidTr="00D87628">
        <w:trPr>
          <w:trHeight w:val="206"/>
          <w:jc w:val="center"/>
        </w:trPr>
        <w:tc>
          <w:tcPr>
            <w:tcW w:w="384" w:type="pct"/>
            <w:vMerge/>
            <w:noWrap/>
            <w:vAlign w:val="center"/>
          </w:tcPr>
          <w:p w14:paraId="4DD89C91" w14:textId="77777777" w:rsidR="00201427" w:rsidRPr="000549B1" w:rsidRDefault="00201427" w:rsidP="00D87628">
            <w:pPr>
              <w:pStyle w:val="affb"/>
              <w:snapToGrid w:val="0"/>
              <w:spacing w:line="240" w:lineRule="auto"/>
              <w:ind w:leftChars="0" w:left="0" w:rightChars="0" w:right="0"/>
              <w:rPr>
                <w:rFonts w:eastAsia="宋体"/>
              </w:rPr>
            </w:pPr>
          </w:p>
        </w:tc>
        <w:tc>
          <w:tcPr>
            <w:tcW w:w="442" w:type="pct"/>
            <w:noWrap/>
            <w:vAlign w:val="center"/>
          </w:tcPr>
          <w:p w14:paraId="09FB356E"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土地利用</w:t>
            </w:r>
          </w:p>
        </w:tc>
        <w:tc>
          <w:tcPr>
            <w:tcW w:w="276" w:type="pct"/>
            <w:noWrap/>
            <w:vAlign w:val="center"/>
          </w:tcPr>
          <w:p w14:paraId="053D6CC5"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-1L</w:t>
            </w:r>
          </w:p>
        </w:tc>
        <w:tc>
          <w:tcPr>
            <w:tcW w:w="408" w:type="pct"/>
            <w:noWrap/>
            <w:vAlign w:val="center"/>
          </w:tcPr>
          <w:p w14:paraId="208270B3"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-1L</w:t>
            </w:r>
          </w:p>
        </w:tc>
        <w:tc>
          <w:tcPr>
            <w:tcW w:w="489" w:type="pct"/>
            <w:noWrap/>
            <w:vAlign w:val="center"/>
          </w:tcPr>
          <w:p w14:paraId="472A402B"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0</w:t>
            </w:r>
          </w:p>
        </w:tc>
        <w:tc>
          <w:tcPr>
            <w:tcW w:w="418" w:type="pct"/>
            <w:noWrap/>
            <w:vAlign w:val="center"/>
          </w:tcPr>
          <w:p w14:paraId="3AEC93DA"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0</w:t>
            </w:r>
          </w:p>
        </w:tc>
        <w:tc>
          <w:tcPr>
            <w:tcW w:w="244" w:type="pct"/>
            <w:noWrap/>
            <w:vAlign w:val="center"/>
          </w:tcPr>
          <w:p w14:paraId="20F0F10F"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0</w:t>
            </w:r>
          </w:p>
        </w:tc>
        <w:tc>
          <w:tcPr>
            <w:tcW w:w="265" w:type="pct"/>
            <w:noWrap/>
            <w:vAlign w:val="center"/>
          </w:tcPr>
          <w:p w14:paraId="565C7E47"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-1L</w:t>
            </w:r>
          </w:p>
        </w:tc>
        <w:tc>
          <w:tcPr>
            <w:tcW w:w="287" w:type="pct"/>
            <w:noWrap/>
            <w:vAlign w:val="center"/>
          </w:tcPr>
          <w:p w14:paraId="35653B9E"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-1L</w:t>
            </w:r>
          </w:p>
        </w:tc>
        <w:tc>
          <w:tcPr>
            <w:tcW w:w="331" w:type="pct"/>
            <w:noWrap/>
            <w:vAlign w:val="center"/>
          </w:tcPr>
          <w:p w14:paraId="07ACDD5D"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0</w:t>
            </w:r>
          </w:p>
        </w:tc>
        <w:tc>
          <w:tcPr>
            <w:tcW w:w="381" w:type="pct"/>
            <w:noWrap/>
            <w:vAlign w:val="center"/>
          </w:tcPr>
          <w:p w14:paraId="0DB4FEC6"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-2L</w:t>
            </w:r>
          </w:p>
        </w:tc>
        <w:tc>
          <w:tcPr>
            <w:tcW w:w="255" w:type="pct"/>
            <w:noWrap/>
            <w:vAlign w:val="center"/>
          </w:tcPr>
          <w:p w14:paraId="739E9811"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T</w:t>
            </w:r>
          </w:p>
        </w:tc>
        <w:tc>
          <w:tcPr>
            <w:tcW w:w="255" w:type="pct"/>
            <w:noWrap/>
            <w:vAlign w:val="center"/>
          </w:tcPr>
          <w:p w14:paraId="263CAF7A"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T</w:t>
            </w:r>
          </w:p>
        </w:tc>
        <w:tc>
          <w:tcPr>
            <w:tcW w:w="255" w:type="pct"/>
            <w:noWrap/>
            <w:vAlign w:val="center"/>
          </w:tcPr>
          <w:p w14:paraId="012492FF"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T</w:t>
            </w:r>
          </w:p>
        </w:tc>
        <w:tc>
          <w:tcPr>
            <w:tcW w:w="311" w:type="pct"/>
            <w:noWrap/>
            <w:vAlign w:val="center"/>
          </w:tcPr>
          <w:p w14:paraId="7327F289"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-2</w:t>
            </w:r>
          </w:p>
        </w:tc>
      </w:tr>
      <w:tr w:rsidR="00201427" w:rsidRPr="000549B1" w14:paraId="295DE946" w14:textId="77777777" w:rsidTr="00D87628">
        <w:trPr>
          <w:trHeight w:val="206"/>
          <w:jc w:val="center"/>
        </w:trPr>
        <w:tc>
          <w:tcPr>
            <w:tcW w:w="384" w:type="pct"/>
            <w:vMerge/>
            <w:noWrap/>
            <w:vAlign w:val="center"/>
          </w:tcPr>
          <w:p w14:paraId="6648FC8D" w14:textId="77777777" w:rsidR="00201427" w:rsidRPr="000549B1" w:rsidRDefault="00201427" w:rsidP="00D87628">
            <w:pPr>
              <w:pStyle w:val="affb"/>
              <w:snapToGrid w:val="0"/>
              <w:spacing w:line="240" w:lineRule="auto"/>
              <w:ind w:leftChars="0" w:left="0" w:rightChars="0" w:right="0"/>
              <w:rPr>
                <w:rFonts w:eastAsia="宋体"/>
              </w:rPr>
            </w:pPr>
          </w:p>
        </w:tc>
        <w:tc>
          <w:tcPr>
            <w:tcW w:w="442" w:type="pct"/>
            <w:noWrap/>
            <w:vAlign w:val="center"/>
          </w:tcPr>
          <w:p w14:paraId="190D9FDE"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矿产资源</w:t>
            </w:r>
          </w:p>
        </w:tc>
        <w:tc>
          <w:tcPr>
            <w:tcW w:w="276" w:type="pct"/>
            <w:noWrap/>
            <w:vAlign w:val="center"/>
          </w:tcPr>
          <w:p w14:paraId="3ABAB7AE"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0</w:t>
            </w:r>
          </w:p>
        </w:tc>
        <w:tc>
          <w:tcPr>
            <w:tcW w:w="408" w:type="pct"/>
            <w:noWrap/>
            <w:vAlign w:val="center"/>
          </w:tcPr>
          <w:p w14:paraId="2825523F"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0</w:t>
            </w:r>
          </w:p>
        </w:tc>
        <w:tc>
          <w:tcPr>
            <w:tcW w:w="489" w:type="pct"/>
            <w:noWrap/>
            <w:vAlign w:val="center"/>
          </w:tcPr>
          <w:p w14:paraId="3AD11207"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0</w:t>
            </w:r>
          </w:p>
        </w:tc>
        <w:tc>
          <w:tcPr>
            <w:tcW w:w="418" w:type="pct"/>
            <w:noWrap/>
            <w:vAlign w:val="center"/>
          </w:tcPr>
          <w:p w14:paraId="01AD79E7"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0</w:t>
            </w:r>
          </w:p>
        </w:tc>
        <w:tc>
          <w:tcPr>
            <w:tcW w:w="244" w:type="pct"/>
            <w:noWrap/>
            <w:vAlign w:val="center"/>
          </w:tcPr>
          <w:p w14:paraId="772A40D9"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0</w:t>
            </w:r>
          </w:p>
        </w:tc>
        <w:tc>
          <w:tcPr>
            <w:tcW w:w="265" w:type="pct"/>
            <w:noWrap/>
            <w:vAlign w:val="center"/>
          </w:tcPr>
          <w:p w14:paraId="2B06ABF0"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0</w:t>
            </w:r>
          </w:p>
        </w:tc>
        <w:tc>
          <w:tcPr>
            <w:tcW w:w="287" w:type="pct"/>
            <w:noWrap/>
            <w:vAlign w:val="center"/>
          </w:tcPr>
          <w:p w14:paraId="39FEDE58"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0</w:t>
            </w:r>
          </w:p>
        </w:tc>
        <w:tc>
          <w:tcPr>
            <w:tcW w:w="331" w:type="pct"/>
            <w:noWrap/>
            <w:vAlign w:val="center"/>
          </w:tcPr>
          <w:p w14:paraId="01A4ACBD"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0</w:t>
            </w:r>
          </w:p>
        </w:tc>
        <w:tc>
          <w:tcPr>
            <w:tcW w:w="381" w:type="pct"/>
            <w:noWrap/>
            <w:vAlign w:val="center"/>
          </w:tcPr>
          <w:p w14:paraId="25838F2D"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0</w:t>
            </w:r>
          </w:p>
        </w:tc>
        <w:tc>
          <w:tcPr>
            <w:tcW w:w="255" w:type="pct"/>
            <w:noWrap/>
            <w:vAlign w:val="center"/>
          </w:tcPr>
          <w:p w14:paraId="431873E3"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F</w:t>
            </w:r>
          </w:p>
        </w:tc>
        <w:tc>
          <w:tcPr>
            <w:tcW w:w="255" w:type="pct"/>
            <w:noWrap/>
            <w:vAlign w:val="center"/>
          </w:tcPr>
          <w:p w14:paraId="1C2295D5"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F</w:t>
            </w:r>
          </w:p>
        </w:tc>
        <w:tc>
          <w:tcPr>
            <w:tcW w:w="255" w:type="pct"/>
            <w:noWrap/>
            <w:vAlign w:val="center"/>
          </w:tcPr>
          <w:p w14:paraId="75DADDC0"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F</w:t>
            </w:r>
          </w:p>
        </w:tc>
        <w:tc>
          <w:tcPr>
            <w:tcW w:w="311" w:type="pct"/>
            <w:noWrap/>
            <w:vAlign w:val="center"/>
          </w:tcPr>
          <w:p w14:paraId="6879F2A1"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0</w:t>
            </w:r>
          </w:p>
        </w:tc>
      </w:tr>
      <w:tr w:rsidR="00201427" w:rsidRPr="000549B1" w14:paraId="43021C12" w14:textId="77777777" w:rsidTr="00D87628">
        <w:trPr>
          <w:trHeight w:val="206"/>
          <w:jc w:val="center"/>
        </w:trPr>
        <w:tc>
          <w:tcPr>
            <w:tcW w:w="384" w:type="pct"/>
            <w:vMerge/>
            <w:noWrap/>
            <w:vAlign w:val="center"/>
          </w:tcPr>
          <w:p w14:paraId="12CAF3A8" w14:textId="77777777" w:rsidR="00201427" w:rsidRPr="000549B1" w:rsidRDefault="00201427" w:rsidP="00D87628">
            <w:pPr>
              <w:pStyle w:val="affb"/>
              <w:snapToGrid w:val="0"/>
              <w:spacing w:line="240" w:lineRule="auto"/>
              <w:ind w:leftChars="0" w:left="0" w:rightChars="0" w:right="0"/>
              <w:rPr>
                <w:rFonts w:eastAsia="宋体"/>
              </w:rPr>
            </w:pPr>
          </w:p>
        </w:tc>
        <w:tc>
          <w:tcPr>
            <w:tcW w:w="442" w:type="pct"/>
            <w:noWrap/>
            <w:vAlign w:val="center"/>
          </w:tcPr>
          <w:p w14:paraId="0EF2239D"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景观资源</w:t>
            </w:r>
          </w:p>
        </w:tc>
        <w:tc>
          <w:tcPr>
            <w:tcW w:w="276" w:type="pct"/>
            <w:noWrap/>
            <w:vAlign w:val="center"/>
          </w:tcPr>
          <w:p w14:paraId="7A4CFE9F"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0</w:t>
            </w:r>
          </w:p>
        </w:tc>
        <w:tc>
          <w:tcPr>
            <w:tcW w:w="408" w:type="pct"/>
            <w:noWrap/>
            <w:vAlign w:val="center"/>
          </w:tcPr>
          <w:p w14:paraId="76D109A0"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±1R</w:t>
            </w:r>
          </w:p>
        </w:tc>
        <w:tc>
          <w:tcPr>
            <w:tcW w:w="489" w:type="pct"/>
            <w:noWrap/>
            <w:vAlign w:val="center"/>
          </w:tcPr>
          <w:p w14:paraId="4C6B46AB"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+1L</w:t>
            </w:r>
          </w:p>
        </w:tc>
        <w:tc>
          <w:tcPr>
            <w:tcW w:w="418" w:type="pct"/>
            <w:noWrap/>
            <w:vAlign w:val="center"/>
          </w:tcPr>
          <w:p w14:paraId="4A82FE97"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+1L</w:t>
            </w:r>
          </w:p>
        </w:tc>
        <w:tc>
          <w:tcPr>
            <w:tcW w:w="244" w:type="pct"/>
            <w:noWrap/>
            <w:vAlign w:val="center"/>
          </w:tcPr>
          <w:p w14:paraId="1E6DB2FC"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0</w:t>
            </w:r>
          </w:p>
        </w:tc>
        <w:tc>
          <w:tcPr>
            <w:tcW w:w="265" w:type="pct"/>
            <w:noWrap/>
            <w:vAlign w:val="center"/>
          </w:tcPr>
          <w:p w14:paraId="71783600"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0</w:t>
            </w:r>
          </w:p>
        </w:tc>
        <w:tc>
          <w:tcPr>
            <w:tcW w:w="287" w:type="pct"/>
            <w:noWrap/>
            <w:vAlign w:val="center"/>
          </w:tcPr>
          <w:p w14:paraId="2BBC90A4"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±1L</w:t>
            </w:r>
          </w:p>
        </w:tc>
        <w:tc>
          <w:tcPr>
            <w:tcW w:w="331" w:type="pct"/>
            <w:noWrap/>
            <w:vAlign w:val="center"/>
          </w:tcPr>
          <w:p w14:paraId="7C05BA1E"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0</w:t>
            </w:r>
          </w:p>
        </w:tc>
        <w:tc>
          <w:tcPr>
            <w:tcW w:w="381" w:type="pct"/>
            <w:noWrap/>
            <w:vAlign w:val="center"/>
          </w:tcPr>
          <w:p w14:paraId="02C2093D"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±1L</w:t>
            </w:r>
          </w:p>
        </w:tc>
        <w:tc>
          <w:tcPr>
            <w:tcW w:w="255" w:type="pct"/>
            <w:noWrap/>
            <w:vAlign w:val="center"/>
          </w:tcPr>
          <w:p w14:paraId="68E911D8"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F</w:t>
            </w:r>
          </w:p>
        </w:tc>
        <w:tc>
          <w:tcPr>
            <w:tcW w:w="255" w:type="pct"/>
            <w:noWrap/>
            <w:vAlign w:val="center"/>
          </w:tcPr>
          <w:p w14:paraId="505E7D83"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F</w:t>
            </w:r>
          </w:p>
        </w:tc>
        <w:tc>
          <w:tcPr>
            <w:tcW w:w="255" w:type="pct"/>
            <w:noWrap/>
            <w:vAlign w:val="center"/>
          </w:tcPr>
          <w:p w14:paraId="5401E69A"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T</w:t>
            </w:r>
          </w:p>
        </w:tc>
        <w:tc>
          <w:tcPr>
            <w:tcW w:w="311" w:type="pct"/>
            <w:noWrap/>
            <w:vAlign w:val="center"/>
          </w:tcPr>
          <w:p w14:paraId="67F87DE1"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±1</w:t>
            </w:r>
          </w:p>
        </w:tc>
      </w:tr>
      <w:tr w:rsidR="00201427" w:rsidRPr="000549B1" w14:paraId="178641F3" w14:textId="77777777" w:rsidTr="00D87628">
        <w:trPr>
          <w:trHeight w:val="206"/>
          <w:jc w:val="center"/>
        </w:trPr>
        <w:tc>
          <w:tcPr>
            <w:tcW w:w="384" w:type="pct"/>
            <w:vMerge/>
            <w:noWrap/>
            <w:vAlign w:val="center"/>
          </w:tcPr>
          <w:p w14:paraId="42FBB7A1" w14:textId="77777777" w:rsidR="00201427" w:rsidRPr="000549B1" w:rsidRDefault="00201427" w:rsidP="00D87628">
            <w:pPr>
              <w:pStyle w:val="affb"/>
              <w:snapToGrid w:val="0"/>
              <w:spacing w:line="240" w:lineRule="auto"/>
              <w:ind w:leftChars="0" w:left="0" w:rightChars="0" w:right="0"/>
              <w:rPr>
                <w:rFonts w:eastAsia="宋体"/>
              </w:rPr>
            </w:pPr>
          </w:p>
        </w:tc>
        <w:tc>
          <w:tcPr>
            <w:tcW w:w="442" w:type="pct"/>
            <w:noWrap/>
            <w:vAlign w:val="center"/>
          </w:tcPr>
          <w:p w14:paraId="4DC07434"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民族文化</w:t>
            </w:r>
          </w:p>
        </w:tc>
        <w:tc>
          <w:tcPr>
            <w:tcW w:w="276" w:type="pct"/>
            <w:noWrap/>
            <w:vAlign w:val="center"/>
          </w:tcPr>
          <w:p w14:paraId="6B36CB20"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0</w:t>
            </w:r>
          </w:p>
        </w:tc>
        <w:tc>
          <w:tcPr>
            <w:tcW w:w="408" w:type="pct"/>
            <w:noWrap/>
            <w:vAlign w:val="center"/>
          </w:tcPr>
          <w:p w14:paraId="301B7B78"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0</w:t>
            </w:r>
          </w:p>
        </w:tc>
        <w:tc>
          <w:tcPr>
            <w:tcW w:w="489" w:type="pct"/>
            <w:noWrap/>
            <w:vAlign w:val="center"/>
          </w:tcPr>
          <w:p w14:paraId="295C735A"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0</w:t>
            </w:r>
          </w:p>
        </w:tc>
        <w:tc>
          <w:tcPr>
            <w:tcW w:w="418" w:type="pct"/>
            <w:noWrap/>
            <w:vAlign w:val="center"/>
          </w:tcPr>
          <w:p w14:paraId="5AC2057B"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0</w:t>
            </w:r>
          </w:p>
        </w:tc>
        <w:tc>
          <w:tcPr>
            <w:tcW w:w="244" w:type="pct"/>
            <w:noWrap/>
            <w:vAlign w:val="center"/>
          </w:tcPr>
          <w:p w14:paraId="60592BF4"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0</w:t>
            </w:r>
          </w:p>
        </w:tc>
        <w:tc>
          <w:tcPr>
            <w:tcW w:w="265" w:type="pct"/>
            <w:noWrap/>
            <w:vAlign w:val="center"/>
          </w:tcPr>
          <w:p w14:paraId="57F81B89"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0</w:t>
            </w:r>
          </w:p>
        </w:tc>
        <w:tc>
          <w:tcPr>
            <w:tcW w:w="287" w:type="pct"/>
            <w:noWrap/>
            <w:vAlign w:val="center"/>
          </w:tcPr>
          <w:p w14:paraId="64454630"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0</w:t>
            </w:r>
          </w:p>
        </w:tc>
        <w:tc>
          <w:tcPr>
            <w:tcW w:w="331" w:type="pct"/>
            <w:noWrap/>
            <w:vAlign w:val="center"/>
          </w:tcPr>
          <w:p w14:paraId="50A27D19"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0</w:t>
            </w:r>
          </w:p>
        </w:tc>
        <w:tc>
          <w:tcPr>
            <w:tcW w:w="381" w:type="pct"/>
            <w:noWrap/>
            <w:vAlign w:val="center"/>
          </w:tcPr>
          <w:p w14:paraId="04A603E0"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-1L</w:t>
            </w:r>
          </w:p>
        </w:tc>
        <w:tc>
          <w:tcPr>
            <w:tcW w:w="255" w:type="pct"/>
            <w:noWrap/>
            <w:vAlign w:val="center"/>
          </w:tcPr>
          <w:p w14:paraId="6FEF490B"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F</w:t>
            </w:r>
          </w:p>
        </w:tc>
        <w:tc>
          <w:tcPr>
            <w:tcW w:w="255" w:type="pct"/>
            <w:noWrap/>
            <w:vAlign w:val="center"/>
          </w:tcPr>
          <w:p w14:paraId="49D20C54"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T</w:t>
            </w:r>
          </w:p>
        </w:tc>
        <w:tc>
          <w:tcPr>
            <w:tcW w:w="255" w:type="pct"/>
            <w:noWrap/>
            <w:vAlign w:val="center"/>
          </w:tcPr>
          <w:p w14:paraId="1A2FCA8F"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F</w:t>
            </w:r>
          </w:p>
        </w:tc>
        <w:tc>
          <w:tcPr>
            <w:tcW w:w="311" w:type="pct"/>
            <w:noWrap/>
            <w:vAlign w:val="center"/>
          </w:tcPr>
          <w:p w14:paraId="367A93D6"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-1</w:t>
            </w:r>
          </w:p>
        </w:tc>
      </w:tr>
      <w:tr w:rsidR="00201427" w:rsidRPr="000549B1" w14:paraId="5B210B48" w14:textId="77777777" w:rsidTr="00D87628">
        <w:trPr>
          <w:trHeight w:val="206"/>
          <w:jc w:val="center"/>
        </w:trPr>
        <w:tc>
          <w:tcPr>
            <w:tcW w:w="384" w:type="pct"/>
            <w:vMerge/>
            <w:noWrap/>
            <w:vAlign w:val="center"/>
          </w:tcPr>
          <w:p w14:paraId="149CCC84" w14:textId="77777777" w:rsidR="00201427" w:rsidRPr="000549B1" w:rsidRDefault="00201427" w:rsidP="00D87628">
            <w:pPr>
              <w:pStyle w:val="affb"/>
              <w:snapToGrid w:val="0"/>
              <w:spacing w:line="240" w:lineRule="auto"/>
              <w:ind w:leftChars="0" w:left="0" w:rightChars="0" w:right="0"/>
              <w:rPr>
                <w:rFonts w:eastAsia="宋体"/>
              </w:rPr>
            </w:pPr>
          </w:p>
        </w:tc>
        <w:tc>
          <w:tcPr>
            <w:tcW w:w="442" w:type="pct"/>
            <w:noWrap/>
            <w:vAlign w:val="center"/>
          </w:tcPr>
          <w:p w14:paraId="5E5E9122"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人群健康</w:t>
            </w:r>
          </w:p>
        </w:tc>
        <w:tc>
          <w:tcPr>
            <w:tcW w:w="276" w:type="pct"/>
            <w:noWrap/>
            <w:vAlign w:val="center"/>
          </w:tcPr>
          <w:p w14:paraId="6CF2B37E"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0</w:t>
            </w:r>
          </w:p>
        </w:tc>
        <w:tc>
          <w:tcPr>
            <w:tcW w:w="408" w:type="pct"/>
            <w:noWrap/>
            <w:vAlign w:val="center"/>
          </w:tcPr>
          <w:p w14:paraId="35DCE96D"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+2L</w:t>
            </w:r>
          </w:p>
        </w:tc>
        <w:tc>
          <w:tcPr>
            <w:tcW w:w="489" w:type="pct"/>
            <w:noWrap/>
            <w:vAlign w:val="center"/>
          </w:tcPr>
          <w:p w14:paraId="76F3CFCA"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+1L</w:t>
            </w:r>
          </w:p>
        </w:tc>
        <w:tc>
          <w:tcPr>
            <w:tcW w:w="418" w:type="pct"/>
            <w:noWrap/>
            <w:vAlign w:val="center"/>
          </w:tcPr>
          <w:p w14:paraId="02776662"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0</w:t>
            </w:r>
          </w:p>
        </w:tc>
        <w:tc>
          <w:tcPr>
            <w:tcW w:w="244" w:type="pct"/>
            <w:noWrap/>
            <w:vAlign w:val="center"/>
          </w:tcPr>
          <w:p w14:paraId="399F6397"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0</w:t>
            </w:r>
          </w:p>
        </w:tc>
        <w:tc>
          <w:tcPr>
            <w:tcW w:w="265" w:type="pct"/>
            <w:noWrap/>
            <w:vAlign w:val="center"/>
          </w:tcPr>
          <w:p w14:paraId="32BC7538"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+3L</w:t>
            </w:r>
          </w:p>
        </w:tc>
        <w:tc>
          <w:tcPr>
            <w:tcW w:w="287" w:type="pct"/>
            <w:noWrap/>
            <w:vAlign w:val="center"/>
          </w:tcPr>
          <w:p w14:paraId="02E9BC44"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0</w:t>
            </w:r>
          </w:p>
        </w:tc>
        <w:tc>
          <w:tcPr>
            <w:tcW w:w="331" w:type="pct"/>
            <w:noWrap/>
            <w:vAlign w:val="center"/>
          </w:tcPr>
          <w:p w14:paraId="5BE824CA"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0</w:t>
            </w:r>
          </w:p>
        </w:tc>
        <w:tc>
          <w:tcPr>
            <w:tcW w:w="381" w:type="pct"/>
            <w:noWrap/>
            <w:vAlign w:val="center"/>
          </w:tcPr>
          <w:p w14:paraId="73D83A0A"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0</w:t>
            </w:r>
          </w:p>
        </w:tc>
        <w:tc>
          <w:tcPr>
            <w:tcW w:w="255" w:type="pct"/>
            <w:noWrap/>
            <w:vAlign w:val="center"/>
          </w:tcPr>
          <w:p w14:paraId="49378E9D"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F</w:t>
            </w:r>
          </w:p>
        </w:tc>
        <w:tc>
          <w:tcPr>
            <w:tcW w:w="255" w:type="pct"/>
            <w:noWrap/>
            <w:vAlign w:val="center"/>
          </w:tcPr>
          <w:p w14:paraId="7366F5F9"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F</w:t>
            </w:r>
          </w:p>
        </w:tc>
        <w:tc>
          <w:tcPr>
            <w:tcW w:w="255" w:type="pct"/>
            <w:noWrap/>
            <w:vAlign w:val="center"/>
          </w:tcPr>
          <w:p w14:paraId="4FF74299"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F</w:t>
            </w:r>
          </w:p>
        </w:tc>
        <w:tc>
          <w:tcPr>
            <w:tcW w:w="311" w:type="pct"/>
            <w:noWrap/>
            <w:vAlign w:val="center"/>
          </w:tcPr>
          <w:p w14:paraId="5BC2CC36"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3</w:t>
            </w:r>
          </w:p>
        </w:tc>
      </w:tr>
      <w:tr w:rsidR="00201427" w:rsidRPr="000549B1" w14:paraId="11F00B56" w14:textId="77777777" w:rsidTr="00D87628">
        <w:trPr>
          <w:trHeight w:val="206"/>
          <w:jc w:val="center"/>
        </w:trPr>
        <w:tc>
          <w:tcPr>
            <w:tcW w:w="384" w:type="pct"/>
            <w:vMerge/>
            <w:noWrap/>
            <w:vAlign w:val="center"/>
          </w:tcPr>
          <w:p w14:paraId="1DBAB6EE" w14:textId="77777777" w:rsidR="00201427" w:rsidRPr="000549B1" w:rsidRDefault="00201427" w:rsidP="00D87628">
            <w:pPr>
              <w:pStyle w:val="affb"/>
              <w:snapToGrid w:val="0"/>
              <w:spacing w:line="240" w:lineRule="auto"/>
              <w:ind w:leftChars="0" w:left="0" w:rightChars="0" w:right="0"/>
              <w:rPr>
                <w:rFonts w:eastAsia="宋体"/>
              </w:rPr>
            </w:pPr>
          </w:p>
        </w:tc>
        <w:tc>
          <w:tcPr>
            <w:tcW w:w="442" w:type="pct"/>
            <w:noWrap/>
            <w:vAlign w:val="center"/>
          </w:tcPr>
          <w:p w14:paraId="1F087FE9"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基础设施</w:t>
            </w:r>
          </w:p>
        </w:tc>
        <w:tc>
          <w:tcPr>
            <w:tcW w:w="276" w:type="pct"/>
            <w:noWrap/>
            <w:vAlign w:val="center"/>
          </w:tcPr>
          <w:p w14:paraId="241FD102"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+3L</w:t>
            </w:r>
          </w:p>
        </w:tc>
        <w:tc>
          <w:tcPr>
            <w:tcW w:w="408" w:type="pct"/>
            <w:noWrap/>
            <w:vAlign w:val="center"/>
          </w:tcPr>
          <w:p w14:paraId="73A1F883"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+2L</w:t>
            </w:r>
          </w:p>
        </w:tc>
        <w:tc>
          <w:tcPr>
            <w:tcW w:w="489" w:type="pct"/>
            <w:noWrap/>
            <w:vAlign w:val="center"/>
          </w:tcPr>
          <w:p w14:paraId="27C7C209"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0</w:t>
            </w:r>
          </w:p>
        </w:tc>
        <w:tc>
          <w:tcPr>
            <w:tcW w:w="418" w:type="pct"/>
            <w:noWrap/>
            <w:vAlign w:val="center"/>
          </w:tcPr>
          <w:p w14:paraId="356BA445"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0</w:t>
            </w:r>
          </w:p>
        </w:tc>
        <w:tc>
          <w:tcPr>
            <w:tcW w:w="244" w:type="pct"/>
            <w:noWrap/>
            <w:vAlign w:val="center"/>
          </w:tcPr>
          <w:p w14:paraId="7D89AC1A"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0</w:t>
            </w:r>
          </w:p>
        </w:tc>
        <w:tc>
          <w:tcPr>
            <w:tcW w:w="265" w:type="pct"/>
            <w:noWrap/>
            <w:vAlign w:val="center"/>
          </w:tcPr>
          <w:p w14:paraId="259C54C3"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+2L</w:t>
            </w:r>
          </w:p>
        </w:tc>
        <w:tc>
          <w:tcPr>
            <w:tcW w:w="287" w:type="pct"/>
            <w:noWrap/>
            <w:vAlign w:val="center"/>
          </w:tcPr>
          <w:p w14:paraId="796C854B"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0</w:t>
            </w:r>
          </w:p>
        </w:tc>
        <w:tc>
          <w:tcPr>
            <w:tcW w:w="331" w:type="pct"/>
            <w:noWrap/>
            <w:vAlign w:val="center"/>
          </w:tcPr>
          <w:p w14:paraId="534280E3"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0</w:t>
            </w:r>
          </w:p>
        </w:tc>
        <w:tc>
          <w:tcPr>
            <w:tcW w:w="381" w:type="pct"/>
            <w:noWrap/>
            <w:vAlign w:val="center"/>
          </w:tcPr>
          <w:p w14:paraId="39575B02"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0</w:t>
            </w:r>
          </w:p>
        </w:tc>
        <w:tc>
          <w:tcPr>
            <w:tcW w:w="255" w:type="pct"/>
            <w:noWrap/>
            <w:vAlign w:val="center"/>
          </w:tcPr>
          <w:p w14:paraId="674B2DB2"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F</w:t>
            </w:r>
          </w:p>
        </w:tc>
        <w:tc>
          <w:tcPr>
            <w:tcW w:w="255" w:type="pct"/>
            <w:noWrap/>
            <w:vAlign w:val="center"/>
          </w:tcPr>
          <w:p w14:paraId="4A24FAED"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F</w:t>
            </w:r>
          </w:p>
        </w:tc>
        <w:tc>
          <w:tcPr>
            <w:tcW w:w="255" w:type="pct"/>
            <w:noWrap/>
            <w:vAlign w:val="center"/>
          </w:tcPr>
          <w:p w14:paraId="07BB3A35"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T</w:t>
            </w:r>
          </w:p>
        </w:tc>
        <w:tc>
          <w:tcPr>
            <w:tcW w:w="311" w:type="pct"/>
            <w:noWrap/>
            <w:vAlign w:val="center"/>
          </w:tcPr>
          <w:p w14:paraId="34B4AA25" w14:textId="77777777" w:rsidR="00201427" w:rsidRPr="000549B1" w:rsidRDefault="00201427" w:rsidP="00D87628">
            <w:pPr>
              <w:pStyle w:val="affb"/>
              <w:snapToGrid w:val="0"/>
              <w:spacing w:line="240" w:lineRule="auto"/>
              <w:ind w:leftChars="0" w:left="0" w:rightChars="0" w:right="0"/>
              <w:rPr>
                <w:rFonts w:eastAsia="宋体"/>
              </w:rPr>
            </w:pPr>
            <w:r w:rsidRPr="000549B1">
              <w:rPr>
                <w:rFonts w:eastAsia="宋体"/>
              </w:rPr>
              <w:t>3</w:t>
            </w:r>
          </w:p>
        </w:tc>
      </w:tr>
    </w:tbl>
    <w:p w14:paraId="1093E9C4" w14:textId="62A5B9B4" w:rsidR="00F74A8E" w:rsidRPr="00F74A8E" w:rsidRDefault="00000000">
      <w:pPr>
        <w:pStyle w:val="x"/>
      </w:pPr>
      <w:bookmarkStart w:id="341" w:name="_Hlk214980439"/>
      <w:r w:rsidRPr="000549B1">
        <w:t>注：</w:t>
      </w:r>
      <w:r w:rsidRPr="000549B1">
        <w:rPr>
          <w:rFonts w:ascii="宋体" w:hAnsi="宋体" w:cs="宋体" w:hint="eastAsia"/>
        </w:rPr>
        <w:t>①</w:t>
      </w:r>
      <w:r w:rsidRPr="000549B1">
        <w:t>+</w:t>
      </w:r>
      <w:r w:rsidRPr="000549B1">
        <w:t>、</w:t>
      </w:r>
      <w:r w:rsidRPr="000549B1">
        <w:t>-</w:t>
      </w:r>
      <w:r w:rsidRPr="000549B1">
        <w:t>分别表示有利影响和不利影响；</w:t>
      </w:r>
      <w:r w:rsidRPr="000549B1">
        <w:rPr>
          <w:rFonts w:ascii="宋体" w:hAnsi="宋体" w:cs="宋体" w:hint="eastAsia"/>
        </w:rPr>
        <w:t>②</w:t>
      </w:r>
      <w:r w:rsidRPr="000549B1">
        <w:t>0</w:t>
      </w:r>
      <w:r w:rsidRPr="000549B1">
        <w:t>、</w:t>
      </w:r>
      <w:r w:rsidRPr="000549B1">
        <w:t>1</w:t>
      </w:r>
      <w:r w:rsidRPr="000549B1">
        <w:t>、</w:t>
      </w:r>
      <w:r w:rsidRPr="000549B1">
        <w:t>2</w:t>
      </w:r>
      <w:r w:rsidRPr="000549B1">
        <w:t>、</w:t>
      </w:r>
      <w:r w:rsidRPr="000549B1">
        <w:t>3</w:t>
      </w:r>
      <w:r w:rsidRPr="000549B1">
        <w:t>分别表示影响的程度忽略不计、小、中、大；</w:t>
      </w:r>
      <w:r w:rsidRPr="000549B1">
        <w:rPr>
          <w:rFonts w:ascii="宋体" w:hAnsi="宋体" w:cs="宋体" w:hint="eastAsia"/>
        </w:rPr>
        <w:t>③</w:t>
      </w:r>
      <w:r w:rsidRPr="000549B1">
        <w:t>R</w:t>
      </w:r>
      <w:r w:rsidRPr="000549B1">
        <w:t>、</w:t>
      </w:r>
      <w:r w:rsidRPr="000549B1">
        <w:t>L</w:t>
      </w:r>
      <w:r w:rsidRPr="000549B1">
        <w:t>分别表示可逆和不可逆影响；</w:t>
      </w:r>
      <w:r w:rsidRPr="000549B1">
        <w:rPr>
          <w:rFonts w:ascii="宋体" w:hAnsi="宋体" w:cs="宋体" w:hint="eastAsia"/>
        </w:rPr>
        <w:t>④</w:t>
      </w:r>
      <w:r w:rsidRPr="000549B1">
        <w:t>T</w:t>
      </w:r>
      <w:r w:rsidRPr="000549B1">
        <w:t>、</w:t>
      </w:r>
      <w:r w:rsidRPr="000549B1">
        <w:t>F</w:t>
      </w:r>
      <w:r w:rsidRPr="000549B1">
        <w:t>分别表示存在和不存在此类性质的影响。</w:t>
      </w:r>
    </w:p>
    <w:bookmarkEnd w:id="341"/>
    <w:p w14:paraId="582A53BF" w14:textId="74A114BE" w:rsidR="00054437" w:rsidRPr="000549B1" w:rsidRDefault="00054437">
      <w:pPr>
        <w:pStyle w:val="x"/>
        <w:sectPr w:rsidR="00054437" w:rsidRPr="000549B1">
          <w:pgSz w:w="16838" w:h="11906" w:orient="landscape"/>
          <w:pgMar w:top="1800" w:right="1440" w:bottom="1800" w:left="1440" w:header="851" w:footer="992" w:gutter="0"/>
          <w:cols w:space="425"/>
          <w:docGrid w:type="lines" w:linePitch="312"/>
        </w:sectPr>
      </w:pPr>
    </w:p>
    <w:p w14:paraId="3988A83F" w14:textId="4171BBBD" w:rsidR="00054437" w:rsidRPr="000549B1" w:rsidRDefault="00000000">
      <w:pPr>
        <w:pStyle w:val="2"/>
        <w:rPr>
          <w:rFonts w:ascii="Times New Roman" w:hAnsi="Times New Roman"/>
        </w:rPr>
      </w:pPr>
      <w:bookmarkStart w:id="342" w:name="_Toc216107035"/>
      <w:r w:rsidRPr="000549B1">
        <w:rPr>
          <w:rFonts w:ascii="Times New Roman" w:hAnsi="Times New Roman"/>
        </w:rPr>
        <w:t>生态环境保护定位</w:t>
      </w:r>
      <w:bookmarkEnd w:id="342"/>
    </w:p>
    <w:p w14:paraId="5538B8C2" w14:textId="77777777" w:rsidR="00054437" w:rsidRPr="000549B1" w:rsidRDefault="00000000">
      <w:pPr>
        <w:pStyle w:val="3"/>
      </w:pPr>
      <w:bookmarkStart w:id="343" w:name="_Toc216107036"/>
      <w:r w:rsidRPr="000549B1">
        <w:t>环境敏感保护目标识别</w:t>
      </w:r>
      <w:bookmarkEnd w:id="343"/>
    </w:p>
    <w:p w14:paraId="7A15BD4E" w14:textId="022A2141" w:rsidR="00054437" w:rsidRPr="000549B1" w:rsidRDefault="00000000">
      <w:pPr>
        <w:pStyle w:val="x"/>
      </w:pPr>
      <w:bookmarkStart w:id="344" w:name="OLE_LINK51"/>
      <w:r w:rsidRPr="000549B1">
        <w:t>规划</w:t>
      </w:r>
      <w:r w:rsidRPr="000549B1">
        <w:rPr>
          <w:rFonts w:hint="eastAsia"/>
        </w:rPr>
        <w:t>评价</w:t>
      </w:r>
      <w:r w:rsidRPr="000549B1">
        <w:t>范围</w:t>
      </w:r>
      <w:r w:rsidRPr="000549B1">
        <w:rPr>
          <w:rFonts w:hint="eastAsia"/>
        </w:rPr>
        <w:t>内</w:t>
      </w:r>
      <w:r w:rsidRPr="000549B1">
        <w:t>的环境敏感</w:t>
      </w:r>
      <w:r w:rsidRPr="000549B1">
        <w:rPr>
          <w:rFonts w:hint="eastAsia"/>
        </w:rPr>
        <w:t>保护</w:t>
      </w:r>
      <w:r w:rsidRPr="000549B1">
        <w:t>目标</w:t>
      </w:r>
      <w:r w:rsidRPr="000549B1">
        <w:rPr>
          <w:rFonts w:hint="eastAsia"/>
        </w:rPr>
        <w:t>，详</w:t>
      </w:r>
      <w:r w:rsidRPr="000549B1">
        <w:t>见下表</w:t>
      </w:r>
      <w:bookmarkEnd w:id="344"/>
      <w:r w:rsidRPr="000549B1">
        <w:t>：</w:t>
      </w:r>
    </w:p>
    <w:p w14:paraId="15B5FE33" w14:textId="08D3BB05" w:rsidR="00054437" w:rsidRPr="000549B1" w:rsidRDefault="00000000">
      <w:pPr>
        <w:pStyle w:val="aff8"/>
        <w:rPr>
          <w:color w:val="auto"/>
        </w:rPr>
      </w:pPr>
      <w:r w:rsidRPr="000549B1">
        <w:rPr>
          <w:color w:val="auto"/>
        </w:rPr>
        <w:t>表</w:t>
      </w:r>
      <w:r w:rsidR="00372953">
        <w:rPr>
          <w:color w:val="auto"/>
        </w:rPr>
        <w:fldChar w:fldCharType="begin"/>
      </w:r>
      <w:r w:rsidR="00372953">
        <w:rPr>
          <w:color w:val="auto"/>
        </w:rPr>
        <w:instrText xml:space="preserve"> STYLEREF 2 \s </w:instrText>
      </w:r>
      <w:r w:rsidR="00372953">
        <w:rPr>
          <w:color w:val="auto"/>
        </w:rPr>
        <w:fldChar w:fldCharType="separate"/>
      </w:r>
      <w:r w:rsidR="00372953">
        <w:rPr>
          <w:noProof/>
          <w:color w:val="auto"/>
        </w:rPr>
        <w:t>4.2</w:t>
      </w:r>
      <w:r w:rsidR="00372953">
        <w:rPr>
          <w:color w:val="auto"/>
        </w:rPr>
        <w:fldChar w:fldCharType="end"/>
      </w:r>
      <w:r w:rsidR="00372953">
        <w:rPr>
          <w:color w:val="auto"/>
        </w:rPr>
        <w:noBreakHyphen/>
      </w:r>
      <w:r w:rsidR="00372953">
        <w:rPr>
          <w:color w:val="auto"/>
        </w:rPr>
        <w:fldChar w:fldCharType="begin"/>
      </w:r>
      <w:r w:rsidR="00372953">
        <w:rPr>
          <w:color w:val="auto"/>
        </w:rPr>
        <w:instrText xml:space="preserve"> SEQ </w:instrText>
      </w:r>
      <w:r w:rsidR="00372953">
        <w:rPr>
          <w:color w:val="auto"/>
        </w:rPr>
        <w:instrText>表</w:instrText>
      </w:r>
      <w:r w:rsidR="00372953">
        <w:rPr>
          <w:color w:val="auto"/>
        </w:rPr>
        <w:instrText xml:space="preserve"> \* ARABIC \s 2 </w:instrText>
      </w:r>
      <w:r w:rsidR="00372953">
        <w:rPr>
          <w:color w:val="auto"/>
        </w:rPr>
        <w:fldChar w:fldCharType="separate"/>
      </w:r>
      <w:r w:rsidR="00372953">
        <w:rPr>
          <w:noProof/>
          <w:color w:val="auto"/>
        </w:rPr>
        <w:t>1</w:t>
      </w:r>
      <w:r w:rsidR="00372953">
        <w:rPr>
          <w:color w:val="auto"/>
        </w:rPr>
        <w:fldChar w:fldCharType="end"/>
      </w:r>
      <w:r w:rsidRPr="000549B1">
        <w:rPr>
          <w:color w:val="auto"/>
        </w:rPr>
        <w:t>沙珠玉河流域规划范围内生态环境敏感目标</w:t>
      </w:r>
    </w:p>
    <w:tbl>
      <w:tblPr>
        <w:tblW w:w="8301" w:type="dxa"/>
        <w:tblLook w:val="04A0" w:firstRow="1" w:lastRow="0" w:firstColumn="1" w:lastColumn="0" w:noHBand="0" w:noVBand="1"/>
      </w:tblPr>
      <w:tblGrid>
        <w:gridCol w:w="1424"/>
        <w:gridCol w:w="2606"/>
        <w:gridCol w:w="1607"/>
        <w:gridCol w:w="1240"/>
        <w:gridCol w:w="1424"/>
      </w:tblGrid>
      <w:tr w:rsidR="000549B1" w:rsidRPr="000549B1" w14:paraId="7DA01F66" w14:textId="77777777">
        <w:trPr>
          <w:trHeight w:val="727"/>
        </w:trPr>
        <w:tc>
          <w:tcPr>
            <w:tcW w:w="1424" w:type="dxa"/>
            <w:tcBorders>
              <w:top w:val="single" w:sz="4" w:space="0" w:color="auto"/>
              <w:left w:val="single" w:sz="4" w:space="0" w:color="auto"/>
              <w:bottom w:val="single" w:sz="4" w:space="0" w:color="auto"/>
              <w:right w:val="single" w:sz="4" w:space="0" w:color="auto"/>
            </w:tcBorders>
            <w:noWrap/>
            <w:vAlign w:val="center"/>
          </w:tcPr>
          <w:p w14:paraId="79CE1B48" w14:textId="77777777" w:rsidR="00054437" w:rsidRPr="000549B1" w:rsidRDefault="00000000">
            <w:pPr>
              <w:pStyle w:val="CharCharCharCharChar"/>
              <w:rPr>
                <w:b/>
                <w:bCs/>
                <w:color w:val="auto"/>
              </w:rPr>
            </w:pPr>
            <w:r w:rsidRPr="000549B1">
              <w:rPr>
                <w:b/>
                <w:bCs/>
                <w:color w:val="auto"/>
              </w:rPr>
              <w:t>编号</w:t>
            </w:r>
          </w:p>
        </w:tc>
        <w:tc>
          <w:tcPr>
            <w:tcW w:w="2606" w:type="dxa"/>
            <w:tcBorders>
              <w:top w:val="single" w:sz="4" w:space="0" w:color="auto"/>
              <w:left w:val="nil"/>
              <w:bottom w:val="single" w:sz="4" w:space="0" w:color="auto"/>
              <w:right w:val="single" w:sz="4" w:space="0" w:color="auto"/>
            </w:tcBorders>
            <w:vAlign w:val="center"/>
          </w:tcPr>
          <w:p w14:paraId="72F99070" w14:textId="77777777" w:rsidR="00054437" w:rsidRPr="000549B1" w:rsidRDefault="00000000">
            <w:pPr>
              <w:pStyle w:val="CharCharCharCharChar"/>
              <w:rPr>
                <w:b/>
                <w:bCs/>
                <w:color w:val="auto"/>
              </w:rPr>
            </w:pPr>
            <w:r w:rsidRPr="000549B1">
              <w:rPr>
                <w:b/>
                <w:bCs/>
                <w:color w:val="auto"/>
              </w:rPr>
              <w:t>环境敏感目标</w:t>
            </w:r>
          </w:p>
        </w:tc>
        <w:tc>
          <w:tcPr>
            <w:tcW w:w="1607" w:type="dxa"/>
            <w:tcBorders>
              <w:top w:val="single" w:sz="4" w:space="0" w:color="auto"/>
              <w:left w:val="nil"/>
              <w:bottom w:val="single" w:sz="4" w:space="0" w:color="auto"/>
              <w:right w:val="single" w:sz="4" w:space="0" w:color="auto"/>
            </w:tcBorders>
            <w:vAlign w:val="center"/>
          </w:tcPr>
          <w:p w14:paraId="6B271F7B" w14:textId="77777777" w:rsidR="00054437" w:rsidRPr="000549B1" w:rsidRDefault="00000000">
            <w:pPr>
              <w:pStyle w:val="CharCharCharCharChar"/>
              <w:rPr>
                <w:b/>
                <w:bCs/>
                <w:color w:val="auto"/>
              </w:rPr>
            </w:pPr>
            <w:r w:rsidRPr="000549B1">
              <w:rPr>
                <w:b/>
                <w:bCs/>
                <w:color w:val="auto"/>
              </w:rPr>
              <w:t>所在行政区</w:t>
            </w:r>
          </w:p>
        </w:tc>
        <w:tc>
          <w:tcPr>
            <w:tcW w:w="1240" w:type="dxa"/>
            <w:tcBorders>
              <w:top w:val="single" w:sz="4" w:space="0" w:color="auto"/>
              <w:left w:val="nil"/>
              <w:bottom w:val="single" w:sz="4" w:space="0" w:color="auto"/>
              <w:right w:val="single" w:sz="4" w:space="0" w:color="auto"/>
            </w:tcBorders>
            <w:vAlign w:val="center"/>
          </w:tcPr>
          <w:p w14:paraId="56EFA931" w14:textId="77777777" w:rsidR="00054437" w:rsidRPr="000549B1" w:rsidRDefault="00000000">
            <w:pPr>
              <w:pStyle w:val="CharCharCharCharChar"/>
              <w:rPr>
                <w:b/>
                <w:bCs/>
                <w:color w:val="auto"/>
              </w:rPr>
            </w:pPr>
            <w:r w:rsidRPr="000549B1">
              <w:rPr>
                <w:b/>
                <w:bCs/>
                <w:color w:val="auto"/>
              </w:rPr>
              <w:t>类型或级别</w:t>
            </w:r>
          </w:p>
        </w:tc>
        <w:tc>
          <w:tcPr>
            <w:tcW w:w="1424" w:type="dxa"/>
            <w:tcBorders>
              <w:top w:val="single" w:sz="4" w:space="0" w:color="auto"/>
              <w:left w:val="nil"/>
              <w:bottom w:val="single" w:sz="4" w:space="0" w:color="auto"/>
              <w:right w:val="single" w:sz="4" w:space="0" w:color="auto"/>
            </w:tcBorders>
            <w:vAlign w:val="center"/>
          </w:tcPr>
          <w:p w14:paraId="433AB237" w14:textId="77777777" w:rsidR="00054437" w:rsidRPr="000549B1" w:rsidRDefault="00000000">
            <w:pPr>
              <w:pStyle w:val="CharCharCharCharChar"/>
              <w:rPr>
                <w:b/>
                <w:bCs/>
                <w:color w:val="auto"/>
              </w:rPr>
            </w:pPr>
            <w:r w:rsidRPr="000549B1">
              <w:rPr>
                <w:b/>
                <w:bCs/>
                <w:color w:val="auto"/>
              </w:rPr>
              <w:t>涉及规划工程</w:t>
            </w:r>
          </w:p>
        </w:tc>
      </w:tr>
      <w:tr w:rsidR="000549B1" w:rsidRPr="000549B1" w14:paraId="43B1601B" w14:textId="77777777">
        <w:trPr>
          <w:trHeight w:val="363"/>
        </w:trPr>
        <w:tc>
          <w:tcPr>
            <w:tcW w:w="1424" w:type="dxa"/>
            <w:tcBorders>
              <w:top w:val="nil"/>
              <w:left w:val="single" w:sz="4" w:space="0" w:color="auto"/>
              <w:bottom w:val="single" w:sz="4" w:space="0" w:color="auto"/>
              <w:right w:val="single" w:sz="4" w:space="0" w:color="auto"/>
            </w:tcBorders>
            <w:vAlign w:val="center"/>
          </w:tcPr>
          <w:p w14:paraId="02E1976D" w14:textId="77777777" w:rsidR="00054437" w:rsidRPr="000549B1" w:rsidRDefault="00000000">
            <w:pPr>
              <w:pStyle w:val="CharCharCharCharChar"/>
              <w:rPr>
                <w:color w:val="auto"/>
              </w:rPr>
            </w:pPr>
            <w:r w:rsidRPr="000549B1">
              <w:rPr>
                <w:color w:val="auto"/>
              </w:rPr>
              <w:t>一</w:t>
            </w:r>
          </w:p>
        </w:tc>
        <w:tc>
          <w:tcPr>
            <w:tcW w:w="2606" w:type="dxa"/>
            <w:tcBorders>
              <w:top w:val="nil"/>
              <w:left w:val="nil"/>
              <w:bottom w:val="single" w:sz="4" w:space="0" w:color="auto"/>
              <w:right w:val="single" w:sz="4" w:space="0" w:color="auto"/>
            </w:tcBorders>
            <w:vAlign w:val="center"/>
          </w:tcPr>
          <w:p w14:paraId="237ADE62" w14:textId="77777777" w:rsidR="00054437" w:rsidRPr="000549B1" w:rsidRDefault="00000000">
            <w:pPr>
              <w:pStyle w:val="CharCharCharCharChar"/>
              <w:rPr>
                <w:color w:val="auto"/>
              </w:rPr>
            </w:pPr>
            <w:r w:rsidRPr="000549B1">
              <w:rPr>
                <w:color w:val="auto"/>
              </w:rPr>
              <w:t>自然保护地</w:t>
            </w:r>
          </w:p>
        </w:tc>
        <w:tc>
          <w:tcPr>
            <w:tcW w:w="1607" w:type="dxa"/>
            <w:tcBorders>
              <w:top w:val="nil"/>
              <w:left w:val="nil"/>
              <w:bottom w:val="single" w:sz="4" w:space="0" w:color="auto"/>
              <w:right w:val="single" w:sz="4" w:space="0" w:color="auto"/>
            </w:tcBorders>
            <w:vAlign w:val="center"/>
          </w:tcPr>
          <w:p w14:paraId="3BB20868" w14:textId="77777777" w:rsidR="00054437" w:rsidRPr="000549B1" w:rsidRDefault="00054437">
            <w:pPr>
              <w:pStyle w:val="CharCharCharCharChar"/>
              <w:rPr>
                <w:color w:val="auto"/>
              </w:rPr>
            </w:pPr>
          </w:p>
        </w:tc>
        <w:tc>
          <w:tcPr>
            <w:tcW w:w="1240" w:type="dxa"/>
            <w:tcBorders>
              <w:top w:val="nil"/>
              <w:left w:val="nil"/>
              <w:bottom w:val="single" w:sz="4" w:space="0" w:color="auto"/>
              <w:right w:val="single" w:sz="4" w:space="0" w:color="auto"/>
            </w:tcBorders>
            <w:vAlign w:val="center"/>
          </w:tcPr>
          <w:p w14:paraId="37F94E1B" w14:textId="77777777" w:rsidR="00054437" w:rsidRPr="000549B1" w:rsidRDefault="00054437">
            <w:pPr>
              <w:pStyle w:val="CharCharCharCharChar"/>
              <w:rPr>
                <w:color w:val="auto"/>
              </w:rPr>
            </w:pPr>
          </w:p>
        </w:tc>
        <w:tc>
          <w:tcPr>
            <w:tcW w:w="1424" w:type="dxa"/>
            <w:tcBorders>
              <w:top w:val="nil"/>
              <w:left w:val="nil"/>
              <w:bottom w:val="single" w:sz="4" w:space="0" w:color="auto"/>
              <w:right w:val="single" w:sz="4" w:space="0" w:color="auto"/>
            </w:tcBorders>
            <w:vAlign w:val="center"/>
          </w:tcPr>
          <w:p w14:paraId="723630DB" w14:textId="77777777" w:rsidR="00054437" w:rsidRPr="000549B1" w:rsidRDefault="00054437">
            <w:pPr>
              <w:pStyle w:val="CharCharCharCharChar"/>
              <w:rPr>
                <w:color w:val="auto"/>
              </w:rPr>
            </w:pPr>
          </w:p>
        </w:tc>
      </w:tr>
      <w:tr w:rsidR="000549B1" w:rsidRPr="000549B1" w14:paraId="416BA3E1" w14:textId="77777777">
        <w:trPr>
          <w:trHeight w:val="727"/>
        </w:trPr>
        <w:tc>
          <w:tcPr>
            <w:tcW w:w="1424" w:type="dxa"/>
            <w:tcBorders>
              <w:top w:val="nil"/>
              <w:left w:val="single" w:sz="4" w:space="0" w:color="auto"/>
              <w:bottom w:val="single" w:sz="4" w:space="0" w:color="auto"/>
              <w:right w:val="single" w:sz="4" w:space="0" w:color="auto"/>
            </w:tcBorders>
            <w:vAlign w:val="center"/>
          </w:tcPr>
          <w:p w14:paraId="06C0B864" w14:textId="77777777" w:rsidR="00054437" w:rsidRPr="000549B1" w:rsidRDefault="00000000">
            <w:pPr>
              <w:pStyle w:val="CharCharCharCharChar"/>
              <w:rPr>
                <w:color w:val="auto"/>
              </w:rPr>
            </w:pPr>
            <w:r w:rsidRPr="000549B1">
              <w:rPr>
                <w:color w:val="auto"/>
              </w:rPr>
              <w:t>1</w:t>
            </w:r>
          </w:p>
        </w:tc>
        <w:tc>
          <w:tcPr>
            <w:tcW w:w="2606" w:type="dxa"/>
            <w:tcBorders>
              <w:top w:val="nil"/>
              <w:left w:val="nil"/>
              <w:bottom w:val="single" w:sz="4" w:space="0" w:color="auto"/>
              <w:right w:val="single" w:sz="4" w:space="0" w:color="auto"/>
            </w:tcBorders>
            <w:vAlign w:val="center"/>
          </w:tcPr>
          <w:p w14:paraId="01400FA8" w14:textId="77777777" w:rsidR="00054437" w:rsidRPr="000549B1" w:rsidRDefault="00000000">
            <w:pPr>
              <w:pStyle w:val="CharCharCharCharChar"/>
              <w:rPr>
                <w:color w:val="auto"/>
              </w:rPr>
            </w:pPr>
            <w:r w:rsidRPr="000549B1">
              <w:rPr>
                <w:color w:val="auto"/>
              </w:rPr>
              <w:t>青海湖国家级</w:t>
            </w:r>
          </w:p>
          <w:p w14:paraId="2A6E79DE" w14:textId="77777777" w:rsidR="00054437" w:rsidRPr="000549B1" w:rsidRDefault="00000000">
            <w:pPr>
              <w:pStyle w:val="CharCharCharCharChar"/>
              <w:rPr>
                <w:color w:val="auto"/>
              </w:rPr>
            </w:pPr>
            <w:r w:rsidRPr="000549B1">
              <w:rPr>
                <w:color w:val="auto"/>
              </w:rPr>
              <w:t>自然保护区</w:t>
            </w:r>
          </w:p>
        </w:tc>
        <w:tc>
          <w:tcPr>
            <w:tcW w:w="1607" w:type="dxa"/>
            <w:tcBorders>
              <w:top w:val="nil"/>
              <w:left w:val="nil"/>
              <w:bottom w:val="single" w:sz="4" w:space="0" w:color="auto"/>
              <w:right w:val="single" w:sz="4" w:space="0" w:color="auto"/>
            </w:tcBorders>
            <w:vAlign w:val="center"/>
          </w:tcPr>
          <w:p w14:paraId="6B46138F" w14:textId="77777777" w:rsidR="00054437" w:rsidRPr="000549B1" w:rsidRDefault="00000000">
            <w:pPr>
              <w:pStyle w:val="CharCharCharCharChar"/>
              <w:rPr>
                <w:color w:val="auto"/>
              </w:rPr>
            </w:pPr>
            <w:r w:rsidRPr="000549B1">
              <w:rPr>
                <w:color w:val="auto"/>
              </w:rPr>
              <w:t>共和县塘格木镇、廿地乡</w:t>
            </w:r>
          </w:p>
        </w:tc>
        <w:tc>
          <w:tcPr>
            <w:tcW w:w="1240" w:type="dxa"/>
            <w:tcBorders>
              <w:top w:val="nil"/>
              <w:left w:val="nil"/>
              <w:bottom w:val="single" w:sz="4" w:space="0" w:color="auto"/>
              <w:right w:val="single" w:sz="4" w:space="0" w:color="auto"/>
            </w:tcBorders>
            <w:vAlign w:val="center"/>
          </w:tcPr>
          <w:p w14:paraId="7A6953F3" w14:textId="77777777" w:rsidR="00054437" w:rsidRPr="000549B1" w:rsidRDefault="00000000">
            <w:pPr>
              <w:pStyle w:val="CharCharCharCharChar"/>
              <w:rPr>
                <w:color w:val="auto"/>
              </w:rPr>
            </w:pPr>
            <w:r w:rsidRPr="000549B1">
              <w:rPr>
                <w:color w:val="auto"/>
              </w:rPr>
              <w:t>自然保护区</w:t>
            </w:r>
          </w:p>
        </w:tc>
        <w:tc>
          <w:tcPr>
            <w:tcW w:w="1424" w:type="dxa"/>
            <w:tcBorders>
              <w:top w:val="nil"/>
              <w:left w:val="nil"/>
              <w:bottom w:val="single" w:sz="4" w:space="0" w:color="auto"/>
              <w:right w:val="single" w:sz="4" w:space="0" w:color="auto"/>
            </w:tcBorders>
            <w:vAlign w:val="center"/>
          </w:tcPr>
          <w:p w14:paraId="35C68CFC" w14:textId="77777777" w:rsidR="00054437" w:rsidRPr="000549B1" w:rsidRDefault="00000000">
            <w:pPr>
              <w:pStyle w:val="CharCharCharCharChar"/>
              <w:rPr>
                <w:color w:val="auto"/>
              </w:rPr>
            </w:pPr>
            <w:r w:rsidRPr="000549B1">
              <w:rPr>
                <w:color w:val="auto"/>
              </w:rPr>
              <w:t>不涉及</w:t>
            </w:r>
          </w:p>
        </w:tc>
      </w:tr>
      <w:tr w:rsidR="000549B1" w:rsidRPr="000549B1" w14:paraId="46D65F02" w14:textId="77777777">
        <w:trPr>
          <w:trHeight w:val="727"/>
        </w:trPr>
        <w:tc>
          <w:tcPr>
            <w:tcW w:w="1424" w:type="dxa"/>
            <w:tcBorders>
              <w:top w:val="nil"/>
              <w:left w:val="single" w:sz="4" w:space="0" w:color="auto"/>
              <w:bottom w:val="single" w:sz="4" w:space="0" w:color="auto"/>
              <w:right w:val="single" w:sz="4" w:space="0" w:color="auto"/>
            </w:tcBorders>
            <w:noWrap/>
            <w:vAlign w:val="center"/>
          </w:tcPr>
          <w:p w14:paraId="597AC8BA" w14:textId="77777777" w:rsidR="00054437" w:rsidRPr="000549B1" w:rsidRDefault="00000000">
            <w:pPr>
              <w:pStyle w:val="CharCharCharCharChar"/>
              <w:rPr>
                <w:color w:val="auto"/>
              </w:rPr>
            </w:pPr>
            <w:r w:rsidRPr="000549B1">
              <w:rPr>
                <w:color w:val="auto"/>
              </w:rPr>
              <w:t>2</w:t>
            </w:r>
          </w:p>
        </w:tc>
        <w:tc>
          <w:tcPr>
            <w:tcW w:w="2606" w:type="dxa"/>
            <w:tcBorders>
              <w:top w:val="nil"/>
              <w:left w:val="nil"/>
              <w:bottom w:val="single" w:sz="4" w:space="0" w:color="auto"/>
              <w:right w:val="single" w:sz="4" w:space="0" w:color="auto"/>
            </w:tcBorders>
            <w:vAlign w:val="center"/>
          </w:tcPr>
          <w:p w14:paraId="7A15A665" w14:textId="77777777" w:rsidR="00054437" w:rsidRPr="000549B1" w:rsidRDefault="00000000">
            <w:pPr>
              <w:pStyle w:val="CharCharCharCharChar"/>
              <w:rPr>
                <w:color w:val="auto"/>
              </w:rPr>
            </w:pPr>
            <w:r w:rsidRPr="000549B1">
              <w:rPr>
                <w:color w:val="auto"/>
              </w:rPr>
              <w:t>青海湖国家级</w:t>
            </w:r>
          </w:p>
          <w:p w14:paraId="5673672E" w14:textId="77777777" w:rsidR="00054437" w:rsidRPr="000549B1" w:rsidRDefault="00000000">
            <w:pPr>
              <w:pStyle w:val="CharCharCharCharChar"/>
              <w:rPr>
                <w:color w:val="auto"/>
              </w:rPr>
            </w:pPr>
            <w:r w:rsidRPr="000549B1">
              <w:rPr>
                <w:color w:val="auto"/>
              </w:rPr>
              <w:t>风景名胜区</w:t>
            </w:r>
          </w:p>
        </w:tc>
        <w:tc>
          <w:tcPr>
            <w:tcW w:w="1607" w:type="dxa"/>
            <w:tcBorders>
              <w:top w:val="nil"/>
              <w:left w:val="nil"/>
              <w:bottom w:val="single" w:sz="4" w:space="0" w:color="auto"/>
              <w:right w:val="single" w:sz="4" w:space="0" w:color="auto"/>
            </w:tcBorders>
            <w:vAlign w:val="center"/>
          </w:tcPr>
          <w:p w14:paraId="244A20DC" w14:textId="77777777" w:rsidR="00054437" w:rsidRPr="000549B1" w:rsidRDefault="00000000">
            <w:pPr>
              <w:pStyle w:val="CharCharCharCharChar"/>
              <w:rPr>
                <w:color w:val="auto"/>
              </w:rPr>
            </w:pPr>
            <w:r w:rsidRPr="000549B1">
              <w:rPr>
                <w:color w:val="auto"/>
              </w:rPr>
              <w:t>共和县塘格木镇、廿地乡</w:t>
            </w:r>
          </w:p>
        </w:tc>
        <w:tc>
          <w:tcPr>
            <w:tcW w:w="1240" w:type="dxa"/>
            <w:tcBorders>
              <w:top w:val="nil"/>
              <w:left w:val="nil"/>
              <w:bottom w:val="single" w:sz="4" w:space="0" w:color="auto"/>
              <w:right w:val="single" w:sz="4" w:space="0" w:color="auto"/>
            </w:tcBorders>
            <w:vAlign w:val="center"/>
          </w:tcPr>
          <w:p w14:paraId="4ADB66E5" w14:textId="77777777" w:rsidR="00054437" w:rsidRPr="000549B1" w:rsidRDefault="00000000">
            <w:pPr>
              <w:pStyle w:val="CharCharCharCharChar"/>
              <w:rPr>
                <w:color w:val="auto"/>
              </w:rPr>
            </w:pPr>
            <w:r w:rsidRPr="000549B1">
              <w:rPr>
                <w:color w:val="auto"/>
              </w:rPr>
              <w:t>风景名胜区</w:t>
            </w:r>
          </w:p>
        </w:tc>
        <w:tc>
          <w:tcPr>
            <w:tcW w:w="1424" w:type="dxa"/>
            <w:tcBorders>
              <w:top w:val="nil"/>
              <w:left w:val="nil"/>
              <w:bottom w:val="single" w:sz="4" w:space="0" w:color="auto"/>
              <w:right w:val="single" w:sz="4" w:space="0" w:color="auto"/>
            </w:tcBorders>
            <w:vAlign w:val="center"/>
          </w:tcPr>
          <w:p w14:paraId="5E074A43" w14:textId="77777777" w:rsidR="00054437" w:rsidRPr="000549B1" w:rsidRDefault="00000000">
            <w:pPr>
              <w:pStyle w:val="CharCharCharCharChar"/>
              <w:rPr>
                <w:color w:val="auto"/>
              </w:rPr>
            </w:pPr>
            <w:r w:rsidRPr="000549B1">
              <w:rPr>
                <w:color w:val="auto"/>
              </w:rPr>
              <w:t>不涉及</w:t>
            </w:r>
          </w:p>
        </w:tc>
      </w:tr>
      <w:tr w:rsidR="000549B1" w:rsidRPr="000549B1" w14:paraId="1A53A2EE" w14:textId="77777777">
        <w:trPr>
          <w:trHeight w:val="363"/>
        </w:trPr>
        <w:tc>
          <w:tcPr>
            <w:tcW w:w="1424" w:type="dxa"/>
            <w:tcBorders>
              <w:top w:val="nil"/>
              <w:left w:val="single" w:sz="4" w:space="0" w:color="auto"/>
              <w:bottom w:val="single" w:sz="4" w:space="0" w:color="auto"/>
              <w:right w:val="single" w:sz="4" w:space="0" w:color="auto"/>
            </w:tcBorders>
            <w:vAlign w:val="center"/>
          </w:tcPr>
          <w:p w14:paraId="2907A765" w14:textId="77777777" w:rsidR="00054437" w:rsidRPr="000549B1" w:rsidRDefault="00000000">
            <w:pPr>
              <w:pStyle w:val="CharCharCharCharChar"/>
              <w:rPr>
                <w:color w:val="auto"/>
              </w:rPr>
            </w:pPr>
            <w:r w:rsidRPr="000549B1">
              <w:rPr>
                <w:color w:val="auto"/>
              </w:rPr>
              <w:t>二</w:t>
            </w:r>
          </w:p>
        </w:tc>
        <w:tc>
          <w:tcPr>
            <w:tcW w:w="2606" w:type="dxa"/>
            <w:tcBorders>
              <w:top w:val="nil"/>
              <w:left w:val="nil"/>
              <w:bottom w:val="single" w:sz="4" w:space="0" w:color="auto"/>
              <w:right w:val="single" w:sz="4" w:space="0" w:color="auto"/>
            </w:tcBorders>
            <w:noWrap/>
            <w:vAlign w:val="center"/>
          </w:tcPr>
          <w:p w14:paraId="25AD951A" w14:textId="77777777" w:rsidR="00054437" w:rsidRPr="000549B1" w:rsidRDefault="00000000">
            <w:pPr>
              <w:pStyle w:val="CharCharCharCharChar"/>
              <w:rPr>
                <w:color w:val="auto"/>
              </w:rPr>
            </w:pPr>
            <w:r w:rsidRPr="000549B1">
              <w:rPr>
                <w:color w:val="auto"/>
              </w:rPr>
              <w:t>饮用水水源保护区</w:t>
            </w:r>
          </w:p>
        </w:tc>
        <w:tc>
          <w:tcPr>
            <w:tcW w:w="1607" w:type="dxa"/>
            <w:tcBorders>
              <w:top w:val="nil"/>
              <w:left w:val="nil"/>
              <w:bottom w:val="single" w:sz="4" w:space="0" w:color="auto"/>
              <w:right w:val="single" w:sz="4" w:space="0" w:color="auto"/>
            </w:tcBorders>
            <w:vAlign w:val="center"/>
          </w:tcPr>
          <w:p w14:paraId="0F3DBDE5" w14:textId="77777777" w:rsidR="00054437" w:rsidRPr="000549B1" w:rsidRDefault="00054437">
            <w:pPr>
              <w:pStyle w:val="CharCharCharCharChar"/>
              <w:rPr>
                <w:color w:val="auto"/>
              </w:rPr>
            </w:pPr>
          </w:p>
        </w:tc>
        <w:tc>
          <w:tcPr>
            <w:tcW w:w="1240" w:type="dxa"/>
            <w:tcBorders>
              <w:top w:val="nil"/>
              <w:left w:val="nil"/>
              <w:bottom w:val="single" w:sz="4" w:space="0" w:color="auto"/>
              <w:right w:val="single" w:sz="4" w:space="0" w:color="auto"/>
            </w:tcBorders>
            <w:vAlign w:val="center"/>
          </w:tcPr>
          <w:p w14:paraId="4EAABD8D" w14:textId="77777777" w:rsidR="00054437" w:rsidRPr="000549B1" w:rsidRDefault="00054437">
            <w:pPr>
              <w:pStyle w:val="CharCharCharCharChar"/>
              <w:rPr>
                <w:color w:val="auto"/>
              </w:rPr>
            </w:pPr>
          </w:p>
        </w:tc>
        <w:tc>
          <w:tcPr>
            <w:tcW w:w="1424" w:type="dxa"/>
            <w:tcBorders>
              <w:top w:val="nil"/>
              <w:left w:val="nil"/>
              <w:bottom w:val="single" w:sz="4" w:space="0" w:color="auto"/>
              <w:right w:val="single" w:sz="4" w:space="0" w:color="auto"/>
            </w:tcBorders>
            <w:vAlign w:val="center"/>
          </w:tcPr>
          <w:p w14:paraId="0736AF61" w14:textId="77777777" w:rsidR="00054437" w:rsidRPr="000549B1" w:rsidRDefault="00054437">
            <w:pPr>
              <w:pStyle w:val="CharCharCharCharChar"/>
              <w:rPr>
                <w:color w:val="auto"/>
              </w:rPr>
            </w:pPr>
          </w:p>
        </w:tc>
      </w:tr>
      <w:tr w:rsidR="000549B1" w:rsidRPr="000549B1" w14:paraId="661E465E" w14:textId="77777777">
        <w:trPr>
          <w:trHeight w:val="696"/>
        </w:trPr>
        <w:tc>
          <w:tcPr>
            <w:tcW w:w="1424" w:type="dxa"/>
            <w:tcBorders>
              <w:top w:val="nil"/>
              <w:left w:val="single" w:sz="4" w:space="0" w:color="auto"/>
              <w:bottom w:val="single" w:sz="4" w:space="0" w:color="auto"/>
              <w:right w:val="single" w:sz="4" w:space="0" w:color="auto"/>
            </w:tcBorders>
            <w:vAlign w:val="center"/>
          </w:tcPr>
          <w:p w14:paraId="159E3E89" w14:textId="77777777" w:rsidR="00054437" w:rsidRPr="000549B1" w:rsidRDefault="00000000">
            <w:pPr>
              <w:pStyle w:val="CharCharCharCharChar"/>
              <w:rPr>
                <w:color w:val="auto"/>
              </w:rPr>
            </w:pPr>
            <w:r w:rsidRPr="000549B1">
              <w:rPr>
                <w:color w:val="auto"/>
              </w:rPr>
              <w:t>1</w:t>
            </w:r>
          </w:p>
        </w:tc>
        <w:tc>
          <w:tcPr>
            <w:tcW w:w="2606" w:type="dxa"/>
            <w:tcBorders>
              <w:top w:val="nil"/>
              <w:left w:val="nil"/>
              <w:bottom w:val="single" w:sz="4" w:space="0" w:color="auto"/>
              <w:right w:val="single" w:sz="4" w:space="0" w:color="auto"/>
            </w:tcBorders>
            <w:shd w:val="clear" w:color="000000" w:fill="FFFFFF"/>
            <w:vAlign w:val="center"/>
          </w:tcPr>
          <w:p w14:paraId="72D1B87A" w14:textId="77777777" w:rsidR="00054437" w:rsidRPr="000549B1" w:rsidRDefault="00000000">
            <w:pPr>
              <w:pStyle w:val="CharCharCharCharChar"/>
              <w:rPr>
                <w:color w:val="auto"/>
                <w:szCs w:val="21"/>
              </w:rPr>
            </w:pPr>
            <w:r w:rsidRPr="000549B1">
              <w:rPr>
                <w:color w:val="auto"/>
                <w:szCs w:val="21"/>
              </w:rPr>
              <w:t>共和县切吉滩集中式饮用水水源地</w:t>
            </w:r>
          </w:p>
        </w:tc>
        <w:tc>
          <w:tcPr>
            <w:tcW w:w="1607" w:type="dxa"/>
            <w:tcBorders>
              <w:top w:val="nil"/>
              <w:left w:val="nil"/>
              <w:bottom w:val="single" w:sz="4" w:space="0" w:color="auto"/>
              <w:right w:val="single" w:sz="4" w:space="0" w:color="auto"/>
            </w:tcBorders>
            <w:vAlign w:val="center"/>
          </w:tcPr>
          <w:p w14:paraId="729F0EB0" w14:textId="77777777" w:rsidR="00054437" w:rsidRPr="000549B1" w:rsidRDefault="00000000">
            <w:pPr>
              <w:pStyle w:val="CharCharCharCharChar"/>
              <w:rPr>
                <w:color w:val="auto"/>
              </w:rPr>
            </w:pPr>
            <w:r w:rsidRPr="000549B1">
              <w:rPr>
                <w:color w:val="auto"/>
              </w:rPr>
              <w:t>共和县切吉乡</w:t>
            </w:r>
          </w:p>
        </w:tc>
        <w:tc>
          <w:tcPr>
            <w:tcW w:w="1240" w:type="dxa"/>
            <w:tcBorders>
              <w:top w:val="nil"/>
              <w:left w:val="nil"/>
              <w:bottom w:val="single" w:sz="4" w:space="0" w:color="auto"/>
              <w:right w:val="single" w:sz="4" w:space="0" w:color="auto"/>
            </w:tcBorders>
            <w:vAlign w:val="center"/>
          </w:tcPr>
          <w:p w14:paraId="5B036534" w14:textId="77777777" w:rsidR="00054437" w:rsidRPr="000549B1" w:rsidRDefault="00000000">
            <w:pPr>
              <w:pStyle w:val="CharCharCharCharChar"/>
              <w:rPr>
                <w:color w:val="auto"/>
              </w:rPr>
            </w:pPr>
            <w:r w:rsidRPr="000549B1">
              <w:rPr>
                <w:color w:val="auto"/>
              </w:rPr>
              <w:t>地市级</w:t>
            </w:r>
          </w:p>
        </w:tc>
        <w:tc>
          <w:tcPr>
            <w:tcW w:w="1424" w:type="dxa"/>
            <w:tcBorders>
              <w:top w:val="nil"/>
              <w:left w:val="nil"/>
              <w:bottom w:val="single" w:sz="4" w:space="0" w:color="auto"/>
              <w:right w:val="single" w:sz="4" w:space="0" w:color="auto"/>
            </w:tcBorders>
            <w:vAlign w:val="center"/>
          </w:tcPr>
          <w:p w14:paraId="2C4E720E" w14:textId="77777777" w:rsidR="00054437" w:rsidRPr="000549B1" w:rsidRDefault="00000000">
            <w:pPr>
              <w:pStyle w:val="CharCharCharCharChar"/>
              <w:rPr>
                <w:color w:val="auto"/>
              </w:rPr>
            </w:pPr>
            <w:r w:rsidRPr="000549B1">
              <w:rPr>
                <w:color w:val="auto"/>
              </w:rPr>
              <w:t>不涉及</w:t>
            </w:r>
          </w:p>
        </w:tc>
      </w:tr>
      <w:tr w:rsidR="000549B1" w:rsidRPr="000549B1" w14:paraId="641FE46E" w14:textId="77777777">
        <w:trPr>
          <w:trHeight w:val="363"/>
        </w:trPr>
        <w:tc>
          <w:tcPr>
            <w:tcW w:w="1424" w:type="dxa"/>
            <w:tcBorders>
              <w:top w:val="nil"/>
              <w:left w:val="single" w:sz="4" w:space="0" w:color="auto"/>
              <w:bottom w:val="single" w:sz="4" w:space="0" w:color="auto"/>
              <w:right w:val="single" w:sz="4" w:space="0" w:color="auto"/>
            </w:tcBorders>
            <w:vAlign w:val="center"/>
          </w:tcPr>
          <w:p w14:paraId="327E6CE6" w14:textId="77777777" w:rsidR="00054437" w:rsidRPr="000549B1" w:rsidRDefault="00000000">
            <w:pPr>
              <w:pStyle w:val="CharCharCharCharChar"/>
              <w:rPr>
                <w:color w:val="auto"/>
              </w:rPr>
            </w:pPr>
            <w:r w:rsidRPr="000549B1">
              <w:rPr>
                <w:color w:val="auto"/>
              </w:rPr>
              <w:t>2</w:t>
            </w:r>
          </w:p>
        </w:tc>
        <w:tc>
          <w:tcPr>
            <w:tcW w:w="2606" w:type="dxa"/>
            <w:tcBorders>
              <w:top w:val="nil"/>
              <w:left w:val="nil"/>
              <w:bottom w:val="single" w:sz="4" w:space="0" w:color="auto"/>
              <w:right w:val="single" w:sz="4" w:space="0" w:color="auto"/>
            </w:tcBorders>
            <w:shd w:val="clear" w:color="000000" w:fill="FFFFFF"/>
            <w:vAlign w:val="center"/>
          </w:tcPr>
          <w:p w14:paraId="37248AD9" w14:textId="77777777" w:rsidR="00054437" w:rsidRPr="000549B1" w:rsidRDefault="00000000">
            <w:pPr>
              <w:pStyle w:val="CharCharCharCharChar"/>
              <w:rPr>
                <w:color w:val="auto"/>
                <w:szCs w:val="21"/>
              </w:rPr>
            </w:pPr>
            <w:r w:rsidRPr="000549B1">
              <w:rPr>
                <w:color w:val="auto"/>
                <w:szCs w:val="21"/>
              </w:rPr>
              <w:t>河卡镇满丈水源地</w:t>
            </w:r>
          </w:p>
        </w:tc>
        <w:tc>
          <w:tcPr>
            <w:tcW w:w="1607" w:type="dxa"/>
            <w:tcBorders>
              <w:top w:val="nil"/>
              <w:left w:val="nil"/>
              <w:bottom w:val="single" w:sz="4" w:space="0" w:color="auto"/>
              <w:right w:val="single" w:sz="4" w:space="0" w:color="auto"/>
            </w:tcBorders>
            <w:vAlign w:val="center"/>
          </w:tcPr>
          <w:p w14:paraId="0FEF71C3" w14:textId="77777777" w:rsidR="00054437" w:rsidRPr="000549B1" w:rsidRDefault="00000000">
            <w:pPr>
              <w:pStyle w:val="CharCharCharCharChar"/>
              <w:rPr>
                <w:color w:val="auto"/>
              </w:rPr>
            </w:pPr>
            <w:r w:rsidRPr="000549B1">
              <w:rPr>
                <w:color w:val="auto"/>
              </w:rPr>
              <w:t>兴海县河卡镇</w:t>
            </w:r>
          </w:p>
        </w:tc>
        <w:tc>
          <w:tcPr>
            <w:tcW w:w="1240" w:type="dxa"/>
            <w:tcBorders>
              <w:top w:val="nil"/>
              <w:left w:val="nil"/>
              <w:bottom w:val="single" w:sz="4" w:space="0" w:color="auto"/>
              <w:right w:val="single" w:sz="4" w:space="0" w:color="auto"/>
            </w:tcBorders>
            <w:vAlign w:val="center"/>
          </w:tcPr>
          <w:p w14:paraId="6FEC11E4" w14:textId="77777777" w:rsidR="00054437" w:rsidRPr="000549B1" w:rsidRDefault="00000000">
            <w:pPr>
              <w:pStyle w:val="CharCharCharCharChar"/>
              <w:rPr>
                <w:color w:val="auto"/>
              </w:rPr>
            </w:pPr>
            <w:r w:rsidRPr="000549B1">
              <w:rPr>
                <w:color w:val="auto"/>
              </w:rPr>
              <w:t>乡镇级</w:t>
            </w:r>
          </w:p>
        </w:tc>
        <w:tc>
          <w:tcPr>
            <w:tcW w:w="1424" w:type="dxa"/>
            <w:tcBorders>
              <w:top w:val="nil"/>
              <w:left w:val="nil"/>
              <w:bottom w:val="single" w:sz="4" w:space="0" w:color="auto"/>
              <w:right w:val="single" w:sz="4" w:space="0" w:color="auto"/>
            </w:tcBorders>
            <w:vAlign w:val="center"/>
          </w:tcPr>
          <w:p w14:paraId="4E773FAE" w14:textId="77777777" w:rsidR="00054437" w:rsidRPr="000549B1" w:rsidRDefault="00000000">
            <w:pPr>
              <w:pStyle w:val="CharCharCharCharChar"/>
              <w:rPr>
                <w:color w:val="auto"/>
              </w:rPr>
            </w:pPr>
            <w:r w:rsidRPr="000549B1">
              <w:rPr>
                <w:color w:val="auto"/>
              </w:rPr>
              <w:t>不涉及</w:t>
            </w:r>
          </w:p>
        </w:tc>
      </w:tr>
      <w:tr w:rsidR="000549B1" w:rsidRPr="000549B1" w14:paraId="5D28A35F" w14:textId="77777777">
        <w:trPr>
          <w:trHeight w:val="363"/>
        </w:trPr>
        <w:tc>
          <w:tcPr>
            <w:tcW w:w="1424" w:type="dxa"/>
            <w:tcBorders>
              <w:top w:val="nil"/>
              <w:left w:val="single" w:sz="4" w:space="0" w:color="auto"/>
              <w:bottom w:val="single" w:sz="4" w:space="0" w:color="auto"/>
              <w:right w:val="single" w:sz="4" w:space="0" w:color="auto"/>
            </w:tcBorders>
            <w:vAlign w:val="center"/>
          </w:tcPr>
          <w:p w14:paraId="1322BCD2" w14:textId="77777777" w:rsidR="00054437" w:rsidRPr="000549B1" w:rsidRDefault="00000000">
            <w:pPr>
              <w:pStyle w:val="CharCharCharCharChar"/>
              <w:rPr>
                <w:color w:val="auto"/>
              </w:rPr>
            </w:pPr>
            <w:r w:rsidRPr="000549B1">
              <w:rPr>
                <w:color w:val="auto"/>
              </w:rPr>
              <w:t>3</w:t>
            </w:r>
          </w:p>
        </w:tc>
        <w:tc>
          <w:tcPr>
            <w:tcW w:w="2606" w:type="dxa"/>
            <w:tcBorders>
              <w:top w:val="nil"/>
              <w:left w:val="nil"/>
              <w:bottom w:val="single" w:sz="4" w:space="0" w:color="auto"/>
              <w:right w:val="single" w:sz="4" w:space="0" w:color="auto"/>
            </w:tcBorders>
            <w:shd w:val="clear" w:color="000000" w:fill="FFFFFF"/>
            <w:vAlign w:val="center"/>
          </w:tcPr>
          <w:p w14:paraId="36B2815B" w14:textId="77777777" w:rsidR="00054437" w:rsidRPr="000549B1" w:rsidRDefault="00000000">
            <w:pPr>
              <w:pStyle w:val="CharCharCharCharChar"/>
              <w:rPr>
                <w:color w:val="auto"/>
                <w:szCs w:val="21"/>
              </w:rPr>
            </w:pPr>
            <w:r w:rsidRPr="000549B1">
              <w:rPr>
                <w:color w:val="auto"/>
                <w:szCs w:val="21"/>
              </w:rPr>
              <w:t>恰让水库</w:t>
            </w:r>
          </w:p>
        </w:tc>
        <w:tc>
          <w:tcPr>
            <w:tcW w:w="1607" w:type="dxa"/>
            <w:tcBorders>
              <w:top w:val="nil"/>
              <w:left w:val="nil"/>
              <w:bottom w:val="single" w:sz="4" w:space="0" w:color="auto"/>
              <w:right w:val="single" w:sz="4" w:space="0" w:color="auto"/>
            </w:tcBorders>
            <w:vAlign w:val="center"/>
          </w:tcPr>
          <w:p w14:paraId="79195B51" w14:textId="77777777" w:rsidR="00054437" w:rsidRPr="000549B1" w:rsidRDefault="00000000">
            <w:pPr>
              <w:pStyle w:val="CharCharCharCharChar"/>
              <w:rPr>
                <w:color w:val="auto"/>
              </w:rPr>
            </w:pPr>
            <w:r w:rsidRPr="000549B1">
              <w:rPr>
                <w:color w:val="auto"/>
              </w:rPr>
              <w:t>共和县廿地乡</w:t>
            </w:r>
          </w:p>
        </w:tc>
        <w:tc>
          <w:tcPr>
            <w:tcW w:w="1240" w:type="dxa"/>
            <w:tcBorders>
              <w:top w:val="nil"/>
              <w:left w:val="nil"/>
              <w:bottom w:val="single" w:sz="4" w:space="0" w:color="auto"/>
              <w:right w:val="single" w:sz="4" w:space="0" w:color="auto"/>
            </w:tcBorders>
            <w:vAlign w:val="center"/>
          </w:tcPr>
          <w:p w14:paraId="5CD13BC5" w14:textId="77777777" w:rsidR="00054437" w:rsidRPr="000549B1" w:rsidRDefault="00054437">
            <w:pPr>
              <w:pStyle w:val="CharCharCharCharChar"/>
              <w:rPr>
                <w:color w:val="auto"/>
              </w:rPr>
            </w:pPr>
          </w:p>
        </w:tc>
        <w:tc>
          <w:tcPr>
            <w:tcW w:w="1424" w:type="dxa"/>
            <w:tcBorders>
              <w:top w:val="nil"/>
              <w:left w:val="nil"/>
              <w:bottom w:val="single" w:sz="4" w:space="0" w:color="auto"/>
              <w:right w:val="single" w:sz="4" w:space="0" w:color="auto"/>
            </w:tcBorders>
            <w:vAlign w:val="center"/>
          </w:tcPr>
          <w:p w14:paraId="61EECC75" w14:textId="77777777" w:rsidR="00054437" w:rsidRPr="000549B1" w:rsidRDefault="00000000">
            <w:pPr>
              <w:pStyle w:val="CharCharCharCharChar"/>
              <w:rPr>
                <w:color w:val="auto"/>
              </w:rPr>
            </w:pPr>
            <w:r w:rsidRPr="000549B1">
              <w:rPr>
                <w:color w:val="auto"/>
              </w:rPr>
              <w:t>不涉及</w:t>
            </w:r>
          </w:p>
        </w:tc>
      </w:tr>
      <w:tr w:rsidR="000549B1" w:rsidRPr="000549B1" w14:paraId="1BB045AC" w14:textId="77777777">
        <w:trPr>
          <w:trHeight w:val="363"/>
        </w:trPr>
        <w:tc>
          <w:tcPr>
            <w:tcW w:w="1424" w:type="dxa"/>
            <w:tcBorders>
              <w:top w:val="nil"/>
              <w:left w:val="single" w:sz="4" w:space="0" w:color="auto"/>
              <w:bottom w:val="single" w:sz="4" w:space="0" w:color="auto"/>
              <w:right w:val="single" w:sz="4" w:space="0" w:color="auto"/>
            </w:tcBorders>
            <w:vAlign w:val="center"/>
          </w:tcPr>
          <w:p w14:paraId="368B35A4" w14:textId="77777777" w:rsidR="00054437" w:rsidRPr="000549B1" w:rsidRDefault="00000000">
            <w:pPr>
              <w:pStyle w:val="CharCharCharCharChar"/>
              <w:rPr>
                <w:color w:val="auto"/>
              </w:rPr>
            </w:pPr>
            <w:r w:rsidRPr="000549B1">
              <w:rPr>
                <w:color w:val="auto"/>
              </w:rPr>
              <w:t>三</w:t>
            </w:r>
          </w:p>
        </w:tc>
        <w:tc>
          <w:tcPr>
            <w:tcW w:w="2606" w:type="dxa"/>
            <w:tcBorders>
              <w:top w:val="nil"/>
              <w:left w:val="nil"/>
              <w:bottom w:val="single" w:sz="4" w:space="0" w:color="auto"/>
              <w:right w:val="single" w:sz="4" w:space="0" w:color="auto"/>
            </w:tcBorders>
            <w:noWrap/>
            <w:vAlign w:val="center"/>
          </w:tcPr>
          <w:p w14:paraId="15959AB7" w14:textId="77777777" w:rsidR="00054437" w:rsidRPr="000549B1" w:rsidRDefault="00000000">
            <w:pPr>
              <w:pStyle w:val="CharCharCharCharChar"/>
              <w:rPr>
                <w:color w:val="auto"/>
              </w:rPr>
            </w:pPr>
            <w:r w:rsidRPr="000549B1">
              <w:rPr>
                <w:color w:val="auto"/>
              </w:rPr>
              <w:t>生态保护红线</w:t>
            </w:r>
          </w:p>
        </w:tc>
        <w:tc>
          <w:tcPr>
            <w:tcW w:w="1607" w:type="dxa"/>
            <w:tcBorders>
              <w:top w:val="nil"/>
              <w:left w:val="nil"/>
              <w:bottom w:val="single" w:sz="4" w:space="0" w:color="auto"/>
              <w:right w:val="single" w:sz="4" w:space="0" w:color="auto"/>
            </w:tcBorders>
            <w:vAlign w:val="center"/>
          </w:tcPr>
          <w:p w14:paraId="275D128F" w14:textId="77777777" w:rsidR="00054437" w:rsidRPr="000549B1" w:rsidRDefault="00054437">
            <w:pPr>
              <w:pStyle w:val="CharCharCharCharChar"/>
              <w:rPr>
                <w:color w:val="auto"/>
              </w:rPr>
            </w:pPr>
          </w:p>
        </w:tc>
        <w:tc>
          <w:tcPr>
            <w:tcW w:w="1240" w:type="dxa"/>
            <w:tcBorders>
              <w:top w:val="nil"/>
              <w:left w:val="nil"/>
              <w:bottom w:val="single" w:sz="4" w:space="0" w:color="auto"/>
              <w:right w:val="single" w:sz="4" w:space="0" w:color="auto"/>
            </w:tcBorders>
            <w:vAlign w:val="center"/>
          </w:tcPr>
          <w:p w14:paraId="389DB4A4" w14:textId="77777777" w:rsidR="00054437" w:rsidRPr="000549B1" w:rsidRDefault="00054437">
            <w:pPr>
              <w:pStyle w:val="CharCharCharCharChar"/>
              <w:rPr>
                <w:color w:val="auto"/>
              </w:rPr>
            </w:pPr>
          </w:p>
        </w:tc>
        <w:tc>
          <w:tcPr>
            <w:tcW w:w="1424" w:type="dxa"/>
            <w:tcBorders>
              <w:top w:val="nil"/>
              <w:left w:val="nil"/>
              <w:bottom w:val="single" w:sz="4" w:space="0" w:color="auto"/>
              <w:right w:val="single" w:sz="4" w:space="0" w:color="auto"/>
            </w:tcBorders>
            <w:vAlign w:val="center"/>
          </w:tcPr>
          <w:p w14:paraId="1527D65E" w14:textId="77777777" w:rsidR="00054437" w:rsidRPr="000549B1" w:rsidRDefault="00054437">
            <w:pPr>
              <w:pStyle w:val="CharCharCharCharChar"/>
              <w:rPr>
                <w:color w:val="auto"/>
              </w:rPr>
            </w:pPr>
          </w:p>
        </w:tc>
      </w:tr>
      <w:tr w:rsidR="000549B1" w:rsidRPr="000549B1" w14:paraId="486AD54C" w14:textId="77777777">
        <w:trPr>
          <w:trHeight w:val="363"/>
        </w:trPr>
        <w:tc>
          <w:tcPr>
            <w:tcW w:w="1424" w:type="dxa"/>
            <w:tcBorders>
              <w:top w:val="nil"/>
              <w:left w:val="single" w:sz="4" w:space="0" w:color="auto"/>
              <w:bottom w:val="single" w:sz="4" w:space="0" w:color="auto"/>
              <w:right w:val="single" w:sz="4" w:space="0" w:color="auto"/>
            </w:tcBorders>
            <w:vAlign w:val="center"/>
          </w:tcPr>
          <w:p w14:paraId="546D9812" w14:textId="77777777" w:rsidR="00054437" w:rsidRPr="000549B1" w:rsidRDefault="00000000">
            <w:pPr>
              <w:pStyle w:val="CharCharCharCharChar"/>
              <w:rPr>
                <w:color w:val="auto"/>
              </w:rPr>
            </w:pPr>
            <w:r w:rsidRPr="000549B1">
              <w:rPr>
                <w:color w:val="auto"/>
              </w:rPr>
              <w:t>1</w:t>
            </w:r>
          </w:p>
        </w:tc>
        <w:tc>
          <w:tcPr>
            <w:tcW w:w="2606" w:type="dxa"/>
            <w:tcBorders>
              <w:top w:val="nil"/>
              <w:left w:val="nil"/>
              <w:bottom w:val="single" w:sz="4" w:space="0" w:color="auto"/>
              <w:right w:val="single" w:sz="4" w:space="0" w:color="auto"/>
            </w:tcBorders>
            <w:vAlign w:val="center"/>
          </w:tcPr>
          <w:p w14:paraId="0B6FDA69" w14:textId="77777777" w:rsidR="00054437" w:rsidRPr="000549B1" w:rsidRDefault="00000000">
            <w:pPr>
              <w:pStyle w:val="CharCharCharCharChar"/>
              <w:rPr>
                <w:color w:val="auto"/>
              </w:rPr>
            </w:pPr>
            <w:bookmarkStart w:id="345" w:name="_Hlk214524825"/>
            <w:r w:rsidRPr="000549B1">
              <w:rPr>
                <w:color w:val="auto"/>
              </w:rPr>
              <w:t>柴达木盆地</w:t>
            </w:r>
            <w:bookmarkStart w:id="346" w:name="_Hlk214524956"/>
            <w:r w:rsidRPr="000549B1">
              <w:rPr>
                <w:color w:val="auto"/>
              </w:rPr>
              <w:t>土地沙化防控</w:t>
            </w:r>
            <w:bookmarkEnd w:id="346"/>
            <w:r w:rsidRPr="000549B1">
              <w:rPr>
                <w:color w:val="auto"/>
              </w:rPr>
              <w:t>与生物多样维护生态保护红线</w:t>
            </w:r>
            <w:bookmarkEnd w:id="345"/>
          </w:p>
        </w:tc>
        <w:tc>
          <w:tcPr>
            <w:tcW w:w="1607" w:type="dxa"/>
            <w:tcBorders>
              <w:top w:val="nil"/>
              <w:left w:val="nil"/>
              <w:bottom w:val="single" w:sz="4" w:space="0" w:color="auto"/>
              <w:right w:val="single" w:sz="4" w:space="0" w:color="auto"/>
            </w:tcBorders>
            <w:vAlign w:val="center"/>
          </w:tcPr>
          <w:p w14:paraId="5D1AA8E3" w14:textId="77777777" w:rsidR="00054437" w:rsidRPr="000549B1" w:rsidRDefault="00000000">
            <w:pPr>
              <w:pStyle w:val="CharCharCharCharChar"/>
              <w:rPr>
                <w:color w:val="auto"/>
              </w:rPr>
            </w:pPr>
            <w:r w:rsidRPr="000549B1">
              <w:rPr>
                <w:color w:val="auto"/>
              </w:rPr>
              <w:t>共和县切吉乡</w:t>
            </w:r>
          </w:p>
        </w:tc>
        <w:tc>
          <w:tcPr>
            <w:tcW w:w="1240" w:type="dxa"/>
            <w:tcBorders>
              <w:top w:val="nil"/>
              <w:left w:val="nil"/>
              <w:bottom w:val="single" w:sz="4" w:space="0" w:color="auto"/>
              <w:right w:val="single" w:sz="4" w:space="0" w:color="auto"/>
            </w:tcBorders>
            <w:vAlign w:val="center"/>
          </w:tcPr>
          <w:p w14:paraId="62CDF5E3" w14:textId="77777777" w:rsidR="00054437" w:rsidRPr="000549B1" w:rsidRDefault="00000000">
            <w:pPr>
              <w:pStyle w:val="CharCharCharCharChar"/>
              <w:rPr>
                <w:color w:val="auto"/>
              </w:rPr>
            </w:pPr>
            <w:r w:rsidRPr="000549B1">
              <w:rPr>
                <w:color w:val="auto"/>
              </w:rPr>
              <w:t>土地沙化</w:t>
            </w:r>
          </w:p>
        </w:tc>
        <w:tc>
          <w:tcPr>
            <w:tcW w:w="1424" w:type="dxa"/>
            <w:tcBorders>
              <w:top w:val="nil"/>
              <w:left w:val="nil"/>
              <w:bottom w:val="single" w:sz="4" w:space="0" w:color="auto"/>
              <w:right w:val="single" w:sz="4" w:space="0" w:color="auto"/>
            </w:tcBorders>
            <w:vAlign w:val="center"/>
          </w:tcPr>
          <w:p w14:paraId="125EF51C" w14:textId="77777777" w:rsidR="00054437" w:rsidRPr="000549B1" w:rsidRDefault="00000000">
            <w:pPr>
              <w:pStyle w:val="CharCharCharCharChar"/>
              <w:rPr>
                <w:color w:val="auto"/>
              </w:rPr>
            </w:pPr>
            <w:r w:rsidRPr="000549B1">
              <w:rPr>
                <w:color w:val="auto"/>
              </w:rPr>
              <w:t>不涉及</w:t>
            </w:r>
          </w:p>
        </w:tc>
      </w:tr>
      <w:tr w:rsidR="000549B1" w:rsidRPr="000549B1" w14:paraId="2EBB1C1C" w14:textId="77777777">
        <w:trPr>
          <w:trHeight w:val="363"/>
        </w:trPr>
        <w:tc>
          <w:tcPr>
            <w:tcW w:w="1424" w:type="dxa"/>
            <w:tcBorders>
              <w:top w:val="nil"/>
              <w:left w:val="single" w:sz="4" w:space="0" w:color="auto"/>
              <w:bottom w:val="single" w:sz="4" w:space="0" w:color="auto"/>
              <w:right w:val="single" w:sz="4" w:space="0" w:color="auto"/>
            </w:tcBorders>
            <w:vAlign w:val="center"/>
          </w:tcPr>
          <w:p w14:paraId="4585B321" w14:textId="77777777" w:rsidR="00054437" w:rsidRPr="000549B1" w:rsidRDefault="00000000">
            <w:pPr>
              <w:pStyle w:val="CharCharCharCharChar"/>
              <w:rPr>
                <w:color w:val="auto"/>
              </w:rPr>
            </w:pPr>
            <w:r w:rsidRPr="000549B1">
              <w:rPr>
                <w:color w:val="auto"/>
              </w:rPr>
              <w:t>2</w:t>
            </w:r>
          </w:p>
        </w:tc>
        <w:tc>
          <w:tcPr>
            <w:tcW w:w="2606" w:type="dxa"/>
            <w:tcBorders>
              <w:top w:val="nil"/>
              <w:left w:val="nil"/>
              <w:bottom w:val="single" w:sz="4" w:space="0" w:color="auto"/>
              <w:right w:val="single" w:sz="4" w:space="0" w:color="auto"/>
            </w:tcBorders>
            <w:vAlign w:val="center"/>
          </w:tcPr>
          <w:p w14:paraId="3535CFC2" w14:textId="77777777" w:rsidR="00054437" w:rsidRPr="000549B1" w:rsidRDefault="00000000">
            <w:pPr>
              <w:pStyle w:val="CharCharCharCharChar"/>
              <w:rPr>
                <w:color w:val="auto"/>
              </w:rPr>
            </w:pPr>
            <w:bookmarkStart w:id="347" w:name="_Hlk214524835"/>
            <w:r w:rsidRPr="000549B1">
              <w:rPr>
                <w:color w:val="auto"/>
              </w:rPr>
              <w:t>青海湖水源涵养与生物多样性维护生态保护红线</w:t>
            </w:r>
            <w:bookmarkEnd w:id="347"/>
          </w:p>
        </w:tc>
        <w:tc>
          <w:tcPr>
            <w:tcW w:w="1607" w:type="dxa"/>
            <w:tcBorders>
              <w:top w:val="nil"/>
              <w:left w:val="nil"/>
              <w:bottom w:val="single" w:sz="4" w:space="0" w:color="auto"/>
              <w:right w:val="single" w:sz="4" w:space="0" w:color="auto"/>
            </w:tcBorders>
            <w:vAlign w:val="center"/>
          </w:tcPr>
          <w:p w14:paraId="6C7005FD" w14:textId="77777777" w:rsidR="00054437" w:rsidRPr="000549B1" w:rsidRDefault="00000000">
            <w:pPr>
              <w:pStyle w:val="CharCharCharCharChar"/>
              <w:rPr>
                <w:color w:val="auto"/>
              </w:rPr>
            </w:pPr>
            <w:r w:rsidRPr="000549B1">
              <w:rPr>
                <w:color w:val="auto"/>
              </w:rPr>
              <w:t>共和县廿地乡</w:t>
            </w:r>
          </w:p>
        </w:tc>
        <w:tc>
          <w:tcPr>
            <w:tcW w:w="1240" w:type="dxa"/>
            <w:tcBorders>
              <w:top w:val="nil"/>
              <w:left w:val="nil"/>
              <w:bottom w:val="single" w:sz="4" w:space="0" w:color="auto"/>
              <w:right w:val="single" w:sz="4" w:space="0" w:color="auto"/>
            </w:tcBorders>
            <w:vAlign w:val="center"/>
          </w:tcPr>
          <w:p w14:paraId="20A2A3D0" w14:textId="77777777" w:rsidR="00054437" w:rsidRPr="000549B1" w:rsidRDefault="00000000">
            <w:pPr>
              <w:pStyle w:val="CharCharCharCharChar"/>
              <w:rPr>
                <w:color w:val="auto"/>
              </w:rPr>
            </w:pPr>
            <w:r w:rsidRPr="000549B1">
              <w:rPr>
                <w:color w:val="auto"/>
              </w:rPr>
              <w:t>水源涵养</w:t>
            </w:r>
          </w:p>
        </w:tc>
        <w:tc>
          <w:tcPr>
            <w:tcW w:w="1424" w:type="dxa"/>
            <w:tcBorders>
              <w:top w:val="nil"/>
              <w:left w:val="nil"/>
              <w:bottom w:val="single" w:sz="4" w:space="0" w:color="auto"/>
              <w:right w:val="single" w:sz="4" w:space="0" w:color="auto"/>
            </w:tcBorders>
            <w:vAlign w:val="center"/>
          </w:tcPr>
          <w:p w14:paraId="1A73216E" w14:textId="77777777" w:rsidR="00054437" w:rsidRPr="000549B1" w:rsidRDefault="00000000">
            <w:pPr>
              <w:pStyle w:val="CharCharCharCharChar"/>
              <w:rPr>
                <w:color w:val="auto"/>
              </w:rPr>
            </w:pPr>
            <w:r w:rsidRPr="000549B1">
              <w:rPr>
                <w:color w:val="auto"/>
              </w:rPr>
              <w:t>不涉及</w:t>
            </w:r>
          </w:p>
        </w:tc>
      </w:tr>
    </w:tbl>
    <w:p w14:paraId="47A9F512" w14:textId="77777777" w:rsidR="00054437" w:rsidRPr="000549B1" w:rsidRDefault="00000000">
      <w:pPr>
        <w:pStyle w:val="3"/>
      </w:pPr>
      <w:bookmarkStart w:id="348" w:name="_Toc216107037"/>
      <w:r w:rsidRPr="000549B1">
        <w:t>流域生态环境保护定位</w:t>
      </w:r>
      <w:bookmarkEnd w:id="348"/>
    </w:p>
    <w:p w14:paraId="7C4F10D6" w14:textId="4ED7A078" w:rsidR="00054437" w:rsidRPr="000549B1" w:rsidRDefault="00000000">
      <w:pPr>
        <w:pStyle w:val="x"/>
      </w:pPr>
      <w:r w:rsidRPr="000549B1">
        <w:t>沙珠玉河流域地处青海省共和盆地高寒半干旱区域，属土地沙漠化高度敏感地区，生态系统整体较为脆弱。流域年均径流量较小，季节性断流频繁，水源涵养能力弱，生物多样性及其生境对环境变化极为敏感，河流水质在时间和空间上波动较大。基于上述生态环境背景特征以及流域生态环境保护要求，沙珠玉河流域的生态环境保护定位确定为</w:t>
      </w:r>
      <w:r w:rsidRPr="000549B1">
        <w:rPr>
          <w:bCs/>
        </w:rPr>
        <w:t>水生生态环境修复</w:t>
      </w:r>
      <w:r w:rsidRPr="000549B1">
        <w:t>、</w:t>
      </w:r>
      <w:r w:rsidRPr="000549B1">
        <w:rPr>
          <w:bCs/>
        </w:rPr>
        <w:t>水源涵养</w:t>
      </w:r>
      <w:r w:rsidRPr="000549B1">
        <w:t>和</w:t>
      </w:r>
      <w:r w:rsidRPr="000549B1">
        <w:rPr>
          <w:bCs/>
        </w:rPr>
        <w:t>重要生境及生物多样性保护</w:t>
      </w:r>
      <w:r w:rsidRPr="000549B1">
        <w:t>。</w:t>
      </w:r>
      <w:r w:rsidRPr="000549B1">
        <w:rPr>
          <w:rFonts w:hint="eastAsia"/>
        </w:rPr>
        <w:t>其中</w:t>
      </w:r>
      <w:r w:rsidRPr="000549B1">
        <w:t>：</w:t>
      </w:r>
    </w:p>
    <w:p w14:paraId="0045D224" w14:textId="77777777" w:rsidR="00054437" w:rsidRPr="000549B1" w:rsidRDefault="00000000">
      <w:pPr>
        <w:pStyle w:val="x"/>
      </w:pPr>
      <w:r w:rsidRPr="000549B1">
        <w:rPr>
          <w:rFonts w:hint="eastAsia"/>
          <w:bCs/>
        </w:rPr>
        <w:t>（</w:t>
      </w:r>
      <w:r w:rsidRPr="000549B1">
        <w:rPr>
          <w:rFonts w:hint="eastAsia"/>
          <w:bCs/>
        </w:rPr>
        <w:t>1</w:t>
      </w:r>
      <w:r w:rsidRPr="000549B1">
        <w:rPr>
          <w:rFonts w:hint="eastAsia"/>
          <w:bCs/>
        </w:rPr>
        <w:t>）</w:t>
      </w:r>
      <w:r w:rsidRPr="000549B1">
        <w:rPr>
          <w:bCs/>
        </w:rPr>
        <w:t>水生生态环境修复</w:t>
      </w:r>
      <w:r w:rsidRPr="000549B1">
        <w:t>：现状沙珠玉河流域水文情势以季节性干旱和径流偏枯为特征，枯水季节河道经常出现断流现象，生态基流难以得到有效保障。为改善水生生态系统的生境条件，需要通过河道综合整治等措施，提高河道水流的连通性和调蓄能力，保障必要的下泄生态流量，恢复和改善河流水生生境环境。</w:t>
      </w:r>
    </w:p>
    <w:p w14:paraId="119B4DE0" w14:textId="77777777" w:rsidR="00054437" w:rsidRPr="000549B1" w:rsidRDefault="00000000">
      <w:pPr>
        <w:pStyle w:val="x"/>
      </w:pPr>
      <w:r w:rsidRPr="000549B1">
        <w:rPr>
          <w:rFonts w:hint="eastAsia"/>
          <w:bCs/>
        </w:rPr>
        <w:t>（</w:t>
      </w:r>
      <w:r w:rsidRPr="000549B1">
        <w:rPr>
          <w:rFonts w:hint="eastAsia"/>
          <w:bCs/>
        </w:rPr>
        <w:t>2</w:t>
      </w:r>
      <w:r w:rsidRPr="000549B1">
        <w:rPr>
          <w:rFonts w:hint="eastAsia"/>
          <w:bCs/>
        </w:rPr>
        <w:t>）</w:t>
      </w:r>
      <w:r w:rsidRPr="000549B1">
        <w:rPr>
          <w:bCs/>
        </w:rPr>
        <w:t>水源涵养</w:t>
      </w:r>
      <w:r w:rsidRPr="000549B1">
        <w:t>：流域内有限的水资源具有重要的供水功能和生态价值。应针对现有或规划的水源地设立水源保护区，强化流域水环境管理，控制污染源以减缓水质剧烈波动，保障供水水质的安全稳定。通过植树种草、建设水源涵养林和实施小流域水土保持工程等措施，提高流域涵养水源和滞蓄雨洪的能力，增强流域水源调节和涵养功能。</w:t>
      </w:r>
    </w:p>
    <w:p w14:paraId="0E0756F5" w14:textId="77777777" w:rsidR="00054437" w:rsidRPr="000549B1" w:rsidRDefault="00000000">
      <w:pPr>
        <w:pStyle w:val="x"/>
      </w:pPr>
      <w:r w:rsidRPr="000549B1">
        <w:rPr>
          <w:rFonts w:hint="eastAsia"/>
          <w:bCs/>
        </w:rPr>
        <w:t>（</w:t>
      </w:r>
      <w:r w:rsidRPr="000549B1">
        <w:rPr>
          <w:rFonts w:hint="eastAsia"/>
          <w:bCs/>
        </w:rPr>
        <w:t>3</w:t>
      </w:r>
      <w:r w:rsidRPr="000549B1">
        <w:rPr>
          <w:rFonts w:hint="eastAsia"/>
          <w:bCs/>
        </w:rPr>
        <w:t>）</w:t>
      </w:r>
      <w:r w:rsidRPr="000549B1">
        <w:rPr>
          <w:bCs/>
        </w:rPr>
        <w:t>重要生境及生物多样性保护</w:t>
      </w:r>
      <w:r w:rsidRPr="000549B1">
        <w:t>：沙珠玉河流域生境类型多样且生态敏感，应加强重要生境和生物多样性的保护管理。持续推进沙珠玉河流域周边沙漠生态系统的复原与保护，维护沙漠生态系统功能，增强沙漠区域的生物多样性；同时保护珍稀物种的关键栖息地和生态廊道，防止生境破碎和生态功能退化，维护流域整体生物多样性安全。</w:t>
      </w:r>
    </w:p>
    <w:p w14:paraId="44E777A7" w14:textId="77777777" w:rsidR="00054437" w:rsidRPr="000549B1" w:rsidRDefault="00000000">
      <w:pPr>
        <w:pStyle w:val="2"/>
        <w:rPr>
          <w:rFonts w:ascii="Times New Roman" w:hAnsi="Times New Roman"/>
        </w:rPr>
      </w:pPr>
      <w:bookmarkStart w:id="349" w:name="_Toc216107038"/>
      <w:r w:rsidRPr="000549B1">
        <w:rPr>
          <w:rFonts w:ascii="Times New Roman" w:hAnsi="Times New Roman"/>
        </w:rPr>
        <w:t>环境目标与评价指标体系构建</w:t>
      </w:r>
      <w:bookmarkEnd w:id="349"/>
    </w:p>
    <w:p w14:paraId="3F37FDE2" w14:textId="77777777" w:rsidR="00054437" w:rsidRPr="000549B1" w:rsidRDefault="00000000">
      <w:pPr>
        <w:pStyle w:val="3"/>
      </w:pPr>
      <w:bookmarkStart w:id="350" w:name="_Toc216107039"/>
      <w:r w:rsidRPr="000549B1">
        <w:t>环境目标</w:t>
      </w:r>
      <w:bookmarkEnd w:id="350"/>
    </w:p>
    <w:p w14:paraId="064F927B" w14:textId="77777777" w:rsidR="00054437" w:rsidRPr="000549B1" w:rsidRDefault="00000000">
      <w:pPr>
        <w:pStyle w:val="x"/>
      </w:pPr>
      <w:r w:rsidRPr="000549B1">
        <w:t>结合上述沙珠玉河流域生态环境保护定位，根据《规划环境影响评价技术导则流域综合规划》（</w:t>
      </w:r>
      <w:r w:rsidRPr="000549B1">
        <w:t>HJ1218-2021</w:t>
      </w:r>
      <w:r w:rsidRPr="000549B1">
        <w:t>）第</w:t>
      </w:r>
      <w:r w:rsidRPr="000549B1">
        <w:t>7.3</w:t>
      </w:r>
      <w:r w:rsidRPr="000549B1">
        <w:t>条及附录</w:t>
      </w:r>
      <w:r w:rsidRPr="000549B1">
        <w:t>A</w:t>
      </w:r>
      <w:r w:rsidRPr="000549B1">
        <w:t>的要求，确定本次规划的环境保护目标为：</w:t>
      </w:r>
    </w:p>
    <w:p w14:paraId="35B323FE" w14:textId="02A04663" w:rsidR="00054437" w:rsidRPr="000549B1" w:rsidRDefault="00000000">
      <w:pPr>
        <w:pStyle w:val="x"/>
      </w:pPr>
      <w:r w:rsidRPr="000549B1">
        <w:rPr>
          <w:rFonts w:hint="eastAsia"/>
        </w:rPr>
        <w:t>（</w:t>
      </w:r>
      <w:r w:rsidRPr="000549B1">
        <w:rPr>
          <w:rFonts w:hint="eastAsia"/>
        </w:rPr>
        <w:t>1</w:t>
      </w:r>
      <w:r w:rsidRPr="000549B1">
        <w:rPr>
          <w:rFonts w:hint="eastAsia"/>
        </w:rPr>
        <w:t>）</w:t>
      </w:r>
      <w:r w:rsidRPr="000549B1">
        <w:t>保障水资源节约高效利用。提高沙珠玉河流域水资源保障率，规划工程下游河道生态流量达到《河湖生态环境需水计算规范》（</w:t>
      </w:r>
      <w:r w:rsidRPr="000549B1">
        <w:t>SL/T712-2021</w:t>
      </w:r>
      <w:r w:rsidRPr="000549B1">
        <w:t>）规定的适宜水平，水资源开发利用强度保持在中等水平。</w:t>
      </w:r>
    </w:p>
    <w:p w14:paraId="3478A0AA" w14:textId="5BBBB17D" w:rsidR="00054437" w:rsidRPr="000549B1" w:rsidRDefault="00000000">
      <w:pPr>
        <w:pStyle w:val="x"/>
      </w:pPr>
      <w:r w:rsidRPr="000549B1">
        <w:rPr>
          <w:rFonts w:hint="eastAsia"/>
        </w:rPr>
        <w:t>（</w:t>
      </w:r>
      <w:r w:rsidRPr="000549B1">
        <w:rPr>
          <w:rFonts w:hint="eastAsia"/>
        </w:rPr>
        <w:t>2</w:t>
      </w:r>
      <w:r w:rsidRPr="000549B1">
        <w:rPr>
          <w:rFonts w:hint="eastAsia"/>
        </w:rPr>
        <w:t>）</w:t>
      </w:r>
      <w:r w:rsidRPr="000549B1">
        <w:t>持续改善水环境质量。待规划工程建成后，流域水环境质量进一步改善，主要河流控制断面水质达标率稳步提升；建立并完善城镇集中式饮用水水源地保护措施，确保水源地水质</w:t>
      </w:r>
      <w:r w:rsidRPr="000549B1">
        <w:rPr>
          <w:rFonts w:hint="eastAsia"/>
        </w:rPr>
        <w:t>稳定</w:t>
      </w:r>
      <w:r w:rsidRPr="000549B1">
        <w:t>达到</w:t>
      </w:r>
      <w:r w:rsidRPr="000549B1">
        <w:rPr>
          <w:rFonts w:hint="eastAsia"/>
        </w:rPr>
        <w:t>或优于</w:t>
      </w:r>
      <w:r w:rsidRPr="000549B1">
        <w:t>Ⅲ</w:t>
      </w:r>
      <w:r w:rsidRPr="000549B1">
        <w:t>类标准。</w:t>
      </w:r>
    </w:p>
    <w:p w14:paraId="12B867FC" w14:textId="50E5D2D0" w:rsidR="00054437" w:rsidRPr="000549B1" w:rsidRDefault="00000000">
      <w:pPr>
        <w:pStyle w:val="x"/>
      </w:pPr>
      <w:r w:rsidRPr="000549B1">
        <w:rPr>
          <w:rFonts w:hint="eastAsia"/>
        </w:rPr>
        <w:t>（</w:t>
      </w:r>
      <w:r w:rsidRPr="000549B1">
        <w:rPr>
          <w:rFonts w:hint="eastAsia"/>
        </w:rPr>
        <w:t>3</w:t>
      </w:r>
      <w:r w:rsidRPr="000549B1">
        <w:rPr>
          <w:rFonts w:hint="eastAsia"/>
        </w:rPr>
        <w:t>）</w:t>
      </w:r>
      <w:r w:rsidRPr="000549B1">
        <w:t>维护生物多样性与生态系统安全。规划工程选址尽可能避让生态保护红线、各类自然保护地和重要物种栖息地等生态敏感区域；确保规划涉及的国家和地方重点保护动植物的种类、数量及其生境不减少；维持现有本地鱼类等水生生物的多样性和栖息地安全；加强水土保持与生态修复，严格控制水土流失和荒漠化扩展；在优化水资源配置和增强防洪能力的基础上，提高河道堰坝、堤防等水利工程的生态功能；增强河流连通性；确保河道下泄生态流量。</w:t>
      </w:r>
    </w:p>
    <w:p w14:paraId="009D794F" w14:textId="77777777" w:rsidR="00054437" w:rsidRPr="000549B1" w:rsidRDefault="00000000">
      <w:pPr>
        <w:pStyle w:val="3"/>
      </w:pPr>
      <w:bookmarkStart w:id="351" w:name="_Toc216107040"/>
      <w:r w:rsidRPr="000549B1">
        <w:t>评价指标体系</w:t>
      </w:r>
      <w:bookmarkEnd w:id="351"/>
    </w:p>
    <w:p w14:paraId="1056C78A" w14:textId="33C701E9" w:rsidR="00D718B7" w:rsidRPr="000549B1" w:rsidRDefault="00D718B7" w:rsidP="00D718B7">
      <w:pPr>
        <w:pStyle w:val="x"/>
      </w:pPr>
      <w:bookmarkStart w:id="352" w:name="_Ref214980727"/>
      <w:r w:rsidRPr="000549B1">
        <w:t>按照《规划环境影响评价技术导则流域综合规划》</w:t>
      </w:r>
      <w:r w:rsidRPr="000549B1">
        <w:rPr>
          <w:rFonts w:hint="eastAsia"/>
        </w:rPr>
        <w:t>（</w:t>
      </w:r>
      <w:r w:rsidRPr="000549B1">
        <w:rPr>
          <w:rFonts w:hint="eastAsia"/>
        </w:rPr>
        <w:t>HJ1218-2021</w:t>
      </w:r>
      <w:r w:rsidRPr="000549B1">
        <w:rPr>
          <w:rFonts w:hint="eastAsia"/>
        </w:rPr>
        <w:t>）的附录</w:t>
      </w:r>
      <w:r w:rsidRPr="000549B1">
        <w:rPr>
          <w:rFonts w:hint="eastAsia"/>
        </w:rPr>
        <w:t>A</w:t>
      </w:r>
      <w:r w:rsidRPr="000549B1">
        <w:t>，建立规划环境影响评价指标体系，详见</w:t>
      </w:r>
      <w:r w:rsidR="00F32CCA">
        <w:rPr>
          <w:rFonts w:hint="eastAsia"/>
          <w:b/>
          <w:bCs/>
        </w:rPr>
        <w:t>错误</w:t>
      </w:r>
      <w:r w:rsidR="00F32CCA">
        <w:rPr>
          <w:rFonts w:hint="eastAsia"/>
          <w:b/>
          <w:bCs/>
        </w:rPr>
        <w:t>!</w:t>
      </w:r>
      <w:r w:rsidR="00F32CCA">
        <w:rPr>
          <w:rFonts w:hint="eastAsia"/>
          <w:b/>
          <w:bCs/>
        </w:rPr>
        <w:t>书签自引用无效。</w:t>
      </w:r>
    </w:p>
    <w:p w14:paraId="757E075B" w14:textId="64C5A190" w:rsidR="00054437" w:rsidRPr="000549B1" w:rsidRDefault="00000000">
      <w:pPr>
        <w:pStyle w:val="aff8"/>
        <w:rPr>
          <w:color w:val="auto"/>
        </w:rPr>
      </w:pPr>
      <w:r w:rsidRPr="000549B1">
        <w:rPr>
          <w:color w:val="auto"/>
        </w:rPr>
        <w:t>表</w:t>
      </w:r>
      <w:r w:rsidR="00372953">
        <w:rPr>
          <w:color w:val="auto"/>
        </w:rPr>
        <w:fldChar w:fldCharType="begin"/>
      </w:r>
      <w:r w:rsidR="00372953">
        <w:rPr>
          <w:color w:val="auto"/>
        </w:rPr>
        <w:instrText xml:space="preserve"> STYLEREF 2 \s </w:instrText>
      </w:r>
      <w:r w:rsidR="00372953">
        <w:rPr>
          <w:color w:val="auto"/>
        </w:rPr>
        <w:fldChar w:fldCharType="separate"/>
      </w:r>
      <w:r w:rsidR="00372953">
        <w:rPr>
          <w:noProof/>
          <w:color w:val="auto"/>
        </w:rPr>
        <w:t>4.3</w:t>
      </w:r>
      <w:r w:rsidR="00372953">
        <w:rPr>
          <w:color w:val="auto"/>
        </w:rPr>
        <w:fldChar w:fldCharType="end"/>
      </w:r>
      <w:r w:rsidR="00372953">
        <w:rPr>
          <w:color w:val="auto"/>
        </w:rPr>
        <w:noBreakHyphen/>
      </w:r>
      <w:r w:rsidR="00372953">
        <w:rPr>
          <w:color w:val="auto"/>
        </w:rPr>
        <w:fldChar w:fldCharType="begin"/>
      </w:r>
      <w:r w:rsidR="00372953">
        <w:rPr>
          <w:color w:val="auto"/>
        </w:rPr>
        <w:instrText xml:space="preserve"> SEQ </w:instrText>
      </w:r>
      <w:r w:rsidR="00372953">
        <w:rPr>
          <w:color w:val="auto"/>
        </w:rPr>
        <w:instrText>表</w:instrText>
      </w:r>
      <w:r w:rsidR="00372953">
        <w:rPr>
          <w:color w:val="auto"/>
        </w:rPr>
        <w:instrText xml:space="preserve"> \* ARABIC \s 2 </w:instrText>
      </w:r>
      <w:r w:rsidR="00372953">
        <w:rPr>
          <w:color w:val="auto"/>
        </w:rPr>
        <w:fldChar w:fldCharType="separate"/>
      </w:r>
      <w:r w:rsidR="00372953">
        <w:rPr>
          <w:noProof/>
          <w:color w:val="auto"/>
        </w:rPr>
        <w:t>1</w:t>
      </w:r>
      <w:r w:rsidR="00372953">
        <w:rPr>
          <w:color w:val="auto"/>
        </w:rPr>
        <w:fldChar w:fldCharType="end"/>
      </w:r>
      <w:bookmarkEnd w:id="352"/>
      <w:r w:rsidRPr="000549B1">
        <w:rPr>
          <w:color w:val="auto"/>
        </w:rPr>
        <w:t>规划环境影响评价指标体系</w:t>
      </w:r>
    </w:p>
    <w:tbl>
      <w:tblPr>
        <w:tblStyle w:val="aff"/>
        <w:tblW w:w="8520" w:type="dxa"/>
        <w:jc w:val="center"/>
        <w:tblLook w:val="04A0" w:firstRow="1" w:lastRow="0" w:firstColumn="1" w:lastColumn="0" w:noHBand="0" w:noVBand="1"/>
      </w:tblPr>
      <w:tblGrid>
        <w:gridCol w:w="1072"/>
        <w:gridCol w:w="1072"/>
        <w:gridCol w:w="1072"/>
        <w:gridCol w:w="1072"/>
        <w:gridCol w:w="1072"/>
        <w:gridCol w:w="1072"/>
        <w:gridCol w:w="2088"/>
      </w:tblGrid>
      <w:tr w:rsidR="000549B1" w:rsidRPr="000549B1" w14:paraId="49547F1B" w14:textId="77777777" w:rsidTr="00D33EF7">
        <w:trPr>
          <w:trHeight w:val="409"/>
          <w:jc w:val="center"/>
        </w:trPr>
        <w:tc>
          <w:tcPr>
            <w:tcW w:w="1072" w:type="dxa"/>
            <w:vAlign w:val="center"/>
          </w:tcPr>
          <w:p w14:paraId="21F3CB7E" w14:textId="77777777" w:rsidR="00D718B7" w:rsidRPr="000549B1" w:rsidRDefault="00D718B7" w:rsidP="00D33EF7">
            <w:pPr>
              <w:jc w:val="center"/>
              <w:rPr>
                <w:b/>
                <w:bCs/>
              </w:rPr>
            </w:pPr>
            <w:bookmarkStart w:id="353" w:name="_Hlk216118539"/>
            <w:r w:rsidRPr="000549B1">
              <w:rPr>
                <w:rFonts w:hint="eastAsia"/>
                <w:b/>
                <w:bCs/>
              </w:rPr>
              <w:t>环境要素</w:t>
            </w:r>
          </w:p>
        </w:tc>
        <w:tc>
          <w:tcPr>
            <w:tcW w:w="1072" w:type="dxa"/>
            <w:vAlign w:val="center"/>
          </w:tcPr>
          <w:p w14:paraId="20D25899" w14:textId="77777777" w:rsidR="00D718B7" w:rsidRPr="000549B1" w:rsidRDefault="00D718B7" w:rsidP="00D33EF7">
            <w:pPr>
              <w:jc w:val="center"/>
              <w:rPr>
                <w:b/>
                <w:bCs/>
              </w:rPr>
            </w:pPr>
            <w:r w:rsidRPr="000549B1">
              <w:rPr>
                <w:rFonts w:hint="eastAsia"/>
                <w:b/>
                <w:bCs/>
              </w:rPr>
              <w:t>环境保护目标</w:t>
            </w:r>
          </w:p>
        </w:tc>
        <w:tc>
          <w:tcPr>
            <w:tcW w:w="1072" w:type="dxa"/>
            <w:vAlign w:val="center"/>
          </w:tcPr>
          <w:p w14:paraId="409DA56C" w14:textId="77777777" w:rsidR="00D718B7" w:rsidRPr="000549B1" w:rsidRDefault="00D718B7" w:rsidP="00D33EF7">
            <w:pPr>
              <w:jc w:val="center"/>
              <w:rPr>
                <w:b/>
                <w:bCs/>
              </w:rPr>
            </w:pPr>
            <w:r w:rsidRPr="000549B1">
              <w:rPr>
                <w:rFonts w:hint="eastAsia"/>
                <w:b/>
                <w:bCs/>
              </w:rPr>
              <w:t>评价指标</w:t>
            </w:r>
          </w:p>
        </w:tc>
        <w:tc>
          <w:tcPr>
            <w:tcW w:w="1072" w:type="dxa"/>
            <w:vAlign w:val="center"/>
          </w:tcPr>
          <w:p w14:paraId="7ADFF0C7" w14:textId="77777777" w:rsidR="00D718B7" w:rsidRPr="000549B1" w:rsidRDefault="00D718B7" w:rsidP="00D33EF7">
            <w:pPr>
              <w:jc w:val="center"/>
              <w:rPr>
                <w:b/>
                <w:bCs/>
              </w:rPr>
            </w:pPr>
            <w:r w:rsidRPr="000549B1">
              <w:rPr>
                <w:rFonts w:hint="eastAsia"/>
                <w:b/>
                <w:bCs/>
              </w:rPr>
              <w:t>现状年</w:t>
            </w:r>
          </w:p>
        </w:tc>
        <w:tc>
          <w:tcPr>
            <w:tcW w:w="1072" w:type="dxa"/>
            <w:vAlign w:val="center"/>
          </w:tcPr>
          <w:p w14:paraId="7C250C9B" w14:textId="77777777" w:rsidR="00D718B7" w:rsidRPr="000549B1" w:rsidRDefault="00D718B7" w:rsidP="00D33EF7">
            <w:pPr>
              <w:jc w:val="center"/>
              <w:rPr>
                <w:b/>
                <w:bCs/>
              </w:rPr>
            </w:pPr>
            <w:r w:rsidRPr="000549B1">
              <w:rPr>
                <w:rFonts w:hint="eastAsia"/>
                <w:b/>
                <w:bCs/>
              </w:rPr>
              <w:t>规划年</w:t>
            </w:r>
          </w:p>
        </w:tc>
        <w:tc>
          <w:tcPr>
            <w:tcW w:w="1072" w:type="dxa"/>
            <w:vAlign w:val="center"/>
          </w:tcPr>
          <w:p w14:paraId="3461A280" w14:textId="77777777" w:rsidR="00D718B7" w:rsidRPr="000549B1" w:rsidRDefault="00D718B7" w:rsidP="00D33EF7">
            <w:pPr>
              <w:jc w:val="center"/>
              <w:rPr>
                <w:b/>
                <w:bCs/>
              </w:rPr>
            </w:pPr>
            <w:r w:rsidRPr="000549B1">
              <w:rPr>
                <w:rFonts w:hint="eastAsia"/>
                <w:b/>
                <w:bCs/>
              </w:rPr>
              <w:t>指标类型</w:t>
            </w:r>
          </w:p>
        </w:tc>
        <w:tc>
          <w:tcPr>
            <w:tcW w:w="2088" w:type="dxa"/>
            <w:vAlign w:val="center"/>
          </w:tcPr>
          <w:p w14:paraId="20A3DCA6" w14:textId="77777777" w:rsidR="00D718B7" w:rsidRPr="000549B1" w:rsidRDefault="00D718B7" w:rsidP="00D33EF7">
            <w:pPr>
              <w:jc w:val="center"/>
              <w:rPr>
                <w:b/>
                <w:bCs/>
              </w:rPr>
            </w:pPr>
            <w:r w:rsidRPr="000549B1">
              <w:rPr>
                <w:rFonts w:hint="eastAsia"/>
                <w:b/>
                <w:bCs/>
              </w:rPr>
              <w:t>评价方法或数据来源</w:t>
            </w:r>
          </w:p>
        </w:tc>
      </w:tr>
      <w:tr w:rsidR="000549B1" w:rsidRPr="000549B1" w14:paraId="5EC2D79A" w14:textId="77777777" w:rsidTr="00D33EF7">
        <w:trPr>
          <w:trHeight w:val="959"/>
          <w:jc w:val="center"/>
        </w:trPr>
        <w:tc>
          <w:tcPr>
            <w:tcW w:w="1072" w:type="dxa"/>
            <w:vMerge w:val="restart"/>
            <w:vAlign w:val="center"/>
          </w:tcPr>
          <w:p w14:paraId="499D0E7E" w14:textId="77777777" w:rsidR="00D718B7" w:rsidRPr="000549B1" w:rsidRDefault="00D718B7" w:rsidP="00D718B7">
            <w:pPr>
              <w:jc w:val="center"/>
            </w:pPr>
            <w:r w:rsidRPr="000549B1">
              <w:t>水文水资源</w:t>
            </w:r>
          </w:p>
          <w:p w14:paraId="2941CFE4" w14:textId="77777777" w:rsidR="00D718B7" w:rsidRPr="000549B1" w:rsidRDefault="00D718B7" w:rsidP="00D718B7">
            <w:pPr>
              <w:jc w:val="center"/>
            </w:pPr>
          </w:p>
          <w:p w14:paraId="5CD128AE" w14:textId="77777777" w:rsidR="00D718B7" w:rsidRPr="000549B1" w:rsidRDefault="00D718B7" w:rsidP="00D718B7">
            <w:pPr>
              <w:jc w:val="center"/>
            </w:pPr>
          </w:p>
        </w:tc>
        <w:tc>
          <w:tcPr>
            <w:tcW w:w="1072" w:type="dxa"/>
            <w:vMerge w:val="restart"/>
            <w:vAlign w:val="center"/>
          </w:tcPr>
          <w:p w14:paraId="5F1286A8" w14:textId="77777777" w:rsidR="00D718B7" w:rsidRPr="000549B1" w:rsidRDefault="00D718B7" w:rsidP="00D718B7">
            <w:pPr>
              <w:jc w:val="center"/>
            </w:pPr>
            <w:r w:rsidRPr="000549B1">
              <w:t>保障水资源高效利用</w:t>
            </w:r>
          </w:p>
          <w:p w14:paraId="64C4C700" w14:textId="77777777" w:rsidR="00D718B7" w:rsidRPr="000549B1" w:rsidRDefault="00D718B7" w:rsidP="00D718B7">
            <w:pPr>
              <w:jc w:val="center"/>
            </w:pPr>
          </w:p>
        </w:tc>
        <w:tc>
          <w:tcPr>
            <w:tcW w:w="1072" w:type="dxa"/>
            <w:vAlign w:val="center"/>
          </w:tcPr>
          <w:p w14:paraId="6C134162" w14:textId="77777777" w:rsidR="00D718B7" w:rsidRPr="000549B1" w:rsidRDefault="00D718B7" w:rsidP="00D718B7">
            <w:pPr>
              <w:jc w:val="center"/>
            </w:pPr>
            <w:r w:rsidRPr="000549B1">
              <w:t>水资源开发利用率</w:t>
            </w:r>
          </w:p>
        </w:tc>
        <w:tc>
          <w:tcPr>
            <w:tcW w:w="1072" w:type="dxa"/>
            <w:vAlign w:val="center"/>
          </w:tcPr>
          <w:p w14:paraId="39C04C81" w14:textId="04CA595F" w:rsidR="00D718B7" w:rsidRPr="000549B1" w:rsidRDefault="00D718B7" w:rsidP="00D718B7">
            <w:pPr>
              <w:jc w:val="center"/>
            </w:pPr>
            <w:r w:rsidRPr="000549B1">
              <w:rPr>
                <w:rFonts w:hint="eastAsia"/>
              </w:rPr>
              <w:t>47%</w:t>
            </w:r>
          </w:p>
        </w:tc>
        <w:tc>
          <w:tcPr>
            <w:tcW w:w="1072" w:type="dxa"/>
            <w:vAlign w:val="center"/>
          </w:tcPr>
          <w:p w14:paraId="2143CD1A" w14:textId="61D34763" w:rsidR="00D718B7" w:rsidRPr="000549B1" w:rsidRDefault="00D718B7" w:rsidP="00D718B7">
            <w:pPr>
              <w:jc w:val="center"/>
            </w:pPr>
            <w:r w:rsidRPr="000549B1">
              <w:rPr>
                <w:rFonts w:hint="eastAsia"/>
              </w:rPr>
              <w:t>40%</w:t>
            </w:r>
          </w:p>
        </w:tc>
        <w:tc>
          <w:tcPr>
            <w:tcW w:w="1072" w:type="dxa"/>
            <w:vAlign w:val="center"/>
          </w:tcPr>
          <w:p w14:paraId="412028ED" w14:textId="77777777" w:rsidR="00D718B7" w:rsidRPr="000549B1" w:rsidRDefault="00D718B7" w:rsidP="00D718B7">
            <w:pPr>
              <w:jc w:val="center"/>
            </w:pPr>
            <w:r w:rsidRPr="000549B1">
              <w:t>必选</w:t>
            </w:r>
          </w:p>
        </w:tc>
        <w:tc>
          <w:tcPr>
            <w:tcW w:w="2088" w:type="dxa"/>
            <w:vAlign w:val="center"/>
          </w:tcPr>
          <w:p w14:paraId="09CED4B5" w14:textId="77777777" w:rsidR="00D718B7" w:rsidRPr="000549B1" w:rsidRDefault="00D718B7" w:rsidP="00D718B7">
            <w:pPr>
              <w:jc w:val="center"/>
            </w:pPr>
            <w:r w:rsidRPr="000549B1">
              <w:t>通过水文站测量和流域水资源总量计算，水资源可利用比例分析</w:t>
            </w:r>
          </w:p>
        </w:tc>
      </w:tr>
      <w:tr w:rsidR="000549B1" w:rsidRPr="000549B1" w14:paraId="75EEC2B3" w14:textId="77777777" w:rsidTr="00D33EF7">
        <w:trPr>
          <w:trHeight w:val="959"/>
          <w:jc w:val="center"/>
        </w:trPr>
        <w:tc>
          <w:tcPr>
            <w:tcW w:w="1072" w:type="dxa"/>
            <w:vMerge/>
            <w:vAlign w:val="center"/>
          </w:tcPr>
          <w:p w14:paraId="73D62375" w14:textId="77777777" w:rsidR="00D718B7" w:rsidRPr="000549B1" w:rsidRDefault="00D718B7" w:rsidP="00D718B7">
            <w:pPr>
              <w:jc w:val="center"/>
            </w:pPr>
          </w:p>
        </w:tc>
        <w:tc>
          <w:tcPr>
            <w:tcW w:w="1072" w:type="dxa"/>
            <w:vMerge/>
            <w:vAlign w:val="center"/>
          </w:tcPr>
          <w:p w14:paraId="791B2AA6" w14:textId="77777777" w:rsidR="00D718B7" w:rsidRPr="000549B1" w:rsidRDefault="00D718B7" w:rsidP="00D718B7">
            <w:pPr>
              <w:jc w:val="center"/>
            </w:pPr>
          </w:p>
        </w:tc>
        <w:tc>
          <w:tcPr>
            <w:tcW w:w="1072" w:type="dxa"/>
            <w:vAlign w:val="center"/>
          </w:tcPr>
          <w:p w14:paraId="224018EB" w14:textId="0D4F9822" w:rsidR="00D718B7" w:rsidRPr="000549B1" w:rsidRDefault="00D718B7" w:rsidP="00D718B7">
            <w:pPr>
              <w:jc w:val="center"/>
            </w:pPr>
            <w:r w:rsidRPr="000549B1">
              <w:t>控制断面生态流量</w:t>
            </w:r>
            <w:r w:rsidRPr="000549B1">
              <w:rPr>
                <w:rFonts w:hint="eastAsia"/>
              </w:rPr>
              <w:t>保障目标达标情况</w:t>
            </w:r>
          </w:p>
        </w:tc>
        <w:tc>
          <w:tcPr>
            <w:tcW w:w="1072" w:type="dxa"/>
            <w:vAlign w:val="center"/>
          </w:tcPr>
          <w:p w14:paraId="1008B788" w14:textId="169C2D64" w:rsidR="00D718B7" w:rsidRPr="000549B1" w:rsidRDefault="00F8787D" w:rsidP="00D718B7">
            <w:pPr>
              <w:jc w:val="center"/>
            </w:pPr>
            <w:r>
              <w:rPr>
                <w:rFonts w:hint="eastAsia"/>
              </w:rPr>
              <w:t>100%</w:t>
            </w:r>
          </w:p>
        </w:tc>
        <w:tc>
          <w:tcPr>
            <w:tcW w:w="1072" w:type="dxa"/>
            <w:vAlign w:val="center"/>
          </w:tcPr>
          <w:p w14:paraId="39758CD0" w14:textId="29790A40" w:rsidR="00D718B7" w:rsidRPr="000549B1" w:rsidRDefault="00F8787D" w:rsidP="00D718B7">
            <w:pPr>
              <w:jc w:val="center"/>
            </w:pPr>
            <w:r>
              <w:rPr>
                <w:rFonts w:hint="eastAsia"/>
              </w:rPr>
              <w:t>10</w:t>
            </w:r>
            <w:r w:rsidR="00D718B7" w:rsidRPr="000549B1">
              <w:rPr>
                <w:rFonts w:hint="eastAsia"/>
              </w:rPr>
              <w:t>0%</w:t>
            </w:r>
          </w:p>
        </w:tc>
        <w:tc>
          <w:tcPr>
            <w:tcW w:w="1072" w:type="dxa"/>
            <w:vAlign w:val="center"/>
          </w:tcPr>
          <w:p w14:paraId="6DA7C813" w14:textId="77777777" w:rsidR="00D718B7" w:rsidRPr="000549B1" w:rsidRDefault="00D718B7" w:rsidP="00D718B7">
            <w:pPr>
              <w:jc w:val="center"/>
            </w:pPr>
            <w:r w:rsidRPr="000549B1">
              <w:t>必选</w:t>
            </w:r>
          </w:p>
        </w:tc>
        <w:tc>
          <w:tcPr>
            <w:tcW w:w="2088" w:type="dxa"/>
            <w:vAlign w:val="center"/>
          </w:tcPr>
          <w:p w14:paraId="58B369CD" w14:textId="77777777" w:rsidR="00D718B7" w:rsidRPr="000549B1" w:rsidRDefault="00D718B7" w:rsidP="00D718B7">
            <w:pPr>
              <w:jc w:val="center"/>
            </w:pPr>
            <w:r w:rsidRPr="000549B1">
              <w:t>根据《河湖生态环境需水计算规范》进行生态流量的预测与对比</w:t>
            </w:r>
          </w:p>
        </w:tc>
      </w:tr>
      <w:tr w:rsidR="000549B1" w:rsidRPr="000549B1" w14:paraId="666D3D0E" w14:textId="77777777" w:rsidTr="00D33EF7">
        <w:trPr>
          <w:trHeight w:val="1096"/>
          <w:jc w:val="center"/>
        </w:trPr>
        <w:tc>
          <w:tcPr>
            <w:tcW w:w="1072" w:type="dxa"/>
            <w:vMerge w:val="restart"/>
            <w:vAlign w:val="center"/>
          </w:tcPr>
          <w:p w14:paraId="25037608" w14:textId="77777777" w:rsidR="00D718B7" w:rsidRPr="000549B1" w:rsidRDefault="00D718B7" w:rsidP="00D718B7">
            <w:r w:rsidRPr="000549B1">
              <w:t>水环境</w:t>
            </w:r>
          </w:p>
          <w:p w14:paraId="10D3D279" w14:textId="77777777" w:rsidR="00D718B7" w:rsidRPr="000549B1" w:rsidRDefault="00D718B7" w:rsidP="00D718B7">
            <w:pPr>
              <w:jc w:val="center"/>
            </w:pPr>
          </w:p>
          <w:p w14:paraId="293E1CF6" w14:textId="77777777" w:rsidR="00D718B7" w:rsidRPr="000549B1" w:rsidRDefault="00D718B7" w:rsidP="00D718B7">
            <w:pPr>
              <w:jc w:val="center"/>
            </w:pPr>
          </w:p>
        </w:tc>
        <w:tc>
          <w:tcPr>
            <w:tcW w:w="1072" w:type="dxa"/>
            <w:vMerge w:val="restart"/>
            <w:vAlign w:val="center"/>
          </w:tcPr>
          <w:p w14:paraId="4EE9DB43" w14:textId="77777777" w:rsidR="00D718B7" w:rsidRPr="000549B1" w:rsidRDefault="00D718B7" w:rsidP="00D718B7">
            <w:pPr>
              <w:jc w:val="center"/>
            </w:pPr>
            <w:r w:rsidRPr="000549B1">
              <w:t>持续改善水环境质量</w:t>
            </w:r>
          </w:p>
          <w:p w14:paraId="7C8D87A2" w14:textId="77777777" w:rsidR="00D718B7" w:rsidRPr="000549B1" w:rsidRDefault="00D718B7" w:rsidP="00D718B7">
            <w:pPr>
              <w:jc w:val="center"/>
            </w:pPr>
          </w:p>
        </w:tc>
        <w:tc>
          <w:tcPr>
            <w:tcW w:w="1072" w:type="dxa"/>
            <w:vAlign w:val="center"/>
          </w:tcPr>
          <w:p w14:paraId="5C993A13" w14:textId="1E792FFA" w:rsidR="00D718B7" w:rsidRPr="000549B1" w:rsidRDefault="00D718B7" w:rsidP="00D718B7">
            <w:pPr>
              <w:jc w:val="center"/>
            </w:pPr>
            <w:r w:rsidRPr="000549B1">
              <w:rPr>
                <w:rFonts w:hint="eastAsia"/>
              </w:rPr>
              <w:t>控制断面</w:t>
            </w:r>
            <w:r w:rsidRPr="000549B1">
              <w:t>水质标准达标率</w:t>
            </w:r>
          </w:p>
        </w:tc>
        <w:tc>
          <w:tcPr>
            <w:tcW w:w="1072" w:type="dxa"/>
            <w:vAlign w:val="center"/>
          </w:tcPr>
          <w:p w14:paraId="7D55DE37" w14:textId="6830DD40" w:rsidR="00D718B7" w:rsidRPr="000549B1" w:rsidRDefault="00D718B7" w:rsidP="00D718B7">
            <w:pPr>
              <w:jc w:val="center"/>
            </w:pPr>
            <w:r w:rsidRPr="000549B1">
              <w:rPr>
                <w:rFonts w:hint="eastAsia"/>
              </w:rPr>
              <w:t>100%</w:t>
            </w:r>
          </w:p>
        </w:tc>
        <w:tc>
          <w:tcPr>
            <w:tcW w:w="1072" w:type="dxa"/>
            <w:vAlign w:val="center"/>
          </w:tcPr>
          <w:p w14:paraId="623AD2B9" w14:textId="35A4C481" w:rsidR="00D718B7" w:rsidRPr="000549B1" w:rsidRDefault="00D718B7" w:rsidP="00D718B7">
            <w:pPr>
              <w:jc w:val="center"/>
            </w:pPr>
            <w:r w:rsidRPr="000549B1">
              <w:rPr>
                <w:rFonts w:hint="eastAsia"/>
              </w:rPr>
              <w:t>100%</w:t>
            </w:r>
          </w:p>
        </w:tc>
        <w:tc>
          <w:tcPr>
            <w:tcW w:w="1072" w:type="dxa"/>
            <w:vAlign w:val="center"/>
          </w:tcPr>
          <w:p w14:paraId="05B2EF08" w14:textId="77777777" w:rsidR="00D718B7" w:rsidRPr="000549B1" w:rsidRDefault="00D718B7" w:rsidP="00D718B7">
            <w:pPr>
              <w:jc w:val="center"/>
            </w:pPr>
            <w:r w:rsidRPr="000549B1">
              <w:t>必选</w:t>
            </w:r>
          </w:p>
        </w:tc>
        <w:tc>
          <w:tcPr>
            <w:tcW w:w="2088" w:type="dxa"/>
            <w:vAlign w:val="center"/>
          </w:tcPr>
          <w:p w14:paraId="3C88C7FE" w14:textId="77777777" w:rsidR="00D718B7" w:rsidRPr="000549B1" w:rsidRDefault="00D718B7" w:rsidP="00D718B7">
            <w:pPr>
              <w:jc w:val="center"/>
            </w:pPr>
            <w:r w:rsidRPr="000549B1">
              <w:t>通过流域主要水质监测点的数据采集，分析水质是否符合国家标准</w:t>
            </w:r>
          </w:p>
        </w:tc>
      </w:tr>
      <w:tr w:rsidR="000549B1" w:rsidRPr="000549B1" w14:paraId="0E15CA3C" w14:textId="77777777" w:rsidTr="00D33EF7">
        <w:trPr>
          <w:trHeight w:val="959"/>
          <w:jc w:val="center"/>
        </w:trPr>
        <w:tc>
          <w:tcPr>
            <w:tcW w:w="1072" w:type="dxa"/>
            <w:vMerge/>
            <w:vAlign w:val="center"/>
          </w:tcPr>
          <w:p w14:paraId="07CC1D81" w14:textId="77777777" w:rsidR="00D718B7" w:rsidRPr="000549B1" w:rsidRDefault="00D718B7" w:rsidP="00D718B7">
            <w:pPr>
              <w:jc w:val="center"/>
            </w:pPr>
          </w:p>
        </w:tc>
        <w:tc>
          <w:tcPr>
            <w:tcW w:w="1072" w:type="dxa"/>
            <w:vMerge/>
            <w:vAlign w:val="center"/>
          </w:tcPr>
          <w:p w14:paraId="3C94820E" w14:textId="77777777" w:rsidR="00D718B7" w:rsidRPr="000549B1" w:rsidRDefault="00D718B7" w:rsidP="00D718B7">
            <w:pPr>
              <w:jc w:val="center"/>
            </w:pPr>
          </w:p>
        </w:tc>
        <w:tc>
          <w:tcPr>
            <w:tcW w:w="1072" w:type="dxa"/>
            <w:vAlign w:val="center"/>
          </w:tcPr>
          <w:p w14:paraId="284E22A9" w14:textId="73CE890A" w:rsidR="00D718B7" w:rsidRPr="000549B1" w:rsidRDefault="00D718B7" w:rsidP="00D718B7">
            <w:pPr>
              <w:jc w:val="center"/>
            </w:pPr>
            <w:r w:rsidRPr="000549B1">
              <w:t>集中式饮用水水源地水质达标率</w:t>
            </w:r>
          </w:p>
        </w:tc>
        <w:tc>
          <w:tcPr>
            <w:tcW w:w="1072" w:type="dxa"/>
            <w:vAlign w:val="center"/>
          </w:tcPr>
          <w:p w14:paraId="5894837C" w14:textId="0D13640E" w:rsidR="00D718B7" w:rsidRPr="000549B1" w:rsidRDefault="00D718B7" w:rsidP="00D718B7">
            <w:pPr>
              <w:jc w:val="center"/>
            </w:pPr>
            <w:r w:rsidRPr="000549B1">
              <w:rPr>
                <w:rFonts w:hint="eastAsia"/>
              </w:rPr>
              <w:t>100%</w:t>
            </w:r>
          </w:p>
        </w:tc>
        <w:tc>
          <w:tcPr>
            <w:tcW w:w="1072" w:type="dxa"/>
            <w:vAlign w:val="center"/>
          </w:tcPr>
          <w:p w14:paraId="548520EF" w14:textId="3BF222BC" w:rsidR="00D718B7" w:rsidRPr="000549B1" w:rsidRDefault="00D718B7" w:rsidP="00D718B7">
            <w:pPr>
              <w:jc w:val="center"/>
            </w:pPr>
            <w:r w:rsidRPr="000549B1">
              <w:rPr>
                <w:rFonts w:hint="eastAsia"/>
              </w:rPr>
              <w:t>100%</w:t>
            </w:r>
          </w:p>
        </w:tc>
        <w:tc>
          <w:tcPr>
            <w:tcW w:w="1072" w:type="dxa"/>
            <w:vAlign w:val="center"/>
          </w:tcPr>
          <w:p w14:paraId="124D5874" w14:textId="77777777" w:rsidR="00D718B7" w:rsidRPr="000549B1" w:rsidRDefault="00D718B7" w:rsidP="00D718B7">
            <w:pPr>
              <w:jc w:val="center"/>
            </w:pPr>
            <w:r w:rsidRPr="000549B1">
              <w:t>可选</w:t>
            </w:r>
          </w:p>
        </w:tc>
        <w:tc>
          <w:tcPr>
            <w:tcW w:w="2088" w:type="dxa"/>
            <w:vAlign w:val="center"/>
          </w:tcPr>
          <w:p w14:paraId="3C4715A2" w14:textId="5489951E" w:rsidR="00D718B7" w:rsidRPr="000549B1" w:rsidRDefault="00D718B7" w:rsidP="00D718B7">
            <w:pPr>
              <w:jc w:val="center"/>
            </w:pPr>
            <w:r w:rsidRPr="000549B1">
              <w:t>水质监测数据对比国家水质标准，确保水源地水质符合</w:t>
            </w:r>
            <w:r w:rsidRPr="000549B1">
              <w:rPr>
                <w:rFonts w:hint="eastAsia"/>
              </w:rPr>
              <w:t>Ⅲ</w:t>
            </w:r>
            <w:r w:rsidRPr="000549B1">
              <w:t>类标准</w:t>
            </w:r>
          </w:p>
        </w:tc>
      </w:tr>
      <w:tr w:rsidR="000549B1" w:rsidRPr="000549B1" w14:paraId="705C1EA7" w14:textId="77777777" w:rsidTr="00D33EF7">
        <w:trPr>
          <w:trHeight w:val="1096"/>
          <w:jc w:val="center"/>
        </w:trPr>
        <w:tc>
          <w:tcPr>
            <w:tcW w:w="1072" w:type="dxa"/>
            <w:vMerge w:val="restart"/>
            <w:vAlign w:val="center"/>
          </w:tcPr>
          <w:p w14:paraId="74FC263A" w14:textId="77777777" w:rsidR="00D718B7" w:rsidRPr="000549B1" w:rsidRDefault="00D718B7" w:rsidP="00D718B7">
            <w:pPr>
              <w:jc w:val="center"/>
            </w:pPr>
            <w:r w:rsidRPr="000549B1">
              <w:t>生态环境</w:t>
            </w:r>
          </w:p>
        </w:tc>
        <w:tc>
          <w:tcPr>
            <w:tcW w:w="1072" w:type="dxa"/>
            <w:vMerge w:val="restart"/>
            <w:vAlign w:val="center"/>
          </w:tcPr>
          <w:p w14:paraId="08537563" w14:textId="77777777" w:rsidR="00D718B7" w:rsidRPr="000549B1" w:rsidRDefault="00D718B7" w:rsidP="00D718B7">
            <w:pPr>
              <w:jc w:val="center"/>
            </w:pPr>
            <w:r w:rsidRPr="000549B1">
              <w:t>维护流域生态安全</w:t>
            </w:r>
          </w:p>
          <w:p w14:paraId="04CB0340" w14:textId="77777777" w:rsidR="00D718B7" w:rsidRPr="000549B1" w:rsidRDefault="00D718B7" w:rsidP="00D718B7">
            <w:pPr>
              <w:jc w:val="center"/>
            </w:pPr>
          </w:p>
        </w:tc>
        <w:tc>
          <w:tcPr>
            <w:tcW w:w="1072" w:type="dxa"/>
            <w:vAlign w:val="center"/>
          </w:tcPr>
          <w:p w14:paraId="7B486F22" w14:textId="77777777" w:rsidR="00D718B7" w:rsidRPr="000549B1" w:rsidRDefault="00D718B7" w:rsidP="00D718B7">
            <w:pPr>
              <w:jc w:val="center"/>
            </w:pPr>
            <w:r w:rsidRPr="000549B1">
              <w:t>规划方案占用生态保护红线的情况</w:t>
            </w:r>
          </w:p>
        </w:tc>
        <w:tc>
          <w:tcPr>
            <w:tcW w:w="1072" w:type="dxa"/>
            <w:vAlign w:val="center"/>
          </w:tcPr>
          <w:p w14:paraId="24DC7718" w14:textId="29BA533C" w:rsidR="00D718B7" w:rsidRPr="000549B1" w:rsidRDefault="00D718B7" w:rsidP="00D718B7">
            <w:pPr>
              <w:jc w:val="center"/>
            </w:pPr>
            <w:r w:rsidRPr="000549B1">
              <w:rPr>
                <w:rFonts w:hint="eastAsia"/>
              </w:rPr>
              <w:t>不占用</w:t>
            </w:r>
          </w:p>
        </w:tc>
        <w:tc>
          <w:tcPr>
            <w:tcW w:w="1072" w:type="dxa"/>
            <w:vAlign w:val="center"/>
          </w:tcPr>
          <w:p w14:paraId="38D1A46B" w14:textId="6C17DCEA" w:rsidR="00D718B7" w:rsidRPr="000549B1" w:rsidRDefault="00D718B7" w:rsidP="00D718B7">
            <w:pPr>
              <w:jc w:val="center"/>
            </w:pPr>
            <w:r w:rsidRPr="000549B1">
              <w:rPr>
                <w:rFonts w:hint="eastAsia"/>
              </w:rPr>
              <w:t>不占用</w:t>
            </w:r>
          </w:p>
        </w:tc>
        <w:tc>
          <w:tcPr>
            <w:tcW w:w="1072" w:type="dxa"/>
            <w:vAlign w:val="center"/>
          </w:tcPr>
          <w:p w14:paraId="5D9D6866" w14:textId="77777777" w:rsidR="00D718B7" w:rsidRPr="000549B1" w:rsidRDefault="00D718B7" w:rsidP="00D718B7">
            <w:pPr>
              <w:jc w:val="center"/>
            </w:pPr>
            <w:r w:rsidRPr="000549B1">
              <w:t>必选</w:t>
            </w:r>
          </w:p>
        </w:tc>
        <w:tc>
          <w:tcPr>
            <w:tcW w:w="2088" w:type="dxa"/>
            <w:vAlign w:val="center"/>
          </w:tcPr>
          <w:p w14:paraId="7ABAEE7D" w14:textId="77777777" w:rsidR="00D718B7" w:rsidRPr="000549B1" w:rsidRDefault="00D718B7" w:rsidP="00D718B7">
            <w:pPr>
              <w:jc w:val="center"/>
            </w:pPr>
            <w:r w:rsidRPr="000549B1">
              <w:t>评估规划中涉及的工程对生态红线、自然保护区、湿地等敏感区域的影响</w:t>
            </w:r>
          </w:p>
        </w:tc>
      </w:tr>
      <w:tr w:rsidR="000549B1" w:rsidRPr="000549B1" w14:paraId="21DC6F51" w14:textId="77777777" w:rsidTr="00D33EF7">
        <w:trPr>
          <w:trHeight w:val="959"/>
          <w:jc w:val="center"/>
        </w:trPr>
        <w:tc>
          <w:tcPr>
            <w:tcW w:w="1072" w:type="dxa"/>
            <w:vMerge/>
            <w:vAlign w:val="center"/>
          </w:tcPr>
          <w:p w14:paraId="1910E694" w14:textId="77777777" w:rsidR="00D718B7" w:rsidRPr="000549B1" w:rsidRDefault="00D718B7" w:rsidP="00D718B7">
            <w:pPr>
              <w:jc w:val="center"/>
            </w:pPr>
          </w:p>
        </w:tc>
        <w:tc>
          <w:tcPr>
            <w:tcW w:w="1072" w:type="dxa"/>
            <w:vMerge/>
            <w:vAlign w:val="center"/>
          </w:tcPr>
          <w:p w14:paraId="386A839F" w14:textId="77777777" w:rsidR="00D718B7" w:rsidRPr="000549B1" w:rsidRDefault="00D718B7" w:rsidP="00D718B7">
            <w:pPr>
              <w:jc w:val="center"/>
            </w:pPr>
          </w:p>
        </w:tc>
        <w:tc>
          <w:tcPr>
            <w:tcW w:w="1072" w:type="dxa"/>
            <w:vAlign w:val="center"/>
          </w:tcPr>
          <w:p w14:paraId="69484C04" w14:textId="6E45E449" w:rsidR="00D718B7" w:rsidRPr="000549B1" w:rsidRDefault="00D718B7" w:rsidP="00D718B7">
            <w:pPr>
              <w:jc w:val="center"/>
            </w:pPr>
            <w:r w:rsidRPr="000549B1">
              <w:t>水生</w:t>
            </w:r>
            <w:r w:rsidRPr="000549B1">
              <w:rPr>
                <w:rFonts w:hint="eastAsia"/>
              </w:rPr>
              <w:t>生</w:t>
            </w:r>
            <w:r w:rsidRPr="000549B1">
              <w:t>物栖息地</w:t>
            </w:r>
          </w:p>
        </w:tc>
        <w:tc>
          <w:tcPr>
            <w:tcW w:w="1072" w:type="dxa"/>
            <w:vAlign w:val="center"/>
          </w:tcPr>
          <w:p w14:paraId="15992CD1" w14:textId="6A82FF15" w:rsidR="00D718B7" w:rsidRPr="000549B1" w:rsidRDefault="00D718B7" w:rsidP="00D718B7">
            <w:pPr>
              <w:jc w:val="center"/>
            </w:pPr>
            <w:r w:rsidRPr="000549B1">
              <w:rPr>
                <w:rFonts w:hint="eastAsia"/>
              </w:rPr>
              <w:t>0</w:t>
            </w:r>
          </w:p>
        </w:tc>
        <w:tc>
          <w:tcPr>
            <w:tcW w:w="1072" w:type="dxa"/>
            <w:vAlign w:val="center"/>
          </w:tcPr>
          <w:p w14:paraId="30590EF7" w14:textId="3E80AF0E" w:rsidR="00D718B7" w:rsidRPr="000549B1" w:rsidRDefault="00D718B7" w:rsidP="00D718B7">
            <w:pPr>
              <w:jc w:val="center"/>
            </w:pPr>
            <w:r w:rsidRPr="000549B1">
              <w:rPr>
                <w:rFonts w:hint="eastAsia"/>
              </w:rPr>
              <w:t>0</w:t>
            </w:r>
          </w:p>
        </w:tc>
        <w:tc>
          <w:tcPr>
            <w:tcW w:w="1072" w:type="dxa"/>
            <w:vAlign w:val="center"/>
          </w:tcPr>
          <w:p w14:paraId="639FE6AE" w14:textId="77777777" w:rsidR="00D718B7" w:rsidRPr="000549B1" w:rsidRDefault="00D718B7" w:rsidP="00D718B7">
            <w:pPr>
              <w:jc w:val="center"/>
            </w:pPr>
            <w:r w:rsidRPr="000549B1">
              <w:t>必选</w:t>
            </w:r>
          </w:p>
        </w:tc>
        <w:tc>
          <w:tcPr>
            <w:tcW w:w="2088" w:type="dxa"/>
            <w:vAlign w:val="center"/>
          </w:tcPr>
          <w:p w14:paraId="08618FF5" w14:textId="77777777" w:rsidR="00D718B7" w:rsidRPr="000549B1" w:rsidRDefault="00D718B7" w:rsidP="00D718B7">
            <w:pPr>
              <w:jc w:val="center"/>
            </w:pPr>
            <w:r w:rsidRPr="000549B1">
              <w:t>通过生态调查与水生物种群监测，评估水域生物栖息地的变化</w:t>
            </w:r>
          </w:p>
        </w:tc>
      </w:tr>
      <w:tr w:rsidR="000549B1" w:rsidRPr="000549B1" w14:paraId="33A1FAAA" w14:textId="77777777" w:rsidTr="00D33EF7">
        <w:trPr>
          <w:trHeight w:val="959"/>
          <w:jc w:val="center"/>
        </w:trPr>
        <w:tc>
          <w:tcPr>
            <w:tcW w:w="1072" w:type="dxa"/>
            <w:vMerge/>
            <w:vAlign w:val="center"/>
          </w:tcPr>
          <w:p w14:paraId="20A72A94" w14:textId="77777777" w:rsidR="00D718B7" w:rsidRPr="000549B1" w:rsidRDefault="00D718B7" w:rsidP="00D718B7">
            <w:pPr>
              <w:jc w:val="center"/>
            </w:pPr>
          </w:p>
        </w:tc>
        <w:tc>
          <w:tcPr>
            <w:tcW w:w="1072" w:type="dxa"/>
            <w:vMerge/>
            <w:vAlign w:val="center"/>
          </w:tcPr>
          <w:p w14:paraId="4819336D" w14:textId="77777777" w:rsidR="00D718B7" w:rsidRPr="000549B1" w:rsidRDefault="00D718B7" w:rsidP="00D718B7">
            <w:pPr>
              <w:jc w:val="center"/>
            </w:pPr>
          </w:p>
        </w:tc>
        <w:tc>
          <w:tcPr>
            <w:tcW w:w="1072" w:type="dxa"/>
            <w:vAlign w:val="center"/>
          </w:tcPr>
          <w:p w14:paraId="09D6B744" w14:textId="6A8A6923" w:rsidR="00D718B7" w:rsidRPr="000549B1" w:rsidRDefault="00D718B7" w:rsidP="00D718B7">
            <w:pPr>
              <w:jc w:val="center"/>
            </w:pPr>
            <w:r w:rsidRPr="000549B1">
              <w:rPr>
                <w:rFonts w:hint="eastAsia"/>
              </w:rPr>
              <w:t>生物</w:t>
            </w:r>
            <w:r w:rsidRPr="000549B1">
              <w:t>多样性</w:t>
            </w:r>
          </w:p>
        </w:tc>
        <w:tc>
          <w:tcPr>
            <w:tcW w:w="1072" w:type="dxa"/>
            <w:vAlign w:val="center"/>
          </w:tcPr>
          <w:p w14:paraId="0D4156F1" w14:textId="2DCB90FE" w:rsidR="00D718B7" w:rsidRPr="000549B1" w:rsidRDefault="00F1314B" w:rsidP="00D718B7">
            <w:pPr>
              <w:jc w:val="center"/>
            </w:pPr>
            <w:r>
              <w:rPr>
                <w:rFonts w:hint="eastAsia"/>
              </w:rPr>
              <w:t>/</w:t>
            </w:r>
          </w:p>
        </w:tc>
        <w:tc>
          <w:tcPr>
            <w:tcW w:w="1072" w:type="dxa"/>
            <w:vAlign w:val="center"/>
          </w:tcPr>
          <w:p w14:paraId="1EB1079C" w14:textId="75863CE2" w:rsidR="00D718B7" w:rsidRPr="000549B1" w:rsidRDefault="00F1314B" w:rsidP="00D718B7">
            <w:pPr>
              <w:jc w:val="center"/>
            </w:pPr>
            <w:r>
              <w:rPr>
                <w:rFonts w:hint="eastAsia"/>
              </w:rPr>
              <w:t>/</w:t>
            </w:r>
          </w:p>
        </w:tc>
        <w:tc>
          <w:tcPr>
            <w:tcW w:w="1072" w:type="dxa"/>
            <w:vAlign w:val="center"/>
          </w:tcPr>
          <w:p w14:paraId="087DBE06" w14:textId="77777777" w:rsidR="00D718B7" w:rsidRPr="000549B1" w:rsidRDefault="00D718B7" w:rsidP="00D718B7">
            <w:pPr>
              <w:jc w:val="center"/>
            </w:pPr>
            <w:r w:rsidRPr="000549B1">
              <w:t>必选</w:t>
            </w:r>
          </w:p>
        </w:tc>
        <w:tc>
          <w:tcPr>
            <w:tcW w:w="2088" w:type="dxa"/>
            <w:vAlign w:val="center"/>
          </w:tcPr>
          <w:p w14:paraId="5AEF9131" w14:textId="77777777" w:rsidR="00D718B7" w:rsidRPr="000549B1" w:rsidRDefault="00D718B7" w:rsidP="00D718B7">
            <w:pPr>
              <w:jc w:val="center"/>
            </w:pPr>
            <w:r w:rsidRPr="000549B1">
              <w:t>生态调查数据，结合生物物种监测报告评估流域生物多样性</w:t>
            </w:r>
          </w:p>
        </w:tc>
      </w:tr>
      <w:tr w:rsidR="000549B1" w:rsidRPr="000549B1" w14:paraId="556DE1F4" w14:textId="77777777" w:rsidTr="00D33EF7">
        <w:trPr>
          <w:trHeight w:val="821"/>
          <w:jc w:val="center"/>
        </w:trPr>
        <w:tc>
          <w:tcPr>
            <w:tcW w:w="1072" w:type="dxa"/>
            <w:vMerge/>
            <w:vAlign w:val="center"/>
          </w:tcPr>
          <w:p w14:paraId="681A1AE1" w14:textId="77777777" w:rsidR="00D718B7" w:rsidRPr="000549B1" w:rsidRDefault="00D718B7" w:rsidP="00D718B7">
            <w:pPr>
              <w:jc w:val="center"/>
            </w:pPr>
          </w:p>
        </w:tc>
        <w:tc>
          <w:tcPr>
            <w:tcW w:w="1072" w:type="dxa"/>
            <w:vMerge/>
            <w:vAlign w:val="center"/>
          </w:tcPr>
          <w:p w14:paraId="4C8622BF" w14:textId="77777777" w:rsidR="00D718B7" w:rsidRPr="000549B1" w:rsidRDefault="00D718B7" w:rsidP="00D718B7">
            <w:pPr>
              <w:jc w:val="center"/>
            </w:pPr>
          </w:p>
        </w:tc>
        <w:tc>
          <w:tcPr>
            <w:tcW w:w="1072" w:type="dxa"/>
            <w:vAlign w:val="center"/>
          </w:tcPr>
          <w:p w14:paraId="50EFE0A3" w14:textId="77777777" w:rsidR="00D718B7" w:rsidRPr="000549B1" w:rsidRDefault="00D718B7" w:rsidP="00D718B7">
            <w:pPr>
              <w:jc w:val="center"/>
            </w:pPr>
            <w:r w:rsidRPr="000549B1">
              <w:t>鱼类物种数</w:t>
            </w:r>
          </w:p>
        </w:tc>
        <w:tc>
          <w:tcPr>
            <w:tcW w:w="1072" w:type="dxa"/>
            <w:vAlign w:val="center"/>
          </w:tcPr>
          <w:p w14:paraId="1D89B298" w14:textId="78692C7A" w:rsidR="00D718B7" w:rsidRPr="000549B1" w:rsidRDefault="00F1314B" w:rsidP="00D718B7">
            <w:pPr>
              <w:jc w:val="center"/>
            </w:pPr>
            <w:r w:rsidRPr="00F1314B">
              <w:t>6</w:t>
            </w:r>
          </w:p>
        </w:tc>
        <w:tc>
          <w:tcPr>
            <w:tcW w:w="1072" w:type="dxa"/>
            <w:vAlign w:val="center"/>
          </w:tcPr>
          <w:p w14:paraId="469541D7" w14:textId="75279F38" w:rsidR="00D718B7" w:rsidRPr="000549B1" w:rsidRDefault="00F1314B" w:rsidP="00F1314B">
            <w:pPr>
              <w:jc w:val="center"/>
            </w:pPr>
            <w:r>
              <w:rPr>
                <w:rFonts w:hint="eastAsia"/>
              </w:rPr>
              <w:t>≥</w:t>
            </w:r>
            <w:r>
              <w:rPr>
                <w:rFonts w:hint="eastAsia"/>
              </w:rPr>
              <w:t>6</w:t>
            </w:r>
          </w:p>
        </w:tc>
        <w:tc>
          <w:tcPr>
            <w:tcW w:w="1072" w:type="dxa"/>
            <w:vAlign w:val="center"/>
          </w:tcPr>
          <w:p w14:paraId="670BC007" w14:textId="77777777" w:rsidR="00D718B7" w:rsidRPr="000549B1" w:rsidRDefault="00D718B7" w:rsidP="00D718B7">
            <w:pPr>
              <w:jc w:val="center"/>
            </w:pPr>
            <w:r w:rsidRPr="000549B1">
              <w:t>必选</w:t>
            </w:r>
          </w:p>
        </w:tc>
        <w:tc>
          <w:tcPr>
            <w:tcW w:w="2088" w:type="dxa"/>
            <w:vAlign w:val="center"/>
          </w:tcPr>
          <w:p w14:paraId="48D2AE19" w14:textId="77777777" w:rsidR="00D718B7" w:rsidRPr="000549B1" w:rsidRDefault="00D718B7" w:rsidP="00D718B7">
            <w:pPr>
              <w:jc w:val="center"/>
            </w:pPr>
            <w:r w:rsidRPr="000549B1">
              <w:t>通过水生生物种群监测，计算鱼类物种数量和种群分布</w:t>
            </w:r>
          </w:p>
        </w:tc>
      </w:tr>
      <w:tr w:rsidR="000549B1" w:rsidRPr="000549B1" w14:paraId="474F4A7A" w14:textId="77777777" w:rsidTr="00D33EF7">
        <w:trPr>
          <w:trHeight w:val="1096"/>
          <w:jc w:val="center"/>
        </w:trPr>
        <w:tc>
          <w:tcPr>
            <w:tcW w:w="1072" w:type="dxa"/>
            <w:vMerge/>
            <w:vAlign w:val="center"/>
          </w:tcPr>
          <w:p w14:paraId="7382248E" w14:textId="77777777" w:rsidR="00D718B7" w:rsidRPr="000549B1" w:rsidRDefault="00D718B7" w:rsidP="00D718B7">
            <w:pPr>
              <w:jc w:val="center"/>
            </w:pPr>
          </w:p>
        </w:tc>
        <w:tc>
          <w:tcPr>
            <w:tcW w:w="1072" w:type="dxa"/>
            <w:vMerge/>
            <w:vAlign w:val="center"/>
          </w:tcPr>
          <w:p w14:paraId="62C15066" w14:textId="77777777" w:rsidR="00D718B7" w:rsidRPr="000549B1" w:rsidRDefault="00D718B7" w:rsidP="00D718B7">
            <w:pPr>
              <w:jc w:val="center"/>
            </w:pPr>
          </w:p>
        </w:tc>
        <w:tc>
          <w:tcPr>
            <w:tcW w:w="1072" w:type="dxa"/>
            <w:vAlign w:val="center"/>
          </w:tcPr>
          <w:p w14:paraId="2D3639CA" w14:textId="77777777" w:rsidR="00D718B7" w:rsidRPr="000549B1" w:rsidRDefault="00D718B7" w:rsidP="00D718B7">
            <w:pPr>
              <w:jc w:val="center"/>
            </w:pPr>
            <w:r w:rsidRPr="000549B1">
              <w:t>重点保护水生物数量</w:t>
            </w:r>
          </w:p>
        </w:tc>
        <w:tc>
          <w:tcPr>
            <w:tcW w:w="1072" w:type="dxa"/>
            <w:vAlign w:val="center"/>
          </w:tcPr>
          <w:p w14:paraId="1453C0F8" w14:textId="75DC3B87" w:rsidR="00D718B7" w:rsidRPr="000549B1" w:rsidRDefault="00F1314B" w:rsidP="00D718B7">
            <w:pPr>
              <w:jc w:val="center"/>
            </w:pPr>
            <w:r>
              <w:rPr>
                <w:rFonts w:hint="eastAsia"/>
              </w:rPr>
              <w:t>2</w:t>
            </w:r>
          </w:p>
        </w:tc>
        <w:tc>
          <w:tcPr>
            <w:tcW w:w="1072" w:type="dxa"/>
            <w:vAlign w:val="center"/>
          </w:tcPr>
          <w:p w14:paraId="6C1EA19D" w14:textId="40D45B9E" w:rsidR="00D718B7" w:rsidRPr="000549B1" w:rsidRDefault="00F1314B" w:rsidP="00D718B7">
            <w:pPr>
              <w:jc w:val="center"/>
            </w:pPr>
            <w:r>
              <w:rPr>
                <w:rFonts w:hint="eastAsia"/>
              </w:rPr>
              <w:t>≥</w:t>
            </w:r>
            <w:r>
              <w:rPr>
                <w:rFonts w:hint="eastAsia"/>
              </w:rPr>
              <w:t>2</w:t>
            </w:r>
          </w:p>
        </w:tc>
        <w:tc>
          <w:tcPr>
            <w:tcW w:w="1072" w:type="dxa"/>
            <w:vAlign w:val="center"/>
          </w:tcPr>
          <w:p w14:paraId="6E2AF4BA" w14:textId="77777777" w:rsidR="00D718B7" w:rsidRPr="000549B1" w:rsidRDefault="00D718B7" w:rsidP="00D718B7">
            <w:pPr>
              <w:jc w:val="center"/>
            </w:pPr>
            <w:r w:rsidRPr="000549B1">
              <w:t>必选</w:t>
            </w:r>
          </w:p>
        </w:tc>
        <w:tc>
          <w:tcPr>
            <w:tcW w:w="2088" w:type="dxa"/>
            <w:vAlign w:val="center"/>
          </w:tcPr>
          <w:p w14:paraId="00FB649B" w14:textId="77777777" w:rsidR="00D718B7" w:rsidRPr="000549B1" w:rsidRDefault="00D718B7" w:rsidP="00D718B7">
            <w:pPr>
              <w:jc w:val="center"/>
            </w:pPr>
            <w:r w:rsidRPr="000549B1">
              <w:t>根据重点保护物种的数量和栖息地调查报告，评估保护物种数量变化</w:t>
            </w:r>
          </w:p>
        </w:tc>
      </w:tr>
      <w:tr w:rsidR="000549B1" w:rsidRPr="000549B1" w14:paraId="75C4B403" w14:textId="77777777" w:rsidTr="00D33EF7">
        <w:trPr>
          <w:trHeight w:val="959"/>
          <w:jc w:val="center"/>
        </w:trPr>
        <w:tc>
          <w:tcPr>
            <w:tcW w:w="1072" w:type="dxa"/>
            <w:vMerge/>
            <w:vAlign w:val="center"/>
          </w:tcPr>
          <w:p w14:paraId="47E8FEB1" w14:textId="77777777" w:rsidR="00D718B7" w:rsidRPr="000549B1" w:rsidRDefault="00D718B7" w:rsidP="00D718B7">
            <w:pPr>
              <w:jc w:val="center"/>
            </w:pPr>
          </w:p>
        </w:tc>
        <w:tc>
          <w:tcPr>
            <w:tcW w:w="1072" w:type="dxa"/>
            <w:vMerge/>
            <w:vAlign w:val="center"/>
          </w:tcPr>
          <w:p w14:paraId="507F9F78" w14:textId="77777777" w:rsidR="00D718B7" w:rsidRPr="000549B1" w:rsidRDefault="00D718B7" w:rsidP="00D718B7">
            <w:pPr>
              <w:jc w:val="center"/>
            </w:pPr>
          </w:p>
        </w:tc>
        <w:tc>
          <w:tcPr>
            <w:tcW w:w="1072" w:type="dxa"/>
            <w:vAlign w:val="center"/>
          </w:tcPr>
          <w:p w14:paraId="4B15B042" w14:textId="77777777" w:rsidR="00D718B7" w:rsidRPr="000549B1" w:rsidRDefault="00D718B7" w:rsidP="00D718B7">
            <w:pPr>
              <w:jc w:val="center"/>
            </w:pPr>
            <w:r w:rsidRPr="000549B1">
              <w:t>自然岸线率</w:t>
            </w:r>
          </w:p>
        </w:tc>
        <w:tc>
          <w:tcPr>
            <w:tcW w:w="1072" w:type="dxa"/>
            <w:vAlign w:val="center"/>
          </w:tcPr>
          <w:p w14:paraId="1A17C2E0" w14:textId="32A7EFE9" w:rsidR="00D718B7" w:rsidRPr="000549B1" w:rsidRDefault="00F1314B" w:rsidP="00D718B7">
            <w:pPr>
              <w:jc w:val="center"/>
            </w:pPr>
            <w:r>
              <w:rPr>
                <w:rFonts w:hint="eastAsia"/>
              </w:rPr>
              <w:t>/</w:t>
            </w:r>
          </w:p>
        </w:tc>
        <w:tc>
          <w:tcPr>
            <w:tcW w:w="1072" w:type="dxa"/>
            <w:vAlign w:val="center"/>
          </w:tcPr>
          <w:p w14:paraId="1C9BB842" w14:textId="6FAB97DB" w:rsidR="00D718B7" w:rsidRPr="000549B1" w:rsidRDefault="00F1314B" w:rsidP="00D718B7">
            <w:pPr>
              <w:jc w:val="center"/>
            </w:pPr>
            <w:r>
              <w:rPr>
                <w:rFonts w:hint="eastAsia"/>
              </w:rPr>
              <w:t>/</w:t>
            </w:r>
          </w:p>
        </w:tc>
        <w:tc>
          <w:tcPr>
            <w:tcW w:w="1072" w:type="dxa"/>
            <w:vAlign w:val="center"/>
          </w:tcPr>
          <w:p w14:paraId="1CF88E40" w14:textId="77777777" w:rsidR="00D718B7" w:rsidRPr="000549B1" w:rsidRDefault="00D718B7" w:rsidP="00D718B7">
            <w:pPr>
              <w:jc w:val="center"/>
            </w:pPr>
            <w:r w:rsidRPr="000549B1">
              <w:t>必选</w:t>
            </w:r>
          </w:p>
        </w:tc>
        <w:tc>
          <w:tcPr>
            <w:tcW w:w="2088" w:type="dxa"/>
            <w:vAlign w:val="center"/>
          </w:tcPr>
          <w:p w14:paraId="0675F1AA" w14:textId="77777777" w:rsidR="00D718B7" w:rsidRPr="000549B1" w:rsidRDefault="00D718B7" w:rsidP="00D718B7">
            <w:pPr>
              <w:jc w:val="center"/>
            </w:pPr>
            <w:r w:rsidRPr="000549B1">
              <w:t>流域岸线监测数据，评估自然岸线与人工岸线的比例变化</w:t>
            </w:r>
          </w:p>
        </w:tc>
      </w:tr>
      <w:tr w:rsidR="000549B1" w:rsidRPr="000549B1" w14:paraId="13B8C319" w14:textId="77777777" w:rsidTr="00D33EF7">
        <w:trPr>
          <w:trHeight w:val="1096"/>
          <w:jc w:val="center"/>
        </w:trPr>
        <w:tc>
          <w:tcPr>
            <w:tcW w:w="1072" w:type="dxa"/>
            <w:vMerge/>
            <w:vAlign w:val="center"/>
          </w:tcPr>
          <w:p w14:paraId="163ACC35" w14:textId="77777777" w:rsidR="00D718B7" w:rsidRPr="000549B1" w:rsidRDefault="00D718B7" w:rsidP="00D718B7">
            <w:pPr>
              <w:jc w:val="center"/>
            </w:pPr>
          </w:p>
        </w:tc>
        <w:tc>
          <w:tcPr>
            <w:tcW w:w="1072" w:type="dxa"/>
            <w:vMerge/>
            <w:vAlign w:val="center"/>
          </w:tcPr>
          <w:p w14:paraId="68B8BD22" w14:textId="77777777" w:rsidR="00D718B7" w:rsidRPr="000549B1" w:rsidRDefault="00D718B7" w:rsidP="00D718B7">
            <w:pPr>
              <w:jc w:val="center"/>
            </w:pPr>
          </w:p>
        </w:tc>
        <w:tc>
          <w:tcPr>
            <w:tcW w:w="1072" w:type="dxa"/>
            <w:vAlign w:val="center"/>
          </w:tcPr>
          <w:p w14:paraId="123C9DD1" w14:textId="77777777" w:rsidR="00D718B7" w:rsidRPr="000549B1" w:rsidRDefault="00D718B7" w:rsidP="00D718B7">
            <w:pPr>
              <w:jc w:val="center"/>
            </w:pPr>
            <w:r w:rsidRPr="000549B1">
              <w:t>河流纵向连通指数</w:t>
            </w:r>
          </w:p>
        </w:tc>
        <w:tc>
          <w:tcPr>
            <w:tcW w:w="1072" w:type="dxa"/>
            <w:vAlign w:val="center"/>
          </w:tcPr>
          <w:p w14:paraId="3A7F13F2" w14:textId="5D587221" w:rsidR="00D718B7" w:rsidRPr="000549B1" w:rsidRDefault="00C35C11" w:rsidP="00D718B7">
            <w:pPr>
              <w:jc w:val="center"/>
            </w:pPr>
            <w:r>
              <w:rPr>
                <w:rFonts w:hint="eastAsia"/>
              </w:rPr>
              <w:t>1</w:t>
            </w:r>
          </w:p>
        </w:tc>
        <w:tc>
          <w:tcPr>
            <w:tcW w:w="1072" w:type="dxa"/>
            <w:vAlign w:val="center"/>
          </w:tcPr>
          <w:p w14:paraId="382D0D85" w14:textId="1DA8D747" w:rsidR="00D718B7" w:rsidRPr="000549B1" w:rsidRDefault="00C35C11" w:rsidP="00D718B7">
            <w:pPr>
              <w:jc w:val="center"/>
            </w:pPr>
            <w:r>
              <w:rPr>
                <w:rFonts w:hint="eastAsia"/>
              </w:rPr>
              <w:t>1</w:t>
            </w:r>
          </w:p>
        </w:tc>
        <w:tc>
          <w:tcPr>
            <w:tcW w:w="1072" w:type="dxa"/>
            <w:vAlign w:val="center"/>
          </w:tcPr>
          <w:p w14:paraId="336C82A8" w14:textId="77777777" w:rsidR="00D718B7" w:rsidRPr="000549B1" w:rsidRDefault="00D718B7" w:rsidP="00D718B7">
            <w:pPr>
              <w:jc w:val="center"/>
            </w:pPr>
            <w:r w:rsidRPr="000549B1">
              <w:t>必选</w:t>
            </w:r>
          </w:p>
        </w:tc>
        <w:tc>
          <w:tcPr>
            <w:tcW w:w="2088" w:type="dxa"/>
            <w:vAlign w:val="center"/>
          </w:tcPr>
          <w:p w14:paraId="64DD2A9D" w14:textId="77777777" w:rsidR="00D718B7" w:rsidRPr="000549B1" w:rsidRDefault="00D718B7" w:rsidP="00D718B7">
            <w:pPr>
              <w:jc w:val="center"/>
            </w:pPr>
            <w:r w:rsidRPr="000549B1">
              <w:t>结合水资源调度与河道治理工程，分析河流的纵向连通性与生态影响</w:t>
            </w:r>
          </w:p>
        </w:tc>
      </w:tr>
      <w:bookmarkEnd w:id="353"/>
    </w:tbl>
    <w:p w14:paraId="0710E87E" w14:textId="77777777" w:rsidR="00054437" w:rsidRPr="000549B1" w:rsidRDefault="00054437">
      <w:pPr>
        <w:sectPr w:rsidR="00054437" w:rsidRPr="000549B1">
          <w:pgSz w:w="11906" w:h="16838"/>
          <w:pgMar w:top="1440" w:right="1800" w:bottom="1440" w:left="1800" w:header="851" w:footer="992" w:gutter="0"/>
          <w:cols w:space="425"/>
          <w:docGrid w:type="lines" w:linePitch="312"/>
        </w:sectPr>
      </w:pPr>
    </w:p>
    <w:p w14:paraId="4A7295A0" w14:textId="77777777" w:rsidR="00054437" w:rsidRPr="000549B1" w:rsidRDefault="00000000">
      <w:pPr>
        <w:pStyle w:val="1"/>
      </w:pPr>
      <w:bookmarkStart w:id="354" w:name="_Toc11990"/>
      <w:bookmarkStart w:id="355" w:name="_Toc208583931"/>
      <w:bookmarkStart w:id="356" w:name="_Toc9144636"/>
      <w:bookmarkStart w:id="357" w:name="_Toc216107041"/>
      <w:r w:rsidRPr="000549B1">
        <w:t>环境影响预测与评价</w:t>
      </w:r>
      <w:bookmarkEnd w:id="354"/>
      <w:bookmarkEnd w:id="355"/>
      <w:bookmarkEnd w:id="356"/>
      <w:bookmarkEnd w:id="357"/>
    </w:p>
    <w:p w14:paraId="28E3000E" w14:textId="77777777" w:rsidR="00054437" w:rsidRPr="000549B1" w:rsidRDefault="00000000">
      <w:pPr>
        <w:pStyle w:val="2"/>
        <w:rPr>
          <w:rFonts w:ascii="Times New Roman" w:hAnsi="Times New Roman"/>
        </w:rPr>
      </w:pPr>
      <w:bookmarkStart w:id="358" w:name="_Toc7146"/>
      <w:bookmarkStart w:id="359" w:name="_Toc9144637"/>
      <w:bookmarkStart w:id="360" w:name="_Toc208583932"/>
      <w:bookmarkStart w:id="361" w:name="_Toc216107042"/>
      <w:r w:rsidRPr="000549B1">
        <w:rPr>
          <w:rFonts w:ascii="Times New Roman" w:hAnsi="Times New Roman"/>
        </w:rPr>
        <w:t>水文水资源影响预测与评价</w:t>
      </w:r>
      <w:bookmarkEnd w:id="358"/>
      <w:bookmarkEnd w:id="359"/>
      <w:bookmarkEnd w:id="360"/>
      <w:bookmarkEnd w:id="361"/>
    </w:p>
    <w:p w14:paraId="5EF96668" w14:textId="77777777" w:rsidR="00054437" w:rsidRPr="000549B1" w:rsidRDefault="00000000">
      <w:pPr>
        <w:spacing w:line="500" w:lineRule="exact"/>
        <w:ind w:firstLineChars="200" w:firstLine="480"/>
        <w:jc w:val="left"/>
        <w:rPr>
          <w:sz w:val="24"/>
        </w:rPr>
      </w:pPr>
      <w:r w:rsidRPr="000549B1">
        <w:rPr>
          <w:sz w:val="24"/>
        </w:rPr>
        <w:t>沙珠玉河流域水资源利用规划、水资源配置方案的实施，将对流域水资源配置、开发利用程度格局产生一定影响。</w:t>
      </w:r>
    </w:p>
    <w:p w14:paraId="20DA7A07" w14:textId="77777777" w:rsidR="00054437" w:rsidRPr="000549B1" w:rsidRDefault="00000000">
      <w:pPr>
        <w:pStyle w:val="3"/>
      </w:pPr>
      <w:bookmarkStart w:id="362" w:name="_Toc216107043"/>
      <w:r w:rsidRPr="000549B1">
        <w:t>水资源</w:t>
      </w:r>
      <w:bookmarkEnd w:id="362"/>
    </w:p>
    <w:p w14:paraId="788814A3" w14:textId="77777777" w:rsidR="00054437" w:rsidRPr="000549B1" w:rsidRDefault="00000000">
      <w:pPr>
        <w:pStyle w:val="4"/>
        <w:adjustRightInd w:val="0"/>
        <w:snapToGrid w:val="0"/>
        <w:spacing w:before="0" w:after="0" w:line="360" w:lineRule="auto"/>
        <w:rPr>
          <w:rFonts w:ascii="Times New Roman" w:eastAsia="黑体" w:hAnsi="Times New Roman"/>
          <w:bCs w:val="0"/>
        </w:rPr>
      </w:pPr>
      <w:r w:rsidRPr="000549B1">
        <w:rPr>
          <w:rFonts w:ascii="Times New Roman" w:eastAsia="黑体" w:hAnsi="Times New Roman"/>
          <w:bCs w:val="0"/>
        </w:rPr>
        <w:t>与用水总量控制指标的符合程度</w:t>
      </w:r>
    </w:p>
    <w:p w14:paraId="178CB6F7" w14:textId="77777777" w:rsidR="00054437" w:rsidRPr="000549B1" w:rsidRDefault="00000000">
      <w:pPr>
        <w:spacing w:line="360" w:lineRule="auto"/>
        <w:ind w:firstLine="482"/>
        <w:rPr>
          <w:bCs/>
          <w:sz w:val="24"/>
        </w:rPr>
      </w:pPr>
      <w:r w:rsidRPr="000549B1">
        <w:rPr>
          <w:bCs/>
          <w:sz w:val="24"/>
        </w:rPr>
        <w:t>根据《关于印发</w:t>
      </w:r>
      <w:r w:rsidRPr="000549B1">
        <w:rPr>
          <w:rFonts w:ascii="宋体" w:hAnsi="宋体"/>
          <w:bCs/>
          <w:sz w:val="24"/>
        </w:rPr>
        <w:t>“</w:t>
      </w:r>
      <w:r w:rsidRPr="000549B1">
        <w:rPr>
          <w:bCs/>
          <w:sz w:val="24"/>
        </w:rPr>
        <w:t>十四五</w:t>
      </w:r>
      <w:r w:rsidRPr="000549B1">
        <w:rPr>
          <w:rFonts w:ascii="宋体" w:hAnsi="宋体"/>
          <w:bCs/>
          <w:sz w:val="24"/>
        </w:rPr>
        <w:t>”</w:t>
      </w:r>
      <w:r w:rsidRPr="000549B1">
        <w:rPr>
          <w:bCs/>
          <w:sz w:val="24"/>
        </w:rPr>
        <w:t>用水总量和强度控制指标分解方案的通知》（青水资〔</w:t>
      </w:r>
      <w:r w:rsidRPr="000549B1">
        <w:rPr>
          <w:bCs/>
          <w:sz w:val="24"/>
        </w:rPr>
        <w:t>2022</w:t>
      </w:r>
      <w:r w:rsidRPr="000549B1">
        <w:rPr>
          <w:bCs/>
          <w:sz w:val="24"/>
        </w:rPr>
        <w:t>〕</w:t>
      </w:r>
      <w:r w:rsidRPr="000549B1">
        <w:rPr>
          <w:bCs/>
          <w:sz w:val="24"/>
        </w:rPr>
        <w:t>55</w:t>
      </w:r>
      <w:r w:rsidRPr="000549B1">
        <w:rPr>
          <w:bCs/>
          <w:sz w:val="24"/>
        </w:rPr>
        <w:t>号），海南州</w:t>
      </w:r>
      <w:r w:rsidRPr="000549B1">
        <w:rPr>
          <w:bCs/>
          <w:sz w:val="24"/>
        </w:rPr>
        <w:t>2025</w:t>
      </w:r>
      <w:r w:rsidRPr="000549B1">
        <w:rPr>
          <w:bCs/>
          <w:sz w:val="24"/>
        </w:rPr>
        <w:t>年用水总量控制指标</w:t>
      </w:r>
      <w:r w:rsidRPr="000549B1">
        <w:rPr>
          <w:bCs/>
          <w:sz w:val="24"/>
        </w:rPr>
        <w:t>3.33</w:t>
      </w:r>
      <w:r w:rsidRPr="000549B1">
        <w:rPr>
          <w:bCs/>
          <w:sz w:val="24"/>
        </w:rPr>
        <w:t>亿</w:t>
      </w:r>
      <w:r w:rsidRPr="000549B1">
        <w:rPr>
          <w:bCs/>
          <w:sz w:val="24"/>
        </w:rPr>
        <w:t>m</w:t>
      </w:r>
      <w:r w:rsidRPr="000549B1">
        <w:rPr>
          <w:bCs/>
          <w:sz w:val="24"/>
          <w:vertAlign w:val="superscript"/>
        </w:rPr>
        <w:t>3</w:t>
      </w:r>
      <w:r w:rsidRPr="000549B1">
        <w:rPr>
          <w:bCs/>
          <w:sz w:val="24"/>
        </w:rPr>
        <w:t>。根据全国用水总量控制方案，</w:t>
      </w:r>
      <w:r w:rsidRPr="000549B1">
        <w:rPr>
          <w:bCs/>
          <w:sz w:val="24"/>
        </w:rPr>
        <w:t>2030</w:t>
      </w:r>
      <w:r w:rsidRPr="000549B1">
        <w:rPr>
          <w:bCs/>
          <w:sz w:val="24"/>
        </w:rPr>
        <w:t>年青海省用水总量控制指标为</w:t>
      </w:r>
      <w:r w:rsidRPr="000549B1">
        <w:rPr>
          <w:bCs/>
          <w:sz w:val="24"/>
        </w:rPr>
        <w:t>47.54</w:t>
      </w:r>
      <w:r w:rsidRPr="000549B1">
        <w:rPr>
          <w:bCs/>
          <w:sz w:val="24"/>
        </w:rPr>
        <w:t>亿</w:t>
      </w:r>
      <w:r w:rsidRPr="000549B1">
        <w:rPr>
          <w:bCs/>
          <w:sz w:val="24"/>
        </w:rPr>
        <w:t>m</w:t>
      </w:r>
      <w:r w:rsidRPr="000549B1">
        <w:rPr>
          <w:bCs/>
          <w:sz w:val="24"/>
          <w:vertAlign w:val="superscript"/>
        </w:rPr>
        <w:t>3</w:t>
      </w:r>
      <w:r w:rsidRPr="000549B1">
        <w:rPr>
          <w:bCs/>
          <w:sz w:val="24"/>
        </w:rPr>
        <w:t>，按照青海省</w:t>
      </w:r>
      <w:r w:rsidRPr="000549B1">
        <w:rPr>
          <w:bCs/>
          <w:sz w:val="24"/>
        </w:rPr>
        <w:t>2023</w:t>
      </w:r>
      <w:r w:rsidRPr="000549B1">
        <w:rPr>
          <w:bCs/>
          <w:sz w:val="24"/>
        </w:rPr>
        <w:t>年</w:t>
      </w:r>
      <w:r w:rsidRPr="000549B1">
        <w:rPr>
          <w:bCs/>
          <w:sz w:val="24"/>
        </w:rPr>
        <w:t>~2025</w:t>
      </w:r>
      <w:r w:rsidRPr="000549B1">
        <w:rPr>
          <w:bCs/>
          <w:sz w:val="24"/>
        </w:rPr>
        <w:t>年用水总量控制指标比例进行同比放大，</w:t>
      </w:r>
      <w:r w:rsidRPr="000549B1">
        <w:rPr>
          <w:bCs/>
          <w:sz w:val="24"/>
        </w:rPr>
        <w:t>2030</w:t>
      </w:r>
      <w:r w:rsidRPr="000549B1">
        <w:rPr>
          <w:bCs/>
          <w:sz w:val="24"/>
        </w:rPr>
        <w:t>年海南州用水总量控制指标为</w:t>
      </w:r>
      <w:r w:rsidRPr="000549B1">
        <w:rPr>
          <w:bCs/>
          <w:sz w:val="24"/>
        </w:rPr>
        <w:t>5.35</w:t>
      </w:r>
      <w:r w:rsidRPr="000549B1">
        <w:rPr>
          <w:bCs/>
          <w:sz w:val="24"/>
        </w:rPr>
        <w:t>亿</w:t>
      </w:r>
      <w:r w:rsidRPr="000549B1">
        <w:rPr>
          <w:bCs/>
          <w:sz w:val="24"/>
        </w:rPr>
        <w:t>m</w:t>
      </w:r>
      <w:r w:rsidRPr="000549B1">
        <w:rPr>
          <w:bCs/>
          <w:sz w:val="24"/>
          <w:vertAlign w:val="superscript"/>
        </w:rPr>
        <w:t>3</w:t>
      </w:r>
      <w:r w:rsidRPr="000549B1">
        <w:rPr>
          <w:bCs/>
          <w:sz w:val="24"/>
        </w:rPr>
        <w:t>。</w:t>
      </w:r>
    </w:p>
    <w:p w14:paraId="0C53DE0D" w14:textId="77777777" w:rsidR="00054437" w:rsidRPr="000549B1" w:rsidRDefault="00000000">
      <w:pPr>
        <w:spacing w:line="360" w:lineRule="auto"/>
        <w:ind w:firstLine="482"/>
        <w:rPr>
          <w:bCs/>
          <w:sz w:val="24"/>
        </w:rPr>
      </w:pPr>
      <w:r w:rsidRPr="000549B1">
        <w:rPr>
          <w:bCs/>
          <w:sz w:val="24"/>
        </w:rPr>
        <w:t>根据《</w:t>
      </w:r>
      <w:r w:rsidRPr="000549B1">
        <w:rPr>
          <w:bCs/>
          <w:sz w:val="24"/>
        </w:rPr>
        <w:t>2023</w:t>
      </w:r>
      <w:r w:rsidRPr="000549B1">
        <w:rPr>
          <w:bCs/>
          <w:sz w:val="24"/>
        </w:rPr>
        <w:t>年青海省水资源公报》，</w:t>
      </w:r>
      <w:r w:rsidRPr="000549B1">
        <w:rPr>
          <w:bCs/>
          <w:sz w:val="24"/>
        </w:rPr>
        <w:t>2023</w:t>
      </w:r>
      <w:r w:rsidRPr="000549B1">
        <w:rPr>
          <w:bCs/>
          <w:sz w:val="24"/>
        </w:rPr>
        <w:t>年海南州总用水量</w:t>
      </w:r>
      <w:r w:rsidRPr="000549B1">
        <w:rPr>
          <w:bCs/>
          <w:sz w:val="24"/>
        </w:rPr>
        <w:t>2.61</w:t>
      </w:r>
      <w:r w:rsidRPr="000549B1">
        <w:rPr>
          <w:bCs/>
          <w:sz w:val="24"/>
        </w:rPr>
        <w:t>亿</w:t>
      </w:r>
      <w:r w:rsidRPr="000549B1">
        <w:rPr>
          <w:bCs/>
          <w:sz w:val="24"/>
        </w:rPr>
        <w:t>m</w:t>
      </w:r>
      <w:r w:rsidRPr="000549B1">
        <w:rPr>
          <w:bCs/>
          <w:sz w:val="24"/>
          <w:vertAlign w:val="superscript"/>
        </w:rPr>
        <w:t>3</w:t>
      </w:r>
      <w:r w:rsidRPr="000549B1">
        <w:rPr>
          <w:bCs/>
          <w:sz w:val="24"/>
        </w:rPr>
        <w:t>，其中农业用水</w:t>
      </w:r>
      <w:r w:rsidRPr="000549B1">
        <w:rPr>
          <w:bCs/>
          <w:sz w:val="24"/>
        </w:rPr>
        <w:t>2.3</w:t>
      </w:r>
      <w:r w:rsidRPr="000549B1">
        <w:rPr>
          <w:bCs/>
          <w:sz w:val="24"/>
        </w:rPr>
        <w:t>亿</w:t>
      </w:r>
      <w:r w:rsidRPr="000549B1">
        <w:rPr>
          <w:bCs/>
          <w:sz w:val="24"/>
        </w:rPr>
        <w:t>m</w:t>
      </w:r>
      <w:r w:rsidRPr="000549B1">
        <w:rPr>
          <w:bCs/>
          <w:sz w:val="24"/>
          <w:vertAlign w:val="superscript"/>
        </w:rPr>
        <w:t>3</w:t>
      </w:r>
      <w:r w:rsidRPr="000549B1">
        <w:rPr>
          <w:bCs/>
          <w:sz w:val="24"/>
        </w:rPr>
        <w:t>，工业用水</w:t>
      </w:r>
      <w:r w:rsidRPr="000549B1">
        <w:rPr>
          <w:bCs/>
          <w:sz w:val="24"/>
        </w:rPr>
        <w:t>0.05</w:t>
      </w:r>
      <w:r w:rsidRPr="000549B1">
        <w:rPr>
          <w:bCs/>
          <w:sz w:val="24"/>
        </w:rPr>
        <w:t>亿</w:t>
      </w:r>
      <w:r w:rsidRPr="000549B1">
        <w:rPr>
          <w:bCs/>
          <w:sz w:val="24"/>
        </w:rPr>
        <w:t>m</w:t>
      </w:r>
      <w:r w:rsidRPr="000549B1">
        <w:rPr>
          <w:bCs/>
          <w:sz w:val="24"/>
          <w:vertAlign w:val="superscript"/>
        </w:rPr>
        <w:t>3</w:t>
      </w:r>
      <w:r w:rsidRPr="000549B1">
        <w:rPr>
          <w:bCs/>
          <w:sz w:val="24"/>
        </w:rPr>
        <w:t>，生活用水</w:t>
      </w:r>
      <w:r w:rsidRPr="000549B1">
        <w:rPr>
          <w:bCs/>
          <w:sz w:val="24"/>
        </w:rPr>
        <w:t>0.16</w:t>
      </w:r>
      <w:r w:rsidRPr="000549B1">
        <w:rPr>
          <w:bCs/>
          <w:sz w:val="24"/>
        </w:rPr>
        <w:t>亿</w:t>
      </w:r>
      <w:r w:rsidRPr="000549B1">
        <w:rPr>
          <w:bCs/>
          <w:sz w:val="24"/>
        </w:rPr>
        <w:t>m</w:t>
      </w:r>
      <w:r w:rsidRPr="000549B1">
        <w:rPr>
          <w:bCs/>
          <w:sz w:val="24"/>
          <w:vertAlign w:val="superscript"/>
        </w:rPr>
        <w:t>3</w:t>
      </w:r>
      <w:r w:rsidRPr="000549B1">
        <w:rPr>
          <w:bCs/>
          <w:sz w:val="24"/>
        </w:rPr>
        <w:t>，生态环境用水</w:t>
      </w:r>
      <w:r w:rsidRPr="000549B1">
        <w:rPr>
          <w:bCs/>
          <w:sz w:val="24"/>
        </w:rPr>
        <w:t>0.10</w:t>
      </w:r>
      <w:r w:rsidRPr="000549B1">
        <w:rPr>
          <w:bCs/>
          <w:sz w:val="24"/>
        </w:rPr>
        <w:t>亿</w:t>
      </w:r>
      <w:r w:rsidRPr="000549B1">
        <w:rPr>
          <w:bCs/>
          <w:sz w:val="24"/>
        </w:rPr>
        <w:t>m</w:t>
      </w:r>
      <w:r w:rsidRPr="000549B1">
        <w:rPr>
          <w:bCs/>
          <w:sz w:val="24"/>
          <w:vertAlign w:val="superscript"/>
        </w:rPr>
        <w:t>3</w:t>
      </w:r>
      <w:r w:rsidRPr="000549B1">
        <w:rPr>
          <w:bCs/>
          <w:sz w:val="24"/>
        </w:rPr>
        <w:t>，未超出用水总量控制。</w:t>
      </w:r>
    </w:p>
    <w:p w14:paraId="087A54AB" w14:textId="0A590BA8" w:rsidR="00054437" w:rsidRPr="000549B1" w:rsidRDefault="00AF4186" w:rsidP="00AF4186">
      <w:pPr>
        <w:spacing w:line="360" w:lineRule="auto"/>
        <w:ind w:firstLine="482"/>
        <w:rPr>
          <w:bCs/>
          <w:sz w:val="24"/>
        </w:rPr>
      </w:pPr>
      <w:r w:rsidRPr="000549B1">
        <w:rPr>
          <w:bCs/>
          <w:sz w:val="24"/>
        </w:rPr>
        <w:t>2024</w:t>
      </w:r>
      <w:r w:rsidRPr="000549B1">
        <w:rPr>
          <w:rFonts w:hint="eastAsia"/>
          <w:bCs/>
          <w:sz w:val="24"/>
        </w:rPr>
        <w:t>年沙珠玉河流域总供水量</w:t>
      </w:r>
      <w:r w:rsidRPr="000549B1">
        <w:rPr>
          <w:bCs/>
          <w:sz w:val="24"/>
        </w:rPr>
        <w:t>6548</w:t>
      </w:r>
      <w:r w:rsidRPr="000549B1">
        <w:rPr>
          <w:rFonts w:hint="eastAsia"/>
          <w:bCs/>
          <w:sz w:val="24"/>
        </w:rPr>
        <w:t>万</w:t>
      </w:r>
      <w:r w:rsidRPr="000549B1">
        <w:rPr>
          <w:bCs/>
          <w:sz w:val="24"/>
        </w:rPr>
        <w:t>m</w:t>
      </w:r>
      <w:r w:rsidRPr="000549B1">
        <w:rPr>
          <w:bCs/>
          <w:sz w:val="24"/>
          <w:vertAlign w:val="superscript"/>
        </w:rPr>
        <w:t>3</w:t>
      </w:r>
      <w:r w:rsidRPr="000549B1">
        <w:rPr>
          <w:rFonts w:hint="eastAsia"/>
          <w:bCs/>
          <w:sz w:val="24"/>
        </w:rPr>
        <w:t>，规划水平年配置水量为</w:t>
      </w:r>
      <w:r w:rsidRPr="000549B1">
        <w:rPr>
          <w:bCs/>
          <w:sz w:val="24"/>
        </w:rPr>
        <w:t>16082</w:t>
      </w:r>
      <w:r w:rsidRPr="000549B1">
        <w:rPr>
          <w:rFonts w:hint="eastAsia"/>
          <w:bCs/>
          <w:sz w:val="24"/>
        </w:rPr>
        <w:t>万</w:t>
      </w:r>
      <w:r w:rsidRPr="000549B1">
        <w:rPr>
          <w:bCs/>
          <w:sz w:val="24"/>
        </w:rPr>
        <w:t>m</w:t>
      </w:r>
      <w:r w:rsidRPr="000549B1">
        <w:rPr>
          <w:bCs/>
          <w:sz w:val="24"/>
          <w:vertAlign w:val="superscript"/>
        </w:rPr>
        <w:t>3</w:t>
      </w:r>
      <w:r w:rsidRPr="000549B1">
        <w:rPr>
          <w:rFonts w:hint="eastAsia"/>
          <w:bCs/>
          <w:sz w:val="24"/>
        </w:rPr>
        <w:t>，新增用水量不超过海南州用水总量控制红线指标剩余水量</w:t>
      </w:r>
      <w:r w:rsidRPr="000549B1">
        <w:rPr>
          <w:bCs/>
          <w:sz w:val="24"/>
        </w:rPr>
        <w:t>。</w:t>
      </w:r>
    </w:p>
    <w:p w14:paraId="580EE396" w14:textId="77777777" w:rsidR="00054437" w:rsidRPr="000549B1" w:rsidRDefault="00000000">
      <w:pPr>
        <w:pStyle w:val="Z4"/>
        <w:rPr>
          <w:bCs w:val="0"/>
          <w:color w:val="auto"/>
        </w:rPr>
      </w:pPr>
      <w:r w:rsidRPr="000549B1">
        <w:rPr>
          <w:bCs w:val="0"/>
          <w:color w:val="auto"/>
        </w:rPr>
        <w:t>水资源开发利用程度的变化</w:t>
      </w:r>
    </w:p>
    <w:p w14:paraId="69349635" w14:textId="74A1BA36" w:rsidR="00AF4186" w:rsidRPr="000549B1" w:rsidRDefault="00AF4186" w:rsidP="00AF4186">
      <w:pPr>
        <w:spacing w:line="360" w:lineRule="auto"/>
        <w:ind w:firstLine="482"/>
        <w:rPr>
          <w:bCs/>
          <w:sz w:val="24"/>
        </w:rPr>
      </w:pPr>
      <w:r w:rsidRPr="000549B1">
        <w:rPr>
          <w:rFonts w:hint="eastAsia"/>
          <w:bCs/>
          <w:sz w:val="24"/>
        </w:rPr>
        <w:t>水资源开发利用程度通常以当地地表水开发利用率、地下水开采率和水资源综合开发利用率三个指标来衡量。沙珠玉河流域多年平均地表水河川径流量为</w:t>
      </w:r>
      <w:r w:rsidRPr="000549B1">
        <w:rPr>
          <w:bCs/>
          <w:sz w:val="24"/>
        </w:rPr>
        <w:t>13811</w:t>
      </w:r>
      <w:r w:rsidRPr="000549B1">
        <w:rPr>
          <w:rFonts w:hint="eastAsia"/>
          <w:bCs/>
          <w:sz w:val="24"/>
        </w:rPr>
        <w:t>万</w:t>
      </w:r>
      <w:r w:rsidRPr="000549B1">
        <w:rPr>
          <w:bCs/>
          <w:sz w:val="24"/>
        </w:rPr>
        <w:t>m</w:t>
      </w:r>
      <w:r w:rsidRPr="000549B1">
        <w:rPr>
          <w:bCs/>
          <w:sz w:val="24"/>
          <w:vertAlign w:val="superscript"/>
        </w:rPr>
        <w:t>3</w:t>
      </w:r>
      <w:r w:rsidRPr="000549B1">
        <w:rPr>
          <w:rFonts w:hint="eastAsia"/>
          <w:bCs/>
          <w:sz w:val="24"/>
        </w:rPr>
        <w:t>，扣除下泄生态水量及河道基流量，可利用量为</w:t>
      </w:r>
      <w:r w:rsidRPr="000549B1">
        <w:rPr>
          <w:bCs/>
          <w:sz w:val="24"/>
        </w:rPr>
        <w:t>11049</w:t>
      </w:r>
      <w:r w:rsidRPr="000549B1">
        <w:rPr>
          <w:rFonts w:hint="eastAsia"/>
          <w:bCs/>
          <w:sz w:val="24"/>
        </w:rPr>
        <w:t>万</w:t>
      </w:r>
      <w:r w:rsidRPr="000549B1">
        <w:rPr>
          <w:bCs/>
          <w:sz w:val="24"/>
        </w:rPr>
        <w:t>m</w:t>
      </w:r>
      <w:r w:rsidRPr="000549B1">
        <w:rPr>
          <w:bCs/>
          <w:sz w:val="24"/>
          <w:vertAlign w:val="superscript"/>
        </w:rPr>
        <w:t>3</w:t>
      </w:r>
      <w:r w:rsidRPr="000549B1">
        <w:rPr>
          <w:rFonts w:hint="eastAsia"/>
          <w:bCs/>
          <w:sz w:val="24"/>
        </w:rPr>
        <w:t>，沙珠玉河流域</w:t>
      </w:r>
      <w:r w:rsidRPr="000549B1">
        <w:rPr>
          <w:bCs/>
          <w:sz w:val="24"/>
        </w:rPr>
        <w:t>2024</w:t>
      </w:r>
      <w:r w:rsidRPr="000549B1">
        <w:rPr>
          <w:rFonts w:hint="eastAsia"/>
          <w:bCs/>
          <w:sz w:val="24"/>
        </w:rPr>
        <w:t>年地表水实际供水量</w:t>
      </w:r>
      <w:r w:rsidRPr="000549B1">
        <w:rPr>
          <w:bCs/>
          <w:sz w:val="24"/>
        </w:rPr>
        <w:t>6520</w:t>
      </w:r>
      <w:r w:rsidRPr="000549B1">
        <w:rPr>
          <w:rFonts w:hint="eastAsia"/>
          <w:bCs/>
          <w:sz w:val="24"/>
        </w:rPr>
        <w:t>万</w:t>
      </w:r>
      <w:r w:rsidRPr="000549B1">
        <w:rPr>
          <w:bCs/>
          <w:sz w:val="24"/>
        </w:rPr>
        <w:t>m</w:t>
      </w:r>
      <w:r w:rsidRPr="000549B1">
        <w:rPr>
          <w:bCs/>
          <w:sz w:val="24"/>
          <w:vertAlign w:val="superscript"/>
        </w:rPr>
        <w:t>3</w:t>
      </w:r>
      <w:r w:rsidRPr="000549B1">
        <w:rPr>
          <w:rFonts w:hint="eastAsia"/>
          <w:bCs/>
          <w:sz w:val="24"/>
        </w:rPr>
        <w:t>，按地表水河川径流量计算的地表水开发利用率为</w:t>
      </w:r>
      <w:r w:rsidRPr="000549B1">
        <w:rPr>
          <w:bCs/>
          <w:sz w:val="24"/>
        </w:rPr>
        <w:t>47%</w:t>
      </w:r>
      <w:r w:rsidRPr="000549B1">
        <w:rPr>
          <w:rFonts w:hint="eastAsia"/>
          <w:bCs/>
          <w:sz w:val="24"/>
        </w:rPr>
        <w:t>，按可利用量计算的地表水开发利用率为</w:t>
      </w:r>
      <w:r w:rsidRPr="000549B1">
        <w:rPr>
          <w:bCs/>
          <w:sz w:val="24"/>
        </w:rPr>
        <w:t>59%</w:t>
      </w:r>
      <w:r w:rsidRPr="000549B1">
        <w:rPr>
          <w:rFonts w:hint="eastAsia"/>
          <w:bCs/>
          <w:sz w:val="24"/>
        </w:rPr>
        <w:t>，地表水开发利用程度较高。</w:t>
      </w:r>
    </w:p>
    <w:p w14:paraId="32D0F783" w14:textId="6E66FF8A" w:rsidR="00054437" w:rsidRPr="000549B1" w:rsidRDefault="00AF4186" w:rsidP="00AF4186">
      <w:pPr>
        <w:spacing w:line="360" w:lineRule="auto"/>
        <w:ind w:firstLine="482"/>
        <w:rPr>
          <w:bCs/>
          <w:sz w:val="24"/>
        </w:rPr>
      </w:pPr>
      <w:r w:rsidRPr="000549B1">
        <w:rPr>
          <w:rFonts w:hint="eastAsia"/>
          <w:bCs/>
          <w:sz w:val="24"/>
        </w:rPr>
        <w:t>根据《海南州共和县水资源调查评价》《共和县地下水保护利用规划》等成果，沙珠玉河流域地下水可开采量及可利用量约为</w:t>
      </w:r>
      <w:r w:rsidRPr="000549B1">
        <w:rPr>
          <w:bCs/>
          <w:sz w:val="24"/>
        </w:rPr>
        <w:t>1300</w:t>
      </w:r>
      <w:r w:rsidRPr="000549B1">
        <w:rPr>
          <w:rFonts w:hint="eastAsia"/>
          <w:bCs/>
          <w:sz w:val="24"/>
        </w:rPr>
        <w:t>万</w:t>
      </w:r>
      <w:r w:rsidRPr="000549B1">
        <w:rPr>
          <w:bCs/>
          <w:sz w:val="24"/>
        </w:rPr>
        <w:t>m</w:t>
      </w:r>
      <w:r w:rsidRPr="000549B1">
        <w:rPr>
          <w:bCs/>
          <w:sz w:val="24"/>
          <w:vertAlign w:val="superscript"/>
        </w:rPr>
        <w:t>3</w:t>
      </w:r>
      <w:r w:rsidRPr="000549B1">
        <w:rPr>
          <w:rFonts w:hint="eastAsia"/>
          <w:bCs/>
          <w:sz w:val="24"/>
        </w:rPr>
        <w:t>，</w:t>
      </w:r>
      <w:r w:rsidRPr="000549B1">
        <w:rPr>
          <w:bCs/>
          <w:sz w:val="24"/>
        </w:rPr>
        <w:t>2024</w:t>
      </w:r>
      <w:r w:rsidRPr="000549B1">
        <w:rPr>
          <w:rFonts w:hint="eastAsia"/>
          <w:bCs/>
          <w:sz w:val="24"/>
        </w:rPr>
        <w:t>年地下水实际开采量为</w:t>
      </w:r>
      <w:r w:rsidRPr="000549B1">
        <w:rPr>
          <w:bCs/>
          <w:sz w:val="24"/>
        </w:rPr>
        <w:t>753</w:t>
      </w:r>
      <w:r w:rsidRPr="000549B1">
        <w:rPr>
          <w:rFonts w:hint="eastAsia"/>
          <w:bCs/>
          <w:sz w:val="24"/>
        </w:rPr>
        <w:t>万</w:t>
      </w:r>
      <w:r w:rsidRPr="000549B1">
        <w:rPr>
          <w:bCs/>
          <w:sz w:val="24"/>
        </w:rPr>
        <w:t>m</w:t>
      </w:r>
      <w:r w:rsidRPr="000549B1">
        <w:rPr>
          <w:bCs/>
          <w:sz w:val="24"/>
          <w:vertAlign w:val="superscript"/>
        </w:rPr>
        <w:t>3</w:t>
      </w:r>
      <w:r w:rsidRPr="000549B1">
        <w:rPr>
          <w:rFonts w:hint="eastAsia"/>
          <w:bCs/>
          <w:sz w:val="24"/>
        </w:rPr>
        <w:t>（含向流域外共和县城供水量</w:t>
      </w:r>
      <w:r w:rsidRPr="000549B1">
        <w:rPr>
          <w:bCs/>
          <w:sz w:val="24"/>
        </w:rPr>
        <w:t>725</w:t>
      </w:r>
      <w:r w:rsidRPr="000549B1">
        <w:rPr>
          <w:rFonts w:hint="eastAsia"/>
          <w:bCs/>
          <w:sz w:val="24"/>
        </w:rPr>
        <w:t>万</w:t>
      </w:r>
      <w:r w:rsidRPr="000549B1">
        <w:rPr>
          <w:bCs/>
          <w:sz w:val="24"/>
        </w:rPr>
        <w:t>m</w:t>
      </w:r>
      <w:r w:rsidRPr="000549B1">
        <w:rPr>
          <w:bCs/>
          <w:sz w:val="24"/>
          <w:vertAlign w:val="superscript"/>
        </w:rPr>
        <w:t>3</w:t>
      </w:r>
      <w:r w:rsidRPr="000549B1">
        <w:rPr>
          <w:rFonts w:hint="eastAsia"/>
          <w:bCs/>
          <w:sz w:val="24"/>
        </w:rPr>
        <w:t>），地下水开采率为</w:t>
      </w:r>
      <w:r w:rsidRPr="000549B1">
        <w:rPr>
          <w:bCs/>
          <w:sz w:val="24"/>
        </w:rPr>
        <w:t>58%</w:t>
      </w:r>
      <w:r w:rsidRPr="000549B1">
        <w:rPr>
          <w:rFonts w:hint="eastAsia"/>
          <w:bCs/>
          <w:sz w:val="24"/>
        </w:rPr>
        <w:t>。</w:t>
      </w:r>
    </w:p>
    <w:p w14:paraId="15B41A09" w14:textId="77777777" w:rsidR="00054437" w:rsidRPr="000549B1" w:rsidRDefault="00000000">
      <w:pPr>
        <w:spacing w:line="360" w:lineRule="auto"/>
        <w:ind w:firstLine="482"/>
        <w:rPr>
          <w:bCs/>
          <w:sz w:val="24"/>
        </w:rPr>
      </w:pPr>
      <w:r w:rsidRPr="000549B1">
        <w:rPr>
          <w:bCs/>
          <w:sz w:val="24"/>
        </w:rPr>
        <w:t>规划实施后，沙珠玉河流域地表水开发率（包括流域外供水）、水资源总量开发利用率（包括流域外供水）将有所提高，流域整体水资源开发利用程度偏高。</w:t>
      </w:r>
    </w:p>
    <w:p w14:paraId="39577CA6" w14:textId="77777777" w:rsidR="00054437" w:rsidRPr="000549B1" w:rsidRDefault="00000000">
      <w:pPr>
        <w:pStyle w:val="Z4"/>
        <w:rPr>
          <w:color w:val="auto"/>
        </w:rPr>
      </w:pPr>
      <w:r w:rsidRPr="000549B1">
        <w:rPr>
          <w:color w:val="auto"/>
        </w:rPr>
        <w:t>水资源配置格局的变化</w:t>
      </w:r>
    </w:p>
    <w:p w14:paraId="455CDF6F" w14:textId="1DF50983" w:rsidR="00AF4186" w:rsidRPr="000549B1" w:rsidRDefault="00AF4186" w:rsidP="00AF4186">
      <w:pPr>
        <w:adjustRightInd w:val="0"/>
        <w:spacing w:line="360" w:lineRule="auto"/>
        <w:ind w:firstLineChars="200" w:firstLine="480"/>
        <w:rPr>
          <w:bCs/>
          <w:sz w:val="24"/>
          <w:szCs w:val="24"/>
        </w:rPr>
      </w:pPr>
      <w:r w:rsidRPr="000549B1">
        <w:rPr>
          <w:bCs/>
          <w:sz w:val="24"/>
          <w:szCs w:val="24"/>
        </w:rPr>
        <w:t>2024</w:t>
      </w:r>
      <w:r w:rsidRPr="000549B1">
        <w:rPr>
          <w:rFonts w:hint="eastAsia"/>
          <w:bCs/>
          <w:sz w:val="24"/>
          <w:szCs w:val="24"/>
        </w:rPr>
        <w:t>年沙珠玉河流域国民经济总用水量</w:t>
      </w:r>
      <w:r w:rsidRPr="000549B1">
        <w:rPr>
          <w:bCs/>
          <w:sz w:val="24"/>
          <w:szCs w:val="24"/>
        </w:rPr>
        <w:t>6548.3</w:t>
      </w:r>
      <w:r w:rsidRPr="000549B1">
        <w:rPr>
          <w:rFonts w:hint="eastAsia"/>
          <w:bCs/>
          <w:sz w:val="24"/>
          <w:szCs w:val="24"/>
        </w:rPr>
        <w:t>万</w:t>
      </w:r>
      <w:r w:rsidRPr="000549B1">
        <w:rPr>
          <w:bCs/>
          <w:sz w:val="24"/>
          <w:szCs w:val="24"/>
        </w:rPr>
        <w:t>m</w:t>
      </w:r>
      <w:r w:rsidRPr="000549B1">
        <w:rPr>
          <w:bCs/>
          <w:sz w:val="24"/>
          <w:szCs w:val="24"/>
          <w:vertAlign w:val="superscript"/>
        </w:rPr>
        <w:t>3</w:t>
      </w:r>
      <w:r w:rsidRPr="000549B1">
        <w:rPr>
          <w:rFonts w:hint="eastAsia"/>
          <w:bCs/>
          <w:sz w:val="24"/>
          <w:szCs w:val="24"/>
        </w:rPr>
        <w:t>，其中农业灌溉用水量</w:t>
      </w:r>
      <w:r w:rsidRPr="000549B1">
        <w:rPr>
          <w:bCs/>
          <w:sz w:val="24"/>
          <w:szCs w:val="24"/>
        </w:rPr>
        <w:t>6046.3</w:t>
      </w:r>
      <w:r w:rsidRPr="000549B1">
        <w:rPr>
          <w:rFonts w:hint="eastAsia"/>
          <w:bCs/>
          <w:sz w:val="24"/>
          <w:szCs w:val="24"/>
        </w:rPr>
        <w:t>万</w:t>
      </w:r>
      <w:r w:rsidRPr="000549B1">
        <w:rPr>
          <w:bCs/>
          <w:sz w:val="24"/>
          <w:szCs w:val="24"/>
        </w:rPr>
        <w:t>m</w:t>
      </w:r>
      <w:r w:rsidRPr="000549B1">
        <w:rPr>
          <w:bCs/>
          <w:sz w:val="24"/>
          <w:szCs w:val="24"/>
          <w:vertAlign w:val="superscript"/>
        </w:rPr>
        <w:t>3</w:t>
      </w:r>
      <w:r w:rsidRPr="000549B1">
        <w:rPr>
          <w:rFonts w:hint="eastAsia"/>
          <w:bCs/>
          <w:sz w:val="24"/>
          <w:szCs w:val="24"/>
        </w:rPr>
        <w:t>，占总用水量的</w:t>
      </w:r>
      <w:r w:rsidRPr="000549B1">
        <w:rPr>
          <w:bCs/>
          <w:sz w:val="24"/>
          <w:szCs w:val="24"/>
        </w:rPr>
        <w:t>92.3%</w:t>
      </w:r>
      <w:r w:rsidRPr="000549B1">
        <w:rPr>
          <w:rFonts w:hint="eastAsia"/>
          <w:bCs/>
          <w:sz w:val="24"/>
          <w:szCs w:val="24"/>
        </w:rPr>
        <w:t>，为第一用水大户；牲畜用水量</w:t>
      </w:r>
      <w:r w:rsidRPr="000549B1">
        <w:rPr>
          <w:bCs/>
          <w:sz w:val="24"/>
          <w:szCs w:val="24"/>
        </w:rPr>
        <w:t>371.2</w:t>
      </w:r>
      <w:r w:rsidRPr="000549B1">
        <w:rPr>
          <w:rFonts w:hint="eastAsia"/>
          <w:bCs/>
          <w:sz w:val="24"/>
          <w:szCs w:val="24"/>
        </w:rPr>
        <w:t>万</w:t>
      </w:r>
      <w:r w:rsidRPr="000549B1">
        <w:rPr>
          <w:bCs/>
          <w:sz w:val="24"/>
          <w:szCs w:val="24"/>
        </w:rPr>
        <w:t>m</w:t>
      </w:r>
      <w:r w:rsidRPr="000549B1">
        <w:rPr>
          <w:bCs/>
          <w:sz w:val="24"/>
          <w:szCs w:val="24"/>
          <w:vertAlign w:val="superscript"/>
        </w:rPr>
        <w:t>3</w:t>
      </w:r>
      <w:r w:rsidRPr="000549B1">
        <w:rPr>
          <w:rFonts w:hint="eastAsia"/>
          <w:bCs/>
          <w:sz w:val="24"/>
          <w:szCs w:val="24"/>
        </w:rPr>
        <w:t>，占总用水量的</w:t>
      </w:r>
      <w:r w:rsidRPr="000549B1">
        <w:rPr>
          <w:bCs/>
          <w:sz w:val="24"/>
          <w:szCs w:val="24"/>
        </w:rPr>
        <w:t>5.7%</w:t>
      </w:r>
      <w:r w:rsidRPr="000549B1">
        <w:rPr>
          <w:rFonts w:hint="eastAsia"/>
          <w:bCs/>
          <w:sz w:val="24"/>
          <w:szCs w:val="24"/>
        </w:rPr>
        <w:t>；居民生活用水量</w:t>
      </w:r>
      <w:r w:rsidRPr="000549B1">
        <w:rPr>
          <w:bCs/>
          <w:sz w:val="24"/>
          <w:szCs w:val="24"/>
        </w:rPr>
        <w:t>87.5</w:t>
      </w:r>
      <w:r w:rsidRPr="000549B1">
        <w:rPr>
          <w:rFonts w:hint="eastAsia"/>
          <w:bCs/>
          <w:sz w:val="24"/>
          <w:szCs w:val="24"/>
        </w:rPr>
        <w:t>万</w:t>
      </w:r>
      <w:r w:rsidRPr="000549B1">
        <w:rPr>
          <w:bCs/>
          <w:sz w:val="24"/>
          <w:szCs w:val="24"/>
        </w:rPr>
        <w:t>m</w:t>
      </w:r>
      <w:r w:rsidRPr="000549B1">
        <w:rPr>
          <w:bCs/>
          <w:sz w:val="24"/>
          <w:szCs w:val="24"/>
          <w:vertAlign w:val="superscript"/>
        </w:rPr>
        <w:t>3</w:t>
      </w:r>
      <w:r w:rsidRPr="000549B1">
        <w:rPr>
          <w:rFonts w:hint="eastAsia"/>
          <w:bCs/>
          <w:sz w:val="24"/>
          <w:szCs w:val="24"/>
        </w:rPr>
        <w:t>，占总用水量的</w:t>
      </w:r>
      <w:r w:rsidRPr="000549B1">
        <w:rPr>
          <w:bCs/>
          <w:sz w:val="24"/>
          <w:szCs w:val="24"/>
        </w:rPr>
        <w:t>1.3%</w:t>
      </w:r>
      <w:r w:rsidRPr="000549B1">
        <w:rPr>
          <w:rFonts w:hint="eastAsia"/>
          <w:bCs/>
          <w:sz w:val="24"/>
          <w:szCs w:val="24"/>
        </w:rPr>
        <w:t>；工业、建筑业及第三产业用水量</w:t>
      </w:r>
      <w:r w:rsidRPr="000549B1">
        <w:rPr>
          <w:bCs/>
          <w:sz w:val="24"/>
          <w:szCs w:val="24"/>
        </w:rPr>
        <w:t>43.3</w:t>
      </w:r>
      <w:r w:rsidRPr="000549B1">
        <w:rPr>
          <w:rFonts w:hint="eastAsia"/>
          <w:bCs/>
          <w:sz w:val="24"/>
          <w:szCs w:val="24"/>
        </w:rPr>
        <w:t>万</w:t>
      </w:r>
      <w:r w:rsidRPr="000549B1">
        <w:rPr>
          <w:bCs/>
          <w:sz w:val="24"/>
          <w:szCs w:val="24"/>
        </w:rPr>
        <w:t>m</w:t>
      </w:r>
      <w:r w:rsidRPr="000549B1">
        <w:rPr>
          <w:bCs/>
          <w:sz w:val="24"/>
          <w:szCs w:val="24"/>
          <w:vertAlign w:val="superscript"/>
        </w:rPr>
        <w:t>3</w:t>
      </w:r>
      <w:r w:rsidRPr="000549B1">
        <w:rPr>
          <w:rFonts w:hint="eastAsia"/>
          <w:bCs/>
          <w:sz w:val="24"/>
          <w:szCs w:val="24"/>
        </w:rPr>
        <w:t>，占总用水量的</w:t>
      </w:r>
      <w:r w:rsidRPr="000549B1">
        <w:rPr>
          <w:bCs/>
          <w:sz w:val="24"/>
          <w:szCs w:val="24"/>
        </w:rPr>
        <w:t>0.6%</w:t>
      </w:r>
      <w:r w:rsidRPr="000549B1">
        <w:rPr>
          <w:rFonts w:hint="eastAsia"/>
          <w:bCs/>
          <w:sz w:val="24"/>
          <w:szCs w:val="24"/>
        </w:rPr>
        <w:t>。</w:t>
      </w:r>
    </w:p>
    <w:p w14:paraId="6846FE13" w14:textId="77777777" w:rsidR="00AF4186" w:rsidRPr="000549B1" w:rsidRDefault="00AF4186" w:rsidP="000549B1">
      <w:pPr>
        <w:adjustRightInd w:val="0"/>
        <w:spacing w:line="360" w:lineRule="auto"/>
        <w:ind w:firstLineChars="200" w:firstLine="480"/>
        <w:rPr>
          <w:bCs/>
          <w:sz w:val="24"/>
        </w:rPr>
      </w:pPr>
      <w:r w:rsidRPr="000549B1">
        <w:rPr>
          <w:rFonts w:hint="eastAsia"/>
          <w:bCs/>
          <w:sz w:val="24"/>
        </w:rPr>
        <w:t>根据规划的水资源配置方案，</w:t>
      </w:r>
      <w:r w:rsidRPr="000549B1">
        <w:rPr>
          <w:rFonts w:hint="eastAsia"/>
          <w:bCs/>
          <w:sz w:val="24"/>
          <w:szCs w:val="28"/>
        </w:rPr>
        <w:t>基准年水平沙珠玉河流域国民经济需水量</w:t>
      </w:r>
      <w:r w:rsidRPr="000549B1">
        <w:rPr>
          <w:bCs/>
          <w:sz w:val="24"/>
          <w:szCs w:val="28"/>
        </w:rPr>
        <w:t>16981</w:t>
      </w:r>
      <w:r w:rsidRPr="000549B1">
        <w:rPr>
          <w:rFonts w:hint="eastAsia"/>
          <w:bCs/>
          <w:sz w:val="24"/>
          <w:szCs w:val="28"/>
        </w:rPr>
        <w:t>万</w:t>
      </w:r>
      <w:r w:rsidRPr="000549B1">
        <w:rPr>
          <w:bCs/>
          <w:sz w:val="24"/>
          <w:szCs w:val="28"/>
        </w:rPr>
        <w:t>m</w:t>
      </w:r>
      <w:r w:rsidRPr="000549B1">
        <w:rPr>
          <w:bCs/>
          <w:sz w:val="24"/>
          <w:szCs w:val="28"/>
          <w:vertAlign w:val="superscript"/>
        </w:rPr>
        <w:t>3</w:t>
      </w:r>
      <w:r w:rsidRPr="000549B1">
        <w:rPr>
          <w:rFonts w:hint="eastAsia"/>
          <w:bCs/>
          <w:sz w:val="24"/>
          <w:szCs w:val="28"/>
        </w:rPr>
        <w:t>，其中居民生活需水量</w:t>
      </w:r>
      <w:r w:rsidRPr="000549B1">
        <w:rPr>
          <w:bCs/>
          <w:sz w:val="24"/>
          <w:szCs w:val="28"/>
        </w:rPr>
        <w:t>88</w:t>
      </w:r>
      <w:r w:rsidRPr="000549B1">
        <w:rPr>
          <w:rFonts w:hint="eastAsia"/>
          <w:bCs/>
          <w:sz w:val="24"/>
          <w:szCs w:val="28"/>
        </w:rPr>
        <w:t>万</w:t>
      </w:r>
      <w:r w:rsidRPr="000549B1">
        <w:rPr>
          <w:bCs/>
          <w:sz w:val="24"/>
          <w:szCs w:val="28"/>
        </w:rPr>
        <w:t>m</w:t>
      </w:r>
      <w:r w:rsidRPr="000549B1">
        <w:rPr>
          <w:bCs/>
          <w:sz w:val="24"/>
          <w:szCs w:val="28"/>
          <w:vertAlign w:val="superscript"/>
        </w:rPr>
        <w:t>3</w:t>
      </w:r>
      <w:r w:rsidRPr="000549B1">
        <w:rPr>
          <w:rFonts w:hint="eastAsia"/>
          <w:bCs/>
          <w:sz w:val="24"/>
          <w:szCs w:val="28"/>
        </w:rPr>
        <w:t>，农业灌溉需水量</w:t>
      </w:r>
      <w:r w:rsidRPr="000549B1">
        <w:rPr>
          <w:bCs/>
          <w:sz w:val="24"/>
          <w:szCs w:val="28"/>
        </w:rPr>
        <w:t>16479</w:t>
      </w:r>
      <w:r w:rsidRPr="000549B1">
        <w:rPr>
          <w:rFonts w:hint="eastAsia"/>
          <w:bCs/>
          <w:sz w:val="24"/>
          <w:szCs w:val="28"/>
        </w:rPr>
        <w:t>万</w:t>
      </w:r>
      <w:r w:rsidRPr="000549B1">
        <w:rPr>
          <w:bCs/>
          <w:sz w:val="24"/>
          <w:szCs w:val="28"/>
        </w:rPr>
        <w:t>m</w:t>
      </w:r>
      <w:r w:rsidRPr="000549B1">
        <w:rPr>
          <w:bCs/>
          <w:sz w:val="24"/>
          <w:szCs w:val="28"/>
          <w:vertAlign w:val="superscript"/>
        </w:rPr>
        <w:t>3</w:t>
      </w:r>
      <w:r w:rsidRPr="000549B1">
        <w:rPr>
          <w:rFonts w:hint="eastAsia"/>
          <w:bCs/>
          <w:sz w:val="24"/>
          <w:szCs w:val="28"/>
        </w:rPr>
        <w:t>，牲畜需水量</w:t>
      </w:r>
      <w:r w:rsidRPr="000549B1">
        <w:rPr>
          <w:bCs/>
          <w:sz w:val="24"/>
          <w:szCs w:val="28"/>
        </w:rPr>
        <w:t>371</w:t>
      </w:r>
      <w:r w:rsidRPr="000549B1">
        <w:rPr>
          <w:rFonts w:hint="eastAsia"/>
          <w:bCs/>
          <w:sz w:val="24"/>
          <w:szCs w:val="28"/>
        </w:rPr>
        <w:t>万</w:t>
      </w:r>
      <w:r w:rsidRPr="000549B1">
        <w:rPr>
          <w:bCs/>
          <w:sz w:val="24"/>
          <w:szCs w:val="28"/>
        </w:rPr>
        <w:t>m</w:t>
      </w:r>
      <w:r w:rsidRPr="000549B1">
        <w:rPr>
          <w:bCs/>
          <w:sz w:val="24"/>
          <w:szCs w:val="28"/>
          <w:vertAlign w:val="superscript"/>
        </w:rPr>
        <w:t>3</w:t>
      </w:r>
      <w:r w:rsidRPr="000549B1">
        <w:rPr>
          <w:rFonts w:hint="eastAsia"/>
          <w:bCs/>
          <w:sz w:val="24"/>
          <w:szCs w:val="28"/>
        </w:rPr>
        <w:t>，工业、建筑业及第三产业需水量</w:t>
      </w:r>
      <w:r w:rsidRPr="000549B1">
        <w:rPr>
          <w:bCs/>
          <w:sz w:val="24"/>
          <w:szCs w:val="28"/>
        </w:rPr>
        <w:t>43</w:t>
      </w:r>
      <w:r w:rsidRPr="000549B1">
        <w:rPr>
          <w:rFonts w:hint="eastAsia"/>
          <w:bCs/>
          <w:sz w:val="24"/>
          <w:szCs w:val="28"/>
        </w:rPr>
        <w:t>万</w:t>
      </w:r>
      <w:r w:rsidRPr="000549B1">
        <w:rPr>
          <w:bCs/>
          <w:sz w:val="24"/>
          <w:szCs w:val="28"/>
        </w:rPr>
        <w:t>m</w:t>
      </w:r>
      <w:r w:rsidRPr="000549B1">
        <w:rPr>
          <w:bCs/>
          <w:sz w:val="24"/>
          <w:szCs w:val="28"/>
          <w:vertAlign w:val="superscript"/>
        </w:rPr>
        <w:t>3</w:t>
      </w:r>
      <w:r w:rsidRPr="000549B1">
        <w:rPr>
          <w:rFonts w:hint="eastAsia"/>
          <w:bCs/>
          <w:sz w:val="24"/>
        </w:rPr>
        <w:t>；分别占总配置水量的</w:t>
      </w:r>
      <w:r w:rsidRPr="000549B1">
        <w:rPr>
          <w:bCs/>
          <w:sz w:val="24"/>
        </w:rPr>
        <w:t>0.52%</w:t>
      </w:r>
      <w:r w:rsidRPr="000549B1">
        <w:rPr>
          <w:rFonts w:hint="eastAsia"/>
          <w:bCs/>
          <w:sz w:val="24"/>
        </w:rPr>
        <w:t>、</w:t>
      </w:r>
      <w:r w:rsidRPr="000549B1">
        <w:rPr>
          <w:bCs/>
          <w:sz w:val="24"/>
        </w:rPr>
        <w:t>97.04%</w:t>
      </w:r>
      <w:r w:rsidRPr="000549B1">
        <w:rPr>
          <w:rFonts w:hint="eastAsia"/>
          <w:bCs/>
          <w:sz w:val="24"/>
        </w:rPr>
        <w:t>、</w:t>
      </w:r>
      <w:r w:rsidRPr="000549B1">
        <w:rPr>
          <w:bCs/>
          <w:sz w:val="24"/>
        </w:rPr>
        <w:t>2.18%</w:t>
      </w:r>
      <w:r w:rsidRPr="000549B1">
        <w:rPr>
          <w:rFonts w:hint="eastAsia"/>
          <w:bCs/>
          <w:sz w:val="24"/>
        </w:rPr>
        <w:t>和</w:t>
      </w:r>
      <w:r w:rsidRPr="000549B1">
        <w:rPr>
          <w:bCs/>
          <w:sz w:val="24"/>
        </w:rPr>
        <w:t>0.25%</w:t>
      </w:r>
      <w:r w:rsidRPr="000549B1">
        <w:rPr>
          <w:rFonts w:hint="eastAsia"/>
          <w:bCs/>
          <w:sz w:val="24"/>
        </w:rPr>
        <w:t>。</w:t>
      </w:r>
      <w:r w:rsidRPr="000549B1">
        <w:rPr>
          <w:bCs/>
          <w:sz w:val="24"/>
          <w:szCs w:val="28"/>
        </w:rPr>
        <w:t>2035</w:t>
      </w:r>
      <w:r w:rsidRPr="000549B1">
        <w:rPr>
          <w:rFonts w:hint="eastAsia"/>
          <w:bCs/>
          <w:sz w:val="24"/>
          <w:szCs w:val="28"/>
        </w:rPr>
        <w:t>年水平沙珠玉河流域国民经济需水量</w:t>
      </w:r>
      <w:r w:rsidRPr="000549B1">
        <w:rPr>
          <w:bCs/>
          <w:sz w:val="24"/>
          <w:szCs w:val="28"/>
        </w:rPr>
        <w:t>17076</w:t>
      </w:r>
      <w:r w:rsidRPr="000549B1">
        <w:rPr>
          <w:rFonts w:hint="eastAsia"/>
          <w:bCs/>
          <w:sz w:val="24"/>
          <w:szCs w:val="28"/>
        </w:rPr>
        <w:t>万</w:t>
      </w:r>
      <w:r w:rsidRPr="000549B1">
        <w:rPr>
          <w:bCs/>
          <w:sz w:val="24"/>
          <w:szCs w:val="28"/>
        </w:rPr>
        <w:t>m</w:t>
      </w:r>
      <w:r w:rsidRPr="000549B1">
        <w:rPr>
          <w:bCs/>
          <w:sz w:val="24"/>
          <w:szCs w:val="28"/>
          <w:vertAlign w:val="superscript"/>
        </w:rPr>
        <w:t>3</w:t>
      </w:r>
      <w:r w:rsidRPr="000549B1">
        <w:rPr>
          <w:rFonts w:hint="eastAsia"/>
          <w:bCs/>
          <w:sz w:val="24"/>
          <w:szCs w:val="28"/>
        </w:rPr>
        <w:t>，其中居民生活需水量</w:t>
      </w:r>
      <w:r w:rsidRPr="000549B1">
        <w:rPr>
          <w:bCs/>
          <w:sz w:val="24"/>
          <w:szCs w:val="28"/>
        </w:rPr>
        <w:t>97</w:t>
      </w:r>
      <w:r w:rsidRPr="000549B1">
        <w:rPr>
          <w:rFonts w:hint="eastAsia"/>
          <w:bCs/>
          <w:sz w:val="24"/>
          <w:szCs w:val="28"/>
        </w:rPr>
        <w:t>万</w:t>
      </w:r>
      <w:r w:rsidRPr="000549B1">
        <w:rPr>
          <w:bCs/>
          <w:sz w:val="24"/>
          <w:szCs w:val="28"/>
        </w:rPr>
        <w:t>m</w:t>
      </w:r>
      <w:r w:rsidRPr="000549B1">
        <w:rPr>
          <w:bCs/>
          <w:sz w:val="24"/>
          <w:szCs w:val="28"/>
          <w:vertAlign w:val="superscript"/>
        </w:rPr>
        <w:t>3</w:t>
      </w:r>
      <w:r w:rsidRPr="000549B1">
        <w:rPr>
          <w:rFonts w:hint="eastAsia"/>
          <w:bCs/>
          <w:sz w:val="24"/>
          <w:szCs w:val="28"/>
        </w:rPr>
        <w:t>，农业灌溉需水量</w:t>
      </w:r>
      <w:r w:rsidRPr="000549B1">
        <w:rPr>
          <w:bCs/>
          <w:sz w:val="24"/>
          <w:szCs w:val="28"/>
        </w:rPr>
        <w:t>16487</w:t>
      </w:r>
      <w:r w:rsidRPr="000549B1">
        <w:rPr>
          <w:rFonts w:hint="eastAsia"/>
          <w:bCs/>
          <w:sz w:val="24"/>
          <w:szCs w:val="28"/>
        </w:rPr>
        <w:t>万</w:t>
      </w:r>
      <w:r w:rsidRPr="000549B1">
        <w:rPr>
          <w:bCs/>
          <w:sz w:val="24"/>
          <w:szCs w:val="28"/>
        </w:rPr>
        <w:t>m</w:t>
      </w:r>
      <w:r w:rsidRPr="000549B1">
        <w:rPr>
          <w:bCs/>
          <w:sz w:val="24"/>
          <w:szCs w:val="28"/>
          <w:vertAlign w:val="superscript"/>
        </w:rPr>
        <w:t>3</w:t>
      </w:r>
      <w:r w:rsidRPr="000549B1">
        <w:rPr>
          <w:rFonts w:hint="eastAsia"/>
          <w:bCs/>
          <w:sz w:val="24"/>
          <w:szCs w:val="28"/>
        </w:rPr>
        <w:t>，牲畜需水量</w:t>
      </w:r>
      <w:r w:rsidRPr="000549B1">
        <w:rPr>
          <w:bCs/>
          <w:sz w:val="24"/>
          <w:szCs w:val="28"/>
        </w:rPr>
        <w:t>414</w:t>
      </w:r>
      <w:r w:rsidRPr="000549B1">
        <w:rPr>
          <w:rFonts w:hint="eastAsia"/>
          <w:bCs/>
          <w:sz w:val="24"/>
          <w:szCs w:val="28"/>
        </w:rPr>
        <w:t>万</w:t>
      </w:r>
      <w:r w:rsidRPr="000549B1">
        <w:rPr>
          <w:bCs/>
          <w:sz w:val="24"/>
          <w:szCs w:val="28"/>
        </w:rPr>
        <w:t>m</w:t>
      </w:r>
      <w:r w:rsidRPr="000549B1">
        <w:rPr>
          <w:bCs/>
          <w:sz w:val="24"/>
          <w:szCs w:val="28"/>
          <w:vertAlign w:val="superscript"/>
        </w:rPr>
        <w:t>3</w:t>
      </w:r>
      <w:r w:rsidRPr="000549B1">
        <w:rPr>
          <w:rFonts w:hint="eastAsia"/>
          <w:bCs/>
          <w:sz w:val="24"/>
          <w:szCs w:val="28"/>
        </w:rPr>
        <w:t>，工业、建筑业及第三产业需水量</w:t>
      </w:r>
      <w:r w:rsidRPr="000549B1">
        <w:rPr>
          <w:bCs/>
          <w:sz w:val="24"/>
          <w:szCs w:val="28"/>
        </w:rPr>
        <w:t>78</w:t>
      </w:r>
      <w:r w:rsidRPr="000549B1">
        <w:rPr>
          <w:rFonts w:hint="eastAsia"/>
          <w:bCs/>
          <w:sz w:val="24"/>
          <w:szCs w:val="28"/>
        </w:rPr>
        <w:t>万</w:t>
      </w:r>
      <w:r w:rsidRPr="000549B1">
        <w:rPr>
          <w:bCs/>
          <w:sz w:val="24"/>
          <w:szCs w:val="28"/>
        </w:rPr>
        <w:t>m</w:t>
      </w:r>
      <w:r w:rsidRPr="000549B1">
        <w:rPr>
          <w:bCs/>
          <w:sz w:val="24"/>
          <w:szCs w:val="28"/>
          <w:vertAlign w:val="superscript"/>
        </w:rPr>
        <w:t>3</w:t>
      </w:r>
      <w:r w:rsidRPr="000549B1">
        <w:rPr>
          <w:rFonts w:hint="eastAsia"/>
          <w:bCs/>
          <w:sz w:val="24"/>
        </w:rPr>
        <w:t>；分别占总配置水量的</w:t>
      </w:r>
      <w:r w:rsidRPr="000549B1">
        <w:rPr>
          <w:bCs/>
          <w:sz w:val="24"/>
        </w:rPr>
        <w:t>0.57%</w:t>
      </w:r>
      <w:r w:rsidRPr="000549B1">
        <w:rPr>
          <w:rFonts w:hint="eastAsia"/>
          <w:bCs/>
          <w:sz w:val="24"/>
        </w:rPr>
        <w:t>、</w:t>
      </w:r>
      <w:r w:rsidRPr="000549B1">
        <w:rPr>
          <w:bCs/>
          <w:sz w:val="24"/>
        </w:rPr>
        <w:t>96.55%</w:t>
      </w:r>
      <w:r w:rsidRPr="000549B1">
        <w:rPr>
          <w:rFonts w:hint="eastAsia"/>
          <w:bCs/>
          <w:sz w:val="24"/>
        </w:rPr>
        <w:t>、</w:t>
      </w:r>
      <w:r w:rsidRPr="000549B1">
        <w:rPr>
          <w:bCs/>
          <w:sz w:val="24"/>
        </w:rPr>
        <w:t>2.42%</w:t>
      </w:r>
      <w:r w:rsidRPr="000549B1">
        <w:rPr>
          <w:rFonts w:hint="eastAsia"/>
          <w:bCs/>
          <w:sz w:val="24"/>
        </w:rPr>
        <w:t>和</w:t>
      </w:r>
      <w:r w:rsidRPr="000549B1">
        <w:rPr>
          <w:bCs/>
          <w:sz w:val="24"/>
        </w:rPr>
        <w:t>0.46%</w:t>
      </w:r>
      <w:r w:rsidRPr="000549B1">
        <w:rPr>
          <w:rFonts w:hint="eastAsia"/>
          <w:bCs/>
          <w:sz w:val="24"/>
        </w:rPr>
        <w:t>。</w:t>
      </w:r>
    </w:p>
    <w:p w14:paraId="068E0DF3" w14:textId="77777777" w:rsidR="00AF4186" w:rsidRPr="000549B1" w:rsidRDefault="00AF4186" w:rsidP="000549B1">
      <w:pPr>
        <w:spacing w:line="360" w:lineRule="auto"/>
        <w:ind w:firstLineChars="200" w:firstLine="480"/>
        <w:rPr>
          <w:bCs/>
          <w:sz w:val="24"/>
        </w:rPr>
      </w:pPr>
      <w:r w:rsidRPr="000549B1">
        <w:rPr>
          <w:rFonts w:hint="eastAsia"/>
          <w:bCs/>
          <w:sz w:val="24"/>
        </w:rPr>
        <w:t>从国民经济各部门配置水量变化来看，未来</w:t>
      </w:r>
      <w:r w:rsidRPr="000549B1">
        <w:rPr>
          <w:bCs/>
          <w:sz w:val="24"/>
        </w:rPr>
        <w:t>10</w:t>
      </w:r>
      <w:r w:rsidRPr="000549B1">
        <w:rPr>
          <w:rFonts w:hint="eastAsia"/>
          <w:bCs/>
          <w:sz w:val="24"/>
        </w:rPr>
        <w:t>年沙珠玉河流域的用水结构中，农业灌溉用水量比重有所增加，居民生活、牲畜用水量比重下降，工业、建筑业及第三产业用水量比重基本不变。这与规划的引调水工程及配套的灌区工程增加有关。</w:t>
      </w:r>
    </w:p>
    <w:p w14:paraId="0A8CF32C" w14:textId="7AF7001D" w:rsidR="00054437" w:rsidRPr="000549B1" w:rsidRDefault="00000000">
      <w:pPr>
        <w:pStyle w:val="3"/>
      </w:pPr>
      <w:bookmarkStart w:id="363" w:name="_Toc216107044"/>
      <w:r w:rsidRPr="000549B1">
        <w:t>水文情</w:t>
      </w:r>
      <w:r w:rsidRPr="000549B1">
        <w:rPr>
          <w:rFonts w:hint="eastAsia"/>
        </w:rPr>
        <w:t>势</w:t>
      </w:r>
      <w:bookmarkEnd w:id="363"/>
    </w:p>
    <w:p w14:paraId="4725AFFE" w14:textId="77777777" w:rsidR="00AF4186" w:rsidRPr="000549B1" w:rsidRDefault="00AF4186" w:rsidP="00AF4186">
      <w:pPr>
        <w:spacing w:line="360" w:lineRule="auto"/>
        <w:ind w:firstLineChars="147" w:firstLine="353"/>
        <w:rPr>
          <w:bCs/>
          <w:sz w:val="24"/>
        </w:rPr>
      </w:pPr>
      <w:r w:rsidRPr="000549B1">
        <w:rPr>
          <w:bCs/>
          <w:sz w:val="24"/>
        </w:rPr>
        <w:t>规划的水资源配置方案实施后，</w:t>
      </w:r>
      <w:r w:rsidRPr="000549B1">
        <w:rPr>
          <w:bCs/>
          <w:sz w:val="24"/>
        </w:rPr>
        <w:t>2035</w:t>
      </w:r>
      <w:r w:rsidRPr="000549B1">
        <w:rPr>
          <w:bCs/>
          <w:sz w:val="24"/>
        </w:rPr>
        <w:t>年流域用水量、耗水量大幅增加，将导致沙珠玉河干支流主要断面径流量等水文情势的变化。</w:t>
      </w:r>
    </w:p>
    <w:p w14:paraId="0BDD72C7" w14:textId="77777777" w:rsidR="00AF4186" w:rsidRPr="000549B1" w:rsidRDefault="00AF4186" w:rsidP="00AF4186">
      <w:pPr>
        <w:numPr>
          <w:ilvl w:val="0"/>
          <w:numId w:val="7"/>
        </w:numPr>
        <w:spacing w:line="360" w:lineRule="auto"/>
        <w:ind w:firstLineChars="147" w:firstLine="353"/>
        <w:rPr>
          <w:bCs/>
          <w:sz w:val="24"/>
        </w:rPr>
      </w:pPr>
      <w:r w:rsidRPr="000549B1">
        <w:rPr>
          <w:bCs/>
          <w:sz w:val="24"/>
        </w:rPr>
        <w:t>重要断面下泄水量的变化</w:t>
      </w:r>
    </w:p>
    <w:p w14:paraId="4988E50E" w14:textId="2175EA6F" w:rsidR="00AF4186" w:rsidRPr="000549B1" w:rsidRDefault="00AF4186" w:rsidP="00AF4186">
      <w:pPr>
        <w:spacing w:line="360" w:lineRule="auto"/>
        <w:ind w:firstLineChars="200" w:firstLine="480"/>
        <w:contextualSpacing/>
        <w:rPr>
          <w:bCs/>
          <w:sz w:val="24"/>
          <w:szCs w:val="24"/>
        </w:rPr>
      </w:pPr>
      <w:r w:rsidRPr="000549B1">
        <w:rPr>
          <w:bCs/>
          <w:sz w:val="24"/>
          <w:szCs w:val="24"/>
        </w:rPr>
        <w:t>沙珠玉河流域干支流现状已建水库由于建设年代较早，大部分水库未留专门的生态水量泄水通道，考虑到未来对水生态环境保护要求的提高，本次规划进行水库可供水量分析计算时考虑预留坝下生态流量。</w:t>
      </w:r>
      <w:r w:rsidRPr="000549B1">
        <w:rPr>
          <w:rFonts w:hint="eastAsia"/>
          <w:bCs/>
          <w:sz w:val="24"/>
          <w:szCs w:val="24"/>
        </w:rPr>
        <w:t>根据各水库来水情况，已建水库全年生态流量按多年平均流量的</w:t>
      </w:r>
      <w:r w:rsidRPr="000549B1">
        <w:rPr>
          <w:bCs/>
          <w:sz w:val="24"/>
          <w:szCs w:val="24"/>
        </w:rPr>
        <w:t>20%</w:t>
      </w:r>
      <w:r w:rsidRPr="000549B1">
        <w:rPr>
          <w:rFonts w:hint="eastAsia"/>
          <w:bCs/>
          <w:sz w:val="24"/>
          <w:szCs w:val="24"/>
        </w:rPr>
        <w:t>考虑；新建水库大河坝水库工程非汛期、汛期生态流量按多年平均流量的</w:t>
      </w:r>
      <w:r w:rsidRPr="000549B1">
        <w:rPr>
          <w:bCs/>
          <w:sz w:val="24"/>
          <w:szCs w:val="24"/>
        </w:rPr>
        <w:t>10%</w:t>
      </w:r>
      <w:r w:rsidRPr="000549B1">
        <w:rPr>
          <w:rFonts w:hint="eastAsia"/>
          <w:bCs/>
          <w:sz w:val="24"/>
          <w:szCs w:val="24"/>
        </w:rPr>
        <w:t>、</w:t>
      </w:r>
      <w:r w:rsidRPr="000549B1">
        <w:rPr>
          <w:bCs/>
          <w:sz w:val="24"/>
          <w:szCs w:val="24"/>
        </w:rPr>
        <w:t>30%</w:t>
      </w:r>
      <w:r w:rsidRPr="000549B1">
        <w:rPr>
          <w:rFonts w:hint="eastAsia"/>
          <w:bCs/>
          <w:sz w:val="24"/>
          <w:szCs w:val="24"/>
        </w:rPr>
        <w:t>下泄。引</w:t>
      </w:r>
      <w:r w:rsidRPr="000549B1">
        <w:rPr>
          <w:bCs/>
          <w:sz w:val="24"/>
          <w:szCs w:val="24"/>
        </w:rPr>
        <w:t>水工程断面优先保障生态基流，当工程引水断面来水量小于生态基流，按来水量下放，不再进行河道外供水。</w:t>
      </w:r>
    </w:p>
    <w:p w14:paraId="23C81CBC" w14:textId="77777777" w:rsidR="00AF4186" w:rsidRPr="000549B1" w:rsidRDefault="00AF4186" w:rsidP="00AF4186">
      <w:pPr>
        <w:spacing w:line="360" w:lineRule="auto"/>
        <w:ind w:firstLineChars="147" w:firstLine="353"/>
        <w:rPr>
          <w:bCs/>
          <w:sz w:val="24"/>
        </w:rPr>
      </w:pPr>
      <w:r w:rsidRPr="000549B1">
        <w:rPr>
          <w:bCs/>
          <w:sz w:val="24"/>
        </w:rPr>
        <w:t>与基准年相比，规划实施后，沙珠玉河各水库工程断面下泄水量得以保障，水库下游河段减脱水状况得以缓解，流量、水位有所恢复。</w:t>
      </w:r>
    </w:p>
    <w:p w14:paraId="4F03192F" w14:textId="77777777" w:rsidR="00AF4186" w:rsidRPr="000549B1" w:rsidRDefault="00AF4186" w:rsidP="00AF4186">
      <w:pPr>
        <w:spacing w:line="360" w:lineRule="auto"/>
        <w:ind w:firstLineChars="147" w:firstLine="353"/>
        <w:rPr>
          <w:bCs/>
          <w:sz w:val="24"/>
        </w:rPr>
      </w:pPr>
      <w:r w:rsidRPr="000549B1">
        <w:rPr>
          <w:rFonts w:hint="eastAsia"/>
          <w:bCs/>
          <w:sz w:val="24"/>
        </w:rPr>
        <w:t>（</w:t>
      </w:r>
      <w:r w:rsidRPr="000549B1">
        <w:rPr>
          <w:bCs/>
          <w:sz w:val="24"/>
        </w:rPr>
        <w:t>2</w:t>
      </w:r>
      <w:r w:rsidRPr="000549B1">
        <w:rPr>
          <w:rFonts w:hint="eastAsia"/>
          <w:bCs/>
          <w:sz w:val="24"/>
        </w:rPr>
        <w:t>）重点水资源配置工程对水文情势的影响</w:t>
      </w:r>
    </w:p>
    <w:p w14:paraId="44EA0574" w14:textId="0AC037BC" w:rsidR="00AF4186" w:rsidRPr="000549B1" w:rsidRDefault="00AF4186" w:rsidP="000549B1">
      <w:pPr>
        <w:spacing w:line="360" w:lineRule="auto"/>
        <w:ind w:firstLineChars="200" w:firstLine="480"/>
        <w:rPr>
          <w:bCs/>
          <w:sz w:val="24"/>
          <w:szCs w:val="24"/>
        </w:rPr>
      </w:pPr>
      <w:r w:rsidRPr="000549B1">
        <w:rPr>
          <w:rFonts w:hint="eastAsia"/>
          <w:bCs/>
          <w:snapToGrid w:val="0"/>
          <w:sz w:val="24"/>
        </w:rPr>
        <w:t>沙珠玉河流域水资源配置工程包括蓄水工程、引水工程、调水工程。</w:t>
      </w:r>
      <w:r w:rsidRPr="000549B1">
        <w:rPr>
          <w:rFonts w:hint="eastAsia"/>
          <w:bCs/>
          <w:sz w:val="24"/>
          <w:szCs w:val="24"/>
        </w:rPr>
        <w:t>本次规划的重点水资源配置工程为三滩引水生态综合治理一期工程。三滩引水生态治理一期工程自大河坝河引水，通过输水洞将大河坝河水量引入切吉河上游，切吉河水库及坝下年径流量将发生变化，年内流量过程也将发生一定改变。</w:t>
      </w:r>
    </w:p>
    <w:p w14:paraId="60E003C3" w14:textId="77777777" w:rsidR="00AF4186" w:rsidRPr="000549B1" w:rsidRDefault="00AF4186" w:rsidP="000549B1">
      <w:pPr>
        <w:numPr>
          <w:ilvl w:val="0"/>
          <w:numId w:val="23"/>
        </w:numPr>
        <w:spacing w:line="360" w:lineRule="auto"/>
        <w:ind w:firstLine="482"/>
        <w:rPr>
          <w:bCs/>
          <w:sz w:val="24"/>
          <w:szCs w:val="24"/>
        </w:rPr>
      </w:pPr>
      <w:r w:rsidRPr="000549B1">
        <w:rPr>
          <w:rFonts w:hint="eastAsia"/>
          <w:bCs/>
          <w:sz w:val="24"/>
          <w:szCs w:val="24"/>
        </w:rPr>
        <w:t>大河坝水库（干流）单库供水方案</w:t>
      </w:r>
    </w:p>
    <w:p w14:paraId="0CFD3AC4" w14:textId="77777777" w:rsidR="00AF4186" w:rsidRPr="000549B1" w:rsidRDefault="00AF4186" w:rsidP="000549B1">
      <w:pPr>
        <w:spacing w:line="360" w:lineRule="auto"/>
        <w:ind w:firstLine="482"/>
        <w:rPr>
          <w:bCs/>
          <w:sz w:val="24"/>
          <w:szCs w:val="24"/>
        </w:rPr>
      </w:pPr>
      <w:r w:rsidRPr="000549B1">
        <w:rPr>
          <w:rFonts w:hint="eastAsia"/>
          <w:bCs/>
          <w:sz w:val="24"/>
          <w:szCs w:val="24"/>
        </w:rPr>
        <w:t>该方案在水塔拉河与青根河汇合口下游直线距离约</w:t>
      </w:r>
      <w:r w:rsidRPr="000549B1">
        <w:rPr>
          <w:bCs/>
          <w:sz w:val="24"/>
          <w:szCs w:val="24"/>
        </w:rPr>
        <w:t>4km</w:t>
      </w:r>
      <w:r w:rsidRPr="000549B1">
        <w:rPr>
          <w:rFonts w:hint="eastAsia"/>
          <w:bCs/>
          <w:sz w:val="24"/>
          <w:szCs w:val="24"/>
        </w:rPr>
        <w:t>处的大河坝河上修建大河坝水库，通过大河坝水库左岸的输水洞输水穿越河卡山入切吉河上游，而后注入切吉水库，通过切吉水库左岸修建供水工程取水口向项目受水区供水。大河坝河坝址处控制流域面积</w:t>
      </w:r>
      <w:r w:rsidRPr="000549B1">
        <w:rPr>
          <w:bCs/>
          <w:sz w:val="24"/>
          <w:szCs w:val="24"/>
        </w:rPr>
        <w:t>2337km</w:t>
      </w:r>
      <w:r w:rsidRPr="000549B1">
        <w:rPr>
          <w:bCs/>
          <w:sz w:val="24"/>
          <w:szCs w:val="24"/>
          <w:vertAlign w:val="superscript"/>
        </w:rPr>
        <w:t>2</w:t>
      </w:r>
      <w:r w:rsidRPr="000549B1">
        <w:rPr>
          <w:rFonts w:hint="eastAsia"/>
          <w:bCs/>
          <w:sz w:val="24"/>
          <w:szCs w:val="24"/>
        </w:rPr>
        <w:t>，河底高程</w:t>
      </w:r>
      <w:r w:rsidRPr="000549B1">
        <w:rPr>
          <w:bCs/>
          <w:sz w:val="24"/>
          <w:szCs w:val="24"/>
        </w:rPr>
        <w:t>3574m</w:t>
      </w:r>
      <w:r w:rsidRPr="000549B1">
        <w:rPr>
          <w:rFonts w:hint="eastAsia"/>
          <w:bCs/>
          <w:sz w:val="24"/>
          <w:szCs w:val="24"/>
        </w:rPr>
        <w:t>。大河坝水库兴利库容</w:t>
      </w:r>
      <w:r w:rsidRPr="000549B1">
        <w:rPr>
          <w:bCs/>
          <w:sz w:val="24"/>
          <w:szCs w:val="24"/>
        </w:rPr>
        <w:t>5013</w:t>
      </w:r>
      <w:r w:rsidRPr="000549B1">
        <w:rPr>
          <w:rFonts w:hint="eastAsia"/>
          <w:bCs/>
          <w:sz w:val="24"/>
          <w:szCs w:val="24"/>
        </w:rPr>
        <w:t>万</w:t>
      </w:r>
      <w:r w:rsidRPr="000549B1">
        <w:rPr>
          <w:bCs/>
          <w:sz w:val="24"/>
          <w:szCs w:val="24"/>
        </w:rPr>
        <w:t>m</w:t>
      </w:r>
      <w:r w:rsidRPr="000549B1">
        <w:rPr>
          <w:bCs/>
          <w:sz w:val="24"/>
          <w:szCs w:val="24"/>
          <w:vertAlign w:val="superscript"/>
        </w:rPr>
        <w:t>3</w:t>
      </w:r>
      <w:r w:rsidRPr="000549B1">
        <w:rPr>
          <w:rFonts w:hint="eastAsia"/>
          <w:bCs/>
          <w:sz w:val="24"/>
          <w:szCs w:val="24"/>
        </w:rPr>
        <w:t>，总库容</w:t>
      </w:r>
      <w:r w:rsidRPr="000549B1">
        <w:rPr>
          <w:bCs/>
          <w:sz w:val="24"/>
          <w:szCs w:val="24"/>
        </w:rPr>
        <w:t>6554</w:t>
      </w:r>
      <w:r w:rsidRPr="000549B1">
        <w:rPr>
          <w:rFonts w:hint="eastAsia"/>
          <w:bCs/>
          <w:sz w:val="24"/>
          <w:szCs w:val="24"/>
        </w:rPr>
        <w:t>万</w:t>
      </w:r>
      <w:r w:rsidRPr="000549B1">
        <w:rPr>
          <w:bCs/>
          <w:sz w:val="24"/>
          <w:szCs w:val="24"/>
        </w:rPr>
        <w:t>m</w:t>
      </w:r>
      <w:r w:rsidRPr="000549B1">
        <w:rPr>
          <w:bCs/>
          <w:sz w:val="24"/>
          <w:szCs w:val="24"/>
          <w:vertAlign w:val="superscript"/>
        </w:rPr>
        <w:t>3</w:t>
      </w:r>
      <w:r w:rsidRPr="000549B1">
        <w:rPr>
          <w:rFonts w:hint="eastAsia"/>
          <w:bCs/>
          <w:sz w:val="24"/>
          <w:szCs w:val="24"/>
        </w:rPr>
        <w:t>。</w:t>
      </w:r>
    </w:p>
    <w:p w14:paraId="69C42C65" w14:textId="79E97CF0" w:rsidR="00AF4186" w:rsidRPr="000549B1" w:rsidRDefault="00AF4186" w:rsidP="000549B1">
      <w:pPr>
        <w:spacing w:line="360" w:lineRule="auto"/>
        <w:ind w:firstLine="482"/>
        <w:rPr>
          <w:bCs/>
          <w:sz w:val="24"/>
          <w:szCs w:val="24"/>
          <w:lang w:val="zh-CN"/>
        </w:rPr>
      </w:pPr>
      <w:bookmarkStart w:id="364" w:name="_Toc456012423"/>
      <w:r w:rsidRPr="000549B1">
        <w:rPr>
          <w:rFonts w:hint="eastAsia"/>
          <w:bCs/>
          <w:sz w:val="24"/>
          <w:szCs w:val="24"/>
        </w:rPr>
        <w:t>大河坝河水库取水引入切吉水库后，将会导致切吉水库水资源量增加，增加量为</w:t>
      </w:r>
      <w:r w:rsidRPr="000549B1">
        <w:rPr>
          <w:bCs/>
          <w:sz w:val="24"/>
          <w:szCs w:val="24"/>
        </w:rPr>
        <w:t>9885</w:t>
      </w:r>
      <w:r w:rsidRPr="000549B1">
        <w:rPr>
          <w:rFonts w:hint="eastAsia"/>
          <w:bCs/>
          <w:sz w:val="24"/>
          <w:szCs w:val="24"/>
        </w:rPr>
        <w:t>万</w:t>
      </w:r>
      <w:r w:rsidRPr="000549B1">
        <w:rPr>
          <w:bCs/>
          <w:sz w:val="24"/>
          <w:szCs w:val="24"/>
        </w:rPr>
        <w:t>m</w:t>
      </w:r>
      <w:r w:rsidRPr="000549B1">
        <w:rPr>
          <w:bCs/>
          <w:sz w:val="24"/>
          <w:szCs w:val="24"/>
          <w:vertAlign w:val="superscript"/>
        </w:rPr>
        <w:t>3</w:t>
      </w:r>
      <w:r w:rsidRPr="000549B1">
        <w:rPr>
          <w:rFonts w:hint="eastAsia"/>
          <w:bCs/>
          <w:sz w:val="24"/>
          <w:szCs w:val="24"/>
        </w:rPr>
        <w:t>，约为切吉河多年平均径流量</w:t>
      </w:r>
      <w:r w:rsidRPr="000549B1">
        <w:rPr>
          <w:bCs/>
          <w:sz w:val="24"/>
          <w:szCs w:val="24"/>
        </w:rPr>
        <w:t>3.56</w:t>
      </w:r>
      <w:r w:rsidRPr="000549B1">
        <w:rPr>
          <w:rFonts w:hint="eastAsia"/>
          <w:bCs/>
          <w:sz w:val="24"/>
          <w:szCs w:val="24"/>
        </w:rPr>
        <w:t>倍，变化主要集中在每年</w:t>
      </w:r>
      <w:r w:rsidRPr="000549B1">
        <w:rPr>
          <w:bCs/>
          <w:sz w:val="24"/>
          <w:szCs w:val="24"/>
        </w:rPr>
        <w:t>4</w:t>
      </w:r>
      <w:r w:rsidRPr="000549B1">
        <w:rPr>
          <w:rFonts w:hint="eastAsia"/>
          <w:bCs/>
          <w:sz w:val="24"/>
          <w:szCs w:val="24"/>
        </w:rPr>
        <w:t>月下旬</w:t>
      </w:r>
      <w:r w:rsidRPr="000549B1">
        <w:rPr>
          <w:bCs/>
          <w:sz w:val="24"/>
          <w:szCs w:val="24"/>
        </w:rPr>
        <w:t>~10</w:t>
      </w:r>
      <w:r w:rsidRPr="000549B1">
        <w:rPr>
          <w:rFonts w:hint="eastAsia"/>
          <w:bCs/>
          <w:sz w:val="24"/>
          <w:szCs w:val="24"/>
        </w:rPr>
        <w:t>月上旬灌溉需水期，其中</w:t>
      </w:r>
      <w:r w:rsidRPr="000549B1">
        <w:rPr>
          <w:bCs/>
          <w:sz w:val="24"/>
          <w:szCs w:val="24"/>
        </w:rPr>
        <w:t>5</w:t>
      </w:r>
      <w:r w:rsidRPr="000549B1">
        <w:rPr>
          <w:rFonts w:hint="eastAsia"/>
          <w:bCs/>
          <w:sz w:val="24"/>
          <w:szCs w:val="24"/>
        </w:rPr>
        <w:t>月上中旬、</w:t>
      </w:r>
      <w:r w:rsidRPr="000549B1">
        <w:rPr>
          <w:bCs/>
          <w:sz w:val="24"/>
          <w:szCs w:val="24"/>
        </w:rPr>
        <w:t>6</w:t>
      </w:r>
      <w:r w:rsidRPr="000549B1">
        <w:rPr>
          <w:rFonts w:hint="eastAsia"/>
          <w:bCs/>
          <w:sz w:val="24"/>
          <w:szCs w:val="24"/>
        </w:rPr>
        <w:t>月上旬</w:t>
      </w:r>
      <w:r w:rsidRPr="000549B1">
        <w:rPr>
          <w:bCs/>
          <w:sz w:val="24"/>
          <w:szCs w:val="24"/>
        </w:rPr>
        <w:t>~7</w:t>
      </w:r>
      <w:r w:rsidRPr="000549B1">
        <w:rPr>
          <w:rFonts w:hint="eastAsia"/>
          <w:bCs/>
          <w:sz w:val="24"/>
          <w:szCs w:val="24"/>
        </w:rPr>
        <w:t>月下旬，灌溉需水量较大，对切吉河和切吉水库水文情势的影响较大。由于切吉河、切吉水库接受大河坝河水库供水后，会及时输送至切吉滩和塔拉滩管线，因此对切吉河、切吉水库水资源量的影响是短暂的。</w:t>
      </w:r>
    </w:p>
    <w:bookmarkEnd w:id="364"/>
    <w:p w14:paraId="25E80B90" w14:textId="42669F2A" w:rsidR="00AF4186" w:rsidRPr="000549B1" w:rsidRDefault="00AF4186" w:rsidP="000549B1">
      <w:pPr>
        <w:spacing w:line="360" w:lineRule="auto"/>
        <w:ind w:firstLine="482"/>
        <w:rPr>
          <w:bCs/>
          <w:sz w:val="24"/>
          <w:szCs w:val="24"/>
        </w:rPr>
      </w:pPr>
      <w:r w:rsidRPr="000549B1">
        <w:rPr>
          <w:rFonts w:hint="eastAsia"/>
          <w:bCs/>
          <w:sz w:val="24"/>
          <w:szCs w:val="24"/>
        </w:rPr>
        <w:t>②大河坝取水口</w:t>
      </w:r>
      <w:r w:rsidRPr="000549B1">
        <w:rPr>
          <w:bCs/>
          <w:sz w:val="24"/>
          <w:szCs w:val="24"/>
        </w:rPr>
        <w:t>+</w:t>
      </w:r>
      <w:r w:rsidRPr="000549B1">
        <w:rPr>
          <w:rFonts w:hint="eastAsia"/>
          <w:bCs/>
          <w:sz w:val="24"/>
          <w:szCs w:val="24"/>
        </w:rPr>
        <w:t>大河坝水库（注入式）供水方案</w:t>
      </w:r>
    </w:p>
    <w:p w14:paraId="52106A3B" w14:textId="77777777" w:rsidR="00AF4186" w:rsidRPr="000549B1" w:rsidRDefault="00AF4186" w:rsidP="000549B1">
      <w:pPr>
        <w:spacing w:line="360" w:lineRule="auto"/>
        <w:ind w:firstLine="482"/>
        <w:rPr>
          <w:bCs/>
          <w:sz w:val="24"/>
          <w:szCs w:val="24"/>
        </w:rPr>
      </w:pPr>
      <w:r w:rsidRPr="000549B1">
        <w:rPr>
          <w:rFonts w:hint="eastAsia"/>
          <w:bCs/>
          <w:sz w:val="24"/>
          <w:szCs w:val="24"/>
        </w:rPr>
        <w:t>大河坝取水口为无坝取水型式，取水闸设计流量与输水洞相同，均为</w:t>
      </w:r>
      <w:r w:rsidRPr="000549B1">
        <w:rPr>
          <w:bCs/>
          <w:sz w:val="24"/>
          <w:szCs w:val="24"/>
        </w:rPr>
        <w:t>16.0m</w:t>
      </w:r>
      <w:r w:rsidRPr="000549B1">
        <w:rPr>
          <w:bCs/>
          <w:sz w:val="24"/>
          <w:szCs w:val="24"/>
          <w:vertAlign w:val="superscript"/>
        </w:rPr>
        <w:t>3</w:t>
      </w:r>
      <w:r w:rsidRPr="000549B1">
        <w:rPr>
          <w:bCs/>
          <w:sz w:val="24"/>
          <w:szCs w:val="24"/>
        </w:rPr>
        <w:t>/s</w:t>
      </w:r>
      <w:r w:rsidRPr="000549B1">
        <w:rPr>
          <w:rFonts w:hint="eastAsia"/>
          <w:bCs/>
          <w:sz w:val="24"/>
          <w:szCs w:val="24"/>
        </w:rPr>
        <w:t>。隧洞段自大河坝取水口分水池左岸工作闸开始，长</w:t>
      </w:r>
      <w:r w:rsidRPr="000549B1">
        <w:rPr>
          <w:bCs/>
          <w:sz w:val="24"/>
          <w:szCs w:val="24"/>
        </w:rPr>
        <w:t>24.68km</w:t>
      </w:r>
      <w:r w:rsidRPr="000549B1">
        <w:rPr>
          <w:rFonts w:hint="eastAsia"/>
          <w:bCs/>
          <w:sz w:val="24"/>
          <w:szCs w:val="24"/>
        </w:rPr>
        <w:t>。大河坝水库坝址位于原切吉水库老坝上游约</w:t>
      </w:r>
      <w:r w:rsidRPr="000549B1">
        <w:rPr>
          <w:bCs/>
          <w:sz w:val="24"/>
          <w:szCs w:val="24"/>
        </w:rPr>
        <w:t>2km</w:t>
      </w:r>
      <w:r w:rsidRPr="000549B1">
        <w:rPr>
          <w:rFonts w:hint="eastAsia"/>
          <w:bCs/>
          <w:sz w:val="24"/>
          <w:szCs w:val="24"/>
        </w:rPr>
        <w:t>处，死水位</w:t>
      </w:r>
      <w:r w:rsidRPr="000549B1">
        <w:rPr>
          <w:bCs/>
          <w:sz w:val="24"/>
          <w:szCs w:val="24"/>
        </w:rPr>
        <w:t>3305m</w:t>
      </w:r>
      <w:r w:rsidRPr="000549B1">
        <w:rPr>
          <w:rFonts w:hint="eastAsia"/>
          <w:bCs/>
          <w:sz w:val="24"/>
          <w:szCs w:val="24"/>
        </w:rPr>
        <w:t>，正常蓄水位</w:t>
      </w:r>
      <w:r w:rsidRPr="000549B1">
        <w:rPr>
          <w:bCs/>
          <w:sz w:val="24"/>
          <w:szCs w:val="24"/>
        </w:rPr>
        <w:t>3343m</w:t>
      </w:r>
      <w:r w:rsidRPr="000549B1">
        <w:rPr>
          <w:rFonts w:hint="eastAsia"/>
          <w:bCs/>
          <w:sz w:val="24"/>
          <w:szCs w:val="24"/>
        </w:rPr>
        <w:t>，兴利库容</w:t>
      </w:r>
      <w:r w:rsidRPr="000549B1">
        <w:rPr>
          <w:bCs/>
          <w:sz w:val="24"/>
          <w:szCs w:val="24"/>
        </w:rPr>
        <w:t>6354</w:t>
      </w:r>
      <w:r w:rsidRPr="000549B1">
        <w:rPr>
          <w:rFonts w:hint="eastAsia"/>
          <w:bCs/>
          <w:sz w:val="24"/>
          <w:szCs w:val="24"/>
        </w:rPr>
        <w:t>万</w:t>
      </w:r>
      <w:r w:rsidRPr="000549B1">
        <w:rPr>
          <w:bCs/>
          <w:sz w:val="24"/>
          <w:szCs w:val="24"/>
        </w:rPr>
        <w:t>m</w:t>
      </w:r>
      <w:r w:rsidRPr="000549B1">
        <w:rPr>
          <w:bCs/>
          <w:sz w:val="24"/>
          <w:szCs w:val="24"/>
          <w:vertAlign w:val="superscript"/>
        </w:rPr>
        <w:t>3</w:t>
      </w:r>
      <w:r w:rsidRPr="000549B1">
        <w:rPr>
          <w:rFonts w:hint="eastAsia"/>
          <w:bCs/>
          <w:sz w:val="24"/>
          <w:szCs w:val="24"/>
        </w:rPr>
        <w:t>。</w:t>
      </w:r>
    </w:p>
    <w:p w14:paraId="5AC827E2" w14:textId="77777777" w:rsidR="00AF4186" w:rsidRPr="000549B1" w:rsidRDefault="00AF4186" w:rsidP="00AF4186">
      <w:pPr>
        <w:spacing w:line="360" w:lineRule="auto"/>
        <w:ind w:firstLineChars="200" w:firstLine="480"/>
        <w:rPr>
          <w:bCs/>
          <w:sz w:val="24"/>
          <w:szCs w:val="24"/>
        </w:rPr>
      </w:pPr>
      <w:r w:rsidRPr="000549B1">
        <w:rPr>
          <w:rFonts w:hint="eastAsia"/>
          <w:bCs/>
          <w:sz w:val="24"/>
          <w:szCs w:val="24"/>
        </w:rPr>
        <w:t>根据切吉河径流特点以及大河坝引水口任务和运行方式，大河坝河引水注入切吉河后，切吉河上游流量及水位将发生明显变化。</w:t>
      </w:r>
      <w:r w:rsidRPr="000549B1">
        <w:rPr>
          <w:rFonts w:hint="eastAsia"/>
          <w:bCs/>
          <w:sz w:val="24"/>
          <w:szCs w:val="24"/>
          <w:lang w:val="zh-CN"/>
        </w:rPr>
        <w:t>丰水年（</w:t>
      </w:r>
      <w:r w:rsidRPr="000549B1">
        <w:rPr>
          <w:bCs/>
          <w:sz w:val="24"/>
          <w:szCs w:val="24"/>
          <w:lang w:val="zh-CN"/>
        </w:rPr>
        <w:t>P=</w:t>
      </w:r>
      <w:r w:rsidRPr="000549B1">
        <w:rPr>
          <w:bCs/>
          <w:sz w:val="24"/>
          <w:szCs w:val="24"/>
        </w:rPr>
        <w:t>10</w:t>
      </w:r>
      <w:r w:rsidRPr="000549B1">
        <w:rPr>
          <w:bCs/>
          <w:sz w:val="24"/>
          <w:szCs w:val="24"/>
          <w:lang w:val="zh-CN"/>
        </w:rPr>
        <w:t>%</w:t>
      </w:r>
      <w:r w:rsidRPr="000549B1">
        <w:rPr>
          <w:rFonts w:hint="eastAsia"/>
          <w:bCs/>
          <w:sz w:val="24"/>
          <w:szCs w:val="24"/>
          <w:lang w:val="zh-CN"/>
        </w:rPr>
        <w:t>）、平水年（</w:t>
      </w:r>
      <w:r w:rsidRPr="000549B1">
        <w:rPr>
          <w:bCs/>
          <w:sz w:val="24"/>
          <w:szCs w:val="24"/>
          <w:lang w:val="zh-CN"/>
        </w:rPr>
        <w:t>P=50%</w:t>
      </w:r>
      <w:r w:rsidRPr="000549B1">
        <w:rPr>
          <w:rFonts w:hint="eastAsia"/>
          <w:bCs/>
          <w:sz w:val="24"/>
          <w:szCs w:val="24"/>
          <w:lang w:val="zh-CN"/>
        </w:rPr>
        <w:t>）、枯水年（</w:t>
      </w:r>
      <w:r w:rsidRPr="000549B1">
        <w:rPr>
          <w:bCs/>
          <w:sz w:val="24"/>
          <w:szCs w:val="24"/>
          <w:lang w:val="zh-CN"/>
        </w:rPr>
        <w:t>P=</w:t>
      </w:r>
      <w:r w:rsidRPr="000549B1">
        <w:rPr>
          <w:bCs/>
          <w:sz w:val="24"/>
          <w:szCs w:val="24"/>
        </w:rPr>
        <w:t>90</w:t>
      </w:r>
      <w:r w:rsidRPr="000549B1">
        <w:rPr>
          <w:bCs/>
          <w:sz w:val="24"/>
          <w:szCs w:val="24"/>
          <w:lang w:val="zh-CN"/>
        </w:rPr>
        <w:t>%</w:t>
      </w:r>
      <w:r w:rsidRPr="000549B1">
        <w:rPr>
          <w:rFonts w:hint="eastAsia"/>
          <w:bCs/>
          <w:sz w:val="24"/>
          <w:szCs w:val="24"/>
          <w:lang w:val="zh-CN"/>
        </w:rPr>
        <w:t>）</w:t>
      </w:r>
      <w:r w:rsidRPr="000549B1">
        <w:rPr>
          <w:rFonts w:hint="eastAsia"/>
          <w:bCs/>
          <w:sz w:val="24"/>
          <w:szCs w:val="24"/>
        </w:rPr>
        <w:t>不同典型年切吉河大河坝水库上游流量较天然流量分别增加</w:t>
      </w:r>
      <w:r w:rsidRPr="000549B1">
        <w:rPr>
          <w:bCs/>
          <w:sz w:val="24"/>
          <w:szCs w:val="24"/>
        </w:rPr>
        <w:t>314%</w:t>
      </w:r>
      <w:r w:rsidRPr="000549B1">
        <w:rPr>
          <w:rFonts w:hint="eastAsia"/>
          <w:bCs/>
          <w:sz w:val="24"/>
          <w:szCs w:val="24"/>
        </w:rPr>
        <w:t>、</w:t>
      </w:r>
      <w:r w:rsidRPr="000549B1">
        <w:rPr>
          <w:bCs/>
          <w:sz w:val="24"/>
          <w:szCs w:val="24"/>
        </w:rPr>
        <w:t>300%</w:t>
      </w:r>
      <w:r w:rsidRPr="000549B1">
        <w:rPr>
          <w:rFonts w:hint="eastAsia"/>
          <w:bCs/>
          <w:sz w:val="24"/>
          <w:szCs w:val="24"/>
        </w:rPr>
        <w:t>和</w:t>
      </w:r>
      <w:r w:rsidRPr="000549B1">
        <w:rPr>
          <w:bCs/>
          <w:sz w:val="24"/>
          <w:szCs w:val="24"/>
        </w:rPr>
        <w:t>374%</w:t>
      </w:r>
      <w:r w:rsidRPr="000549B1">
        <w:rPr>
          <w:rFonts w:hint="eastAsia"/>
          <w:bCs/>
          <w:sz w:val="24"/>
          <w:szCs w:val="24"/>
        </w:rPr>
        <w:t>。</w:t>
      </w:r>
    </w:p>
    <w:p w14:paraId="262B1CB7" w14:textId="3DF9DDC3" w:rsidR="00054437" w:rsidRPr="000549B1" w:rsidRDefault="00AF4186" w:rsidP="00AF4186">
      <w:pPr>
        <w:pStyle w:val="x"/>
      </w:pPr>
      <w:r w:rsidRPr="000549B1">
        <w:rPr>
          <w:rFonts w:hint="eastAsia"/>
        </w:rPr>
        <w:t>根据初步分析，对沙珠玉河水文情势有影响的工程主要为水库工程和调水工程，由于拟建水库工程及调水工程规模不大，且主要为支流水库工程，工程建成后，对水文情势的影响主要集中在局部河段，主要为：一是调入区如切吉河上游河段河道内水量增加，拟建调蓄水库库区水深增加，水流速度变缓，二是调入区河流切吉水库下游河段河道内流量趋于均匀化，主要表现为枯水期切吉水库坝下流量可能增加，丰水期坝下流量减少。</w:t>
      </w:r>
    </w:p>
    <w:p w14:paraId="2785E644" w14:textId="77777777" w:rsidR="00054437" w:rsidRPr="000549B1" w:rsidRDefault="00000000">
      <w:pPr>
        <w:pStyle w:val="2"/>
        <w:rPr>
          <w:rFonts w:ascii="Times New Roman" w:hAnsi="Times New Roman"/>
        </w:rPr>
      </w:pPr>
      <w:bookmarkStart w:id="365" w:name="_Toc9144641"/>
      <w:bookmarkStart w:id="366" w:name="_Toc12247"/>
      <w:bookmarkStart w:id="367" w:name="_Toc208583933"/>
      <w:bookmarkStart w:id="368" w:name="_Toc216107045"/>
      <w:r w:rsidRPr="000549B1">
        <w:rPr>
          <w:rFonts w:ascii="Times New Roman" w:hAnsi="Times New Roman"/>
        </w:rPr>
        <w:t>水环境影响预测与评价</w:t>
      </w:r>
      <w:bookmarkEnd w:id="365"/>
      <w:bookmarkEnd w:id="366"/>
      <w:bookmarkEnd w:id="367"/>
      <w:bookmarkEnd w:id="368"/>
    </w:p>
    <w:p w14:paraId="7B4EDFFF" w14:textId="77777777" w:rsidR="00054437" w:rsidRPr="000549B1" w:rsidRDefault="00000000">
      <w:pPr>
        <w:pStyle w:val="3"/>
      </w:pPr>
      <w:bookmarkStart w:id="369" w:name="_Toc216107046"/>
      <w:r w:rsidRPr="000549B1">
        <w:t>水温影响分析</w:t>
      </w:r>
      <w:bookmarkEnd w:id="369"/>
    </w:p>
    <w:p w14:paraId="3A3497F8" w14:textId="77777777" w:rsidR="00054437" w:rsidRPr="000549B1" w:rsidRDefault="00000000" w:rsidP="000549B1">
      <w:pPr>
        <w:spacing w:line="360" w:lineRule="auto"/>
        <w:ind w:firstLineChars="200" w:firstLine="480"/>
        <w:rPr>
          <w:bCs/>
          <w:sz w:val="24"/>
        </w:rPr>
      </w:pPr>
      <w:r w:rsidRPr="000549B1">
        <w:rPr>
          <w:rFonts w:hint="eastAsia"/>
          <w:bCs/>
          <w:sz w:val="24"/>
        </w:rPr>
        <w:t>规划拟建水库多为小型，本次规划环评选择中型水库—大河坝水库进行水温影响的典型分析。</w:t>
      </w:r>
    </w:p>
    <w:p w14:paraId="1BF42397" w14:textId="77777777" w:rsidR="00054437" w:rsidRPr="000549B1" w:rsidRDefault="00000000">
      <w:pPr>
        <w:pStyle w:val="Z4"/>
        <w:rPr>
          <w:color w:val="auto"/>
        </w:rPr>
      </w:pPr>
      <w:r w:rsidRPr="000549B1">
        <w:rPr>
          <w:color w:val="auto"/>
        </w:rPr>
        <w:t>水库水温结构判别</w:t>
      </w:r>
    </w:p>
    <w:p w14:paraId="000610BB" w14:textId="77777777" w:rsidR="00054437" w:rsidRPr="000549B1" w:rsidRDefault="00000000">
      <w:pPr>
        <w:spacing w:line="500" w:lineRule="exact"/>
        <w:ind w:firstLineChars="200" w:firstLine="480"/>
        <w:jc w:val="left"/>
        <w:rPr>
          <w:kern w:val="0"/>
          <w:sz w:val="24"/>
          <w:szCs w:val="24"/>
        </w:rPr>
      </w:pPr>
      <w:bookmarkStart w:id="370" w:name="_Toc456014612"/>
      <w:r w:rsidRPr="000549B1">
        <w:rPr>
          <w:kern w:val="0"/>
          <w:sz w:val="24"/>
          <w:szCs w:val="24"/>
        </w:rPr>
        <w:t>为了快速简易地判断水库是否分层及分层强度，根据我国现行的水库环境影响评价中普遍采用两种经验公式方法</w:t>
      </w:r>
      <w:bookmarkEnd w:id="370"/>
      <w:r w:rsidRPr="000549B1">
        <w:rPr>
          <w:kern w:val="0"/>
          <w:sz w:val="24"/>
          <w:szCs w:val="24"/>
        </w:rPr>
        <w:t>，采用</w:t>
      </w:r>
      <w:r w:rsidRPr="000549B1">
        <w:rPr>
          <w:b/>
          <w:bCs/>
          <w:position w:val="-10"/>
          <w:sz w:val="24"/>
          <w:szCs w:val="24"/>
        </w:rPr>
        <w:object w:dxaOrig="611" w:dyaOrig="365" w14:anchorId="6E758E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75pt;height:18.4pt" o:ole="">
            <v:imagedata r:id="rId175" o:title=""/>
          </v:shape>
          <o:OLEObject Type="Embed" ProgID="Equation.DSMT4" ShapeID="_x0000_i1025" DrawAspect="Content" ObjectID="_1828270429" r:id="rId176"/>
        </w:object>
      </w:r>
      <w:r w:rsidRPr="000549B1">
        <w:rPr>
          <w:kern w:val="0"/>
          <w:sz w:val="24"/>
          <w:szCs w:val="24"/>
        </w:rPr>
        <w:t>法和密度佛汝德数法来初步判断大河坝水库库区水温结构。</w:t>
      </w:r>
    </w:p>
    <w:p w14:paraId="03BC843E" w14:textId="77777777" w:rsidR="00054437" w:rsidRPr="000549B1" w:rsidRDefault="00000000">
      <w:pPr>
        <w:spacing w:line="500" w:lineRule="exact"/>
        <w:ind w:firstLineChars="200" w:firstLine="480"/>
        <w:jc w:val="left"/>
        <w:rPr>
          <w:b/>
          <w:bCs/>
          <w:sz w:val="24"/>
          <w:szCs w:val="24"/>
        </w:rPr>
      </w:pPr>
      <w:r w:rsidRPr="000549B1">
        <w:rPr>
          <w:kern w:val="0"/>
          <w:sz w:val="24"/>
          <w:szCs w:val="24"/>
        </w:rPr>
        <w:t>（</w:t>
      </w:r>
      <w:r w:rsidRPr="000549B1">
        <w:rPr>
          <w:kern w:val="0"/>
          <w:sz w:val="24"/>
          <w:szCs w:val="24"/>
        </w:rPr>
        <w:t>1</w:t>
      </w:r>
      <w:r w:rsidRPr="000549B1">
        <w:rPr>
          <w:kern w:val="0"/>
          <w:sz w:val="24"/>
          <w:szCs w:val="24"/>
        </w:rPr>
        <w:t>）</w:t>
      </w:r>
      <w:r w:rsidRPr="000549B1">
        <w:rPr>
          <w:sz w:val="24"/>
          <w:szCs w:val="24"/>
        </w:rPr>
        <w:t>径流库容比</w:t>
      </w:r>
      <w:r w:rsidRPr="000549B1">
        <w:rPr>
          <w:b/>
          <w:bCs/>
          <w:position w:val="-10"/>
          <w:sz w:val="24"/>
          <w:szCs w:val="24"/>
        </w:rPr>
        <w:object w:dxaOrig="611" w:dyaOrig="365" w14:anchorId="760E10C3">
          <v:shape id="_x0000_i1026" type="#_x0000_t75" style="width:30.75pt;height:18.4pt" o:ole="">
            <v:imagedata r:id="rId175" o:title=""/>
          </v:shape>
          <o:OLEObject Type="Embed" ProgID="Equation.DSMT4" ShapeID="_x0000_i1026" DrawAspect="Content" ObjectID="_1828270430" r:id="rId177"/>
        </w:object>
      </w:r>
      <w:r w:rsidRPr="000549B1">
        <w:rPr>
          <w:b/>
          <w:bCs/>
          <w:sz w:val="24"/>
          <w:szCs w:val="24"/>
        </w:rPr>
        <w:t>法</w:t>
      </w:r>
    </w:p>
    <w:p w14:paraId="7229FBBD" w14:textId="77777777" w:rsidR="00054437" w:rsidRPr="000549B1" w:rsidRDefault="00000000">
      <w:pPr>
        <w:spacing w:afterLines="50" w:after="156" w:line="500" w:lineRule="exact"/>
        <w:ind w:firstLineChars="200" w:firstLine="480"/>
        <w:rPr>
          <w:sz w:val="24"/>
          <w:szCs w:val="24"/>
        </w:rPr>
      </w:pPr>
      <w:bookmarkStart w:id="371" w:name="_Toc456014614"/>
      <w:r w:rsidRPr="000549B1">
        <w:rPr>
          <w:sz w:val="24"/>
          <w:szCs w:val="24"/>
        </w:rPr>
        <w:t>又称为库水交换次数法，其判别指标为：</w:t>
      </w:r>
      <w:bookmarkEnd w:id="371"/>
    </w:p>
    <w:bookmarkStart w:id="372" w:name="_Toc456014615"/>
    <w:p w14:paraId="4FAB7884" w14:textId="77777777" w:rsidR="00054437" w:rsidRPr="000549B1" w:rsidRDefault="00000000">
      <w:pPr>
        <w:ind w:firstLineChars="800" w:firstLine="1920"/>
        <w:rPr>
          <w:sz w:val="24"/>
          <w:szCs w:val="24"/>
        </w:rPr>
      </w:pPr>
      <w:r w:rsidRPr="000549B1">
        <w:rPr>
          <w:sz w:val="24"/>
          <w:szCs w:val="24"/>
        </w:rPr>
        <w:object w:dxaOrig="2515" w:dyaOrig="729" w14:anchorId="30CBB3D1">
          <v:shape id="_x0000_i1027" type="#_x0000_t75" style="width:125.65pt;height:36.4pt" o:ole="">
            <v:imagedata r:id="rId178" o:title=""/>
          </v:shape>
          <o:OLEObject Type="Embed" ProgID="Equation.DSMT4" ShapeID="_x0000_i1027" DrawAspect="Content" ObjectID="_1828270431" r:id="rId179"/>
        </w:object>
      </w:r>
      <w:bookmarkEnd w:id="372"/>
    </w:p>
    <w:bookmarkStart w:id="373" w:name="_Toc456014616"/>
    <w:p w14:paraId="003B3527" w14:textId="77777777" w:rsidR="00054437" w:rsidRPr="000549B1" w:rsidRDefault="00000000">
      <w:pPr>
        <w:ind w:firstLineChars="800" w:firstLine="1920"/>
        <w:rPr>
          <w:sz w:val="24"/>
          <w:szCs w:val="24"/>
        </w:rPr>
      </w:pPr>
      <w:r w:rsidRPr="000549B1">
        <w:rPr>
          <w:sz w:val="24"/>
          <w:szCs w:val="24"/>
        </w:rPr>
        <w:object w:dxaOrig="2051" w:dyaOrig="729" w14:anchorId="430D50A3">
          <v:shape id="_x0000_i1028" type="#_x0000_t75" style="width:102.4pt;height:36.4pt" o:ole="">
            <v:imagedata r:id="rId180" o:title=""/>
          </v:shape>
          <o:OLEObject Type="Embed" ProgID="Equation.DSMT4" ShapeID="_x0000_i1028" DrawAspect="Content" ObjectID="_1828270432" r:id="rId181"/>
        </w:object>
      </w:r>
      <w:bookmarkEnd w:id="373"/>
    </w:p>
    <w:p w14:paraId="7A72BA6F" w14:textId="77777777" w:rsidR="00054437" w:rsidRPr="000549B1" w:rsidRDefault="00000000">
      <w:pPr>
        <w:spacing w:line="500" w:lineRule="exact"/>
        <w:ind w:firstLineChars="200" w:firstLine="480"/>
        <w:jc w:val="left"/>
        <w:rPr>
          <w:sz w:val="24"/>
          <w:szCs w:val="24"/>
        </w:rPr>
      </w:pPr>
      <w:r w:rsidRPr="000549B1">
        <w:rPr>
          <w:sz w:val="24"/>
          <w:szCs w:val="24"/>
        </w:rPr>
        <w:t>当</w:t>
      </w:r>
      <w:r w:rsidRPr="000549B1">
        <w:rPr>
          <w:position w:val="-6"/>
          <w:sz w:val="24"/>
          <w:szCs w:val="24"/>
        </w:rPr>
        <w:object w:dxaOrig="237" w:dyaOrig="237" w14:anchorId="19D15A9F">
          <v:shape id="_x0000_i1029" type="#_x0000_t75" style="width:12pt;height:12pt" o:ole="">
            <v:imagedata r:id="rId182" o:title=""/>
          </v:shape>
          <o:OLEObject Type="Embed" ProgID="Equation.DSMT4" ShapeID="_x0000_i1029" DrawAspect="Content" ObjectID="_1828270433" r:id="rId183"/>
        </w:object>
      </w:r>
      <w:r w:rsidRPr="000549B1">
        <w:rPr>
          <w:sz w:val="24"/>
          <w:szCs w:val="24"/>
        </w:rPr>
        <w:t>&lt;10</w:t>
      </w:r>
      <w:r w:rsidRPr="000549B1">
        <w:rPr>
          <w:sz w:val="24"/>
          <w:szCs w:val="24"/>
        </w:rPr>
        <w:t>时，为分层型；</w:t>
      </w:r>
      <w:r w:rsidRPr="000549B1">
        <w:rPr>
          <w:sz w:val="24"/>
          <w:szCs w:val="24"/>
        </w:rPr>
        <w:t>10&lt;</w:t>
      </w:r>
      <w:r w:rsidRPr="000549B1">
        <w:rPr>
          <w:position w:val="-6"/>
          <w:sz w:val="24"/>
          <w:szCs w:val="24"/>
        </w:rPr>
        <w:object w:dxaOrig="237" w:dyaOrig="237" w14:anchorId="1DE98017">
          <v:shape id="_x0000_i1030" type="#_x0000_t75" style="width:12pt;height:12pt" o:ole="">
            <v:imagedata r:id="rId182" o:title=""/>
          </v:shape>
          <o:OLEObject Type="Embed" ProgID="Equation.DSMT4" ShapeID="_x0000_i1030" DrawAspect="Content" ObjectID="_1828270434" r:id="rId184"/>
        </w:object>
      </w:r>
      <w:r w:rsidRPr="000549B1">
        <w:rPr>
          <w:sz w:val="24"/>
          <w:szCs w:val="24"/>
        </w:rPr>
        <w:t>&lt;20</w:t>
      </w:r>
      <w:r w:rsidRPr="000549B1">
        <w:rPr>
          <w:sz w:val="24"/>
          <w:szCs w:val="24"/>
        </w:rPr>
        <w:t>时，为过渡型；</w:t>
      </w:r>
      <w:r w:rsidRPr="000549B1">
        <w:rPr>
          <w:position w:val="-6"/>
          <w:sz w:val="24"/>
          <w:szCs w:val="24"/>
        </w:rPr>
        <w:object w:dxaOrig="237" w:dyaOrig="237" w14:anchorId="3AB4CFBF">
          <v:shape id="_x0000_i1031" type="#_x0000_t75" style="width:12pt;height:12pt" o:ole="">
            <v:imagedata r:id="rId182" o:title=""/>
          </v:shape>
          <o:OLEObject Type="Embed" ProgID="Equation.DSMT4" ShapeID="_x0000_i1031" DrawAspect="Content" ObjectID="_1828270435" r:id="rId185"/>
        </w:object>
      </w:r>
      <w:r w:rsidRPr="000549B1">
        <w:rPr>
          <w:sz w:val="24"/>
          <w:szCs w:val="24"/>
        </w:rPr>
        <w:t>&gt;20</w:t>
      </w:r>
      <w:r w:rsidRPr="000549B1">
        <w:rPr>
          <w:sz w:val="24"/>
          <w:szCs w:val="24"/>
        </w:rPr>
        <w:t>时，为混合型。对于分层型水库，如遇</w:t>
      </w:r>
      <w:r w:rsidRPr="000549B1">
        <w:rPr>
          <w:position w:val="-10"/>
          <w:sz w:val="24"/>
          <w:szCs w:val="24"/>
        </w:rPr>
        <w:object w:dxaOrig="365" w:dyaOrig="365" w14:anchorId="709B5C34">
          <v:shape id="_x0000_i1032" type="#_x0000_t75" style="width:18.4pt;height:18.4pt" o:ole="">
            <v:imagedata r:id="rId186" o:title=""/>
          </v:shape>
          <o:OLEObject Type="Embed" ProgID="Equation.DSMT4" ShapeID="_x0000_i1032" DrawAspect="Content" ObjectID="_1828270436" r:id="rId187"/>
        </w:object>
      </w:r>
      <w:r w:rsidRPr="000549B1">
        <w:rPr>
          <w:sz w:val="24"/>
          <w:szCs w:val="24"/>
        </w:rPr>
        <w:t>&gt;1</w:t>
      </w:r>
      <w:r w:rsidRPr="000549B1">
        <w:rPr>
          <w:sz w:val="24"/>
          <w:szCs w:val="24"/>
        </w:rPr>
        <w:t>的洪水，则为临时性的混合型；遇</w:t>
      </w:r>
      <w:r w:rsidRPr="000549B1">
        <w:rPr>
          <w:position w:val="-10"/>
          <w:sz w:val="24"/>
          <w:szCs w:val="24"/>
        </w:rPr>
        <w:object w:dxaOrig="365" w:dyaOrig="365" w14:anchorId="2BBCEE2D">
          <v:shape id="_x0000_i1033" type="#_x0000_t75" style="width:18.4pt;height:18.4pt" o:ole="">
            <v:imagedata r:id="rId186" o:title=""/>
          </v:shape>
          <o:OLEObject Type="Embed" ProgID="Equation.DSMT4" ShapeID="_x0000_i1033" DrawAspect="Content" ObjectID="_1828270437" r:id="rId188"/>
        </w:object>
      </w:r>
      <w:r w:rsidRPr="000549B1">
        <w:rPr>
          <w:sz w:val="24"/>
          <w:szCs w:val="24"/>
        </w:rPr>
        <w:t>&lt;0.5</w:t>
      </w:r>
      <w:r w:rsidRPr="000549B1">
        <w:rPr>
          <w:sz w:val="24"/>
          <w:szCs w:val="24"/>
        </w:rPr>
        <w:t>的洪水，则水库仍稳定分层；</w:t>
      </w:r>
      <w:r w:rsidRPr="000549B1">
        <w:rPr>
          <w:sz w:val="24"/>
          <w:szCs w:val="24"/>
        </w:rPr>
        <w:t>0.5&lt;</w:t>
      </w:r>
      <w:r w:rsidRPr="000549B1">
        <w:rPr>
          <w:position w:val="-10"/>
          <w:sz w:val="24"/>
          <w:szCs w:val="24"/>
        </w:rPr>
        <w:object w:dxaOrig="365" w:dyaOrig="365" w14:anchorId="4C89CBEF">
          <v:shape id="_x0000_i1034" type="#_x0000_t75" style="width:18.4pt;height:18.4pt" o:ole="">
            <v:imagedata r:id="rId186" o:title=""/>
          </v:shape>
          <o:OLEObject Type="Embed" ProgID="Equation.DSMT4" ShapeID="_x0000_i1034" DrawAspect="Content" ObjectID="_1828270438" r:id="rId189"/>
        </w:object>
      </w:r>
      <w:r w:rsidRPr="000549B1">
        <w:rPr>
          <w:sz w:val="24"/>
          <w:szCs w:val="24"/>
        </w:rPr>
        <w:t>&lt;1</w:t>
      </w:r>
      <w:r w:rsidRPr="000549B1">
        <w:rPr>
          <w:sz w:val="24"/>
          <w:szCs w:val="24"/>
        </w:rPr>
        <w:t>的洪水影响介于临时混合型与稳定分层型之间。</w:t>
      </w:r>
    </w:p>
    <w:p w14:paraId="1E67270B" w14:textId="77777777" w:rsidR="00054437" w:rsidRPr="000549B1" w:rsidRDefault="00000000">
      <w:pPr>
        <w:spacing w:line="500" w:lineRule="exact"/>
        <w:ind w:firstLineChars="200" w:firstLine="480"/>
        <w:jc w:val="left"/>
        <w:rPr>
          <w:sz w:val="24"/>
          <w:szCs w:val="24"/>
        </w:rPr>
      </w:pPr>
      <w:r w:rsidRPr="000549B1">
        <w:rPr>
          <w:sz w:val="24"/>
          <w:szCs w:val="24"/>
        </w:rPr>
        <w:t>大河坝水库总库容为</w:t>
      </w:r>
      <w:r w:rsidRPr="000549B1">
        <w:rPr>
          <w:sz w:val="24"/>
          <w:szCs w:val="24"/>
        </w:rPr>
        <w:t>7645</w:t>
      </w:r>
      <w:r w:rsidRPr="000549B1">
        <w:rPr>
          <w:sz w:val="24"/>
          <w:szCs w:val="24"/>
        </w:rPr>
        <w:t>万</w:t>
      </w:r>
      <w:r w:rsidRPr="000549B1">
        <w:rPr>
          <w:sz w:val="24"/>
          <w:szCs w:val="24"/>
        </w:rPr>
        <w:t>m</w:t>
      </w:r>
      <w:r w:rsidRPr="000549B1">
        <w:rPr>
          <w:sz w:val="24"/>
          <w:szCs w:val="24"/>
          <w:vertAlign w:val="superscript"/>
        </w:rPr>
        <w:t>3</w:t>
      </w:r>
      <w:r w:rsidRPr="000549B1">
        <w:rPr>
          <w:sz w:val="24"/>
          <w:szCs w:val="24"/>
        </w:rPr>
        <w:t>，坝址处多年平均径流量为</w:t>
      </w:r>
      <w:r w:rsidRPr="000549B1">
        <w:rPr>
          <w:sz w:val="24"/>
          <w:szCs w:val="24"/>
        </w:rPr>
        <w:t>0.26</w:t>
      </w:r>
      <w:r w:rsidRPr="000549B1">
        <w:rPr>
          <w:sz w:val="24"/>
          <w:szCs w:val="24"/>
        </w:rPr>
        <w:t>亿</w:t>
      </w:r>
      <w:r w:rsidRPr="000549B1">
        <w:rPr>
          <w:sz w:val="24"/>
          <w:szCs w:val="24"/>
        </w:rPr>
        <w:t>m</w:t>
      </w:r>
      <w:r w:rsidRPr="000549B1">
        <w:rPr>
          <w:sz w:val="24"/>
          <w:szCs w:val="24"/>
          <w:vertAlign w:val="superscript"/>
        </w:rPr>
        <w:t>3</w:t>
      </w:r>
      <w:r w:rsidRPr="000549B1">
        <w:rPr>
          <w:sz w:val="24"/>
          <w:szCs w:val="24"/>
        </w:rPr>
        <w:t>。根计算得到</w:t>
      </w:r>
      <w:r w:rsidRPr="000549B1">
        <w:rPr>
          <w:position w:val="-6"/>
          <w:sz w:val="24"/>
          <w:szCs w:val="24"/>
        </w:rPr>
        <w:object w:dxaOrig="237" w:dyaOrig="237" w14:anchorId="240120C4">
          <v:shape id="_x0000_i1035" type="#_x0000_t75" style="width:12pt;height:12pt" o:ole="">
            <v:imagedata r:id="rId182" o:title=""/>
          </v:shape>
          <o:OLEObject Type="Embed" ProgID="Equation.DSMT4" ShapeID="_x0000_i1035" DrawAspect="Content" ObjectID="_1828270439" r:id="rId190"/>
        </w:object>
      </w:r>
      <w:r w:rsidRPr="000549B1">
        <w:rPr>
          <w:sz w:val="24"/>
          <w:szCs w:val="24"/>
        </w:rPr>
        <w:t>值为</w:t>
      </w:r>
      <w:r w:rsidRPr="000549B1">
        <w:rPr>
          <w:sz w:val="24"/>
          <w:szCs w:val="24"/>
        </w:rPr>
        <w:t>0.34</w:t>
      </w:r>
      <w:r w:rsidRPr="000549B1">
        <w:rPr>
          <w:sz w:val="24"/>
          <w:szCs w:val="24"/>
        </w:rPr>
        <w:t>，远小于</w:t>
      </w:r>
      <w:r w:rsidRPr="000549B1">
        <w:rPr>
          <w:sz w:val="24"/>
          <w:szCs w:val="24"/>
        </w:rPr>
        <w:t>10</w:t>
      </w:r>
      <w:r w:rsidRPr="000549B1">
        <w:rPr>
          <w:sz w:val="24"/>
          <w:szCs w:val="24"/>
        </w:rPr>
        <w:t>。因此，判定大河坝水库为稳定分层型水温结构。</w:t>
      </w:r>
      <w:bookmarkStart w:id="374" w:name="_Toc456014686"/>
      <w:r w:rsidRPr="000549B1">
        <w:rPr>
          <w:sz w:val="24"/>
          <w:szCs w:val="24"/>
        </w:rPr>
        <w:t>经计算，一次洪水对大河坝水库水温结构有一定影响，洪水来水频率小且持续时间长，洪水会加快水库水体的流动性，打破水温稳定分层的结构，受洪水影响水库水温可能会形成临时混合型。</w:t>
      </w:r>
      <w:bookmarkEnd w:id="374"/>
    </w:p>
    <w:p w14:paraId="76519674" w14:textId="77777777" w:rsidR="00054437" w:rsidRPr="000549B1" w:rsidRDefault="00000000">
      <w:pPr>
        <w:spacing w:line="500" w:lineRule="exact"/>
        <w:ind w:firstLineChars="200" w:firstLine="480"/>
        <w:jc w:val="left"/>
        <w:rPr>
          <w:position w:val="-12"/>
          <w:sz w:val="24"/>
          <w:szCs w:val="24"/>
        </w:rPr>
      </w:pPr>
      <w:r w:rsidRPr="000549B1">
        <w:rPr>
          <w:sz w:val="24"/>
          <w:szCs w:val="24"/>
        </w:rPr>
        <w:t>（</w:t>
      </w:r>
      <w:r w:rsidRPr="000549B1">
        <w:rPr>
          <w:sz w:val="24"/>
          <w:szCs w:val="24"/>
        </w:rPr>
        <w:t>2</w:t>
      </w:r>
      <w:r w:rsidRPr="000549B1">
        <w:rPr>
          <w:sz w:val="24"/>
          <w:szCs w:val="24"/>
        </w:rPr>
        <w:t>）</w:t>
      </w:r>
      <w:r w:rsidRPr="000549B1">
        <w:rPr>
          <w:kern w:val="0"/>
          <w:sz w:val="24"/>
          <w:szCs w:val="24"/>
        </w:rPr>
        <w:t>密度佛汝德数法</w:t>
      </w:r>
      <w:r w:rsidRPr="000549B1">
        <w:rPr>
          <w:position w:val="-12"/>
          <w:sz w:val="24"/>
          <w:szCs w:val="24"/>
        </w:rPr>
        <w:object w:dxaOrig="237" w:dyaOrig="483" w14:anchorId="3285D63F">
          <v:shape id="_x0000_i1036" type="#_x0000_t75" style="width:12pt;height:24pt" o:ole="">
            <v:imagedata r:id="rId191" o:title=""/>
          </v:shape>
          <o:OLEObject Type="Embed" ProgID="Equation.DSMT4" ShapeID="_x0000_i1036" DrawAspect="Content" ObjectID="_1828270440" r:id="rId192"/>
        </w:object>
      </w:r>
      <w:bookmarkStart w:id="375" w:name="_Toc456014694"/>
    </w:p>
    <w:p w14:paraId="3305C897" w14:textId="77777777" w:rsidR="00054437" w:rsidRPr="000549B1" w:rsidRDefault="00000000">
      <w:pPr>
        <w:spacing w:line="500" w:lineRule="exact"/>
        <w:ind w:firstLineChars="200" w:firstLine="480"/>
        <w:jc w:val="left"/>
        <w:rPr>
          <w:sz w:val="24"/>
          <w:szCs w:val="24"/>
        </w:rPr>
      </w:pPr>
      <w:bookmarkStart w:id="376" w:name="_Toc456014688"/>
      <w:r w:rsidRPr="000549B1">
        <w:rPr>
          <w:sz w:val="24"/>
          <w:szCs w:val="24"/>
        </w:rPr>
        <w:t>1968</w:t>
      </w:r>
      <w:r w:rsidRPr="000549B1">
        <w:rPr>
          <w:sz w:val="24"/>
          <w:szCs w:val="24"/>
        </w:rPr>
        <w:t>年美国</w:t>
      </w:r>
      <w:r w:rsidRPr="000549B1">
        <w:rPr>
          <w:sz w:val="24"/>
          <w:szCs w:val="24"/>
        </w:rPr>
        <w:t>Norton</w:t>
      </w:r>
      <w:r w:rsidRPr="000549B1">
        <w:rPr>
          <w:sz w:val="24"/>
          <w:szCs w:val="24"/>
        </w:rPr>
        <w:t>等提出用密度佛汝德数作为标准，用以判断水库分层特性的方法。密度佛汝德数法是惯性力与密度差引起的浮力的比值，即：</w:t>
      </w:r>
      <w:bookmarkEnd w:id="376"/>
    </w:p>
    <w:bookmarkStart w:id="377" w:name="_Toc456014689"/>
    <w:p w14:paraId="7FED2AC8" w14:textId="77777777" w:rsidR="00054437" w:rsidRPr="000549B1" w:rsidRDefault="00000000">
      <w:pPr>
        <w:ind w:firstLineChars="900" w:firstLine="2160"/>
        <w:rPr>
          <w:sz w:val="24"/>
          <w:szCs w:val="24"/>
        </w:rPr>
      </w:pPr>
      <w:r w:rsidRPr="000549B1">
        <w:rPr>
          <w:sz w:val="24"/>
          <w:szCs w:val="24"/>
        </w:rPr>
        <w:object w:dxaOrig="1923" w:dyaOrig="957" w14:anchorId="57673944">
          <v:shape id="_x0000_i1037" type="#_x0000_t75" style="width:96pt;height:48pt" o:ole="">
            <v:imagedata r:id="rId193" o:title=""/>
          </v:shape>
          <o:OLEObject Type="Embed" ProgID="Equation.DSMT4" ShapeID="_x0000_i1037" DrawAspect="Content" ObjectID="_1828270441" r:id="rId194"/>
        </w:object>
      </w:r>
      <w:bookmarkEnd w:id="377"/>
    </w:p>
    <w:p w14:paraId="488F4A5E" w14:textId="77777777" w:rsidR="00054437" w:rsidRPr="000549B1" w:rsidRDefault="00000000">
      <w:pPr>
        <w:spacing w:line="500" w:lineRule="exact"/>
        <w:ind w:firstLineChars="200" w:firstLine="480"/>
        <w:jc w:val="left"/>
        <w:rPr>
          <w:sz w:val="24"/>
          <w:szCs w:val="24"/>
        </w:rPr>
      </w:pPr>
      <w:bookmarkStart w:id="378" w:name="_Toc456014690"/>
      <w:r w:rsidRPr="000549B1">
        <w:rPr>
          <w:sz w:val="24"/>
          <w:szCs w:val="24"/>
        </w:rPr>
        <w:t>其中，</w:t>
      </w:r>
      <w:r w:rsidRPr="000549B1">
        <w:rPr>
          <w:position w:val="-6"/>
          <w:sz w:val="24"/>
          <w:szCs w:val="24"/>
        </w:rPr>
        <w:object w:dxaOrig="237" w:dyaOrig="237" w14:anchorId="54C0F90D">
          <v:shape id="_x0000_i1038" type="#_x0000_t75" style="width:12pt;height:12pt" o:ole="">
            <v:imagedata r:id="rId195" o:title=""/>
          </v:shape>
          <o:OLEObject Type="Embed" ProgID="Equation.DSMT4" ShapeID="_x0000_i1038" DrawAspect="Content" ObjectID="_1828270442" r:id="rId196"/>
        </w:object>
      </w:r>
      <w:r w:rsidRPr="000549B1">
        <w:rPr>
          <w:sz w:val="24"/>
          <w:szCs w:val="24"/>
        </w:rPr>
        <w:t>为断面平均流速，</w:t>
      </w:r>
      <w:r w:rsidRPr="000549B1">
        <w:rPr>
          <w:sz w:val="24"/>
          <w:szCs w:val="24"/>
        </w:rPr>
        <w:t>m/s</w:t>
      </w:r>
      <w:r w:rsidRPr="000549B1">
        <w:rPr>
          <w:sz w:val="24"/>
          <w:szCs w:val="24"/>
        </w:rPr>
        <w:t>；</w:t>
      </w:r>
      <w:r w:rsidRPr="000549B1">
        <w:rPr>
          <w:i/>
          <w:sz w:val="24"/>
          <w:szCs w:val="24"/>
        </w:rPr>
        <w:t>H</w:t>
      </w:r>
      <w:r w:rsidRPr="000549B1">
        <w:rPr>
          <w:sz w:val="24"/>
          <w:szCs w:val="24"/>
        </w:rPr>
        <w:t>为水深，</w:t>
      </w:r>
      <w:r w:rsidRPr="000549B1">
        <w:rPr>
          <w:sz w:val="24"/>
          <w:szCs w:val="24"/>
        </w:rPr>
        <w:t>m</w:t>
      </w:r>
      <w:r w:rsidRPr="000549B1">
        <w:rPr>
          <w:sz w:val="24"/>
          <w:szCs w:val="24"/>
        </w:rPr>
        <w:t>；</w:t>
      </w:r>
      <w:r w:rsidRPr="000549B1">
        <w:rPr>
          <w:position w:val="-10"/>
          <w:sz w:val="24"/>
          <w:szCs w:val="24"/>
        </w:rPr>
        <w:object w:dxaOrig="483" w:dyaOrig="483" w14:anchorId="31A31644">
          <v:shape id="_x0000_i1039" type="#_x0000_t75" style="width:24pt;height:24pt" o:ole="">
            <v:imagedata r:id="rId197" o:title=""/>
          </v:shape>
          <o:OLEObject Type="Embed" ProgID="Equation.DSMT4" ShapeID="_x0000_i1039" DrawAspect="Content" ObjectID="_1828270443" r:id="rId198"/>
        </w:object>
      </w:r>
      <w:r w:rsidRPr="000549B1">
        <w:rPr>
          <w:sz w:val="24"/>
          <w:szCs w:val="24"/>
        </w:rPr>
        <w:t>为水深</w:t>
      </w:r>
      <w:r w:rsidRPr="000549B1">
        <w:rPr>
          <w:i/>
          <w:sz w:val="24"/>
          <w:szCs w:val="24"/>
        </w:rPr>
        <w:t>H</w:t>
      </w:r>
      <w:r w:rsidRPr="000549B1">
        <w:rPr>
          <w:sz w:val="24"/>
          <w:szCs w:val="24"/>
        </w:rPr>
        <w:t>上的最大密度差，</w:t>
      </w:r>
      <w:r w:rsidRPr="000549B1">
        <w:rPr>
          <w:sz w:val="24"/>
          <w:szCs w:val="24"/>
        </w:rPr>
        <w:t>kg/m</w:t>
      </w:r>
      <w:r w:rsidRPr="000549B1">
        <w:rPr>
          <w:sz w:val="24"/>
          <w:szCs w:val="24"/>
          <w:vertAlign w:val="superscript"/>
        </w:rPr>
        <w:t>3</w:t>
      </w:r>
      <w:r w:rsidRPr="000549B1">
        <w:rPr>
          <w:sz w:val="24"/>
          <w:szCs w:val="24"/>
        </w:rPr>
        <w:t>；</w:t>
      </w:r>
      <w:r w:rsidRPr="000549B1">
        <w:rPr>
          <w:position w:val="-12"/>
          <w:sz w:val="24"/>
          <w:szCs w:val="24"/>
        </w:rPr>
        <w:object w:dxaOrig="365" w:dyaOrig="483" w14:anchorId="5B845E55">
          <v:shape id="_x0000_i1040" type="#_x0000_t75" style="width:18.4pt;height:24pt" o:ole="">
            <v:imagedata r:id="rId199" o:title=""/>
          </v:shape>
          <o:OLEObject Type="Embed" ProgID="Equation.DSMT4" ShapeID="_x0000_i1040" DrawAspect="Content" ObjectID="_1828270444" r:id="rId200"/>
        </w:object>
      </w:r>
      <w:r w:rsidRPr="000549B1">
        <w:rPr>
          <w:sz w:val="24"/>
          <w:szCs w:val="24"/>
        </w:rPr>
        <w:t>为参考密度，</w:t>
      </w:r>
      <w:r w:rsidRPr="000549B1">
        <w:rPr>
          <w:sz w:val="24"/>
          <w:szCs w:val="24"/>
        </w:rPr>
        <w:t>kg/m</w:t>
      </w:r>
      <w:r w:rsidRPr="000549B1">
        <w:rPr>
          <w:sz w:val="24"/>
          <w:szCs w:val="24"/>
          <w:vertAlign w:val="superscript"/>
        </w:rPr>
        <w:t>3</w:t>
      </w:r>
      <w:r w:rsidRPr="000549B1">
        <w:rPr>
          <w:sz w:val="24"/>
          <w:szCs w:val="24"/>
        </w:rPr>
        <w:t>；</w:t>
      </w:r>
      <w:r w:rsidRPr="000549B1">
        <w:rPr>
          <w:i/>
          <w:sz w:val="24"/>
          <w:szCs w:val="24"/>
        </w:rPr>
        <w:t>g</w:t>
      </w:r>
      <w:r w:rsidRPr="000549B1">
        <w:rPr>
          <w:sz w:val="24"/>
          <w:szCs w:val="24"/>
        </w:rPr>
        <w:t>为重力加速度，</w:t>
      </w:r>
      <w:r w:rsidRPr="000549B1">
        <w:rPr>
          <w:sz w:val="24"/>
          <w:szCs w:val="24"/>
        </w:rPr>
        <w:t>m/s</w:t>
      </w:r>
      <w:r w:rsidRPr="000549B1">
        <w:rPr>
          <w:sz w:val="24"/>
          <w:szCs w:val="24"/>
          <w:vertAlign w:val="superscript"/>
        </w:rPr>
        <w:t>2</w:t>
      </w:r>
      <w:r w:rsidRPr="000549B1">
        <w:rPr>
          <w:sz w:val="24"/>
          <w:szCs w:val="24"/>
        </w:rPr>
        <w:t>。</w:t>
      </w:r>
      <w:bookmarkStart w:id="379" w:name="_Toc456014691"/>
      <w:bookmarkEnd w:id="378"/>
    </w:p>
    <w:p w14:paraId="3C24E0F9" w14:textId="77777777" w:rsidR="00054437" w:rsidRPr="000549B1" w:rsidRDefault="00000000">
      <w:pPr>
        <w:spacing w:line="500" w:lineRule="exact"/>
        <w:ind w:firstLineChars="200" w:firstLine="480"/>
        <w:jc w:val="left"/>
        <w:rPr>
          <w:sz w:val="24"/>
          <w:szCs w:val="24"/>
        </w:rPr>
      </w:pPr>
      <w:r w:rsidRPr="000549B1">
        <w:rPr>
          <w:sz w:val="24"/>
          <w:szCs w:val="24"/>
        </w:rPr>
        <w:t>鉴于资料限制采用公式的另外一种形式，如下：</w:t>
      </w:r>
      <w:bookmarkEnd w:id="379"/>
    </w:p>
    <w:bookmarkStart w:id="380" w:name="_Toc456014692"/>
    <w:p w14:paraId="6DD78EB7" w14:textId="77777777" w:rsidR="00054437" w:rsidRPr="000549B1" w:rsidRDefault="00000000">
      <w:pPr>
        <w:ind w:firstLineChars="1100" w:firstLine="2640"/>
        <w:rPr>
          <w:sz w:val="24"/>
          <w:szCs w:val="24"/>
        </w:rPr>
      </w:pPr>
      <w:r w:rsidRPr="000549B1">
        <w:rPr>
          <w:sz w:val="24"/>
          <w:szCs w:val="24"/>
        </w:rPr>
        <w:object w:dxaOrig="1322" w:dyaOrig="611" w14:anchorId="2438825E">
          <v:shape id="_x0000_i1041" type="#_x0000_t75" style="width:66pt;height:30.75pt" o:ole="">
            <v:imagedata r:id="rId201" o:title=""/>
          </v:shape>
          <o:OLEObject Type="Embed" ProgID="Equation.DSMT4" ShapeID="_x0000_i1041" DrawAspect="Content" ObjectID="_1828270445" r:id="rId202"/>
        </w:object>
      </w:r>
      <w:bookmarkEnd w:id="380"/>
    </w:p>
    <w:p w14:paraId="018AEFA8" w14:textId="77777777" w:rsidR="00054437" w:rsidRPr="000549B1" w:rsidRDefault="00000000">
      <w:pPr>
        <w:spacing w:line="500" w:lineRule="exact"/>
        <w:ind w:firstLineChars="200" w:firstLine="480"/>
        <w:jc w:val="left"/>
        <w:rPr>
          <w:sz w:val="24"/>
          <w:szCs w:val="24"/>
        </w:rPr>
      </w:pPr>
      <w:bookmarkStart w:id="381" w:name="_Toc456014693"/>
      <w:r w:rsidRPr="000549B1">
        <w:rPr>
          <w:sz w:val="24"/>
          <w:szCs w:val="24"/>
        </w:rPr>
        <w:t>式中：</w:t>
      </w:r>
      <w:r w:rsidRPr="000549B1">
        <w:rPr>
          <w:position w:val="-12"/>
          <w:sz w:val="24"/>
          <w:szCs w:val="24"/>
        </w:rPr>
        <w:object w:dxaOrig="237" w:dyaOrig="483" w14:anchorId="6FBFB4F8">
          <v:shape id="_x0000_i1042" type="#_x0000_t75" style="width:12pt;height:24pt" o:ole="">
            <v:imagedata r:id="rId203" o:title=""/>
          </v:shape>
          <o:OLEObject Type="Embed" ProgID="Equation.DSMT4" ShapeID="_x0000_i1042" DrawAspect="Content" ObjectID="_1828270446" r:id="rId204"/>
        </w:object>
      </w:r>
      <w:r w:rsidRPr="000549B1">
        <w:rPr>
          <w:sz w:val="24"/>
          <w:szCs w:val="24"/>
        </w:rPr>
        <w:t>为密度佛汝德数。</w:t>
      </w:r>
      <w:r w:rsidRPr="000549B1">
        <w:rPr>
          <w:i/>
          <w:sz w:val="24"/>
          <w:szCs w:val="24"/>
        </w:rPr>
        <w:t>L</w:t>
      </w:r>
      <w:r w:rsidRPr="000549B1">
        <w:rPr>
          <w:sz w:val="24"/>
          <w:szCs w:val="24"/>
        </w:rPr>
        <w:t>为水库长度，</w:t>
      </w:r>
      <w:r w:rsidRPr="000549B1">
        <w:rPr>
          <w:sz w:val="24"/>
          <w:szCs w:val="24"/>
        </w:rPr>
        <w:t>m</w:t>
      </w:r>
      <w:r w:rsidRPr="000549B1">
        <w:rPr>
          <w:sz w:val="24"/>
          <w:szCs w:val="24"/>
        </w:rPr>
        <w:t>；</w:t>
      </w:r>
      <w:r w:rsidRPr="000549B1">
        <w:rPr>
          <w:position w:val="-10"/>
          <w:sz w:val="24"/>
          <w:szCs w:val="24"/>
        </w:rPr>
        <w:object w:dxaOrig="237" w:dyaOrig="483" w14:anchorId="7FF2B59C">
          <v:shape id="_x0000_i1043" type="#_x0000_t75" style="width:12pt;height:24pt" o:ole="">
            <v:imagedata r:id="rId205" o:title=""/>
          </v:shape>
          <o:OLEObject Type="Embed" ProgID="Equation.DSMT4" ShapeID="_x0000_i1043" DrawAspect="Content" ObjectID="_1828270447" r:id="rId206"/>
        </w:object>
      </w:r>
      <w:r w:rsidRPr="000549B1">
        <w:rPr>
          <w:sz w:val="24"/>
          <w:szCs w:val="24"/>
        </w:rPr>
        <w:t>为入库流量，</w:t>
      </w:r>
      <w:r w:rsidRPr="000549B1">
        <w:rPr>
          <w:sz w:val="24"/>
          <w:szCs w:val="24"/>
        </w:rPr>
        <w:t>m</w:t>
      </w:r>
      <w:r w:rsidRPr="000549B1">
        <w:rPr>
          <w:sz w:val="24"/>
          <w:szCs w:val="24"/>
          <w:vertAlign w:val="superscript"/>
        </w:rPr>
        <w:t>3</w:t>
      </w:r>
      <w:r w:rsidRPr="000549B1">
        <w:rPr>
          <w:sz w:val="24"/>
          <w:szCs w:val="24"/>
        </w:rPr>
        <w:t>/s</w:t>
      </w:r>
      <w:r w:rsidRPr="000549B1">
        <w:rPr>
          <w:sz w:val="24"/>
          <w:szCs w:val="24"/>
        </w:rPr>
        <w:t>；</w:t>
      </w:r>
      <w:r w:rsidRPr="000549B1">
        <w:rPr>
          <w:position w:val="-6"/>
          <w:sz w:val="24"/>
          <w:szCs w:val="24"/>
        </w:rPr>
        <w:object w:dxaOrig="237" w:dyaOrig="237" w14:anchorId="587405FD">
          <v:shape id="_x0000_i1044" type="#_x0000_t75" style="width:12pt;height:12pt" o:ole="">
            <v:imagedata r:id="rId207" o:title=""/>
          </v:shape>
          <o:OLEObject Type="Embed" ProgID="Equation.DSMT4" ShapeID="_x0000_i1044" DrawAspect="Content" ObjectID="_1828270448" r:id="rId208"/>
        </w:object>
      </w:r>
      <w:r w:rsidRPr="000549B1">
        <w:rPr>
          <w:sz w:val="24"/>
          <w:szCs w:val="24"/>
        </w:rPr>
        <w:t>为蓄水体的体积，</w:t>
      </w:r>
      <w:r w:rsidRPr="000549B1">
        <w:rPr>
          <w:sz w:val="24"/>
          <w:szCs w:val="24"/>
        </w:rPr>
        <w:t>m</w:t>
      </w:r>
      <w:r w:rsidRPr="000549B1">
        <w:rPr>
          <w:sz w:val="24"/>
          <w:szCs w:val="24"/>
          <w:vertAlign w:val="superscript"/>
        </w:rPr>
        <w:t>3</w:t>
      </w:r>
      <w:r w:rsidRPr="000549B1">
        <w:rPr>
          <w:sz w:val="24"/>
          <w:szCs w:val="24"/>
        </w:rPr>
        <w:t>。</w:t>
      </w:r>
      <w:bookmarkEnd w:id="381"/>
    </w:p>
    <w:p w14:paraId="4A18A62B" w14:textId="77777777" w:rsidR="00054437" w:rsidRPr="000549B1" w:rsidRDefault="00000000">
      <w:pPr>
        <w:spacing w:line="500" w:lineRule="exact"/>
        <w:ind w:firstLineChars="200" w:firstLine="480"/>
        <w:jc w:val="left"/>
        <w:rPr>
          <w:sz w:val="24"/>
          <w:szCs w:val="24"/>
        </w:rPr>
      </w:pPr>
      <w:r w:rsidRPr="000549B1">
        <w:rPr>
          <w:sz w:val="24"/>
          <w:szCs w:val="24"/>
        </w:rPr>
        <w:t>当</w:t>
      </w:r>
      <w:r w:rsidRPr="000549B1">
        <w:rPr>
          <w:position w:val="-12"/>
          <w:sz w:val="24"/>
          <w:szCs w:val="24"/>
        </w:rPr>
        <w:object w:dxaOrig="237" w:dyaOrig="483" w14:anchorId="6953382A">
          <v:shape id="_x0000_i1045" type="#_x0000_t75" style="width:12pt;height:24pt" o:ole="">
            <v:imagedata r:id="rId191" o:title=""/>
          </v:shape>
          <o:OLEObject Type="Embed" ProgID="Equation.DSMT4" ShapeID="_x0000_i1045" DrawAspect="Content" ObjectID="_1828270449" r:id="rId209"/>
        </w:object>
      </w:r>
      <w:r w:rsidRPr="000549B1">
        <w:rPr>
          <w:sz w:val="24"/>
          <w:szCs w:val="24"/>
        </w:rPr>
        <w:t>&lt;0.1</w:t>
      </w:r>
      <w:r w:rsidRPr="000549B1">
        <w:rPr>
          <w:sz w:val="24"/>
          <w:szCs w:val="24"/>
        </w:rPr>
        <w:t>，水库为分层型；</w:t>
      </w:r>
      <w:r w:rsidRPr="000549B1">
        <w:rPr>
          <w:sz w:val="24"/>
          <w:szCs w:val="24"/>
        </w:rPr>
        <w:t>0.1&lt;</w:t>
      </w:r>
      <w:r w:rsidRPr="000549B1">
        <w:rPr>
          <w:position w:val="-12"/>
          <w:sz w:val="24"/>
          <w:szCs w:val="24"/>
        </w:rPr>
        <w:object w:dxaOrig="237" w:dyaOrig="483" w14:anchorId="12E5D461">
          <v:shape id="_x0000_i1046" type="#_x0000_t75" style="width:12pt;height:24pt" o:ole="">
            <v:imagedata r:id="rId210" o:title=""/>
          </v:shape>
          <o:OLEObject Type="Embed" ProgID="Equation.DSMT4" ShapeID="_x0000_i1046" DrawAspect="Content" ObjectID="_1828270450" r:id="rId211"/>
        </w:object>
      </w:r>
      <w:r w:rsidRPr="000549B1">
        <w:rPr>
          <w:sz w:val="24"/>
          <w:szCs w:val="24"/>
        </w:rPr>
        <w:t>&lt;</w:t>
      </w:r>
      <w:r w:rsidRPr="000549B1">
        <w:rPr>
          <w:position w:val="-6"/>
          <w:sz w:val="24"/>
          <w:szCs w:val="24"/>
        </w:rPr>
        <w:object w:dxaOrig="483" w:dyaOrig="237" w14:anchorId="14298182">
          <v:shape id="_x0000_i1047" type="#_x0000_t75" style="width:24pt;height:12pt" o:ole="">
            <v:imagedata r:id="rId212" o:title=""/>
          </v:shape>
          <o:OLEObject Type="Embed" ProgID="Equation.DSMT4" ShapeID="_x0000_i1047" DrawAspect="Content" ObjectID="_1828270451" r:id="rId213"/>
        </w:object>
      </w:r>
      <w:r w:rsidRPr="000549B1">
        <w:rPr>
          <w:sz w:val="24"/>
          <w:szCs w:val="24"/>
        </w:rPr>
        <w:t>为过渡型；</w:t>
      </w:r>
      <w:r w:rsidRPr="000549B1">
        <w:rPr>
          <w:position w:val="-12"/>
          <w:sz w:val="24"/>
          <w:szCs w:val="24"/>
        </w:rPr>
        <w:object w:dxaOrig="237" w:dyaOrig="483" w14:anchorId="477D209B">
          <v:shape id="_x0000_i1048" type="#_x0000_t75" style="width:12pt;height:24pt" o:ole="">
            <v:imagedata r:id="rId214" o:title=""/>
          </v:shape>
          <o:OLEObject Type="Embed" ProgID="Equation.DSMT4" ShapeID="_x0000_i1048" DrawAspect="Content" ObjectID="_1828270452" r:id="rId215"/>
        </w:object>
      </w:r>
      <w:r w:rsidRPr="000549B1">
        <w:rPr>
          <w:sz w:val="24"/>
          <w:szCs w:val="24"/>
        </w:rPr>
        <w:t>&gt;</w:t>
      </w:r>
      <w:r w:rsidRPr="000549B1">
        <w:rPr>
          <w:position w:val="-6"/>
          <w:sz w:val="24"/>
          <w:szCs w:val="24"/>
        </w:rPr>
        <w:object w:dxaOrig="483" w:dyaOrig="237" w14:anchorId="0EEA8A8E">
          <v:shape id="_x0000_i1049" type="#_x0000_t75" style="width:24pt;height:12pt" o:ole="">
            <v:imagedata r:id="rId212" o:title=""/>
          </v:shape>
          <o:OLEObject Type="Embed" ProgID="Equation.DSMT4" ShapeID="_x0000_i1049" DrawAspect="Content" ObjectID="_1828270453" r:id="rId216"/>
        </w:object>
      </w:r>
      <w:r w:rsidRPr="000549B1">
        <w:rPr>
          <w:sz w:val="24"/>
          <w:szCs w:val="24"/>
        </w:rPr>
        <w:t>，水库为混合型。根据计算得到其</w:t>
      </w:r>
      <w:r w:rsidRPr="000549B1">
        <w:rPr>
          <w:i/>
          <w:sz w:val="24"/>
          <w:szCs w:val="24"/>
        </w:rPr>
        <w:t>Fr</w:t>
      </w:r>
      <w:r w:rsidRPr="000549B1">
        <w:rPr>
          <w:sz w:val="24"/>
          <w:szCs w:val="24"/>
        </w:rPr>
        <w:t>值为</w:t>
      </w:r>
      <w:r w:rsidRPr="000549B1">
        <w:rPr>
          <w:sz w:val="24"/>
          <w:szCs w:val="24"/>
        </w:rPr>
        <w:t>0.002</w:t>
      </w:r>
      <w:r w:rsidRPr="000549B1">
        <w:rPr>
          <w:sz w:val="24"/>
          <w:szCs w:val="24"/>
        </w:rPr>
        <w:t>，即通过密度佛汝德数法判定大河坝水库的水温结构类型为分层型。</w:t>
      </w:r>
      <w:bookmarkEnd w:id="375"/>
    </w:p>
    <w:p w14:paraId="2EABAAEC" w14:textId="77777777" w:rsidR="00054437" w:rsidRPr="000549B1" w:rsidRDefault="00000000">
      <w:pPr>
        <w:spacing w:line="500" w:lineRule="exact"/>
        <w:ind w:firstLineChars="200" w:firstLine="480"/>
        <w:jc w:val="left"/>
        <w:rPr>
          <w:kern w:val="0"/>
          <w:sz w:val="24"/>
          <w:szCs w:val="24"/>
        </w:rPr>
      </w:pPr>
      <w:r w:rsidRPr="000549B1">
        <w:rPr>
          <w:kern w:val="0"/>
          <w:sz w:val="24"/>
          <w:szCs w:val="24"/>
        </w:rPr>
        <w:t>根据以上</w:t>
      </w:r>
      <w:r w:rsidRPr="000549B1">
        <w:rPr>
          <w:kern w:val="0"/>
          <w:sz w:val="24"/>
          <w:szCs w:val="24"/>
        </w:rPr>
        <w:t>2</w:t>
      </w:r>
      <w:r w:rsidRPr="000549B1">
        <w:rPr>
          <w:kern w:val="0"/>
          <w:sz w:val="24"/>
          <w:szCs w:val="24"/>
        </w:rPr>
        <w:t>种方法初步判断大河坝水库水温结构为稳定分层型，但受洪水洪量和持续时间长短的影响，水库水温可能会形成临时混合型。</w:t>
      </w:r>
    </w:p>
    <w:p w14:paraId="0AC8E2E0" w14:textId="77777777" w:rsidR="00054437" w:rsidRPr="000549B1" w:rsidRDefault="00000000">
      <w:pPr>
        <w:pStyle w:val="Z4"/>
        <w:rPr>
          <w:color w:val="auto"/>
        </w:rPr>
      </w:pPr>
      <w:r w:rsidRPr="000549B1">
        <w:rPr>
          <w:color w:val="auto"/>
        </w:rPr>
        <w:t>库区水温影响预测分析</w:t>
      </w:r>
    </w:p>
    <w:p w14:paraId="57B45542" w14:textId="77777777" w:rsidR="00054437" w:rsidRPr="000549B1" w:rsidRDefault="00000000">
      <w:pPr>
        <w:spacing w:line="500" w:lineRule="exact"/>
        <w:ind w:firstLineChars="200" w:firstLine="480"/>
        <w:rPr>
          <w:sz w:val="24"/>
          <w:szCs w:val="24"/>
        </w:rPr>
      </w:pPr>
      <w:r w:rsidRPr="000549B1">
        <w:rPr>
          <w:sz w:val="24"/>
          <w:szCs w:val="24"/>
        </w:rPr>
        <w:t>大河坝水库是规划</w:t>
      </w:r>
      <w:r w:rsidRPr="000549B1">
        <w:rPr>
          <w:rFonts w:ascii="宋体" w:hAnsi="宋体"/>
          <w:kern w:val="0"/>
          <w:sz w:val="24"/>
          <w:szCs w:val="24"/>
        </w:rPr>
        <w:t>“</w:t>
      </w:r>
      <w:r w:rsidRPr="000549B1">
        <w:rPr>
          <w:kern w:val="0"/>
          <w:sz w:val="24"/>
          <w:szCs w:val="24"/>
        </w:rPr>
        <w:t>三滩</w:t>
      </w:r>
      <w:r w:rsidRPr="000549B1">
        <w:rPr>
          <w:rFonts w:ascii="宋体" w:hAnsi="宋体"/>
          <w:kern w:val="0"/>
          <w:sz w:val="24"/>
          <w:szCs w:val="24"/>
        </w:rPr>
        <w:t>”</w:t>
      </w:r>
      <w:r w:rsidRPr="000549B1">
        <w:rPr>
          <w:kern w:val="0"/>
          <w:sz w:val="24"/>
          <w:szCs w:val="24"/>
        </w:rPr>
        <w:t>引水生态综合治理一期工程</w:t>
      </w:r>
      <w:r w:rsidRPr="000549B1">
        <w:rPr>
          <w:sz w:val="24"/>
          <w:szCs w:val="24"/>
        </w:rPr>
        <w:t>的调蓄水库，水库死水位</w:t>
      </w:r>
      <w:r w:rsidRPr="000549B1">
        <w:rPr>
          <w:sz w:val="24"/>
          <w:szCs w:val="24"/>
        </w:rPr>
        <w:t>3305.0m</w:t>
      </w:r>
      <w:r w:rsidRPr="000549B1">
        <w:rPr>
          <w:sz w:val="24"/>
          <w:szCs w:val="24"/>
        </w:rPr>
        <w:t>，正常蓄水位</w:t>
      </w:r>
      <w:r w:rsidRPr="000549B1">
        <w:rPr>
          <w:sz w:val="24"/>
          <w:szCs w:val="24"/>
        </w:rPr>
        <w:t>3343.0m</w:t>
      </w:r>
      <w:r w:rsidRPr="000549B1">
        <w:rPr>
          <w:sz w:val="24"/>
          <w:szCs w:val="24"/>
        </w:rPr>
        <w:t>，兴利库容为</w:t>
      </w:r>
      <w:r w:rsidRPr="000549B1">
        <w:rPr>
          <w:sz w:val="24"/>
          <w:szCs w:val="24"/>
        </w:rPr>
        <w:t>6354</w:t>
      </w:r>
      <w:r w:rsidRPr="000549B1">
        <w:rPr>
          <w:sz w:val="24"/>
          <w:szCs w:val="24"/>
        </w:rPr>
        <w:t>万</w:t>
      </w:r>
      <w:r w:rsidRPr="000549B1">
        <w:rPr>
          <w:sz w:val="24"/>
          <w:szCs w:val="24"/>
        </w:rPr>
        <w:t>m</w:t>
      </w:r>
      <w:r w:rsidRPr="000549B1">
        <w:rPr>
          <w:sz w:val="24"/>
          <w:szCs w:val="24"/>
          <w:vertAlign w:val="superscript"/>
        </w:rPr>
        <w:t>3</w:t>
      </w:r>
      <w:r w:rsidRPr="000549B1">
        <w:rPr>
          <w:sz w:val="24"/>
          <w:szCs w:val="24"/>
        </w:rPr>
        <w:t>，属多年调节水库。采用经验判别法判断水库水温结构类型时，考虑的因素比较单一，只考虑了库容条件和径流大小，未涉及水库本身之外的因素，比如入流水温、平均水深等。相对于经验判断法，数学模型能更加准确地反映水库水温结构特征以及时空演变过程，本报告采用立面二维</w:t>
      </w:r>
      <w:r w:rsidRPr="000549B1">
        <w:rPr>
          <w:sz w:val="24"/>
          <w:szCs w:val="24"/>
        </w:rPr>
        <w:t>CE-QUAL-W2</w:t>
      </w:r>
      <w:r w:rsidRPr="000549B1">
        <w:rPr>
          <w:sz w:val="24"/>
          <w:szCs w:val="24"/>
        </w:rPr>
        <w:t>水温模型开展大河坝水库水温影响分析。</w:t>
      </w:r>
    </w:p>
    <w:p w14:paraId="3C37B36C" w14:textId="77777777" w:rsidR="00054437" w:rsidRPr="000549B1" w:rsidRDefault="00000000">
      <w:pPr>
        <w:pStyle w:val="0A1"/>
        <w:rPr>
          <w:bCs/>
        </w:rPr>
      </w:pPr>
      <w:r w:rsidRPr="000549B1">
        <w:rPr>
          <w:bCs/>
        </w:rPr>
        <w:t>（</w:t>
      </w:r>
      <w:r w:rsidRPr="000549B1">
        <w:rPr>
          <w:bCs/>
        </w:rPr>
        <w:t>1</w:t>
      </w:r>
      <w:r w:rsidRPr="000549B1">
        <w:rPr>
          <w:bCs/>
        </w:rPr>
        <w:t>）水温数学模型构建</w:t>
      </w:r>
    </w:p>
    <w:p w14:paraId="3FEB0609" w14:textId="77777777" w:rsidR="00054437" w:rsidRPr="000549B1" w:rsidRDefault="00000000">
      <w:pPr>
        <w:pStyle w:val="0A1"/>
        <w:rPr>
          <w:b/>
        </w:rPr>
      </w:pPr>
      <w:r w:rsidRPr="000549B1">
        <w:t>1</w:t>
      </w:r>
      <w:r w:rsidRPr="000549B1">
        <w:t>）模型构建方程</w:t>
      </w:r>
    </w:p>
    <w:p w14:paraId="36534BE8" w14:textId="77777777" w:rsidR="00054437" w:rsidRPr="000549B1" w:rsidRDefault="00000000">
      <w:pPr>
        <w:pStyle w:val="0A1"/>
        <w:rPr>
          <w:b/>
        </w:rPr>
      </w:pPr>
      <w:r w:rsidRPr="000549B1">
        <w:t>采用水库水温数学模型预测</w:t>
      </w:r>
      <w:r w:rsidRPr="000549B1">
        <w:t>P=10%</w:t>
      </w:r>
      <w:r w:rsidRPr="000549B1">
        <w:t>、</w:t>
      </w:r>
      <w:r w:rsidRPr="000549B1">
        <w:t>50%</w:t>
      </w:r>
      <w:r w:rsidRPr="000549B1">
        <w:t>、</w:t>
      </w:r>
      <w:r w:rsidRPr="000549B1">
        <w:t>90%</w:t>
      </w:r>
      <w:r w:rsidRPr="000549B1">
        <w:t>不同来水频率条件下，设计水平年</w:t>
      </w:r>
      <w:r w:rsidRPr="000549B1">
        <w:t>2035</w:t>
      </w:r>
      <w:r w:rsidRPr="000549B1">
        <w:t>年大河坝水库库区及下泄水温状况。根据拟建水库库区河道地形测量数据，考虑水库淹没及回水范围，当地气象因素、水库建成后水动力条件等对水库水温的影响，预测库区及下泄水温变化。</w:t>
      </w:r>
    </w:p>
    <w:p w14:paraId="3493C572" w14:textId="548157E2" w:rsidR="00054437" w:rsidRPr="0004712B" w:rsidRDefault="00000000" w:rsidP="0004712B">
      <w:pPr>
        <w:pStyle w:val="aff9"/>
        <w:numPr>
          <w:ilvl w:val="0"/>
          <w:numId w:val="28"/>
        </w:numPr>
        <w:tabs>
          <w:tab w:val="left" w:pos="4500"/>
        </w:tabs>
        <w:spacing w:line="500" w:lineRule="exact"/>
        <w:ind w:firstLineChars="0"/>
        <w:jc w:val="left"/>
        <w:rPr>
          <w:sz w:val="24"/>
          <w:szCs w:val="24"/>
        </w:rPr>
      </w:pPr>
      <w:r w:rsidRPr="0004712B">
        <w:rPr>
          <w:sz w:val="24"/>
          <w:szCs w:val="24"/>
        </w:rPr>
        <w:t>控制方程</w:t>
      </w:r>
    </w:p>
    <w:p w14:paraId="240A68CD" w14:textId="1855A26E" w:rsidR="00054437" w:rsidRPr="000549B1" w:rsidRDefault="00000000">
      <w:pPr>
        <w:pStyle w:val="0A1"/>
        <w:jc w:val="both"/>
        <w:rPr>
          <w:b/>
        </w:rPr>
      </w:pPr>
      <w:r w:rsidRPr="000549B1">
        <w:t>采用开源代码</w:t>
      </w:r>
      <w:bookmarkStart w:id="382" w:name="_Hlk172291107"/>
      <w:r w:rsidRPr="000549B1">
        <w:t>CE-QUAL-W2</w:t>
      </w:r>
      <w:bookmarkEnd w:id="382"/>
      <w:r w:rsidRPr="000549B1">
        <w:t>（</w:t>
      </w:r>
      <w:r w:rsidRPr="000549B1">
        <w:t>ATwo-Dimentional,</w:t>
      </w:r>
      <w:r w:rsidR="0004712B">
        <w:rPr>
          <w:rFonts w:hint="eastAsia"/>
        </w:rPr>
        <w:t xml:space="preserve"> </w:t>
      </w:r>
      <w:r w:rsidRPr="000549B1">
        <w:t>Laterally</w:t>
      </w:r>
      <w:r w:rsidR="0004712B">
        <w:rPr>
          <w:rFonts w:hint="eastAsia"/>
        </w:rPr>
        <w:t xml:space="preserve"> </w:t>
      </w:r>
      <w:r w:rsidRPr="000549B1">
        <w:t>Averaged,</w:t>
      </w:r>
      <w:r w:rsidR="0004712B">
        <w:rPr>
          <w:rFonts w:hint="eastAsia"/>
        </w:rPr>
        <w:t xml:space="preserve"> </w:t>
      </w:r>
      <w:r w:rsidRPr="000549B1">
        <w:t>Hydrodynamic</w:t>
      </w:r>
      <w:r w:rsidR="0004712B">
        <w:rPr>
          <w:rFonts w:hint="eastAsia"/>
        </w:rPr>
        <w:t xml:space="preserve"> </w:t>
      </w:r>
      <w:r w:rsidRPr="000549B1">
        <w:t>and</w:t>
      </w:r>
      <w:r w:rsidR="0004712B">
        <w:rPr>
          <w:rFonts w:hint="eastAsia"/>
        </w:rPr>
        <w:t xml:space="preserve"> </w:t>
      </w:r>
      <w:r w:rsidRPr="000549B1">
        <w:t>Water</w:t>
      </w:r>
      <w:r w:rsidR="0004712B">
        <w:rPr>
          <w:rFonts w:hint="eastAsia"/>
        </w:rPr>
        <w:t xml:space="preserve"> </w:t>
      </w:r>
      <w:r w:rsidRPr="000549B1">
        <w:t>Quality</w:t>
      </w:r>
      <w:r w:rsidR="0004712B">
        <w:rPr>
          <w:rFonts w:hint="eastAsia"/>
        </w:rPr>
        <w:t xml:space="preserve"> </w:t>
      </w:r>
      <w:r w:rsidRPr="000549B1">
        <w:t>Model</w:t>
      </w:r>
      <w:r w:rsidRPr="000549B1">
        <w:t>）模型，其为剖面二维（纵向和垂向）、横向平均的水动力和水环境耦合数学模型，由美国陆军工程兵团水道实验站开发，可用来模拟水库、湖泊、河流、河口等的水温变化。模型采用的基本方程如下：</w:t>
      </w:r>
    </w:p>
    <w:p w14:paraId="3E6357C4" w14:textId="77777777" w:rsidR="00054437" w:rsidRPr="000549B1" w:rsidRDefault="00000000">
      <w:pPr>
        <w:pStyle w:val="0A1"/>
        <w:rPr>
          <w:b/>
        </w:rPr>
      </w:pPr>
      <w:r w:rsidRPr="000549B1">
        <w:t>连续方程</w:t>
      </w:r>
      <w:r w:rsidRPr="000549B1">
        <w:t>:</w:t>
      </w:r>
    </w:p>
    <w:p w14:paraId="042AC523" w14:textId="77777777" w:rsidR="00054437" w:rsidRPr="000549B1" w:rsidRDefault="00000000">
      <w:pPr>
        <w:jc w:val="center"/>
      </w:pPr>
      <w:r w:rsidRPr="000549B1">
        <w:rPr>
          <w:noProof/>
        </w:rPr>
        <w:drawing>
          <wp:inline distT="0" distB="0" distL="114300" distR="114300" wp14:anchorId="42DFB1AA" wp14:editId="1AAFB102">
            <wp:extent cx="1137285" cy="399415"/>
            <wp:effectExtent l="0" t="0" r="5715" b="635"/>
            <wp:docPr id="50"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27"/>
                    <pic:cNvPicPr>
                      <a:picLocks noChangeAspect="1"/>
                    </pic:cNvPicPr>
                  </pic:nvPicPr>
                  <pic:blipFill>
                    <a:blip r:embed="rId217"/>
                    <a:stretch>
                      <a:fillRect/>
                    </a:stretch>
                  </pic:blipFill>
                  <pic:spPr>
                    <a:xfrm>
                      <a:off x="0" y="0"/>
                      <a:ext cx="1137285" cy="399415"/>
                    </a:xfrm>
                    <a:prstGeom prst="rect">
                      <a:avLst/>
                    </a:prstGeom>
                    <a:noFill/>
                    <a:ln>
                      <a:noFill/>
                    </a:ln>
                  </pic:spPr>
                </pic:pic>
              </a:graphicData>
            </a:graphic>
          </wp:inline>
        </w:drawing>
      </w:r>
    </w:p>
    <w:p w14:paraId="77D97567" w14:textId="77777777" w:rsidR="00054437" w:rsidRPr="000549B1" w:rsidRDefault="00000000">
      <w:pPr>
        <w:pStyle w:val="0A1"/>
        <w:rPr>
          <w:b/>
        </w:rPr>
      </w:pPr>
      <w:r w:rsidRPr="000549B1">
        <w:t>X</w:t>
      </w:r>
      <w:r w:rsidRPr="000549B1">
        <w:t>方向（纵向）动量方程：</w:t>
      </w:r>
    </w:p>
    <w:p w14:paraId="6C79D844" w14:textId="77777777" w:rsidR="00054437" w:rsidRPr="000549B1" w:rsidRDefault="00000000">
      <w:pPr>
        <w:jc w:val="center"/>
        <w:rPr>
          <w:sz w:val="24"/>
          <w:szCs w:val="24"/>
        </w:rPr>
      </w:pPr>
      <w:r w:rsidRPr="000549B1">
        <w:rPr>
          <w:noProof/>
        </w:rPr>
        <w:drawing>
          <wp:inline distT="0" distB="0" distL="114300" distR="114300" wp14:anchorId="612662EE" wp14:editId="18AE3010">
            <wp:extent cx="4841240" cy="422910"/>
            <wp:effectExtent l="0" t="0" r="16510" b="15875"/>
            <wp:docPr id="52"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28"/>
                    <pic:cNvPicPr>
                      <a:picLocks noChangeAspect="1"/>
                    </pic:cNvPicPr>
                  </pic:nvPicPr>
                  <pic:blipFill>
                    <a:blip r:embed="rId218"/>
                    <a:stretch>
                      <a:fillRect/>
                    </a:stretch>
                  </pic:blipFill>
                  <pic:spPr>
                    <a:xfrm>
                      <a:off x="0" y="0"/>
                      <a:ext cx="4841240" cy="422910"/>
                    </a:xfrm>
                    <a:prstGeom prst="rect">
                      <a:avLst/>
                    </a:prstGeom>
                    <a:noFill/>
                    <a:ln>
                      <a:noFill/>
                    </a:ln>
                  </pic:spPr>
                </pic:pic>
              </a:graphicData>
            </a:graphic>
          </wp:inline>
        </w:drawing>
      </w:r>
    </w:p>
    <w:p w14:paraId="196A9F9E" w14:textId="77777777" w:rsidR="00054437" w:rsidRPr="000549B1" w:rsidRDefault="00000000">
      <w:pPr>
        <w:pStyle w:val="0A1"/>
        <w:rPr>
          <w:b/>
        </w:rPr>
      </w:pPr>
      <w:r w:rsidRPr="000549B1">
        <w:t>Z</w:t>
      </w:r>
      <w:r w:rsidRPr="000549B1">
        <w:t>方向（垂向）动量方程：</w:t>
      </w:r>
    </w:p>
    <w:p w14:paraId="2A7A2E11" w14:textId="77777777" w:rsidR="00054437" w:rsidRPr="000549B1" w:rsidRDefault="00000000">
      <w:pPr>
        <w:jc w:val="center"/>
      </w:pPr>
      <w:r w:rsidRPr="000549B1">
        <w:rPr>
          <w:noProof/>
        </w:rPr>
        <w:drawing>
          <wp:inline distT="0" distB="0" distL="114300" distR="114300" wp14:anchorId="6D7682FE" wp14:editId="768C386A">
            <wp:extent cx="960755" cy="422910"/>
            <wp:effectExtent l="0" t="0" r="0" b="15875"/>
            <wp:docPr id="53"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29"/>
                    <pic:cNvPicPr>
                      <a:picLocks noChangeAspect="1"/>
                    </pic:cNvPicPr>
                  </pic:nvPicPr>
                  <pic:blipFill>
                    <a:blip r:embed="rId219"/>
                    <a:stretch>
                      <a:fillRect/>
                    </a:stretch>
                  </pic:blipFill>
                  <pic:spPr>
                    <a:xfrm>
                      <a:off x="0" y="0"/>
                      <a:ext cx="960755" cy="422910"/>
                    </a:xfrm>
                    <a:prstGeom prst="rect">
                      <a:avLst/>
                    </a:prstGeom>
                    <a:noFill/>
                    <a:ln>
                      <a:noFill/>
                    </a:ln>
                  </pic:spPr>
                </pic:pic>
              </a:graphicData>
            </a:graphic>
          </wp:inline>
        </w:drawing>
      </w:r>
    </w:p>
    <w:p w14:paraId="2C460876" w14:textId="77777777" w:rsidR="00054437" w:rsidRPr="000549B1" w:rsidRDefault="00000000">
      <w:pPr>
        <w:pStyle w:val="0A1"/>
        <w:rPr>
          <w:b/>
        </w:rPr>
      </w:pPr>
      <w:r w:rsidRPr="000549B1">
        <w:t>水位波动方程：</w:t>
      </w:r>
    </w:p>
    <w:p w14:paraId="15BF58E2" w14:textId="77777777" w:rsidR="00054437" w:rsidRPr="000549B1" w:rsidRDefault="00000000">
      <w:pPr>
        <w:jc w:val="center"/>
      </w:pPr>
      <w:r w:rsidRPr="000549B1">
        <w:rPr>
          <w:noProof/>
        </w:rPr>
        <w:drawing>
          <wp:inline distT="0" distB="0" distL="114300" distR="114300" wp14:anchorId="7C5D3B4E" wp14:editId="1FB928D5">
            <wp:extent cx="1828800" cy="399415"/>
            <wp:effectExtent l="0" t="0" r="0" b="635"/>
            <wp:docPr id="42"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30"/>
                    <pic:cNvPicPr>
                      <a:picLocks noChangeAspect="1"/>
                    </pic:cNvPicPr>
                  </pic:nvPicPr>
                  <pic:blipFill>
                    <a:blip r:embed="rId220"/>
                    <a:stretch>
                      <a:fillRect/>
                    </a:stretch>
                  </pic:blipFill>
                  <pic:spPr>
                    <a:xfrm>
                      <a:off x="0" y="0"/>
                      <a:ext cx="1828800" cy="399415"/>
                    </a:xfrm>
                    <a:prstGeom prst="rect">
                      <a:avLst/>
                    </a:prstGeom>
                    <a:noFill/>
                    <a:ln>
                      <a:noFill/>
                    </a:ln>
                  </pic:spPr>
                </pic:pic>
              </a:graphicData>
            </a:graphic>
          </wp:inline>
        </w:drawing>
      </w:r>
    </w:p>
    <w:p w14:paraId="68C18A8D" w14:textId="77777777" w:rsidR="00054437" w:rsidRPr="000549B1" w:rsidRDefault="00000000">
      <w:pPr>
        <w:pStyle w:val="0A1"/>
        <w:rPr>
          <w:b/>
        </w:rPr>
      </w:pPr>
      <w:r w:rsidRPr="000549B1">
        <w:t>状态方程：</w:t>
      </w:r>
    </w:p>
    <w:p w14:paraId="63ED22C1" w14:textId="77777777" w:rsidR="00054437" w:rsidRPr="000549B1" w:rsidRDefault="00000000">
      <w:pPr>
        <w:jc w:val="center"/>
        <w:rPr>
          <w:lang w:val="zh-CN"/>
        </w:rPr>
      </w:pPr>
      <w:r w:rsidRPr="000549B1">
        <w:rPr>
          <w:noProof/>
        </w:rPr>
        <w:drawing>
          <wp:inline distT="0" distB="0" distL="114300" distR="114300" wp14:anchorId="1D6032D8" wp14:editId="0E8B5C8B">
            <wp:extent cx="1360170" cy="253365"/>
            <wp:effectExtent l="0" t="0" r="11430" b="13970"/>
            <wp:docPr id="48"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31"/>
                    <pic:cNvPicPr>
                      <a:picLocks noChangeAspect="1"/>
                    </pic:cNvPicPr>
                  </pic:nvPicPr>
                  <pic:blipFill>
                    <a:blip r:embed="rId221"/>
                    <a:stretch>
                      <a:fillRect/>
                    </a:stretch>
                  </pic:blipFill>
                  <pic:spPr>
                    <a:xfrm>
                      <a:off x="0" y="0"/>
                      <a:ext cx="1360170" cy="253365"/>
                    </a:xfrm>
                    <a:prstGeom prst="rect">
                      <a:avLst/>
                    </a:prstGeom>
                    <a:noFill/>
                    <a:ln>
                      <a:noFill/>
                    </a:ln>
                  </pic:spPr>
                </pic:pic>
              </a:graphicData>
            </a:graphic>
          </wp:inline>
        </w:drawing>
      </w:r>
    </w:p>
    <w:p w14:paraId="1B5B36A8" w14:textId="77777777" w:rsidR="00054437" w:rsidRPr="000549B1" w:rsidRDefault="00000000">
      <w:r w:rsidRPr="000549B1">
        <w:t>质量</w:t>
      </w:r>
      <w:r w:rsidRPr="000549B1">
        <w:t>/</w:t>
      </w:r>
      <w:r w:rsidRPr="000549B1">
        <w:t>热量守恒方程：</w:t>
      </w:r>
    </w:p>
    <w:p w14:paraId="154C9E21" w14:textId="77777777" w:rsidR="00054437" w:rsidRPr="000549B1" w:rsidRDefault="00000000">
      <w:pPr>
        <w:jc w:val="center"/>
      </w:pPr>
      <w:r w:rsidRPr="000549B1">
        <w:rPr>
          <w:noProof/>
        </w:rPr>
        <w:drawing>
          <wp:inline distT="0" distB="0" distL="114300" distR="114300" wp14:anchorId="1369EC55" wp14:editId="619C3652">
            <wp:extent cx="4141470" cy="607060"/>
            <wp:effectExtent l="0" t="0" r="11430" b="2540"/>
            <wp:docPr id="46"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32"/>
                    <pic:cNvPicPr>
                      <a:picLocks noChangeAspect="1"/>
                    </pic:cNvPicPr>
                  </pic:nvPicPr>
                  <pic:blipFill>
                    <a:blip r:embed="rId222"/>
                    <a:stretch>
                      <a:fillRect/>
                    </a:stretch>
                  </pic:blipFill>
                  <pic:spPr>
                    <a:xfrm>
                      <a:off x="0" y="0"/>
                      <a:ext cx="4141470" cy="607060"/>
                    </a:xfrm>
                    <a:prstGeom prst="rect">
                      <a:avLst/>
                    </a:prstGeom>
                    <a:noFill/>
                    <a:ln>
                      <a:noFill/>
                    </a:ln>
                  </pic:spPr>
                </pic:pic>
              </a:graphicData>
            </a:graphic>
          </wp:inline>
        </w:drawing>
      </w:r>
    </w:p>
    <w:p w14:paraId="375B1C53" w14:textId="77777777" w:rsidR="00054437" w:rsidRPr="000549B1" w:rsidRDefault="00000000">
      <w:pPr>
        <w:pStyle w:val="0A1"/>
        <w:rPr>
          <w:b/>
        </w:rPr>
      </w:pPr>
      <w:r w:rsidRPr="000549B1">
        <w:t>在水库的热平衡中，外部进入水体的过程主要有表层热交换及底层热交换。</w:t>
      </w:r>
    </w:p>
    <w:p w14:paraId="3D5A68CE" w14:textId="77777777" w:rsidR="00054437" w:rsidRPr="000549B1" w:rsidRDefault="00000000">
      <w:pPr>
        <w:pStyle w:val="0A1"/>
        <w:rPr>
          <w:b/>
        </w:rPr>
      </w:pPr>
      <w:r w:rsidRPr="000549B1">
        <w:t>式中：</w:t>
      </w:r>
      <w:r w:rsidRPr="000549B1">
        <w:rPr>
          <w:i/>
          <w:iCs/>
        </w:rPr>
        <w:t>U</w:t>
      </w:r>
      <w:r w:rsidRPr="000549B1">
        <w:t>为水平流速，</w:t>
      </w:r>
      <w:r w:rsidRPr="000549B1">
        <w:t>ms</w:t>
      </w:r>
      <w:r w:rsidRPr="000549B1">
        <w:rPr>
          <w:vertAlign w:val="superscript"/>
        </w:rPr>
        <w:t>-1</w:t>
      </w:r>
      <w:r w:rsidRPr="000549B1">
        <w:t>；</w:t>
      </w:r>
      <w:r w:rsidRPr="000549B1">
        <w:rPr>
          <w:i/>
          <w:iCs/>
        </w:rPr>
        <w:t>W</w:t>
      </w:r>
      <w:r w:rsidRPr="000549B1">
        <w:t>为垂向流速，</w:t>
      </w:r>
      <w:r w:rsidRPr="000549B1">
        <w:t>ms</w:t>
      </w:r>
      <w:r w:rsidRPr="000549B1">
        <w:rPr>
          <w:vertAlign w:val="superscript"/>
        </w:rPr>
        <w:t>-1</w:t>
      </w:r>
      <w:r w:rsidRPr="000549B1">
        <w:t>；</w:t>
      </w:r>
      <w:r w:rsidRPr="000549B1">
        <w:rPr>
          <w:i/>
          <w:iCs/>
        </w:rPr>
        <w:t>B</w:t>
      </w:r>
      <w:r w:rsidRPr="000549B1">
        <w:t>为河道宽度，</w:t>
      </w:r>
      <w:r w:rsidRPr="000549B1">
        <w:t>m</w:t>
      </w:r>
      <w:r w:rsidRPr="000549B1">
        <w:t>；</w:t>
      </w:r>
      <w:r w:rsidRPr="000549B1">
        <w:rPr>
          <w:i/>
          <w:iCs/>
        </w:rPr>
        <w:t>P</w:t>
      </w:r>
      <w:r w:rsidRPr="000549B1">
        <w:t>为压力，</w:t>
      </w:r>
      <w:r w:rsidRPr="000549B1">
        <w:t>Pa</w:t>
      </w:r>
      <w:r w:rsidRPr="000549B1">
        <w:t>；</w:t>
      </w:r>
      <w:r w:rsidRPr="000549B1">
        <w:rPr>
          <w:b/>
          <w:noProof/>
          <w:position w:val="-12"/>
        </w:rPr>
        <w:drawing>
          <wp:inline distT="0" distB="0" distL="114300" distR="114300" wp14:anchorId="40DCBF88" wp14:editId="6FAC92C7">
            <wp:extent cx="168910" cy="230505"/>
            <wp:effectExtent l="0" t="0" r="2540" b="17780"/>
            <wp:docPr id="4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33"/>
                    <pic:cNvPicPr>
                      <a:picLocks noChangeAspect="1"/>
                    </pic:cNvPicPr>
                  </pic:nvPicPr>
                  <pic:blipFill>
                    <a:blip r:embed="rId223"/>
                    <a:stretch>
                      <a:fillRect/>
                    </a:stretch>
                  </pic:blipFill>
                  <pic:spPr>
                    <a:xfrm>
                      <a:off x="0" y="0"/>
                      <a:ext cx="168910" cy="230505"/>
                    </a:xfrm>
                    <a:prstGeom prst="rect">
                      <a:avLst/>
                    </a:prstGeom>
                    <a:noFill/>
                    <a:ln>
                      <a:noFill/>
                    </a:ln>
                  </pic:spPr>
                </pic:pic>
              </a:graphicData>
            </a:graphic>
          </wp:inline>
        </w:drawing>
      </w:r>
      <w:r w:rsidRPr="000549B1">
        <w:t>为</w:t>
      </w:r>
      <w:r w:rsidRPr="000549B1">
        <w:rPr>
          <w:i/>
          <w:iCs/>
        </w:rPr>
        <w:t>x</w:t>
      </w:r>
      <w:r w:rsidRPr="000549B1">
        <w:t>方向横向平均切应力，</w:t>
      </w:r>
      <w:r w:rsidRPr="000549B1">
        <w:t>Pa</w:t>
      </w:r>
      <w:r w:rsidRPr="000549B1">
        <w:t>；</w:t>
      </w:r>
      <w:r w:rsidRPr="000549B1">
        <w:rPr>
          <w:b/>
          <w:noProof/>
          <w:position w:val="-14"/>
        </w:rPr>
        <w:drawing>
          <wp:inline distT="0" distB="0" distL="114300" distR="114300" wp14:anchorId="4A87DC58" wp14:editId="591D0624">
            <wp:extent cx="168910" cy="245745"/>
            <wp:effectExtent l="0" t="0" r="0" b="1270"/>
            <wp:docPr id="45"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34"/>
                    <pic:cNvPicPr>
                      <a:picLocks noChangeAspect="1"/>
                    </pic:cNvPicPr>
                  </pic:nvPicPr>
                  <pic:blipFill>
                    <a:blip r:embed="rId224"/>
                    <a:stretch>
                      <a:fillRect/>
                    </a:stretch>
                  </pic:blipFill>
                  <pic:spPr>
                    <a:xfrm>
                      <a:off x="0" y="0"/>
                      <a:ext cx="168910" cy="245745"/>
                    </a:xfrm>
                    <a:prstGeom prst="rect">
                      <a:avLst/>
                    </a:prstGeom>
                    <a:noFill/>
                    <a:ln>
                      <a:noFill/>
                    </a:ln>
                  </pic:spPr>
                </pic:pic>
              </a:graphicData>
            </a:graphic>
          </wp:inline>
        </w:drawing>
      </w:r>
      <w:r w:rsidRPr="000549B1">
        <w:t>为</w:t>
      </w:r>
      <w:r w:rsidRPr="000549B1">
        <w:rPr>
          <w:i/>
          <w:iCs/>
        </w:rPr>
        <w:t>y</w:t>
      </w:r>
      <w:r w:rsidRPr="000549B1">
        <w:t>方向横向平均切应力，</w:t>
      </w:r>
      <w:r w:rsidRPr="000549B1">
        <w:t>Pa</w:t>
      </w:r>
      <w:r w:rsidRPr="000549B1">
        <w:t>；</w:t>
      </w:r>
      <w:r w:rsidRPr="000549B1">
        <w:rPr>
          <w:b/>
          <w:noProof/>
          <w:position w:val="-10"/>
        </w:rPr>
        <w:drawing>
          <wp:inline distT="0" distB="0" distL="114300" distR="114300" wp14:anchorId="49817BAE" wp14:editId="07728B92">
            <wp:extent cx="153670" cy="168910"/>
            <wp:effectExtent l="0" t="0" r="0" b="1905"/>
            <wp:docPr id="33"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5"/>
                    <pic:cNvPicPr>
                      <a:picLocks noChangeAspect="1"/>
                    </pic:cNvPicPr>
                  </pic:nvPicPr>
                  <pic:blipFill>
                    <a:blip r:embed="rId225"/>
                    <a:stretch>
                      <a:fillRect/>
                    </a:stretch>
                  </pic:blipFill>
                  <pic:spPr>
                    <a:xfrm>
                      <a:off x="0" y="0"/>
                      <a:ext cx="153670" cy="168910"/>
                    </a:xfrm>
                    <a:prstGeom prst="rect">
                      <a:avLst/>
                    </a:prstGeom>
                    <a:noFill/>
                    <a:ln>
                      <a:noFill/>
                    </a:ln>
                  </pic:spPr>
                </pic:pic>
              </a:graphicData>
            </a:graphic>
          </wp:inline>
        </w:drawing>
      </w:r>
      <w:r w:rsidRPr="000549B1">
        <w:t>为水体密度，</w:t>
      </w:r>
      <w:r w:rsidRPr="000549B1">
        <w:t>kgm</w:t>
      </w:r>
      <w:r w:rsidRPr="000549B1">
        <w:rPr>
          <w:vertAlign w:val="superscript"/>
        </w:rPr>
        <w:t>-3</w:t>
      </w:r>
      <w:r w:rsidRPr="000549B1">
        <w:t>；</w:t>
      </w:r>
      <w:r w:rsidRPr="000549B1">
        <w:rPr>
          <w:b/>
          <w:noProof/>
          <w:position w:val="-10"/>
        </w:rPr>
        <w:drawing>
          <wp:inline distT="0" distB="0" distL="114300" distR="114300" wp14:anchorId="50610CD8" wp14:editId="3636AC23">
            <wp:extent cx="123190" cy="169545"/>
            <wp:effectExtent l="0" t="0" r="10160" b="1270"/>
            <wp:docPr id="31"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6"/>
                    <pic:cNvPicPr>
                      <a:picLocks noChangeAspect="1"/>
                    </pic:cNvPicPr>
                  </pic:nvPicPr>
                  <pic:blipFill>
                    <a:blip r:embed="rId226"/>
                    <a:stretch>
                      <a:fillRect/>
                    </a:stretch>
                  </pic:blipFill>
                  <pic:spPr>
                    <a:xfrm>
                      <a:off x="0" y="0"/>
                      <a:ext cx="123190" cy="169545"/>
                    </a:xfrm>
                    <a:prstGeom prst="rect">
                      <a:avLst/>
                    </a:prstGeom>
                    <a:noFill/>
                    <a:ln>
                      <a:noFill/>
                    </a:ln>
                  </pic:spPr>
                </pic:pic>
              </a:graphicData>
            </a:graphic>
          </wp:inline>
        </w:drawing>
      </w:r>
      <w:r w:rsidRPr="000549B1">
        <w:t>为自由表面，</w:t>
      </w:r>
      <w:r w:rsidRPr="000549B1">
        <w:t>m</w:t>
      </w:r>
      <w:r w:rsidRPr="000549B1">
        <w:t>。</w:t>
      </w:r>
    </w:p>
    <w:p w14:paraId="507379B5" w14:textId="77777777" w:rsidR="00054437" w:rsidRPr="000549B1" w:rsidRDefault="00000000">
      <w:pPr>
        <w:tabs>
          <w:tab w:val="left" w:pos="4500"/>
        </w:tabs>
        <w:spacing w:line="500" w:lineRule="exact"/>
        <w:ind w:firstLineChars="200" w:firstLine="480"/>
        <w:jc w:val="left"/>
        <w:rPr>
          <w:rFonts w:eastAsia="等线"/>
          <w:sz w:val="24"/>
          <w:szCs w:val="24"/>
        </w:rPr>
      </w:pPr>
      <w:r w:rsidRPr="000549B1">
        <w:rPr>
          <w:rFonts w:ascii="宋体" w:hAnsi="宋体" w:cs="宋体" w:hint="eastAsia"/>
          <w:sz w:val="24"/>
          <w:szCs w:val="24"/>
        </w:rPr>
        <w:t>②</w:t>
      </w:r>
      <w:r w:rsidRPr="000549B1">
        <w:rPr>
          <w:sz w:val="24"/>
          <w:szCs w:val="24"/>
        </w:rPr>
        <w:t>表层热交换</w:t>
      </w:r>
    </w:p>
    <w:p w14:paraId="7910EA8B" w14:textId="77777777" w:rsidR="00054437" w:rsidRPr="000549B1" w:rsidRDefault="00000000">
      <w:pPr>
        <w:pStyle w:val="0A1"/>
        <w:spacing w:afterLines="50" w:after="156"/>
        <w:rPr>
          <w:b/>
        </w:rPr>
      </w:pPr>
      <w:r w:rsidRPr="000549B1">
        <w:t>逐项表面热交换计算如下</w:t>
      </w:r>
      <w:r w:rsidRPr="000549B1">
        <w:t>:</w:t>
      </w:r>
    </w:p>
    <w:p w14:paraId="1902D5E0" w14:textId="77777777" w:rsidR="00054437" w:rsidRPr="000549B1" w:rsidRDefault="00000000">
      <w:pPr>
        <w:jc w:val="center"/>
      </w:pPr>
      <w:r w:rsidRPr="000549B1">
        <w:rPr>
          <w:noProof/>
        </w:rPr>
        <w:drawing>
          <wp:inline distT="0" distB="0" distL="114300" distR="114300" wp14:anchorId="6A76833E" wp14:editId="5F95DB21">
            <wp:extent cx="2735580" cy="253365"/>
            <wp:effectExtent l="0" t="0" r="7620" b="13970"/>
            <wp:docPr id="32"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7"/>
                    <pic:cNvPicPr>
                      <a:picLocks noChangeAspect="1"/>
                    </pic:cNvPicPr>
                  </pic:nvPicPr>
                  <pic:blipFill>
                    <a:blip r:embed="rId227"/>
                    <a:stretch>
                      <a:fillRect/>
                    </a:stretch>
                  </pic:blipFill>
                  <pic:spPr>
                    <a:xfrm>
                      <a:off x="0" y="0"/>
                      <a:ext cx="2735580" cy="253365"/>
                    </a:xfrm>
                    <a:prstGeom prst="rect">
                      <a:avLst/>
                    </a:prstGeom>
                    <a:noFill/>
                    <a:ln>
                      <a:noFill/>
                    </a:ln>
                  </pic:spPr>
                </pic:pic>
              </a:graphicData>
            </a:graphic>
          </wp:inline>
        </w:drawing>
      </w:r>
    </w:p>
    <w:p w14:paraId="1CD3C420" w14:textId="77777777" w:rsidR="00054437" w:rsidRPr="000549B1" w:rsidRDefault="00000000">
      <w:pPr>
        <w:pStyle w:val="0A1"/>
        <w:rPr>
          <w:b/>
        </w:rPr>
      </w:pPr>
      <w:r w:rsidRPr="000549B1">
        <w:t>式中，</w:t>
      </w:r>
      <w:r w:rsidRPr="000549B1">
        <w:rPr>
          <w:b/>
          <w:noProof/>
          <w:position w:val="-12"/>
        </w:rPr>
        <w:drawing>
          <wp:inline distT="0" distB="0" distL="114300" distR="114300" wp14:anchorId="130479A0" wp14:editId="2DBAB389">
            <wp:extent cx="222885" cy="238125"/>
            <wp:effectExtent l="0" t="0" r="5080" b="8255"/>
            <wp:docPr id="27"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38"/>
                    <pic:cNvPicPr>
                      <a:picLocks noChangeAspect="1"/>
                    </pic:cNvPicPr>
                  </pic:nvPicPr>
                  <pic:blipFill>
                    <a:blip r:embed="rId228"/>
                    <a:stretch>
                      <a:fillRect/>
                    </a:stretch>
                  </pic:blipFill>
                  <pic:spPr>
                    <a:xfrm>
                      <a:off x="0" y="0"/>
                      <a:ext cx="222885" cy="238125"/>
                    </a:xfrm>
                    <a:prstGeom prst="rect">
                      <a:avLst/>
                    </a:prstGeom>
                    <a:noFill/>
                    <a:ln>
                      <a:noFill/>
                    </a:ln>
                  </pic:spPr>
                </pic:pic>
              </a:graphicData>
            </a:graphic>
          </wp:inline>
        </w:drawing>
      </w:r>
      <w:r w:rsidRPr="000549B1">
        <w:t>为穿过水面的净热交换率，</w:t>
      </w:r>
      <w:r w:rsidRPr="000549B1">
        <w:t>Wm</w:t>
      </w:r>
      <w:r w:rsidRPr="000549B1">
        <w:rPr>
          <w:vertAlign w:val="superscript"/>
        </w:rPr>
        <w:t>-2</w:t>
      </w:r>
      <w:r w:rsidRPr="000549B1">
        <w:t>；</w:t>
      </w:r>
      <w:r w:rsidRPr="000549B1">
        <w:rPr>
          <w:b/>
          <w:noProof/>
          <w:position w:val="-12"/>
        </w:rPr>
        <w:drawing>
          <wp:inline distT="0" distB="0" distL="114300" distR="114300" wp14:anchorId="6E866263" wp14:editId="34796514">
            <wp:extent cx="222885" cy="238125"/>
            <wp:effectExtent l="0" t="0" r="5080" b="8255"/>
            <wp:docPr id="2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39"/>
                    <pic:cNvPicPr>
                      <a:picLocks noChangeAspect="1"/>
                    </pic:cNvPicPr>
                  </pic:nvPicPr>
                  <pic:blipFill>
                    <a:blip r:embed="rId229"/>
                    <a:stretch>
                      <a:fillRect/>
                    </a:stretch>
                  </pic:blipFill>
                  <pic:spPr>
                    <a:xfrm>
                      <a:off x="0" y="0"/>
                      <a:ext cx="222885" cy="238125"/>
                    </a:xfrm>
                    <a:prstGeom prst="rect">
                      <a:avLst/>
                    </a:prstGeom>
                    <a:noFill/>
                    <a:ln>
                      <a:noFill/>
                    </a:ln>
                  </pic:spPr>
                </pic:pic>
              </a:graphicData>
            </a:graphic>
          </wp:inline>
        </w:drawing>
      </w:r>
      <w:r w:rsidRPr="000549B1">
        <w:t>为入射短波太阳辐射，</w:t>
      </w:r>
      <w:r w:rsidRPr="000549B1">
        <w:t>Wm</w:t>
      </w:r>
      <w:r w:rsidRPr="000549B1">
        <w:rPr>
          <w:vertAlign w:val="superscript"/>
        </w:rPr>
        <w:t>-2</w:t>
      </w:r>
      <w:r w:rsidRPr="000549B1">
        <w:t>；</w:t>
      </w:r>
      <w:r w:rsidRPr="000549B1">
        <w:rPr>
          <w:b/>
          <w:noProof/>
          <w:position w:val="-12"/>
        </w:rPr>
        <w:drawing>
          <wp:inline distT="0" distB="0" distL="114300" distR="114300" wp14:anchorId="30278682" wp14:editId="776005AF">
            <wp:extent cx="238125" cy="238125"/>
            <wp:effectExtent l="0" t="0" r="8890" b="8255"/>
            <wp:docPr id="3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40"/>
                    <pic:cNvPicPr>
                      <a:picLocks noChangeAspect="1"/>
                    </pic:cNvPicPr>
                  </pic:nvPicPr>
                  <pic:blipFill>
                    <a:blip r:embed="rId230"/>
                    <a:stretch>
                      <a:fillRect/>
                    </a:stretch>
                  </pic:blipFill>
                  <pic:spPr>
                    <a:xfrm>
                      <a:off x="0" y="0"/>
                      <a:ext cx="238125" cy="238125"/>
                    </a:xfrm>
                    <a:prstGeom prst="rect">
                      <a:avLst/>
                    </a:prstGeom>
                    <a:noFill/>
                    <a:ln>
                      <a:noFill/>
                    </a:ln>
                  </pic:spPr>
                </pic:pic>
              </a:graphicData>
            </a:graphic>
          </wp:inline>
        </w:drawing>
      </w:r>
      <w:r w:rsidRPr="000549B1">
        <w:t>为入射长波辐射，</w:t>
      </w:r>
      <w:r w:rsidRPr="000549B1">
        <w:t>Wm</w:t>
      </w:r>
      <w:r w:rsidRPr="000549B1">
        <w:rPr>
          <w:vertAlign w:val="superscript"/>
        </w:rPr>
        <w:t>-2</w:t>
      </w:r>
      <w:r w:rsidRPr="000549B1">
        <w:t>；</w:t>
      </w:r>
      <w:r w:rsidRPr="000549B1">
        <w:rPr>
          <w:b/>
          <w:noProof/>
          <w:position w:val="-12"/>
        </w:rPr>
        <w:drawing>
          <wp:inline distT="0" distB="0" distL="114300" distR="114300" wp14:anchorId="39C71052" wp14:editId="24C9FC79">
            <wp:extent cx="253365" cy="238125"/>
            <wp:effectExtent l="0" t="0" r="0" b="8255"/>
            <wp:docPr id="35"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41"/>
                    <pic:cNvPicPr>
                      <a:picLocks noChangeAspect="1"/>
                    </pic:cNvPicPr>
                  </pic:nvPicPr>
                  <pic:blipFill>
                    <a:blip r:embed="rId231"/>
                    <a:stretch>
                      <a:fillRect/>
                    </a:stretch>
                  </pic:blipFill>
                  <pic:spPr>
                    <a:xfrm>
                      <a:off x="0" y="0"/>
                      <a:ext cx="253365" cy="238125"/>
                    </a:xfrm>
                    <a:prstGeom prst="rect">
                      <a:avLst/>
                    </a:prstGeom>
                    <a:noFill/>
                    <a:ln>
                      <a:noFill/>
                    </a:ln>
                  </pic:spPr>
                </pic:pic>
              </a:graphicData>
            </a:graphic>
          </wp:inline>
        </w:drawing>
      </w:r>
      <w:r w:rsidRPr="000549B1">
        <w:t>为反射短波太阳辐射，</w:t>
      </w:r>
      <w:r w:rsidRPr="000549B1">
        <w:t>Wm</w:t>
      </w:r>
      <w:r w:rsidRPr="000549B1">
        <w:rPr>
          <w:vertAlign w:val="superscript"/>
        </w:rPr>
        <w:t>-2</w:t>
      </w:r>
      <w:r w:rsidRPr="000549B1">
        <w:t>；</w:t>
      </w:r>
      <w:r w:rsidRPr="000549B1">
        <w:rPr>
          <w:b/>
          <w:noProof/>
          <w:position w:val="-12"/>
        </w:rPr>
        <w:drawing>
          <wp:inline distT="0" distB="0" distL="114300" distR="114300" wp14:anchorId="73E769E6" wp14:editId="0FD68263">
            <wp:extent cx="269240" cy="238125"/>
            <wp:effectExtent l="0" t="0" r="0" b="8255"/>
            <wp:docPr id="36"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42"/>
                    <pic:cNvPicPr>
                      <a:picLocks noChangeAspect="1"/>
                    </pic:cNvPicPr>
                  </pic:nvPicPr>
                  <pic:blipFill>
                    <a:blip r:embed="rId232"/>
                    <a:stretch>
                      <a:fillRect/>
                    </a:stretch>
                  </pic:blipFill>
                  <pic:spPr>
                    <a:xfrm>
                      <a:off x="0" y="0"/>
                      <a:ext cx="269240" cy="238125"/>
                    </a:xfrm>
                    <a:prstGeom prst="rect">
                      <a:avLst/>
                    </a:prstGeom>
                    <a:noFill/>
                    <a:ln>
                      <a:noFill/>
                    </a:ln>
                  </pic:spPr>
                </pic:pic>
              </a:graphicData>
            </a:graphic>
          </wp:inline>
        </w:drawing>
      </w:r>
      <w:r w:rsidRPr="000549B1">
        <w:t>为反射长波辐射</w:t>
      </w:r>
      <w:r w:rsidRPr="000549B1">
        <w:t>,Wm</w:t>
      </w:r>
      <w:r w:rsidRPr="000549B1">
        <w:rPr>
          <w:vertAlign w:val="superscript"/>
        </w:rPr>
        <w:t>-2</w:t>
      </w:r>
      <w:r w:rsidRPr="000549B1">
        <w:t>；</w:t>
      </w:r>
      <w:r w:rsidRPr="000549B1">
        <w:rPr>
          <w:b/>
          <w:noProof/>
          <w:position w:val="-12"/>
        </w:rPr>
        <w:drawing>
          <wp:inline distT="0" distB="0" distL="114300" distR="114300" wp14:anchorId="3354BDBF" wp14:editId="5500218D">
            <wp:extent cx="253365" cy="238125"/>
            <wp:effectExtent l="0" t="0" r="13335" b="8255"/>
            <wp:docPr id="37"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43"/>
                    <pic:cNvPicPr>
                      <a:picLocks noChangeAspect="1"/>
                    </pic:cNvPicPr>
                  </pic:nvPicPr>
                  <pic:blipFill>
                    <a:blip r:embed="rId233"/>
                    <a:stretch>
                      <a:fillRect/>
                    </a:stretch>
                  </pic:blipFill>
                  <pic:spPr>
                    <a:xfrm>
                      <a:off x="0" y="0"/>
                      <a:ext cx="253365" cy="238125"/>
                    </a:xfrm>
                    <a:prstGeom prst="rect">
                      <a:avLst/>
                    </a:prstGeom>
                    <a:noFill/>
                    <a:ln>
                      <a:noFill/>
                    </a:ln>
                  </pic:spPr>
                </pic:pic>
              </a:graphicData>
            </a:graphic>
          </wp:inline>
        </w:drawing>
      </w:r>
      <w:r w:rsidRPr="000549B1">
        <w:t>为水面的反向辐射，</w:t>
      </w:r>
      <w:r w:rsidRPr="000549B1">
        <w:t>Wm</w:t>
      </w:r>
      <w:r w:rsidRPr="000549B1">
        <w:rPr>
          <w:vertAlign w:val="superscript"/>
        </w:rPr>
        <w:t>-2</w:t>
      </w:r>
      <w:r w:rsidRPr="000549B1">
        <w:t>’</w:t>
      </w:r>
      <w:r w:rsidRPr="000549B1">
        <w:t>；</w:t>
      </w:r>
      <w:r w:rsidRPr="000549B1">
        <w:rPr>
          <w:b/>
          <w:noProof/>
          <w:position w:val="-12"/>
        </w:rPr>
        <w:drawing>
          <wp:inline distT="0" distB="0" distL="114300" distR="114300" wp14:anchorId="0113FDE9" wp14:editId="77008565">
            <wp:extent cx="222885" cy="238125"/>
            <wp:effectExtent l="0" t="0" r="5080" b="8255"/>
            <wp:docPr id="3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44"/>
                    <pic:cNvPicPr>
                      <a:picLocks noChangeAspect="1"/>
                    </pic:cNvPicPr>
                  </pic:nvPicPr>
                  <pic:blipFill>
                    <a:blip r:embed="rId234"/>
                    <a:stretch>
                      <a:fillRect/>
                    </a:stretch>
                  </pic:blipFill>
                  <pic:spPr>
                    <a:xfrm>
                      <a:off x="0" y="0"/>
                      <a:ext cx="222885" cy="238125"/>
                    </a:xfrm>
                    <a:prstGeom prst="rect">
                      <a:avLst/>
                    </a:prstGeom>
                    <a:noFill/>
                    <a:ln>
                      <a:noFill/>
                    </a:ln>
                  </pic:spPr>
                </pic:pic>
              </a:graphicData>
            </a:graphic>
          </wp:inline>
        </w:drawing>
      </w:r>
      <w:r w:rsidRPr="000549B1">
        <w:t>为蒸发热损失，</w:t>
      </w:r>
      <w:r w:rsidRPr="000549B1">
        <w:t>Wm</w:t>
      </w:r>
      <w:r w:rsidRPr="000549B1">
        <w:rPr>
          <w:vertAlign w:val="superscript"/>
        </w:rPr>
        <w:t>-2</w:t>
      </w:r>
      <w:r w:rsidRPr="000549B1">
        <w:t>；</w:t>
      </w:r>
      <w:r w:rsidRPr="000549B1">
        <w:rPr>
          <w:b/>
          <w:noProof/>
          <w:position w:val="-12"/>
        </w:rPr>
        <w:drawing>
          <wp:inline distT="0" distB="0" distL="114300" distR="114300" wp14:anchorId="6A0A64E8" wp14:editId="2BCE0F58">
            <wp:extent cx="222885" cy="238125"/>
            <wp:effectExtent l="0" t="0" r="5080" b="8255"/>
            <wp:docPr id="38"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45"/>
                    <pic:cNvPicPr>
                      <a:picLocks noChangeAspect="1"/>
                    </pic:cNvPicPr>
                  </pic:nvPicPr>
                  <pic:blipFill>
                    <a:blip r:embed="rId235"/>
                    <a:stretch>
                      <a:fillRect/>
                    </a:stretch>
                  </pic:blipFill>
                  <pic:spPr>
                    <a:xfrm>
                      <a:off x="0" y="0"/>
                      <a:ext cx="222885" cy="238125"/>
                    </a:xfrm>
                    <a:prstGeom prst="rect">
                      <a:avLst/>
                    </a:prstGeom>
                    <a:noFill/>
                    <a:ln>
                      <a:noFill/>
                    </a:ln>
                  </pic:spPr>
                </pic:pic>
              </a:graphicData>
            </a:graphic>
          </wp:inline>
        </w:drawing>
      </w:r>
      <w:r w:rsidRPr="000549B1">
        <w:t>为热传导，</w:t>
      </w:r>
      <w:r w:rsidRPr="000549B1">
        <w:t>Wm</w:t>
      </w:r>
      <w:r w:rsidRPr="000549B1">
        <w:rPr>
          <w:vertAlign w:val="superscript"/>
        </w:rPr>
        <w:t>-2</w:t>
      </w:r>
      <w:r w:rsidRPr="000549B1">
        <w:t>。</w:t>
      </w:r>
    </w:p>
    <w:p w14:paraId="0317B9A0" w14:textId="77777777" w:rsidR="00054437" w:rsidRPr="000549B1" w:rsidRDefault="00000000">
      <w:pPr>
        <w:tabs>
          <w:tab w:val="left" w:pos="4500"/>
        </w:tabs>
        <w:spacing w:line="500" w:lineRule="exact"/>
        <w:ind w:firstLineChars="200" w:firstLine="480"/>
        <w:jc w:val="left"/>
        <w:rPr>
          <w:sz w:val="24"/>
          <w:szCs w:val="24"/>
        </w:rPr>
      </w:pPr>
      <w:r w:rsidRPr="000549B1">
        <w:rPr>
          <w:rFonts w:ascii="宋体" w:hAnsi="宋体" w:cs="宋体" w:hint="eastAsia"/>
          <w:sz w:val="24"/>
          <w:szCs w:val="24"/>
        </w:rPr>
        <w:t>③</w:t>
      </w:r>
      <w:r w:rsidRPr="000549B1">
        <w:rPr>
          <w:sz w:val="24"/>
          <w:szCs w:val="24"/>
        </w:rPr>
        <w:t>沉积物热交换</w:t>
      </w:r>
    </w:p>
    <w:p w14:paraId="4038D2DE" w14:textId="77777777" w:rsidR="00054437" w:rsidRPr="000549B1" w:rsidRDefault="00000000">
      <w:pPr>
        <w:pStyle w:val="0A1"/>
        <w:spacing w:afterLines="50" w:after="156"/>
        <w:rPr>
          <w:b/>
        </w:rPr>
      </w:pPr>
      <w:r w:rsidRPr="000549B1">
        <w:t>类似于表面热交换，计算如下：</w:t>
      </w:r>
    </w:p>
    <w:p w14:paraId="5EFE5AC7" w14:textId="77777777" w:rsidR="00054437" w:rsidRPr="000549B1" w:rsidRDefault="00000000">
      <w:pPr>
        <w:jc w:val="center"/>
      </w:pPr>
      <w:r w:rsidRPr="000549B1">
        <w:rPr>
          <w:noProof/>
        </w:rPr>
        <w:drawing>
          <wp:inline distT="0" distB="0" distL="114300" distR="114300" wp14:anchorId="1B2F6E80" wp14:editId="05AEDB94">
            <wp:extent cx="1283335" cy="253365"/>
            <wp:effectExtent l="0" t="0" r="12065" b="13970"/>
            <wp:docPr id="15"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46"/>
                    <pic:cNvPicPr>
                      <a:picLocks noChangeAspect="1"/>
                    </pic:cNvPicPr>
                  </pic:nvPicPr>
                  <pic:blipFill>
                    <a:blip r:embed="rId236"/>
                    <a:stretch>
                      <a:fillRect/>
                    </a:stretch>
                  </pic:blipFill>
                  <pic:spPr>
                    <a:xfrm>
                      <a:off x="0" y="0"/>
                      <a:ext cx="1283335" cy="253365"/>
                    </a:xfrm>
                    <a:prstGeom prst="rect">
                      <a:avLst/>
                    </a:prstGeom>
                    <a:noFill/>
                    <a:ln>
                      <a:noFill/>
                    </a:ln>
                  </pic:spPr>
                </pic:pic>
              </a:graphicData>
            </a:graphic>
          </wp:inline>
        </w:drawing>
      </w:r>
    </w:p>
    <w:p w14:paraId="5EED63C0" w14:textId="77777777" w:rsidR="00054437" w:rsidRPr="000549B1" w:rsidRDefault="00000000">
      <w:pPr>
        <w:pStyle w:val="0A1"/>
        <w:rPr>
          <w:b/>
        </w:rPr>
      </w:pPr>
      <w:r w:rsidRPr="000549B1">
        <w:t>式中，</w:t>
      </w:r>
      <w:r w:rsidRPr="000549B1">
        <w:rPr>
          <w:b/>
          <w:noProof/>
          <w:position w:val="-12"/>
        </w:rPr>
        <w:drawing>
          <wp:inline distT="0" distB="0" distL="114300" distR="114300" wp14:anchorId="202A5D49" wp14:editId="14498CEB">
            <wp:extent cx="269240" cy="238125"/>
            <wp:effectExtent l="0" t="0" r="16510" b="8255"/>
            <wp:docPr id="11"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47"/>
                    <pic:cNvPicPr>
                      <a:picLocks noChangeAspect="1"/>
                    </pic:cNvPicPr>
                  </pic:nvPicPr>
                  <pic:blipFill>
                    <a:blip r:embed="rId237"/>
                    <a:stretch>
                      <a:fillRect/>
                    </a:stretch>
                  </pic:blipFill>
                  <pic:spPr>
                    <a:xfrm>
                      <a:off x="0" y="0"/>
                      <a:ext cx="269240" cy="238125"/>
                    </a:xfrm>
                    <a:prstGeom prst="rect">
                      <a:avLst/>
                    </a:prstGeom>
                    <a:noFill/>
                    <a:ln>
                      <a:noFill/>
                    </a:ln>
                  </pic:spPr>
                </pic:pic>
              </a:graphicData>
            </a:graphic>
          </wp:inline>
        </w:drawing>
      </w:r>
      <w:r w:rsidRPr="000549B1">
        <w:t>为沉积物水热交换速率</w:t>
      </w:r>
      <w:r w:rsidRPr="000549B1">
        <w:t>Wm</w:t>
      </w:r>
      <w:r w:rsidRPr="000549B1">
        <w:rPr>
          <w:vertAlign w:val="superscript"/>
        </w:rPr>
        <w:t>-2</w:t>
      </w:r>
      <w:r w:rsidRPr="000549B1">
        <w:t>；</w:t>
      </w:r>
      <w:r w:rsidRPr="000549B1">
        <w:rPr>
          <w:b/>
          <w:noProof/>
          <w:position w:val="-12"/>
        </w:rPr>
        <w:drawing>
          <wp:inline distT="0" distB="0" distL="114300" distR="114300" wp14:anchorId="64AFCD37" wp14:editId="47609983">
            <wp:extent cx="253365" cy="238125"/>
            <wp:effectExtent l="0" t="0" r="13335" b="8255"/>
            <wp:docPr id="1632640567"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640567" name="图片 48"/>
                    <pic:cNvPicPr>
                      <a:picLocks noChangeAspect="1"/>
                    </pic:cNvPicPr>
                  </pic:nvPicPr>
                  <pic:blipFill>
                    <a:blip r:embed="rId238"/>
                    <a:stretch>
                      <a:fillRect/>
                    </a:stretch>
                  </pic:blipFill>
                  <pic:spPr>
                    <a:xfrm>
                      <a:off x="0" y="0"/>
                      <a:ext cx="253365" cy="238125"/>
                    </a:xfrm>
                    <a:prstGeom prst="rect">
                      <a:avLst/>
                    </a:prstGeom>
                    <a:noFill/>
                    <a:ln>
                      <a:noFill/>
                    </a:ln>
                  </pic:spPr>
                </pic:pic>
              </a:graphicData>
            </a:graphic>
          </wp:inline>
        </w:drawing>
      </w:r>
      <w:r w:rsidRPr="000549B1">
        <w:t>为沉积物水热交换系数，</w:t>
      </w:r>
      <w:r w:rsidRPr="000549B1">
        <w:t>Wm</w:t>
      </w:r>
      <w:r w:rsidRPr="000549B1">
        <w:rPr>
          <w:vertAlign w:val="superscript"/>
        </w:rPr>
        <w:t>-2</w:t>
      </w:r>
      <w:r w:rsidRPr="000549B1">
        <w:t>℃</w:t>
      </w:r>
      <w:r w:rsidRPr="000549B1">
        <w:rPr>
          <w:vertAlign w:val="superscript"/>
        </w:rPr>
        <w:t>-1</w:t>
      </w:r>
      <w:r w:rsidRPr="000549B1">
        <w:t>；</w:t>
      </w:r>
      <w:r w:rsidRPr="000549B1">
        <w:rPr>
          <w:b/>
          <w:noProof/>
          <w:position w:val="-12"/>
        </w:rPr>
        <w:drawing>
          <wp:inline distT="0" distB="0" distL="114300" distR="114300" wp14:anchorId="5FEE0AF5" wp14:editId="4A274713">
            <wp:extent cx="176530" cy="238125"/>
            <wp:effectExtent l="0" t="0" r="13970" b="8255"/>
            <wp:docPr id="3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49"/>
                    <pic:cNvPicPr>
                      <a:picLocks noChangeAspect="1"/>
                    </pic:cNvPicPr>
                  </pic:nvPicPr>
                  <pic:blipFill>
                    <a:blip r:embed="rId239"/>
                    <a:stretch>
                      <a:fillRect/>
                    </a:stretch>
                  </pic:blipFill>
                  <pic:spPr>
                    <a:xfrm>
                      <a:off x="0" y="0"/>
                      <a:ext cx="176530" cy="238125"/>
                    </a:xfrm>
                    <a:prstGeom prst="rect">
                      <a:avLst/>
                    </a:prstGeom>
                    <a:noFill/>
                    <a:ln>
                      <a:noFill/>
                    </a:ln>
                  </pic:spPr>
                </pic:pic>
              </a:graphicData>
            </a:graphic>
          </wp:inline>
        </w:drawing>
      </w:r>
      <w:r w:rsidRPr="000549B1">
        <w:t>为水温，</w:t>
      </w:r>
      <w:r w:rsidRPr="000549B1">
        <w:t>℃</w:t>
      </w:r>
      <w:r w:rsidRPr="000549B1">
        <w:t>；</w:t>
      </w:r>
      <w:r w:rsidRPr="000549B1">
        <w:rPr>
          <w:b/>
          <w:i/>
          <w:iCs/>
          <w:noProof/>
          <w:position w:val="-12"/>
        </w:rPr>
        <w:drawing>
          <wp:inline distT="0" distB="0" distL="114300" distR="114300" wp14:anchorId="5FDE7739" wp14:editId="74909EF2">
            <wp:extent cx="153670" cy="238125"/>
            <wp:effectExtent l="0" t="0" r="17780" b="8255"/>
            <wp:docPr id="4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50"/>
                    <pic:cNvPicPr>
                      <a:picLocks noChangeAspect="1"/>
                    </pic:cNvPicPr>
                  </pic:nvPicPr>
                  <pic:blipFill>
                    <a:blip r:embed="rId240"/>
                    <a:stretch>
                      <a:fillRect/>
                    </a:stretch>
                  </pic:blipFill>
                  <pic:spPr>
                    <a:xfrm>
                      <a:off x="0" y="0"/>
                      <a:ext cx="153670" cy="238125"/>
                    </a:xfrm>
                    <a:prstGeom prst="rect">
                      <a:avLst/>
                    </a:prstGeom>
                    <a:noFill/>
                    <a:ln>
                      <a:noFill/>
                    </a:ln>
                  </pic:spPr>
                </pic:pic>
              </a:graphicData>
            </a:graphic>
          </wp:inline>
        </w:drawing>
      </w:r>
      <w:r w:rsidRPr="000549B1">
        <w:t>为沉积物温度。</w:t>
      </w:r>
      <w:r w:rsidRPr="000549B1">
        <w:rPr>
          <w:i/>
          <w:iCs/>
        </w:rPr>
        <w:t>K</w:t>
      </w:r>
      <w:r w:rsidRPr="000549B1">
        <w:rPr>
          <w:i/>
          <w:iCs/>
          <w:vertAlign w:val="subscript"/>
        </w:rPr>
        <w:t>SW</w:t>
      </w:r>
      <w:r w:rsidRPr="000549B1">
        <w:t>值为</w:t>
      </w:r>
      <w:r w:rsidRPr="000549B1">
        <w:t>0.3Wm</w:t>
      </w:r>
      <w:r w:rsidRPr="000549B1">
        <w:rPr>
          <w:vertAlign w:val="superscript"/>
        </w:rPr>
        <w:t>-2</w:t>
      </w:r>
      <w:r w:rsidRPr="000549B1">
        <w:t>℃</w:t>
      </w:r>
      <w:r w:rsidRPr="000549B1">
        <w:rPr>
          <w:vertAlign w:val="superscript"/>
        </w:rPr>
        <w:t>-1</w:t>
      </w:r>
      <w:r w:rsidRPr="000549B1">
        <w:t>，约为量级小于表面热交换系数。</w:t>
      </w:r>
    </w:p>
    <w:p w14:paraId="5418A653" w14:textId="77777777" w:rsidR="00054437" w:rsidRPr="000549B1" w:rsidRDefault="00000000">
      <w:pPr>
        <w:tabs>
          <w:tab w:val="left" w:pos="4500"/>
        </w:tabs>
        <w:spacing w:line="500" w:lineRule="exact"/>
        <w:ind w:firstLineChars="200" w:firstLine="480"/>
        <w:jc w:val="left"/>
        <w:rPr>
          <w:sz w:val="24"/>
          <w:szCs w:val="24"/>
        </w:rPr>
      </w:pPr>
      <w:r w:rsidRPr="000549B1">
        <w:rPr>
          <w:rFonts w:ascii="宋体" w:hAnsi="宋体" w:cs="宋体" w:hint="eastAsia"/>
          <w:sz w:val="24"/>
          <w:szCs w:val="24"/>
        </w:rPr>
        <w:t>④</w:t>
      </w:r>
      <w:r w:rsidRPr="000549B1">
        <w:rPr>
          <w:sz w:val="24"/>
          <w:szCs w:val="24"/>
        </w:rPr>
        <w:t>冰模块</w:t>
      </w:r>
    </w:p>
    <w:p w14:paraId="50B1955E" w14:textId="77777777" w:rsidR="00054437" w:rsidRPr="000549B1" w:rsidRDefault="00000000">
      <w:pPr>
        <w:pStyle w:val="0A1"/>
        <w:spacing w:afterLines="50" w:after="156"/>
        <w:rPr>
          <w:b/>
        </w:rPr>
      </w:pPr>
      <w:r w:rsidRPr="000549B1">
        <w:t>冰的厚度、冰盖的形成和损失在水体的热量收支中起着重要作用。基于冰对空气的热交换、冰的传导、底层水之间的传导和冰底的</w:t>
      </w:r>
      <w:r w:rsidRPr="000549B1">
        <w:rPr>
          <w:rFonts w:ascii="宋体" w:hAnsi="宋体"/>
        </w:rPr>
        <w:t>“</w:t>
      </w:r>
      <w:r w:rsidRPr="000549B1">
        <w:t>融化温度</w:t>
      </w:r>
      <w:r w:rsidRPr="000549B1">
        <w:rPr>
          <w:rFonts w:ascii="宋体" w:hAnsi="宋体"/>
        </w:rPr>
        <w:t>”</w:t>
      </w:r>
      <w:r w:rsidRPr="000549B1">
        <w:t>层的冰盖</w:t>
      </w:r>
      <w:r w:rsidRPr="000549B1">
        <w:t>(Ashton</w:t>
      </w:r>
      <w:r w:rsidRPr="000549B1">
        <w:t>，</w:t>
      </w:r>
      <w:r w:rsidRPr="000549B1">
        <w:t>1979)</w:t>
      </w:r>
      <w:r w:rsidRPr="000549B1">
        <w:t>，水</w:t>
      </w:r>
      <w:r w:rsidRPr="000549B1">
        <w:t>-</w:t>
      </w:r>
      <w:r w:rsidRPr="000549B1">
        <w:t>冰</w:t>
      </w:r>
      <w:r w:rsidRPr="000549B1">
        <w:t>-</w:t>
      </w:r>
      <w:r w:rsidRPr="000549B1">
        <w:t>空气系统的总热平衡为</w:t>
      </w:r>
      <w:r w:rsidRPr="000549B1">
        <w:t>:</w:t>
      </w:r>
    </w:p>
    <w:p w14:paraId="47BC2179" w14:textId="77777777" w:rsidR="00054437" w:rsidRPr="000549B1" w:rsidRDefault="00000000">
      <w:pPr>
        <w:jc w:val="center"/>
      </w:pPr>
      <w:r w:rsidRPr="000549B1">
        <w:rPr>
          <w:noProof/>
        </w:rPr>
        <w:drawing>
          <wp:inline distT="0" distB="0" distL="114300" distR="114300" wp14:anchorId="6B2E9090" wp14:editId="746CDED1">
            <wp:extent cx="2235835" cy="399415"/>
            <wp:effectExtent l="0" t="0" r="12065" b="635"/>
            <wp:docPr id="4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51"/>
                    <pic:cNvPicPr>
                      <a:picLocks noChangeAspect="1"/>
                    </pic:cNvPicPr>
                  </pic:nvPicPr>
                  <pic:blipFill>
                    <a:blip r:embed="rId241"/>
                    <a:stretch>
                      <a:fillRect/>
                    </a:stretch>
                  </pic:blipFill>
                  <pic:spPr>
                    <a:xfrm>
                      <a:off x="0" y="0"/>
                      <a:ext cx="2235835" cy="399415"/>
                    </a:xfrm>
                    <a:prstGeom prst="rect">
                      <a:avLst/>
                    </a:prstGeom>
                    <a:noFill/>
                    <a:ln>
                      <a:noFill/>
                    </a:ln>
                  </pic:spPr>
                </pic:pic>
              </a:graphicData>
            </a:graphic>
          </wp:inline>
        </w:drawing>
      </w:r>
    </w:p>
    <w:p w14:paraId="175CEF22" w14:textId="77777777" w:rsidR="00054437" w:rsidRPr="000549B1" w:rsidRDefault="00000000">
      <w:pPr>
        <w:pStyle w:val="0A1"/>
        <w:rPr>
          <w:b/>
        </w:rPr>
      </w:pPr>
      <w:r w:rsidRPr="000549B1">
        <w:t>式中，</w:t>
      </w:r>
      <w:r w:rsidRPr="000549B1">
        <w:rPr>
          <w:b/>
          <w:noProof/>
          <w:kern w:val="0"/>
          <w:position w:val="-12"/>
          <w:lang w:eastAsia="en-US"/>
        </w:rPr>
        <w:drawing>
          <wp:inline distT="0" distB="0" distL="114300" distR="114300" wp14:anchorId="0FACF788" wp14:editId="79A0DCC4">
            <wp:extent cx="168910" cy="238125"/>
            <wp:effectExtent l="0" t="0" r="2540" b="5715"/>
            <wp:docPr id="2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52"/>
                    <pic:cNvPicPr>
                      <a:picLocks noChangeAspect="1"/>
                    </pic:cNvPicPr>
                  </pic:nvPicPr>
                  <pic:blipFill>
                    <a:blip r:embed="rId242"/>
                    <a:stretch>
                      <a:fillRect/>
                    </a:stretch>
                  </pic:blipFill>
                  <pic:spPr>
                    <a:xfrm>
                      <a:off x="0" y="0"/>
                      <a:ext cx="168910" cy="238125"/>
                    </a:xfrm>
                    <a:prstGeom prst="rect">
                      <a:avLst/>
                    </a:prstGeom>
                    <a:noFill/>
                    <a:ln>
                      <a:noFill/>
                    </a:ln>
                  </pic:spPr>
                </pic:pic>
              </a:graphicData>
            </a:graphic>
          </wp:inline>
        </w:drawing>
      </w:r>
      <w:r w:rsidRPr="000549B1">
        <w:t>为冰密度，</w:t>
      </w:r>
      <w:r w:rsidRPr="000549B1">
        <w:t>kgm</w:t>
      </w:r>
      <w:r w:rsidRPr="000549B1">
        <w:rPr>
          <w:vertAlign w:val="superscript"/>
        </w:rPr>
        <w:t>-3</w:t>
      </w:r>
      <w:r w:rsidRPr="000549B1">
        <w:t>；</w:t>
      </w:r>
      <w:r w:rsidRPr="000549B1">
        <w:rPr>
          <w:b/>
          <w:noProof/>
          <w:kern w:val="0"/>
          <w:position w:val="-14"/>
          <w:lang w:eastAsia="en-US"/>
        </w:rPr>
        <w:drawing>
          <wp:inline distT="0" distB="0" distL="114300" distR="114300" wp14:anchorId="2B424C88" wp14:editId="297EC4AA">
            <wp:extent cx="192405" cy="245745"/>
            <wp:effectExtent l="0" t="0" r="0" b="1270"/>
            <wp:docPr id="21"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53"/>
                    <pic:cNvPicPr>
                      <a:picLocks noChangeAspect="1"/>
                    </pic:cNvPicPr>
                  </pic:nvPicPr>
                  <pic:blipFill>
                    <a:blip r:embed="rId243"/>
                    <a:stretch>
                      <a:fillRect/>
                    </a:stretch>
                  </pic:blipFill>
                  <pic:spPr>
                    <a:xfrm>
                      <a:off x="0" y="0"/>
                      <a:ext cx="192405" cy="245745"/>
                    </a:xfrm>
                    <a:prstGeom prst="rect">
                      <a:avLst/>
                    </a:prstGeom>
                    <a:noFill/>
                    <a:ln>
                      <a:noFill/>
                    </a:ln>
                  </pic:spPr>
                </pic:pic>
              </a:graphicData>
            </a:graphic>
          </wp:inline>
        </w:drawing>
      </w:r>
      <w:r w:rsidRPr="000549B1">
        <w:t>为冰的熔化潜热，</w:t>
      </w:r>
      <w:r w:rsidRPr="000549B1">
        <w:t>Jkg</w:t>
      </w:r>
      <w:r w:rsidRPr="000549B1">
        <w:rPr>
          <w:vertAlign w:val="superscript"/>
        </w:rPr>
        <w:t>-1</w:t>
      </w:r>
      <w:r w:rsidRPr="000549B1">
        <w:t>；</w:t>
      </w:r>
      <w:r w:rsidRPr="000549B1">
        <w:rPr>
          <w:lang w:eastAsia="en-US"/>
        </w:rPr>
        <w:t>Δ</w:t>
      </w:r>
      <w:r w:rsidRPr="000549B1">
        <w:t>h/</w:t>
      </w:r>
      <w:r w:rsidRPr="000549B1">
        <w:rPr>
          <w:lang w:eastAsia="en-US"/>
        </w:rPr>
        <w:t>Δ</w:t>
      </w:r>
      <w:r w:rsidRPr="000549B1">
        <w:t>t</w:t>
      </w:r>
      <w:r w:rsidRPr="000549B1">
        <w:t>为冰厚度</w:t>
      </w:r>
      <w:r w:rsidRPr="000549B1">
        <w:t>h</w:t>
      </w:r>
      <w:r w:rsidRPr="000549B1">
        <w:t>随时间</w:t>
      </w:r>
      <w:r w:rsidRPr="000549B1">
        <w:t>t</w:t>
      </w:r>
      <w:r w:rsidRPr="000549B1">
        <w:t>的变化，</w:t>
      </w:r>
      <w:r w:rsidRPr="000549B1">
        <w:t>h</w:t>
      </w:r>
      <w:r w:rsidRPr="000549B1">
        <w:rPr>
          <w:vertAlign w:val="subscript"/>
        </w:rPr>
        <w:t>ai</w:t>
      </w:r>
      <w:r w:rsidRPr="000549B1">
        <w:t>为冰</w:t>
      </w:r>
      <w:r w:rsidRPr="000549B1">
        <w:t>-</w:t>
      </w:r>
      <w:r w:rsidRPr="000549B1">
        <w:t>空气热交换系数，</w:t>
      </w:r>
      <w:r w:rsidRPr="000549B1">
        <w:t>Wm</w:t>
      </w:r>
      <w:r w:rsidRPr="000549B1">
        <w:rPr>
          <w:vertAlign w:val="superscript"/>
        </w:rPr>
        <w:t>-2</w:t>
      </w:r>
      <w:r w:rsidRPr="000549B1">
        <w:t>℃</w:t>
      </w:r>
      <w:r w:rsidRPr="000549B1">
        <w:rPr>
          <w:vertAlign w:val="superscript"/>
        </w:rPr>
        <w:t>-1</w:t>
      </w:r>
      <w:r w:rsidRPr="000549B1">
        <w:t>；</w:t>
      </w:r>
      <w:r w:rsidRPr="000549B1">
        <w:t>h</w:t>
      </w:r>
      <w:r w:rsidRPr="000549B1">
        <w:rPr>
          <w:vertAlign w:val="subscript"/>
        </w:rPr>
        <w:t>wi</w:t>
      </w:r>
      <w:r w:rsidRPr="000549B1">
        <w:t>为通过熔融层的水</w:t>
      </w:r>
      <w:r w:rsidRPr="000549B1">
        <w:t>-</w:t>
      </w:r>
      <w:r w:rsidRPr="000549B1">
        <w:t>冰热交换系数，</w:t>
      </w:r>
      <w:r w:rsidRPr="000549B1">
        <w:t>Wm</w:t>
      </w:r>
      <w:r w:rsidRPr="000549B1">
        <w:rPr>
          <w:vertAlign w:val="superscript"/>
        </w:rPr>
        <w:t>-2</w:t>
      </w:r>
      <w:r w:rsidRPr="000549B1">
        <w:t>℃</w:t>
      </w:r>
      <w:r w:rsidRPr="000549B1">
        <w:rPr>
          <w:vertAlign w:val="superscript"/>
        </w:rPr>
        <w:t>-1</w:t>
      </w:r>
      <w:r w:rsidRPr="000549B1">
        <w:t>；</w:t>
      </w:r>
      <w:r w:rsidRPr="000549B1">
        <w:t>T</w:t>
      </w:r>
      <w:r w:rsidRPr="000549B1">
        <w:rPr>
          <w:vertAlign w:val="subscript"/>
        </w:rPr>
        <w:t>i</w:t>
      </w:r>
      <w:r w:rsidRPr="000549B1">
        <w:t>为冰温，</w:t>
      </w:r>
      <w:r w:rsidRPr="000549B1">
        <w:t>C</w:t>
      </w:r>
      <w:r w:rsidRPr="000549B1">
        <w:t>；</w:t>
      </w:r>
      <w:r w:rsidRPr="000549B1">
        <w:t>T</w:t>
      </w:r>
      <w:r w:rsidRPr="000549B1">
        <w:rPr>
          <w:vertAlign w:val="subscript"/>
        </w:rPr>
        <w:t>e</w:t>
      </w:r>
      <w:r w:rsidRPr="000549B1">
        <w:t>为冰</w:t>
      </w:r>
      <w:r w:rsidRPr="000549B1">
        <w:t>-</w:t>
      </w:r>
      <w:r w:rsidRPr="000549B1">
        <w:t>空气热交换的平衡温度，</w:t>
      </w:r>
      <w:r w:rsidRPr="000549B1">
        <w:t>C</w:t>
      </w:r>
      <w:r w:rsidRPr="000549B1">
        <w:t>；</w:t>
      </w:r>
      <w:r w:rsidRPr="000549B1">
        <w:t>T</w:t>
      </w:r>
      <w:r w:rsidRPr="000549B1">
        <w:rPr>
          <w:vertAlign w:val="subscript"/>
        </w:rPr>
        <w:t>w</w:t>
      </w:r>
      <w:r w:rsidRPr="000549B1">
        <w:t>为冰下水温，</w:t>
      </w:r>
      <w:r w:rsidRPr="000549B1">
        <w:t>℃</w:t>
      </w:r>
      <w:r w:rsidRPr="000549B1">
        <w:t>；</w:t>
      </w:r>
      <w:r w:rsidRPr="000549B1">
        <w:t>T</w:t>
      </w:r>
      <w:r w:rsidRPr="000549B1">
        <w:rPr>
          <w:vertAlign w:val="subscript"/>
        </w:rPr>
        <w:t>m</w:t>
      </w:r>
      <w:r w:rsidRPr="000549B1">
        <w:t>为熔体温度，</w:t>
      </w:r>
      <w:r w:rsidRPr="000549B1">
        <w:t>℃</w:t>
      </w:r>
      <w:r w:rsidRPr="000549B1">
        <w:t>。冰热平衡中的冰温度是通过将冰和空气之间的表面热传递速率与通过冰的热传导速率相等来计算：</w:t>
      </w:r>
    </w:p>
    <w:p w14:paraId="634EAC76" w14:textId="77777777" w:rsidR="00054437" w:rsidRPr="000549B1" w:rsidRDefault="00054437"/>
    <w:p w14:paraId="5C3B2526" w14:textId="77777777" w:rsidR="00054437" w:rsidRPr="000549B1" w:rsidRDefault="00000000">
      <w:pPr>
        <w:jc w:val="center"/>
      </w:pPr>
      <w:r w:rsidRPr="000549B1">
        <w:rPr>
          <w:noProof/>
        </w:rPr>
        <w:drawing>
          <wp:inline distT="0" distB="0" distL="114300" distR="114300" wp14:anchorId="7F4B7DA1" wp14:editId="0E1F7B75">
            <wp:extent cx="1636395" cy="422910"/>
            <wp:effectExtent l="0" t="0" r="1905" b="15875"/>
            <wp:docPr id="19"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54"/>
                    <pic:cNvPicPr>
                      <a:picLocks noChangeAspect="1"/>
                    </pic:cNvPicPr>
                  </pic:nvPicPr>
                  <pic:blipFill>
                    <a:blip r:embed="rId244">
                      <a:lum bright="-6000"/>
                    </a:blip>
                    <a:stretch>
                      <a:fillRect/>
                    </a:stretch>
                  </pic:blipFill>
                  <pic:spPr>
                    <a:xfrm>
                      <a:off x="0" y="0"/>
                      <a:ext cx="1636395" cy="422910"/>
                    </a:xfrm>
                    <a:prstGeom prst="rect">
                      <a:avLst/>
                    </a:prstGeom>
                    <a:noFill/>
                    <a:ln>
                      <a:noFill/>
                    </a:ln>
                  </pic:spPr>
                </pic:pic>
              </a:graphicData>
            </a:graphic>
          </wp:inline>
        </w:drawing>
      </w:r>
    </w:p>
    <w:p w14:paraId="640D0D6D" w14:textId="77777777" w:rsidR="00054437" w:rsidRPr="000549B1" w:rsidRDefault="00000000">
      <w:pPr>
        <w:pStyle w:val="0A1"/>
        <w:rPr>
          <w:b/>
        </w:rPr>
      </w:pPr>
      <w:r w:rsidRPr="000549B1">
        <w:t>式中，</w:t>
      </w:r>
      <w:r w:rsidRPr="000549B1">
        <w:t>K</w:t>
      </w:r>
      <w:r w:rsidRPr="000549B1">
        <w:rPr>
          <w:vertAlign w:val="subscript"/>
        </w:rPr>
        <w:t>i</w:t>
      </w:r>
      <w:r w:rsidRPr="000549B1">
        <w:t>为冰的分子导热系数，</w:t>
      </w:r>
      <w:r w:rsidRPr="000549B1">
        <w:t>Wm</w:t>
      </w:r>
      <w:r w:rsidRPr="000549B1">
        <w:rPr>
          <w:vertAlign w:val="superscript"/>
        </w:rPr>
        <w:t>-2</w:t>
      </w:r>
      <w:r w:rsidRPr="000549B1">
        <w:t>℃</w:t>
      </w:r>
      <w:r w:rsidRPr="000549B1">
        <w:rPr>
          <w:vertAlign w:val="superscript"/>
        </w:rPr>
        <w:t>-1</w:t>
      </w:r>
      <w:r w:rsidRPr="000549B1">
        <w:t>。本项目计算中开启冰模块计算。</w:t>
      </w:r>
    </w:p>
    <w:p w14:paraId="63C8FAA4" w14:textId="77777777" w:rsidR="00054437" w:rsidRPr="000549B1" w:rsidRDefault="00000000">
      <w:pPr>
        <w:pStyle w:val="0A1"/>
        <w:rPr>
          <w:bCs/>
        </w:rPr>
      </w:pPr>
      <w:r w:rsidRPr="000549B1">
        <w:rPr>
          <w:bCs/>
        </w:rPr>
        <w:t>2</w:t>
      </w:r>
      <w:r w:rsidRPr="000549B1">
        <w:rPr>
          <w:bCs/>
        </w:rPr>
        <w:t>）水库网格划分</w:t>
      </w:r>
    </w:p>
    <w:p w14:paraId="304462EF" w14:textId="5F925353" w:rsidR="00054437" w:rsidRPr="000549B1" w:rsidRDefault="00000000">
      <w:pPr>
        <w:spacing w:line="500" w:lineRule="exact"/>
        <w:ind w:firstLineChars="200" w:firstLine="480"/>
        <w:rPr>
          <w:b/>
          <w:bCs/>
          <w:sz w:val="24"/>
          <w:szCs w:val="24"/>
        </w:rPr>
      </w:pPr>
      <w:r w:rsidRPr="000549B1">
        <w:rPr>
          <w:sz w:val="24"/>
          <w:szCs w:val="24"/>
        </w:rPr>
        <w:t>大河坝水库干流回水区长度约</w:t>
      </w:r>
      <w:r w:rsidRPr="000549B1">
        <w:rPr>
          <w:sz w:val="24"/>
          <w:szCs w:val="24"/>
        </w:rPr>
        <w:t>3.5km</w:t>
      </w:r>
      <w:r w:rsidRPr="000549B1">
        <w:rPr>
          <w:sz w:val="24"/>
          <w:szCs w:val="24"/>
        </w:rPr>
        <w:t>，干流划分为</w:t>
      </w:r>
      <w:r w:rsidRPr="000549B1">
        <w:rPr>
          <w:sz w:val="24"/>
          <w:szCs w:val="24"/>
        </w:rPr>
        <w:t>25×60</w:t>
      </w:r>
      <w:r w:rsidRPr="000549B1">
        <w:rPr>
          <w:sz w:val="24"/>
          <w:szCs w:val="24"/>
        </w:rPr>
        <w:t>（纵向</w:t>
      </w:r>
      <w:r w:rsidRPr="000549B1">
        <w:rPr>
          <w:sz w:val="24"/>
          <w:szCs w:val="24"/>
        </w:rPr>
        <w:t>×</w:t>
      </w:r>
      <w:r w:rsidRPr="000549B1">
        <w:rPr>
          <w:sz w:val="24"/>
          <w:szCs w:val="24"/>
        </w:rPr>
        <w:t>垂向）个矩形单元，纵向网格单元长度为</w:t>
      </w:r>
      <w:r w:rsidRPr="000549B1">
        <w:rPr>
          <w:sz w:val="24"/>
          <w:szCs w:val="24"/>
        </w:rPr>
        <w:t>150m</w:t>
      </w:r>
      <w:r w:rsidRPr="000549B1">
        <w:rPr>
          <w:sz w:val="24"/>
          <w:szCs w:val="24"/>
        </w:rPr>
        <w:t>，共</w:t>
      </w:r>
      <w:r w:rsidRPr="000549B1">
        <w:rPr>
          <w:sz w:val="24"/>
          <w:szCs w:val="24"/>
        </w:rPr>
        <w:t>25</w:t>
      </w:r>
      <w:r w:rsidRPr="000549B1">
        <w:rPr>
          <w:sz w:val="24"/>
          <w:szCs w:val="24"/>
        </w:rPr>
        <w:t>个断面</w:t>
      </w:r>
      <w:r w:rsidRPr="000549B1">
        <w:rPr>
          <w:sz w:val="24"/>
          <w:szCs w:val="24"/>
        </w:rPr>
        <w:t>segment</w:t>
      </w:r>
      <w:r w:rsidRPr="000549B1">
        <w:rPr>
          <w:sz w:val="24"/>
          <w:szCs w:val="24"/>
        </w:rPr>
        <w:t>（包括上下游各一个虚拟断面）；在垂向网格处理中，模型包括表底虚拟层在内共分为</w:t>
      </w:r>
      <w:r w:rsidRPr="000549B1">
        <w:rPr>
          <w:sz w:val="24"/>
          <w:szCs w:val="24"/>
        </w:rPr>
        <w:t>60</w:t>
      </w:r>
      <w:r w:rsidRPr="000549B1">
        <w:rPr>
          <w:sz w:val="24"/>
          <w:szCs w:val="24"/>
        </w:rPr>
        <w:t>层，层厚为</w:t>
      </w:r>
      <w:r w:rsidRPr="000549B1">
        <w:rPr>
          <w:sz w:val="24"/>
          <w:szCs w:val="24"/>
        </w:rPr>
        <w:t>1m</w:t>
      </w:r>
      <w:r w:rsidRPr="000549B1">
        <w:rPr>
          <w:sz w:val="24"/>
          <w:szCs w:val="24"/>
        </w:rPr>
        <w:t>，运用设置好的网格文件，通过</w:t>
      </w:r>
      <w:r w:rsidRPr="000549B1">
        <w:rPr>
          <w:sz w:val="24"/>
          <w:szCs w:val="24"/>
        </w:rPr>
        <w:t>W2-Post</w:t>
      </w:r>
      <w:r w:rsidRPr="000549B1">
        <w:rPr>
          <w:sz w:val="24"/>
          <w:szCs w:val="24"/>
        </w:rPr>
        <w:t>生成网格的平面图、纵剖面图、横剖面图等如</w:t>
      </w:r>
      <w:r w:rsidR="00F32CCA" w:rsidRPr="00F32CCA">
        <w:rPr>
          <w:sz w:val="24"/>
          <w:szCs w:val="24"/>
        </w:rPr>
        <w:t>图</w:t>
      </w:r>
      <w:r w:rsidR="00F32CCA" w:rsidRPr="00F32CCA">
        <w:rPr>
          <w:sz w:val="24"/>
          <w:szCs w:val="24"/>
        </w:rPr>
        <w:t>5.2</w:t>
      </w:r>
      <w:r w:rsidR="00F32CCA" w:rsidRPr="00F32CCA">
        <w:rPr>
          <w:sz w:val="24"/>
          <w:szCs w:val="24"/>
        </w:rPr>
        <w:noBreakHyphen/>
        <w:t>1</w:t>
      </w:r>
      <w:r w:rsidRPr="000549B1">
        <w:rPr>
          <w:sz w:val="24"/>
          <w:szCs w:val="24"/>
        </w:rPr>
        <w:t>所示。</w:t>
      </w:r>
    </w:p>
    <w:p w14:paraId="4A94403E" w14:textId="77777777" w:rsidR="00054437" w:rsidRPr="000549B1" w:rsidRDefault="00000000">
      <w:pPr>
        <w:jc w:val="center"/>
        <w:rPr>
          <w:sz w:val="24"/>
          <w:szCs w:val="24"/>
        </w:rPr>
      </w:pPr>
      <w:r w:rsidRPr="000549B1">
        <w:rPr>
          <w:noProof/>
          <w:sz w:val="24"/>
          <w:szCs w:val="24"/>
        </w:rPr>
        <w:drawing>
          <wp:inline distT="0" distB="0" distL="114300" distR="114300" wp14:anchorId="68CFF59E" wp14:editId="4A7DB3CB">
            <wp:extent cx="1308100" cy="1627396"/>
            <wp:effectExtent l="0" t="0" r="6350" b="0"/>
            <wp:docPr id="20"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55"/>
                    <pic:cNvPicPr>
                      <a:picLocks noChangeAspect="1"/>
                    </pic:cNvPicPr>
                  </pic:nvPicPr>
                  <pic:blipFill>
                    <a:blip r:embed="rId245" cstate="email">
                      <a:extLst>
                        <a:ext uri="{28A0092B-C50C-407E-A947-70E740481C1C}">
                          <a14:useLocalDpi xmlns:a14="http://schemas.microsoft.com/office/drawing/2010/main"/>
                        </a:ext>
                      </a:extLst>
                    </a:blip>
                    <a:srcRect/>
                    <a:stretch>
                      <a:fillRect/>
                    </a:stretch>
                  </pic:blipFill>
                  <pic:spPr>
                    <a:xfrm>
                      <a:off x="0" y="0"/>
                      <a:ext cx="1314007" cy="1634744"/>
                    </a:xfrm>
                    <a:prstGeom prst="rect">
                      <a:avLst/>
                    </a:prstGeom>
                    <a:noFill/>
                    <a:ln>
                      <a:noFill/>
                    </a:ln>
                  </pic:spPr>
                </pic:pic>
              </a:graphicData>
            </a:graphic>
          </wp:inline>
        </w:drawing>
      </w:r>
      <w:r w:rsidRPr="000549B1">
        <w:rPr>
          <w:noProof/>
        </w:rPr>
        <w:drawing>
          <wp:inline distT="0" distB="0" distL="114300" distR="114300" wp14:anchorId="04E3176D" wp14:editId="588D9443">
            <wp:extent cx="3470275" cy="1684166"/>
            <wp:effectExtent l="19050" t="19050" r="15875" b="11430"/>
            <wp:docPr id="25"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56"/>
                    <pic:cNvPicPr>
                      <a:picLocks noChangeAspect="1"/>
                    </pic:cNvPicPr>
                  </pic:nvPicPr>
                  <pic:blipFill>
                    <a:blip r:embed="rId246" cstate="email">
                      <a:extLst>
                        <a:ext uri="{28A0092B-C50C-407E-A947-70E740481C1C}">
                          <a14:useLocalDpi xmlns:a14="http://schemas.microsoft.com/office/drawing/2010/main"/>
                        </a:ext>
                      </a:extLst>
                    </a:blip>
                    <a:stretch>
                      <a:fillRect/>
                    </a:stretch>
                  </pic:blipFill>
                  <pic:spPr>
                    <a:xfrm>
                      <a:off x="0" y="0"/>
                      <a:ext cx="3474842" cy="1686382"/>
                    </a:xfrm>
                    <a:prstGeom prst="rect">
                      <a:avLst/>
                    </a:prstGeom>
                    <a:noFill/>
                    <a:ln w="9525" cap="flat" cmpd="sng">
                      <a:solidFill>
                        <a:srgbClr val="000000"/>
                      </a:solidFill>
                      <a:prstDash val="solid"/>
                      <a:round/>
                      <a:headEnd type="none" w="med" len="med"/>
                      <a:tailEnd type="none" w="med" len="med"/>
                    </a:ln>
                  </pic:spPr>
                </pic:pic>
              </a:graphicData>
            </a:graphic>
          </wp:inline>
        </w:drawing>
      </w:r>
      <w:r w:rsidRPr="000549B1">
        <w:rPr>
          <w:noProof/>
        </w:rPr>
        <w:drawing>
          <wp:inline distT="0" distB="0" distL="114300" distR="114300" wp14:anchorId="6BB59903" wp14:editId="1D4E1BCF">
            <wp:extent cx="2308225" cy="1147039"/>
            <wp:effectExtent l="19050" t="19050" r="15875" b="15240"/>
            <wp:docPr id="24"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57"/>
                    <pic:cNvPicPr>
                      <a:picLocks noChangeAspect="1"/>
                    </pic:cNvPicPr>
                  </pic:nvPicPr>
                  <pic:blipFill>
                    <a:blip r:embed="rId247" cstate="email">
                      <a:extLst>
                        <a:ext uri="{28A0092B-C50C-407E-A947-70E740481C1C}">
                          <a14:useLocalDpi xmlns:a14="http://schemas.microsoft.com/office/drawing/2010/main"/>
                        </a:ext>
                      </a:extLst>
                    </a:blip>
                    <a:srcRect/>
                    <a:stretch>
                      <a:fillRect/>
                    </a:stretch>
                  </pic:blipFill>
                  <pic:spPr>
                    <a:xfrm>
                      <a:off x="0" y="0"/>
                      <a:ext cx="2311552" cy="1148692"/>
                    </a:xfrm>
                    <a:prstGeom prst="rect">
                      <a:avLst/>
                    </a:prstGeom>
                    <a:noFill/>
                    <a:ln w="9525" cap="flat" cmpd="sng">
                      <a:solidFill>
                        <a:srgbClr val="000000"/>
                      </a:solidFill>
                      <a:prstDash val="solid"/>
                      <a:round/>
                      <a:headEnd type="none" w="med" len="med"/>
                      <a:tailEnd type="none" w="med" len="med"/>
                    </a:ln>
                  </pic:spPr>
                </pic:pic>
              </a:graphicData>
            </a:graphic>
          </wp:inline>
        </w:drawing>
      </w:r>
      <w:r w:rsidRPr="000549B1">
        <w:rPr>
          <w:noProof/>
        </w:rPr>
        <w:drawing>
          <wp:inline distT="0" distB="0" distL="114300" distR="114300" wp14:anchorId="34F680B1" wp14:editId="19DF0EF9">
            <wp:extent cx="2275317" cy="1133475"/>
            <wp:effectExtent l="19050" t="19050" r="10795" b="9525"/>
            <wp:docPr id="1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58"/>
                    <pic:cNvPicPr>
                      <a:picLocks noChangeAspect="1"/>
                    </pic:cNvPicPr>
                  </pic:nvPicPr>
                  <pic:blipFill>
                    <a:blip r:embed="rId248" cstate="email">
                      <a:extLst>
                        <a:ext uri="{28A0092B-C50C-407E-A947-70E740481C1C}">
                          <a14:useLocalDpi xmlns:a14="http://schemas.microsoft.com/office/drawing/2010/main"/>
                        </a:ext>
                      </a:extLst>
                    </a:blip>
                    <a:stretch>
                      <a:fillRect/>
                    </a:stretch>
                  </pic:blipFill>
                  <pic:spPr>
                    <a:xfrm>
                      <a:off x="0" y="0"/>
                      <a:ext cx="2278297" cy="1134960"/>
                    </a:xfrm>
                    <a:prstGeom prst="rect">
                      <a:avLst/>
                    </a:prstGeom>
                    <a:noFill/>
                    <a:ln w="9525" cap="flat" cmpd="sng">
                      <a:solidFill>
                        <a:srgbClr val="000000"/>
                      </a:solidFill>
                      <a:prstDash val="solid"/>
                      <a:round/>
                      <a:headEnd type="none" w="med" len="med"/>
                      <a:tailEnd type="none" w="med" len="med"/>
                    </a:ln>
                  </pic:spPr>
                </pic:pic>
              </a:graphicData>
            </a:graphic>
          </wp:inline>
        </w:drawing>
      </w:r>
    </w:p>
    <w:p w14:paraId="34716710" w14:textId="377F1015" w:rsidR="00054437" w:rsidRPr="000549B1" w:rsidRDefault="00000000">
      <w:pPr>
        <w:pStyle w:val="aff8"/>
        <w:rPr>
          <w:bCs/>
          <w:color w:val="auto"/>
        </w:rPr>
      </w:pPr>
      <w:bookmarkStart w:id="383" w:name="_Ref214982752"/>
      <w:r w:rsidRPr="000549B1">
        <w:rPr>
          <w:color w:val="auto"/>
        </w:rPr>
        <w:t>图</w:t>
      </w:r>
      <w:r w:rsidR="00F1314B">
        <w:rPr>
          <w:color w:val="auto"/>
        </w:rPr>
        <w:fldChar w:fldCharType="begin"/>
      </w:r>
      <w:r w:rsidR="00F1314B">
        <w:rPr>
          <w:color w:val="auto"/>
        </w:rPr>
        <w:instrText xml:space="preserve"> STYLEREF 2 \s </w:instrText>
      </w:r>
      <w:r w:rsidR="00F1314B">
        <w:rPr>
          <w:color w:val="auto"/>
        </w:rPr>
        <w:fldChar w:fldCharType="separate"/>
      </w:r>
      <w:r w:rsidR="00F32CCA">
        <w:rPr>
          <w:noProof/>
          <w:color w:val="auto"/>
        </w:rPr>
        <w:t>5.2</w:t>
      </w:r>
      <w:r w:rsidR="00F1314B">
        <w:rPr>
          <w:color w:val="auto"/>
        </w:rPr>
        <w:fldChar w:fldCharType="end"/>
      </w:r>
      <w:r w:rsidR="00F1314B">
        <w:rPr>
          <w:color w:val="auto"/>
        </w:rPr>
        <w:noBreakHyphen/>
      </w:r>
      <w:r w:rsidR="00F1314B">
        <w:rPr>
          <w:color w:val="auto"/>
        </w:rPr>
        <w:fldChar w:fldCharType="begin"/>
      </w:r>
      <w:r w:rsidR="00F1314B">
        <w:rPr>
          <w:color w:val="auto"/>
        </w:rPr>
        <w:instrText xml:space="preserve"> SEQ </w:instrText>
      </w:r>
      <w:r w:rsidR="00F1314B">
        <w:rPr>
          <w:color w:val="auto"/>
        </w:rPr>
        <w:instrText>图</w:instrText>
      </w:r>
      <w:r w:rsidR="00F1314B">
        <w:rPr>
          <w:color w:val="auto"/>
        </w:rPr>
        <w:instrText xml:space="preserve"> \* ARABIC \s 2 </w:instrText>
      </w:r>
      <w:r w:rsidR="00F1314B">
        <w:rPr>
          <w:color w:val="auto"/>
        </w:rPr>
        <w:fldChar w:fldCharType="separate"/>
      </w:r>
      <w:r w:rsidR="00F32CCA">
        <w:rPr>
          <w:noProof/>
          <w:color w:val="auto"/>
        </w:rPr>
        <w:t>1</w:t>
      </w:r>
      <w:r w:rsidR="00F1314B">
        <w:rPr>
          <w:color w:val="auto"/>
        </w:rPr>
        <w:fldChar w:fldCharType="end"/>
      </w:r>
      <w:bookmarkEnd w:id="383"/>
      <w:r w:rsidRPr="000549B1">
        <w:rPr>
          <w:bCs/>
          <w:color w:val="auto"/>
        </w:rPr>
        <w:t>大河坝水库模型网格划分示意图</w:t>
      </w:r>
    </w:p>
    <w:p w14:paraId="7D8B90CC" w14:textId="77777777" w:rsidR="00054437" w:rsidRPr="000549B1" w:rsidRDefault="00000000">
      <w:pPr>
        <w:pStyle w:val="x"/>
      </w:pPr>
      <w:r w:rsidRPr="000549B1">
        <w:t>3</w:t>
      </w:r>
      <w:r w:rsidRPr="000549B1">
        <w:t>）水库垂向水</w:t>
      </w:r>
      <w:r w:rsidRPr="000549B1">
        <w:rPr>
          <w:rStyle w:val="xCharChar"/>
        </w:rPr>
        <w:t>温预测</w:t>
      </w:r>
    </w:p>
    <w:p w14:paraId="6E3EE6F4" w14:textId="77777777" w:rsidR="00054437" w:rsidRPr="000549B1" w:rsidRDefault="00000000">
      <w:pPr>
        <w:spacing w:line="500" w:lineRule="exact"/>
        <w:ind w:firstLineChars="200" w:firstLine="480"/>
        <w:rPr>
          <w:sz w:val="24"/>
          <w:szCs w:val="24"/>
        </w:rPr>
      </w:pPr>
      <w:r w:rsidRPr="000549B1">
        <w:rPr>
          <w:sz w:val="24"/>
          <w:szCs w:val="24"/>
        </w:rPr>
        <w:t>在不同来水频率条件下，库区坝前水温表现为季节分层型水温结构，丰水年表底最大温差可达</w:t>
      </w:r>
      <w:r w:rsidRPr="000549B1">
        <w:rPr>
          <w:sz w:val="24"/>
          <w:szCs w:val="24"/>
        </w:rPr>
        <w:t>7.4℃</w:t>
      </w:r>
      <w:r w:rsidRPr="000549B1">
        <w:rPr>
          <w:sz w:val="24"/>
          <w:szCs w:val="24"/>
        </w:rPr>
        <w:t>（</w:t>
      </w:r>
      <w:r w:rsidRPr="000549B1">
        <w:rPr>
          <w:sz w:val="24"/>
          <w:szCs w:val="24"/>
        </w:rPr>
        <w:t>8</w:t>
      </w:r>
      <w:r w:rsidRPr="000549B1">
        <w:rPr>
          <w:sz w:val="24"/>
          <w:szCs w:val="24"/>
        </w:rPr>
        <w:t>月份），平水年表底最大温差可达</w:t>
      </w:r>
      <w:r w:rsidRPr="000549B1">
        <w:rPr>
          <w:sz w:val="24"/>
          <w:szCs w:val="24"/>
        </w:rPr>
        <w:t>4℃</w:t>
      </w:r>
      <w:r w:rsidRPr="000549B1">
        <w:rPr>
          <w:sz w:val="24"/>
          <w:szCs w:val="24"/>
        </w:rPr>
        <w:t>（</w:t>
      </w:r>
      <w:r w:rsidRPr="000549B1">
        <w:rPr>
          <w:sz w:val="24"/>
          <w:szCs w:val="24"/>
        </w:rPr>
        <w:t>1~3</w:t>
      </w:r>
      <w:r w:rsidRPr="000549B1">
        <w:rPr>
          <w:sz w:val="24"/>
          <w:szCs w:val="24"/>
        </w:rPr>
        <w:t>月份），枯水年表底最大温差可达</w:t>
      </w:r>
      <w:r w:rsidRPr="000549B1">
        <w:rPr>
          <w:sz w:val="24"/>
          <w:szCs w:val="24"/>
        </w:rPr>
        <w:t>2.3℃</w:t>
      </w:r>
      <w:r w:rsidRPr="000549B1">
        <w:rPr>
          <w:sz w:val="24"/>
          <w:szCs w:val="24"/>
        </w:rPr>
        <w:t>（</w:t>
      </w:r>
      <w:r w:rsidRPr="000549B1">
        <w:rPr>
          <w:sz w:val="24"/>
          <w:szCs w:val="24"/>
        </w:rPr>
        <w:t>8</w:t>
      </w:r>
      <w:r w:rsidRPr="000549B1">
        <w:rPr>
          <w:sz w:val="24"/>
          <w:szCs w:val="24"/>
        </w:rPr>
        <w:t>月份）。其中：</w:t>
      </w:r>
    </w:p>
    <w:p w14:paraId="7E2F20CA" w14:textId="77777777" w:rsidR="00054437" w:rsidRPr="000549B1" w:rsidRDefault="00000000">
      <w:pPr>
        <w:spacing w:line="500" w:lineRule="exact"/>
        <w:ind w:firstLineChars="200" w:firstLine="480"/>
        <w:rPr>
          <w:sz w:val="24"/>
          <w:szCs w:val="24"/>
        </w:rPr>
      </w:pPr>
      <w:r w:rsidRPr="000549B1">
        <w:rPr>
          <w:rFonts w:ascii="宋体" w:hAnsi="宋体" w:cs="宋体" w:hint="eastAsia"/>
          <w:sz w:val="24"/>
          <w:szCs w:val="24"/>
        </w:rPr>
        <w:t>①</w:t>
      </w:r>
      <w:r w:rsidRPr="000549B1">
        <w:rPr>
          <w:sz w:val="24"/>
          <w:szCs w:val="24"/>
        </w:rPr>
        <w:t>P=10%</w:t>
      </w:r>
      <w:r w:rsidRPr="000549B1">
        <w:rPr>
          <w:sz w:val="24"/>
          <w:szCs w:val="24"/>
        </w:rPr>
        <w:t>保证率</w:t>
      </w:r>
    </w:p>
    <w:p w14:paraId="7109D2DA" w14:textId="77777777" w:rsidR="00054437" w:rsidRPr="000549B1" w:rsidRDefault="00000000">
      <w:pPr>
        <w:spacing w:line="500" w:lineRule="exact"/>
        <w:ind w:firstLineChars="200" w:firstLine="480"/>
        <w:rPr>
          <w:sz w:val="24"/>
          <w:szCs w:val="24"/>
        </w:rPr>
      </w:pPr>
      <w:r w:rsidRPr="000549B1">
        <w:rPr>
          <w:sz w:val="24"/>
          <w:szCs w:val="24"/>
        </w:rPr>
        <w:t>在来水保证率为</w:t>
      </w:r>
      <w:r w:rsidRPr="000549B1">
        <w:rPr>
          <w:sz w:val="24"/>
          <w:szCs w:val="24"/>
        </w:rPr>
        <w:t>10%</w:t>
      </w:r>
      <w:r w:rsidRPr="000549B1">
        <w:rPr>
          <w:sz w:val="24"/>
          <w:szCs w:val="24"/>
        </w:rPr>
        <w:t>时，大河坝水库库区坝前</w:t>
      </w:r>
      <w:r w:rsidRPr="000549B1">
        <w:rPr>
          <w:sz w:val="24"/>
          <w:szCs w:val="24"/>
        </w:rPr>
        <w:t>7</w:t>
      </w:r>
      <w:r w:rsidRPr="000549B1">
        <w:rPr>
          <w:sz w:val="24"/>
          <w:szCs w:val="24"/>
        </w:rPr>
        <w:t>～</w:t>
      </w:r>
      <w:r w:rsidRPr="000549B1">
        <w:rPr>
          <w:sz w:val="24"/>
          <w:szCs w:val="24"/>
        </w:rPr>
        <w:t>9</w:t>
      </w:r>
      <w:r w:rsidRPr="000549B1">
        <w:rPr>
          <w:sz w:val="24"/>
          <w:szCs w:val="24"/>
        </w:rPr>
        <w:t>月存在较强的水温分层现象，</w:t>
      </w:r>
      <w:r w:rsidRPr="000549B1">
        <w:rPr>
          <w:sz w:val="24"/>
          <w:szCs w:val="24"/>
        </w:rPr>
        <w:t>10</w:t>
      </w:r>
      <w:r w:rsidRPr="000549B1">
        <w:rPr>
          <w:sz w:val="24"/>
          <w:szCs w:val="24"/>
        </w:rPr>
        <w:t>月至次年</w:t>
      </w:r>
      <w:r w:rsidRPr="000549B1">
        <w:rPr>
          <w:sz w:val="24"/>
          <w:szCs w:val="24"/>
        </w:rPr>
        <w:t>6</w:t>
      </w:r>
      <w:r w:rsidRPr="000549B1">
        <w:rPr>
          <w:sz w:val="24"/>
          <w:szCs w:val="24"/>
        </w:rPr>
        <w:t>月基本无分层，垂向温差较小，</w:t>
      </w:r>
      <w:r w:rsidRPr="000549B1">
        <w:rPr>
          <w:sz w:val="24"/>
          <w:szCs w:val="24"/>
        </w:rPr>
        <w:t>11~</w:t>
      </w:r>
      <w:r w:rsidRPr="000549B1">
        <w:rPr>
          <w:sz w:val="24"/>
          <w:szCs w:val="24"/>
        </w:rPr>
        <w:t>次年</w:t>
      </w:r>
      <w:r w:rsidRPr="000549B1">
        <w:rPr>
          <w:sz w:val="24"/>
          <w:szCs w:val="24"/>
        </w:rPr>
        <w:t>3</w:t>
      </w:r>
      <w:r w:rsidRPr="000549B1">
        <w:rPr>
          <w:sz w:val="24"/>
          <w:szCs w:val="24"/>
        </w:rPr>
        <w:t>月为坝前同温分布状态，总体表现为季节分层型水温结构。具体为：</w:t>
      </w:r>
      <w:r w:rsidRPr="000549B1">
        <w:rPr>
          <w:sz w:val="24"/>
          <w:szCs w:val="24"/>
        </w:rPr>
        <w:t>11</w:t>
      </w:r>
      <w:r w:rsidRPr="000549B1">
        <w:rPr>
          <w:sz w:val="24"/>
          <w:szCs w:val="24"/>
        </w:rPr>
        <w:t>月</w:t>
      </w:r>
      <w:r w:rsidRPr="000549B1">
        <w:rPr>
          <w:sz w:val="24"/>
          <w:szCs w:val="24"/>
        </w:rPr>
        <w:t>~</w:t>
      </w:r>
      <w:r w:rsidRPr="000549B1">
        <w:rPr>
          <w:sz w:val="24"/>
          <w:szCs w:val="24"/>
        </w:rPr>
        <w:t>次年</w:t>
      </w:r>
      <w:r w:rsidRPr="000549B1">
        <w:rPr>
          <w:sz w:val="24"/>
          <w:szCs w:val="24"/>
        </w:rPr>
        <w:t>3</w:t>
      </w:r>
      <w:r w:rsidRPr="000549B1">
        <w:rPr>
          <w:sz w:val="24"/>
          <w:szCs w:val="24"/>
        </w:rPr>
        <w:t>月库区水温受低气温、低入流的影响，库区水温较低，基本无分层。</w:t>
      </w:r>
      <w:r w:rsidRPr="000549B1">
        <w:rPr>
          <w:sz w:val="24"/>
          <w:szCs w:val="24"/>
        </w:rPr>
        <w:t>4</w:t>
      </w:r>
      <w:r w:rsidRPr="000549B1">
        <w:rPr>
          <w:sz w:val="24"/>
          <w:szCs w:val="24"/>
        </w:rPr>
        <w:t>气温回升，入流水温升高，底层水温慢慢升高。</w:t>
      </w:r>
      <w:r w:rsidRPr="000549B1">
        <w:rPr>
          <w:sz w:val="24"/>
          <w:szCs w:val="24"/>
        </w:rPr>
        <w:t>5~6</w:t>
      </w:r>
      <w:r w:rsidRPr="000549B1">
        <w:rPr>
          <w:sz w:val="24"/>
          <w:szCs w:val="24"/>
        </w:rPr>
        <w:t>月气温、太阳辐射逐步回升，上层水体逐渐升温，水库开始过渡为同温状态。随着</w:t>
      </w:r>
      <w:r w:rsidRPr="000549B1">
        <w:rPr>
          <w:sz w:val="24"/>
          <w:szCs w:val="24"/>
        </w:rPr>
        <w:t>7</w:t>
      </w:r>
      <w:r w:rsidRPr="000549B1">
        <w:rPr>
          <w:sz w:val="24"/>
          <w:szCs w:val="24"/>
        </w:rPr>
        <w:t>到</w:t>
      </w:r>
      <w:r w:rsidRPr="000549B1">
        <w:rPr>
          <w:sz w:val="24"/>
          <w:szCs w:val="24"/>
        </w:rPr>
        <w:t>9</w:t>
      </w:r>
      <w:r w:rsidRPr="000549B1">
        <w:rPr>
          <w:sz w:val="24"/>
          <w:szCs w:val="24"/>
        </w:rPr>
        <w:t>月气温、入流水温不断攀升，入库流量也保持较高水平，库区水温不断升高，库区垂向开始形成分层。随后在外界气温等逐渐增强的环境下，库区水温分层强度不断增加，垂向温差扩大。</w:t>
      </w:r>
      <w:r w:rsidRPr="000549B1">
        <w:rPr>
          <w:sz w:val="24"/>
          <w:szCs w:val="24"/>
        </w:rPr>
        <w:t>7~9</w:t>
      </w:r>
      <w:r w:rsidRPr="000549B1">
        <w:rPr>
          <w:sz w:val="24"/>
          <w:szCs w:val="24"/>
        </w:rPr>
        <w:t>月都形成了库表温跃层，</w:t>
      </w:r>
      <w:r w:rsidRPr="000549B1">
        <w:rPr>
          <w:sz w:val="24"/>
          <w:szCs w:val="24"/>
        </w:rPr>
        <w:t>9</w:t>
      </w:r>
      <w:r w:rsidRPr="000549B1">
        <w:rPr>
          <w:sz w:val="24"/>
          <w:szCs w:val="24"/>
        </w:rPr>
        <w:t>月库底水温为全年最高，</w:t>
      </w:r>
      <w:r w:rsidRPr="000549B1">
        <w:rPr>
          <w:sz w:val="24"/>
          <w:szCs w:val="24"/>
        </w:rPr>
        <w:t>8</w:t>
      </w:r>
      <w:r w:rsidRPr="000549B1">
        <w:rPr>
          <w:sz w:val="24"/>
          <w:szCs w:val="24"/>
        </w:rPr>
        <w:t>月表底温差最大为</w:t>
      </w:r>
      <w:r w:rsidRPr="000549B1">
        <w:rPr>
          <w:sz w:val="24"/>
          <w:szCs w:val="24"/>
        </w:rPr>
        <w:t>7.4℃</w:t>
      </w:r>
      <w:r w:rsidRPr="000549B1">
        <w:rPr>
          <w:sz w:val="24"/>
          <w:szCs w:val="24"/>
        </w:rPr>
        <w:t>。</w:t>
      </w:r>
      <w:r w:rsidRPr="000549B1">
        <w:rPr>
          <w:sz w:val="24"/>
          <w:szCs w:val="24"/>
        </w:rPr>
        <w:t>11~3</w:t>
      </w:r>
      <w:r w:rsidRPr="000549B1">
        <w:rPr>
          <w:sz w:val="24"/>
          <w:szCs w:val="24"/>
        </w:rPr>
        <w:t>月无分层，库表至库底水温基本在</w:t>
      </w:r>
      <w:r w:rsidRPr="000549B1">
        <w:rPr>
          <w:sz w:val="24"/>
          <w:szCs w:val="24"/>
        </w:rPr>
        <w:t>0℃</w:t>
      </w:r>
      <w:r w:rsidRPr="000549B1">
        <w:rPr>
          <w:sz w:val="24"/>
          <w:szCs w:val="24"/>
        </w:rPr>
        <w:t>左右。</w:t>
      </w:r>
    </w:p>
    <w:p w14:paraId="20EADD93" w14:textId="3CF9330C" w:rsidR="00054437" w:rsidRPr="000549B1" w:rsidRDefault="00000000">
      <w:pPr>
        <w:pStyle w:val="aff8"/>
        <w:rPr>
          <w:bCs/>
          <w:color w:val="auto"/>
          <w:szCs w:val="20"/>
        </w:rPr>
      </w:pPr>
      <w:r w:rsidRPr="000549B1">
        <w:rPr>
          <w:color w:val="auto"/>
        </w:rPr>
        <w:t>表</w:t>
      </w:r>
      <w:r w:rsidR="00372953">
        <w:rPr>
          <w:color w:val="auto"/>
        </w:rPr>
        <w:fldChar w:fldCharType="begin"/>
      </w:r>
      <w:r w:rsidR="00372953">
        <w:rPr>
          <w:color w:val="auto"/>
        </w:rPr>
        <w:instrText xml:space="preserve"> STYLEREF 2 \s </w:instrText>
      </w:r>
      <w:r w:rsidR="00372953">
        <w:rPr>
          <w:color w:val="auto"/>
        </w:rPr>
        <w:fldChar w:fldCharType="separate"/>
      </w:r>
      <w:r w:rsidR="00372953">
        <w:rPr>
          <w:noProof/>
          <w:color w:val="auto"/>
        </w:rPr>
        <w:t>5.2</w:t>
      </w:r>
      <w:r w:rsidR="00372953">
        <w:rPr>
          <w:color w:val="auto"/>
        </w:rPr>
        <w:fldChar w:fldCharType="end"/>
      </w:r>
      <w:r w:rsidR="00372953">
        <w:rPr>
          <w:color w:val="auto"/>
        </w:rPr>
        <w:noBreakHyphen/>
      </w:r>
      <w:r w:rsidR="00372953">
        <w:rPr>
          <w:color w:val="auto"/>
        </w:rPr>
        <w:fldChar w:fldCharType="begin"/>
      </w:r>
      <w:r w:rsidR="00372953">
        <w:rPr>
          <w:color w:val="auto"/>
        </w:rPr>
        <w:instrText xml:space="preserve"> SEQ </w:instrText>
      </w:r>
      <w:r w:rsidR="00372953">
        <w:rPr>
          <w:color w:val="auto"/>
        </w:rPr>
        <w:instrText>表</w:instrText>
      </w:r>
      <w:r w:rsidR="00372953">
        <w:rPr>
          <w:color w:val="auto"/>
        </w:rPr>
        <w:instrText xml:space="preserve"> \* ARABIC \s 2 </w:instrText>
      </w:r>
      <w:r w:rsidR="00372953">
        <w:rPr>
          <w:color w:val="auto"/>
        </w:rPr>
        <w:fldChar w:fldCharType="separate"/>
      </w:r>
      <w:r w:rsidR="00372953">
        <w:rPr>
          <w:noProof/>
          <w:color w:val="auto"/>
        </w:rPr>
        <w:t>1</w:t>
      </w:r>
      <w:r w:rsidR="00372953">
        <w:rPr>
          <w:color w:val="auto"/>
        </w:rPr>
        <w:fldChar w:fldCharType="end"/>
      </w:r>
      <w:r w:rsidRPr="000549B1">
        <w:rPr>
          <w:bCs/>
          <w:color w:val="auto"/>
          <w:szCs w:val="20"/>
        </w:rPr>
        <w:t>(P=10%)</w:t>
      </w:r>
      <w:r w:rsidRPr="000549B1">
        <w:rPr>
          <w:bCs/>
          <w:color w:val="auto"/>
          <w:szCs w:val="20"/>
        </w:rPr>
        <w:t>大河坝水库坝前月均表层、库底水温及温差单位：</w:t>
      </w:r>
      <w:r w:rsidRPr="000549B1">
        <w:rPr>
          <w:bCs/>
          <w:color w:val="auto"/>
          <w:szCs w:val="20"/>
        </w:rPr>
        <w:t>℃</w:t>
      </w:r>
    </w:p>
    <w:tbl>
      <w:tblPr>
        <w:tblW w:w="54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
        <w:gridCol w:w="670"/>
        <w:gridCol w:w="670"/>
        <w:gridCol w:w="672"/>
        <w:gridCol w:w="670"/>
        <w:gridCol w:w="670"/>
        <w:gridCol w:w="672"/>
        <w:gridCol w:w="670"/>
        <w:gridCol w:w="670"/>
        <w:gridCol w:w="672"/>
        <w:gridCol w:w="670"/>
        <w:gridCol w:w="670"/>
        <w:gridCol w:w="670"/>
      </w:tblGrid>
      <w:tr w:rsidR="000549B1" w:rsidRPr="000549B1" w14:paraId="4410DB88" w14:textId="77777777">
        <w:trPr>
          <w:cantSplit/>
          <w:trHeight w:val="283"/>
          <w:jc w:val="center"/>
        </w:trPr>
        <w:tc>
          <w:tcPr>
            <w:tcW w:w="544" w:type="pct"/>
            <w:vAlign w:val="center"/>
          </w:tcPr>
          <w:p w14:paraId="6D4304ED" w14:textId="77777777" w:rsidR="00054437" w:rsidRPr="000549B1" w:rsidRDefault="00000000">
            <w:pPr>
              <w:widowControl/>
              <w:snapToGrid w:val="0"/>
              <w:spacing w:line="0" w:lineRule="atLeast"/>
              <w:jc w:val="center"/>
              <w:rPr>
                <w:b/>
                <w:snapToGrid w:val="0"/>
                <w:spacing w:val="5"/>
                <w:sz w:val="18"/>
                <w:szCs w:val="18"/>
                <w:lang w:bidi="he-IL"/>
              </w:rPr>
            </w:pPr>
            <w:r w:rsidRPr="000549B1">
              <w:rPr>
                <w:b/>
                <w:snapToGrid w:val="0"/>
                <w:spacing w:val="5"/>
                <w:sz w:val="18"/>
                <w:szCs w:val="18"/>
                <w:lang w:bidi="he-IL"/>
              </w:rPr>
              <w:t>月份</w:t>
            </w:r>
          </w:p>
        </w:tc>
        <w:tc>
          <w:tcPr>
            <w:tcW w:w="371" w:type="pct"/>
            <w:vAlign w:val="center"/>
          </w:tcPr>
          <w:p w14:paraId="3F20DE9A" w14:textId="77777777" w:rsidR="00054437" w:rsidRPr="000549B1" w:rsidRDefault="00000000">
            <w:pPr>
              <w:widowControl/>
              <w:snapToGrid w:val="0"/>
              <w:spacing w:line="0" w:lineRule="atLeast"/>
              <w:jc w:val="center"/>
              <w:rPr>
                <w:b/>
                <w:snapToGrid w:val="0"/>
                <w:spacing w:val="5"/>
                <w:sz w:val="18"/>
                <w:szCs w:val="18"/>
                <w:lang w:bidi="he-IL"/>
              </w:rPr>
            </w:pPr>
            <w:r w:rsidRPr="000549B1">
              <w:rPr>
                <w:b/>
                <w:snapToGrid w:val="0"/>
                <w:spacing w:val="5"/>
                <w:sz w:val="18"/>
                <w:szCs w:val="18"/>
                <w:lang w:bidi="he-IL"/>
              </w:rPr>
              <w:t>7</w:t>
            </w:r>
            <w:r w:rsidRPr="000549B1">
              <w:rPr>
                <w:b/>
                <w:snapToGrid w:val="0"/>
                <w:spacing w:val="5"/>
                <w:sz w:val="18"/>
                <w:szCs w:val="18"/>
                <w:lang w:bidi="he-IL"/>
              </w:rPr>
              <w:t>月</w:t>
            </w:r>
          </w:p>
        </w:tc>
        <w:tc>
          <w:tcPr>
            <w:tcW w:w="371" w:type="pct"/>
            <w:vAlign w:val="center"/>
          </w:tcPr>
          <w:p w14:paraId="6B088000" w14:textId="77777777" w:rsidR="00054437" w:rsidRPr="000549B1" w:rsidRDefault="00000000">
            <w:pPr>
              <w:widowControl/>
              <w:snapToGrid w:val="0"/>
              <w:spacing w:line="0" w:lineRule="atLeast"/>
              <w:jc w:val="center"/>
              <w:rPr>
                <w:b/>
                <w:snapToGrid w:val="0"/>
                <w:spacing w:val="5"/>
                <w:sz w:val="18"/>
                <w:szCs w:val="18"/>
                <w:lang w:bidi="he-IL"/>
              </w:rPr>
            </w:pPr>
            <w:r w:rsidRPr="000549B1">
              <w:rPr>
                <w:b/>
                <w:snapToGrid w:val="0"/>
                <w:spacing w:val="5"/>
                <w:sz w:val="18"/>
                <w:szCs w:val="18"/>
                <w:lang w:bidi="he-IL"/>
              </w:rPr>
              <w:t>8</w:t>
            </w:r>
            <w:r w:rsidRPr="000549B1">
              <w:rPr>
                <w:b/>
                <w:snapToGrid w:val="0"/>
                <w:spacing w:val="5"/>
                <w:sz w:val="18"/>
                <w:szCs w:val="18"/>
                <w:lang w:bidi="he-IL"/>
              </w:rPr>
              <w:t>月</w:t>
            </w:r>
          </w:p>
        </w:tc>
        <w:tc>
          <w:tcPr>
            <w:tcW w:w="372" w:type="pct"/>
            <w:vAlign w:val="center"/>
          </w:tcPr>
          <w:p w14:paraId="402379D5" w14:textId="77777777" w:rsidR="00054437" w:rsidRPr="000549B1" w:rsidRDefault="00000000">
            <w:pPr>
              <w:widowControl/>
              <w:snapToGrid w:val="0"/>
              <w:spacing w:line="0" w:lineRule="atLeast"/>
              <w:jc w:val="center"/>
              <w:rPr>
                <w:b/>
                <w:snapToGrid w:val="0"/>
                <w:spacing w:val="5"/>
                <w:sz w:val="18"/>
                <w:szCs w:val="18"/>
                <w:lang w:bidi="he-IL"/>
              </w:rPr>
            </w:pPr>
            <w:r w:rsidRPr="000549B1">
              <w:rPr>
                <w:b/>
                <w:snapToGrid w:val="0"/>
                <w:spacing w:val="5"/>
                <w:sz w:val="18"/>
                <w:szCs w:val="18"/>
                <w:lang w:bidi="he-IL"/>
              </w:rPr>
              <w:t>9</w:t>
            </w:r>
            <w:r w:rsidRPr="000549B1">
              <w:rPr>
                <w:b/>
                <w:snapToGrid w:val="0"/>
                <w:spacing w:val="5"/>
                <w:sz w:val="18"/>
                <w:szCs w:val="18"/>
                <w:lang w:bidi="he-IL"/>
              </w:rPr>
              <w:t>月</w:t>
            </w:r>
          </w:p>
        </w:tc>
        <w:tc>
          <w:tcPr>
            <w:tcW w:w="371" w:type="pct"/>
            <w:vAlign w:val="center"/>
          </w:tcPr>
          <w:p w14:paraId="2C05C7B5" w14:textId="77777777" w:rsidR="00054437" w:rsidRPr="000549B1" w:rsidRDefault="00000000">
            <w:pPr>
              <w:widowControl/>
              <w:snapToGrid w:val="0"/>
              <w:spacing w:line="0" w:lineRule="atLeast"/>
              <w:jc w:val="center"/>
              <w:rPr>
                <w:b/>
                <w:snapToGrid w:val="0"/>
                <w:spacing w:val="5"/>
                <w:sz w:val="18"/>
                <w:szCs w:val="18"/>
                <w:lang w:bidi="he-IL"/>
              </w:rPr>
            </w:pPr>
            <w:r w:rsidRPr="000549B1">
              <w:rPr>
                <w:b/>
                <w:snapToGrid w:val="0"/>
                <w:spacing w:val="5"/>
                <w:sz w:val="18"/>
                <w:szCs w:val="18"/>
                <w:lang w:bidi="he-IL"/>
              </w:rPr>
              <w:t>10</w:t>
            </w:r>
            <w:r w:rsidRPr="000549B1">
              <w:rPr>
                <w:b/>
                <w:snapToGrid w:val="0"/>
                <w:spacing w:val="5"/>
                <w:sz w:val="18"/>
                <w:szCs w:val="18"/>
                <w:lang w:bidi="he-IL"/>
              </w:rPr>
              <w:t>月</w:t>
            </w:r>
          </w:p>
        </w:tc>
        <w:tc>
          <w:tcPr>
            <w:tcW w:w="371" w:type="pct"/>
            <w:vAlign w:val="center"/>
          </w:tcPr>
          <w:p w14:paraId="74CB30BC" w14:textId="77777777" w:rsidR="00054437" w:rsidRPr="000549B1" w:rsidRDefault="00000000">
            <w:pPr>
              <w:widowControl/>
              <w:snapToGrid w:val="0"/>
              <w:spacing w:line="0" w:lineRule="atLeast"/>
              <w:jc w:val="center"/>
              <w:rPr>
                <w:b/>
                <w:snapToGrid w:val="0"/>
                <w:spacing w:val="5"/>
                <w:sz w:val="18"/>
                <w:szCs w:val="18"/>
                <w:lang w:bidi="he-IL"/>
              </w:rPr>
            </w:pPr>
            <w:r w:rsidRPr="000549B1">
              <w:rPr>
                <w:b/>
                <w:snapToGrid w:val="0"/>
                <w:spacing w:val="5"/>
                <w:sz w:val="18"/>
                <w:szCs w:val="18"/>
                <w:lang w:bidi="he-IL"/>
              </w:rPr>
              <w:t>11</w:t>
            </w:r>
            <w:r w:rsidRPr="000549B1">
              <w:rPr>
                <w:b/>
                <w:snapToGrid w:val="0"/>
                <w:spacing w:val="5"/>
                <w:sz w:val="18"/>
                <w:szCs w:val="18"/>
                <w:lang w:bidi="he-IL"/>
              </w:rPr>
              <w:t>月</w:t>
            </w:r>
          </w:p>
        </w:tc>
        <w:tc>
          <w:tcPr>
            <w:tcW w:w="372" w:type="pct"/>
            <w:vAlign w:val="center"/>
          </w:tcPr>
          <w:p w14:paraId="32198F2A" w14:textId="77777777" w:rsidR="00054437" w:rsidRPr="000549B1" w:rsidRDefault="00000000">
            <w:pPr>
              <w:widowControl/>
              <w:snapToGrid w:val="0"/>
              <w:spacing w:line="0" w:lineRule="atLeast"/>
              <w:jc w:val="center"/>
              <w:rPr>
                <w:b/>
                <w:snapToGrid w:val="0"/>
                <w:spacing w:val="5"/>
                <w:sz w:val="18"/>
                <w:szCs w:val="18"/>
                <w:lang w:bidi="he-IL"/>
              </w:rPr>
            </w:pPr>
            <w:r w:rsidRPr="000549B1">
              <w:rPr>
                <w:b/>
                <w:snapToGrid w:val="0"/>
                <w:spacing w:val="5"/>
                <w:sz w:val="18"/>
                <w:szCs w:val="18"/>
                <w:lang w:bidi="he-IL"/>
              </w:rPr>
              <w:t>12</w:t>
            </w:r>
            <w:r w:rsidRPr="000549B1">
              <w:rPr>
                <w:b/>
                <w:snapToGrid w:val="0"/>
                <w:spacing w:val="5"/>
                <w:sz w:val="18"/>
                <w:szCs w:val="18"/>
                <w:lang w:bidi="he-IL"/>
              </w:rPr>
              <w:t>月</w:t>
            </w:r>
          </w:p>
        </w:tc>
        <w:tc>
          <w:tcPr>
            <w:tcW w:w="371" w:type="pct"/>
            <w:vAlign w:val="center"/>
          </w:tcPr>
          <w:p w14:paraId="19960345" w14:textId="77777777" w:rsidR="00054437" w:rsidRPr="000549B1" w:rsidRDefault="00000000">
            <w:pPr>
              <w:widowControl/>
              <w:snapToGrid w:val="0"/>
              <w:spacing w:line="0" w:lineRule="atLeast"/>
              <w:jc w:val="center"/>
              <w:rPr>
                <w:b/>
                <w:snapToGrid w:val="0"/>
                <w:spacing w:val="5"/>
                <w:sz w:val="18"/>
                <w:szCs w:val="18"/>
                <w:lang w:bidi="he-IL"/>
              </w:rPr>
            </w:pPr>
            <w:r w:rsidRPr="000549B1">
              <w:rPr>
                <w:b/>
                <w:snapToGrid w:val="0"/>
                <w:spacing w:val="5"/>
                <w:sz w:val="18"/>
                <w:szCs w:val="18"/>
                <w:lang w:bidi="he-IL"/>
              </w:rPr>
              <w:t>1</w:t>
            </w:r>
            <w:r w:rsidRPr="000549B1">
              <w:rPr>
                <w:b/>
                <w:snapToGrid w:val="0"/>
                <w:spacing w:val="5"/>
                <w:sz w:val="18"/>
                <w:szCs w:val="18"/>
                <w:lang w:bidi="he-IL"/>
              </w:rPr>
              <w:t>月</w:t>
            </w:r>
          </w:p>
        </w:tc>
        <w:tc>
          <w:tcPr>
            <w:tcW w:w="371" w:type="pct"/>
            <w:vAlign w:val="center"/>
          </w:tcPr>
          <w:p w14:paraId="2B082CB5" w14:textId="77777777" w:rsidR="00054437" w:rsidRPr="000549B1" w:rsidRDefault="00000000">
            <w:pPr>
              <w:widowControl/>
              <w:snapToGrid w:val="0"/>
              <w:spacing w:line="0" w:lineRule="atLeast"/>
              <w:jc w:val="center"/>
              <w:rPr>
                <w:b/>
                <w:snapToGrid w:val="0"/>
                <w:spacing w:val="5"/>
                <w:sz w:val="18"/>
                <w:szCs w:val="18"/>
                <w:lang w:bidi="he-IL"/>
              </w:rPr>
            </w:pPr>
            <w:r w:rsidRPr="000549B1">
              <w:rPr>
                <w:b/>
                <w:snapToGrid w:val="0"/>
                <w:spacing w:val="5"/>
                <w:sz w:val="18"/>
                <w:szCs w:val="18"/>
                <w:lang w:bidi="he-IL"/>
              </w:rPr>
              <w:t>2</w:t>
            </w:r>
            <w:r w:rsidRPr="000549B1">
              <w:rPr>
                <w:b/>
                <w:snapToGrid w:val="0"/>
                <w:spacing w:val="5"/>
                <w:sz w:val="18"/>
                <w:szCs w:val="18"/>
                <w:lang w:bidi="he-IL"/>
              </w:rPr>
              <w:t>月</w:t>
            </w:r>
          </w:p>
        </w:tc>
        <w:tc>
          <w:tcPr>
            <w:tcW w:w="372" w:type="pct"/>
            <w:vAlign w:val="center"/>
          </w:tcPr>
          <w:p w14:paraId="73A7EFE5" w14:textId="77777777" w:rsidR="00054437" w:rsidRPr="000549B1" w:rsidRDefault="00000000">
            <w:pPr>
              <w:widowControl/>
              <w:snapToGrid w:val="0"/>
              <w:spacing w:line="0" w:lineRule="atLeast"/>
              <w:jc w:val="center"/>
              <w:rPr>
                <w:b/>
                <w:snapToGrid w:val="0"/>
                <w:spacing w:val="5"/>
                <w:sz w:val="18"/>
                <w:szCs w:val="18"/>
                <w:lang w:bidi="he-IL"/>
              </w:rPr>
            </w:pPr>
            <w:r w:rsidRPr="000549B1">
              <w:rPr>
                <w:b/>
                <w:snapToGrid w:val="0"/>
                <w:spacing w:val="5"/>
                <w:sz w:val="18"/>
                <w:szCs w:val="18"/>
                <w:lang w:bidi="he-IL"/>
              </w:rPr>
              <w:t>3</w:t>
            </w:r>
            <w:r w:rsidRPr="000549B1">
              <w:rPr>
                <w:b/>
                <w:snapToGrid w:val="0"/>
                <w:spacing w:val="5"/>
                <w:sz w:val="18"/>
                <w:szCs w:val="18"/>
                <w:lang w:bidi="he-IL"/>
              </w:rPr>
              <w:t>月</w:t>
            </w:r>
          </w:p>
        </w:tc>
        <w:tc>
          <w:tcPr>
            <w:tcW w:w="371" w:type="pct"/>
            <w:vAlign w:val="center"/>
          </w:tcPr>
          <w:p w14:paraId="0CAB23B9" w14:textId="77777777" w:rsidR="00054437" w:rsidRPr="000549B1" w:rsidRDefault="00000000">
            <w:pPr>
              <w:widowControl/>
              <w:snapToGrid w:val="0"/>
              <w:spacing w:line="0" w:lineRule="atLeast"/>
              <w:jc w:val="center"/>
              <w:rPr>
                <w:b/>
                <w:snapToGrid w:val="0"/>
                <w:spacing w:val="5"/>
                <w:sz w:val="18"/>
                <w:szCs w:val="18"/>
                <w:lang w:bidi="he-IL"/>
              </w:rPr>
            </w:pPr>
            <w:r w:rsidRPr="000549B1">
              <w:rPr>
                <w:b/>
                <w:snapToGrid w:val="0"/>
                <w:spacing w:val="5"/>
                <w:sz w:val="18"/>
                <w:szCs w:val="18"/>
                <w:lang w:bidi="he-IL"/>
              </w:rPr>
              <w:t>4</w:t>
            </w:r>
            <w:r w:rsidRPr="000549B1">
              <w:rPr>
                <w:b/>
                <w:snapToGrid w:val="0"/>
                <w:spacing w:val="5"/>
                <w:sz w:val="18"/>
                <w:szCs w:val="18"/>
                <w:lang w:bidi="he-IL"/>
              </w:rPr>
              <w:t>月</w:t>
            </w:r>
          </w:p>
        </w:tc>
        <w:tc>
          <w:tcPr>
            <w:tcW w:w="371" w:type="pct"/>
            <w:vAlign w:val="center"/>
          </w:tcPr>
          <w:p w14:paraId="1C8629AE" w14:textId="77777777" w:rsidR="00054437" w:rsidRPr="000549B1" w:rsidRDefault="00000000">
            <w:pPr>
              <w:widowControl/>
              <w:snapToGrid w:val="0"/>
              <w:spacing w:line="0" w:lineRule="atLeast"/>
              <w:jc w:val="center"/>
              <w:rPr>
                <w:b/>
                <w:snapToGrid w:val="0"/>
                <w:spacing w:val="5"/>
                <w:sz w:val="18"/>
                <w:szCs w:val="18"/>
                <w:lang w:bidi="he-IL"/>
              </w:rPr>
            </w:pPr>
            <w:r w:rsidRPr="000549B1">
              <w:rPr>
                <w:b/>
                <w:snapToGrid w:val="0"/>
                <w:spacing w:val="5"/>
                <w:sz w:val="18"/>
                <w:szCs w:val="18"/>
                <w:lang w:bidi="he-IL"/>
              </w:rPr>
              <w:t>5</w:t>
            </w:r>
            <w:r w:rsidRPr="000549B1">
              <w:rPr>
                <w:b/>
                <w:snapToGrid w:val="0"/>
                <w:spacing w:val="5"/>
                <w:sz w:val="18"/>
                <w:szCs w:val="18"/>
                <w:lang w:bidi="he-IL"/>
              </w:rPr>
              <w:t>月</w:t>
            </w:r>
          </w:p>
        </w:tc>
        <w:tc>
          <w:tcPr>
            <w:tcW w:w="371" w:type="pct"/>
            <w:vAlign w:val="center"/>
          </w:tcPr>
          <w:p w14:paraId="61F9B7E6" w14:textId="77777777" w:rsidR="00054437" w:rsidRPr="000549B1" w:rsidRDefault="00000000">
            <w:pPr>
              <w:widowControl/>
              <w:snapToGrid w:val="0"/>
              <w:spacing w:line="0" w:lineRule="atLeast"/>
              <w:jc w:val="center"/>
              <w:rPr>
                <w:b/>
                <w:snapToGrid w:val="0"/>
                <w:spacing w:val="5"/>
                <w:sz w:val="18"/>
                <w:szCs w:val="18"/>
                <w:lang w:bidi="he-IL"/>
              </w:rPr>
            </w:pPr>
            <w:r w:rsidRPr="000549B1">
              <w:rPr>
                <w:b/>
                <w:snapToGrid w:val="0"/>
                <w:spacing w:val="5"/>
                <w:sz w:val="18"/>
                <w:szCs w:val="18"/>
                <w:lang w:bidi="he-IL"/>
              </w:rPr>
              <w:t>6</w:t>
            </w:r>
            <w:r w:rsidRPr="000549B1">
              <w:rPr>
                <w:b/>
                <w:snapToGrid w:val="0"/>
                <w:spacing w:val="5"/>
                <w:sz w:val="18"/>
                <w:szCs w:val="18"/>
                <w:lang w:bidi="he-IL"/>
              </w:rPr>
              <w:t>月</w:t>
            </w:r>
          </w:p>
        </w:tc>
      </w:tr>
      <w:tr w:rsidR="000549B1" w:rsidRPr="000549B1" w14:paraId="5C6EB4F5" w14:textId="77777777">
        <w:trPr>
          <w:cantSplit/>
          <w:trHeight w:val="283"/>
          <w:jc w:val="center"/>
        </w:trPr>
        <w:tc>
          <w:tcPr>
            <w:tcW w:w="544" w:type="pct"/>
            <w:vAlign w:val="center"/>
          </w:tcPr>
          <w:p w14:paraId="55C2B63D"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库表水温</w:t>
            </w:r>
          </w:p>
        </w:tc>
        <w:tc>
          <w:tcPr>
            <w:tcW w:w="371" w:type="pct"/>
            <w:vAlign w:val="center"/>
          </w:tcPr>
          <w:p w14:paraId="29D62717"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14.9</w:t>
            </w:r>
          </w:p>
        </w:tc>
        <w:tc>
          <w:tcPr>
            <w:tcW w:w="371" w:type="pct"/>
            <w:vAlign w:val="center"/>
          </w:tcPr>
          <w:p w14:paraId="17A66A89"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17.5</w:t>
            </w:r>
          </w:p>
        </w:tc>
        <w:tc>
          <w:tcPr>
            <w:tcW w:w="372" w:type="pct"/>
            <w:vAlign w:val="center"/>
          </w:tcPr>
          <w:p w14:paraId="6651C0B1"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14.9</w:t>
            </w:r>
          </w:p>
        </w:tc>
        <w:tc>
          <w:tcPr>
            <w:tcW w:w="371" w:type="pct"/>
            <w:vAlign w:val="center"/>
          </w:tcPr>
          <w:p w14:paraId="695A259B"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4.1</w:t>
            </w:r>
          </w:p>
        </w:tc>
        <w:tc>
          <w:tcPr>
            <w:tcW w:w="371" w:type="pct"/>
            <w:vAlign w:val="center"/>
          </w:tcPr>
          <w:p w14:paraId="4261AD4F"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0</w:t>
            </w:r>
          </w:p>
        </w:tc>
        <w:tc>
          <w:tcPr>
            <w:tcW w:w="372" w:type="pct"/>
            <w:vAlign w:val="center"/>
          </w:tcPr>
          <w:p w14:paraId="38428F29"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0</w:t>
            </w:r>
          </w:p>
        </w:tc>
        <w:tc>
          <w:tcPr>
            <w:tcW w:w="371" w:type="pct"/>
            <w:vAlign w:val="center"/>
          </w:tcPr>
          <w:p w14:paraId="6C7ADB1A"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0</w:t>
            </w:r>
          </w:p>
        </w:tc>
        <w:tc>
          <w:tcPr>
            <w:tcW w:w="371" w:type="pct"/>
            <w:vAlign w:val="center"/>
          </w:tcPr>
          <w:p w14:paraId="40347207"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0</w:t>
            </w:r>
          </w:p>
        </w:tc>
        <w:tc>
          <w:tcPr>
            <w:tcW w:w="372" w:type="pct"/>
            <w:vAlign w:val="center"/>
          </w:tcPr>
          <w:p w14:paraId="37073A81"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0</w:t>
            </w:r>
          </w:p>
        </w:tc>
        <w:tc>
          <w:tcPr>
            <w:tcW w:w="371" w:type="pct"/>
            <w:vAlign w:val="center"/>
          </w:tcPr>
          <w:p w14:paraId="2B5C370A"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0.2</w:t>
            </w:r>
          </w:p>
        </w:tc>
        <w:tc>
          <w:tcPr>
            <w:tcW w:w="371" w:type="pct"/>
            <w:vAlign w:val="center"/>
          </w:tcPr>
          <w:p w14:paraId="0BB83BC0"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4.4</w:t>
            </w:r>
          </w:p>
        </w:tc>
        <w:tc>
          <w:tcPr>
            <w:tcW w:w="371" w:type="pct"/>
            <w:vAlign w:val="center"/>
          </w:tcPr>
          <w:p w14:paraId="35D8E24F"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7.9</w:t>
            </w:r>
          </w:p>
        </w:tc>
      </w:tr>
      <w:tr w:rsidR="000549B1" w:rsidRPr="000549B1" w14:paraId="5AFB695A" w14:textId="77777777">
        <w:trPr>
          <w:cantSplit/>
          <w:trHeight w:val="283"/>
          <w:jc w:val="center"/>
        </w:trPr>
        <w:tc>
          <w:tcPr>
            <w:tcW w:w="544" w:type="pct"/>
            <w:vAlign w:val="center"/>
          </w:tcPr>
          <w:p w14:paraId="1E21070E"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库底水温</w:t>
            </w:r>
          </w:p>
        </w:tc>
        <w:tc>
          <w:tcPr>
            <w:tcW w:w="371" w:type="pct"/>
            <w:vAlign w:val="center"/>
          </w:tcPr>
          <w:p w14:paraId="741854B6"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8.6</w:t>
            </w:r>
          </w:p>
        </w:tc>
        <w:tc>
          <w:tcPr>
            <w:tcW w:w="371" w:type="pct"/>
            <w:vAlign w:val="center"/>
          </w:tcPr>
          <w:p w14:paraId="6476C5E6"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10.1</w:t>
            </w:r>
          </w:p>
        </w:tc>
        <w:tc>
          <w:tcPr>
            <w:tcW w:w="372" w:type="pct"/>
            <w:vAlign w:val="center"/>
          </w:tcPr>
          <w:p w14:paraId="3B92E517"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10.6</w:t>
            </w:r>
          </w:p>
        </w:tc>
        <w:tc>
          <w:tcPr>
            <w:tcW w:w="371" w:type="pct"/>
            <w:vAlign w:val="center"/>
          </w:tcPr>
          <w:p w14:paraId="0D6B89B6"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4.1</w:t>
            </w:r>
          </w:p>
        </w:tc>
        <w:tc>
          <w:tcPr>
            <w:tcW w:w="371" w:type="pct"/>
            <w:vAlign w:val="center"/>
          </w:tcPr>
          <w:p w14:paraId="718EC33C"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0.4</w:t>
            </w:r>
          </w:p>
        </w:tc>
        <w:tc>
          <w:tcPr>
            <w:tcW w:w="372" w:type="pct"/>
            <w:vAlign w:val="center"/>
          </w:tcPr>
          <w:p w14:paraId="0CE4D6E0"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0.2</w:t>
            </w:r>
          </w:p>
        </w:tc>
        <w:tc>
          <w:tcPr>
            <w:tcW w:w="371" w:type="pct"/>
            <w:vAlign w:val="center"/>
          </w:tcPr>
          <w:p w14:paraId="42140F70"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0.2</w:t>
            </w:r>
          </w:p>
        </w:tc>
        <w:tc>
          <w:tcPr>
            <w:tcW w:w="371" w:type="pct"/>
            <w:vAlign w:val="center"/>
          </w:tcPr>
          <w:p w14:paraId="16A12125"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0.2</w:t>
            </w:r>
          </w:p>
        </w:tc>
        <w:tc>
          <w:tcPr>
            <w:tcW w:w="372" w:type="pct"/>
            <w:vAlign w:val="center"/>
          </w:tcPr>
          <w:p w14:paraId="3E8139AB"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0.2</w:t>
            </w:r>
          </w:p>
        </w:tc>
        <w:tc>
          <w:tcPr>
            <w:tcW w:w="371" w:type="pct"/>
            <w:vAlign w:val="center"/>
          </w:tcPr>
          <w:p w14:paraId="7E8E3BEB"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1.3</w:t>
            </w:r>
          </w:p>
        </w:tc>
        <w:tc>
          <w:tcPr>
            <w:tcW w:w="371" w:type="pct"/>
            <w:vAlign w:val="center"/>
          </w:tcPr>
          <w:p w14:paraId="319DAEAB"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4</w:t>
            </w:r>
          </w:p>
        </w:tc>
        <w:tc>
          <w:tcPr>
            <w:tcW w:w="371" w:type="pct"/>
            <w:vAlign w:val="center"/>
          </w:tcPr>
          <w:p w14:paraId="09429930"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7.7</w:t>
            </w:r>
          </w:p>
        </w:tc>
      </w:tr>
      <w:tr w:rsidR="000549B1" w:rsidRPr="000549B1" w14:paraId="24271D9A" w14:textId="77777777">
        <w:trPr>
          <w:cantSplit/>
          <w:trHeight w:val="283"/>
          <w:jc w:val="center"/>
        </w:trPr>
        <w:tc>
          <w:tcPr>
            <w:tcW w:w="544" w:type="pct"/>
            <w:vAlign w:val="center"/>
          </w:tcPr>
          <w:p w14:paraId="7A059442"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表底温差</w:t>
            </w:r>
          </w:p>
        </w:tc>
        <w:tc>
          <w:tcPr>
            <w:tcW w:w="371" w:type="pct"/>
            <w:vAlign w:val="center"/>
          </w:tcPr>
          <w:p w14:paraId="43159DC4"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6.3</w:t>
            </w:r>
          </w:p>
        </w:tc>
        <w:tc>
          <w:tcPr>
            <w:tcW w:w="371" w:type="pct"/>
            <w:vAlign w:val="center"/>
          </w:tcPr>
          <w:p w14:paraId="2F52305C"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7.4</w:t>
            </w:r>
          </w:p>
        </w:tc>
        <w:tc>
          <w:tcPr>
            <w:tcW w:w="372" w:type="pct"/>
            <w:vAlign w:val="center"/>
          </w:tcPr>
          <w:p w14:paraId="7F16102F"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4.3</w:t>
            </w:r>
          </w:p>
        </w:tc>
        <w:tc>
          <w:tcPr>
            <w:tcW w:w="371" w:type="pct"/>
            <w:vAlign w:val="center"/>
          </w:tcPr>
          <w:p w14:paraId="0C77E851"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0</w:t>
            </w:r>
          </w:p>
        </w:tc>
        <w:tc>
          <w:tcPr>
            <w:tcW w:w="371" w:type="pct"/>
            <w:vAlign w:val="center"/>
          </w:tcPr>
          <w:p w14:paraId="6F182E09"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-0.4</w:t>
            </w:r>
          </w:p>
        </w:tc>
        <w:tc>
          <w:tcPr>
            <w:tcW w:w="372" w:type="pct"/>
            <w:vAlign w:val="center"/>
          </w:tcPr>
          <w:p w14:paraId="0DAAFB78"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-0.2</w:t>
            </w:r>
          </w:p>
        </w:tc>
        <w:tc>
          <w:tcPr>
            <w:tcW w:w="371" w:type="pct"/>
            <w:vAlign w:val="center"/>
          </w:tcPr>
          <w:p w14:paraId="737DE928"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-0.2</w:t>
            </w:r>
          </w:p>
        </w:tc>
        <w:tc>
          <w:tcPr>
            <w:tcW w:w="371" w:type="pct"/>
            <w:vAlign w:val="center"/>
          </w:tcPr>
          <w:p w14:paraId="40669712"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-0.2</w:t>
            </w:r>
          </w:p>
        </w:tc>
        <w:tc>
          <w:tcPr>
            <w:tcW w:w="372" w:type="pct"/>
            <w:vAlign w:val="center"/>
          </w:tcPr>
          <w:p w14:paraId="3ABE6AFA"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-0.2</w:t>
            </w:r>
          </w:p>
        </w:tc>
        <w:tc>
          <w:tcPr>
            <w:tcW w:w="371" w:type="pct"/>
            <w:vAlign w:val="center"/>
          </w:tcPr>
          <w:p w14:paraId="361ABFB4"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-1.1</w:t>
            </w:r>
          </w:p>
        </w:tc>
        <w:tc>
          <w:tcPr>
            <w:tcW w:w="371" w:type="pct"/>
            <w:vAlign w:val="center"/>
          </w:tcPr>
          <w:p w14:paraId="3B392FC9"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0.4</w:t>
            </w:r>
          </w:p>
        </w:tc>
        <w:tc>
          <w:tcPr>
            <w:tcW w:w="371" w:type="pct"/>
            <w:vAlign w:val="center"/>
          </w:tcPr>
          <w:p w14:paraId="1BEB123B"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0.2</w:t>
            </w:r>
          </w:p>
        </w:tc>
      </w:tr>
      <w:tr w:rsidR="000549B1" w:rsidRPr="000549B1" w14:paraId="1C9E7CD5" w14:textId="77777777">
        <w:trPr>
          <w:cantSplit/>
          <w:trHeight w:val="283"/>
          <w:jc w:val="center"/>
        </w:trPr>
        <w:tc>
          <w:tcPr>
            <w:tcW w:w="544" w:type="pct"/>
            <w:vAlign w:val="center"/>
          </w:tcPr>
          <w:p w14:paraId="0BA77151"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垂向平均</w:t>
            </w:r>
          </w:p>
        </w:tc>
        <w:tc>
          <w:tcPr>
            <w:tcW w:w="371" w:type="pct"/>
            <w:vAlign w:val="center"/>
          </w:tcPr>
          <w:p w14:paraId="31B2F822"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10.9</w:t>
            </w:r>
          </w:p>
        </w:tc>
        <w:tc>
          <w:tcPr>
            <w:tcW w:w="371" w:type="pct"/>
            <w:vAlign w:val="center"/>
          </w:tcPr>
          <w:p w14:paraId="39E603AC"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12.5</w:t>
            </w:r>
          </w:p>
        </w:tc>
        <w:tc>
          <w:tcPr>
            <w:tcW w:w="372" w:type="pct"/>
            <w:vAlign w:val="center"/>
          </w:tcPr>
          <w:p w14:paraId="4827B6B9"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12.3</w:t>
            </w:r>
          </w:p>
        </w:tc>
        <w:tc>
          <w:tcPr>
            <w:tcW w:w="371" w:type="pct"/>
            <w:vAlign w:val="center"/>
          </w:tcPr>
          <w:p w14:paraId="3699BDDC"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4.1</w:t>
            </w:r>
          </w:p>
        </w:tc>
        <w:tc>
          <w:tcPr>
            <w:tcW w:w="371" w:type="pct"/>
            <w:vAlign w:val="center"/>
          </w:tcPr>
          <w:p w14:paraId="431574EB"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0.2</w:t>
            </w:r>
          </w:p>
        </w:tc>
        <w:tc>
          <w:tcPr>
            <w:tcW w:w="372" w:type="pct"/>
            <w:vAlign w:val="center"/>
          </w:tcPr>
          <w:p w14:paraId="2933269A"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0</w:t>
            </w:r>
          </w:p>
        </w:tc>
        <w:tc>
          <w:tcPr>
            <w:tcW w:w="371" w:type="pct"/>
            <w:vAlign w:val="center"/>
          </w:tcPr>
          <w:p w14:paraId="2A5CA382"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0</w:t>
            </w:r>
          </w:p>
        </w:tc>
        <w:tc>
          <w:tcPr>
            <w:tcW w:w="371" w:type="pct"/>
            <w:vAlign w:val="center"/>
          </w:tcPr>
          <w:p w14:paraId="3EF98998"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0</w:t>
            </w:r>
          </w:p>
        </w:tc>
        <w:tc>
          <w:tcPr>
            <w:tcW w:w="372" w:type="pct"/>
            <w:vAlign w:val="center"/>
          </w:tcPr>
          <w:p w14:paraId="06205E1F"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0</w:t>
            </w:r>
          </w:p>
        </w:tc>
        <w:tc>
          <w:tcPr>
            <w:tcW w:w="371" w:type="pct"/>
            <w:vAlign w:val="center"/>
          </w:tcPr>
          <w:p w14:paraId="22C76CD5"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0.4</w:t>
            </w:r>
          </w:p>
        </w:tc>
        <w:tc>
          <w:tcPr>
            <w:tcW w:w="371" w:type="pct"/>
            <w:vAlign w:val="center"/>
          </w:tcPr>
          <w:p w14:paraId="57A6E93D"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4.1</w:t>
            </w:r>
          </w:p>
        </w:tc>
        <w:tc>
          <w:tcPr>
            <w:tcW w:w="371" w:type="pct"/>
            <w:vAlign w:val="center"/>
          </w:tcPr>
          <w:p w14:paraId="394EBC67"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7.8</w:t>
            </w:r>
          </w:p>
        </w:tc>
      </w:tr>
    </w:tbl>
    <w:p w14:paraId="0727C0D0" w14:textId="77777777" w:rsidR="00054437" w:rsidRPr="000549B1" w:rsidRDefault="00000000">
      <w:pPr>
        <w:jc w:val="center"/>
      </w:pPr>
      <w:r w:rsidRPr="000549B1">
        <w:object w:dxaOrig="5642" w:dyaOrig="5405" w14:anchorId="2C131114">
          <v:shape id="_x0000_i1050" type="#_x0000_t75" style="width:282.4pt;height:270.4pt" o:ole="">
            <v:imagedata r:id="rId249" o:title="" croptop="14796f" cropbottom="9729f" cropleft="6379f" cropright="7477f"/>
          </v:shape>
          <o:OLEObject Type="Embed" ProgID="Origin95.Graph" ShapeID="_x0000_i1050" DrawAspect="Content" ObjectID="_1828270454" r:id="rId250"/>
        </w:object>
      </w:r>
    </w:p>
    <w:p w14:paraId="1B1C9F57" w14:textId="0D1DDF25" w:rsidR="00054437" w:rsidRPr="000549B1" w:rsidRDefault="00000000">
      <w:pPr>
        <w:pStyle w:val="aff8"/>
        <w:rPr>
          <w:color w:val="auto"/>
        </w:rPr>
      </w:pPr>
      <w:r w:rsidRPr="000549B1">
        <w:rPr>
          <w:color w:val="auto"/>
        </w:rPr>
        <w:t>图</w:t>
      </w:r>
      <w:r w:rsidR="00F1314B">
        <w:rPr>
          <w:color w:val="auto"/>
        </w:rPr>
        <w:fldChar w:fldCharType="begin"/>
      </w:r>
      <w:r w:rsidR="00F1314B">
        <w:rPr>
          <w:color w:val="auto"/>
        </w:rPr>
        <w:instrText xml:space="preserve"> STYLEREF 2 \s </w:instrText>
      </w:r>
      <w:r w:rsidR="00F1314B">
        <w:rPr>
          <w:color w:val="auto"/>
        </w:rPr>
        <w:fldChar w:fldCharType="separate"/>
      </w:r>
      <w:r w:rsidR="00F32CCA">
        <w:rPr>
          <w:noProof/>
          <w:color w:val="auto"/>
        </w:rPr>
        <w:t>5.2</w:t>
      </w:r>
      <w:r w:rsidR="00F1314B">
        <w:rPr>
          <w:color w:val="auto"/>
        </w:rPr>
        <w:fldChar w:fldCharType="end"/>
      </w:r>
      <w:r w:rsidR="00F1314B">
        <w:rPr>
          <w:color w:val="auto"/>
        </w:rPr>
        <w:noBreakHyphen/>
      </w:r>
      <w:r w:rsidR="00F1314B">
        <w:rPr>
          <w:color w:val="auto"/>
        </w:rPr>
        <w:fldChar w:fldCharType="begin"/>
      </w:r>
      <w:r w:rsidR="00F1314B">
        <w:rPr>
          <w:color w:val="auto"/>
        </w:rPr>
        <w:instrText xml:space="preserve"> SEQ </w:instrText>
      </w:r>
      <w:r w:rsidR="00F1314B">
        <w:rPr>
          <w:color w:val="auto"/>
        </w:rPr>
        <w:instrText>图</w:instrText>
      </w:r>
      <w:r w:rsidR="00F1314B">
        <w:rPr>
          <w:color w:val="auto"/>
        </w:rPr>
        <w:instrText xml:space="preserve"> \* ARABIC \s 2 </w:instrText>
      </w:r>
      <w:r w:rsidR="00F1314B">
        <w:rPr>
          <w:color w:val="auto"/>
        </w:rPr>
        <w:fldChar w:fldCharType="separate"/>
      </w:r>
      <w:r w:rsidR="00F32CCA">
        <w:rPr>
          <w:noProof/>
          <w:color w:val="auto"/>
        </w:rPr>
        <w:t>2</w:t>
      </w:r>
      <w:r w:rsidR="00F1314B">
        <w:rPr>
          <w:color w:val="auto"/>
        </w:rPr>
        <w:fldChar w:fldCharType="end"/>
      </w:r>
      <w:r w:rsidRPr="000549B1">
        <w:rPr>
          <w:color w:val="auto"/>
        </w:rPr>
        <w:t>P=10%</w:t>
      </w:r>
      <w:r w:rsidRPr="000549B1">
        <w:rPr>
          <w:color w:val="auto"/>
        </w:rPr>
        <w:t>来水条件下大河坝水库坝前垂向水温分布</w:t>
      </w:r>
    </w:p>
    <w:p w14:paraId="341993CA" w14:textId="77777777" w:rsidR="00054437" w:rsidRPr="000549B1" w:rsidRDefault="00000000">
      <w:pPr>
        <w:spacing w:line="360" w:lineRule="auto"/>
        <w:jc w:val="center"/>
        <w:rPr>
          <w:sz w:val="24"/>
          <w:szCs w:val="24"/>
        </w:rPr>
      </w:pPr>
      <w:r w:rsidRPr="000549B1">
        <w:rPr>
          <w:noProof/>
          <w:sz w:val="24"/>
          <w:szCs w:val="24"/>
        </w:rPr>
        <w:drawing>
          <wp:inline distT="0" distB="0" distL="114300" distR="114300" wp14:anchorId="60DBCB92" wp14:editId="6B1D84D1">
            <wp:extent cx="2591435" cy="1727835"/>
            <wp:effectExtent l="0" t="0" r="18415" b="5715"/>
            <wp:docPr id="115"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60"/>
                    <pic:cNvPicPr>
                      <a:picLocks noChangeAspect="1"/>
                    </pic:cNvPicPr>
                  </pic:nvPicPr>
                  <pic:blipFill>
                    <a:blip r:embed="rId251"/>
                    <a:stretch>
                      <a:fillRect/>
                    </a:stretch>
                  </pic:blipFill>
                  <pic:spPr>
                    <a:xfrm>
                      <a:off x="0" y="0"/>
                      <a:ext cx="2591435" cy="1727835"/>
                    </a:xfrm>
                    <a:prstGeom prst="rect">
                      <a:avLst/>
                    </a:prstGeom>
                    <a:noFill/>
                    <a:ln>
                      <a:noFill/>
                    </a:ln>
                  </pic:spPr>
                </pic:pic>
              </a:graphicData>
            </a:graphic>
          </wp:inline>
        </w:drawing>
      </w:r>
      <w:r w:rsidRPr="000549B1">
        <w:rPr>
          <w:noProof/>
          <w:sz w:val="24"/>
          <w:szCs w:val="24"/>
        </w:rPr>
        <w:drawing>
          <wp:inline distT="0" distB="0" distL="114300" distR="114300" wp14:anchorId="667D2B87" wp14:editId="6AFBBF92">
            <wp:extent cx="2591435" cy="1727835"/>
            <wp:effectExtent l="0" t="0" r="18415" b="5715"/>
            <wp:docPr id="116"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61"/>
                    <pic:cNvPicPr>
                      <a:picLocks noChangeAspect="1"/>
                    </pic:cNvPicPr>
                  </pic:nvPicPr>
                  <pic:blipFill>
                    <a:blip r:embed="rId252"/>
                    <a:stretch>
                      <a:fillRect/>
                    </a:stretch>
                  </pic:blipFill>
                  <pic:spPr>
                    <a:xfrm>
                      <a:off x="0" y="0"/>
                      <a:ext cx="2591435" cy="1727835"/>
                    </a:xfrm>
                    <a:prstGeom prst="rect">
                      <a:avLst/>
                    </a:prstGeom>
                    <a:noFill/>
                    <a:ln>
                      <a:noFill/>
                    </a:ln>
                  </pic:spPr>
                </pic:pic>
              </a:graphicData>
            </a:graphic>
          </wp:inline>
        </w:drawing>
      </w:r>
    </w:p>
    <w:p w14:paraId="5447754A" w14:textId="77777777" w:rsidR="00054437" w:rsidRPr="000549B1" w:rsidRDefault="00000000">
      <w:pPr>
        <w:spacing w:line="360" w:lineRule="auto"/>
        <w:jc w:val="center"/>
        <w:rPr>
          <w:rFonts w:eastAsia="黑体"/>
          <w:szCs w:val="21"/>
        </w:rPr>
      </w:pPr>
      <w:r w:rsidRPr="000549B1">
        <w:rPr>
          <w:rFonts w:eastAsia="黑体"/>
          <w:szCs w:val="21"/>
        </w:rPr>
        <w:t>（</w:t>
      </w:r>
      <w:r w:rsidRPr="000549B1">
        <w:rPr>
          <w:rFonts w:eastAsia="黑体"/>
          <w:szCs w:val="21"/>
        </w:rPr>
        <w:t>1</w:t>
      </w:r>
      <w:r w:rsidRPr="000549B1">
        <w:rPr>
          <w:rFonts w:eastAsia="黑体"/>
          <w:szCs w:val="21"/>
        </w:rPr>
        <w:t>）</w:t>
      </w:r>
      <w:r w:rsidRPr="000549B1">
        <w:rPr>
          <w:rFonts w:eastAsia="黑体"/>
          <w:szCs w:val="21"/>
        </w:rPr>
        <w:t>7</w:t>
      </w:r>
      <w:r w:rsidRPr="000549B1">
        <w:rPr>
          <w:rFonts w:eastAsia="黑体"/>
          <w:szCs w:val="21"/>
        </w:rPr>
        <w:t>月（</w:t>
      </w:r>
      <w:r w:rsidRPr="000549B1">
        <w:rPr>
          <w:rFonts w:eastAsia="黑体"/>
          <w:szCs w:val="21"/>
        </w:rPr>
        <w:t>2</w:t>
      </w:r>
      <w:r w:rsidRPr="000549B1">
        <w:rPr>
          <w:rFonts w:eastAsia="黑体"/>
          <w:szCs w:val="21"/>
        </w:rPr>
        <w:t>）</w:t>
      </w:r>
      <w:r w:rsidRPr="000549B1">
        <w:rPr>
          <w:rFonts w:eastAsia="黑体"/>
          <w:szCs w:val="21"/>
        </w:rPr>
        <w:t>8</w:t>
      </w:r>
      <w:r w:rsidRPr="000549B1">
        <w:rPr>
          <w:rFonts w:eastAsia="黑体"/>
          <w:szCs w:val="21"/>
        </w:rPr>
        <w:t>月</w:t>
      </w:r>
    </w:p>
    <w:p w14:paraId="546B679B" w14:textId="77777777" w:rsidR="00054437" w:rsidRPr="000549B1" w:rsidRDefault="00000000">
      <w:pPr>
        <w:spacing w:line="360" w:lineRule="auto"/>
        <w:jc w:val="center"/>
        <w:rPr>
          <w:sz w:val="24"/>
          <w:szCs w:val="24"/>
        </w:rPr>
      </w:pPr>
      <w:r w:rsidRPr="000549B1">
        <w:rPr>
          <w:noProof/>
          <w:sz w:val="24"/>
          <w:szCs w:val="24"/>
        </w:rPr>
        <w:drawing>
          <wp:inline distT="0" distB="0" distL="114300" distR="114300" wp14:anchorId="56F12299" wp14:editId="7BC92A69">
            <wp:extent cx="2591435" cy="1727835"/>
            <wp:effectExtent l="0" t="0" r="18415" b="5715"/>
            <wp:docPr id="96"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62"/>
                    <pic:cNvPicPr>
                      <a:picLocks noChangeAspect="1"/>
                    </pic:cNvPicPr>
                  </pic:nvPicPr>
                  <pic:blipFill>
                    <a:blip r:embed="rId253"/>
                    <a:stretch>
                      <a:fillRect/>
                    </a:stretch>
                  </pic:blipFill>
                  <pic:spPr>
                    <a:xfrm>
                      <a:off x="0" y="0"/>
                      <a:ext cx="2591435" cy="1727835"/>
                    </a:xfrm>
                    <a:prstGeom prst="rect">
                      <a:avLst/>
                    </a:prstGeom>
                    <a:noFill/>
                    <a:ln>
                      <a:noFill/>
                    </a:ln>
                  </pic:spPr>
                </pic:pic>
              </a:graphicData>
            </a:graphic>
          </wp:inline>
        </w:drawing>
      </w:r>
      <w:r w:rsidRPr="000549B1">
        <w:rPr>
          <w:noProof/>
          <w:sz w:val="24"/>
          <w:szCs w:val="24"/>
        </w:rPr>
        <w:drawing>
          <wp:inline distT="0" distB="0" distL="114300" distR="114300" wp14:anchorId="6F6CEE62" wp14:editId="410229B3">
            <wp:extent cx="2591435" cy="1727835"/>
            <wp:effectExtent l="0" t="0" r="18415" b="5715"/>
            <wp:docPr id="62"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3"/>
                    <pic:cNvPicPr>
                      <a:picLocks noChangeAspect="1"/>
                    </pic:cNvPicPr>
                  </pic:nvPicPr>
                  <pic:blipFill>
                    <a:blip r:embed="rId254"/>
                    <a:stretch>
                      <a:fillRect/>
                    </a:stretch>
                  </pic:blipFill>
                  <pic:spPr>
                    <a:xfrm>
                      <a:off x="0" y="0"/>
                      <a:ext cx="2591435" cy="1727835"/>
                    </a:xfrm>
                    <a:prstGeom prst="rect">
                      <a:avLst/>
                    </a:prstGeom>
                    <a:noFill/>
                    <a:ln>
                      <a:noFill/>
                    </a:ln>
                  </pic:spPr>
                </pic:pic>
              </a:graphicData>
            </a:graphic>
          </wp:inline>
        </w:drawing>
      </w:r>
    </w:p>
    <w:p w14:paraId="37728957" w14:textId="77777777" w:rsidR="00054437" w:rsidRPr="000549B1" w:rsidRDefault="00000000">
      <w:pPr>
        <w:spacing w:line="360" w:lineRule="auto"/>
        <w:jc w:val="center"/>
        <w:rPr>
          <w:rFonts w:eastAsia="黑体"/>
          <w:szCs w:val="21"/>
        </w:rPr>
      </w:pPr>
      <w:r w:rsidRPr="000549B1">
        <w:rPr>
          <w:rFonts w:eastAsia="黑体"/>
          <w:szCs w:val="21"/>
        </w:rPr>
        <w:t>（</w:t>
      </w:r>
      <w:r w:rsidRPr="000549B1">
        <w:rPr>
          <w:rFonts w:eastAsia="黑体"/>
          <w:szCs w:val="21"/>
        </w:rPr>
        <w:t>3</w:t>
      </w:r>
      <w:r w:rsidRPr="000549B1">
        <w:rPr>
          <w:rFonts w:eastAsia="黑体"/>
          <w:szCs w:val="21"/>
        </w:rPr>
        <w:t>）</w:t>
      </w:r>
      <w:r w:rsidRPr="000549B1">
        <w:rPr>
          <w:rFonts w:eastAsia="黑体"/>
          <w:szCs w:val="21"/>
        </w:rPr>
        <w:t>9</w:t>
      </w:r>
      <w:r w:rsidRPr="000549B1">
        <w:rPr>
          <w:rFonts w:eastAsia="黑体"/>
          <w:szCs w:val="21"/>
        </w:rPr>
        <w:t>月（</w:t>
      </w:r>
      <w:r w:rsidRPr="000549B1">
        <w:rPr>
          <w:rFonts w:eastAsia="黑体"/>
          <w:szCs w:val="21"/>
        </w:rPr>
        <w:t>4</w:t>
      </w:r>
      <w:r w:rsidRPr="000549B1">
        <w:rPr>
          <w:rFonts w:eastAsia="黑体"/>
          <w:szCs w:val="21"/>
        </w:rPr>
        <w:t>）</w:t>
      </w:r>
      <w:r w:rsidRPr="000549B1">
        <w:rPr>
          <w:rFonts w:eastAsia="黑体"/>
          <w:szCs w:val="21"/>
        </w:rPr>
        <w:t>10</w:t>
      </w:r>
      <w:r w:rsidRPr="000549B1">
        <w:rPr>
          <w:rFonts w:eastAsia="黑体"/>
          <w:szCs w:val="21"/>
        </w:rPr>
        <w:t>月</w:t>
      </w:r>
    </w:p>
    <w:p w14:paraId="400B94E3" w14:textId="77777777" w:rsidR="00054437" w:rsidRPr="000549B1" w:rsidRDefault="00000000">
      <w:pPr>
        <w:spacing w:line="360" w:lineRule="auto"/>
        <w:jc w:val="center"/>
        <w:rPr>
          <w:sz w:val="24"/>
          <w:szCs w:val="24"/>
        </w:rPr>
      </w:pPr>
      <w:r w:rsidRPr="000549B1">
        <w:rPr>
          <w:noProof/>
          <w:sz w:val="24"/>
          <w:szCs w:val="24"/>
        </w:rPr>
        <w:drawing>
          <wp:inline distT="0" distB="0" distL="114300" distR="114300" wp14:anchorId="0B069ADC" wp14:editId="176FB3CE">
            <wp:extent cx="2591435" cy="1727835"/>
            <wp:effectExtent l="0" t="0" r="18415" b="5715"/>
            <wp:docPr id="59"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64"/>
                    <pic:cNvPicPr>
                      <a:picLocks noChangeAspect="1"/>
                    </pic:cNvPicPr>
                  </pic:nvPicPr>
                  <pic:blipFill>
                    <a:blip r:embed="rId255">
                      <a:lum bright="-6000"/>
                    </a:blip>
                    <a:stretch>
                      <a:fillRect/>
                    </a:stretch>
                  </pic:blipFill>
                  <pic:spPr>
                    <a:xfrm>
                      <a:off x="0" y="0"/>
                      <a:ext cx="2591435" cy="1727835"/>
                    </a:xfrm>
                    <a:prstGeom prst="rect">
                      <a:avLst/>
                    </a:prstGeom>
                    <a:noFill/>
                    <a:ln>
                      <a:noFill/>
                    </a:ln>
                  </pic:spPr>
                </pic:pic>
              </a:graphicData>
            </a:graphic>
          </wp:inline>
        </w:drawing>
      </w:r>
      <w:r w:rsidRPr="000549B1">
        <w:rPr>
          <w:noProof/>
          <w:sz w:val="24"/>
          <w:szCs w:val="24"/>
        </w:rPr>
        <w:drawing>
          <wp:inline distT="0" distB="0" distL="114300" distR="114300" wp14:anchorId="33519D0F" wp14:editId="5D031D44">
            <wp:extent cx="2591435" cy="1727835"/>
            <wp:effectExtent l="0" t="0" r="18415" b="5715"/>
            <wp:docPr id="76"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65"/>
                    <pic:cNvPicPr>
                      <a:picLocks noChangeAspect="1"/>
                    </pic:cNvPicPr>
                  </pic:nvPicPr>
                  <pic:blipFill>
                    <a:blip r:embed="rId256"/>
                    <a:stretch>
                      <a:fillRect/>
                    </a:stretch>
                  </pic:blipFill>
                  <pic:spPr>
                    <a:xfrm>
                      <a:off x="0" y="0"/>
                      <a:ext cx="2591435" cy="1727835"/>
                    </a:xfrm>
                    <a:prstGeom prst="rect">
                      <a:avLst/>
                    </a:prstGeom>
                    <a:noFill/>
                    <a:ln>
                      <a:noFill/>
                    </a:ln>
                  </pic:spPr>
                </pic:pic>
              </a:graphicData>
            </a:graphic>
          </wp:inline>
        </w:drawing>
      </w:r>
    </w:p>
    <w:p w14:paraId="175BB0D8" w14:textId="77777777" w:rsidR="00054437" w:rsidRPr="000549B1" w:rsidRDefault="00000000">
      <w:pPr>
        <w:spacing w:line="360" w:lineRule="auto"/>
        <w:jc w:val="center"/>
        <w:rPr>
          <w:rFonts w:eastAsia="黑体"/>
          <w:szCs w:val="21"/>
        </w:rPr>
      </w:pPr>
      <w:r w:rsidRPr="000549B1">
        <w:rPr>
          <w:rFonts w:eastAsia="黑体"/>
          <w:szCs w:val="21"/>
        </w:rPr>
        <w:t>（</w:t>
      </w:r>
      <w:r w:rsidRPr="000549B1">
        <w:rPr>
          <w:rFonts w:eastAsia="黑体"/>
          <w:szCs w:val="21"/>
        </w:rPr>
        <w:t>5</w:t>
      </w:r>
      <w:r w:rsidRPr="000549B1">
        <w:rPr>
          <w:rFonts w:eastAsia="黑体"/>
          <w:szCs w:val="21"/>
        </w:rPr>
        <w:t>）</w:t>
      </w:r>
      <w:r w:rsidRPr="000549B1">
        <w:rPr>
          <w:rFonts w:eastAsia="黑体"/>
          <w:szCs w:val="21"/>
        </w:rPr>
        <w:t>11</w:t>
      </w:r>
      <w:r w:rsidRPr="000549B1">
        <w:rPr>
          <w:rFonts w:eastAsia="黑体"/>
          <w:szCs w:val="21"/>
        </w:rPr>
        <w:t>月（</w:t>
      </w:r>
      <w:r w:rsidRPr="000549B1">
        <w:rPr>
          <w:rFonts w:eastAsia="黑体"/>
          <w:szCs w:val="21"/>
        </w:rPr>
        <w:t>6</w:t>
      </w:r>
      <w:r w:rsidRPr="000549B1">
        <w:rPr>
          <w:rFonts w:eastAsia="黑体"/>
          <w:szCs w:val="21"/>
        </w:rPr>
        <w:t>）</w:t>
      </w:r>
      <w:r w:rsidRPr="000549B1">
        <w:rPr>
          <w:rFonts w:eastAsia="黑体"/>
          <w:szCs w:val="21"/>
        </w:rPr>
        <w:t>12</w:t>
      </w:r>
      <w:r w:rsidRPr="000549B1">
        <w:rPr>
          <w:rFonts w:eastAsia="黑体"/>
          <w:szCs w:val="21"/>
        </w:rPr>
        <w:t>月</w:t>
      </w:r>
    </w:p>
    <w:p w14:paraId="339C02EB" w14:textId="77777777" w:rsidR="00054437" w:rsidRPr="000549B1" w:rsidRDefault="00000000">
      <w:pPr>
        <w:spacing w:line="360" w:lineRule="auto"/>
        <w:jc w:val="center"/>
        <w:rPr>
          <w:sz w:val="24"/>
          <w:szCs w:val="24"/>
        </w:rPr>
      </w:pPr>
      <w:r w:rsidRPr="000549B1">
        <w:rPr>
          <w:noProof/>
          <w:sz w:val="24"/>
          <w:szCs w:val="24"/>
        </w:rPr>
        <w:drawing>
          <wp:inline distT="0" distB="0" distL="114300" distR="114300" wp14:anchorId="5B86AB38" wp14:editId="5863644D">
            <wp:extent cx="2591435" cy="1727835"/>
            <wp:effectExtent l="0" t="0" r="18415" b="5715"/>
            <wp:docPr id="55"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66"/>
                    <pic:cNvPicPr>
                      <a:picLocks noChangeAspect="1"/>
                    </pic:cNvPicPr>
                  </pic:nvPicPr>
                  <pic:blipFill>
                    <a:blip r:embed="rId257"/>
                    <a:stretch>
                      <a:fillRect/>
                    </a:stretch>
                  </pic:blipFill>
                  <pic:spPr>
                    <a:xfrm>
                      <a:off x="0" y="0"/>
                      <a:ext cx="2591435" cy="1727835"/>
                    </a:xfrm>
                    <a:prstGeom prst="rect">
                      <a:avLst/>
                    </a:prstGeom>
                    <a:noFill/>
                    <a:ln>
                      <a:noFill/>
                    </a:ln>
                  </pic:spPr>
                </pic:pic>
              </a:graphicData>
            </a:graphic>
          </wp:inline>
        </w:drawing>
      </w:r>
      <w:r w:rsidRPr="000549B1">
        <w:rPr>
          <w:noProof/>
          <w:sz w:val="24"/>
          <w:szCs w:val="24"/>
        </w:rPr>
        <w:drawing>
          <wp:inline distT="0" distB="0" distL="114300" distR="114300" wp14:anchorId="780BB975" wp14:editId="74D6B563">
            <wp:extent cx="2591435" cy="1727835"/>
            <wp:effectExtent l="0" t="0" r="18415" b="5715"/>
            <wp:docPr id="106"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67"/>
                    <pic:cNvPicPr>
                      <a:picLocks noChangeAspect="1"/>
                    </pic:cNvPicPr>
                  </pic:nvPicPr>
                  <pic:blipFill>
                    <a:blip r:embed="rId258"/>
                    <a:stretch>
                      <a:fillRect/>
                    </a:stretch>
                  </pic:blipFill>
                  <pic:spPr>
                    <a:xfrm>
                      <a:off x="0" y="0"/>
                      <a:ext cx="2591435" cy="1727835"/>
                    </a:xfrm>
                    <a:prstGeom prst="rect">
                      <a:avLst/>
                    </a:prstGeom>
                    <a:noFill/>
                    <a:ln>
                      <a:noFill/>
                    </a:ln>
                  </pic:spPr>
                </pic:pic>
              </a:graphicData>
            </a:graphic>
          </wp:inline>
        </w:drawing>
      </w:r>
    </w:p>
    <w:p w14:paraId="0328D0E9" w14:textId="77777777" w:rsidR="00054437" w:rsidRPr="000549B1" w:rsidRDefault="00000000">
      <w:pPr>
        <w:spacing w:line="360" w:lineRule="auto"/>
        <w:jc w:val="center"/>
        <w:rPr>
          <w:rFonts w:eastAsia="黑体"/>
          <w:szCs w:val="21"/>
        </w:rPr>
      </w:pPr>
      <w:r w:rsidRPr="000549B1">
        <w:rPr>
          <w:rFonts w:eastAsia="黑体"/>
          <w:szCs w:val="21"/>
        </w:rPr>
        <w:t>（</w:t>
      </w:r>
      <w:r w:rsidRPr="000549B1">
        <w:rPr>
          <w:rFonts w:eastAsia="黑体"/>
          <w:szCs w:val="21"/>
        </w:rPr>
        <w:t>7</w:t>
      </w:r>
      <w:r w:rsidRPr="000549B1">
        <w:rPr>
          <w:rFonts w:eastAsia="黑体"/>
          <w:szCs w:val="21"/>
        </w:rPr>
        <w:t>）</w:t>
      </w:r>
      <w:r w:rsidRPr="000549B1">
        <w:rPr>
          <w:rFonts w:eastAsia="黑体"/>
          <w:szCs w:val="21"/>
        </w:rPr>
        <w:t>1</w:t>
      </w:r>
      <w:r w:rsidRPr="000549B1">
        <w:rPr>
          <w:rFonts w:eastAsia="黑体"/>
          <w:szCs w:val="21"/>
        </w:rPr>
        <w:t>月（</w:t>
      </w:r>
      <w:r w:rsidRPr="000549B1">
        <w:rPr>
          <w:rFonts w:eastAsia="黑体"/>
          <w:szCs w:val="21"/>
        </w:rPr>
        <w:t>8</w:t>
      </w:r>
      <w:r w:rsidRPr="000549B1">
        <w:rPr>
          <w:rFonts w:eastAsia="黑体"/>
          <w:szCs w:val="21"/>
        </w:rPr>
        <w:t>）</w:t>
      </w:r>
      <w:r w:rsidRPr="000549B1">
        <w:rPr>
          <w:rFonts w:eastAsia="黑体"/>
          <w:szCs w:val="21"/>
        </w:rPr>
        <w:t>2</w:t>
      </w:r>
      <w:r w:rsidRPr="000549B1">
        <w:rPr>
          <w:rFonts w:eastAsia="黑体"/>
          <w:szCs w:val="21"/>
        </w:rPr>
        <w:t>月</w:t>
      </w:r>
    </w:p>
    <w:p w14:paraId="4FE31E76" w14:textId="77777777" w:rsidR="00054437" w:rsidRPr="000549B1" w:rsidRDefault="00000000">
      <w:pPr>
        <w:spacing w:line="360" w:lineRule="auto"/>
        <w:jc w:val="center"/>
        <w:rPr>
          <w:sz w:val="24"/>
          <w:szCs w:val="24"/>
        </w:rPr>
      </w:pPr>
      <w:r w:rsidRPr="000549B1">
        <w:rPr>
          <w:noProof/>
          <w:sz w:val="24"/>
          <w:szCs w:val="24"/>
        </w:rPr>
        <w:drawing>
          <wp:inline distT="0" distB="0" distL="114300" distR="114300" wp14:anchorId="6BF988C7" wp14:editId="5F013732">
            <wp:extent cx="2591435" cy="1727835"/>
            <wp:effectExtent l="0" t="0" r="18415" b="5715"/>
            <wp:docPr id="56"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68"/>
                    <pic:cNvPicPr>
                      <a:picLocks noChangeAspect="1"/>
                    </pic:cNvPicPr>
                  </pic:nvPicPr>
                  <pic:blipFill>
                    <a:blip r:embed="rId259"/>
                    <a:stretch>
                      <a:fillRect/>
                    </a:stretch>
                  </pic:blipFill>
                  <pic:spPr>
                    <a:xfrm>
                      <a:off x="0" y="0"/>
                      <a:ext cx="2591435" cy="1727835"/>
                    </a:xfrm>
                    <a:prstGeom prst="rect">
                      <a:avLst/>
                    </a:prstGeom>
                    <a:noFill/>
                    <a:ln>
                      <a:noFill/>
                    </a:ln>
                  </pic:spPr>
                </pic:pic>
              </a:graphicData>
            </a:graphic>
          </wp:inline>
        </w:drawing>
      </w:r>
      <w:r w:rsidRPr="000549B1">
        <w:rPr>
          <w:noProof/>
          <w:sz w:val="24"/>
          <w:szCs w:val="24"/>
        </w:rPr>
        <w:drawing>
          <wp:inline distT="0" distB="0" distL="114300" distR="114300" wp14:anchorId="4CAF7193" wp14:editId="01A4EA46">
            <wp:extent cx="2591435" cy="1727835"/>
            <wp:effectExtent l="0" t="0" r="18415" b="5715"/>
            <wp:docPr id="63"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9"/>
                    <pic:cNvPicPr>
                      <a:picLocks noChangeAspect="1"/>
                    </pic:cNvPicPr>
                  </pic:nvPicPr>
                  <pic:blipFill>
                    <a:blip r:embed="rId260"/>
                    <a:stretch>
                      <a:fillRect/>
                    </a:stretch>
                  </pic:blipFill>
                  <pic:spPr>
                    <a:xfrm>
                      <a:off x="0" y="0"/>
                      <a:ext cx="2591435" cy="1727835"/>
                    </a:xfrm>
                    <a:prstGeom prst="rect">
                      <a:avLst/>
                    </a:prstGeom>
                    <a:noFill/>
                    <a:ln>
                      <a:noFill/>
                    </a:ln>
                  </pic:spPr>
                </pic:pic>
              </a:graphicData>
            </a:graphic>
          </wp:inline>
        </w:drawing>
      </w:r>
    </w:p>
    <w:p w14:paraId="571467F7" w14:textId="77777777" w:rsidR="00054437" w:rsidRPr="000549B1" w:rsidRDefault="00000000">
      <w:pPr>
        <w:spacing w:line="360" w:lineRule="auto"/>
        <w:jc w:val="center"/>
        <w:rPr>
          <w:rFonts w:eastAsia="黑体"/>
          <w:szCs w:val="21"/>
        </w:rPr>
      </w:pPr>
      <w:r w:rsidRPr="000549B1">
        <w:rPr>
          <w:rFonts w:eastAsia="黑体"/>
          <w:szCs w:val="21"/>
        </w:rPr>
        <w:t>（</w:t>
      </w:r>
      <w:r w:rsidRPr="000549B1">
        <w:rPr>
          <w:rFonts w:eastAsia="黑体"/>
          <w:szCs w:val="21"/>
        </w:rPr>
        <w:t>9</w:t>
      </w:r>
      <w:r w:rsidRPr="000549B1">
        <w:rPr>
          <w:rFonts w:eastAsia="黑体"/>
          <w:szCs w:val="21"/>
        </w:rPr>
        <w:t>）</w:t>
      </w:r>
      <w:r w:rsidRPr="000549B1">
        <w:rPr>
          <w:rFonts w:eastAsia="黑体"/>
          <w:szCs w:val="21"/>
        </w:rPr>
        <w:t>3</w:t>
      </w:r>
      <w:r w:rsidRPr="000549B1">
        <w:rPr>
          <w:rFonts w:eastAsia="黑体"/>
          <w:szCs w:val="21"/>
        </w:rPr>
        <w:t>月（</w:t>
      </w:r>
      <w:r w:rsidRPr="000549B1">
        <w:rPr>
          <w:rFonts w:eastAsia="黑体"/>
          <w:szCs w:val="21"/>
        </w:rPr>
        <w:t>10</w:t>
      </w:r>
      <w:r w:rsidRPr="000549B1">
        <w:rPr>
          <w:rFonts w:eastAsia="黑体"/>
          <w:szCs w:val="21"/>
        </w:rPr>
        <w:t>）</w:t>
      </w:r>
      <w:r w:rsidRPr="000549B1">
        <w:rPr>
          <w:rFonts w:eastAsia="黑体"/>
          <w:szCs w:val="21"/>
        </w:rPr>
        <w:t>4</w:t>
      </w:r>
      <w:r w:rsidRPr="000549B1">
        <w:rPr>
          <w:rFonts w:eastAsia="黑体"/>
          <w:szCs w:val="21"/>
        </w:rPr>
        <w:t>月</w:t>
      </w:r>
    </w:p>
    <w:p w14:paraId="44E54A11" w14:textId="77777777" w:rsidR="00054437" w:rsidRPr="000549B1" w:rsidRDefault="00000000">
      <w:pPr>
        <w:spacing w:line="360" w:lineRule="auto"/>
        <w:jc w:val="center"/>
        <w:rPr>
          <w:sz w:val="24"/>
          <w:szCs w:val="24"/>
        </w:rPr>
      </w:pPr>
      <w:r w:rsidRPr="000549B1">
        <w:rPr>
          <w:noProof/>
          <w:sz w:val="24"/>
          <w:szCs w:val="24"/>
        </w:rPr>
        <w:drawing>
          <wp:inline distT="0" distB="0" distL="114300" distR="114300" wp14:anchorId="2EBC390D" wp14:editId="05E5755A">
            <wp:extent cx="2591435" cy="1727835"/>
            <wp:effectExtent l="0" t="0" r="18415" b="5715"/>
            <wp:docPr id="86"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70"/>
                    <pic:cNvPicPr>
                      <a:picLocks noChangeAspect="1"/>
                    </pic:cNvPicPr>
                  </pic:nvPicPr>
                  <pic:blipFill>
                    <a:blip r:embed="rId261"/>
                    <a:stretch>
                      <a:fillRect/>
                    </a:stretch>
                  </pic:blipFill>
                  <pic:spPr>
                    <a:xfrm>
                      <a:off x="0" y="0"/>
                      <a:ext cx="2591435" cy="1727835"/>
                    </a:xfrm>
                    <a:prstGeom prst="rect">
                      <a:avLst/>
                    </a:prstGeom>
                    <a:noFill/>
                    <a:ln>
                      <a:noFill/>
                    </a:ln>
                  </pic:spPr>
                </pic:pic>
              </a:graphicData>
            </a:graphic>
          </wp:inline>
        </w:drawing>
      </w:r>
      <w:r w:rsidRPr="000549B1">
        <w:rPr>
          <w:noProof/>
          <w:sz w:val="24"/>
          <w:szCs w:val="24"/>
        </w:rPr>
        <w:drawing>
          <wp:inline distT="0" distB="0" distL="114300" distR="114300" wp14:anchorId="4ED3C391" wp14:editId="2D0266E8">
            <wp:extent cx="2591435" cy="1727835"/>
            <wp:effectExtent l="0" t="0" r="18415" b="5715"/>
            <wp:docPr id="107"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71"/>
                    <pic:cNvPicPr>
                      <a:picLocks noChangeAspect="1"/>
                    </pic:cNvPicPr>
                  </pic:nvPicPr>
                  <pic:blipFill>
                    <a:blip r:embed="rId262"/>
                    <a:stretch>
                      <a:fillRect/>
                    </a:stretch>
                  </pic:blipFill>
                  <pic:spPr>
                    <a:xfrm>
                      <a:off x="0" y="0"/>
                      <a:ext cx="2591435" cy="1727835"/>
                    </a:xfrm>
                    <a:prstGeom prst="rect">
                      <a:avLst/>
                    </a:prstGeom>
                    <a:noFill/>
                    <a:ln>
                      <a:noFill/>
                    </a:ln>
                  </pic:spPr>
                </pic:pic>
              </a:graphicData>
            </a:graphic>
          </wp:inline>
        </w:drawing>
      </w:r>
    </w:p>
    <w:p w14:paraId="2B575820" w14:textId="77777777" w:rsidR="00054437" w:rsidRPr="000549B1" w:rsidRDefault="00000000">
      <w:pPr>
        <w:spacing w:line="360" w:lineRule="auto"/>
        <w:jc w:val="center"/>
        <w:rPr>
          <w:rFonts w:eastAsia="黑体"/>
          <w:szCs w:val="21"/>
        </w:rPr>
      </w:pPr>
      <w:r w:rsidRPr="000549B1">
        <w:rPr>
          <w:rFonts w:eastAsia="黑体"/>
          <w:szCs w:val="21"/>
        </w:rPr>
        <w:t>（</w:t>
      </w:r>
      <w:r w:rsidRPr="000549B1">
        <w:rPr>
          <w:rFonts w:eastAsia="黑体"/>
          <w:szCs w:val="21"/>
        </w:rPr>
        <w:t>11</w:t>
      </w:r>
      <w:r w:rsidRPr="000549B1">
        <w:rPr>
          <w:rFonts w:eastAsia="黑体"/>
          <w:szCs w:val="21"/>
        </w:rPr>
        <w:t>）</w:t>
      </w:r>
      <w:r w:rsidRPr="000549B1">
        <w:rPr>
          <w:rFonts w:eastAsia="黑体"/>
          <w:szCs w:val="21"/>
        </w:rPr>
        <w:t>5</w:t>
      </w:r>
      <w:r w:rsidRPr="000549B1">
        <w:rPr>
          <w:rFonts w:eastAsia="黑体"/>
          <w:szCs w:val="21"/>
        </w:rPr>
        <w:t>月（</w:t>
      </w:r>
      <w:r w:rsidRPr="000549B1">
        <w:rPr>
          <w:rFonts w:eastAsia="黑体"/>
          <w:szCs w:val="21"/>
        </w:rPr>
        <w:t>12</w:t>
      </w:r>
      <w:r w:rsidRPr="000549B1">
        <w:rPr>
          <w:rFonts w:eastAsia="黑体"/>
          <w:szCs w:val="21"/>
        </w:rPr>
        <w:t>）</w:t>
      </w:r>
      <w:r w:rsidRPr="000549B1">
        <w:rPr>
          <w:rFonts w:eastAsia="黑体"/>
          <w:szCs w:val="21"/>
        </w:rPr>
        <w:t>6</w:t>
      </w:r>
      <w:r w:rsidRPr="000549B1">
        <w:rPr>
          <w:rFonts w:eastAsia="黑体"/>
          <w:szCs w:val="21"/>
        </w:rPr>
        <w:t>月</w:t>
      </w:r>
    </w:p>
    <w:p w14:paraId="50DC9752" w14:textId="6CBFC43A" w:rsidR="00054437" w:rsidRPr="000549B1" w:rsidRDefault="00000000">
      <w:pPr>
        <w:pStyle w:val="aff8"/>
        <w:rPr>
          <w:color w:val="auto"/>
        </w:rPr>
      </w:pPr>
      <w:r w:rsidRPr="000549B1">
        <w:rPr>
          <w:color w:val="auto"/>
        </w:rPr>
        <w:t>图</w:t>
      </w:r>
      <w:r w:rsidR="00F1314B">
        <w:rPr>
          <w:color w:val="auto"/>
        </w:rPr>
        <w:fldChar w:fldCharType="begin"/>
      </w:r>
      <w:r w:rsidR="00F1314B">
        <w:rPr>
          <w:color w:val="auto"/>
        </w:rPr>
        <w:instrText xml:space="preserve"> STYLEREF 2 \s </w:instrText>
      </w:r>
      <w:r w:rsidR="00F1314B">
        <w:rPr>
          <w:color w:val="auto"/>
        </w:rPr>
        <w:fldChar w:fldCharType="separate"/>
      </w:r>
      <w:r w:rsidR="00F32CCA">
        <w:rPr>
          <w:noProof/>
          <w:color w:val="auto"/>
        </w:rPr>
        <w:t>5.2</w:t>
      </w:r>
      <w:r w:rsidR="00F1314B">
        <w:rPr>
          <w:color w:val="auto"/>
        </w:rPr>
        <w:fldChar w:fldCharType="end"/>
      </w:r>
      <w:r w:rsidR="00F1314B">
        <w:rPr>
          <w:color w:val="auto"/>
        </w:rPr>
        <w:noBreakHyphen/>
      </w:r>
      <w:r w:rsidR="00F1314B">
        <w:rPr>
          <w:color w:val="auto"/>
        </w:rPr>
        <w:fldChar w:fldCharType="begin"/>
      </w:r>
      <w:r w:rsidR="00F1314B">
        <w:rPr>
          <w:color w:val="auto"/>
        </w:rPr>
        <w:instrText xml:space="preserve"> SEQ </w:instrText>
      </w:r>
      <w:r w:rsidR="00F1314B">
        <w:rPr>
          <w:color w:val="auto"/>
        </w:rPr>
        <w:instrText>图</w:instrText>
      </w:r>
      <w:r w:rsidR="00F1314B">
        <w:rPr>
          <w:color w:val="auto"/>
        </w:rPr>
        <w:instrText xml:space="preserve"> \* ARABIC \s 2 </w:instrText>
      </w:r>
      <w:r w:rsidR="00F1314B">
        <w:rPr>
          <w:color w:val="auto"/>
        </w:rPr>
        <w:fldChar w:fldCharType="separate"/>
      </w:r>
      <w:r w:rsidR="00F32CCA">
        <w:rPr>
          <w:noProof/>
          <w:color w:val="auto"/>
        </w:rPr>
        <w:t>3</w:t>
      </w:r>
      <w:r w:rsidR="00F1314B">
        <w:rPr>
          <w:color w:val="auto"/>
        </w:rPr>
        <w:fldChar w:fldCharType="end"/>
      </w:r>
      <w:r w:rsidRPr="000549B1">
        <w:rPr>
          <w:color w:val="auto"/>
        </w:rPr>
        <w:t>P=10%</w:t>
      </w:r>
      <w:r w:rsidRPr="000549B1">
        <w:rPr>
          <w:color w:val="auto"/>
        </w:rPr>
        <w:t>丰水年大河坝水库立面二维水温分布</w:t>
      </w:r>
    </w:p>
    <w:p w14:paraId="39A5FA82" w14:textId="77777777" w:rsidR="00054437" w:rsidRPr="000549B1" w:rsidRDefault="00000000">
      <w:pPr>
        <w:spacing w:line="500" w:lineRule="exact"/>
        <w:ind w:firstLineChars="200" w:firstLine="480"/>
        <w:rPr>
          <w:sz w:val="24"/>
          <w:szCs w:val="24"/>
        </w:rPr>
      </w:pPr>
      <w:r w:rsidRPr="000549B1">
        <w:rPr>
          <w:rFonts w:ascii="宋体" w:hAnsi="宋体" w:cs="宋体" w:hint="eastAsia"/>
          <w:sz w:val="24"/>
          <w:szCs w:val="24"/>
        </w:rPr>
        <w:t>②</w:t>
      </w:r>
      <w:r w:rsidRPr="000549B1">
        <w:rPr>
          <w:sz w:val="24"/>
          <w:szCs w:val="24"/>
        </w:rPr>
        <w:t>P=50%</w:t>
      </w:r>
      <w:r w:rsidRPr="000549B1">
        <w:rPr>
          <w:sz w:val="24"/>
          <w:szCs w:val="24"/>
        </w:rPr>
        <w:t>保证率</w:t>
      </w:r>
    </w:p>
    <w:p w14:paraId="2F881F46" w14:textId="77777777" w:rsidR="00054437" w:rsidRPr="000549B1" w:rsidRDefault="00000000">
      <w:pPr>
        <w:spacing w:line="500" w:lineRule="exact"/>
        <w:ind w:firstLineChars="200" w:firstLine="480"/>
        <w:rPr>
          <w:sz w:val="24"/>
          <w:szCs w:val="24"/>
        </w:rPr>
      </w:pPr>
      <w:r w:rsidRPr="000549B1">
        <w:rPr>
          <w:sz w:val="24"/>
          <w:szCs w:val="24"/>
        </w:rPr>
        <w:t>在来水保证率为</w:t>
      </w:r>
      <w:r w:rsidRPr="000549B1">
        <w:rPr>
          <w:sz w:val="24"/>
          <w:szCs w:val="24"/>
        </w:rPr>
        <w:t>50%</w:t>
      </w:r>
      <w:r w:rsidRPr="000549B1">
        <w:rPr>
          <w:sz w:val="24"/>
          <w:szCs w:val="24"/>
        </w:rPr>
        <w:t>时，大河坝水库库区坝前</w:t>
      </w:r>
      <w:r w:rsidRPr="000549B1">
        <w:rPr>
          <w:sz w:val="24"/>
          <w:szCs w:val="24"/>
        </w:rPr>
        <w:t>12</w:t>
      </w:r>
      <w:r w:rsidRPr="000549B1">
        <w:rPr>
          <w:sz w:val="24"/>
          <w:szCs w:val="24"/>
        </w:rPr>
        <w:t>～</w:t>
      </w:r>
      <w:r w:rsidRPr="000549B1">
        <w:rPr>
          <w:sz w:val="24"/>
          <w:szCs w:val="24"/>
        </w:rPr>
        <w:t>4</w:t>
      </w:r>
      <w:r w:rsidRPr="000549B1">
        <w:rPr>
          <w:sz w:val="24"/>
          <w:szCs w:val="24"/>
        </w:rPr>
        <w:t>月存在较强的逆温水温分层现象，</w:t>
      </w:r>
      <w:r w:rsidRPr="000549B1">
        <w:rPr>
          <w:sz w:val="24"/>
          <w:szCs w:val="24"/>
        </w:rPr>
        <w:t>5~6</w:t>
      </w:r>
      <w:r w:rsidRPr="000549B1">
        <w:rPr>
          <w:sz w:val="24"/>
          <w:szCs w:val="24"/>
        </w:rPr>
        <w:t>月及</w:t>
      </w:r>
      <w:r w:rsidRPr="000549B1">
        <w:rPr>
          <w:sz w:val="24"/>
          <w:szCs w:val="24"/>
        </w:rPr>
        <w:t>10~11</w:t>
      </w:r>
      <w:r w:rsidRPr="000549B1">
        <w:rPr>
          <w:sz w:val="24"/>
          <w:szCs w:val="24"/>
        </w:rPr>
        <w:t>月基本没分层，</w:t>
      </w:r>
      <w:r w:rsidRPr="000549B1">
        <w:rPr>
          <w:sz w:val="24"/>
          <w:szCs w:val="24"/>
        </w:rPr>
        <w:t>7~9</w:t>
      </w:r>
      <w:r w:rsidRPr="000549B1">
        <w:rPr>
          <w:sz w:val="24"/>
          <w:szCs w:val="24"/>
        </w:rPr>
        <w:t>月为坝前温度分层状态，总体表现为季节分层型水温结构。具体为：</w:t>
      </w:r>
      <w:r w:rsidRPr="000549B1">
        <w:rPr>
          <w:sz w:val="24"/>
          <w:szCs w:val="24"/>
        </w:rPr>
        <w:t>12</w:t>
      </w:r>
      <w:r w:rsidRPr="000549B1">
        <w:rPr>
          <w:sz w:val="24"/>
          <w:szCs w:val="24"/>
        </w:rPr>
        <w:t>月</w:t>
      </w:r>
      <w:r w:rsidRPr="000549B1">
        <w:rPr>
          <w:sz w:val="24"/>
          <w:szCs w:val="24"/>
        </w:rPr>
        <w:t>~4</w:t>
      </w:r>
      <w:r w:rsidRPr="000549B1">
        <w:rPr>
          <w:sz w:val="24"/>
          <w:szCs w:val="24"/>
        </w:rPr>
        <w:t>月库区水温逆温分布，</w:t>
      </w:r>
      <w:r w:rsidRPr="000549B1">
        <w:rPr>
          <w:sz w:val="24"/>
          <w:szCs w:val="24"/>
        </w:rPr>
        <w:t>5</w:t>
      </w:r>
      <w:r w:rsidRPr="000549B1">
        <w:rPr>
          <w:sz w:val="24"/>
          <w:szCs w:val="24"/>
        </w:rPr>
        <w:t>月开始随着时间推移温度逐渐升高，表面水温升高，表底温差逐步减小；</w:t>
      </w:r>
      <w:r w:rsidRPr="000549B1">
        <w:rPr>
          <w:sz w:val="24"/>
          <w:szCs w:val="24"/>
        </w:rPr>
        <w:t>7~9</w:t>
      </w:r>
      <w:r w:rsidRPr="000549B1">
        <w:rPr>
          <w:sz w:val="24"/>
          <w:szCs w:val="24"/>
        </w:rPr>
        <w:t>月中层靠近库表有温跃层。</w:t>
      </w:r>
      <w:r w:rsidRPr="000549B1">
        <w:rPr>
          <w:sz w:val="24"/>
          <w:szCs w:val="24"/>
        </w:rPr>
        <w:t>5~6</w:t>
      </w:r>
      <w:r w:rsidRPr="000549B1">
        <w:rPr>
          <w:sz w:val="24"/>
          <w:szCs w:val="24"/>
        </w:rPr>
        <w:t>月及</w:t>
      </w:r>
      <w:r w:rsidRPr="000549B1">
        <w:rPr>
          <w:sz w:val="24"/>
          <w:szCs w:val="24"/>
        </w:rPr>
        <w:t>10~11</w:t>
      </w:r>
      <w:r w:rsidRPr="000549B1">
        <w:rPr>
          <w:sz w:val="24"/>
          <w:szCs w:val="24"/>
        </w:rPr>
        <w:t>月基本无分层，坝前平均水温分别在</w:t>
      </w:r>
      <w:r w:rsidRPr="000549B1">
        <w:rPr>
          <w:sz w:val="24"/>
          <w:szCs w:val="24"/>
        </w:rPr>
        <w:t>0.8℃</w:t>
      </w:r>
      <w:r w:rsidRPr="000549B1">
        <w:rPr>
          <w:sz w:val="24"/>
          <w:szCs w:val="24"/>
        </w:rPr>
        <w:t>、</w:t>
      </w:r>
      <w:r w:rsidRPr="000549B1">
        <w:rPr>
          <w:sz w:val="24"/>
          <w:szCs w:val="24"/>
        </w:rPr>
        <w:t>1.8℃</w:t>
      </w:r>
      <w:r w:rsidRPr="000549B1">
        <w:rPr>
          <w:sz w:val="24"/>
          <w:szCs w:val="24"/>
        </w:rPr>
        <w:t>、</w:t>
      </w:r>
      <w:r w:rsidRPr="000549B1">
        <w:rPr>
          <w:sz w:val="24"/>
          <w:szCs w:val="24"/>
        </w:rPr>
        <w:t>9.4℃</w:t>
      </w:r>
      <w:r w:rsidRPr="000549B1">
        <w:rPr>
          <w:sz w:val="24"/>
          <w:szCs w:val="24"/>
        </w:rPr>
        <w:t>和</w:t>
      </w:r>
      <w:r w:rsidRPr="000549B1">
        <w:rPr>
          <w:sz w:val="24"/>
          <w:szCs w:val="24"/>
        </w:rPr>
        <w:t>5.2℃</w:t>
      </w:r>
      <w:r w:rsidRPr="000549B1">
        <w:rPr>
          <w:sz w:val="24"/>
          <w:szCs w:val="24"/>
        </w:rPr>
        <w:t>。</w:t>
      </w:r>
      <w:r w:rsidRPr="000549B1">
        <w:rPr>
          <w:sz w:val="24"/>
          <w:szCs w:val="24"/>
        </w:rPr>
        <w:t>9</w:t>
      </w:r>
      <w:r w:rsidRPr="000549B1">
        <w:rPr>
          <w:sz w:val="24"/>
          <w:szCs w:val="24"/>
        </w:rPr>
        <w:t>月库底水温为全年最高为</w:t>
      </w:r>
      <w:r w:rsidRPr="000549B1">
        <w:rPr>
          <w:sz w:val="24"/>
          <w:szCs w:val="24"/>
        </w:rPr>
        <w:t>11.6℃</w:t>
      </w:r>
      <w:r w:rsidRPr="000549B1">
        <w:rPr>
          <w:sz w:val="24"/>
          <w:szCs w:val="24"/>
        </w:rPr>
        <w:t>，</w:t>
      </w:r>
      <w:r w:rsidRPr="000549B1">
        <w:rPr>
          <w:sz w:val="24"/>
          <w:szCs w:val="24"/>
        </w:rPr>
        <w:t>1~3</w:t>
      </w:r>
      <w:r w:rsidRPr="000549B1">
        <w:rPr>
          <w:sz w:val="24"/>
          <w:szCs w:val="24"/>
        </w:rPr>
        <w:t>月表底温差最大为</w:t>
      </w:r>
      <w:r w:rsidRPr="000549B1">
        <w:rPr>
          <w:sz w:val="24"/>
          <w:szCs w:val="24"/>
        </w:rPr>
        <w:t>4℃</w:t>
      </w:r>
      <w:r w:rsidRPr="000549B1">
        <w:rPr>
          <w:sz w:val="24"/>
          <w:szCs w:val="24"/>
        </w:rPr>
        <w:t>。</w:t>
      </w:r>
    </w:p>
    <w:p w14:paraId="1424964D" w14:textId="699C75F6" w:rsidR="00054437" w:rsidRPr="000549B1" w:rsidRDefault="00000000">
      <w:pPr>
        <w:pStyle w:val="aff8"/>
        <w:rPr>
          <w:color w:val="auto"/>
        </w:rPr>
      </w:pPr>
      <w:r w:rsidRPr="000549B1">
        <w:rPr>
          <w:color w:val="auto"/>
        </w:rPr>
        <w:t>表</w:t>
      </w:r>
      <w:r w:rsidR="00372953">
        <w:rPr>
          <w:color w:val="auto"/>
        </w:rPr>
        <w:fldChar w:fldCharType="begin"/>
      </w:r>
      <w:r w:rsidR="00372953">
        <w:rPr>
          <w:color w:val="auto"/>
        </w:rPr>
        <w:instrText xml:space="preserve"> STYLEREF 2 \s </w:instrText>
      </w:r>
      <w:r w:rsidR="00372953">
        <w:rPr>
          <w:color w:val="auto"/>
        </w:rPr>
        <w:fldChar w:fldCharType="separate"/>
      </w:r>
      <w:r w:rsidR="00372953">
        <w:rPr>
          <w:noProof/>
          <w:color w:val="auto"/>
        </w:rPr>
        <w:t>5.2</w:t>
      </w:r>
      <w:r w:rsidR="00372953">
        <w:rPr>
          <w:color w:val="auto"/>
        </w:rPr>
        <w:fldChar w:fldCharType="end"/>
      </w:r>
      <w:r w:rsidR="00372953">
        <w:rPr>
          <w:color w:val="auto"/>
        </w:rPr>
        <w:noBreakHyphen/>
      </w:r>
      <w:r w:rsidR="00372953">
        <w:rPr>
          <w:color w:val="auto"/>
        </w:rPr>
        <w:fldChar w:fldCharType="begin"/>
      </w:r>
      <w:r w:rsidR="00372953">
        <w:rPr>
          <w:color w:val="auto"/>
        </w:rPr>
        <w:instrText xml:space="preserve"> SEQ </w:instrText>
      </w:r>
      <w:r w:rsidR="00372953">
        <w:rPr>
          <w:color w:val="auto"/>
        </w:rPr>
        <w:instrText>表</w:instrText>
      </w:r>
      <w:r w:rsidR="00372953">
        <w:rPr>
          <w:color w:val="auto"/>
        </w:rPr>
        <w:instrText xml:space="preserve"> \* ARABIC \s 2 </w:instrText>
      </w:r>
      <w:r w:rsidR="00372953">
        <w:rPr>
          <w:color w:val="auto"/>
        </w:rPr>
        <w:fldChar w:fldCharType="separate"/>
      </w:r>
      <w:r w:rsidR="00372953">
        <w:rPr>
          <w:noProof/>
          <w:color w:val="auto"/>
        </w:rPr>
        <w:t>2</w:t>
      </w:r>
      <w:r w:rsidR="00372953">
        <w:rPr>
          <w:color w:val="auto"/>
        </w:rPr>
        <w:fldChar w:fldCharType="end"/>
      </w:r>
      <w:r w:rsidRPr="000549B1">
        <w:rPr>
          <w:color w:val="auto"/>
        </w:rPr>
        <w:t>(P=50%)</w:t>
      </w:r>
      <w:r w:rsidRPr="000549B1">
        <w:rPr>
          <w:color w:val="auto"/>
        </w:rPr>
        <w:t>大河坝水库坝前月均表层、库底水温及温差单位：</w:t>
      </w:r>
      <w:r w:rsidRPr="000549B1">
        <w:rPr>
          <w:color w:val="auto"/>
        </w:rPr>
        <w:t>℃</w:t>
      </w:r>
    </w:p>
    <w:tbl>
      <w:tblPr>
        <w:tblW w:w="54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
        <w:gridCol w:w="670"/>
        <w:gridCol w:w="670"/>
        <w:gridCol w:w="672"/>
        <w:gridCol w:w="670"/>
        <w:gridCol w:w="670"/>
        <w:gridCol w:w="672"/>
        <w:gridCol w:w="670"/>
        <w:gridCol w:w="670"/>
        <w:gridCol w:w="672"/>
        <w:gridCol w:w="670"/>
        <w:gridCol w:w="670"/>
        <w:gridCol w:w="670"/>
      </w:tblGrid>
      <w:tr w:rsidR="000549B1" w:rsidRPr="000549B1" w14:paraId="2C059B24" w14:textId="77777777">
        <w:trPr>
          <w:cantSplit/>
          <w:trHeight w:val="18"/>
          <w:jc w:val="center"/>
        </w:trPr>
        <w:tc>
          <w:tcPr>
            <w:tcW w:w="544" w:type="pct"/>
            <w:vAlign w:val="center"/>
          </w:tcPr>
          <w:p w14:paraId="5AA6C197" w14:textId="77777777" w:rsidR="00054437" w:rsidRPr="000549B1" w:rsidRDefault="00000000">
            <w:pPr>
              <w:widowControl/>
              <w:snapToGrid w:val="0"/>
              <w:spacing w:line="0" w:lineRule="atLeast"/>
              <w:jc w:val="center"/>
              <w:rPr>
                <w:b/>
                <w:snapToGrid w:val="0"/>
                <w:spacing w:val="5"/>
                <w:sz w:val="18"/>
                <w:szCs w:val="18"/>
                <w:lang w:bidi="he-IL"/>
              </w:rPr>
            </w:pPr>
            <w:r w:rsidRPr="000549B1">
              <w:rPr>
                <w:b/>
                <w:snapToGrid w:val="0"/>
                <w:spacing w:val="5"/>
                <w:sz w:val="18"/>
                <w:szCs w:val="18"/>
                <w:lang w:bidi="he-IL"/>
              </w:rPr>
              <w:t>月份</w:t>
            </w:r>
          </w:p>
        </w:tc>
        <w:tc>
          <w:tcPr>
            <w:tcW w:w="371" w:type="pct"/>
            <w:vAlign w:val="center"/>
          </w:tcPr>
          <w:p w14:paraId="4A5DB1D8" w14:textId="77777777" w:rsidR="00054437" w:rsidRPr="000549B1" w:rsidRDefault="00000000">
            <w:pPr>
              <w:widowControl/>
              <w:snapToGrid w:val="0"/>
              <w:spacing w:line="0" w:lineRule="atLeast"/>
              <w:jc w:val="center"/>
              <w:rPr>
                <w:b/>
                <w:snapToGrid w:val="0"/>
                <w:spacing w:val="5"/>
                <w:sz w:val="18"/>
                <w:szCs w:val="18"/>
                <w:lang w:bidi="he-IL"/>
              </w:rPr>
            </w:pPr>
            <w:r w:rsidRPr="000549B1">
              <w:rPr>
                <w:b/>
                <w:snapToGrid w:val="0"/>
                <w:spacing w:val="5"/>
                <w:sz w:val="18"/>
                <w:szCs w:val="18"/>
                <w:lang w:bidi="he-IL"/>
              </w:rPr>
              <w:t>7</w:t>
            </w:r>
            <w:r w:rsidRPr="000549B1">
              <w:rPr>
                <w:b/>
                <w:snapToGrid w:val="0"/>
                <w:spacing w:val="5"/>
                <w:sz w:val="18"/>
                <w:szCs w:val="18"/>
                <w:lang w:bidi="he-IL"/>
              </w:rPr>
              <w:t>月</w:t>
            </w:r>
          </w:p>
        </w:tc>
        <w:tc>
          <w:tcPr>
            <w:tcW w:w="371" w:type="pct"/>
            <w:vAlign w:val="center"/>
          </w:tcPr>
          <w:p w14:paraId="077C8C34" w14:textId="77777777" w:rsidR="00054437" w:rsidRPr="000549B1" w:rsidRDefault="00000000">
            <w:pPr>
              <w:widowControl/>
              <w:snapToGrid w:val="0"/>
              <w:spacing w:line="0" w:lineRule="atLeast"/>
              <w:jc w:val="center"/>
              <w:rPr>
                <w:b/>
                <w:snapToGrid w:val="0"/>
                <w:spacing w:val="5"/>
                <w:sz w:val="18"/>
                <w:szCs w:val="18"/>
                <w:lang w:bidi="he-IL"/>
              </w:rPr>
            </w:pPr>
            <w:r w:rsidRPr="000549B1">
              <w:rPr>
                <w:b/>
                <w:snapToGrid w:val="0"/>
                <w:spacing w:val="5"/>
                <w:sz w:val="18"/>
                <w:szCs w:val="18"/>
                <w:lang w:bidi="he-IL"/>
              </w:rPr>
              <w:t>8</w:t>
            </w:r>
            <w:r w:rsidRPr="000549B1">
              <w:rPr>
                <w:b/>
                <w:snapToGrid w:val="0"/>
                <w:spacing w:val="5"/>
                <w:sz w:val="18"/>
                <w:szCs w:val="18"/>
                <w:lang w:bidi="he-IL"/>
              </w:rPr>
              <w:t>月</w:t>
            </w:r>
          </w:p>
        </w:tc>
        <w:tc>
          <w:tcPr>
            <w:tcW w:w="372" w:type="pct"/>
            <w:vAlign w:val="center"/>
          </w:tcPr>
          <w:p w14:paraId="501B6D79" w14:textId="77777777" w:rsidR="00054437" w:rsidRPr="000549B1" w:rsidRDefault="00000000">
            <w:pPr>
              <w:widowControl/>
              <w:snapToGrid w:val="0"/>
              <w:spacing w:line="0" w:lineRule="atLeast"/>
              <w:jc w:val="center"/>
              <w:rPr>
                <w:b/>
                <w:snapToGrid w:val="0"/>
                <w:spacing w:val="5"/>
                <w:sz w:val="18"/>
                <w:szCs w:val="18"/>
                <w:lang w:bidi="he-IL"/>
              </w:rPr>
            </w:pPr>
            <w:r w:rsidRPr="000549B1">
              <w:rPr>
                <w:b/>
                <w:snapToGrid w:val="0"/>
                <w:spacing w:val="5"/>
                <w:sz w:val="18"/>
                <w:szCs w:val="18"/>
                <w:lang w:bidi="he-IL"/>
              </w:rPr>
              <w:t>9</w:t>
            </w:r>
            <w:r w:rsidRPr="000549B1">
              <w:rPr>
                <w:b/>
                <w:snapToGrid w:val="0"/>
                <w:spacing w:val="5"/>
                <w:sz w:val="18"/>
                <w:szCs w:val="18"/>
                <w:lang w:bidi="he-IL"/>
              </w:rPr>
              <w:t>月</w:t>
            </w:r>
          </w:p>
        </w:tc>
        <w:tc>
          <w:tcPr>
            <w:tcW w:w="371" w:type="pct"/>
            <w:vAlign w:val="center"/>
          </w:tcPr>
          <w:p w14:paraId="474398D8" w14:textId="77777777" w:rsidR="00054437" w:rsidRPr="000549B1" w:rsidRDefault="00000000">
            <w:pPr>
              <w:widowControl/>
              <w:snapToGrid w:val="0"/>
              <w:spacing w:line="0" w:lineRule="atLeast"/>
              <w:jc w:val="center"/>
              <w:rPr>
                <w:b/>
                <w:snapToGrid w:val="0"/>
                <w:spacing w:val="5"/>
                <w:sz w:val="18"/>
                <w:szCs w:val="18"/>
                <w:lang w:bidi="he-IL"/>
              </w:rPr>
            </w:pPr>
            <w:r w:rsidRPr="000549B1">
              <w:rPr>
                <w:b/>
                <w:snapToGrid w:val="0"/>
                <w:spacing w:val="5"/>
                <w:sz w:val="18"/>
                <w:szCs w:val="18"/>
                <w:lang w:bidi="he-IL"/>
              </w:rPr>
              <w:t>10</w:t>
            </w:r>
            <w:r w:rsidRPr="000549B1">
              <w:rPr>
                <w:b/>
                <w:snapToGrid w:val="0"/>
                <w:spacing w:val="5"/>
                <w:sz w:val="18"/>
                <w:szCs w:val="18"/>
                <w:lang w:bidi="he-IL"/>
              </w:rPr>
              <w:t>月</w:t>
            </w:r>
          </w:p>
        </w:tc>
        <w:tc>
          <w:tcPr>
            <w:tcW w:w="371" w:type="pct"/>
            <w:vAlign w:val="center"/>
          </w:tcPr>
          <w:p w14:paraId="074B60CD" w14:textId="77777777" w:rsidR="00054437" w:rsidRPr="000549B1" w:rsidRDefault="00000000">
            <w:pPr>
              <w:widowControl/>
              <w:snapToGrid w:val="0"/>
              <w:spacing w:line="0" w:lineRule="atLeast"/>
              <w:jc w:val="center"/>
              <w:rPr>
                <w:b/>
                <w:snapToGrid w:val="0"/>
                <w:spacing w:val="5"/>
                <w:sz w:val="18"/>
                <w:szCs w:val="18"/>
                <w:lang w:bidi="he-IL"/>
              </w:rPr>
            </w:pPr>
            <w:r w:rsidRPr="000549B1">
              <w:rPr>
                <w:b/>
                <w:snapToGrid w:val="0"/>
                <w:spacing w:val="5"/>
                <w:sz w:val="18"/>
                <w:szCs w:val="18"/>
                <w:lang w:bidi="he-IL"/>
              </w:rPr>
              <w:t>11</w:t>
            </w:r>
            <w:r w:rsidRPr="000549B1">
              <w:rPr>
                <w:b/>
                <w:snapToGrid w:val="0"/>
                <w:spacing w:val="5"/>
                <w:sz w:val="18"/>
                <w:szCs w:val="18"/>
                <w:lang w:bidi="he-IL"/>
              </w:rPr>
              <w:t>月</w:t>
            </w:r>
          </w:p>
        </w:tc>
        <w:tc>
          <w:tcPr>
            <w:tcW w:w="372" w:type="pct"/>
            <w:vAlign w:val="center"/>
          </w:tcPr>
          <w:p w14:paraId="71CD5324" w14:textId="77777777" w:rsidR="00054437" w:rsidRPr="000549B1" w:rsidRDefault="00000000">
            <w:pPr>
              <w:widowControl/>
              <w:snapToGrid w:val="0"/>
              <w:spacing w:line="0" w:lineRule="atLeast"/>
              <w:jc w:val="center"/>
              <w:rPr>
                <w:b/>
                <w:snapToGrid w:val="0"/>
                <w:spacing w:val="5"/>
                <w:sz w:val="18"/>
                <w:szCs w:val="18"/>
                <w:lang w:bidi="he-IL"/>
              </w:rPr>
            </w:pPr>
            <w:r w:rsidRPr="000549B1">
              <w:rPr>
                <w:b/>
                <w:snapToGrid w:val="0"/>
                <w:spacing w:val="5"/>
                <w:sz w:val="18"/>
                <w:szCs w:val="18"/>
                <w:lang w:bidi="he-IL"/>
              </w:rPr>
              <w:t>12</w:t>
            </w:r>
            <w:r w:rsidRPr="000549B1">
              <w:rPr>
                <w:b/>
                <w:snapToGrid w:val="0"/>
                <w:spacing w:val="5"/>
                <w:sz w:val="18"/>
                <w:szCs w:val="18"/>
                <w:lang w:bidi="he-IL"/>
              </w:rPr>
              <w:t>月</w:t>
            </w:r>
          </w:p>
        </w:tc>
        <w:tc>
          <w:tcPr>
            <w:tcW w:w="371" w:type="pct"/>
            <w:vAlign w:val="center"/>
          </w:tcPr>
          <w:p w14:paraId="6CFB6E88" w14:textId="77777777" w:rsidR="00054437" w:rsidRPr="000549B1" w:rsidRDefault="00000000">
            <w:pPr>
              <w:widowControl/>
              <w:snapToGrid w:val="0"/>
              <w:spacing w:line="0" w:lineRule="atLeast"/>
              <w:jc w:val="center"/>
              <w:rPr>
                <w:b/>
                <w:snapToGrid w:val="0"/>
                <w:spacing w:val="5"/>
                <w:sz w:val="18"/>
                <w:szCs w:val="18"/>
                <w:lang w:bidi="he-IL"/>
              </w:rPr>
            </w:pPr>
            <w:r w:rsidRPr="000549B1">
              <w:rPr>
                <w:b/>
                <w:snapToGrid w:val="0"/>
                <w:spacing w:val="5"/>
                <w:sz w:val="18"/>
                <w:szCs w:val="18"/>
                <w:lang w:bidi="he-IL"/>
              </w:rPr>
              <w:t>1</w:t>
            </w:r>
            <w:r w:rsidRPr="000549B1">
              <w:rPr>
                <w:b/>
                <w:snapToGrid w:val="0"/>
                <w:spacing w:val="5"/>
                <w:sz w:val="18"/>
                <w:szCs w:val="18"/>
                <w:lang w:bidi="he-IL"/>
              </w:rPr>
              <w:t>月</w:t>
            </w:r>
          </w:p>
        </w:tc>
        <w:tc>
          <w:tcPr>
            <w:tcW w:w="371" w:type="pct"/>
            <w:vAlign w:val="center"/>
          </w:tcPr>
          <w:p w14:paraId="04CC4B53" w14:textId="77777777" w:rsidR="00054437" w:rsidRPr="000549B1" w:rsidRDefault="00000000">
            <w:pPr>
              <w:widowControl/>
              <w:snapToGrid w:val="0"/>
              <w:spacing w:line="0" w:lineRule="atLeast"/>
              <w:jc w:val="center"/>
              <w:rPr>
                <w:b/>
                <w:snapToGrid w:val="0"/>
                <w:spacing w:val="5"/>
                <w:sz w:val="18"/>
                <w:szCs w:val="18"/>
                <w:lang w:bidi="he-IL"/>
              </w:rPr>
            </w:pPr>
            <w:r w:rsidRPr="000549B1">
              <w:rPr>
                <w:b/>
                <w:snapToGrid w:val="0"/>
                <w:spacing w:val="5"/>
                <w:sz w:val="18"/>
                <w:szCs w:val="18"/>
                <w:lang w:bidi="he-IL"/>
              </w:rPr>
              <w:t>2</w:t>
            </w:r>
            <w:r w:rsidRPr="000549B1">
              <w:rPr>
                <w:b/>
                <w:snapToGrid w:val="0"/>
                <w:spacing w:val="5"/>
                <w:sz w:val="18"/>
                <w:szCs w:val="18"/>
                <w:lang w:bidi="he-IL"/>
              </w:rPr>
              <w:t>月</w:t>
            </w:r>
          </w:p>
        </w:tc>
        <w:tc>
          <w:tcPr>
            <w:tcW w:w="372" w:type="pct"/>
            <w:vAlign w:val="center"/>
          </w:tcPr>
          <w:p w14:paraId="2C7262A1" w14:textId="77777777" w:rsidR="00054437" w:rsidRPr="000549B1" w:rsidRDefault="00000000">
            <w:pPr>
              <w:widowControl/>
              <w:snapToGrid w:val="0"/>
              <w:spacing w:line="0" w:lineRule="atLeast"/>
              <w:jc w:val="center"/>
              <w:rPr>
                <w:b/>
                <w:snapToGrid w:val="0"/>
                <w:spacing w:val="5"/>
                <w:sz w:val="18"/>
                <w:szCs w:val="18"/>
                <w:lang w:bidi="he-IL"/>
              </w:rPr>
            </w:pPr>
            <w:r w:rsidRPr="000549B1">
              <w:rPr>
                <w:b/>
                <w:snapToGrid w:val="0"/>
                <w:spacing w:val="5"/>
                <w:sz w:val="18"/>
                <w:szCs w:val="18"/>
                <w:lang w:bidi="he-IL"/>
              </w:rPr>
              <w:t>3</w:t>
            </w:r>
            <w:r w:rsidRPr="000549B1">
              <w:rPr>
                <w:b/>
                <w:snapToGrid w:val="0"/>
                <w:spacing w:val="5"/>
                <w:sz w:val="18"/>
                <w:szCs w:val="18"/>
                <w:lang w:bidi="he-IL"/>
              </w:rPr>
              <w:t>月</w:t>
            </w:r>
          </w:p>
        </w:tc>
        <w:tc>
          <w:tcPr>
            <w:tcW w:w="371" w:type="pct"/>
            <w:vAlign w:val="center"/>
          </w:tcPr>
          <w:p w14:paraId="3B3E8C29" w14:textId="77777777" w:rsidR="00054437" w:rsidRPr="000549B1" w:rsidRDefault="00000000">
            <w:pPr>
              <w:widowControl/>
              <w:snapToGrid w:val="0"/>
              <w:spacing w:line="0" w:lineRule="atLeast"/>
              <w:jc w:val="center"/>
              <w:rPr>
                <w:b/>
                <w:snapToGrid w:val="0"/>
                <w:spacing w:val="5"/>
                <w:sz w:val="18"/>
                <w:szCs w:val="18"/>
                <w:lang w:bidi="he-IL"/>
              </w:rPr>
            </w:pPr>
            <w:r w:rsidRPr="000549B1">
              <w:rPr>
                <w:b/>
                <w:snapToGrid w:val="0"/>
                <w:spacing w:val="5"/>
                <w:sz w:val="18"/>
                <w:szCs w:val="18"/>
                <w:lang w:bidi="he-IL"/>
              </w:rPr>
              <w:t>4</w:t>
            </w:r>
            <w:r w:rsidRPr="000549B1">
              <w:rPr>
                <w:b/>
                <w:snapToGrid w:val="0"/>
                <w:spacing w:val="5"/>
                <w:sz w:val="18"/>
                <w:szCs w:val="18"/>
                <w:lang w:bidi="he-IL"/>
              </w:rPr>
              <w:t>月</w:t>
            </w:r>
          </w:p>
        </w:tc>
        <w:tc>
          <w:tcPr>
            <w:tcW w:w="371" w:type="pct"/>
            <w:vAlign w:val="center"/>
          </w:tcPr>
          <w:p w14:paraId="6993DA48" w14:textId="77777777" w:rsidR="00054437" w:rsidRPr="000549B1" w:rsidRDefault="00000000">
            <w:pPr>
              <w:widowControl/>
              <w:snapToGrid w:val="0"/>
              <w:spacing w:line="0" w:lineRule="atLeast"/>
              <w:jc w:val="center"/>
              <w:rPr>
                <w:b/>
                <w:snapToGrid w:val="0"/>
                <w:spacing w:val="5"/>
                <w:sz w:val="18"/>
                <w:szCs w:val="18"/>
                <w:lang w:bidi="he-IL"/>
              </w:rPr>
            </w:pPr>
            <w:r w:rsidRPr="000549B1">
              <w:rPr>
                <w:b/>
                <w:snapToGrid w:val="0"/>
                <w:spacing w:val="5"/>
                <w:sz w:val="18"/>
                <w:szCs w:val="18"/>
                <w:lang w:bidi="he-IL"/>
              </w:rPr>
              <w:t>5</w:t>
            </w:r>
            <w:r w:rsidRPr="000549B1">
              <w:rPr>
                <w:b/>
                <w:snapToGrid w:val="0"/>
                <w:spacing w:val="5"/>
                <w:sz w:val="18"/>
                <w:szCs w:val="18"/>
                <w:lang w:bidi="he-IL"/>
              </w:rPr>
              <w:t>月</w:t>
            </w:r>
          </w:p>
        </w:tc>
        <w:tc>
          <w:tcPr>
            <w:tcW w:w="371" w:type="pct"/>
            <w:vAlign w:val="center"/>
          </w:tcPr>
          <w:p w14:paraId="6829F0BE" w14:textId="77777777" w:rsidR="00054437" w:rsidRPr="000549B1" w:rsidRDefault="00000000">
            <w:pPr>
              <w:widowControl/>
              <w:snapToGrid w:val="0"/>
              <w:spacing w:line="0" w:lineRule="atLeast"/>
              <w:jc w:val="center"/>
              <w:rPr>
                <w:b/>
                <w:snapToGrid w:val="0"/>
                <w:spacing w:val="5"/>
                <w:sz w:val="18"/>
                <w:szCs w:val="18"/>
                <w:lang w:bidi="he-IL"/>
              </w:rPr>
            </w:pPr>
            <w:r w:rsidRPr="000549B1">
              <w:rPr>
                <w:b/>
                <w:snapToGrid w:val="0"/>
                <w:spacing w:val="5"/>
                <w:sz w:val="18"/>
                <w:szCs w:val="18"/>
                <w:lang w:bidi="he-IL"/>
              </w:rPr>
              <w:t>6</w:t>
            </w:r>
            <w:r w:rsidRPr="000549B1">
              <w:rPr>
                <w:b/>
                <w:snapToGrid w:val="0"/>
                <w:spacing w:val="5"/>
                <w:sz w:val="18"/>
                <w:szCs w:val="18"/>
                <w:lang w:bidi="he-IL"/>
              </w:rPr>
              <w:t>月</w:t>
            </w:r>
          </w:p>
        </w:tc>
      </w:tr>
      <w:tr w:rsidR="000549B1" w:rsidRPr="000549B1" w14:paraId="7ABA37B0" w14:textId="77777777">
        <w:trPr>
          <w:cantSplit/>
          <w:trHeight w:val="18"/>
          <w:jc w:val="center"/>
        </w:trPr>
        <w:tc>
          <w:tcPr>
            <w:tcW w:w="544" w:type="pct"/>
            <w:vAlign w:val="center"/>
          </w:tcPr>
          <w:p w14:paraId="6E1D800E"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库表水温</w:t>
            </w:r>
          </w:p>
        </w:tc>
        <w:tc>
          <w:tcPr>
            <w:tcW w:w="371" w:type="pct"/>
            <w:vAlign w:val="center"/>
          </w:tcPr>
          <w:p w14:paraId="7CC679F7"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13.6</w:t>
            </w:r>
          </w:p>
        </w:tc>
        <w:tc>
          <w:tcPr>
            <w:tcW w:w="371" w:type="pct"/>
            <w:vAlign w:val="center"/>
          </w:tcPr>
          <w:p w14:paraId="6541F3B0"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12.6</w:t>
            </w:r>
          </w:p>
        </w:tc>
        <w:tc>
          <w:tcPr>
            <w:tcW w:w="372" w:type="pct"/>
            <w:vAlign w:val="center"/>
          </w:tcPr>
          <w:p w14:paraId="2E2E83A0"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13</w:t>
            </w:r>
          </w:p>
        </w:tc>
        <w:tc>
          <w:tcPr>
            <w:tcW w:w="371" w:type="pct"/>
            <w:vAlign w:val="center"/>
          </w:tcPr>
          <w:p w14:paraId="497C5F0D"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9.5</w:t>
            </w:r>
          </w:p>
        </w:tc>
        <w:tc>
          <w:tcPr>
            <w:tcW w:w="371" w:type="pct"/>
            <w:vAlign w:val="center"/>
          </w:tcPr>
          <w:p w14:paraId="43574BF7"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5.2</w:t>
            </w:r>
          </w:p>
        </w:tc>
        <w:tc>
          <w:tcPr>
            <w:tcW w:w="372" w:type="pct"/>
            <w:vAlign w:val="center"/>
          </w:tcPr>
          <w:p w14:paraId="070A1F32"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0.2</w:t>
            </w:r>
          </w:p>
        </w:tc>
        <w:tc>
          <w:tcPr>
            <w:tcW w:w="371" w:type="pct"/>
            <w:vAlign w:val="center"/>
          </w:tcPr>
          <w:p w14:paraId="2A5B7A30"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0.1</w:t>
            </w:r>
          </w:p>
        </w:tc>
        <w:tc>
          <w:tcPr>
            <w:tcW w:w="371" w:type="pct"/>
            <w:vAlign w:val="center"/>
          </w:tcPr>
          <w:p w14:paraId="126B3FAF"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0</w:t>
            </w:r>
          </w:p>
        </w:tc>
        <w:tc>
          <w:tcPr>
            <w:tcW w:w="372" w:type="pct"/>
            <w:vAlign w:val="center"/>
          </w:tcPr>
          <w:p w14:paraId="3776D18D"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0.1</w:t>
            </w:r>
          </w:p>
        </w:tc>
        <w:tc>
          <w:tcPr>
            <w:tcW w:w="371" w:type="pct"/>
            <w:vAlign w:val="center"/>
          </w:tcPr>
          <w:p w14:paraId="6451D1CE"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0.2</w:t>
            </w:r>
          </w:p>
        </w:tc>
        <w:tc>
          <w:tcPr>
            <w:tcW w:w="371" w:type="pct"/>
            <w:vAlign w:val="center"/>
          </w:tcPr>
          <w:p w14:paraId="31EAC5E5"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0.6</w:t>
            </w:r>
          </w:p>
        </w:tc>
        <w:tc>
          <w:tcPr>
            <w:tcW w:w="371" w:type="pct"/>
            <w:vAlign w:val="center"/>
          </w:tcPr>
          <w:p w14:paraId="16B6B7EA"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1.7</w:t>
            </w:r>
          </w:p>
        </w:tc>
      </w:tr>
      <w:tr w:rsidR="000549B1" w:rsidRPr="000549B1" w14:paraId="50EFF568" w14:textId="77777777">
        <w:trPr>
          <w:cantSplit/>
          <w:trHeight w:val="18"/>
          <w:jc w:val="center"/>
        </w:trPr>
        <w:tc>
          <w:tcPr>
            <w:tcW w:w="544" w:type="pct"/>
            <w:vAlign w:val="center"/>
          </w:tcPr>
          <w:p w14:paraId="54F7572B"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库底水温</w:t>
            </w:r>
          </w:p>
        </w:tc>
        <w:tc>
          <w:tcPr>
            <w:tcW w:w="371" w:type="pct"/>
            <w:vAlign w:val="center"/>
          </w:tcPr>
          <w:p w14:paraId="2FD7ECC1"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10.9</w:t>
            </w:r>
          </w:p>
        </w:tc>
        <w:tc>
          <w:tcPr>
            <w:tcW w:w="371" w:type="pct"/>
            <w:vAlign w:val="center"/>
          </w:tcPr>
          <w:p w14:paraId="09A283AE"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11.5</w:t>
            </w:r>
          </w:p>
        </w:tc>
        <w:tc>
          <w:tcPr>
            <w:tcW w:w="372" w:type="pct"/>
            <w:vAlign w:val="center"/>
          </w:tcPr>
          <w:p w14:paraId="3AA25C57"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11.6</w:t>
            </w:r>
          </w:p>
        </w:tc>
        <w:tc>
          <w:tcPr>
            <w:tcW w:w="371" w:type="pct"/>
            <w:vAlign w:val="center"/>
          </w:tcPr>
          <w:p w14:paraId="01BD3CF1"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9.4</w:t>
            </w:r>
          </w:p>
        </w:tc>
        <w:tc>
          <w:tcPr>
            <w:tcW w:w="371" w:type="pct"/>
            <w:vAlign w:val="center"/>
          </w:tcPr>
          <w:p w14:paraId="53D79A07"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5.2</w:t>
            </w:r>
          </w:p>
        </w:tc>
        <w:tc>
          <w:tcPr>
            <w:tcW w:w="372" w:type="pct"/>
            <w:vAlign w:val="center"/>
          </w:tcPr>
          <w:p w14:paraId="113CEC65"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4</w:t>
            </w:r>
          </w:p>
        </w:tc>
        <w:tc>
          <w:tcPr>
            <w:tcW w:w="371" w:type="pct"/>
            <w:vAlign w:val="center"/>
          </w:tcPr>
          <w:p w14:paraId="69458DBF"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4</w:t>
            </w:r>
          </w:p>
        </w:tc>
        <w:tc>
          <w:tcPr>
            <w:tcW w:w="371" w:type="pct"/>
            <w:vAlign w:val="center"/>
          </w:tcPr>
          <w:p w14:paraId="2C5BB4ED"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4</w:t>
            </w:r>
          </w:p>
        </w:tc>
        <w:tc>
          <w:tcPr>
            <w:tcW w:w="372" w:type="pct"/>
            <w:vAlign w:val="center"/>
          </w:tcPr>
          <w:p w14:paraId="5538A816"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4</w:t>
            </w:r>
          </w:p>
        </w:tc>
        <w:tc>
          <w:tcPr>
            <w:tcW w:w="371" w:type="pct"/>
            <w:vAlign w:val="center"/>
          </w:tcPr>
          <w:p w14:paraId="79953279"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4</w:t>
            </w:r>
          </w:p>
        </w:tc>
        <w:tc>
          <w:tcPr>
            <w:tcW w:w="371" w:type="pct"/>
            <w:vAlign w:val="center"/>
          </w:tcPr>
          <w:p w14:paraId="6BBE4E08"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1.2</w:t>
            </w:r>
          </w:p>
        </w:tc>
        <w:tc>
          <w:tcPr>
            <w:tcW w:w="371" w:type="pct"/>
            <w:vAlign w:val="center"/>
          </w:tcPr>
          <w:p w14:paraId="7EC46F54"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2</w:t>
            </w:r>
          </w:p>
        </w:tc>
      </w:tr>
      <w:tr w:rsidR="000549B1" w:rsidRPr="000549B1" w14:paraId="06BDF6DB" w14:textId="77777777">
        <w:trPr>
          <w:cantSplit/>
          <w:trHeight w:val="18"/>
          <w:jc w:val="center"/>
        </w:trPr>
        <w:tc>
          <w:tcPr>
            <w:tcW w:w="544" w:type="pct"/>
            <w:vAlign w:val="center"/>
          </w:tcPr>
          <w:p w14:paraId="20A6756B"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表底温差</w:t>
            </w:r>
          </w:p>
        </w:tc>
        <w:tc>
          <w:tcPr>
            <w:tcW w:w="371" w:type="pct"/>
            <w:vAlign w:val="center"/>
          </w:tcPr>
          <w:p w14:paraId="2CF34D28"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2.6</w:t>
            </w:r>
          </w:p>
        </w:tc>
        <w:tc>
          <w:tcPr>
            <w:tcW w:w="371" w:type="pct"/>
            <w:vAlign w:val="center"/>
          </w:tcPr>
          <w:p w14:paraId="0CE3D5B8"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1.1</w:t>
            </w:r>
          </w:p>
        </w:tc>
        <w:tc>
          <w:tcPr>
            <w:tcW w:w="372" w:type="pct"/>
            <w:vAlign w:val="center"/>
          </w:tcPr>
          <w:p w14:paraId="1B8AB3AF"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1.4</w:t>
            </w:r>
          </w:p>
        </w:tc>
        <w:tc>
          <w:tcPr>
            <w:tcW w:w="371" w:type="pct"/>
            <w:vAlign w:val="center"/>
          </w:tcPr>
          <w:p w14:paraId="331C1120"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0.1</w:t>
            </w:r>
          </w:p>
        </w:tc>
        <w:tc>
          <w:tcPr>
            <w:tcW w:w="371" w:type="pct"/>
            <w:vAlign w:val="center"/>
          </w:tcPr>
          <w:p w14:paraId="56C9B637"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0</w:t>
            </w:r>
          </w:p>
        </w:tc>
        <w:tc>
          <w:tcPr>
            <w:tcW w:w="372" w:type="pct"/>
            <w:vAlign w:val="center"/>
          </w:tcPr>
          <w:p w14:paraId="136041A9"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-3.8</w:t>
            </w:r>
          </w:p>
        </w:tc>
        <w:tc>
          <w:tcPr>
            <w:tcW w:w="371" w:type="pct"/>
            <w:vAlign w:val="center"/>
          </w:tcPr>
          <w:p w14:paraId="6EC3B686"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-4</w:t>
            </w:r>
          </w:p>
        </w:tc>
        <w:tc>
          <w:tcPr>
            <w:tcW w:w="371" w:type="pct"/>
            <w:vAlign w:val="center"/>
          </w:tcPr>
          <w:p w14:paraId="653E337B"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-4</w:t>
            </w:r>
          </w:p>
        </w:tc>
        <w:tc>
          <w:tcPr>
            <w:tcW w:w="372" w:type="pct"/>
            <w:vAlign w:val="center"/>
          </w:tcPr>
          <w:p w14:paraId="1E49D8D1"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-4</w:t>
            </w:r>
          </w:p>
        </w:tc>
        <w:tc>
          <w:tcPr>
            <w:tcW w:w="371" w:type="pct"/>
            <w:vAlign w:val="center"/>
          </w:tcPr>
          <w:p w14:paraId="120F8951"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-3.8</w:t>
            </w:r>
          </w:p>
        </w:tc>
        <w:tc>
          <w:tcPr>
            <w:tcW w:w="371" w:type="pct"/>
            <w:vAlign w:val="center"/>
          </w:tcPr>
          <w:p w14:paraId="7913B586"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-0.6</w:t>
            </w:r>
          </w:p>
        </w:tc>
        <w:tc>
          <w:tcPr>
            <w:tcW w:w="371" w:type="pct"/>
            <w:vAlign w:val="center"/>
          </w:tcPr>
          <w:p w14:paraId="0427D25D"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-0.3</w:t>
            </w:r>
          </w:p>
        </w:tc>
      </w:tr>
      <w:tr w:rsidR="000549B1" w:rsidRPr="000549B1" w14:paraId="53CDCA30" w14:textId="77777777">
        <w:trPr>
          <w:cantSplit/>
          <w:trHeight w:val="18"/>
          <w:jc w:val="center"/>
        </w:trPr>
        <w:tc>
          <w:tcPr>
            <w:tcW w:w="544" w:type="pct"/>
            <w:vAlign w:val="center"/>
          </w:tcPr>
          <w:p w14:paraId="40B3E475"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垂向平均</w:t>
            </w:r>
          </w:p>
        </w:tc>
        <w:tc>
          <w:tcPr>
            <w:tcW w:w="371" w:type="pct"/>
            <w:vAlign w:val="center"/>
          </w:tcPr>
          <w:p w14:paraId="50503F7C"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12.3</w:t>
            </w:r>
          </w:p>
        </w:tc>
        <w:tc>
          <w:tcPr>
            <w:tcW w:w="371" w:type="pct"/>
            <w:vAlign w:val="center"/>
          </w:tcPr>
          <w:p w14:paraId="31A04FDD"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11.8</w:t>
            </w:r>
          </w:p>
        </w:tc>
        <w:tc>
          <w:tcPr>
            <w:tcW w:w="372" w:type="pct"/>
            <w:vAlign w:val="center"/>
          </w:tcPr>
          <w:p w14:paraId="6E24A6A0"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12</w:t>
            </w:r>
          </w:p>
        </w:tc>
        <w:tc>
          <w:tcPr>
            <w:tcW w:w="371" w:type="pct"/>
            <w:vAlign w:val="center"/>
          </w:tcPr>
          <w:p w14:paraId="0F19440F"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9.4</w:t>
            </w:r>
          </w:p>
        </w:tc>
        <w:tc>
          <w:tcPr>
            <w:tcW w:w="371" w:type="pct"/>
            <w:vAlign w:val="center"/>
          </w:tcPr>
          <w:p w14:paraId="5754B7B5"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5.2</w:t>
            </w:r>
          </w:p>
        </w:tc>
        <w:tc>
          <w:tcPr>
            <w:tcW w:w="372" w:type="pct"/>
            <w:vAlign w:val="center"/>
          </w:tcPr>
          <w:p w14:paraId="681886CC"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3.4</w:t>
            </w:r>
          </w:p>
        </w:tc>
        <w:tc>
          <w:tcPr>
            <w:tcW w:w="371" w:type="pct"/>
            <w:vAlign w:val="center"/>
          </w:tcPr>
          <w:p w14:paraId="0FF83D78"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3.3</w:t>
            </w:r>
          </w:p>
        </w:tc>
        <w:tc>
          <w:tcPr>
            <w:tcW w:w="371" w:type="pct"/>
            <w:vAlign w:val="center"/>
          </w:tcPr>
          <w:p w14:paraId="415AD3A6"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2.3</w:t>
            </w:r>
          </w:p>
        </w:tc>
        <w:tc>
          <w:tcPr>
            <w:tcW w:w="372" w:type="pct"/>
            <w:vAlign w:val="center"/>
          </w:tcPr>
          <w:p w14:paraId="547663D7"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2.2</w:t>
            </w:r>
          </w:p>
        </w:tc>
        <w:tc>
          <w:tcPr>
            <w:tcW w:w="371" w:type="pct"/>
            <w:vAlign w:val="center"/>
          </w:tcPr>
          <w:p w14:paraId="5CE11575"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0.6</w:t>
            </w:r>
          </w:p>
        </w:tc>
        <w:tc>
          <w:tcPr>
            <w:tcW w:w="371" w:type="pct"/>
            <w:vAlign w:val="center"/>
          </w:tcPr>
          <w:p w14:paraId="420107FD"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0.8</w:t>
            </w:r>
          </w:p>
        </w:tc>
        <w:tc>
          <w:tcPr>
            <w:tcW w:w="371" w:type="pct"/>
            <w:vAlign w:val="center"/>
          </w:tcPr>
          <w:p w14:paraId="3C9C509F"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1.8</w:t>
            </w:r>
          </w:p>
        </w:tc>
      </w:tr>
    </w:tbl>
    <w:p w14:paraId="18D278E5" w14:textId="77777777" w:rsidR="00054437" w:rsidRPr="000549B1" w:rsidRDefault="00000000">
      <w:pPr>
        <w:spacing w:line="360" w:lineRule="auto"/>
        <w:jc w:val="center"/>
        <w:rPr>
          <w:rFonts w:eastAsia="黑体"/>
          <w:szCs w:val="21"/>
        </w:rPr>
      </w:pPr>
      <w:r w:rsidRPr="000549B1">
        <w:object w:dxaOrig="4912" w:dyaOrig="4812" w14:anchorId="19EEEB5B">
          <v:shape id="_x0000_i1051" type="#_x0000_t75" style="width:245.65pt;height:240.75pt" o:ole="">
            <v:imagedata r:id="rId263" o:title="" croptop="14796f" cropbottom="9729f" cropleft="6379f" cropright="7477f"/>
          </v:shape>
          <o:OLEObject Type="Embed" ProgID="Origin95.Graph" ShapeID="_x0000_i1051" DrawAspect="Content" ObjectID="_1828270455" r:id="rId264"/>
        </w:object>
      </w:r>
    </w:p>
    <w:p w14:paraId="5D749A6B" w14:textId="0234B3AA" w:rsidR="00054437" w:rsidRPr="000549B1" w:rsidRDefault="00000000">
      <w:pPr>
        <w:pStyle w:val="aff8"/>
        <w:rPr>
          <w:bCs/>
          <w:color w:val="auto"/>
        </w:rPr>
      </w:pPr>
      <w:r w:rsidRPr="000549B1">
        <w:rPr>
          <w:color w:val="auto"/>
        </w:rPr>
        <w:t>图</w:t>
      </w:r>
      <w:r w:rsidR="00F1314B">
        <w:rPr>
          <w:color w:val="auto"/>
        </w:rPr>
        <w:fldChar w:fldCharType="begin"/>
      </w:r>
      <w:r w:rsidR="00F1314B">
        <w:rPr>
          <w:color w:val="auto"/>
        </w:rPr>
        <w:instrText xml:space="preserve"> STYLEREF 2 \s </w:instrText>
      </w:r>
      <w:r w:rsidR="00F1314B">
        <w:rPr>
          <w:color w:val="auto"/>
        </w:rPr>
        <w:fldChar w:fldCharType="separate"/>
      </w:r>
      <w:r w:rsidR="00F32CCA">
        <w:rPr>
          <w:noProof/>
          <w:color w:val="auto"/>
        </w:rPr>
        <w:t>5.2</w:t>
      </w:r>
      <w:r w:rsidR="00F1314B">
        <w:rPr>
          <w:color w:val="auto"/>
        </w:rPr>
        <w:fldChar w:fldCharType="end"/>
      </w:r>
      <w:r w:rsidR="00F1314B">
        <w:rPr>
          <w:color w:val="auto"/>
        </w:rPr>
        <w:noBreakHyphen/>
      </w:r>
      <w:r w:rsidR="00F1314B">
        <w:rPr>
          <w:color w:val="auto"/>
        </w:rPr>
        <w:fldChar w:fldCharType="begin"/>
      </w:r>
      <w:r w:rsidR="00F1314B">
        <w:rPr>
          <w:color w:val="auto"/>
        </w:rPr>
        <w:instrText xml:space="preserve"> SEQ </w:instrText>
      </w:r>
      <w:r w:rsidR="00F1314B">
        <w:rPr>
          <w:color w:val="auto"/>
        </w:rPr>
        <w:instrText>图</w:instrText>
      </w:r>
      <w:r w:rsidR="00F1314B">
        <w:rPr>
          <w:color w:val="auto"/>
        </w:rPr>
        <w:instrText xml:space="preserve"> \* ARABIC \s 2 </w:instrText>
      </w:r>
      <w:r w:rsidR="00F1314B">
        <w:rPr>
          <w:color w:val="auto"/>
        </w:rPr>
        <w:fldChar w:fldCharType="separate"/>
      </w:r>
      <w:r w:rsidR="00F32CCA">
        <w:rPr>
          <w:noProof/>
          <w:color w:val="auto"/>
        </w:rPr>
        <w:t>4</w:t>
      </w:r>
      <w:r w:rsidR="00F1314B">
        <w:rPr>
          <w:color w:val="auto"/>
        </w:rPr>
        <w:fldChar w:fldCharType="end"/>
      </w:r>
      <w:r w:rsidRPr="000549B1">
        <w:rPr>
          <w:bCs/>
          <w:color w:val="auto"/>
        </w:rPr>
        <w:t>P=50%</w:t>
      </w:r>
      <w:r w:rsidRPr="000549B1">
        <w:rPr>
          <w:bCs/>
          <w:color w:val="auto"/>
        </w:rPr>
        <w:t>来水条件下大河坝水库坝前垂向水温分布</w:t>
      </w:r>
    </w:p>
    <w:p w14:paraId="5D54E1AC" w14:textId="77777777" w:rsidR="00054437" w:rsidRPr="000549B1" w:rsidRDefault="00000000">
      <w:pPr>
        <w:spacing w:line="360" w:lineRule="auto"/>
        <w:jc w:val="center"/>
        <w:rPr>
          <w:sz w:val="24"/>
          <w:szCs w:val="24"/>
        </w:rPr>
      </w:pPr>
      <w:r w:rsidRPr="000549B1">
        <w:rPr>
          <w:noProof/>
          <w:sz w:val="24"/>
          <w:szCs w:val="24"/>
        </w:rPr>
        <w:drawing>
          <wp:inline distT="0" distB="0" distL="114300" distR="114300" wp14:anchorId="5032B08A" wp14:editId="43AB8B4E">
            <wp:extent cx="2591435" cy="1727835"/>
            <wp:effectExtent l="0" t="0" r="18415" b="5715"/>
            <wp:docPr id="60"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73"/>
                    <pic:cNvPicPr>
                      <a:picLocks noChangeAspect="1"/>
                    </pic:cNvPicPr>
                  </pic:nvPicPr>
                  <pic:blipFill>
                    <a:blip r:embed="rId265"/>
                    <a:stretch>
                      <a:fillRect/>
                    </a:stretch>
                  </pic:blipFill>
                  <pic:spPr>
                    <a:xfrm>
                      <a:off x="0" y="0"/>
                      <a:ext cx="2591435" cy="1727835"/>
                    </a:xfrm>
                    <a:prstGeom prst="rect">
                      <a:avLst/>
                    </a:prstGeom>
                    <a:noFill/>
                    <a:ln>
                      <a:noFill/>
                    </a:ln>
                  </pic:spPr>
                </pic:pic>
              </a:graphicData>
            </a:graphic>
          </wp:inline>
        </w:drawing>
      </w:r>
      <w:r w:rsidRPr="000549B1">
        <w:rPr>
          <w:noProof/>
          <w:sz w:val="24"/>
          <w:szCs w:val="24"/>
        </w:rPr>
        <w:drawing>
          <wp:inline distT="0" distB="0" distL="114300" distR="114300" wp14:anchorId="270BFBC4" wp14:editId="11C64C2C">
            <wp:extent cx="2591435" cy="1727835"/>
            <wp:effectExtent l="0" t="0" r="18415" b="5715"/>
            <wp:docPr id="57"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74"/>
                    <pic:cNvPicPr>
                      <a:picLocks noChangeAspect="1"/>
                    </pic:cNvPicPr>
                  </pic:nvPicPr>
                  <pic:blipFill>
                    <a:blip r:embed="rId266"/>
                    <a:stretch>
                      <a:fillRect/>
                    </a:stretch>
                  </pic:blipFill>
                  <pic:spPr>
                    <a:xfrm>
                      <a:off x="0" y="0"/>
                      <a:ext cx="2591435" cy="1727835"/>
                    </a:xfrm>
                    <a:prstGeom prst="rect">
                      <a:avLst/>
                    </a:prstGeom>
                    <a:noFill/>
                    <a:ln>
                      <a:noFill/>
                    </a:ln>
                  </pic:spPr>
                </pic:pic>
              </a:graphicData>
            </a:graphic>
          </wp:inline>
        </w:drawing>
      </w:r>
    </w:p>
    <w:p w14:paraId="1C62656B" w14:textId="77777777" w:rsidR="00054437" w:rsidRPr="000549B1" w:rsidRDefault="00000000">
      <w:pPr>
        <w:spacing w:line="360" w:lineRule="auto"/>
        <w:jc w:val="center"/>
        <w:rPr>
          <w:rFonts w:eastAsia="黑体"/>
          <w:szCs w:val="21"/>
        </w:rPr>
      </w:pPr>
      <w:r w:rsidRPr="000549B1">
        <w:rPr>
          <w:rFonts w:eastAsia="黑体"/>
          <w:szCs w:val="21"/>
        </w:rPr>
        <w:t>（</w:t>
      </w:r>
      <w:r w:rsidRPr="000549B1">
        <w:rPr>
          <w:rFonts w:eastAsia="黑体"/>
          <w:szCs w:val="21"/>
        </w:rPr>
        <w:t>1</w:t>
      </w:r>
      <w:r w:rsidRPr="000549B1">
        <w:rPr>
          <w:rFonts w:eastAsia="黑体"/>
          <w:szCs w:val="21"/>
        </w:rPr>
        <w:t>）</w:t>
      </w:r>
      <w:r w:rsidRPr="000549B1">
        <w:rPr>
          <w:rFonts w:eastAsia="黑体"/>
          <w:szCs w:val="21"/>
        </w:rPr>
        <w:t>7</w:t>
      </w:r>
      <w:r w:rsidRPr="000549B1">
        <w:rPr>
          <w:rFonts w:eastAsia="黑体"/>
          <w:szCs w:val="21"/>
        </w:rPr>
        <w:t>月（</w:t>
      </w:r>
      <w:r w:rsidRPr="000549B1">
        <w:rPr>
          <w:rFonts w:eastAsia="黑体"/>
          <w:szCs w:val="21"/>
        </w:rPr>
        <w:t>2</w:t>
      </w:r>
      <w:r w:rsidRPr="000549B1">
        <w:rPr>
          <w:rFonts w:eastAsia="黑体"/>
          <w:szCs w:val="21"/>
        </w:rPr>
        <w:t>）</w:t>
      </w:r>
      <w:r w:rsidRPr="000549B1">
        <w:rPr>
          <w:rFonts w:eastAsia="黑体"/>
          <w:szCs w:val="21"/>
        </w:rPr>
        <w:t>8</w:t>
      </w:r>
      <w:r w:rsidRPr="000549B1">
        <w:rPr>
          <w:rFonts w:eastAsia="黑体"/>
          <w:szCs w:val="21"/>
        </w:rPr>
        <w:t>月</w:t>
      </w:r>
    </w:p>
    <w:p w14:paraId="05D97CDC" w14:textId="77777777" w:rsidR="00054437" w:rsidRPr="000549B1" w:rsidRDefault="00000000">
      <w:pPr>
        <w:spacing w:line="360" w:lineRule="auto"/>
        <w:jc w:val="center"/>
        <w:rPr>
          <w:sz w:val="24"/>
          <w:szCs w:val="24"/>
        </w:rPr>
      </w:pPr>
      <w:r w:rsidRPr="000549B1">
        <w:rPr>
          <w:noProof/>
          <w:sz w:val="24"/>
          <w:szCs w:val="24"/>
        </w:rPr>
        <w:drawing>
          <wp:inline distT="0" distB="0" distL="114300" distR="114300" wp14:anchorId="7F64EFC6" wp14:editId="5E4F7D2F">
            <wp:extent cx="2591435" cy="1727835"/>
            <wp:effectExtent l="0" t="0" r="18415" b="5715"/>
            <wp:docPr id="54"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75"/>
                    <pic:cNvPicPr>
                      <a:picLocks noChangeAspect="1"/>
                    </pic:cNvPicPr>
                  </pic:nvPicPr>
                  <pic:blipFill>
                    <a:blip r:embed="rId267"/>
                    <a:stretch>
                      <a:fillRect/>
                    </a:stretch>
                  </pic:blipFill>
                  <pic:spPr>
                    <a:xfrm>
                      <a:off x="0" y="0"/>
                      <a:ext cx="2591435" cy="1727835"/>
                    </a:xfrm>
                    <a:prstGeom prst="rect">
                      <a:avLst/>
                    </a:prstGeom>
                    <a:noFill/>
                    <a:ln>
                      <a:noFill/>
                    </a:ln>
                  </pic:spPr>
                </pic:pic>
              </a:graphicData>
            </a:graphic>
          </wp:inline>
        </w:drawing>
      </w:r>
      <w:r w:rsidRPr="000549B1">
        <w:rPr>
          <w:noProof/>
          <w:sz w:val="24"/>
          <w:szCs w:val="24"/>
        </w:rPr>
        <w:drawing>
          <wp:inline distT="0" distB="0" distL="114300" distR="114300" wp14:anchorId="2A825076" wp14:editId="64559748">
            <wp:extent cx="2591435" cy="1727835"/>
            <wp:effectExtent l="0" t="0" r="18415" b="5715"/>
            <wp:docPr id="75"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6"/>
                    <pic:cNvPicPr>
                      <a:picLocks noChangeAspect="1"/>
                    </pic:cNvPicPr>
                  </pic:nvPicPr>
                  <pic:blipFill>
                    <a:blip r:embed="rId268"/>
                    <a:stretch>
                      <a:fillRect/>
                    </a:stretch>
                  </pic:blipFill>
                  <pic:spPr>
                    <a:xfrm>
                      <a:off x="0" y="0"/>
                      <a:ext cx="2591435" cy="1727835"/>
                    </a:xfrm>
                    <a:prstGeom prst="rect">
                      <a:avLst/>
                    </a:prstGeom>
                    <a:noFill/>
                    <a:ln>
                      <a:noFill/>
                    </a:ln>
                  </pic:spPr>
                </pic:pic>
              </a:graphicData>
            </a:graphic>
          </wp:inline>
        </w:drawing>
      </w:r>
    </w:p>
    <w:p w14:paraId="0397C63D" w14:textId="77777777" w:rsidR="00054437" w:rsidRPr="000549B1" w:rsidRDefault="00000000">
      <w:pPr>
        <w:spacing w:line="360" w:lineRule="auto"/>
        <w:jc w:val="center"/>
        <w:rPr>
          <w:rFonts w:eastAsia="黑体"/>
          <w:szCs w:val="21"/>
        </w:rPr>
      </w:pPr>
      <w:r w:rsidRPr="000549B1">
        <w:rPr>
          <w:rFonts w:eastAsia="黑体"/>
          <w:szCs w:val="21"/>
        </w:rPr>
        <w:t>（</w:t>
      </w:r>
      <w:r w:rsidRPr="000549B1">
        <w:rPr>
          <w:rFonts w:eastAsia="黑体"/>
          <w:szCs w:val="21"/>
        </w:rPr>
        <w:t>3</w:t>
      </w:r>
      <w:r w:rsidRPr="000549B1">
        <w:rPr>
          <w:rFonts w:eastAsia="黑体"/>
          <w:szCs w:val="21"/>
        </w:rPr>
        <w:t>）</w:t>
      </w:r>
      <w:r w:rsidRPr="000549B1">
        <w:rPr>
          <w:rFonts w:eastAsia="黑体"/>
          <w:szCs w:val="21"/>
        </w:rPr>
        <w:t>9</w:t>
      </w:r>
      <w:r w:rsidRPr="000549B1">
        <w:rPr>
          <w:rFonts w:eastAsia="黑体"/>
          <w:szCs w:val="21"/>
        </w:rPr>
        <w:t>月（</w:t>
      </w:r>
      <w:r w:rsidRPr="000549B1">
        <w:rPr>
          <w:rFonts w:eastAsia="黑体"/>
          <w:szCs w:val="21"/>
        </w:rPr>
        <w:t>4</w:t>
      </w:r>
      <w:r w:rsidRPr="000549B1">
        <w:rPr>
          <w:rFonts w:eastAsia="黑体"/>
          <w:szCs w:val="21"/>
        </w:rPr>
        <w:t>）</w:t>
      </w:r>
      <w:r w:rsidRPr="000549B1">
        <w:rPr>
          <w:rFonts w:eastAsia="黑体"/>
          <w:szCs w:val="21"/>
        </w:rPr>
        <w:t>10</w:t>
      </w:r>
      <w:r w:rsidRPr="000549B1">
        <w:rPr>
          <w:rFonts w:eastAsia="黑体"/>
          <w:szCs w:val="21"/>
        </w:rPr>
        <w:t>月</w:t>
      </w:r>
    </w:p>
    <w:p w14:paraId="709CBC1E" w14:textId="77777777" w:rsidR="00054437" w:rsidRPr="000549B1" w:rsidRDefault="00000000">
      <w:pPr>
        <w:spacing w:line="360" w:lineRule="auto"/>
        <w:jc w:val="center"/>
        <w:rPr>
          <w:sz w:val="24"/>
          <w:szCs w:val="24"/>
        </w:rPr>
      </w:pPr>
      <w:r w:rsidRPr="000549B1">
        <w:rPr>
          <w:noProof/>
          <w:sz w:val="24"/>
          <w:szCs w:val="24"/>
        </w:rPr>
        <w:drawing>
          <wp:inline distT="0" distB="0" distL="114300" distR="114300" wp14:anchorId="42998BE2" wp14:editId="17983811">
            <wp:extent cx="2591435" cy="1727835"/>
            <wp:effectExtent l="0" t="0" r="18415" b="5715"/>
            <wp:docPr id="8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77"/>
                    <pic:cNvPicPr>
                      <a:picLocks noChangeAspect="1"/>
                    </pic:cNvPicPr>
                  </pic:nvPicPr>
                  <pic:blipFill>
                    <a:blip r:embed="rId269"/>
                    <a:stretch>
                      <a:fillRect/>
                    </a:stretch>
                  </pic:blipFill>
                  <pic:spPr>
                    <a:xfrm>
                      <a:off x="0" y="0"/>
                      <a:ext cx="2591435" cy="1727835"/>
                    </a:xfrm>
                    <a:prstGeom prst="rect">
                      <a:avLst/>
                    </a:prstGeom>
                    <a:noFill/>
                    <a:ln>
                      <a:noFill/>
                    </a:ln>
                  </pic:spPr>
                </pic:pic>
              </a:graphicData>
            </a:graphic>
          </wp:inline>
        </w:drawing>
      </w:r>
      <w:r w:rsidRPr="000549B1">
        <w:rPr>
          <w:noProof/>
          <w:sz w:val="24"/>
          <w:szCs w:val="24"/>
        </w:rPr>
        <w:drawing>
          <wp:inline distT="0" distB="0" distL="114300" distR="114300" wp14:anchorId="45ABAB48" wp14:editId="65D6D174">
            <wp:extent cx="2591435" cy="1727835"/>
            <wp:effectExtent l="0" t="0" r="18415" b="5715"/>
            <wp:docPr id="5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78"/>
                    <pic:cNvPicPr>
                      <a:picLocks noChangeAspect="1"/>
                    </pic:cNvPicPr>
                  </pic:nvPicPr>
                  <pic:blipFill>
                    <a:blip r:embed="rId270"/>
                    <a:stretch>
                      <a:fillRect/>
                    </a:stretch>
                  </pic:blipFill>
                  <pic:spPr>
                    <a:xfrm>
                      <a:off x="0" y="0"/>
                      <a:ext cx="2591435" cy="1727835"/>
                    </a:xfrm>
                    <a:prstGeom prst="rect">
                      <a:avLst/>
                    </a:prstGeom>
                    <a:noFill/>
                    <a:ln>
                      <a:noFill/>
                    </a:ln>
                  </pic:spPr>
                </pic:pic>
              </a:graphicData>
            </a:graphic>
          </wp:inline>
        </w:drawing>
      </w:r>
    </w:p>
    <w:p w14:paraId="47E9C050" w14:textId="77777777" w:rsidR="00054437" w:rsidRPr="000549B1" w:rsidRDefault="00000000">
      <w:pPr>
        <w:spacing w:line="360" w:lineRule="auto"/>
        <w:jc w:val="center"/>
        <w:rPr>
          <w:rFonts w:eastAsia="黑体"/>
          <w:szCs w:val="21"/>
        </w:rPr>
      </w:pPr>
      <w:r w:rsidRPr="000549B1">
        <w:rPr>
          <w:rFonts w:eastAsia="黑体"/>
          <w:szCs w:val="21"/>
        </w:rPr>
        <w:t>（</w:t>
      </w:r>
      <w:r w:rsidRPr="000549B1">
        <w:rPr>
          <w:rFonts w:eastAsia="黑体"/>
          <w:szCs w:val="21"/>
        </w:rPr>
        <w:t>5</w:t>
      </w:r>
      <w:r w:rsidRPr="000549B1">
        <w:rPr>
          <w:rFonts w:eastAsia="黑体"/>
          <w:szCs w:val="21"/>
        </w:rPr>
        <w:t>）</w:t>
      </w:r>
      <w:r w:rsidRPr="000549B1">
        <w:rPr>
          <w:rFonts w:eastAsia="黑体"/>
          <w:szCs w:val="21"/>
        </w:rPr>
        <w:t>11</w:t>
      </w:r>
      <w:r w:rsidRPr="000549B1">
        <w:rPr>
          <w:rFonts w:eastAsia="黑体"/>
          <w:szCs w:val="21"/>
        </w:rPr>
        <w:t>月（</w:t>
      </w:r>
      <w:r w:rsidRPr="000549B1">
        <w:rPr>
          <w:rFonts w:eastAsia="黑体"/>
          <w:szCs w:val="21"/>
        </w:rPr>
        <w:t>6</w:t>
      </w:r>
      <w:r w:rsidRPr="000549B1">
        <w:rPr>
          <w:rFonts w:eastAsia="黑体"/>
          <w:szCs w:val="21"/>
        </w:rPr>
        <w:t>）</w:t>
      </w:r>
      <w:r w:rsidRPr="000549B1">
        <w:rPr>
          <w:rFonts w:eastAsia="黑体"/>
          <w:szCs w:val="21"/>
        </w:rPr>
        <w:t>12</w:t>
      </w:r>
      <w:r w:rsidRPr="000549B1">
        <w:rPr>
          <w:rFonts w:eastAsia="黑体"/>
          <w:szCs w:val="21"/>
        </w:rPr>
        <w:t>月</w:t>
      </w:r>
    </w:p>
    <w:p w14:paraId="6D8388D0" w14:textId="77777777" w:rsidR="00054437" w:rsidRPr="000549B1" w:rsidRDefault="00000000">
      <w:pPr>
        <w:spacing w:line="360" w:lineRule="auto"/>
        <w:jc w:val="center"/>
        <w:rPr>
          <w:sz w:val="24"/>
          <w:szCs w:val="24"/>
        </w:rPr>
      </w:pPr>
      <w:r w:rsidRPr="000549B1">
        <w:rPr>
          <w:noProof/>
          <w:sz w:val="24"/>
          <w:szCs w:val="24"/>
        </w:rPr>
        <w:drawing>
          <wp:inline distT="0" distB="0" distL="114300" distR="114300" wp14:anchorId="7D2E4958" wp14:editId="73C0BEFC">
            <wp:extent cx="2591435" cy="1727835"/>
            <wp:effectExtent l="0" t="0" r="18415" b="5715"/>
            <wp:docPr id="81"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79"/>
                    <pic:cNvPicPr>
                      <a:picLocks noChangeAspect="1"/>
                    </pic:cNvPicPr>
                  </pic:nvPicPr>
                  <pic:blipFill>
                    <a:blip r:embed="rId271"/>
                    <a:stretch>
                      <a:fillRect/>
                    </a:stretch>
                  </pic:blipFill>
                  <pic:spPr>
                    <a:xfrm>
                      <a:off x="0" y="0"/>
                      <a:ext cx="2591435" cy="1727835"/>
                    </a:xfrm>
                    <a:prstGeom prst="rect">
                      <a:avLst/>
                    </a:prstGeom>
                    <a:noFill/>
                    <a:ln>
                      <a:noFill/>
                    </a:ln>
                  </pic:spPr>
                </pic:pic>
              </a:graphicData>
            </a:graphic>
          </wp:inline>
        </w:drawing>
      </w:r>
      <w:r w:rsidRPr="000549B1">
        <w:rPr>
          <w:noProof/>
          <w:sz w:val="24"/>
          <w:szCs w:val="24"/>
        </w:rPr>
        <w:drawing>
          <wp:inline distT="0" distB="0" distL="114300" distR="114300" wp14:anchorId="446BB9DD" wp14:editId="73C637E9">
            <wp:extent cx="2591435" cy="1727835"/>
            <wp:effectExtent l="0" t="0" r="18415" b="5715"/>
            <wp:docPr id="61"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80"/>
                    <pic:cNvPicPr>
                      <a:picLocks noChangeAspect="1"/>
                    </pic:cNvPicPr>
                  </pic:nvPicPr>
                  <pic:blipFill>
                    <a:blip r:embed="rId272"/>
                    <a:stretch>
                      <a:fillRect/>
                    </a:stretch>
                  </pic:blipFill>
                  <pic:spPr>
                    <a:xfrm>
                      <a:off x="0" y="0"/>
                      <a:ext cx="2591435" cy="1727835"/>
                    </a:xfrm>
                    <a:prstGeom prst="rect">
                      <a:avLst/>
                    </a:prstGeom>
                    <a:noFill/>
                    <a:ln>
                      <a:noFill/>
                    </a:ln>
                  </pic:spPr>
                </pic:pic>
              </a:graphicData>
            </a:graphic>
          </wp:inline>
        </w:drawing>
      </w:r>
    </w:p>
    <w:p w14:paraId="6A2485E7" w14:textId="77777777" w:rsidR="00054437" w:rsidRPr="000549B1" w:rsidRDefault="00000000">
      <w:pPr>
        <w:spacing w:line="360" w:lineRule="auto"/>
        <w:jc w:val="center"/>
        <w:rPr>
          <w:sz w:val="24"/>
          <w:szCs w:val="24"/>
        </w:rPr>
      </w:pPr>
      <w:r w:rsidRPr="000549B1">
        <w:rPr>
          <w:rFonts w:eastAsia="黑体"/>
          <w:szCs w:val="21"/>
        </w:rPr>
        <w:t>（</w:t>
      </w:r>
      <w:r w:rsidRPr="000549B1">
        <w:rPr>
          <w:rFonts w:eastAsia="黑体"/>
          <w:szCs w:val="21"/>
        </w:rPr>
        <w:t>7</w:t>
      </w:r>
      <w:r w:rsidRPr="000549B1">
        <w:rPr>
          <w:rFonts w:eastAsia="黑体"/>
          <w:szCs w:val="21"/>
        </w:rPr>
        <w:t>）</w:t>
      </w:r>
      <w:r w:rsidRPr="000549B1">
        <w:rPr>
          <w:rFonts w:eastAsia="黑体"/>
          <w:szCs w:val="21"/>
        </w:rPr>
        <w:t>1</w:t>
      </w:r>
      <w:r w:rsidRPr="000549B1">
        <w:rPr>
          <w:rFonts w:eastAsia="黑体"/>
          <w:szCs w:val="21"/>
        </w:rPr>
        <w:t>月（</w:t>
      </w:r>
      <w:r w:rsidRPr="000549B1">
        <w:rPr>
          <w:rFonts w:eastAsia="黑体"/>
          <w:szCs w:val="21"/>
        </w:rPr>
        <w:t>8</w:t>
      </w:r>
      <w:r w:rsidRPr="000549B1">
        <w:rPr>
          <w:rFonts w:eastAsia="黑体"/>
          <w:szCs w:val="21"/>
        </w:rPr>
        <w:t>）</w:t>
      </w:r>
      <w:r w:rsidRPr="000549B1">
        <w:rPr>
          <w:rFonts w:eastAsia="黑体"/>
          <w:szCs w:val="21"/>
        </w:rPr>
        <w:t>2</w:t>
      </w:r>
      <w:r w:rsidRPr="000549B1">
        <w:rPr>
          <w:rFonts w:eastAsia="黑体"/>
          <w:szCs w:val="21"/>
        </w:rPr>
        <w:t>月</w:t>
      </w:r>
    </w:p>
    <w:p w14:paraId="1631CFF4" w14:textId="77777777" w:rsidR="00054437" w:rsidRPr="000549B1" w:rsidRDefault="00000000">
      <w:pPr>
        <w:spacing w:line="360" w:lineRule="auto"/>
        <w:jc w:val="center"/>
        <w:rPr>
          <w:sz w:val="24"/>
          <w:szCs w:val="24"/>
        </w:rPr>
      </w:pPr>
      <w:r w:rsidRPr="000549B1">
        <w:rPr>
          <w:noProof/>
          <w:sz w:val="24"/>
          <w:szCs w:val="24"/>
        </w:rPr>
        <w:drawing>
          <wp:inline distT="0" distB="0" distL="114300" distR="114300" wp14:anchorId="165BE3AD" wp14:editId="5E3A2B67">
            <wp:extent cx="2591435" cy="1727835"/>
            <wp:effectExtent l="0" t="0" r="18415" b="5715"/>
            <wp:docPr id="64"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81"/>
                    <pic:cNvPicPr>
                      <a:picLocks noChangeAspect="1"/>
                    </pic:cNvPicPr>
                  </pic:nvPicPr>
                  <pic:blipFill>
                    <a:blip r:embed="rId273"/>
                    <a:stretch>
                      <a:fillRect/>
                    </a:stretch>
                  </pic:blipFill>
                  <pic:spPr>
                    <a:xfrm>
                      <a:off x="0" y="0"/>
                      <a:ext cx="2591435" cy="1727835"/>
                    </a:xfrm>
                    <a:prstGeom prst="rect">
                      <a:avLst/>
                    </a:prstGeom>
                    <a:noFill/>
                    <a:ln>
                      <a:noFill/>
                    </a:ln>
                  </pic:spPr>
                </pic:pic>
              </a:graphicData>
            </a:graphic>
          </wp:inline>
        </w:drawing>
      </w:r>
      <w:r w:rsidRPr="000549B1">
        <w:rPr>
          <w:noProof/>
          <w:sz w:val="24"/>
          <w:szCs w:val="24"/>
        </w:rPr>
        <w:drawing>
          <wp:inline distT="0" distB="0" distL="114300" distR="114300" wp14:anchorId="789FFA29" wp14:editId="2C4CFEBE">
            <wp:extent cx="2591435" cy="1727835"/>
            <wp:effectExtent l="0" t="0" r="18415" b="5715"/>
            <wp:docPr id="108"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82"/>
                    <pic:cNvPicPr>
                      <a:picLocks noChangeAspect="1"/>
                    </pic:cNvPicPr>
                  </pic:nvPicPr>
                  <pic:blipFill>
                    <a:blip r:embed="rId274"/>
                    <a:stretch>
                      <a:fillRect/>
                    </a:stretch>
                  </pic:blipFill>
                  <pic:spPr>
                    <a:xfrm>
                      <a:off x="0" y="0"/>
                      <a:ext cx="2591435" cy="1727835"/>
                    </a:xfrm>
                    <a:prstGeom prst="rect">
                      <a:avLst/>
                    </a:prstGeom>
                    <a:noFill/>
                    <a:ln>
                      <a:noFill/>
                    </a:ln>
                  </pic:spPr>
                </pic:pic>
              </a:graphicData>
            </a:graphic>
          </wp:inline>
        </w:drawing>
      </w:r>
    </w:p>
    <w:p w14:paraId="10037FBD" w14:textId="77777777" w:rsidR="00054437" w:rsidRPr="000549B1" w:rsidRDefault="00000000">
      <w:pPr>
        <w:spacing w:line="360" w:lineRule="auto"/>
        <w:jc w:val="center"/>
        <w:rPr>
          <w:sz w:val="24"/>
          <w:szCs w:val="24"/>
        </w:rPr>
      </w:pPr>
      <w:r w:rsidRPr="000549B1">
        <w:rPr>
          <w:rFonts w:eastAsia="黑体"/>
          <w:szCs w:val="21"/>
        </w:rPr>
        <w:t>（</w:t>
      </w:r>
      <w:r w:rsidRPr="000549B1">
        <w:rPr>
          <w:rFonts w:eastAsia="黑体"/>
          <w:szCs w:val="21"/>
        </w:rPr>
        <w:t>9</w:t>
      </w:r>
      <w:r w:rsidRPr="000549B1">
        <w:rPr>
          <w:rFonts w:eastAsia="黑体"/>
          <w:szCs w:val="21"/>
        </w:rPr>
        <w:t>）</w:t>
      </w:r>
      <w:r w:rsidRPr="000549B1">
        <w:rPr>
          <w:rFonts w:eastAsia="黑体"/>
          <w:szCs w:val="21"/>
        </w:rPr>
        <w:t>3</w:t>
      </w:r>
      <w:r w:rsidRPr="000549B1">
        <w:rPr>
          <w:rFonts w:eastAsia="黑体"/>
          <w:szCs w:val="21"/>
        </w:rPr>
        <w:t>月（</w:t>
      </w:r>
      <w:r w:rsidRPr="000549B1">
        <w:rPr>
          <w:rFonts w:eastAsia="黑体"/>
          <w:szCs w:val="21"/>
        </w:rPr>
        <w:t>10</w:t>
      </w:r>
      <w:r w:rsidRPr="000549B1">
        <w:rPr>
          <w:rFonts w:eastAsia="黑体"/>
          <w:szCs w:val="21"/>
        </w:rPr>
        <w:t>）</w:t>
      </w:r>
      <w:r w:rsidRPr="000549B1">
        <w:rPr>
          <w:rFonts w:eastAsia="黑体"/>
          <w:szCs w:val="21"/>
        </w:rPr>
        <w:t>4</w:t>
      </w:r>
      <w:r w:rsidRPr="000549B1">
        <w:rPr>
          <w:rFonts w:eastAsia="黑体"/>
          <w:szCs w:val="21"/>
        </w:rPr>
        <w:t>月</w:t>
      </w:r>
    </w:p>
    <w:p w14:paraId="71481CB2" w14:textId="77777777" w:rsidR="00054437" w:rsidRPr="000549B1" w:rsidRDefault="00000000">
      <w:pPr>
        <w:spacing w:line="360" w:lineRule="auto"/>
        <w:jc w:val="center"/>
        <w:rPr>
          <w:sz w:val="24"/>
          <w:szCs w:val="24"/>
        </w:rPr>
      </w:pPr>
      <w:r w:rsidRPr="000549B1">
        <w:rPr>
          <w:noProof/>
          <w:sz w:val="24"/>
          <w:szCs w:val="24"/>
        </w:rPr>
        <w:drawing>
          <wp:inline distT="0" distB="0" distL="114300" distR="114300" wp14:anchorId="20D57EA4" wp14:editId="39681539">
            <wp:extent cx="2591435" cy="1727835"/>
            <wp:effectExtent l="0" t="0" r="18415" b="5715"/>
            <wp:docPr id="84"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83"/>
                    <pic:cNvPicPr>
                      <a:picLocks noChangeAspect="1"/>
                    </pic:cNvPicPr>
                  </pic:nvPicPr>
                  <pic:blipFill>
                    <a:blip r:embed="rId275"/>
                    <a:stretch>
                      <a:fillRect/>
                    </a:stretch>
                  </pic:blipFill>
                  <pic:spPr>
                    <a:xfrm>
                      <a:off x="0" y="0"/>
                      <a:ext cx="2591435" cy="1727835"/>
                    </a:xfrm>
                    <a:prstGeom prst="rect">
                      <a:avLst/>
                    </a:prstGeom>
                    <a:noFill/>
                    <a:ln>
                      <a:noFill/>
                    </a:ln>
                  </pic:spPr>
                </pic:pic>
              </a:graphicData>
            </a:graphic>
          </wp:inline>
        </w:drawing>
      </w:r>
      <w:r w:rsidRPr="000549B1">
        <w:rPr>
          <w:noProof/>
          <w:sz w:val="24"/>
          <w:szCs w:val="24"/>
        </w:rPr>
        <w:drawing>
          <wp:inline distT="0" distB="0" distL="114300" distR="114300" wp14:anchorId="6902F5A9" wp14:editId="319738F3">
            <wp:extent cx="2591435" cy="1727835"/>
            <wp:effectExtent l="0" t="0" r="18415" b="5715"/>
            <wp:docPr id="65"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84"/>
                    <pic:cNvPicPr>
                      <a:picLocks noChangeAspect="1"/>
                    </pic:cNvPicPr>
                  </pic:nvPicPr>
                  <pic:blipFill>
                    <a:blip r:embed="rId276"/>
                    <a:stretch>
                      <a:fillRect/>
                    </a:stretch>
                  </pic:blipFill>
                  <pic:spPr>
                    <a:xfrm>
                      <a:off x="0" y="0"/>
                      <a:ext cx="2591435" cy="1727835"/>
                    </a:xfrm>
                    <a:prstGeom prst="rect">
                      <a:avLst/>
                    </a:prstGeom>
                    <a:noFill/>
                    <a:ln>
                      <a:noFill/>
                    </a:ln>
                  </pic:spPr>
                </pic:pic>
              </a:graphicData>
            </a:graphic>
          </wp:inline>
        </w:drawing>
      </w:r>
    </w:p>
    <w:p w14:paraId="7681CADA" w14:textId="77777777" w:rsidR="00054437" w:rsidRPr="000549B1" w:rsidRDefault="00000000">
      <w:pPr>
        <w:spacing w:line="360" w:lineRule="auto"/>
        <w:jc w:val="center"/>
        <w:rPr>
          <w:rFonts w:eastAsia="黑体"/>
          <w:szCs w:val="21"/>
        </w:rPr>
      </w:pPr>
      <w:r w:rsidRPr="000549B1">
        <w:rPr>
          <w:rFonts w:eastAsia="黑体"/>
          <w:szCs w:val="21"/>
        </w:rPr>
        <w:t>（</w:t>
      </w:r>
      <w:r w:rsidRPr="000549B1">
        <w:rPr>
          <w:rFonts w:eastAsia="黑体"/>
          <w:szCs w:val="21"/>
        </w:rPr>
        <w:t>11</w:t>
      </w:r>
      <w:r w:rsidRPr="000549B1">
        <w:rPr>
          <w:rFonts w:eastAsia="黑体"/>
          <w:szCs w:val="21"/>
        </w:rPr>
        <w:t>）</w:t>
      </w:r>
      <w:r w:rsidRPr="000549B1">
        <w:rPr>
          <w:rFonts w:eastAsia="黑体"/>
          <w:szCs w:val="21"/>
        </w:rPr>
        <w:t>5</w:t>
      </w:r>
      <w:r w:rsidRPr="000549B1">
        <w:rPr>
          <w:rFonts w:eastAsia="黑体"/>
          <w:szCs w:val="21"/>
        </w:rPr>
        <w:t>月（</w:t>
      </w:r>
      <w:r w:rsidRPr="000549B1">
        <w:rPr>
          <w:rFonts w:eastAsia="黑体"/>
          <w:szCs w:val="21"/>
        </w:rPr>
        <w:t>12</w:t>
      </w:r>
      <w:r w:rsidRPr="000549B1">
        <w:rPr>
          <w:rFonts w:eastAsia="黑体"/>
          <w:szCs w:val="21"/>
        </w:rPr>
        <w:t>）</w:t>
      </w:r>
      <w:r w:rsidRPr="000549B1">
        <w:rPr>
          <w:rFonts w:eastAsia="黑体"/>
          <w:szCs w:val="21"/>
        </w:rPr>
        <w:t>6</w:t>
      </w:r>
      <w:r w:rsidRPr="000549B1">
        <w:rPr>
          <w:rFonts w:eastAsia="黑体"/>
          <w:szCs w:val="21"/>
        </w:rPr>
        <w:t>月</w:t>
      </w:r>
    </w:p>
    <w:p w14:paraId="6C500680" w14:textId="252300FD" w:rsidR="00054437" w:rsidRPr="000549B1" w:rsidRDefault="00000000">
      <w:pPr>
        <w:pStyle w:val="aff8"/>
        <w:rPr>
          <w:bCs/>
          <w:color w:val="auto"/>
        </w:rPr>
      </w:pPr>
      <w:r w:rsidRPr="000549B1">
        <w:rPr>
          <w:color w:val="auto"/>
        </w:rPr>
        <w:t>图</w:t>
      </w:r>
      <w:r w:rsidR="00F1314B">
        <w:rPr>
          <w:color w:val="auto"/>
        </w:rPr>
        <w:fldChar w:fldCharType="begin"/>
      </w:r>
      <w:r w:rsidR="00F1314B">
        <w:rPr>
          <w:color w:val="auto"/>
        </w:rPr>
        <w:instrText xml:space="preserve"> STYLEREF 2 \s </w:instrText>
      </w:r>
      <w:r w:rsidR="00F1314B">
        <w:rPr>
          <w:color w:val="auto"/>
        </w:rPr>
        <w:fldChar w:fldCharType="separate"/>
      </w:r>
      <w:r w:rsidR="00F32CCA">
        <w:rPr>
          <w:noProof/>
          <w:color w:val="auto"/>
        </w:rPr>
        <w:t>5.2</w:t>
      </w:r>
      <w:r w:rsidR="00F1314B">
        <w:rPr>
          <w:color w:val="auto"/>
        </w:rPr>
        <w:fldChar w:fldCharType="end"/>
      </w:r>
      <w:r w:rsidR="00F1314B">
        <w:rPr>
          <w:color w:val="auto"/>
        </w:rPr>
        <w:noBreakHyphen/>
      </w:r>
      <w:r w:rsidR="00F1314B">
        <w:rPr>
          <w:color w:val="auto"/>
        </w:rPr>
        <w:fldChar w:fldCharType="begin"/>
      </w:r>
      <w:r w:rsidR="00F1314B">
        <w:rPr>
          <w:color w:val="auto"/>
        </w:rPr>
        <w:instrText xml:space="preserve"> SEQ </w:instrText>
      </w:r>
      <w:r w:rsidR="00F1314B">
        <w:rPr>
          <w:color w:val="auto"/>
        </w:rPr>
        <w:instrText>图</w:instrText>
      </w:r>
      <w:r w:rsidR="00F1314B">
        <w:rPr>
          <w:color w:val="auto"/>
        </w:rPr>
        <w:instrText xml:space="preserve"> \* ARABIC \s 2 </w:instrText>
      </w:r>
      <w:r w:rsidR="00F1314B">
        <w:rPr>
          <w:color w:val="auto"/>
        </w:rPr>
        <w:fldChar w:fldCharType="separate"/>
      </w:r>
      <w:r w:rsidR="00F32CCA">
        <w:rPr>
          <w:noProof/>
          <w:color w:val="auto"/>
        </w:rPr>
        <w:t>5</w:t>
      </w:r>
      <w:r w:rsidR="00F1314B">
        <w:rPr>
          <w:color w:val="auto"/>
        </w:rPr>
        <w:fldChar w:fldCharType="end"/>
      </w:r>
      <w:r w:rsidRPr="000549B1">
        <w:rPr>
          <w:bCs/>
          <w:color w:val="auto"/>
        </w:rPr>
        <w:t>P=50%</w:t>
      </w:r>
      <w:r w:rsidRPr="000549B1">
        <w:rPr>
          <w:bCs/>
          <w:color w:val="auto"/>
        </w:rPr>
        <w:t>平水年大河坝水库立面二维水温分布</w:t>
      </w:r>
    </w:p>
    <w:p w14:paraId="566231F7" w14:textId="77777777" w:rsidR="00054437" w:rsidRPr="000549B1" w:rsidRDefault="00000000">
      <w:pPr>
        <w:spacing w:line="500" w:lineRule="exact"/>
        <w:ind w:firstLineChars="200" w:firstLine="480"/>
        <w:rPr>
          <w:sz w:val="24"/>
          <w:szCs w:val="24"/>
        </w:rPr>
      </w:pPr>
      <w:r w:rsidRPr="000549B1">
        <w:rPr>
          <w:sz w:val="24"/>
          <w:szCs w:val="24"/>
        </w:rPr>
        <w:t>3</w:t>
      </w:r>
      <w:r w:rsidRPr="000549B1">
        <w:rPr>
          <w:sz w:val="24"/>
          <w:szCs w:val="24"/>
        </w:rPr>
        <w:t>）</w:t>
      </w:r>
      <w:r w:rsidRPr="000549B1">
        <w:rPr>
          <w:sz w:val="24"/>
          <w:szCs w:val="24"/>
        </w:rPr>
        <w:t>P=90%</w:t>
      </w:r>
      <w:r w:rsidRPr="000549B1">
        <w:rPr>
          <w:sz w:val="24"/>
          <w:szCs w:val="24"/>
        </w:rPr>
        <w:t>保证率</w:t>
      </w:r>
    </w:p>
    <w:p w14:paraId="1023A5B4" w14:textId="77777777" w:rsidR="00054437" w:rsidRPr="000549B1" w:rsidRDefault="00000000">
      <w:pPr>
        <w:spacing w:line="500" w:lineRule="exact"/>
        <w:ind w:firstLineChars="200" w:firstLine="480"/>
        <w:rPr>
          <w:sz w:val="24"/>
          <w:szCs w:val="24"/>
        </w:rPr>
      </w:pPr>
      <w:r w:rsidRPr="000549B1">
        <w:rPr>
          <w:sz w:val="24"/>
          <w:szCs w:val="24"/>
        </w:rPr>
        <w:t>在来水保证率为</w:t>
      </w:r>
      <w:r w:rsidRPr="000549B1">
        <w:rPr>
          <w:sz w:val="24"/>
          <w:szCs w:val="24"/>
        </w:rPr>
        <w:t>90%</w:t>
      </w:r>
      <w:r w:rsidRPr="000549B1">
        <w:rPr>
          <w:sz w:val="24"/>
          <w:szCs w:val="24"/>
        </w:rPr>
        <w:t>时，大河坝水库库区坝前</w:t>
      </w:r>
      <w:r w:rsidRPr="000549B1">
        <w:rPr>
          <w:sz w:val="24"/>
          <w:szCs w:val="24"/>
        </w:rPr>
        <w:t>10</w:t>
      </w:r>
      <w:r w:rsidRPr="000549B1">
        <w:rPr>
          <w:sz w:val="24"/>
          <w:szCs w:val="24"/>
        </w:rPr>
        <w:t>月和</w:t>
      </w:r>
      <w:r w:rsidRPr="000549B1">
        <w:rPr>
          <w:sz w:val="24"/>
          <w:szCs w:val="24"/>
        </w:rPr>
        <w:t>4</w:t>
      </w:r>
      <w:r w:rsidRPr="000549B1">
        <w:rPr>
          <w:sz w:val="24"/>
          <w:szCs w:val="24"/>
        </w:rPr>
        <w:t>月存在逆温水温分层现象，</w:t>
      </w:r>
      <w:r w:rsidRPr="000549B1">
        <w:rPr>
          <w:sz w:val="24"/>
          <w:szCs w:val="24"/>
        </w:rPr>
        <w:t>7~8</w:t>
      </w:r>
      <w:r w:rsidRPr="000549B1">
        <w:rPr>
          <w:sz w:val="24"/>
          <w:szCs w:val="24"/>
        </w:rPr>
        <w:t>月为坝前温度分层状态，其他月份基本没分层，总体表现为季节分层型水温结构。具体为：</w:t>
      </w:r>
      <w:r w:rsidRPr="000549B1">
        <w:rPr>
          <w:sz w:val="24"/>
          <w:szCs w:val="24"/>
        </w:rPr>
        <w:t>10</w:t>
      </w:r>
      <w:r w:rsidRPr="000549B1">
        <w:rPr>
          <w:sz w:val="24"/>
          <w:szCs w:val="24"/>
        </w:rPr>
        <w:t>月、</w:t>
      </w:r>
      <w:r w:rsidRPr="000549B1">
        <w:rPr>
          <w:sz w:val="24"/>
          <w:szCs w:val="24"/>
        </w:rPr>
        <w:t>4</w:t>
      </w:r>
      <w:r w:rsidRPr="000549B1">
        <w:rPr>
          <w:sz w:val="24"/>
          <w:szCs w:val="24"/>
        </w:rPr>
        <w:t>月库区水温逆温分布，库底水温高于库表，在接近底层形成了温跃层；</w:t>
      </w:r>
      <w:r w:rsidRPr="000549B1">
        <w:rPr>
          <w:sz w:val="24"/>
          <w:szCs w:val="24"/>
        </w:rPr>
        <w:t>5~6</w:t>
      </w:r>
      <w:r w:rsidRPr="000549B1">
        <w:rPr>
          <w:sz w:val="24"/>
          <w:szCs w:val="24"/>
        </w:rPr>
        <w:t>月开始随着时间推移温度逐渐升高，表面水温升高，表底温差逐步减小，基本无分层，坝前平均水温分别在</w:t>
      </w:r>
      <w:r w:rsidRPr="000549B1">
        <w:rPr>
          <w:sz w:val="24"/>
          <w:szCs w:val="24"/>
        </w:rPr>
        <w:t>4.8℃</w:t>
      </w:r>
      <w:r w:rsidRPr="000549B1">
        <w:rPr>
          <w:sz w:val="24"/>
          <w:szCs w:val="24"/>
        </w:rPr>
        <w:t>、</w:t>
      </w:r>
      <w:r w:rsidRPr="000549B1">
        <w:rPr>
          <w:sz w:val="24"/>
          <w:szCs w:val="24"/>
        </w:rPr>
        <w:t>6.9℃</w:t>
      </w:r>
      <w:r w:rsidRPr="000549B1">
        <w:rPr>
          <w:sz w:val="24"/>
          <w:szCs w:val="24"/>
        </w:rPr>
        <w:t>；</w:t>
      </w:r>
      <w:r w:rsidRPr="000549B1">
        <w:rPr>
          <w:sz w:val="24"/>
          <w:szCs w:val="24"/>
        </w:rPr>
        <w:t>11</w:t>
      </w:r>
      <w:r w:rsidRPr="000549B1">
        <w:rPr>
          <w:sz w:val="24"/>
          <w:szCs w:val="24"/>
        </w:rPr>
        <w:t>月</w:t>
      </w:r>
      <w:r w:rsidRPr="000549B1">
        <w:rPr>
          <w:sz w:val="24"/>
          <w:szCs w:val="24"/>
        </w:rPr>
        <w:t>~3</w:t>
      </w:r>
      <w:r w:rsidRPr="000549B1">
        <w:rPr>
          <w:sz w:val="24"/>
          <w:szCs w:val="24"/>
        </w:rPr>
        <w:t>月，库表至库底基本同温无分层，坝前平均水温基本在</w:t>
      </w:r>
      <w:r w:rsidRPr="000549B1">
        <w:rPr>
          <w:sz w:val="24"/>
          <w:szCs w:val="24"/>
        </w:rPr>
        <w:t>0℃</w:t>
      </w:r>
      <w:r w:rsidRPr="000549B1">
        <w:rPr>
          <w:sz w:val="24"/>
          <w:szCs w:val="24"/>
        </w:rPr>
        <w:t>；</w:t>
      </w:r>
      <w:r w:rsidRPr="000549B1">
        <w:rPr>
          <w:sz w:val="24"/>
          <w:szCs w:val="24"/>
        </w:rPr>
        <w:t>7~8</w:t>
      </w:r>
      <w:r w:rsidRPr="000549B1">
        <w:rPr>
          <w:sz w:val="24"/>
          <w:szCs w:val="24"/>
        </w:rPr>
        <w:t>月靠近库表有温跃层。</w:t>
      </w:r>
      <w:r w:rsidRPr="000549B1">
        <w:rPr>
          <w:sz w:val="24"/>
          <w:szCs w:val="24"/>
        </w:rPr>
        <w:t>9</w:t>
      </w:r>
      <w:r w:rsidRPr="000549B1">
        <w:rPr>
          <w:sz w:val="24"/>
          <w:szCs w:val="24"/>
        </w:rPr>
        <w:t>月库底水温为全年最高为</w:t>
      </w:r>
      <w:r w:rsidRPr="000549B1">
        <w:rPr>
          <w:sz w:val="24"/>
          <w:szCs w:val="24"/>
        </w:rPr>
        <w:t>10.2℃</w:t>
      </w:r>
      <w:r w:rsidRPr="000549B1">
        <w:rPr>
          <w:sz w:val="24"/>
          <w:szCs w:val="24"/>
        </w:rPr>
        <w:t>，</w:t>
      </w:r>
      <w:r w:rsidRPr="000549B1">
        <w:rPr>
          <w:sz w:val="24"/>
          <w:szCs w:val="24"/>
        </w:rPr>
        <w:t>8</w:t>
      </w:r>
      <w:r w:rsidRPr="000549B1">
        <w:rPr>
          <w:sz w:val="24"/>
          <w:szCs w:val="24"/>
        </w:rPr>
        <w:t>月表底温差最大为</w:t>
      </w:r>
      <w:r w:rsidRPr="000549B1">
        <w:rPr>
          <w:sz w:val="24"/>
          <w:szCs w:val="24"/>
        </w:rPr>
        <w:t>2.3℃</w:t>
      </w:r>
      <w:r w:rsidRPr="000549B1">
        <w:rPr>
          <w:sz w:val="24"/>
          <w:szCs w:val="24"/>
        </w:rPr>
        <w:t>。</w:t>
      </w:r>
    </w:p>
    <w:p w14:paraId="42989D1E" w14:textId="4A5503A7" w:rsidR="00054437" w:rsidRPr="000549B1" w:rsidRDefault="00000000">
      <w:pPr>
        <w:pStyle w:val="aff8"/>
        <w:rPr>
          <w:color w:val="auto"/>
        </w:rPr>
      </w:pPr>
      <w:r w:rsidRPr="000549B1">
        <w:rPr>
          <w:color w:val="auto"/>
        </w:rPr>
        <w:t>表</w:t>
      </w:r>
      <w:r w:rsidR="00372953">
        <w:rPr>
          <w:color w:val="auto"/>
        </w:rPr>
        <w:fldChar w:fldCharType="begin"/>
      </w:r>
      <w:r w:rsidR="00372953">
        <w:rPr>
          <w:color w:val="auto"/>
        </w:rPr>
        <w:instrText xml:space="preserve"> STYLEREF 2 \s </w:instrText>
      </w:r>
      <w:r w:rsidR="00372953">
        <w:rPr>
          <w:color w:val="auto"/>
        </w:rPr>
        <w:fldChar w:fldCharType="separate"/>
      </w:r>
      <w:r w:rsidR="00372953">
        <w:rPr>
          <w:noProof/>
          <w:color w:val="auto"/>
        </w:rPr>
        <w:t>5.2</w:t>
      </w:r>
      <w:r w:rsidR="00372953">
        <w:rPr>
          <w:color w:val="auto"/>
        </w:rPr>
        <w:fldChar w:fldCharType="end"/>
      </w:r>
      <w:r w:rsidR="00372953">
        <w:rPr>
          <w:color w:val="auto"/>
        </w:rPr>
        <w:noBreakHyphen/>
      </w:r>
      <w:r w:rsidR="00372953">
        <w:rPr>
          <w:color w:val="auto"/>
        </w:rPr>
        <w:fldChar w:fldCharType="begin"/>
      </w:r>
      <w:r w:rsidR="00372953">
        <w:rPr>
          <w:color w:val="auto"/>
        </w:rPr>
        <w:instrText xml:space="preserve"> SEQ </w:instrText>
      </w:r>
      <w:r w:rsidR="00372953">
        <w:rPr>
          <w:color w:val="auto"/>
        </w:rPr>
        <w:instrText>表</w:instrText>
      </w:r>
      <w:r w:rsidR="00372953">
        <w:rPr>
          <w:color w:val="auto"/>
        </w:rPr>
        <w:instrText xml:space="preserve"> \* ARABIC \s 2 </w:instrText>
      </w:r>
      <w:r w:rsidR="00372953">
        <w:rPr>
          <w:color w:val="auto"/>
        </w:rPr>
        <w:fldChar w:fldCharType="separate"/>
      </w:r>
      <w:r w:rsidR="00372953">
        <w:rPr>
          <w:noProof/>
          <w:color w:val="auto"/>
        </w:rPr>
        <w:t>3</w:t>
      </w:r>
      <w:r w:rsidR="00372953">
        <w:rPr>
          <w:color w:val="auto"/>
        </w:rPr>
        <w:fldChar w:fldCharType="end"/>
      </w:r>
      <w:r w:rsidRPr="000549B1">
        <w:rPr>
          <w:color w:val="auto"/>
        </w:rPr>
        <w:t>(P=90%)</w:t>
      </w:r>
      <w:r w:rsidRPr="000549B1">
        <w:rPr>
          <w:color w:val="auto"/>
        </w:rPr>
        <w:t>大河坝水库坝前月均表层、库底水温及温差单位：</w:t>
      </w:r>
      <w:r w:rsidRPr="000549B1">
        <w:rPr>
          <w:color w:val="auto"/>
        </w:rPr>
        <w:t>℃</w:t>
      </w:r>
    </w:p>
    <w:tbl>
      <w:tblPr>
        <w:tblW w:w="54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
        <w:gridCol w:w="670"/>
        <w:gridCol w:w="670"/>
        <w:gridCol w:w="672"/>
        <w:gridCol w:w="670"/>
        <w:gridCol w:w="670"/>
        <w:gridCol w:w="672"/>
        <w:gridCol w:w="670"/>
        <w:gridCol w:w="670"/>
        <w:gridCol w:w="672"/>
        <w:gridCol w:w="670"/>
        <w:gridCol w:w="670"/>
        <w:gridCol w:w="670"/>
      </w:tblGrid>
      <w:tr w:rsidR="000549B1" w:rsidRPr="000549B1" w14:paraId="2F3567B8" w14:textId="77777777">
        <w:trPr>
          <w:cantSplit/>
          <w:trHeight w:val="18"/>
          <w:jc w:val="center"/>
        </w:trPr>
        <w:tc>
          <w:tcPr>
            <w:tcW w:w="544" w:type="pct"/>
            <w:vAlign w:val="center"/>
          </w:tcPr>
          <w:p w14:paraId="73D0609C"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月份</w:t>
            </w:r>
          </w:p>
        </w:tc>
        <w:tc>
          <w:tcPr>
            <w:tcW w:w="371" w:type="pct"/>
            <w:vAlign w:val="center"/>
          </w:tcPr>
          <w:p w14:paraId="1C174346"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7</w:t>
            </w:r>
            <w:r w:rsidRPr="000549B1">
              <w:rPr>
                <w:bCs/>
                <w:snapToGrid w:val="0"/>
                <w:spacing w:val="5"/>
                <w:sz w:val="18"/>
                <w:szCs w:val="18"/>
                <w:lang w:bidi="he-IL"/>
              </w:rPr>
              <w:t>月</w:t>
            </w:r>
          </w:p>
        </w:tc>
        <w:tc>
          <w:tcPr>
            <w:tcW w:w="371" w:type="pct"/>
            <w:vAlign w:val="center"/>
          </w:tcPr>
          <w:p w14:paraId="437C9EFC"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8</w:t>
            </w:r>
            <w:r w:rsidRPr="000549B1">
              <w:rPr>
                <w:bCs/>
                <w:snapToGrid w:val="0"/>
                <w:spacing w:val="5"/>
                <w:sz w:val="18"/>
                <w:szCs w:val="18"/>
                <w:lang w:bidi="he-IL"/>
              </w:rPr>
              <w:t>月</w:t>
            </w:r>
          </w:p>
        </w:tc>
        <w:tc>
          <w:tcPr>
            <w:tcW w:w="372" w:type="pct"/>
            <w:vAlign w:val="center"/>
          </w:tcPr>
          <w:p w14:paraId="1EEBF920"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9</w:t>
            </w:r>
            <w:r w:rsidRPr="000549B1">
              <w:rPr>
                <w:bCs/>
                <w:snapToGrid w:val="0"/>
                <w:spacing w:val="5"/>
                <w:sz w:val="18"/>
                <w:szCs w:val="18"/>
                <w:lang w:bidi="he-IL"/>
              </w:rPr>
              <w:t>月</w:t>
            </w:r>
          </w:p>
        </w:tc>
        <w:tc>
          <w:tcPr>
            <w:tcW w:w="371" w:type="pct"/>
            <w:vAlign w:val="center"/>
          </w:tcPr>
          <w:p w14:paraId="5DC0F05A"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10</w:t>
            </w:r>
            <w:r w:rsidRPr="000549B1">
              <w:rPr>
                <w:bCs/>
                <w:snapToGrid w:val="0"/>
                <w:spacing w:val="5"/>
                <w:sz w:val="18"/>
                <w:szCs w:val="18"/>
                <w:lang w:bidi="he-IL"/>
              </w:rPr>
              <w:t>月</w:t>
            </w:r>
          </w:p>
        </w:tc>
        <w:tc>
          <w:tcPr>
            <w:tcW w:w="371" w:type="pct"/>
            <w:vAlign w:val="center"/>
          </w:tcPr>
          <w:p w14:paraId="4DD1A195"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11</w:t>
            </w:r>
            <w:r w:rsidRPr="000549B1">
              <w:rPr>
                <w:bCs/>
                <w:snapToGrid w:val="0"/>
                <w:spacing w:val="5"/>
                <w:sz w:val="18"/>
                <w:szCs w:val="18"/>
                <w:lang w:bidi="he-IL"/>
              </w:rPr>
              <w:t>月</w:t>
            </w:r>
          </w:p>
        </w:tc>
        <w:tc>
          <w:tcPr>
            <w:tcW w:w="372" w:type="pct"/>
            <w:vAlign w:val="center"/>
          </w:tcPr>
          <w:p w14:paraId="7E30B8C0"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12</w:t>
            </w:r>
            <w:r w:rsidRPr="000549B1">
              <w:rPr>
                <w:bCs/>
                <w:snapToGrid w:val="0"/>
                <w:spacing w:val="5"/>
                <w:sz w:val="18"/>
                <w:szCs w:val="18"/>
                <w:lang w:bidi="he-IL"/>
              </w:rPr>
              <w:t>月</w:t>
            </w:r>
          </w:p>
        </w:tc>
        <w:tc>
          <w:tcPr>
            <w:tcW w:w="371" w:type="pct"/>
            <w:vAlign w:val="center"/>
          </w:tcPr>
          <w:p w14:paraId="2E2CA5F9"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1</w:t>
            </w:r>
            <w:r w:rsidRPr="000549B1">
              <w:rPr>
                <w:bCs/>
                <w:snapToGrid w:val="0"/>
                <w:spacing w:val="5"/>
                <w:sz w:val="18"/>
                <w:szCs w:val="18"/>
                <w:lang w:bidi="he-IL"/>
              </w:rPr>
              <w:t>月</w:t>
            </w:r>
          </w:p>
        </w:tc>
        <w:tc>
          <w:tcPr>
            <w:tcW w:w="371" w:type="pct"/>
            <w:vAlign w:val="center"/>
          </w:tcPr>
          <w:p w14:paraId="01E7FDA1"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2</w:t>
            </w:r>
            <w:r w:rsidRPr="000549B1">
              <w:rPr>
                <w:bCs/>
                <w:snapToGrid w:val="0"/>
                <w:spacing w:val="5"/>
                <w:sz w:val="18"/>
                <w:szCs w:val="18"/>
                <w:lang w:bidi="he-IL"/>
              </w:rPr>
              <w:t>月</w:t>
            </w:r>
          </w:p>
        </w:tc>
        <w:tc>
          <w:tcPr>
            <w:tcW w:w="372" w:type="pct"/>
            <w:vAlign w:val="center"/>
          </w:tcPr>
          <w:p w14:paraId="3BF9B77F"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3</w:t>
            </w:r>
            <w:r w:rsidRPr="000549B1">
              <w:rPr>
                <w:bCs/>
                <w:snapToGrid w:val="0"/>
                <w:spacing w:val="5"/>
                <w:sz w:val="18"/>
                <w:szCs w:val="18"/>
                <w:lang w:bidi="he-IL"/>
              </w:rPr>
              <w:t>月</w:t>
            </w:r>
          </w:p>
        </w:tc>
        <w:tc>
          <w:tcPr>
            <w:tcW w:w="371" w:type="pct"/>
            <w:vAlign w:val="center"/>
          </w:tcPr>
          <w:p w14:paraId="76014AD8"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4</w:t>
            </w:r>
            <w:r w:rsidRPr="000549B1">
              <w:rPr>
                <w:bCs/>
                <w:snapToGrid w:val="0"/>
                <w:spacing w:val="5"/>
                <w:sz w:val="18"/>
                <w:szCs w:val="18"/>
                <w:lang w:bidi="he-IL"/>
              </w:rPr>
              <w:t>月</w:t>
            </w:r>
          </w:p>
        </w:tc>
        <w:tc>
          <w:tcPr>
            <w:tcW w:w="371" w:type="pct"/>
            <w:vAlign w:val="center"/>
          </w:tcPr>
          <w:p w14:paraId="2AA12ACB"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5</w:t>
            </w:r>
            <w:r w:rsidRPr="000549B1">
              <w:rPr>
                <w:bCs/>
                <w:snapToGrid w:val="0"/>
                <w:spacing w:val="5"/>
                <w:sz w:val="18"/>
                <w:szCs w:val="18"/>
                <w:lang w:bidi="he-IL"/>
              </w:rPr>
              <w:t>月</w:t>
            </w:r>
          </w:p>
        </w:tc>
        <w:tc>
          <w:tcPr>
            <w:tcW w:w="371" w:type="pct"/>
            <w:vAlign w:val="center"/>
          </w:tcPr>
          <w:p w14:paraId="03F37E00"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6</w:t>
            </w:r>
            <w:r w:rsidRPr="000549B1">
              <w:rPr>
                <w:bCs/>
                <w:snapToGrid w:val="0"/>
                <w:spacing w:val="5"/>
                <w:sz w:val="18"/>
                <w:szCs w:val="18"/>
                <w:lang w:bidi="he-IL"/>
              </w:rPr>
              <w:t>月</w:t>
            </w:r>
          </w:p>
        </w:tc>
      </w:tr>
      <w:tr w:rsidR="000549B1" w:rsidRPr="000549B1" w14:paraId="7A0AAAC6" w14:textId="77777777">
        <w:trPr>
          <w:cantSplit/>
          <w:trHeight w:val="18"/>
          <w:jc w:val="center"/>
        </w:trPr>
        <w:tc>
          <w:tcPr>
            <w:tcW w:w="544" w:type="pct"/>
            <w:vAlign w:val="center"/>
          </w:tcPr>
          <w:p w14:paraId="2ED8CDA5"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库表水温</w:t>
            </w:r>
          </w:p>
        </w:tc>
        <w:tc>
          <w:tcPr>
            <w:tcW w:w="371" w:type="pct"/>
            <w:vAlign w:val="center"/>
          </w:tcPr>
          <w:p w14:paraId="4E55F793"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11.3</w:t>
            </w:r>
          </w:p>
        </w:tc>
        <w:tc>
          <w:tcPr>
            <w:tcW w:w="371" w:type="pct"/>
            <w:vAlign w:val="center"/>
          </w:tcPr>
          <w:p w14:paraId="5307AAED"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12.4</w:t>
            </w:r>
          </w:p>
        </w:tc>
        <w:tc>
          <w:tcPr>
            <w:tcW w:w="372" w:type="pct"/>
            <w:vAlign w:val="center"/>
          </w:tcPr>
          <w:p w14:paraId="68352ED8"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10.3</w:t>
            </w:r>
          </w:p>
        </w:tc>
        <w:tc>
          <w:tcPr>
            <w:tcW w:w="371" w:type="pct"/>
            <w:vAlign w:val="center"/>
          </w:tcPr>
          <w:p w14:paraId="5B53121F"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2</w:t>
            </w:r>
          </w:p>
        </w:tc>
        <w:tc>
          <w:tcPr>
            <w:tcW w:w="371" w:type="pct"/>
            <w:vAlign w:val="center"/>
          </w:tcPr>
          <w:p w14:paraId="1CEB208E"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0</w:t>
            </w:r>
          </w:p>
        </w:tc>
        <w:tc>
          <w:tcPr>
            <w:tcW w:w="372" w:type="pct"/>
            <w:vAlign w:val="center"/>
          </w:tcPr>
          <w:p w14:paraId="034CB3A4"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0</w:t>
            </w:r>
          </w:p>
        </w:tc>
        <w:tc>
          <w:tcPr>
            <w:tcW w:w="371" w:type="pct"/>
            <w:vAlign w:val="center"/>
          </w:tcPr>
          <w:p w14:paraId="30945C11"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0</w:t>
            </w:r>
          </w:p>
        </w:tc>
        <w:tc>
          <w:tcPr>
            <w:tcW w:w="371" w:type="pct"/>
            <w:vAlign w:val="center"/>
          </w:tcPr>
          <w:p w14:paraId="469CC893"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0</w:t>
            </w:r>
          </w:p>
        </w:tc>
        <w:tc>
          <w:tcPr>
            <w:tcW w:w="372" w:type="pct"/>
            <w:vAlign w:val="center"/>
          </w:tcPr>
          <w:p w14:paraId="07C79C6D"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0</w:t>
            </w:r>
          </w:p>
        </w:tc>
        <w:tc>
          <w:tcPr>
            <w:tcW w:w="371" w:type="pct"/>
            <w:vAlign w:val="center"/>
          </w:tcPr>
          <w:p w14:paraId="0FC8C017"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0.3</w:t>
            </w:r>
          </w:p>
        </w:tc>
        <w:tc>
          <w:tcPr>
            <w:tcW w:w="371" w:type="pct"/>
            <w:vAlign w:val="center"/>
          </w:tcPr>
          <w:p w14:paraId="237DF891"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4.8</w:t>
            </w:r>
          </w:p>
        </w:tc>
        <w:tc>
          <w:tcPr>
            <w:tcW w:w="371" w:type="pct"/>
            <w:vAlign w:val="center"/>
          </w:tcPr>
          <w:p w14:paraId="32B58DB8"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6.9</w:t>
            </w:r>
          </w:p>
        </w:tc>
      </w:tr>
      <w:tr w:rsidR="000549B1" w:rsidRPr="000549B1" w14:paraId="76B539BA" w14:textId="77777777">
        <w:trPr>
          <w:cantSplit/>
          <w:trHeight w:val="18"/>
          <w:jc w:val="center"/>
        </w:trPr>
        <w:tc>
          <w:tcPr>
            <w:tcW w:w="544" w:type="pct"/>
            <w:vAlign w:val="center"/>
          </w:tcPr>
          <w:p w14:paraId="06467375"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库底水温</w:t>
            </w:r>
          </w:p>
        </w:tc>
        <w:tc>
          <w:tcPr>
            <w:tcW w:w="371" w:type="pct"/>
            <w:vAlign w:val="center"/>
          </w:tcPr>
          <w:p w14:paraId="57C7F6FD"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9.7</w:t>
            </w:r>
          </w:p>
        </w:tc>
        <w:tc>
          <w:tcPr>
            <w:tcW w:w="371" w:type="pct"/>
            <w:vAlign w:val="center"/>
          </w:tcPr>
          <w:p w14:paraId="2D5B3D8D"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10.1</w:t>
            </w:r>
          </w:p>
        </w:tc>
        <w:tc>
          <w:tcPr>
            <w:tcW w:w="372" w:type="pct"/>
            <w:vAlign w:val="center"/>
          </w:tcPr>
          <w:p w14:paraId="20550472"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10.2</w:t>
            </w:r>
          </w:p>
        </w:tc>
        <w:tc>
          <w:tcPr>
            <w:tcW w:w="371" w:type="pct"/>
            <w:vAlign w:val="center"/>
          </w:tcPr>
          <w:p w14:paraId="7898420F"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3.7</w:t>
            </w:r>
          </w:p>
        </w:tc>
        <w:tc>
          <w:tcPr>
            <w:tcW w:w="371" w:type="pct"/>
            <w:vAlign w:val="center"/>
          </w:tcPr>
          <w:p w14:paraId="042B1F95"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0.1</w:t>
            </w:r>
          </w:p>
        </w:tc>
        <w:tc>
          <w:tcPr>
            <w:tcW w:w="372" w:type="pct"/>
            <w:vAlign w:val="center"/>
          </w:tcPr>
          <w:p w14:paraId="05673A6D"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0.2</w:t>
            </w:r>
          </w:p>
        </w:tc>
        <w:tc>
          <w:tcPr>
            <w:tcW w:w="371" w:type="pct"/>
            <w:vAlign w:val="center"/>
          </w:tcPr>
          <w:p w14:paraId="643909EA"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0.1</w:t>
            </w:r>
          </w:p>
        </w:tc>
        <w:tc>
          <w:tcPr>
            <w:tcW w:w="371" w:type="pct"/>
            <w:vAlign w:val="center"/>
          </w:tcPr>
          <w:p w14:paraId="7B3E3730"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0.1</w:t>
            </w:r>
          </w:p>
        </w:tc>
        <w:tc>
          <w:tcPr>
            <w:tcW w:w="372" w:type="pct"/>
            <w:vAlign w:val="center"/>
          </w:tcPr>
          <w:p w14:paraId="1CD81CD5"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0.1</w:t>
            </w:r>
          </w:p>
        </w:tc>
        <w:tc>
          <w:tcPr>
            <w:tcW w:w="371" w:type="pct"/>
            <w:vAlign w:val="center"/>
          </w:tcPr>
          <w:p w14:paraId="29D6DC8A"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1.2</w:t>
            </w:r>
          </w:p>
        </w:tc>
        <w:tc>
          <w:tcPr>
            <w:tcW w:w="371" w:type="pct"/>
            <w:vAlign w:val="center"/>
          </w:tcPr>
          <w:p w14:paraId="32D766B6"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4.8</w:t>
            </w:r>
          </w:p>
        </w:tc>
        <w:tc>
          <w:tcPr>
            <w:tcW w:w="371" w:type="pct"/>
            <w:vAlign w:val="center"/>
          </w:tcPr>
          <w:p w14:paraId="0C8C2006"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6.9</w:t>
            </w:r>
          </w:p>
        </w:tc>
      </w:tr>
      <w:tr w:rsidR="000549B1" w:rsidRPr="000549B1" w14:paraId="1285C2F2" w14:textId="77777777">
        <w:trPr>
          <w:cantSplit/>
          <w:trHeight w:val="18"/>
          <w:jc w:val="center"/>
        </w:trPr>
        <w:tc>
          <w:tcPr>
            <w:tcW w:w="544" w:type="pct"/>
            <w:vAlign w:val="center"/>
          </w:tcPr>
          <w:p w14:paraId="21749393"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表底温差</w:t>
            </w:r>
          </w:p>
        </w:tc>
        <w:tc>
          <w:tcPr>
            <w:tcW w:w="371" w:type="pct"/>
            <w:vAlign w:val="center"/>
          </w:tcPr>
          <w:p w14:paraId="104E43C0"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1.6</w:t>
            </w:r>
          </w:p>
        </w:tc>
        <w:tc>
          <w:tcPr>
            <w:tcW w:w="371" w:type="pct"/>
            <w:vAlign w:val="center"/>
          </w:tcPr>
          <w:p w14:paraId="2589CBF5"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2.3</w:t>
            </w:r>
          </w:p>
        </w:tc>
        <w:tc>
          <w:tcPr>
            <w:tcW w:w="372" w:type="pct"/>
            <w:vAlign w:val="center"/>
          </w:tcPr>
          <w:p w14:paraId="32623A1D"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0.2</w:t>
            </w:r>
          </w:p>
        </w:tc>
        <w:tc>
          <w:tcPr>
            <w:tcW w:w="371" w:type="pct"/>
            <w:vAlign w:val="center"/>
          </w:tcPr>
          <w:p w14:paraId="7D5C48A4"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-1.6</w:t>
            </w:r>
          </w:p>
        </w:tc>
        <w:tc>
          <w:tcPr>
            <w:tcW w:w="371" w:type="pct"/>
            <w:vAlign w:val="center"/>
          </w:tcPr>
          <w:p w14:paraId="585BC12D"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-0.1</w:t>
            </w:r>
          </w:p>
        </w:tc>
        <w:tc>
          <w:tcPr>
            <w:tcW w:w="372" w:type="pct"/>
            <w:vAlign w:val="center"/>
          </w:tcPr>
          <w:p w14:paraId="530EB017"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-0.2</w:t>
            </w:r>
          </w:p>
        </w:tc>
        <w:tc>
          <w:tcPr>
            <w:tcW w:w="371" w:type="pct"/>
            <w:vAlign w:val="center"/>
          </w:tcPr>
          <w:p w14:paraId="75864CE7"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-0.1</w:t>
            </w:r>
          </w:p>
        </w:tc>
        <w:tc>
          <w:tcPr>
            <w:tcW w:w="371" w:type="pct"/>
            <w:vAlign w:val="center"/>
          </w:tcPr>
          <w:p w14:paraId="3C411EFF"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-0.1</w:t>
            </w:r>
          </w:p>
        </w:tc>
        <w:tc>
          <w:tcPr>
            <w:tcW w:w="372" w:type="pct"/>
            <w:vAlign w:val="center"/>
          </w:tcPr>
          <w:p w14:paraId="294EF7D3"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-0.1</w:t>
            </w:r>
          </w:p>
        </w:tc>
        <w:tc>
          <w:tcPr>
            <w:tcW w:w="371" w:type="pct"/>
            <w:vAlign w:val="center"/>
          </w:tcPr>
          <w:p w14:paraId="558635AA"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-0.9</w:t>
            </w:r>
          </w:p>
        </w:tc>
        <w:tc>
          <w:tcPr>
            <w:tcW w:w="371" w:type="pct"/>
            <w:vAlign w:val="center"/>
          </w:tcPr>
          <w:p w14:paraId="18C596B3"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0</w:t>
            </w:r>
          </w:p>
        </w:tc>
        <w:tc>
          <w:tcPr>
            <w:tcW w:w="371" w:type="pct"/>
            <w:vAlign w:val="center"/>
          </w:tcPr>
          <w:p w14:paraId="6F32FFA1"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0</w:t>
            </w:r>
          </w:p>
        </w:tc>
      </w:tr>
      <w:tr w:rsidR="000549B1" w:rsidRPr="000549B1" w14:paraId="14C115C0" w14:textId="77777777">
        <w:trPr>
          <w:cantSplit/>
          <w:trHeight w:val="18"/>
          <w:jc w:val="center"/>
        </w:trPr>
        <w:tc>
          <w:tcPr>
            <w:tcW w:w="544" w:type="pct"/>
            <w:vAlign w:val="center"/>
          </w:tcPr>
          <w:p w14:paraId="30947058"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垂向平均</w:t>
            </w:r>
          </w:p>
        </w:tc>
        <w:tc>
          <w:tcPr>
            <w:tcW w:w="371" w:type="pct"/>
            <w:vAlign w:val="center"/>
          </w:tcPr>
          <w:p w14:paraId="49A69CCF"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10.3</w:t>
            </w:r>
          </w:p>
        </w:tc>
        <w:tc>
          <w:tcPr>
            <w:tcW w:w="371" w:type="pct"/>
            <w:vAlign w:val="center"/>
          </w:tcPr>
          <w:p w14:paraId="17DA9DEC"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10.7</w:t>
            </w:r>
          </w:p>
        </w:tc>
        <w:tc>
          <w:tcPr>
            <w:tcW w:w="372" w:type="pct"/>
            <w:vAlign w:val="center"/>
          </w:tcPr>
          <w:p w14:paraId="38E92FB7"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10.2</w:t>
            </w:r>
          </w:p>
        </w:tc>
        <w:tc>
          <w:tcPr>
            <w:tcW w:w="371" w:type="pct"/>
            <w:vAlign w:val="center"/>
          </w:tcPr>
          <w:p w14:paraId="64D8562C"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2.5</w:t>
            </w:r>
          </w:p>
        </w:tc>
        <w:tc>
          <w:tcPr>
            <w:tcW w:w="371" w:type="pct"/>
            <w:vAlign w:val="center"/>
          </w:tcPr>
          <w:p w14:paraId="5A6EB5E4"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0</w:t>
            </w:r>
          </w:p>
        </w:tc>
        <w:tc>
          <w:tcPr>
            <w:tcW w:w="372" w:type="pct"/>
            <w:vAlign w:val="center"/>
          </w:tcPr>
          <w:p w14:paraId="6444D8D9"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0</w:t>
            </w:r>
          </w:p>
        </w:tc>
        <w:tc>
          <w:tcPr>
            <w:tcW w:w="371" w:type="pct"/>
            <w:vAlign w:val="center"/>
          </w:tcPr>
          <w:p w14:paraId="403FE1B0"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0</w:t>
            </w:r>
          </w:p>
        </w:tc>
        <w:tc>
          <w:tcPr>
            <w:tcW w:w="371" w:type="pct"/>
            <w:vAlign w:val="center"/>
          </w:tcPr>
          <w:p w14:paraId="6DC1E325"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0</w:t>
            </w:r>
          </w:p>
        </w:tc>
        <w:tc>
          <w:tcPr>
            <w:tcW w:w="372" w:type="pct"/>
            <w:vAlign w:val="center"/>
          </w:tcPr>
          <w:p w14:paraId="4233E3D9"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0</w:t>
            </w:r>
          </w:p>
        </w:tc>
        <w:tc>
          <w:tcPr>
            <w:tcW w:w="371" w:type="pct"/>
            <w:vAlign w:val="center"/>
          </w:tcPr>
          <w:p w14:paraId="5BB8DAC4"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0.5</w:t>
            </w:r>
          </w:p>
        </w:tc>
        <w:tc>
          <w:tcPr>
            <w:tcW w:w="371" w:type="pct"/>
            <w:vAlign w:val="center"/>
          </w:tcPr>
          <w:p w14:paraId="5DAD705C"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4.8</w:t>
            </w:r>
          </w:p>
        </w:tc>
        <w:tc>
          <w:tcPr>
            <w:tcW w:w="371" w:type="pct"/>
            <w:vAlign w:val="center"/>
          </w:tcPr>
          <w:p w14:paraId="61BC6D7C" w14:textId="77777777" w:rsidR="00054437" w:rsidRPr="000549B1" w:rsidRDefault="00000000">
            <w:pPr>
              <w:widowControl/>
              <w:snapToGrid w:val="0"/>
              <w:spacing w:line="0" w:lineRule="atLeast"/>
              <w:jc w:val="center"/>
              <w:rPr>
                <w:bCs/>
                <w:snapToGrid w:val="0"/>
                <w:spacing w:val="5"/>
                <w:sz w:val="18"/>
                <w:szCs w:val="18"/>
                <w:lang w:bidi="he-IL"/>
              </w:rPr>
            </w:pPr>
            <w:r w:rsidRPr="000549B1">
              <w:rPr>
                <w:bCs/>
                <w:snapToGrid w:val="0"/>
                <w:spacing w:val="5"/>
                <w:sz w:val="18"/>
                <w:szCs w:val="18"/>
                <w:lang w:bidi="he-IL"/>
              </w:rPr>
              <w:t>6.9</w:t>
            </w:r>
          </w:p>
        </w:tc>
      </w:tr>
    </w:tbl>
    <w:p w14:paraId="4E6C2936" w14:textId="77777777" w:rsidR="00054437" w:rsidRPr="000549B1" w:rsidRDefault="00000000">
      <w:pPr>
        <w:spacing w:line="360" w:lineRule="auto"/>
        <w:jc w:val="center"/>
        <w:rPr>
          <w:rFonts w:eastAsia="黑体"/>
          <w:szCs w:val="21"/>
        </w:rPr>
      </w:pPr>
      <w:r w:rsidRPr="000549B1">
        <w:object w:dxaOrig="5642" w:dyaOrig="5514" w14:anchorId="34952A51">
          <v:shape id="_x0000_i1052" type="#_x0000_t75" style="width:282.4pt;height:274.5pt" o:ole="">
            <v:imagedata r:id="rId277" o:title="" croptop="14796f" cropbottom="9729f" cropleft="6379f" cropright="7477f"/>
          </v:shape>
          <o:OLEObject Type="Embed" ProgID="Origin95.Graph" ShapeID="_x0000_i1052" DrawAspect="Content" ObjectID="_1828270456" r:id="rId278"/>
        </w:object>
      </w:r>
    </w:p>
    <w:p w14:paraId="2675DAE1" w14:textId="419CFEF5" w:rsidR="00054437" w:rsidRPr="000549B1" w:rsidRDefault="00000000">
      <w:pPr>
        <w:pStyle w:val="aff8"/>
        <w:rPr>
          <w:color w:val="auto"/>
        </w:rPr>
      </w:pPr>
      <w:r w:rsidRPr="000549B1">
        <w:rPr>
          <w:color w:val="auto"/>
        </w:rPr>
        <w:t>图</w:t>
      </w:r>
      <w:r w:rsidR="00F1314B">
        <w:rPr>
          <w:color w:val="auto"/>
        </w:rPr>
        <w:fldChar w:fldCharType="begin"/>
      </w:r>
      <w:r w:rsidR="00F1314B">
        <w:rPr>
          <w:color w:val="auto"/>
        </w:rPr>
        <w:instrText xml:space="preserve"> STYLEREF 2 \s </w:instrText>
      </w:r>
      <w:r w:rsidR="00F1314B">
        <w:rPr>
          <w:color w:val="auto"/>
        </w:rPr>
        <w:fldChar w:fldCharType="separate"/>
      </w:r>
      <w:r w:rsidR="00F32CCA">
        <w:rPr>
          <w:noProof/>
          <w:color w:val="auto"/>
        </w:rPr>
        <w:t>5.2</w:t>
      </w:r>
      <w:r w:rsidR="00F1314B">
        <w:rPr>
          <w:color w:val="auto"/>
        </w:rPr>
        <w:fldChar w:fldCharType="end"/>
      </w:r>
      <w:r w:rsidR="00F1314B">
        <w:rPr>
          <w:color w:val="auto"/>
        </w:rPr>
        <w:noBreakHyphen/>
      </w:r>
      <w:r w:rsidR="00F1314B">
        <w:rPr>
          <w:color w:val="auto"/>
        </w:rPr>
        <w:fldChar w:fldCharType="begin"/>
      </w:r>
      <w:r w:rsidR="00F1314B">
        <w:rPr>
          <w:color w:val="auto"/>
        </w:rPr>
        <w:instrText xml:space="preserve"> SEQ </w:instrText>
      </w:r>
      <w:r w:rsidR="00F1314B">
        <w:rPr>
          <w:color w:val="auto"/>
        </w:rPr>
        <w:instrText>图</w:instrText>
      </w:r>
      <w:r w:rsidR="00F1314B">
        <w:rPr>
          <w:color w:val="auto"/>
        </w:rPr>
        <w:instrText xml:space="preserve"> \* ARABIC \s 2 </w:instrText>
      </w:r>
      <w:r w:rsidR="00F1314B">
        <w:rPr>
          <w:color w:val="auto"/>
        </w:rPr>
        <w:fldChar w:fldCharType="separate"/>
      </w:r>
      <w:r w:rsidR="00F32CCA">
        <w:rPr>
          <w:noProof/>
          <w:color w:val="auto"/>
        </w:rPr>
        <w:t>6</w:t>
      </w:r>
      <w:r w:rsidR="00F1314B">
        <w:rPr>
          <w:color w:val="auto"/>
        </w:rPr>
        <w:fldChar w:fldCharType="end"/>
      </w:r>
      <w:r w:rsidRPr="000549B1">
        <w:rPr>
          <w:color w:val="auto"/>
        </w:rPr>
        <w:t>P=90%</w:t>
      </w:r>
      <w:r w:rsidRPr="000549B1">
        <w:rPr>
          <w:color w:val="auto"/>
        </w:rPr>
        <w:t>来水条件下大河坝水库坝前垂向水温分布</w:t>
      </w:r>
    </w:p>
    <w:p w14:paraId="125AB08C" w14:textId="77777777" w:rsidR="00054437" w:rsidRPr="000549B1" w:rsidRDefault="00054437">
      <w:pPr>
        <w:spacing w:line="360" w:lineRule="auto"/>
        <w:jc w:val="center"/>
        <w:rPr>
          <w:sz w:val="24"/>
          <w:szCs w:val="24"/>
        </w:rPr>
      </w:pPr>
    </w:p>
    <w:p w14:paraId="3C33B749" w14:textId="77777777" w:rsidR="00054437" w:rsidRPr="000549B1" w:rsidRDefault="00000000">
      <w:pPr>
        <w:spacing w:line="360" w:lineRule="auto"/>
        <w:jc w:val="center"/>
        <w:rPr>
          <w:sz w:val="24"/>
          <w:szCs w:val="24"/>
        </w:rPr>
      </w:pPr>
      <w:r w:rsidRPr="000549B1">
        <w:rPr>
          <w:noProof/>
          <w:sz w:val="24"/>
          <w:szCs w:val="24"/>
        </w:rPr>
        <w:drawing>
          <wp:inline distT="0" distB="0" distL="114300" distR="114300" wp14:anchorId="117092FA" wp14:editId="26C34C5A">
            <wp:extent cx="2591435" cy="1727835"/>
            <wp:effectExtent l="0" t="0" r="18415" b="5715"/>
            <wp:docPr id="82"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6"/>
                    <pic:cNvPicPr>
                      <a:picLocks noChangeAspect="1"/>
                    </pic:cNvPicPr>
                  </pic:nvPicPr>
                  <pic:blipFill>
                    <a:blip r:embed="rId279"/>
                    <a:stretch>
                      <a:fillRect/>
                    </a:stretch>
                  </pic:blipFill>
                  <pic:spPr>
                    <a:xfrm>
                      <a:off x="0" y="0"/>
                      <a:ext cx="2591435" cy="1727835"/>
                    </a:xfrm>
                    <a:prstGeom prst="rect">
                      <a:avLst/>
                    </a:prstGeom>
                    <a:noFill/>
                    <a:ln>
                      <a:noFill/>
                    </a:ln>
                  </pic:spPr>
                </pic:pic>
              </a:graphicData>
            </a:graphic>
          </wp:inline>
        </w:drawing>
      </w:r>
      <w:r w:rsidRPr="000549B1">
        <w:rPr>
          <w:noProof/>
          <w:sz w:val="24"/>
          <w:szCs w:val="24"/>
        </w:rPr>
        <w:drawing>
          <wp:inline distT="0" distB="0" distL="114300" distR="114300" wp14:anchorId="2D54CFC5" wp14:editId="29B37F73">
            <wp:extent cx="2591435" cy="1727835"/>
            <wp:effectExtent l="0" t="0" r="18415" b="5715"/>
            <wp:docPr id="95"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87"/>
                    <pic:cNvPicPr>
                      <a:picLocks noChangeAspect="1"/>
                    </pic:cNvPicPr>
                  </pic:nvPicPr>
                  <pic:blipFill>
                    <a:blip r:embed="rId280"/>
                    <a:stretch>
                      <a:fillRect/>
                    </a:stretch>
                  </pic:blipFill>
                  <pic:spPr>
                    <a:xfrm>
                      <a:off x="0" y="0"/>
                      <a:ext cx="2591435" cy="1727835"/>
                    </a:xfrm>
                    <a:prstGeom prst="rect">
                      <a:avLst/>
                    </a:prstGeom>
                    <a:noFill/>
                    <a:ln>
                      <a:noFill/>
                    </a:ln>
                  </pic:spPr>
                </pic:pic>
              </a:graphicData>
            </a:graphic>
          </wp:inline>
        </w:drawing>
      </w:r>
    </w:p>
    <w:p w14:paraId="270B4FDA" w14:textId="77777777" w:rsidR="00054437" w:rsidRPr="000549B1" w:rsidRDefault="00000000">
      <w:pPr>
        <w:spacing w:line="360" w:lineRule="auto"/>
        <w:jc w:val="center"/>
        <w:rPr>
          <w:rFonts w:eastAsia="黑体"/>
          <w:szCs w:val="21"/>
        </w:rPr>
      </w:pPr>
      <w:r w:rsidRPr="000549B1">
        <w:rPr>
          <w:rFonts w:eastAsia="黑体"/>
          <w:szCs w:val="21"/>
        </w:rPr>
        <w:t>（</w:t>
      </w:r>
      <w:r w:rsidRPr="000549B1">
        <w:rPr>
          <w:rFonts w:eastAsia="黑体"/>
          <w:szCs w:val="21"/>
        </w:rPr>
        <w:t>1</w:t>
      </w:r>
      <w:r w:rsidRPr="000549B1">
        <w:rPr>
          <w:rFonts w:eastAsia="黑体"/>
          <w:szCs w:val="21"/>
        </w:rPr>
        <w:t>）</w:t>
      </w:r>
      <w:r w:rsidRPr="000549B1">
        <w:rPr>
          <w:rFonts w:eastAsia="黑体"/>
          <w:szCs w:val="21"/>
        </w:rPr>
        <w:t>7</w:t>
      </w:r>
      <w:r w:rsidRPr="000549B1">
        <w:rPr>
          <w:rFonts w:eastAsia="黑体"/>
          <w:szCs w:val="21"/>
        </w:rPr>
        <w:t>月（</w:t>
      </w:r>
      <w:r w:rsidRPr="000549B1">
        <w:rPr>
          <w:rFonts w:eastAsia="黑体"/>
          <w:szCs w:val="21"/>
        </w:rPr>
        <w:t>2</w:t>
      </w:r>
      <w:r w:rsidRPr="000549B1">
        <w:rPr>
          <w:rFonts w:eastAsia="黑体"/>
          <w:szCs w:val="21"/>
        </w:rPr>
        <w:t>）</w:t>
      </w:r>
      <w:r w:rsidRPr="000549B1">
        <w:rPr>
          <w:rFonts w:eastAsia="黑体"/>
          <w:szCs w:val="21"/>
        </w:rPr>
        <w:t>8</w:t>
      </w:r>
      <w:r w:rsidRPr="000549B1">
        <w:rPr>
          <w:rFonts w:eastAsia="黑体"/>
          <w:szCs w:val="21"/>
        </w:rPr>
        <w:t>月</w:t>
      </w:r>
    </w:p>
    <w:p w14:paraId="780319FC" w14:textId="77777777" w:rsidR="00054437" w:rsidRPr="000549B1" w:rsidRDefault="00000000">
      <w:pPr>
        <w:spacing w:line="360" w:lineRule="auto"/>
        <w:jc w:val="center"/>
        <w:rPr>
          <w:sz w:val="24"/>
          <w:szCs w:val="24"/>
        </w:rPr>
      </w:pPr>
      <w:r w:rsidRPr="000549B1">
        <w:rPr>
          <w:noProof/>
          <w:sz w:val="24"/>
          <w:szCs w:val="24"/>
        </w:rPr>
        <w:drawing>
          <wp:inline distT="0" distB="0" distL="114300" distR="114300" wp14:anchorId="662D322C" wp14:editId="6EEAA231">
            <wp:extent cx="2591435" cy="1727835"/>
            <wp:effectExtent l="0" t="0" r="18415" b="5715"/>
            <wp:docPr id="66"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88"/>
                    <pic:cNvPicPr>
                      <a:picLocks noChangeAspect="1"/>
                    </pic:cNvPicPr>
                  </pic:nvPicPr>
                  <pic:blipFill>
                    <a:blip r:embed="rId281"/>
                    <a:stretch>
                      <a:fillRect/>
                    </a:stretch>
                  </pic:blipFill>
                  <pic:spPr>
                    <a:xfrm>
                      <a:off x="0" y="0"/>
                      <a:ext cx="2591435" cy="1727835"/>
                    </a:xfrm>
                    <a:prstGeom prst="rect">
                      <a:avLst/>
                    </a:prstGeom>
                    <a:noFill/>
                    <a:ln>
                      <a:noFill/>
                    </a:ln>
                  </pic:spPr>
                </pic:pic>
              </a:graphicData>
            </a:graphic>
          </wp:inline>
        </w:drawing>
      </w:r>
      <w:r w:rsidRPr="000549B1">
        <w:rPr>
          <w:noProof/>
          <w:sz w:val="24"/>
          <w:szCs w:val="24"/>
        </w:rPr>
        <w:drawing>
          <wp:inline distT="0" distB="0" distL="114300" distR="114300" wp14:anchorId="3A5D1455" wp14:editId="1FE1D553">
            <wp:extent cx="2591435" cy="1727835"/>
            <wp:effectExtent l="0" t="0" r="18415" b="5715"/>
            <wp:docPr id="83"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9"/>
                    <pic:cNvPicPr>
                      <a:picLocks noChangeAspect="1"/>
                    </pic:cNvPicPr>
                  </pic:nvPicPr>
                  <pic:blipFill>
                    <a:blip r:embed="rId282"/>
                    <a:stretch>
                      <a:fillRect/>
                    </a:stretch>
                  </pic:blipFill>
                  <pic:spPr>
                    <a:xfrm>
                      <a:off x="0" y="0"/>
                      <a:ext cx="2591435" cy="1727835"/>
                    </a:xfrm>
                    <a:prstGeom prst="rect">
                      <a:avLst/>
                    </a:prstGeom>
                    <a:noFill/>
                    <a:ln>
                      <a:noFill/>
                    </a:ln>
                  </pic:spPr>
                </pic:pic>
              </a:graphicData>
            </a:graphic>
          </wp:inline>
        </w:drawing>
      </w:r>
    </w:p>
    <w:p w14:paraId="2A08D6CD" w14:textId="77777777" w:rsidR="00054437" w:rsidRPr="000549B1" w:rsidRDefault="00000000">
      <w:pPr>
        <w:spacing w:line="360" w:lineRule="auto"/>
        <w:jc w:val="center"/>
        <w:rPr>
          <w:rFonts w:eastAsia="黑体"/>
          <w:szCs w:val="21"/>
        </w:rPr>
      </w:pPr>
      <w:r w:rsidRPr="000549B1">
        <w:rPr>
          <w:rFonts w:eastAsia="黑体"/>
          <w:szCs w:val="21"/>
        </w:rPr>
        <w:t>（</w:t>
      </w:r>
      <w:r w:rsidRPr="000549B1">
        <w:rPr>
          <w:rFonts w:eastAsia="黑体"/>
          <w:szCs w:val="21"/>
        </w:rPr>
        <w:t>3</w:t>
      </w:r>
      <w:r w:rsidRPr="000549B1">
        <w:rPr>
          <w:rFonts w:eastAsia="黑体"/>
          <w:szCs w:val="21"/>
        </w:rPr>
        <w:t>）</w:t>
      </w:r>
      <w:r w:rsidRPr="000549B1">
        <w:rPr>
          <w:rFonts w:eastAsia="黑体"/>
          <w:szCs w:val="21"/>
        </w:rPr>
        <w:t>9</w:t>
      </w:r>
      <w:r w:rsidRPr="000549B1">
        <w:rPr>
          <w:rFonts w:eastAsia="黑体"/>
          <w:szCs w:val="21"/>
        </w:rPr>
        <w:t>月（</w:t>
      </w:r>
      <w:r w:rsidRPr="000549B1">
        <w:rPr>
          <w:rFonts w:eastAsia="黑体"/>
          <w:szCs w:val="21"/>
        </w:rPr>
        <w:t>4</w:t>
      </w:r>
      <w:r w:rsidRPr="000549B1">
        <w:rPr>
          <w:rFonts w:eastAsia="黑体"/>
          <w:szCs w:val="21"/>
        </w:rPr>
        <w:t>）</w:t>
      </w:r>
      <w:r w:rsidRPr="000549B1">
        <w:rPr>
          <w:rFonts w:eastAsia="黑体"/>
          <w:szCs w:val="21"/>
        </w:rPr>
        <w:t>10</w:t>
      </w:r>
      <w:r w:rsidRPr="000549B1">
        <w:rPr>
          <w:rFonts w:eastAsia="黑体"/>
          <w:szCs w:val="21"/>
        </w:rPr>
        <w:t>月</w:t>
      </w:r>
    </w:p>
    <w:p w14:paraId="302552DC" w14:textId="77777777" w:rsidR="00054437" w:rsidRPr="000549B1" w:rsidRDefault="00000000">
      <w:pPr>
        <w:spacing w:line="360" w:lineRule="auto"/>
        <w:jc w:val="center"/>
        <w:rPr>
          <w:sz w:val="24"/>
          <w:szCs w:val="24"/>
        </w:rPr>
      </w:pPr>
      <w:r w:rsidRPr="000549B1">
        <w:rPr>
          <w:noProof/>
          <w:sz w:val="24"/>
          <w:szCs w:val="24"/>
        </w:rPr>
        <w:drawing>
          <wp:inline distT="0" distB="0" distL="114300" distR="114300" wp14:anchorId="35C19FD4" wp14:editId="601D5737">
            <wp:extent cx="2591435" cy="1727835"/>
            <wp:effectExtent l="0" t="0" r="18415" b="5715"/>
            <wp:docPr id="67"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90"/>
                    <pic:cNvPicPr>
                      <a:picLocks noChangeAspect="1"/>
                    </pic:cNvPicPr>
                  </pic:nvPicPr>
                  <pic:blipFill>
                    <a:blip r:embed="rId283"/>
                    <a:stretch>
                      <a:fillRect/>
                    </a:stretch>
                  </pic:blipFill>
                  <pic:spPr>
                    <a:xfrm>
                      <a:off x="0" y="0"/>
                      <a:ext cx="2591435" cy="1727835"/>
                    </a:xfrm>
                    <a:prstGeom prst="rect">
                      <a:avLst/>
                    </a:prstGeom>
                    <a:noFill/>
                    <a:ln>
                      <a:noFill/>
                    </a:ln>
                  </pic:spPr>
                </pic:pic>
              </a:graphicData>
            </a:graphic>
          </wp:inline>
        </w:drawing>
      </w:r>
      <w:r w:rsidRPr="000549B1">
        <w:rPr>
          <w:noProof/>
          <w:sz w:val="24"/>
          <w:szCs w:val="24"/>
        </w:rPr>
        <w:drawing>
          <wp:inline distT="0" distB="0" distL="114300" distR="114300" wp14:anchorId="60A7B298" wp14:editId="1C7B545A">
            <wp:extent cx="2591435" cy="1727835"/>
            <wp:effectExtent l="0" t="0" r="18415" b="5715"/>
            <wp:docPr id="85"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91"/>
                    <pic:cNvPicPr>
                      <a:picLocks noChangeAspect="1"/>
                    </pic:cNvPicPr>
                  </pic:nvPicPr>
                  <pic:blipFill>
                    <a:blip r:embed="rId284"/>
                    <a:stretch>
                      <a:fillRect/>
                    </a:stretch>
                  </pic:blipFill>
                  <pic:spPr>
                    <a:xfrm>
                      <a:off x="0" y="0"/>
                      <a:ext cx="2591435" cy="1727835"/>
                    </a:xfrm>
                    <a:prstGeom prst="rect">
                      <a:avLst/>
                    </a:prstGeom>
                    <a:noFill/>
                    <a:ln>
                      <a:noFill/>
                    </a:ln>
                  </pic:spPr>
                </pic:pic>
              </a:graphicData>
            </a:graphic>
          </wp:inline>
        </w:drawing>
      </w:r>
    </w:p>
    <w:p w14:paraId="22E89A57" w14:textId="77777777" w:rsidR="00054437" w:rsidRPr="000549B1" w:rsidRDefault="00000000">
      <w:pPr>
        <w:spacing w:line="360" w:lineRule="auto"/>
        <w:jc w:val="center"/>
        <w:rPr>
          <w:rFonts w:eastAsia="黑体"/>
          <w:szCs w:val="21"/>
        </w:rPr>
      </w:pPr>
      <w:r w:rsidRPr="000549B1">
        <w:rPr>
          <w:rFonts w:eastAsia="黑体"/>
          <w:szCs w:val="21"/>
        </w:rPr>
        <w:t>（</w:t>
      </w:r>
      <w:r w:rsidRPr="000549B1">
        <w:rPr>
          <w:rFonts w:eastAsia="黑体"/>
          <w:szCs w:val="21"/>
        </w:rPr>
        <w:t>5</w:t>
      </w:r>
      <w:r w:rsidRPr="000549B1">
        <w:rPr>
          <w:rFonts w:eastAsia="黑体"/>
          <w:szCs w:val="21"/>
        </w:rPr>
        <w:t>）</w:t>
      </w:r>
      <w:r w:rsidRPr="000549B1">
        <w:rPr>
          <w:rFonts w:eastAsia="黑体"/>
          <w:szCs w:val="21"/>
        </w:rPr>
        <w:t>11</w:t>
      </w:r>
      <w:r w:rsidRPr="000549B1">
        <w:rPr>
          <w:rFonts w:eastAsia="黑体"/>
          <w:szCs w:val="21"/>
        </w:rPr>
        <w:t>月（</w:t>
      </w:r>
      <w:r w:rsidRPr="000549B1">
        <w:rPr>
          <w:rFonts w:eastAsia="黑体"/>
          <w:szCs w:val="21"/>
        </w:rPr>
        <w:t>6</w:t>
      </w:r>
      <w:r w:rsidRPr="000549B1">
        <w:rPr>
          <w:rFonts w:eastAsia="黑体"/>
          <w:szCs w:val="21"/>
        </w:rPr>
        <w:t>）</w:t>
      </w:r>
      <w:r w:rsidRPr="000549B1">
        <w:rPr>
          <w:rFonts w:eastAsia="黑体"/>
          <w:szCs w:val="21"/>
        </w:rPr>
        <w:t>12</w:t>
      </w:r>
      <w:r w:rsidRPr="000549B1">
        <w:rPr>
          <w:rFonts w:eastAsia="黑体"/>
          <w:szCs w:val="21"/>
        </w:rPr>
        <w:t>月</w:t>
      </w:r>
    </w:p>
    <w:p w14:paraId="5075BBF8" w14:textId="77777777" w:rsidR="00054437" w:rsidRPr="000549B1" w:rsidRDefault="00000000">
      <w:pPr>
        <w:spacing w:line="360" w:lineRule="auto"/>
        <w:jc w:val="center"/>
        <w:rPr>
          <w:sz w:val="24"/>
          <w:szCs w:val="24"/>
        </w:rPr>
      </w:pPr>
      <w:r w:rsidRPr="000549B1">
        <w:rPr>
          <w:noProof/>
          <w:sz w:val="24"/>
          <w:szCs w:val="24"/>
        </w:rPr>
        <w:drawing>
          <wp:inline distT="0" distB="0" distL="114300" distR="114300" wp14:anchorId="425FC016" wp14:editId="6E58D917">
            <wp:extent cx="2591435" cy="1727835"/>
            <wp:effectExtent l="0" t="0" r="18415" b="5715"/>
            <wp:docPr id="109"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92"/>
                    <pic:cNvPicPr>
                      <a:picLocks noChangeAspect="1"/>
                    </pic:cNvPicPr>
                  </pic:nvPicPr>
                  <pic:blipFill>
                    <a:blip r:embed="rId285"/>
                    <a:stretch>
                      <a:fillRect/>
                    </a:stretch>
                  </pic:blipFill>
                  <pic:spPr>
                    <a:xfrm>
                      <a:off x="0" y="0"/>
                      <a:ext cx="2591435" cy="1727835"/>
                    </a:xfrm>
                    <a:prstGeom prst="rect">
                      <a:avLst/>
                    </a:prstGeom>
                    <a:noFill/>
                    <a:ln>
                      <a:noFill/>
                    </a:ln>
                  </pic:spPr>
                </pic:pic>
              </a:graphicData>
            </a:graphic>
          </wp:inline>
        </w:drawing>
      </w:r>
      <w:r w:rsidRPr="000549B1">
        <w:rPr>
          <w:noProof/>
          <w:sz w:val="24"/>
          <w:szCs w:val="24"/>
        </w:rPr>
        <w:drawing>
          <wp:inline distT="0" distB="0" distL="114300" distR="114300" wp14:anchorId="618D4409" wp14:editId="0377F0B4">
            <wp:extent cx="2591435" cy="1727835"/>
            <wp:effectExtent l="0" t="0" r="18415" b="5715"/>
            <wp:docPr id="111"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93"/>
                    <pic:cNvPicPr>
                      <a:picLocks noChangeAspect="1"/>
                    </pic:cNvPicPr>
                  </pic:nvPicPr>
                  <pic:blipFill>
                    <a:blip r:embed="rId286"/>
                    <a:stretch>
                      <a:fillRect/>
                    </a:stretch>
                  </pic:blipFill>
                  <pic:spPr>
                    <a:xfrm>
                      <a:off x="0" y="0"/>
                      <a:ext cx="2591435" cy="1727835"/>
                    </a:xfrm>
                    <a:prstGeom prst="rect">
                      <a:avLst/>
                    </a:prstGeom>
                    <a:noFill/>
                    <a:ln>
                      <a:noFill/>
                    </a:ln>
                  </pic:spPr>
                </pic:pic>
              </a:graphicData>
            </a:graphic>
          </wp:inline>
        </w:drawing>
      </w:r>
    </w:p>
    <w:p w14:paraId="4FB8F40E" w14:textId="77777777" w:rsidR="00054437" w:rsidRPr="000549B1" w:rsidRDefault="00000000">
      <w:pPr>
        <w:spacing w:line="360" w:lineRule="auto"/>
        <w:jc w:val="center"/>
        <w:rPr>
          <w:sz w:val="24"/>
          <w:szCs w:val="24"/>
        </w:rPr>
      </w:pPr>
      <w:r w:rsidRPr="000549B1">
        <w:rPr>
          <w:rFonts w:eastAsia="黑体"/>
          <w:szCs w:val="21"/>
        </w:rPr>
        <w:t>（</w:t>
      </w:r>
      <w:r w:rsidRPr="000549B1">
        <w:rPr>
          <w:rFonts w:eastAsia="黑体"/>
          <w:szCs w:val="21"/>
        </w:rPr>
        <w:t>7</w:t>
      </w:r>
      <w:r w:rsidRPr="000549B1">
        <w:rPr>
          <w:rFonts w:eastAsia="黑体"/>
          <w:szCs w:val="21"/>
        </w:rPr>
        <w:t>）</w:t>
      </w:r>
      <w:r w:rsidRPr="000549B1">
        <w:rPr>
          <w:rFonts w:eastAsia="黑体"/>
          <w:szCs w:val="21"/>
        </w:rPr>
        <w:t>1</w:t>
      </w:r>
      <w:r w:rsidRPr="000549B1">
        <w:rPr>
          <w:rFonts w:eastAsia="黑体"/>
          <w:szCs w:val="21"/>
        </w:rPr>
        <w:t>月（</w:t>
      </w:r>
      <w:r w:rsidRPr="000549B1">
        <w:rPr>
          <w:rFonts w:eastAsia="黑体"/>
          <w:szCs w:val="21"/>
        </w:rPr>
        <w:t>8</w:t>
      </w:r>
      <w:r w:rsidRPr="000549B1">
        <w:rPr>
          <w:rFonts w:eastAsia="黑体"/>
          <w:szCs w:val="21"/>
        </w:rPr>
        <w:t>）</w:t>
      </w:r>
      <w:r w:rsidRPr="000549B1">
        <w:rPr>
          <w:rFonts w:eastAsia="黑体"/>
          <w:szCs w:val="21"/>
        </w:rPr>
        <w:t>2</w:t>
      </w:r>
      <w:r w:rsidRPr="000549B1">
        <w:rPr>
          <w:rFonts w:eastAsia="黑体"/>
          <w:szCs w:val="21"/>
        </w:rPr>
        <w:t>月</w:t>
      </w:r>
    </w:p>
    <w:p w14:paraId="0577AA8F" w14:textId="77777777" w:rsidR="00054437" w:rsidRPr="000549B1" w:rsidRDefault="00000000">
      <w:pPr>
        <w:spacing w:line="360" w:lineRule="auto"/>
        <w:jc w:val="center"/>
        <w:rPr>
          <w:sz w:val="24"/>
          <w:szCs w:val="24"/>
        </w:rPr>
      </w:pPr>
      <w:r w:rsidRPr="000549B1">
        <w:rPr>
          <w:noProof/>
          <w:sz w:val="24"/>
          <w:szCs w:val="24"/>
        </w:rPr>
        <w:drawing>
          <wp:inline distT="0" distB="0" distL="114300" distR="114300" wp14:anchorId="2B59DE4B" wp14:editId="31B19FDD">
            <wp:extent cx="2591435" cy="1727835"/>
            <wp:effectExtent l="0" t="0" r="18415" b="5715"/>
            <wp:docPr id="110"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94"/>
                    <pic:cNvPicPr>
                      <a:picLocks noChangeAspect="1"/>
                    </pic:cNvPicPr>
                  </pic:nvPicPr>
                  <pic:blipFill>
                    <a:blip r:embed="rId287"/>
                    <a:stretch>
                      <a:fillRect/>
                    </a:stretch>
                  </pic:blipFill>
                  <pic:spPr>
                    <a:xfrm>
                      <a:off x="0" y="0"/>
                      <a:ext cx="2591435" cy="1727835"/>
                    </a:xfrm>
                    <a:prstGeom prst="rect">
                      <a:avLst/>
                    </a:prstGeom>
                    <a:noFill/>
                    <a:ln>
                      <a:noFill/>
                    </a:ln>
                  </pic:spPr>
                </pic:pic>
              </a:graphicData>
            </a:graphic>
          </wp:inline>
        </w:drawing>
      </w:r>
      <w:r w:rsidRPr="000549B1">
        <w:rPr>
          <w:noProof/>
          <w:sz w:val="24"/>
          <w:szCs w:val="24"/>
        </w:rPr>
        <w:drawing>
          <wp:inline distT="0" distB="0" distL="114300" distR="114300" wp14:anchorId="064EB91B" wp14:editId="151FEFCB">
            <wp:extent cx="2591435" cy="1727835"/>
            <wp:effectExtent l="0" t="0" r="18415" b="5715"/>
            <wp:docPr id="114"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95"/>
                    <pic:cNvPicPr>
                      <a:picLocks noChangeAspect="1"/>
                    </pic:cNvPicPr>
                  </pic:nvPicPr>
                  <pic:blipFill>
                    <a:blip r:embed="rId288"/>
                    <a:stretch>
                      <a:fillRect/>
                    </a:stretch>
                  </pic:blipFill>
                  <pic:spPr>
                    <a:xfrm>
                      <a:off x="0" y="0"/>
                      <a:ext cx="2591435" cy="1727835"/>
                    </a:xfrm>
                    <a:prstGeom prst="rect">
                      <a:avLst/>
                    </a:prstGeom>
                    <a:noFill/>
                    <a:ln>
                      <a:noFill/>
                    </a:ln>
                  </pic:spPr>
                </pic:pic>
              </a:graphicData>
            </a:graphic>
          </wp:inline>
        </w:drawing>
      </w:r>
    </w:p>
    <w:p w14:paraId="5AD6F1E3" w14:textId="77777777" w:rsidR="00054437" w:rsidRPr="000549B1" w:rsidRDefault="00000000">
      <w:pPr>
        <w:spacing w:line="360" w:lineRule="auto"/>
        <w:jc w:val="center"/>
        <w:rPr>
          <w:sz w:val="24"/>
          <w:szCs w:val="24"/>
        </w:rPr>
      </w:pPr>
      <w:r w:rsidRPr="000549B1">
        <w:rPr>
          <w:rFonts w:eastAsia="黑体"/>
          <w:szCs w:val="21"/>
        </w:rPr>
        <w:t>（</w:t>
      </w:r>
      <w:r w:rsidRPr="000549B1">
        <w:rPr>
          <w:rFonts w:eastAsia="黑体"/>
          <w:szCs w:val="21"/>
        </w:rPr>
        <w:t>9</w:t>
      </w:r>
      <w:r w:rsidRPr="000549B1">
        <w:rPr>
          <w:rFonts w:eastAsia="黑体"/>
          <w:szCs w:val="21"/>
        </w:rPr>
        <w:t>）</w:t>
      </w:r>
      <w:r w:rsidRPr="000549B1">
        <w:rPr>
          <w:rFonts w:eastAsia="黑体"/>
          <w:szCs w:val="21"/>
        </w:rPr>
        <w:t>3</w:t>
      </w:r>
      <w:r w:rsidRPr="000549B1">
        <w:rPr>
          <w:rFonts w:eastAsia="黑体"/>
          <w:szCs w:val="21"/>
        </w:rPr>
        <w:t>月（</w:t>
      </w:r>
      <w:r w:rsidRPr="000549B1">
        <w:rPr>
          <w:rFonts w:eastAsia="黑体"/>
          <w:szCs w:val="21"/>
        </w:rPr>
        <w:t>10</w:t>
      </w:r>
      <w:r w:rsidRPr="000549B1">
        <w:rPr>
          <w:rFonts w:eastAsia="黑体"/>
          <w:szCs w:val="21"/>
        </w:rPr>
        <w:t>）</w:t>
      </w:r>
      <w:r w:rsidRPr="000549B1">
        <w:rPr>
          <w:rFonts w:eastAsia="黑体"/>
          <w:szCs w:val="21"/>
        </w:rPr>
        <w:t>4</w:t>
      </w:r>
      <w:r w:rsidRPr="000549B1">
        <w:rPr>
          <w:rFonts w:eastAsia="黑体"/>
          <w:szCs w:val="21"/>
        </w:rPr>
        <w:t>月</w:t>
      </w:r>
    </w:p>
    <w:p w14:paraId="030A6550" w14:textId="77777777" w:rsidR="00054437" w:rsidRPr="000549B1" w:rsidRDefault="00000000">
      <w:pPr>
        <w:spacing w:line="360" w:lineRule="auto"/>
        <w:jc w:val="center"/>
        <w:rPr>
          <w:sz w:val="24"/>
          <w:szCs w:val="24"/>
        </w:rPr>
      </w:pPr>
      <w:r w:rsidRPr="000549B1">
        <w:rPr>
          <w:noProof/>
          <w:sz w:val="24"/>
          <w:szCs w:val="24"/>
        </w:rPr>
        <w:drawing>
          <wp:inline distT="0" distB="0" distL="114300" distR="114300" wp14:anchorId="053EEDF4" wp14:editId="5A3B6DC0">
            <wp:extent cx="2591435" cy="1727835"/>
            <wp:effectExtent l="0" t="0" r="18415" b="5715"/>
            <wp:docPr id="112"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96"/>
                    <pic:cNvPicPr>
                      <a:picLocks noChangeAspect="1"/>
                    </pic:cNvPicPr>
                  </pic:nvPicPr>
                  <pic:blipFill>
                    <a:blip r:embed="rId289"/>
                    <a:stretch>
                      <a:fillRect/>
                    </a:stretch>
                  </pic:blipFill>
                  <pic:spPr>
                    <a:xfrm>
                      <a:off x="0" y="0"/>
                      <a:ext cx="2591435" cy="1727835"/>
                    </a:xfrm>
                    <a:prstGeom prst="rect">
                      <a:avLst/>
                    </a:prstGeom>
                    <a:noFill/>
                    <a:ln>
                      <a:noFill/>
                    </a:ln>
                  </pic:spPr>
                </pic:pic>
              </a:graphicData>
            </a:graphic>
          </wp:inline>
        </w:drawing>
      </w:r>
      <w:r w:rsidRPr="000549B1">
        <w:rPr>
          <w:noProof/>
          <w:sz w:val="24"/>
          <w:szCs w:val="24"/>
        </w:rPr>
        <w:drawing>
          <wp:inline distT="0" distB="0" distL="114300" distR="114300" wp14:anchorId="34EE3CDC" wp14:editId="32A1A328">
            <wp:extent cx="2591435" cy="1727835"/>
            <wp:effectExtent l="0" t="0" r="18415" b="5715"/>
            <wp:docPr id="113"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97"/>
                    <pic:cNvPicPr>
                      <a:picLocks noChangeAspect="1"/>
                    </pic:cNvPicPr>
                  </pic:nvPicPr>
                  <pic:blipFill>
                    <a:blip r:embed="rId290"/>
                    <a:stretch>
                      <a:fillRect/>
                    </a:stretch>
                  </pic:blipFill>
                  <pic:spPr>
                    <a:xfrm>
                      <a:off x="0" y="0"/>
                      <a:ext cx="2591435" cy="1727835"/>
                    </a:xfrm>
                    <a:prstGeom prst="rect">
                      <a:avLst/>
                    </a:prstGeom>
                    <a:noFill/>
                    <a:ln>
                      <a:noFill/>
                    </a:ln>
                  </pic:spPr>
                </pic:pic>
              </a:graphicData>
            </a:graphic>
          </wp:inline>
        </w:drawing>
      </w:r>
    </w:p>
    <w:p w14:paraId="40DD6B5B" w14:textId="77777777" w:rsidR="00054437" w:rsidRPr="000549B1" w:rsidRDefault="00000000">
      <w:pPr>
        <w:spacing w:line="360" w:lineRule="auto"/>
        <w:jc w:val="center"/>
        <w:rPr>
          <w:rFonts w:eastAsia="黑体"/>
          <w:szCs w:val="21"/>
        </w:rPr>
      </w:pPr>
      <w:r w:rsidRPr="000549B1">
        <w:rPr>
          <w:rFonts w:eastAsia="黑体"/>
          <w:szCs w:val="21"/>
        </w:rPr>
        <w:t>（</w:t>
      </w:r>
      <w:r w:rsidRPr="000549B1">
        <w:rPr>
          <w:rFonts w:eastAsia="黑体"/>
          <w:szCs w:val="21"/>
        </w:rPr>
        <w:t>11</w:t>
      </w:r>
      <w:r w:rsidRPr="000549B1">
        <w:rPr>
          <w:rFonts w:eastAsia="黑体"/>
          <w:szCs w:val="21"/>
        </w:rPr>
        <w:t>）</w:t>
      </w:r>
      <w:r w:rsidRPr="000549B1">
        <w:rPr>
          <w:rFonts w:eastAsia="黑体"/>
          <w:szCs w:val="21"/>
        </w:rPr>
        <w:t>5</w:t>
      </w:r>
      <w:r w:rsidRPr="000549B1">
        <w:rPr>
          <w:rFonts w:eastAsia="黑体"/>
          <w:szCs w:val="21"/>
        </w:rPr>
        <w:t>月（</w:t>
      </w:r>
      <w:r w:rsidRPr="000549B1">
        <w:rPr>
          <w:rFonts w:eastAsia="黑体"/>
          <w:szCs w:val="21"/>
        </w:rPr>
        <w:t>12</w:t>
      </w:r>
      <w:r w:rsidRPr="000549B1">
        <w:rPr>
          <w:rFonts w:eastAsia="黑体"/>
          <w:szCs w:val="21"/>
        </w:rPr>
        <w:t>）</w:t>
      </w:r>
      <w:r w:rsidRPr="000549B1">
        <w:rPr>
          <w:rFonts w:eastAsia="黑体"/>
          <w:szCs w:val="21"/>
        </w:rPr>
        <w:t>6</w:t>
      </w:r>
      <w:r w:rsidRPr="000549B1">
        <w:rPr>
          <w:rFonts w:eastAsia="黑体"/>
          <w:szCs w:val="21"/>
        </w:rPr>
        <w:t>月</w:t>
      </w:r>
    </w:p>
    <w:p w14:paraId="096C4BDE" w14:textId="5F00557B" w:rsidR="00054437" w:rsidRPr="000549B1" w:rsidRDefault="00000000">
      <w:pPr>
        <w:pStyle w:val="aff8"/>
        <w:rPr>
          <w:color w:val="auto"/>
        </w:rPr>
      </w:pPr>
      <w:r w:rsidRPr="000549B1">
        <w:rPr>
          <w:color w:val="auto"/>
        </w:rPr>
        <w:t>图</w:t>
      </w:r>
      <w:r w:rsidR="00F1314B">
        <w:rPr>
          <w:color w:val="auto"/>
        </w:rPr>
        <w:fldChar w:fldCharType="begin"/>
      </w:r>
      <w:r w:rsidR="00F1314B">
        <w:rPr>
          <w:color w:val="auto"/>
        </w:rPr>
        <w:instrText xml:space="preserve"> STYLEREF 2 \s </w:instrText>
      </w:r>
      <w:r w:rsidR="00F1314B">
        <w:rPr>
          <w:color w:val="auto"/>
        </w:rPr>
        <w:fldChar w:fldCharType="separate"/>
      </w:r>
      <w:r w:rsidR="00F32CCA">
        <w:rPr>
          <w:noProof/>
          <w:color w:val="auto"/>
        </w:rPr>
        <w:t>5.2</w:t>
      </w:r>
      <w:r w:rsidR="00F1314B">
        <w:rPr>
          <w:color w:val="auto"/>
        </w:rPr>
        <w:fldChar w:fldCharType="end"/>
      </w:r>
      <w:r w:rsidR="00F1314B">
        <w:rPr>
          <w:color w:val="auto"/>
        </w:rPr>
        <w:noBreakHyphen/>
      </w:r>
      <w:r w:rsidR="00F1314B">
        <w:rPr>
          <w:color w:val="auto"/>
        </w:rPr>
        <w:fldChar w:fldCharType="begin"/>
      </w:r>
      <w:r w:rsidR="00F1314B">
        <w:rPr>
          <w:color w:val="auto"/>
        </w:rPr>
        <w:instrText xml:space="preserve"> SEQ </w:instrText>
      </w:r>
      <w:r w:rsidR="00F1314B">
        <w:rPr>
          <w:color w:val="auto"/>
        </w:rPr>
        <w:instrText>图</w:instrText>
      </w:r>
      <w:r w:rsidR="00F1314B">
        <w:rPr>
          <w:color w:val="auto"/>
        </w:rPr>
        <w:instrText xml:space="preserve"> \* ARABIC \s 2 </w:instrText>
      </w:r>
      <w:r w:rsidR="00F1314B">
        <w:rPr>
          <w:color w:val="auto"/>
        </w:rPr>
        <w:fldChar w:fldCharType="separate"/>
      </w:r>
      <w:r w:rsidR="00F32CCA">
        <w:rPr>
          <w:noProof/>
          <w:color w:val="auto"/>
        </w:rPr>
        <w:t>7</w:t>
      </w:r>
      <w:r w:rsidR="00F1314B">
        <w:rPr>
          <w:color w:val="auto"/>
        </w:rPr>
        <w:fldChar w:fldCharType="end"/>
      </w:r>
      <w:r w:rsidRPr="000549B1">
        <w:rPr>
          <w:color w:val="auto"/>
        </w:rPr>
        <w:t>P=90%</w:t>
      </w:r>
      <w:r w:rsidRPr="000549B1">
        <w:rPr>
          <w:color w:val="auto"/>
        </w:rPr>
        <w:t>枯水年大河坝水库立面二维水温分布</w:t>
      </w:r>
    </w:p>
    <w:p w14:paraId="1AA74AE8" w14:textId="77777777" w:rsidR="00054437" w:rsidRPr="000549B1" w:rsidRDefault="00000000">
      <w:pPr>
        <w:pStyle w:val="Z4"/>
        <w:rPr>
          <w:color w:val="auto"/>
        </w:rPr>
      </w:pPr>
      <w:r w:rsidRPr="000549B1">
        <w:rPr>
          <w:color w:val="auto"/>
        </w:rPr>
        <w:t>坝下河段水温预测</w:t>
      </w:r>
    </w:p>
    <w:p w14:paraId="1EF17628" w14:textId="77777777" w:rsidR="00054437" w:rsidRPr="000549B1" w:rsidRDefault="00000000">
      <w:pPr>
        <w:spacing w:line="500" w:lineRule="exact"/>
        <w:ind w:firstLineChars="200" w:firstLine="480"/>
        <w:jc w:val="left"/>
        <w:rPr>
          <w:sz w:val="24"/>
          <w:szCs w:val="24"/>
        </w:rPr>
      </w:pPr>
      <w:r w:rsidRPr="000549B1">
        <w:rPr>
          <w:sz w:val="24"/>
          <w:szCs w:val="24"/>
        </w:rPr>
        <w:t>（</w:t>
      </w:r>
      <w:r w:rsidRPr="000549B1">
        <w:rPr>
          <w:sz w:val="24"/>
          <w:szCs w:val="24"/>
        </w:rPr>
        <w:t>1</w:t>
      </w:r>
      <w:r w:rsidRPr="000549B1">
        <w:rPr>
          <w:sz w:val="24"/>
          <w:szCs w:val="24"/>
        </w:rPr>
        <w:t>）下泄水温及变化预测</w:t>
      </w:r>
    </w:p>
    <w:p w14:paraId="304EA823" w14:textId="2ED1FC37" w:rsidR="00054437" w:rsidRPr="000549B1" w:rsidRDefault="00000000">
      <w:pPr>
        <w:spacing w:line="500" w:lineRule="exact"/>
        <w:ind w:firstLineChars="200" w:firstLine="480"/>
        <w:jc w:val="left"/>
        <w:rPr>
          <w:sz w:val="24"/>
          <w:szCs w:val="24"/>
        </w:rPr>
      </w:pPr>
      <w:r w:rsidRPr="000549B1">
        <w:rPr>
          <w:sz w:val="24"/>
          <w:szCs w:val="24"/>
        </w:rPr>
        <w:t>通过模型模拟计算，工程实施调水后不同来水保证率下大河坝水库下泄水温及变化见</w:t>
      </w:r>
      <w:r w:rsidR="00F32CCA" w:rsidRPr="00F32CCA">
        <w:rPr>
          <w:sz w:val="24"/>
          <w:szCs w:val="24"/>
        </w:rPr>
        <w:t>表</w:t>
      </w:r>
      <w:r w:rsidR="00F32CCA" w:rsidRPr="00F32CCA">
        <w:rPr>
          <w:sz w:val="24"/>
          <w:szCs w:val="24"/>
        </w:rPr>
        <w:t>5.2</w:t>
      </w:r>
      <w:r w:rsidR="00F32CCA" w:rsidRPr="00F32CCA">
        <w:rPr>
          <w:sz w:val="24"/>
          <w:szCs w:val="24"/>
        </w:rPr>
        <w:noBreakHyphen/>
        <w:t>4</w:t>
      </w:r>
      <w:r w:rsidRPr="000549B1">
        <w:rPr>
          <w:sz w:val="24"/>
          <w:szCs w:val="24"/>
        </w:rPr>
        <w:t>。</w:t>
      </w:r>
    </w:p>
    <w:p w14:paraId="549504C1" w14:textId="08872B5B" w:rsidR="00054437" w:rsidRPr="000549B1" w:rsidRDefault="00000000">
      <w:pPr>
        <w:pStyle w:val="aff8"/>
        <w:rPr>
          <w:color w:val="auto"/>
        </w:rPr>
      </w:pPr>
      <w:bookmarkStart w:id="384" w:name="_Ref214983026"/>
      <w:r w:rsidRPr="000549B1">
        <w:rPr>
          <w:color w:val="auto"/>
        </w:rPr>
        <w:t>表</w:t>
      </w:r>
      <w:r w:rsidR="00372953">
        <w:rPr>
          <w:color w:val="auto"/>
        </w:rPr>
        <w:fldChar w:fldCharType="begin"/>
      </w:r>
      <w:r w:rsidR="00372953">
        <w:rPr>
          <w:color w:val="auto"/>
        </w:rPr>
        <w:instrText xml:space="preserve"> STYLEREF 2 \s </w:instrText>
      </w:r>
      <w:r w:rsidR="00372953">
        <w:rPr>
          <w:color w:val="auto"/>
        </w:rPr>
        <w:fldChar w:fldCharType="separate"/>
      </w:r>
      <w:r w:rsidR="00372953">
        <w:rPr>
          <w:noProof/>
          <w:color w:val="auto"/>
        </w:rPr>
        <w:t>5.2</w:t>
      </w:r>
      <w:r w:rsidR="00372953">
        <w:rPr>
          <w:color w:val="auto"/>
        </w:rPr>
        <w:fldChar w:fldCharType="end"/>
      </w:r>
      <w:r w:rsidR="00372953">
        <w:rPr>
          <w:color w:val="auto"/>
        </w:rPr>
        <w:noBreakHyphen/>
      </w:r>
      <w:r w:rsidR="00372953">
        <w:rPr>
          <w:color w:val="auto"/>
        </w:rPr>
        <w:fldChar w:fldCharType="begin"/>
      </w:r>
      <w:r w:rsidR="00372953">
        <w:rPr>
          <w:color w:val="auto"/>
        </w:rPr>
        <w:instrText xml:space="preserve"> SEQ </w:instrText>
      </w:r>
      <w:r w:rsidR="00372953">
        <w:rPr>
          <w:color w:val="auto"/>
        </w:rPr>
        <w:instrText>表</w:instrText>
      </w:r>
      <w:r w:rsidR="00372953">
        <w:rPr>
          <w:color w:val="auto"/>
        </w:rPr>
        <w:instrText xml:space="preserve"> \* ARABIC \s 2 </w:instrText>
      </w:r>
      <w:r w:rsidR="00372953">
        <w:rPr>
          <w:color w:val="auto"/>
        </w:rPr>
        <w:fldChar w:fldCharType="separate"/>
      </w:r>
      <w:r w:rsidR="00372953">
        <w:rPr>
          <w:noProof/>
          <w:color w:val="auto"/>
        </w:rPr>
        <w:t>4</w:t>
      </w:r>
      <w:r w:rsidR="00372953">
        <w:rPr>
          <w:color w:val="auto"/>
        </w:rPr>
        <w:fldChar w:fldCharType="end"/>
      </w:r>
      <w:bookmarkEnd w:id="384"/>
      <w:r w:rsidRPr="000549B1">
        <w:rPr>
          <w:color w:val="auto"/>
        </w:rPr>
        <w:t>不同保证率条件下大河坝水库下泄水温及温差分析单位：</w:t>
      </w:r>
      <w:r w:rsidRPr="000549B1">
        <w:rPr>
          <w:color w:val="auto"/>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
        <w:gridCol w:w="586"/>
        <w:gridCol w:w="541"/>
        <w:gridCol w:w="541"/>
        <w:gridCol w:w="541"/>
        <w:gridCol w:w="632"/>
        <w:gridCol w:w="632"/>
        <w:gridCol w:w="632"/>
        <w:gridCol w:w="541"/>
        <w:gridCol w:w="541"/>
        <w:gridCol w:w="541"/>
        <w:gridCol w:w="541"/>
        <w:gridCol w:w="541"/>
        <w:gridCol w:w="533"/>
      </w:tblGrid>
      <w:tr w:rsidR="000549B1" w:rsidRPr="000549B1" w14:paraId="6F1C4A2B" w14:textId="77777777">
        <w:trPr>
          <w:trHeight w:val="290"/>
        </w:trPr>
        <w:tc>
          <w:tcPr>
            <w:tcW w:w="927" w:type="pct"/>
            <w:gridSpan w:val="2"/>
            <w:shd w:val="clear" w:color="000000" w:fill="FFFFFF"/>
            <w:noWrap/>
            <w:vAlign w:val="center"/>
          </w:tcPr>
          <w:p w14:paraId="73E4493C" w14:textId="77777777" w:rsidR="00054437" w:rsidRPr="000549B1" w:rsidRDefault="00000000">
            <w:pPr>
              <w:widowControl/>
              <w:jc w:val="center"/>
              <w:rPr>
                <w:b/>
                <w:bCs/>
                <w:kern w:val="0"/>
                <w:sz w:val="18"/>
                <w:szCs w:val="18"/>
              </w:rPr>
            </w:pPr>
            <w:r w:rsidRPr="000549B1">
              <w:rPr>
                <w:b/>
                <w:bCs/>
                <w:kern w:val="0"/>
                <w:sz w:val="18"/>
                <w:szCs w:val="18"/>
              </w:rPr>
              <w:t>月份</w:t>
            </w:r>
          </w:p>
        </w:tc>
        <w:tc>
          <w:tcPr>
            <w:tcW w:w="326" w:type="pct"/>
            <w:shd w:val="clear" w:color="000000" w:fill="FFFFFF"/>
            <w:noWrap/>
            <w:vAlign w:val="center"/>
          </w:tcPr>
          <w:p w14:paraId="17DA7CEF" w14:textId="77777777" w:rsidR="00054437" w:rsidRPr="000549B1" w:rsidRDefault="00000000">
            <w:pPr>
              <w:widowControl/>
              <w:jc w:val="center"/>
              <w:rPr>
                <w:rFonts w:eastAsia="等线"/>
                <w:b/>
                <w:bCs/>
                <w:kern w:val="0"/>
                <w:sz w:val="18"/>
                <w:szCs w:val="18"/>
              </w:rPr>
            </w:pPr>
            <w:r w:rsidRPr="000549B1">
              <w:rPr>
                <w:rFonts w:eastAsia="等线"/>
                <w:b/>
                <w:bCs/>
                <w:kern w:val="0"/>
                <w:sz w:val="18"/>
                <w:szCs w:val="18"/>
              </w:rPr>
              <w:t>7</w:t>
            </w:r>
            <w:r w:rsidRPr="000549B1">
              <w:rPr>
                <w:b/>
                <w:bCs/>
                <w:kern w:val="0"/>
                <w:sz w:val="18"/>
                <w:szCs w:val="18"/>
              </w:rPr>
              <w:t>月</w:t>
            </w:r>
          </w:p>
        </w:tc>
        <w:tc>
          <w:tcPr>
            <w:tcW w:w="326" w:type="pct"/>
            <w:shd w:val="clear" w:color="000000" w:fill="FFFFFF"/>
            <w:noWrap/>
            <w:vAlign w:val="center"/>
          </w:tcPr>
          <w:p w14:paraId="33F7934C" w14:textId="77777777" w:rsidR="00054437" w:rsidRPr="000549B1" w:rsidRDefault="00000000">
            <w:pPr>
              <w:widowControl/>
              <w:jc w:val="center"/>
              <w:rPr>
                <w:rFonts w:eastAsia="等线"/>
                <w:b/>
                <w:bCs/>
                <w:kern w:val="0"/>
                <w:sz w:val="18"/>
                <w:szCs w:val="18"/>
              </w:rPr>
            </w:pPr>
            <w:r w:rsidRPr="000549B1">
              <w:rPr>
                <w:rFonts w:eastAsia="等线"/>
                <w:b/>
                <w:bCs/>
                <w:kern w:val="0"/>
                <w:sz w:val="18"/>
                <w:szCs w:val="18"/>
              </w:rPr>
              <w:t>8</w:t>
            </w:r>
            <w:r w:rsidRPr="000549B1">
              <w:rPr>
                <w:b/>
                <w:bCs/>
                <w:kern w:val="0"/>
                <w:sz w:val="18"/>
                <w:szCs w:val="18"/>
              </w:rPr>
              <w:t>月</w:t>
            </w:r>
          </w:p>
        </w:tc>
        <w:tc>
          <w:tcPr>
            <w:tcW w:w="326" w:type="pct"/>
            <w:shd w:val="clear" w:color="000000" w:fill="FFFFFF"/>
            <w:noWrap/>
            <w:vAlign w:val="center"/>
          </w:tcPr>
          <w:p w14:paraId="3BDAA679" w14:textId="77777777" w:rsidR="00054437" w:rsidRPr="000549B1" w:rsidRDefault="00000000">
            <w:pPr>
              <w:widowControl/>
              <w:jc w:val="center"/>
              <w:rPr>
                <w:rFonts w:eastAsia="等线"/>
                <w:b/>
                <w:bCs/>
                <w:kern w:val="0"/>
                <w:sz w:val="18"/>
                <w:szCs w:val="18"/>
              </w:rPr>
            </w:pPr>
            <w:r w:rsidRPr="000549B1">
              <w:rPr>
                <w:rFonts w:eastAsia="等线"/>
                <w:b/>
                <w:bCs/>
                <w:kern w:val="0"/>
                <w:sz w:val="18"/>
                <w:szCs w:val="18"/>
              </w:rPr>
              <w:t>9</w:t>
            </w:r>
            <w:r w:rsidRPr="000549B1">
              <w:rPr>
                <w:b/>
                <w:bCs/>
                <w:kern w:val="0"/>
                <w:sz w:val="18"/>
                <w:szCs w:val="18"/>
              </w:rPr>
              <w:t>月</w:t>
            </w:r>
          </w:p>
        </w:tc>
        <w:tc>
          <w:tcPr>
            <w:tcW w:w="381" w:type="pct"/>
            <w:shd w:val="clear" w:color="000000" w:fill="FFFFFF"/>
            <w:noWrap/>
            <w:vAlign w:val="center"/>
          </w:tcPr>
          <w:p w14:paraId="4E313DF5" w14:textId="77777777" w:rsidR="00054437" w:rsidRPr="000549B1" w:rsidRDefault="00000000">
            <w:pPr>
              <w:widowControl/>
              <w:jc w:val="center"/>
              <w:rPr>
                <w:rFonts w:eastAsia="等线"/>
                <w:b/>
                <w:bCs/>
                <w:kern w:val="0"/>
                <w:sz w:val="18"/>
                <w:szCs w:val="18"/>
              </w:rPr>
            </w:pPr>
            <w:r w:rsidRPr="000549B1">
              <w:rPr>
                <w:rFonts w:eastAsia="等线"/>
                <w:b/>
                <w:bCs/>
                <w:kern w:val="0"/>
                <w:sz w:val="18"/>
                <w:szCs w:val="18"/>
              </w:rPr>
              <w:t>10</w:t>
            </w:r>
            <w:r w:rsidRPr="000549B1">
              <w:rPr>
                <w:b/>
                <w:bCs/>
                <w:kern w:val="0"/>
                <w:sz w:val="18"/>
                <w:szCs w:val="18"/>
              </w:rPr>
              <w:t>月</w:t>
            </w:r>
          </w:p>
        </w:tc>
        <w:tc>
          <w:tcPr>
            <w:tcW w:w="381" w:type="pct"/>
            <w:shd w:val="clear" w:color="000000" w:fill="FFFFFF"/>
            <w:noWrap/>
            <w:vAlign w:val="center"/>
          </w:tcPr>
          <w:p w14:paraId="5222BD37" w14:textId="77777777" w:rsidR="00054437" w:rsidRPr="000549B1" w:rsidRDefault="00000000">
            <w:pPr>
              <w:widowControl/>
              <w:jc w:val="center"/>
              <w:rPr>
                <w:rFonts w:eastAsia="等线"/>
                <w:b/>
                <w:bCs/>
                <w:kern w:val="0"/>
                <w:sz w:val="18"/>
                <w:szCs w:val="18"/>
              </w:rPr>
            </w:pPr>
            <w:r w:rsidRPr="000549B1">
              <w:rPr>
                <w:rFonts w:eastAsia="等线"/>
                <w:b/>
                <w:bCs/>
                <w:kern w:val="0"/>
                <w:sz w:val="18"/>
                <w:szCs w:val="18"/>
              </w:rPr>
              <w:t>11</w:t>
            </w:r>
            <w:r w:rsidRPr="000549B1">
              <w:rPr>
                <w:b/>
                <w:bCs/>
                <w:kern w:val="0"/>
                <w:sz w:val="18"/>
                <w:szCs w:val="18"/>
              </w:rPr>
              <w:t>月</w:t>
            </w:r>
          </w:p>
        </w:tc>
        <w:tc>
          <w:tcPr>
            <w:tcW w:w="381" w:type="pct"/>
            <w:shd w:val="clear" w:color="000000" w:fill="FFFFFF"/>
            <w:noWrap/>
            <w:vAlign w:val="center"/>
          </w:tcPr>
          <w:p w14:paraId="19C1BF53" w14:textId="77777777" w:rsidR="00054437" w:rsidRPr="000549B1" w:rsidRDefault="00000000">
            <w:pPr>
              <w:widowControl/>
              <w:jc w:val="center"/>
              <w:rPr>
                <w:rFonts w:eastAsia="等线"/>
                <w:b/>
                <w:bCs/>
                <w:kern w:val="0"/>
                <w:sz w:val="18"/>
                <w:szCs w:val="18"/>
              </w:rPr>
            </w:pPr>
            <w:r w:rsidRPr="000549B1">
              <w:rPr>
                <w:rFonts w:eastAsia="等线"/>
                <w:b/>
                <w:bCs/>
                <w:kern w:val="0"/>
                <w:sz w:val="18"/>
                <w:szCs w:val="18"/>
              </w:rPr>
              <w:t>12</w:t>
            </w:r>
            <w:r w:rsidRPr="000549B1">
              <w:rPr>
                <w:b/>
                <w:bCs/>
                <w:kern w:val="0"/>
                <w:sz w:val="18"/>
                <w:szCs w:val="18"/>
              </w:rPr>
              <w:t>月</w:t>
            </w:r>
          </w:p>
        </w:tc>
        <w:tc>
          <w:tcPr>
            <w:tcW w:w="326" w:type="pct"/>
            <w:shd w:val="clear" w:color="000000" w:fill="FFFFFF"/>
            <w:noWrap/>
            <w:vAlign w:val="center"/>
          </w:tcPr>
          <w:p w14:paraId="38D58C8C" w14:textId="77777777" w:rsidR="00054437" w:rsidRPr="000549B1" w:rsidRDefault="00000000">
            <w:pPr>
              <w:widowControl/>
              <w:jc w:val="center"/>
              <w:rPr>
                <w:rFonts w:eastAsia="等线"/>
                <w:b/>
                <w:bCs/>
                <w:kern w:val="0"/>
                <w:sz w:val="18"/>
                <w:szCs w:val="18"/>
              </w:rPr>
            </w:pPr>
            <w:r w:rsidRPr="000549B1">
              <w:rPr>
                <w:rFonts w:eastAsia="等线"/>
                <w:b/>
                <w:bCs/>
                <w:kern w:val="0"/>
                <w:sz w:val="18"/>
                <w:szCs w:val="18"/>
              </w:rPr>
              <w:t>1</w:t>
            </w:r>
            <w:r w:rsidRPr="000549B1">
              <w:rPr>
                <w:b/>
                <w:bCs/>
                <w:kern w:val="0"/>
                <w:sz w:val="18"/>
                <w:szCs w:val="18"/>
              </w:rPr>
              <w:t>月</w:t>
            </w:r>
          </w:p>
        </w:tc>
        <w:tc>
          <w:tcPr>
            <w:tcW w:w="326" w:type="pct"/>
            <w:shd w:val="clear" w:color="000000" w:fill="FFFFFF"/>
            <w:noWrap/>
            <w:vAlign w:val="center"/>
          </w:tcPr>
          <w:p w14:paraId="737DB5F1" w14:textId="77777777" w:rsidR="00054437" w:rsidRPr="000549B1" w:rsidRDefault="00000000">
            <w:pPr>
              <w:widowControl/>
              <w:jc w:val="center"/>
              <w:rPr>
                <w:rFonts w:eastAsia="等线"/>
                <w:b/>
                <w:bCs/>
                <w:kern w:val="0"/>
                <w:sz w:val="18"/>
                <w:szCs w:val="18"/>
              </w:rPr>
            </w:pPr>
            <w:r w:rsidRPr="000549B1">
              <w:rPr>
                <w:rFonts w:eastAsia="等线"/>
                <w:b/>
                <w:bCs/>
                <w:kern w:val="0"/>
                <w:sz w:val="18"/>
                <w:szCs w:val="18"/>
              </w:rPr>
              <w:t>2</w:t>
            </w:r>
            <w:r w:rsidRPr="000549B1">
              <w:rPr>
                <w:b/>
                <w:bCs/>
                <w:kern w:val="0"/>
                <w:sz w:val="18"/>
                <w:szCs w:val="18"/>
              </w:rPr>
              <w:t>月</w:t>
            </w:r>
          </w:p>
        </w:tc>
        <w:tc>
          <w:tcPr>
            <w:tcW w:w="326" w:type="pct"/>
            <w:shd w:val="clear" w:color="000000" w:fill="FFFFFF"/>
            <w:noWrap/>
            <w:vAlign w:val="center"/>
          </w:tcPr>
          <w:p w14:paraId="38B9CBA6" w14:textId="77777777" w:rsidR="00054437" w:rsidRPr="000549B1" w:rsidRDefault="00000000">
            <w:pPr>
              <w:widowControl/>
              <w:jc w:val="center"/>
              <w:rPr>
                <w:rFonts w:eastAsia="等线"/>
                <w:b/>
                <w:bCs/>
                <w:kern w:val="0"/>
                <w:sz w:val="18"/>
                <w:szCs w:val="18"/>
              </w:rPr>
            </w:pPr>
            <w:r w:rsidRPr="000549B1">
              <w:rPr>
                <w:rFonts w:eastAsia="等线"/>
                <w:b/>
                <w:bCs/>
                <w:kern w:val="0"/>
                <w:sz w:val="18"/>
                <w:szCs w:val="18"/>
              </w:rPr>
              <w:t>3</w:t>
            </w:r>
            <w:r w:rsidRPr="000549B1">
              <w:rPr>
                <w:b/>
                <w:bCs/>
                <w:kern w:val="0"/>
                <w:sz w:val="18"/>
                <w:szCs w:val="18"/>
              </w:rPr>
              <w:t>月</w:t>
            </w:r>
          </w:p>
        </w:tc>
        <w:tc>
          <w:tcPr>
            <w:tcW w:w="326" w:type="pct"/>
            <w:shd w:val="clear" w:color="000000" w:fill="FFFFFF"/>
            <w:noWrap/>
            <w:vAlign w:val="center"/>
          </w:tcPr>
          <w:p w14:paraId="4AC664C3" w14:textId="77777777" w:rsidR="00054437" w:rsidRPr="000549B1" w:rsidRDefault="00000000">
            <w:pPr>
              <w:widowControl/>
              <w:jc w:val="center"/>
              <w:rPr>
                <w:rFonts w:eastAsia="等线"/>
                <w:b/>
                <w:bCs/>
                <w:kern w:val="0"/>
                <w:sz w:val="18"/>
                <w:szCs w:val="18"/>
              </w:rPr>
            </w:pPr>
            <w:r w:rsidRPr="000549B1">
              <w:rPr>
                <w:rFonts w:eastAsia="等线"/>
                <w:b/>
                <w:bCs/>
                <w:kern w:val="0"/>
                <w:sz w:val="18"/>
                <w:szCs w:val="18"/>
              </w:rPr>
              <w:t>4</w:t>
            </w:r>
            <w:r w:rsidRPr="000549B1">
              <w:rPr>
                <w:b/>
                <w:bCs/>
                <w:kern w:val="0"/>
                <w:sz w:val="18"/>
                <w:szCs w:val="18"/>
              </w:rPr>
              <w:t>月</w:t>
            </w:r>
          </w:p>
        </w:tc>
        <w:tc>
          <w:tcPr>
            <w:tcW w:w="326" w:type="pct"/>
            <w:shd w:val="clear" w:color="000000" w:fill="FFFFFF"/>
            <w:noWrap/>
            <w:vAlign w:val="center"/>
          </w:tcPr>
          <w:p w14:paraId="3814754A" w14:textId="77777777" w:rsidR="00054437" w:rsidRPr="000549B1" w:rsidRDefault="00000000">
            <w:pPr>
              <w:widowControl/>
              <w:jc w:val="center"/>
              <w:rPr>
                <w:rFonts w:eastAsia="等线"/>
                <w:b/>
                <w:bCs/>
                <w:kern w:val="0"/>
                <w:sz w:val="18"/>
                <w:szCs w:val="18"/>
              </w:rPr>
            </w:pPr>
            <w:r w:rsidRPr="000549B1">
              <w:rPr>
                <w:rFonts w:eastAsia="等线"/>
                <w:b/>
                <w:bCs/>
                <w:kern w:val="0"/>
                <w:sz w:val="18"/>
                <w:szCs w:val="18"/>
              </w:rPr>
              <w:t>5</w:t>
            </w:r>
            <w:r w:rsidRPr="000549B1">
              <w:rPr>
                <w:b/>
                <w:bCs/>
                <w:kern w:val="0"/>
                <w:sz w:val="18"/>
                <w:szCs w:val="18"/>
              </w:rPr>
              <w:t>月</w:t>
            </w:r>
          </w:p>
        </w:tc>
        <w:tc>
          <w:tcPr>
            <w:tcW w:w="326" w:type="pct"/>
            <w:shd w:val="clear" w:color="000000" w:fill="FFFFFF"/>
            <w:noWrap/>
            <w:vAlign w:val="center"/>
          </w:tcPr>
          <w:p w14:paraId="03E479AB" w14:textId="77777777" w:rsidR="00054437" w:rsidRPr="000549B1" w:rsidRDefault="00000000">
            <w:pPr>
              <w:widowControl/>
              <w:jc w:val="center"/>
              <w:rPr>
                <w:rFonts w:eastAsia="等线"/>
                <w:b/>
                <w:bCs/>
                <w:kern w:val="0"/>
                <w:sz w:val="18"/>
                <w:szCs w:val="18"/>
              </w:rPr>
            </w:pPr>
            <w:r w:rsidRPr="000549B1">
              <w:rPr>
                <w:rFonts w:eastAsia="等线"/>
                <w:b/>
                <w:bCs/>
                <w:kern w:val="0"/>
                <w:sz w:val="18"/>
                <w:szCs w:val="18"/>
              </w:rPr>
              <w:t>6</w:t>
            </w:r>
            <w:r w:rsidRPr="000549B1">
              <w:rPr>
                <w:b/>
                <w:bCs/>
                <w:kern w:val="0"/>
                <w:sz w:val="18"/>
                <w:szCs w:val="18"/>
              </w:rPr>
              <w:t>月</w:t>
            </w:r>
          </w:p>
        </w:tc>
      </w:tr>
      <w:tr w:rsidR="000549B1" w:rsidRPr="000549B1" w14:paraId="0356E0A1" w14:textId="77777777">
        <w:trPr>
          <w:trHeight w:val="290"/>
        </w:trPr>
        <w:tc>
          <w:tcPr>
            <w:tcW w:w="927" w:type="pct"/>
            <w:gridSpan w:val="2"/>
            <w:shd w:val="clear" w:color="000000" w:fill="FFFFFF"/>
            <w:noWrap/>
            <w:vAlign w:val="center"/>
          </w:tcPr>
          <w:p w14:paraId="2B56448A" w14:textId="77777777" w:rsidR="00054437" w:rsidRPr="000549B1" w:rsidRDefault="00000000">
            <w:pPr>
              <w:widowControl/>
              <w:jc w:val="center"/>
              <w:rPr>
                <w:kern w:val="0"/>
                <w:sz w:val="18"/>
                <w:szCs w:val="18"/>
              </w:rPr>
            </w:pPr>
            <w:r w:rsidRPr="000549B1">
              <w:rPr>
                <w:kern w:val="0"/>
                <w:sz w:val="18"/>
                <w:szCs w:val="18"/>
              </w:rPr>
              <w:t>天然水温</w:t>
            </w:r>
          </w:p>
        </w:tc>
        <w:tc>
          <w:tcPr>
            <w:tcW w:w="326" w:type="pct"/>
            <w:shd w:val="clear" w:color="000000" w:fill="FFFFFF"/>
            <w:noWrap/>
            <w:vAlign w:val="center"/>
          </w:tcPr>
          <w:p w14:paraId="279031C9" w14:textId="77777777" w:rsidR="00054437" w:rsidRPr="000549B1" w:rsidRDefault="00000000">
            <w:pPr>
              <w:widowControl/>
              <w:jc w:val="center"/>
              <w:rPr>
                <w:rFonts w:eastAsia="等线"/>
                <w:kern w:val="0"/>
                <w:sz w:val="18"/>
                <w:szCs w:val="18"/>
              </w:rPr>
            </w:pPr>
            <w:r w:rsidRPr="000549B1">
              <w:rPr>
                <w:rFonts w:eastAsia="等线"/>
                <w:kern w:val="0"/>
                <w:sz w:val="18"/>
                <w:szCs w:val="18"/>
              </w:rPr>
              <w:t>8.6</w:t>
            </w:r>
          </w:p>
        </w:tc>
        <w:tc>
          <w:tcPr>
            <w:tcW w:w="326" w:type="pct"/>
            <w:shd w:val="clear" w:color="000000" w:fill="FFFFFF"/>
            <w:noWrap/>
            <w:vAlign w:val="center"/>
          </w:tcPr>
          <w:p w14:paraId="61D2A2B7" w14:textId="77777777" w:rsidR="00054437" w:rsidRPr="000549B1" w:rsidRDefault="00000000">
            <w:pPr>
              <w:widowControl/>
              <w:jc w:val="center"/>
              <w:rPr>
                <w:rFonts w:eastAsia="等线"/>
                <w:kern w:val="0"/>
                <w:sz w:val="18"/>
                <w:szCs w:val="18"/>
              </w:rPr>
            </w:pPr>
            <w:r w:rsidRPr="000549B1">
              <w:rPr>
                <w:rFonts w:eastAsia="等线"/>
                <w:kern w:val="0"/>
                <w:sz w:val="18"/>
                <w:szCs w:val="18"/>
              </w:rPr>
              <w:t>8.3</w:t>
            </w:r>
          </w:p>
        </w:tc>
        <w:tc>
          <w:tcPr>
            <w:tcW w:w="326" w:type="pct"/>
            <w:shd w:val="clear" w:color="000000" w:fill="FFFFFF"/>
            <w:noWrap/>
            <w:vAlign w:val="center"/>
          </w:tcPr>
          <w:p w14:paraId="68B9373F" w14:textId="77777777" w:rsidR="00054437" w:rsidRPr="000549B1" w:rsidRDefault="00000000">
            <w:pPr>
              <w:widowControl/>
              <w:jc w:val="center"/>
              <w:rPr>
                <w:rFonts w:eastAsia="等线"/>
                <w:kern w:val="0"/>
                <w:sz w:val="18"/>
                <w:szCs w:val="18"/>
              </w:rPr>
            </w:pPr>
            <w:r w:rsidRPr="000549B1">
              <w:rPr>
                <w:rFonts w:eastAsia="等线"/>
                <w:kern w:val="0"/>
                <w:sz w:val="18"/>
                <w:szCs w:val="18"/>
              </w:rPr>
              <w:t>5.8</w:t>
            </w:r>
          </w:p>
        </w:tc>
        <w:tc>
          <w:tcPr>
            <w:tcW w:w="381" w:type="pct"/>
            <w:shd w:val="clear" w:color="000000" w:fill="FFFFFF"/>
            <w:noWrap/>
            <w:vAlign w:val="center"/>
          </w:tcPr>
          <w:p w14:paraId="248953E4" w14:textId="77777777" w:rsidR="00054437" w:rsidRPr="000549B1" w:rsidRDefault="00000000">
            <w:pPr>
              <w:widowControl/>
              <w:jc w:val="center"/>
              <w:rPr>
                <w:rFonts w:eastAsia="等线"/>
                <w:kern w:val="0"/>
                <w:sz w:val="18"/>
                <w:szCs w:val="18"/>
              </w:rPr>
            </w:pPr>
            <w:r w:rsidRPr="000549B1">
              <w:rPr>
                <w:rFonts w:eastAsia="等线"/>
                <w:kern w:val="0"/>
                <w:sz w:val="18"/>
                <w:szCs w:val="18"/>
              </w:rPr>
              <w:t>1.8</w:t>
            </w:r>
          </w:p>
        </w:tc>
        <w:tc>
          <w:tcPr>
            <w:tcW w:w="381" w:type="pct"/>
            <w:shd w:val="clear" w:color="000000" w:fill="FFFFFF"/>
            <w:noWrap/>
            <w:vAlign w:val="center"/>
          </w:tcPr>
          <w:p w14:paraId="436409CD" w14:textId="77777777" w:rsidR="00054437" w:rsidRPr="000549B1" w:rsidRDefault="00000000">
            <w:pPr>
              <w:widowControl/>
              <w:jc w:val="center"/>
              <w:rPr>
                <w:rFonts w:eastAsia="等线"/>
                <w:kern w:val="0"/>
                <w:sz w:val="18"/>
                <w:szCs w:val="18"/>
              </w:rPr>
            </w:pPr>
            <w:r w:rsidRPr="000549B1">
              <w:rPr>
                <w:rFonts w:eastAsia="等线"/>
                <w:kern w:val="0"/>
                <w:sz w:val="18"/>
                <w:szCs w:val="18"/>
              </w:rPr>
              <w:t>0</w:t>
            </w:r>
          </w:p>
        </w:tc>
        <w:tc>
          <w:tcPr>
            <w:tcW w:w="381" w:type="pct"/>
            <w:shd w:val="clear" w:color="000000" w:fill="FFFFFF"/>
            <w:noWrap/>
            <w:vAlign w:val="center"/>
          </w:tcPr>
          <w:p w14:paraId="6FD8CB3F" w14:textId="77777777" w:rsidR="00054437" w:rsidRPr="000549B1" w:rsidRDefault="00000000">
            <w:pPr>
              <w:widowControl/>
              <w:jc w:val="center"/>
              <w:rPr>
                <w:rFonts w:eastAsia="等线"/>
                <w:kern w:val="0"/>
                <w:sz w:val="18"/>
                <w:szCs w:val="18"/>
              </w:rPr>
            </w:pPr>
            <w:r w:rsidRPr="000549B1">
              <w:rPr>
                <w:rFonts w:eastAsia="等线"/>
                <w:kern w:val="0"/>
                <w:sz w:val="18"/>
                <w:szCs w:val="18"/>
              </w:rPr>
              <w:t>0</w:t>
            </w:r>
          </w:p>
        </w:tc>
        <w:tc>
          <w:tcPr>
            <w:tcW w:w="326" w:type="pct"/>
            <w:shd w:val="clear" w:color="000000" w:fill="FFFFFF"/>
            <w:noWrap/>
            <w:vAlign w:val="center"/>
          </w:tcPr>
          <w:p w14:paraId="6AFA1E8E" w14:textId="77777777" w:rsidR="00054437" w:rsidRPr="000549B1" w:rsidRDefault="00000000">
            <w:pPr>
              <w:widowControl/>
              <w:jc w:val="center"/>
              <w:rPr>
                <w:rFonts w:eastAsia="等线"/>
                <w:kern w:val="0"/>
                <w:sz w:val="18"/>
                <w:szCs w:val="18"/>
              </w:rPr>
            </w:pPr>
            <w:r w:rsidRPr="000549B1">
              <w:rPr>
                <w:rFonts w:eastAsia="等线"/>
                <w:kern w:val="0"/>
                <w:sz w:val="18"/>
                <w:szCs w:val="18"/>
              </w:rPr>
              <w:t>0</w:t>
            </w:r>
          </w:p>
        </w:tc>
        <w:tc>
          <w:tcPr>
            <w:tcW w:w="326" w:type="pct"/>
            <w:shd w:val="clear" w:color="000000" w:fill="FFFFFF"/>
            <w:noWrap/>
            <w:vAlign w:val="center"/>
          </w:tcPr>
          <w:p w14:paraId="1873125E" w14:textId="77777777" w:rsidR="00054437" w:rsidRPr="000549B1" w:rsidRDefault="00000000">
            <w:pPr>
              <w:widowControl/>
              <w:jc w:val="center"/>
              <w:rPr>
                <w:rFonts w:eastAsia="等线"/>
                <w:kern w:val="0"/>
                <w:sz w:val="18"/>
                <w:szCs w:val="18"/>
              </w:rPr>
            </w:pPr>
            <w:r w:rsidRPr="000549B1">
              <w:rPr>
                <w:rFonts w:eastAsia="等线"/>
                <w:kern w:val="0"/>
                <w:sz w:val="18"/>
                <w:szCs w:val="18"/>
              </w:rPr>
              <w:t>0</w:t>
            </w:r>
          </w:p>
        </w:tc>
        <w:tc>
          <w:tcPr>
            <w:tcW w:w="326" w:type="pct"/>
            <w:shd w:val="clear" w:color="000000" w:fill="FFFFFF"/>
            <w:noWrap/>
            <w:vAlign w:val="center"/>
          </w:tcPr>
          <w:p w14:paraId="11945F77" w14:textId="77777777" w:rsidR="00054437" w:rsidRPr="000549B1" w:rsidRDefault="00000000">
            <w:pPr>
              <w:widowControl/>
              <w:jc w:val="center"/>
              <w:rPr>
                <w:rFonts w:eastAsia="等线"/>
                <w:kern w:val="0"/>
                <w:sz w:val="18"/>
                <w:szCs w:val="18"/>
              </w:rPr>
            </w:pPr>
            <w:r w:rsidRPr="000549B1">
              <w:rPr>
                <w:rFonts w:eastAsia="等线"/>
                <w:kern w:val="0"/>
                <w:sz w:val="18"/>
                <w:szCs w:val="18"/>
              </w:rPr>
              <w:t>0</w:t>
            </w:r>
          </w:p>
        </w:tc>
        <w:tc>
          <w:tcPr>
            <w:tcW w:w="326" w:type="pct"/>
            <w:shd w:val="clear" w:color="000000" w:fill="FFFFFF"/>
            <w:noWrap/>
            <w:vAlign w:val="center"/>
          </w:tcPr>
          <w:p w14:paraId="041F1E5E" w14:textId="77777777" w:rsidR="00054437" w:rsidRPr="000549B1" w:rsidRDefault="00000000">
            <w:pPr>
              <w:widowControl/>
              <w:jc w:val="center"/>
              <w:rPr>
                <w:rFonts w:eastAsia="等线"/>
                <w:kern w:val="0"/>
                <w:sz w:val="18"/>
                <w:szCs w:val="18"/>
              </w:rPr>
            </w:pPr>
            <w:r w:rsidRPr="000549B1">
              <w:rPr>
                <w:rFonts w:eastAsia="等线"/>
                <w:kern w:val="0"/>
                <w:sz w:val="18"/>
                <w:szCs w:val="18"/>
              </w:rPr>
              <w:t>1.6</w:t>
            </w:r>
          </w:p>
        </w:tc>
        <w:tc>
          <w:tcPr>
            <w:tcW w:w="326" w:type="pct"/>
            <w:shd w:val="clear" w:color="000000" w:fill="FFFFFF"/>
            <w:noWrap/>
            <w:vAlign w:val="center"/>
          </w:tcPr>
          <w:p w14:paraId="38DCB039" w14:textId="77777777" w:rsidR="00054437" w:rsidRPr="000549B1" w:rsidRDefault="00000000">
            <w:pPr>
              <w:widowControl/>
              <w:jc w:val="center"/>
              <w:rPr>
                <w:rFonts w:eastAsia="等线"/>
                <w:kern w:val="0"/>
                <w:sz w:val="18"/>
                <w:szCs w:val="18"/>
              </w:rPr>
            </w:pPr>
            <w:r w:rsidRPr="000549B1">
              <w:rPr>
                <w:rFonts w:eastAsia="等线"/>
                <w:kern w:val="0"/>
                <w:sz w:val="18"/>
                <w:szCs w:val="18"/>
              </w:rPr>
              <w:t>4.8</w:t>
            </w:r>
          </w:p>
        </w:tc>
        <w:tc>
          <w:tcPr>
            <w:tcW w:w="326" w:type="pct"/>
            <w:shd w:val="clear" w:color="000000" w:fill="FFFFFF"/>
            <w:noWrap/>
            <w:vAlign w:val="center"/>
          </w:tcPr>
          <w:p w14:paraId="05615DC4" w14:textId="77777777" w:rsidR="00054437" w:rsidRPr="000549B1" w:rsidRDefault="00000000">
            <w:pPr>
              <w:widowControl/>
              <w:jc w:val="center"/>
              <w:rPr>
                <w:rFonts w:eastAsia="等线"/>
                <w:kern w:val="0"/>
                <w:sz w:val="18"/>
                <w:szCs w:val="18"/>
              </w:rPr>
            </w:pPr>
            <w:r w:rsidRPr="000549B1">
              <w:rPr>
                <w:rFonts w:eastAsia="等线"/>
                <w:kern w:val="0"/>
                <w:sz w:val="18"/>
                <w:szCs w:val="18"/>
              </w:rPr>
              <w:t>6.9</w:t>
            </w:r>
          </w:p>
        </w:tc>
      </w:tr>
      <w:tr w:rsidR="000549B1" w:rsidRPr="000549B1" w14:paraId="5629923E" w14:textId="77777777">
        <w:trPr>
          <w:trHeight w:val="290"/>
        </w:trPr>
        <w:tc>
          <w:tcPr>
            <w:tcW w:w="575" w:type="pct"/>
            <w:vMerge w:val="restart"/>
            <w:shd w:val="clear" w:color="000000" w:fill="FFFFFF"/>
            <w:noWrap/>
            <w:vAlign w:val="center"/>
          </w:tcPr>
          <w:p w14:paraId="36F42B59" w14:textId="77777777" w:rsidR="00054437" w:rsidRPr="000549B1" w:rsidRDefault="00000000">
            <w:pPr>
              <w:widowControl/>
              <w:jc w:val="center"/>
              <w:rPr>
                <w:kern w:val="0"/>
                <w:sz w:val="18"/>
                <w:szCs w:val="18"/>
              </w:rPr>
            </w:pPr>
            <w:r w:rsidRPr="000549B1">
              <w:rPr>
                <w:kern w:val="0"/>
                <w:sz w:val="18"/>
                <w:szCs w:val="18"/>
              </w:rPr>
              <w:t>来水保证</w:t>
            </w:r>
          </w:p>
          <w:p w14:paraId="502FCB46" w14:textId="77777777" w:rsidR="00054437" w:rsidRPr="000549B1" w:rsidRDefault="00000000">
            <w:pPr>
              <w:widowControl/>
              <w:jc w:val="center"/>
              <w:rPr>
                <w:kern w:val="0"/>
                <w:sz w:val="18"/>
                <w:szCs w:val="18"/>
              </w:rPr>
            </w:pPr>
            <w:r w:rsidRPr="000549B1">
              <w:rPr>
                <w:kern w:val="0"/>
                <w:sz w:val="18"/>
                <w:szCs w:val="18"/>
              </w:rPr>
              <w:t>率预测下</w:t>
            </w:r>
          </w:p>
          <w:p w14:paraId="54962361" w14:textId="77777777" w:rsidR="00054437" w:rsidRPr="000549B1" w:rsidRDefault="00000000">
            <w:pPr>
              <w:widowControl/>
              <w:jc w:val="center"/>
              <w:rPr>
                <w:kern w:val="0"/>
                <w:sz w:val="18"/>
                <w:szCs w:val="18"/>
              </w:rPr>
            </w:pPr>
            <w:r w:rsidRPr="000549B1">
              <w:rPr>
                <w:kern w:val="0"/>
                <w:sz w:val="18"/>
                <w:szCs w:val="18"/>
              </w:rPr>
              <w:t>泄水温</w:t>
            </w:r>
          </w:p>
        </w:tc>
        <w:tc>
          <w:tcPr>
            <w:tcW w:w="353" w:type="pct"/>
            <w:shd w:val="clear" w:color="000000" w:fill="FFFFFF"/>
            <w:noWrap/>
            <w:vAlign w:val="center"/>
          </w:tcPr>
          <w:p w14:paraId="1ED8301C" w14:textId="77777777" w:rsidR="00054437" w:rsidRPr="000549B1" w:rsidRDefault="00000000">
            <w:pPr>
              <w:widowControl/>
              <w:jc w:val="center"/>
              <w:rPr>
                <w:rFonts w:eastAsia="等线"/>
                <w:kern w:val="0"/>
                <w:sz w:val="18"/>
                <w:szCs w:val="18"/>
              </w:rPr>
            </w:pPr>
            <w:r w:rsidRPr="000549B1">
              <w:rPr>
                <w:rFonts w:eastAsia="等线"/>
                <w:kern w:val="0"/>
                <w:sz w:val="18"/>
                <w:szCs w:val="18"/>
              </w:rPr>
              <w:t>10%</w:t>
            </w:r>
          </w:p>
        </w:tc>
        <w:tc>
          <w:tcPr>
            <w:tcW w:w="326" w:type="pct"/>
            <w:shd w:val="clear" w:color="000000" w:fill="FFFFFF"/>
            <w:noWrap/>
            <w:vAlign w:val="center"/>
          </w:tcPr>
          <w:p w14:paraId="66BA5CEA" w14:textId="77777777" w:rsidR="00054437" w:rsidRPr="000549B1" w:rsidRDefault="00000000">
            <w:pPr>
              <w:widowControl/>
              <w:jc w:val="center"/>
              <w:rPr>
                <w:rFonts w:eastAsia="等线"/>
                <w:kern w:val="0"/>
                <w:sz w:val="18"/>
                <w:szCs w:val="18"/>
              </w:rPr>
            </w:pPr>
            <w:r w:rsidRPr="000549B1">
              <w:rPr>
                <w:rFonts w:eastAsia="等线"/>
                <w:kern w:val="0"/>
                <w:sz w:val="18"/>
                <w:szCs w:val="18"/>
              </w:rPr>
              <w:t>9.0</w:t>
            </w:r>
          </w:p>
        </w:tc>
        <w:tc>
          <w:tcPr>
            <w:tcW w:w="326" w:type="pct"/>
            <w:shd w:val="clear" w:color="000000" w:fill="FFFFFF"/>
            <w:noWrap/>
            <w:vAlign w:val="center"/>
          </w:tcPr>
          <w:p w14:paraId="168B666F" w14:textId="77777777" w:rsidR="00054437" w:rsidRPr="000549B1" w:rsidRDefault="00000000">
            <w:pPr>
              <w:widowControl/>
              <w:jc w:val="center"/>
              <w:rPr>
                <w:rFonts w:eastAsia="等线"/>
                <w:kern w:val="0"/>
                <w:sz w:val="18"/>
                <w:szCs w:val="18"/>
              </w:rPr>
            </w:pPr>
            <w:r w:rsidRPr="000549B1">
              <w:rPr>
                <w:rFonts w:eastAsia="等线"/>
                <w:kern w:val="0"/>
                <w:sz w:val="18"/>
                <w:szCs w:val="18"/>
              </w:rPr>
              <w:t>10.4</w:t>
            </w:r>
          </w:p>
        </w:tc>
        <w:tc>
          <w:tcPr>
            <w:tcW w:w="326" w:type="pct"/>
            <w:shd w:val="clear" w:color="000000" w:fill="FFFFFF"/>
            <w:noWrap/>
            <w:vAlign w:val="center"/>
          </w:tcPr>
          <w:p w14:paraId="7CE5799A" w14:textId="77777777" w:rsidR="00054437" w:rsidRPr="000549B1" w:rsidRDefault="00000000">
            <w:pPr>
              <w:widowControl/>
              <w:jc w:val="center"/>
              <w:rPr>
                <w:rFonts w:eastAsia="等线"/>
                <w:kern w:val="0"/>
                <w:sz w:val="18"/>
                <w:szCs w:val="18"/>
              </w:rPr>
            </w:pPr>
            <w:r w:rsidRPr="000549B1">
              <w:rPr>
                <w:rFonts w:eastAsia="等线"/>
                <w:kern w:val="0"/>
                <w:sz w:val="18"/>
                <w:szCs w:val="18"/>
              </w:rPr>
              <w:t>10.6</w:t>
            </w:r>
          </w:p>
        </w:tc>
        <w:tc>
          <w:tcPr>
            <w:tcW w:w="381" w:type="pct"/>
            <w:shd w:val="clear" w:color="000000" w:fill="FFFFFF"/>
            <w:noWrap/>
            <w:vAlign w:val="center"/>
          </w:tcPr>
          <w:p w14:paraId="0A76FB84" w14:textId="77777777" w:rsidR="00054437" w:rsidRPr="000549B1" w:rsidRDefault="00000000">
            <w:pPr>
              <w:widowControl/>
              <w:jc w:val="center"/>
              <w:rPr>
                <w:rFonts w:eastAsia="等线"/>
                <w:kern w:val="0"/>
                <w:sz w:val="18"/>
                <w:szCs w:val="18"/>
              </w:rPr>
            </w:pPr>
            <w:r w:rsidRPr="000549B1">
              <w:rPr>
                <w:rFonts w:eastAsia="等线"/>
                <w:kern w:val="0"/>
                <w:sz w:val="18"/>
                <w:szCs w:val="18"/>
              </w:rPr>
              <w:t>4.1</w:t>
            </w:r>
          </w:p>
        </w:tc>
        <w:tc>
          <w:tcPr>
            <w:tcW w:w="381" w:type="pct"/>
            <w:shd w:val="clear" w:color="000000" w:fill="FFFFFF"/>
            <w:noWrap/>
            <w:vAlign w:val="center"/>
          </w:tcPr>
          <w:p w14:paraId="119BA018" w14:textId="77777777" w:rsidR="00054437" w:rsidRPr="000549B1" w:rsidRDefault="00000000">
            <w:pPr>
              <w:widowControl/>
              <w:jc w:val="center"/>
              <w:rPr>
                <w:rFonts w:eastAsia="等线"/>
                <w:kern w:val="0"/>
                <w:sz w:val="18"/>
                <w:szCs w:val="18"/>
              </w:rPr>
            </w:pPr>
            <w:r w:rsidRPr="000549B1">
              <w:rPr>
                <w:rFonts w:eastAsia="等线"/>
                <w:kern w:val="0"/>
                <w:sz w:val="18"/>
                <w:szCs w:val="18"/>
              </w:rPr>
              <w:t>0.3</w:t>
            </w:r>
          </w:p>
        </w:tc>
        <w:tc>
          <w:tcPr>
            <w:tcW w:w="381" w:type="pct"/>
            <w:shd w:val="clear" w:color="000000" w:fill="FFFFFF"/>
            <w:noWrap/>
            <w:vAlign w:val="center"/>
          </w:tcPr>
          <w:p w14:paraId="1A59617B" w14:textId="77777777" w:rsidR="00054437" w:rsidRPr="000549B1" w:rsidRDefault="00000000">
            <w:pPr>
              <w:widowControl/>
              <w:jc w:val="center"/>
              <w:rPr>
                <w:rFonts w:eastAsia="等线"/>
                <w:kern w:val="0"/>
                <w:sz w:val="18"/>
                <w:szCs w:val="18"/>
              </w:rPr>
            </w:pPr>
            <w:r w:rsidRPr="000549B1">
              <w:rPr>
                <w:rFonts w:eastAsia="等线"/>
                <w:kern w:val="0"/>
                <w:sz w:val="18"/>
                <w:szCs w:val="18"/>
              </w:rPr>
              <w:t>0.1</w:t>
            </w:r>
          </w:p>
        </w:tc>
        <w:tc>
          <w:tcPr>
            <w:tcW w:w="326" w:type="pct"/>
            <w:shd w:val="clear" w:color="000000" w:fill="FFFFFF"/>
            <w:noWrap/>
            <w:vAlign w:val="center"/>
          </w:tcPr>
          <w:p w14:paraId="71FD7E54" w14:textId="77777777" w:rsidR="00054437" w:rsidRPr="000549B1" w:rsidRDefault="00000000">
            <w:pPr>
              <w:widowControl/>
              <w:jc w:val="center"/>
              <w:rPr>
                <w:rFonts w:eastAsia="等线"/>
                <w:kern w:val="0"/>
                <w:sz w:val="18"/>
                <w:szCs w:val="18"/>
              </w:rPr>
            </w:pPr>
            <w:r w:rsidRPr="000549B1">
              <w:rPr>
                <w:rFonts w:eastAsia="等线"/>
                <w:kern w:val="0"/>
                <w:sz w:val="18"/>
                <w:szCs w:val="18"/>
              </w:rPr>
              <w:t>0.1</w:t>
            </w:r>
          </w:p>
        </w:tc>
        <w:tc>
          <w:tcPr>
            <w:tcW w:w="326" w:type="pct"/>
            <w:shd w:val="clear" w:color="000000" w:fill="FFFFFF"/>
            <w:noWrap/>
            <w:vAlign w:val="center"/>
          </w:tcPr>
          <w:p w14:paraId="24E443C5" w14:textId="77777777" w:rsidR="00054437" w:rsidRPr="000549B1" w:rsidRDefault="00000000">
            <w:pPr>
              <w:widowControl/>
              <w:jc w:val="center"/>
              <w:rPr>
                <w:rFonts w:eastAsia="等线"/>
                <w:kern w:val="0"/>
                <w:sz w:val="18"/>
                <w:szCs w:val="18"/>
              </w:rPr>
            </w:pPr>
            <w:r w:rsidRPr="000549B1">
              <w:rPr>
                <w:rFonts w:eastAsia="等线"/>
                <w:kern w:val="0"/>
                <w:sz w:val="18"/>
                <w:szCs w:val="18"/>
              </w:rPr>
              <w:t>0.1</w:t>
            </w:r>
          </w:p>
        </w:tc>
        <w:tc>
          <w:tcPr>
            <w:tcW w:w="326" w:type="pct"/>
            <w:shd w:val="clear" w:color="000000" w:fill="FFFFFF"/>
            <w:noWrap/>
            <w:vAlign w:val="center"/>
          </w:tcPr>
          <w:p w14:paraId="64089BBB" w14:textId="77777777" w:rsidR="00054437" w:rsidRPr="000549B1" w:rsidRDefault="00000000">
            <w:pPr>
              <w:widowControl/>
              <w:jc w:val="center"/>
              <w:rPr>
                <w:rFonts w:eastAsia="等线"/>
                <w:kern w:val="0"/>
                <w:sz w:val="18"/>
                <w:szCs w:val="18"/>
              </w:rPr>
            </w:pPr>
            <w:r w:rsidRPr="000549B1">
              <w:rPr>
                <w:rFonts w:eastAsia="等线"/>
                <w:kern w:val="0"/>
                <w:sz w:val="18"/>
                <w:szCs w:val="18"/>
              </w:rPr>
              <w:t>0.1</w:t>
            </w:r>
          </w:p>
        </w:tc>
        <w:tc>
          <w:tcPr>
            <w:tcW w:w="326" w:type="pct"/>
            <w:shd w:val="clear" w:color="000000" w:fill="FFFFFF"/>
            <w:noWrap/>
            <w:vAlign w:val="center"/>
          </w:tcPr>
          <w:p w14:paraId="394B337E" w14:textId="77777777" w:rsidR="00054437" w:rsidRPr="000549B1" w:rsidRDefault="00000000">
            <w:pPr>
              <w:widowControl/>
              <w:jc w:val="center"/>
              <w:rPr>
                <w:rFonts w:eastAsia="等线"/>
                <w:kern w:val="0"/>
                <w:sz w:val="18"/>
                <w:szCs w:val="18"/>
              </w:rPr>
            </w:pPr>
            <w:r w:rsidRPr="000549B1">
              <w:rPr>
                <w:rFonts w:eastAsia="等线"/>
                <w:kern w:val="0"/>
                <w:sz w:val="18"/>
                <w:szCs w:val="18"/>
              </w:rPr>
              <w:t>0.6</w:t>
            </w:r>
          </w:p>
        </w:tc>
        <w:tc>
          <w:tcPr>
            <w:tcW w:w="326" w:type="pct"/>
            <w:shd w:val="clear" w:color="000000" w:fill="FFFFFF"/>
            <w:noWrap/>
            <w:vAlign w:val="center"/>
          </w:tcPr>
          <w:p w14:paraId="15034B75" w14:textId="77777777" w:rsidR="00054437" w:rsidRPr="000549B1" w:rsidRDefault="00000000">
            <w:pPr>
              <w:widowControl/>
              <w:jc w:val="center"/>
              <w:rPr>
                <w:rFonts w:eastAsia="等线"/>
                <w:kern w:val="0"/>
                <w:sz w:val="18"/>
                <w:szCs w:val="18"/>
              </w:rPr>
            </w:pPr>
            <w:r w:rsidRPr="000549B1">
              <w:rPr>
                <w:rFonts w:eastAsia="等线"/>
                <w:kern w:val="0"/>
                <w:sz w:val="18"/>
                <w:szCs w:val="18"/>
              </w:rPr>
              <w:t>4.0</w:t>
            </w:r>
          </w:p>
        </w:tc>
        <w:tc>
          <w:tcPr>
            <w:tcW w:w="326" w:type="pct"/>
            <w:shd w:val="clear" w:color="000000" w:fill="FFFFFF"/>
            <w:noWrap/>
            <w:vAlign w:val="center"/>
          </w:tcPr>
          <w:p w14:paraId="3A728372" w14:textId="77777777" w:rsidR="00054437" w:rsidRPr="000549B1" w:rsidRDefault="00000000">
            <w:pPr>
              <w:widowControl/>
              <w:jc w:val="center"/>
              <w:rPr>
                <w:rFonts w:eastAsia="等线"/>
                <w:kern w:val="0"/>
                <w:sz w:val="18"/>
                <w:szCs w:val="18"/>
              </w:rPr>
            </w:pPr>
            <w:r w:rsidRPr="000549B1">
              <w:rPr>
                <w:rFonts w:eastAsia="等线"/>
                <w:kern w:val="0"/>
                <w:sz w:val="18"/>
                <w:szCs w:val="18"/>
              </w:rPr>
              <w:t>7.7</w:t>
            </w:r>
          </w:p>
        </w:tc>
      </w:tr>
      <w:tr w:rsidR="000549B1" w:rsidRPr="000549B1" w14:paraId="4ABAE457" w14:textId="77777777">
        <w:trPr>
          <w:trHeight w:val="290"/>
        </w:trPr>
        <w:tc>
          <w:tcPr>
            <w:tcW w:w="575" w:type="pct"/>
            <w:vMerge/>
            <w:vAlign w:val="center"/>
          </w:tcPr>
          <w:p w14:paraId="13DC2899" w14:textId="77777777" w:rsidR="00054437" w:rsidRPr="000549B1" w:rsidRDefault="00054437">
            <w:pPr>
              <w:widowControl/>
              <w:jc w:val="left"/>
              <w:rPr>
                <w:kern w:val="0"/>
                <w:sz w:val="18"/>
                <w:szCs w:val="18"/>
              </w:rPr>
            </w:pPr>
          </w:p>
        </w:tc>
        <w:tc>
          <w:tcPr>
            <w:tcW w:w="353" w:type="pct"/>
            <w:shd w:val="clear" w:color="000000" w:fill="FFFFFF"/>
            <w:noWrap/>
            <w:vAlign w:val="center"/>
          </w:tcPr>
          <w:p w14:paraId="000E216B" w14:textId="77777777" w:rsidR="00054437" w:rsidRPr="000549B1" w:rsidRDefault="00000000">
            <w:pPr>
              <w:widowControl/>
              <w:jc w:val="center"/>
              <w:rPr>
                <w:rFonts w:eastAsia="等线"/>
                <w:kern w:val="0"/>
                <w:sz w:val="18"/>
                <w:szCs w:val="18"/>
              </w:rPr>
            </w:pPr>
            <w:r w:rsidRPr="000549B1">
              <w:rPr>
                <w:rFonts w:eastAsia="等线"/>
                <w:kern w:val="0"/>
                <w:sz w:val="18"/>
                <w:szCs w:val="18"/>
              </w:rPr>
              <w:t>50%</w:t>
            </w:r>
          </w:p>
        </w:tc>
        <w:tc>
          <w:tcPr>
            <w:tcW w:w="326" w:type="pct"/>
            <w:shd w:val="clear" w:color="000000" w:fill="FFFFFF"/>
            <w:noWrap/>
            <w:vAlign w:val="center"/>
          </w:tcPr>
          <w:p w14:paraId="3924C350" w14:textId="77777777" w:rsidR="00054437" w:rsidRPr="000549B1" w:rsidRDefault="00000000">
            <w:pPr>
              <w:widowControl/>
              <w:jc w:val="center"/>
              <w:rPr>
                <w:rFonts w:eastAsia="等线"/>
                <w:kern w:val="0"/>
                <w:sz w:val="18"/>
                <w:szCs w:val="18"/>
              </w:rPr>
            </w:pPr>
            <w:r w:rsidRPr="000549B1">
              <w:rPr>
                <w:rFonts w:eastAsia="等线"/>
                <w:kern w:val="0"/>
                <w:sz w:val="18"/>
                <w:szCs w:val="18"/>
              </w:rPr>
              <w:t>11.6</w:t>
            </w:r>
          </w:p>
        </w:tc>
        <w:tc>
          <w:tcPr>
            <w:tcW w:w="326" w:type="pct"/>
            <w:shd w:val="clear" w:color="000000" w:fill="FFFFFF"/>
            <w:noWrap/>
            <w:vAlign w:val="center"/>
          </w:tcPr>
          <w:p w14:paraId="5265ABCE" w14:textId="77777777" w:rsidR="00054437" w:rsidRPr="000549B1" w:rsidRDefault="00000000">
            <w:pPr>
              <w:widowControl/>
              <w:jc w:val="center"/>
              <w:rPr>
                <w:rFonts w:eastAsia="等线"/>
                <w:kern w:val="0"/>
                <w:sz w:val="18"/>
                <w:szCs w:val="18"/>
              </w:rPr>
            </w:pPr>
            <w:r w:rsidRPr="000549B1">
              <w:rPr>
                <w:rFonts w:eastAsia="等线"/>
                <w:kern w:val="0"/>
                <w:sz w:val="18"/>
                <w:szCs w:val="18"/>
              </w:rPr>
              <w:t>11.5</w:t>
            </w:r>
          </w:p>
        </w:tc>
        <w:tc>
          <w:tcPr>
            <w:tcW w:w="326" w:type="pct"/>
            <w:shd w:val="clear" w:color="000000" w:fill="FFFFFF"/>
            <w:noWrap/>
            <w:vAlign w:val="center"/>
          </w:tcPr>
          <w:p w14:paraId="217CD9DA" w14:textId="77777777" w:rsidR="00054437" w:rsidRPr="000549B1" w:rsidRDefault="00000000">
            <w:pPr>
              <w:widowControl/>
              <w:jc w:val="center"/>
              <w:rPr>
                <w:rFonts w:eastAsia="等线"/>
                <w:kern w:val="0"/>
                <w:sz w:val="18"/>
                <w:szCs w:val="18"/>
              </w:rPr>
            </w:pPr>
            <w:r w:rsidRPr="000549B1">
              <w:rPr>
                <w:rFonts w:eastAsia="等线"/>
                <w:kern w:val="0"/>
                <w:sz w:val="18"/>
                <w:szCs w:val="18"/>
              </w:rPr>
              <w:t>11.6</w:t>
            </w:r>
          </w:p>
        </w:tc>
        <w:tc>
          <w:tcPr>
            <w:tcW w:w="381" w:type="pct"/>
            <w:shd w:val="clear" w:color="000000" w:fill="FFFFFF"/>
            <w:noWrap/>
            <w:vAlign w:val="center"/>
          </w:tcPr>
          <w:p w14:paraId="4DBE35C5" w14:textId="77777777" w:rsidR="00054437" w:rsidRPr="000549B1" w:rsidRDefault="00000000">
            <w:pPr>
              <w:widowControl/>
              <w:jc w:val="center"/>
              <w:rPr>
                <w:rFonts w:eastAsia="等线"/>
                <w:kern w:val="0"/>
                <w:sz w:val="18"/>
                <w:szCs w:val="18"/>
              </w:rPr>
            </w:pPr>
            <w:r w:rsidRPr="000549B1">
              <w:rPr>
                <w:rFonts w:eastAsia="等线"/>
                <w:kern w:val="0"/>
                <w:sz w:val="18"/>
                <w:szCs w:val="18"/>
              </w:rPr>
              <w:t>9.4</w:t>
            </w:r>
          </w:p>
        </w:tc>
        <w:tc>
          <w:tcPr>
            <w:tcW w:w="381" w:type="pct"/>
            <w:shd w:val="clear" w:color="000000" w:fill="FFFFFF"/>
            <w:noWrap/>
            <w:vAlign w:val="center"/>
          </w:tcPr>
          <w:p w14:paraId="15219B8A" w14:textId="77777777" w:rsidR="00054437" w:rsidRPr="000549B1" w:rsidRDefault="00000000">
            <w:pPr>
              <w:widowControl/>
              <w:jc w:val="center"/>
              <w:rPr>
                <w:rFonts w:eastAsia="等线"/>
                <w:kern w:val="0"/>
                <w:sz w:val="18"/>
                <w:szCs w:val="18"/>
              </w:rPr>
            </w:pPr>
            <w:r w:rsidRPr="000549B1">
              <w:rPr>
                <w:rFonts w:eastAsia="等线"/>
                <w:kern w:val="0"/>
                <w:sz w:val="18"/>
                <w:szCs w:val="18"/>
              </w:rPr>
              <w:t>5.2</w:t>
            </w:r>
          </w:p>
        </w:tc>
        <w:tc>
          <w:tcPr>
            <w:tcW w:w="381" w:type="pct"/>
            <w:shd w:val="clear" w:color="000000" w:fill="FFFFFF"/>
            <w:noWrap/>
            <w:vAlign w:val="center"/>
          </w:tcPr>
          <w:p w14:paraId="4558AFDC" w14:textId="77777777" w:rsidR="00054437" w:rsidRPr="000549B1" w:rsidRDefault="00000000">
            <w:pPr>
              <w:widowControl/>
              <w:jc w:val="center"/>
              <w:rPr>
                <w:rFonts w:eastAsia="等线"/>
                <w:kern w:val="0"/>
                <w:sz w:val="18"/>
                <w:szCs w:val="18"/>
              </w:rPr>
            </w:pPr>
            <w:r w:rsidRPr="000549B1">
              <w:rPr>
                <w:rFonts w:eastAsia="等线"/>
                <w:kern w:val="0"/>
                <w:sz w:val="18"/>
                <w:szCs w:val="18"/>
              </w:rPr>
              <w:t>4.0</w:t>
            </w:r>
          </w:p>
        </w:tc>
        <w:tc>
          <w:tcPr>
            <w:tcW w:w="326" w:type="pct"/>
            <w:shd w:val="clear" w:color="000000" w:fill="FFFFFF"/>
            <w:noWrap/>
            <w:vAlign w:val="center"/>
          </w:tcPr>
          <w:p w14:paraId="765F63A2" w14:textId="77777777" w:rsidR="00054437" w:rsidRPr="000549B1" w:rsidRDefault="00000000">
            <w:pPr>
              <w:widowControl/>
              <w:jc w:val="center"/>
              <w:rPr>
                <w:rFonts w:eastAsia="等线"/>
                <w:kern w:val="0"/>
                <w:sz w:val="18"/>
                <w:szCs w:val="18"/>
              </w:rPr>
            </w:pPr>
            <w:r w:rsidRPr="000549B1">
              <w:rPr>
                <w:rFonts w:eastAsia="等线"/>
                <w:kern w:val="0"/>
                <w:sz w:val="18"/>
                <w:szCs w:val="18"/>
              </w:rPr>
              <w:t>4.0</w:t>
            </w:r>
          </w:p>
        </w:tc>
        <w:tc>
          <w:tcPr>
            <w:tcW w:w="326" w:type="pct"/>
            <w:shd w:val="clear" w:color="000000" w:fill="FFFFFF"/>
            <w:noWrap/>
            <w:vAlign w:val="center"/>
          </w:tcPr>
          <w:p w14:paraId="447E4074" w14:textId="77777777" w:rsidR="00054437" w:rsidRPr="000549B1" w:rsidRDefault="00000000">
            <w:pPr>
              <w:widowControl/>
              <w:jc w:val="center"/>
              <w:rPr>
                <w:rFonts w:eastAsia="等线"/>
                <w:kern w:val="0"/>
                <w:sz w:val="18"/>
                <w:szCs w:val="18"/>
              </w:rPr>
            </w:pPr>
            <w:r w:rsidRPr="000549B1">
              <w:rPr>
                <w:rFonts w:eastAsia="等线"/>
                <w:kern w:val="0"/>
                <w:sz w:val="18"/>
                <w:szCs w:val="18"/>
              </w:rPr>
              <w:t>4.0</w:t>
            </w:r>
          </w:p>
        </w:tc>
        <w:tc>
          <w:tcPr>
            <w:tcW w:w="326" w:type="pct"/>
            <w:shd w:val="clear" w:color="000000" w:fill="FFFFFF"/>
            <w:noWrap/>
            <w:vAlign w:val="center"/>
          </w:tcPr>
          <w:p w14:paraId="3A7B6CB2" w14:textId="77777777" w:rsidR="00054437" w:rsidRPr="000549B1" w:rsidRDefault="00000000">
            <w:pPr>
              <w:widowControl/>
              <w:jc w:val="center"/>
              <w:rPr>
                <w:rFonts w:eastAsia="等线"/>
                <w:kern w:val="0"/>
                <w:sz w:val="18"/>
                <w:szCs w:val="18"/>
              </w:rPr>
            </w:pPr>
            <w:r w:rsidRPr="000549B1">
              <w:rPr>
                <w:rFonts w:eastAsia="等线"/>
                <w:kern w:val="0"/>
                <w:sz w:val="18"/>
                <w:szCs w:val="18"/>
              </w:rPr>
              <w:t>4.0</w:t>
            </w:r>
          </w:p>
        </w:tc>
        <w:tc>
          <w:tcPr>
            <w:tcW w:w="326" w:type="pct"/>
            <w:shd w:val="clear" w:color="000000" w:fill="FFFFFF"/>
            <w:noWrap/>
            <w:vAlign w:val="center"/>
          </w:tcPr>
          <w:p w14:paraId="2C05B83D" w14:textId="77777777" w:rsidR="00054437" w:rsidRPr="000549B1" w:rsidRDefault="00000000">
            <w:pPr>
              <w:widowControl/>
              <w:jc w:val="center"/>
              <w:rPr>
                <w:rFonts w:eastAsia="等线"/>
                <w:kern w:val="0"/>
                <w:sz w:val="18"/>
                <w:szCs w:val="18"/>
              </w:rPr>
            </w:pPr>
            <w:r w:rsidRPr="000549B1">
              <w:rPr>
                <w:rFonts w:eastAsia="等线"/>
                <w:kern w:val="0"/>
                <w:sz w:val="18"/>
                <w:szCs w:val="18"/>
              </w:rPr>
              <w:t>0.7</w:t>
            </w:r>
          </w:p>
        </w:tc>
        <w:tc>
          <w:tcPr>
            <w:tcW w:w="326" w:type="pct"/>
            <w:shd w:val="clear" w:color="000000" w:fill="FFFFFF"/>
            <w:noWrap/>
            <w:vAlign w:val="center"/>
          </w:tcPr>
          <w:p w14:paraId="7279D240" w14:textId="77777777" w:rsidR="00054437" w:rsidRPr="000549B1" w:rsidRDefault="00000000">
            <w:pPr>
              <w:widowControl/>
              <w:jc w:val="center"/>
              <w:rPr>
                <w:rFonts w:eastAsia="等线"/>
                <w:kern w:val="0"/>
                <w:sz w:val="18"/>
                <w:szCs w:val="18"/>
              </w:rPr>
            </w:pPr>
            <w:r w:rsidRPr="000549B1">
              <w:rPr>
                <w:rFonts w:eastAsia="等线"/>
                <w:kern w:val="0"/>
                <w:sz w:val="18"/>
                <w:szCs w:val="18"/>
              </w:rPr>
              <w:t>0.9</w:t>
            </w:r>
          </w:p>
        </w:tc>
        <w:tc>
          <w:tcPr>
            <w:tcW w:w="326" w:type="pct"/>
            <w:shd w:val="clear" w:color="000000" w:fill="FFFFFF"/>
            <w:noWrap/>
            <w:vAlign w:val="center"/>
          </w:tcPr>
          <w:p w14:paraId="4683D623" w14:textId="77777777" w:rsidR="00054437" w:rsidRPr="000549B1" w:rsidRDefault="00000000">
            <w:pPr>
              <w:widowControl/>
              <w:jc w:val="center"/>
              <w:rPr>
                <w:rFonts w:eastAsia="等线"/>
                <w:kern w:val="0"/>
                <w:sz w:val="18"/>
                <w:szCs w:val="18"/>
              </w:rPr>
            </w:pPr>
            <w:r w:rsidRPr="000549B1">
              <w:rPr>
                <w:rFonts w:eastAsia="等线"/>
                <w:kern w:val="0"/>
                <w:sz w:val="18"/>
                <w:szCs w:val="18"/>
              </w:rPr>
              <w:t>1.9</w:t>
            </w:r>
          </w:p>
        </w:tc>
      </w:tr>
      <w:tr w:rsidR="000549B1" w:rsidRPr="000549B1" w14:paraId="4454083C" w14:textId="77777777">
        <w:trPr>
          <w:trHeight w:val="290"/>
        </w:trPr>
        <w:tc>
          <w:tcPr>
            <w:tcW w:w="575" w:type="pct"/>
            <w:vMerge/>
            <w:vAlign w:val="center"/>
          </w:tcPr>
          <w:p w14:paraId="7ED6BF75" w14:textId="77777777" w:rsidR="00054437" w:rsidRPr="000549B1" w:rsidRDefault="00054437">
            <w:pPr>
              <w:widowControl/>
              <w:jc w:val="left"/>
              <w:rPr>
                <w:kern w:val="0"/>
                <w:sz w:val="18"/>
                <w:szCs w:val="18"/>
              </w:rPr>
            </w:pPr>
          </w:p>
        </w:tc>
        <w:tc>
          <w:tcPr>
            <w:tcW w:w="353" w:type="pct"/>
            <w:shd w:val="clear" w:color="000000" w:fill="FFFFFF"/>
            <w:noWrap/>
            <w:vAlign w:val="center"/>
          </w:tcPr>
          <w:p w14:paraId="0F7BF440" w14:textId="77777777" w:rsidR="00054437" w:rsidRPr="000549B1" w:rsidRDefault="00000000">
            <w:pPr>
              <w:widowControl/>
              <w:jc w:val="center"/>
              <w:rPr>
                <w:rFonts w:eastAsia="等线"/>
                <w:kern w:val="0"/>
                <w:sz w:val="18"/>
                <w:szCs w:val="18"/>
              </w:rPr>
            </w:pPr>
            <w:r w:rsidRPr="000549B1">
              <w:rPr>
                <w:rFonts w:eastAsia="等线"/>
                <w:kern w:val="0"/>
                <w:sz w:val="18"/>
                <w:szCs w:val="18"/>
              </w:rPr>
              <w:t>90%</w:t>
            </w:r>
          </w:p>
        </w:tc>
        <w:tc>
          <w:tcPr>
            <w:tcW w:w="326" w:type="pct"/>
            <w:shd w:val="clear" w:color="000000" w:fill="FFFFFF"/>
            <w:noWrap/>
            <w:vAlign w:val="center"/>
          </w:tcPr>
          <w:p w14:paraId="215601C2" w14:textId="77777777" w:rsidR="00054437" w:rsidRPr="000549B1" w:rsidRDefault="00000000">
            <w:pPr>
              <w:widowControl/>
              <w:jc w:val="center"/>
              <w:rPr>
                <w:rFonts w:eastAsia="等线"/>
                <w:kern w:val="0"/>
                <w:sz w:val="18"/>
                <w:szCs w:val="18"/>
              </w:rPr>
            </w:pPr>
            <w:r w:rsidRPr="000549B1">
              <w:rPr>
                <w:rFonts w:eastAsia="等线"/>
                <w:kern w:val="0"/>
                <w:sz w:val="18"/>
                <w:szCs w:val="18"/>
              </w:rPr>
              <w:t>10.2</w:t>
            </w:r>
          </w:p>
        </w:tc>
        <w:tc>
          <w:tcPr>
            <w:tcW w:w="326" w:type="pct"/>
            <w:shd w:val="clear" w:color="000000" w:fill="FFFFFF"/>
            <w:noWrap/>
            <w:vAlign w:val="center"/>
          </w:tcPr>
          <w:p w14:paraId="7B8E4664" w14:textId="77777777" w:rsidR="00054437" w:rsidRPr="000549B1" w:rsidRDefault="00000000">
            <w:pPr>
              <w:widowControl/>
              <w:jc w:val="center"/>
              <w:rPr>
                <w:rFonts w:eastAsia="等线"/>
                <w:kern w:val="0"/>
                <w:sz w:val="18"/>
                <w:szCs w:val="18"/>
              </w:rPr>
            </w:pPr>
            <w:r w:rsidRPr="000549B1">
              <w:rPr>
                <w:rFonts w:eastAsia="等线"/>
                <w:kern w:val="0"/>
                <w:sz w:val="18"/>
                <w:szCs w:val="18"/>
              </w:rPr>
              <w:t>10.2</w:t>
            </w:r>
          </w:p>
        </w:tc>
        <w:tc>
          <w:tcPr>
            <w:tcW w:w="326" w:type="pct"/>
            <w:shd w:val="clear" w:color="000000" w:fill="FFFFFF"/>
            <w:noWrap/>
            <w:vAlign w:val="center"/>
          </w:tcPr>
          <w:p w14:paraId="1C2F5F25" w14:textId="77777777" w:rsidR="00054437" w:rsidRPr="000549B1" w:rsidRDefault="00000000">
            <w:pPr>
              <w:widowControl/>
              <w:jc w:val="center"/>
              <w:rPr>
                <w:rFonts w:eastAsia="等线"/>
                <w:kern w:val="0"/>
                <w:sz w:val="18"/>
                <w:szCs w:val="18"/>
              </w:rPr>
            </w:pPr>
            <w:r w:rsidRPr="000549B1">
              <w:rPr>
                <w:rFonts w:eastAsia="等线"/>
                <w:kern w:val="0"/>
                <w:sz w:val="18"/>
                <w:szCs w:val="18"/>
              </w:rPr>
              <w:t>10.2</w:t>
            </w:r>
          </w:p>
        </w:tc>
        <w:tc>
          <w:tcPr>
            <w:tcW w:w="381" w:type="pct"/>
            <w:shd w:val="clear" w:color="000000" w:fill="FFFFFF"/>
            <w:noWrap/>
            <w:vAlign w:val="center"/>
          </w:tcPr>
          <w:p w14:paraId="6061C8CF" w14:textId="77777777" w:rsidR="00054437" w:rsidRPr="000549B1" w:rsidRDefault="00000000">
            <w:pPr>
              <w:widowControl/>
              <w:jc w:val="center"/>
              <w:rPr>
                <w:rFonts w:eastAsia="等线"/>
                <w:kern w:val="0"/>
                <w:sz w:val="18"/>
                <w:szCs w:val="18"/>
              </w:rPr>
            </w:pPr>
            <w:r w:rsidRPr="000549B1">
              <w:rPr>
                <w:rFonts w:eastAsia="等线"/>
                <w:kern w:val="0"/>
                <w:sz w:val="18"/>
                <w:szCs w:val="18"/>
              </w:rPr>
              <w:t>2.7</w:t>
            </w:r>
          </w:p>
        </w:tc>
        <w:tc>
          <w:tcPr>
            <w:tcW w:w="381" w:type="pct"/>
            <w:shd w:val="clear" w:color="000000" w:fill="FFFFFF"/>
            <w:noWrap/>
            <w:vAlign w:val="center"/>
          </w:tcPr>
          <w:p w14:paraId="22619A26" w14:textId="77777777" w:rsidR="00054437" w:rsidRPr="000549B1" w:rsidRDefault="00000000">
            <w:pPr>
              <w:widowControl/>
              <w:jc w:val="center"/>
              <w:rPr>
                <w:rFonts w:eastAsia="等线"/>
                <w:kern w:val="0"/>
                <w:sz w:val="18"/>
                <w:szCs w:val="18"/>
              </w:rPr>
            </w:pPr>
            <w:r w:rsidRPr="000549B1">
              <w:rPr>
                <w:rFonts w:eastAsia="等线"/>
                <w:kern w:val="0"/>
                <w:sz w:val="18"/>
                <w:szCs w:val="18"/>
              </w:rPr>
              <w:t>0.1</w:t>
            </w:r>
          </w:p>
        </w:tc>
        <w:tc>
          <w:tcPr>
            <w:tcW w:w="381" w:type="pct"/>
            <w:shd w:val="clear" w:color="000000" w:fill="FFFFFF"/>
            <w:noWrap/>
            <w:vAlign w:val="center"/>
          </w:tcPr>
          <w:p w14:paraId="15635B54" w14:textId="77777777" w:rsidR="00054437" w:rsidRPr="000549B1" w:rsidRDefault="00000000">
            <w:pPr>
              <w:widowControl/>
              <w:jc w:val="center"/>
              <w:rPr>
                <w:rFonts w:eastAsia="等线"/>
                <w:kern w:val="0"/>
                <w:sz w:val="18"/>
                <w:szCs w:val="18"/>
              </w:rPr>
            </w:pPr>
            <w:r w:rsidRPr="000549B1">
              <w:rPr>
                <w:rFonts w:eastAsia="等线"/>
                <w:kern w:val="0"/>
                <w:sz w:val="18"/>
                <w:szCs w:val="18"/>
              </w:rPr>
              <w:t>0.1</w:t>
            </w:r>
          </w:p>
        </w:tc>
        <w:tc>
          <w:tcPr>
            <w:tcW w:w="326" w:type="pct"/>
            <w:shd w:val="clear" w:color="000000" w:fill="FFFFFF"/>
            <w:noWrap/>
            <w:vAlign w:val="center"/>
          </w:tcPr>
          <w:p w14:paraId="1FB36FD9" w14:textId="77777777" w:rsidR="00054437" w:rsidRPr="000549B1" w:rsidRDefault="00000000">
            <w:pPr>
              <w:widowControl/>
              <w:jc w:val="center"/>
              <w:rPr>
                <w:rFonts w:eastAsia="等线"/>
                <w:kern w:val="0"/>
                <w:sz w:val="18"/>
                <w:szCs w:val="18"/>
              </w:rPr>
            </w:pPr>
            <w:r w:rsidRPr="000549B1">
              <w:rPr>
                <w:rFonts w:eastAsia="等线"/>
                <w:kern w:val="0"/>
                <w:sz w:val="18"/>
                <w:szCs w:val="18"/>
              </w:rPr>
              <w:t>0.1</w:t>
            </w:r>
          </w:p>
        </w:tc>
        <w:tc>
          <w:tcPr>
            <w:tcW w:w="326" w:type="pct"/>
            <w:shd w:val="clear" w:color="000000" w:fill="FFFFFF"/>
            <w:noWrap/>
            <w:vAlign w:val="center"/>
          </w:tcPr>
          <w:p w14:paraId="41D69280" w14:textId="77777777" w:rsidR="00054437" w:rsidRPr="000549B1" w:rsidRDefault="00000000">
            <w:pPr>
              <w:widowControl/>
              <w:jc w:val="center"/>
              <w:rPr>
                <w:rFonts w:eastAsia="等线"/>
                <w:kern w:val="0"/>
                <w:sz w:val="18"/>
                <w:szCs w:val="18"/>
              </w:rPr>
            </w:pPr>
            <w:r w:rsidRPr="000549B1">
              <w:rPr>
                <w:rFonts w:eastAsia="等线"/>
                <w:kern w:val="0"/>
                <w:sz w:val="18"/>
                <w:szCs w:val="18"/>
              </w:rPr>
              <w:t>0.0</w:t>
            </w:r>
          </w:p>
        </w:tc>
        <w:tc>
          <w:tcPr>
            <w:tcW w:w="326" w:type="pct"/>
            <w:shd w:val="clear" w:color="000000" w:fill="FFFFFF"/>
            <w:noWrap/>
            <w:vAlign w:val="center"/>
          </w:tcPr>
          <w:p w14:paraId="5FBF1AF4" w14:textId="77777777" w:rsidR="00054437" w:rsidRPr="000549B1" w:rsidRDefault="00000000">
            <w:pPr>
              <w:widowControl/>
              <w:jc w:val="center"/>
              <w:rPr>
                <w:rFonts w:eastAsia="等线"/>
                <w:kern w:val="0"/>
                <w:sz w:val="18"/>
                <w:szCs w:val="18"/>
              </w:rPr>
            </w:pPr>
            <w:r w:rsidRPr="000549B1">
              <w:rPr>
                <w:rFonts w:eastAsia="等线"/>
                <w:kern w:val="0"/>
                <w:sz w:val="18"/>
                <w:szCs w:val="18"/>
              </w:rPr>
              <w:t>0.1</w:t>
            </w:r>
          </w:p>
        </w:tc>
        <w:tc>
          <w:tcPr>
            <w:tcW w:w="326" w:type="pct"/>
            <w:shd w:val="clear" w:color="000000" w:fill="FFFFFF"/>
            <w:noWrap/>
            <w:vAlign w:val="center"/>
          </w:tcPr>
          <w:p w14:paraId="4179F668" w14:textId="77777777" w:rsidR="00054437" w:rsidRPr="000549B1" w:rsidRDefault="00000000">
            <w:pPr>
              <w:widowControl/>
              <w:jc w:val="center"/>
              <w:rPr>
                <w:rFonts w:eastAsia="等线"/>
                <w:kern w:val="0"/>
                <w:sz w:val="18"/>
                <w:szCs w:val="18"/>
              </w:rPr>
            </w:pPr>
            <w:r w:rsidRPr="000549B1">
              <w:rPr>
                <w:rFonts w:eastAsia="等线"/>
                <w:kern w:val="0"/>
                <w:sz w:val="18"/>
                <w:szCs w:val="18"/>
              </w:rPr>
              <w:t>0.5</w:t>
            </w:r>
          </w:p>
        </w:tc>
        <w:tc>
          <w:tcPr>
            <w:tcW w:w="326" w:type="pct"/>
            <w:shd w:val="clear" w:color="000000" w:fill="FFFFFF"/>
            <w:noWrap/>
            <w:vAlign w:val="center"/>
          </w:tcPr>
          <w:p w14:paraId="7EEEBF9B" w14:textId="77777777" w:rsidR="00054437" w:rsidRPr="000549B1" w:rsidRDefault="00000000">
            <w:pPr>
              <w:widowControl/>
              <w:jc w:val="center"/>
              <w:rPr>
                <w:rFonts w:eastAsia="等线"/>
                <w:kern w:val="0"/>
                <w:sz w:val="18"/>
                <w:szCs w:val="18"/>
              </w:rPr>
            </w:pPr>
            <w:r w:rsidRPr="000549B1">
              <w:rPr>
                <w:rFonts w:eastAsia="等线"/>
                <w:kern w:val="0"/>
                <w:sz w:val="18"/>
                <w:szCs w:val="18"/>
              </w:rPr>
              <w:t>4.8</w:t>
            </w:r>
          </w:p>
        </w:tc>
        <w:tc>
          <w:tcPr>
            <w:tcW w:w="326" w:type="pct"/>
            <w:shd w:val="clear" w:color="000000" w:fill="FFFFFF"/>
            <w:noWrap/>
            <w:vAlign w:val="center"/>
          </w:tcPr>
          <w:p w14:paraId="2839969F" w14:textId="77777777" w:rsidR="00054437" w:rsidRPr="000549B1" w:rsidRDefault="00000000">
            <w:pPr>
              <w:widowControl/>
              <w:jc w:val="center"/>
              <w:rPr>
                <w:rFonts w:eastAsia="等线"/>
                <w:kern w:val="0"/>
                <w:sz w:val="18"/>
                <w:szCs w:val="18"/>
              </w:rPr>
            </w:pPr>
            <w:r w:rsidRPr="000549B1">
              <w:rPr>
                <w:rFonts w:eastAsia="等线"/>
                <w:kern w:val="0"/>
                <w:sz w:val="18"/>
                <w:szCs w:val="18"/>
              </w:rPr>
              <w:t>6.9</w:t>
            </w:r>
          </w:p>
        </w:tc>
      </w:tr>
      <w:tr w:rsidR="000549B1" w:rsidRPr="000549B1" w14:paraId="4013340F" w14:textId="77777777">
        <w:trPr>
          <w:trHeight w:val="290"/>
        </w:trPr>
        <w:tc>
          <w:tcPr>
            <w:tcW w:w="575" w:type="pct"/>
            <w:vMerge w:val="restart"/>
            <w:shd w:val="clear" w:color="000000" w:fill="FFFFFF"/>
            <w:noWrap/>
            <w:vAlign w:val="center"/>
          </w:tcPr>
          <w:p w14:paraId="66CCC1A8" w14:textId="77777777" w:rsidR="00054437" w:rsidRPr="000549B1" w:rsidRDefault="00000000">
            <w:pPr>
              <w:widowControl/>
              <w:jc w:val="center"/>
              <w:rPr>
                <w:kern w:val="0"/>
                <w:sz w:val="18"/>
                <w:szCs w:val="18"/>
              </w:rPr>
            </w:pPr>
            <w:r w:rsidRPr="000549B1">
              <w:rPr>
                <w:kern w:val="0"/>
                <w:sz w:val="18"/>
                <w:szCs w:val="18"/>
              </w:rPr>
              <w:t>温差</w:t>
            </w:r>
          </w:p>
        </w:tc>
        <w:tc>
          <w:tcPr>
            <w:tcW w:w="353" w:type="pct"/>
            <w:shd w:val="clear" w:color="000000" w:fill="FFFFFF"/>
            <w:noWrap/>
            <w:vAlign w:val="center"/>
          </w:tcPr>
          <w:p w14:paraId="582E3E65" w14:textId="77777777" w:rsidR="00054437" w:rsidRPr="000549B1" w:rsidRDefault="00000000">
            <w:pPr>
              <w:widowControl/>
              <w:jc w:val="center"/>
              <w:rPr>
                <w:rFonts w:eastAsia="等线"/>
                <w:kern w:val="0"/>
                <w:sz w:val="18"/>
                <w:szCs w:val="18"/>
              </w:rPr>
            </w:pPr>
            <w:r w:rsidRPr="000549B1">
              <w:rPr>
                <w:rFonts w:eastAsia="等线"/>
                <w:kern w:val="0"/>
                <w:sz w:val="18"/>
                <w:szCs w:val="18"/>
              </w:rPr>
              <w:t>10%</w:t>
            </w:r>
          </w:p>
        </w:tc>
        <w:tc>
          <w:tcPr>
            <w:tcW w:w="326" w:type="pct"/>
            <w:shd w:val="clear" w:color="000000" w:fill="FFFFFF"/>
            <w:noWrap/>
            <w:vAlign w:val="center"/>
          </w:tcPr>
          <w:p w14:paraId="011C85E8" w14:textId="77777777" w:rsidR="00054437" w:rsidRPr="000549B1" w:rsidRDefault="00000000">
            <w:pPr>
              <w:widowControl/>
              <w:jc w:val="center"/>
              <w:rPr>
                <w:rFonts w:eastAsia="等线"/>
                <w:kern w:val="0"/>
                <w:sz w:val="18"/>
                <w:szCs w:val="18"/>
              </w:rPr>
            </w:pPr>
            <w:r w:rsidRPr="000549B1">
              <w:rPr>
                <w:rFonts w:eastAsia="等线"/>
                <w:kern w:val="0"/>
                <w:sz w:val="18"/>
                <w:szCs w:val="18"/>
              </w:rPr>
              <w:t>0.4</w:t>
            </w:r>
          </w:p>
        </w:tc>
        <w:tc>
          <w:tcPr>
            <w:tcW w:w="326" w:type="pct"/>
            <w:shd w:val="clear" w:color="000000" w:fill="FFFFFF"/>
            <w:noWrap/>
            <w:vAlign w:val="center"/>
          </w:tcPr>
          <w:p w14:paraId="3E49C742" w14:textId="77777777" w:rsidR="00054437" w:rsidRPr="000549B1" w:rsidRDefault="00000000">
            <w:pPr>
              <w:widowControl/>
              <w:jc w:val="center"/>
              <w:rPr>
                <w:rFonts w:eastAsia="等线"/>
                <w:kern w:val="0"/>
                <w:sz w:val="18"/>
                <w:szCs w:val="18"/>
              </w:rPr>
            </w:pPr>
            <w:r w:rsidRPr="000549B1">
              <w:rPr>
                <w:rFonts w:eastAsia="等线"/>
                <w:kern w:val="0"/>
                <w:sz w:val="18"/>
                <w:szCs w:val="18"/>
              </w:rPr>
              <w:t>2.1</w:t>
            </w:r>
          </w:p>
        </w:tc>
        <w:tc>
          <w:tcPr>
            <w:tcW w:w="326" w:type="pct"/>
            <w:shd w:val="clear" w:color="000000" w:fill="FFFFFF"/>
            <w:noWrap/>
            <w:vAlign w:val="center"/>
          </w:tcPr>
          <w:p w14:paraId="2F6E0EBD" w14:textId="77777777" w:rsidR="00054437" w:rsidRPr="000549B1" w:rsidRDefault="00000000">
            <w:pPr>
              <w:widowControl/>
              <w:jc w:val="center"/>
              <w:rPr>
                <w:rFonts w:eastAsia="等线"/>
                <w:kern w:val="0"/>
                <w:sz w:val="18"/>
                <w:szCs w:val="18"/>
              </w:rPr>
            </w:pPr>
            <w:r w:rsidRPr="000549B1">
              <w:rPr>
                <w:rFonts w:eastAsia="等线"/>
                <w:kern w:val="0"/>
                <w:sz w:val="18"/>
                <w:szCs w:val="18"/>
              </w:rPr>
              <w:t>4.8</w:t>
            </w:r>
          </w:p>
        </w:tc>
        <w:tc>
          <w:tcPr>
            <w:tcW w:w="381" w:type="pct"/>
            <w:shd w:val="clear" w:color="000000" w:fill="FFFFFF"/>
            <w:noWrap/>
            <w:vAlign w:val="center"/>
          </w:tcPr>
          <w:p w14:paraId="2C382CD9" w14:textId="77777777" w:rsidR="00054437" w:rsidRPr="000549B1" w:rsidRDefault="00000000">
            <w:pPr>
              <w:widowControl/>
              <w:jc w:val="center"/>
              <w:rPr>
                <w:rFonts w:eastAsia="等线"/>
                <w:kern w:val="0"/>
                <w:sz w:val="18"/>
                <w:szCs w:val="18"/>
              </w:rPr>
            </w:pPr>
            <w:r w:rsidRPr="000549B1">
              <w:rPr>
                <w:rFonts w:eastAsia="等线"/>
                <w:kern w:val="0"/>
                <w:sz w:val="18"/>
                <w:szCs w:val="18"/>
              </w:rPr>
              <w:t>2.3</w:t>
            </w:r>
          </w:p>
        </w:tc>
        <w:tc>
          <w:tcPr>
            <w:tcW w:w="381" w:type="pct"/>
            <w:shd w:val="clear" w:color="000000" w:fill="FFFFFF"/>
            <w:noWrap/>
            <w:vAlign w:val="center"/>
          </w:tcPr>
          <w:p w14:paraId="021D3F8D" w14:textId="77777777" w:rsidR="00054437" w:rsidRPr="000549B1" w:rsidRDefault="00000000">
            <w:pPr>
              <w:widowControl/>
              <w:jc w:val="center"/>
              <w:rPr>
                <w:rFonts w:eastAsia="等线"/>
                <w:kern w:val="0"/>
                <w:sz w:val="18"/>
                <w:szCs w:val="18"/>
              </w:rPr>
            </w:pPr>
            <w:r w:rsidRPr="000549B1">
              <w:rPr>
                <w:rFonts w:eastAsia="等线"/>
                <w:kern w:val="0"/>
                <w:sz w:val="18"/>
                <w:szCs w:val="18"/>
              </w:rPr>
              <w:t>0.3</w:t>
            </w:r>
          </w:p>
        </w:tc>
        <w:tc>
          <w:tcPr>
            <w:tcW w:w="381" w:type="pct"/>
            <w:shd w:val="clear" w:color="000000" w:fill="FFFFFF"/>
            <w:noWrap/>
            <w:vAlign w:val="center"/>
          </w:tcPr>
          <w:p w14:paraId="371BB8F9" w14:textId="77777777" w:rsidR="00054437" w:rsidRPr="000549B1" w:rsidRDefault="00000000">
            <w:pPr>
              <w:widowControl/>
              <w:jc w:val="center"/>
              <w:rPr>
                <w:rFonts w:eastAsia="等线"/>
                <w:kern w:val="0"/>
                <w:sz w:val="18"/>
                <w:szCs w:val="18"/>
              </w:rPr>
            </w:pPr>
            <w:r w:rsidRPr="000549B1">
              <w:rPr>
                <w:rFonts w:eastAsia="等线"/>
                <w:kern w:val="0"/>
                <w:sz w:val="18"/>
                <w:szCs w:val="18"/>
              </w:rPr>
              <w:t>0.1</w:t>
            </w:r>
          </w:p>
        </w:tc>
        <w:tc>
          <w:tcPr>
            <w:tcW w:w="326" w:type="pct"/>
            <w:shd w:val="clear" w:color="000000" w:fill="FFFFFF"/>
            <w:noWrap/>
            <w:vAlign w:val="center"/>
          </w:tcPr>
          <w:p w14:paraId="3D93FD81" w14:textId="77777777" w:rsidR="00054437" w:rsidRPr="000549B1" w:rsidRDefault="00000000">
            <w:pPr>
              <w:widowControl/>
              <w:jc w:val="center"/>
              <w:rPr>
                <w:rFonts w:eastAsia="等线"/>
                <w:kern w:val="0"/>
                <w:sz w:val="18"/>
                <w:szCs w:val="18"/>
              </w:rPr>
            </w:pPr>
            <w:r w:rsidRPr="000549B1">
              <w:rPr>
                <w:rFonts w:eastAsia="等线"/>
                <w:kern w:val="0"/>
                <w:sz w:val="18"/>
                <w:szCs w:val="18"/>
              </w:rPr>
              <w:t>0.1</w:t>
            </w:r>
          </w:p>
        </w:tc>
        <w:tc>
          <w:tcPr>
            <w:tcW w:w="326" w:type="pct"/>
            <w:shd w:val="clear" w:color="000000" w:fill="FFFFFF"/>
            <w:noWrap/>
            <w:vAlign w:val="center"/>
          </w:tcPr>
          <w:p w14:paraId="71710E8F" w14:textId="77777777" w:rsidR="00054437" w:rsidRPr="000549B1" w:rsidRDefault="00000000">
            <w:pPr>
              <w:widowControl/>
              <w:jc w:val="center"/>
              <w:rPr>
                <w:rFonts w:eastAsia="等线"/>
                <w:kern w:val="0"/>
                <w:sz w:val="18"/>
                <w:szCs w:val="18"/>
              </w:rPr>
            </w:pPr>
            <w:r w:rsidRPr="000549B1">
              <w:rPr>
                <w:rFonts w:eastAsia="等线"/>
                <w:kern w:val="0"/>
                <w:sz w:val="18"/>
                <w:szCs w:val="18"/>
              </w:rPr>
              <w:t>0.1</w:t>
            </w:r>
          </w:p>
        </w:tc>
        <w:tc>
          <w:tcPr>
            <w:tcW w:w="326" w:type="pct"/>
            <w:shd w:val="clear" w:color="000000" w:fill="FFFFFF"/>
            <w:noWrap/>
            <w:vAlign w:val="center"/>
          </w:tcPr>
          <w:p w14:paraId="194875D8" w14:textId="77777777" w:rsidR="00054437" w:rsidRPr="000549B1" w:rsidRDefault="00000000">
            <w:pPr>
              <w:widowControl/>
              <w:jc w:val="center"/>
              <w:rPr>
                <w:rFonts w:eastAsia="等线"/>
                <w:kern w:val="0"/>
                <w:sz w:val="18"/>
                <w:szCs w:val="18"/>
              </w:rPr>
            </w:pPr>
            <w:r w:rsidRPr="000549B1">
              <w:rPr>
                <w:rFonts w:eastAsia="等线"/>
                <w:kern w:val="0"/>
                <w:sz w:val="18"/>
                <w:szCs w:val="18"/>
              </w:rPr>
              <w:t>0.1</w:t>
            </w:r>
          </w:p>
        </w:tc>
        <w:tc>
          <w:tcPr>
            <w:tcW w:w="326" w:type="pct"/>
            <w:shd w:val="clear" w:color="000000" w:fill="FFFFFF"/>
            <w:noWrap/>
            <w:vAlign w:val="center"/>
          </w:tcPr>
          <w:p w14:paraId="0BDD968B" w14:textId="77777777" w:rsidR="00054437" w:rsidRPr="000549B1" w:rsidRDefault="00000000">
            <w:pPr>
              <w:widowControl/>
              <w:jc w:val="center"/>
              <w:rPr>
                <w:rFonts w:eastAsia="等线"/>
                <w:kern w:val="0"/>
                <w:sz w:val="18"/>
                <w:szCs w:val="18"/>
              </w:rPr>
            </w:pPr>
            <w:r w:rsidRPr="000549B1">
              <w:rPr>
                <w:rFonts w:eastAsia="等线"/>
                <w:kern w:val="0"/>
                <w:sz w:val="18"/>
                <w:szCs w:val="18"/>
              </w:rPr>
              <w:t>-1.0</w:t>
            </w:r>
          </w:p>
        </w:tc>
        <w:tc>
          <w:tcPr>
            <w:tcW w:w="326" w:type="pct"/>
            <w:shd w:val="clear" w:color="000000" w:fill="FFFFFF"/>
            <w:noWrap/>
            <w:vAlign w:val="center"/>
          </w:tcPr>
          <w:p w14:paraId="4EE51961" w14:textId="77777777" w:rsidR="00054437" w:rsidRPr="000549B1" w:rsidRDefault="00000000">
            <w:pPr>
              <w:widowControl/>
              <w:jc w:val="center"/>
              <w:rPr>
                <w:rFonts w:eastAsia="等线"/>
                <w:kern w:val="0"/>
                <w:sz w:val="18"/>
                <w:szCs w:val="18"/>
              </w:rPr>
            </w:pPr>
            <w:r w:rsidRPr="000549B1">
              <w:rPr>
                <w:rFonts w:eastAsia="等线"/>
                <w:kern w:val="0"/>
                <w:sz w:val="18"/>
                <w:szCs w:val="18"/>
              </w:rPr>
              <w:t>-0.8</w:t>
            </w:r>
          </w:p>
        </w:tc>
        <w:tc>
          <w:tcPr>
            <w:tcW w:w="326" w:type="pct"/>
            <w:shd w:val="clear" w:color="000000" w:fill="FFFFFF"/>
            <w:noWrap/>
            <w:vAlign w:val="center"/>
          </w:tcPr>
          <w:p w14:paraId="460B71A2" w14:textId="77777777" w:rsidR="00054437" w:rsidRPr="000549B1" w:rsidRDefault="00000000">
            <w:pPr>
              <w:widowControl/>
              <w:jc w:val="center"/>
              <w:rPr>
                <w:rFonts w:eastAsia="等线"/>
                <w:kern w:val="0"/>
                <w:sz w:val="18"/>
                <w:szCs w:val="18"/>
              </w:rPr>
            </w:pPr>
            <w:r w:rsidRPr="000549B1">
              <w:rPr>
                <w:rFonts w:eastAsia="等线"/>
                <w:kern w:val="0"/>
                <w:sz w:val="18"/>
                <w:szCs w:val="18"/>
              </w:rPr>
              <w:t>0.8</w:t>
            </w:r>
          </w:p>
        </w:tc>
      </w:tr>
      <w:tr w:rsidR="000549B1" w:rsidRPr="000549B1" w14:paraId="120EFA43" w14:textId="77777777">
        <w:trPr>
          <w:trHeight w:val="290"/>
        </w:trPr>
        <w:tc>
          <w:tcPr>
            <w:tcW w:w="575" w:type="pct"/>
            <w:vMerge/>
            <w:vAlign w:val="center"/>
          </w:tcPr>
          <w:p w14:paraId="3BC105FB" w14:textId="77777777" w:rsidR="00054437" w:rsidRPr="000549B1" w:rsidRDefault="00054437">
            <w:pPr>
              <w:widowControl/>
              <w:jc w:val="left"/>
              <w:rPr>
                <w:kern w:val="0"/>
                <w:sz w:val="18"/>
                <w:szCs w:val="18"/>
              </w:rPr>
            </w:pPr>
          </w:p>
        </w:tc>
        <w:tc>
          <w:tcPr>
            <w:tcW w:w="353" w:type="pct"/>
            <w:shd w:val="clear" w:color="000000" w:fill="FFFFFF"/>
            <w:noWrap/>
            <w:vAlign w:val="center"/>
          </w:tcPr>
          <w:p w14:paraId="770F428D" w14:textId="77777777" w:rsidR="00054437" w:rsidRPr="000549B1" w:rsidRDefault="00000000">
            <w:pPr>
              <w:widowControl/>
              <w:jc w:val="center"/>
              <w:rPr>
                <w:rFonts w:eastAsia="等线"/>
                <w:kern w:val="0"/>
                <w:sz w:val="18"/>
                <w:szCs w:val="18"/>
              </w:rPr>
            </w:pPr>
            <w:r w:rsidRPr="000549B1">
              <w:rPr>
                <w:rFonts w:eastAsia="等线"/>
                <w:kern w:val="0"/>
                <w:sz w:val="18"/>
                <w:szCs w:val="18"/>
              </w:rPr>
              <w:t>50%</w:t>
            </w:r>
          </w:p>
        </w:tc>
        <w:tc>
          <w:tcPr>
            <w:tcW w:w="326" w:type="pct"/>
            <w:shd w:val="clear" w:color="000000" w:fill="FFFFFF"/>
            <w:noWrap/>
            <w:vAlign w:val="center"/>
          </w:tcPr>
          <w:p w14:paraId="1F79094B" w14:textId="77777777" w:rsidR="00054437" w:rsidRPr="000549B1" w:rsidRDefault="00000000">
            <w:pPr>
              <w:widowControl/>
              <w:jc w:val="center"/>
              <w:rPr>
                <w:rFonts w:eastAsia="等线"/>
                <w:kern w:val="0"/>
                <w:sz w:val="18"/>
                <w:szCs w:val="18"/>
              </w:rPr>
            </w:pPr>
            <w:r w:rsidRPr="000549B1">
              <w:rPr>
                <w:rFonts w:eastAsia="等线"/>
                <w:kern w:val="0"/>
                <w:sz w:val="18"/>
                <w:szCs w:val="18"/>
              </w:rPr>
              <w:t>3.0</w:t>
            </w:r>
          </w:p>
        </w:tc>
        <w:tc>
          <w:tcPr>
            <w:tcW w:w="326" w:type="pct"/>
            <w:shd w:val="clear" w:color="000000" w:fill="FFFFFF"/>
            <w:noWrap/>
            <w:vAlign w:val="center"/>
          </w:tcPr>
          <w:p w14:paraId="016655A5" w14:textId="77777777" w:rsidR="00054437" w:rsidRPr="000549B1" w:rsidRDefault="00000000">
            <w:pPr>
              <w:widowControl/>
              <w:jc w:val="center"/>
              <w:rPr>
                <w:rFonts w:eastAsia="等线"/>
                <w:kern w:val="0"/>
                <w:sz w:val="18"/>
                <w:szCs w:val="18"/>
              </w:rPr>
            </w:pPr>
            <w:r w:rsidRPr="000549B1">
              <w:rPr>
                <w:rFonts w:eastAsia="等线"/>
                <w:kern w:val="0"/>
                <w:sz w:val="18"/>
                <w:szCs w:val="18"/>
              </w:rPr>
              <w:t>3.2</w:t>
            </w:r>
          </w:p>
        </w:tc>
        <w:tc>
          <w:tcPr>
            <w:tcW w:w="326" w:type="pct"/>
            <w:shd w:val="clear" w:color="000000" w:fill="FFFFFF"/>
            <w:noWrap/>
            <w:vAlign w:val="center"/>
          </w:tcPr>
          <w:p w14:paraId="4DF054C9" w14:textId="77777777" w:rsidR="00054437" w:rsidRPr="000549B1" w:rsidRDefault="00000000">
            <w:pPr>
              <w:widowControl/>
              <w:jc w:val="center"/>
              <w:rPr>
                <w:rFonts w:eastAsia="等线"/>
                <w:kern w:val="0"/>
                <w:sz w:val="18"/>
                <w:szCs w:val="18"/>
              </w:rPr>
            </w:pPr>
            <w:r w:rsidRPr="000549B1">
              <w:rPr>
                <w:rFonts w:eastAsia="等线"/>
                <w:kern w:val="0"/>
                <w:sz w:val="18"/>
                <w:szCs w:val="18"/>
              </w:rPr>
              <w:t>5.8</w:t>
            </w:r>
          </w:p>
        </w:tc>
        <w:tc>
          <w:tcPr>
            <w:tcW w:w="381" w:type="pct"/>
            <w:shd w:val="clear" w:color="000000" w:fill="FFFFFF"/>
            <w:noWrap/>
            <w:vAlign w:val="center"/>
          </w:tcPr>
          <w:p w14:paraId="17F1858E" w14:textId="77777777" w:rsidR="00054437" w:rsidRPr="000549B1" w:rsidRDefault="00000000">
            <w:pPr>
              <w:widowControl/>
              <w:jc w:val="center"/>
              <w:rPr>
                <w:rFonts w:eastAsia="等线"/>
                <w:kern w:val="0"/>
                <w:sz w:val="18"/>
                <w:szCs w:val="18"/>
              </w:rPr>
            </w:pPr>
            <w:r w:rsidRPr="000549B1">
              <w:rPr>
                <w:rFonts w:eastAsia="等线"/>
                <w:kern w:val="0"/>
                <w:sz w:val="18"/>
                <w:szCs w:val="18"/>
              </w:rPr>
              <w:t>7.6</w:t>
            </w:r>
          </w:p>
        </w:tc>
        <w:tc>
          <w:tcPr>
            <w:tcW w:w="381" w:type="pct"/>
            <w:shd w:val="clear" w:color="000000" w:fill="FFFFFF"/>
            <w:noWrap/>
            <w:vAlign w:val="center"/>
          </w:tcPr>
          <w:p w14:paraId="279D520F" w14:textId="77777777" w:rsidR="00054437" w:rsidRPr="000549B1" w:rsidRDefault="00000000">
            <w:pPr>
              <w:widowControl/>
              <w:jc w:val="center"/>
              <w:rPr>
                <w:rFonts w:eastAsia="等线"/>
                <w:kern w:val="0"/>
                <w:sz w:val="18"/>
                <w:szCs w:val="18"/>
              </w:rPr>
            </w:pPr>
            <w:r w:rsidRPr="000549B1">
              <w:rPr>
                <w:rFonts w:eastAsia="等线"/>
                <w:kern w:val="0"/>
                <w:sz w:val="18"/>
                <w:szCs w:val="18"/>
              </w:rPr>
              <w:t>5.2</w:t>
            </w:r>
          </w:p>
        </w:tc>
        <w:tc>
          <w:tcPr>
            <w:tcW w:w="381" w:type="pct"/>
            <w:shd w:val="clear" w:color="000000" w:fill="FFFFFF"/>
            <w:noWrap/>
            <w:vAlign w:val="center"/>
          </w:tcPr>
          <w:p w14:paraId="5961C923" w14:textId="77777777" w:rsidR="00054437" w:rsidRPr="000549B1" w:rsidRDefault="00000000">
            <w:pPr>
              <w:widowControl/>
              <w:jc w:val="center"/>
              <w:rPr>
                <w:rFonts w:eastAsia="等线"/>
                <w:kern w:val="0"/>
                <w:sz w:val="18"/>
                <w:szCs w:val="18"/>
              </w:rPr>
            </w:pPr>
            <w:r w:rsidRPr="000549B1">
              <w:rPr>
                <w:rFonts w:eastAsia="等线"/>
                <w:kern w:val="0"/>
                <w:sz w:val="18"/>
                <w:szCs w:val="18"/>
              </w:rPr>
              <w:t>4.0</w:t>
            </w:r>
          </w:p>
        </w:tc>
        <w:tc>
          <w:tcPr>
            <w:tcW w:w="326" w:type="pct"/>
            <w:shd w:val="clear" w:color="000000" w:fill="FFFFFF"/>
            <w:noWrap/>
            <w:vAlign w:val="center"/>
          </w:tcPr>
          <w:p w14:paraId="176E2CB1" w14:textId="77777777" w:rsidR="00054437" w:rsidRPr="000549B1" w:rsidRDefault="00000000">
            <w:pPr>
              <w:widowControl/>
              <w:jc w:val="center"/>
              <w:rPr>
                <w:rFonts w:eastAsia="等线"/>
                <w:kern w:val="0"/>
                <w:sz w:val="18"/>
                <w:szCs w:val="18"/>
              </w:rPr>
            </w:pPr>
            <w:r w:rsidRPr="000549B1">
              <w:rPr>
                <w:rFonts w:eastAsia="等线"/>
                <w:kern w:val="0"/>
                <w:sz w:val="18"/>
                <w:szCs w:val="18"/>
              </w:rPr>
              <w:t>4.0</w:t>
            </w:r>
          </w:p>
        </w:tc>
        <w:tc>
          <w:tcPr>
            <w:tcW w:w="326" w:type="pct"/>
            <w:shd w:val="clear" w:color="000000" w:fill="FFFFFF"/>
            <w:noWrap/>
            <w:vAlign w:val="center"/>
          </w:tcPr>
          <w:p w14:paraId="78B54821" w14:textId="77777777" w:rsidR="00054437" w:rsidRPr="000549B1" w:rsidRDefault="00000000">
            <w:pPr>
              <w:widowControl/>
              <w:jc w:val="center"/>
              <w:rPr>
                <w:rFonts w:eastAsia="等线"/>
                <w:kern w:val="0"/>
                <w:sz w:val="18"/>
                <w:szCs w:val="18"/>
              </w:rPr>
            </w:pPr>
            <w:r w:rsidRPr="000549B1">
              <w:rPr>
                <w:rFonts w:eastAsia="等线"/>
                <w:kern w:val="0"/>
                <w:sz w:val="18"/>
                <w:szCs w:val="18"/>
              </w:rPr>
              <w:t>4.0</w:t>
            </w:r>
          </w:p>
        </w:tc>
        <w:tc>
          <w:tcPr>
            <w:tcW w:w="326" w:type="pct"/>
            <w:shd w:val="clear" w:color="000000" w:fill="FFFFFF"/>
            <w:noWrap/>
            <w:vAlign w:val="center"/>
          </w:tcPr>
          <w:p w14:paraId="5D9D2547" w14:textId="77777777" w:rsidR="00054437" w:rsidRPr="000549B1" w:rsidRDefault="00000000">
            <w:pPr>
              <w:widowControl/>
              <w:jc w:val="center"/>
              <w:rPr>
                <w:rFonts w:eastAsia="等线"/>
                <w:kern w:val="0"/>
                <w:sz w:val="18"/>
                <w:szCs w:val="18"/>
              </w:rPr>
            </w:pPr>
            <w:r w:rsidRPr="000549B1">
              <w:rPr>
                <w:rFonts w:eastAsia="等线"/>
                <w:kern w:val="0"/>
                <w:sz w:val="18"/>
                <w:szCs w:val="18"/>
              </w:rPr>
              <w:t>4.0</w:t>
            </w:r>
          </w:p>
        </w:tc>
        <w:tc>
          <w:tcPr>
            <w:tcW w:w="326" w:type="pct"/>
            <w:shd w:val="clear" w:color="000000" w:fill="FFFFFF"/>
            <w:noWrap/>
            <w:vAlign w:val="center"/>
          </w:tcPr>
          <w:p w14:paraId="70AC0868" w14:textId="77777777" w:rsidR="00054437" w:rsidRPr="000549B1" w:rsidRDefault="00000000">
            <w:pPr>
              <w:widowControl/>
              <w:jc w:val="center"/>
              <w:rPr>
                <w:rFonts w:eastAsia="等线"/>
                <w:kern w:val="0"/>
                <w:sz w:val="18"/>
                <w:szCs w:val="18"/>
              </w:rPr>
            </w:pPr>
            <w:r w:rsidRPr="000549B1">
              <w:rPr>
                <w:rFonts w:eastAsia="等线"/>
                <w:kern w:val="0"/>
                <w:sz w:val="18"/>
                <w:szCs w:val="18"/>
              </w:rPr>
              <w:t>-0.9</w:t>
            </w:r>
          </w:p>
        </w:tc>
        <w:tc>
          <w:tcPr>
            <w:tcW w:w="326" w:type="pct"/>
            <w:shd w:val="clear" w:color="000000" w:fill="FFFFFF"/>
            <w:noWrap/>
            <w:vAlign w:val="center"/>
          </w:tcPr>
          <w:p w14:paraId="12CB620A" w14:textId="77777777" w:rsidR="00054437" w:rsidRPr="000549B1" w:rsidRDefault="00000000">
            <w:pPr>
              <w:widowControl/>
              <w:jc w:val="center"/>
              <w:rPr>
                <w:rFonts w:eastAsia="等线"/>
                <w:kern w:val="0"/>
                <w:sz w:val="18"/>
                <w:szCs w:val="18"/>
              </w:rPr>
            </w:pPr>
            <w:r w:rsidRPr="000549B1">
              <w:rPr>
                <w:rFonts w:eastAsia="等线"/>
                <w:kern w:val="0"/>
                <w:sz w:val="18"/>
                <w:szCs w:val="18"/>
              </w:rPr>
              <w:t>-3.9</w:t>
            </w:r>
          </w:p>
        </w:tc>
        <w:tc>
          <w:tcPr>
            <w:tcW w:w="326" w:type="pct"/>
            <w:shd w:val="clear" w:color="000000" w:fill="FFFFFF"/>
            <w:noWrap/>
            <w:vAlign w:val="center"/>
          </w:tcPr>
          <w:p w14:paraId="1F7CCE9C" w14:textId="77777777" w:rsidR="00054437" w:rsidRPr="000549B1" w:rsidRDefault="00000000">
            <w:pPr>
              <w:widowControl/>
              <w:jc w:val="center"/>
              <w:rPr>
                <w:rFonts w:eastAsia="等线"/>
                <w:kern w:val="0"/>
                <w:sz w:val="18"/>
                <w:szCs w:val="18"/>
              </w:rPr>
            </w:pPr>
            <w:r w:rsidRPr="000549B1">
              <w:rPr>
                <w:rFonts w:eastAsia="等线"/>
                <w:kern w:val="0"/>
                <w:sz w:val="18"/>
                <w:szCs w:val="18"/>
              </w:rPr>
              <w:t>-5.0</w:t>
            </w:r>
          </w:p>
        </w:tc>
      </w:tr>
      <w:tr w:rsidR="000549B1" w:rsidRPr="000549B1" w14:paraId="4A9AD18C" w14:textId="77777777">
        <w:trPr>
          <w:trHeight w:val="290"/>
        </w:trPr>
        <w:tc>
          <w:tcPr>
            <w:tcW w:w="575" w:type="pct"/>
            <w:vMerge/>
            <w:vAlign w:val="center"/>
          </w:tcPr>
          <w:p w14:paraId="63A389AB" w14:textId="77777777" w:rsidR="00054437" w:rsidRPr="000549B1" w:rsidRDefault="00054437">
            <w:pPr>
              <w:widowControl/>
              <w:jc w:val="left"/>
              <w:rPr>
                <w:kern w:val="0"/>
                <w:sz w:val="18"/>
                <w:szCs w:val="18"/>
              </w:rPr>
            </w:pPr>
          </w:p>
        </w:tc>
        <w:tc>
          <w:tcPr>
            <w:tcW w:w="353" w:type="pct"/>
            <w:shd w:val="clear" w:color="000000" w:fill="FFFFFF"/>
            <w:noWrap/>
            <w:vAlign w:val="center"/>
          </w:tcPr>
          <w:p w14:paraId="13E56135" w14:textId="77777777" w:rsidR="00054437" w:rsidRPr="000549B1" w:rsidRDefault="00000000">
            <w:pPr>
              <w:widowControl/>
              <w:jc w:val="center"/>
              <w:rPr>
                <w:rFonts w:eastAsia="等线"/>
                <w:kern w:val="0"/>
                <w:sz w:val="18"/>
                <w:szCs w:val="18"/>
              </w:rPr>
            </w:pPr>
            <w:r w:rsidRPr="000549B1">
              <w:rPr>
                <w:rFonts w:eastAsia="等线"/>
                <w:kern w:val="0"/>
                <w:sz w:val="18"/>
                <w:szCs w:val="18"/>
              </w:rPr>
              <w:t>90%</w:t>
            </w:r>
          </w:p>
        </w:tc>
        <w:tc>
          <w:tcPr>
            <w:tcW w:w="326" w:type="pct"/>
            <w:shd w:val="clear" w:color="000000" w:fill="FFFFFF"/>
            <w:noWrap/>
            <w:vAlign w:val="center"/>
          </w:tcPr>
          <w:p w14:paraId="61CED9EF" w14:textId="77777777" w:rsidR="00054437" w:rsidRPr="000549B1" w:rsidRDefault="00000000">
            <w:pPr>
              <w:widowControl/>
              <w:jc w:val="center"/>
              <w:rPr>
                <w:rFonts w:eastAsia="等线"/>
                <w:kern w:val="0"/>
                <w:sz w:val="18"/>
                <w:szCs w:val="18"/>
              </w:rPr>
            </w:pPr>
            <w:r w:rsidRPr="000549B1">
              <w:rPr>
                <w:rFonts w:eastAsia="等线"/>
                <w:kern w:val="0"/>
                <w:sz w:val="18"/>
                <w:szCs w:val="18"/>
              </w:rPr>
              <w:t>1.6</w:t>
            </w:r>
          </w:p>
        </w:tc>
        <w:tc>
          <w:tcPr>
            <w:tcW w:w="326" w:type="pct"/>
            <w:shd w:val="clear" w:color="000000" w:fill="FFFFFF"/>
            <w:noWrap/>
            <w:vAlign w:val="center"/>
          </w:tcPr>
          <w:p w14:paraId="578BA20E" w14:textId="77777777" w:rsidR="00054437" w:rsidRPr="000549B1" w:rsidRDefault="00000000">
            <w:pPr>
              <w:widowControl/>
              <w:jc w:val="center"/>
              <w:rPr>
                <w:rFonts w:eastAsia="等线"/>
                <w:kern w:val="0"/>
                <w:sz w:val="18"/>
                <w:szCs w:val="18"/>
              </w:rPr>
            </w:pPr>
            <w:r w:rsidRPr="000549B1">
              <w:rPr>
                <w:rFonts w:eastAsia="等线"/>
                <w:kern w:val="0"/>
                <w:sz w:val="18"/>
                <w:szCs w:val="18"/>
              </w:rPr>
              <w:t>1.9</w:t>
            </w:r>
          </w:p>
        </w:tc>
        <w:tc>
          <w:tcPr>
            <w:tcW w:w="326" w:type="pct"/>
            <w:shd w:val="clear" w:color="000000" w:fill="FFFFFF"/>
            <w:noWrap/>
            <w:vAlign w:val="center"/>
          </w:tcPr>
          <w:p w14:paraId="22D4D312" w14:textId="77777777" w:rsidR="00054437" w:rsidRPr="000549B1" w:rsidRDefault="00000000">
            <w:pPr>
              <w:widowControl/>
              <w:jc w:val="center"/>
              <w:rPr>
                <w:rFonts w:eastAsia="等线"/>
                <w:kern w:val="0"/>
                <w:sz w:val="18"/>
                <w:szCs w:val="18"/>
              </w:rPr>
            </w:pPr>
            <w:r w:rsidRPr="000549B1">
              <w:rPr>
                <w:rFonts w:eastAsia="等线"/>
                <w:kern w:val="0"/>
                <w:sz w:val="18"/>
                <w:szCs w:val="18"/>
              </w:rPr>
              <w:t>4.4</w:t>
            </w:r>
          </w:p>
        </w:tc>
        <w:tc>
          <w:tcPr>
            <w:tcW w:w="381" w:type="pct"/>
            <w:shd w:val="clear" w:color="000000" w:fill="FFFFFF"/>
            <w:noWrap/>
            <w:vAlign w:val="center"/>
          </w:tcPr>
          <w:p w14:paraId="59B2272A" w14:textId="77777777" w:rsidR="00054437" w:rsidRPr="000549B1" w:rsidRDefault="00000000">
            <w:pPr>
              <w:widowControl/>
              <w:jc w:val="center"/>
              <w:rPr>
                <w:rFonts w:eastAsia="等线"/>
                <w:kern w:val="0"/>
                <w:sz w:val="18"/>
                <w:szCs w:val="18"/>
              </w:rPr>
            </w:pPr>
            <w:r w:rsidRPr="000549B1">
              <w:rPr>
                <w:rFonts w:eastAsia="等线"/>
                <w:kern w:val="0"/>
                <w:sz w:val="18"/>
                <w:szCs w:val="18"/>
              </w:rPr>
              <w:t>0.9</w:t>
            </w:r>
          </w:p>
        </w:tc>
        <w:tc>
          <w:tcPr>
            <w:tcW w:w="381" w:type="pct"/>
            <w:shd w:val="clear" w:color="000000" w:fill="FFFFFF"/>
            <w:noWrap/>
            <w:vAlign w:val="center"/>
          </w:tcPr>
          <w:p w14:paraId="229556FE" w14:textId="77777777" w:rsidR="00054437" w:rsidRPr="000549B1" w:rsidRDefault="00000000">
            <w:pPr>
              <w:widowControl/>
              <w:jc w:val="center"/>
              <w:rPr>
                <w:rFonts w:eastAsia="等线"/>
                <w:kern w:val="0"/>
                <w:sz w:val="18"/>
                <w:szCs w:val="18"/>
              </w:rPr>
            </w:pPr>
            <w:r w:rsidRPr="000549B1">
              <w:rPr>
                <w:rFonts w:eastAsia="等线"/>
                <w:kern w:val="0"/>
                <w:sz w:val="18"/>
                <w:szCs w:val="18"/>
              </w:rPr>
              <w:t>0.1</w:t>
            </w:r>
          </w:p>
        </w:tc>
        <w:tc>
          <w:tcPr>
            <w:tcW w:w="381" w:type="pct"/>
            <w:shd w:val="clear" w:color="000000" w:fill="FFFFFF"/>
            <w:noWrap/>
            <w:vAlign w:val="center"/>
          </w:tcPr>
          <w:p w14:paraId="563714DB" w14:textId="77777777" w:rsidR="00054437" w:rsidRPr="000549B1" w:rsidRDefault="00000000">
            <w:pPr>
              <w:widowControl/>
              <w:jc w:val="center"/>
              <w:rPr>
                <w:rFonts w:eastAsia="等线"/>
                <w:kern w:val="0"/>
                <w:sz w:val="18"/>
                <w:szCs w:val="18"/>
              </w:rPr>
            </w:pPr>
            <w:r w:rsidRPr="000549B1">
              <w:rPr>
                <w:rFonts w:eastAsia="等线"/>
                <w:kern w:val="0"/>
                <w:sz w:val="18"/>
                <w:szCs w:val="18"/>
              </w:rPr>
              <w:t>0.1</w:t>
            </w:r>
          </w:p>
        </w:tc>
        <w:tc>
          <w:tcPr>
            <w:tcW w:w="326" w:type="pct"/>
            <w:shd w:val="clear" w:color="000000" w:fill="FFFFFF"/>
            <w:noWrap/>
            <w:vAlign w:val="center"/>
          </w:tcPr>
          <w:p w14:paraId="1A27F372" w14:textId="77777777" w:rsidR="00054437" w:rsidRPr="000549B1" w:rsidRDefault="00000000">
            <w:pPr>
              <w:widowControl/>
              <w:jc w:val="center"/>
              <w:rPr>
                <w:rFonts w:eastAsia="等线"/>
                <w:kern w:val="0"/>
                <w:sz w:val="18"/>
                <w:szCs w:val="18"/>
              </w:rPr>
            </w:pPr>
            <w:r w:rsidRPr="000549B1">
              <w:rPr>
                <w:rFonts w:eastAsia="等线"/>
                <w:kern w:val="0"/>
                <w:sz w:val="18"/>
                <w:szCs w:val="18"/>
              </w:rPr>
              <w:t>0.1</w:t>
            </w:r>
          </w:p>
        </w:tc>
        <w:tc>
          <w:tcPr>
            <w:tcW w:w="326" w:type="pct"/>
            <w:shd w:val="clear" w:color="000000" w:fill="FFFFFF"/>
            <w:noWrap/>
            <w:vAlign w:val="center"/>
          </w:tcPr>
          <w:p w14:paraId="09B326BF" w14:textId="77777777" w:rsidR="00054437" w:rsidRPr="000549B1" w:rsidRDefault="00000000">
            <w:pPr>
              <w:widowControl/>
              <w:jc w:val="center"/>
              <w:rPr>
                <w:rFonts w:eastAsia="等线"/>
                <w:kern w:val="0"/>
                <w:sz w:val="18"/>
                <w:szCs w:val="18"/>
              </w:rPr>
            </w:pPr>
            <w:r w:rsidRPr="000549B1">
              <w:rPr>
                <w:rFonts w:eastAsia="等线"/>
                <w:kern w:val="0"/>
                <w:sz w:val="18"/>
                <w:szCs w:val="18"/>
              </w:rPr>
              <w:t>0.0</w:t>
            </w:r>
          </w:p>
        </w:tc>
        <w:tc>
          <w:tcPr>
            <w:tcW w:w="326" w:type="pct"/>
            <w:shd w:val="clear" w:color="000000" w:fill="FFFFFF"/>
            <w:noWrap/>
            <w:vAlign w:val="center"/>
          </w:tcPr>
          <w:p w14:paraId="38E2280E" w14:textId="77777777" w:rsidR="00054437" w:rsidRPr="000549B1" w:rsidRDefault="00000000">
            <w:pPr>
              <w:widowControl/>
              <w:jc w:val="center"/>
              <w:rPr>
                <w:rFonts w:eastAsia="等线"/>
                <w:kern w:val="0"/>
                <w:sz w:val="18"/>
                <w:szCs w:val="18"/>
              </w:rPr>
            </w:pPr>
            <w:r w:rsidRPr="000549B1">
              <w:rPr>
                <w:rFonts w:eastAsia="等线"/>
                <w:kern w:val="0"/>
                <w:sz w:val="18"/>
                <w:szCs w:val="18"/>
              </w:rPr>
              <w:t>0.1</w:t>
            </w:r>
          </w:p>
        </w:tc>
        <w:tc>
          <w:tcPr>
            <w:tcW w:w="326" w:type="pct"/>
            <w:shd w:val="clear" w:color="000000" w:fill="FFFFFF"/>
            <w:noWrap/>
            <w:vAlign w:val="center"/>
          </w:tcPr>
          <w:p w14:paraId="5727838A" w14:textId="77777777" w:rsidR="00054437" w:rsidRPr="000549B1" w:rsidRDefault="00000000">
            <w:pPr>
              <w:widowControl/>
              <w:jc w:val="center"/>
              <w:rPr>
                <w:rFonts w:eastAsia="等线"/>
                <w:kern w:val="0"/>
                <w:sz w:val="18"/>
                <w:szCs w:val="18"/>
              </w:rPr>
            </w:pPr>
            <w:r w:rsidRPr="000549B1">
              <w:rPr>
                <w:rFonts w:eastAsia="等线"/>
                <w:kern w:val="0"/>
                <w:sz w:val="18"/>
                <w:szCs w:val="18"/>
              </w:rPr>
              <w:t>-1.1</w:t>
            </w:r>
          </w:p>
        </w:tc>
        <w:tc>
          <w:tcPr>
            <w:tcW w:w="326" w:type="pct"/>
            <w:shd w:val="clear" w:color="000000" w:fill="FFFFFF"/>
            <w:noWrap/>
            <w:vAlign w:val="center"/>
          </w:tcPr>
          <w:p w14:paraId="21EE38E6" w14:textId="77777777" w:rsidR="00054437" w:rsidRPr="000549B1" w:rsidRDefault="00000000">
            <w:pPr>
              <w:widowControl/>
              <w:jc w:val="center"/>
              <w:rPr>
                <w:rFonts w:eastAsia="等线"/>
                <w:kern w:val="0"/>
                <w:sz w:val="18"/>
                <w:szCs w:val="18"/>
              </w:rPr>
            </w:pPr>
            <w:r w:rsidRPr="000549B1">
              <w:rPr>
                <w:rFonts w:eastAsia="等线"/>
                <w:kern w:val="0"/>
                <w:sz w:val="18"/>
                <w:szCs w:val="18"/>
              </w:rPr>
              <w:t>0.0</w:t>
            </w:r>
          </w:p>
        </w:tc>
        <w:tc>
          <w:tcPr>
            <w:tcW w:w="326" w:type="pct"/>
            <w:shd w:val="clear" w:color="000000" w:fill="FFFFFF"/>
            <w:noWrap/>
            <w:vAlign w:val="center"/>
          </w:tcPr>
          <w:p w14:paraId="4B099B62" w14:textId="77777777" w:rsidR="00054437" w:rsidRPr="000549B1" w:rsidRDefault="00000000">
            <w:pPr>
              <w:widowControl/>
              <w:jc w:val="center"/>
              <w:rPr>
                <w:rFonts w:eastAsia="等线"/>
                <w:kern w:val="0"/>
                <w:sz w:val="18"/>
                <w:szCs w:val="18"/>
              </w:rPr>
            </w:pPr>
            <w:r w:rsidRPr="000549B1">
              <w:rPr>
                <w:rFonts w:eastAsia="等线"/>
                <w:kern w:val="0"/>
                <w:sz w:val="18"/>
                <w:szCs w:val="18"/>
              </w:rPr>
              <w:t>0.0</w:t>
            </w:r>
          </w:p>
        </w:tc>
      </w:tr>
    </w:tbl>
    <w:p w14:paraId="3065C49F" w14:textId="77777777" w:rsidR="00054437" w:rsidRPr="000549B1" w:rsidRDefault="00000000">
      <w:pPr>
        <w:pStyle w:val="aff8"/>
        <w:rPr>
          <w:color w:val="auto"/>
        </w:rPr>
      </w:pPr>
      <w:r w:rsidRPr="000549B1">
        <w:rPr>
          <w:color w:val="auto"/>
        </w:rPr>
        <w:object w:dxaOrig="8522" w:dyaOrig="3828" w14:anchorId="6E61FF9E">
          <v:shape id="_x0000_i1053" type="#_x0000_t75" style="width:426pt;height:191.65pt" o:ole="">
            <v:imagedata r:id="rId291" o:title="" croptop="22383f" cropbottom="4064f" cropright="-2139f"/>
          </v:shape>
          <o:OLEObject Type="Embed" ProgID="Origin95.Graph" ShapeID="_x0000_i1053" DrawAspect="Content" ObjectID="_1828270457" r:id="rId292"/>
        </w:object>
      </w:r>
    </w:p>
    <w:p w14:paraId="4B34DCA8" w14:textId="6659D119" w:rsidR="00054437" w:rsidRPr="000549B1" w:rsidRDefault="00000000">
      <w:pPr>
        <w:pStyle w:val="aff8"/>
        <w:rPr>
          <w:bCs/>
          <w:color w:val="auto"/>
        </w:rPr>
      </w:pPr>
      <w:r w:rsidRPr="000549B1">
        <w:rPr>
          <w:color w:val="auto"/>
        </w:rPr>
        <w:t>图</w:t>
      </w:r>
      <w:r w:rsidR="00F1314B">
        <w:rPr>
          <w:color w:val="auto"/>
        </w:rPr>
        <w:fldChar w:fldCharType="begin"/>
      </w:r>
      <w:r w:rsidR="00F1314B">
        <w:rPr>
          <w:color w:val="auto"/>
        </w:rPr>
        <w:instrText xml:space="preserve"> STYLEREF 2 \s </w:instrText>
      </w:r>
      <w:r w:rsidR="00F1314B">
        <w:rPr>
          <w:color w:val="auto"/>
        </w:rPr>
        <w:fldChar w:fldCharType="separate"/>
      </w:r>
      <w:r w:rsidR="00F32CCA">
        <w:rPr>
          <w:noProof/>
          <w:color w:val="auto"/>
        </w:rPr>
        <w:t>5.2</w:t>
      </w:r>
      <w:r w:rsidR="00F1314B">
        <w:rPr>
          <w:color w:val="auto"/>
        </w:rPr>
        <w:fldChar w:fldCharType="end"/>
      </w:r>
      <w:r w:rsidR="00F1314B">
        <w:rPr>
          <w:color w:val="auto"/>
        </w:rPr>
        <w:noBreakHyphen/>
      </w:r>
      <w:r w:rsidR="00F1314B">
        <w:rPr>
          <w:color w:val="auto"/>
        </w:rPr>
        <w:fldChar w:fldCharType="begin"/>
      </w:r>
      <w:r w:rsidR="00F1314B">
        <w:rPr>
          <w:color w:val="auto"/>
        </w:rPr>
        <w:instrText xml:space="preserve"> SEQ </w:instrText>
      </w:r>
      <w:r w:rsidR="00F1314B">
        <w:rPr>
          <w:color w:val="auto"/>
        </w:rPr>
        <w:instrText>图</w:instrText>
      </w:r>
      <w:r w:rsidR="00F1314B">
        <w:rPr>
          <w:color w:val="auto"/>
        </w:rPr>
        <w:instrText xml:space="preserve"> \* ARABIC \s 2 </w:instrText>
      </w:r>
      <w:r w:rsidR="00F1314B">
        <w:rPr>
          <w:color w:val="auto"/>
        </w:rPr>
        <w:fldChar w:fldCharType="separate"/>
      </w:r>
      <w:r w:rsidR="00F32CCA">
        <w:rPr>
          <w:noProof/>
          <w:color w:val="auto"/>
        </w:rPr>
        <w:t>8</w:t>
      </w:r>
      <w:r w:rsidR="00F1314B">
        <w:rPr>
          <w:color w:val="auto"/>
        </w:rPr>
        <w:fldChar w:fldCharType="end"/>
      </w:r>
      <w:r w:rsidRPr="000549B1">
        <w:rPr>
          <w:color w:val="auto"/>
        </w:rPr>
        <w:t>大河坝水库下泄水温及与天然水温</w:t>
      </w:r>
      <w:r w:rsidRPr="000549B1">
        <w:rPr>
          <w:bCs/>
          <w:color w:val="auto"/>
        </w:rPr>
        <w:t>差</w:t>
      </w:r>
    </w:p>
    <w:p w14:paraId="4601EB27" w14:textId="5B41044C" w:rsidR="00054437" w:rsidRPr="000549B1" w:rsidRDefault="00000000">
      <w:pPr>
        <w:spacing w:line="500" w:lineRule="exact"/>
        <w:ind w:firstLineChars="200" w:firstLine="480"/>
        <w:jc w:val="left"/>
        <w:rPr>
          <w:sz w:val="24"/>
          <w:szCs w:val="24"/>
        </w:rPr>
      </w:pPr>
      <w:r w:rsidRPr="000549B1">
        <w:rPr>
          <w:sz w:val="24"/>
          <w:szCs w:val="24"/>
        </w:rPr>
        <w:t>由</w:t>
      </w:r>
      <w:r w:rsidR="00F32CCA" w:rsidRPr="00F32CCA">
        <w:rPr>
          <w:sz w:val="24"/>
          <w:szCs w:val="24"/>
        </w:rPr>
        <w:t>表</w:t>
      </w:r>
      <w:r w:rsidR="00F32CCA" w:rsidRPr="00F32CCA">
        <w:rPr>
          <w:sz w:val="24"/>
          <w:szCs w:val="24"/>
        </w:rPr>
        <w:t>5.2</w:t>
      </w:r>
      <w:r w:rsidR="00F32CCA" w:rsidRPr="00F32CCA">
        <w:rPr>
          <w:sz w:val="24"/>
          <w:szCs w:val="24"/>
        </w:rPr>
        <w:noBreakHyphen/>
        <w:t>4</w:t>
      </w:r>
      <w:r w:rsidRPr="000549B1">
        <w:rPr>
          <w:sz w:val="24"/>
          <w:szCs w:val="24"/>
        </w:rPr>
        <w:t>分析可知：由于大河坝水库水温结构属于季节性分层型，</w:t>
      </w:r>
      <w:r w:rsidRPr="000549B1">
        <w:rPr>
          <w:sz w:val="24"/>
          <w:szCs w:val="24"/>
        </w:rPr>
        <w:t>P=10%</w:t>
      </w:r>
      <w:r w:rsidRPr="000549B1">
        <w:rPr>
          <w:sz w:val="24"/>
          <w:szCs w:val="24"/>
        </w:rPr>
        <w:t>条件下表底温差最大为</w:t>
      </w:r>
      <w:r w:rsidRPr="000549B1">
        <w:rPr>
          <w:sz w:val="24"/>
          <w:szCs w:val="24"/>
        </w:rPr>
        <w:t>8</w:t>
      </w:r>
      <w:r w:rsidRPr="000549B1">
        <w:rPr>
          <w:sz w:val="24"/>
          <w:szCs w:val="24"/>
        </w:rPr>
        <w:t>月最大为</w:t>
      </w:r>
      <w:r w:rsidRPr="000549B1">
        <w:rPr>
          <w:sz w:val="24"/>
          <w:szCs w:val="24"/>
        </w:rPr>
        <w:t>7.4℃</w:t>
      </w:r>
      <w:r w:rsidRPr="000549B1">
        <w:rPr>
          <w:sz w:val="24"/>
          <w:szCs w:val="24"/>
        </w:rPr>
        <w:t>，</w:t>
      </w:r>
      <w:r w:rsidRPr="000549B1">
        <w:rPr>
          <w:sz w:val="24"/>
          <w:szCs w:val="24"/>
        </w:rPr>
        <w:t>7</w:t>
      </w:r>
      <w:r w:rsidRPr="000549B1">
        <w:rPr>
          <w:sz w:val="24"/>
          <w:szCs w:val="24"/>
        </w:rPr>
        <w:t>～</w:t>
      </w:r>
      <w:r w:rsidRPr="000549B1">
        <w:rPr>
          <w:sz w:val="24"/>
          <w:szCs w:val="24"/>
        </w:rPr>
        <w:t>9</w:t>
      </w:r>
      <w:r w:rsidRPr="000549B1">
        <w:rPr>
          <w:sz w:val="24"/>
          <w:szCs w:val="24"/>
        </w:rPr>
        <w:t>月存在较强的水温分层现象，</w:t>
      </w:r>
      <w:r w:rsidRPr="000549B1">
        <w:rPr>
          <w:sz w:val="24"/>
          <w:szCs w:val="24"/>
        </w:rPr>
        <w:t>10</w:t>
      </w:r>
      <w:r w:rsidRPr="000549B1">
        <w:rPr>
          <w:sz w:val="24"/>
          <w:szCs w:val="24"/>
        </w:rPr>
        <w:t>月至次年</w:t>
      </w:r>
      <w:r w:rsidRPr="000549B1">
        <w:rPr>
          <w:sz w:val="24"/>
          <w:szCs w:val="24"/>
        </w:rPr>
        <w:t>6</w:t>
      </w:r>
      <w:r w:rsidRPr="000549B1">
        <w:rPr>
          <w:sz w:val="24"/>
          <w:szCs w:val="24"/>
        </w:rPr>
        <w:t>月基本无分层；</w:t>
      </w:r>
      <w:r w:rsidRPr="000549B1">
        <w:rPr>
          <w:sz w:val="24"/>
          <w:szCs w:val="24"/>
        </w:rPr>
        <w:t>P=50%</w:t>
      </w:r>
      <w:r w:rsidRPr="000549B1">
        <w:rPr>
          <w:sz w:val="24"/>
          <w:szCs w:val="24"/>
        </w:rPr>
        <w:t>条件下</w:t>
      </w:r>
      <w:r w:rsidRPr="000549B1">
        <w:rPr>
          <w:sz w:val="24"/>
          <w:szCs w:val="24"/>
        </w:rPr>
        <w:t>12</w:t>
      </w:r>
      <w:r w:rsidRPr="000549B1">
        <w:rPr>
          <w:sz w:val="24"/>
          <w:szCs w:val="24"/>
        </w:rPr>
        <w:t>～</w:t>
      </w:r>
      <w:r w:rsidRPr="000549B1">
        <w:rPr>
          <w:sz w:val="24"/>
          <w:szCs w:val="24"/>
        </w:rPr>
        <w:t>4</w:t>
      </w:r>
      <w:r w:rsidRPr="000549B1">
        <w:rPr>
          <w:sz w:val="24"/>
          <w:szCs w:val="24"/>
        </w:rPr>
        <w:t>月存在较强的逆温水温分层现象，</w:t>
      </w:r>
      <w:r w:rsidRPr="000549B1">
        <w:rPr>
          <w:sz w:val="24"/>
          <w:szCs w:val="24"/>
        </w:rPr>
        <w:t>5~6</w:t>
      </w:r>
      <w:r w:rsidRPr="000549B1">
        <w:rPr>
          <w:sz w:val="24"/>
          <w:szCs w:val="24"/>
        </w:rPr>
        <w:t>月及</w:t>
      </w:r>
      <w:r w:rsidRPr="000549B1">
        <w:rPr>
          <w:sz w:val="24"/>
          <w:szCs w:val="24"/>
        </w:rPr>
        <w:t>10~11</w:t>
      </w:r>
      <w:r w:rsidRPr="000549B1">
        <w:rPr>
          <w:sz w:val="24"/>
          <w:szCs w:val="24"/>
        </w:rPr>
        <w:t>月基本没分层，</w:t>
      </w:r>
      <w:r w:rsidRPr="000549B1">
        <w:rPr>
          <w:sz w:val="24"/>
          <w:szCs w:val="24"/>
        </w:rPr>
        <w:t>7~9</w:t>
      </w:r>
      <w:r w:rsidRPr="000549B1">
        <w:rPr>
          <w:sz w:val="24"/>
          <w:szCs w:val="24"/>
        </w:rPr>
        <w:t>月为坝前温度分层状态；</w:t>
      </w:r>
      <w:r w:rsidRPr="000549B1">
        <w:rPr>
          <w:sz w:val="24"/>
          <w:szCs w:val="24"/>
        </w:rPr>
        <w:t>P=90%</w:t>
      </w:r>
      <w:r w:rsidRPr="000549B1">
        <w:rPr>
          <w:sz w:val="24"/>
          <w:szCs w:val="24"/>
        </w:rPr>
        <w:t>条件下</w:t>
      </w:r>
      <w:r w:rsidRPr="000549B1">
        <w:rPr>
          <w:sz w:val="24"/>
          <w:szCs w:val="24"/>
        </w:rPr>
        <w:t>10</w:t>
      </w:r>
      <w:r w:rsidRPr="000549B1">
        <w:rPr>
          <w:sz w:val="24"/>
          <w:szCs w:val="24"/>
        </w:rPr>
        <w:t>月和</w:t>
      </w:r>
      <w:r w:rsidRPr="000549B1">
        <w:rPr>
          <w:sz w:val="24"/>
          <w:szCs w:val="24"/>
        </w:rPr>
        <w:t>4</w:t>
      </w:r>
      <w:r w:rsidRPr="000549B1">
        <w:rPr>
          <w:sz w:val="24"/>
          <w:szCs w:val="24"/>
        </w:rPr>
        <w:t>月存在逆温水温分层现象，</w:t>
      </w:r>
      <w:r w:rsidRPr="000549B1">
        <w:rPr>
          <w:sz w:val="24"/>
          <w:szCs w:val="24"/>
        </w:rPr>
        <w:t>7~8</w:t>
      </w:r>
      <w:r w:rsidRPr="000549B1">
        <w:rPr>
          <w:sz w:val="24"/>
          <w:szCs w:val="24"/>
        </w:rPr>
        <w:t>月为坝前温度分层状态，其他月份基本没分层。水库下泄水温较建库前的天然水温发生了变化，</w:t>
      </w:r>
      <w:r w:rsidRPr="000549B1">
        <w:rPr>
          <w:sz w:val="24"/>
          <w:szCs w:val="24"/>
        </w:rPr>
        <w:t>4~6</w:t>
      </w:r>
      <w:r w:rsidRPr="000549B1">
        <w:rPr>
          <w:sz w:val="24"/>
          <w:szCs w:val="24"/>
        </w:rPr>
        <w:t>月存在下泄低温水现象，</w:t>
      </w:r>
      <w:r w:rsidRPr="000549B1">
        <w:rPr>
          <w:sz w:val="24"/>
          <w:szCs w:val="24"/>
        </w:rPr>
        <w:t>7</w:t>
      </w:r>
      <w:r w:rsidRPr="000549B1">
        <w:rPr>
          <w:sz w:val="24"/>
          <w:szCs w:val="24"/>
        </w:rPr>
        <w:t>月至</w:t>
      </w:r>
      <w:r w:rsidRPr="000549B1">
        <w:rPr>
          <w:sz w:val="24"/>
          <w:szCs w:val="24"/>
        </w:rPr>
        <w:t>10</w:t>
      </w:r>
      <w:r w:rsidRPr="000549B1">
        <w:rPr>
          <w:sz w:val="24"/>
          <w:szCs w:val="24"/>
        </w:rPr>
        <w:t>月会下泄高温水，在</w:t>
      </w:r>
      <w:r w:rsidRPr="000549B1">
        <w:rPr>
          <w:sz w:val="24"/>
          <w:szCs w:val="24"/>
        </w:rPr>
        <w:t>P=50%</w:t>
      </w:r>
      <w:r w:rsidRPr="000549B1">
        <w:rPr>
          <w:sz w:val="24"/>
          <w:szCs w:val="24"/>
        </w:rPr>
        <w:t>条件下冬季也下泄高</w:t>
      </w:r>
      <w:r w:rsidRPr="000549B1">
        <w:rPr>
          <w:sz w:val="24"/>
          <w:szCs w:val="24"/>
        </w:rPr>
        <w:t>4℃</w:t>
      </w:r>
      <w:r w:rsidRPr="000549B1">
        <w:rPr>
          <w:sz w:val="24"/>
          <w:szCs w:val="24"/>
        </w:rPr>
        <w:t>温水。具体为：</w:t>
      </w:r>
      <w:r w:rsidRPr="000549B1">
        <w:rPr>
          <w:sz w:val="24"/>
          <w:szCs w:val="24"/>
        </w:rPr>
        <w:t>P=10%</w:t>
      </w:r>
      <w:r w:rsidRPr="000549B1">
        <w:rPr>
          <w:sz w:val="24"/>
          <w:szCs w:val="24"/>
        </w:rPr>
        <w:t>来水频率条件下的</w:t>
      </w:r>
      <w:r w:rsidRPr="000549B1">
        <w:rPr>
          <w:sz w:val="24"/>
          <w:szCs w:val="24"/>
        </w:rPr>
        <w:t>8~10</w:t>
      </w:r>
      <w:r w:rsidRPr="000549B1">
        <w:rPr>
          <w:sz w:val="24"/>
          <w:szCs w:val="24"/>
        </w:rPr>
        <w:t>月水库下泄水温比天然水温高</w:t>
      </w:r>
      <w:r w:rsidRPr="000549B1">
        <w:rPr>
          <w:sz w:val="24"/>
          <w:szCs w:val="24"/>
        </w:rPr>
        <w:t>2.1~4.8℃</w:t>
      </w:r>
      <w:r w:rsidRPr="000549B1">
        <w:rPr>
          <w:sz w:val="24"/>
          <w:szCs w:val="24"/>
        </w:rPr>
        <w:t>，</w:t>
      </w:r>
      <w:r w:rsidRPr="000549B1">
        <w:rPr>
          <w:sz w:val="24"/>
          <w:szCs w:val="24"/>
        </w:rPr>
        <w:t>4~5</w:t>
      </w:r>
      <w:r w:rsidRPr="000549B1">
        <w:rPr>
          <w:sz w:val="24"/>
          <w:szCs w:val="24"/>
        </w:rPr>
        <w:t>月比天然水温低</w:t>
      </w:r>
      <w:r w:rsidRPr="000549B1">
        <w:rPr>
          <w:sz w:val="24"/>
          <w:szCs w:val="24"/>
        </w:rPr>
        <w:t>1~0.8℃</w:t>
      </w:r>
      <w:r w:rsidRPr="000549B1">
        <w:rPr>
          <w:sz w:val="24"/>
          <w:szCs w:val="24"/>
        </w:rPr>
        <w:t>；</w:t>
      </w:r>
      <w:r w:rsidRPr="000549B1">
        <w:rPr>
          <w:sz w:val="24"/>
          <w:szCs w:val="24"/>
        </w:rPr>
        <w:t>P=50%</w:t>
      </w:r>
      <w:r w:rsidRPr="000549B1">
        <w:rPr>
          <w:sz w:val="24"/>
          <w:szCs w:val="24"/>
        </w:rPr>
        <w:t>来水频率条件下对比天然水温改变最大，</w:t>
      </w:r>
      <w:r w:rsidRPr="000549B1">
        <w:rPr>
          <w:sz w:val="24"/>
          <w:szCs w:val="24"/>
        </w:rPr>
        <w:t>7~</w:t>
      </w:r>
      <w:r w:rsidRPr="000549B1">
        <w:rPr>
          <w:sz w:val="24"/>
          <w:szCs w:val="24"/>
        </w:rPr>
        <w:t>次年</w:t>
      </w:r>
      <w:r w:rsidRPr="000549B1">
        <w:rPr>
          <w:sz w:val="24"/>
          <w:szCs w:val="24"/>
        </w:rPr>
        <w:t>3</w:t>
      </w:r>
      <w:r w:rsidRPr="000549B1">
        <w:rPr>
          <w:sz w:val="24"/>
          <w:szCs w:val="24"/>
        </w:rPr>
        <w:t>月水库下泄水温比天然水温高</w:t>
      </w:r>
      <w:r w:rsidRPr="000549B1">
        <w:rPr>
          <w:sz w:val="24"/>
          <w:szCs w:val="24"/>
        </w:rPr>
        <w:t>3~7.6℃</w:t>
      </w:r>
      <w:r w:rsidRPr="000549B1">
        <w:rPr>
          <w:sz w:val="24"/>
          <w:szCs w:val="24"/>
        </w:rPr>
        <w:t>，</w:t>
      </w:r>
      <w:r w:rsidRPr="000549B1">
        <w:rPr>
          <w:sz w:val="24"/>
          <w:szCs w:val="24"/>
        </w:rPr>
        <w:t>5~6</w:t>
      </w:r>
      <w:r w:rsidRPr="000549B1">
        <w:rPr>
          <w:sz w:val="24"/>
          <w:szCs w:val="24"/>
        </w:rPr>
        <w:t>月比天然水温低</w:t>
      </w:r>
      <w:r w:rsidRPr="000549B1">
        <w:rPr>
          <w:sz w:val="24"/>
          <w:szCs w:val="24"/>
        </w:rPr>
        <w:t>3.9~5℃</w:t>
      </w:r>
      <w:r w:rsidRPr="000549B1">
        <w:rPr>
          <w:sz w:val="24"/>
          <w:szCs w:val="24"/>
        </w:rPr>
        <w:t>；</w:t>
      </w:r>
      <w:r w:rsidRPr="000549B1">
        <w:rPr>
          <w:sz w:val="24"/>
          <w:szCs w:val="24"/>
        </w:rPr>
        <w:t>P=90%</w:t>
      </w:r>
      <w:r w:rsidRPr="000549B1">
        <w:rPr>
          <w:sz w:val="24"/>
          <w:szCs w:val="24"/>
        </w:rPr>
        <w:t>来水频率条件下的</w:t>
      </w:r>
      <w:r w:rsidRPr="000549B1">
        <w:rPr>
          <w:sz w:val="24"/>
          <w:szCs w:val="24"/>
        </w:rPr>
        <w:t>7~10</w:t>
      </w:r>
      <w:r w:rsidRPr="000549B1">
        <w:rPr>
          <w:sz w:val="24"/>
          <w:szCs w:val="24"/>
        </w:rPr>
        <w:t>月水库下泄水温比天然水温高</w:t>
      </w:r>
      <w:r w:rsidRPr="000549B1">
        <w:rPr>
          <w:sz w:val="24"/>
          <w:szCs w:val="24"/>
        </w:rPr>
        <w:t>0.9~4.4℃</w:t>
      </w:r>
      <w:r w:rsidRPr="000549B1">
        <w:rPr>
          <w:sz w:val="24"/>
          <w:szCs w:val="24"/>
        </w:rPr>
        <w:t>，</w:t>
      </w:r>
      <w:r w:rsidRPr="000549B1">
        <w:rPr>
          <w:sz w:val="24"/>
          <w:szCs w:val="24"/>
        </w:rPr>
        <w:t>4</w:t>
      </w:r>
      <w:r w:rsidRPr="000549B1">
        <w:rPr>
          <w:sz w:val="24"/>
          <w:szCs w:val="24"/>
        </w:rPr>
        <w:t>月比天然水温低</w:t>
      </w:r>
      <w:r w:rsidRPr="000549B1">
        <w:rPr>
          <w:sz w:val="24"/>
          <w:szCs w:val="24"/>
        </w:rPr>
        <w:t>1.1℃</w:t>
      </w:r>
      <w:r w:rsidRPr="000549B1">
        <w:rPr>
          <w:sz w:val="24"/>
          <w:szCs w:val="24"/>
        </w:rPr>
        <w:t>。</w:t>
      </w:r>
    </w:p>
    <w:p w14:paraId="52A71401" w14:textId="77777777" w:rsidR="00054437" w:rsidRPr="000549B1" w:rsidRDefault="00000000">
      <w:pPr>
        <w:tabs>
          <w:tab w:val="left" w:pos="4500"/>
        </w:tabs>
        <w:spacing w:line="500" w:lineRule="exact"/>
        <w:ind w:firstLineChars="200" w:firstLine="480"/>
        <w:jc w:val="left"/>
        <w:rPr>
          <w:sz w:val="24"/>
          <w:szCs w:val="24"/>
        </w:rPr>
      </w:pPr>
      <w:r w:rsidRPr="000549B1">
        <w:rPr>
          <w:sz w:val="24"/>
          <w:szCs w:val="24"/>
        </w:rPr>
        <w:t>（</w:t>
      </w:r>
      <w:r w:rsidRPr="000549B1">
        <w:rPr>
          <w:sz w:val="24"/>
          <w:szCs w:val="24"/>
        </w:rPr>
        <w:t>2</w:t>
      </w:r>
      <w:r w:rsidRPr="000549B1">
        <w:rPr>
          <w:sz w:val="24"/>
          <w:szCs w:val="24"/>
        </w:rPr>
        <w:t>）坝下天然河道水温预测方法</w:t>
      </w:r>
    </w:p>
    <w:p w14:paraId="6EB74639" w14:textId="77777777" w:rsidR="00054437" w:rsidRPr="000549B1" w:rsidRDefault="00000000">
      <w:pPr>
        <w:spacing w:line="500" w:lineRule="exact"/>
        <w:ind w:firstLineChars="200" w:firstLine="480"/>
        <w:jc w:val="left"/>
        <w:rPr>
          <w:sz w:val="24"/>
          <w:szCs w:val="24"/>
        </w:rPr>
      </w:pPr>
      <w:r w:rsidRPr="000549B1">
        <w:rPr>
          <w:sz w:val="24"/>
          <w:szCs w:val="24"/>
        </w:rPr>
        <w:t>大河坝水库修建后，水库下泄流量及水温过程较天然情况存在差异，且水体所含热量及水体与大气的热通量将发生一定的变化，使得下游水温沿程变化规律与原天然情况有所不同。河道纵向一维模型基于质量、能量守恒定律，并考虑水体内部、外界环境等因素的影响，能较好地模拟河道水温的变化过程。水库下游的河道水温，除受到水库放水温度影响外，还受气温、太阳辐射、区间来水等的影响，由于大河坝河下游水温资料有限，无法利用河道纵向一维水温模型预测坝下水温变化情况。本次坝下水温预测选择同区域类似水库坝址下泄水温的沿程变化进行类比分析。</w:t>
      </w:r>
    </w:p>
    <w:p w14:paraId="080DED13" w14:textId="77777777" w:rsidR="00054437" w:rsidRPr="000549B1" w:rsidRDefault="00000000">
      <w:pPr>
        <w:tabs>
          <w:tab w:val="left" w:pos="4500"/>
        </w:tabs>
        <w:spacing w:line="500" w:lineRule="exact"/>
        <w:ind w:firstLineChars="200" w:firstLine="480"/>
        <w:jc w:val="left"/>
        <w:rPr>
          <w:sz w:val="24"/>
          <w:szCs w:val="24"/>
        </w:rPr>
      </w:pPr>
      <w:r w:rsidRPr="000549B1">
        <w:rPr>
          <w:sz w:val="24"/>
          <w:szCs w:val="24"/>
        </w:rPr>
        <w:t>1</w:t>
      </w:r>
      <w:r w:rsidRPr="000549B1">
        <w:rPr>
          <w:sz w:val="24"/>
          <w:szCs w:val="24"/>
        </w:rPr>
        <w:t>）类比对象选取</w:t>
      </w:r>
    </w:p>
    <w:p w14:paraId="194CA8D4" w14:textId="77777777" w:rsidR="00054437" w:rsidRPr="000549B1" w:rsidRDefault="00000000">
      <w:pPr>
        <w:spacing w:line="500" w:lineRule="exact"/>
        <w:ind w:firstLineChars="200" w:firstLine="480"/>
        <w:jc w:val="left"/>
        <w:rPr>
          <w:sz w:val="24"/>
          <w:szCs w:val="24"/>
        </w:rPr>
      </w:pPr>
      <w:r w:rsidRPr="000549B1">
        <w:rPr>
          <w:sz w:val="24"/>
          <w:szCs w:val="24"/>
        </w:rPr>
        <w:t>根据大河坝河所在区域、地形地貌特性和海拔高程，本次柴达木盆地那河水库作为类比水库。</w:t>
      </w:r>
    </w:p>
    <w:p w14:paraId="2CF585F6" w14:textId="77777777" w:rsidR="00054437" w:rsidRPr="000549B1" w:rsidRDefault="00000000">
      <w:pPr>
        <w:spacing w:line="500" w:lineRule="exact"/>
        <w:ind w:firstLineChars="200" w:firstLine="480"/>
        <w:jc w:val="left"/>
        <w:rPr>
          <w:sz w:val="24"/>
          <w:szCs w:val="24"/>
        </w:rPr>
      </w:pPr>
      <w:r w:rsidRPr="000549B1">
        <w:rPr>
          <w:sz w:val="24"/>
          <w:szCs w:val="24"/>
        </w:rPr>
        <w:t>那河水利枢纽工程位于青海省海西蒙古族藏族自治州格尔木市东部乌图美仁乡境内的那河上，该区域年均气温</w:t>
      </w:r>
      <w:r w:rsidRPr="000549B1">
        <w:rPr>
          <w:sz w:val="24"/>
          <w:szCs w:val="24"/>
        </w:rPr>
        <w:t>5.3℃</w:t>
      </w:r>
      <w:r w:rsidRPr="000549B1">
        <w:rPr>
          <w:sz w:val="24"/>
          <w:szCs w:val="24"/>
        </w:rPr>
        <w:t>，极端最高气温</w:t>
      </w:r>
      <w:r w:rsidRPr="000549B1">
        <w:rPr>
          <w:sz w:val="24"/>
          <w:szCs w:val="24"/>
        </w:rPr>
        <w:t>35.5℃</w:t>
      </w:r>
      <w:r w:rsidRPr="000549B1">
        <w:rPr>
          <w:sz w:val="24"/>
          <w:szCs w:val="24"/>
        </w:rPr>
        <w:t>，极端最低气温</w:t>
      </w:r>
      <w:r w:rsidRPr="000549B1">
        <w:rPr>
          <w:sz w:val="24"/>
          <w:szCs w:val="24"/>
        </w:rPr>
        <w:t>-26.9℃</w:t>
      </w:r>
      <w:r w:rsidRPr="000549B1">
        <w:rPr>
          <w:sz w:val="24"/>
          <w:szCs w:val="24"/>
        </w:rPr>
        <w:t>，最大风速</w:t>
      </w:r>
      <w:r w:rsidRPr="000549B1">
        <w:rPr>
          <w:sz w:val="24"/>
          <w:szCs w:val="24"/>
        </w:rPr>
        <w:t>22m/s</w:t>
      </w:r>
      <w:r w:rsidRPr="000549B1">
        <w:rPr>
          <w:sz w:val="24"/>
          <w:szCs w:val="24"/>
        </w:rPr>
        <w:t>。降水的时间分配很不均匀，年内变化较大，年际变化不大，年内降水量主要集中在</w:t>
      </w:r>
      <w:r w:rsidRPr="000549B1">
        <w:rPr>
          <w:sz w:val="24"/>
          <w:szCs w:val="24"/>
        </w:rPr>
        <w:t>6</w:t>
      </w:r>
      <w:r w:rsidRPr="000549B1">
        <w:rPr>
          <w:sz w:val="24"/>
          <w:szCs w:val="24"/>
        </w:rPr>
        <w:t>～</w:t>
      </w:r>
      <w:r w:rsidRPr="000549B1">
        <w:rPr>
          <w:sz w:val="24"/>
          <w:szCs w:val="24"/>
        </w:rPr>
        <w:t>9</w:t>
      </w:r>
      <w:r w:rsidRPr="000549B1">
        <w:rPr>
          <w:sz w:val="24"/>
          <w:szCs w:val="24"/>
        </w:rPr>
        <w:t>月，</w:t>
      </w:r>
      <w:r w:rsidRPr="000549B1">
        <w:rPr>
          <w:sz w:val="24"/>
          <w:szCs w:val="24"/>
        </w:rPr>
        <w:t>6</w:t>
      </w:r>
      <w:r w:rsidRPr="000549B1">
        <w:rPr>
          <w:sz w:val="24"/>
          <w:szCs w:val="24"/>
        </w:rPr>
        <w:t>～</w:t>
      </w:r>
      <w:r w:rsidRPr="000549B1">
        <w:rPr>
          <w:sz w:val="24"/>
          <w:szCs w:val="24"/>
        </w:rPr>
        <w:t>9</w:t>
      </w:r>
      <w:r w:rsidRPr="000549B1">
        <w:rPr>
          <w:sz w:val="24"/>
          <w:szCs w:val="24"/>
        </w:rPr>
        <w:t>月份降水占全年降水量的</w:t>
      </w:r>
      <w:r w:rsidRPr="000549B1">
        <w:rPr>
          <w:sz w:val="24"/>
          <w:szCs w:val="24"/>
        </w:rPr>
        <w:t>78%</w:t>
      </w:r>
      <w:r w:rsidRPr="000549B1">
        <w:rPr>
          <w:sz w:val="24"/>
          <w:szCs w:val="24"/>
        </w:rPr>
        <w:t>左右，多年平均降雨量</w:t>
      </w:r>
      <w:r w:rsidRPr="000549B1">
        <w:rPr>
          <w:sz w:val="24"/>
          <w:szCs w:val="24"/>
        </w:rPr>
        <w:t>42.8mm</w:t>
      </w:r>
      <w:r w:rsidRPr="000549B1">
        <w:rPr>
          <w:sz w:val="24"/>
          <w:szCs w:val="24"/>
        </w:rPr>
        <w:t>，多年平均蒸发量</w:t>
      </w:r>
      <w:r w:rsidRPr="000549B1">
        <w:rPr>
          <w:sz w:val="24"/>
          <w:szCs w:val="24"/>
        </w:rPr>
        <w:t>2600mm</w:t>
      </w:r>
      <w:r w:rsidRPr="000549B1">
        <w:rPr>
          <w:sz w:val="24"/>
          <w:szCs w:val="24"/>
        </w:rPr>
        <w:t>。</w:t>
      </w:r>
    </w:p>
    <w:p w14:paraId="62210A01" w14:textId="77777777" w:rsidR="00054437" w:rsidRPr="000549B1" w:rsidRDefault="00000000">
      <w:pPr>
        <w:spacing w:line="500" w:lineRule="exact"/>
        <w:ind w:firstLineChars="200" w:firstLine="480"/>
        <w:jc w:val="left"/>
        <w:rPr>
          <w:sz w:val="24"/>
          <w:szCs w:val="24"/>
        </w:rPr>
      </w:pPr>
      <w:r w:rsidRPr="000549B1">
        <w:rPr>
          <w:sz w:val="24"/>
          <w:szCs w:val="24"/>
        </w:rPr>
        <w:t>大河坝水库位于黄河上游一级支流大河坝上，地处海南州兴海县。该区域年平均气温</w:t>
      </w:r>
      <w:r w:rsidRPr="000549B1">
        <w:rPr>
          <w:sz w:val="24"/>
          <w:szCs w:val="24"/>
        </w:rPr>
        <w:t>1.7℃</w:t>
      </w:r>
      <w:r w:rsidRPr="000549B1">
        <w:rPr>
          <w:sz w:val="24"/>
          <w:szCs w:val="24"/>
        </w:rPr>
        <w:t>，最高月均气温</w:t>
      </w:r>
      <w:r w:rsidRPr="000549B1">
        <w:rPr>
          <w:sz w:val="24"/>
          <w:szCs w:val="24"/>
        </w:rPr>
        <w:t>12.7℃</w:t>
      </w:r>
      <w:r w:rsidRPr="000549B1">
        <w:rPr>
          <w:sz w:val="24"/>
          <w:szCs w:val="24"/>
        </w:rPr>
        <w:t>，最低月均气温</w:t>
      </w:r>
      <w:r w:rsidRPr="000549B1">
        <w:rPr>
          <w:sz w:val="24"/>
          <w:szCs w:val="24"/>
        </w:rPr>
        <w:t>-11℃</w:t>
      </w:r>
      <w:r w:rsidRPr="000549B1">
        <w:rPr>
          <w:sz w:val="24"/>
          <w:szCs w:val="24"/>
        </w:rPr>
        <w:t>，极端最低气温</w:t>
      </w:r>
      <w:r w:rsidRPr="000549B1">
        <w:rPr>
          <w:sz w:val="24"/>
          <w:szCs w:val="24"/>
        </w:rPr>
        <w:t>-31.5℃</w:t>
      </w:r>
      <w:r w:rsidRPr="000549B1">
        <w:rPr>
          <w:sz w:val="24"/>
          <w:szCs w:val="24"/>
        </w:rPr>
        <w:t>，项目区域降雨量年内分配不均，降雨量主要集中在</w:t>
      </w:r>
      <w:r w:rsidRPr="000549B1">
        <w:rPr>
          <w:sz w:val="24"/>
          <w:szCs w:val="24"/>
        </w:rPr>
        <w:t>6</w:t>
      </w:r>
      <w:r w:rsidRPr="000549B1">
        <w:rPr>
          <w:sz w:val="24"/>
          <w:szCs w:val="24"/>
        </w:rPr>
        <w:t>月～</w:t>
      </w:r>
      <w:r w:rsidRPr="000549B1">
        <w:rPr>
          <w:sz w:val="24"/>
          <w:szCs w:val="24"/>
        </w:rPr>
        <w:t>9</w:t>
      </w:r>
      <w:r w:rsidRPr="000549B1">
        <w:rPr>
          <w:sz w:val="24"/>
          <w:szCs w:val="24"/>
        </w:rPr>
        <w:t>月，占全年降水量的</w:t>
      </w:r>
      <w:r w:rsidRPr="000549B1">
        <w:rPr>
          <w:sz w:val="24"/>
          <w:szCs w:val="24"/>
        </w:rPr>
        <w:t>73%</w:t>
      </w:r>
      <w:r w:rsidRPr="000549B1">
        <w:rPr>
          <w:sz w:val="24"/>
          <w:szCs w:val="24"/>
        </w:rPr>
        <w:t>～</w:t>
      </w:r>
      <w:r w:rsidRPr="000549B1">
        <w:rPr>
          <w:sz w:val="24"/>
          <w:szCs w:val="24"/>
        </w:rPr>
        <w:t>79%</w:t>
      </w:r>
      <w:r w:rsidRPr="000549B1">
        <w:rPr>
          <w:sz w:val="24"/>
          <w:szCs w:val="24"/>
        </w:rPr>
        <w:t>。多年平均蒸发量在</w:t>
      </w:r>
      <w:r w:rsidRPr="000549B1">
        <w:rPr>
          <w:sz w:val="24"/>
          <w:szCs w:val="24"/>
        </w:rPr>
        <w:t>900mm</w:t>
      </w:r>
      <w:r w:rsidRPr="000549B1">
        <w:rPr>
          <w:sz w:val="24"/>
          <w:szCs w:val="24"/>
        </w:rPr>
        <w:t>以上。那河水库回水长度</w:t>
      </w:r>
      <w:r w:rsidRPr="000549B1">
        <w:rPr>
          <w:sz w:val="24"/>
          <w:szCs w:val="24"/>
        </w:rPr>
        <w:t>11.68km</w:t>
      </w:r>
      <w:r w:rsidRPr="000549B1">
        <w:rPr>
          <w:sz w:val="24"/>
          <w:szCs w:val="24"/>
        </w:rPr>
        <w:t>，坝址处多年平均流量</w:t>
      </w:r>
      <w:r w:rsidRPr="000549B1">
        <w:rPr>
          <w:sz w:val="24"/>
          <w:szCs w:val="24"/>
        </w:rPr>
        <w:t>39.41m</w:t>
      </w:r>
      <w:r w:rsidRPr="000549B1">
        <w:rPr>
          <w:sz w:val="24"/>
          <w:szCs w:val="24"/>
          <w:vertAlign w:val="superscript"/>
        </w:rPr>
        <w:t>3</w:t>
      </w:r>
      <w:r w:rsidRPr="000549B1">
        <w:rPr>
          <w:sz w:val="24"/>
          <w:szCs w:val="24"/>
        </w:rPr>
        <w:t>/s</w:t>
      </w:r>
      <w:r w:rsidRPr="000549B1">
        <w:rPr>
          <w:sz w:val="24"/>
          <w:szCs w:val="24"/>
        </w:rPr>
        <w:t>，水库正常蓄水位对应的水深为</w:t>
      </w:r>
      <w:r w:rsidRPr="000549B1">
        <w:rPr>
          <w:sz w:val="24"/>
          <w:szCs w:val="24"/>
        </w:rPr>
        <w:t>67m</w:t>
      </w:r>
      <w:r w:rsidRPr="000549B1">
        <w:rPr>
          <w:sz w:val="24"/>
          <w:szCs w:val="24"/>
        </w:rPr>
        <w:t>，水库总库容为</w:t>
      </w:r>
      <w:r w:rsidRPr="000549B1">
        <w:rPr>
          <w:sz w:val="24"/>
          <w:szCs w:val="24"/>
        </w:rPr>
        <w:t>5.876</w:t>
      </w:r>
      <w:r w:rsidRPr="000549B1">
        <w:rPr>
          <w:sz w:val="24"/>
          <w:szCs w:val="24"/>
        </w:rPr>
        <w:t>亿</w:t>
      </w:r>
      <w:r w:rsidRPr="000549B1">
        <w:rPr>
          <w:sz w:val="24"/>
          <w:szCs w:val="24"/>
        </w:rPr>
        <w:t>m</w:t>
      </w:r>
      <w:r w:rsidRPr="000549B1">
        <w:rPr>
          <w:sz w:val="24"/>
          <w:szCs w:val="24"/>
          <w:vertAlign w:val="superscript"/>
        </w:rPr>
        <w:t>3</w:t>
      </w:r>
      <w:r w:rsidRPr="000549B1">
        <w:rPr>
          <w:sz w:val="24"/>
          <w:szCs w:val="24"/>
        </w:rPr>
        <w:t>，坝址处多年平均径流量为</w:t>
      </w:r>
      <w:r w:rsidRPr="000549B1">
        <w:rPr>
          <w:sz w:val="24"/>
          <w:szCs w:val="24"/>
        </w:rPr>
        <w:t>12.43</w:t>
      </w:r>
      <w:r w:rsidRPr="000549B1">
        <w:rPr>
          <w:sz w:val="24"/>
          <w:szCs w:val="24"/>
        </w:rPr>
        <w:t>亿</w:t>
      </w:r>
      <w:r w:rsidRPr="000549B1">
        <w:rPr>
          <w:sz w:val="24"/>
          <w:szCs w:val="24"/>
        </w:rPr>
        <w:t>m</w:t>
      </w:r>
      <w:r w:rsidRPr="000549B1">
        <w:rPr>
          <w:sz w:val="24"/>
          <w:szCs w:val="24"/>
          <w:vertAlign w:val="superscript"/>
        </w:rPr>
        <w:t>3</w:t>
      </w:r>
      <w:r w:rsidRPr="000549B1">
        <w:rPr>
          <w:sz w:val="24"/>
          <w:szCs w:val="24"/>
        </w:rPr>
        <w:t>，水库为稳定分层型水温结构。</w:t>
      </w:r>
    </w:p>
    <w:p w14:paraId="2889A7D3" w14:textId="77777777" w:rsidR="00054437" w:rsidRPr="000549B1" w:rsidRDefault="00000000">
      <w:pPr>
        <w:widowControl/>
        <w:adjustRightInd w:val="0"/>
        <w:snapToGrid w:val="0"/>
        <w:spacing w:line="500" w:lineRule="exact"/>
        <w:ind w:firstLineChars="200" w:firstLine="480"/>
        <w:jc w:val="left"/>
        <w:rPr>
          <w:sz w:val="24"/>
          <w:szCs w:val="24"/>
        </w:rPr>
      </w:pPr>
      <w:r w:rsidRPr="000549B1">
        <w:rPr>
          <w:sz w:val="24"/>
          <w:szCs w:val="24"/>
        </w:rPr>
        <w:t>根据资料显示，那河流域与大河坝河流域的气象要素、水面及大气热交换条件相似，且与那河水库工程参数、水温结构类型类似，具有较好的水温分布资料以及模型验证资料，因此选择类比那河水库下游天然河段纵向一维水温模型水温模拟结果是可行的。</w:t>
      </w:r>
    </w:p>
    <w:p w14:paraId="43F80CDD" w14:textId="77777777" w:rsidR="00054437" w:rsidRPr="000549B1" w:rsidRDefault="00000000">
      <w:pPr>
        <w:tabs>
          <w:tab w:val="left" w:pos="4500"/>
        </w:tabs>
        <w:spacing w:line="500" w:lineRule="exact"/>
        <w:ind w:firstLineChars="200" w:firstLine="480"/>
        <w:jc w:val="left"/>
        <w:rPr>
          <w:sz w:val="24"/>
          <w:szCs w:val="24"/>
        </w:rPr>
      </w:pPr>
      <w:r w:rsidRPr="000549B1">
        <w:rPr>
          <w:sz w:val="24"/>
          <w:szCs w:val="24"/>
        </w:rPr>
        <w:t>2</w:t>
      </w:r>
      <w:r w:rsidRPr="000549B1">
        <w:rPr>
          <w:sz w:val="24"/>
          <w:szCs w:val="24"/>
        </w:rPr>
        <w:t>）类比对象结果</w:t>
      </w:r>
    </w:p>
    <w:p w14:paraId="1E125181" w14:textId="0CC51A47" w:rsidR="00054437" w:rsidRPr="000549B1" w:rsidRDefault="00000000">
      <w:pPr>
        <w:widowControl/>
        <w:adjustRightInd w:val="0"/>
        <w:snapToGrid w:val="0"/>
        <w:spacing w:line="500" w:lineRule="exact"/>
        <w:ind w:firstLineChars="200" w:firstLine="480"/>
        <w:jc w:val="left"/>
        <w:rPr>
          <w:sz w:val="24"/>
          <w:szCs w:val="24"/>
        </w:rPr>
      </w:pPr>
      <w:r w:rsidRPr="000549B1">
        <w:rPr>
          <w:sz w:val="24"/>
          <w:szCs w:val="24"/>
        </w:rPr>
        <w:t>那河水利枢纽坝下水温预测采用</w:t>
      </w:r>
      <w:r w:rsidRPr="000549B1">
        <w:rPr>
          <w:sz w:val="24"/>
          <w:szCs w:val="24"/>
        </w:rPr>
        <w:t>MIKE11</w:t>
      </w:r>
      <w:r w:rsidRPr="000549B1">
        <w:rPr>
          <w:sz w:val="24"/>
          <w:szCs w:val="24"/>
        </w:rPr>
        <w:t>模型开展水库建成后下泄水温的沿程变化预测</w:t>
      </w:r>
      <w:r w:rsidRPr="000549B1">
        <w:rPr>
          <w:szCs w:val="24"/>
        </w:rPr>
        <w:t>。</w:t>
      </w:r>
      <w:r w:rsidRPr="000549B1">
        <w:rPr>
          <w:sz w:val="24"/>
          <w:szCs w:val="24"/>
        </w:rPr>
        <w:t>通过模型构建、验证和预测，</w:t>
      </w:r>
      <w:bookmarkStart w:id="385" w:name="_Toc456015838"/>
      <w:r w:rsidRPr="000549B1">
        <w:rPr>
          <w:sz w:val="24"/>
          <w:szCs w:val="24"/>
        </w:rPr>
        <w:t>3~5</w:t>
      </w:r>
      <w:r w:rsidRPr="000549B1">
        <w:rPr>
          <w:sz w:val="24"/>
          <w:szCs w:val="24"/>
        </w:rPr>
        <w:t>月那河水库下泄水温比下游天然河道的水温高，</w:t>
      </w:r>
      <w:r w:rsidRPr="000549B1">
        <w:rPr>
          <w:sz w:val="24"/>
          <w:szCs w:val="24"/>
        </w:rPr>
        <w:t>6~9</w:t>
      </w:r>
      <w:r w:rsidRPr="000549B1">
        <w:rPr>
          <w:sz w:val="24"/>
          <w:szCs w:val="24"/>
        </w:rPr>
        <w:t>月，下泄水温小于天然河道水温，然而气温、太阳辐射等均随之升高，下泄水流沿程逐渐升温，</w:t>
      </w:r>
      <w:r w:rsidRPr="000549B1">
        <w:rPr>
          <w:sz w:val="24"/>
          <w:szCs w:val="24"/>
        </w:rPr>
        <w:t>7</w:t>
      </w:r>
      <w:r w:rsidRPr="000549B1">
        <w:rPr>
          <w:sz w:val="24"/>
          <w:szCs w:val="24"/>
        </w:rPr>
        <w:t>月那河出山口附近与天然水温的温差为</w:t>
      </w:r>
      <w:r w:rsidRPr="000549B1">
        <w:rPr>
          <w:sz w:val="24"/>
          <w:szCs w:val="24"/>
        </w:rPr>
        <w:t>2.93℃</w:t>
      </w:r>
      <w:r w:rsidRPr="000549B1">
        <w:rPr>
          <w:sz w:val="24"/>
          <w:szCs w:val="24"/>
        </w:rPr>
        <w:t>左右，河道沿程升温的过程直到</w:t>
      </w:r>
      <w:r w:rsidRPr="000549B1">
        <w:rPr>
          <w:sz w:val="24"/>
          <w:szCs w:val="24"/>
        </w:rPr>
        <w:t>9</w:t>
      </w:r>
      <w:r w:rsidRPr="000549B1">
        <w:rPr>
          <w:sz w:val="24"/>
          <w:szCs w:val="24"/>
        </w:rPr>
        <w:t>月份基本结束，</w:t>
      </w:r>
      <w:r w:rsidRPr="000549B1">
        <w:rPr>
          <w:sz w:val="24"/>
          <w:szCs w:val="24"/>
        </w:rPr>
        <w:t>10</w:t>
      </w:r>
      <w:r w:rsidRPr="000549B1">
        <w:rPr>
          <w:sz w:val="24"/>
          <w:szCs w:val="24"/>
        </w:rPr>
        <w:t>月份开始，天然河道和水库又同时进入降温时期，但下游河道由于对温度的调节性没有水库高，降温速度比水库要快，下游河道的下泄水温又沿程降低接近天然河道水温。从坝址至出山口河段，水库下泄水温经历了沿程复温过程，使河道水温与天然水温差别逐渐减少。水库运行后那河出山口水温与天然水温差别详见</w:t>
      </w:r>
      <w:r w:rsidR="00F32CCA" w:rsidRPr="00F32CCA">
        <w:rPr>
          <w:sz w:val="24"/>
          <w:szCs w:val="24"/>
        </w:rPr>
        <w:t>表</w:t>
      </w:r>
      <w:r w:rsidR="00F32CCA" w:rsidRPr="00F32CCA">
        <w:rPr>
          <w:sz w:val="24"/>
          <w:szCs w:val="24"/>
        </w:rPr>
        <w:t>5.2</w:t>
      </w:r>
      <w:r w:rsidR="00F32CCA" w:rsidRPr="00F32CCA">
        <w:rPr>
          <w:sz w:val="24"/>
          <w:szCs w:val="24"/>
        </w:rPr>
        <w:noBreakHyphen/>
        <w:t>5</w:t>
      </w:r>
      <w:r w:rsidRPr="000549B1">
        <w:rPr>
          <w:sz w:val="24"/>
          <w:szCs w:val="24"/>
        </w:rPr>
        <w:t>。</w:t>
      </w:r>
      <w:bookmarkEnd w:id="385"/>
    </w:p>
    <w:p w14:paraId="3FCD85D3" w14:textId="7DAAF8BD" w:rsidR="00054437" w:rsidRPr="000549B1" w:rsidRDefault="00000000">
      <w:pPr>
        <w:pStyle w:val="aff8"/>
        <w:rPr>
          <w:color w:val="auto"/>
        </w:rPr>
      </w:pPr>
      <w:bookmarkStart w:id="386" w:name="_Ref214983204"/>
      <w:r w:rsidRPr="000549B1">
        <w:rPr>
          <w:color w:val="auto"/>
        </w:rPr>
        <w:t>表</w:t>
      </w:r>
      <w:r w:rsidR="00372953">
        <w:rPr>
          <w:color w:val="auto"/>
        </w:rPr>
        <w:fldChar w:fldCharType="begin"/>
      </w:r>
      <w:r w:rsidR="00372953">
        <w:rPr>
          <w:color w:val="auto"/>
        </w:rPr>
        <w:instrText xml:space="preserve"> STYLEREF 2 \s </w:instrText>
      </w:r>
      <w:r w:rsidR="00372953">
        <w:rPr>
          <w:color w:val="auto"/>
        </w:rPr>
        <w:fldChar w:fldCharType="separate"/>
      </w:r>
      <w:r w:rsidR="00372953">
        <w:rPr>
          <w:noProof/>
          <w:color w:val="auto"/>
        </w:rPr>
        <w:t>5.2</w:t>
      </w:r>
      <w:r w:rsidR="00372953">
        <w:rPr>
          <w:color w:val="auto"/>
        </w:rPr>
        <w:fldChar w:fldCharType="end"/>
      </w:r>
      <w:r w:rsidR="00372953">
        <w:rPr>
          <w:color w:val="auto"/>
        </w:rPr>
        <w:noBreakHyphen/>
      </w:r>
      <w:r w:rsidR="00372953">
        <w:rPr>
          <w:color w:val="auto"/>
        </w:rPr>
        <w:fldChar w:fldCharType="begin"/>
      </w:r>
      <w:r w:rsidR="00372953">
        <w:rPr>
          <w:color w:val="auto"/>
        </w:rPr>
        <w:instrText xml:space="preserve"> SEQ </w:instrText>
      </w:r>
      <w:r w:rsidR="00372953">
        <w:rPr>
          <w:color w:val="auto"/>
        </w:rPr>
        <w:instrText>表</w:instrText>
      </w:r>
      <w:r w:rsidR="00372953">
        <w:rPr>
          <w:color w:val="auto"/>
        </w:rPr>
        <w:instrText xml:space="preserve"> \* ARABIC \s 2 </w:instrText>
      </w:r>
      <w:r w:rsidR="00372953">
        <w:rPr>
          <w:color w:val="auto"/>
        </w:rPr>
        <w:fldChar w:fldCharType="separate"/>
      </w:r>
      <w:r w:rsidR="00372953">
        <w:rPr>
          <w:noProof/>
          <w:color w:val="auto"/>
        </w:rPr>
        <w:t>5</w:t>
      </w:r>
      <w:r w:rsidR="00372953">
        <w:rPr>
          <w:color w:val="auto"/>
        </w:rPr>
        <w:fldChar w:fldCharType="end"/>
      </w:r>
      <w:bookmarkEnd w:id="386"/>
      <w:r w:rsidRPr="000549B1">
        <w:rPr>
          <w:color w:val="auto"/>
        </w:rPr>
        <w:t>水库运行后那河出山口处水温及与天然水温差值单位：</w:t>
      </w:r>
      <w:r w:rsidRPr="000549B1">
        <w:rPr>
          <w:color w:val="auto"/>
        </w:rPr>
        <w:t>℃</w:t>
      </w:r>
    </w:p>
    <w:tbl>
      <w:tblPr>
        <w:tblW w:w="89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5"/>
        <w:gridCol w:w="1419"/>
        <w:gridCol w:w="1135"/>
        <w:gridCol w:w="1134"/>
        <w:gridCol w:w="992"/>
        <w:gridCol w:w="932"/>
        <w:gridCol w:w="911"/>
        <w:gridCol w:w="938"/>
        <w:gridCol w:w="784"/>
      </w:tblGrid>
      <w:tr w:rsidR="000549B1" w:rsidRPr="000549B1" w14:paraId="60C0F9F6" w14:textId="77777777">
        <w:trPr>
          <w:trHeight w:val="285"/>
          <w:tblHeader/>
          <w:jc w:val="center"/>
        </w:trPr>
        <w:tc>
          <w:tcPr>
            <w:tcW w:w="725" w:type="dxa"/>
            <w:vMerge w:val="restart"/>
            <w:vAlign w:val="center"/>
          </w:tcPr>
          <w:p w14:paraId="4A93BFD3" w14:textId="77777777" w:rsidR="00054437" w:rsidRPr="000549B1" w:rsidRDefault="00000000">
            <w:pPr>
              <w:widowControl/>
              <w:autoSpaceDN w:val="0"/>
              <w:spacing w:line="360" w:lineRule="exact"/>
              <w:jc w:val="center"/>
              <w:rPr>
                <w:szCs w:val="21"/>
              </w:rPr>
            </w:pPr>
            <w:r w:rsidRPr="000549B1">
              <w:rPr>
                <w:szCs w:val="21"/>
              </w:rPr>
              <w:t>月份</w:t>
            </w:r>
          </w:p>
        </w:tc>
        <w:tc>
          <w:tcPr>
            <w:tcW w:w="3688" w:type="dxa"/>
            <w:gridSpan w:val="3"/>
            <w:vAlign w:val="center"/>
          </w:tcPr>
          <w:p w14:paraId="2132E921" w14:textId="77777777" w:rsidR="00054437" w:rsidRPr="000549B1" w:rsidRDefault="00000000">
            <w:pPr>
              <w:widowControl/>
              <w:autoSpaceDN w:val="0"/>
              <w:spacing w:line="360" w:lineRule="exact"/>
              <w:jc w:val="center"/>
              <w:rPr>
                <w:szCs w:val="21"/>
              </w:rPr>
            </w:pPr>
            <w:r w:rsidRPr="000549B1">
              <w:rPr>
                <w:szCs w:val="21"/>
              </w:rPr>
              <w:t>建库后出山口处水温（</w:t>
            </w:r>
            <w:r w:rsidRPr="000549B1">
              <w:rPr>
                <w:szCs w:val="21"/>
              </w:rPr>
              <w:t>℃</w:t>
            </w:r>
            <w:r w:rsidRPr="000549B1">
              <w:rPr>
                <w:szCs w:val="21"/>
              </w:rPr>
              <w:t>）</w:t>
            </w:r>
          </w:p>
        </w:tc>
        <w:tc>
          <w:tcPr>
            <w:tcW w:w="992" w:type="dxa"/>
            <w:vMerge w:val="restart"/>
            <w:vAlign w:val="center"/>
          </w:tcPr>
          <w:p w14:paraId="39266AE9" w14:textId="77777777" w:rsidR="00054437" w:rsidRPr="000549B1" w:rsidRDefault="00000000">
            <w:pPr>
              <w:widowControl/>
              <w:autoSpaceDN w:val="0"/>
              <w:spacing w:line="360" w:lineRule="exact"/>
              <w:jc w:val="center"/>
              <w:rPr>
                <w:szCs w:val="21"/>
              </w:rPr>
            </w:pPr>
            <w:r w:rsidRPr="000549B1">
              <w:rPr>
                <w:szCs w:val="21"/>
              </w:rPr>
              <w:t>天然水温（</w:t>
            </w:r>
            <w:r w:rsidRPr="000549B1">
              <w:rPr>
                <w:szCs w:val="21"/>
              </w:rPr>
              <w:t>℃</w:t>
            </w:r>
            <w:r w:rsidRPr="000549B1">
              <w:rPr>
                <w:szCs w:val="21"/>
              </w:rPr>
              <w:t>）</w:t>
            </w:r>
          </w:p>
        </w:tc>
        <w:tc>
          <w:tcPr>
            <w:tcW w:w="3565" w:type="dxa"/>
            <w:gridSpan w:val="4"/>
            <w:vAlign w:val="center"/>
          </w:tcPr>
          <w:p w14:paraId="11E030E8" w14:textId="77777777" w:rsidR="00054437" w:rsidRPr="000549B1" w:rsidRDefault="00000000">
            <w:pPr>
              <w:widowControl/>
              <w:autoSpaceDN w:val="0"/>
              <w:spacing w:line="360" w:lineRule="exact"/>
              <w:jc w:val="center"/>
              <w:rPr>
                <w:szCs w:val="21"/>
              </w:rPr>
            </w:pPr>
            <w:r w:rsidRPr="000549B1">
              <w:rPr>
                <w:szCs w:val="21"/>
              </w:rPr>
              <w:t>温差（</w:t>
            </w:r>
            <w:r w:rsidRPr="000549B1">
              <w:rPr>
                <w:szCs w:val="21"/>
              </w:rPr>
              <w:t>℃</w:t>
            </w:r>
            <w:r w:rsidRPr="000549B1">
              <w:rPr>
                <w:szCs w:val="21"/>
              </w:rPr>
              <w:t>）</w:t>
            </w:r>
          </w:p>
        </w:tc>
      </w:tr>
      <w:tr w:rsidR="000549B1" w:rsidRPr="000549B1" w14:paraId="26ACFBE7" w14:textId="77777777">
        <w:trPr>
          <w:trHeight w:val="285"/>
          <w:tblHeader/>
          <w:jc w:val="center"/>
        </w:trPr>
        <w:tc>
          <w:tcPr>
            <w:tcW w:w="725" w:type="dxa"/>
            <w:vMerge/>
            <w:vAlign w:val="center"/>
          </w:tcPr>
          <w:p w14:paraId="66424FB8" w14:textId="77777777" w:rsidR="00054437" w:rsidRPr="000549B1" w:rsidRDefault="00054437">
            <w:pPr>
              <w:widowControl/>
              <w:spacing w:line="360" w:lineRule="exact"/>
              <w:jc w:val="center"/>
              <w:rPr>
                <w:szCs w:val="21"/>
              </w:rPr>
            </w:pPr>
          </w:p>
        </w:tc>
        <w:tc>
          <w:tcPr>
            <w:tcW w:w="1419" w:type="dxa"/>
            <w:vAlign w:val="center"/>
          </w:tcPr>
          <w:p w14:paraId="18F941A1" w14:textId="77777777" w:rsidR="00054437" w:rsidRPr="000549B1" w:rsidRDefault="00000000">
            <w:pPr>
              <w:widowControl/>
              <w:autoSpaceDN w:val="0"/>
              <w:spacing w:line="360" w:lineRule="exact"/>
              <w:jc w:val="center"/>
              <w:rPr>
                <w:szCs w:val="21"/>
              </w:rPr>
            </w:pPr>
            <w:r w:rsidRPr="000549B1">
              <w:rPr>
                <w:szCs w:val="21"/>
              </w:rPr>
              <w:t>P=25%</w:t>
            </w:r>
          </w:p>
        </w:tc>
        <w:tc>
          <w:tcPr>
            <w:tcW w:w="1135" w:type="dxa"/>
            <w:vAlign w:val="center"/>
          </w:tcPr>
          <w:p w14:paraId="2D5773AA" w14:textId="77777777" w:rsidR="00054437" w:rsidRPr="000549B1" w:rsidRDefault="00000000">
            <w:pPr>
              <w:widowControl/>
              <w:autoSpaceDN w:val="0"/>
              <w:spacing w:line="360" w:lineRule="exact"/>
              <w:jc w:val="center"/>
              <w:rPr>
                <w:szCs w:val="21"/>
              </w:rPr>
            </w:pPr>
            <w:r w:rsidRPr="000549B1">
              <w:rPr>
                <w:szCs w:val="21"/>
              </w:rPr>
              <w:t>P=50%</w:t>
            </w:r>
          </w:p>
        </w:tc>
        <w:tc>
          <w:tcPr>
            <w:tcW w:w="1134" w:type="dxa"/>
            <w:vAlign w:val="center"/>
          </w:tcPr>
          <w:p w14:paraId="0EFD00C0" w14:textId="77777777" w:rsidR="00054437" w:rsidRPr="000549B1" w:rsidRDefault="00000000">
            <w:pPr>
              <w:widowControl/>
              <w:autoSpaceDN w:val="0"/>
              <w:spacing w:line="360" w:lineRule="exact"/>
              <w:jc w:val="center"/>
              <w:rPr>
                <w:szCs w:val="21"/>
              </w:rPr>
            </w:pPr>
            <w:r w:rsidRPr="000549B1">
              <w:rPr>
                <w:szCs w:val="21"/>
              </w:rPr>
              <w:t>P=90%</w:t>
            </w:r>
          </w:p>
        </w:tc>
        <w:tc>
          <w:tcPr>
            <w:tcW w:w="992" w:type="dxa"/>
            <w:vMerge/>
            <w:vAlign w:val="center"/>
          </w:tcPr>
          <w:p w14:paraId="1B127DE0" w14:textId="77777777" w:rsidR="00054437" w:rsidRPr="000549B1" w:rsidRDefault="00054437">
            <w:pPr>
              <w:widowControl/>
              <w:spacing w:line="360" w:lineRule="exact"/>
              <w:jc w:val="center"/>
              <w:rPr>
                <w:szCs w:val="21"/>
              </w:rPr>
            </w:pPr>
          </w:p>
        </w:tc>
        <w:tc>
          <w:tcPr>
            <w:tcW w:w="932" w:type="dxa"/>
            <w:vAlign w:val="center"/>
          </w:tcPr>
          <w:p w14:paraId="2F73AFBA" w14:textId="77777777" w:rsidR="00054437" w:rsidRPr="000549B1" w:rsidRDefault="00000000">
            <w:pPr>
              <w:widowControl/>
              <w:autoSpaceDN w:val="0"/>
              <w:spacing w:line="360" w:lineRule="exact"/>
              <w:jc w:val="center"/>
              <w:rPr>
                <w:szCs w:val="21"/>
              </w:rPr>
            </w:pPr>
            <w:r w:rsidRPr="000549B1">
              <w:rPr>
                <w:szCs w:val="21"/>
              </w:rPr>
              <w:t>P=25%</w:t>
            </w:r>
          </w:p>
        </w:tc>
        <w:tc>
          <w:tcPr>
            <w:tcW w:w="911" w:type="dxa"/>
            <w:vAlign w:val="center"/>
          </w:tcPr>
          <w:p w14:paraId="042932A3" w14:textId="77777777" w:rsidR="00054437" w:rsidRPr="000549B1" w:rsidRDefault="00000000">
            <w:pPr>
              <w:widowControl/>
              <w:autoSpaceDN w:val="0"/>
              <w:spacing w:line="360" w:lineRule="exact"/>
              <w:jc w:val="center"/>
              <w:rPr>
                <w:szCs w:val="21"/>
              </w:rPr>
            </w:pPr>
            <w:r w:rsidRPr="000549B1">
              <w:rPr>
                <w:szCs w:val="21"/>
              </w:rPr>
              <w:t>P=50%</w:t>
            </w:r>
          </w:p>
        </w:tc>
        <w:tc>
          <w:tcPr>
            <w:tcW w:w="938" w:type="dxa"/>
            <w:vAlign w:val="center"/>
          </w:tcPr>
          <w:p w14:paraId="3B88564E" w14:textId="77777777" w:rsidR="00054437" w:rsidRPr="000549B1" w:rsidRDefault="00000000">
            <w:pPr>
              <w:widowControl/>
              <w:autoSpaceDN w:val="0"/>
              <w:spacing w:line="360" w:lineRule="exact"/>
              <w:jc w:val="center"/>
              <w:rPr>
                <w:szCs w:val="21"/>
              </w:rPr>
            </w:pPr>
            <w:r w:rsidRPr="000549B1">
              <w:rPr>
                <w:szCs w:val="21"/>
              </w:rPr>
              <w:t>P=90%</w:t>
            </w:r>
          </w:p>
        </w:tc>
        <w:tc>
          <w:tcPr>
            <w:tcW w:w="784" w:type="dxa"/>
            <w:vAlign w:val="center"/>
          </w:tcPr>
          <w:p w14:paraId="7863C5ED" w14:textId="77777777" w:rsidR="00054437" w:rsidRPr="000549B1" w:rsidRDefault="00000000">
            <w:pPr>
              <w:widowControl/>
              <w:autoSpaceDN w:val="0"/>
              <w:spacing w:line="360" w:lineRule="exact"/>
              <w:jc w:val="center"/>
              <w:rPr>
                <w:szCs w:val="21"/>
              </w:rPr>
            </w:pPr>
            <w:r w:rsidRPr="000549B1">
              <w:rPr>
                <w:szCs w:val="21"/>
              </w:rPr>
              <w:t>平均</w:t>
            </w:r>
          </w:p>
        </w:tc>
      </w:tr>
      <w:tr w:rsidR="000549B1" w:rsidRPr="000549B1" w14:paraId="532AE1BE" w14:textId="77777777">
        <w:trPr>
          <w:trHeight w:val="315"/>
          <w:jc w:val="center"/>
        </w:trPr>
        <w:tc>
          <w:tcPr>
            <w:tcW w:w="725" w:type="dxa"/>
            <w:vAlign w:val="center"/>
          </w:tcPr>
          <w:p w14:paraId="5548887C" w14:textId="77777777" w:rsidR="00054437" w:rsidRPr="000549B1" w:rsidRDefault="00000000">
            <w:pPr>
              <w:widowControl/>
              <w:autoSpaceDN w:val="0"/>
              <w:spacing w:line="360" w:lineRule="exact"/>
              <w:jc w:val="center"/>
              <w:rPr>
                <w:szCs w:val="21"/>
              </w:rPr>
            </w:pPr>
            <w:r w:rsidRPr="000549B1">
              <w:rPr>
                <w:szCs w:val="21"/>
              </w:rPr>
              <w:t>3</w:t>
            </w:r>
            <w:r w:rsidRPr="000549B1">
              <w:rPr>
                <w:szCs w:val="21"/>
              </w:rPr>
              <w:t>月</w:t>
            </w:r>
          </w:p>
        </w:tc>
        <w:tc>
          <w:tcPr>
            <w:tcW w:w="1419" w:type="dxa"/>
            <w:vAlign w:val="center"/>
          </w:tcPr>
          <w:p w14:paraId="5AA8E665" w14:textId="77777777" w:rsidR="00054437" w:rsidRPr="000549B1" w:rsidRDefault="00000000">
            <w:pPr>
              <w:widowControl/>
              <w:autoSpaceDN w:val="0"/>
              <w:spacing w:line="360" w:lineRule="exact"/>
              <w:jc w:val="center"/>
              <w:rPr>
                <w:szCs w:val="21"/>
              </w:rPr>
            </w:pPr>
            <w:r w:rsidRPr="000549B1">
              <w:rPr>
                <w:szCs w:val="21"/>
              </w:rPr>
              <w:t>0.72</w:t>
            </w:r>
          </w:p>
        </w:tc>
        <w:tc>
          <w:tcPr>
            <w:tcW w:w="1135" w:type="dxa"/>
            <w:vAlign w:val="center"/>
          </w:tcPr>
          <w:p w14:paraId="1C9B995E" w14:textId="77777777" w:rsidR="00054437" w:rsidRPr="000549B1" w:rsidRDefault="00000000">
            <w:pPr>
              <w:widowControl/>
              <w:autoSpaceDN w:val="0"/>
              <w:spacing w:line="360" w:lineRule="exact"/>
              <w:jc w:val="center"/>
              <w:rPr>
                <w:szCs w:val="21"/>
              </w:rPr>
            </w:pPr>
            <w:r w:rsidRPr="000549B1">
              <w:rPr>
                <w:szCs w:val="21"/>
              </w:rPr>
              <w:t>0.18</w:t>
            </w:r>
          </w:p>
        </w:tc>
        <w:tc>
          <w:tcPr>
            <w:tcW w:w="1134" w:type="dxa"/>
            <w:vAlign w:val="center"/>
          </w:tcPr>
          <w:p w14:paraId="18577B79" w14:textId="77777777" w:rsidR="00054437" w:rsidRPr="000549B1" w:rsidRDefault="00000000">
            <w:pPr>
              <w:widowControl/>
              <w:autoSpaceDN w:val="0"/>
              <w:spacing w:line="360" w:lineRule="exact"/>
              <w:jc w:val="center"/>
              <w:rPr>
                <w:szCs w:val="21"/>
              </w:rPr>
            </w:pPr>
            <w:r w:rsidRPr="000549B1">
              <w:rPr>
                <w:szCs w:val="21"/>
              </w:rPr>
              <w:t>0.16</w:t>
            </w:r>
          </w:p>
        </w:tc>
        <w:tc>
          <w:tcPr>
            <w:tcW w:w="992" w:type="dxa"/>
            <w:vAlign w:val="center"/>
          </w:tcPr>
          <w:p w14:paraId="6F28A001" w14:textId="77777777" w:rsidR="00054437" w:rsidRPr="000549B1" w:rsidRDefault="00000000">
            <w:pPr>
              <w:widowControl/>
              <w:autoSpaceDN w:val="0"/>
              <w:spacing w:line="360" w:lineRule="exact"/>
              <w:jc w:val="center"/>
              <w:rPr>
                <w:szCs w:val="21"/>
              </w:rPr>
            </w:pPr>
            <w:r w:rsidRPr="000549B1">
              <w:rPr>
                <w:szCs w:val="21"/>
              </w:rPr>
              <w:t>0.13</w:t>
            </w:r>
          </w:p>
        </w:tc>
        <w:tc>
          <w:tcPr>
            <w:tcW w:w="932" w:type="dxa"/>
            <w:vAlign w:val="center"/>
          </w:tcPr>
          <w:p w14:paraId="048F3868" w14:textId="77777777" w:rsidR="00054437" w:rsidRPr="000549B1" w:rsidRDefault="00000000">
            <w:pPr>
              <w:widowControl/>
              <w:autoSpaceDN w:val="0"/>
              <w:spacing w:line="360" w:lineRule="exact"/>
              <w:jc w:val="center"/>
              <w:rPr>
                <w:szCs w:val="21"/>
              </w:rPr>
            </w:pPr>
            <w:r w:rsidRPr="000549B1">
              <w:rPr>
                <w:szCs w:val="21"/>
              </w:rPr>
              <w:t>0.59</w:t>
            </w:r>
          </w:p>
        </w:tc>
        <w:tc>
          <w:tcPr>
            <w:tcW w:w="911" w:type="dxa"/>
            <w:vAlign w:val="center"/>
          </w:tcPr>
          <w:p w14:paraId="0573B2F2" w14:textId="77777777" w:rsidR="00054437" w:rsidRPr="000549B1" w:rsidRDefault="00000000">
            <w:pPr>
              <w:widowControl/>
              <w:autoSpaceDN w:val="0"/>
              <w:spacing w:line="360" w:lineRule="exact"/>
              <w:jc w:val="center"/>
              <w:rPr>
                <w:szCs w:val="21"/>
              </w:rPr>
            </w:pPr>
            <w:r w:rsidRPr="000549B1">
              <w:rPr>
                <w:szCs w:val="21"/>
              </w:rPr>
              <w:t>0.05</w:t>
            </w:r>
          </w:p>
        </w:tc>
        <w:tc>
          <w:tcPr>
            <w:tcW w:w="938" w:type="dxa"/>
            <w:vAlign w:val="center"/>
          </w:tcPr>
          <w:p w14:paraId="42A49421" w14:textId="77777777" w:rsidR="00054437" w:rsidRPr="000549B1" w:rsidRDefault="00000000">
            <w:pPr>
              <w:widowControl/>
              <w:autoSpaceDN w:val="0"/>
              <w:spacing w:line="360" w:lineRule="exact"/>
              <w:jc w:val="center"/>
              <w:rPr>
                <w:szCs w:val="21"/>
              </w:rPr>
            </w:pPr>
            <w:r w:rsidRPr="000549B1">
              <w:rPr>
                <w:szCs w:val="21"/>
              </w:rPr>
              <w:t>0.03</w:t>
            </w:r>
          </w:p>
        </w:tc>
        <w:tc>
          <w:tcPr>
            <w:tcW w:w="784" w:type="dxa"/>
            <w:vAlign w:val="center"/>
          </w:tcPr>
          <w:p w14:paraId="3ED381E4" w14:textId="77777777" w:rsidR="00054437" w:rsidRPr="000549B1" w:rsidRDefault="00000000">
            <w:pPr>
              <w:widowControl/>
              <w:autoSpaceDN w:val="0"/>
              <w:spacing w:line="360" w:lineRule="exact"/>
              <w:jc w:val="center"/>
              <w:rPr>
                <w:szCs w:val="21"/>
              </w:rPr>
            </w:pPr>
            <w:r w:rsidRPr="000549B1">
              <w:rPr>
                <w:szCs w:val="21"/>
              </w:rPr>
              <w:t>0.22</w:t>
            </w:r>
          </w:p>
        </w:tc>
      </w:tr>
      <w:tr w:rsidR="000549B1" w:rsidRPr="000549B1" w14:paraId="52A5870A" w14:textId="77777777">
        <w:trPr>
          <w:trHeight w:val="315"/>
          <w:jc w:val="center"/>
        </w:trPr>
        <w:tc>
          <w:tcPr>
            <w:tcW w:w="725" w:type="dxa"/>
            <w:vAlign w:val="center"/>
          </w:tcPr>
          <w:p w14:paraId="2F230EAA" w14:textId="77777777" w:rsidR="00054437" w:rsidRPr="000549B1" w:rsidRDefault="00000000">
            <w:pPr>
              <w:widowControl/>
              <w:autoSpaceDN w:val="0"/>
              <w:spacing w:line="360" w:lineRule="exact"/>
              <w:jc w:val="center"/>
              <w:rPr>
                <w:szCs w:val="21"/>
              </w:rPr>
            </w:pPr>
            <w:r w:rsidRPr="000549B1">
              <w:rPr>
                <w:szCs w:val="21"/>
              </w:rPr>
              <w:t>4</w:t>
            </w:r>
            <w:r w:rsidRPr="000549B1">
              <w:rPr>
                <w:szCs w:val="21"/>
              </w:rPr>
              <w:t>月</w:t>
            </w:r>
          </w:p>
        </w:tc>
        <w:tc>
          <w:tcPr>
            <w:tcW w:w="1419" w:type="dxa"/>
            <w:vAlign w:val="center"/>
          </w:tcPr>
          <w:p w14:paraId="6EF66506" w14:textId="77777777" w:rsidR="00054437" w:rsidRPr="000549B1" w:rsidRDefault="00000000">
            <w:pPr>
              <w:widowControl/>
              <w:autoSpaceDN w:val="0"/>
              <w:spacing w:line="360" w:lineRule="exact"/>
              <w:jc w:val="center"/>
              <w:rPr>
                <w:szCs w:val="21"/>
              </w:rPr>
            </w:pPr>
            <w:r w:rsidRPr="000549B1">
              <w:rPr>
                <w:szCs w:val="21"/>
              </w:rPr>
              <w:t>2.15</w:t>
            </w:r>
          </w:p>
        </w:tc>
        <w:tc>
          <w:tcPr>
            <w:tcW w:w="1135" w:type="dxa"/>
            <w:vAlign w:val="center"/>
          </w:tcPr>
          <w:p w14:paraId="7D8E8C24" w14:textId="77777777" w:rsidR="00054437" w:rsidRPr="000549B1" w:rsidRDefault="00000000">
            <w:pPr>
              <w:widowControl/>
              <w:autoSpaceDN w:val="0"/>
              <w:spacing w:line="360" w:lineRule="exact"/>
              <w:jc w:val="center"/>
              <w:rPr>
                <w:szCs w:val="21"/>
              </w:rPr>
            </w:pPr>
            <w:r w:rsidRPr="000549B1">
              <w:rPr>
                <w:szCs w:val="21"/>
              </w:rPr>
              <w:t>1.77</w:t>
            </w:r>
          </w:p>
        </w:tc>
        <w:tc>
          <w:tcPr>
            <w:tcW w:w="1134" w:type="dxa"/>
            <w:vAlign w:val="center"/>
          </w:tcPr>
          <w:p w14:paraId="60A32FBF" w14:textId="77777777" w:rsidR="00054437" w:rsidRPr="000549B1" w:rsidRDefault="00000000">
            <w:pPr>
              <w:widowControl/>
              <w:autoSpaceDN w:val="0"/>
              <w:spacing w:line="360" w:lineRule="exact"/>
              <w:jc w:val="center"/>
              <w:rPr>
                <w:szCs w:val="21"/>
              </w:rPr>
            </w:pPr>
            <w:r w:rsidRPr="000549B1">
              <w:rPr>
                <w:szCs w:val="21"/>
              </w:rPr>
              <w:t>1.69</w:t>
            </w:r>
          </w:p>
        </w:tc>
        <w:tc>
          <w:tcPr>
            <w:tcW w:w="992" w:type="dxa"/>
            <w:vAlign w:val="center"/>
          </w:tcPr>
          <w:p w14:paraId="6F6B972A" w14:textId="77777777" w:rsidR="00054437" w:rsidRPr="000549B1" w:rsidRDefault="00000000">
            <w:pPr>
              <w:widowControl/>
              <w:autoSpaceDN w:val="0"/>
              <w:spacing w:line="360" w:lineRule="exact"/>
              <w:jc w:val="center"/>
              <w:rPr>
                <w:szCs w:val="21"/>
              </w:rPr>
            </w:pPr>
            <w:r w:rsidRPr="000549B1">
              <w:rPr>
                <w:szCs w:val="21"/>
              </w:rPr>
              <w:t>1.60</w:t>
            </w:r>
          </w:p>
        </w:tc>
        <w:tc>
          <w:tcPr>
            <w:tcW w:w="932" w:type="dxa"/>
            <w:vAlign w:val="center"/>
          </w:tcPr>
          <w:p w14:paraId="0D930BDD" w14:textId="77777777" w:rsidR="00054437" w:rsidRPr="000549B1" w:rsidRDefault="00000000">
            <w:pPr>
              <w:widowControl/>
              <w:autoSpaceDN w:val="0"/>
              <w:spacing w:line="360" w:lineRule="exact"/>
              <w:jc w:val="center"/>
              <w:rPr>
                <w:szCs w:val="21"/>
              </w:rPr>
            </w:pPr>
            <w:r w:rsidRPr="000549B1">
              <w:rPr>
                <w:szCs w:val="21"/>
              </w:rPr>
              <w:t>0.55</w:t>
            </w:r>
          </w:p>
        </w:tc>
        <w:tc>
          <w:tcPr>
            <w:tcW w:w="911" w:type="dxa"/>
            <w:vAlign w:val="center"/>
          </w:tcPr>
          <w:p w14:paraId="5D3ADC73" w14:textId="77777777" w:rsidR="00054437" w:rsidRPr="000549B1" w:rsidRDefault="00000000">
            <w:pPr>
              <w:widowControl/>
              <w:autoSpaceDN w:val="0"/>
              <w:spacing w:line="360" w:lineRule="exact"/>
              <w:jc w:val="center"/>
              <w:rPr>
                <w:szCs w:val="21"/>
              </w:rPr>
            </w:pPr>
            <w:r w:rsidRPr="000549B1">
              <w:rPr>
                <w:szCs w:val="21"/>
              </w:rPr>
              <w:t>0.17</w:t>
            </w:r>
          </w:p>
        </w:tc>
        <w:tc>
          <w:tcPr>
            <w:tcW w:w="938" w:type="dxa"/>
            <w:vAlign w:val="center"/>
          </w:tcPr>
          <w:p w14:paraId="36280656" w14:textId="77777777" w:rsidR="00054437" w:rsidRPr="000549B1" w:rsidRDefault="00000000">
            <w:pPr>
              <w:widowControl/>
              <w:autoSpaceDN w:val="0"/>
              <w:spacing w:line="360" w:lineRule="exact"/>
              <w:jc w:val="center"/>
              <w:rPr>
                <w:szCs w:val="21"/>
              </w:rPr>
            </w:pPr>
            <w:r w:rsidRPr="000549B1">
              <w:rPr>
                <w:szCs w:val="21"/>
              </w:rPr>
              <w:t>0.09</w:t>
            </w:r>
          </w:p>
        </w:tc>
        <w:tc>
          <w:tcPr>
            <w:tcW w:w="784" w:type="dxa"/>
            <w:vAlign w:val="center"/>
          </w:tcPr>
          <w:p w14:paraId="3887F3EC" w14:textId="77777777" w:rsidR="00054437" w:rsidRPr="000549B1" w:rsidRDefault="00000000">
            <w:pPr>
              <w:widowControl/>
              <w:autoSpaceDN w:val="0"/>
              <w:spacing w:line="360" w:lineRule="exact"/>
              <w:jc w:val="center"/>
              <w:rPr>
                <w:szCs w:val="21"/>
              </w:rPr>
            </w:pPr>
            <w:r w:rsidRPr="000549B1">
              <w:rPr>
                <w:szCs w:val="21"/>
              </w:rPr>
              <w:t>0.27</w:t>
            </w:r>
          </w:p>
        </w:tc>
      </w:tr>
      <w:tr w:rsidR="000549B1" w:rsidRPr="000549B1" w14:paraId="4B1E98A5" w14:textId="77777777">
        <w:trPr>
          <w:trHeight w:val="315"/>
          <w:jc w:val="center"/>
        </w:trPr>
        <w:tc>
          <w:tcPr>
            <w:tcW w:w="725" w:type="dxa"/>
            <w:vAlign w:val="center"/>
          </w:tcPr>
          <w:p w14:paraId="333A7076" w14:textId="77777777" w:rsidR="00054437" w:rsidRPr="000549B1" w:rsidRDefault="00000000">
            <w:pPr>
              <w:widowControl/>
              <w:autoSpaceDN w:val="0"/>
              <w:spacing w:line="360" w:lineRule="exact"/>
              <w:jc w:val="center"/>
              <w:rPr>
                <w:szCs w:val="21"/>
              </w:rPr>
            </w:pPr>
            <w:r w:rsidRPr="000549B1">
              <w:rPr>
                <w:szCs w:val="21"/>
              </w:rPr>
              <w:t>5</w:t>
            </w:r>
            <w:r w:rsidRPr="000549B1">
              <w:rPr>
                <w:szCs w:val="21"/>
              </w:rPr>
              <w:t>月</w:t>
            </w:r>
          </w:p>
        </w:tc>
        <w:tc>
          <w:tcPr>
            <w:tcW w:w="1419" w:type="dxa"/>
            <w:vAlign w:val="center"/>
          </w:tcPr>
          <w:p w14:paraId="63F932EF" w14:textId="77777777" w:rsidR="00054437" w:rsidRPr="000549B1" w:rsidRDefault="00000000">
            <w:pPr>
              <w:widowControl/>
              <w:autoSpaceDN w:val="0"/>
              <w:spacing w:line="360" w:lineRule="exact"/>
              <w:jc w:val="center"/>
              <w:rPr>
                <w:szCs w:val="21"/>
              </w:rPr>
            </w:pPr>
            <w:r w:rsidRPr="000549B1">
              <w:rPr>
                <w:szCs w:val="21"/>
              </w:rPr>
              <w:t>3.90</w:t>
            </w:r>
          </w:p>
        </w:tc>
        <w:tc>
          <w:tcPr>
            <w:tcW w:w="1135" w:type="dxa"/>
            <w:vAlign w:val="center"/>
          </w:tcPr>
          <w:p w14:paraId="6A23F362" w14:textId="77777777" w:rsidR="00054437" w:rsidRPr="000549B1" w:rsidRDefault="00000000">
            <w:pPr>
              <w:widowControl/>
              <w:autoSpaceDN w:val="0"/>
              <w:spacing w:line="360" w:lineRule="exact"/>
              <w:jc w:val="center"/>
              <w:rPr>
                <w:szCs w:val="21"/>
              </w:rPr>
            </w:pPr>
            <w:r w:rsidRPr="000549B1">
              <w:rPr>
                <w:szCs w:val="21"/>
              </w:rPr>
              <w:t>3.91</w:t>
            </w:r>
          </w:p>
        </w:tc>
        <w:tc>
          <w:tcPr>
            <w:tcW w:w="1134" w:type="dxa"/>
            <w:vAlign w:val="center"/>
          </w:tcPr>
          <w:p w14:paraId="003CDA69" w14:textId="77777777" w:rsidR="00054437" w:rsidRPr="000549B1" w:rsidRDefault="00000000">
            <w:pPr>
              <w:widowControl/>
              <w:autoSpaceDN w:val="0"/>
              <w:spacing w:line="360" w:lineRule="exact"/>
              <w:jc w:val="center"/>
              <w:rPr>
                <w:szCs w:val="21"/>
              </w:rPr>
            </w:pPr>
            <w:r w:rsidRPr="000549B1">
              <w:rPr>
                <w:szCs w:val="21"/>
              </w:rPr>
              <w:t>3.92</w:t>
            </w:r>
          </w:p>
        </w:tc>
        <w:tc>
          <w:tcPr>
            <w:tcW w:w="992" w:type="dxa"/>
            <w:vAlign w:val="center"/>
          </w:tcPr>
          <w:p w14:paraId="39939F86" w14:textId="77777777" w:rsidR="00054437" w:rsidRPr="000549B1" w:rsidRDefault="00000000">
            <w:pPr>
              <w:widowControl/>
              <w:autoSpaceDN w:val="0"/>
              <w:spacing w:line="360" w:lineRule="exact"/>
              <w:jc w:val="center"/>
              <w:rPr>
                <w:szCs w:val="21"/>
              </w:rPr>
            </w:pPr>
            <w:r w:rsidRPr="000549B1">
              <w:rPr>
                <w:szCs w:val="21"/>
              </w:rPr>
              <w:t>3.90</w:t>
            </w:r>
          </w:p>
        </w:tc>
        <w:tc>
          <w:tcPr>
            <w:tcW w:w="932" w:type="dxa"/>
            <w:vAlign w:val="center"/>
          </w:tcPr>
          <w:p w14:paraId="6F5BA60E" w14:textId="77777777" w:rsidR="00054437" w:rsidRPr="000549B1" w:rsidRDefault="00000000">
            <w:pPr>
              <w:widowControl/>
              <w:autoSpaceDN w:val="0"/>
              <w:spacing w:line="360" w:lineRule="exact"/>
              <w:jc w:val="center"/>
              <w:rPr>
                <w:szCs w:val="21"/>
              </w:rPr>
            </w:pPr>
            <w:r w:rsidRPr="000549B1">
              <w:rPr>
                <w:szCs w:val="21"/>
              </w:rPr>
              <w:t>0</w:t>
            </w:r>
          </w:p>
        </w:tc>
        <w:tc>
          <w:tcPr>
            <w:tcW w:w="911" w:type="dxa"/>
            <w:vAlign w:val="center"/>
          </w:tcPr>
          <w:p w14:paraId="29FE4F2A" w14:textId="77777777" w:rsidR="00054437" w:rsidRPr="000549B1" w:rsidRDefault="00000000">
            <w:pPr>
              <w:widowControl/>
              <w:autoSpaceDN w:val="0"/>
              <w:spacing w:line="360" w:lineRule="exact"/>
              <w:jc w:val="center"/>
              <w:rPr>
                <w:szCs w:val="21"/>
              </w:rPr>
            </w:pPr>
            <w:r w:rsidRPr="000549B1">
              <w:rPr>
                <w:szCs w:val="21"/>
              </w:rPr>
              <w:t>0.01</w:t>
            </w:r>
          </w:p>
        </w:tc>
        <w:tc>
          <w:tcPr>
            <w:tcW w:w="938" w:type="dxa"/>
            <w:vAlign w:val="center"/>
          </w:tcPr>
          <w:p w14:paraId="1C2FBD46" w14:textId="77777777" w:rsidR="00054437" w:rsidRPr="000549B1" w:rsidRDefault="00000000">
            <w:pPr>
              <w:widowControl/>
              <w:autoSpaceDN w:val="0"/>
              <w:spacing w:line="360" w:lineRule="exact"/>
              <w:jc w:val="center"/>
              <w:rPr>
                <w:szCs w:val="21"/>
              </w:rPr>
            </w:pPr>
            <w:r w:rsidRPr="000549B1">
              <w:rPr>
                <w:szCs w:val="21"/>
              </w:rPr>
              <w:t>0.02</w:t>
            </w:r>
          </w:p>
        </w:tc>
        <w:tc>
          <w:tcPr>
            <w:tcW w:w="784" w:type="dxa"/>
            <w:vAlign w:val="center"/>
          </w:tcPr>
          <w:p w14:paraId="6E7CF70D" w14:textId="77777777" w:rsidR="00054437" w:rsidRPr="000549B1" w:rsidRDefault="00000000">
            <w:pPr>
              <w:widowControl/>
              <w:autoSpaceDN w:val="0"/>
              <w:spacing w:line="360" w:lineRule="exact"/>
              <w:jc w:val="center"/>
              <w:rPr>
                <w:szCs w:val="21"/>
              </w:rPr>
            </w:pPr>
            <w:r w:rsidRPr="000549B1">
              <w:rPr>
                <w:szCs w:val="21"/>
              </w:rPr>
              <w:t>0.01</w:t>
            </w:r>
          </w:p>
        </w:tc>
      </w:tr>
      <w:tr w:rsidR="000549B1" w:rsidRPr="000549B1" w14:paraId="2E2DB83B" w14:textId="77777777">
        <w:trPr>
          <w:trHeight w:val="315"/>
          <w:jc w:val="center"/>
        </w:trPr>
        <w:tc>
          <w:tcPr>
            <w:tcW w:w="725" w:type="dxa"/>
            <w:vAlign w:val="center"/>
          </w:tcPr>
          <w:p w14:paraId="6FD2D392" w14:textId="77777777" w:rsidR="00054437" w:rsidRPr="000549B1" w:rsidRDefault="00000000">
            <w:pPr>
              <w:widowControl/>
              <w:autoSpaceDN w:val="0"/>
              <w:spacing w:line="360" w:lineRule="exact"/>
              <w:jc w:val="center"/>
              <w:rPr>
                <w:szCs w:val="21"/>
              </w:rPr>
            </w:pPr>
            <w:r w:rsidRPr="000549B1">
              <w:rPr>
                <w:szCs w:val="21"/>
              </w:rPr>
              <w:t>6</w:t>
            </w:r>
            <w:r w:rsidRPr="000549B1">
              <w:rPr>
                <w:szCs w:val="21"/>
              </w:rPr>
              <w:t>月</w:t>
            </w:r>
          </w:p>
        </w:tc>
        <w:tc>
          <w:tcPr>
            <w:tcW w:w="1419" w:type="dxa"/>
            <w:vAlign w:val="center"/>
          </w:tcPr>
          <w:p w14:paraId="060B7BE2" w14:textId="77777777" w:rsidR="00054437" w:rsidRPr="000549B1" w:rsidRDefault="00000000">
            <w:pPr>
              <w:widowControl/>
              <w:autoSpaceDN w:val="0"/>
              <w:spacing w:line="360" w:lineRule="exact"/>
              <w:jc w:val="center"/>
              <w:rPr>
                <w:szCs w:val="21"/>
              </w:rPr>
            </w:pPr>
            <w:r w:rsidRPr="000549B1">
              <w:rPr>
                <w:szCs w:val="21"/>
              </w:rPr>
              <w:t>6.17</w:t>
            </w:r>
          </w:p>
        </w:tc>
        <w:tc>
          <w:tcPr>
            <w:tcW w:w="1135" w:type="dxa"/>
            <w:vAlign w:val="center"/>
          </w:tcPr>
          <w:p w14:paraId="019C39B0" w14:textId="77777777" w:rsidR="00054437" w:rsidRPr="000549B1" w:rsidRDefault="00000000">
            <w:pPr>
              <w:widowControl/>
              <w:autoSpaceDN w:val="0"/>
              <w:spacing w:line="360" w:lineRule="exact"/>
              <w:jc w:val="center"/>
              <w:rPr>
                <w:szCs w:val="21"/>
              </w:rPr>
            </w:pPr>
            <w:r w:rsidRPr="000549B1">
              <w:rPr>
                <w:szCs w:val="21"/>
              </w:rPr>
              <w:t>5.99</w:t>
            </w:r>
          </w:p>
        </w:tc>
        <w:tc>
          <w:tcPr>
            <w:tcW w:w="1134" w:type="dxa"/>
            <w:vAlign w:val="center"/>
          </w:tcPr>
          <w:p w14:paraId="615DCB55" w14:textId="77777777" w:rsidR="00054437" w:rsidRPr="000549B1" w:rsidRDefault="00000000">
            <w:pPr>
              <w:widowControl/>
              <w:autoSpaceDN w:val="0"/>
              <w:spacing w:line="360" w:lineRule="exact"/>
              <w:jc w:val="center"/>
              <w:rPr>
                <w:szCs w:val="21"/>
              </w:rPr>
            </w:pPr>
            <w:r w:rsidRPr="000549B1">
              <w:rPr>
                <w:szCs w:val="21"/>
              </w:rPr>
              <w:t>6.01</w:t>
            </w:r>
          </w:p>
        </w:tc>
        <w:tc>
          <w:tcPr>
            <w:tcW w:w="992" w:type="dxa"/>
            <w:vAlign w:val="center"/>
          </w:tcPr>
          <w:p w14:paraId="664E7723" w14:textId="77777777" w:rsidR="00054437" w:rsidRPr="000549B1" w:rsidRDefault="00000000">
            <w:pPr>
              <w:widowControl/>
              <w:autoSpaceDN w:val="0"/>
              <w:spacing w:line="360" w:lineRule="exact"/>
              <w:jc w:val="center"/>
              <w:rPr>
                <w:szCs w:val="21"/>
              </w:rPr>
            </w:pPr>
            <w:r w:rsidRPr="000549B1">
              <w:rPr>
                <w:szCs w:val="21"/>
              </w:rPr>
              <w:t>7.80</w:t>
            </w:r>
          </w:p>
        </w:tc>
        <w:tc>
          <w:tcPr>
            <w:tcW w:w="932" w:type="dxa"/>
            <w:vAlign w:val="center"/>
          </w:tcPr>
          <w:p w14:paraId="6B3D574C" w14:textId="77777777" w:rsidR="00054437" w:rsidRPr="000549B1" w:rsidRDefault="00000000">
            <w:pPr>
              <w:widowControl/>
              <w:autoSpaceDN w:val="0"/>
              <w:spacing w:line="360" w:lineRule="exact"/>
              <w:jc w:val="center"/>
              <w:rPr>
                <w:szCs w:val="21"/>
              </w:rPr>
            </w:pPr>
            <w:r w:rsidRPr="000549B1">
              <w:rPr>
                <w:szCs w:val="21"/>
              </w:rPr>
              <w:t>-1.63</w:t>
            </w:r>
          </w:p>
        </w:tc>
        <w:tc>
          <w:tcPr>
            <w:tcW w:w="911" w:type="dxa"/>
            <w:vAlign w:val="center"/>
          </w:tcPr>
          <w:p w14:paraId="2B4AF9CB" w14:textId="77777777" w:rsidR="00054437" w:rsidRPr="000549B1" w:rsidRDefault="00000000">
            <w:pPr>
              <w:widowControl/>
              <w:autoSpaceDN w:val="0"/>
              <w:spacing w:line="360" w:lineRule="exact"/>
              <w:jc w:val="center"/>
              <w:rPr>
                <w:szCs w:val="21"/>
              </w:rPr>
            </w:pPr>
            <w:r w:rsidRPr="000549B1">
              <w:rPr>
                <w:szCs w:val="21"/>
              </w:rPr>
              <w:t>-1.81</w:t>
            </w:r>
          </w:p>
        </w:tc>
        <w:tc>
          <w:tcPr>
            <w:tcW w:w="938" w:type="dxa"/>
            <w:vAlign w:val="center"/>
          </w:tcPr>
          <w:p w14:paraId="765DABE5" w14:textId="77777777" w:rsidR="00054437" w:rsidRPr="000549B1" w:rsidRDefault="00000000">
            <w:pPr>
              <w:widowControl/>
              <w:autoSpaceDN w:val="0"/>
              <w:spacing w:line="360" w:lineRule="exact"/>
              <w:jc w:val="center"/>
              <w:rPr>
                <w:szCs w:val="21"/>
              </w:rPr>
            </w:pPr>
            <w:r w:rsidRPr="000549B1">
              <w:rPr>
                <w:szCs w:val="21"/>
              </w:rPr>
              <w:t>-1.79</w:t>
            </w:r>
          </w:p>
        </w:tc>
        <w:tc>
          <w:tcPr>
            <w:tcW w:w="784" w:type="dxa"/>
            <w:vAlign w:val="center"/>
          </w:tcPr>
          <w:p w14:paraId="02987784" w14:textId="77777777" w:rsidR="00054437" w:rsidRPr="000549B1" w:rsidRDefault="00000000">
            <w:pPr>
              <w:widowControl/>
              <w:autoSpaceDN w:val="0"/>
              <w:spacing w:line="360" w:lineRule="exact"/>
              <w:jc w:val="center"/>
              <w:rPr>
                <w:szCs w:val="21"/>
              </w:rPr>
            </w:pPr>
            <w:r w:rsidRPr="000549B1">
              <w:rPr>
                <w:szCs w:val="21"/>
              </w:rPr>
              <w:t>-1.74</w:t>
            </w:r>
          </w:p>
        </w:tc>
      </w:tr>
      <w:tr w:rsidR="000549B1" w:rsidRPr="000549B1" w14:paraId="042D1410" w14:textId="77777777">
        <w:trPr>
          <w:trHeight w:val="315"/>
          <w:jc w:val="center"/>
        </w:trPr>
        <w:tc>
          <w:tcPr>
            <w:tcW w:w="725" w:type="dxa"/>
            <w:vAlign w:val="center"/>
          </w:tcPr>
          <w:p w14:paraId="2B016888" w14:textId="77777777" w:rsidR="00054437" w:rsidRPr="000549B1" w:rsidRDefault="00000000">
            <w:pPr>
              <w:widowControl/>
              <w:autoSpaceDN w:val="0"/>
              <w:spacing w:line="360" w:lineRule="exact"/>
              <w:jc w:val="center"/>
              <w:rPr>
                <w:szCs w:val="21"/>
              </w:rPr>
            </w:pPr>
            <w:r w:rsidRPr="000549B1">
              <w:rPr>
                <w:szCs w:val="21"/>
              </w:rPr>
              <w:t>7</w:t>
            </w:r>
            <w:r w:rsidRPr="000549B1">
              <w:rPr>
                <w:szCs w:val="21"/>
              </w:rPr>
              <w:t>月</w:t>
            </w:r>
          </w:p>
        </w:tc>
        <w:tc>
          <w:tcPr>
            <w:tcW w:w="1419" w:type="dxa"/>
            <w:vAlign w:val="center"/>
          </w:tcPr>
          <w:p w14:paraId="7014039E" w14:textId="77777777" w:rsidR="00054437" w:rsidRPr="000549B1" w:rsidRDefault="00000000">
            <w:pPr>
              <w:widowControl/>
              <w:autoSpaceDN w:val="0"/>
              <w:spacing w:line="360" w:lineRule="exact"/>
              <w:jc w:val="center"/>
              <w:rPr>
                <w:szCs w:val="21"/>
              </w:rPr>
            </w:pPr>
            <w:r w:rsidRPr="000549B1">
              <w:rPr>
                <w:szCs w:val="21"/>
              </w:rPr>
              <w:t>7.22</w:t>
            </w:r>
          </w:p>
        </w:tc>
        <w:tc>
          <w:tcPr>
            <w:tcW w:w="1135" w:type="dxa"/>
            <w:vAlign w:val="center"/>
          </w:tcPr>
          <w:p w14:paraId="4ADBB8E9" w14:textId="77777777" w:rsidR="00054437" w:rsidRPr="000549B1" w:rsidRDefault="00000000">
            <w:pPr>
              <w:widowControl/>
              <w:autoSpaceDN w:val="0"/>
              <w:spacing w:line="360" w:lineRule="exact"/>
              <w:jc w:val="center"/>
              <w:rPr>
                <w:szCs w:val="21"/>
              </w:rPr>
            </w:pPr>
            <w:r w:rsidRPr="000549B1">
              <w:rPr>
                <w:szCs w:val="21"/>
              </w:rPr>
              <w:t>7.28</w:t>
            </w:r>
          </w:p>
        </w:tc>
        <w:tc>
          <w:tcPr>
            <w:tcW w:w="1134" w:type="dxa"/>
            <w:vAlign w:val="center"/>
          </w:tcPr>
          <w:p w14:paraId="6A51ADDD" w14:textId="77777777" w:rsidR="00054437" w:rsidRPr="000549B1" w:rsidRDefault="00000000">
            <w:pPr>
              <w:widowControl/>
              <w:autoSpaceDN w:val="0"/>
              <w:spacing w:line="360" w:lineRule="exact"/>
              <w:jc w:val="center"/>
              <w:rPr>
                <w:szCs w:val="21"/>
              </w:rPr>
            </w:pPr>
            <w:r w:rsidRPr="000549B1">
              <w:rPr>
                <w:szCs w:val="21"/>
              </w:rPr>
              <w:t>7.32</w:t>
            </w:r>
          </w:p>
        </w:tc>
        <w:tc>
          <w:tcPr>
            <w:tcW w:w="992" w:type="dxa"/>
            <w:vAlign w:val="center"/>
          </w:tcPr>
          <w:p w14:paraId="5A87F4B7" w14:textId="77777777" w:rsidR="00054437" w:rsidRPr="000549B1" w:rsidRDefault="00000000">
            <w:pPr>
              <w:widowControl/>
              <w:autoSpaceDN w:val="0"/>
              <w:spacing w:line="360" w:lineRule="exact"/>
              <w:jc w:val="center"/>
              <w:rPr>
                <w:szCs w:val="21"/>
              </w:rPr>
            </w:pPr>
            <w:r w:rsidRPr="000549B1">
              <w:rPr>
                <w:szCs w:val="21"/>
              </w:rPr>
              <w:t>10.20</w:t>
            </w:r>
          </w:p>
        </w:tc>
        <w:tc>
          <w:tcPr>
            <w:tcW w:w="932" w:type="dxa"/>
            <w:vAlign w:val="center"/>
          </w:tcPr>
          <w:p w14:paraId="2CC3ECDE" w14:textId="77777777" w:rsidR="00054437" w:rsidRPr="000549B1" w:rsidRDefault="00000000">
            <w:pPr>
              <w:widowControl/>
              <w:autoSpaceDN w:val="0"/>
              <w:spacing w:line="360" w:lineRule="exact"/>
              <w:jc w:val="center"/>
              <w:rPr>
                <w:szCs w:val="21"/>
              </w:rPr>
            </w:pPr>
            <w:r w:rsidRPr="000549B1">
              <w:rPr>
                <w:szCs w:val="21"/>
              </w:rPr>
              <w:t>-2.98</w:t>
            </w:r>
          </w:p>
        </w:tc>
        <w:tc>
          <w:tcPr>
            <w:tcW w:w="911" w:type="dxa"/>
            <w:vAlign w:val="center"/>
          </w:tcPr>
          <w:p w14:paraId="7362D910" w14:textId="77777777" w:rsidR="00054437" w:rsidRPr="000549B1" w:rsidRDefault="00000000">
            <w:pPr>
              <w:widowControl/>
              <w:autoSpaceDN w:val="0"/>
              <w:spacing w:line="360" w:lineRule="exact"/>
              <w:jc w:val="center"/>
              <w:rPr>
                <w:szCs w:val="21"/>
              </w:rPr>
            </w:pPr>
            <w:r w:rsidRPr="000549B1">
              <w:rPr>
                <w:szCs w:val="21"/>
              </w:rPr>
              <w:t>-2.92</w:t>
            </w:r>
          </w:p>
        </w:tc>
        <w:tc>
          <w:tcPr>
            <w:tcW w:w="938" w:type="dxa"/>
            <w:vAlign w:val="center"/>
          </w:tcPr>
          <w:p w14:paraId="322E218A" w14:textId="77777777" w:rsidR="00054437" w:rsidRPr="000549B1" w:rsidRDefault="00000000">
            <w:pPr>
              <w:widowControl/>
              <w:autoSpaceDN w:val="0"/>
              <w:spacing w:line="360" w:lineRule="exact"/>
              <w:jc w:val="center"/>
              <w:rPr>
                <w:szCs w:val="21"/>
              </w:rPr>
            </w:pPr>
            <w:r w:rsidRPr="000549B1">
              <w:rPr>
                <w:szCs w:val="21"/>
              </w:rPr>
              <w:t>-2.88</w:t>
            </w:r>
          </w:p>
        </w:tc>
        <w:tc>
          <w:tcPr>
            <w:tcW w:w="784" w:type="dxa"/>
            <w:vAlign w:val="center"/>
          </w:tcPr>
          <w:p w14:paraId="2EC9862C" w14:textId="77777777" w:rsidR="00054437" w:rsidRPr="000549B1" w:rsidRDefault="00000000">
            <w:pPr>
              <w:widowControl/>
              <w:autoSpaceDN w:val="0"/>
              <w:spacing w:line="360" w:lineRule="exact"/>
              <w:jc w:val="center"/>
              <w:rPr>
                <w:szCs w:val="21"/>
              </w:rPr>
            </w:pPr>
            <w:r w:rsidRPr="000549B1">
              <w:rPr>
                <w:szCs w:val="21"/>
              </w:rPr>
              <w:t>-2.93</w:t>
            </w:r>
          </w:p>
        </w:tc>
      </w:tr>
      <w:tr w:rsidR="000549B1" w:rsidRPr="000549B1" w14:paraId="066B754F" w14:textId="77777777">
        <w:trPr>
          <w:trHeight w:val="315"/>
          <w:jc w:val="center"/>
        </w:trPr>
        <w:tc>
          <w:tcPr>
            <w:tcW w:w="725" w:type="dxa"/>
            <w:vAlign w:val="center"/>
          </w:tcPr>
          <w:p w14:paraId="506767A1" w14:textId="77777777" w:rsidR="00054437" w:rsidRPr="000549B1" w:rsidRDefault="00000000">
            <w:pPr>
              <w:widowControl/>
              <w:autoSpaceDN w:val="0"/>
              <w:spacing w:line="360" w:lineRule="exact"/>
              <w:jc w:val="center"/>
              <w:rPr>
                <w:szCs w:val="21"/>
              </w:rPr>
            </w:pPr>
            <w:r w:rsidRPr="000549B1">
              <w:rPr>
                <w:szCs w:val="21"/>
              </w:rPr>
              <w:t>8</w:t>
            </w:r>
            <w:r w:rsidRPr="000549B1">
              <w:rPr>
                <w:szCs w:val="21"/>
              </w:rPr>
              <w:t>月</w:t>
            </w:r>
          </w:p>
        </w:tc>
        <w:tc>
          <w:tcPr>
            <w:tcW w:w="1419" w:type="dxa"/>
            <w:vAlign w:val="center"/>
          </w:tcPr>
          <w:p w14:paraId="29FF5FB6" w14:textId="77777777" w:rsidR="00054437" w:rsidRPr="000549B1" w:rsidRDefault="00000000">
            <w:pPr>
              <w:widowControl/>
              <w:autoSpaceDN w:val="0"/>
              <w:spacing w:line="360" w:lineRule="exact"/>
              <w:jc w:val="center"/>
              <w:rPr>
                <w:szCs w:val="21"/>
              </w:rPr>
            </w:pPr>
            <w:r w:rsidRPr="000549B1">
              <w:rPr>
                <w:szCs w:val="21"/>
              </w:rPr>
              <w:t>7.08</w:t>
            </w:r>
          </w:p>
        </w:tc>
        <w:tc>
          <w:tcPr>
            <w:tcW w:w="1135" w:type="dxa"/>
            <w:vAlign w:val="center"/>
          </w:tcPr>
          <w:p w14:paraId="450782E3" w14:textId="77777777" w:rsidR="00054437" w:rsidRPr="000549B1" w:rsidRDefault="00000000">
            <w:pPr>
              <w:widowControl/>
              <w:autoSpaceDN w:val="0"/>
              <w:spacing w:line="360" w:lineRule="exact"/>
              <w:jc w:val="center"/>
              <w:rPr>
                <w:szCs w:val="21"/>
              </w:rPr>
            </w:pPr>
            <w:r w:rsidRPr="000549B1">
              <w:rPr>
                <w:szCs w:val="21"/>
              </w:rPr>
              <w:t>7.08</w:t>
            </w:r>
          </w:p>
        </w:tc>
        <w:tc>
          <w:tcPr>
            <w:tcW w:w="1134" w:type="dxa"/>
            <w:vAlign w:val="center"/>
          </w:tcPr>
          <w:p w14:paraId="4C351A07" w14:textId="77777777" w:rsidR="00054437" w:rsidRPr="000549B1" w:rsidRDefault="00000000">
            <w:pPr>
              <w:widowControl/>
              <w:autoSpaceDN w:val="0"/>
              <w:spacing w:line="360" w:lineRule="exact"/>
              <w:jc w:val="center"/>
              <w:rPr>
                <w:szCs w:val="21"/>
              </w:rPr>
            </w:pPr>
            <w:r w:rsidRPr="000549B1">
              <w:rPr>
                <w:szCs w:val="21"/>
              </w:rPr>
              <w:t>7.00</w:t>
            </w:r>
          </w:p>
        </w:tc>
        <w:tc>
          <w:tcPr>
            <w:tcW w:w="992" w:type="dxa"/>
            <w:vAlign w:val="center"/>
          </w:tcPr>
          <w:p w14:paraId="2C345709" w14:textId="77777777" w:rsidR="00054437" w:rsidRPr="000549B1" w:rsidRDefault="00000000">
            <w:pPr>
              <w:widowControl/>
              <w:autoSpaceDN w:val="0"/>
              <w:spacing w:line="360" w:lineRule="exact"/>
              <w:jc w:val="center"/>
              <w:rPr>
                <w:szCs w:val="21"/>
              </w:rPr>
            </w:pPr>
            <w:r w:rsidRPr="000549B1">
              <w:rPr>
                <w:szCs w:val="21"/>
              </w:rPr>
              <w:t>9.40</w:t>
            </w:r>
          </w:p>
        </w:tc>
        <w:tc>
          <w:tcPr>
            <w:tcW w:w="932" w:type="dxa"/>
            <w:vAlign w:val="center"/>
          </w:tcPr>
          <w:p w14:paraId="6EFBBB99" w14:textId="77777777" w:rsidR="00054437" w:rsidRPr="000549B1" w:rsidRDefault="00000000">
            <w:pPr>
              <w:widowControl/>
              <w:autoSpaceDN w:val="0"/>
              <w:spacing w:line="360" w:lineRule="exact"/>
              <w:jc w:val="center"/>
              <w:rPr>
                <w:szCs w:val="21"/>
              </w:rPr>
            </w:pPr>
            <w:r w:rsidRPr="000549B1">
              <w:rPr>
                <w:szCs w:val="21"/>
              </w:rPr>
              <w:t>-2.32</w:t>
            </w:r>
          </w:p>
        </w:tc>
        <w:tc>
          <w:tcPr>
            <w:tcW w:w="911" w:type="dxa"/>
            <w:vAlign w:val="center"/>
          </w:tcPr>
          <w:p w14:paraId="4A58D9C9" w14:textId="77777777" w:rsidR="00054437" w:rsidRPr="000549B1" w:rsidRDefault="00000000">
            <w:pPr>
              <w:widowControl/>
              <w:autoSpaceDN w:val="0"/>
              <w:spacing w:line="360" w:lineRule="exact"/>
              <w:jc w:val="center"/>
              <w:rPr>
                <w:szCs w:val="21"/>
              </w:rPr>
            </w:pPr>
            <w:r w:rsidRPr="000549B1">
              <w:rPr>
                <w:szCs w:val="21"/>
              </w:rPr>
              <w:t>-2.32</w:t>
            </w:r>
          </w:p>
        </w:tc>
        <w:tc>
          <w:tcPr>
            <w:tcW w:w="938" w:type="dxa"/>
            <w:vAlign w:val="center"/>
          </w:tcPr>
          <w:p w14:paraId="4DA7E1F0" w14:textId="77777777" w:rsidR="00054437" w:rsidRPr="000549B1" w:rsidRDefault="00000000">
            <w:pPr>
              <w:widowControl/>
              <w:autoSpaceDN w:val="0"/>
              <w:spacing w:line="360" w:lineRule="exact"/>
              <w:jc w:val="center"/>
              <w:rPr>
                <w:szCs w:val="21"/>
              </w:rPr>
            </w:pPr>
            <w:r w:rsidRPr="000549B1">
              <w:rPr>
                <w:szCs w:val="21"/>
              </w:rPr>
              <w:t>-2.4</w:t>
            </w:r>
          </w:p>
        </w:tc>
        <w:tc>
          <w:tcPr>
            <w:tcW w:w="784" w:type="dxa"/>
            <w:vAlign w:val="center"/>
          </w:tcPr>
          <w:p w14:paraId="3C939FEF" w14:textId="77777777" w:rsidR="00054437" w:rsidRPr="000549B1" w:rsidRDefault="00000000">
            <w:pPr>
              <w:widowControl/>
              <w:autoSpaceDN w:val="0"/>
              <w:spacing w:line="360" w:lineRule="exact"/>
              <w:jc w:val="center"/>
              <w:rPr>
                <w:szCs w:val="21"/>
              </w:rPr>
            </w:pPr>
            <w:r w:rsidRPr="000549B1">
              <w:rPr>
                <w:szCs w:val="21"/>
              </w:rPr>
              <w:t>-2.35</w:t>
            </w:r>
          </w:p>
        </w:tc>
      </w:tr>
      <w:tr w:rsidR="000549B1" w:rsidRPr="000549B1" w14:paraId="3933FA10" w14:textId="77777777">
        <w:trPr>
          <w:trHeight w:val="315"/>
          <w:jc w:val="center"/>
        </w:trPr>
        <w:tc>
          <w:tcPr>
            <w:tcW w:w="725" w:type="dxa"/>
            <w:vAlign w:val="center"/>
          </w:tcPr>
          <w:p w14:paraId="6380173D" w14:textId="77777777" w:rsidR="00054437" w:rsidRPr="000549B1" w:rsidRDefault="00000000">
            <w:pPr>
              <w:widowControl/>
              <w:autoSpaceDN w:val="0"/>
              <w:spacing w:line="360" w:lineRule="exact"/>
              <w:jc w:val="center"/>
              <w:rPr>
                <w:szCs w:val="21"/>
              </w:rPr>
            </w:pPr>
            <w:r w:rsidRPr="000549B1">
              <w:rPr>
                <w:szCs w:val="21"/>
              </w:rPr>
              <w:t>9</w:t>
            </w:r>
            <w:r w:rsidRPr="000549B1">
              <w:rPr>
                <w:szCs w:val="21"/>
              </w:rPr>
              <w:t>月</w:t>
            </w:r>
          </w:p>
        </w:tc>
        <w:tc>
          <w:tcPr>
            <w:tcW w:w="1419" w:type="dxa"/>
            <w:vAlign w:val="center"/>
          </w:tcPr>
          <w:p w14:paraId="44085A33" w14:textId="77777777" w:rsidR="00054437" w:rsidRPr="000549B1" w:rsidRDefault="00000000">
            <w:pPr>
              <w:widowControl/>
              <w:autoSpaceDN w:val="0"/>
              <w:spacing w:line="360" w:lineRule="exact"/>
              <w:jc w:val="center"/>
              <w:rPr>
                <w:szCs w:val="21"/>
              </w:rPr>
            </w:pPr>
            <w:r w:rsidRPr="000549B1">
              <w:rPr>
                <w:szCs w:val="21"/>
              </w:rPr>
              <w:t>5.30</w:t>
            </w:r>
          </w:p>
        </w:tc>
        <w:tc>
          <w:tcPr>
            <w:tcW w:w="1135" w:type="dxa"/>
            <w:vAlign w:val="center"/>
          </w:tcPr>
          <w:p w14:paraId="0F79249B" w14:textId="77777777" w:rsidR="00054437" w:rsidRPr="000549B1" w:rsidRDefault="00000000">
            <w:pPr>
              <w:widowControl/>
              <w:autoSpaceDN w:val="0"/>
              <w:spacing w:line="360" w:lineRule="exact"/>
              <w:jc w:val="center"/>
              <w:rPr>
                <w:szCs w:val="21"/>
              </w:rPr>
            </w:pPr>
            <w:r w:rsidRPr="000549B1">
              <w:rPr>
                <w:szCs w:val="21"/>
              </w:rPr>
              <w:t>5.37</w:t>
            </w:r>
          </w:p>
        </w:tc>
        <w:tc>
          <w:tcPr>
            <w:tcW w:w="1134" w:type="dxa"/>
            <w:vAlign w:val="center"/>
          </w:tcPr>
          <w:p w14:paraId="357E0C20" w14:textId="77777777" w:rsidR="00054437" w:rsidRPr="000549B1" w:rsidRDefault="00000000">
            <w:pPr>
              <w:widowControl/>
              <w:autoSpaceDN w:val="0"/>
              <w:spacing w:line="360" w:lineRule="exact"/>
              <w:jc w:val="center"/>
              <w:rPr>
                <w:szCs w:val="21"/>
              </w:rPr>
            </w:pPr>
            <w:r w:rsidRPr="000549B1">
              <w:rPr>
                <w:szCs w:val="21"/>
              </w:rPr>
              <w:t>5.27</w:t>
            </w:r>
          </w:p>
        </w:tc>
        <w:tc>
          <w:tcPr>
            <w:tcW w:w="992" w:type="dxa"/>
            <w:vAlign w:val="center"/>
          </w:tcPr>
          <w:p w14:paraId="3FA3FBD8" w14:textId="77777777" w:rsidR="00054437" w:rsidRPr="000549B1" w:rsidRDefault="00000000">
            <w:pPr>
              <w:widowControl/>
              <w:autoSpaceDN w:val="0"/>
              <w:spacing w:line="360" w:lineRule="exact"/>
              <w:jc w:val="center"/>
              <w:rPr>
                <w:szCs w:val="21"/>
              </w:rPr>
            </w:pPr>
            <w:r w:rsidRPr="000549B1">
              <w:rPr>
                <w:szCs w:val="21"/>
              </w:rPr>
              <w:t>6.40</w:t>
            </w:r>
          </w:p>
        </w:tc>
        <w:tc>
          <w:tcPr>
            <w:tcW w:w="932" w:type="dxa"/>
            <w:vAlign w:val="center"/>
          </w:tcPr>
          <w:p w14:paraId="11016D9B" w14:textId="77777777" w:rsidR="00054437" w:rsidRPr="000549B1" w:rsidRDefault="00000000">
            <w:pPr>
              <w:widowControl/>
              <w:autoSpaceDN w:val="0"/>
              <w:spacing w:line="360" w:lineRule="exact"/>
              <w:jc w:val="center"/>
              <w:rPr>
                <w:szCs w:val="21"/>
              </w:rPr>
            </w:pPr>
            <w:r w:rsidRPr="000549B1">
              <w:rPr>
                <w:szCs w:val="21"/>
              </w:rPr>
              <w:t>-1.1</w:t>
            </w:r>
          </w:p>
        </w:tc>
        <w:tc>
          <w:tcPr>
            <w:tcW w:w="911" w:type="dxa"/>
            <w:vAlign w:val="center"/>
          </w:tcPr>
          <w:p w14:paraId="7ED68881" w14:textId="77777777" w:rsidR="00054437" w:rsidRPr="000549B1" w:rsidRDefault="00000000">
            <w:pPr>
              <w:widowControl/>
              <w:autoSpaceDN w:val="0"/>
              <w:spacing w:line="360" w:lineRule="exact"/>
              <w:jc w:val="center"/>
              <w:rPr>
                <w:szCs w:val="21"/>
              </w:rPr>
            </w:pPr>
            <w:r w:rsidRPr="000549B1">
              <w:rPr>
                <w:szCs w:val="21"/>
              </w:rPr>
              <w:t>-1.03</w:t>
            </w:r>
          </w:p>
        </w:tc>
        <w:tc>
          <w:tcPr>
            <w:tcW w:w="938" w:type="dxa"/>
            <w:vAlign w:val="center"/>
          </w:tcPr>
          <w:p w14:paraId="073FBBB8" w14:textId="77777777" w:rsidR="00054437" w:rsidRPr="000549B1" w:rsidRDefault="00000000">
            <w:pPr>
              <w:widowControl/>
              <w:autoSpaceDN w:val="0"/>
              <w:spacing w:line="360" w:lineRule="exact"/>
              <w:jc w:val="center"/>
              <w:rPr>
                <w:szCs w:val="21"/>
              </w:rPr>
            </w:pPr>
            <w:r w:rsidRPr="000549B1">
              <w:rPr>
                <w:szCs w:val="21"/>
              </w:rPr>
              <w:t>-1.13</w:t>
            </w:r>
          </w:p>
        </w:tc>
        <w:tc>
          <w:tcPr>
            <w:tcW w:w="784" w:type="dxa"/>
            <w:vAlign w:val="center"/>
          </w:tcPr>
          <w:p w14:paraId="33114940" w14:textId="77777777" w:rsidR="00054437" w:rsidRPr="000549B1" w:rsidRDefault="00000000">
            <w:pPr>
              <w:widowControl/>
              <w:autoSpaceDN w:val="0"/>
              <w:spacing w:line="360" w:lineRule="exact"/>
              <w:jc w:val="center"/>
              <w:rPr>
                <w:szCs w:val="21"/>
              </w:rPr>
            </w:pPr>
            <w:r w:rsidRPr="000549B1">
              <w:rPr>
                <w:szCs w:val="21"/>
              </w:rPr>
              <w:t>-1.09</w:t>
            </w:r>
          </w:p>
        </w:tc>
      </w:tr>
      <w:tr w:rsidR="000549B1" w:rsidRPr="000549B1" w14:paraId="4CE93CC0" w14:textId="77777777">
        <w:trPr>
          <w:trHeight w:val="315"/>
          <w:jc w:val="center"/>
        </w:trPr>
        <w:tc>
          <w:tcPr>
            <w:tcW w:w="725" w:type="dxa"/>
            <w:vAlign w:val="center"/>
          </w:tcPr>
          <w:p w14:paraId="1A0CFB2D" w14:textId="77777777" w:rsidR="00054437" w:rsidRPr="000549B1" w:rsidRDefault="00000000">
            <w:pPr>
              <w:widowControl/>
              <w:autoSpaceDN w:val="0"/>
              <w:spacing w:line="360" w:lineRule="exact"/>
              <w:jc w:val="center"/>
              <w:rPr>
                <w:szCs w:val="21"/>
              </w:rPr>
            </w:pPr>
            <w:r w:rsidRPr="000549B1">
              <w:rPr>
                <w:szCs w:val="21"/>
              </w:rPr>
              <w:t>10</w:t>
            </w:r>
            <w:r w:rsidRPr="000549B1">
              <w:rPr>
                <w:szCs w:val="21"/>
              </w:rPr>
              <w:t>月</w:t>
            </w:r>
          </w:p>
        </w:tc>
        <w:tc>
          <w:tcPr>
            <w:tcW w:w="1419" w:type="dxa"/>
            <w:vAlign w:val="center"/>
          </w:tcPr>
          <w:p w14:paraId="7F0CAC22" w14:textId="77777777" w:rsidR="00054437" w:rsidRPr="000549B1" w:rsidRDefault="00000000">
            <w:pPr>
              <w:widowControl/>
              <w:autoSpaceDN w:val="0"/>
              <w:spacing w:line="360" w:lineRule="exact"/>
              <w:jc w:val="center"/>
              <w:rPr>
                <w:szCs w:val="21"/>
              </w:rPr>
            </w:pPr>
            <w:r w:rsidRPr="000549B1">
              <w:rPr>
                <w:szCs w:val="21"/>
              </w:rPr>
              <w:t>2.11</w:t>
            </w:r>
          </w:p>
        </w:tc>
        <w:tc>
          <w:tcPr>
            <w:tcW w:w="1135" w:type="dxa"/>
            <w:vAlign w:val="center"/>
          </w:tcPr>
          <w:p w14:paraId="24349CCC" w14:textId="77777777" w:rsidR="00054437" w:rsidRPr="000549B1" w:rsidRDefault="00000000">
            <w:pPr>
              <w:widowControl/>
              <w:autoSpaceDN w:val="0"/>
              <w:spacing w:line="360" w:lineRule="exact"/>
              <w:jc w:val="center"/>
              <w:rPr>
                <w:szCs w:val="21"/>
              </w:rPr>
            </w:pPr>
            <w:r w:rsidRPr="000549B1">
              <w:rPr>
                <w:szCs w:val="21"/>
              </w:rPr>
              <w:t>1.61</w:t>
            </w:r>
          </w:p>
        </w:tc>
        <w:tc>
          <w:tcPr>
            <w:tcW w:w="1134" w:type="dxa"/>
            <w:vAlign w:val="center"/>
          </w:tcPr>
          <w:p w14:paraId="11700F1C" w14:textId="77777777" w:rsidR="00054437" w:rsidRPr="000549B1" w:rsidRDefault="00000000">
            <w:pPr>
              <w:widowControl/>
              <w:autoSpaceDN w:val="0"/>
              <w:spacing w:line="360" w:lineRule="exact"/>
              <w:jc w:val="center"/>
              <w:rPr>
                <w:szCs w:val="21"/>
              </w:rPr>
            </w:pPr>
            <w:r w:rsidRPr="000549B1">
              <w:rPr>
                <w:szCs w:val="21"/>
              </w:rPr>
              <w:t>1.65</w:t>
            </w:r>
          </w:p>
        </w:tc>
        <w:tc>
          <w:tcPr>
            <w:tcW w:w="992" w:type="dxa"/>
            <w:vAlign w:val="center"/>
          </w:tcPr>
          <w:p w14:paraId="13006636" w14:textId="77777777" w:rsidR="00054437" w:rsidRPr="000549B1" w:rsidRDefault="00000000">
            <w:pPr>
              <w:widowControl/>
              <w:autoSpaceDN w:val="0"/>
              <w:spacing w:line="360" w:lineRule="exact"/>
              <w:jc w:val="center"/>
              <w:rPr>
                <w:szCs w:val="21"/>
              </w:rPr>
            </w:pPr>
            <w:r w:rsidRPr="000549B1">
              <w:rPr>
                <w:szCs w:val="21"/>
              </w:rPr>
              <w:t>1.10</w:t>
            </w:r>
          </w:p>
        </w:tc>
        <w:tc>
          <w:tcPr>
            <w:tcW w:w="932" w:type="dxa"/>
            <w:vAlign w:val="center"/>
          </w:tcPr>
          <w:p w14:paraId="115DF292" w14:textId="77777777" w:rsidR="00054437" w:rsidRPr="000549B1" w:rsidRDefault="00000000">
            <w:pPr>
              <w:widowControl/>
              <w:autoSpaceDN w:val="0"/>
              <w:spacing w:line="360" w:lineRule="exact"/>
              <w:jc w:val="center"/>
              <w:rPr>
                <w:szCs w:val="21"/>
              </w:rPr>
            </w:pPr>
            <w:r w:rsidRPr="000549B1">
              <w:rPr>
                <w:szCs w:val="21"/>
              </w:rPr>
              <w:t>1.01</w:t>
            </w:r>
          </w:p>
        </w:tc>
        <w:tc>
          <w:tcPr>
            <w:tcW w:w="911" w:type="dxa"/>
            <w:vAlign w:val="center"/>
          </w:tcPr>
          <w:p w14:paraId="5C2F936B" w14:textId="77777777" w:rsidR="00054437" w:rsidRPr="000549B1" w:rsidRDefault="00000000">
            <w:pPr>
              <w:widowControl/>
              <w:autoSpaceDN w:val="0"/>
              <w:spacing w:line="360" w:lineRule="exact"/>
              <w:jc w:val="center"/>
              <w:rPr>
                <w:szCs w:val="21"/>
              </w:rPr>
            </w:pPr>
            <w:r w:rsidRPr="000549B1">
              <w:rPr>
                <w:szCs w:val="21"/>
              </w:rPr>
              <w:t>0.51</w:t>
            </w:r>
          </w:p>
        </w:tc>
        <w:tc>
          <w:tcPr>
            <w:tcW w:w="938" w:type="dxa"/>
            <w:vAlign w:val="center"/>
          </w:tcPr>
          <w:p w14:paraId="28375B8B" w14:textId="77777777" w:rsidR="00054437" w:rsidRPr="000549B1" w:rsidRDefault="00000000">
            <w:pPr>
              <w:widowControl/>
              <w:autoSpaceDN w:val="0"/>
              <w:spacing w:line="360" w:lineRule="exact"/>
              <w:jc w:val="center"/>
              <w:rPr>
                <w:szCs w:val="21"/>
              </w:rPr>
            </w:pPr>
            <w:r w:rsidRPr="000549B1">
              <w:rPr>
                <w:szCs w:val="21"/>
              </w:rPr>
              <w:t>0.55</w:t>
            </w:r>
          </w:p>
        </w:tc>
        <w:tc>
          <w:tcPr>
            <w:tcW w:w="784" w:type="dxa"/>
            <w:vAlign w:val="center"/>
          </w:tcPr>
          <w:p w14:paraId="6EBFBE02" w14:textId="77777777" w:rsidR="00054437" w:rsidRPr="000549B1" w:rsidRDefault="00000000">
            <w:pPr>
              <w:widowControl/>
              <w:autoSpaceDN w:val="0"/>
              <w:spacing w:line="360" w:lineRule="exact"/>
              <w:jc w:val="center"/>
              <w:rPr>
                <w:szCs w:val="21"/>
              </w:rPr>
            </w:pPr>
            <w:r w:rsidRPr="000549B1">
              <w:rPr>
                <w:szCs w:val="21"/>
              </w:rPr>
              <w:t>0.69</w:t>
            </w:r>
          </w:p>
        </w:tc>
      </w:tr>
      <w:tr w:rsidR="000549B1" w:rsidRPr="000549B1" w14:paraId="0CF2BB37" w14:textId="77777777">
        <w:trPr>
          <w:trHeight w:val="315"/>
          <w:jc w:val="center"/>
        </w:trPr>
        <w:tc>
          <w:tcPr>
            <w:tcW w:w="725" w:type="dxa"/>
            <w:vAlign w:val="center"/>
          </w:tcPr>
          <w:p w14:paraId="2ACC6C7D" w14:textId="77777777" w:rsidR="00054437" w:rsidRPr="000549B1" w:rsidRDefault="00000000">
            <w:pPr>
              <w:widowControl/>
              <w:autoSpaceDN w:val="0"/>
              <w:spacing w:line="360" w:lineRule="exact"/>
              <w:jc w:val="center"/>
              <w:rPr>
                <w:szCs w:val="21"/>
              </w:rPr>
            </w:pPr>
            <w:r w:rsidRPr="000549B1">
              <w:rPr>
                <w:szCs w:val="21"/>
              </w:rPr>
              <w:t>平均</w:t>
            </w:r>
          </w:p>
        </w:tc>
        <w:tc>
          <w:tcPr>
            <w:tcW w:w="1419" w:type="dxa"/>
            <w:vAlign w:val="center"/>
          </w:tcPr>
          <w:p w14:paraId="7F6ACFF9" w14:textId="77777777" w:rsidR="00054437" w:rsidRPr="000549B1" w:rsidRDefault="00000000">
            <w:pPr>
              <w:widowControl/>
              <w:autoSpaceDN w:val="0"/>
              <w:spacing w:line="360" w:lineRule="exact"/>
              <w:jc w:val="center"/>
              <w:rPr>
                <w:szCs w:val="21"/>
              </w:rPr>
            </w:pPr>
            <w:r w:rsidRPr="000549B1">
              <w:rPr>
                <w:szCs w:val="21"/>
              </w:rPr>
              <w:t>4.33</w:t>
            </w:r>
          </w:p>
        </w:tc>
        <w:tc>
          <w:tcPr>
            <w:tcW w:w="1135" w:type="dxa"/>
            <w:vAlign w:val="center"/>
          </w:tcPr>
          <w:p w14:paraId="3FB9781F" w14:textId="77777777" w:rsidR="00054437" w:rsidRPr="000549B1" w:rsidRDefault="00000000">
            <w:pPr>
              <w:widowControl/>
              <w:autoSpaceDN w:val="0"/>
              <w:spacing w:line="360" w:lineRule="exact"/>
              <w:jc w:val="center"/>
              <w:rPr>
                <w:szCs w:val="21"/>
              </w:rPr>
            </w:pPr>
            <w:r w:rsidRPr="000549B1">
              <w:rPr>
                <w:szCs w:val="21"/>
              </w:rPr>
              <w:t>4.15</w:t>
            </w:r>
          </w:p>
        </w:tc>
        <w:tc>
          <w:tcPr>
            <w:tcW w:w="1134" w:type="dxa"/>
            <w:vAlign w:val="center"/>
          </w:tcPr>
          <w:p w14:paraId="4942100F" w14:textId="77777777" w:rsidR="00054437" w:rsidRPr="000549B1" w:rsidRDefault="00000000">
            <w:pPr>
              <w:widowControl/>
              <w:autoSpaceDN w:val="0"/>
              <w:spacing w:line="360" w:lineRule="exact"/>
              <w:jc w:val="center"/>
              <w:rPr>
                <w:szCs w:val="21"/>
              </w:rPr>
            </w:pPr>
            <w:r w:rsidRPr="000549B1">
              <w:rPr>
                <w:szCs w:val="21"/>
              </w:rPr>
              <w:t>4.13</w:t>
            </w:r>
          </w:p>
        </w:tc>
        <w:tc>
          <w:tcPr>
            <w:tcW w:w="992" w:type="dxa"/>
            <w:vAlign w:val="center"/>
          </w:tcPr>
          <w:p w14:paraId="066EDE47" w14:textId="77777777" w:rsidR="00054437" w:rsidRPr="000549B1" w:rsidRDefault="00000000">
            <w:pPr>
              <w:widowControl/>
              <w:autoSpaceDN w:val="0"/>
              <w:spacing w:line="360" w:lineRule="exact"/>
              <w:jc w:val="center"/>
              <w:rPr>
                <w:szCs w:val="21"/>
              </w:rPr>
            </w:pPr>
            <w:r w:rsidRPr="000549B1">
              <w:rPr>
                <w:szCs w:val="21"/>
              </w:rPr>
              <w:t>5.07</w:t>
            </w:r>
          </w:p>
        </w:tc>
        <w:tc>
          <w:tcPr>
            <w:tcW w:w="932" w:type="dxa"/>
            <w:vAlign w:val="center"/>
          </w:tcPr>
          <w:p w14:paraId="66520090" w14:textId="77777777" w:rsidR="00054437" w:rsidRPr="000549B1" w:rsidRDefault="00000000">
            <w:pPr>
              <w:widowControl/>
              <w:autoSpaceDN w:val="0"/>
              <w:spacing w:line="360" w:lineRule="exact"/>
              <w:jc w:val="center"/>
              <w:rPr>
                <w:szCs w:val="21"/>
              </w:rPr>
            </w:pPr>
            <w:r w:rsidRPr="000549B1">
              <w:rPr>
                <w:szCs w:val="21"/>
              </w:rPr>
              <w:t>—</w:t>
            </w:r>
          </w:p>
        </w:tc>
        <w:tc>
          <w:tcPr>
            <w:tcW w:w="911" w:type="dxa"/>
            <w:vAlign w:val="center"/>
          </w:tcPr>
          <w:p w14:paraId="72EC8C0C" w14:textId="77777777" w:rsidR="00054437" w:rsidRPr="000549B1" w:rsidRDefault="00000000">
            <w:pPr>
              <w:widowControl/>
              <w:autoSpaceDN w:val="0"/>
              <w:spacing w:line="360" w:lineRule="exact"/>
              <w:jc w:val="center"/>
              <w:rPr>
                <w:szCs w:val="21"/>
              </w:rPr>
            </w:pPr>
            <w:r w:rsidRPr="000549B1">
              <w:rPr>
                <w:szCs w:val="21"/>
              </w:rPr>
              <w:t>—</w:t>
            </w:r>
          </w:p>
        </w:tc>
        <w:tc>
          <w:tcPr>
            <w:tcW w:w="938" w:type="dxa"/>
            <w:vAlign w:val="center"/>
          </w:tcPr>
          <w:p w14:paraId="77C58C3C" w14:textId="77777777" w:rsidR="00054437" w:rsidRPr="000549B1" w:rsidRDefault="00000000">
            <w:pPr>
              <w:widowControl/>
              <w:autoSpaceDN w:val="0"/>
              <w:spacing w:line="360" w:lineRule="exact"/>
              <w:jc w:val="center"/>
              <w:rPr>
                <w:szCs w:val="21"/>
              </w:rPr>
            </w:pPr>
            <w:r w:rsidRPr="000549B1">
              <w:rPr>
                <w:szCs w:val="21"/>
              </w:rPr>
              <w:t>—</w:t>
            </w:r>
          </w:p>
        </w:tc>
        <w:tc>
          <w:tcPr>
            <w:tcW w:w="784" w:type="dxa"/>
            <w:vAlign w:val="center"/>
          </w:tcPr>
          <w:p w14:paraId="70A1DEF1" w14:textId="77777777" w:rsidR="00054437" w:rsidRPr="000549B1" w:rsidRDefault="00000000">
            <w:pPr>
              <w:widowControl/>
              <w:autoSpaceDN w:val="0"/>
              <w:spacing w:line="360" w:lineRule="exact"/>
              <w:jc w:val="center"/>
              <w:rPr>
                <w:szCs w:val="21"/>
              </w:rPr>
            </w:pPr>
            <w:r w:rsidRPr="000549B1">
              <w:rPr>
                <w:szCs w:val="21"/>
              </w:rPr>
              <w:t>—</w:t>
            </w:r>
          </w:p>
        </w:tc>
      </w:tr>
    </w:tbl>
    <w:p w14:paraId="5704E39A" w14:textId="77777777" w:rsidR="00054437" w:rsidRPr="000549B1" w:rsidRDefault="00000000">
      <w:pPr>
        <w:tabs>
          <w:tab w:val="left" w:pos="4500"/>
        </w:tabs>
        <w:spacing w:line="500" w:lineRule="exact"/>
        <w:ind w:firstLineChars="200" w:firstLine="480"/>
        <w:jc w:val="left"/>
        <w:rPr>
          <w:sz w:val="24"/>
          <w:szCs w:val="24"/>
        </w:rPr>
      </w:pPr>
      <w:r w:rsidRPr="000549B1">
        <w:rPr>
          <w:sz w:val="24"/>
          <w:szCs w:val="24"/>
        </w:rPr>
        <w:t>3</w:t>
      </w:r>
      <w:r w:rsidRPr="000549B1">
        <w:rPr>
          <w:sz w:val="24"/>
          <w:szCs w:val="24"/>
        </w:rPr>
        <w:t>）大河坝坝下水温预测分析</w:t>
      </w:r>
    </w:p>
    <w:p w14:paraId="719C74BE" w14:textId="77777777" w:rsidR="00054437" w:rsidRPr="000549B1" w:rsidRDefault="00000000">
      <w:pPr>
        <w:spacing w:line="500" w:lineRule="exact"/>
        <w:ind w:firstLineChars="200" w:firstLine="480"/>
        <w:jc w:val="left"/>
        <w:rPr>
          <w:b/>
          <w:bCs/>
          <w:sz w:val="24"/>
          <w:szCs w:val="24"/>
        </w:rPr>
      </w:pPr>
      <w:r w:rsidRPr="000549B1">
        <w:rPr>
          <w:sz w:val="24"/>
          <w:szCs w:val="24"/>
        </w:rPr>
        <w:t>预测</w:t>
      </w:r>
      <w:r w:rsidRPr="000549B1">
        <w:rPr>
          <w:sz w:val="24"/>
          <w:szCs w:val="24"/>
        </w:rPr>
        <w:t>3~5</w:t>
      </w:r>
      <w:r w:rsidRPr="000549B1">
        <w:rPr>
          <w:sz w:val="24"/>
          <w:szCs w:val="24"/>
        </w:rPr>
        <w:t>月大河坝水库下泄水温比下游天然河道的水温平均高</w:t>
      </w:r>
      <w:r w:rsidRPr="000549B1">
        <w:rPr>
          <w:sz w:val="24"/>
          <w:szCs w:val="24"/>
        </w:rPr>
        <w:t>0~0.3</w:t>
      </w:r>
      <w:r w:rsidRPr="000549B1">
        <w:rPr>
          <w:szCs w:val="21"/>
        </w:rPr>
        <w:t>℃</w:t>
      </w:r>
      <w:r w:rsidRPr="000549B1">
        <w:rPr>
          <w:sz w:val="24"/>
          <w:szCs w:val="24"/>
        </w:rPr>
        <w:t>，</w:t>
      </w:r>
      <w:r w:rsidRPr="000549B1">
        <w:rPr>
          <w:sz w:val="24"/>
          <w:szCs w:val="24"/>
        </w:rPr>
        <w:t>6~9</w:t>
      </w:r>
      <w:r w:rsidRPr="000549B1">
        <w:rPr>
          <w:sz w:val="24"/>
          <w:szCs w:val="24"/>
        </w:rPr>
        <w:t>月下泄水温比天然河道水温平均低</w:t>
      </w:r>
      <w:r w:rsidRPr="000549B1">
        <w:rPr>
          <w:sz w:val="24"/>
          <w:szCs w:val="24"/>
        </w:rPr>
        <w:t>1~3</w:t>
      </w:r>
      <w:r w:rsidRPr="000549B1">
        <w:rPr>
          <w:szCs w:val="21"/>
        </w:rPr>
        <w:t>℃</w:t>
      </w:r>
      <w:r w:rsidRPr="000549B1">
        <w:rPr>
          <w:sz w:val="24"/>
          <w:szCs w:val="24"/>
        </w:rPr>
        <w:t>，从</w:t>
      </w:r>
      <w:r w:rsidRPr="000549B1">
        <w:rPr>
          <w:sz w:val="24"/>
          <w:szCs w:val="24"/>
        </w:rPr>
        <w:t>10</w:t>
      </w:r>
      <w:r w:rsidRPr="000549B1">
        <w:rPr>
          <w:sz w:val="24"/>
          <w:szCs w:val="24"/>
        </w:rPr>
        <w:t>月份开始，下游河道的下泄水温又沿程降低接近天然河道水温。从坝址至入黄口河段，水库下泄水温经历了沿程复温过程，使河道水温与天然水温差别逐渐减少。</w:t>
      </w:r>
    </w:p>
    <w:p w14:paraId="1A378926" w14:textId="77777777" w:rsidR="00054437" w:rsidRPr="000549B1" w:rsidRDefault="00000000">
      <w:pPr>
        <w:pStyle w:val="Z4"/>
        <w:rPr>
          <w:color w:val="auto"/>
        </w:rPr>
      </w:pPr>
      <w:r w:rsidRPr="000549B1">
        <w:rPr>
          <w:color w:val="auto"/>
        </w:rPr>
        <w:t>水温变化对下游敏感对象的影响分析</w:t>
      </w:r>
    </w:p>
    <w:p w14:paraId="5F952E7A" w14:textId="77777777" w:rsidR="00054437" w:rsidRPr="000549B1" w:rsidRDefault="00000000">
      <w:pPr>
        <w:tabs>
          <w:tab w:val="left" w:pos="4500"/>
        </w:tabs>
        <w:spacing w:line="500" w:lineRule="exact"/>
        <w:ind w:firstLineChars="200" w:firstLine="482"/>
        <w:jc w:val="left"/>
        <w:rPr>
          <w:b/>
          <w:bCs/>
          <w:sz w:val="24"/>
          <w:szCs w:val="24"/>
        </w:rPr>
      </w:pPr>
      <w:r w:rsidRPr="000549B1">
        <w:rPr>
          <w:b/>
          <w:bCs/>
          <w:sz w:val="24"/>
          <w:szCs w:val="24"/>
        </w:rPr>
        <w:t>（</w:t>
      </w:r>
      <w:r w:rsidRPr="000549B1">
        <w:rPr>
          <w:b/>
          <w:bCs/>
          <w:sz w:val="24"/>
          <w:szCs w:val="24"/>
        </w:rPr>
        <w:t>1</w:t>
      </w:r>
      <w:r w:rsidRPr="000549B1">
        <w:rPr>
          <w:b/>
          <w:bCs/>
          <w:sz w:val="24"/>
          <w:szCs w:val="24"/>
        </w:rPr>
        <w:t>）对下游鱼类的影响</w:t>
      </w:r>
    </w:p>
    <w:p w14:paraId="5F6C1329" w14:textId="77777777" w:rsidR="0004712B" w:rsidRPr="0004712B" w:rsidRDefault="0004712B" w:rsidP="0004712B">
      <w:pPr>
        <w:pStyle w:val="x"/>
      </w:pPr>
      <w:bookmarkStart w:id="387" w:name="_Toc456015954"/>
      <w:bookmarkStart w:id="388" w:name="_Toc456015839"/>
      <w:r w:rsidRPr="0004712B">
        <w:t>根据沙珠玉河支流切吉河下游鱼类的分布及水温需求，结合运行期大河坝水库坝前水温的垂向分布及坝下特征断面的水温时空分布变化规律，以及特征温度的延迟效应，评价水温变化对鱼类的影响程度。</w:t>
      </w:r>
    </w:p>
    <w:p w14:paraId="5027E608" w14:textId="77777777" w:rsidR="0004712B" w:rsidRPr="0004712B" w:rsidRDefault="0004712B" w:rsidP="0004712B">
      <w:pPr>
        <w:pStyle w:val="x"/>
      </w:pPr>
      <w:r w:rsidRPr="0004712B">
        <w:t>评价河段地处青藏高原，切吉河的形成主要来自上游雪山融水和降水汇集，上游水温随季节变化不大，中下游水温受气候环境和水文情势影响，河道内微生境单元和主河道水体温度差别较大。如中下游河段主河道水温和回水湾、静水缓流浅水区水温有所差别，这与水体流速、深度和接受日光量有关。切吉河下游区域鱼类稀少，鱼类的繁殖主要依赖于静水缓流微生境，可耐受一定程度的水温变化。经分析，</w:t>
      </w:r>
      <w:r w:rsidRPr="0004712B">
        <w:t>P=10%</w:t>
      </w:r>
      <w:r w:rsidRPr="0004712B">
        <w:t>来水频率条件下的</w:t>
      </w:r>
      <w:r w:rsidRPr="0004712B">
        <w:t>8~10</w:t>
      </w:r>
      <w:r w:rsidRPr="0004712B">
        <w:t>月水库下泄水温比天然水温高</w:t>
      </w:r>
      <w:r w:rsidRPr="0004712B">
        <w:t>2.1~4.8℃</w:t>
      </w:r>
      <w:r w:rsidRPr="0004712B">
        <w:t>，</w:t>
      </w:r>
      <w:r w:rsidRPr="0004712B">
        <w:t>4~5</w:t>
      </w:r>
      <w:r w:rsidRPr="0004712B">
        <w:t>月比天然水温低</w:t>
      </w:r>
      <w:r w:rsidRPr="0004712B">
        <w:t>1~0.8℃</w:t>
      </w:r>
      <w:r w:rsidRPr="0004712B">
        <w:t>；</w:t>
      </w:r>
      <w:r w:rsidRPr="0004712B">
        <w:t>P=50%</w:t>
      </w:r>
      <w:r w:rsidRPr="0004712B">
        <w:t>来水频率条件下对比天然水温改变最大，</w:t>
      </w:r>
      <w:r w:rsidRPr="0004712B">
        <w:t>7~</w:t>
      </w:r>
      <w:r w:rsidRPr="0004712B">
        <w:t>次年</w:t>
      </w:r>
      <w:r w:rsidRPr="0004712B">
        <w:t>3</w:t>
      </w:r>
      <w:r w:rsidRPr="0004712B">
        <w:t>月水库下泄水温比天然水温高</w:t>
      </w:r>
      <w:r w:rsidRPr="0004712B">
        <w:t>3~7.6℃</w:t>
      </w:r>
      <w:r w:rsidRPr="0004712B">
        <w:t>，</w:t>
      </w:r>
      <w:r w:rsidRPr="0004712B">
        <w:t>5~6</w:t>
      </w:r>
      <w:r w:rsidRPr="0004712B">
        <w:t>月比天然水温低</w:t>
      </w:r>
      <w:r w:rsidRPr="0004712B">
        <w:t>3.9~5℃</w:t>
      </w:r>
      <w:r w:rsidRPr="0004712B">
        <w:t>；</w:t>
      </w:r>
      <w:r w:rsidRPr="0004712B">
        <w:t>P=90%</w:t>
      </w:r>
      <w:r w:rsidRPr="0004712B">
        <w:t>来水频率条件下的</w:t>
      </w:r>
      <w:r w:rsidRPr="0004712B">
        <w:t>7~10</w:t>
      </w:r>
      <w:r w:rsidRPr="0004712B">
        <w:t>月水库下泄水温比天然水温高</w:t>
      </w:r>
      <w:r w:rsidRPr="0004712B">
        <w:t>0.9~4.4℃</w:t>
      </w:r>
      <w:r w:rsidRPr="0004712B">
        <w:t>，</w:t>
      </w:r>
      <w:r w:rsidRPr="0004712B">
        <w:t>4</w:t>
      </w:r>
      <w:r w:rsidRPr="0004712B">
        <w:t>月比天然水温低</w:t>
      </w:r>
      <w:r w:rsidRPr="0004712B">
        <w:t>1.1℃</w:t>
      </w:r>
      <w:r w:rsidRPr="0004712B">
        <w:t>。由于水库水量下泄不大，同时受气温、太阳辐射等的影响，下泄水有一定复温现象，下游浅水区水温受水利枢纽建设影响并不明显。坝下鱼类为小型定居型，无严格的繁殖洄游需求，繁殖行为主要依赖于较高温度的浅水缓流区，繁殖期水温降低对其繁育有一定的影响，但其产卵主要在河岸的回水湾处，此处水流较浅，温度升温较快，对鱼类的产卵繁殖影响不大。</w:t>
      </w:r>
      <w:bookmarkEnd w:id="387"/>
      <w:bookmarkEnd w:id="388"/>
    </w:p>
    <w:p w14:paraId="2F28DA70" w14:textId="77777777" w:rsidR="00054437" w:rsidRPr="000549B1" w:rsidRDefault="00000000">
      <w:pPr>
        <w:tabs>
          <w:tab w:val="left" w:pos="4500"/>
        </w:tabs>
        <w:spacing w:line="500" w:lineRule="exact"/>
        <w:ind w:firstLineChars="200" w:firstLine="482"/>
        <w:jc w:val="left"/>
        <w:rPr>
          <w:b/>
          <w:bCs/>
          <w:sz w:val="24"/>
          <w:szCs w:val="24"/>
        </w:rPr>
      </w:pPr>
      <w:r w:rsidRPr="000549B1">
        <w:rPr>
          <w:b/>
          <w:bCs/>
          <w:sz w:val="24"/>
          <w:szCs w:val="24"/>
        </w:rPr>
        <w:t>（</w:t>
      </w:r>
      <w:r w:rsidRPr="000549B1">
        <w:rPr>
          <w:b/>
          <w:bCs/>
          <w:sz w:val="24"/>
          <w:szCs w:val="24"/>
        </w:rPr>
        <w:t>2</w:t>
      </w:r>
      <w:r w:rsidRPr="000549B1">
        <w:rPr>
          <w:b/>
          <w:bCs/>
          <w:sz w:val="24"/>
          <w:szCs w:val="24"/>
        </w:rPr>
        <w:t>）对灌区的影响分析</w:t>
      </w:r>
    </w:p>
    <w:p w14:paraId="4D50C803" w14:textId="77777777" w:rsidR="00054437" w:rsidRPr="000549B1" w:rsidRDefault="00000000">
      <w:pPr>
        <w:spacing w:line="360" w:lineRule="auto"/>
        <w:ind w:firstLineChars="200" w:firstLine="480"/>
        <w:rPr>
          <w:sz w:val="24"/>
          <w:szCs w:val="24"/>
        </w:rPr>
      </w:pPr>
      <w:r w:rsidRPr="000549B1">
        <w:rPr>
          <w:sz w:val="24"/>
          <w:szCs w:val="24"/>
        </w:rPr>
        <w:t>规划大河坝水库死水位</w:t>
      </w:r>
      <w:r w:rsidRPr="000549B1">
        <w:rPr>
          <w:sz w:val="24"/>
          <w:szCs w:val="24"/>
        </w:rPr>
        <w:t>3305.0m</w:t>
      </w:r>
      <w:r w:rsidRPr="000549B1">
        <w:rPr>
          <w:sz w:val="24"/>
          <w:szCs w:val="24"/>
        </w:rPr>
        <w:t>，正常蓄水位</w:t>
      </w:r>
      <w:r w:rsidRPr="000549B1">
        <w:rPr>
          <w:sz w:val="24"/>
          <w:szCs w:val="24"/>
        </w:rPr>
        <w:t>3343.0m</w:t>
      </w:r>
      <w:r w:rsidRPr="000549B1">
        <w:rPr>
          <w:sz w:val="24"/>
          <w:szCs w:val="24"/>
        </w:rPr>
        <w:t>，供水放空洞供水放空洞由引渠、进口塔架、隧洞和出口钢管组成，引渠进口底板高程</w:t>
      </w:r>
      <w:r w:rsidRPr="000549B1">
        <w:rPr>
          <w:sz w:val="24"/>
          <w:szCs w:val="24"/>
        </w:rPr>
        <w:t>3299.00m</w:t>
      </w:r>
      <w:r w:rsidRPr="000549B1">
        <w:rPr>
          <w:sz w:val="24"/>
          <w:szCs w:val="24"/>
        </w:rPr>
        <w:t>，位于死水位以下，属于底层取水；正常调度运行期间，大河坝水库供水放空洞位于正常蓄水位以下</w:t>
      </w:r>
      <w:r w:rsidRPr="000549B1">
        <w:rPr>
          <w:sz w:val="24"/>
          <w:szCs w:val="24"/>
        </w:rPr>
        <w:t>44m</w:t>
      </w:r>
      <w:r w:rsidRPr="000549B1">
        <w:rPr>
          <w:sz w:val="24"/>
          <w:szCs w:val="24"/>
        </w:rPr>
        <w:t>。类比分析，大河坝水库下泄水温较天然水温差别不大，温差维持在</w:t>
      </w:r>
      <w:r w:rsidRPr="000549B1">
        <w:rPr>
          <w:sz w:val="24"/>
          <w:szCs w:val="24"/>
        </w:rPr>
        <w:t>0-3℃</w:t>
      </w:r>
      <w:r w:rsidRPr="000549B1">
        <w:rPr>
          <w:sz w:val="24"/>
          <w:szCs w:val="24"/>
        </w:rPr>
        <w:t>，与天然河道水温相比，冬季水温有所提高，而春夏水温均低于天然水温，特别是在夏季</w:t>
      </w:r>
      <w:r w:rsidRPr="000549B1">
        <w:rPr>
          <w:sz w:val="24"/>
          <w:szCs w:val="24"/>
        </w:rPr>
        <w:t>6</w:t>
      </w:r>
      <w:r w:rsidRPr="000549B1">
        <w:rPr>
          <w:sz w:val="24"/>
          <w:szCs w:val="24"/>
        </w:rPr>
        <w:t>、</w:t>
      </w:r>
      <w:r w:rsidRPr="000549B1">
        <w:rPr>
          <w:sz w:val="24"/>
          <w:szCs w:val="24"/>
        </w:rPr>
        <w:t>7</w:t>
      </w:r>
      <w:r w:rsidRPr="000549B1">
        <w:rPr>
          <w:sz w:val="24"/>
          <w:szCs w:val="24"/>
        </w:rPr>
        <w:t>、</w:t>
      </w:r>
      <w:r w:rsidRPr="000549B1">
        <w:rPr>
          <w:sz w:val="24"/>
          <w:szCs w:val="24"/>
        </w:rPr>
        <w:t>8</w:t>
      </w:r>
      <w:r w:rsidRPr="000549B1">
        <w:rPr>
          <w:sz w:val="24"/>
          <w:szCs w:val="24"/>
        </w:rPr>
        <w:t>月份，均比天然河流水温低</w:t>
      </w:r>
      <w:r w:rsidRPr="000549B1">
        <w:rPr>
          <w:sz w:val="24"/>
          <w:szCs w:val="24"/>
        </w:rPr>
        <w:t>2℃</w:t>
      </w:r>
      <w:r w:rsidRPr="000549B1">
        <w:rPr>
          <w:sz w:val="24"/>
          <w:szCs w:val="24"/>
        </w:rPr>
        <w:t>左右。</w:t>
      </w:r>
    </w:p>
    <w:p w14:paraId="2F160650" w14:textId="77777777" w:rsidR="00054437" w:rsidRPr="000549B1" w:rsidRDefault="00000000">
      <w:pPr>
        <w:spacing w:line="360" w:lineRule="auto"/>
        <w:ind w:firstLineChars="200" w:firstLine="480"/>
        <w:rPr>
          <w:sz w:val="24"/>
          <w:szCs w:val="24"/>
        </w:rPr>
      </w:pPr>
      <w:r w:rsidRPr="000549B1">
        <w:rPr>
          <w:sz w:val="24"/>
          <w:szCs w:val="24"/>
        </w:rPr>
        <w:t>规划工程主干隧洞为大河坝水库供水放空洞，布置于大河坝水库左岸，在放空洞出口设置供水钢管引至右岸，满足水库下游供水需求；供水工程包括新建输水工程、现有渠系续建配套工程等。大河坝水库供水放空隧洞出口接</w:t>
      </w:r>
      <w:r w:rsidRPr="000549B1">
        <w:rPr>
          <w:sz w:val="24"/>
          <w:szCs w:val="24"/>
        </w:rPr>
        <w:t>DN2800</w:t>
      </w:r>
      <w:r w:rsidRPr="000549B1">
        <w:rPr>
          <w:sz w:val="24"/>
          <w:szCs w:val="24"/>
        </w:rPr>
        <w:t>涂塑钢管，靠近坝后侧先分出水库放空支管，随后依次分出河道生态基流管、共和县供水干管、总干渠干管后，总管直接接入灌溉总干管（</w:t>
      </w:r>
      <w:r w:rsidRPr="000549B1">
        <w:rPr>
          <w:rFonts w:ascii="宋体" w:hAnsi="宋体"/>
          <w:sz w:val="24"/>
          <w:szCs w:val="24"/>
        </w:rPr>
        <w:t>“</w:t>
      </w:r>
      <w:r w:rsidRPr="000549B1">
        <w:rPr>
          <w:sz w:val="24"/>
          <w:szCs w:val="24"/>
        </w:rPr>
        <w:t>总干管</w:t>
      </w:r>
      <w:r w:rsidRPr="000549B1">
        <w:rPr>
          <w:rFonts w:ascii="宋体" w:hAnsi="宋体"/>
          <w:sz w:val="24"/>
          <w:szCs w:val="24"/>
        </w:rPr>
        <w:t>”</w:t>
      </w:r>
      <w:r w:rsidRPr="000549B1">
        <w:rPr>
          <w:sz w:val="24"/>
          <w:szCs w:val="24"/>
        </w:rPr>
        <w:t>）。输水主干管系统将水输送至</w:t>
      </w:r>
      <w:r w:rsidRPr="000549B1">
        <w:rPr>
          <w:sz w:val="24"/>
          <w:szCs w:val="24"/>
        </w:rPr>
        <w:t>1#~5#</w:t>
      </w:r>
      <w:r w:rsidRPr="000549B1">
        <w:rPr>
          <w:sz w:val="24"/>
          <w:szCs w:val="24"/>
        </w:rPr>
        <w:t>分水调节水池，分水主干管系统从调节水池取水，输送至田间各个灌片。灌区采用灌溉管道和渠道相结合的输配水方式，在高位水池布置的基础上，按照干渠、支渠、分支渠布置，灌区原有渠系满足不了灌溉面积的条件下，由高位水池引管供水至渠道。规划工程骨干工程主要是管道和调节水池，输水线路较长且分散，上述</w:t>
      </w:r>
      <w:r w:rsidRPr="000549B1">
        <w:rPr>
          <w:sz w:val="24"/>
          <w:szCs w:val="24"/>
        </w:rPr>
        <w:t>5</w:t>
      </w:r>
      <w:r w:rsidRPr="000549B1">
        <w:rPr>
          <w:sz w:val="24"/>
          <w:szCs w:val="24"/>
        </w:rPr>
        <w:t>个高位水池均为敞口式的结构，有利于水库出水与外界环境进行较充分的热量交换，有利于水温的回升。加上灌区续建配套工程利用现有骨干渠道</w:t>
      </w:r>
      <w:r w:rsidRPr="000549B1">
        <w:rPr>
          <w:sz w:val="24"/>
          <w:szCs w:val="24"/>
        </w:rPr>
        <w:t>43</w:t>
      </w:r>
      <w:r w:rsidRPr="000549B1">
        <w:rPr>
          <w:sz w:val="24"/>
          <w:szCs w:val="24"/>
        </w:rPr>
        <w:t>条、渠道总长</w:t>
      </w:r>
      <w:r w:rsidRPr="000549B1">
        <w:rPr>
          <w:sz w:val="24"/>
          <w:szCs w:val="24"/>
        </w:rPr>
        <w:t>212.18km</w:t>
      </w:r>
      <w:r w:rsidRPr="000549B1">
        <w:rPr>
          <w:sz w:val="24"/>
          <w:szCs w:val="24"/>
        </w:rPr>
        <w:t>，灌溉干渠、支渠众多，能使灌溉水升温效果更显著。加之农业用水季节流域光热条件好，并且管线距离较长，太阳辐射对管线内的水有一定的水温增温效果。</w:t>
      </w:r>
    </w:p>
    <w:p w14:paraId="7AFD0220" w14:textId="77777777" w:rsidR="00054437" w:rsidRPr="000549B1" w:rsidRDefault="00000000">
      <w:pPr>
        <w:spacing w:line="360" w:lineRule="auto"/>
        <w:ind w:firstLineChars="200" w:firstLine="480"/>
        <w:rPr>
          <w:sz w:val="24"/>
          <w:szCs w:val="24"/>
        </w:rPr>
      </w:pPr>
      <w:r w:rsidRPr="000549B1">
        <w:rPr>
          <w:sz w:val="24"/>
          <w:szCs w:val="24"/>
        </w:rPr>
        <w:t>综上分析，经过</w:t>
      </w:r>
      <w:r w:rsidRPr="000549B1">
        <w:rPr>
          <w:rFonts w:ascii="宋体" w:hAnsi="宋体"/>
          <w:sz w:val="24"/>
          <w:szCs w:val="24"/>
        </w:rPr>
        <w:t>“</w:t>
      </w:r>
      <w:r w:rsidRPr="000549B1">
        <w:rPr>
          <w:sz w:val="24"/>
          <w:szCs w:val="24"/>
        </w:rPr>
        <w:t>管道输送</w:t>
      </w:r>
      <w:r w:rsidRPr="000549B1">
        <w:rPr>
          <w:sz w:val="24"/>
          <w:szCs w:val="24"/>
        </w:rPr>
        <w:t>+</w:t>
      </w:r>
      <w:r w:rsidRPr="000549B1">
        <w:rPr>
          <w:sz w:val="24"/>
          <w:szCs w:val="24"/>
        </w:rPr>
        <w:t>高位水池调节</w:t>
      </w:r>
      <w:r w:rsidRPr="000549B1">
        <w:rPr>
          <w:sz w:val="24"/>
          <w:szCs w:val="24"/>
        </w:rPr>
        <w:t>+</w:t>
      </w:r>
      <w:r w:rsidRPr="000549B1">
        <w:rPr>
          <w:sz w:val="24"/>
          <w:szCs w:val="24"/>
        </w:rPr>
        <w:t>渠道</w:t>
      </w:r>
      <w:r w:rsidRPr="000549B1">
        <w:rPr>
          <w:sz w:val="24"/>
          <w:szCs w:val="24"/>
        </w:rPr>
        <w:t>/</w:t>
      </w:r>
      <w:r w:rsidRPr="000549B1">
        <w:rPr>
          <w:sz w:val="24"/>
          <w:szCs w:val="24"/>
        </w:rPr>
        <w:t>管道配水</w:t>
      </w:r>
      <w:r w:rsidRPr="000549B1">
        <w:rPr>
          <w:rFonts w:ascii="宋体" w:hAnsi="宋体"/>
          <w:sz w:val="24"/>
          <w:szCs w:val="24"/>
        </w:rPr>
        <w:t>”</w:t>
      </w:r>
      <w:r w:rsidRPr="000549B1">
        <w:rPr>
          <w:sz w:val="24"/>
          <w:szCs w:val="24"/>
        </w:rPr>
        <w:t>这一系列过程，最终达到田间的灌溉水水温相较水库供水的初始水温已有显著提升，其温度更接近于当时的气象条件（气温、日照），对作物的不利影响已经得到极大缓解。根据同类型项目的相关资料，经过多年灌溉，目前没有出现粮食减产现象，因此不会对灌区农业灌溉及作物带来不利影响。</w:t>
      </w:r>
    </w:p>
    <w:p w14:paraId="57478860" w14:textId="77777777" w:rsidR="00054437" w:rsidRPr="000549B1" w:rsidRDefault="00000000">
      <w:pPr>
        <w:pStyle w:val="3"/>
      </w:pPr>
      <w:bookmarkStart w:id="389" w:name="_Toc216107047"/>
      <w:r w:rsidRPr="000549B1">
        <w:t>规划年污染物排放量、入河量变化</w:t>
      </w:r>
      <w:bookmarkEnd w:id="389"/>
    </w:p>
    <w:p w14:paraId="6E47A35D" w14:textId="77777777" w:rsidR="00054437" w:rsidRPr="000549B1" w:rsidRDefault="00000000">
      <w:pPr>
        <w:adjustRightInd w:val="0"/>
        <w:snapToGrid w:val="0"/>
        <w:spacing w:line="360" w:lineRule="auto"/>
        <w:ind w:firstLineChars="200" w:firstLine="480"/>
        <w:rPr>
          <w:kern w:val="0"/>
          <w:sz w:val="24"/>
          <w:szCs w:val="24"/>
        </w:rPr>
      </w:pPr>
      <w:r w:rsidRPr="000549B1">
        <w:rPr>
          <w:kern w:val="0"/>
          <w:sz w:val="24"/>
          <w:szCs w:val="24"/>
        </w:rPr>
        <w:t>规划实施后，规划水平年沙珠河流域供水来源由当地水和外调水两部分组成。规划水资源配置工程实施后，沙珠玉河流域的水资源约束将有所缓解，会促进乡镇规模的扩大以及各类产业规模的增长，从而导致生活、工业退水量增加，对现有污水处理厂的规模、退水河道的水环境容量带来较大压力。根据《国家发展改革委水利部关于切实做好引调水工程前期工作的指导意见》，调水工程应遵循</w:t>
      </w:r>
      <w:r w:rsidRPr="000549B1">
        <w:rPr>
          <w:rFonts w:ascii="宋体" w:hAnsi="宋体"/>
          <w:kern w:val="0"/>
          <w:sz w:val="24"/>
          <w:szCs w:val="24"/>
        </w:rPr>
        <w:t>“</w:t>
      </w:r>
      <w:r w:rsidRPr="000549B1">
        <w:rPr>
          <w:kern w:val="0"/>
          <w:sz w:val="24"/>
          <w:szCs w:val="24"/>
        </w:rPr>
        <w:t>先节水、后调水，先治污、后通水，先环保、后用水</w:t>
      </w:r>
      <w:r w:rsidRPr="000549B1">
        <w:rPr>
          <w:rFonts w:ascii="宋体" w:hAnsi="宋体"/>
          <w:kern w:val="0"/>
          <w:sz w:val="24"/>
          <w:szCs w:val="24"/>
        </w:rPr>
        <w:t>”</w:t>
      </w:r>
      <w:r w:rsidRPr="000549B1">
        <w:rPr>
          <w:kern w:val="0"/>
          <w:sz w:val="24"/>
          <w:szCs w:val="24"/>
        </w:rPr>
        <w:t>的</w:t>
      </w:r>
      <w:r w:rsidRPr="000549B1">
        <w:rPr>
          <w:rFonts w:ascii="宋体" w:hAnsi="宋体"/>
          <w:kern w:val="0"/>
          <w:sz w:val="24"/>
          <w:szCs w:val="24"/>
        </w:rPr>
        <w:t>“</w:t>
      </w:r>
      <w:r w:rsidRPr="000549B1">
        <w:rPr>
          <w:kern w:val="0"/>
          <w:sz w:val="24"/>
          <w:szCs w:val="24"/>
        </w:rPr>
        <w:t>三先三后</w:t>
      </w:r>
      <w:r w:rsidRPr="000549B1">
        <w:rPr>
          <w:rFonts w:ascii="宋体" w:hAnsi="宋体"/>
          <w:kern w:val="0"/>
          <w:sz w:val="24"/>
          <w:szCs w:val="24"/>
        </w:rPr>
        <w:t>”</w:t>
      </w:r>
      <w:r w:rsidRPr="000549B1">
        <w:rPr>
          <w:kern w:val="0"/>
          <w:sz w:val="24"/>
          <w:szCs w:val="24"/>
        </w:rPr>
        <w:t>原则，为确保工程建设后受水区水资源配置与区域水资源水环境承载能力相适应，满足</w:t>
      </w:r>
      <w:r w:rsidRPr="000549B1">
        <w:rPr>
          <w:rFonts w:ascii="宋体" w:hAnsi="宋体"/>
          <w:kern w:val="0"/>
          <w:sz w:val="24"/>
          <w:szCs w:val="24"/>
        </w:rPr>
        <w:t>“</w:t>
      </w:r>
      <w:r w:rsidRPr="000549B1">
        <w:rPr>
          <w:kern w:val="0"/>
          <w:sz w:val="24"/>
          <w:szCs w:val="24"/>
        </w:rPr>
        <w:t>增水不增污</w:t>
      </w:r>
      <w:r w:rsidRPr="000549B1">
        <w:rPr>
          <w:rFonts w:ascii="宋体" w:hAnsi="宋体"/>
          <w:kern w:val="0"/>
          <w:sz w:val="24"/>
          <w:szCs w:val="24"/>
        </w:rPr>
        <w:t>”</w:t>
      </w:r>
      <w:r w:rsidRPr="000549B1">
        <w:rPr>
          <w:kern w:val="0"/>
          <w:sz w:val="24"/>
          <w:szCs w:val="24"/>
        </w:rPr>
        <w:t>或</w:t>
      </w:r>
      <w:r w:rsidRPr="000549B1">
        <w:rPr>
          <w:rFonts w:ascii="宋体" w:hAnsi="宋体"/>
          <w:kern w:val="0"/>
          <w:sz w:val="24"/>
          <w:szCs w:val="24"/>
        </w:rPr>
        <w:t>“</w:t>
      </w:r>
      <w:r w:rsidRPr="000549B1">
        <w:rPr>
          <w:kern w:val="0"/>
          <w:sz w:val="24"/>
          <w:szCs w:val="24"/>
        </w:rPr>
        <w:t>增水减污</w:t>
      </w:r>
      <w:r w:rsidRPr="000549B1">
        <w:rPr>
          <w:rFonts w:ascii="宋体" w:hAnsi="宋体"/>
          <w:kern w:val="0"/>
          <w:sz w:val="24"/>
          <w:szCs w:val="24"/>
        </w:rPr>
        <w:t>”</w:t>
      </w:r>
      <w:r w:rsidRPr="000549B1">
        <w:rPr>
          <w:kern w:val="0"/>
          <w:sz w:val="24"/>
          <w:szCs w:val="24"/>
        </w:rPr>
        <w:t>的要求，保障受水区水环境安全，促进受水区社会经济的可持续发展，开工建设前需有经相关人民政府认可的工程受水区水污染防治相关规划作为支撑。</w:t>
      </w:r>
    </w:p>
    <w:p w14:paraId="4D53147B" w14:textId="77777777" w:rsidR="00054437" w:rsidRPr="000549B1" w:rsidRDefault="00000000">
      <w:pPr>
        <w:adjustRightInd w:val="0"/>
        <w:snapToGrid w:val="0"/>
        <w:spacing w:line="360" w:lineRule="auto"/>
        <w:ind w:firstLineChars="200" w:firstLine="480"/>
        <w:rPr>
          <w:kern w:val="0"/>
          <w:sz w:val="24"/>
          <w:szCs w:val="24"/>
        </w:rPr>
      </w:pPr>
      <w:r w:rsidRPr="000549B1">
        <w:rPr>
          <w:kern w:val="0"/>
          <w:sz w:val="24"/>
          <w:szCs w:val="24"/>
        </w:rPr>
        <w:t>根据《海南</w:t>
      </w:r>
      <w:r w:rsidRPr="000549B1">
        <w:rPr>
          <w:rFonts w:eastAsiaTheme="minorEastAsia"/>
          <w:kern w:val="0"/>
          <w:sz w:val="24"/>
          <w:szCs w:val="24"/>
        </w:rPr>
        <w:t>州</w:t>
      </w:r>
      <w:r w:rsidRPr="000549B1">
        <w:rPr>
          <w:rFonts w:ascii="宋体" w:hAnsi="宋体"/>
          <w:kern w:val="0"/>
          <w:sz w:val="24"/>
          <w:szCs w:val="24"/>
        </w:rPr>
        <w:t>“</w:t>
      </w:r>
      <w:r w:rsidRPr="000549B1">
        <w:rPr>
          <w:rFonts w:eastAsiaTheme="minorEastAsia"/>
          <w:kern w:val="0"/>
          <w:sz w:val="24"/>
          <w:szCs w:val="24"/>
        </w:rPr>
        <w:t>十四五</w:t>
      </w:r>
      <w:r w:rsidRPr="000549B1">
        <w:rPr>
          <w:rFonts w:ascii="宋体" w:hAnsi="宋体"/>
          <w:kern w:val="0"/>
          <w:sz w:val="24"/>
          <w:szCs w:val="24"/>
        </w:rPr>
        <w:t>”</w:t>
      </w:r>
      <w:r w:rsidRPr="000549B1">
        <w:rPr>
          <w:rFonts w:eastAsiaTheme="minorEastAsia"/>
          <w:kern w:val="0"/>
          <w:sz w:val="24"/>
          <w:szCs w:val="24"/>
        </w:rPr>
        <w:t>生</w:t>
      </w:r>
      <w:r w:rsidRPr="000549B1">
        <w:rPr>
          <w:kern w:val="0"/>
          <w:sz w:val="24"/>
          <w:szCs w:val="24"/>
        </w:rPr>
        <w:t>态环境保护规划》，</w:t>
      </w:r>
      <w:r w:rsidRPr="000549B1">
        <w:rPr>
          <w:kern w:val="0"/>
          <w:sz w:val="24"/>
          <w:szCs w:val="24"/>
        </w:rPr>
        <w:t>2020</w:t>
      </w:r>
      <w:r w:rsidRPr="000549B1">
        <w:rPr>
          <w:kern w:val="0"/>
          <w:sz w:val="24"/>
          <w:szCs w:val="24"/>
        </w:rPr>
        <w:t>年城镇生活污水集中处理率已达到</w:t>
      </w:r>
      <w:r w:rsidRPr="000549B1">
        <w:rPr>
          <w:kern w:val="0"/>
          <w:sz w:val="24"/>
          <w:szCs w:val="24"/>
        </w:rPr>
        <w:t>94.62%</w:t>
      </w:r>
      <w:r w:rsidRPr="000549B1">
        <w:rPr>
          <w:kern w:val="0"/>
          <w:sz w:val="24"/>
          <w:szCs w:val="24"/>
        </w:rPr>
        <w:t>，</w:t>
      </w:r>
      <w:r w:rsidRPr="000549B1">
        <w:rPr>
          <w:kern w:val="0"/>
          <w:sz w:val="24"/>
          <w:szCs w:val="24"/>
        </w:rPr>
        <w:t>2025</w:t>
      </w:r>
      <w:r w:rsidRPr="000549B1">
        <w:rPr>
          <w:kern w:val="0"/>
          <w:sz w:val="24"/>
          <w:szCs w:val="24"/>
        </w:rPr>
        <w:t>年底前基本建成系统完备的污水处理体系，污水处理全面达到一级</w:t>
      </w:r>
      <w:r w:rsidRPr="000549B1">
        <w:rPr>
          <w:kern w:val="0"/>
          <w:sz w:val="24"/>
          <w:szCs w:val="24"/>
        </w:rPr>
        <w:t>A</w:t>
      </w:r>
      <w:r w:rsidRPr="000549B1">
        <w:rPr>
          <w:kern w:val="0"/>
          <w:sz w:val="24"/>
          <w:szCs w:val="24"/>
        </w:rPr>
        <w:t>排放标准。</w:t>
      </w:r>
    </w:p>
    <w:p w14:paraId="07458987" w14:textId="77777777" w:rsidR="00054437" w:rsidRPr="002B7322" w:rsidRDefault="00000000">
      <w:pPr>
        <w:adjustRightInd w:val="0"/>
        <w:snapToGrid w:val="0"/>
        <w:spacing w:line="360" w:lineRule="auto"/>
        <w:ind w:firstLineChars="200" w:firstLine="480"/>
        <w:rPr>
          <w:color w:val="000000" w:themeColor="text1"/>
          <w:kern w:val="0"/>
          <w:sz w:val="24"/>
          <w:szCs w:val="24"/>
        </w:rPr>
      </w:pPr>
      <w:r w:rsidRPr="000549B1">
        <w:rPr>
          <w:kern w:val="0"/>
          <w:sz w:val="24"/>
          <w:szCs w:val="24"/>
        </w:rPr>
        <w:t>到规划水平年</w:t>
      </w:r>
      <w:r w:rsidRPr="000549B1">
        <w:rPr>
          <w:kern w:val="0"/>
          <w:sz w:val="24"/>
          <w:szCs w:val="24"/>
        </w:rPr>
        <w:t>2035</w:t>
      </w:r>
      <w:r w:rsidRPr="000549B1">
        <w:rPr>
          <w:kern w:val="0"/>
          <w:sz w:val="24"/>
          <w:szCs w:val="24"/>
        </w:rPr>
        <w:t>年，考虑到污水治理力度的提高，受水区县城污水收集率及污水收集处理率均应达到</w:t>
      </w:r>
      <w:r w:rsidRPr="000549B1">
        <w:rPr>
          <w:kern w:val="0"/>
          <w:sz w:val="24"/>
          <w:szCs w:val="24"/>
        </w:rPr>
        <w:t>100%</w:t>
      </w:r>
      <w:r w:rsidRPr="000549B1">
        <w:rPr>
          <w:kern w:val="0"/>
          <w:sz w:val="24"/>
          <w:szCs w:val="24"/>
        </w:rPr>
        <w:t>，村镇生活污水收集处理率达到</w:t>
      </w:r>
      <w:r w:rsidRPr="000549B1">
        <w:rPr>
          <w:kern w:val="0"/>
          <w:sz w:val="24"/>
          <w:szCs w:val="24"/>
        </w:rPr>
        <w:t>30%</w:t>
      </w:r>
      <w:r w:rsidRPr="000549B1">
        <w:rPr>
          <w:kern w:val="0"/>
          <w:sz w:val="24"/>
          <w:szCs w:val="24"/>
        </w:rPr>
        <w:t>，工业污水实现全收集处理率达到</w:t>
      </w:r>
      <w:r w:rsidRPr="000549B1">
        <w:rPr>
          <w:kern w:val="0"/>
          <w:sz w:val="24"/>
          <w:szCs w:val="24"/>
        </w:rPr>
        <w:t>100%</w:t>
      </w:r>
      <w:r w:rsidRPr="000549B1">
        <w:rPr>
          <w:kern w:val="0"/>
          <w:sz w:val="24"/>
          <w:szCs w:val="24"/>
        </w:rPr>
        <w:t>。规划污染源总量按照点源污染和面源污染进行预测，其中点源污染包括工业源和生活污水；面源污染包括农田面源和畜禽养</w:t>
      </w:r>
      <w:r w:rsidRPr="002B7322">
        <w:rPr>
          <w:color w:val="000000" w:themeColor="text1"/>
          <w:kern w:val="0"/>
          <w:sz w:val="24"/>
          <w:szCs w:val="24"/>
        </w:rPr>
        <w:t>殖面源。</w:t>
      </w:r>
    </w:p>
    <w:p w14:paraId="11B9C787" w14:textId="75E8E994" w:rsidR="00054437" w:rsidRPr="002B7322" w:rsidRDefault="00000000">
      <w:pPr>
        <w:autoSpaceDE w:val="0"/>
        <w:autoSpaceDN w:val="0"/>
        <w:adjustRightInd w:val="0"/>
        <w:snapToGrid w:val="0"/>
        <w:spacing w:line="360" w:lineRule="auto"/>
        <w:ind w:firstLineChars="200" w:firstLine="480"/>
        <w:rPr>
          <w:bCs/>
          <w:color w:val="000000" w:themeColor="text1"/>
          <w:sz w:val="24"/>
          <w:szCs w:val="24"/>
        </w:rPr>
        <w:sectPr w:rsidR="00054437" w:rsidRPr="002B7322">
          <w:pgSz w:w="11906" w:h="16838"/>
          <w:pgMar w:top="1440" w:right="1800" w:bottom="1440" w:left="1800" w:header="851" w:footer="992" w:gutter="0"/>
          <w:cols w:space="425"/>
          <w:docGrid w:type="lines" w:linePitch="312"/>
        </w:sectPr>
      </w:pPr>
      <w:r w:rsidRPr="002B7322">
        <w:rPr>
          <w:color w:val="000000" w:themeColor="text1"/>
          <w:kern w:val="0"/>
          <w:sz w:val="24"/>
          <w:szCs w:val="24"/>
        </w:rPr>
        <w:t>根据预测，</w:t>
      </w:r>
      <w:r w:rsidRPr="002B7322">
        <w:rPr>
          <w:color w:val="000000" w:themeColor="text1"/>
          <w:kern w:val="0"/>
          <w:sz w:val="24"/>
          <w:szCs w:val="24"/>
        </w:rPr>
        <w:t>2035</w:t>
      </w:r>
      <w:r w:rsidRPr="002B7322">
        <w:rPr>
          <w:color w:val="000000" w:themeColor="text1"/>
          <w:kern w:val="0"/>
          <w:sz w:val="24"/>
          <w:szCs w:val="24"/>
        </w:rPr>
        <w:t>年共和县、兴海</w:t>
      </w:r>
      <w:r w:rsidRPr="002B7322">
        <w:rPr>
          <w:bCs/>
          <w:color w:val="000000" w:themeColor="text1"/>
          <w:sz w:val="24"/>
          <w:szCs w:val="24"/>
        </w:rPr>
        <w:t>县废水年排放总量为</w:t>
      </w:r>
      <w:r w:rsidRPr="002B7322">
        <w:rPr>
          <w:bCs/>
          <w:color w:val="000000" w:themeColor="text1"/>
          <w:sz w:val="24"/>
          <w:szCs w:val="24"/>
        </w:rPr>
        <w:t>1065.6</w:t>
      </w:r>
      <w:r w:rsidRPr="002B7322">
        <w:rPr>
          <w:bCs/>
          <w:color w:val="000000" w:themeColor="text1"/>
          <w:sz w:val="24"/>
          <w:szCs w:val="24"/>
        </w:rPr>
        <w:t>万</w:t>
      </w:r>
      <w:r w:rsidRPr="002B7322">
        <w:rPr>
          <w:bCs/>
          <w:color w:val="000000" w:themeColor="text1"/>
          <w:sz w:val="24"/>
          <w:szCs w:val="24"/>
        </w:rPr>
        <w:t>m</w:t>
      </w:r>
      <w:r w:rsidRPr="002B7322">
        <w:rPr>
          <w:bCs/>
          <w:color w:val="000000" w:themeColor="text1"/>
          <w:sz w:val="24"/>
          <w:szCs w:val="24"/>
          <w:vertAlign w:val="superscript"/>
        </w:rPr>
        <w:t>3</w:t>
      </w:r>
      <w:r w:rsidRPr="002B7322">
        <w:rPr>
          <w:bCs/>
          <w:color w:val="000000" w:themeColor="text1"/>
          <w:sz w:val="24"/>
          <w:szCs w:val="24"/>
        </w:rPr>
        <w:t>/a</w:t>
      </w:r>
      <w:r w:rsidRPr="002B7322">
        <w:rPr>
          <w:bCs/>
          <w:color w:val="000000" w:themeColor="text1"/>
          <w:sz w:val="24"/>
          <w:szCs w:val="24"/>
        </w:rPr>
        <w:t>，</w:t>
      </w:r>
      <w:r w:rsidRPr="002B7322">
        <w:rPr>
          <w:bCs/>
          <w:color w:val="000000" w:themeColor="text1"/>
          <w:sz w:val="24"/>
          <w:szCs w:val="24"/>
        </w:rPr>
        <w:t>COD</w:t>
      </w:r>
      <w:r w:rsidRPr="002B7322">
        <w:rPr>
          <w:bCs/>
          <w:color w:val="000000" w:themeColor="text1"/>
          <w:sz w:val="24"/>
          <w:szCs w:val="24"/>
        </w:rPr>
        <w:t>、</w:t>
      </w:r>
      <w:r w:rsidRPr="002B7322">
        <w:rPr>
          <w:bCs/>
          <w:color w:val="000000" w:themeColor="text1"/>
          <w:sz w:val="24"/>
          <w:szCs w:val="24"/>
        </w:rPr>
        <w:t>NH</w:t>
      </w:r>
      <w:r w:rsidRPr="002B7322">
        <w:rPr>
          <w:bCs/>
          <w:color w:val="000000" w:themeColor="text1"/>
          <w:sz w:val="24"/>
          <w:szCs w:val="24"/>
          <w:vertAlign w:val="subscript"/>
        </w:rPr>
        <w:t>3</w:t>
      </w:r>
      <w:r w:rsidRPr="002B7322">
        <w:rPr>
          <w:bCs/>
          <w:color w:val="000000" w:themeColor="text1"/>
          <w:sz w:val="24"/>
          <w:szCs w:val="24"/>
        </w:rPr>
        <w:t>-N</w:t>
      </w:r>
      <w:r w:rsidRPr="002B7322">
        <w:rPr>
          <w:bCs/>
          <w:color w:val="000000" w:themeColor="text1"/>
          <w:sz w:val="24"/>
          <w:szCs w:val="24"/>
        </w:rPr>
        <w:t>、</w:t>
      </w:r>
      <w:r w:rsidRPr="002B7322">
        <w:rPr>
          <w:bCs/>
          <w:color w:val="000000" w:themeColor="text1"/>
          <w:sz w:val="24"/>
          <w:szCs w:val="24"/>
        </w:rPr>
        <w:t>TP</w:t>
      </w:r>
      <w:r w:rsidRPr="002B7322">
        <w:rPr>
          <w:bCs/>
          <w:color w:val="000000" w:themeColor="text1"/>
          <w:sz w:val="24"/>
          <w:szCs w:val="24"/>
        </w:rPr>
        <w:t>入河量分别为</w:t>
      </w:r>
      <w:r w:rsidRPr="002B7322">
        <w:rPr>
          <w:bCs/>
          <w:color w:val="000000" w:themeColor="text1"/>
          <w:sz w:val="24"/>
          <w:szCs w:val="24"/>
        </w:rPr>
        <w:t>1496.66t/a</w:t>
      </w:r>
      <w:r w:rsidRPr="002B7322">
        <w:rPr>
          <w:bCs/>
          <w:color w:val="000000" w:themeColor="text1"/>
          <w:sz w:val="24"/>
          <w:szCs w:val="24"/>
        </w:rPr>
        <w:t>、</w:t>
      </w:r>
      <w:r w:rsidRPr="002B7322">
        <w:rPr>
          <w:bCs/>
          <w:color w:val="000000" w:themeColor="text1"/>
          <w:sz w:val="24"/>
          <w:szCs w:val="24"/>
        </w:rPr>
        <w:t>69.76t/a</w:t>
      </w:r>
      <w:r w:rsidRPr="002B7322">
        <w:rPr>
          <w:bCs/>
          <w:color w:val="000000" w:themeColor="text1"/>
          <w:sz w:val="24"/>
          <w:szCs w:val="24"/>
        </w:rPr>
        <w:t>、</w:t>
      </w:r>
      <w:r w:rsidRPr="002B7322">
        <w:rPr>
          <w:bCs/>
          <w:color w:val="000000" w:themeColor="text1"/>
          <w:sz w:val="24"/>
          <w:szCs w:val="24"/>
        </w:rPr>
        <w:t>59.97t/a</w:t>
      </w:r>
      <w:r w:rsidRPr="002B7322">
        <w:rPr>
          <w:bCs/>
          <w:color w:val="000000" w:themeColor="text1"/>
          <w:sz w:val="24"/>
          <w:szCs w:val="24"/>
        </w:rPr>
        <w:t>。其中，沙珠玉河流域</w:t>
      </w:r>
      <w:r w:rsidRPr="002B7322">
        <w:rPr>
          <w:bCs/>
          <w:color w:val="000000" w:themeColor="text1"/>
          <w:sz w:val="24"/>
          <w:szCs w:val="24"/>
        </w:rPr>
        <w:t>COD</w:t>
      </w:r>
      <w:r w:rsidRPr="002B7322">
        <w:rPr>
          <w:bCs/>
          <w:color w:val="000000" w:themeColor="text1"/>
          <w:sz w:val="24"/>
          <w:szCs w:val="24"/>
        </w:rPr>
        <w:t>、</w:t>
      </w:r>
      <w:r w:rsidRPr="002B7322">
        <w:rPr>
          <w:bCs/>
          <w:color w:val="000000" w:themeColor="text1"/>
          <w:sz w:val="24"/>
          <w:szCs w:val="24"/>
        </w:rPr>
        <w:t>NH</w:t>
      </w:r>
      <w:r w:rsidRPr="002B7322">
        <w:rPr>
          <w:bCs/>
          <w:color w:val="000000" w:themeColor="text1"/>
          <w:sz w:val="24"/>
          <w:szCs w:val="24"/>
          <w:vertAlign w:val="subscript"/>
        </w:rPr>
        <w:t>3</w:t>
      </w:r>
      <w:r w:rsidRPr="002B7322">
        <w:rPr>
          <w:bCs/>
          <w:color w:val="000000" w:themeColor="text1"/>
          <w:sz w:val="24"/>
          <w:szCs w:val="24"/>
        </w:rPr>
        <w:t>-N</w:t>
      </w:r>
      <w:r w:rsidRPr="002B7322">
        <w:rPr>
          <w:bCs/>
          <w:color w:val="000000" w:themeColor="text1"/>
          <w:sz w:val="24"/>
          <w:szCs w:val="24"/>
        </w:rPr>
        <w:t>、</w:t>
      </w:r>
      <w:r w:rsidRPr="002B7322">
        <w:rPr>
          <w:bCs/>
          <w:color w:val="000000" w:themeColor="text1"/>
          <w:sz w:val="24"/>
          <w:szCs w:val="24"/>
        </w:rPr>
        <w:t>TP</w:t>
      </w:r>
      <w:r w:rsidRPr="002B7322">
        <w:rPr>
          <w:bCs/>
          <w:color w:val="000000" w:themeColor="text1"/>
          <w:sz w:val="24"/>
          <w:szCs w:val="24"/>
        </w:rPr>
        <w:t>入河量分别为</w:t>
      </w:r>
      <w:r w:rsidRPr="002B7322">
        <w:rPr>
          <w:bCs/>
          <w:color w:val="000000" w:themeColor="text1"/>
          <w:sz w:val="24"/>
          <w:szCs w:val="24"/>
        </w:rPr>
        <w:t>271.15t/a</w:t>
      </w:r>
      <w:r w:rsidRPr="002B7322">
        <w:rPr>
          <w:bCs/>
          <w:color w:val="000000" w:themeColor="text1"/>
          <w:sz w:val="24"/>
          <w:szCs w:val="24"/>
        </w:rPr>
        <w:t>、</w:t>
      </w:r>
      <w:r w:rsidRPr="002B7322">
        <w:rPr>
          <w:bCs/>
          <w:color w:val="000000" w:themeColor="text1"/>
          <w:sz w:val="24"/>
          <w:szCs w:val="24"/>
        </w:rPr>
        <w:t>4.71t/a</w:t>
      </w:r>
      <w:r w:rsidRPr="002B7322">
        <w:rPr>
          <w:bCs/>
          <w:color w:val="000000" w:themeColor="text1"/>
          <w:sz w:val="24"/>
          <w:szCs w:val="24"/>
        </w:rPr>
        <w:t>、</w:t>
      </w:r>
      <w:r w:rsidRPr="002B7322">
        <w:rPr>
          <w:bCs/>
          <w:color w:val="000000" w:themeColor="text1"/>
          <w:sz w:val="24"/>
          <w:szCs w:val="24"/>
        </w:rPr>
        <w:t>16.60t/a</w:t>
      </w:r>
      <w:r w:rsidRPr="002B7322">
        <w:rPr>
          <w:bCs/>
          <w:color w:val="000000" w:themeColor="text1"/>
          <w:sz w:val="24"/>
          <w:szCs w:val="24"/>
        </w:rPr>
        <w:t>。详见</w:t>
      </w:r>
      <w:r w:rsidR="00F32CCA" w:rsidRPr="002B7322">
        <w:rPr>
          <w:bCs/>
          <w:color w:val="000000" w:themeColor="text1"/>
          <w:sz w:val="24"/>
          <w:szCs w:val="24"/>
        </w:rPr>
        <w:t>表</w:t>
      </w:r>
      <w:r w:rsidR="00F32CCA" w:rsidRPr="002B7322">
        <w:rPr>
          <w:bCs/>
          <w:color w:val="000000" w:themeColor="text1"/>
          <w:sz w:val="24"/>
          <w:szCs w:val="24"/>
        </w:rPr>
        <w:t>5.2</w:t>
      </w:r>
      <w:r w:rsidR="00F32CCA" w:rsidRPr="002B7322">
        <w:rPr>
          <w:bCs/>
          <w:color w:val="000000" w:themeColor="text1"/>
          <w:sz w:val="24"/>
          <w:szCs w:val="24"/>
        </w:rPr>
        <w:noBreakHyphen/>
        <w:t>6</w:t>
      </w:r>
      <w:r w:rsidRPr="002B7322">
        <w:rPr>
          <w:bCs/>
          <w:color w:val="000000" w:themeColor="text1"/>
          <w:sz w:val="24"/>
          <w:szCs w:val="24"/>
        </w:rPr>
        <w:t>。</w:t>
      </w:r>
    </w:p>
    <w:p w14:paraId="1F284476" w14:textId="29F8CF93" w:rsidR="00054437" w:rsidRPr="002B7322" w:rsidRDefault="00000000">
      <w:pPr>
        <w:pStyle w:val="aff8"/>
        <w:rPr>
          <w:color w:val="auto"/>
        </w:rPr>
      </w:pPr>
      <w:bookmarkStart w:id="390" w:name="_Ref214983297"/>
      <w:r w:rsidRPr="002B7322">
        <w:rPr>
          <w:color w:val="auto"/>
        </w:rPr>
        <w:t>表</w:t>
      </w:r>
      <w:r w:rsidR="00372953" w:rsidRPr="002B7322">
        <w:rPr>
          <w:color w:val="auto"/>
        </w:rPr>
        <w:fldChar w:fldCharType="begin"/>
      </w:r>
      <w:r w:rsidR="00372953" w:rsidRPr="002B7322">
        <w:rPr>
          <w:color w:val="auto"/>
        </w:rPr>
        <w:instrText xml:space="preserve"> STYLEREF 2 \s </w:instrText>
      </w:r>
      <w:r w:rsidR="00372953" w:rsidRPr="002B7322">
        <w:rPr>
          <w:color w:val="auto"/>
        </w:rPr>
        <w:fldChar w:fldCharType="separate"/>
      </w:r>
      <w:r w:rsidR="00372953" w:rsidRPr="002B7322">
        <w:rPr>
          <w:noProof/>
          <w:color w:val="auto"/>
        </w:rPr>
        <w:t>5.2</w:t>
      </w:r>
      <w:r w:rsidR="00372953" w:rsidRPr="002B7322">
        <w:rPr>
          <w:color w:val="auto"/>
        </w:rPr>
        <w:fldChar w:fldCharType="end"/>
      </w:r>
      <w:r w:rsidR="00372953" w:rsidRPr="002B7322">
        <w:rPr>
          <w:color w:val="auto"/>
        </w:rPr>
        <w:noBreakHyphen/>
      </w:r>
      <w:r w:rsidR="00372953" w:rsidRPr="002B7322">
        <w:rPr>
          <w:color w:val="auto"/>
        </w:rPr>
        <w:fldChar w:fldCharType="begin"/>
      </w:r>
      <w:r w:rsidR="00372953" w:rsidRPr="002B7322">
        <w:rPr>
          <w:color w:val="auto"/>
        </w:rPr>
        <w:instrText xml:space="preserve"> SEQ </w:instrText>
      </w:r>
      <w:r w:rsidR="00372953" w:rsidRPr="002B7322">
        <w:rPr>
          <w:color w:val="auto"/>
        </w:rPr>
        <w:instrText>表</w:instrText>
      </w:r>
      <w:r w:rsidR="00372953" w:rsidRPr="002B7322">
        <w:rPr>
          <w:color w:val="auto"/>
        </w:rPr>
        <w:instrText xml:space="preserve"> \* ARABIC \s 2 </w:instrText>
      </w:r>
      <w:r w:rsidR="00372953" w:rsidRPr="002B7322">
        <w:rPr>
          <w:color w:val="auto"/>
        </w:rPr>
        <w:fldChar w:fldCharType="separate"/>
      </w:r>
      <w:r w:rsidR="00372953" w:rsidRPr="002B7322">
        <w:rPr>
          <w:noProof/>
          <w:color w:val="auto"/>
        </w:rPr>
        <w:t>6</w:t>
      </w:r>
      <w:r w:rsidR="00372953" w:rsidRPr="002B7322">
        <w:rPr>
          <w:color w:val="auto"/>
        </w:rPr>
        <w:fldChar w:fldCharType="end"/>
      </w:r>
      <w:bookmarkEnd w:id="390"/>
      <w:r w:rsidRPr="002B7322">
        <w:rPr>
          <w:color w:val="auto"/>
        </w:rPr>
        <w:t>规划年共和县、兴海县污染物入河总量情况</w:t>
      </w:r>
    </w:p>
    <w:tbl>
      <w:tblPr>
        <w:tblW w:w="5000" w:type="pct"/>
        <w:tblLayout w:type="fixed"/>
        <w:tblLook w:val="04A0" w:firstRow="1" w:lastRow="0" w:firstColumn="1" w:lastColumn="0" w:noHBand="0" w:noVBand="1"/>
      </w:tblPr>
      <w:tblGrid>
        <w:gridCol w:w="988"/>
        <w:gridCol w:w="1398"/>
        <w:gridCol w:w="1116"/>
        <w:gridCol w:w="1096"/>
        <w:gridCol w:w="1096"/>
        <w:gridCol w:w="1116"/>
        <w:gridCol w:w="1096"/>
        <w:gridCol w:w="1096"/>
        <w:gridCol w:w="1640"/>
        <w:gridCol w:w="1116"/>
        <w:gridCol w:w="1096"/>
        <w:gridCol w:w="1094"/>
      </w:tblGrid>
      <w:tr w:rsidR="000549B1" w:rsidRPr="002B7322" w14:paraId="678F0979" w14:textId="77777777">
        <w:trPr>
          <w:trHeight w:val="270"/>
        </w:trPr>
        <w:tc>
          <w:tcPr>
            <w:tcW w:w="354" w:type="pct"/>
            <w:vMerge w:val="restart"/>
            <w:tcBorders>
              <w:top w:val="single" w:sz="4" w:space="0" w:color="000000"/>
              <w:left w:val="single" w:sz="4" w:space="0" w:color="000000"/>
              <w:bottom w:val="single" w:sz="4" w:space="0" w:color="000000"/>
              <w:right w:val="single" w:sz="4" w:space="0" w:color="000000"/>
            </w:tcBorders>
            <w:noWrap/>
            <w:vAlign w:val="center"/>
          </w:tcPr>
          <w:p w14:paraId="66D7221B" w14:textId="77777777" w:rsidR="00054437" w:rsidRPr="002B7322" w:rsidRDefault="00000000">
            <w:pPr>
              <w:widowControl/>
              <w:jc w:val="center"/>
              <w:textAlignment w:val="center"/>
              <w:rPr>
                <w:b/>
                <w:bCs/>
                <w:szCs w:val="21"/>
              </w:rPr>
            </w:pPr>
            <w:r w:rsidRPr="002B7322">
              <w:rPr>
                <w:b/>
                <w:bCs/>
                <w:kern w:val="0"/>
                <w:szCs w:val="21"/>
                <w:lang w:bidi="ar"/>
              </w:rPr>
              <w:t>区县</w:t>
            </w:r>
          </w:p>
        </w:tc>
        <w:tc>
          <w:tcPr>
            <w:tcW w:w="1687" w:type="pct"/>
            <w:gridSpan w:val="4"/>
            <w:tcBorders>
              <w:top w:val="single" w:sz="4" w:space="0" w:color="000000"/>
              <w:left w:val="single" w:sz="4" w:space="0" w:color="000000"/>
              <w:bottom w:val="single" w:sz="4" w:space="0" w:color="000000"/>
              <w:right w:val="single" w:sz="4" w:space="0" w:color="000000"/>
            </w:tcBorders>
            <w:noWrap/>
            <w:vAlign w:val="bottom"/>
          </w:tcPr>
          <w:p w14:paraId="66444B56" w14:textId="77777777" w:rsidR="00054437" w:rsidRPr="002B7322" w:rsidRDefault="00000000">
            <w:pPr>
              <w:widowControl/>
              <w:jc w:val="center"/>
              <w:textAlignment w:val="bottom"/>
              <w:rPr>
                <w:b/>
                <w:bCs/>
                <w:szCs w:val="21"/>
              </w:rPr>
            </w:pPr>
            <w:r w:rsidRPr="002B7322">
              <w:rPr>
                <w:b/>
                <w:bCs/>
                <w:kern w:val="0"/>
                <w:szCs w:val="21"/>
                <w:lang w:bidi="ar"/>
              </w:rPr>
              <w:t>点源</w:t>
            </w:r>
          </w:p>
        </w:tc>
        <w:tc>
          <w:tcPr>
            <w:tcW w:w="1186" w:type="pct"/>
            <w:gridSpan w:val="3"/>
            <w:tcBorders>
              <w:top w:val="single" w:sz="4" w:space="0" w:color="000000"/>
              <w:left w:val="single" w:sz="4" w:space="0" w:color="000000"/>
              <w:bottom w:val="single" w:sz="4" w:space="0" w:color="000000"/>
              <w:right w:val="single" w:sz="4" w:space="0" w:color="000000"/>
            </w:tcBorders>
            <w:noWrap/>
            <w:vAlign w:val="bottom"/>
          </w:tcPr>
          <w:p w14:paraId="650B00CD" w14:textId="77777777" w:rsidR="00054437" w:rsidRPr="002B7322" w:rsidRDefault="00000000">
            <w:pPr>
              <w:widowControl/>
              <w:jc w:val="center"/>
              <w:textAlignment w:val="bottom"/>
              <w:rPr>
                <w:b/>
                <w:bCs/>
                <w:szCs w:val="21"/>
              </w:rPr>
            </w:pPr>
            <w:r w:rsidRPr="002B7322">
              <w:rPr>
                <w:b/>
                <w:bCs/>
                <w:kern w:val="0"/>
                <w:szCs w:val="21"/>
                <w:lang w:bidi="ar"/>
              </w:rPr>
              <w:t>面源</w:t>
            </w:r>
          </w:p>
        </w:tc>
        <w:tc>
          <w:tcPr>
            <w:tcW w:w="1773" w:type="pct"/>
            <w:gridSpan w:val="4"/>
            <w:tcBorders>
              <w:top w:val="single" w:sz="4" w:space="0" w:color="000000"/>
              <w:left w:val="single" w:sz="4" w:space="0" w:color="000000"/>
              <w:bottom w:val="single" w:sz="4" w:space="0" w:color="000000"/>
              <w:right w:val="single" w:sz="4" w:space="0" w:color="000000"/>
            </w:tcBorders>
            <w:noWrap/>
            <w:vAlign w:val="bottom"/>
          </w:tcPr>
          <w:p w14:paraId="722A9B27" w14:textId="77777777" w:rsidR="00054437" w:rsidRPr="002B7322" w:rsidRDefault="00000000">
            <w:pPr>
              <w:widowControl/>
              <w:jc w:val="center"/>
              <w:textAlignment w:val="bottom"/>
              <w:rPr>
                <w:b/>
                <w:bCs/>
                <w:szCs w:val="21"/>
              </w:rPr>
            </w:pPr>
            <w:r w:rsidRPr="002B7322">
              <w:rPr>
                <w:b/>
                <w:bCs/>
                <w:kern w:val="0"/>
                <w:szCs w:val="21"/>
                <w:lang w:bidi="ar"/>
              </w:rPr>
              <w:t>点源</w:t>
            </w:r>
            <w:r w:rsidRPr="002B7322">
              <w:rPr>
                <w:b/>
                <w:bCs/>
                <w:kern w:val="0"/>
                <w:szCs w:val="21"/>
                <w:lang w:bidi="ar"/>
              </w:rPr>
              <w:t>+</w:t>
            </w:r>
            <w:r w:rsidRPr="002B7322">
              <w:rPr>
                <w:b/>
                <w:bCs/>
                <w:kern w:val="0"/>
                <w:szCs w:val="21"/>
                <w:lang w:bidi="ar"/>
              </w:rPr>
              <w:t>面源</w:t>
            </w:r>
          </w:p>
        </w:tc>
      </w:tr>
      <w:tr w:rsidR="000549B1" w:rsidRPr="002B7322" w14:paraId="5D5FE60F" w14:textId="77777777">
        <w:trPr>
          <w:trHeight w:val="270"/>
        </w:trPr>
        <w:tc>
          <w:tcPr>
            <w:tcW w:w="354" w:type="pct"/>
            <w:vMerge/>
            <w:tcBorders>
              <w:top w:val="single" w:sz="4" w:space="0" w:color="000000"/>
              <w:left w:val="single" w:sz="4" w:space="0" w:color="000000"/>
              <w:bottom w:val="single" w:sz="4" w:space="0" w:color="000000"/>
              <w:right w:val="single" w:sz="4" w:space="0" w:color="000000"/>
            </w:tcBorders>
            <w:noWrap/>
            <w:vAlign w:val="center"/>
          </w:tcPr>
          <w:p w14:paraId="756B4CC8" w14:textId="77777777" w:rsidR="00054437" w:rsidRPr="002B7322" w:rsidRDefault="00054437">
            <w:pPr>
              <w:jc w:val="center"/>
              <w:rPr>
                <w:b/>
                <w:bCs/>
                <w:szCs w:val="21"/>
              </w:rPr>
            </w:pPr>
          </w:p>
        </w:tc>
        <w:tc>
          <w:tcPr>
            <w:tcW w:w="501" w:type="pct"/>
            <w:tcBorders>
              <w:top w:val="single" w:sz="4" w:space="0" w:color="000000"/>
              <w:left w:val="single" w:sz="4" w:space="0" w:color="000000"/>
              <w:bottom w:val="single" w:sz="4" w:space="0" w:color="000000"/>
              <w:right w:val="single" w:sz="4" w:space="0" w:color="000000"/>
            </w:tcBorders>
            <w:noWrap/>
            <w:vAlign w:val="bottom"/>
          </w:tcPr>
          <w:p w14:paraId="306D8F17" w14:textId="77777777" w:rsidR="00054437" w:rsidRPr="002B7322" w:rsidRDefault="00000000">
            <w:pPr>
              <w:widowControl/>
              <w:jc w:val="center"/>
              <w:textAlignment w:val="bottom"/>
              <w:rPr>
                <w:szCs w:val="21"/>
              </w:rPr>
            </w:pPr>
            <w:r w:rsidRPr="002B7322">
              <w:rPr>
                <w:kern w:val="0"/>
                <w:szCs w:val="21"/>
                <w:lang w:bidi="ar"/>
              </w:rPr>
              <w:t>污水量（万</w:t>
            </w:r>
            <w:r w:rsidRPr="002B7322">
              <w:rPr>
                <w:kern w:val="0"/>
                <w:szCs w:val="21"/>
                <w:lang w:bidi="ar"/>
              </w:rPr>
              <w:t>m</w:t>
            </w:r>
            <w:r w:rsidRPr="002B7322">
              <w:rPr>
                <w:kern w:val="0"/>
                <w:szCs w:val="21"/>
                <w:vertAlign w:val="superscript"/>
                <w:lang w:bidi="ar"/>
              </w:rPr>
              <w:t>3</w:t>
            </w:r>
            <w:r w:rsidRPr="002B7322">
              <w:rPr>
                <w:kern w:val="0"/>
                <w:szCs w:val="21"/>
                <w:lang w:bidi="ar"/>
              </w:rPr>
              <w:t>/a</w:t>
            </w:r>
            <w:r w:rsidRPr="002B7322">
              <w:rPr>
                <w:kern w:val="0"/>
                <w:szCs w:val="21"/>
                <w:lang w:bidi="ar"/>
              </w:rPr>
              <w:t>）</w:t>
            </w:r>
          </w:p>
        </w:tc>
        <w:tc>
          <w:tcPr>
            <w:tcW w:w="400" w:type="pct"/>
            <w:tcBorders>
              <w:top w:val="single" w:sz="4" w:space="0" w:color="000000"/>
              <w:left w:val="single" w:sz="4" w:space="0" w:color="000000"/>
              <w:bottom w:val="single" w:sz="4" w:space="0" w:color="000000"/>
              <w:right w:val="single" w:sz="4" w:space="0" w:color="000000"/>
            </w:tcBorders>
            <w:noWrap/>
            <w:vAlign w:val="bottom"/>
          </w:tcPr>
          <w:p w14:paraId="761737B3" w14:textId="77777777" w:rsidR="00054437" w:rsidRPr="002B7322" w:rsidRDefault="00000000">
            <w:pPr>
              <w:widowControl/>
              <w:jc w:val="center"/>
              <w:textAlignment w:val="bottom"/>
              <w:rPr>
                <w:szCs w:val="21"/>
              </w:rPr>
            </w:pPr>
            <w:r w:rsidRPr="002B7322">
              <w:rPr>
                <w:kern w:val="0"/>
                <w:szCs w:val="21"/>
                <w:lang w:bidi="ar"/>
              </w:rPr>
              <w:t>COD</w:t>
            </w:r>
            <w:r w:rsidRPr="002B7322">
              <w:rPr>
                <w:kern w:val="0"/>
                <w:szCs w:val="21"/>
                <w:lang w:bidi="ar"/>
              </w:rPr>
              <w:t>（</w:t>
            </w:r>
            <w:r w:rsidRPr="002B7322">
              <w:rPr>
                <w:kern w:val="0"/>
                <w:szCs w:val="21"/>
                <w:lang w:bidi="ar"/>
              </w:rPr>
              <w:t>t/a</w:t>
            </w:r>
            <w:r w:rsidRPr="002B7322">
              <w:rPr>
                <w:kern w:val="0"/>
                <w:szCs w:val="21"/>
                <w:lang w:bidi="ar"/>
              </w:rPr>
              <w:t>）</w:t>
            </w:r>
          </w:p>
        </w:tc>
        <w:tc>
          <w:tcPr>
            <w:tcW w:w="393" w:type="pct"/>
            <w:tcBorders>
              <w:top w:val="single" w:sz="4" w:space="0" w:color="000000"/>
              <w:left w:val="single" w:sz="4" w:space="0" w:color="000000"/>
              <w:bottom w:val="single" w:sz="4" w:space="0" w:color="000000"/>
              <w:right w:val="single" w:sz="4" w:space="0" w:color="000000"/>
            </w:tcBorders>
            <w:noWrap/>
            <w:vAlign w:val="bottom"/>
          </w:tcPr>
          <w:p w14:paraId="73C0BFC4" w14:textId="77777777" w:rsidR="00054437" w:rsidRPr="002B7322" w:rsidRDefault="00000000">
            <w:pPr>
              <w:widowControl/>
              <w:jc w:val="center"/>
              <w:textAlignment w:val="bottom"/>
              <w:rPr>
                <w:szCs w:val="21"/>
              </w:rPr>
            </w:pPr>
            <w:r w:rsidRPr="002B7322">
              <w:rPr>
                <w:kern w:val="0"/>
                <w:szCs w:val="21"/>
                <w:lang w:bidi="ar"/>
              </w:rPr>
              <w:t>氨氮（</w:t>
            </w:r>
            <w:r w:rsidRPr="002B7322">
              <w:rPr>
                <w:kern w:val="0"/>
                <w:szCs w:val="21"/>
                <w:lang w:bidi="ar"/>
              </w:rPr>
              <w:t>t/a</w:t>
            </w:r>
            <w:r w:rsidRPr="002B7322">
              <w:rPr>
                <w:kern w:val="0"/>
                <w:szCs w:val="21"/>
                <w:lang w:bidi="ar"/>
              </w:rPr>
              <w:t>）</w:t>
            </w:r>
          </w:p>
        </w:tc>
        <w:tc>
          <w:tcPr>
            <w:tcW w:w="393" w:type="pct"/>
            <w:tcBorders>
              <w:top w:val="single" w:sz="4" w:space="0" w:color="000000"/>
              <w:left w:val="single" w:sz="4" w:space="0" w:color="000000"/>
              <w:bottom w:val="single" w:sz="4" w:space="0" w:color="000000"/>
              <w:right w:val="single" w:sz="4" w:space="0" w:color="000000"/>
            </w:tcBorders>
            <w:noWrap/>
            <w:vAlign w:val="bottom"/>
          </w:tcPr>
          <w:p w14:paraId="4489B837" w14:textId="77777777" w:rsidR="00054437" w:rsidRPr="002B7322" w:rsidRDefault="00000000">
            <w:pPr>
              <w:widowControl/>
              <w:jc w:val="center"/>
              <w:textAlignment w:val="bottom"/>
              <w:rPr>
                <w:szCs w:val="21"/>
              </w:rPr>
            </w:pPr>
            <w:r w:rsidRPr="002B7322">
              <w:rPr>
                <w:kern w:val="0"/>
                <w:szCs w:val="21"/>
                <w:lang w:bidi="ar"/>
              </w:rPr>
              <w:t>总磷（</w:t>
            </w:r>
            <w:r w:rsidRPr="002B7322">
              <w:rPr>
                <w:kern w:val="0"/>
                <w:szCs w:val="21"/>
                <w:lang w:bidi="ar"/>
              </w:rPr>
              <w:t>t/a</w:t>
            </w:r>
            <w:r w:rsidRPr="002B7322">
              <w:rPr>
                <w:kern w:val="0"/>
                <w:szCs w:val="21"/>
                <w:lang w:bidi="ar"/>
              </w:rPr>
              <w:t>）</w:t>
            </w:r>
          </w:p>
        </w:tc>
        <w:tc>
          <w:tcPr>
            <w:tcW w:w="400" w:type="pct"/>
            <w:tcBorders>
              <w:top w:val="single" w:sz="4" w:space="0" w:color="000000"/>
              <w:left w:val="single" w:sz="4" w:space="0" w:color="000000"/>
              <w:bottom w:val="single" w:sz="4" w:space="0" w:color="000000"/>
              <w:right w:val="single" w:sz="4" w:space="0" w:color="000000"/>
            </w:tcBorders>
            <w:noWrap/>
            <w:vAlign w:val="bottom"/>
          </w:tcPr>
          <w:p w14:paraId="726CF31D" w14:textId="77777777" w:rsidR="00054437" w:rsidRPr="002B7322" w:rsidRDefault="00000000">
            <w:pPr>
              <w:widowControl/>
              <w:jc w:val="center"/>
              <w:textAlignment w:val="bottom"/>
              <w:rPr>
                <w:szCs w:val="21"/>
              </w:rPr>
            </w:pPr>
            <w:r w:rsidRPr="002B7322">
              <w:rPr>
                <w:kern w:val="0"/>
                <w:szCs w:val="21"/>
                <w:lang w:bidi="ar"/>
              </w:rPr>
              <w:t>COD</w:t>
            </w:r>
            <w:r w:rsidRPr="002B7322">
              <w:rPr>
                <w:kern w:val="0"/>
                <w:szCs w:val="21"/>
                <w:lang w:bidi="ar"/>
              </w:rPr>
              <w:t>（</w:t>
            </w:r>
            <w:r w:rsidRPr="002B7322">
              <w:rPr>
                <w:kern w:val="0"/>
                <w:szCs w:val="21"/>
                <w:lang w:bidi="ar"/>
              </w:rPr>
              <w:t>t/a</w:t>
            </w:r>
            <w:r w:rsidRPr="002B7322">
              <w:rPr>
                <w:kern w:val="0"/>
                <w:szCs w:val="21"/>
                <w:lang w:bidi="ar"/>
              </w:rPr>
              <w:t>）</w:t>
            </w:r>
          </w:p>
        </w:tc>
        <w:tc>
          <w:tcPr>
            <w:tcW w:w="393" w:type="pct"/>
            <w:tcBorders>
              <w:top w:val="single" w:sz="4" w:space="0" w:color="000000"/>
              <w:left w:val="single" w:sz="4" w:space="0" w:color="000000"/>
              <w:bottom w:val="single" w:sz="4" w:space="0" w:color="000000"/>
              <w:right w:val="single" w:sz="4" w:space="0" w:color="000000"/>
            </w:tcBorders>
            <w:noWrap/>
            <w:vAlign w:val="bottom"/>
          </w:tcPr>
          <w:p w14:paraId="58B79745" w14:textId="77777777" w:rsidR="00054437" w:rsidRPr="002B7322" w:rsidRDefault="00000000">
            <w:pPr>
              <w:widowControl/>
              <w:jc w:val="center"/>
              <w:textAlignment w:val="bottom"/>
              <w:rPr>
                <w:szCs w:val="21"/>
              </w:rPr>
            </w:pPr>
            <w:r w:rsidRPr="002B7322">
              <w:rPr>
                <w:kern w:val="0"/>
                <w:szCs w:val="21"/>
                <w:lang w:bidi="ar"/>
              </w:rPr>
              <w:t>氨氮（</w:t>
            </w:r>
            <w:r w:rsidRPr="002B7322">
              <w:rPr>
                <w:kern w:val="0"/>
                <w:szCs w:val="21"/>
                <w:lang w:bidi="ar"/>
              </w:rPr>
              <w:t>t/a</w:t>
            </w:r>
            <w:r w:rsidRPr="002B7322">
              <w:rPr>
                <w:kern w:val="0"/>
                <w:szCs w:val="21"/>
                <w:lang w:bidi="ar"/>
              </w:rPr>
              <w:t>）</w:t>
            </w:r>
          </w:p>
        </w:tc>
        <w:tc>
          <w:tcPr>
            <w:tcW w:w="393" w:type="pct"/>
            <w:tcBorders>
              <w:top w:val="single" w:sz="4" w:space="0" w:color="000000"/>
              <w:left w:val="single" w:sz="4" w:space="0" w:color="000000"/>
              <w:bottom w:val="single" w:sz="4" w:space="0" w:color="000000"/>
              <w:right w:val="single" w:sz="4" w:space="0" w:color="000000"/>
            </w:tcBorders>
            <w:noWrap/>
            <w:vAlign w:val="bottom"/>
          </w:tcPr>
          <w:p w14:paraId="16331619" w14:textId="77777777" w:rsidR="00054437" w:rsidRPr="002B7322" w:rsidRDefault="00000000">
            <w:pPr>
              <w:widowControl/>
              <w:jc w:val="center"/>
              <w:textAlignment w:val="bottom"/>
              <w:rPr>
                <w:szCs w:val="21"/>
              </w:rPr>
            </w:pPr>
            <w:r w:rsidRPr="002B7322">
              <w:rPr>
                <w:kern w:val="0"/>
                <w:szCs w:val="21"/>
                <w:lang w:bidi="ar"/>
              </w:rPr>
              <w:t>总磷（</w:t>
            </w:r>
            <w:r w:rsidRPr="002B7322">
              <w:rPr>
                <w:kern w:val="0"/>
                <w:szCs w:val="21"/>
                <w:lang w:bidi="ar"/>
              </w:rPr>
              <w:t>t/a</w:t>
            </w:r>
            <w:r w:rsidRPr="002B7322">
              <w:rPr>
                <w:kern w:val="0"/>
                <w:szCs w:val="21"/>
                <w:lang w:bidi="ar"/>
              </w:rPr>
              <w:t>）</w:t>
            </w:r>
          </w:p>
        </w:tc>
        <w:tc>
          <w:tcPr>
            <w:tcW w:w="588" w:type="pct"/>
            <w:tcBorders>
              <w:top w:val="single" w:sz="4" w:space="0" w:color="000000"/>
              <w:left w:val="single" w:sz="4" w:space="0" w:color="000000"/>
              <w:bottom w:val="single" w:sz="4" w:space="0" w:color="000000"/>
              <w:right w:val="single" w:sz="4" w:space="0" w:color="000000"/>
            </w:tcBorders>
            <w:noWrap/>
            <w:vAlign w:val="bottom"/>
          </w:tcPr>
          <w:p w14:paraId="40E3835D" w14:textId="77777777" w:rsidR="00054437" w:rsidRPr="002B7322" w:rsidRDefault="00000000">
            <w:pPr>
              <w:widowControl/>
              <w:jc w:val="center"/>
              <w:textAlignment w:val="bottom"/>
              <w:rPr>
                <w:szCs w:val="21"/>
              </w:rPr>
            </w:pPr>
            <w:r w:rsidRPr="002B7322">
              <w:rPr>
                <w:kern w:val="0"/>
                <w:szCs w:val="21"/>
                <w:lang w:bidi="ar"/>
              </w:rPr>
              <w:t>污水量（万</w:t>
            </w:r>
            <w:r w:rsidRPr="002B7322">
              <w:rPr>
                <w:kern w:val="0"/>
                <w:szCs w:val="21"/>
                <w:lang w:bidi="ar"/>
              </w:rPr>
              <w:t>m</w:t>
            </w:r>
            <w:r w:rsidRPr="002B7322">
              <w:rPr>
                <w:kern w:val="0"/>
                <w:szCs w:val="21"/>
                <w:vertAlign w:val="superscript"/>
                <w:lang w:bidi="ar"/>
              </w:rPr>
              <w:t>3</w:t>
            </w:r>
            <w:r w:rsidRPr="002B7322">
              <w:rPr>
                <w:kern w:val="0"/>
                <w:szCs w:val="21"/>
                <w:lang w:bidi="ar"/>
              </w:rPr>
              <w:t>/a</w:t>
            </w:r>
            <w:r w:rsidRPr="002B7322">
              <w:rPr>
                <w:kern w:val="0"/>
                <w:szCs w:val="21"/>
                <w:lang w:bidi="ar"/>
              </w:rPr>
              <w:t>）</w:t>
            </w:r>
          </w:p>
        </w:tc>
        <w:tc>
          <w:tcPr>
            <w:tcW w:w="400" w:type="pct"/>
            <w:tcBorders>
              <w:top w:val="single" w:sz="4" w:space="0" w:color="000000"/>
              <w:left w:val="single" w:sz="4" w:space="0" w:color="000000"/>
              <w:bottom w:val="single" w:sz="4" w:space="0" w:color="000000"/>
              <w:right w:val="single" w:sz="4" w:space="0" w:color="000000"/>
            </w:tcBorders>
            <w:noWrap/>
            <w:vAlign w:val="bottom"/>
          </w:tcPr>
          <w:p w14:paraId="73336F28" w14:textId="77777777" w:rsidR="00054437" w:rsidRPr="002B7322" w:rsidRDefault="00000000">
            <w:pPr>
              <w:widowControl/>
              <w:jc w:val="center"/>
              <w:textAlignment w:val="bottom"/>
              <w:rPr>
                <w:szCs w:val="21"/>
              </w:rPr>
            </w:pPr>
            <w:r w:rsidRPr="002B7322">
              <w:rPr>
                <w:kern w:val="0"/>
                <w:szCs w:val="21"/>
                <w:lang w:bidi="ar"/>
              </w:rPr>
              <w:t>COD</w:t>
            </w:r>
            <w:r w:rsidRPr="002B7322">
              <w:rPr>
                <w:kern w:val="0"/>
                <w:szCs w:val="21"/>
                <w:lang w:bidi="ar"/>
              </w:rPr>
              <w:t>（</w:t>
            </w:r>
            <w:r w:rsidRPr="002B7322">
              <w:rPr>
                <w:kern w:val="0"/>
                <w:szCs w:val="21"/>
                <w:lang w:bidi="ar"/>
              </w:rPr>
              <w:t>t/a</w:t>
            </w:r>
            <w:r w:rsidRPr="002B7322">
              <w:rPr>
                <w:kern w:val="0"/>
                <w:szCs w:val="21"/>
                <w:lang w:bidi="ar"/>
              </w:rPr>
              <w:t>）</w:t>
            </w:r>
          </w:p>
        </w:tc>
        <w:tc>
          <w:tcPr>
            <w:tcW w:w="393" w:type="pct"/>
            <w:tcBorders>
              <w:top w:val="single" w:sz="4" w:space="0" w:color="000000"/>
              <w:left w:val="single" w:sz="4" w:space="0" w:color="000000"/>
              <w:bottom w:val="single" w:sz="4" w:space="0" w:color="000000"/>
              <w:right w:val="single" w:sz="4" w:space="0" w:color="000000"/>
            </w:tcBorders>
            <w:noWrap/>
            <w:vAlign w:val="bottom"/>
          </w:tcPr>
          <w:p w14:paraId="173C52B6" w14:textId="77777777" w:rsidR="00054437" w:rsidRPr="002B7322" w:rsidRDefault="00000000">
            <w:pPr>
              <w:widowControl/>
              <w:jc w:val="center"/>
              <w:textAlignment w:val="bottom"/>
              <w:rPr>
                <w:szCs w:val="21"/>
              </w:rPr>
            </w:pPr>
            <w:r w:rsidRPr="002B7322">
              <w:rPr>
                <w:kern w:val="0"/>
                <w:szCs w:val="21"/>
                <w:lang w:bidi="ar"/>
              </w:rPr>
              <w:t>氨氮（</w:t>
            </w:r>
            <w:r w:rsidRPr="002B7322">
              <w:rPr>
                <w:kern w:val="0"/>
                <w:szCs w:val="21"/>
                <w:lang w:bidi="ar"/>
              </w:rPr>
              <w:t>t/a</w:t>
            </w:r>
            <w:r w:rsidRPr="002B7322">
              <w:rPr>
                <w:kern w:val="0"/>
                <w:szCs w:val="21"/>
                <w:lang w:bidi="ar"/>
              </w:rPr>
              <w:t>）</w:t>
            </w:r>
          </w:p>
        </w:tc>
        <w:tc>
          <w:tcPr>
            <w:tcW w:w="393" w:type="pct"/>
            <w:tcBorders>
              <w:top w:val="single" w:sz="4" w:space="0" w:color="000000"/>
              <w:left w:val="single" w:sz="4" w:space="0" w:color="000000"/>
              <w:bottom w:val="single" w:sz="4" w:space="0" w:color="000000"/>
              <w:right w:val="single" w:sz="4" w:space="0" w:color="000000"/>
            </w:tcBorders>
            <w:noWrap/>
            <w:vAlign w:val="bottom"/>
          </w:tcPr>
          <w:p w14:paraId="003DC94B" w14:textId="77777777" w:rsidR="00054437" w:rsidRPr="002B7322" w:rsidRDefault="00000000">
            <w:pPr>
              <w:widowControl/>
              <w:jc w:val="center"/>
              <w:textAlignment w:val="bottom"/>
              <w:rPr>
                <w:szCs w:val="21"/>
              </w:rPr>
            </w:pPr>
            <w:r w:rsidRPr="002B7322">
              <w:rPr>
                <w:kern w:val="0"/>
                <w:szCs w:val="21"/>
                <w:lang w:bidi="ar"/>
              </w:rPr>
              <w:t>总磷（</w:t>
            </w:r>
            <w:r w:rsidRPr="002B7322">
              <w:rPr>
                <w:kern w:val="0"/>
                <w:szCs w:val="21"/>
                <w:lang w:bidi="ar"/>
              </w:rPr>
              <w:t>t/a</w:t>
            </w:r>
            <w:r w:rsidRPr="002B7322">
              <w:rPr>
                <w:kern w:val="0"/>
                <w:szCs w:val="21"/>
                <w:lang w:bidi="ar"/>
              </w:rPr>
              <w:t>）</w:t>
            </w:r>
          </w:p>
        </w:tc>
      </w:tr>
      <w:tr w:rsidR="000549B1" w:rsidRPr="002B7322" w14:paraId="1F4B2622" w14:textId="77777777">
        <w:trPr>
          <w:trHeight w:val="270"/>
        </w:trPr>
        <w:tc>
          <w:tcPr>
            <w:tcW w:w="354" w:type="pct"/>
            <w:tcBorders>
              <w:top w:val="single" w:sz="4" w:space="0" w:color="000000"/>
              <w:left w:val="single" w:sz="4" w:space="0" w:color="000000"/>
              <w:bottom w:val="single" w:sz="4" w:space="0" w:color="000000"/>
              <w:right w:val="single" w:sz="4" w:space="0" w:color="000000"/>
            </w:tcBorders>
            <w:noWrap/>
            <w:vAlign w:val="center"/>
          </w:tcPr>
          <w:p w14:paraId="4309C6E9" w14:textId="77777777" w:rsidR="00054437" w:rsidRPr="002B7322" w:rsidRDefault="00000000">
            <w:pPr>
              <w:widowControl/>
              <w:jc w:val="center"/>
              <w:textAlignment w:val="center"/>
              <w:rPr>
                <w:b/>
                <w:bCs/>
                <w:szCs w:val="21"/>
              </w:rPr>
            </w:pPr>
            <w:r w:rsidRPr="002B7322">
              <w:rPr>
                <w:b/>
                <w:bCs/>
                <w:kern w:val="0"/>
                <w:szCs w:val="21"/>
                <w:lang w:bidi="ar"/>
              </w:rPr>
              <w:t>共和县</w:t>
            </w:r>
          </w:p>
        </w:tc>
        <w:tc>
          <w:tcPr>
            <w:tcW w:w="501" w:type="pct"/>
            <w:tcBorders>
              <w:top w:val="single" w:sz="4" w:space="0" w:color="000000"/>
              <w:left w:val="single" w:sz="4" w:space="0" w:color="000000"/>
              <w:bottom w:val="single" w:sz="4" w:space="0" w:color="000000"/>
              <w:right w:val="single" w:sz="4" w:space="0" w:color="000000"/>
            </w:tcBorders>
            <w:noWrap/>
            <w:vAlign w:val="center"/>
          </w:tcPr>
          <w:p w14:paraId="6920AB5D" w14:textId="77777777" w:rsidR="00054437" w:rsidRPr="002B7322" w:rsidRDefault="00000000">
            <w:pPr>
              <w:widowControl/>
              <w:jc w:val="center"/>
              <w:textAlignment w:val="center"/>
              <w:rPr>
                <w:szCs w:val="21"/>
              </w:rPr>
            </w:pPr>
            <w:r w:rsidRPr="002B7322">
              <w:rPr>
                <w:kern w:val="0"/>
                <w:szCs w:val="21"/>
                <w:lang w:bidi="ar"/>
              </w:rPr>
              <w:t>997.44</w:t>
            </w:r>
          </w:p>
        </w:tc>
        <w:tc>
          <w:tcPr>
            <w:tcW w:w="400" w:type="pct"/>
            <w:tcBorders>
              <w:top w:val="single" w:sz="4" w:space="0" w:color="000000"/>
              <w:left w:val="single" w:sz="4" w:space="0" w:color="000000"/>
              <w:bottom w:val="single" w:sz="4" w:space="0" w:color="000000"/>
              <w:right w:val="single" w:sz="4" w:space="0" w:color="000000"/>
            </w:tcBorders>
            <w:noWrap/>
            <w:vAlign w:val="center"/>
          </w:tcPr>
          <w:p w14:paraId="255AFD02" w14:textId="77777777" w:rsidR="00054437" w:rsidRPr="002B7322" w:rsidRDefault="00000000">
            <w:pPr>
              <w:widowControl/>
              <w:jc w:val="center"/>
              <w:textAlignment w:val="center"/>
              <w:rPr>
                <w:szCs w:val="21"/>
              </w:rPr>
            </w:pPr>
            <w:r w:rsidRPr="002B7322">
              <w:rPr>
                <w:kern w:val="0"/>
                <w:szCs w:val="21"/>
                <w:lang w:bidi="ar"/>
              </w:rPr>
              <w:t>498.72</w:t>
            </w:r>
          </w:p>
        </w:tc>
        <w:tc>
          <w:tcPr>
            <w:tcW w:w="393" w:type="pct"/>
            <w:tcBorders>
              <w:top w:val="single" w:sz="4" w:space="0" w:color="000000"/>
              <w:left w:val="single" w:sz="4" w:space="0" w:color="000000"/>
              <w:bottom w:val="single" w:sz="4" w:space="0" w:color="000000"/>
              <w:right w:val="single" w:sz="4" w:space="0" w:color="000000"/>
            </w:tcBorders>
            <w:noWrap/>
            <w:vAlign w:val="center"/>
          </w:tcPr>
          <w:p w14:paraId="2EA8F09F" w14:textId="77777777" w:rsidR="00054437" w:rsidRPr="002B7322" w:rsidRDefault="00000000">
            <w:pPr>
              <w:widowControl/>
              <w:jc w:val="center"/>
              <w:textAlignment w:val="center"/>
              <w:rPr>
                <w:szCs w:val="21"/>
              </w:rPr>
            </w:pPr>
            <w:r w:rsidRPr="002B7322">
              <w:rPr>
                <w:kern w:val="0"/>
                <w:szCs w:val="21"/>
                <w:lang w:bidi="ar"/>
              </w:rPr>
              <w:t>49.87</w:t>
            </w:r>
          </w:p>
        </w:tc>
        <w:tc>
          <w:tcPr>
            <w:tcW w:w="393" w:type="pct"/>
            <w:tcBorders>
              <w:top w:val="single" w:sz="4" w:space="0" w:color="000000"/>
              <w:left w:val="single" w:sz="4" w:space="0" w:color="000000"/>
              <w:bottom w:val="single" w:sz="4" w:space="0" w:color="000000"/>
              <w:right w:val="single" w:sz="4" w:space="0" w:color="000000"/>
            </w:tcBorders>
            <w:noWrap/>
            <w:vAlign w:val="center"/>
          </w:tcPr>
          <w:p w14:paraId="2223D4C3" w14:textId="77777777" w:rsidR="00054437" w:rsidRPr="002B7322" w:rsidRDefault="00000000">
            <w:pPr>
              <w:widowControl/>
              <w:jc w:val="center"/>
              <w:textAlignment w:val="center"/>
              <w:rPr>
                <w:szCs w:val="21"/>
              </w:rPr>
            </w:pPr>
            <w:r w:rsidRPr="002B7322">
              <w:rPr>
                <w:kern w:val="0"/>
                <w:szCs w:val="21"/>
                <w:lang w:bidi="ar"/>
              </w:rPr>
              <w:t>4.99</w:t>
            </w:r>
          </w:p>
        </w:tc>
        <w:tc>
          <w:tcPr>
            <w:tcW w:w="400" w:type="pct"/>
            <w:tcBorders>
              <w:top w:val="single" w:sz="4" w:space="0" w:color="000000"/>
              <w:left w:val="single" w:sz="4" w:space="0" w:color="000000"/>
              <w:bottom w:val="single" w:sz="4" w:space="0" w:color="000000"/>
              <w:right w:val="single" w:sz="4" w:space="0" w:color="000000"/>
            </w:tcBorders>
            <w:noWrap/>
            <w:vAlign w:val="center"/>
          </w:tcPr>
          <w:p w14:paraId="53A5FDE0" w14:textId="77777777" w:rsidR="00054437" w:rsidRPr="002B7322" w:rsidRDefault="00000000">
            <w:pPr>
              <w:widowControl/>
              <w:jc w:val="center"/>
              <w:textAlignment w:val="center"/>
              <w:rPr>
                <w:szCs w:val="21"/>
              </w:rPr>
            </w:pPr>
            <w:r w:rsidRPr="002B7322">
              <w:rPr>
                <w:kern w:val="0"/>
                <w:szCs w:val="21"/>
                <w:lang w:bidi="ar"/>
              </w:rPr>
              <w:t>454.62</w:t>
            </w:r>
          </w:p>
        </w:tc>
        <w:tc>
          <w:tcPr>
            <w:tcW w:w="393" w:type="pct"/>
            <w:tcBorders>
              <w:top w:val="single" w:sz="4" w:space="0" w:color="000000"/>
              <w:left w:val="single" w:sz="4" w:space="0" w:color="000000"/>
              <w:bottom w:val="single" w:sz="4" w:space="0" w:color="000000"/>
              <w:right w:val="single" w:sz="4" w:space="0" w:color="000000"/>
            </w:tcBorders>
            <w:noWrap/>
            <w:vAlign w:val="center"/>
          </w:tcPr>
          <w:p w14:paraId="22096DB1" w14:textId="77777777" w:rsidR="00054437" w:rsidRPr="002B7322" w:rsidRDefault="00000000">
            <w:pPr>
              <w:widowControl/>
              <w:jc w:val="center"/>
              <w:textAlignment w:val="center"/>
              <w:rPr>
                <w:szCs w:val="21"/>
              </w:rPr>
            </w:pPr>
            <w:r w:rsidRPr="002B7322">
              <w:rPr>
                <w:kern w:val="0"/>
                <w:szCs w:val="21"/>
                <w:lang w:bidi="ar"/>
              </w:rPr>
              <w:t>8.35</w:t>
            </w:r>
          </w:p>
        </w:tc>
        <w:tc>
          <w:tcPr>
            <w:tcW w:w="393" w:type="pct"/>
            <w:tcBorders>
              <w:top w:val="single" w:sz="4" w:space="0" w:color="000000"/>
              <w:left w:val="single" w:sz="4" w:space="0" w:color="000000"/>
              <w:bottom w:val="single" w:sz="4" w:space="0" w:color="000000"/>
              <w:right w:val="single" w:sz="4" w:space="0" w:color="000000"/>
            </w:tcBorders>
            <w:noWrap/>
            <w:vAlign w:val="center"/>
          </w:tcPr>
          <w:p w14:paraId="5EC1E7AE" w14:textId="77777777" w:rsidR="00054437" w:rsidRPr="002B7322" w:rsidRDefault="00000000">
            <w:pPr>
              <w:widowControl/>
              <w:jc w:val="center"/>
              <w:textAlignment w:val="center"/>
              <w:rPr>
                <w:szCs w:val="21"/>
              </w:rPr>
            </w:pPr>
            <w:r w:rsidRPr="002B7322">
              <w:rPr>
                <w:kern w:val="0"/>
                <w:szCs w:val="21"/>
                <w:lang w:bidi="ar"/>
              </w:rPr>
              <w:t>35.21</w:t>
            </w:r>
          </w:p>
        </w:tc>
        <w:tc>
          <w:tcPr>
            <w:tcW w:w="588" w:type="pct"/>
            <w:tcBorders>
              <w:top w:val="single" w:sz="4" w:space="0" w:color="000000"/>
              <w:left w:val="single" w:sz="4" w:space="0" w:color="000000"/>
              <w:bottom w:val="single" w:sz="4" w:space="0" w:color="000000"/>
              <w:right w:val="single" w:sz="4" w:space="0" w:color="000000"/>
            </w:tcBorders>
            <w:noWrap/>
            <w:vAlign w:val="center"/>
          </w:tcPr>
          <w:p w14:paraId="4FE1E9E2" w14:textId="77777777" w:rsidR="00054437" w:rsidRPr="002B7322" w:rsidRDefault="00000000">
            <w:pPr>
              <w:widowControl/>
              <w:jc w:val="center"/>
              <w:textAlignment w:val="center"/>
              <w:rPr>
                <w:szCs w:val="21"/>
              </w:rPr>
            </w:pPr>
            <w:r w:rsidRPr="002B7322">
              <w:rPr>
                <w:kern w:val="0"/>
                <w:szCs w:val="21"/>
                <w:lang w:bidi="ar"/>
              </w:rPr>
              <w:t>997.44</w:t>
            </w:r>
          </w:p>
        </w:tc>
        <w:tc>
          <w:tcPr>
            <w:tcW w:w="400" w:type="pct"/>
            <w:tcBorders>
              <w:top w:val="single" w:sz="4" w:space="0" w:color="000000"/>
              <w:left w:val="single" w:sz="4" w:space="0" w:color="000000"/>
              <w:bottom w:val="single" w:sz="4" w:space="0" w:color="000000"/>
              <w:right w:val="single" w:sz="4" w:space="0" w:color="000000"/>
            </w:tcBorders>
            <w:noWrap/>
            <w:vAlign w:val="center"/>
          </w:tcPr>
          <w:p w14:paraId="28D65D9E" w14:textId="77777777" w:rsidR="00054437" w:rsidRPr="002B7322" w:rsidRDefault="00000000">
            <w:pPr>
              <w:widowControl/>
              <w:jc w:val="center"/>
              <w:textAlignment w:val="center"/>
              <w:rPr>
                <w:szCs w:val="21"/>
              </w:rPr>
            </w:pPr>
            <w:r w:rsidRPr="002B7322">
              <w:rPr>
                <w:kern w:val="0"/>
                <w:szCs w:val="21"/>
                <w:lang w:bidi="ar"/>
              </w:rPr>
              <w:t>953.34</w:t>
            </w:r>
          </w:p>
        </w:tc>
        <w:tc>
          <w:tcPr>
            <w:tcW w:w="393" w:type="pct"/>
            <w:tcBorders>
              <w:top w:val="single" w:sz="4" w:space="0" w:color="000000"/>
              <w:left w:val="single" w:sz="4" w:space="0" w:color="000000"/>
              <w:bottom w:val="single" w:sz="4" w:space="0" w:color="000000"/>
              <w:right w:val="single" w:sz="4" w:space="0" w:color="000000"/>
            </w:tcBorders>
            <w:noWrap/>
            <w:vAlign w:val="center"/>
          </w:tcPr>
          <w:p w14:paraId="42D23A0F" w14:textId="77777777" w:rsidR="00054437" w:rsidRPr="002B7322" w:rsidRDefault="00000000">
            <w:pPr>
              <w:widowControl/>
              <w:jc w:val="center"/>
              <w:textAlignment w:val="center"/>
              <w:rPr>
                <w:szCs w:val="21"/>
              </w:rPr>
            </w:pPr>
            <w:r w:rsidRPr="002B7322">
              <w:rPr>
                <w:kern w:val="0"/>
                <w:szCs w:val="21"/>
                <w:lang w:bidi="ar"/>
              </w:rPr>
              <w:t>58.22</w:t>
            </w:r>
          </w:p>
        </w:tc>
        <w:tc>
          <w:tcPr>
            <w:tcW w:w="393" w:type="pct"/>
            <w:tcBorders>
              <w:top w:val="single" w:sz="4" w:space="0" w:color="000000"/>
              <w:left w:val="single" w:sz="4" w:space="0" w:color="000000"/>
              <w:bottom w:val="single" w:sz="4" w:space="0" w:color="000000"/>
              <w:right w:val="single" w:sz="4" w:space="0" w:color="000000"/>
            </w:tcBorders>
            <w:noWrap/>
            <w:vAlign w:val="center"/>
          </w:tcPr>
          <w:p w14:paraId="160A2C1E" w14:textId="77777777" w:rsidR="00054437" w:rsidRPr="002B7322" w:rsidRDefault="00000000">
            <w:pPr>
              <w:widowControl/>
              <w:jc w:val="center"/>
              <w:textAlignment w:val="center"/>
              <w:rPr>
                <w:szCs w:val="21"/>
              </w:rPr>
            </w:pPr>
            <w:r w:rsidRPr="002B7322">
              <w:rPr>
                <w:kern w:val="0"/>
                <w:szCs w:val="21"/>
                <w:lang w:bidi="ar"/>
              </w:rPr>
              <w:t>40.2</w:t>
            </w:r>
          </w:p>
        </w:tc>
      </w:tr>
      <w:tr w:rsidR="000549B1" w:rsidRPr="002B7322" w14:paraId="21810EC3" w14:textId="77777777">
        <w:trPr>
          <w:trHeight w:val="270"/>
        </w:trPr>
        <w:tc>
          <w:tcPr>
            <w:tcW w:w="354" w:type="pct"/>
            <w:tcBorders>
              <w:top w:val="single" w:sz="4" w:space="0" w:color="000000"/>
              <w:left w:val="single" w:sz="4" w:space="0" w:color="000000"/>
              <w:bottom w:val="single" w:sz="4" w:space="0" w:color="000000"/>
              <w:right w:val="single" w:sz="4" w:space="0" w:color="000000"/>
            </w:tcBorders>
            <w:vAlign w:val="center"/>
          </w:tcPr>
          <w:p w14:paraId="2102B8C6" w14:textId="77777777" w:rsidR="00054437" w:rsidRPr="002B7322" w:rsidRDefault="00000000">
            <w:pPr>
              <w:widowControl/>
              <w:textAlignment w:val="center"/>
              <w:rPr>
                <w:szCs w:val="21"/>
              </w:rPr>
            </w:pPr>
            <w:r w:rsidRPr="002B7322">
              <w:rPr>
                <w:kern w:val="0"/>
                <w:szCs w:val="21"/>
                <w:lang w:bidi="ar"/>
              </w:rPr>
              <w:t>其中：沙珠玉河流域</w:t>
            </w:r>
          </w:p>
        </w:tc>
        <w:tc>
          <w:tcPr>
            <w:tcW w:w="501" w:type="pct"/>
            <w:tcBorders>
              <w:top w:val="single" w:sz="4" w:space="0" w:color="000000"/>
              <w:left w:val="single" w:sz="4" w:space="0" w:color="000000"/>
              <w:bottom w:val="single" w:sz="4" w:space="0" w:color="000000"/>
              <w:right w:val="single" w:sz="4" w:space="0" w:color="000000"/>
            </w:tcBorders>
            <w:noWrap/>
            <w:vAlign w:val="center"/>
          </w:tcPr>
          <w:p w14:paraId="00775648" w14:textId="77777777" w:rsidR="00054437" w:rsidRPr="002B7322" w:rsidRDefault="00000000">
            <w:pPr>
              <w:widowControl/>
              <w:jc w:val="center"/>
              <w:textAlignment w:val="center"/>
              <w:rPr>
                <w:szCs w:val="21"/>
              </w:rPr>
            </w:pPr>
            <w:r w:rsidRPr="002B7322">
              <w:rPr>
                <w:kern w:val="0"/>
                <w:szCs w:val="21"/>
                <w:lang w:bidi="ar"/>
              </w:rPr>
              <w:t>0</w:t>
            </w:r>
          </w:p>
        </w:tc>
        <w:tc>
          <w:tcPr>
            <w:tcW w:w="400" w:type="pct"/>
            <w:tcBorders>
              <w:top w:val="single" w:sz="4" w:space="0" w:color="000000"/>
              <w:left w:val="single" w:sz="4" w:space="0" w:color="000000"/>
              <w:bottom w:val="single" w:sz="4" w:space="0" w:color="000000"/>
              <w:right w:val="single" w:sz="4" w:space="0" w:color="000000"/>
            </w:tcBorders>
            <w:noWrap/>
            <w:vAlign w:val="center"/>
          </w:tcPr>
          <w:p w14:paraId="7D35AD2B" w14:textId="77777777" w:rsidR="00054437" w:rsidRPr="002B7322" w:rsidRDefault="00000000">
            <w:pPr>
              <w:widowControl/>
              <w:jc w:val="center"/>
              <w:textAlignment w:val="center"/>
              <w:rPr>
                <w:szCs w:val="21"/>
              </w:rPr>
            </w:pPr>
            <w:r w:rsidRPr="002B7322">
              <w:rPr>
                <w:kern w:val="0"/>
                <w:szCs w:val="21"/>
                <w:lang w:bidi="ar"/>
              </w:rPr>
              <w:t>0</w:t>
            </w:r>
          </w:p>
        </w:tc>
        <w:tc>
          <w:tcPr>
            <w:tcW w:w="393" w:type="pct"/>
            <w:tcBorders>
              <w:top w:val="single" w:sz="4" w:space="0" w:color="000000"/>
              <w:left w:val="single" w:sz="4" w:space="0" w:color="000000"/>
              <w:bottom w:val="single" w:sz="4" w:space="0" w:color="000000"/>
              <w:right w:val="single" w:sz="4" w:space="0" w:color="000000"/>
            </w:tcBorders>
            <w:noWrap/>
            <w:vAlign w:val="center"/>
          </w:tcPr>
          <w:p w14:paraId="0F41407D" w14:textId="77777777" w:rsidR="00054437" w:rsidRPr="002B7322" w:rsidRDefault="00000000">
            <w:pPr>
              <w:widowControl/>
              <w:jc w:val="center"/>
              <w:textAlignment w:val="center"/>
              <w:rPr>
                <w:szCs w:val="21"/>
              </w:rPr>
            </w:pPr>
            <w:r w:rsidRPr="002B7322">
              <w:rPr>
                <w:kern w:val="0"/>
                <w:szCs w:val="21"/>
                <w:lang w:bidi="ar"/>
              </w:rPr>
              <w:t>0</w:t>
            </w:r>
          </w:p>
        </w:tc>
        <w:tc>
          <w:tcPr>
            <w:tcW w:w="393" w:type="pct"/>
            <w:tcBorders>
              <w:top w:val="single" w:sz="4" w:space="0" w:color="000000"/>
              <w:left w:val="single" w:sz="4" w:space="0" w:color="000000"/>
              <w:bottom w:val="single" w:sz="4" w:space="0" w:color="000000"/>
              <w:right w:val="single" w:sz="4" w:space="0" w:color="000000"/>
            </w:tcBorders>
            <w:noWrap/>
            <w:vAlign w:val="center"/>
          </w:tcPr>
          <w:p w14:paraId="5553AFC9" w14:textId="77777777" w:rsidR="00054437" w:rsidRPr="002B7322" w:rsidRDefault="00000000">
            <w:pPr>
              <w:widowControl/>
              <w:jc w:val="center"/>
              <w:textAlignment w:val="center"/>
              <w:rPr>
                <w:szCs w:val="21"/>
              </w:rPr>
            </w:pPr>
            <w:r w:rsidRPr="002B7322">
              <w:rPr>
                <w:kern w:val="0"/>
                <w:szCs w:val="21"/>
                <w:lang w:bidi="ar"/>
              </w:rPr>
              <w:t>0</w:t>
            </w:r>
          </w:p>
        </w:tc>
        <w:tc>
          <w:tcPr>
            <w:tcW w:w="400" w:type="pct"/>
            <w:tcBorders>
              <w:top w:val="single" w:sz="4" w:space="0" w:color="000000"/>
              <w:left w:val="single" w:sz="4" w:space="0" w:color="000000"/>
              <w:bottom w:val="single" w:sz="4" w:space="0" w:color="000000"/>
              <w:right w:val="single" w:sz="4" w:space="0" w:color="000000"/>
            </w:tcBorders>
            <w:noWrap/>
            <w:vAlign w:val="center"/>
          </w:tcPr>
          <w:p w14:paraId="068B8A97" w14:textId="77777777" w:rsidR="00054437" w:rsidRPr="002B7322" w:rsidRDefault="00000000">
            <w:pPr>
              <w:widowControl/>
              <w:jc w:val="center"/>
              <w:textAlignment w:val="center"/>
              <w:rPr>
                <w:szCs w:val="21"/>
              </w:rPr>
            </w:pPr>
            <w:r w:rsidRPr="002B7322">
              <w:rPr>
                <w:kern w:val="0"/>
                <w:szCs w:val="21"/>
                <w:lang w:bidi="ar"/>
              </w:rPr>
              <w:t>159.12</w:t>
            </w:r>
          </w:p>
        </w:tc>
        <w:tc>
          <w:tcPr>
            <w:tcW w:w="393" w:type="pct"/>
            <w:tcBorders>
              <w:top w:val="single" w:sz="4" w:space="0" w:color="000000"/>
              <w:left w:val="single" w:sz="4" w:space="0" w:color="000000"/>
              <w:bottom w:val="single" w:sz="4" w:space="0" w:color="000000"/>
              <w:right w:val="single" w:sz="4" w:space="0" w:color="000000"/>
            </w:tcBorders>
            <w:noWrap/>
            <w:vAlign w:val="center"/>
          </w:tcPr>
          <w:p w14:paraId="32506ACB" w14:textId="77777777" w:rsidR="00054437" w:rsidRPr="002B7322" w:rsidRDefault="00000000">
            <w:pPr>
              <w:widowControl/>
              <w:jc w:val="center"/>
              <w:textAlignment w:val="center"/>
              <w:rPr>
                <w:szCs w:val="21"/>
              </w:rPr>
            </w:pPr>
            <w:r w:rsidRPr="002B7322">
              <w:rPr>
                <w:kern w:val="0"/>
                <w:szCs w:val="21"/>
                <w:lang w:bidi="ar"/>
              </w:rPr>
              <w:t>2.92</w:t>
            </w:r>
          </w:p>
        </w:tc>
        <w:tc>
          <w:tcPr>
            <w:tcW w:w="393" w:type="pct"/>
            <w:tcBorders>
              <w:top w:val="single" w:sz="4" w:space="0" w:color="000000"/>
              <w:left w:val="single" w:sz="4" w:space="0" w:color="000000"/>
              <w:bottom w:val="single" w:sz="4" w:space="0" w:color="000000"/>
              <w:right w:val="single" w:sz="4" w:space="0" w:color="000000"/>
            </w:tcBorders>
            <w:noWrap/>
            <w:vAlign w:val="center"/>
          </w:tcPr>
          <w:p w14:paraId="521DC077" w14:textId="77777777" w:rsidR="00054437" w:rsidRPr="002B7322" w:rsidRDefault="00000000">
            <w:pPr>
              <w:widowControl/>
              <w:jc w:val="center"/>
              <w:textAlignment w:val="center"/>
              <w:rPr>
                <w:szCs w:val="21"/>
              </w:rPr>
            </w:pPr>
            <w:r w:rsidRPr="002B7322">
              <w:rPr>
                <w:kern w:val="0"/>
                <w:szCs w:val="21"/>
                <w:lang w:bidi="ar"/>
              </w:rPr>
              <w:t>12.32</w:t>
            </w:r>
          </w:p>
        </w:tc>
        <w:tc>
          <w:tcPr>
            <w:tcW w:w="588" w:type="pct"/>
            <w:tcBorders>
              <w:top w:val="single" w:sz="4" w:space="0" w:color="000000"/>
              <w:left w:val="single" w:sz="4" w:space="0" w:color="000000"/>
              <w:bottom w:val="single" w:sz="4" w:space="0" w:color="000000"/>
              <w:right w:val="single" w:sz="4" w:space="0" w:color="000000"/>
            </w:tcBorders>
            <w:noWrap/>
            <w:vAlign w:val="center"/>
          </w:tcPr>
          <w:p w14:paraId="5A6D8373" w14:textId="77777777" w:rsidR="00054437" w:rsidRPr="002B7322" w:rsidRDefault="00000000">
            <w:pPr>
              <w:widowControl/>
              <w:jc w:val="center"/>
              <w:textAlignment w:val="center"/>
              <w:rPr>
                <w:szCs w:val="21"/>
              </w:rPr>
            </w:pPr>
            <w:r w:rsidRPr="002B7322">
              <w:rPr>
                <w:kern w:val="0"/>
                <w:szCs w:val="21"/>
                <w:lang w:bidi="ar"/>
              </w:rPr>
              <w:t>/</w:t>
            </w:r>
          </w:p>
        </w:tc>
        <w:tc>
          <w:tcPr>
            <w:tcW w:w="400" w:type="pct"/>
            <w:tcBorders>
              <w:top w:val="single" w:sz="4" w:space="0" w:color="000000"/>
              <w:left w:val="single" w:sz="4" w:space="0" w:color="000000"/>
              <w:bottom w:val="single" w:sz="4" w:space="0" w:color="000000"/>
              <w:right w:val="single" w:sz="4" w:space="0" w:color="000000"/>
            </w:tcBorders>
            <w:noWrap/>
            <w:vAlign w:val="center"/>
          </w:tcPr>
          <w:p w14:paraId="3658B409" w14:textId="77777777" w:rsidR="00054437" w:rsidRPr="002B7322" w:rsidRDefault="00000000">
            <w:pPr>
              <w:widowControl/>
              <w:jc w:val="center"/>
              <w:textAlignment w:val="center"/>
              <w:rPr>
                <w:szCs w:val="21"/>
              </w:rPr>
            </w:pPr>
            <w:r w:rsidRPr="002B7322">
              <w:rPr>
                <w:kern w:val="0"/>
                <w:szCs w:val="21"/>
                <w:lang w:bidi="ar"/>
              </w:rPr>
              <w:t>159.12</w:t>
            </w:r>
          </w:p>
        </w:tc>
        <w:tc>
          <w:tcPr>
            <w:tcW w:w="393" w:type="pct"/>
            <w:tcBorders>
              <w:top w:val="single" w:sz="4" w:space="0" w:color="000000"/>
              <w:left w:val="single" w:sz="4" w:space="0" w:color="000000"/>
              <w:bottom w:val="single" w:sz="4" w:space="0" w:color="000000"/>
              <w:right w:val="single" w:sz="4" w:space="0" w:color="000000"/>
            </w:tcBorders>
            <w:noWrap/>
            <w:vAlign w:val="center"/>
          </w:tcPr>
          <w:p w14:paraId="03FF8E45" w14:textId="77777777" w:rsidR="00054437" w:rsidRPr="002B7322" w:rsidRDefault="00000000">
            <w:pPr>
              <w:widowControl/>
              <w:jc w:val="center"/>
              <w:textAlignment w:val="center"/>
              <w:rPr>
                <w:szCs w:val="21"/>
              </w:rPr>
            </w:pPr>
            <w:r w:rsidRPr="002B7322">
              <w:rPr>
                <w:kern w:val="0"/>
                <w:szCs w:val="21"/>
                <w:lang w:bidi="ar"/>
              </w:rPr>
              <w:t>2.92</w:t>
            </w:r>
          </w:p>
        </w:tc>
        <w:tc>
          <w:tcPr>
            <w:tcW w:w="393" w:type="pct"/>
            <w:tcBorders>
              <w:top w:val="single" w:sz="4" w:space="0" w:color="000000"/>
              <w:left w:val="single" w:sz="4" w:space="0" w:color="000000"/>
              <w:bottom w:val="single" w:sz="4" w:space="0" w:color="000000"/>
              <w:right w:val="single" w:sz="4" w:space="0" w:color="000000"/>
            </w:tcBorders>
            <w:noWrap/>
            <w:vAlign w:val="center"/>
          </w:tcPr>
          <w:p w14:paraId="7E01AE1A" w14:textId="77777777" w:rsidR="00054437" w:rsidRPr="002B7322" w:rsidRDefault="00000000">
            <w:pPr>
              <w:widowControl/>
              <w:jc w:val="center"/>
              <w:textAlignment w:val="center"/>
              <w:rPr>
                <w:szCs w:val="21"/>
              </w:rPr>
            </w:pPr>
            <w:r w:rsidRPr="002B7322">
              <w:rPr>
                <w:kern w:val="0"/>
                <w:szCs w:val="21"/>
                <w:lang w:bidi="ar"/>
              </w:rPr>
              <w:t>12.32</w:t>
            </w:r>
          </w:p>
        </w:tc>
      </w:tr>
      <w:tr w:rsidR="000549B1" w:rsidRPr="002B7322" w14:paraId="5B62D74C" w14:textId="77777777">
        <w:trPr>
          <w:trHeight w:val="270"/>
        </w:trPr>
        <w:tc>
          <w:tcPr>
            <w:tcW w:w="354" w:type="pct"/>
            <w:tcBorders>
              <w:top w:val="single" w:sz="4" w:space="0" w:color="000000"/>
              <w:left w:val="single" w:sz="4" w:space="0" w:color="000000"/>
              <w:bottom w:val="single" w:sz="4" w:space="0" w:color="000000"/>
              <w:right w:val="single" w:sz="4" w:space="0" w:color="000000"/>
            </w:tcBorders>
            <w:noWrap/>
            <w:vAlign w:val="center"/>
          </w:tcPr>
          <w:p w14:paraId="6F20174B" w14:textId="77777777" w:rsidR="00054437" w:rsidRPr="002B7322" w:rsidRDefault="00000000">
            <w:pPr>
              <w:widowControl/>
              <w:jc w:val="center"/>
              <w:textAlignment w:val="center"/>
              <w:rPr>
                <w:b/>
                <w:bCs/>
                <w:szCs w:val="21"/>
              </w:rPr>
            </w:pPr>
            <w:r w:rsidRPr="002B7322">
              <w:rPr>
                <w:b/>
                <w:bCs/>
                <w:kern w:val="0"/>
                <w:szCs w:val="21"/>
                <w:lang w:bidi="ar"/>
              </w:rPr>
              <w:t>兴海县</w:t>
            </w:r>
          </w:p>
        </w:tc>
        <w:tc>
          <w:tcPr>
            <w:tcW w:w="501" w:type="pct"/>
            <w:tcBorders>
              <w:top w:val="single" w:sz="4" w:space="0" w:color="000000"/>
              <w:left w:val="single" w:sz="4" w:space="0" w:color="000000"/>
              <w:bottom w:val="single" w:sz="4" w:space="0" w:color="000000"/>
              <w:right w:val="single" w:sz="4" w:space="0" w:color="000000"/>
            </w:tcBorders>
            <w:noWrap/>
            <w:vAlign w:val="center"/>
          </w:tcPr>
          <w:p w14:paraId="3D2A8AE3" w14:textId="77777777" w:rsidR="00054437" w:rsidRPr="002B7322" w:rsidRDefault="00000000">
            <w:pPr>
              <w:widowControl/>
              <w:jc w:val="center"/>
              <w:textAlignment w:val="center"/>
              <w:rPr>
                <w:szCs w:val="21"/>
              </w:rPr>
            </w:pPr>
            <w:r w:rsidRPr="002B7322">
              <w:rPr>
                <w:kern w:val="0"/>
                <w:szCs w:val="21"/>
                <w:lang w:bidi="ar"/>
              </w:rPr>
              <w:t>68.16</w:t>
            </w:r>
          </w:p>
        </w:tc>
        <w:tc>
          <w:tcPr>
            <w:tcW w:w="400" w:type="pct"/>
            <w:tcBorders>
              <w:top w:val="single" w:sz="4" w:space="0" w:color="000000"/>
              <w:left w:val="single" w:sz="4" w:space="0" w:color="000000"/>
              <w:bottom w:val="single" w:sz="4" w:space="0" w:color="000000"/>
              <w:right w:val="single" w:sz="4" w:space="0" w:color="000000"/>
            </w:tcBorders>
            <w:noWrap/>
            <w:vAlign w:val="center"/>
          </w:tcPr>
          <w:p w14:paraId="241EFD02" w14:textId="77777777" w:rsidR="00054437" w:rsidRPr="002B7322" w:rsidRDefault="00000000">
            <w:pPr>
              <w:widowControl/>
              <w:jc w:val="center"/>
              <w:textAlignment w:val="center"/>
              <w:rPr>
                <w:szCs w:val="21"/>
              </w:rPr>
            </w:pPr>
            <w:r w:rsidRPr="002B7322">
              <w:rPr>
                <w:kern w:val="0"/>
                <w:szCs w:val="21"/>
                <w:lang w:bidi="ar"/>
              </w:rPr>
              <w:t>34.08</w:t>
            </w:r>
          </w:p>
        </w:tc>
        <w:tc>
          <w:tcPr>
            <w:tcW w:w="393" w:type="pct"/>
            <w:tcBorders>
              <w:top w:val="single" w:sz="4" w:space="0" w:color="000000"/>
              <w:left w:val="single" w:sz="4" w:space="0" w:color="000000"/>
              <w:bottom w:val="single" w:sz="4" w:space="0" w:color="000000"/>
              <w:right w:val="single" w:sz="4" w:space="0" w:color="000000"/>
            </w:tcBorders>
            <w:noWrap/>
            <w:vAlign w:val="center"/>
          </w:tcPr>
          <w:p w14:paraId="53DD07B2" w14:textId="77777777" w:rsidR="00054437" w:rsidRPr="002B7322" w:rsidRDefault="00000000">
            <w:pPr>
              <w:widowControl/>
              <w:jc w:val="center"/>
              <w:textAlignment w:val="center"/>
              <w:rPr>
                <w:szCs w:val="21"/>
              </w:rPr>
            </w:pPr>
            <w:r w:rsidRPr="002B7322">
              <w:rPr>
                <w:kern w:val="0"/>
                <w:szCs w:val="21"/>
                <w:lang w:bidi="ar"/>
              </w:rPr>
              <w:t>3.41</w:t>
            </w:r>
          </w:p>
        </w:tc>
        <w:tc>
          <w:tcPr>
            <w:tcW w:w="393" w:type="pct"/>
            <w:tcBorders>
              <w:top w:val="single" w:sz="4" w:space="0" w:color="000000"/>
              <w:left w:val="single" w:sz="4" w:space="0" w:color="000000"/>
              <w:bottom w:val="single" w:sz="4" w:space="0" w:color="000000"/>
              <w:right w:val="single" w:sz="4" w:space="0" w:color="000000"/>
            </w:tcBorders>
            <w:noWrap/>
            <w:vAlign w:val="center"/>
          </w:tcPr>
          <w:p w14:paraId="617D2CED" w14:textId="77777777" w:rsidR="00054437" w:rsidRPr="002B7322" w:rsidRDefault="00000000">
            <w:pPr>
              <w:widowControl/>
              <w:jc w:val="center"/>
              <w:textAlignment w:val="center"/>
              <w:rPr>
                <w:szCs w:val="21"/>
              </w:rPr>
            </w:pPr>
            <w:r w:rsidRPr="002B7322">
              <w:rPr>
                <w:kern w:val="0"/>
                <w:szCs w:val="21"/>
                <w:lang w:bidi="ar"/>
              </w:rPr>
              <w:t>0.34</w:t>
            </w:r>
          </w:p>
        </w:tc>
        <w:tc>
          <w:tcPr>
            <w:tcW w:w="400" w:type="pct"/>
            <w:tcBorders>
              <w:top w:val="single" w:sz="4" w:space="0" w:color="000000"/>
              <w:left w:val="single" w:sz="4" w:space="0" w:color="000000"/>
              <w:bottom w:val="single" w:sz="4" w:space="0" w:color="000000"/>
              <w:right w:val="single" w:sz="4" w:space="0" w:color="000000"/>
            </w:tcBorders>
            <w:noWrap/>
            <w:vAlign w:val="center"/>
          </w:tcPr>
          <w:p w14:paraId="1A316434" w14:textId="77777777" w:rsidR="00054437" w:rsidRPr="002B7322" w:rsidRDefault="00000000">
            <w:pPr>
              <w:widowControl/>
              <w:jc w:val="center"/>
              <w:textAlignment w:val="center"/>
              <w:rPr>
                <w:szCs w:val="21"/>
              </w:rPr>
            </w:pPr>
            <w:r w:rsidRPr="002B7322">
              <w:rPr>
                <w:kern w:val="0"/>
                <w:szCs w:val="21"/>
                <w:lang w:bidi="ar"/>
              </w:rPr>
              <w:t>509.24</w:t>
            </w:r>
          </w:p>
        </w:tc>
        <w:tc>
          <w:tcPr>
            <w:tcW w:w="393" w:type="pct"/>
            <w:tcBorders>
              <w:top w:val="single" w:sz="4" w:space="0" w:color="000000"/>
              <w:left w:val="single" w:sz="4" w:space="0" w:color="000000"/>
              <w:bottom w:val="single" w:sz="4" w:space="0" w:color="000000"/>
              <w:right w:val="single" w:sz="4" w:space="0" w:color="000000"/>
            </w:tcBorders>
            <w:noWrap/>
            <w:vAlign w:val="center"/>
          </w:tcPr>
          <w:p w14:paraId="73DDEC24" w14:textId="77777777" w:rsidR="00054437" w:rsidRPr="002B7322" w:rsidRDefault="00000000">
            <w:pPr>
              <w:widowControl/>
              <w:jc w:val="center"/>
              <w:textAlignment w:val="center"/>
              <w:rPr>
                <w:szCs w:val="21"/>
              </w:rPr>
            </w:pPr>
            <w:r w:rsidRPr="002B7322">
              <w:rPr>
                <w:kern w:val="0"/>
                <w:szCs w:val="21"/>
                <w:lang w:bidi="ar"/>
              </w:rPr>
              <w:t>8.13</w:t>
            </w:r>
          </w:p>
        </w:tc>
        <w:tc>
          <w:tcPr>
            <w:tcW w:w="393" w:type="pct"/>
            <w:tcBorders>
              <w:top w:val="single" w:sz="4" w:space="0" w:color="000000"/>
              <w:left w:val="single" w:sz="4" w:space="0" w:color="000000"/>
              <w:bottom w:val="single" w:sz="4" w:space="0" w:color="000000"/>
              <w:right w:val="single" w:sz="4" w:space="0" w:color="000000"/>
            </w:tcBorders>
            <w:noWrap/>
            <w:vAlign w:val="center"/>
          </w:tcPr>
          <w:p w14:paraId="23B90556" w14:textId="77777777" w:rsidR="00054437" w:rsidRPr="002B7322" w:rsidRDefault="00000000">
            <w:pPr>
              <w:widowControl/>
              <w:jc w:val="center"/>
              <w:textAlignment w:val="center"/>
              <w:rPr>
                <w:szCs w:val="21"/>
              </w:rPr>
            </w:pPr>
            <w:r w:rsidRPr="002B7322">
              <w:rPr>
                <w:kern w:val="0"/>
                <w:szCs w:val="21"/>
                <w:lang w:bidi="ar"/>
              </w:rPr>
              <w:t>19.43</w:t>
            </w:r>
          </w:p>
        </w:tc>
        <w:tc>
          <w:tcPr>
            <w:tcW w:w="588" w:type="pct"/>
            <w:tcBorders>
              <w:top w:val="single" w:sz="4" w:space="0" w:color="000000"/>
              <w:left w:val="single" w:sz="4" w:space="0" w:color="000000"/>
              <w:bottom w:val="single" w:sz="4" w:space="0" w:color="000000"/>
              <w:right w:val="single" w:sz="4" w:space="0" w:color="000000"/>
            </w:tcBorders>
            <w:noWrap/>
            <w:vAlign w:val="center"/>
          </w:tcPr>
          <w:p w14:paraId="0C0E6938" w14:textId="77777777" w:rsidR="00054437" w:rsidRPr="002B7322" w:rsidRDefault="00000000">
            <w:pPr>
              <w:widowControl/>
              <w:jc w:val="center"/>
              <w:textAlignment w:val="center"/>
              <w:rPr>
                <w:szCs w:val="21"/>
              </w:rPr>
            </w:pPr>
            <w:r w:rsidRPr="002B7322">
              <w:rPr>
                <w:kern w:val="0"/>
                <w:szCs w:val="21"/>
                <w:lang w:bidi="ar"/>
              </w:rPr>
              <w:t>68.16</w:t>
            </w:r>
          </w:p>
        </w:tc>
        <w:tc>
          <w:tcPr>
            <w:tcW w:w="400" w:type="pct"/>
            <w:tcBorders>
              <w:top w:val="single" w:sz="4" w:space="0" w:color="000000"/>
              <w:left w:val="single" w:sz="4" w:space="0" w:color="000000"/>
              <w:bottom w:val="single" w:sz="4" w:space="0" w:color="000000"/>
              <w:right w:val="single" w:sz="4" w:space="0" w:color="000000"/>
            </w:tcBorders>
            <w:noWrap/>
            <w:vAlign w:val="center"/>
          </w:tcPr>
          <w:p w14:paraId="1FE74CEE" w14:textId="77777777" w:rsidR="00054437" w:rsidRPr="002B7322" w:rsidRDefault="00000000">
            <w:pPr>
              <w:widowControl/>
              <w:jc w:val="center"/>
              <w:textAlignment w:val="center"/>
              <w:rPr>
                <w:szCs w:val="21"/>
              </w:rPr>
            </w:pPr>
            <w:r w:rsidRPr="002B7322">
              <w:rPr>
                <w:kern w:val="0"/>
                <w:szCs w:val="21"/>
                <w:lang w:bidi="ar"/>
              </w:rPr>
              <w:t>543.32</w:t>
            </w:r>
          </w:p>
        </w:tc>
        <w:tc>
          <w:tcPr>
            <w:tcW w:w="393" w:type="pct"/>
            <w:tcBorders>
              <w:top w:val="single" w:sz="4" w:space="0" w:color="000000"/>
              <w:left w:val="single" w:sz="4" w:space="0" w:color="000000"/>
              <w:bottom w:val="single" w:sz="4" w:space="0" w:color="000000"/>
              <w:right w:val="single" w:sz="4" w:space="0" w:color="000000"/>
            </w:tcBorders>
            <w:noWrap/>
            <w:vAlign w:val="center"/>
          </w:tcPr>
          <w:p w14:paraId="077F1A29" w14:textId="77777777" w:rsidR="00054437" w:rsidRPr="002B7322" w:rsidRDefault="00000000">
            <w:pPr>
              <w:widowControl/>
              <w:jc w:val="center"/>
              <w:textAlignment w:val="center"/>
              <w:rPr>
                <w:szCs w:val="21"/>
              </w:rPr>
            </w:pPr>
            <w:r w:rsidRPr="002B7322">
              <w:rPr>
                <w:kern w:val="0"/>
                <w:szCs w:val="21"/>
                <w:lang w:bidi="ar"/>
              </w:rPr>
              <w:t>11.54</w:t>
            </w:r>
          </w:p>
        </w:tc>
        <w:tc>
          <w:tcPr>
            <w:tcW w:w="393" w:type="pct"/>
            <w:tcBorders>
              <w:top w:val="single" w:sz="4" w:space="0" w:color="000000"/>
              <w:left w:val="single" w:sz="4" w:space="0" w:color="000000"/>
              <w:bottom w:val="single" w:sz="4" w:space="0" w:color="000000"/>
              <w:right w:val="single" w:sz="4" w:space="0" w:color="000000"/>
            </w:tcBorders>
            <w:noWrap/>
            <w:vAlign w:val="center"/>
          </w:tcPr>
          <w:p w14:paraId="321B4640" w14:textId="77777777" w:rsidR="00054437" w:rsidRPr="002B7322" w:rsidRDefault="00000000">
            <w:pPr>
              <w:widowControl/>
              <w:jc w:val="center"/>
              <w:textAlignment w:val="center"/>
              <w:rPr>
                <w:szCs w:val="21"/>
              </w:rPr>
            </w:pPr>
            <w:r w:rsidRPr="002B7322">
              <w:rPr>
                <w:kern w:val="0"/>
                <w:szCs w:val="21"/>
                <w:lang w:bidi="ar"/>
              </w:rPr>
              <w:t>19.77</w:t>
            </w:r>
          </w:p>
        </w:tc>
      </w:tr>
      <w:tr w:rsidR="000549B1" w:rsidRPr="002B7322" w14:paraId="6335EAF3" w14:textId="77777777">
        <w:trPr>
          <w:trHeight w:val="270"/>
        </w:trPr>
        <w:tc>
          <w:tcPr>
            <w:tcW w:w="354" w:type="pct"/>
            <w:tcBorders>
              <w:top w:val="single" w:sz="4" w:space="0" w:color="000000"/>
              <w:left w:val="single" w:sz="4" w:space="0" w:color="000000"/>
              <w:bottom w:val="single" w:sz="4" w:space="0" w:color="000000"/>
              <w:right w:val="single" w:sz="4" w:space="0" w:color="000000"/>
            </w:tcBorders>
            <w:vAlign w:val="center"/>
          </w:tcPr>
          <w:p w14:paraId="79EA5479" w14:textId="77777777" w:rsidR="00054437" w:rsidRPr="002B7322" w:rsidRDefault="00000000">
            <w:pPr>
              <w:widowControl/>
              <w:textAlignment w:val="center"/>
              <w:rPr>
                <w:szCs w:val="21"/>
              </w:rPr>
            </w:pPr>
            <w:r w:rsidRPr="002B7322">
              <w:rPr>
                <w:kern w:val="0"/>
                <w:szCs w:val="21"/>
                <w:lang w:bidi="ar"/>
              </w:rPr>
              <w:t>其中：沙珠玉河流域</w:t>
            </w:r>
          </w:p>
        </w:tc>
        <w:tc>
          <w:tcPr>
            <w:tcW w:w="501" w:type="pct"/>
            <w:tcBorders>
              <w:top w:val="single" w:sz="4" w:space="0" w:color="000000"/>
              <w:left w:val="single" w:sz="4" w:space="0" w:color="000000"/>
              <w:bottom w:val="single" w:sz="4" w:space="0" w:color="000000"/>
              <w:right w:val="single" w:sz="4" w:space="0" w:color="000000"/>
            </w:tcBorders>
            <w:noWrap/>
            <w:vAlign w:val="center"/>
          </w:tcPr>
          <w:p w14:paraId="2DB7AC4E" w14:textId="77777777" w:rsidR="00054437" w:rsidRPr="002B7322" w:rsidRDefault="00000000">
            <w:pPr>
              <w:widowControl/>
              <w:jc w:val="center"/>
              <w:textAlignment w:val="center"/>
              <w:rPr>
                <w:szCs w:val="21"/>
              </w:rPr>
            </w:pPr>
            <w:r w:rsidRPr="002B7322">
              <w:rPr>
                <w:kern w:val="0"/>
                <w:szCs w:val="21"/>
                <w:lang w:bidi="ar"/>
              </w:rPr>
              <w:t>0</w:t>
            </w:r>
          </w:p>
        </w:tc>
        <w:tc>
          <w:tcPr>
            <w:tcW w:w="400" w:type="pct"/>
            <w:tcBorders>
              <w:top w:val="single" w:sz="4" w:space="0" w:color="000000"/>
              <w:left w:val="single" w:sz="4" w:space="0" w:color="000000"/>
              <w:bottom w:val="single" w:sz="4" w:space="0" w:color="000000"/>
              <w:right w:val="single" w:sz="4" w:space="0" w:color="000000"/>
            </w:tcBorders>
            <w:noWrap/>
            <w:vAlign w:val="center"/>
          </w:tcPr>
          <w:p w14:paraId="7A59FA09" w14:textId="77777777" w:rsidR="00054437" w:rsidRPr="002B7322" w:rsidRDefault="00000000">
            <w:pPr>
              <w:widowControl/>
              <w:jc w:val="center"/>
              <w:textAlignment w:val="center"/>
              <w:rPr>
                <w:szCs w:val="21"/>
              </w:rPr>
            </w:pPr>
            <w:r w:rsidRPr="002B7322">
              <w:rPr>
                <w:kern w:val="0"/>
                <w:szCs w:val="21"/>
                <w:lang w:bidi="ar"/>
              </w:rPr>
              <w:t>0</w:t>
            </w:r>
          </w:p>
        </w:tc>
        <w:tc>
          <w:tcPr>
            <w:tcW w:w="393" w:type="pct"/>
            <w:tcBorders>
              <w:top w:val="single" w:sz="4" w:space="0" w:color="000000"/>
              <w:left w:val="single" w:sz="4" w:space="0" w:color="000000"/>
              <w:bottom w:val="single" w:sz="4" w:space="0" w:color="000000"/>
              <w:right w:val="single" w:sz="4" w:space="0" w:color="000000"/>
            </w:tcBorders>
            <w:noWrap/>
            <w:vAlign w:val="center"/>
          </w:tcPr>
          <w:p w14:paraId="68DA12F8" w14:textId="77777777" w:rsidR="00054437" w:rsidRPr="002B7322" w:rsidRDefault="00000000">
            <w:pPr>
              <w:widowControl/>
              <w:jc w:val="center"/>
              <w:textAlignment w:val="center"/>
              <w:rPr>
                <w:szCs w:val="21"/>
              </w:rPr>
            </w:pPr>
            <w:r w:rsidRPr="002B7322">
              <w:rPr>
                <w:kern w:val="0"/>
                <w:szCs w:val="21"/>
                <w:lang w:bidi="ar"/>
              </w:rPr>
              <w:t>0</w:t>
            </w:r>
          </w:p>
        </w:tc>
        <w:tc>
          <w:tcPr>
            <w:tcW w:w="393" w:type="pct"/>
            <w:tcBorders>
              <w:top w:val="single" w:sz="4" w:space="0" w:color="000000"/>
              <w:left w:val="single" w:sz="4" w:space="0" w:color="000000"/>
              <w:bottom w:val="single" w:sz="4" w:space="0" w:color="000000"/>
              <w:right w:val="single" w:sz="4" w:space="0" w:color="000000"/>
            </w:tcBorders>
            <w:noWrap/>
            <w:vAlign w:val="center"/>
          </w:tcPr>
          <w:p w14:paraId="11169CEC" w14:textId="77777777" w:rsidR="00054437" w:rsidRPr="002B7322" w:rsidRDefault="00000000">
            <w:pPr>
              <w:widowControl/>
              <w:jc w:val="center"/>
              <w:textAlignment w:val="center"/>
              <w:rPr>
                <w:szCs w:val="21"/>
              </w:rPr>
            </w:pPr>
            <w:r w:rsidRPr="002B7322">
              <w:rPr>
                <w:kern w:val="0"/>
                <w:szCs w:val="21"/>
                <w:lang w:bidi="ar"/>
              </w:rPr>
              <w:t>0</w:t>
            </w:r>
          </w:p>
        </w:tc>
        <w:tc>
          <w:tcPr>
            <w:tcW w:w="400" w:type="pct"/>
            <w:tcBorders>
              <w:top w:val="single" w:sz="4" w:space="0" w:color="000000"/>
              <w:left w:val="single" w:sz="4" w:space="0" w:color="000000"/>
              <w:bottom w:val="single" w:sz="4" w:space="0" w:color="000000"/>
              <w:right w:val="single" w:sz="4" w:space="0" w:color="000000"/>
            </w:tcBorders>
            <w:noWrap/>
            <w:vAlign w:val="center"/>
          </w:tcPr>
          <w:p w14:paraId="2B8EC1A2" w14:textId="77777777" w:rsidR="00054437" w:rsidRPr="002B7322" w:rsidRDefault="00000000">
            <w:pPr>
              <w:widowControl/>
              <w:jc w:val="center"/>
              <w:textAlignment w:val="center"/>
              <w:rPr>
                <w:szCs w:val="21"/>
              </w:rPr>
            </w:pPr>
            <w:r w:rsidRPr="002B7322">
              <w:rPr>
                <w:kern w:val="0"/>
                <w:szCs w:val="21"/>
                <w:lang w:bidi="ar"/>
              </w:rPr>
              <w:t>112.03</w:t>
            </w:r>
          </w:p>
        </w:tc>
        <w:tc>
          <w:tcPr>
            <w:tcW w:w="393" w:type="pct"/>
            <w:tcBorders>
              <w:top w:val="single" w:sz="4" w:space="0" w:color="000000"/>
              <w:left w:val="single" w:sz="4" w:space="0" w:color="000000"/>
              <w:bottom w:val="single" w:sz="4" w:space="0" w:color="000000"/>
              <w:right w:val="single" w:sz="4" w:space="0" w:color="000000"/>
            </w:tcBorders>
            <w:noWrap/>
            <w:vAlign w:val="center"/>
          </w:tcPr>
          <w:p w14:paraId="1EA72AA9" w14:textId="77777777" w:rsidR="00054437" w:rsidRPr="002B7322" w:rsidRDefault="00000000">
            <w:pPr>
              <w:widowControl/>
              <w:jc w:val="center"/>
              <w:textAlignment w:val="center"/>
              <w:rPr>
                <w:szCs w:val="21"/>
              </w:rPr>
            </w:pPr>
            <w:r w:rsidRPr="002B7322">
              <w:rPr>
                <w:kern w:val="0"/>
                <w:szCs w:val="21"/>
                <w:lang w:bidi="ar"/>
              </w:rPr>
              <w:t>1.79</w:t>
            </w:r>
          </w:p>
        </w:tc>
        <w:tc>
          <w:tcPr>
            <w:tcW w:w="393" w:type="pct"/>
            <w:tcBorders>
              <w:top w:val="single" w:sz="4" w:space="0" w:color="000000"/>
              <w:left w:val="single" w:sz="4" w:space="0" w:color="000000"/>
              <w:bottom w:val="single" w:sz="4" w:space="0" w:color="000000"/>
              <w:right w:val="single" w:sz="4" w:space="0" w:color="000000"/>
            </w:tcBorders>
            <w:noWrap/>
            <w:vAlign w:val="center"/>
          </w:tcPr>
          <w:p w14:paraId="0E1C61D3" w14:textId="77777777" w:rsidR="00054437" w:rsidRPr="002B7322" w:rsidRDefault="00000000">
            <w:pPr>
              <w:widowControl/>
              <w:jc w:val="center"/>
              <w:textAlignment w:val="center"/>
              <w:rPr>
                <w:szCs w:val="21"/>
              </w:rPr>
            </w:pPr>
            <w:r w:rsidRPr="002B7322">
              <w:rPr>
                <w:kern w:val="0"/>
                <w:szCs w:val="21"/>
                <w:lang w:bidi="ar"/>
              </w:rPr>
              <w:t>4.27</w:t>
            </w:r>
          </w:p>
        </w:tc>
        <w:tc>
          <w:tcPr>
            <w:tcW w:w="588" w:type="pct"/>
            <w:tcBorders>
              <w:top w:val="single" w:sz="4" w:space="0" w:color="000000"/>
              <w:left w:val="single" w:sz="4" w:space="0" w:color="000000"/>
              <w:bottom w:val="single" w:sz="4" w:space="0" w:color="000000"/>
              <w:right w:val="single" w:sz="4" w:space="0" w:color="000000"/>
            </w:tcBorders>
            <w:noWrap/>
            <w:vAlign w:val="center"/>
          </w:tcPr>
          <w:p w14:paraId="71E1999E" w14:textId="77777777" w:rsidR="00054437" w:rsidRPr="002B7322" w:rsidRDefault="00000000">
            <w:pPr>
              <w:widowControl/>
              <w:jc w:val="center"/>
              <w:textAlignment w:val="center"/>
              <w:rPr>
                <w:szCs w:val="21"/>
              </w:rPr>
            </w:pPr>
            <w:r w:rsidRPr="002B7322">
              <w:rPr>
                <w:kern w:val="0"/>
                <w:szCs w:val="21"/>
                <w:lang w:bidi="ar"/>
              </w:rPr>
              <w:t>/</w:t>
            </w:r>
          </w:p>
        </w:tc>
        <w:tc>
          <w:tcPr>
            <w:tcW w:w="400" w:type="pct"/>
            <w:tcBorders>
              <w:top w:val="single" w:sz="4" w:space="0" w:color="000000"/>
              <w:left w:val="single" w:sz="4" w:space="0" w:color="000000"/>
              <w:bottom w:val="single" w:sz="4" w:space="0" w:color="000000"/>
              <w:right w:val="single" w:sz="4" w:space="0" w:color="000000"/>
            </w:tcBorders>
            <w:noWrap/>
            <w:vAlign w:val="center"/>
          </w:tcPr>
          <w:p w14:paraId="76CF248D" w14:textId="77777777" w:rsidR="00054437" w:rsidRPr="002B7322" w:rsidRDefault="00000000">
            <w:pPr>
              <w:widowControl/>
              <w:jc w:val="center"/>
              <w:textAlignment w:val="center"/>
              <w:rPr>
                <w:szCs w:val="21"/>
              </w:rPr>
            </w:pPr>
            <w:r w:rsidRPr="002B7322">
              <w:rPr>
                <w:kern w:val="0"/>
                <w:szCs w:val="21"/>
                <w:lang w:bidi="ar"/>
              </w:rPr>
              <w:t>116.80</w:t>
            </w:r>
          </w:p>
        </w:tc>
        <w:tc>
          <w:tcPr>
            <w:tcW w:w="393" w:type="pct"/>
            <w:tcBorders>
              <w:top w:val="single" w:sz="4" w:space="0" w:color="000000"/>
              <w:left w:val="single" w:sz="4" w:space="0" w:color="000000"/>
              <w:bottom w:val="single" w:sz="4" w:space="0" w:color="000000"/>
              <w:right w:val="single" w:sz="4" w:space="0" w:color="000000"/>
            </w:tcBorders>
            <w:noWrap/>
            <w:vAlign w:val="center"/>
          </w:tcPr>
          <w:p w14:paraId="03BA33A1" w14:textId="77777777" w:rsidR="00054437" w:rsidRPr="002B7322" w:rsidRDefault="00000000">
            <w:pPr>
              <w:widowControl/>
              <w:jc w:val="center"/>
              <w:textAlignment w:val="center"/>
              <w:rPr>
                <w:szCs w:val="21"/>
              </w:rPr>
            </w:pPr>
            <w:r w:rsidRPr="002B7322">
              <w:rPr>
                <w:kern w:val="0"/>
                <w:szCs w:val="21"/>
                <w:lang w:bidi="ar"/>
              </w:rPr>
              <w:t>2.27</w:t>
            </w:r>
          </w:p>
        </w:tc>
        <w:tc>
          <w:tcPr>
            <w:tcW w:w="393" w:type="pct"/>
            <w:tcBorders>
              <w:top w:val="single" w:sz="4" w:space="0" w:color="000000"/>
              <w:left w:val="single" w:sz="4" w:space="0" w:color="000000"/>
              <w:bottom w:val="single" w:sz="4" w:space="0" w:color="000000"/>
              <w:right w:val="single" w:sz="4" w:space="0" w:color="000000"/>
            </w:tcBorders>
            <w:noWrap/>
            <w:vAlign w:val="center"/>
          </w:tcPr>
          <w:p w14:paraId="195B6B73" w14:textId="77777777" w:rsidR="00054437" w:rsidRPr="002B7322" w:rsidRDefault="00000000">
            <w:pPr>
              <w:widowControl/>
              <w:jc w:val="center"/>
              <w:textAlignment w:val="center"/>
              <w:rPr>
                <w:szCs w:val="21"/>
              </w:rPr>
            </w:pPr>
            <w:r w:rsidRPr="002B7322">
              <w:rPr>
                <w:kern w:val="0"/>
                <w:szCs w:val="21"/>
                <w:lang w:bidi="ar"/>
              </w:rPr>
              <w:t>4.32</w:t>
            </w:r>
          </w:p>
        </w:tc>
      </w:tr>
      <w:tr w:rsidR="000549B1" w:rsidRPr="002B7322" w14:paraId="4ADDC54A" w14:textId="77777777">
        <w:trPr>
          <w:trHeight w:val="270"/>
        </w:trPr>
        <w:tc>
          <w:tcPr>
            <w:tcW w:w="354" w:type="pct"/>
            <w:tcBorders>
              <w:top w:val="single" w:sz="4" w:space="0" w:color="000000"/>
              <w:left w:val="single" w:sz="4" w:space="0" w:color="000000"/>
              <w:bottom w:val="single" w:sz="4" w:space="0" w:color="000000"/>
              <w:right w:val="single" w:sz="4" w:space="0" w:color="000000"/>
            </w:tcBorders>
            <w:noWrap/>
            <w:vAlign w:val="center"/>
          </w:tcPr>
          <w:p w14:paraId="268353C1" w14:textId="77777777" w:rsidR="00054437" w:rsidRPr="002B7322" w:rsidRDefault="00000000">
            <w:pPr>
              <w:widowControl/>
              <w:jc w:val="center"/>
              <w:textAlignment w:val="center"/>
              <w:rPr>
                <w:b/>
                <w:bCs/>
                <w:szCs w:val="21"/>
              </w:rPr>
            </w:pPr>
            <w:r w:rsidRPr="002B7322">
              <w:rPr>
                <w:b/>
                <w:bCs/>
                <w:kern w:val="0"/>
                <w:szCs w:val="21"/>
                <w:lang w:bidi="ar"/>
              </w:rPr>
              <w:t>合计</w:t>
            </w:r>
          </w:p>
        </w:tc>
        <w:tc>
          <w:tcPr>
            <w:tcW w:w="501" w:type="pct"/>
            <w:tcBorders>
              <w:top w:val="single" w:sz="4" w:space="0" w:color="000000"/>
              <w:left w:val="single" w:sz="4" w:space="0" w:color="000000"/>
              <w:bottom w:val="single" w:sz="4" w:space="0" w:color="000000"/>
              <w:right w:val="single" w:sz="4" w:space="0" w:color="000000"/>
            </w:tcBorders>
            <w:noWrap/>
            <w:vAlign w:val="center"/>
          </w:tcPr>
          <w:p w14:paraId="1730E709" w14:textId="77777777" w:rsidR="00054437" w:rsidRPr="002B7322" w:rsidRDefault="00000000">
            <w:pPr>
              <w:widowControl/>
              <w:jc w:val="center"/>
              <w:textAlignment w:val="center"/>
              <w:rPr>
                <w:szCs w:val="21"/>
              </w:rPr>
            </w:pPr>
            <w:r w:rsidRPr="002B7322">
              <w:rPr>
                <w:kern w:val="0"/>
                <w:szCs w:val="21"/>
                <w:lang w:bidi="ar"/>
              </w:rPr>
              <w:t>1065.6</w:t>
            </w:r>
          </w:p>
        </w:tc>
        <w:tc>
          <w:tcPr>
            <w:tcW w:w="400" w:type="pct"/>
            <w:tcBorders>
              <w:top w:val="single" w:sz="4" w:space="0" w:color="000000"/>
              <w:left w:val="single" w:sz="4" w:space="0" w:color="000000"/>
              <w:bottom w:val="single" w:sz="4" w:space="0" w:color="000000"/>
              <w:right w:val="single" w:sz="4" w:space="0" w:color="000000"/>
            </w:tcBorders>
            <w:noWrap/>
            <w:vAlign w:val="center"/>
          </w:tcPr>
          <w:p w14:paraId="4A1C0887" w14:textId="77777777" w:rsidR="00054437" w:rsidRPr="002B7322" w:rsidRDefault="00000000">
            <w:pPr>
              <w:widowControl/>
              <w:jc w:val="center"/>
              <w:textAlignment w:val="center"/>
              <w:rPr>
                <w:szCs w:val="21"/>
              </w:rPr>
            </w:pPr>
            <w:r w:rsidRPr="002B7322">
              <w:rPr>
                <w:kern w:val="0"/>
                <w:szCs w:val="21"/>
                <w:lang w:bidi="ar"/>
              </w:rPr>
              <w:t>532.8</w:t>
            </w:r>
          </w:p>
        </w:tc>
        <w:tc>
          <w:tcPr>
            <w:tcW w:w="393" w:type="pct"/>
            <w:tcBorders>
              <w:top w:val="single" w:sz="4" w:space="0" w:color="000000"/>
              <w:left w:val="single" w:sz="4" w:space="0" w:color="000000"/>
              <w:bottom w:val="single" w:sz="4" w:space="0" w:color="000000"/>
              <w:right w:val="single" w:sz="4" w:space="0" w:color="000000"/>
            </w:tcBorders>
            <w:noWrap/>
            <w:vAlign w:val="center"/>
          </w:tcPr>
          <w:p w14:paraId="30800F17" w14:textId="77777777" w:rsidR="00054437" w:rsidRPr="002B7322" w:rsidRDefault="00000000">
            <w:pPr>
              <w:widowControl/>
              <w:jc w:val="center"/>
              <w:textAlignment w:val="center"/>
              <w:rPr>
                <w:szCs w:val="21"/>
              </w:rPr>
            </w:pPr>
            <w:r w:rsidRPr="002B7322">
              <w:rPr>
                <w:kern w:val="0"/>
                <w:szCs w:val="21"/>
                <w:lang w:bidi="ar"/>
              </w:rPr>
              <w:t>53.28</w:t>
            </w:r>
          </w:p>
        </w:tc>
        <w:tc>
          <w:tcPr>
            <w:tcW w:w="393" w:type="pct"/>
            <w:tcBorders>
              <w:top w:val="single" w:sz="4" w:space="0" w:color="000000"/>
              <w:left w:val="single" w:sz="4" w:space="0" w:color="000000"/>
              <w:bottom w:val="single" w:sz="4" w:space="0" w:color="000000"/>
              <w:right w:val="single" w:sz="4" w:space="0" w:color="000000"/>
            </w:tcBorders>
            <w:noWrap/>
            <w:vAlign w:val="center"/>
          </w:tcPr>
          <w:p w14:paraId="3BCFBC59" w14:textId="77777777" w:rsidR="00054437" w:rsidRPr="002B7322" w:rsidRDefault="00000000">
            <w:pPr>
              <w:widowControl/>
              <w:jc w:val="center"/>
              <w:textAlignment w:val="center"/>
              <w:rPr>
                <w:szCs w:val="21"/>
              </w:rPr>
            </w:pPr>
            <w:r w:rsidRPr="002B7322">
              <w:rPr>
                <w:kern w:val="0"/>
                <w:szCs w:val="21"/>
                <w:lang w:bidi="ar"/>
              </w:rPr>
              <w:t>5.33</w:t>
            </w:r>
          </w:p>
        </w:tc>
        <w:tc>
          <w:tcPr>
            <w:tcW w:w="400" w:type="pct"/>
            <w:tcBorders>
              <w:top w:val="single" w:sz="4" w:space="0" w:color="000000"/>
              <w:left w:val="single" w:sz="4" w:space="0" w:color="000000"/>
              <w:bottom w:val="single" w:sz="4" w:space="0" w:color="000000"/>
              <w:right w:val="single" w:sz="4" w:space="0" w:color="000000"/>
            </w:tcBorders>
            <w:noWrap/>
            <w:vAlign w:val="center"/>
          </w:tcPr>
          <w:p w14:paraId="2B7977C0" w14:textId="77777777" w:rsidR="00054437" w:rsidRPr="002B7322" w:rsidRDefault="00000000">
            <w:pPr>
              <w:widowControl/>
              <w:jc w:val="center"/>
              <w:textAlignment w:val="center"/>
              <w:rPr>
                <w:szCs w:val="21"/>
              </w:rPr>
            </w:pPr>
            <w:r w:rsidRPr="002B7322">
              <w:rPr>
                <w:kern w:val="0"/>
                <w:szCs w:val="21"/>
                <w:lang w:bidi="ar"/>
              </w:rPr>
              <w:t>963.86</w:t>
            </w:r>
          </w:p>
        </w:tc>
        <w:tc>
          <w:tcPr>
            <w:tcW w:w="393" w:type="pct"/>
            <w:tcBorders>
              <w:top w:val="single" w:sz="4" w:space="0" w:color="000000"/>
              <w:left w:val="single" w:sz="4" w:space="0" w:color="000000"/>
              <w:bottom w:val="single" w:sz="4" w:space="0" w:color="000000"/>
              <w:right w:val="single" w:sz="4" w:space="0" w:color="000000"/>
            </w:tcBorders>
            <w:noWrap/>
            <w:vAlign w:val="center"/>
          </w:tcPr>
          <w:p w14:paraId="6DF3DD49" w14:textId="77777777" w:rsidR="00054437" w:rsidRPr="002B7322" w:rsidRDefault="00000000">
            <w:pPr>
              <w:widowControl/>
              <w:jc w:val="center"/>
              <w:textAlignment w:val="center"/>
              <w:rPr>
                <w:szCs w:val="21"/>
              </w:rPr>
            </w:pPr>
            <w:r w:rsidRPr="002B7322">
              <w:rPr>
                <w:kern w:val="0"/>
                <w:szCs w:val="21"/>
                <w:lang w:bidi="ar"/>
              </w:rPr>
              <w:t>16.48</w:t>
            </w:r>
          </w:p>
        </w:tc>
        <w:tc>
          <w:tcPr>
            <w:tcW w:w="393" w:type="pct"/>
            <w:tcBorders>
              <w:top w:val="single" w:sz="4" w:space="0" w:color="000000"/>
              <w:left w:val="single" w:sz="4" w:space="0" w:color="000000"/>
              <w:bottom w:val="single" w:sz="4" w:space="0" w:color="000000"/>
              <w:right w:val="single" w:sz="4" w:space="0" w:color="000000"/>
            </w:tcBorders>
            <w:noWrap/>
            <w:vAlign w:val="center"/>
          </w:tcPr>
          <w:p w14:paraId="3F7D1FDF" w14:textId="77777777" w:rsidR="00054437" w:rsidRPr="002B7322" w:rsidRDefault="00000000">
            <w:pPr>
              <w:widowControl/>
              <w:jc w:val="center"/>
              <w:textAlignment w:val="center"/>
              <w:rPr>
                <w:szCs w:val="21"/>
              </w:rPr>
            </w:pPr>
            <w:r w:rsidRPr="002B7322">
              <w:rPr>
                <w:kern w:val="0"/>
                <w:szCs w:val="21"/>
                <w:lang w:bidi="ar"/>
              </w:rPr>
              <w:t>54.64</w:t>
            </w:r>
          </w:p>
        </w:tc>
        <w:tc>
          <w:tcPr>
            <w:tcW w:w="588" w:type="pct"/>
            <w:tcBorders>
              <w:top w:val="single" w:sz="4" w:space="0" w:color="000000"/>
              <w:left w:val="single" w:sz="4" w:space="0" w:color="000000"/>
              <w:bottom w:val="single" w:sz="4" w:space="0" w:color="000000"/>
              <w:right w:val="single" w:sz="4" w:space="0" w:color="000000"/>
            </w:tcBorders>
            <w:noWrap/>
            <w:vAlign w:val="center"/>
          </w:tcPr>
          <w:p w14:paraId="3E3C8CA6" w14:textId="77777777" w:rsidR="00054437" w:rsidRPr="002B7322" w:rsidRDefault="00000000">
            <w:pPr>
              <w:widowControl/>
              <w:jc w:val="center"/>
              <w:textAlignment w:val="center"/>
              <w:rPr>
                <w:szCs w:val="21"/>
              </w:rPr>
            </w:pPr>
            <w:r w:rsidRPr="002B7322">
              <w:rPr>
                <w:kern w:val="0"/>
                <w:szCs w:val="21"/>
                <w:lang w:bidi="ar"/>
              </w:rPr>
              <w:t>1065.6</w:t>
            </w:r>
          </w:p>
        </w:tc>
        <w:tc>
          <w:tcPr>
            <w:tcW w:w="400" w:type="pct"/>
            <w:tcBorders>
              <w:top w:val="single" w:sz="4" w:space="0" w:color="000000"/>
              <w:left w:val="single" w:sz="4" w:space="0" w:color="000000"/>
              <w:bottom w:val="single" w:sz="4" w:space="0" w:color="000000"/>
              <w:right w:val="single" w:sz="4" w:space="0" w:color="000000"/>
            </w:tcBorders>
            <w:noWrap/>
            <w:vAlign w:val="center"/>
          </w:tcPr>
          <w:p w14:paraId="33EC7F97" w14:textId="77777777" w:rsidR="00054437" w:rsidRPr="002B7322" w:rsidRDefault="00000000">
            <w:pPr>
              <w:widowControl/>
              <w:jc w:val="center"/>
              <w:textAlignment w:val="center"/>
              <w:rPr>
                <w:szCs w:val="21"/>
              </w:rPr>
            </w:pPr>
            <w:r w:rsidRPr="002B7322">
              <w:rPr>
                <w:kern w:val="0"/>
                <w:szCs w:val="21"/>
                <w:lang w:bidi="ar"/>
              </w:rPr>
              <w:t>1496.66</w:t>
            </w:r>
          </w:p>
        </w:tc>
        <w:tc>
          <w:tcPr>
            <w:tcW w:w="393" w:type="pct"/>
            <w:tcBorders>
              <w:top w:val="single" w:sz="4" w:space="0" w:color="000000"/>
              <w:left w:val="single" w:sz="4" w:space="0" w:color="000000"/>
              <w:bottom w:val="single" w:sz="4" w:space="0" w:color="000000"/>
              <w:right w:val="single" w:sz="4" w:space="0" w:color="000000"/>
            </w:tcBorders>
            <w:noWrap/>
            <w:vAlign w:val="center"/>
          </w:tcPr>
          <w:p w14:paraId="12E7A20B" w14:textId="77777777" w:rsidR="00054437" w:rsidRPr="002B7322" w:rsidRDefault="00000000">
            <w:pPr>
              <w:widowControl/>
              <w:jc w:val="center"/>
              <w:textAlignment w:val="center"/>
              <w:rPr>
                <w:szCs w:val="21"/>
              </w:rPr>
            </w:pPr>
            <w:r w:rsidRPr="002B7322">
              <w:rPr>
                <w:kern w:val="0"/>
                <w:szCs w:val="21"/>
                <w:lang w:bidi="ar"/>
              </w:rPr>
              <w:t>69.76</w:t>
            </w:r>
          </w:p>
        </w:tc>
        <w:tc>
          <w:tcPr>
            <w:tcW w:w="393" w:type="pct"/>
            <w:tcBorders>
              <w:top w:val="single" w:sz="4" w:space="0" w:color="000000"/>
              <w:left w:val="single" w:sz="4" w:space="0" w:color="000000"/>
              <w:bottom w:val="single" w:sz="4" w:space="0" w:color="000000"/>
              <w:right w:val="single" w:sz="4" w:space="0" w:color="000000"/>
            </w:tcBorders>
            <w:noWrap/>
            <w:vAlign w:val="center"/>
          </w:tcPr>
          <w:p w14:paraId="5B403FD5" w14:textId="77777777" w:rsidR="00054437" w:rsidRPr="002B7322" w:rsidRDefault="00000000">
            <w:pPr>
              <w:widowControl/>
              <w:jc w:val="center"/>
              <w:textAlignment w:val="center"/>
              <w:rPr>
                <w:szCs w:val="21"/>
              </w:rPr>
            </w:pPr>
            <w:r w:rsidRPr="002B7322">
              <w:rPr>
                <w:kern w:val="0"/>
                <w:szCs w:val="21"/>
                <w:lang w:bidi="ar"/>
              </w:rPr>
              <w:t>59.97</w:t>
            </w:r>
          </w:p>
        </w:tc>
      </w:tr>
      <w:tr w:rsidR="002B7322" w:rsidRPr="002B7322" w14:paraId="67CEAA16" w14:textId="77777777">
        <w:trPr>
          <w:trHeight w:val="270"/>
        </w:trPr>
        <w:tc>
          <w:tcPr>
            <w:tcW w:w="354" w:type="pct"/>
            <w:tcBorders>
              <w:top w:val="single" w:sz="4" w:space="0" w:color="000000"/>
              <w:left w:val="single" w:sz="4" w:space="0" w:color="000000"/>
              <w:bottom w:val="single" w:sz="4" w:space="0" w:color="000000"/>
              <w:right w:val="single" w:sz="4" w:space="0" w:color="000000"/>
            </w:tcBorders>
            <w:vAlign w:val="center"/>
          </w:tcPr>
          <w:p w14:paraId="38E68BD7" w14:textId="77777777" w:rsidR="00054437" w:rsidRPr="002B7322" w:rsidRDefault="00000000">
            <w:pPr>
              <w:widowControl/>
              <w:textAlignment w:val="center"/>
              <w:rPr>
                <w:szCs w:val="21"/>
              </w:rPr>
            </w:pPr>
            <w:r w:rsidRPr="002B7322">
              <w:rPr>
                <w:kern w:val="0"/>
                <w:szCs w:val="21"/>
                <w:lang w:bidi="ar"/>
              </w:rPr>
              <w:t>其中：沙珠玉河流域</w:t>
            </w:r>
          </w:p>
        </w:tc>
        <w:tc>
          <w:tcPr>
            <w:tcW w:w="501" w:type="pct"/>
            <w:tcBorders>
              <w:top w:val="single" w:sz="4" w:space="0" w:color="000000"/>
              <w:left w:val="single" w:sz="4" w:space="0" w:color="000000"/>
              <w:bottom w:val="single" w:sz="4" w:space="0" w:color="000000"/>
              <w:right w:val="single" w:sz="4" w:space="0" w:color="000000"/>
            </w:tcBorders>
            <w:noWrap/>
            <w:vAlign w:val="center"/>
          </w:tcPr>
          <w:p w14:paraId="7F8F766B" w14:textId="77777777" w:rsidR="00054437" w:rsidRPr="002B7322" w:rsidRDefault="00000000">
            <w:pPr>
              <w:widowControl/>
              <w:jc w:val="center"/>
              <w:textAlignment w:val="center"/>
              <w:rPr>
                <w:color w:val="000000" w:themeColor="text1"/>
                <w:szCs w:val="21"/>
              </w:rPr>
            </w:pPr>
            <w:r w:rsidRPr="002B7322">
              <w:rPr>
                <w:color w:val="000000" w:themeColor="text1"/>
                <w:kern w:val="0"/>
                <w:szCs w:val="21"/>
                <w:lang w:bidi="ar"/>
              </w:rPr>
              <w:t>0</w:t>
            </w:r>
          </w:p>
        </w:tc>
        <w:tc>
          <w:tcPr>
            <w:tcW w:w="400" w:type="pct"/>
            <w:tcBorders>
              <w:top w:val="single" w:sz="4" w:space="0" w:color="000000"/>
              <w:left w:val="single" w:sz="4" w:space="0" w:color="000000"/>
              <w:bottom w:val="single" w:sz="4" w:space="0" w:color="000000"/>
              <w:right w:val="single" w:sz="4" w:space="0" w:color="000000"/>
            </w:tcBorders>
            <w:noWrap/>
            <w:vAlign w:val="center"/>
          </w:tcPr>
          <w:p w14:paraId="3DBED35E" w14:textId="77777777" w:rsidR="00054437" w:rsidRPr="002B7322" w:rsidRDefault="00000000">
            <w:pPr>
              <w:widowControl/>
              <w:jc w:val="center"/>
              <w:textAlignment w:val="center"/>
              <w:rPr>
                <w:color w:val="000000" w:themeColor="text1"/>
                <w:szCs w:val="21"/>
              </w:rPr>
            </w:pPr>
            <w:r w:rsidRPr="002B7322">
              <w:rPr>
                <w:color w:val="000000" w:themeColor="text1"/>
                <w:kern w:val="0"/>
                <w:szCs w:val="21"/>
                <w:lang w:bidi="ar"/>
              </w:rPr>
              <w:t>0</w:t>
            </w:r>
          </w:p>
        </w:tc>
        <w:tc>
          <w:tcPr>
            <w:tcW w:w="393" w:type="pct"/>
            <w:tcBorders>
              <w:top w:val="single" w:sz="4" w:space="0" w:color="000000"/>
              <w:left w:val="single" w:sz="4" w:space="0" w:color="000000"/>
              <w:bottom w:val="single" w:sz="4" w:space="0" w:color="000000"/>
              <w:right w:val="single" w:sz="4" w:space="0" w:color="000000"/>
            </w:tcBorders>
            <w:noWrap/>
            <w:vAlign w:val="center"/>
          </w:tcPr>
          <w:p w14:paraId="5CBF9796" w14:textId="77777777" w:rsidR="00054437" w:rsidRPr="002B7322" w:rsidRDefault="00000000">
            <w:pPr>
              <w:widowControl/>
              <w:jc w:val="center"/>
              <w:textAlignment w:val="center"/>
              <w:rPr>
                <w:color w:val="000000" w:themeColor="text1"/>
                <w:szCs w:val="21"/>
              </w:rPr>
            </w:pPr>
            <w:r w:rsidRPr="002B7322">
              <w:rPr>
                <w:color w:val="000000" w:themeColor="text1"/>
                <w:kern w:val="0"/>
                <w:szCs w:val="21"/>
                <w:lang w:bidi="ar"/>
              </w:rPr>
              <w:t>0</w:t>
            </w:r>
          </w:p>
        </w:tc>
        <w:tc>
          <w:tcPr>
            <w:tcW w:w="393" w:type="pct"/>
            <w:tcBorders>
              <w:top w:val="single" w:sz="4" w:space="0" w:color="000000"/>
              <w:left w:val="single" w:sz="4" w:space="0" w:color="000000"/>
              <w:bottom w:val="single" w:sz="4" w:space="0" w:color="000000"/>
              <w:right w:val="single" w:sz="4" w:space="0" w:color="000000"/>
            </w:tcBorders>
            <w:noWrap/>
            <w:vAlign w:val="center"/>
          </w:tcPr>
          <w:p w14:paraId="3D27388C" w14:textId="77777777" w:rsidR="00054437" w:rsidRPr="002B7322" w:rsidRDefault="00000000">
            <w:pPr>
              <w:widowControl/>
              <w:jc w:val="center"/>
              <w:textAlignment w:val="center"/>
              <w:rPr>
                <w:color w:val="000000" w:themeColor="text1"/>
                <w:szCs w:val="21"/>
              </w:rPr>
            </w:pPr>
            <w:r w:rsidRPr="002B7322">
              <w:rPr>
                <w:color w:val="000000" w:themeColor="text1"/>
                <w:kern w:val="0"/>
                <w:szCs w:val="21"/>
                <w:lang w:bidi="ar"/>
              </w:rPr>
              <w:t>0</w:t>
            </w:r>
          </w:p>
        </w:tc>
        <w:tc>
          <w:tcPr>
            <w:tcW w:w="400" w:type="pct"/>
            <w:tcBorders>
              <w:top w:val="single" w:sz="4" w:space="0" w:color="000000"/>
              <w:left w:val="single" w:sz="4" w:space="0" w:color="000000"/>
              <w:bottom w:val="single" w:sz="4" w:space="0" w:color="000000"/>
              <w:right w:val="single" w:sz="4" w:space="0" w:color="000000"/>
            </w:tcBorders>
            <w:noWrap/>
            <w:vAlign w:val="center"/>
          </w:tcPr>
          <w:p w14:paraId="24B131A5" w14:textId="77777777" w:rsidR="00054437" w:rsidRPr="002B7322" w:rsidRDefault="00000000">
            <w:pPr>
              <w:widowControl/>
              <w:jc w:val="center"/>
              <w:textAlignment w:val="center"/>
              <w:rPr>
                <w:color w:val="000000" w:themeColor="text1"/>
                <w:szCs w:val="21"/>
              </w:rPr>
            </w:pPr>
            <w:r w:rsidRPr="002B7322">
              <w:rPr>
                <w:color w:val="000000" w:themeColor="text1"/>
                <w:kern w:val="0"/>
                <w:szCs w:val="21"/>
                <w:lang w:bidi="ar"/>
              </w:rPr>
              <w:t>271.15</w:t>
            </w:r>
          </w:p>
        </w:tc>
        <w:tc>
          <w:tcPr>
            <w:tcW w:w="393" w:type="pct"/>
            <w:tcBorders>
              <w:top w:val="single" w:sz="4" w:space="0" w:color="000000"/>
              <w:left w:val="single" w:sz="4" w:space="0" w:color="000000"/>
              <w:bottom w:val="single" w:sz="4" w:space="0" w:color="000000"/>
              <w:right w:val="single" w:sz="4" w:space="0" w:color="000000"/>
            </w:tcBorders>
            <w:noWrap/>
            <w:vAlign w:val="center"/>
          </w:tcPr>
          <w:p w14:paraId="3CCA582A" w14:textId="77777777" w:rsidR="00054437" w:rsidRPr="002B7322" w:rsidRDefault="00000000">
            <w:pPr>
              <w:widowControl/>
              <w:jc w:val="center"/>
              <w:textAlignment w:val="center"/>
              <w:rPr>
                <w:color w:val="000000" w:themeColor="text1"/>
                <w:szCs w:val="21"/>
              </w:rPr>
            </w:pPr>
            <w:r w:rsidRPr="002B7322">
              <w:rPr>
                <w:color w:val="000000" w:themeColor="text1"/>
                <w:kern w:val="0"/>
                <w:szCs w:val="21"/>
                <w:lang w:bidi="ar"/>
              </w:rPr>
              <w:t>4.71</w:t>
            </w:r>
          </w:p>
        </w:tc>
        <w:tc>
          <w:tcPr>
            <w:tcW w:w="393" w:type="pct"/>
            <w:tcBorders>
              <w:top w:val="single" w:sz="4" w:space="0" w:color="000000"/>
              <w:left w:val="single" w:sz="4" w:space="0" w:color="000000"/>
              <w:bottom w:val="single" w:sz="4" w:space="0" w:color="000000"/>
              <w:right w:val="single" w:sz="4" w:space="0" w:color="000000"/>
            </w:tcBorders>
            <w:noWrap/>
            <w:vAlign w:val="center"/>
          </w:tcPr>
          <w:p w14:paraId="39A51934" w14:textId="77777777" w:rsidR="00054437" w:rsidRPr="002B7322" w:rsidRDefault="00000000">
            <w:pPr>
              <w:widowControl/>
              <w:jc w:val="center"/>
              <w:textAlignment w:val="center"/>
              <w:rPr>
                <w:color w:val="000000" w:themeColor="text1"/>
                <w:szCs w:val="21"/>
              </w:rPr>
            </w:pPr>
            <w:r w:rsidRPr="002B7322">
              <w:rPr>
                <w:color w:val="000000" w:themeColor="text1"/>
                <w:kern w:val="0"/>
                <w:szCs w:val="21"/>
                <w:lang w:bidi="ar"/>
              </w:rPr>
              <w:t>16.60</w:t>
            </w:r>
          </w:p>
        </w:tc>
        <w:tc>
          <w:tcPr>
            <w:tcW w:w="588" w:type="pct"/>
            <w:tcBorders>
              <w:top w:val="single" w:sz="4" w:space="0" w:color="000000"/>
              <w:left w:val="single" w:sz="4" w:space="0" w:color="000000"/>
              <w:bottom w:val="single" w:sz="4" w:space="0" w:color="000000"/>
              <w:right w:val="single" w:sz="4" w:space="0" w:color="000000"/>
            </w:tcBorders>
            <w:noWrap/>
            <w:vAlign w:val="center"/>
          </w:tcPr>
          <w:p w14:paraId="0DC4A07B" w14:textId="77777777" w:rsidR="00054437" w:rsidRPr="002B7322" w:rsidRDefault="00000000">
            <w:pPr>
              <w:widowControl/>
              <w:jc w:val="center"/>
              <w:textAlignment w:val="center"/>
              <w:rPr>
                <w:color w:val="000000" w:themeColor="text1"/>
                <w:szCs w:val="21"/>
              </w:rPr>
            </w:pPr>
            <w:r w:rsidRPr="002B7322">
              <w:rPr>
                <w:color w:val="000000" w:themeColor="text1"/>
                <w:kern w:val="0"/>
                <w:szCs w:val="21"/>
                <w:lang w:bidi="ar"/>
              </w:rPr>
              <w:t>/</w:t>
            </w:r>
          </w:p>
        </w:tc>
        <w:tc>
          <w:tcPr>
            <w:tcW w:w="400" w:type="pct"/>
            <w:tcBorders>
              <w:top w:val="single" w:sz="4" w:space="0" w:color="000000"/>
              <w:left w:val="single" w:sz="4" w:space="0" w:color="000000"/>
              <w:bottom w:val="single" w:sz="4" w:space="0" w:color="000000"/>
              <w:right w:val="single" w:sz="4" w:space="0" w:color="000000"/>
            </w:tcBorders>
            <w:noWrap/>
            <w:vAlign w:val="center"/>
          </w:tcPr>
          <w:p w14:paraId="4B4D5830" w14:textId="77777777" w:rsidR="00054437" w:rsidRPr="002B7322" w:rsidRDefault="00000000">
            <w:pPr>
              <w:widowControl/>
              <w:jc w:val="center"/>
              <w:textAlignment w:val="center"/>
              <w:rPr>
                <w:color w:val="000000" w:themeColor="text1"/>
                <w:szCs w:val="21"/>
              </w:rPr>
            </w:pPr>
            <w:r w:rsidRPr="002B7322">
              <w:rPr>
                <w:color w:val="000000" w:themeColor="text1"/>
                <w:kern w:val="0"/>
                <w:szCs w:val="21"/>
                <w:lang w:bidi="ar"/>
              </w:rPr>
              <w:t>271.15</w:t>
            </w:r>
          </w:p>
        </w:tc>
        <w:tc>
          <w:tcPr>
            <w:tcW w:w="393" w:type="pct"/>
            <w:tcBorders>
              <w:top w:val="single" w:sz="4" w:space="0" w:color="000000"/>
              <w:left w:val="single" w:sz="4" w:space="0" w:color="000000"/>
              <w:bottom w:val="single" w:sz="4" w:space="0" w:color="000000"/>
              <w:right w:val="single" w:sz="4" w:space="0" w:color="000000"/>
            </w:tcBorders>
            <w:noWrap/>
            <w:vAlign w:val="center"/>
          </w:tcPr>
          <w:p w14:paraId="713D0A8B" w14:textId="77777777" w:rsidR="00054437" w:rsidRPr="002B7322" w:rsidRDefault="00000000">
            <w:pPr>
              <w:widowControl/>
              <w:jc w:val="center"/>
              <w:textAlignment w:val="center"/>
              <w:rPr>
                <w:color w:val="000000" w:themeColor="text1"/>
                <w:szCs w:val="21"/>
              </w:rPr>
            </w:pPr>
            <w:r w:rsidRPr="002B7322">
              <w:rPr>
                <w:color w:val="000000" w:themeColor="text1"/>
                <w:kern w:val="0"/>
                <w:szCs w:val="21"/>
                <w:lang w:bidi="ar"/>
              </w:rPr>
              <w:t>4.71</w:t>
            </w:r>
          </w:p>
        </w:tc>
        <w:tc>
          <w:tcPr>
            <w:tcW w:w="393" w:type="pct"/>
            <w:tcBorders>
              <w:top w:val="single" w:sz="4" w:space="0" w:color="000000"/>
              <w:left w:val="single" w:sz="4" w:space="0" w:color="000000"/>
              <w:bottom w:val="single" w:sz="4" w:space="0" w:color="000000"/>
              <w:right w:val="single" w:sz="4" w:space="0" w:color="000000"/>
            </w:tcBorders>
            <w:noWrap/>
            <w:vAlign w:val="center"/>
          </w:tcPr>
          <w:p w14:paraId="4DCA5FEB" w14:textId="77777777" w:rsidR="00054437" w:rsidRPr="002B7322" w:rsidRDefault="00000000">
            <w:pPr>
              <w:widowControl/>
              <w:jc w:val="center"/>
              <w:textAlignment w:val="center"/>
              <w:rPr>
                <w:color w:val="000000" w:themeColor="text1"/>
                <w:szCs w:val="21"/>
              </w:rPr>
            </w:pPr>
            <w:r w:rsidRPr="002B7322">
              <w:rPr>
                <w:color w:val="000000" w:themeColor="text1"/>
                <w:kern w:val="0"/>
                <w:szCs w:val="21"/>
                <w:lang w:bidi="ar"/>
              </w:rPr>
              <w:t>16.60</w:t>
            </w:r>
          </w:p>
        </w:tc>
      </w:tr>
    </w:tbl>
    <w:p w14:paraId="7E600786" w14:textId="77777777" w:rsidR="00054437" w:rsidRPr="000549B1" w:rsidRDefault="00054437">
      <w:pPr>
        <w:adjustRightInd w:val="0"/>
        <w:snapToGrid w:val="0"/>
        <w:spacing w:line="360" w:lineRule="auto"/>
        <w:ind w:firstLineChars="200" w:firstLine="480"/>
        <w:rPr>
          <w:kern w:val="0"/>
          <w:sz w:val="24"/>
          <w:szCs w:val="24"/>
        </w:rPr>
        <w:sectPr w:rsidR="00054437" w:rsidRPr="000549B1">
          <w:pgSz w:w="16838" w:h="11906" w:orient="landscape"/>
          <w:pgMar w:top="1800" w:right="1440" w:bottom="1800" w:left="1440" w:header="851" w:footer="992" w:gutter="0"/>
          <w:cols w:space="425"/>
          <w:docGrid w:type="lines" w:linePitch="312"/>
        </w:sectPr>
      </w:pPr>
    </w:p>
    <w:p w14:paraId="450D9159" w14:textId="77777777" w:rsidR="00054437" w:rsidRPr="000549B1" w:rsidRDefault="00000000">
      <w:pPr>
        <w:pStyle w:val="3"/>
      </w:pPr>
      <w:bookmarkStart w:id="391" w:name="_Toc216107048"/>
      <w:r w:rsidRPr="000549B1">
        <w:t>规划年水环境承载状况分析</w:t>
      </w:r>
      <w:bookmarkEnd w:id="391"/>
    </w:p>
    <w:p w14:paraId="348DCBF0" w14:textId="77777777" w:rsidR="00054437" w:rsidRPr="000549B1" w:rsidRDefault="00000000">
      <w:pPr>
        <w:snapToGrid w:val="0"/>
        <w:spacing w:line="360" w:lineRule="auto"/>
        <w:ind w:firstLineChars="196" w:firstLine="470"/>
        <w:rPr>
          <w:rFonts w:eastAsiaTheme="minorEastAsia"/>
          <w:bCs/>
          <w:sz w:val="24"/>
          <w:szCs w:val="24"/>
        </w:rPr>
      </w:pPr>
      <w:r w:rsidRPr="000549B1">
        <w:rPr>
          <w:rFonts w:eastAsiaTheme="minorEastAsia"/>
          <w:bCs/>
          <w:sz w:val="24"/>
          <w:szCs w:val="24"/>
        </w:rPr>
        <w:t>水环境承载力是指在一定的时期和区域内，水环境系统在满足既定水质目标要求、保持其可持续的自净能力以及维持水生态系统健康的前提下，对该区域人口、经济和社会活动的支持能力。其核心本质是水环境的纳污能力，即在水环境质量标准约束下的最大允许污染负荷量。</w:t>
      </w:r>
    </w:p>
    <w:p w14:paraId="3ED59067" w14:textId="4968625A" w:rsidR="00054437" w:rsidRPr="000549B1" w:rsidRDefault="00000000">
      <w:pPr>
        <w:snapToGrid w:val="0"/>
        <w:spacing w:line="360" w:lineRule="auto"/>
        <w:ind w:firstLineChars="196" w:firstLine="470"/>
        <w:rPr>
          <w:rFonts w:eastAsiaTheme="minorEastAsia"/>
          <w:bCs/>
          <w:sz w:val="24"/>
          <w:szCs w:val="24"/>
        </w:rPr>
      </w:pPr>
      <w:r w:rsidRPr="000549B1">
        <w:rPr>
          <w:rFonts w:eastAsiaTheme="minorEastAsia"/>
          <w:bCs/>
          <w:sz w:val="24"/>
          <w:szCs w:val="24"/>
        </w:rPr>
        <w:t>在规划水平年，沙珠玉河共和开发利用区河段纳污能力计算的水文条件基本没变化，从严格环境管理的角度考虑，规划水平年水功能区纳污能力同现状纳污能力采用相同值。沙珠玉河纳污能力计算详见</w:t>
      </w:r>
      <w:r w:rsidRPr="000549B1">
        <w:rPr>
          <w:rFonts w:eastAsiaTheme="minorEastAsia"/>
          <w:bCs/>
          <w:sz w:val="24"/>
          <w:szCs w:val="24"/>
        </w:rPr>
        <w:t>3.3.</w:t>
      </w:r>
      <w:r w:rsidR="0004712B">
        <w:rPr>
          <w:rFonts w:eastAsiaTheme="minorEastAsia" w:hint="eastAsia"/>
          <w:bCs/>
          <w:sz w:val="24"/>
          <w:szCs w:val="24"/>
        </w:rPr>
        <w:t>5</w:t>
      </w:r>
      <w:r w:rsidRPr="000549B1">
        <w:rPr>
          <w:rFonts w:eastAsiaTheme="minorEastAsia"/>
          <w:bCs/>
          <w:sz w:val="24"/>
          <w:szCs w:val="24"/>
        </w:rPr>
        <w:t>.1</w:t>
      </w:r>
      <w:r w:rsidRPr="000549B1">
        <w:rPr>
          <w:rFonts w:eastAsiaTheme="minorEastAsia"/>
          <w:bCs/>
          <w:sz w:val="24"/>
          <w:szCs w:val="24"/>
        </w:rPr>
        <w:t>节。</w:t>
      </w:r>
    </w:p>
    <w:p w14:paraId="22118D92" w14:textId="434E052A" w:rsidR="00054437" w:rsidRPr="000549B1" w:rsidRDefault="00000000">
      <w:pPr>
        <w:snapToGrid w:val="0"/>
        <w:spacing w:line="360" w:lineRule="auto"/>
        <w:ind w:firstLineChars="196" w:firstLine="470"/>
        <w:rPr>
          <w:rFonts w:eastAsiaTheme="minorEastAsia"/>
          <w:bCs/>
          <w:sz w:val="24"/>
          <w:szCs w:val="24"/>
        </w:rPr>
      </w:pPr>
      <w:r w:rsidRPr="000549B1">
        <w:rPr>
          <w:rFonts w:eastAsiaTheme="minorEastAsia"/>
          <w:bCs/>
          <w:sz w:val="24"/>
          <w:szCs w:val="24"/>
        </w:rPr>
        <w:t>沙珠玉河流域规划年水环境承载状况评价结果见</w:t>
      </w:r>
      <w:r w:rsidR="00F32CCA" w:rsidRPr="00F32CCA">
        <w:rPr>
          <w:rFonts w:eastAsiaTheme="minorEastAsia"/>
          <w:bCs/>
          <w:sz w:val="24"/>
          <w:szCs w:val="24"/>
        </w:rPr>
        <w:t>表</w:t>
      </w:r>
      <w:r w:rsidR="00F32CCA" w:rsidRPr="00F32CCA">
        <w:rPr>
          <w:rFonts w:eastAsiaTheme="minorEastAsia"/>
          <w:bCs/>
          <w:sz w:val="24"/>
          <w:szCs w:val="24"/>
        </w:rPr>
        <w:t>5.2</w:t>
      </w:r>
      <w:r w:rsidR="00F32CCA" w:rsidRPr="00F32CCA">
        <w:rPr>
          <w:rFonts w:eastAsiaTheme="minorEastAsia"/>
          <w:bCs/>
          <w:sz w:val="24"/>
          <w:szCs w:val="24"/>
        </w:rPr>
        <w:noBreakHyphen/>
        <w:t>7</w:t>
      </w:r>
      <w:r w:rsidRPr="000549B1">
        <w:rPr>
          <w:rFonts w:eastAsiaTheme="minorEastAsia"/>
          <w:bCs/>
          <w:sz w:val="24"/>
          <w:szCs w:val="24"/>
        </w:rPr>
        <w:t>。</w:t>
      </w:r>
    </w:p>
    <w:p w14:paraId="1670DED3" w14:textId="4F88C6FD" w:rsidR="00054437" w:rsidRPr="000549B1" w:rsidRDefault="00000000">
      <w:pPr>
        <w:pStyle w:val="aff8"/>
        <w:rPr>
          <w:color w:val="auto"/>
        </w:rPr>
      </w:pPr>
      <w:bookmarkStart w:id="392" w:name="_Ref214983398"/>
      <w:r w:rsidRPr="000549B1">
        <w:rPr>
          <w:color w:val="auto"/>
        </w:rPr>
        <w:t>表</w:t>
      </w:r>
      <w:r w:rsidR="00372953">
        <w:rPr>
          <w:color w:val="auto"/>
        </w:rPr>
        <w:fldChar w:fldCharType="begin"/>
      </w:r>
      <w:r w:rsidR="00372953">
        <w:rPr>
          <w:color w:val="auto"/>
        </w:rPr>
        <w:instrText xml:space="preserve"> STYLEREF 2 \s </w:instrText>
      </w:r>
      <w:r w:rsidR="00372953">
        <w:rPr>
          <w:color w:val="auto"/>
        </w:rPr>
        <w:fldChar w:fldCharType="separate"/>
      </w:r>
      <w:r w:rsidR="00372953">
        <w:rPr>
          <w:noProof/>
          <w:color w:val="auto"/>
        </w:rPr>
        <w:t>5.2</w:t>
      </w:r>
      <w:r w:rsidR="00372953">
        <w:rPr>
          <w:color w:val="auto"/>
        </w:rPr>
        <w:fldChar w:fldCharType="end"/>
      </w:r>
      <w:r w:rsidR="00372953">
        <w:rPr>
          <w:color w:val="auto"/>
        </w:rPr>
        <w:noBreakHyphen/>
      </w:r>
      <w:r w:rsidR="00372953">
        <w:rPr>
          <w:color w:val="auto"/>
        </w:rPr>
        <w:fldChar w:fldCharType="begin"/>
      </w:r>
      <w:r w:rsidR="00372953">
        <w:rPr>
          <w:color w:val="auto"/>
        </w:rPr>
        <w:instrText xml:space="preserve"> SEQ </w:instrText>
      </w:r>
      <w:r w:rsidR="00372953">
        <w:rPr>
          <w:color w:val="auto"/>
        </w:rPr>
        <w:instrText>表</w:instrText>
      </w:r>
      <w:r w:rsidR="00372953">
        <w:rPr>
          <w:color w:val="auto"/>
        </w:rPr>
        <w:instrText xml:space="preserve"> \* ARABIC \s 2 </w:instrText>
      </w:r>
      <w:r w:rsidR="00372953">
        <w:rPr>
          <w:color w:val="auto"/>
        </w:rPr>
        <w:fldChar w:fldCharType="separate"/>
      </w:r>
      <w:r w:rsidR="00372953">
        <w:rPr>
          <w:noProof/>
          <w:color w:val="auto"/>
        </w:rPr>
        <w:t>7</w:t>
      </w:r>
      <w:r w:rsidR="00372953">
        <w:rPr>
          <w:color w:val="auto"/>
        </w:rPr>
        <w:fldChar w:fldCharType="end"/>
      </w:r>
      <w:bookmarkEnd w:id="392"/>
      <w:r w:rsidRPr="000549B1">
        <w:rPr>
          <w:color w:val="auto"/>
        </w:rPr>
        <w:t>流域现状年水环境承载能力评价表</w:t>
      </w:r>
    </w:p>
    <w:tbl>
      <w:tblPr>
        <w:tblW w:w="8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0"/>
        <w:gridCol w:w="1786"/>
        <w:gridCol w:w="2537"/>
        <w:gridCol w:w="850"/>
        <w:gridCol w:w="810"/>
        <w:gridCol w:w="823"/>
        <w:gridCol w:w="898"/>
      </w:tblGrid>
      <w:tr w:rsidR="002B7322" w14:paraId="41E1F12E" w14:textId="77777777" w:rsidTr="007E48A3">
        <w:trPr>
          <w:trHeight w:val="508"/>
          <w:jc w:val="center"/>
        </w:trPr>
        <w:tc>
          <w:tcPr>
            <w:tcW w:w="650" w:type="dxa"/>
            <w:vMerge w:val="restart"/>
            <w:tcMar>
              <w:left w:w="57" w:type="dxa"/>
              <w:right w:w="57" w:type="dxa"/>
            </w:tcMar>
            <w:vAlign w:val="center"/>
          </w:tcPr>
          <w:p w14:paraId="3B7702F0" w14:textId="77777777" w:rsidR="002B7322" w:rsidRPr="002B7322" w:rsidRDefault="002B7322" w:rsidP="007E48A3">
            <w:pPr>
              <w:widowControl/>
              <w:snapToGrid w:val="0"/>
              <w:jc w:val="center"/>
              <w:rPr>
                <w:b/>
                <w:kern w:val="0"/>
                <w:szCs w:val="21"/>
              </w:rPr>
            </w:pPr>
            <w:r w:rsidRPr="002B7322">
              <w:rPr>
                <w:b/>
                <w:kern w:val="0"/>
                <w:szCs w:val="21"/>
              </w:rPr>
              <w:t>河流</w:t>
            </w:r>
          </w:p>
        </w:tc>
        <w:tc>
          <w:tcPr>
            <w:tcW w:w="1786" w:type="dxa"/>
            <w:vMerge w:val="restart"/>
            <w:tcMar>
              <w:left w:w="57" w:type="dxa"/>
              <w:right w:w="57" w:type="dxa"/>
            </w:tcMar>
            <w:vAlign w:val="center"/>
          </w:tcPr>
          <w:p w14:paraId="5FB8816F" w14:textId="77777777" w:rsidR="002B7322" w:rsidRPr="002B7322" w:rsidRDefault="002B7322" w:rsidP="007E48A3">
            <w:pPr>
              <w:widowControl/>
              <w:snapToGrid w:val="0"/>
              <w:jc w:val="center"/>
              <w:rPr>
                <w:b/>
                <w:kern w:val="0"/>
                <w:szCs w:val="21"/>
              </w:rPr>
            </w:pPr>
            <w:r w:rsidRPr="002B7322">
              <w:rPr>
                <w:b/>
                <w:kern w:val="0"/>
                <w:szCs w:val="21"/>
              </w:rPr>
              <w:t>一级水功能区名称</w:t>
            </w:r>
          </w:p>
        </w:tc>
        <w:tc>
          <w:tcPr>
            <w:tcW w:w="2537" w:type="dxa"/>
            <w:vMerge w:val="restart"/>
            <w:tcMar>
              <w:left w:w="57" w:type="dxa"/>
              <w:right w:w="57" w:type="dxa"/>
            </w:tcMar>
            <w:vAlign w:val="center"/>
          </w:tcPr>
          <w:p w14:paraId="444A6DC5" w14:textId="77777777" w:rsidR="002B7322" w:rsidRPr="002B7322" w:rsidRDefault="002B7322" w:rsidP="007E48A3">
            <w:pPr>
              <w:widowControl/>
              <w:snapToGrid w:val="0"/>
              <w:jc w:val="center"/>
              <w:rPr>
                <w:b/>
                <w:kern w:val="0"/>
                <w:szCs w:val="21"/>
              </w:rPr>
            </w:pPr>
            <w:r w:rsidRPr="002B7322">
              <w:rPr>
                <w:b/>
                <w:kern w:val="0"/>
                <w:szCs w:val="21"/>
              </w:rPr>
              <w:t>二级水功能区名称</w:t>
            </w:r>
          </w:p>
        </w:tc>
        <w:tc>
          <w:tcPr>
            <w:tcW w:w="1660" w:type="dxa"/>
            <w:gridSpan w:val="2"/>
            <w:tcMar>
              <w:left w:w="57" w:type="dxa"/>
              <w:right w:w="57" w:type="dxa"/>
            </w:tcMar>
            <w:vAlign w:val="center"/>
          </w:tcPr>
          <w:p w14:paraId="7661EE5D" w14:textId="77777777" w:rsidR="002B7322" w:rsidRPr="002B7322" w:rsidRDefault="002B7322" w:rsidP="007E48A3">
            <w:pPr>
              <w:widowControl/>
              <w:snapToGrid w:val="0"/>
              <w:jc w:val="center"/>
              <w:rPr>
                <w:b/>
                <w:kern w:val="0"/>
                <w:szCs w:val="21"/>
              </w:rPr>
            </w:pPr>
            <w:r w:rsidRPr="002B7322">
              <w:rPr>
                <w:rFonts w:hint="eastAsia"/>
                <w:b/>
                <w:kern w:val="0"/>
                <w:szCs w:val="21"/>
              </w:rPr>
              <w:t>2035</w:t>
            </w:r>
            <w:r w:rsidRPr="002B7322">
              <w:rPr>
                <w:rFonts w:hint="eastAsia"/>
                <w:b/>
                <w:kern w:val="0"/>
                <w:szCs w:val="21"/>
              </w:rPr>
              <w:t>年</w:t>
            </w:r>
            <w:r w:rsidRPr="002B7322">
              <w:rPr>
                <w:b/>
                <w:kern w:val="0"/>
                <w:szCs w:val="21"/>
              </w:rPr>
              <w:t>纳污能力（</w:t>
            </w:r>
            <w:r w:rsidRPr="002B7322">
              <w:rPr>
                <w:b/>
                <w:kern w:val="0"/>
                <w:szCs w:val="21"/>
              </w:rPr>
              <w:t>t/a</w:t>
            </w:r>
            <w:r w:rsidRPr="002B7322">
              <w:rPr>
                <w:b/>
                <w:kern w:val="0"/>
                <w:szCs w:val="21"/>
              </w:rPr>
              <w:t>）</w:t>
            </w:r>
          </w:p>
        </w:tc>
        <w:tc>
          <w:tcPr>
            <w:tcW w:w="1721" w:type="dxa"/>
            <w:gridSpan w:val="2"/>
            <w:tcMar>
              <w:left w:w="57" w:type="dxa"/>
              <w:right w:w="57" w:type="dxa"/>
            </w:tcMar>
            <w:vAlign w:val="center"/>
          </w:tcPr>
          <w:p w14:paraId="260250C9" w14:textId="77777777" w:rsidR="002B7322" w:rsidRPr="002B7322" w:rsidRDefault="002B7322" w:rsidP="007E48A3">
            <w:pPr>
              <w:widowControl/>
              <w:snapToGrid w:val="0"/>
              <w:jc w:val="center"/>
              <w:rPr>
                <w:b/>
                <w:kern w:val="0"/>
                <w:szCs w:val="21"/>
              </w:rPr>
            </w:pPr>
            <w:r w:rsidRPr="002B7322">
              <w:rPr>
                <w:rFonts w:hint="eastAsia"/>
                <w:b/>
                <w:kern w:val="0"/>
                <w:szCs w:val="21"/>
              </w:rPr>
              <w:t>2035</w:t>
            </w:r>
            <w:r w:rsidRPr="002B7322">
              <w:rPr>
                <w:rFonts w:hint="eastAsia"/>
                <w:b/>
                <w:kern w:val="0"/>
                <w:szCs w:val="21"/>
              </w:rPr>
              <w:t>年污染物入河量</w:t>
            </w:r>
            <w:r w:rsidRPr="002B7322">
              <w:rPr>
                <w:b/>
                <w:kern w:val="0"/>
                <w:szCs w:val="21"/>
              </w:rPr>
              <w:t>（</w:t>
            </w:r>
            <w:r w:rsidRPr="002B7322">
              <w:rPr>
                <w:b/>
                <w:kern w:val="0"/>
                <w:szCs w:val="21"/>
              </w:rPr>
              <w:t>t/a</w:t>
            </w:r>
            <w:r w:rsidRPr="002B7322">
              <w:rPr>
                <w:b/>
                <w:kern w:val="0"/>
                <w:szCs w:val="21"/>
              </w:rPr>
              <w:t>）</w:t>
            </w:r>
          </w:p>
        </w:tc>
      </w:tr>
      <w:tr w:rsidR="002B7322" w14:paraId="3A7C4EAC" w14:textId="77777777" w:rsidTr="007E48A3">
        <w:trPr>
          <w:trHeight w:val="258"/>
          <w:jc w:val="center"/>
        </w:trPr>
        <w:tc>
          <w:tcPr>
            <w:tcW w:w="650" w:type="dxa"/>
            <w:vMerge/>
            <w:tcMar>
              <w:left w:w="57" w:type="dxa"/>
              <w:right w:w="57" w:type="dxa"/>
            </w:tcMar>
            <w:vAlign w:val="center"/>
          </w:tcPr>
          <w:p w14:paraId="13EE5A77" w14:textId="77777777" w:rsidR="002B7322" w:rsidRPr="002B7322" w:rsidRDefault="002B7322" w:rsidP="007E48A3">
            <w:pPr>
              <w:widowControl/>
              <w:snapToGrid w:val="0"/>
              <w:jc w:val="center"/>
              <w:rPr>
                <w:b/>
                <w:kern w:val="0"/>
                <w:szCs w:val="21"/>
              </w:rPr>
            </w:pPr>
          </w:p>
        </w:tc>
        <w:tc>
          <w:tcPr>
            <w:tcW w:w="1786" w:type="dxa"/>
            <w:vMerge/>
            <w:tcMar>
              <w:left w:w="57" w:type="dxa"/>
              <w:right w:w="57" w:type="dxa"/>
            </w:tcMar>
            <w:vAlign w:val="center"/>
          </w:tcPr>
          <w:p w14:paraId="3A113829" w14:textId="77777777" w:rsidR="002B7322" w:rsidRPr="002B7322" w:rsidRDefault="002B7322" w:rsidP="007E48A3">
            <w:pPr>
              <w:widowControl/>
              <w:snapToGrid w:val="0"/>
              <w:jc w:val="center"/>
              <w:rPr>
                <w:b/>
                <w:kern w:val="0"/>
                <w:szCs w:val="21"/>
              </w:rPr>
            </w:pPr>
          </w:p>
        </w:tc>
        <w:tc>
          <w:tcPr>
            <w:tcW w:w="2537" w:type="dxa"/>
            <w:vMerge/>
            <w:tcMar>
              <w:left w:w="57" w:type="dxa"/>
              <w:right w:w="57" w:type="dxa"/>
            </w:tcMar>
            <w:vAlign w:val="center"/>
          </w:tcPr>
          <w:p w14:paraId="41A447D3" w14:textId="77777777" w:rsidR="002B7322" w:rsidRPr="002B7322" w:rsidRDefault="002B7322" w:rsidP="007E48A3">
            <w:pPr>
              <w:widowControl/>
              <w:snapToGrid w:val="0"/>
              <w:jc w:val="center"/>
              <w:rPr>
                <w:b/>
                <w:kern w:val="0"/>
                <w:szCs w:val="21"/>
              </w:rPr>
            </w:pPr>
          </w:p>
        </w:tc>
        <w:tc>
          <w:tcPr>
            <w:tcW w:w="850" w:type="dxa"/>
            <w:tcMar>
              <w:left w:w="57" w:type="dxa"/>
              <w:right w:w="57" w:type="dxa"/>
            </w:tcMar>
            <w:vAlign w:val="center"/>
          </w:tcPr>
          <w:p w14:paraId="566435B4" w14:textId="77777777" w:rsidR="002B7322" w:rsidRPr="002B7322" w:rsidRDefault="002B7322" w:rsidP="007E48A3">
            <w:pPr>
              <w:widowControl/>
              <w:snapToGrid w:val="0"/>
              <w:jc w:val="center"/>
              <w:rPr>
                <w:b/>
                <w:kern w:val="0"/>
                <w:szCs w:val="21"/>
              </w:rPr>
            </w:pPr>
            <w:r w:rsidRPr="002B7322">
              <w:rPr>
                <w:b/>
                <w:kern w:val="0"/>
                <w:szCs w:val="21"/>
              </w:rPr>
              <w:t>COD</w:t>
            </w:r>
          </w:p>
        </w:tc>
        <w:tc>
          <w:tcPr>
            <w:tcW w:w="810" w:type="dxa"/>
            <w:tcMar>
              <w:left w:w="57" w:type="dxa"/>
              <w:right w:w="57" w:type="dxa"/>
            </w:tcMar>
            <w:vAlign w:val="center"/>
          </w:tcPr>
          <w:p w14:paraId="5D6D223D" w14:textId="77777777" w:rsidR="002B7322" w:rsidRPr="002B7322" w:rsidRDefault="002B7322" w:rsidP="007E48A3">
            <w:pPr>
              <w:widowControl/>
              <w:snapToGrid w:val="0"/>
              <w:jc w:val="center"/>
              <w:rPr>
                <w:b/>
                <w:kern w:val="0"/>
                <w:szCs w:val="21"/>
              </w:rPr>
            </w:pPr>
            <w:r w:rsidRPr="002B7322">
              <w:rPr>
                <w:b/>
                <w:kern w:val="0"/>
                <w:szCs w:val="21"/>
              </w:rPr>
              <w:t>氨氮</w:t>
            </w:r>
          </w:p>
        </w:tc>
        <w:tc>
          <w:tcPr>
            <w:tcW w:w="823" w:type="dxa"/>
            <w:tcMar>
              <w:left w:w="57" w:type="dxa"/>
              <w:right w:w="57" w:type="dxa"/>
            </w:tcMar>
            <w:vAlign w:val="center"/>
          </w:tcPr>
          <w:p w14:paraId="3EC774EC" w14:textId="77777777" w:rsidR="002B7322" w:rsidRPr="002B7322" w:rsidRDefault="002B7322" w:rsidP="007E48A3">
            <w:pPr>
              <w:widowControl/>
              <w:snapToGrid w:val="0"/>
              <w:jc w:val="center"/>
              <w:rPr>
                <w:b/>
                <w:kern w:val="0"/>
                <w:szCs w:val="21"/>
              </w:rPr>
            </w:pPr>
            <w:r w:rsidRPr="002B7322">
              <w:rPr>
                <w:b/>
                <w:kern w:val="0"/>
                <w:szCs w:val="21"/>
              </w:rPr>
              <w:t>COD</w:t>
            </w:r>
          </w:p>
        </w:tc>
        <w:tc>
          <w:tcPr>
            <w:tcW w:w="898" w:type="dxa"/>
            <w:tcMar>
              <w:left w:w="57" w:type="dxa"/>
              <w:right w:w="57" w:type="dxa"/>
            </w:tcMar>
            <w:vAlign w:val="center"/>
          </w:tcPr>
          <w:p w14:paraId="04DD57C2" w14:textId="77777777" w:rsidR="002B7322" w:rsidRPr="002B7322" w:rsidRDefault="002B7322" w:rsidP="007E48A3">
            <w:pPr>
              <w:widowControl/>
              <w:snapToGrid w:val="0"/>
              <w:jc w:val="center"/>
              <w:rPr>
                <w:b/>
                <w:kern w:val="0"/>
                <w:szCs w:val="21"/>
              </w:rPr>
            </w:pPr>
            <w:r w:rsidRPr="002B7322">
              <w:rPr>
                <w:b/>
                <w:kern w:val="0"/>
                <w:szCs w:val="21"/>
              </w:rPr>
              <w:t>氨氮</w:t>
            </w:r>
          </w:p>
        </w:tc>
      </w:tr>
      <w:tr w:rsidR="002B7322" w14:paraId="305A9735" w14:textId="77777777" w:rsidTr="007E48A3">
        <w:trPr>
          <w:trHeight w:val="90"/>
          <w:jc w:val="center"/>
        </w:trPr>
        <w:tc>
          <w:tcPr>
            <w:tcW w:w="650" w:type="dxa"/>
            <w:tcMar>
              <w:left w:w="57" w:type="dxa"/>
              <w:right w:w="57" w:type="dxa"/>
            </w:tcMar>
            <w:vAlign w:val="center"/>
          </w:tcPr>
          <w:p w14:paraId="4DE2E1DE" w14:textId="77777777" w:rsidR="002B7322" w:rsidRDefault="002B7322" w:rsidP="007E48A3">
            <w:pPr>
              <w:widowControl/>
              <w:snapToGrid w:val="0"/>
              <w:jc w:val="center"/>
              <w:rPr>
                <w:bCs/>
                <w:kern w:val="0"/>
                <w:szCs w:val="21"/>
              </w:rPr>
            </w:pPr>
            <w:r>
              <w:rPr>
                <w:rFonts w:hint="eastAsia"/>
                <w:bCs/>
                <w:kern w:val="0"/>
                <w:szCs w:val="21"/>
              </w:rPr>
              <w:t>沙珠玉河</w:t>
            </w:r>
          </w:p>
        </w:tc>
        <w:tc>
          <w:tcPr>
            <w:tcW w:w="1786" w:type="dxa"/>
            <w:tcMar>
              <w:left w:w="57" w:type="dxa"/>
              <w:right w:w="57" w:type="dxa"/>
            </w:tcMar>
            <w:vAlign w:val="center"/>
          </w:tcPr>
          <w:p w14:paraId="13FFE322" w14:textId="77777777" w:rsidR="002B7322" w:rsidRPr="002B7322" w:rsidRDefault="002B7322" w:rsidP="007E48A3">
            <w:pPr>
              <w:widowControl/>
              <w:snapToGrid w:val="0"/>
              <w:jc w:val="center"/>
              <w:rPr>
                <w:bCs/>
                <w:color w:val="000000" w:themeColor="text1"/>
                <w:kern w:val="0"/>
                <w:szCs w:val="21"/>
              </w:rPr>
            </w:pPr>
            <w:r w:rsidRPr="002B7322">
              <w:rPr>
                <w:rFonts w:ascii="宋体" w:hAnsi="宋体" w:cs="宋体" w:hint="eastAsia"/>
                <w:color w:val="000000" w:themeColor="text1"/>
                <w:kern w:val="0"/>
                <w:szCs w:val="21"/>
                <w:lang w:bidi="ar"/>
              </w:rPr>
              <w:t>沙珠玉共和开发利用区</w:t>
            </w:r>
          </w:p>
        </w:tc>
        <w:tc>
          <w:tcPr>
            <w:tcW w:w="2537" w:type="dxa"/>
            <w:tcMar>
              <w:left w:w="57" w:type="dxa"/>
              <w:right w:w="57" w:type="dxa"/>
            </w:tcMar>
            <w:vAlign w:val="center"/>
          </w:tcPr>
          <w:p w14:paraId="5AB94EE4" w14:textId="77777777" w:rsidR="002B7322" w:rsidRPr="002B7322" w:rsidRDefault="002B7322" w:rsidP="007E48A3">
            <w:pPr>
              <w:widowControl/>
              <w:snapToGrid w:val="0"/>
              <w:jc w:val="center"/>
              <w:rPr>
                <w:bCs/>
                <w:color w:val="000000" w:themeColor="text1"/>
                <w:kern w:val="0"/>
                <w:szCs w:val="21"/>
              </w:rPr>
            </w:pPr>
            <w:r w:rsidRPr="002B7322">
              <w:rPr>
                <w:rFonts w:ascii="宋体" w:hAnsi="宋体" w:cs="宋体" w:hint="eastAsia"/>
                <w:color w:val="000000" w:themeColor="text1"/>
                <w:kern w:val="0"/>
                <w:szCs w:val="21"/>
                <w:lang w:bidi="ar"/>
              </w:rPr>
              <w:t>沙珠玉共和农业用水区</w:t>
            </w:r>
          </w:p>
        </w:tc>
        <w:tc>
          <w:tcPr>
            <w:tcW w:w="850" w:type="dxa"/>
            <w:tcMar>
              <w:left w:w="57" w:type="dxa"/>
              <w:right w:w="57" w:type="dxa"/>
            </w:tcMar>
            <w:vAlign w:val="center"/>
          </w:tcPr>
          <w:p w14:paraId="12145BDE" w14:textId="77777777" w:rsidR="002B7322" w:rsidRPr="002B7322" w:rsidRDefault="002B7322" w:rsidP="007E48A3">
            <w:pPr>
              <w:snapToGrid w:val="0"/>
              <w:jc w:val="center"/>
              <w:rPr>
                <w:bCs/>
                <w:color w:val="000000" w:themeColor="text1"/>
                <w:kern w:val="0"/>
                <w:szCs w:val="21"/>
              </w:rPr>
            </w:pPr>
            <w:r w:rsidRPr="002B7322">
              <w:rPr>
                <w:rFonts w:hint="eastAsia"/>
                <w:bCs/>
                <w:color w:val="000000" w:themeColor="text1"/>
                <w:szCs w:val="21"/>
              </w:rPr>
              <w:t>654.16</w:t>
            </w:r>
          </w:p>
        </w:tc>
        <w:tc>
          <w:tcPr>
            <w:tcW w:w="810" w:type="dxa"/>
            <w:tcMar>
              <w:left w:w="57" w:type="dxa"/>
              <w:right w:w="57" w:type="dxa"/>
            </w:tcMar>
            <w:vAlign w:val="center"/>
          </w:tcPr>
          <w:p w14:paraId="321521BA" w14:textId="77777777" w:rsidR="002B7322" w:rsidRPr="002B7322" w:rsidRDefault="002B7322" w:rsidP="007E48A3">
            <w:pPr>
              <w:snapToGrid w:val="0"/>
              <w:jc w:val="center"/>
              <w:rPr>
                <w:bCs/>
                <w:color w:val="000000" w:themeColor="text1"/>
                <w:kern w:val="0"/>
                <w:szCs w:val="21"/>
              </w:rPr>
            </w:pPr>
            <w:r w:rsidRPr="002B7322">
              <w:rPr>
                <w:rFonts w:hint="eastAsia"/>
                <w:bCs/>
                <w:color w:val="000000" w:themeColor="text1"/>
                <w:szCs w:val="21"/>
              </w:rPr>
              <w:t>30.6</w:t>
            </w:r>
          </w:p>
        </w:tc>
        <w:tc>
          <w:tcPr>
            <w:tcW w:w="823" w:type="dxa"/>
            <w:tcMar>
              <w:left w:w="57" w:type="dxa"/>
              <w:right w:w="57" w:type="dxa"/>
            </w:tcMar>
            <w:vAlign w:val="center"/>
          </w:tcPr>
          <w:p w14:paraId="6FBB9A62" w14:textId="77777777" w:rsidR="002B7322" w:rsidRPr="002B7322" w:rsidRDefault="002B7322" w:rsidP="007E48A3">
            <w:pPr>
              <w:widowControl/>
              <w:snapToGrid w:val="0"/>
              <w:spacing w:line="240" w:lineRule="exact"/>
              <w:jc w:val="center"/>
              <w:rPr>
                <w:bCs/>
                <w:color w:val="000000" w:themeColor="text1"/>
                <w:szCs w:val="21"/>
              </w:rPr>
            </w:pPr>
            <w:r w:rsidRPr="002B7322">
              <w:rPr>
                <w:rFonts w:hint="eastAsia"/>
                <w:bCs/>
                <w:color w:val="000000" w:themeColor="text1"/>
                <w:kern w:val="0"/>
                <w:szCs w:val="21"/>
              </w:rPr>
              <w:t>271.15</w:t>
            </w:r>
          </w:p>
        </w:tc>
        <w:tc>
          <w:tcPr>
            <w:tcW w:w="898" w:type="dxa"/>
            <w:tcMar>
              <w:left w:w="57" w:type="dxa"/>
              <w:right w:w="57" w:type="dxa"/>
            </w:tcMar>
            <w:vAlign w:val="center"/>
          </w:tcPr>
          <w:p w14:paraId="0B1E9C30" w14:textId="77777777" w:rsidR="002B7322" w:rsidRPr="002B7322" w:rsidRDefault="002B7322" w:rsidP="007E48A3">
            <w:pPr>
              <w:widowControl/>
              <w:snapToGrid w:val="0"/>
              <w:spacing w:line="240" w:lineRule="exact"/>
              <w:jc w:val="center"/>
              <w:rPr>
                <w:bCs/>
                <w:color w:val="000000" w:themeColor="text1"/>
                <w:szCs w:val="21"/>
              </w:rPr>
            </w:pPr>
            <w:r w:rsidRPr="002B7322">
              <w:rPr>
                <w:rFonts w:hint="eastAsia"/>
                <w:bCs/>
                <w:color w:val="000000" w:themeColor="text1"/>
                <w:kern w:val="0"/>
                <w:szCs w:val="21"/>
              </w:rPr>
              <w:t>4.71</w:t>
            </w:r>
          </w:p>
        </w:tc>
      </w:tr>
    </w:tbl>
    <w:p w14:paraId="0122BDA8" w14:textId="3761E603" w:rsidR="00054437" w:rsidRPr="002B7322" w:rsidRDefault="00000000" w:rsidP="002B7322">
      <w:pPr>
        <w:snapToGrid w:val="0"/>
        <w:spacing w:beforeLines="50" w:before="156" w:line="360" w:lineRule="auto"/>
        <w:ind w:firstLineChars="196" w:firstLine="470"/>
        <w:rPr>
          <w:rFonts w:eastAsiaTheme="minorEastAsia"/>
          <w:bCs/>
          <w:sz w:val="24"/>
          <w:szCs w:val="24"/>
        </w:rPr>
      </w:pPr>
      <w:r w:rsidRPr="000549B1">
        <w:rPr>
          <w:rFonts w:eastAsiaTheme="minorEastAsia"/>
          <w:bCs/>
          <w:sz w:val="24"/>
          <w:szCs w:val="24"/>
        </w:rPr>
        <w:t>综上分析可知</w:t>
      </w:r>
      <w:bookmarkStart w:id="393" w:name="OLE_LINK87"/>
      <w:r w:rsidRPr="000549B1">
        <w:rPr>
          <w:rFonts w:eastAsiaTheme="minorEastAsia"/>
          <w:bCs/>
          <w:sz w:val="24"/>
          <w:szCs w:val="24"/>
        </w:rPr>
        <w:t>，规划年沙珠玉河流域主要污染物入河量为</w:t>
      </w:r>
      <w:bookmarkStart w:id="394" w:name="OLE_LINK91"/>
      <w:r w:rsidRPr="000549B1">
        <w:rPr>
          <w:rFonts w:eastAsiaTheme="minorEastAsia"/>
          <w:bCs/>
          <w:sz w:val="24"/>
          <w:szCs w:val="24"/>
        </w:rPr>
        <w:t>COD</w:t>
      </w:r>
      <w:r w:rsidR="0004712B">
        <w:rPr>
          <w:rFonts w:eastAsiaTheme="minorEastAsia" w:hint="eastAsia"/>
          <w:bCs/>
          <w:sz w:val="24"/>
          <w:szCs w:val="24"/>
        </w:rPr>
        <w:t xml:space="preserve"> </w:t>
      </w:r>
      <w:r w:rsidR="002B7322">
        <w:rPr>
          <w:rFonts w:eastAsiaTheme="minorEastAsia" w:hint="eastAsia"/>
          <w:bCs/>
          <w:sz w:val="24"/>
          <w:szCs w:val="24"/>
        </w:rPr>
        <w:t>271.15</w:t>
      </w:r>
      <w:r w:rsidRPr="000549B1">
        <w:rPr>
          <w:rFonts w:eastAsiaTheme="minorEastAsia"/>
          <w:bCs/>
          <w:sz w:val="24"/>
          <w:szCs w:val="24"/>
        </w:rPr>
        <w:t>t/a</w:t>
      </w:r>
      <w:r w:rsidRPr="000549B1">
        <w:rPr>
          <w:rFonts w:eastAsiaTheme="minorEastAsia"/>
          <w:bCs/>
          <w:sz w:val="24"/>
          <w:szCs w:val="24"/>
        </w:rPr>
        <w:t>、氨氮</w:t>
      </w:r>
      <w:r w:rsidRPr="000549B1">
        <w:rPr>
          <w:rFonts w:eastAsiaTheme="minorEastAsia"/>
          <w:bCs/>
          <w:sz w:val="24"/>
          <w:szCs w:val="24"/>
        </w:rPr>
        <w:t>4.</w:t>
      </w:r>
      <w:r w:rsidR="002B7322">
        <w:rPr>
          <w:rFonts w:eastAsiaTheme="minorEastAsia" w:hint="eastAsia"/>
          <w:bCs/>
          <w:sz w:val="24"/>
          <w:szCs w:val="24"/>
        </w:rPr>
        <w:t>71</w:t>
      </w:r>
      <w:r w:rsidRPr="000549B1">
        <w:rPr>
          <w:rFonts w:eastAsiaTheme="minorEastAsia"/>
          <w:bCs/>
          <w:sz w:val="24"/>
          <w:szCs w:val="24"/>
        </w:rPr>
        <w:t>t/a</w:t>
      </w:r>
      <w:r w:rsidRPr="000549B1">
        <w:rPr>
          <w:rFonts w:eastAsiaTheme="minorEastAsia"/>
          <w:bCs/>
          <w:sz w:val="24"/>
          <w:szCs w:val="24"/>
        </w:rPr>
        <w:t>，均未超出沙珠玉共和农业用水区对应污染物的水体纳污能力，规划实施后沙珠玉河依然能够满足已划定水功能区的水质目标要求</w:t>
      </w:r>
      <w:bookmarkEnd w:id="393"/>
      <w:bookmarkEnd w:id="394"/>
      <w:r w:rsidRPr="000549B1">
        <w:rPr>
          <w:rFonts w:eastAsiaTheme="minorEastAsia"/>
          <w:bCs/>
          <w:sz w:val="24"/>
          <w:szCs w:val="24"/>
        </w:rPr>
        <w:t>。</w:t>
      </w:r>
    </w:p>
    <w:p w14:paraId="2CD2890F" w14:textId="77777777" w:rsidR="00054437" w:rsidRPr="000549B1" w:rsidRDefault="00000000">
      <w:pPr>
        <w:pStyle w:val="3"/>
      </w:pPr>
      <w:bookmarkStart w:id="395" w:name="_Toc216107049"/>
      <w:r w:rsidRPr="000549B1">
        <w:t>水环境变化趋势分析</w:t>
      </w:r>
      <w:bookmarkEnd w:id="395"/>
    </w:p>
    <w:p w14:paraId="23E0D2AD" w14:textId="77777777" w:rsidR="00054437" w:rsidRPr="000549B1" w:rsidRDefault="00000000">
      <w:pPr>
        <w:pStyle w:val="4"/>
        <w:rPr>
          <w:rFonts w:ascii="Times New Roman" w:hAnsi="Times New Roman"/>
        </w:rPr>
      </w:pPr>
      <w:r w:rsidRPr="000549B1">
        <w:rPr>
          <w:rFonts w:ascii="Times New Roman" w:hAnsi="Times New Roman"/>
        </w:rPr>
        <w:t>水温变化</w:t>
      </w:r>
    </w:p>
    <w:p w14:paraId="02FF0E1B" w14:textId="59DFB91D" w:rsidR="00054437" w:rsidRPr="000549B1" w:rsidRDefault="00000000">
      <w:pPr>
        <w:spacing w:line="360" w:lineRule="auto"/>
        <w:ind w:firstLineChars="200" w:firstLine="480"/>
        <w:rPr>
          <w:sz w:val="24"/>
          <w:szCs w:val="24"/>
        </w:rPr>
      </w:pPr>
      <w:r w:rsidRPr="000549B1">
        <w:rPr>
          <w:sz w:val="24"/>
          <w:szCs w:val="24"/>
        </w:rPr>
        <w:t>本次沙珠玉河流域规划水库水源地工程</w:t>
      </w:r>
      <w:r w:rsidRPr="000549B1">
        <w:rPr>
          <w:sz w:val="24"/>
          <w:szCs w:val="24"/>
        </w:rPr>
        <w:t>6</w:t>
      </w:r>
      <w:r w:rsidRPr="000549B1">
        <w:rPr>
          <w:sz w:val="24"/>
          <w:szCs w:val="24"/>
        </w:rPr>
        <w:t>座，分别是鹿龙沟水库、直亥买水库、羊清沟水库、叉叉沟水库工程、大河坝水库、满丈沟水库工程，均位于沙珠玉河的各条支流上，其中包括中型水库</w:t>
      </w:r>
      <w:r w:rsidRPr="000549B1">
        <w:rPr>
          <w:sz w:val="24"/>
          <w:szCs w:val="24"/>
        </w:rPr>
        <w:t>1</w:t>
      </w:r>
      <w:r w:rsidRPr="000549B1">
        <w:rPr>
          <w:sz w:val="24"/>
          <w:szCs w:val="24"/>
        </w:rPr>
        <w:t>座，其他</w:t>
      </w:r>
      <w:r w:rsidRPr="000549B1">
        <w:rPr>
          <w:sz w:val="24"/>
          <w:szCs w:val="24"/>
        </w:rPr>
        <w:t>5</w:t>
      </w:r>
      <w:r w:rsidRPr="000549B1">
        <w:rPr>
          <w:sz w:val="24"/>
          <w:szCs w:val="24"/>
        </w:rPr>
        <w:t>座均为小型水库。此外，沙珠玉河的支流哈尔干沟上还有</w:t>
      </w:r>
      <w:r w:rsidRPr="000549B1">
        <w:rPr>
          <w:sz w:val="24"/>
          <w:szCs w:val="24"/>
        </w:rPr>
        <w:t>1</w:t>
      </w:r>
      <w:r w:rsidRPr="000549B1">
        <w:rPr>
          <w:sz w:val="24"/>
          <w:szCs w:val="24"/>
        </w:rPr>
        <w:t>座小型水库正在建设。截止</w:t>
      </w:r>
      <w:r w:rsidRPr="000549B1">
        <w:rPr>
          <w:sz w:val="24"/>
          <w:szCs w:val="24"/>
        </w:rPr>
        <w:t>2024</w:t>
      </w:r>
      <w:r w:rsidRPr="000549B1">
        <w:rPr>
          <w:sz w:val="24"/>
          <w:szCs w:val="24"/>
        </w:rPr>
        <w:t>年，沙珠玉河流域内干流及各支流已建成的水库共有</w:t>
      </w:r>
      <w:r w:rsidRPr="000549B1">
        <w:rPr>
          <w:sz w:val="24"/>
          <w:szCs w:val="24"/>
        </w:rPr>
        <w:t>11</w:t>
      </w:r>
      <w:r w:rsidRPr="000549B1">
        <w:rPr>
          <w:sz w:val="24"/>
          <w:szCs w:val="24"/>
        </w:rPr>
        <w:t>座，其中包括</w:t>
      </w:r>
      <w:r w:rsidRPr="000549B1">
        <w:rPr>
          <w:sz w:val="24"/>
          <w:szCs w:val="24"/>
        </w:rPr>
        <w:t>2</w:t>
      </w:r>
      <w:r w:rsidRPr="000549B1">
        <w:rPr>
          <w:sz w:val="24"/>
          <w:szCs w:val="24"/>
        </w:rPr>
        <w:t>座中型水库和</w:t>
      </w:r>
      <w:r w:rsidRPr="000549B1">
        <w:rPr>
          <w:sz w:val="24"/>
          <w:szCs w:val="24"/>
        </w:rPr>
        <w:t>9</w:t>
      </w:r>
      <w:r w:rsidRPr="000549B1">
        <w:rPr>
          <w:sz w:val="24"/>
          <w:szCs w:val="24"/>
        </w:rPr>
        <w:t>座小型水库，总库容</w:t>
      </w:r>
      <w:r w:rsidRPr="000549B1">
        <w:rPr>
          <w:sz w:val="24"/>
          <w:szCs w:val="24"/>
        </w:rPr>
        <w:t>4497</w:t>
      </w:r>
      <w:r w:rsidRPr="000549B1">
        <w:rPr>
          <w:sz w:val="24"/>
          <w:szCs w:val="24"/>
        </w:rPr>
        <w:t>万</w:t>
      </w:r>
      <w:r w:rsidRPr="000549B1">
        <w:rPr>
          <w:sz w:val="24"/>
          <w:szCs w:val="24"/>
        </w:rPr>
        <w:t>m</w:t>
      </w:r>
      <w:r w:rsidRPr="000549B1">
        <w:rPr>
          <w:sz w:val="24"/>
          <w:szCs w:val="24"/>
          <w:vertAlign w:val="superscript"/>
        </w:rPr>
        <w:t>3</w:t>
      </w:r>
      <w:r w:rsidRPr="000549B1">
        <w:rPr>
          <w:sz w:val="24"/>
          <w:szCs w:val="24"/>
        </w:rPr>
        <w:t>，兴利库容</w:t>
      </w:r>
      <w:r w:rsidRPr="000549B1">
        <w:rPr>
          <w:sz w:val="24"/>
          <w:szCs w:val="24"/>
        </w:rPr>
        <w:t>3693</w:t>
      </w:r>
      <w:r w:rsidRPr="000549B1">
        <w:rPr>
          <w:sz w:val="24"/>
          <w:szCs w:val="24"/>
        </w:rPr>
        <w:t>万</w:t>
      </w:r>
      <w:r w:rsidRPr="000549B1">
        <w:rPr>
          <w:sz w:val="24"/>
          <w:szCs w:val="24"/>
        </w:rPr>
        <w:t>m</w:t>
      </w:r>
      <w:r w:rsidRPr="000549B1">
        <w:rPr>
          <w:sz w:val="24"/>
          <w:szCs w:val="24"/>
          <w:vertAlign w:val="superscript"/>
        </w:rPr>
        <w:t>3</w:t>
      </w:r>
      <w:r w:rsidRPr="000549B1">
        <w:rPr>
          <w:sz w:val="24"/>
          <w:szCs w:val="24"/>
        </w:rPr>
        <w:t>。沙珠玉河流域内已建、在建及规划水库工程基本情况详见</w:t>
      </w:r>
      <w:r w:rsidR="00F32CCA" w:rsidRPr="00F32CCA">
        <w:rPr>
          <w:sz w:val="24"/>
          <w:szCs w:val="24"/>
        </w:rPr>
        <w:t>表</w:t>
      </w:r>
      <w:r w:rsidR="00F32CCA" w:rsidRPr="00F32CCA">
        <w:rPr>
          <w:sz w:val="24"/>
          <w:szCs w:val="24"/>
        </w:rPr>
        <w:t>5.2</w:t>
      </w:r>
      <w:r w:rsidR="00F32CCA" w:rsidRPr="00F32CCA">
        <w:rPr>
          <w:sz w:val="24"/>
          <w:szCs w:val="24"/>
        </w:rPr>
        <w:noBreakHyphen/>
        <w:t>8</w:t>
      </w:r>
      <w:r w:rsidRPr="000549B1">
        <w:rPr>
          <w:sz w:val="24"/>
          <w:szCs w:val="24"/>
        </w:rPr>
        <w:t>。</w:t>
      </w:r>
    </w:p>
    <w:p w14:paraId="0DCCD613" w14:textId="77777777" w:rsidR="00054437" w:rsidRPr="000549B1" w:rsidRDefault="00000000">
      <w:pPr>
        <w:spacing w:line="360" w:lineRule="auto"/>
        <w:ind w:firstLineChars="200" w:firstLine="480"/>
        <w:rPr>
          <w:sz w:val="24"/>
          <w:szCs w:val="24"/>
        </w:rPr>
      </w:pPr>
      <w:r w:rsidRPr="000549B1">
        <w:rPr>
          <w:sz w:val="24"/>
          <w:szCs w:val="24"/>
        </w:rPr>
        <w:t>根据同类型已建水库工程的相关研究成果，若不采取合理的分层取水措施，或不按原调度规则优先泄放上层水体，水温分层型水库对水库所在支流水温会产生一定影响；但流域内各支流已建成的大中型水库下泄低温水对干流水温的影响甚微。</w:t>
      </w:r>
    </w:p>
    <w:p w14:paraId="063D51D7" w14:textId="660A65E2" w:rsidR="00054437" w:rsidRPr="000549B1" w:rsidRDefault="00000000">
      <w:pPr>
        <w:pStyle w:val="aff8"/>
        <w:rPr>
          <w:color w:val="auto"/>
        </w:rPr>
      </w:pPr>
      <w:bookmarkStart w:id="396" w:name="_Ref214983486"/>
      <w:r w:rsidRPr="000549B1">
        <w:rPr>
          <w:color w:val="auto"/>
        </w:rPr>
        <w:t>表</w:t>
      </w:r>
      <w:r w:rsidR="00372953">
        <w:rPr>
          <w:color w:val="auto"/>
        </w:rPr>
        <w:fldChar w:fldCharType="begin"/>
      </w:r>
      <w:r w:rsidR="00372953">
        <w:rPr>
          <w:color w:val="auto"/>
        </w:rPr>
        <w:instrText xml:space="preserve"> STYLEREF 2 \s </w:instrText>
      </w:r>
      <w:r w:rsidR="00372953">
        <w:rPr>
          <w:color w:val="auto"/>
        </w:rPr>
        <w:fldChar w:fldCharType="separate"/>
      </w:r>
      <w:r w:rsidR="00372953">
        <w:rPr>
          <w:noProof/>
          <w:color w:val="auto"/>
        </w:rPr>
        <w:t>5.2</w:t>
      </w:r>
      <w:r w:rsidR="00372953">
        <w:rPr>
          <w:color w:val="auto"/>
        </w:rPr>
        <w:fldChar w:fldCharType="end"/>
      </w:r>
      <w:r w:rsidR="00372953">
        <w:rPr>
          <w:color w:val="auto"/>
        </w:rPr>
        <w:noBreakHyphen/>
      </w:r>
      <w:r w:rsidR="00372953">
        <w:rPr>
          <w:color w:val="auto"/>
        </w:rPr>
        <w:fldChar w:fldCharType="begin"/>
      </w:r>
      <w:r w:rsidR="00372953">
        <w:rPr>
          <w:color w:val="auto"/>
        </w:rPr>
        <w:instrText xml:space="preserve"> SEQ </w:instrText>
      </w:r>
      <w:r w:rsidR="00372953">
        <w:rPr>
          <w:color w:val="auto"/>
        </w:rPr>
        <w:instrText>表</w:instrText>
      </w:r>
      <w:r w:rsidR="00372953">
        <w:rPr>
          <w:color w:val="auto"/>
        </w:rPr>
        <w:instrText xml:space="preserve"> \* ARABIC \s 2 </w:instrText>
      </w:r>
      <w:r w:rsidR="00372953">
        <w:rPr>
          <w:color w:val="auto"/>
        </w:rPr>
        <w:fldChar w:fldCharType="separate"/>
      </w:r>
      <w:r w:rsidR="00372953">
        <w:rPr>
          <w:noProof/>
          <w:color w:val="auto"/>
        </w:rPr>
        <w:t>8</w:t>
      </w:r>
      <w:r w:rsidR="00372953">
        <w:rPr>
          <w:color w:val="auto"/>
        </w:rPr>
        <w:fldChar w:fldCharType="end"/>
      </w:r>
      <w:bookmarkEnd w:id="396"/>
      <w:r w:rsidRPr="000549B1">
        <w:rPr>
          <w:color w:val="auto"/>
        </w:rPr>
        <w:t>沙珠玉流域已建、在建及规划水库一览表</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
        <w:gridCol w:w="1476"/>
        <w:gridCol w:w="1057"/>
        <w:gridCol w:w="1093"/>
        <w:gridCol w:w="1161"/>
        <w:gridCol w:w="900"/>
        <w:gridCol w:w="905"/>
        <w:gridCol w:w="905"/>
      </w:tblGrid>
      <w:tr w:rsidR="000549B1" w:rsidRPr="000549B1" w14:paraId="1FB9AF4C" w14:textId="77777777">
        <w:trPr>
          <w:trHeight w:val="340"/>
          <w:tblHeader/>
        </w:trPr>
        <w:tc>
          <w:tcPr>
            <w:tcW w:w="484" w:type="pct"/>
            <w:vAlign w:val="center"/>
          </w:tcPr>
          <w:p w14:paraId="7979570B" w14:textId="77777777" w:rsidR="00054437" w:rsidRPr="000549B1" w:rsidRDefault="00000000">
            <w:pPr>
              <w:pStyle w:val="0-"/>
              <w:rPr>
                <w:rFonts w:cs="Times New Roman"/>
              </w:rPr>
            </w:pPr>
            <w:r w:rsidRPr="000549B1">
              <w:rPr>
                <w:rFonts w:cs="Times New Roman"/>
              </w:rPr>
              <w:t>序号</w:t>
            </w:r>
          </w:p>
        </w:tc>
        <w:tc>
          <w:tcPr>
            <w:tcW w:w="748" w:type="pct"/>
            <w:vAlign w:val="center"/>
          </w:tcPr>
          <w:p w14:paraId="3F0D3074" w14:textId="77777777" w:rsidR="00054437" w:rsidRPr="000549B1" w:rsidRDefault="00000000">
            <w:pPr>
              <w:pStyle w:val="0-"/>
              <w:rPr>
                <w:rFonts w:cs="Times New Roman"/>
              </w:rPr>
            </w:pPr>
            <w:r w:rsidRPr="000549B1">
              <w:rPr>
                <w:rFonts w:cs="Times New Roman"/>
              </w:rPr>
              <w:t>水库名称</w:t>
            </w:r>
          </w:p>
        </w:tc>
        <w:tc>
          <w:tcPr>
            <w:tcW w:w="685" w:type="pct"/>
            <w:vAlign w:val="center"/>
          </w:tcPr>
          <w:p w14:paraId="7808A023" w14:textId="77777777" w:rsidR="00054437" w:rsidRPr="000549B1" w:rsidRDefault="00000000">
            <w:pPr>
              <w:pStyle w:val="0-"/>
              <w:rPr>
                <w:rFonts w:cs="Times New Roman"/>
              </w:rPr>
            </w:pPr>
            <w:r w:rsidRPr="000549B1">
              <w:rPr>
                <w:rFonts w:cs="Times New Roman"/>
              </w:rPr>
              <w:t>所在乡镇</w:t>
            </w:r>
          </w:p>
        </w:tc>
        <w:tc>
          <w:tcPr>
            <w:tcW w:w="685" w:type="pct"/>
            <w:vAlign w:val="center"/>
          </w:tcPr>
          <w:p w14:paraId="7DF46249" w14:textId="77777777" w:rsidR="00054437" w:rsidRPr="000549B1" w:rsidRDefault="00000000">
            <w:pPr>
              <w:pStyle w:val="0-"/>
              <w:rPr>
                <w:rFonts w:cs="Times New Roman"/>
              </w:rPr>
            </w:pPr>
            <w:r w:rsidRPr="000549B1">
              <w:rPr>
                <w:rFonts w:cs="Times New Roman"/>
              </w:rPr>
              <w:t>水源</w:t>
            </w:r>
          </w:p>
        </w:tc>
        <w:tc>
          <w:tcPr>
            <w:tcW w:w="685" w:type="pct"/>
            <w:vAlign w:val="center"/>
          </w:tcPr>
          <w:p w14:paraId="236B893A" w14:textId="77777777" w:rsidR="00054437" w:rsidRPr="000549B1" w:rsidRDefault="00000000">
            <w:pPr>
              <w:pStyle w:val="0-"/>
              <w:rPr>
                <w:rFonts w:cs="Times New Roman"/>
              </w:rPr>
            </w:pPr>
            <w:r w:rsidRPr="000549B1">
              <w:rPr>
                <w:rFonts w:cs="Times New Roman"/>
              </w:rPr>
              <w:t>工程规模</w:t>
            </w:r>
          </w:p>
        </w:tc>
        <w:tc>
          <w:tcPr>
            <w:tcW w:w="568" w:type="pct"/>
            <w:vAlign w:val="center"/>
          </w:tcPr>
          <w:p w14:paraId="6F7C2F8A" w14:textId="77777777" w:rsidR="00054437" w:rsidRPr="000549B1" w:rsidRDefault="00000000">
            <w:pPr>
              <w:pStyle w:val="0-"/>
              <w:rPr>
                <w:rFonts w:cs="Times New Roman"/>
              </w:rPr>
            </w:pPr>
            <w:r w:rsidRPr="000549B1">
              <w:rPr>
                <w:rFonts w:cs="Times New Roman"/>
              </w:rPr>
              <w:t>总库容</w:t>
            </w:r>
          </w:p>
          <w:p w14:paraId="0A38A730" w14:textId="77777777" w:rsidR="00054437" w:rsidRPr="000549B1" w:rsidRDefault="00000000">
            <w:pPr>
              <w:pStyle w:val="0-"/>
              <w:rPr>
                <w:rFonts w:cs="Times New Roman"/>
              </w:rPr>
            </w:pPr>
            <w:r w:rsidRPr="000549B1">
              <w:rPr>
                <w:rFonts w:cs="Times New Roman"/>
              </w:rPr>
              <w:t>（万</w:t>
            </w:r>
            <w:r w:rsidRPr="000549B1">
              <w:rPr>
                <w:rFonts w:cs="Times New Roman"/>
              </w:rPr>
              <w:t>m³</w:t>
            </w:r>
            <w:r w:rsidRPr="000549B1">
              <w:rPr>
                <w:rFonts w:cs="Times New Roman"/>
              </w:rPr>
              <w:t>）</w:t>
            </w:r>
          </w:p>
        </w:tc>
        <w:tc>
          <w:tcPr>
            <w:tcW w:w="571" w:type="pct"/>
            <w:vAlign w:val="center"/>
          </w:tcPr>
          <w:p w14:paraId="3A729F33" w14:textId="77777777" w:rsidR="00054437" w:rsidRPr="000549B1" w:rsidRDefault="00000000">
            <w:pPr>
              <w:pStyle w:val="0-"/>
              <w:rPr>
                <w:rFonts w:cs="Times New Roman"/>
              </w:rPr>
            </w:pPr>
            <w:r w:rsidRPr="000549B1">
              <w:rPr>
                <w:rFonts w:cs="Times New Roman"/>
              </w:rPr>
              <w:t>兴利库容（万</w:t>
            </w:r>
            <w:r w:rsidRPr="000549B1">
              <w:rPr>
                <w:rFonts w:cs="Times New Roman"/>
              </w:rPr>
              <w:t>m³</w:t>
            </w:r>
            <w:r w:rsidRPr="000549B1">
              <w:rPr>
                <w:rFonts w:cs="Times New Roman"/>
              </w:rPr>
              <w:t>）</w:t>
            </w:r>
          </w:p>
        </w:tc>
        <w:tc>
          <w:tcPr>
            <w:tcW w:w="571" w:type="pct"/>
            <w:vAlign w:val="center"/>
          </w:tcPr>
          <w:p w14:paraId="5A523B4C" w14:textId="77777777" w:rsidR="00054437" w:rsidRPr="000549B1" w:rsidRDefault="00000000">
            <w:pPr>
              <w:pStyle w:val="0-"/>
              <w:rPr>
                <w:rFonts w:cs="Times New Roman"/>
              </w:rPr>
            </w:pPr>
            <w:r w:rsidRPr="000549B1">
              <w:rPr>
                <w:rFonts w:cs="Times New Roman"/>
              </w:rPr>
              <w:t>建设性质</w:t>
            </w:r>
          </w:p>
        </w:tc>
      </w:tr>
      <w:tr w:rsidR="000549B1" w:rsidRPr="000549B1" w14:paraId="16FD2AE6" w14:textId="77777777">
        <w:trPr>
          <w:trHeight w:val="340"/>
        </w:trPr>
        <w:tc>
          <w:tcPr>
            <w:tcW w:w="484" w:type="pct"/>
            <w:noWrap/>
            <w:vAlign w:val="center"/>
          </w:tcPr>
          <w:p w14:paraId="3186C489" w14:textId="77777777" w:rsidR="00054437" w:rsidRPr="000549B1" w:rsidRDefault="00000000">
            <w:pPr>
              <w:pStyle w:val="0-"/>
              <w:rPr>
                <w:rFonts w:cs="Times New Roman"/>
              </w:rPr>
            </w:pPr>
            <w:r w:rsidRPr="000549B1">
              <w:rPr>
                <w:rFonts w:cs="Times New Roman"/>
              </w:rPr>
              <w:t>1</w:t>
            </w:r>
          </w:p>
        </w:tc>
        <w:tc>
          <w:tcPr>
            <w:tcW w:w="748" w:type="pct"/>
            <w:noWrap/>
            <w:vAlign w:val="center"/>
          </w:tcPr>
          <w:p w14:paraId="1A2E9204" w14:textId="77777777" w:rsidR="00054437" w:rsidRPr="000549B1" w:rsidRDefault="00000000">
            <w:pPr>
              <w:pStyle w:val="0-"/>
              <w:rPr>
                <w:rFonts w:cs="Times New Roman"/>
              </w:rPr>
            </w:pPr>
            <w:r w:rsidRPr="000549B1">
              <w:rPr>
                <w:rFonts w:cs="Times New Roman"/>
              </w:rPr>
              <w:t>娘堂水库</w:t>
            </w:r>
          </w:p>
        </w:tc>
        <w:tc>
          <w:tcPr>
            <w:tcW w:w="685" w:type="pct"/>
            <w:noWrap/>
            <w:vAlign w:val="center"/>
          </w:tcPr>
          <w:p w14:paraId="07A4598E" w14:textId="77777777" w:rsidR="00054437" w:rsidRPr="000549B1" w:rsidRDefault="00000000">
            <w:pPr>
              <w:pStyle w:val="0-"/>
              <w:rPr>
                <w:rFonts w:cs="Times New Roman"/>
              </w:rPr>
            </w:pPr>
            <w:r w:rsidRPr="000549B1">
              <w:rPr>
                <w:rFonts w:cs="Times New Roman"/>
              </w:rPr>
              <w:t>沙珠玉乡</w:t>
            </w:r>
          </w:p>
        </w:tc>
        <w:tc>
          <w:tcPr>
            <w:tcW w:w="685" w:type="pct"/>
            <w:vAlign w:val="center"/>
          </w:tcPr>
          <w:p w14:paraId="470C559B" w14:textId="77777777" w:rsidR="00054437" w:rsidRPr="000549B1" w:rsidRDefault="00000000">
            <w:pPr>
              <w:pStyle w:val="0-"/>
              <w:rPr>
                <w:rFonts w:cs="Times New Roman"/>
              </w:rPr>
            </w:pPr>
            <w:r w:rsidRPr="000549B1">
              <w:rPr>
                <w:rFonts w:cs="Times New Roman"/>
              </w:rPr>
              <w:t>沙珠玉河</w:t>
            </w:r>
          </w:p>
        </w:tc>
        <w:tc>
          <w:tcPr>
            <w:tcW w:w="685" w:type="pct"/>
            <w:noWrap/>
            <w:vAlign w:val="center"/>
          </w:tcPr>
          <w:p w14:paraId="3F3CFDEA" w14:textId="77777777" w:rsidR="00054437" w:rsidRPr="000549B1" w:rsidRDefault="00000000">
            <w:pPr>
              <w:pStyle w:val="0-"/>
              <w:rPr>
                <w:rFonts w:cs="Times New Roman"/>
              </w:rPr>
            </w:pPr>
            <w:r w:rsidRPr="000549B1">
              <w:rPr>
                <w:rFonts w:cs="Times New Roman"/>
              </w:rPr>
              <w:t>中型</w:t>
            </w:r>
          </w:p>
        </w:tc>
        <w:tc>
          <w:tcPr>
            <w:tcW w:w="568" w:type="pct"/>
            <w:noWrap/>
            <w:vAlign w:val="center"/>
          </w:tcPr>
          <w:p w14:paraId="21E5D559" w14:textId="77777777" w:rsidR="00054437" w:rsidRPr="000549B1" w:rsidRDefault="00000000">
            <w:pPr>
              <w:pStyle w:val="0-"/>
              <w:rPr>
                <w:rFonts w:cs="Times New Roman"/>
              </w:rPr>
            </w:pPr>
            <w:r w:rsidRPr="000549B1">
              <w:rPr>
                <w:rFonts w:cs="Times New Roman"/>
              </w:rPr>
              <w:t>1080</w:t>
            </w:r>
          </w:p>
        </w:tc>
        <w:tc>
          <w:tcPr>
            <w:tcW w:w="571" w:type="pct"/>
            <w:noWrap/>
            <w:vAlign w:val="center"/>
          </w:tcPr>
          <w:p w14:paraId="09367AEC" w14:textId="77777777" w:rsidR="00054437" w:rsidRPr="000549B1" w:rsidRDefault="00000000">
            <w:pPr>
              <w:pStyle w:val="0-"/>
              <w:rPr>
                <w:rFonts w:cs="Times New Roman"/>
              </w:rPr>
            </w:pPr>
            <w:r w:rsidRPr="000549B1">
              <w:rPr>
                <w:rFonts w:cs="Times New Roman"/>
              </w:rPr>
              <w:t>880</w:t>
            </w:r>
          </w:p>
        </w:tc>
        <w:tc>
          <w:tcPr>
            <w:tcW w:w="571" w:type="pct"/>
            <w:noWrap/>
            <w:vAlign w:val="center"/>
          </w:tcPr>
          <w:p w14:paraId="0A165D12" w14:textId="77777777" w:rsidR="00054437" w:rsidRPr="000549B1" w:rsidRDefault="00000000">
            <w:pPr>
              <w:pStyle w:val="0-"/>
              <w:rPr>
                <w:rFonts w:cs="Times New Roman"/>
              </w:rPr>
            </w:pPr>
            <w:r w:rsidRPr="000549B1">
              <w:rPr>
                <w:rFonts w:cs="Times New Roman"/>
              </w:rPr>
              <w:t>已建</w:t>
            </w:r>
          </w:p>
        </w:tc>
      </w:tr>
      <w:tr w:rsidR="000549B1" w:rsidRPr="000549B1" w14:paraId="10288F44" w14:textId="77777777">
        <w:trPr>
          <w:trHeight w:val="340"/>
        </w:trPr>
        <w:tc>
          <w:tcPr>
            <w:tcW w:w="484" w:type="pct"/>
            <w:noWrap/>
            <w:vAlign w:val="center"/>
          </w:tcPr>
          <w:p w14:paraId="0963653E" w14:textId="77777777" w:rsidR="00054437" w:rsidRPr="000549B1" w:rsidRDefault="00000000">
            <w:pPr>
              <w:pStyle w:val="0-"/>
              <w:rPr>
                <w:rFonts w:cs="Times New Roman"/>
              </w:rPr>
            </w:pPr>
            <w:r w:rsidRPr="000549B1">
              <w:rPr>
                <w:rFonts w:cs="Times New Roman"/>
              </w:rPr>
              <w:t>2</w:t>
            </w:r>
          </w:p>
        </w:tc>
        <w:tc>
          <w:tcPr>
            <w:tcW w:w="748" w:type="pct"/>
            <w:noWrap/>
            <w:vAlign w:val="center"/>
          </w:tcPr>
          <w:p w14:paraId="452FAB07" w14:textId="77777777" w:rsidR="00054437" w:rsidRPr="000549B1" w:rsidRDefault="00000000">
            <w:pPr>
              <w:pStyle w:val="0-"/>
              <w:rPr>
                <w:rFonts w:cs="Times New Roman"/>
              </w:rPr>
            </w:pPr>
            <w:r w:rsidRPr="000549B1">
              <w:rPr>
                <w:rFonts w:cs="Times New Roman"/>
              </w:rPr>
              <w:t>哇洪水库</w:t>
            </w:r>
          </w:p>
        </w:tc>
        <w:tc>
          <w:tcPr>
            <w:tcW w:w="685" w:type="pct"/>
            <w:noWrap/>
            <w:vAlign w:val="center"/>
          </w:tcPr>
          <w:p w14:paraId="50C10B87" w14:textId="77777777" w:rsidR="00054437" w:rsidRPr="000549B1" w:rsidRDefault="00000000">
            <w:pPr>
              <w:pStyle w:val="0-"/>
              <w:rPr>
                <w:rFonts w:cs="Times New Roman"/>
              </w:rPr>
            </w:pPr>
            <w:r w:rsidRPr="000549B1">
              <w:rPr>
                <w:rFonts w:cs="Times New Roman"/>
              </w:rPr>
              <w:t>切吉乡</w:t>
            </w:r>
          </w:p>
        </w:tc>
        <w:tc>
          <w:tcPr>
            <w:tcW w:w="685" w:type="pct"/>
            <w:vAlign w:val="center"/>
          </w:tcPr>
          <w:p w14:paraId="18E407AC" w14:textId="77777777" w:rsidR="00054437" w:rsidRPr="000549B1" w:rsidRDefault="00000000">
            <w:pPr>
              <w:pStyle w:val="0-"/>
              <w:rPr>
                <w:rFonts w:cs="Times New Roman"/>
              </w:rPr>
            </w:pPr>
            <w:r w:rsidRPr="000549B1">
              <w:rPr>
                <w:rFonts w:cs="Times New Roman"/>
              </w:rPr>
              <w:t>哇洪沟</w:t>
            </w:r>
          </w:p>
        </w:tc>
        <w:tc>
          <w:tcPr>
            <w:tcW w:w="685" w:type="pct"/>
            <w:noWrap/>
            <w:vAlign w:val="center"/>
          </w:tcPr>
          <w:p w14:paraId="7F070BDA" w14:textId="77777777" w:rsidR="00054437" w:rsidRPr="000549B1" w:rsidRDefault="00000000">
            <w:pPr>
              <w:pStyle w:val="0-"/>
              <w:rPr>
                <w:rFonts w:cs="Times New Roman"/>
              </w:rPr>
            </w:pPr>
            <w:r w:rsidRPr="000549B1">
              <w:rPr>
                <w:rFonts w:cs="Times New Roman"/>
              </w:rPr>
              <w:t>中型</w:t>
            </w:r>
          </w:p>
        </w:tc>
        <w:tc>
          <w:tcPr>
            <w:tcW w:w="568" w:type="pct"/>
            <w:noWrap/>
            <w:vAlign w:val="center"/>
          </w:tcPr>
          <w:p w14:paraId="4C5E9724" w14:textId="77777777" w:rsidR="00054437" w:rsidRPr="000549B1" w:rsidRDefault="00000000">
            <w:pPr>
              <w:pStyle w:val="0-"/>
              <w:rPr>
                <w:rFonts w:cs="Times New Roman"/>
              </w:rPr>
            </w:pPr>
            <w:r w:rsidRPr="000549B1">
              <w:rPr>
                <w:rFonts w:cs="Times New Roman"/>
              </w:rPr>
              <w:t>1961</w:t>
            </w:r>
          </w:p>
        </w:tc>
        <w:tc>
          <w:tcPr>
            <w:tcW w:w="571" w:type="pct"/>
            <w:noWrap/>
            <w:vAlign w:val="center"/>
          </w:tcPr>
          <w:p w14:paraId="63D91E1C" w14:textId="77777777" w:rsidR="00054437" w:rsidRPr="000549B1" w:rsidRDefault="00000000">
            <w:pPr>
              <w:pStyle w:val="0-"/>
              <w:rPr>
                <w:rFonts w:cs="Times New Roman"/>
              </w:rPr>
            </w:pPr>
            <w:r w:rsidRPr="000549B1">
              <w:rPr>
                <w:rFonts w:cs="Times New Roman"/>
              </w:rPr>
              <w:t>1664</w:t>
            </w:r>
          </w:p>
        </w:tc>
        <w:tc>
          <w:tcPr>
            <w:tcW w:w="571" w:type="pct"/>
            <w:noWrap/>
            <w:vAlign w:val="center"/>
          </w:tcPr>
          <w:p w14:paraId="1B6516CE" w14:textId="77777777" w:rsidR="00054437" w:rsidRPr="000549B1" w:rsidRDefault="00000000">
            <w:pPr>
              <w:jc w:val="center"/>
            </w:pPr>
            <w:r w:rsidRPr="000549B1">
              <w:t>已建</w:t>
            </w:r>
          </w:p>
        </w:tc>
      </w:tr>
      <w:tr w:rsidR="000549B1" w:rsidRPr="000549B1" w14:paraId="5DAE9754" w14:textId="77777777">
        <w:trPr>
          <w:trHeight w:val="340"/>
        </w:trPr>
        <w:tc>
          <w:tcPr>
            <w:tcW w:w="484" w:type="pct"/>
            <w:noWrap/>
            <w:vAlign w:val="center"/>
          </w:tcPr>
          <w:p w14:paraId="7F0CE08B" w14:textId="77777777" w:rsidR="00054437" w:rsidRPr="000549B1" w:rsidRDefault="00000000">
            <w:pPr>
              <w:pStyle w:val="0-"/>
              <w:rPr>
                <w:rFonts w:cs="Times New Roman"/>
              </w:rPr>
            </w:pPr>
            <w:r w:rsidRPr="000549B1">
              <w:rPr>
                <w:rFonts w:cs="Times New Roman"/>
              </w:rPr>
              <w:t>3</w:t>
            </w:r>
          </w:p>
        </w:tc>
        <w:tc>
          <w:tcPr>
            <w:tcW w:w="748" w:type="pct"/>
            <w:noWrap/>
            <w:vAlign w:val="center"/>
          </w:tcPr>
          <w:p w14:paraId="2C0F2138" w14:textId="77777777" w:rsidR="00054437" w:rsidRPr="000549B1" w:rsidRDefault="00000000">
            <w:pPr>
              <w:pStyle w:val="0-"/>
              <w:rPr>
                <w:rFonts w:cs="Times New Roman"/>
              </w:rPr>
            </w:pPr>
            <w:r w:rsidRPr="000549B1">
              <w:rPr>
                <w:rFonts w:cs="Times New Roman"/>
              </w:rPr>
              <w:t>大水水库</w:t>
            </w:r>
          </w:p>
        </w:tc>
        <w:tc>
          <w:tcPr>
            <w:tcW w:w="685" w:type="pct"/>
            <w:noWrap/>
            <w:vAlign w:val="center"/>
          </w:tcPr>
          <w:p w14:paraId="5B7A2A66" w14:textId="77777777" w:rsidR="00054437" w:rsidRPr="000549B1" w:rsidRDefault="00000000">
            <w:pPr>
              <w:pStyle w:val="0-"/>
              <w:rPr>
                <w:rFonts w:cs="Times New Roman"/>
              </w:rPr>
            </w:pPr>
            <w:r w:rsidRPr="000549B1">
              <w:rPr>
                <w:rFonts w:cs="Times New Roman"/>
              </w:rPr>
              <w:t>切吉乡</w:t>
            </w:r>
          </w:p>
        </w:tc>
        <w:tc>
          <w:tcPr>
            <w:tcW w:w="685" w:type="pct"/>
            <w:vAlign w:val="center"/>
          </w:tcPr>
          <w:p w14:paraId="78B968B6" w14:textId="77777777" w:rsidR="00054437" w:rsidRPr="000549B1" w:rsidRDefault="00000000">
            <w:pPr>
              <w:pStyle w:val="0-"/>
              <w:rPr>
                <w:rFonts w:cs="Times New Roman"/>
              </w:rPr>
            </w:pPr>
            <w:r w:rsidRPr="000549B1">
              <w:rPr>
                <w:rFonts w:cs="Times New Roman"/>
              </w:rPr>
              <w:t>大水河</w:t>
            </w:r>
          </w:p>
        </w:tc>
        <w:tc>
          <w:tcPr>
            <w:tcW w:w="685" w:type="pct"/>
            <w:noWrap/>
            <w:vAlign w:val="center"/>
          </w:tcPr>
          <w:p w14:paraId="7BF31044" w14:textId="77777777" w:rsidR="00054437" w:rsidRPr="000549B1" w:rsidRDefault="00000000">
            <w:pPr>
              <w:pStyle w:val="0-"/>
              <w:rPr>
                <w:rFonts w:cs="Times New Roman"/>
              </w:rPr>
            </w:pPr>
            <w:r w:rsidRPr="000549B1">
              <w:rPr>
                <w:rFonts w:cs="Times New Roman"/>
              </w:rPr>
              <w:t>小（</w:t>
            </w:r>
            <w:r w:rsidRPr="000549B1">
              <w:rPr>
                <w:rFonts w:cs="Times New Roman"/>
              </w:rPr>
              <w:t>1</w:t>
            </w:r>
            <w:r w:rsidRPr="000549B1">
              <w:rPr>
                <w:rFonts w:cs="Times New Roman"/>
              </w:rPr>
              <w:t>）型</w:t>
            </w:r>
          </w:p>
        </w:tc>
        <w:tc>
          <w:tcPr>
            <w:tcW w:w="568" w:type="pct"/>
            <w:noWrap/>
            <w:vAlign w:val="center"/>
          </w:tcPr>
          <w:p w14:paraId="36C3EE2D" w14:textId="77777777" w:rsidR="00054437" w:rsidRPr="000549B1" w:rsidRDefault="00000000">
            <w:pPr>
              <w:pStyle w:val="0-"/>
              <w:rPr>
                <w:rFonts w:cs="Times New Roman"/>
              </w:rPr>
            </w:pPr>
            <w:r w:rsidRPr="000549B1">
              <w:rPr>
                <w:rFonts w:cs="Times New Roman"/>
              </w:rPr>
              <w:t>485</w:t>
            </w:r>
          </w:p>
        </w:tc>
        <w:tc>
          <w:tcPr>
            <w:tcW w:w="571" w:type="pct"/>
            <w:noWrap/>
            <w:vAlign w:val="center"/>
          </w:tcPr>
          <w:p w14:paraId="1594F65D" w14:textId="77777777" w:rsidR="00054437" w:rsidRPr="000549B1" w:rsidRDefault="00000000">
            <w:pPr>
              <w:pStyle w:val="0-"/>
              <w:rPr>
                <w:rFonts w:cs="Times New Roman"/>
              </w:rPr>
            </w:pPr>
            <w:r w:rsidRPr="000549B1">
              <w:rPr>
                <w:rFonts w:cs="Times New Roman"/>
              </w:rPr>
              <w:t>387</w:t>
            </w:r>
          </w:p>
        </w:tc>
        <w:tc>
          <w:tcPr>
            <w:tcW w:w="571" w:type="pct"/>
            <w:noWrap/>
            <w:vAlign w:val="center"/>
          </w:tcPr>
          <w:p w14:paraId="0EBC023D" w14:textId="77777777" w:rsidR="00054437" w:rsidRPr="000549B1" w:rsidRDefault="00000000">
            <w:pPr>
              <w:jc w:val="center"/>
            </w:pPr>
            <w:r w:rsidRPr="000549B1">
              <w:t>已建</w:t>
            </w:r>
          </w:p>
        </w:tc>
      </w:tr>
      <w:tr w:rsidR="000549B1" w:rsidRPr="000549B1" w14:paraId="7F55ED65" w14:textId="77777777">
        <w:trPr>
          <w:trHeight w:val="340"/>
        </w:trPr>
        <w:tc>
          <w:tcPr>
            <w:tcW w:w="484" w:type="pct"/>
            <w:noWrap/>
            <w:vAlign w:val="center"/>
          </w:tcPr>
          <w:p w14:paraId="0DF06210" w14:textId="77777777" w:rsidR="00054437" w:rsidRPr="000549B1" w:rsidRDefault="00000000">
            <w:pPr>
              <w:pStyle w:val="0-"/>
              <w:rPr>
                <w:rFonts w:cs="Times New Roman"/>
              </w:rPr>
            </w:pPr>
            <w:r w:rsidRPr="000549B1">
              <w:rPr>
                <w:rFonts w:cs="Times New Roman"/>
              </w:rPr>
              <w:t>4</w:t>
            </w:r>
          </w:p>
        </w:tc>
        <w:tc>
          <w:tcPr>
            <w:tcW w:w="748" w:type="pct"/>
            <w:noWrap/>
            <w:vAlign w:val="center"/>
          </w:tcPr>
          <w:p w14:paraId="59EEAC8B" w14:textId="77777777" w:rsidR="00054437" w:rsidRPr="000549B1" w:rsidRDefault="00000000">
            <w:pPr>
              <w:pStyle w:val="0-"/>
              <w:rPr>
                <w:rFonts w:cs="Times New Roman"/>
              </w:rPr>
            </w:pPr>
            <w:r w:rsidRPr="000549B1">
              <w:rPr>
                <w:rFonts w:cs="Times New Roman"/>
              </w:rPr>
              <w:t>切吉水库</w:t>
            </w:r>
          </w:p>
        </w:tc>
        <w:tc>
          <w:tcPr>
            <w:tcW w:w="685" w:type="pct"/>
            <w:noWrap/>
            <w:vAlign w:val="center"/>
          </w:tcPr>
          <w:p w14:paraId="345E3B32" w14:textId="77777777" w:rsidR="00054437" w:rsidRPr="000549B1" w:rsidRDefault="00000000">
            <w:pPr>
              <w:pStyle w:val="0-"/>
              <w:rPr>
                <w:rFonts w:cs="Times New Roman"/>
              </w:rPr>
            </w:pPr>
            <w:r w:rsidRPr="000549B1">
              <w:rPr>
                <w:rFonts w:cs="Times New Roman"/>
              </w:rPr>
              <w:t>塘格木镇</w:t>
            </w:r>
          </w:p>
        </w:tc>
        <w:tc>
          <w:tcPr>
            <w:tcW w:w="685" w:type="pct"/>
            <w:vAlign w:val="center"/>
          </w:tcPr>
          <w:p w14:paraId="1E11B9D1" w14:textId="77777777" w:rsidR="00054437" w:rsidRPr="000549B1" w:rsidRDefault="00000000">
            <w:pPr>
              <w:pStyle w:val="0-"/>
              <w:rPr>
                <w:rFonts w:cs="Times New Roman"/>
              </w:rPr>
            </w:pPr>
            <w:r w:rsidRPr="000549B1">
              <w:rPr>
                <w:rFonts w:cs="Times New Roman"/>
              </w:rPr>
              <w:t>切吉河</w:t>
            </w:r>
          </w:p>
        </w:tc>
        <w:tc>
          <w:tcPr>
            <w:tcW w:w="685" w:type="pct"/>
            <w:noWrap/>
            <w:vAlign w:val="center"/>
          </w:tcPr>
          <w:p w14:paraId="291259CC" w14:textId="77777777" w:rsidR="00054437" w:rsidRPr="000549B1" w:rsidRDefault="00000000">
            <w:pPr>
              <w:pStyle w:val="0-"/>
              <w:rPr>
                <w:rFonts w:cs="Times New Roman"/>
              </w:rPr>
            </w:pPr>
            <w:r w:rsidRPr="000549B1">
              <w:rPr>
                <w:rFonts w:cs="Times New Roman"/>
              </w:rPr>
              <w:t>小（</w:t>
            </w:r>
            <w:r w:rsidRPr="000549B1">
              <w:rPr>
                <w:rFonts w:cs="Times New Roman"/>
              </w:rPr>
              <w:t>1</w:t>
            </w:r>
            <w:r w:rsidRPr="000549B1">
              <w:rPr>
                <w:rFonts w:cs="Times New Roman"/>
              </w:rPr>
              <w:t>）型</w:t>
            </w:r>
          </w:p>
        </w:tc>
        <w:tc>
          <w:tcPr>
            <w:tcW w:w="568" w:type="pct"/>
            <w:noWrap/>
            <w:vAlign w:val="center"/>
          </w:tcPr>
          <w:p w14:paraId="400BBCE7" w14:textId="77777777" w:rsidR="00054437" w:rsidRPr="000549B1" w:rsidRDefault="00000000">
            <w:pPr>
              <w:pStyle w:val="0-"/>
              <w:rPr>
                <w:rFonts w:cs="Times New Roman"/>
              </w:rPr>
            </w:pPr>
            <w:r w:rsidRPr="000549B1">
              <w:rPr>
                <w:rFonts w:cs="Times New Roman"/>
              </w:rPr>
              <w:t>462</w:t>
            </w:r>
          </w:p>
        </w:tc>
        <w:tc>
          <w:tcPr>
            <w:tcW w:w="571" w:type="pct"/>
            <w:noWrap/>
            <w:vAlign w:val="center"/>
          </w:tcPr>
          <w:p w14:paraId="1D5AC2EF" w14:textId="77777777" w:rsidR="00054437" w:rsidRPr="000549B1" w:rsidRDefault="00000000">
            <w:pPr>
              <w:pStyle w:val="0-"/>
              <w:rPr>
                <w:rFonts w:cs="Times New Roman"/>
              </w:rPr>
            </w:pPr>
            <w:r w:rsidRPr="000549B1">
              <w:rPr>
                <w:rFonts w:cs="Times New Roman"/>
              </w:rPr>
              <w:t>333</w:t>
            </w:r>
          </w:p>
        </w:tc>
        <w:tc>
          <w:tcPr>
            <w:tcW w:w="571" w:type="pct"/>
            <w:noWrap/>
            <w:vAlign w:val="center"/>
          </w:tcPr>
          <w:p w14:paraId="3DF51C92" w14:textId="77777777" w:rsidR="00054437" w:rsidRPr="000549B1" w:rsidRDefault="00000000">
            <w:pPr>
              <w:jc w:val="center"/>
            </w:pPr>
            <w:r w:rsidRPr="000549B1">
              <w:t>已建</w:t>
            </w:r>
          </w:p>
        </w:tc>
      </w:tr>
      <w:tr w:rsidR="000549B1" w:rsidRPr="000549B1" w14:paraId="060BFADB" w14:textId="77777777">
        <w:trPr>
          <w:trHeight w:val="340"/>
        </w:trPr>
        <w:tc>
          <w:tcPr>
            <w:tcW w:w="484" w:type="pct"/>
            <w:noWrap/>
            <w:vAlign w:val="center"/>
          </w:tcPr>
          <w:p w14:paraId="1E812C29" w14:textId="77777777" w:rsidR="00054437" w:rsidRPr="000549B1" w:rsidRDefault="00000000">
            <w:pPr>
              <w:pStyle w:val="0-"/>
              <w:rPr>
                <w:rFonts w:cs="Times New Roman"/>
              </w:rPr>
            </w:pPr>
            <w:r w:rsidRPr="000549B1">
              <w:rPr>
                <w:rFonts w:cs="Times New Roman"/>
              </w:rPr>
              <w:t>5</w:t>
            </w:r>
          </w:p>
        </w:tc>
        <w:tc>
          <w:tcPr>
            <w:tcW w:w="748" w:type="pct"/>
            <w:noWrap/>
            <w:vAlign w:val="center"/>
          </w:tcPr>
          <w:p w14:paraId="5C87ED18" w14:textId="77777777" w:rsidR="00054437" w:rsidRPr="000549B1" w:rsidRDefault="00000000">
            <w:pPr>
              <w:pStyle w:val="0-"/>
              <w:rPr>
                <w:rFonts w:cs="Times New Roman"/>
              </w:rPr>
            </w:pPr>
            <w:r w:rsidRPr="000549B1">
              <w:rPr>
                <w:rFonts w:cs="Times New Roman"/>
              </w:rPr>
              <w:t>塔什秋水库</w:t>
            </w:r>
          </w:p>
        </w:tc>
        <w:tc>
          <w:tcPr>
            <w:tcW w:w="685" w:type="pct"/>
            <w:noWrap/>
            <w:vAlign w:val="center"/>
          </w:tcPr>
          <w:p w14:paraId="659FA781" w14:textId="77777777" w:rsidR="00054437" w:rsidRPr="000549B1" w:rsidRDefault="00000000">
            <w:pPr>
              <w:pStyle w:val="0-"/>
              <w:rPr>
                <w:rFonts w:cs="Times New Roman"/>
              </w:rPr>
            </w:pPr>
            <w:r w:rsidRPr="000549B1">
              <w:rPr>
                <w:rFonts w:cs="Times New Roman"/>
              </w:rPr>
              <w:t>塘格木镇</w:t>
            </w:r>
          </w:p>
        </w:tc>
        <w:tc>
          <w:tcPr>
            <w:tcW w:w="685" w:type="pct"/>
            <w:vAlign w:val="center"/>
          </w:tcPr>
          <w:p w14:paraId="38E9EE62" w14:textId="77777777" w:rsidR="00054437" w:rsidRPr="000549B1" w:rsidRDefault="00000000">
            <w:pPr>
              <w:pStyle w:val="0-"/>
              <w:rPr>
                <w:rFonts w:cs="Times New Roman"/>
              </w:rPr>
            </w:pPr>
            <w:r w:rsidRPr="000549B1">
              <w:rPr>
                <w:rFonts w:cs="Times New Roman"/>
              </w:rPr>
              <w:t>直亥买沟</w:t>
            </w:r>
          </w:p>
        </w:tc>
        <w:tc>
          <w:tcPr>
            <w:tcW w:w="685" w:type="pct"/>
            <w:noWrap/>
            <w:vAlign w:val="center"/>
          </w:tcPr>
          <w:p w14:paraId="016AFC5F" w14:textId="77777777" w:rsidR="00054437" w:rsidRPr="000549B1" w:rsidRDefault="00000000">
            <w:pPr>
              <w:pStyle w:val="0-"/>
              <w:rPr>
                <w:rFonts w:cs="Times New Roman"/>
              </w:rPr>
            </w:pPr>
            <w:r w:rsidRPr="000549B1">
              <w:rPr>
                <w:rFonts w:cs="Times New Roman"/>
              </w:rPr>
              <w:t>小（</w:t>
            </w:r>
            <w:r w:rsidRPr="000549B1">
              <w:rPr>
                <w:rFonts w:cs="Times New Roman"/>
              </w:rPr>
              <w:t>1</w:t>
            </w:r>
            <w:r w:rsidRPr="000549B1">
              <w:rPr>
                <w:rFonts w:cs="Times New Roman"/>
              </w:rPr>
              <w:t>）型</w:t>
            </w:r>
          </w:p>
        </w:tc>
        <w:tc>
          <w:tcPr>
            <w:tcW w:w="568" w:type="pct"/>
            <w:noWrap/>
            <w:vAlign w:val="center"/>
          </w:tcPr>
          <w:p w14:paraId="00608907" w14:textId="77777777" w:rsidR="00054437" w:rsidRPr="000549B1" w:rsidRDefault="00000000">
            <w:pPr>
              <w:pStyle w:val="0-"/>
              <w:rPr>
                <w:rFonts w:cs="Times New Roman"/>
              </w:rPr>
            </w:pPr>
            <w:r w:rsidRPr="000549B1">
              <w:rPr>
                <w:rFonts w:cs="Times New Roman"/>
              </w:rPr>
              <w:t>115</w:t>
            </w:r>
          </w:p>
        </w:tc>
        <w:tc>
          <w:tcPr>
            <w:tcW w:w="571" w:type="pct"/>
            <w:noWrap/>
            <w:vAlign w:val="center"/>
          </w:tcPr>
          <w:p w14:paraId="12759415" w14:textId="77777777" w:rsidR="00054437" w:rsidRPr="000549B1" w:rsidRDefault="00000000">
            <w:pPr>
              <w:pStyle w:val="0-"/>
              <w:rPr>
                <w:rFonts w:cs="Times New Roman"/>
              </w:rPr>
            </w:pPr>
            <w:r w:rsidRPr="000549B1">
              <w:rPr>
                <w:rFonts w:cs="Times New Roman"/>
              </w:rPr>
              <w:t>100</w:t>
            </w:r>
          </w:p>
        </w:tc>
        <w:tc>
          <w:tcPr>
            <w:tcW w:w="571" w:type="pct"/>
            <w:noWrap/>
            <w:vAlign w:val="center"/>
          </w:tcPr>
          <w:p w14:paraId="43BEB3FE" w14:textId="77777777" w:rsidR="00054437" w:rsidRPr="000549B1" w:rsidRDefault="00000000">
            <w:pPr>
              <w:jc w:val="center"/>
            </w:pPr>
            <w:r w:rsidRPr="000549B1">
              <w:t>已建</w:t>
            </w:r>
          </w:p>
        </w:tc>
      </w:tr>
      <w:tr w:rsidR="000549B1" w:rsidRPr="000549B1" w14:paraId="15B91DA4" w14:textId="77777777">
        <w:trPr>
          <w:trHeight w:val="340"/>
        </w:trPr>
        <w:tc>
          <w:tcPr>
            <w:tcW w:w="484" w:type="pct"/>
            <w:noWrap/>
            <w:vAlign w:val="center"/>
          </w:tcPr>
          <w:p w14:paraId="14A36666" w14:textId="77777777" w:rsidR="00054437" w:rsidRPr="000549B1" w:rsidRDefault="00000000">
            <w:pPr>
              <w:pStyle w:val="0-"/>
              <w:rPr>
                <w:rFonts w:cs="Times New Roman"/>
              </w:rPr>
            </w:pPr>
            <w:r w:rsidRPr="000549B1">
              <w:rPr>
                <w:rFonts w:cs="Times New Roman"/>
              </w:rPr>
              <w:t>6</w:t>
            </w:r>
          </w:p>
        </w:tc>
        <w:tc>
          <w:tcPr>
            <w:tcW w:w="748" w:type="pct"/>
            <w:noWrap/>
            <w:vAlign w:val="center"/>
          </w:tcPr>
          <w:p w14:paraId="5B9C0B6E" w14:textId="77777777" w:rsidR="00054437" w:rsidRPr="000549B1" w:rsidRDefault="00000000">
            <w:pPr>
              <w:pStyle w:val="0-"/>
              <w:rPr>
                <w:rFonts w:cs="Times New Roman"/>
              </w:rPr>
            </w:pPr>
            <w:r w:rsidRPr="000549B1">
              <w:rPr>
                <w:rFonts w:cs="Times New Roman"/>
              </w:rPr>
              <w:t>恰让水库</w:t>
            </w:r>
          </w:p>
        </w:tc>
        <w:tc>
          <w:tcPr>
            <w:tcW w:w="685" w:type="pct"/>
            <w:noWrap/>
            <w:vAlign w:val="center"/>
          </w:tcPr>
          <w:p w14:paraId="0C6F5388" w14:textId="77777777" w:rsidR="00054437" w:rsidRPr="000549B1" w:rsidRDefault="00000000">
            <w:pPr>
              <w:pStyle w:val="0-"/>
              <w:rPr>
                <w:rFonts w:cs="Times New Roman"/>
              </w:rPr>
            </w:pPr>
            <w:r w:rsidRPr="000549B1">
              <w:rPr>
                <w:rFonts w:cs="Times New Roman"/>
              </w:rPr>
              <w:t>甘地乡</w:t>
            </w:r>
          </w:p>
        </w:tc>
        <w:tc>
          <w:tcPr>
            <w:tcW w:w="685" w:type="pct"/>
            <w:vAlign w:val="center"/>
          </w:tcPr>
          <w:p w14:paraId="25E43058" w14:textId="77777777" w:rsidR="00054437" w:rsidRPr="000549B1" w:rsidRDefault="00000000">
            <w:pPr>
              <w:pStyle w:val="0-"/>
              <w:rPr>
                <w:rFonts w:cs="Times New Roman"/>
              </w:rPr>
            </w:pPr>
            <w:r w:rsidRPr="000549B1">
              <w:rPr>
                <w:rFonts w:cs="Times New Roman"/>
              </w:rPr>
              <w:t>恰让沟</w:t>
            </w:r>
          </w:p>
        </w:tc>
        <w:tc>
          <w:tcPr>
            <w:tcW w:w="685" w:type="pct"/>
            <w:noWrap/>
            <w:vAlign w:val="center"/>
          </w:tcPr>
          <w:p w14:paraId="3E1F72B1" w14:textId="77777777" w:rsidR="00054437" w:rsidRPr="000549B1" w:rsidRDefault="00000000">
            <w:pPr>
              <w:pStyle w:val="0-"/>
              <w:rPr>
                <w:rFonts w:cs="Times New Roman"/>
              </w:rPr>
            </w:pPr>
            <w:r w:rsidRPr="000549B1">
              <w:rPr>
                <w:rFonts w:cs="Times New Roman"/>
              </w:rPr>
              <w:t>小（</w:t>
            </w:r>
            <w:r w:rsidRPr="000549B1">
              <w:rPr>
                <w:rFonts w:cs="Times New Roman"/>
              </w:rPr>
              <w:t>1</w:t>
            </w:r>
            <w:r w:rsidRPr="000549B1">
              <w:rPr>
                <w:rFonts w:cs="Times New Roman"/>
              </w:rPr>
              <w:t>）型</w:t>
            </w:r>
          </w:p>
        </w:tc>
        <w:tc>
          <w:tcPr>
            <w:tcW w:w="568" w:type="pct"/>
            <w:noWrap/>
            <w:vAlign w:val="center"/>
          </w:tcPr>
          <w:p w14:paraId="577FB828" w14:textId="77777777" w:rsidR="00054437" w:rsidRPr="000549B1" w:rsidRDefault="00000000">
            <w:pPr>
              <w:pStyle w:val="0-"/>
              <w:rPr>
                <w:rFonts w:cs="Times New Roman"/>
              </w:rPr>
            </w:pPr>
            <w:r w:rsidRPr="000549B1">
              <w:rPr>
                <w:rFonts w:cs="Times New Roman"/>
              </w:rPr>
              <w:t>307</w:t>
            </w:r>
          </w:p>
        </w:tc>
        <w:tc>
          <w:tcPr>
            <w:tcW w:w="571" w:type="pct"/>
            <w:noWrap/>
            <w:vAlign w:val="center"/>
          </w:tcPr>
          <w:p w14:paraId="59C8B7C9" w14:textId="77777777" w:rsidR="00054437" w:rsidRPr="000549B1" w:rsidRDefault="00000000">
            <w:pPr>
              <w:pStyle w:val="0-"/>
              <w:rPr>
                <w:rFonts w:cs="Times New Roman"/>
              </w:rPr>
            </w:pPr>
            <w:r w:rsidRPr="000549B1">
              <w:rPr>
                <w:rFonts w:cs="Times New Roman"/>
              </w:rPr>
              <w:t>255</w:t>
            </w:r>
          </w:p>
        </w:tc>
        <w:tc>
          <w:tcPr>
            <w:tcW w:w="571" w:type="pct"/>
            <w:noWrap/>
            <w:vAlign w:val="center"/>
          </w:tcPr>
          <w:p w14:paraId="043F9162" w14:textId="77777777" w:rsidR="00054437" w:rsidRPr="000549B1" w:rsidRDefault="00000000">
            <w:pPr>
              <w:jc w:val="center"/>
            </w:pPr>
            <w:r w:rsidRPr="000549B1">
              <w:t>已建</w:t>
            </w:r>
          </w:p>
        </w:tc>
      </w:tr>
      <w:tr w:rsidR="000549B1" w:rsidRPr="000549B1" w14:paraId="2109BAC4" w14:textId="77777777">
        <w:trPr>
          <w:trHeight w:val="340"/>
        </w:trPr>
        <w:tc>
          <w:tcPr>
            <w:tcW w:w="484" w:type="pct"/>
            <w:noWrap/>
            <w:vAlign w:val="center"/>
          </w:tcPr>
          <w:p w14:paraId="79B2E987" w14:textId="77777777" w:rsidR="00054437" w:rsidRPr="000549B1" w:rsidRDefault="00000000">
            <w:pPr>
              <w:pStyle w:val="0-"/>
              <w:rPr>
                <w:rFonts w:cs="Times New Roman"/>
              </w:rPr>
            </w:pPr>
            <w:r w:rsidRPr="000549B1">
              <w:rPr>
                <w:rFonts w:cs="Times New Roman"/>
              </w:rPr>
              <w:t>7</w:t>
            </w:r>
          </w:p>
        </w:tc>
        <w:tc>
          <w:tcPr>
            <w:tcW w:w="748" w:type="pct"/>
            <w:noWrap/>
            <w:vAlign w:val="center"/>
          </w:tcPr>
          <w:p w14:paraId="5FB5CEC9" w14:textId="77777777" w:rsidR="00054437" w:rsidRPr="000549B1" w:rsidRDefault="00000000">
            <w:pPr>
              <w:pStyle w:val="0-"/>
              <w:rPr>
                <w:rFonts w:cs="Times New Roman"/>
              </w:rPr>
            </w:pPr>
            <w:r w:rsidRPr="000549B1">
              <w:rPr>
                <w:rFonts w:cs="Times New Roman"/>
              </w:rPr>
              <w:t>塘曲水库</w:t>
            </w:r>
          </w:p>
        </w:tc>
        <w:tc>
          <w:tcPr>
            <w:tcW w:w="685" w:type="pct"/>
            <w:noWrap/>
            <w:vAlign w:val="center"/>
          </w:tcPr>
          <w:p w14:paraId="5CCAE0D7" w14:textId="77777777" w:rsidR="00054437" w:rsidRPr="000549B1" w:rsidRDefault="00000000">
            <w:pPr>
              <w:pStyle w:val="0-"/>
              <w:rPr>
                <w:rFonts w:cs="Times New Roman"/>
              </w:rPr>
            </w:pPr>
            <w:r w:rsidRPr="000549B1">
              <w:rPr>
                <w:rFonts w:cs="Times New Roman"/>
              </w:rPr>
              <w:t>切吉乡</w:t>
            </w:r>
          </w:p>
        </w:tc>
        <w:tc>
          <w:tcPr>
            <w:tcW w:w="685" w:type="pct"/>
            <w:vAlign w:val="center"/>
          </w:tcPr>
          <w:p w14:paraId="6E20808E" w14:textId="77777777" w:rsidR="00054437" w:rsidRPr="000549B1" w:rsidRDefault="00000000">
            <w:pPr>
              <w:pStyle w:val="0-"/>
              <w:rPr>
                <w:rFonts w:cs="Times New Roman"/>
              </w:rPr>
            </w:pPr>
            <w:r w:rsidRPr="000549B1">
              <w:rPr>
                <w:rFonts w:cs="Times New Roman"/>
              </w:rPr>
              <w:t>塘曲沟</w:t>
            </w:r>
          </w:p>
        </w:tc>
        <w:tc>
          <w:tcPr>
            <w:tcW w:w="685" w:type="pct"/>
            <w:noWrap/>
            <w:vAlign w:val="center"/>
          </w:tcPr>
          <w:p w14:paraId="6FF0A95D" w14:textId="77777777" w:rsidR="00054437" w:rsidRPr="000549B1" w:rsidRDefault="00000000">
            <w:pPr>
              <w:pStyle w:val="0-"/>
              <w:rPr>
                <w:rFonts w:cs="Times New Roman"/>
              </w:rPr>
            </w:pPr>
            <w:r w:rsidRPr="000549B1">
              <w:rPr>
                <w:rFonts w:cs="Times New Roman"/>
              </w:rPr>
              <w:t>小（</w:t>
            </w:r>
            <w:r w:rsidRPr="000549B1">
              <w:rPr>
                <w:rFonts w:cs="Times New Roman"/>
              </w:rPr>
              <w:t>2</w:t>
            </w:r>
            <w:r w:rsidRPr="000549B1">
              <w:rPr>
                <w:rFonts w:cs="Times New Roman"/>
              </w:rPr>
              <w:t>）型</w:t>
            </w:r>
          </w:p>
        </w:tc>
        <w:tc>
          <w:tcPr>
            <w:tcW w:w="568" w:type="pct"/>
            <w:noWrap/>
            <w:vAlign w:val="center"/>
          </w:tcPr>
          <w:p w14:paraId="7E9E56A2" w14:textId="77777777" w:rsidR="00054437" w:rsidRPr="000549B1" w:rsidRDefault="00000000">
            <w:pPr>
              <w:pStyle w:val="0-"/>
              <w:rPr>
                <w:rFonts w:cs="Times New Roman"/>
              </w:rPr>
            </w:pPr>
            <w:r w:rsidRPr="000549B1">
              <w:rPr>
                <w:rFonts w:cs="Times New Roman"/>
              </w:rPr>
              <w:t>10</w:t>
            </w:r>
          </w:p>
        </w:tc>
        <w:tc>
          <w:tcPr>
            <w:tcW w:w="571" w:type="pct"/>
            <w:noWrap/>
            <w:vAlign w:val="center"/>
          </w:tcPr>
          <w:p w14:paraId="1B6E7CD0" w14:textId="77777777" w:rsidR="00054437" w:rsidRPr="000549B1" w:rsidRDefault="00000000">
            <w:pPr>
              <w:pStyle w:val="0-"/>
              <w:rPr>
                <w:rFonts w:cs="Times New Roman"/>
              </w:rPr>
            </w:pPr>
            <w:r w:rsidRPr="000549B1">
              <w:rPr>
                <w:rFonts w:cs="Times New Roman"/>
              </w:rPr>
              <w:t>8</w:t>
            </w:r>
          </w:p>
        </w:tc>
        <w:tc>
          <w:tcPr>
            <w:tcW w:w="571" w:type="pct"/>
            <w:noWrap/>
            <w:vAlign w:val="center"/>
          </w:tcPr>
          <w:p w14:paraId="78B70A0E" w14:textId="77777777" w:rsidR="00054437" w:rsidRPr="000549B1" w:rsidRDefault="00000000">
            <w:pPr>
              <w:jc w:val="center"/>
            </w:pPr>
            <w:r w:rsidRPr="000549B1">
              <w:t>已建</w:t>
            </w:r>
          </w:p>
        </w:tc>
      </w:tr>
      <w:tr w:rsidR="000549B1" w:rsidRPr="000549B1" w14:paraId="19BE207C" w14:textId="77777777">
        <w:trPr>
          <w:trHeight w:val="340"/>
        </w:trPr>
        <w:tc>
          <w:tcPr>
            <w:tcW w:w="484" w:type="pct"/>
            <w:noWrap/>
            <w:vAlign w:val="center"/>
          </w:tcPr>
          <w:p w14:paraId="0D4EB877" w14:textId="77777777" w:rsidR="00054437" w:rsidRPr="000549B1" w:rsidRDefault="00000000">
            <w:pPr>
              <w:pStyle w:val="0-"/>
              <w:rPr>
                <w:rFonts w:cs="Times New Roman"/>
              </w:rPr>
            </w:pPr>
            <w:r w:rsidRPr="000549B1">
              <w:rPr>
                <w:rFonts w:cs="Times New Roman"/>
              </w:rPr>
              <w:t>8</w:t>
            </w:r>
          </w:p>
        </w:tc>
        <w:tc>
          <w:tcPr>
            <w:tcW w:w="748" w:type="pct"/>
            <w:noWrap/>
            <w:vAlign w:val="center"/>
          </w:tcPr>
          <w:p w14:paraId="200756BE" w14:textId="77777777" w:rsidR="00054437" w:rsidRPr="000549B1" w:rsidRDefault="00000000">
            <w:pPr>
              <w:pStyle w:val="0-"/>
              <w:rPr>
                <w:rFonts w:cs="Times New Roman"/>
              </w:rPr>
            </w:pPr>
            <w:r w:rsidRPr="000549B1">
              <w:rPr>
                <w:rFonts w:cs="Times New Roman"/>
              </w:rPr>
              <w:t>塔勒水库</w:t>
            </w:r>
          </w:p>
        </w:tc>
        <w:tc>
          <w:tcPr>
            <w:tcW w:w="685" w:type="pct"/>
            <w:noWrap/>
            <w:vAlign w:val="center"/>
          </w:tcPr>
          <w:p w14:paraId="549782A0" w14:textId="77777777" w:rsidR="00054437" w:rsidRPr="000549B1" w:rsidRDefault="00000000">
            <w:pPr>
              <w:pStyle w:val="0-"/>
              <w:rPr>
                <w:rFonts w:cs="Times New Roman"/>
              </w:rPr>
            </w:pPr>
            <w:r w:rsidRPr="000549B1">
              <w:rPr>
                <w:rFonts w:cs="Times New Roman"/>
              </w:rPr>
              <w:t>切吉乡</w:t>
            </w:r>
          </w:p>
        </w:tc>
        <w:tc>
          <w:tcPr>
            <w:tcW w:w="685" w:type="pct"/>
            <w:vAlign w:val="center"/>
          </w:tcPr>
          <w:p w14:paraId="537B1887" w14:textId="77777777" w:rsidR="00054437" w:rsidRPr="000549B1" w:rsidRDefault="00000000">
            <w:pPr>
              <w:pStyle w:val="0-"/>
              <w:rPr>
                <w:rFonts w:cs="Times New Roman"/>
              </w:rPr>
            </w:pPr>
            <w:r w:rsidRPr="000549B1">
              <w:rPr>
                <w:rFonts w:cs="Times New Roman"/>
              </w:rPr>
              <w:t>塔勒沟</w:t>
            </w:r>
          </w:p>
        </w:tc>
        <w:tc>
          <w:tcPr>
            <w:tcW w:w="685" w:type="pct"/>
            <w:noWrap/>
            <w:vAlign w:val="center"/>
          </w:tcPr>
          <w:p w14:paraId="3468DC2B" w14:textId="77777777" w:rsidR="00054437" w:rsidRPr="000549B1" w:rsidRDefault="00000000">
            <w:pPr>
              <w:pStyle w:val="0-"/>
              <w:rPr>
                <w:rFonts w:cs="Times New Roman"/>
              </w:rPr>
            </w:pPr>
            <w:r w:rsidRPr="000549B1">
              <w:rPr>
                <w:rFonts w:cs="Times New Roman"/>
              </w:rPr>
              <w:t>小（</w:t>
            </w:r>
            <w:r w:rsidRPr="000549B1">
              <w:rPr>
                <w:rFonts w:cs="Times New Roman"/>
              </w:rPr>
              <w:t>2</w:t>
            </w:r>
            <w:r w:rsidRPr="000549B1">
              <w:rPr>
                <w:rFonts w:cs="Times New Roman"/>
              </w:rPr>
              <w:t>）型</w:t>
            </w:r>
          </w:p>
        </w:tc>
        <w:tc>
          <w:tcPr>
            <w:tcW w:w="568" w:type="pct"/>
            <w:noWrap/>
            <w:vAlign w:val="center"/>
          </w:tcPr>
          <w:p w14:paraId="35D33164" w14:textId="77777777" w:rsidR="00054437" w:rsidRPr="000549B1" w:rsidRDefault="00000000">
            <w:pPr>
              <w:pStyle w:val="0-"/>
              <w:rPr>
                <w:rFonts w:cs="Times New Roman"/>
              </w:rPr>
            </w:pPr>
            <w:r w:rsidRPr="000549B1">
              <w:rPr>
                <w:rFonts w:cs="Times New Roman"/>
              </w:rPr>
              <w:t>17</w:t>
            </w:r>
          </w:p>
        </w:tc>
        <w:tc>
          <w:tcPr>
            <w:tcW w:w="571" w:type="pct"/>
            <w:noWrap/>
            <w:vAlign w:val="center"/>
          </w:tcPr>
          <w:p w14:paraId="021AA605" w14:textId="77777777" w:rsidR="00054437" w:rsidRPr="000549B1" w:rsidRDefault="00000000">
            <w:pPr>
              <w:pStyle w:val="0-"/>
              <w:rPr>
                <w:rFonts w:cs="Times New Roman"/>
              </w:rPr>
            </w:pPr>
            <w:r w:rsidRPr="000549B1">
              <w:rPr>
                <w:rFonts w:cs="Times New Roman"/>
              </w:rPr>
              <w:t>9</w:t>
            </w:r>
          </w:p>
        </w:tc>
        <w:tc>
          <w:tcPr>
            <w:tcW w:w="571" w:type="pct"/>
            <w:noWrap/>
            <w:vAlign w:val="center"/>
          </w:tcPr>
          <w:p w14:paraId="535FB561" w14:textId="77777777" w:rsidR="00054437" w:rsidRPr="000549B1" w:rsidRDefault="00000000">
            <w:pPr>
              <w:jc w:val="center"/>
            </w:pPr>
            <w:r w:rsidRPr="000549B1">
              <w:t>已建</w:t>
            </w:r>
          </w:p>
        </w:tc>
      </w:tr>
      <w:tr w:rsidR="000549B1" w:rsidRPr="000549B1" w14:paraId="336F0F8E" w14:textId="77777777">
        <w:trPr>
          <w:trHeight w:val="340"/>
        </w:trPr>
        <w:tc>
          <w:tcPr>
            <w:tcW w:w="484" w:type="pct"/>
            <w:noWrap/>
            <w:vAlign w:val="center"/>
          </w:tcPr>
          <w:p w14:paraId="2DF10226" w14:textId="77777777" w:rsidR="00054437" w:rsidRPr="000549B1" w:rsidRDefault="00000000">
            <w:pPr>
              <w:pStyle w:val="0-"/>
              <w:rPr>
                <w:rFonts w:cs="Times New Roman"/>
              </w:rPr>
            </w:pPr>
            <w:r w:rsidRPr="000549B1">
              <w:rPr>
                <w:rFonts w:cs="Times New Roman"/>
              </w:rPr>
              <w:t>9</w:t>
            </w:r>
          </w:p>
        </w:tc>
        <w:tc>
          <w:tcPr>
            <w:tcW w:w="748" w:type="pct"/>
            <w:noWrap/>
            <w:vAlign w:val="center"/>
          </w:tcPr>
          <w:p w14:paraId="11EC4220" w14:textId="77777777" w:rsidR="00054437" w:rsidRPr="000549B1" w:rsidRDefault="00000000">
            <w:pPr>
              <w:pStyle w:val="0-"/>
              <w:rPr>
                <w:rFonts w:cs="Times New Roman"/>
              </w:rPr>
            </w:pPr>
            <w:r w:rsidRPr="000549B1">
              <w:rPr>
                <w:rFonts w:cs="Times New Roman"/>
              </w:rPr>
              <w:t>曲让水库</w:t>
            </w:r>
          </w:p>
        </w:tc>
        <w:tc>
          <w:tcPr>
            <w:tcW w:w="685" w:type="pct"/>
            <w:noWrap/>
            <w:vAlign w:val="center"/>
          </w:tcPr>
          <w:p w14:paraId="2FB182B1" w14:textId="77777777" w:rsidR="00054437" w:rsidRPr="000549B1" w:rsidRDefault="00000000">
            <w:pPr>
              <w:pStyle w:val="0-"/>
              <w:rPr>
                <w:rFonts w:cs="Times New Roman"/>
              </w:rPr>
            </w:pPr>
            <w:r w:rsidRPr="000549B1">
              <w:rPr>
                <w:rFonts w:cs="Times New Roman"/>
              </w:rPr>
              <w:t>切吉乡</w:t>
            </w:r>
          </w:p>
        </w:tc>
        <w:tc>
          <w:tcPr>
            <w:tcW w:w="685" w:type="pct"/>
            <w:vAlign w:val="center"/>
          </w:tcPr>
          <w:p w14:paraId="47EF9B90" w14:textId="77777777" w:rsidR="00054437" w:rsidRPr="000549B1" w:rsidRDefault="00000000">
            <w:pPr>
              <w:pStyle w:val="0-"/>
              <w:rPr>
                <w:rFonts w:cs="Times New Roman"/>
              </w:rPr>
            </w:pPr>
            <w:r w:rsidRPr="000549B1">
              <w:rPr>
                <w:rFonts w:cs="Times New Roman"/>
              </w:rPr>
              <w:t>曲让沟</w:t>
            </w:r>
          </w:p>
        </w:tc>
        <w:tc>
          <w:tcPr>
            <w:tcW w:w="685" w:type="pct"/>
            <w:noWrap/>
            <w:vAlign w:val="center"/>
          </w:tcPr>
          <w:p w14:paraId="4E2FC64B" w14:textId="77777777" w:rsidR="00054437" w:rsidRPr="000549B1" w:rsidRDefault="00000000">
            <w:pPr>
              <w:pStyle w:val="0-"/>
              <w:rPr>
                <w:rFonts w:cs="Times New Roman"/>
              </w:rPr>
            </w:pPr>
            <w:r w:rsidRPr="000549B1">
              <w:rPr>
                <w:rFonts w:cs="Times New Roman"/>
              </w:rPr>
              <w:t>小（</w:t>
            </w:r>
            <w:r w:rsidRPr="000549B1">
              <w:rPr>
                <w:rFonts w:cs="Times New Roman"/>
              </w:rPr>
              <w:t>2</w:t>
            </w:r>
            <w:r w:rsidRPr="000549B1">
              <w:rPr>
                <w:rFonts w:cs="Times New Roman"/>
              </w:rPr>
              <w:t>）型</w:t>
            </w:r>
          </w:p>
        </w:tc>
        <w:tc>
          <w:tcPr>
            <w:tcW w:w="568" w:type="pct"/>
            <w:noWrap/>
            <w:vAlign w:val="center"/>
          </w:tcPr>
          <w:p w14:paraId="19D70311" w14:textId="77777777" w:rsidR="00054437" w:rsidRPr="000549B1" w:rsidRDefault="00000000">
            <w:pPr>
              <w:pStyle w:val="0-"/>
              <w:rPr>
                <w:rFonts w:cs="Times New Roman"/>
              </w:rPr>
            </w:pPr>
            <w:r w:rsidRPr="000549B1">
              <w:rPr>
                <w:rFonts w:cs="Times New Roman"/>
              </w:rPr>
              <w:t>13</w:t>
            </w:r>
          </w:p>
        </w:tc>
        <w:tc>
          <w:tcPr>
            <w:tcW w:w="571" w:type="pct"/>
            <w:noWrap/>
            <w:vAlign w:val="center"/>
          </w:tcPr>
          <w:p w14:paraId="689D5227" w14:textId="77777777" w:rsidR="00054437" w:rsidRPr="000549B1" w:rsidRDefault="00000000">
            <w:pPr>
              <w:pStyle w:val="0-"/>
              <w:rPr>
                <w:rFonts w:cs="Times New Roman"/>
              </w:rPr>
            </w:pPr>
            <w:r w:rsidRPr="000549B1">
              <w:rPr>
                <w:rFonts w:cs="Times New Roman"/>
              </w:rPr>
              <w:t>9</w:t>
            </w:r>
          </w:p>
        </w:tc>
        <w:tc>
          <w:tcPr>
            <w:tcW w:w="571" w:type="pct"/>
            <w:noWrap/>
            <w:vAlign w:val="center"/>
          </w:tcPr>
          <w:p w14:paraId="76659E19" w14:textId="77777777" w:rsidR="00054437" w:rsidRPr="000549B1" w:rsidRDefault="00000000">
            <w:pPr>
              <w:jc w:val="center"/>
            </w:pPr>
            <w:r w:rsidRPr="000549B1">
              <w:t>已建</w:t>
            </w:r>
          </w:p>
        </w:tc>
      </w:tr>
      <w:tr w:rsidR="000549B1" w:rsidRPr="000549B1" w14:paraId="065BDF59" w14:textId="77777777">
        <w:trPr>
          <w:trHeight w:val="340"/>
        </w:trPr>
        <w:tc>
          <w:tcPr>
            <w:tcW w:w="484" w:type="pct"/>
            <w:noWrap/>
            <w:vAlign w:val="center"/>
          </w:tcPr>
          <w:p w14:paraId="46B498C5" w14:textId="77777777" w:rsidR="00054437" w:rsidRPr="000549B1" w:rsidRDefault="00000000">
            <w:pPr>
              <w:pStyle w:val="0-"/>
              <w:rPr>
                <w:rFonts w:cs="Times New Roman"/>
              </w:rPr>
            </w:pPr>
            <w:r w:rsidRPr="000549B1">
              <w:rPr>
                <w:rFonts w:cs="Times New Roman"/>
              </w:rPr>
              <w:t>10</w:t>
            </w:r>
          </w:p>
        </w:tc>
        <w:tc>
          <w:tcPr>
            <w:tcW w:w="748" w:type="pct"/>
            <w:noWrap/>
            <w:vAlign w:val="center"/>
          </w:tcPr>
          <w:p w14:paraId="1955A3C5" w14:textId="77777777" w:rsidR="00054437" w:rsidRPr="000549B1" w:rsidRDefault="00000000">
            <w:pPr>
              <w:pStyle w:val="0-"/>
              <w:rPr>
                <w:rFonts w:cs="Times New Roman"/>
              </w:rPr>
            </w:pPr>
            <w:r w:rsidRPr="000549B1">
              <w:rPr>
                <w:rFonts w:cs="Times New Roman"/>
              </w:rPr>
              <w:t>沟台水库</w:t>
            </w:r>
          </w:p>
        </w:tc>
        <w:tc>
          <w:tcPr>
            <w:tcW w:w="685" w:type="pct"/>
            <w:noWrap/>
            <w:vAlign w:val="center"/>
          </w:tcPr>
          <w:p w14:paraId="05788D1E" w14:textId="77777777" w:rsidR="00054437" w:rsidRPr="000549B1" w:rsidRDefault="00000000">
            <w:pPr>
              <w:pStyle w:val="0-"/>
              <w:rPr>
                <w:rFonts w:cs="Times New Roman"/>
              </w:rPr>
            </w:pPr>
            <w:r w:rsidRPr="000549B1">
              <w:rPr>
                <w:rFonts w:cs="Times New Roman"/>
              </w:rPr>
              <w:t>切吉乡</w:t>
            </w:r>
          </w:p>
        </w:tc>
        <w:tc>
          <w:tcPr>
            <w:tcW w:w="685" w:type="pct"/>
            <w:vAlign w:val="center"/>
          </w:tcPr>
          <w:p w14:paraId="7CCA757C" w14:textId="77777777" w:rsidR="00054437" w:rsidRPr="000549B1" w:rsidRDefault="00000000">
            <w:pPr>
              <w:pStyle w:val="0-"/>
              <w:rPr>
                <w:rFonts w:cs="Times New Roman"/>
              </w:rPr>
            </w:pPr>
            <w:r w:rsidRPr="000549B1">
              <w:rPr>
                <w:rFonts w:cs="Times New Roman"/>
              </w:rPr>
              <w:t>沟台沟</w:t>
            </w:r>
          </w:p>
        </w:tc>
        <w:tc>
          <w:tcPr>
            <w:tcW w:w="685" w:type="pct"/>
            <w:noWrap/>
            <w:vAlign w:val="center"/>
          </w:tcPr>
          <w:p w14:paraId="7E0A2216" w14:textId="77777777" w:rsidR="00054437" w:rsidRPr="000549B1" w:rsidRDefault="00000000">
            <w:pPr>
              <w:pStyle w:val="0-"/>
              <w:rPr>
                <w:rFonts w:cs="Times New Roman"/>
              </w:rPr>
            </w:pPr>
            <w:r w:rsidRPr="000549B1">
              <w:rPr>
                <w:rFonts w:cs="Times New Roman"/>
              </w:rPr>
              <w:t>小（</w:t>
            </w:r>
            <w:r w:rsidRPr="000549B1">
              <w:rPr>
                <w:rFonts w:cs="Times New Roman"/>
              </w:rPr>
              <w:t>2</w:t>
            </w:r>
            <w:r w:rsidRPr="000549B1">
              <w:rPr>
                <w:rFonts w:cs="Times New Roman"/>
              </w:rPr>
              <w:t>）型</w:t>
            </w:r>
          </w:p>
        </w:tc>
        <w:tc>
          <w:tcPr>
            <w:tcW w:w="568" w:type="pct"/>
            <w:noWrap/>
            <w:vAlign w:val="center"/>
          </w:tcPr>
          <w:p w14:paraId="65CA9290" w14:textId="77777777" w:rsidR="00054437" w:rsidRPr="000549B1" w:rsidRDefault="00000000">
            <w:pPr>
              <w:pStyle w:val="0-"/>
              <w:rPr>
                <w:rFonts w:cs="Times New Roman"/>
              </w:rPr>
            </w:pPr>
            <w:r w:rsidRPr="000549B1">
              <w:rPr>
                <w:rFonts w:cs="Times New Roman"/>
              </w:rPr>
              <w:t>38</w:t>
            </w:r>
          </w:p>
        </w:tc>
        <w:tc>
          <w:tcPr>
            <w:tcW w:w="571" w:type="pct"/>
            <w:noWrap/>
            <w:vAlign w:val="center"/>
          </w:tcPr>
          <w:p w14:paraId="27657FCC" w14:textId="77777777" w:rsidR="00054437" w:rsidRPr="000549B1" w:rsidRDefault="00000000">
            <w:pPr>
              <w:pStyle w:val="0-"/>
              <w:rPr>
                <w:rFonts w:cs="Times New Roman"/>
              </w:rPr>
            </w:pPr>
            <w:r w:rsidRPr="000549B1">
              <w:rPr>
                <w:rFonts w:cs="Times New Roman"/>
              </w:rPr>
              <w:t>38</w:t>
            </w:r>
          </w:p>
        </w:tc>
        <w:tc>
          <w:tcPr>
            <w:tcW w:w="571" w:type="pct"/>
            <w:noWrap/>
            <w:vAlign w:val="center"/>
          </w:tcPr>
          <w:p w14:paraId="7BE474A5" w14:textId="77777777" w:rsidR="00054437" w:rsidRPr="000549B1" w:rsidRDefault="00000000">
            <w:pPr>
              <w:jc w:val="center"/>
            </w:pPr>
            <w:r w:rsidRPr="000549B1">
              <w:t>已建</w:t>
            </w:r>
          </w:p>
        </w:tc>
      </w:tr>
      <w:tr w:rsidR="000549B1" w:rsidRPr="000549B1" w14:paraId="0232B86F" w14:textId="77777777">
        <w:trPr>
          <w:trHeight w:val="340"/>
        </w:trPr>
        <w:tc>
          <w:tcPr>
            <w:tcW w:w="484" w:type="pct"/>
            <w:noWrap/>
            <w:vAlign w:val="center"/>
          </w:tcPr>
          <w:p w14:paraId="0D94011F" w14:textId="77777777" w:rsidR="00054437" w:rsidRPr="000549B1" w:rsidRDefault="00000000">
            <w:pPr>
              <w:pStyle w:val="0-"/>
              <w:rPr>
                <w:rFonts w:cs="Times New Roman"/>
              </w:rPr>
            </w:pPr>
            <w:r w:rsidRPr="000549B1">
              <w:rPr>
                <w:rFonts w:cs="Times New Roman"/>
              </w:rPr>
              <w:t>11</w:t>
            </w:r>
          </w:p>
        </w:tc>
        <w:tc>
          <w:tcPr>
            <w:tcW w:w="748" w:type="pct"/>
            <w:noWrap/>
            <w:vAlign w:val="center"/>
          </w:tcPr>
          <w:p w14:paraId="01FBC70D" w14:textId="77777777" w:rsidR="00054437" w:rsidRPr="000549B1" w:rsidRDefault="00000000">
            <w:pPr>
              <w:pStyle w:val="0-"/>
              <w:rPr>
                <w:rFonts w:cs="Times New Roman"/>
              </w:rPr>
            </w:pPr>
            <w:r w:rsidRPr="000549B1">
              <w:rPr>
                <w:rFonts w:cs="Times New Roman"/>
              </w:rPr>
              <w:t>中试水库</w:t>
            </w:r>
          </w:p>
        </w:tc>
        <w:tc>
          <w:tcPr>
            <w:tcW w:w="685" w:type="pct"/>
            <w:noWrap/>
            <w:vAlign w:val="center"/>
          </w:tcPr>
          <w:p w14:paraId="330FE775" w14:textId="77777777" w:rsidR="00054437" w:rsidRPr="000549B1" w:rsidRDefault="00000000">
            <w:pPr>
              <w:pStyle w:val="0-"/>
              <w:rPr>
                <w:rFonts w:cs="Times New Roman"/>
              </w:rPr>
            </w:pPr>
            <w:r w:rsidRPr="000549B1">
              <w:rPr>
                <w:rFonts w:cs="Times New Roman"/>
              </w:rPr>
              <w:t>切吉乡</w:t>
            </w:r>
          </w:p>
        </w:tc>
        <w:tc>
          <w:tcPr>
            <w:tcW w:w="685" w:type="pct"/>
            <w:vAlign w:val="center"/>
          </w:tcPr>
          <w:p w14:paraId="042F5405" w14:textId="77777777" w:rsidR="00054437" w:rsidRPr="000549B1" w:rsidRDefault="00000000">
            <w:pPr>
              <w:pStyle w:val="0-"/>
              <w:rPr>
                <w:rFonts w:cs="Times New Roman"/>
              </w:rPr>
            </w:pPr>
            <w:r w:rsidRPr="000549B1">
              <w:rPr>
                <w:rFonts w:cs="Times New Roman"/>
              </w:rPr>
              <w:t>鹿龙沟</w:t>
            </w:r>
          </w:p>
        </w:tc>
        <w:tc>
          <w:tcPr>
            <w:tcW w:w="685" w:type="pct"/>
            <w:noWrap/>
            <w:vAlign w:val="center"/>
          </w:tcPr>
          <w:p w14:paraId="26B6E623" w14:textId="77777777" w:rsidR="00054437" w:rsidRPr="000549B1" w:rsidRDefault="00000000">
            <w:pPr>
              <w:pStyle w:val="0-"/>
              <w:rPr>
                <w:rFonts w:cs="Times New Roman"/>
              </w:rPr>
            </w:pPr>
            <w:r w:rsidRPr="000549B1">
              <w:rPr>
                <w:rFonts w:cs="Times New Roman"/>
              </w:rPr>
              <w:t>小（</w:t>
            </w:r>
            <w:r w:rsidRPr="000549B1">
              <w:rPr>
                <w:rFonts w:cs="Times New Roman"/>
              </w:rPr>
              <w:t>2</w:t>
            </w:r>
            <w:r w:rsidRPr="000549B1">
              <w:rPr>
                <w:rFonts w:cs="Times New Roman"/>
              </w:rPr>
              <w:t>）型</w:t>
            </w:r>
          </w:p>
        </w:tc>
        <w:tc>
          <w:tcPr>
            <w:tcW w:w="568" w:type="pct"/>
            <w:noWrap/>
            <w:vAlign w:val="center"/>
          </w:tcPr>
          <w:p w14:paraId="51A78788" w14:textId="77777777" w:rsidR="00054437" w:rsidRPr="000549B1" w:rsidRDefault="00000000">
            <w:pPr>
              <w:pStyle w:val="0-"/>
              <w:rPr>
                <w:rFonts w:cs="Times New Roman"/>
              </w:rPr>
            </w:pPr>
            <w:r w:rsidRPr="000549B1">
              <w:rPr>
                <w:rFonts w:cs="Times New Roman"/>
              </w:rPr>
              <w:t>10</w:t>
            </w:r>
          </w:p>
        </w:tc>
        <w:tc>
          <w:tcPr>
            <w:tcW w:w="571" w:type="pct"/>
            <w:noWrap/>
            <w:vAlign w:val="center"/>
          </w:tcPr>
          <w:p w14:paraId="23075CCD" w14:textId="77777777" w:rsidR="00054437" w:rsidRPr="000549B1" w:rsidRDefault="00000000">
            <w:pPr>
              <w:pStyle w:val="0-"/>
              <w:rPr>
                <w:rFonts w:cs="Times New Roman"/>
              </w:rPr>
            </w:pPr>
            <w:r w:rsidRPr="000549B1">
              <w:rPr>
                <w:rFonts w:cs="Times New Roman"/>
              </w:rPr>
              <w:t>10</w:t>
            </w:r>
          </w:p>
        </w:tc>
        <w:tc>
          <w:tcPr>
            <w:tcW w:w="571" w:type="pct"/>
            <w:noWrap/>
            <w:vAlign w:val="center"/>
          </w:tcPr>
          <w:p w14:paraId="6C7FE9A1" w14:textId="77777777" w:rsidR="00054437" w:rsidRPr="000549B1" w:rsidRDefault="00000000">
            <w:pPr>
              <w:jc w:val="center"/>
            </w:pPr>
            <w:r w:rsidRPr="000549B1">
              <w:t>已建</w:t>
            </w:r>
          </w:p>
        </w:tc>
      </w:tr>
      <w:tr w:rsidR="000549B1" w:rsidRPr="000549B1" w14:paraId="10A9DF67" w14:textId="77777777">
        <w:trPr>
          <w:trHeight w:val="340"/>
        </w:trPr>
        <w:tc>
          <w:tcPr>
            <w:tcW w:w="484" w:type="pct"/>
            <w:noWrap/>
            <w:vAlign w:val="center"/>
          </w:tcPr>
          <w:p w14:paraId="6EDA2003" w14:textId="77777777" w:rsidR="00054437" w:rsidRPr="000549B1" w:rsidRDefault="00000000">
            <w:pPr>
              <w:pStyle w:val="0-"/>
              <w:rPr>
                <w:rFonts w:cs="Times New Roman"/>
              </w:rPr>
            </w:pPr>
            <w:r w:rsidRPr="000549B1">
              <w:rPr>
                <w:rFonts w:cs="Times New Roman"/>
              </w:rPr>
              <w:t>12</w:t>
            </w:r>
          </w:p>
        </w:tc>
        <w:tc>
          <w:tcPr>
            <w:tcW w:w="748" w:type="pct"/>
            <w:noWrap/>
            <w:vAlign w:val="center"/>
          </w:tcPr>
          <w:p w14:paraId="410AFAF1" w14:textId="77777777" w:rsidR="00054437" w:rsidRPr="000549B1" w:rsidRDefault="00000000">
            <w:pPr>
              <w:pStyle w:val="0-"/>
              <w:rPr>
                <w:rFonts w:cs="Times New Roman"/>
              </w:rPr>
            </w:pPr>
            <w:r w:rsidRPr="000549B1">
              <w:rPr>
                <w:rFonts w:cs="Times New Roman"/>
              </w:rPr>
              <w:t>哈干水库</w:t>
            </w:r>
          </w:p>
        </w:tc>
        <w:tc>
          <w:tcPr>
            <w:tcW w:w="685" w:type="pct"/>
            <w:noWrap/>
            <w:vAlign w:val="center"/>
          </w:tcPr>
          <w:p w14:paraId="5D49D706" w14:textId="77777777" w:rsidR="00054437" w:rsidRPr="000549B1" w:rsidRDefault="00000000">
            <w:pPr>
              <w:pStyle w:val="0-"/>
              <w:rPr>
                <w:rFonts w:cs="Times New Roman"/>
              </w:rPr>
            </w:pPr>
            <w:r w:rsidRPr="000549B1">
              <w:rPr>
                <w:rFonts w:cs="Times New Roman"/>
              </w:rPr>
              <w:t>塘格木镇</w:t>
            </w:r>
          </w:p>
        </w:tc>
        <w:tc>
          <w:tcPr>
            <w:tcW w:w="685" w:type="pct"/>
            <w:vAlign w:val="center"/>
          </w:tcPr>
          <w:p w14:paraId="74CAFB76" w14:textId="77777777" w:rsidR="00054437" w:rsidRPr="000549B1" w:rsidRDefault="00000000">
            <w:pPr>
              <w:pStyle w:val="0-"/>
              <w:rPr>
                <w:rFonts w:cs="Times New Roman"/>
              </w:rPr>
            </w:pPr>
            <w:r w:rsidRPr="000549B1">
              <w:rPr>
                <w:rFonts w:cs="Times New Roman"/>
              </w:rPr>
              <w:t>哈尔干沟</w:t>
            </w:r>
          </w:p>
        </w:tc>
        <w:tc>
          <w:tcPr>
            <w:tcW w:w="685" w:type="pct"/>
            <w:noWrap/>
            <w:vAlign w:val="center"/>
          </w:tcPr>
          <w:p w14:paraId="2A1DC87E" w14:textId="77777777" w:rsidR="00054437" w:rsidRPr="000549B1" w:rsidRDefault="00000000">
            <w:pPr>
              <w:pStyle w:val="0-"/>
              <w:rPr>
                <w:rFonts w:cs="Times New Roman"/>
              </w:rPr>
            </w:pPr>
            <w:r w:rsidRPr="000549B1">
              <w:rPr>
                <w:rFonts w:cs="Times New Roman"/>
              </w:rPr>
              <w:t>小（</w:t>
            </w:r>
            <w:r w:rsidRPr="000549B1">
              <w:rPr>
                <w:rFonts w:cs="Times New Roman"/>
              </w:rPr>
              <w:t>1</w:t>
            </w:r>
            <w:r w:rsidRPr="000549B1">
              <w:rPr>
                <w:rFonts w:cs="Times New Roman"/>
              </w:rPr>
              <w:t>）型</w:t>
            </w:r>
          </w:p>
        </w:tc>
        <w:tc>
          <w:tcPr>
            <w:tcW w:w="568" w:type="pct"/>
            <w:noWrap/>
            <w:vAlign w:val="center"/>
          </w:tcPr>
          <w:p w14:paraId="53A14F88" w14:textId="77777777" w:rsidR="00054437" w:rsidRPr="000549B1" w:rsidRDefault="00000000">
            <w:pPr>
              <w:pStyle w:val="0-"/>
              <w:rPr>
                <w:rFonts w:cs="Times New Roman"/>
              </w:rPr>
            </w:pPr>
            <w:r w:rsidRPr="000549B1">
              <w:rPr>
                <w:rFonts w:cs="Times New Roman"/>
              </w:rPr>
              <w:t>150.14</w:t>
            </w:r>
          </w:p>
        </w:tc>
        <w:tc>
          <w:tcPr>
            <w:tcW w:w="571" w:type="pct"/>
            <w:noWrap/>
            <w:vAlign w:val="center"/>
          </w:tcPr>
          <w:p w14:paraId="6E74F25D" w14:textId="77777777" w:rsidR="00054437" w:rsidRPr="000549B1" w:rsidRDefault="00000000">
            <w:pPr>
              <w:pStyle w:val="0-"/>
              <w:rPr>
                <w:rFonts w:cs="Times New Roman"/>
              </w:rPr>
            </w:pPr>
            <w:r w:rsidRPr="000549B1">
              <w:rPr>
                <w:rFonts w:cs="Times New Roman"/>
              </w:rPr>
              <w:t>105.47</w:t>
            </w:r>
          </w:p>
        </w:tc>
        <w:tc>
          <w:tcPr>
            <w:tcW w:w="571" w:type="pct"/>
            <w:noWrap/>
            <w:vAlign w:val="center"/>
          </w:tcPr>
          <w:p w14:paraId="1782D173" w14:textId="77777777" w:rsidR="00054437" w:rsidRPr="000549B1" w:rsidRDefault="00000000">
            <w:pPr>
              <w:jc w:val="center"/>
            </w:pPr>
            <w:r w:rsidRPr="000549B1">
              <w:t>在建</w:t>
            </w:r>
          </w:p>
        </w:tc>
      </w:tr>
      <w:tr w:rsidR="000549B1" w:rsidRPr="000549B1" w14:paraId="3510DBE7" w14:textId="77777777">
        <w:trPr>
          <w:trHeight w:val="340"/>
        </w:trPr>
        <w:tc>
          <w:tcPr>
            <w:tcW w:w="796" w:type="dxa"/>
            <w:noWrap/>
            <w:vAlign w:val="center"/>
          </w:tcPr>
          <w:p w14:paraId="5FEC35DA" w14:textId="77777777" w:rsidR="00054437" w:rsidRPr="000549B1" w:rsidRDefault="00000000">
            <w:pPr>
              <w:pStyle w:val="0-"/>
              <w:rPr>
                <w:rFonts w:cs="Times New Roman"/>
              </w:rPr>
            </w:pPr>
            <w:r w:rsidRPr="000549B1">
              <w:rPr>
                <w:rFonts w:cs="Times New Roman"/>
              </w:rPr>
              <w:t>13</w:t>
            </w:r>
          </w:p>
        </w:tc>
        <w:tc>
          <w:tcPr>
            <w:tcW w:w="748" w:type="pct"/>
            <w:noWrap/>
            <w:vAlign w:val="center"/>
          </w:tcPr>
          <w:p w14:paraId="03DAD852" w14:textId="77777777" w:rsidR="00054437" w:rsidRPr="000549B1" w:rsidRDefault="00000000">
            <w:pPr>
              <w:tabs>
                <w:tab w:val="left" w:pos="4874"/>
              </w:tabs>
            </w:pPr>
            <w:r w:rsidRPr="000549B1">
              <w:t>鹿龙沟水库</w:t>
            </w:r>
          </w:p>
        </w:tc>
        <w:tc>
          <w:tcPr>
            <w:tcW w:w="685" w:type="pct"/>
            <w:noWrap/>
            <w:vAlign w:val="center"/>
          </w:tcPr>
          <w:p w14:paraId="7DA97962" w14:textId="77777777" w:rsidR="00054437" w:rsidRPr="000549B1" w:rsidRDefault="00000000">
            <w:pPr>
              <w:pStyle w:val="0-"/>
              <w:rPr>
                <w:rFonts w:cs="Times New Roman"/>
              </w:rPr>
            </w:pPr>
            <w:r w:rsidRPr="000549B1">
              <w:rPr>
                <w:rFonts w:cs="Times New Roman"/>
              </w:rPr>
              <w:t>共和县</w:t>
            </w:r>
          </w:p>
        </w:tc>
        <w:tc>
          <w:tcPr>
            <w:tcW w:w="685" w:type="pct"/>
            <w:vAlign w:val="center"/>
          </w:tcPr>
          <w:p w14:paraId="69A29C43" w14:textId="77777777" w:rsidR="00054437" w:rsidRPr="000549B1" w:rsidRDefault="00000000">
            <w:pPr>
              <w:pStyle w:val="0-"/>
              <w:rPr>
                <w:rFonts w:cs="Times New Roman"/>
              </w:rPr>
            </w:pPr>
            <w:r w:rsidRPr="000549B1">
              <w:rPr>
                <w:rFonts w:cs="Times New Roman"/>
              </w:rPr>
              <w:t>鹿龙沟</w:t>
            </w:r>
          </w:p>
        </w:tc>
        <w:tc>
          <w:tcPr>
            <w:tcW w:w="685" w:type="pct"/>
            <w:noWrap/>
            <w:vAlign w:val="center"/>
          </w:tcPr>
          <w:p w14:paraId="1E519354" w14:textId="77777777" w:rsidR="00054437" w:rsidRPr="000549B1" w:rsidRDefault="00000000">
            <w:pPr>
              <w:pStyle w:val="0-"/>
              <w:rPr>
                <w:rFonts w:cs="Times New Roman"/>
              </w:rPr>
            </w:pPr>
            <w:r w:rsidRPr="000549B1">
              <w:rPr>
                <w:rFonts w:cs="Times New Roman"/>
              </w:rPr>
              <w:t>小（</w:t>
            </w:r>
            <w:r w:rsidRPr="000549B1">
              <w:rPr>
                <w:rFonts w:cs="Times New Roman"/>
              </w:rPr>
              <w:t>1</w:t>
            </w:r>
            <w:r w:rsidRPr="000549B1">
              <w:rPr>
                <w:rFonts w:cs="Times New Roman"/>
              </w:rPr>
              <w:t>）型</w:t>
            </w:r>
          </w:p>
        </w:tc>
        <w:tc>
          <w:tcPr>
            <w:tcW w:w="568" w:type="pct"/>
            <w:noWrap/>
            <w:vAlign w:val="center"/>
          </w:tcPr>
          <w:p w14:paraId="3A8DC0F4" w14:textId="77777777" w:rsidR="00054437" w:rsidRPr="000549B1" w:rsidRDefault="00000000">
            <w:pPr>
              <w:pStyle w:val="0-"/>
              <w:rPr>
                <w:rFonts w:cs="Times New Roman"/>
              </w:rPr>
            </w:pPr>
            <w:r w:rsidRPr="000549B1">
              <w:rPr>
                <w:rFonts w:cs="Times New Roman"/>
              </w:rPr>
              <w:t>216.46</w:t>
            </w:r>
          </w:p>
        </w:tc>
        <w:tc>
          <w:tcPr>
            <w:tcW w:w="571" w:type="pct"/>
            <w:noWrap/>
            <w:vAlign w:val="center"/>
          </w:tcPr>
          <w:p w14:paraId="6B301666" w14:textId="77777777" w:rsidR="00054437" w:rsidRPr="000549B1" w:rsidRDefault="00000000">
            <w:pPr>
              <w:pStyle w:val="0-"/>
              <w:rPr>
                <w:rFonts w:cs="Times New Roman"/>
              </w:rPr>
            </w:pPr>
            <w:r w:rsidRPr="000549B1">
              <w:rPr>
                <w:rFonts w:cs="Times New Roman"/>
              </w:rPr>
              <w:t>154.3</w:t>
            </w:r>
          </w:p>
        </w:tc>
        <w:tc>
          <w:tcPr>
            <w:tcW w:w="571" w:type="pct"/>
            <w:noWrap/>
            <w:vAlign w:val="center"/>
          </w:tcPr>
          <w:p w14:paraId="2ED82504" w14:textId="77777777" w:rsidR="00054437" w:rsidRPr="000549B1" w:rsidRDefault="00000000">
            <w:pPr>
              <w:pStyle w:val="0-"/>
              <w:rPr>
                <w:rFonts w:cs="Times New Roman"/>
              </w:rPr>
            </w:pPr>
            <w:r w:rsidRPr="000549B1">
              <w:rPr>
                <w:rFonts w:cs="Times New Roman"/>
              </w:rPr>
              <w:t>规划</w:t>
            </w:r>
          </w:p>
        </w:tc>
      </w:tr>
      <w:tr w:rsidR="000549B1" w:rsidRPr="000549B1" w14:paraId="178049F2" w14:textId="77777777">
        <w:trPr>
          <w:trHeight w:val="340"/>
        </w:trPr>
        <w:tc>
          <w:tcPr>
            <w:tcW w:w="796" w:type="dxa"/>
            <w:noWrap/>
            <w:vAlign w:val="center"/>
          </w:tcPr>
          <w:p w14:paraId="62D0F167" w14:textId="77777777" w:rsidR="00054437" w:rsidRPr="000549B1" w:rsidRDefault="00000000">
            <w:pPr>
              <w:pStyle w:val="0-"/>
              <w:rPr>
                <w:rFonts w:cs="Times New Roman"/>
              </w:rPr>
            </w:pPr>
            <w:r w:rsidRPr="000549B1">
              <w:rPr>
                <w:rFonts w:cs="Times New Roman"/>
              </w:rPr>
              <w:t>14</w:t>
            </w:r>
          </w:p>
        </w:tc>
        <w:tc>
          <w:tcPr>
            <w:tcW w:w="748" w:type="pct"/>
            <w:noWrap/>
            <w:vAlign w:val="center"/>
          </w:tcPr>
          <w:p w14:paraId="04C9D703" w14:textId="77777777" w:rsidR="00054437" w:rsidRPr="000549B1" w:rsidRDefault="00000000">
            <w:pPr>
              <w:tabs>
                <w:tab w:val="left" w:pos="4874"/>
              </w:tabs>
            </w:pPr>
            <w:r w:rsidRPr="000549B1">
              <w:t>直亥买水库</w:t>
            </w:r>
          </w:p>
        </w:tc>
        <w:tc>
          <w:tcPr>
            <w:tcW w:w="685" w:type="pct"/>
            <w:noWrap/>
            <w:vAlign w:val="center"/>
          </w:tcPr>
          <w:p w14:paraId="4E4A325B" w14:textId="77777777" w:rsidR="00054437" w:rsidRPr="000549B1" w:rsidRDefault="00000000">
            <w:pPr>
              <w:pStyle w:val="0-"/>
              <w:rPr>
                <w:rFonts w:cs="Times New Roman"/>
              </w:rPr>
            </w:pPr>
            <w:r w:rsidRPr="000549B1">
              <w:rPr>
                <w:rFonts w:cs="Times New Roman"/>
              </w:rPr>
              <w:t>共和县</w:t>
            </w:r>
          </w:p>
        </w:tc>
        <w:tc>
          <w:tcPr>
            <w:tcW w:w="685" w:type="pct"/>
            <w:vAlign w:val="center"/>
          </w:tcPr>
          <w:p w14:paraId="0F7AA39B" w14:textId="77777777" w:rsidR="00054437" w:rsidRPr="000549B1" w:rsidRDefault="00000000">
            <w:pPr>
              <w:pStyle w:val="0-"/>
              <w:rPr>
                <w:rFonts w:cs="Times New Roman"/>
              </w:rPr>
            </w:pPr>
            <w:r w:rsidRPr="000549B1">
              <w:rPr>
                <w:rFonts w:cs="Times New Roman"/>
              </w:rPr>
              <w:t>直亥买沟</w:t>
            </w:r>
          </w:p>
        </w:tc>
        <w:tc>
          <w:tcPr>
            <w:tcW w:w="685" w:type="pct"/>
            <w:noWrap/>
            <w:vAlign w:val="center"/>
          </w:tcPr>
          <w:p w14:paraId="6EE31CEA" w14:textId="77777777" w:rsidR="00054437" w:rsidRPr="000549B1" w:rsidRDefault="00000000">
            <w:pPr>
              <w:pStyle w:val="0-"/>
              <w:rPr>
                <w:rFonts w:cs="Times New Roman"/>
              </w:rPr>
            </w:pPr>
            <w:r w:rsidRPr="000549B1">
              <w:rPr>
                <w:rFonts w:cs="Times New Roman"/>
              </w:rPr>
              <w:t>小（</w:t>
            </w:r>
            <w:r w:rsidRPr="000549B1">
              <w:rPr>
                <w:rFonts w:cs="Times New Roman"/>
              </w:rPr>
              <w:t>1</w:t>
            </w:r>
            <w:r w:rsidRPr="000549B1">
              <w:rPr>
                <w:rFonts w:cs="Times New Roman"/>
              </w:rPr>
              <w:t>）型</w:t>
            </w:r>
          </w:p>
        </w:tc>
        <w:tc>
          <w:tcPr>
            <w:tcW w:w="568" w:type="pct"/>
            <w:noWrap/>
            <w:vAlign w:val="center"/>
          </w:tcPr>
          <w:p w14:paraId="19D93246" w14:textId="77777777" w:rsidR="00054437" w:rsidRPr="000549B1" w:rsidRDefault="00000000">
            <w:pPr>
              <w:pStyle w:val="0-"/>
              <w:rPr>
                <w:rFonts w:cs="Times New Roman"/>
              </w:rPr>
            </w:pPr>
            <w:r w:rsidRPr="000549B1">
              <w:rPr>
                <w:rFonts w:cs="Times New Roman"/>
              </w:rPr>
              <w:t>143.16</w:t>
            </w:r>
          </w:p>
        </w:tc>
        <w:tc>
          <w:tcPr>
            <w:tcW w:w="571" w:type="pct"/>
            <w:noWrap/>
            <w:vAlign w:val="center"/>
          </w:tcPr>
          <w:p w14:paraId="3C6A653F" w14:textId="77777777" w:rsidR="00054437" w:rsidRPr="000549B1" w:rsidRDefault="00000000">
            <w:pPr>
              <w:pStyle w:val="0-"/>
              <w:rPr>
                <w:rFonts w:cs="Times New Roman"/>
              </w:rPr>
            </w:pPr>
            <w:r w:rsidRPr="000549B1">
              <w:rPr>
                <w:rFonts w:cs="Times New Roman"/>
              </w:rPr>
              <w:t>109.39</w:t>
            </w:r>
          </w:p>
        </w:tc>
        <w:tc>
          <w:tcPr>
            <w:tcW w:w="571" w:type="pct"/>
            <w:noWrap/>
            <w:vAlign w:val="center"/>
          </w:tcPr>
          <w:p w14:paraId="58BAF61B" w14:textId="77777777" w:rsidR="00054437" w:rsidRPr="000549B1" w:rsidRDefault="00000000">
            <w:pPr>
              <w:jc w:val="center"/>
            </w:pPr>
            <w:r w:rsidRPr="000549B1">
              <w:t>规划</w:t>
            </w:r>
          </w:p>
        </w:tc>
      </w:tr>
      <w:tr w:rsidR="000549B1" w:rsidRPr="000549B1" w14:paraId="354964D0" w14:textId="77777777">
        <w:trPr>
          <w:trHeight w:val="340"/>
        </w:trPr>
        <w:tc>
          <w:tcPr>
            <w:tcW w:w="796" w:type="dxa"/>
            <w:noWrap/>
            <w:vAlign w:val="center"/>
          </w:tcPr>
          <w:p w14:paraId="2FA17E1D" w14:textId="77777777" w:rsidR="00054437" w:rsidRPr="000549B1" w:rsidRDefault="00000000">
            <w:pPr>
              <w:pStyle w:val="0-"/>
              <w:rPr>
                <w:rFonts w:cs="Times New Roman"/>
              </w:rPr>
            </w:pPr>
            <w:r w:rsidRPr="000549B1">
              <w:rPr>
                <w:rFonts w:cs="Times New Roman"/>
              </w:rPr>
              <w:t>15</w:t>
            </w:r>
          </w:p>
        </w:tc>
        <w:tc>
          <w:tcPr>
            <w:tcW w:w="748" w:type="pct"/>
            <w:noWrap/>
            <w:vAlign w:val="center"/>
          </w:tcPr>
          <w:p w14:paraId="616FF706" w14:textId="77777777" w:rsidR="00054437" w:rsidRPr="000549B1" w:rsidRDefault="00000000">
            <w:pPr>
              <w:tabs>
                <w:tab w:val="left" w:pos="4874"/>
              </w:tabs>
            </w:pPr>
            <w:r w:rsidRPr="000549B1">
              <w:t>羊清沟水库</w:t>
            </w:r>
          </w:p>
        </w:tc>
        <w:tc>
          <w:tcPr>
            <w:tcW w:w="685" w:type="pct"/>
            <w:noWrap/>
            <w:vAlign w:val="center"/>
          </w:tcPr>
          <w:p w14:paraId="1F648EE1" w14:textId="77777777" w:rsidR="00054437" w:rsidRPr="000549B1" w:rsidRDefault="00000000">
            <w:pPr>
              <w:pStyle w:val="0-"/>
              <w:rPr>
                <w:rFonts w:cs="Times New Roman"/>
              </w:rPr>
            </w:pPr>
            <w:r w:rsidRPr="000549B1">
              <w:rPr>
                <w:rFonts w:cs="Times New Roman"/>
              </w:rPr>
              <w:t>共和县</w:t>
            </w:r>
          </w:p>
        </w:tc>
        <w:tc>
          <w:tcPr>
            <w:tcW w:w="685" w:type="pct"/>
            <w:vAlign w:val="center"/>
          </w:tcPr>
          <w:p w14:paraId="6FC9FE37" w14:textId="77777777" w:rsidR="00054437" w:rsidRPr="000549B1" w:rsidRDefault="00000000">
            <w:pPr>
              <w:pStyle w:val="0-"/>
              <w:rPr>
                <w:rFonts w:cs="Times New Roman"/>
              </w:rPr>
            </w:pPr>
            <w:r w:rsidRPr="000549B1">
              <w:rPr>
                <w:rFonts w:cs="Times New Roman"/>
              </w:rPr>
              <w:t>羊清沟</w:t>
            </w:r>
          </w:p>
        </w:tc>
        <w:tc>
          <w:tcPr>
            <w:tcW w:w="685" w:type="pct"/>
            <w:noWrap/>
            <w:vAlign w:val="center"/>
          </w:tcPr>
          <w:p w14:paraId="332A71D4" w14:textId="77777777" w:rsidR="00054437" w:rsidRPr="000549B1" w:rsidRDefault="00000000">
            <w:pPr>
              <w:pStyle w:val="0-"/>
              <w:rPr>
                <w:rFonts w:cs="Times New Roman"/>
              </w:rPr>
            </w:pPr>
            <w:r w:rsidRPr="000549B1">
              <w:rPr>
                <w:rFonts w:cs="Times New Roman"/>
              </w:rPr>
              <w:t>小（</w:t>
            </w:r>
            <w:r w:rsidRPr="000549B1">
              <w:rPr>
                <w:rFonts w:cs="Times New Roman"/>
              </w:rPr>
              <w:t>2</w:t>
            </w:r>
            <w:r w:rsidRPr="000549B1">
              <w:rPr>
                <w:rFonts w:cs="Times New Roman"/>
              </w:rPr>
              <w:t>）型</w:t>
            </w:r>
          </w:p>
        </w:tc>
        <w:tc>
          <w:tcPr>
            <w:tcW w:w="568" w:type="pct"/>
            <w:noWrap/>
            <w:vAlign w:val="center"/>
          </w:tcPr>
          <w:p w14:paraId="7E5D9094" w14:textId="77777777" w:rsidR="00054437" w:rsidRPr="000549B1" w:rsidRDefault="00000000">
            <w:pPr>
              <w:pStyle w:val="0-"/>
              <w:rPr>
                <w:rFonts w:cs="Times New Roman"/>
              </w:rPr>
            </w:pPr>
            <w:r w:rsidRPr="000549B1">
              <w:rPr>
                <w:rFonts w:cs="Times New Roman"/>
              </w:rPr>
              <w:t>82.41</w:t>
            </w:r>
          </w:p>
        </w:tc>
        <w:tc>
          <w:tcPr>
            <w:tcW w:w="571" w:type="pct"/>
            <w:noWrap/>
            <w:vAlign w:val="center"/>
          </w:tcPr>
          <w:p w14:paraId="6680714E" w14:textId="77777777" w:rsidR="00054437" w:rsidRPr="000549B1" w:rsidRDefault="00000000">
            <w:pPr>
              <w:pStyle w:val="0-"/>
              <w:rPr>
                <w:rFonts w:cs="Times New Roman"/>
              </w:rPr>
            </w:pPr>
            <w:r w:rsidRPr="000549B1">
              <w:rPr>
                <w:rFonts w:cs="Times New Roman"/>
              </w:rPr>
              <w:t>53.2</w:t>
            </w:r>
          </w:p>
        </w:tc>
        <w:tc>
          <w:tcPr>
            <w:tcW w:w="571" w:type="pct"/>
            <w:noWrap/>
            <w:vAlign w:val="center"/>
          </w:tcPr>
          <w:p w14:paraId="68879AC5" w14:textId="77777777" w:rsidR="00054437" w:rsidRPr="000549B1" w:rsidRDefault="00000000">
            <w:pPr>
              <w:jc w:val="center"/>
            </w:pPr>
            <w:r w:rsidRPr="000549B1">
              <w:t>规划</w:t>
            </w:r>
          </w:p>
        </w:tc>
      </w:tr>
      <w:tr w:rsidR="000549B1" w:rsidRPr="000549B1" w14:paraId="48A6B288" w14:textId="77777777">
        <w:trPr>
          <w:trHeight w:val="340"/>
        </w:trPr>
        <w:tc>
          <w:tcPr>
            <w:tcW w:w="796" w:type="dxa"/>
            <w:noWrap/>
            <w:vAlign w:val="center"/>
          </w:tcPr>
          <w:p w14:paraId="5BAD52F5" w14:textId="77777777" w:rsidR="00054437" w:rsidRPr="000549B1" w:rsidRDefault="00000000">
            <w:pPr>
              <w:pStyle w:val="0-"/>
              <w:rPr>
                <w:rFonts w:cs="Times New Roman"/>
              </w:rPr>
            </w:pPr>
            <w:r w:rsidRPr="000549B1">
              <w:rPr>
                <w:rFonts w:cs="Times New Roman"/>
              </w:rPr>
              <w:t>16</w:t>
            </w:r>
          </w:p>
        </w:tc>
        <w:tc>
          <w:tcPr>
            <w:tcW w:w="748" w:type="pct"/>
            <w:noWrap/>
            <w:vAlign w:val="center"/>
          </w:tcPr>
          <w:p w14:paraId="23546137" w14:textId="77777777" w:rsidR="00054437" w:rsidRPr="000549B1" w:rsidRDefault="00000000">
            <w:pPr>
              <w:tabs>
                <w:tab w:val="left" w:pos="4874"/>
              </w:tabs>
            </w:pPr>
            <w:r w:rsidRPr="000549B1">
              <w:t>叉叉沟水库</w:t>
            </w:r>
          </w:p>
        </w:tc>
        <w:tc>
          <w:tcPr>
            <w:tcW w:w="685" w:type="pct"/>
            <w:noWrap/>
            <w:vAlign w:val="center"/>
          </w:tcPr>
          <w:p w14:paraId="77223725" w14:textId="77777777" w:rsidR="00054437" w:rsidRPr="000549B1" w:rsidRDefault="00000000">
            <w:pPr>
              <w:pStyle w:val="0-"/>
              <w:rPr>
                <w:rFonts w:cs="Times New Roman"/>
              </w:rPr>
            </w:pPr>
            <w:r w:rsidRPr="000549B1">
              <w:rPr>
                <w:rFonts w:cs="Times New Roman"/>
              </w:rPr>
              <w:t>共和县</w:t>
            </w:r>
          </w:p>
        </w:tc>
        <w:tc>
          <w:tcPr>
            <w:tcW w:w="685" w:type="pct"/>
            <w:vAlign w:val="center"/>
          </w:tcPr>
          <w:p w14:paraId="76AA812C" w14:textId="77777777" w:rsidR="00054437" w:rsidRPr="000549B1" w:rsidRDefault="00000000">
            <w:pPr>
              <w:pStyle w:val="0-"/>
              <w:rPr>
                <w:rFonts w:cs="Times New Roman"/>
              </w:rPr>
            </w:pPr>
            <w:r w:rsidRPr="000549B1">
              <w:rPr>
                <w:rFonts w:cs="Times New Roman"/>
              </w:rPr>
              <w:t>又叉沟</w:t>
            </w:r>
          </w:p>
        </w:tc>
        <w:tc>
          <w:tcPr>
            <w:tcW w:w="685" w:type="pct"/>
            <w:noWrap/>
            <w:vAlign w:val="center"/>
          </w:tcPr>
          <w:p w14:paraId="062A6335" w14:textId="77777777" w:rsidR="00054437" w:rsidRPr="000549B1" w:rsidRDefault="00000000">
            <w:pPr>
              <w:pStyle w:val="0-"/>
              <w:rPr>
                <w:rFonts w:cs="Times New Roman"/>
              </w:rPr>
            </w:pPr>
            <w:r w:rsidRPr="000549B1">
              <w:rPr>
                <w:rFonts w:cs="Times New Roman"/>
              </w:rPr>
              <w:t>小（</w:t>
            </w:r>
            <w:r w:rsidRPr="000549B1">
              <w:rPr>
                <w:rFonts w:cs="Times New Roman"/>
              </w:rPr>
              <w:t>1</w:t>
            </w:r>
            <w:r w:rsidRPr="000549B1">
              <w:rPr>
                <w:rFonts w:cs="Times New Roman"/>
              </w:rPr>
              <w:t>）型</w:t>
            </w:r>
          </w:p>
        </w:tc>
        <w:tc>
          <w:tcPr>
            <w:tcW w:w="568" w:type="pct"/>
            <w:noWrap/>
            <w:vAlign w:val="center"/>
          </w:tcPr>
          <w:p w14:paraId="232CA339" w14:textId="77777777" w:rsidR="00054437" w:rsidRPr="000549B1" w:rsidRDefault="00000000">
            <w:pPr>
              <w:pStyle w:val="0-"/>
              <w:rPr>
                <w:rFonts w:cs="Times New Roman"/>
              </w:rPr>
            </w:pPr>
            <w:r w:rsidRPr="000549B1">
              <w:rPr>
                <w:rFonts w:cs="Times New Roman"/>
              </w:rPr>
              <w:t>315</w:t>
            </w:r>
          </w:p>
        </w:tc>
        <w:tc>
          <w:tcPr>
            <w:tcW w:w="571" w:type="pct"/>
            <w:noWrap/>
            <w:vAlign w:val="center"/>
          </w:tcPr>
          <w:p w14:paraId="027E99AD" w14:textId="77777777" w:rsidR="00054437" w:rsidRPr="000549B1" w:rsidRDefault="00000000">
            <w:pPr>
              <w:pStyle w:val="0-"/>
              <w:rPr>
                <w:rFonts w:cs="Times New Roman"/>
              </w:rPr>
            </w:pPr>
            <w:r w:rsidRPr="000549B1">
              <w:rPr>
                <w:rFonts w:cs="Times New Roman"/>
              </w:rPr>
              <w:t>/</w:t>
            </w:r>
          </w:p>
        </w:tc>
        <w:tc>
          <w:tcPr>
            <w:tcW w:w="571" w:type="pct"/>
            <w:noWrap/>
            <w:vAlign w:val="center"/>
          </w:tcPr>
          <w:p w14:paraId="4DDA3EC4" w14:textId="77777777" w:rsidR="00054437" w:rsidRPr="000549B1" w:rsidRDefault="00000000">
            <w:pPr>
              <w:jc w:val="center"/>
            </w:pPr>
            <w:r w:rsidRPr="000549B1">
              <w:t>规划</w:t>
            </w:r>
          </w:p>
        </w:tc>
      </w:tr>
      <w:tr w:rsidR="000549B1" w:rsidRPr="000549B1" w14:paraId="5AFCBF7A" w14:textId="77777777">
        <w:trPr>
          <w:trHeight w:val="340"/>
        </w:trPr>
        <w:tc>
          <w:tcPr>
            <w:tcW w:w="796" w:type="dxa"/>
            <w:noWrap/>
            <w:vAlign w:val="center"/>
          </w:tcPr>
          <w:p w14:paraId="3E1BE745" w14:textId="77777777" w:rsidR="00054437" w:rsidRPr="000549B1" w:rsidRDefault="00000000">
            <w:pPr>
              <w:pStyle w:val="0-"/>
              <w:rPr>
                <w:rFonts w:cs="Times New Roman"/>
              </w:rPr>
            </w:pPr>
            <w:r w:rsidRPr="000549B1">
              <w:rPr>
                <w:rFonts w:cs="Times New Roman"/>
              </w:rPr>
              <w:t>17</w:t>
            </w:r>
          </w:p>
        </w:tc>
        <w:tc>
          <w:tcPr>
            <w:tcW w:w="748" w:type="pct"/>
            <w:noWrap/>
            <w:vAlign w:val="center"/>
          </w:tcPr>
          <w:p w14:paraId="4F841011" w14:textId="77777777" w:rsidR="00054437" w:rsidRPr="000549B1" w:rsidRDefault="00000000">
            <w:pPr>
              <w:tabs>
                <w:tab w:val="left" w:pos="4874"/>
              </w:tabs>
            </w:pPr>
            <w:r w:rsidRPr="000549B1">
              <w:t>大河坝河水库</w:t>
            </w:r>
          </w:p>
        </w:tc>
        <w:tc>
          <w:tcPr>
            <w:tcW w:w="685" w:type="pct"/>
            <w:noWrap/>
            <w:vAlign w:val="center"/>
          </w:tcPr>
          <w:p w14:paraId="18693964" w14:textId="77777777" w:rsidR="00054437" w:rsidRPr="000549B1" w:rsidRDefault="00000000">
            <w:pPr>
              <w:pStyle w:val="0-"/>
              <w:rPr>
                <w:rFonts w:cs="Times New Roman"/>
              </w:rPr>
            </w:pPr>
            <w:r w:rsidRPr="000549B1">
              <w:rPr>
                <w:rFonts w:cs="Times New Roman"/>
              </w:rPr>
              <w:t>共和县</w:t>
            </w:r>
          </w:p>
        </w:tc>
        <w:tc>
          <w:tcPr>
            <w:tcW w:w="685" w:type="pct"/>
            <w:vAlign w:val="center"/>
          </w:tcPr>
          <w:p w14:paraId="17CB634F" w14:textId="77777777" w:rsidR="00054437" w:rsidRPr="000549B1" w:rsidRDefault="00000000">
            <w:pPr>
              <w:pStyle w:val="0-"/>
              <w:rPr>
                <w:rFonts w:cs="Times New Roman"/>
              </w:rPr>
            </w:pPr>
            <w:r w:rsidRPr="000549B1">
              <w:rPr>
                <w:rFonts w:cs="Times New Roman"/>
              </w:rPr>
              <w:t>切吉河</w:t>
            </w:r>
          </w:p>
        </w:tc>
        <w:tc>
          <w:tcPr>
            <w:tcW w:w="685" w:type="pct"/>
            <w:noWrap/>
            <w:vAlign w:val="center"/>
          </w:tcPr>
          <w:p w14:paraId="70AD8717" w14:textId="77777777" w:rsidR="00054437" w:rsidRPr="000549B1" w:rsidRDefault="00000000">
            <w:pPr>
              <w:pStyle w:val="0-"/>
              <w:rPr>
                <w:rFonts w:cs="Times New Roman"/>
              </w:rPr>
            </w:pPr>
            <w:r w:rsidRPr="000549B1">
              <w:rPr>
                <w:rFonts w:cs="Times New Roman"/>
              </w:rPr>
              <w:t>中型</w:t>
            </w:r>
          </w:p>
        </w:tc>
        <w:tc>
          <w:tcPr>
            <w:tcW w:w="568" w:type="pct"/>
            <w:noWrap/>
            <w:vAlign w:val="center"/>
          </w:tcPr>
          <w:p w14:paraId="4C2482CD" w14:textId="77777777" w:rsidR="00054437" w:rsidRPr="000549B1" w:rsidRDefault="00000000">
            <w:pPr>
              <w:pStyle w:val="0-"/>
              <w:rPr>
                <w:rFonts w:cs="Times New Roman"/>
              </w:rPr>
            </w:pPr>
            <w:r w:rsidRPr="000549B1">
              <w:rPr>
                <w:rFonts w:cs="Times New Roman"/>
              </w:rPr>
              <w:t>7645</w:t>
            </w:r>
          </w:p>
        </w:tc>
        <w:tc>
          <w:tcPr>
            <w:tcW w:w="571" w:type="pct"/>
            <w:noWrap/>
            <w:vAlign w:val="center"/>
          </w:tcPr>
          <w:p w14:paraId="2FBADFA5" w14:textId="77777777" w:rsidR="00054437" w:rsidRPr="000549B1" w:rsidRDefault="00000000">
            <w:pPr>
              <w:pStyle w:val="0-"/>
              <w:rPr>
                <w:rFonts w:cs="Times New Roman"/>
              </w:rPr>
            </w:pPr>
            <w:r w:rsidRPr="000549B1">
              <w:rPr>
                <w:rFonts w:cs="Times New Roman"/>
              </w:rPr>
              <w:t>6354</w:t>
            </w:r>
          </w:p>
        </w:tc>
        <w:tc>
          <w:tcPr>
            <w:tcW w:w="571" w:type="pct"/>
            <w:noWrap/>
            <w:vAlign w:val="center"/>
          </w:tcPr>
          <w:p w14:paraId="2F22895F" w14:textId="77777777" w:rsidR="00054437" w:rsidRPr="000549B1" w:rsidRDefault="00000000">
            <w:pPr>
              <w:jc w:val="center"/>
            </w:pPr>
            <w:r w:rsidRPr="000549B1">
              <w:t>规划</w:t>
            </w:r>
          </w:p>
        </w:tc>
      </w:tr>
      <w:tr w:rsidR="000549B1" w:rsidRPr="000549B1" w14:paraId="1CCBBEC5" w14:textId="77777777">
        <w:trPr>
          <w:trHeight w:val="340"/>
        </w:trPr>
        <w:tc>
          <w:tcPr>
            <w:tcW w:w="796" w:type="dxa"/>
            <w:noWrap/>
            <w:vAlign w:val="center"/>
          </w:tcPr>
          <w:p w14:paraId="2D4A8D7A" w14:textId="77777777" w:rsidR="00054437" w:rsidRPr="000549B1" w:rsidRDefault="00000000">
            <w:pPr>
              <w:pStyle w:val="0-"/>
              <w:rPr>
                <w:rFonts w:cs="Times New Roman"/>
              </w:rPr>
            </w:pPr>
            <w:r w:rsidRPr="000549B1">
              <w:rPr>
                <w:rFonts w:cs="Times New Roman"/>
              </w:rPr>
              <w:t>18</w:t>
            </w:r>
          </w:p>
        </w:tc>
        <w:tc>
          <w:tcPr>
            <w:tcW w:w="748" w:type="pct"/>
            <w:noWrap/>
            <w:vAlign w:val="center"/>
          </w:tcPr>
          <w:p w14:paraId="20225937" w14:textId="77777777" w:rsidR="00054437" w:rsidRPr="000549B1" w:rsidRDefault="00000000">
            <w:pPr>
              <w:tabs>
                <w:tab w:val="left" w:pos="4874"/>
              </w:tabs>
            </w:pPr>
            <w:r w:rsidRPr="000549B1">
              <w:t>满丈沟水库</w:t>
            </w:r>
          </w:p>
        </w:tc>
        <w:tc>
          <w:tcPr>
            <w:tcW w:w="685" w:type="pct"/>
            <w:noWrap/>
            <w:vAlign w:val="center"/>
          </w:tcPr>
          <w:p w14:paraId="60C548ED" w14:textId="77777777" w:rsidR="00054437" w:rsidRPr="000549B1" w:rsidRDefault="00000000">
            <w:pPr>
              <w:pStyle w:val="0-"/>
              <w:rPr>
                <w:rFonts w:cs="Times New Roman"/>
              </w:rPr>
            </w:pPr>
            <w:r w:rsidRPr="000549B1">
              <w:rPr>
                <w:rFonts w:cs="Times New Roman"/>
              </w:rPr>
              <w:t>兴海县</w:t>
            </w:r>
          </w:p>
        </w:tc>
        <w:tc>
          <w:tcPr>
            <w:tcW w:w="685" w:type="pct"/>
            <w:vAlign w:val="center"/>
          </w:tcPr>
          <w:p w14:paraId="0B8BA3E9" w14:textId="77777777" w:rsidR="00054437" w:rsidRPr="000549B1" w:rsidRDefault="00000000">
            <w:pPr>
              <w:pStyle w:val="0-"/>
              <w:rPr>
                <w:rFonts w:cs="Times New Roman"/>
              </w:rPr>
            </w:pPr>
            <w:r w:rsidRPr="000549B1">
              <w:rPr>
                <w:rFonts w:cs="Times New Roman"/>
              </w:rPr>
              <w:t>满丈沟</w:t>
            </w:r>
          </w:p>
        </w:tc>
        <w:tc>
          <w:tcPr>
            <w:tcW w:w="685" w:type="pct"/>
            <w:noWrap/>
            <w:vAlign w:val="center"/>
          </w:tcPr>
          <w:p w14:paraId="071BE622" w14:textId="77777777" w:rsidR="00054437" w:rsidRPr="000549B1" w:rsidRDefault="00000000">
            <w:pPr>
              <w:pStyle w:val="0-"/>
              <w:rPr>
                <w:rFonts w:cs="Times New Roman"/>
              </w:rPr>
            </w:pPr>
            <w:r w:rsidRPr="000549B1">
              <w:rPr>
                <w:rFonts w:cs="Times New Roman"/>
              </w:rPr>
              <w:t>小（</w:t>
            </w:r>
            <w:r w:rsidRPr="000549B1">
              <w:rPr>
                <w:rFonts w:cs="Times New Roman"/>
              </w:rPr>
              <w:t>1</w:t>
            </w:r>
            <w:r w:rsidRPr="000549B1">
              <w:rPr>
                <w:rFonts w:cs="Times New Roman"/>
              </w:rPr>
              <w:t>）型</w:t>
            </w:r>
          </w:p>
        </w:tc>
        <w:tc>
          <w:tcPr>
            <w:tcW w:w="568" w:type="pct"/>
            <w:noWrap/>
            <w:vAlign w:val="center"/>
          </w:tcPr>
          <w:p w14:paraId="54585A93" w14:textId="77777777" w:rsidR="00054437" w:rsidRPr="000549B1" w:rsidRDefault="00000000">
            <w:pPr>
              <w:pStyle w:val="0-"/>
              <w:rPr>
                <w:rFonts w:cs="Times New Roman"/>
              </w:rPr>
            </w:pPr>
            <w:r w:rsidRPr="000549B1">
              <w:rPr>
                <w:rFonts w:cs="Times New Roman"/>
              </w:rPr>
              <w:t>/</w:t>
            </w:r>
          </w:p>
        </w:tc>
        <w:tc>
          <w:tcPr>
            <w:tcW w:w="571" w:type="pct"/>
            <w:noWrap/>
            <w:vAlign w:val="center"/>
          </w:tcPr>
          <w:p w14:paraId="5C97AA65" w14:textId="77777777" w:rsidR="00054437" w:rsidRPr="000549B1" w:rsidRDefault="00000000">
            <w:pPr>
              <w:pStyle w:val="0-"/>
              <w:rPr>
                <w:rFonts w:cs="Times New Roman"/>
              </w:rPr>
            </w:pPr>
            <w:r w:rsidRPr="000549B1">
              <w:rPr>
                <w:rFonts w:cs="Times New Roman"/>
              </w:rPr>
              <w:t>/</w:t>
            </w:r>
          </w:p>
        </w:tc>
        <w:tc>
          <w:tcPr>
            <w:tcW w:w="571" w:type="pct"/>
            <w:noWrap/>
            <w:vAlign w:val="center"/>
          </w:tcPr>
          <w:p w14:paraId="4170BB3C" w14:textId="77777777" w:rsidR="00054437" w:rsidRPr="000549B1" w:rsidRDefault="00000000">
            <w:pPr>
              <w:jc w:val="center"/>
            </w:pPr>
            <w:r w:rsidRPr="000549B1">
              <w:t>规划</w:t>
            </w:r>
          </w:p>
        </w:tc>
      </w:tr>
    </w:tbl>
    <w:p w14:paraId="4F625A77" w14:textId="77777777" w:rsidR="00054437" w:rsidRPr="000549B1" w:rsidRDefault="00000000">
      <w:pPr>
        <w:spacing w:beforeLines="50" w:before="156" w:line="360" w:lineRule="auto"/>
        <w:ind w:firstLineChars="200" w:firstLine="480"/>
        <w:rPr>
          <w:bCs/>
          <w:sz w:val="24"/>
          <w:szCs w:val="24"/>
        </w:rPr>
      </w:pPr>
      <w:r w:rsidRPr="000549B1">
        <w:rPr>
          <w:sz w:val="24"/>
          <w:szCs w:val="24"/>
        </w:rPr>
        <w:t>综上分析，</w:t>
      </w:r>
      <w:r w:rsidRPr="000549B1">
        <w:rPr>
          <w:bCs/>
          <w:kern w:val="0"/>
          <w:sz w:val="24"/>
          <w:szCs w:val="24"/>
        </w:rPr>
        <w:t>水库工程下泄生态流量保证下游水生态和水环境用水，水库下泄低温水基本不会对下游灌区农作物产生影响；</w:t>
      </w:r>
      <w:r w:rsidRPr="000549B1">
        <w:rPr>
          <w:sz w:val="24"/>
          <w:szCs w:val="24"/>
        </w:rPr>
        <w:t>沙珠玉河流域内各支流已建成的小型水库下泄低温水对干流水温几乎无影响；各规划水库均为小型水库且在不同的支流上，分布较为零散，无梯级布置情况，水温影响不会产生累积效应，对流域整体水温影响很小。</w:t>
      </w:r>
    </w:p>
    <w:p w14:paraId="0B356B57" w14:textId="77777777" w:rsidR="00054437" w:rsidRPr="000549B1" w:rsidRDefault="00000000">
      <w:pPr>
        <w:pStyle w:val="4"/>
        <w:rPr>
          <w:rFonts w:ascii="Times New Roman" w:hAnsi="Times New Roman"/>
        </w:rPr>
      </w:pPr>
      <w:r w:rsidRPr="000549B1">
        <w:rPr>
          <w:rFonts w:ascii="Times New Roman" w:hAnsi="Times New Roman"/>
        </w:rPr>
        <w:t>水质变化</w:t>
      </w:r>
    </w:p>
    <w:p w14:paraId="1B638F7F" w14:textId="77777777" w:rsidR="00054437" w:rsidRPr="000549B1" w:rsidRDefault="00000000">
      <w:pPr>
        <w:pStyle w:val="0A"/>
        <w:ind w:firstLine="480"/>
        <w:rPr>
          <w:b w:val="0"/>
          <w:bCs/>
          <w:sz w:val="24"/>
          <w:szCs w:val="24"/>
        </w:rPr>
      </w:pPr>
      <w:r w:rsidRPr="000549B1">
        <w:rPr>
          <w:b w:val="0"/>
          <w:bCs/>
          <w:sz w:val="24"/>
          <w:szCs w:val="24"/>
        </w:rPr>
        <w:t>（</w:t>
      </w:r>
      <w:r w:rsidRPr="000549B1">
        <w:rPr>
          <w:b w:val="0"/>
          <w:bCs/>
          <w:sz w:val="24"/>
          <w:szCs w:val="24"/>
        </w:rPr>
        <w:t>1</w:t>
      </w:r>
      <w:r w:rsidRPr="000549B1">
        <w:rPr>
          <w:b w:val="0"/>
          <w:bCs/>
          <w:sz w:val="24"/>
          <w:szCs w:val="24"/>
        </w:rPr>
        <w:t>）水库工程</w:t>
      </w:r>
    </w:p>
    <w:p w14:paraId="5584B907" w14:textId="77777777" w:rsidR="00054437" w:rsidRPr="000549B1" w:rsidRDefault="00000000">
      <w:pPr>
        <w:pStyle w:val="0A"/>
        <w:ind w:firstLine="480"/>
        <w:rPr>
          <w:b w:val="0"/>
          <w:bCs/>
          <w:sz w:val="24"/>
          <w:szCs w:val="24"/>
        </w:rPr>
      </w:pPr>
      <w:r w:rsidRPr="000549B1">
        <w:rPr>
          <w:b w:val="0"/>
          <w:sz w:val="24"/>
          <w:szCs w:val="24"/>
        </w:rPr>
        <w:t>规划在沙珠玉河各支流上分散建设</w:t>
      </w:r>
      <w:r w:rsidRPr="000549B1">
        <w:rPr>
          <w:b w:val="0"/>
          <w:sz w:val="24"/>
          <w:szCs w:val="24"/>
        </w:rPr>
        <w:t>6</w:t>
      </w:r>
      <w:r w:rsidRPr="000549B1">
        <w:rPr>
          <w:b w:val="0"/>
          <w:sz w:val="24"/>
          <w:szCs w:val="24"/>
        </w:rPr>
        <w:t>座中（小）型水库，分别是鹿龙沟水库、直亥买水库、羊清沟水库、叉叉沟水库工程、大河坝水库和满丈沟水库。</w:t>
      </w:r>
    </w:p>
    <w:p w14:paraId="5FBB1CBB" w14:textId="77777777" w:rsidR="00054437" w:rsidRPr="000549B1" w:rsidRDefault="00000000">
      <w:pPr>
        <w:pStyle w:val="0A"/>
        <w:ind w:firstLine="480"/>
        <w:rPr>
          <w:b w:val="0"/>
          <w:bCs/>
          <w:sz w:val="24"/>
          <w:szCs w:val="24"/>
        </w:rPr>
      </w:pPr>
      <w:r w:rsidRPr="000549B1">
        <w:rPr>
          <w:b w:val="0"/>
          <w:bCs/>
          <w:sz w:val="24"/>
          <w:szCs w:val="24"/>
        </w:rPr>
        <w:t>1</w:t>
      </w:r>
      <w:r w:rsidRPr="000549B1">
        <w:rPr>
          <w:b w:val="0"/>
          <w:bCs/>
          <w:sz w:val="24"/>
          <w:szCs w:val="24"/>
        </w:rPr>
        <w:t>）初期蓄水期</w:t>
      </w:r>
    </w:p>
    <w:p w14:paraId="284A0DF3" w14:textId="77777777" w:rsidR="00054437" w:rsidRPr="000549B1" w:rsidRDefault="00000000">
      <w:pPr>
        <w:pStyle w:val="0A"/>
        <w:ind w:firstLine="480"/>
        <w:rPr>
          <w:b w:val="0"/>
          <w:bCs/>
          <w:sz w:val="24"/>
          <w:szCs w:val="24"/>
        </w:rPr>
      </w:pPr>
      <w:r w:rsidRPr="000549B1">
        <w:rPr>
          <w:b w:val="0"/>
          <w:bCs/>
          <w:sz w:val="24"/>
          <w:szCs w:val="24"/>
        </w:rPr>
        <w:t>水库初期蓄水期，是指水库开始下闸蓄水至正常蓄水位或进入稳定运行前的阶段，这个时期是河流生态系统向湖泊生态系统演替的关键转折点，水环境会随着蓄水的开始发生一定变化。</w:t>
      </w:r>
    </w:p>
    <w:p w14:paraId="3C05D8DA" w14:textId="77777777" w:rsidR="00054437" w:rsidRPr="000549B1" w:rsidRDefault="00000000">
      <w:pPr>
        <w:pStyle w:val="0A"/>
        <w:ind w:firstLine="480"/>
        <w:rPr>
          <w:b w:val="0"/>
          <w:bCs/>
          <w:sz w:val="24"/>
          <w:szCs w:val="24"/>
        </w:rPr>
      </w:pPr>
      <w:r w:rsidRPr="000549B1">
        <w:rPr>
          <w:b w:val="0"/>
          <w:bCs/>
          <w:sz w:val="24"/>
          <w:szCs w:val="24"/>
        </w:rPr>
        <w:t>在蓄水初期，新增淹没区内残留的植被、土壤、农田以及腐烂物质等均会分解释放出有机物，有机质分解使得水体中</w:t>
      </w:r>
      <w:r w:rsidRPr="000549B1">
        <w:rPr>
          <w:b w:val="0"/>
          <w:bCs/>
          <w:sz w:val="24"/>
          <w:szCs w:val="24"/>
        </w:rPr>
        <w:t>CODᴍₙ</w:t>
      </w:r>
      <w:r w:rsidRPr="000549B1">
        <w:rPr>
          <w:b w:val="0"/>
          <w:bCs/>
          <w:sz w:val="24"/>
          <w:szCs w:val="24"/>
        </w:rPr>
        <w:t>、</w:t>
      </w:r>
      <w:r w:rsidRPr="000549B1">
        <w:rPr>
          <w:b w:val="0"/>
          <w:bCs/>
          <w:sz w:val="24"/>
          <w:szCs w:val="24"/>
        </w:rPr>
        <w:t>BOD₅</w:t>
      </w:r>
      <w:r w:rsidRPr="000549B1">
        <w:rPr>
          <w:b w:val="0"/>
          <w:bCs/>
          <w:sz w:val="24"/>
          <w:szCs w:val="24"/>
        </w:rPr>
        <w:t>、氮、磷等浓度增加，溶解氧降低，特别是水库底层和淹没区附近，可能形成大面积缺氧区，影响水库蓄水初期的水质。</w:t>
      </w:r>
    </w:p>
    <w:p w14:paraId="475CF82A" w14:textId="77777777" w:rsidR="00054437" w:rsidRPr="000549B1" w:rsidRDefault="00000000">
      <w:pPr>
        <w:pStyle w:val="0A"/>
        <w:ind w:firstLine="480"/>
        <w:rPr>
          <w:b w:val="0"/>
          <w:bCs/>
          <w:sz w:val="24"/>
          <w:szCs w:val="24"/>
        </w:rPr>
      </w:pPr>
      <w:r w:rsidRPr="000549B1">
        <w:rPr>
          <w:b w:val="0"/>
          <w:bCs/>
          <w:sz w:val="24"/>
          <w:szCs w:val="24"/>
        </w:rPr>
        <w:t>沙珠玉河流域各规划水库所在干流、支流水质现状较好，因此初期蓄水水库水质主要受库底浸出物影响，参考类似水库工程初期蓄水监测结果，水库蓄水初期除总氮外，其余各项指标绝大多数情况均可达到</w:t>
      </w:r>
      <w:r w:rsidRPr="000549B1">
        <w:rPr>
          <w:b w:val="0"/>
          <w:bCs/>
          <w:sz w:val="24"/>
          <w:szCs w:val="24"/>
        </w:rPr>
        <w:t>Ⅱ~Ⅲ</w:t>
      </w:r>
      <w:r w:rsidRPr="000549B1">
        <w:rPr>
          <w:b w:val="0"/>
          <w:bCs/>
          <w:sz w:val="24"/>
          <w:szCs w:val="24"/>
        </w:rPr>
        <w:t>类标准，由于营养盐（氮、磷）大量释放，水库可能产生富营养化问题，故水库初期蓄水需采取弃水措施，增加换水频次，减少库底物质浸出对水库水质的影响。随着水库蓄、放水的不断进行，土壤污染物释放对库区水质的影响逐渐减弱，并达到动态平衡。</w:t>
      </w:r>
    </w:p>
    <w:p w14:paraId="54A93C59" w14:textId="77777777" w:rsidR="00054437" w:rsidRPr="000549B1" w:rsidRDefault="00000000">
      <w:pPr>
        <w:pStyle w:val="0A"/>
        <w:ind w:firstLine="480"/>
        <w:rPr>
          <w:b w:val="0"/>
          <w:bCs/>
          <w:sz w:val="24"/>
          <w:szCs w:val="24"/>
        </w:rPr>
      </w:pPr>
      <w:r w:rsidRPr="000549B1">
        <w:rPr>
          <w:b w:val="0"/>
          <w:bCs/>
          <w:sz w:val="24"/>
          <w:szCs w:val="24"/>
        </w:rPr>
        <w:t>2</w:t>
      </w:r>
      <w:r w:rsidRPr="000549B1">
        <w:rPr>
          <w:b w:val="0"/>
          <w:bCs/>
          <w:sz w:val="24"/>
          <w:szCs w:val="24"/>
        </w:rPr>
        <w:t>）正常运行期</w:t>
      </w:r>
    </w:p>
    <w:p w14:paraId="7B7CFB0B" w14:textId="77777777" w:rsidR="00054437" w:rsidRPr="000549B1" w:rsidRDefault="00000000">
      <w:pPr>
        <w:pStyle w:val="0A"/>
        <w:ind w:firstLine="480"/>
        <w:rPr>
          <w:b w:val="0"/>
          <w:bCs/>
          <w:sz w:val="24"/>
          <w:szCs w:val="24"/>
        </w:rPr>
      </w:pPr>
      <w:r w:rsidRPr="000549B1">
        <w:rPr>
          <w:b w:val="0"/>
          <w:bCs/>
          <w:sz w:val="24"/>
          <w:szCs w:val="24"/>
        </w:rPr>
        <w:t>由于水库淹没范围内居民、企业及农田等污染源在施工前进行了征迁处理，减少了库区内人为污染源。此外，部分有饮用水供水功能的水库，在建设运行后，需要进一步清理整顿库区上游各类污染源，水库入库水质将会得到进一步改善，同时库区水面面积、蓄水能力增加，水体流速减缓，有利于水环境容量的增加及污染物降解能力的提高，库区水质将优于建库前坝址断面河道水质。</w:t>
      </w:r>
    </w:p>
    <w:p w14:paraId="04B7D79A" w14:textId="77777777" w:rsidR="00054437" w:rsidRPr="000549B1" w:rsidRDefault="00000000">
      <w:pPr>
        <w:pStyle w:val="0A"/>
        <w:ind w:firstLine="480"/>
        <w:rPr>
          <w:b w:val="0"/>
          <w:bCs/>
          <w:sz w:val="24"/>
          <w:szCs w:val="24"/>
        </w:rPr>
      </w:pPr>
      <w:r w:rsidRPr="000549B1">
        <w:rPr>
          <w:b w:val="0"/>
          <w:bCs/>
          <w:sz w:val="24"/>
          <w:szCs w:val="24"/>
        </w:rPr>
        <w:t>此外，水库建成后，水库的调节作用有利于坝下河道流量的稳定，枯水期生态流量得到保证，总体有利于下游河道水环境容量的增加及水质的改善。</w:t>
      </w:r>
    </w:p>
    <w:p w14:paraId="1BD6D323" w14:textId="77777777" w:rsidR="00054437" w:rsidRPr="000549B1" w:rsidRDefault="00000000">
      <w:pPr>
        <w:pStyle w:val="0A"/>
        <w:ind w:firstLine="480"/>
        <w:rPr>
          <w:b w:val="0"/>
          <w:bCs/>
          <w:sz w:val="24"/>
          <w:szCs w:val="24"/>
        </w:rPr>
      </w:pPr>
      <w:r w:rsidRPr="000549B1">
        <w:rPr>
          <w:b w:val="0"/>
          <w:bCs/>
          <w:sz w:val="24"/>
          <w:szCs w:val="24"/>
        </w:rPr>
        <w:t>（</w:t>
      </w:r>
      <w:r w:rsidRPr="000549B1">
        <w:rPr>
          <w:b w:val="0"/>
          <w:bCs/>
          <w:sz w:val="24"/>
          <w:szCs w:val="24"/>
        </w:rPr>
        <w:t>2</w:t>
      </w:r>
      <w:r w:rsidRPr="000549B1">
        <w:rPr>
          <w:b w:val="0"/>
          <w:bCs/>
          <w:sz w:val="24"/>
          <w:szCs w:val="24"/>
        </w:rPr>
        <w:t>）引调水工程</w:t>
      </w:r>
    </w:p>
    <w:p w14:paraId="1B6EB54B" w14:textId="71416EE9" w:rsidR="00054437" w:rsidRPr="000549B1" w:rsidRDefault="00000000">
      <w:pPr>
        <w:pStyle w:val="0A"/>
        <w:ind w:firstLine="480"/>
        <w:rPr>
          <w:b w:val="0"/>
          <w:bCs/>
          <w:sz w:val="24"/>
          <w:szCs w:val="24"/>
        </w:rPr>
      </w:pPr>
      <w:r w:rsidRPr="000549B1">
        <w:rPr>
          <w:b w:val="0"/>
          <w:bCs/>
          <w:sz w:val="24"/>
          <w:szCs w:val="24"/>
        </w:rPr>
        <w:t>规划包括重大水资源配置工程</w:t>
      </w:r>
      <w:r w:rsidR="000E1302" w:rsidRPr="000549B1">
        <w:rPr>
          <w:rFonts w:hint="eastAsia"/>
          <w:b w:val="0"/>
          <w:bCs/>
          <w:sz w:val="24"/>
          <w:szCs w:val="24"/>
        </w:rPr>
        <w:t>：</w:t>
      </w:r>
      <w:r w:rsidRPr="000549B1">
        <w:rPr>
          <w:b w:val="0"/>
          <w:bCs/>
          <w:sz w:val="24"/>
          <w:szCs w:val="24"/>
        </w:rPr>
        <w:t>三滩引水生态综合治理一期工程是沙珠玉河流域战略性水资源配置工程，在构建泛共和盆地水资源配置网络格局中占据核心关键地位，开发任务以农田灌溉和饲草料基地灌溉为主，兼顾共和县城工业生活用水，并为改善沿线乡镇生活供水创造条件。</w:t>
      </w:r>
    </w:p>
    <w:p w14:paraId="012DADFB" w14:textId="77777777" w:rsidR="00054437" w:rsidRPr="000549B1" w:rsidRDefault="00000000">
      <w:pPr>
        <w:pStyle w:val="0A"/>
        <w:ind w:firstLine="480"/>
        <w:rPr>
          <w:b w:val="0"/>
          <w:bCs/>
          <w:sz w:val="24"/>
          <w:szCs w:val="24"/>
        </w:rPr>
      </w:pPr>
      <w:r w:rsidRPr="000549B1">
        <w:rPr>
          <w:b w:val="0"/>
          <w:bCs/>
          <w:sz w:val="24"/>
          <w:szCs w:val="24"/>
        </w:rPr>
        <w:t>1</w:t>
      </w:r>
      <w:r w:rsidRPr="000549B1">
        <w:rPr>
          <w:b w:val="0"/>
          <w:bCs/>
          <w:sz w:val="24"/>
          <w:szCs w:val="24"/>
        </w:rPr>
        <w:t>）对调出区的影响</w:t>
      </w:r>
    </w:p>
    <w:p w14:paraId="50781E58" w14:textId="7648DF7F" w:rsidR="00054437" w:rsidRPr="000549B1" w:rsidRDefault="00000000">
      <w:pPr>
        <w:spacing w:line="360" w:lineRule="auto"/>
        <w:ind w:firstLineChars="200" w:firstLine="480"/>
        <w:rPr>
          <w:bCs/>
          <w:sz w:val="24"/>
          <w:szCs w:val="24"/>
        </w:rPr>
      </w:pPr>
      <w:r w:rsidRPr="000549B1">
        <w:rPr>
          <w:bCs/>
          <w:sz w:val="24"/>
          <w:szCs w:val="24"/>
        </w:rPr>
        <w:t>工程建成后，将形成以</w:t>
      </w:r>
      <w:r w:rsidRPr="000549B1">
        <w:rPr>
          <w:rFonts w:ascii="宋体" w:hAnsi="宋体"/>
          <w:bCs/>
          <w:sz w:val="24"/>
          <w:szCs w:val="24"/>
        </w:rPr>
        <w:t>“</w:t>
      </w:r>
      <w:r w:rsidRPr="000549B1">
        <w:rPr>
          <w:bCs/>
          <w:sz w:val="24"/>
          <w:szCs w:val="24"/>
        </w:rPr>
        <w:t>三滩</w:t>
      </w:r>
      <w:r w:rsidRPr="000549B1">
        <w:rPr>
          <w:rFonts w:ascii="宋体" w:hAnsi="宋体"/>
          <w:bCs/>
          <w:sz w:val="24"/>
          <w:szCs w:val="24"/>
        </w:rPr>
        <w:t>”</w:t>
      </w:r>
      <w:r w:rsidRPr="000549B1">
        <w:rPr>
          <w:bCs/>
          <w:sz w:val="24"/>
          <w:szCs w:val="24"/>
        </w:rPr>
        <w:t>引水生态综合治理工程工程为主体，其他水源为重要支撑，覆盖全局、互联互通、优化高效、保障可靠的水资源配置骨架网络。从根本上解决未来青海省泛共和盆地经济社会发展和生态环境保护面临的缺水问题，实现水资源优化配置。</w:t>
      </w:r>
    </w:p>
    <w:p w14:paraId="2B30FD99" w14:textId="77777777" w:rsidR="00054437" w:rsidRPr="000549B1" w:rsidRDefault="00000000">
      <w:pPr>
        <w:spacing w:line="360" w:lineRule="auto"/>
        <w:ind w:firstLineChars="200" w:firstLine="480"/>
        <w:rPr>
          <w:sz w:val="24"/>
          <w:szCs w:val="24"/>
        </w:rPr>
      </w:pPr>
      <w:r w:rsidRPr="000549B1">
        <w:rPr>
          <w:sz w:val="24"/>
          <w:szCs w:val="24"/>
        </w:rPr>
        <w:t>引调水工程对水资源调出区的水环境影响主要体现在河道径流量总体减少，可能会对下游河道水环境容量及水质产生不利影响。通过实施生态流量泄放措施或优化引水方案后，有利于改善枯水期径流条件，有效弥补取水口下游径流量减少带来的河流水环境容量下降问题，维持水体自净能力。</w:t>
      </w:r>
    </w:p>
    <w:p w14:paraId="117D9D8B" w14:textId="77777777" w:rsidR="00054437" w:rsidRPr="000549B1" w:rsidRDefault="00000000">
      <w:pPr>
        <w:spacing w:line="360" w:lineRule="auto"/>
        <w:ind w:firstLineChars="200" w:firstLine="480"/>
        <w:rPr>
          <w:bCs/>
          <w:sz w:val="24"/>
          <w:szCs w:val="24"/>
        </w:rPr>
      </w:pPr>
      <w:r w:rsidRPr="000549B1">
        <w:rPr>
          <w:sz w:val="24"/>
          <w:szCs w:val="24"/>
        </w:rPr>
        <w:t>总体来看，重大水利工程规划</w:t>
      </w:r>
      <w:r w:rsidRPr="000549B1">
        <w:rPr>
          <w:rFonts w:ascii="宋体" w:hAnsi="宋体"/>
          <w:sz w:val="24"/>
          <w:szCs w:val="24"/>
        </w:rPr>
        <w:t>“</w:t>
      </w:r>
      <w:r w:rsidRPr="000549B1">
        <w:rPr>
          <w:sz w:val="24"/>
          <w:szCs w:val="24"/>
        </w:rPr>
        <w:t>三滩</w:t>
      </w:r>
      <w:r w:rsidRPr="000549B1">
        <w:rPr>
          <w:rFonts w:ascii="宋体" w:hAnsi="宋体"/>
          <w:sz w:val="24"/>
          <w:szCs w:val="24"/>
        </w:rPr>
        <w:t>”</w:t>
      </w:r>
      <w:r w:rsidRPr="000549B1">
        <w:rPr>
          <w:bCs/>
          <w:sz w:val="24"/>
          <w:szCs w:val="24"/>
        </w:rPr>
        <w:t>引水生态综合治理一期</w:t>
      </w:r>
      <w:r w:rsidRPr="000549B1">
        <w:rPr>
          <w:sz w:val="24"/>
          <w:szCs w:val="24"/>
        </w:rPr>
        <w:t>工程实施引水后，大河坝引水口下游河道将有一定的减水影响，但是影响范围有限，主要集中在引水口下游至支流汇入段，随着沿线黄清河等支流的陆续汇入，水量不断得到补充，影响会逐步减弱。在严格保障生态流量的前提下，河道水质可基本保持稳定，能够满足调出区水功能区目标要求。</w:t>
      </w:r>
    </w:p>
    <w:p w14:paraId="1B119180" w14:textId="77777777" w:rsidR="00054437" w:rsidRPr="000549B1" w:rsidRDefault="00000000">
      <w:pPr>
        <w:spacing w:line="360" w:lineRule="auto"/>
        <w:ind w:firstLineChars="200" w:firstLine="480"/>
        <w:rPr>
          <w:bCs/>
          <w:sz w:val="24"/>
          <w:szCs w:val="24"/>
        </w:rPr>
      </w:pPr>
      <w:r w:rsidRPr="000549B1">
        <w:rPr>
          <w:bCs/>
          <w:sz w:val="24"/>
          <w:szCs w:val="24"/>
        </w:rPr>
        <w:t>2</w:t>
      </w:r>
      <w:r w:rsidRPr="000549B1">
        <w:rPr>
          <w:bCs/>
          <w:sz w:val="24"/>
          <w:szCs w:val="24"/>
        </w:rPr>
        <w:t>）对受水区的影响</w:t>
      </w:r>
    </w:p>
    <w:p w14:paraId="0C07913A" w14:textId="77777777" w:rsidR="00054437" w:rsidRPr="000549B1" w:rsidRDefault="00000000">
      <w:pPr>
        <w:spacing w:line="360" w:lineRule="auto"/>
        <w:ind w:firstLineChars="200" w:firstLine="480"/>
        <w:rPr>
          <w:sz w:val="24"/>
          <w:szCs w:val="24"/>
        </w:rPr>
      </w:pPr>
      <w:r w:rsidRPr="000549B1">
        <w:rPr>
          <w:sz w:val="24"/>
          <w:szCs w:val="24"/>
        </w:rPr>
        <w:t>水资源保障工程实施后，受水区的水资源约束将有所缓解，可能会促进城乡规模的扩大以及各类产业规模的增长，从而导致生活、工业退水量增加，对城市污水处理厂的规模、受水区河道的水环境容量带来较大压力。根据《国家发展改革委水利部关于切实做好引调水工程前期工作的指导意见》，调水工程应遵循</w:t>
      </w:r>
      <w:r w:rsidRPr="000549B1">
        <w:rPr>
          <w:rFonts w:ascii="宋体" w:hAnsi="宋体"/>
          <w:sz w:val="24"/>
          <w:szCs w:val="24"/>
        </w:rPr>
        <w:t>“</w:t>
      </w:r>
      <w:r w:rsidRPr="000549B1">
        <w:rPr>
          <w:sz w:val="24"/>
          <w:szCs w:val="24"/>
        </w:rPr>
        <w:t>先节水、后调水，先治污、后通水，先环保、后用水</w:t>
      </w:r>
      <w:r w:rsidRPr="000549B1">
        <w:rPr>
          <w:rFonts w:ascii="宋体" w:hAnsi="宋体"/>
          <w:sz w:val="24"/>
          <w:szCs w:val="24"/>
        </w:rPr>
        <w:t>”</w:t>
      </w:r>
      <w:r w:rsidRPr="000549B1">
        <w:rPr>
          <w:sz w:val="24"/>
          <w:szCs w:val="24"/>
        </w:rPr>
        <w:t>的</w:t>
      </w:r>
      <w:r w:rsidRPr="000549B1">
        <w:rPr>
          <w:rFonts w:ascii="宋体" w:hAnsi="宋体"/>
          <w:sz w:val="24"/>
          <w:szCs w:val="24"/>
        </w:rPr>
        <w:t>“</w:t>
      </w:r>
      <w:r w:rsidRPr="000549B1">
        <w:rPr>
          <w:sz w:val="24"/>
          <w:szCs w:val="24"/>
        </w:rPr>
        <w:t>三先三后</w:t>
      </w:r>
      <w:r w:rsidRPr="000549B1">
        <w:rPr>
          <w:rFonts w:ascii="宋体" w:hAnsi="宋体"/>
          <w:sz w:val="24"/>
          <w:szCs w:val="24"/>
        </w:rPr>
        <w:t>”</w:t>
      </w:r>
      <w:r w:rsidRPr="000549B1">
        <w:rPr>
          <w:sz w:val="24"/>
          <w:szCs w:val="24"/>
        </w:rPr>
        <w:t>原则，为确保工程建设后受水区水资源配置与区域水资源水环境承载能力相适应，满足</w:t>
      </w:r>
      <w:r w:rsidRPr="000549B1">
        <w:rPr>
          <w:rFonts w:ascii="宋体" w:hAnsi="宋体"/>
          <w:sz w:val="24"/>
          <w:szCs w:val="24"/>
        </w:rPr>
        <w:t>“</w:t>
      </w:r>
      <w:r w:rsidRPr="000549B1">
        <w:rPr>
          <w:sz w:val="24"/>
          <w:szCs w:val="24"/>
        </w:rPr>
        <w:t>增水不增污</w:t>
      </w:r>
      <w:r w:rsidRPr="000549B1">
        <w:rPr>
          <w:rFonts w:ascii="宋体" w:hAnsi="宋体"/>
          <w:sz w:val="24"/>
          <w:szCs w:val="24"/>
        </w:rPr>
        <w:t>”</w:t>
      </w:r>
      <w:r w:rsidRPr="000549B1">
        <w:rPr>
          <w:sz w:val="24"/>
          <w:szCs w:val="24"/>
        </w:rPr>
        <w:t>或</w:t>
      </w:r>
      <w:r w:rsidRPr="000549B1">
        <w:rPr>
          <w:rFonts w:ascii="宋体" w:hAnsi="宋体"/>
          <w:sz w:val="24"/>
          <w:szCs w:val="24"/>
        </w:rPr>
        <w:t>“</w:t>
      </w:r>
      <w:r w:rsidRPr="000549B1">
        <w:rPr>
          <w:sz w:val="24"/>
          <w:szCs w:val="24"/>
        </w:rPr>
        <w:t>增水减污</w:t>
      </w:r>
      <w:r w:rsidRPr="000549B1">
        <w:rPr>
          <w:rFonts w:ascii="宋体" w:hAnsi="宋体"/>
          <w:sz w:val="24"/>
          <w:szCs w:val="24"/>
        </w:rPr>
        <w:t>”</w:t>
      </w:r>
      <w:r w:rsidRPr="000549B1">
        <w:rPr>
          <w:sz w:val="24"/>
          <w:szCs w:val="24"/>
        </w:rPr>
        <w:t>的要求，保障受水区水环境安全，促进受水区社会经济的可持续发展，开工建设前需有经相关人民政府认可的工程受水区水污染防治相关规划作为支撑。</w:t>
      </w:r>
    </w:p>
    <w:p w14:paraId="195B1A9D" w14:textId="77777777" w:rsidR="00054437" w:rsidRPr="000549B1" w:rsidRDefault="00000000">
      <w:pPr>
        <w:pStyle w:val="0A"/>
        <w:ind w:firstLine="480"/>
        <w:rPr>
          <w:b w:val="0"/>
          <w:bCs/>
          <w:sz w:val="24"/>
          <w:szCs w:val="24"/>
        </w:rPr>
      </w:pPr>
      <w:r w:rsidRPr="000549B1">
        <w:rPr>
          <w:b w:val="0"/>
          <w:bCs/>
          <w:sz w:val="24"/>
          <w:szCs w:val="24"/>
        </w:rPr>
        <w:t>规划实施后，新增水资源主要在受水区城镇生活、工业、农业等行业进行配置，并以灌溉用水为主。跨流域调水工程和流域内供水工程的建设运行，使得沙珠玉河流域水资源总量增加，供水带来的新增退水主要集中在共和县城镇生活用水，其他退水来自一般工业，共和县主要通过恰卜恰河等河流退水至黄河流域，在沙珠玉河流域基本无退水。</w:t>
      </w:r>
    </w:p>
    <w:p w14:paraId="5718C9E2" w14:textId="77777777" w:rsidR="00054437" w:rsidRPr="000549B1" w:rsidRDefault="00000000">
      <w:pPr>
        <w:pStyle w:val="0A"/>
        <w:ind w:firstLine="480"/>
        <w:rPr>
          <w:b w:val="0"/>
          <w:bCs/>
          <w:sz w:val="24"/>
          <w:szCs w:val="24"/>
        </w:rPr>
      </w:pPr>
      <w:r w:rsidRPr="000549B1">
        <w:rPr>
          <w:b w:val="0"/>
          <w:bCs/>
          <w:sz w:val="24"/>
          <w:szCs w:val="24"/>
        </w:rPr>
        <w:t>沙珠玉河流域规划灌溉工程包括新增河卡灌区，对已建的娘塘水库灌区、切吉灌区、塔什秋灌区等进行续建配套与节水改造。灌区属干旱地区，现代化灌区采用以喷灌为主的节水灌溉方式，灌区退水极为有限，基本不会对当地河流水环境造成影响。</w:t>
      </w:r>
    </w:p>
    <w:p w14:paraId="6D05BC90" w14:textId="77777777" w:rsidR="00054437" w:rsidRPr="000549B1" w:rsidRDefault="00000000">
      <w:pPr>
        <w:spacing w:line="360" w:lineRule="auto"/>
        <w:ind w:firstLineChars="200" w:firstLine="480"/>
        <w:rPr>
          <w:bCs/>
          <w:sz w:val="24"/>
          <w:szCs w:val="24"/>
        </w:rPr>
      </w:pPr>
      <w:r w:rsidRPr="000549B1">
        <w:rPr>
          <w:sz w:val="24"/>
          <w:szCs w:val="24"/>
        </w:rPr>
        <w:t>总体来看，在严格落实受水区水污染防治规划各项措施的前提下，受水区水环境状况可维持或优于现状水平。</w:t>
      </w:r>
    </w:p>
    <w:p w14:paraId="101FDBDF" w14:textId="77777777" w:rsidR="00054437" w:rsidRPr="000549B1" w:rsidRDefault="00000000">
      <w:pPr>
        <w:pStyle w:val="0A"/>
        <w:ind w:firstLine="480"/>
        <w:rPr>
          <w:b w:val="0"/>
          <w:bCs/>
          <w:sz w:val="24"/>
          <w:szCs w:val="24"/>
        </w:rPr>
      </w:pPr>
      <w:r w:rsidRPr="000549B1">
        <w:rPr>
          <w:b w:val="0"/>
          <w:bCs/>
          <w:sz w:val="24"/>
          <w:szCs w:val="24"/>
        </w:rPr>
        <w:t>（</w:t>
      </w:r>
      <w:r w:rsidRPr="000549B1">
        <w:rPr>
          <w:b w:val="0"/>
          <w:bCs/>
          <w:sz w:val="24"/>
          <w:szCs w:val="24"/>
        </w:rPr>
        <w:t>3</w:t>
      </w:r>
      <w:r w:rsidRPr="000549B1">
        <w:rPr>
          <w:b w:val="0"/>
          <w:bCs/>
          <w:sz w:val="24"/>
          <w:szCs w:val="24"/>
        </w:rPr>
        <w:t>）灌区工程</w:t>
      </w:r>
    </w:p>
    <w:p w14:paraId="3142C1B8" w14:textId="77777777" w:rsidR="00054437" w:rsidRPr="000549B1" w:rsidRDefault="00000000">
      <w:pPr>
        <w:pStyle w:val="0A"/>
        <w:ind w:firstLine="480"/>
        <w:rPr>
          <w:b w:val="0"/>
          <w:bCs/>
          <w:sz w:val="24"/>
          <w:szCs w:val="24"/>
        </w:rPr>
      </w:pPr>
      <w:r w:rsidRPr="000549B1">
        <w:rPr>
          <w:b w:val="0"/>
          <w:bCs/>
          <w:sz w:val="24"/>
          <w:szCs w:val="24"/>
        </w:rPr>
        <w:t>沙珠玉河流域现状基本未发展节水灌溉，仅在哇玉灌区发展部分管道输水及喷灌工程，现状节水灌溉面积</w:t>
      </w:r>
      <w:r w:rsidRPr="000549B1">
        <w:rPr>
          <w:b w:val="0"/>
          <w:bCs/>
          <w:sz w:val="24"/>
          <w:szCs w:val="24"/>
        </w:rPr>
        <w:t>1.5</w:t>
      </w:r>
      <w:r w:rsidRPr="000549B1">
        <w:rPr>
          <w:b w:val="0"/>
          <w:bCs/>
          <w:sz w:val="24"/>
          <w:szCs w:val="24"/>
        </w:rPr>
        <w:t>万亩，占有效灌溉面积的</w:t>
      </w:r>
      <w:r w:rsidRPr="000549B1">
        <w:rPr>
          <w:b w:val="0"/>
          <w:bCs/>
          <w:sz w:val="24"/>
          <w:szCs w:val="24"/>
        </w:rPr>
        <w:t>3.6%</w:t>
      </w:r>
      <w:r w:rsidRPr="000549B1">
        <w:rPr>
          <w:b w:val="0"/>
          <w:bCs/>
          <w:sz w:val="24"/>
          <w:szCs w:val="24"/>
        </w:rPr>
        <w:t>。沙珠玉河流域现状农田有效灌溉面积</w:t>
      </w:r>
      <w:r w:rsidRPr="000549B1">
        <w:rPr>
          <w:b w:val="0"/>
          <w:bCs/>
          <w:sz w:val="24"/>
          <w:szCs w:val="24"/>
        </w:rPr>
        <w:t>34.45</w:t>
      </w:r>
      <w:r w:rsidRPr="000549B1">
        <w:rPr>
          <w:b w:val="0"/>
          <w:bCs/>
          <w:sz w:val="24"/>
          <w:szCs w:val="24"/>
        </w:rPr>
        <w:t>万亩，现状当地实际灌溉面积远小于有效灌溉面积，</w:t>
      </w:r>
      <w:r w:rsidRPr="000549B1">
        <w:rPr>
          <w:b w:val="0"/>
          <w:bCs/>
          <w:sz w:val="24"/>
          <w:szCs w:val="24"/>
        </w:rPr>
        <w:t>2024</w:t>
      </w:r>
      <w:r w:rsidRPr="000549B1">
        <w:rPr>
          <w:b w:val="0"/>
          <w:bCs/>
          <w:sz w:val="24"/>
          <w:szCs w:val="24"/>
        </w:rPr>
        <w:t>年实灌面积</w:t>
      </w:r>
      <w:r w:rsidRPr="000549B1">
        <w:rPr>
          <w:b w:val="0"/>
          <w:bCs/>
          <w:sz w:val="24"/>
          <w:szCs w:val="24"/>
        </w:rPr>
        <w:t>18.36</w:t>
      </w:r>
      <w:r w:rsidRPr="000549B1">
        <w:rPr>
          <w:b w:val="0"/>
          <w:bCs/>
          <w:sz w:val="24"/>
          <w:szCs w:val="24"/>
        </w:rPr>
        <w:t>万亩。规划</w:t>
      </w:r>
      <w:r w:rsidRPr="000549B1">
        <w:rPr>
          <w:b w:val="0"/>
          <w:bCs/>
          <w:sz w:val="24"/>
          <w:szCs w:val="24"/>
        </w:rPr>
        <w:t>2035</w:t>
      </w:r>
      <w:r w:rsidRPr="000549B1">
        <w:rPr>
          <w:b w:val="0"/>
          <w:bCs/>
          <w:sz w:val="24"/>
          <w:szCs w:val="24"/>
        </w:rPr>
        <w:t>年在旱地分布面积较大的切吉乡、塘格木镇、河卡镇新发展集中连片旱地</w:t>
      </w:r>
      <w:r w:rsidRPr="000549B1">
        <w:rPr>
          <w:b w:val="0"/>
          <w:bCs/>
          <w:sz w:val="24"/>
          <w:szCs w:val="24"/>
        </w:rPr>
        <w:t>11.83</w:t>
      </w:r>
      <w:r w:rsidRPr="000549B1">
        <w:rPr>
          <w:b w:val="0"/>
          <w:bCs/>
          <w:sz w:val="24"/>
          <w:szCs w:val="24"/>
        </w:rPr>
        <w:t>万亩作为新增灌片，其中塘格木新增耕地</w:t>
      </w:r>
      <w:r w:rsidRPr="000549B1">
        <w:rPr>
          <w:b w:val="0"/>
          <w:bCs/>
          <w:sz w:val="24"/>
          <w:szCs w:val="24"/>
        </w:rPr>
        <w:t>0.51</w:t>
      </w:r>
      <w:r w:rsidRPr="000549B1">
        <w:rPr>
          <w:b w:val="0"/>
          <w:bCs/>
          <w:sz w:val="24"/>
          <w:szCs w:val="24"/>
        </w:rPr>
        <w:t>万亩，切吉乡新增耕地</w:t>
      </w:r>
      <w:r w:rsidRPr="000549B1">
        <w:rPr>
          <w:b w:val="0"/>
          <w:bCs/>
          <w:sz w:val="24"/>
          <w:szCs w:val="24"/>
        </w:rPr>
        <w:t>3.35</w:t>
      </w:r>
      <w:r w:rsidRPr="000549B1">
        <w:rPr>
          <w:b w:val="0"/>
          <w:bCs/>
          <w:sz w:val="24"/>
          <w:szCs w:val="24"/>
        </w:rPr>
        <w:t>万亩，河卡镇新增耕地</w:t>
      </w:r>
      <w:r w:rsidRPr="000549B1">
        <w:rPr>
          <w:b w:val="0"/>
          <w:bCs/>
          <w:sz w:val="24"/>
          <w:szCs w:val="24"/>
        </w:rPr>
        <w:t>7.97</w:t>
      </w:r>
      <w:r w:rsidRPr="000549B1">
        <w:rPr>
          <w:b w:val="0"/>
          <w:bCs/>
          <w:sz w:val="24"/>
          <w:szCs w:val="24"/>
        </w:rPr>
        <w:t>万亩。规划水平年沙珠玉流域农田灌溉面积达到</w:t>
      </w:r>
      <w:r w:rsidRPr="000549B1">
        <w:rPr>
          <w:b w:val="0"/>
          <w:bCs/>
          <w:sz w:val="24"/>
          <w:szCs w:val="24"/>
        </w:rPr>
        <w:t>46.28</w:t>
      </w:r>
      <w:r w:rsidRPr="000549B1">
        <w:rPr>
          <w:b w:val="0"/>
          <w:bCs/>
          <w:sz w:val="24"/>
          <w:szCs w:val="24"/>
        </w:rPr>
        <w:t>万亩。</w:t>
      </w:r>
    </w:p>
    <w:p w14:paraId="690E8329" w14:textId="77777777" w:rsidR="00054437" w:rsidRPr="000549B1" w:rsidRDefault="00000000">
      <w:pPr>
        <w:pStyle w:val="0A"/>
        <w:ind w:firstLine="480"/>
        <w:rPr>
          <w:b w:val="0"/>
          <w:bCs/>
          <w:sz w:val="24"/>
          <w:szCs w:val="24"/>
        </w:rPr>
      </w:pPr>
      <w:r w:rsidRPr="000549B1">
        <w:rPr>
          <w:b w:val="0"/>
          <w:bCs/>
          <w:sz w:val="24"/>
          <w:szCs w:val="24"/>
        </w:rPr>
        <w:t>根据《共和县水资源开发利用和保护综合规划》，</w:t>
      </w:r>
      <w:r w:rsidRPr="000549B1">
        <w:rPr>
          <w:b w:val="0"/>
          <w:bCs/>
          <w:sz w:val="24"/>
          <w:szCs w:val="24"/>
        </w:rPr>
        <w:t>2025</w:t>
      </w:r>
      <w:r w:rsidRPr="000549B1">
        <w:rPr>
          <w:b w:val="0"/>
          <w:bCs/>
          <w:sz w:val="24"/>
          <w:szCs w:val="24"/>
        </w:rPr>
        <w:t>年以后共和县进一步新建和改造节水灌溉工程，加大发展喷灌、微灌等高效灌溉。本次设计水平年流域大力发展高效节水灌溉，新增灌溉面积均采用高效节水灌溉方式；饲草料基地内的牧草灌溉方式采用喷灌。</w:t>
      </w:r>
    </w:p>
    <w:p w14:paraId="6CCABB7F" w14:textId="77777777" w:rsidR="00054437" w:rsidRPr="000549B1" w:rsidRDefault="00000000">
      <w:pPr>
        <w:pStyle w:val="0A"/>
        <w:ind w:firstLine="480"/>
        <w:rPr>
          <w:b w:val="0"/>
          <w:bCs/>
          <w:sz w:val="24"/>
          <w:szCs w:val="24"/>
        </w:rPr>
      </w:pPr>
      <w:r w:rsidRPr="000549B1">
        <w:rPr>
          <w:b w:val="0"/>
          <w:bCs/>
          <w:sz w:val="24"/>
          <w:szCs w:val="24"/>
        </w:rPr>
        <w:t>规划实施后，通过建设灌区续建配套与现代化改造工程，塔什秋水库灌区、大水水库灌区、以及叉叉沟灌区变为更为节水高效的灌区统一灌溉，原有陈旧漏损严重的灌渠改造为更加通畅、牢固、节水的现代化灌渠，灌溉方式均为喷灌、滴灌等高效节水灌溉，在提高灌溉保证率的同时，能够达到节约水资源，减少灌溉水总取水量的效果。</w:t>
      </w:r>
    </w:p>
    <w:p w14:paraId="3887DDCA" w14:textId="77777777" w:rsidR="00054437" w:rsidRPr="000549B1" w:rsidRDefault="00000000">
      <w:pPr>
        <w:spacing w:line="360" w:lineRule="auto"/>
        <w:ind w:firstLineChars="200" w:firstLine="480"/>
        <w:rPr>
          <w:bCs/>
          <w:sz w:val="24"/>
          <w:szCs w:val="24"/>
        </w:rPr>
      </w:pPr>
      <w:r w:rsidRPr="000549B1">
        <w:rPr>
          <w:bCs/>
          <w:sz w:val="24"/>
          <w:szCs w:val="24"/>
        </w:rPr>
        <w:t>因此灌区工程实施后，通过现代化改造后，既提高了灌溉水保证率，又减少了灌溉水资源用量，高效节水灌溉及管理后有利于减少农田的退水量及面源污染入河量，促进农业生产可持续发展。</w:t>
      </w:r>
    </w:p>
    <w:p w14:paraId="4F546287" w14:textId="77777777" w:rsidR="00054437" w:rsidRPr="000549B1" w:rsidRDefault="00000000">
      <w:pPr>
        <w:pStyle w:val="4"/>
        <w:rPr>
          <w:rFonts w:ascii="Times New Roman" w:hAnsi="Times New Roman"/>
        </w:rPr>
      </w:pPr>
      <w:r w:rsidRPr="000549B1">
        <w:rPr>
          <w:rFonts w:ascii="Times New Roman" w:hAnsi="Times New Roman"/>
        </w:rPr>
        <w:t>小结</w:t>
      </w:r>
    </w:p>
    <w:p w14:paraId="7354AE34" w14:textId="4FA44A6B" w:rsidR="00054437" w:rsidRPr="000549B1" w:rsidRDefault="00000000">
      <w:pPr>
        <w:pStyle w:val="0A"/>
        <w:ind w:firstLine="480"/>
        <w:rPr>
          <w:b w:val="0"/>
          <w:bCs/>
          <w:sz w:val="24"/>
          <w:szCs w:val="24"/>
        </w:rPr>
      </w:pPr>
      <w:r w:rsidRPr="000549B1">
        <w:rPr>
          <w:b w:val="0"/>
          <w:bCs/>
          <w:sz w:val="24"/>
          <w:szCs w:val="24"/>
        </w:rPr>
        <w:t>沙珠玉河属内陆河水系，生态环境脆弱，近年来因自然、人为因素（娘塘水库蓄水）影响，河道断流，下游湖泊干涸，且流域内水资源可利用量较少。规划实施后，尤其是重大水资源配置工程建设运行后，从大河坝河流域调水，能够有效破解沙珠玉河流域的水资源瓶颈，缓解沙珠玉流域灌溉用水短缺局面，进一步保障了城镇供水安全，有力促进了工农业生产。</w:t>
      </w:r>
    </w:p>
    <w:p w14:paraId="7B360936" w14:textId="77777777" w:rsidR="00054437" w:rsidRPr="000549B1" w:rsidRDefault="00000000">
      <w:pPr>
        <w:adjustRightInd w:val="0"/>
        <w:snapToGrid w:val="0"/>
        <w:spacing w:line="360" w:lineRule="auto"/>
        <w:ind w:firstLineChars="200" w:firstLine="480"/>
      </w:pPr>
      <w:r w:rsidRPr="000549B1">
        <w:rPr>
          <w:bCs/>
          <w:sz w:val="24"/>
          <w:szCs w:val="24"/>
        </w:rPr>
        <w:t>规划实施对沙珠玉河干支流水环境的影响有限，规划水库工程的建设运行</w:t>
      </w:r>
      <w:r w:rsidRPr="000549B1">
        <w:rPr>
          <w:sz w:val="24"/>
          <w:szCs w:val="24"/>
        </w:rPr>
        <w:t>对流域整体水温影响很小；</w:t>
      </w:r>
      <w:r w:rsidRPr="000549B1">
        <w:rPr>
          <w:kern w:val="0"/>
          <w:sz w:val="24"/>
          <w:szCs w:val="24"/>
        </w:rPr>
        <w:t>在保证下泄生态流量的情况下，流域</w:t>
      </w:r>
      <w:r w:rsidRPr="000549B1">
        <w:rPr>
          <w:bCs/>
          <w:sz w:val="24"/>
          <w:szCs w:val="24"/>
        </w:rPr>
        <w:t>干支流</w:t>
      </w:r>
      <w:r w:rsidRPr="000549B1">
        <w:rPr>
          <w:kern w:val="0"/>
          <w:sz w:val="24"/>
          <w:szCs w:val="24"/>
        </w:rPr>
        <w:t>河段的水质基本不会受到影响。</w:t>
      </w:r>
    </w:p>
    <w:p w14:paraId="56DF75A0" w14:textId="77777777" w:rsidR="00054437" w:rsidRPr="000549B1" w:rsidRDefault="00000000">
      <w:pPr>
        <w:pStyle w:val="2"/>
        <w:rPr>
          <w:rFonts w:ascii="Times New Roman" w:hAnsi="Times New Roman"/>
        </w:rPr>
      </w:pPr>
      <w:bookmarkStart w:id="397" w:name="_Toc9144649"/>
      <w:bookmarkStart w:id="398" w:name="_Toc1420"/>
      <w:bookmarkStart w:id="399" w:name="_Toc208583934"/>
      <w:bookmarkStart w:id="400" w:name="_Toc216107050"/>
      <w:r w:rsidRPr="000549B1">
        <w:rPr>
          <w:rFonts w:ascii="Times New Roman" w:hAnsi="Times New Roman"/>
        </w:rPr>
        <w:t>陆生生态影响预测</w:t>
      </w:r>
      <w:r w:rsidRPr="000549B1">
        <w:rPr>
          <w:rFonts w:ascii="Times New Roman" w:hAnsi="Times New Roman" w:hint="eastAsia"/>
        </w:rPr>
        <w:t>与</w:t>
      </w:r>
      <w:r w:rsidRPr="000549B1">
        <w:rPr>
          <w:rFonts w:ascii="Times New Roman" w:hAnsi="Times New Roman"/>
        </w:rPr>
        <w:t>评价</w:t>
      </w:r>
      <w:bookmarkEnd w:id="397"/>
      <w:bookmarkEnd w:id="398"/>
      <w:bookmarkEnd w:id="399"/>
      <w:bookmarkEnd w:id="400"/>
    </w:p>
    <w:p w14:paraId="29BB26B3" w14:textId="77777777" w:rsidR="00054437" w:rsidRPr="000549B1" w:rsidRDefault="00000000">
      <w:pPr>
        <w:pStyle w:val="zhang3"/>
        <w:spacing w:before="156" w:after="156"/>
      </w:pPr>
      <w:r w:rsidRPr="000549B1">
        <w:t>对生态系统的影响</w:t>
      </w:r>
    </w:p>
    <w:p w14:paraId="0BC877CC" w14:textId="77777777" w:rsidR="00054437" w:rsidRPr="000549B1" w:rsidRDefault="00000000">
      <w:pPr>
        <w:pStyle w:val="Z4"/>
        <w:rPr>
          <w:color w:val="auto"/>
        </w:rPr>
      </w:pPr>
      <w:r w:rsidRPr="000549B1">
        <w:rPr>
          <w:color w:val="auto"/>
        </w:rPr>
        <w:t>对生态系统类型的影响</w:t>
      </w:r>
    </w:p>
    <w:p w14:paraId="24A88DA0" w14:textId="77777777" w:rsidR="00054437" w:rsidRPr="000549B1" w:rsidRDefault="00000000">
      <w:pPr>
        <w:snapToGrid w:val="0"/>
        <w:spacing w:line="360" w:lineRule="auto"/>
        <w:ind w:firstLineChars="200" w:firstLine="480"/>
        <w:rPr>
          <w:bCs/>
          <w:sz w:val="24"/>
        </w:rPr>
      </w:pPr>
      <w:r w:rsidRPr="000549B1">
        <w:rPr>
          <w:bCs/>
          <w:sz w:val="24"/>
        </w:rPr>
        <w:t>（</w:t>
      </w:r>
      <w:r w:rsidRPr="000549B1">
        <w:rPr>
          <w:bCs/>
          <w:sz w:val="24"/>
        </w:rPr>
        <w:t>1</w:t>
      </w:r>
      <w:r w:rsidRPr="000549B1">
        <w:rPr>
          <w:bCs/>
          <w:sz w:val="24"/>
        </w:rPr>
        <w:t>）对森林生态系统的影响</w:t>
      </w:r>
    </w:p>
    <w:p w14:paraId="714DF5A9" w14:textId="77777777" w:rsidR="00054437" w:rsidRPr="000549B1" w:rsidRDefault="00000000">
      <w:pPr>
        <w:snapToGrid w:val="0"/>
        <w:spacing w:line="360" w:lineRule="auto"/>
        <w:ind w:firstLineChars="200" w:firstLine="480"/>
        <w:rPr>
          <w:bCs/>
          <w:sz w:val="24"/>
        </w:rPr>
      </w:pPr>
      <w:r w:rsidRPr="000549B1">
        <w:rPr>
          <w:bCs/>
          <w:sz w:val="24"/>
        </w:rPr>
        <w:t>沙珠玉河流域森林以防护林为主，规划方案的实施会对森林生态系统产生一定的影响，可分为不利影响和有利影响。</w:t>
      </w:r>
    </w:p>
    <w:p w14:paraId="56D6399F" w14:textId="77777777" w:rsidR="00054437" w:rsidRPr="000549B1" w:rsidRDefault="00000000">
      <w:pPr>
        <w:snapToGrid w:val="0"/>
        <w:spacing w:line="360" w:lineRule="auto"/>
        <w:ind w:firstLineChars="200" w:firstLine="480"/>
        <w:rPr>
          <w:bCs/>
          <w:sz w:val="24"/>
        </w:rPr>
      </w:pPr>
      <w:r w:rsidRPr="000549B1">
        <w:rPr>
          <w:bCs/>
          <w:sz w:val="24"/>
        </w:rPr>
        <w:t>1</w:t>
      </w:r>
      <w:r w:rsidRPr="000549B1">
        <w:rPr>
          <w:bCs/>
          <w:sz w:val="24"/>
        </w:rPr>
        <w:t>）不利影响：规划实施对森林生态系统的不利影响主要体现在规划工程占地导致森林植被面积减少和水库拦蓄导致枯水期缺水，植被生物量和生产力的下降，栖息于森林中的野生动物受到惊扰。工程影响的森林生态系统主要由杨树林、柽柳林等天然次生林或人工林组成，工程施工会导致这些林地面积减少。项目运行后，大部分森林生态系统可以得到恢复，因此规划实施对森林生态系统的结构和功能的影响不大。</w:t>
      </w:r>
    </w:p>
    <w:p w14:paraId="736D71E2" w14:textId="77777777" w:rsidR="00054437" w:rsidRPr="000549B1" w:rsidRDefault="00000000">
      <w:pPr>
        <w:snapToGrid w:val="0"/>
        <w:spacing w:line="360" w:lineRule="auto"/>
        <w:ind w:firstLineChars="200" w:firstLine="480"/>
        <w:rPr>
          <w:bCs/>
          <w:sz w:val="24"/>
        </w:rPr>
      </w:pPr>
      <w:r w:rsidRPr="000549B1">
        <w:rPr>
          <w:bCs/>
          <w:sz w:val="24"/>
        </w:rPr>
        <w:t>2</w:t>
      </w:r>
      <w:r w:rsidRPr="000549B1">
        <w:rPr>
          <w:bCs/>
          <w:sz w:val="24"/>
        </w:rPr>
        <w:t>）有利影响：有利影响主要表现为：灌区工程的建设能够腾出部分生态水量，精准补给森林，营造的农田防护林、防风固沙林、经济林、水土保持林可增加林地面积，有效提高森林覆盖率。区域水资源得到更有效地利用，减少了洪水和干旱发生的几率，有利于森林生态系统的正向演替。</w:t>
      </w:r>
    </w:p>
    <w:p w14:paraId="48B6E53C" w14:textId="77777777" w:rsidR="00054437" w:rsidRPr="000549B1" w:rsidRDefault="00000000">
      <w:pPr>
        <w:snapToGrid w:val="0"/>
        <w:spacing w:line="360" w:lineRule="auto"/>
        <w:ind w:firstLineChars="200" w:firstLine="480"/>
        <w:rPr>
          <w:bCs/>
          <w:sz w:val="24"/>
        </w:rPr>
      </w:pPr>
      <w:r w:rsidRPr="000549B1">
        <w:rPr>
          <w:bCs/>
          <w:sz w:val="24"/>
        </w:rPr>
        <w:t>（</w:t>
      </w:r>
      <w:r w:rsidRPr="000549B1">
        <w:rPr>
          <w:bCs/>
          <w:sz w:val="24"/>
        </w:rPr>
        <w:t>2</w:t>
      </w:r>
      <w:r w:rsidRPr="000549B1">
        <w:rPr>
          <w:bCs/>
          <w:sz w:val="24"/>
        </w:rPr>
        <w:t>）对灌丛生态系统的影响</w:t>
      </w:r>
    </w:p>
    <w:p w14:paraId="2B850BA2" w14:textId="77777777" w:rsidR="00054437" w:rsidRPr="000549B1" w:rsidRDefault="00000000">
      <w:pPr>
        <w:snapToGrid w:val="0"/>
        <w:spacing w:line="360" w:lineRule="auto"/>
        <w:ind w:firstLineChars="200" w:firstLine="480"/>
        <w:rPr>
          <w:bCs/>
          <w:sz w:val="24"/>
        </w:rPr>
      </w:pPr>
      <w:r w:rsidRPr="000549B1">
        <w:rPr>
          <w:bCs/>
          <w:sz w:val="24"/>
        </w:rPr>
        <w:t>规划范围内灌丛生态系统主要包括柠条锦鸡儿灌丛、红砂灌丛、金露梅灌丛等。林草植被建设可增加灌丛面积，可进一步提高森林覆盖率，对灌丛生态系统以有利影响为主。</w:t>
      </w:r>
    </w:p>
    <w:p w14:paraId="2A1C21B7" w14:textId="77777777" w:rsidR="00054437" w:rsidRPr="000549B1" w:rsidRDefault="00000000">
      <w:pPr>
        <w:snapToGrid w:val="0"/>
        <w:spacing w:line="360" w:lineRule="auto"/>
        <w:ind w:firstLineChars="200" w:firstLine="480"/>
        <w:rPr>
          <w:bCs/>
          <w:sz w:val="24"/>
        </w:rPr>
      </w:pPr>
      <w:r w:rsidRPr="000549B1">
        <w:rPr>
          <w:bCs/>
          <w:sz w:val="24"/>
        </w:rPr>
        <w:t>不利影响主要体现在规划占地和水库淹没引起灌丛面积的减少，从而对生活于其中的野生动物产生不利影响。但受影响的灌丛生态系统占灌丛生态系统的总面积比例很小，因此规划对灌丛生态系统的结构和功能影响不大。</w:t>
      </w:r>
    </w:p>
    <w:p w14:paraId="1446377C" w14:textId="77777777" w:rsidR="00054437" w:rsidRPr="000549B1" w:rsidRDefault="00000000">
      <w:pPr>
        <w:snapToGrid w:val="0"/>
        <w:spacing w:line="360" w:lineRule="auto"/>
        <w:ind w:firstLineChars="200" w:firstLine="480"/>
        <w:rPr>
          <w:bCs/>
          <w:sz w:val="24"/>
        </w:rPr>
      </w:pPr>
      <w:r w:rsidRPr="000549B1">
        <w:rPr>
          <w:bCs/>
          <w:sz w:val="24"/>
        </w:rPr>
        <w:t>（</w:t>
      </w:r>
      <w:r w:rsidRPr="000549B1">
        <w:rPr>
          <w:bCs/>
          <w:sz w:val="24"/>
        </w:rPr>
        <w:t>3</w:t>
      </w:r>
      <w:r w:rsidRPr="000549B1">
        <w:rPr>
          <w:bCs/>
          <w:sz w:val="24"/>
        </w:rPr>
        <w:t>）</w:t>
      </w:r>
      <w:r w:rsidRPr="000549B1">
        <w:rPr>
          <w:bCs/>
          <w:sz w:val="24"/>
        </w:rPr>
        <w:t>.</w:t>
      </w:r>
      <w:r w:rsidRPr="000549B1">
        <w:rPr>
          <w:bCs/>
          <w:sz w:val="24"/>
        </w:rPr>
        <w:t>对草地生态系统的影响</w:t>
      </w:r>
    </w:p>
    <w:p w14:paraId="64CB46E4" w14:textId="77777777" w:rsidR="00054437" w:rsidRPr="000549B1" w:rsidRDefault="00000000">
      <w:pPr>
        <w:snapToGrid w:val="0"/>
        <w:spacing w:line="360" w:lineRule="auto"/>
        <w:ind w:firstLineChars="200" w:firstLine="480"/>
        <w:rPr>
          <w:bCs/>
          <w:sz w:val="24"/>
        </w:rPr>
      </w:pPr>
      <w:r w:rsidRPr="000549B1">
        <w:rPr>
          <w:bCs/>
          <w:sz w:val="24"/>
        </w:rPr>
        <w:t>评价区草地生态系统的面积最大，在评价区内广泛分布，主要植被类型有芨芨草草丛、披碱草草丛、狗娃花草丛等。主要影响如下：</w:t>
      </w:r>
    </w:p>
    <w:p w14:paraId="656B9788" w14:textId="77777777" w:rsidR="00054437" w:rsidRPr="000549B1" w:rsidRDefault="00000000">
      <w:pPr>
        <w:snapToGrid w:val="0"/>
        <w:spacing w:line="360" w:lineRule="auto"/>
        <w:ind w:firstLineChars="200" w:firstLine="480"/>
        <w:rPr>
          <w:bCs/>
          <w:sz w:val="24"/>
        </w:rPr>
      </w:pPr>
      <w:r w:rsidRPr="000549B1">
        <w:rPr>
          <w:bCs/>
          <w:sz w:val="24"/>
        </w:rPr>
        <w:t>1</w:t>
      </w:r>
      <w:r w:rsidRPr="000549B1">
        <w:rPr>
          <w:bCs/>
          <w:sz w:val="24"/>
        </w:rPr>
        <w:t>）不利影响：规划工程占地及规划水库蓄水引起的草地面积减少，植被生物量减少。现场调查可知，规划影响区草地生态系统内植被均为该区域常见的群系，如芨芨草、披碱草等群系，这些草本植物均生命力较强，生长速度快，适应性范围广，种子产量多，因此工程占地不会引起草地生态系统的物种丰富度降低。此外，规划工程占地和施工干扰会驱使草丛中的野生动物向远处迁移，这会使其中野生动物的分布发生改变，但由于草地内野生动物不多，且多为小型啮齿类动物，因此不会对动物种类产生较大影响。总之规划实施对草地生态系统结构和功能的影响较小。</w:t>
      </w:r>
    </w:p>
    <w:p w14:paraId="6BA11C2A" w14:textId="77777777" w:rsidR="00054437" w:rsidRPr="000549B1" w:rsidRDefault="00000000">
      <w:pPr>
        <w:snapToGrid w:val="0"/>
        <w:spacing w:line="360" w:lineRule="auto"/>
        <w:ind w:firstLineChars="200" w:firstLine="480"/>
        <w:rPr>
          <w:bCs/>
          <w:sz w:val="24"/>
        </w:rPr>
      </w:pPr>
      <w:r w:rsidRPr="000549B1">
        <w:rPr>
          <w:bCs/>
          <w:sz w:val="24"/>
        </w:rPr>
        <w:t>2</w:t>
      </w:r>
      <w:r w:rsidRPr="000549B1">
        <w:rPr>
          <w:bCs/>
          <w:sz w:val="24"/>
        </w:rPr>
        <w:t>）有利影响：规划实施后，特别是水土保持工程的实施，有利于工程区附近草地生态系统内植被的发育及更新。同时水土保持规划的实施，将增加人工种草面积，可一定程度提升评价区植被覆盖度，降低土壤侵蚀强度，为野生动物提供更好的栖息生境。</w:t>
      </w:r>
    </w:p>
    <w:p w14:paraId="1EC25658" w14:textId="77777777" w:rsidR="00054437" w:rsidRPr="000549B1" w:rsidRDefault="00000000">
      <w:pPr>
        <w:snapToGrid w:val="0"/>
        <w:spacing w:line="360" w:lineRule="auto"/>
        <w:ind w:firstLineChars="200" w:firstLine="480"/>
        <w:rPr>
          <w:bCs/>
          <w:sz w:val="24"/>
        </w:rPr>
      </w:pPr>
      <w:r w:rsidRPr="000549B1">
        <w:rPr>
          <w:bCs/>
          <w:sz w:val="24"/>
        </w:rPr>
        <w:t>（</w:t>
      </w:r>
      <w:r w:rsidRPr="000549B1">
        <w:rPr>
          <w:bCs/>
          <w:sz w:val="24"/>
        </w:rPr>
        <w:t>4</w:t>
      </w:r>
      <w:r w:rsidRPr="000549B1">
        <w:rPr>
          <w:bCs/>
          <w:sz w:val="24"/>
        </w:rPr>
        <w:t>）对湿地生态系统的影响</w:t>
      </w:r>
    </w:p>
    <w:p w14:paraId="207734C7" w14:textId="371C9F11" w:rsidR="00054437" w:rsidRPr="000549B1" w:rsidRDefault="00000000">
      <w:pPr>
        <w:snapToGrid w:val="0"/>
        <w:spacing w:line="360" w:lineRule="auto"/>
        <w:ind w:firstLineChars="200" w:firstLine="480"/>
        <w:rPr>
          <w:bCs/>
          <w:sz w:val="24"/>
        </w:rPr>
      </w:pPr>
      <w:r w:rsidRPr="000549B1">
        <w:rPr>
          <w:bCs/>
          <w:sz w:val="24"/>
        </w:rPr>
        <w:t>评价区湿地生态系统主要包括河流水面、水库坑塘、沼泽、内陆滩涂等，湿地植物主要有芦苇、水麦冬、沼生柳叶菜、平车前等。</w:t>
      </w:r>
      <w:r w:rsidRPr="000549B1">
        <w:rPr>
          <w:rFonts w:hint="eastAsia"/>
          <w:bCs/>
          <w:sz w:val="24"/>
        </w:rPr>
        <w:t>规划</w:t>
      </w:r>
      <w:r w:rsidRPr="000549B1">
        <w:rPr>
          <w:bCs/>
          <w:sz w:val="24"/>
        </w:rPr>
        <w:t>对湿地生态系统影响如下：</w:t>
      </w:r>
    </w:p>
    <w:p w14:paraId="183082B9" w14:textId="77777777" w:rsidR="00054437" w:rsidRPr="000549B1" w:rsidRDefault="00000000">
      <w:pPr>
        <w:snapToGrid w:val="0"/>
        <w:spacing w:line="360" w:lineRule="auto"/>
        <w:ind w:firstLineChars="200" w:firstLine="480"/>
        <w:rPr>
          <w:bCs/>
          <w:sz w:val="24"/>
        </w:rPr>
      </w:pPr>
      <w:r w:rsidRPr="000549B1">
        <w:rPr>
          <w:bCs/>
          <w:sz w:val="24"/>
        </w:rPr>
        <w:t>1</w:t>
      </w:r>
      <w:r w:rsidRPr="000549B1">
        <w:rPr>
          <w:bCs/>
          <w:sz w:val="24"/>
        </w:rPr>
        <w:t>）不利影响：在规划工程实施过程中产生的废水、废渣等可能会影响水环境；水坝拦截导致库区下游湿地因水量减少而缩减面积，不利于湿地植被生长及野生动物栖息。上述不利影响只是局部的，暂时的，影响不大。</w:t>
      </w:r>
    </w:p>
    <w:p w14:paraId="1813B12D" w14:textId="77777777" w:rsidR="00054437" w:rsidRPr="000549B1" w:rsidRDefault="00000000">
      <w:pPr>
        <w:snapToGrid w:val="0"/>
        <w:spacing w:line="360" w:lineRule="auto"/>
        <w:ind w:firstLineChars="200" w:firstLine="480"/>
        <w:rPr>
          <w:bCs/>
          <w:sz w:val="24"/>
        </w:rPr>
      </w:pPr>
      <w:r w:rsidRPr="000549B1">
        <w:rPr>
          <w:bCs/>
          <w:sz w:val="24"/>
        </w:rPr>
        <w:t>2</w:t>
      </w:r>
      <w:r w:rsidRPr="000549B1">
        <w:rPr>
          <w:bCs/>
          <w:sz w:val="24"/>
        </w:rPr>
        <w:t>）有利影响：主要表现为水库工程和供水规划等水利工程蓄水后使评价区水域面积增加，为涉禽、游禽提供更广阔的栖息空间；借助水库的拦截以及供水工程对水资源的合理调配，湿地生态系统的蓄水补水、调蓄洪水的功能得到加强。水生态保护与修复规划的实施，加强了规划范围湿地保护建设，有利于恢复湿地生态环境和生物多样性，对湿地生态系统产生正向效应。</w:t>
      </w:r>
    </w:p>
    <w:p w14:paraId="4680C724" w14:textId="77777777" w:rsidR="00054437" w:rsidRPr="000549B1" w:rsidRDefault="00000000">
      <w:pPr>
        <w:snapToGrid w:val="0"/>
        <w:spacing w:line="360" w:lineRule="auto"/>
        <w:ind w:firstLineChars="200" w:firstLine="480"/>
        <w:rPr>
          <w:bCs/>
          <w:sz w:val="24"/>
        </w:rPr>
      </w:pPr>
      <w:r w:rsidRPr="000549B1">
        <w:rPr>
          <w:bCs/>
          <w:sz w:val="24"/>
        </w:rPr>
        <w:t>（</w:t>
      </w:r>
      <w:r w:rsidRPr="000549B1">
        <w:rPr>
          <w:bCs/>
          <w:sz w:val="24"/>
        </w:rPr>
        <w:t>5</w:t>
      </w:r>
      <w:r w:rsidRPr="000549B1">
        <w:rPr>
          <w:bCs/>
          <w:sz w:val="24"/>
        </w:rPr>
        <w:t>）对农田生态系统的影响</w:t>
      </w:r>
    </w:p>
    <w:p w14:paraId="556487F8" w14:textId="600F2A5D" w:rsidR="00054437" w:rsidRPr="000549B1" w:rsidRDefault="00000000">
      <w:pPr>
        <w:snapToGrid w:val="0"/>
        <w:spacing w:line="360" w:lineRule="auto"/>
        <w:ind w:firstLineChars="200" w:firstLine="480"/>
        <w:rPr>
          <w:bCs/>
          <w:sz w:val="24"/>
        </w:rPr>
      </w:pPr>
      <w:r w:rsidRPr="000549B1">
        <w:rPr>
          <w:bCs/>
          <w:sz w:val="24"/>
        </w:rPr>
        <w:t>评价区农田生态系统在流域广泛分布，是评价区最大的生态系统类型。农田生态系统主要有小青稞、油菜、马铃薯、小麦等栽培植被构成的田地。</w:t>
      </w:r>
      <w:r w:rsidRPr="000549B1">
        <w:rPr>
          <w:rFonts w:hint="eastAsia"/>
          <w:bCs/>
          <w:sz w:val="24"/>
        </w:rPr>
        <w:t>规划</w:t>
      </w:r>
      <w:r w:rsidRPr="000549B1">
        <w:rPr>
          <w:bCs/>
          <w:sz w:val="24"/>
        </w:rPr>
        <w:t>对农田生态系统影响如下：</w:t>
      </w:r>
    </w:p>
    <w:p w14:paraId="0CC11169" w14:textId="77777777" w:rsidR="00054437" w:rsidRPr="000549B1" w:rsidRDefault="00000000">
      <w:pPr>
        <w:snapToGrid w:val="0"/>
        <w:spacing w:line="360" w:lineRule="auto"/>
        <w:ind w:firstLineChars="200" w:firstLine="480"/>
        <w:rPr>
          <w:bCs/>
          <w:sz w:val="24"/>
        </w:rPr>
      </w:pPr>
      <w:r w:rsidRPr="000549B1">
        <w:rPr>
          <w:bCs/>
          <w:sz w:val="24"/>
        </w:rPr>
        <w:t>1</w:t>
      </w:r>
      <w:r w:rsidRPr="000549B1">
        <w:rPr>
          <w:bCs/>
          <w:sz w:val="24"/>
        </w:rPr>
        <w:t>）不利影响：不利影响主要体现在如下两个方面：第一，工程建设占用部分农田，使农田面积减少；第二，施工活动会临时破坏土壤结构，改变土壤理化性质，进而会对农作物产量产生影响。在施工布置时，要尽量不占用基本农田，同时对临时占用的农田要及时复垦，如此对农田生态系统的不利影响是可以接受的。</w:t>
      </w:r>
    </w:p>
    <w:p w14:paraId="65C5943A" w14:textId="77777777" w:rsidR="00054437" w:rsidRPr="000549B1" w:rsidRDefault="00000000">
      <w:pPr>
        <w:snapToGrid w:val="0"/>
        <w:spacing w:line="360" w:lineRule="auto"/>
        <w:ind w:firstLineChars="200" w:firstLine="480"/>
        <w:rPr>
          <w:bCs/>
          <w:sz w:val="24"/>
        </w:rPr>
      </w:pPr>
      <w:r w:rsidRPr="000549B1">
        <w:rPr>
          <w:bCs/>
          <w:sz w:val="24"/>
        </w:rPr>
        <w:t>2</w:t>
      </w:r>
      <w:r w:rsidRPr="000549B1">
        <w:rPr>
          <w:bCs/>
          <w:sz w:val="24"/>
        </w:rPr>
        <w:t>）有利影响：防洪规划可增强河道抗洪能力，有效保护堤外农业安全；灌溉规划新发展灌溉面积</w:t>
      </w:r>
      <w:r w:rsidRPr="000549B1">
        <w:rPr>
          <w:bCs/>
          <w:sz w:val="24"/>
        </w:rPr>
        <w:t>42.88</w:t>
      </w:r>
      <w:r w:rsidRPr="000549B1">
        <w:rPr>
          <w:bCs/>
          <w:sz w:val="24"/>
        </w:rPr>
        <w:t>万亩，主要发展防沙治沙防护林、农田灌溉和饲草料基地灌溉。灌溉水综合利用系数由现状的</w:t>
      </w:r>
      <w:r w:rsidRPr="000549B1">
        <w:rPr>
          <w:bCs/>
          <w:sz w:val="24"/>
        </w:rPr>
        <w:t>0.47</w:t>
      </w:r>
      <w:r w:rsidRPr="000549B1">
        <w:rPr>
          <w:bCs/>
          <w:sz w:val="24"/>
        </w:rPr>
        <w:t>提高到</w:t>
      </w:r>
      <w:r w:rsidRPr="000549B1">
        <w:rPr>
          <w:bCs/>
          <w:sz w:val="24"/>
        </w:rPr>
        <w:t>0.72</w:t>
      </w:r>
      <w:r w:rsidRPr="000549B1">
        <w:rPr>
          <w:bCs/>
          <w:sz w:val="24"/>
        </w:rPr>
        <w:t>；水土保持规划减少了水资源和土壤资源的浪费。根据规划，通过坡耕地治理、林草植被建设等方法，可减少水土流失、提升农田植被覆盖度，提升林灌草生态系统水土保持功能，巩固提升水土保持效能。这些工程措施的实施，将增加农作物产量，对农田生态系统是有利的。</w:t>
      </w:r>
    </w:p>
    <w:p w14:paraId="67D45FEA" w14:textId="77777777" w:rsidR="00054437" w:rsidRPr="000549B1" w:rsidRDefault="00000000">
      <w:pPr>
        <w:snapToGrid w:val="0"/>
        <w:spacing w:line="360" w:lineRule="auto"/>
        <w:ind w:firstLineChars="200" w:firstLine="480"/>
        <w:rPr>
          <w:bCs/>
          <w:sz w:val="24"/>
        </w:rPr>
      </w:pPr>
      <w:r w:rsidRPr="000549B1">
        <w:rPr>
          <w:bCs/>
          <w:sz w:val="24"/>
        </w:rPr>
        <w:t>（</w:t>
      </w:r>
      <w:r w:rsidRPr="000549B1">
        <w:rPr>
          <w:bCs/>
          <w:sz w:val="24"/>
        </w:rPr>
        <w:t>6</w:t>
      </w:r>
      <w:r w:rsidRPr="000549B1">
        <w:rPr>
          <w:bCs/>
          <w:sz w:val="24"/>
        </w:rPr>
        <w:t>）对城镇生态系统的影响</w:t>
      </w:r>
    </w:p>
    <w:p w14:paraId="597094F5" w14:textId="77777777" w:rsidR="00054437" w:rsidRPr="000549B1" w:rsidRDefault="00000000">
      <w:pPr>
        <w:snapToGrid w:val="0"/>
        <w:spacing w:line="360" w:lineRule="auto"/>
        <w:ind w:firstLineChars="200" w:firstLine="480"/>
        <w:rPr>
          <w:bCs/>
          <w:sz w:val="24"/>
        </w:rPr>
      </w:pPr>
      <w:r w:rsidRPr="000549B1">
        <w:rPr>
          <w:bCs/>
          <w:sz w:val="24"/>
        </w:rPr>
        <w:t>1</w:t>
      </w:r>
      <w:r w:rsidRPr="000549B1">
        <w:rPr>
          <w:bCs/>
          <w:sz w:val="24"/>
        </w:rPr>
        <w:t>）不利影响：规划实施将导致评价区内城镇化速度加快，城市的发展、各种基础设施的建设将占用土地，破坏了区域内部分原有的植被和动物的栖息地，但上述不利影响只是局部的，暂时的，影响不大。</w:t>
      </w:r>
    </w:p>
    <w:p w14:paraId="4F0F6BFF" w14:textId="77777777" w:rsidR="00054437" w:rsidRPr="000549B1" w:rsidRDefault="00000000">
      <w:pPr>
        <w:snapToGrid w:val="0"/>
        <w:spacing w:line="360" w:lineRule="auto"/>
        <w:ind w:firstLineChars="200" w:firstLine="480"/>
        <w:rPr>
          <w:bCs/>
          <w:sz w:val="24"/>
        </w:rPr>
      </w:pPr>
      <w:r w:rsidRPr="000549B1">
        <w:rPr>
          <w:bCs/>
          <w:sz w:val="24"/>
        </w:rPr>
        <w:t>2</w:t>
      </w:r>
      <w:r w:rsidRPr="000549B1">
        <w:rPr>
          <w:bCs/>
          <w:sz w:val="24"/>
        </w:rPr>
        <w:t>）有利影响：防洪减灾规划可降低城镇和村落受洪水和干旱威胁的风险；水资源规划的实施，可解决城镇居民用水和经济社会发展用水问题。</w:t>
      </w:r>
    </w:p>
    <w:p w14:paraId="1DAEEC2E" w14:textId="77777777" w:rsidR="00054437" w:rsidRPr="000549B1" w:rsidRDefault="00000000">
      <w:pPr>
        <w:snapToGrid w:val="0"/>
        <w:spacing w:line="360" w:lineRule="auto"/>
        <w:ind w:firstLineChars="200" w:firstLine="480"/>
        <w:rPr>
          <w:b/>
          <w:sz w:val="24"/>
        </w:rPr>
      </w:pPr>
      <w:r w:rsidRPr="000549B1">
        <w:rPr>
          <w:bCs/>
          <w:sz w:val="24"/>
        </w:rPr>
        <w:t>综上所述，规划的实施对城镇生态系统以有利影响为主，不利影响轻微。</w:t>
      </w:r>
    </w:p>
    <w:p w14:paraId="5AA772AE" w14:textId="77777777" w:rsidR="00054437" w:rsidRPr="000549B1" w:rsidRDefault="00000000">
      <w:pPr>
        <w:pStyle w:val="Z4"/>
        <w:rPr>
          <w:color w:val="auto"/>
        </w:rPr>
      </w:pPr>
      <w:r w:rsidRPr="000549B1">
        <w:rPr>
          <w:color w:val="auto"/>
        </w:rPr>
        <w:t>对生态系统完整性的影响</w:t>
      </w:r>
    </w:p>
    <w:p w14:paraId="64E77279" w14:textId="77777777" w:rsidR="00054437" w:rsidRPr="000549B1" w:rsidRDefault="00000000">
      <w:pPr>
        <w:snapToGrid w:val="0"/>
        <w:spacing w:line="360" w:lineRule="auto"/>
        <w:ind w:firstLineChars="200" w:firstLine="480"/>
        <w:rPr>
          <w:bCs/>
          <w:sz w:val="24"/>
        </w:rPr>
      </w:pPr>
      <w:r w:rsidRPr="000549B1">
        <w:rPr>
          <w:bCs/>
          <w:sz w:val="24"/>
        </w:rPr>
        <w:t>自然系统的稳定和不稳定是对立统一的。由于各种生态因素的变化，自然系统处于一种波动平衡状况。当这种波动平衡被打乱时，自然系统具有不稳定性。自然系统的稳定性包括两种特征，即阻抗和恢复，这是从系统对干扰反应的意义上定义的。阻抗是系统在环境变化或潜在干扰时反抗或阻止变化的能力，它是偏离值的倒数，大的偏离意味着阻抗低；而恢复（或回弹）是系统被改变后返回原来状态的能力。因此，对自然系统稳定状况的度量要从恢复稳定性和阻抗稳定性两个角度来度量。</w:t>
      </w:r>
    </w:p>
    <w:p w14:paraId="1E1F7010" w14:textId="77777777" w:rsidR="00054437" w:rsidRPr="000549B1" w:rsidRDefault="00000000">
      <w:pPr>
        <w:snapToGrid w:val="0"/>
        <w:spacing w:line="360" w:lineRule="auto"/>
        <w:ind w:firstLineChars="200" w:firstLine="480"/>
        <w:rPr>
          <w:bCs/>
          <w:sz w:val="24"/>
        </w:rPr>
      </w:pPr>
      <w:r w:rsidRPr="000549B1">
        <w:rPr>
          <w:bCs/>
          <w:sz w:val="24"/>
        </w:rPr>
        <w:t>（</w:t>
      </w:r>
      <w:r w:rsidRPr="000549B1">
        <w:rPr>
          <w:bCs/>
          <w:sz w:val="24"/>
        </w:rPr>
        <w:t>1</w:t>
      </w:r>
      <w:r w:rsidRPr="000549B1">
        <w:rPr>
          <w:bCs/>
          <w:sz w:val="24"/>
        </w:rPr>
        <w:t>）恢复稳定性分析</w:t>
      </w:r>
    </w:p>
    <w:p w14:paraId="371AE310" w14:textId="77777777" w:rsidR="00054437" w:rsidRPr="000549B1" w:rsidRDefault="00000000">
      <w:pPr>
        <w:snapToGrid w:val="0"/>
        <w:spacing w:line="360" w:lineRule="auto"/>
        <w:ind w:firstLineChars="200" w:firstLine="480"/>
        <w:rPr>
          <w:bCs/>
          <w:sz w:val="24"/>
        </w:rPr>
      </w:pPr>
      <w:r w:rsidRPr="000549B1">
        <w:rPr>
          <w:bCs/>
          <w:sz w:val="24"/>
        </w:rPr>
        <w:t>1</w:t>
      </w:r>
      <w:r w:rsidRPr="000549B1">
        <w:rPr>
          <w:bCs/>
          <w:sz w:val="24"/>
        </w:rPr>
        <w:t>）评价区生物生物量变化</w:t>
      </w:r>
    </w:p>
    <w:p w14:paraId="1D85C112" w14:textId="77777777" w:rsidR="00054437" w:rsidRPr="000549B1" w:rsidRDefault="00000000">
      <w:pPr>
        <w:snapToGrid w:val="0"/>
        <w:spacing w:line="360" w:lineRule="auto"/>
        <w:ind w:firstLineChars="200" w:firstLine="480"/>
        <w:rPr>
          <w:bCs/>
          <w:sz w:val="24"/>
        </w:rPr>
      </w:pPr>
      <w:r w:rsidRPr="000549B1">
        <w:rPr>
          <w:bCs/>
          <w:sz w:val="24"/>
        </w:rPr>
        <w:t>规划的实施将造成评价范围内的各斑块类型发生变化。以规划中占地较大的大河坝水库为例。水库由大坝、溢洪洞和供水放空洞等组成，工程建设后，水库枢纽区及永久道路等永久占地压占和损坏植被，</w:t>
      </w:r>
    </w:p>
    <w:p w14:paraId="2F4C845D" w14:textId="77777777" w:rsidR="00054437" w:rsidRPr="000549B1" w:rsidRDefault="00000000">
      <w:pPr>
        <w:snapToGrid w:val="0"/>
        <w:spacing w:line="360" w:lineRule="auto"/>
        <w:ind w:firstLineChars="200" w:firstLine="480"/>
        <w:rPr>
          <w:bCs/>
          <w:sz w:val="24"/>
        </w:rPr>
      </w:pPr>
      <w:r w:rsidRPr="000549B1">
        <w:rPr>
          <w:bCs/>
          <w:sz w:val="24"/>
        </w:rPr>
        <w:t>但由于水库拟建区主要为天然牧草地、灌木林地、河流水面，以及裸岩石砾地，库区占压的植物种类主要为柠条锦鸡儿、红砂、芨芨草、披碱草、冷蒿、狗娃花等区域常见种，后期实施林灌草绿化措施，采用当地适生灌木树种和草种进行绿化，可一定程度恢复补偿工程永久占压和破坏的植被，减缓工程永久占地造成的植被损失。</w:t>
      </w:r>
    </w:p>
    <w:p w14:paraId="257EBFCD" w14:textId="40D90DCC" w:rsidR="00054437" w:rsidRPr="000549B1" w:rsidRDefault="00000000">
      <w:pPr>
        <w:snapToGrid w:val="0"/>
        <w:spacing w:line="360" w:lineRule="auto"/>
        <w:ind w:firstLineChars="200" w:firstLine="480"/>
        <w:rPr>
          <w:bCs/>
          <w:sz w:val="24"/>
        </w:rPr>
      </w:pPr>
      <w:r w:rsidRPr="000549B1">
        <w:rPr>
          <w:bCs/>
          <w:sz w:val="24"/>
        </w:rPr>
        <w:t>另外水库建成后蓄水淹没植物在库区河段分布广泛，淹没区植被损失的生物量占评价区总生物量的比例较小，所以，</w:t>
      </w:r>
      <w:r w:rsidRPr="000549B1">
        <w:rPr>
          <w:rFonts w:hint="eastAsia"/>
          <w:bCs/>
          <w:sz w:val="24"/>
        </w:rPr>
        <w:t>规划</w:t>
      </w:r>
      <w:r w:rsidRPr="000549B1">
        <w:rPr>
          <w:bCs/>
          <w:sz w:val="24"/>
        </w:rPr>
        <w:t>的实施对评价区植被生物量的影响很小。</w:t>
      </w:r>
    </w:p>
    <w:p w14:paraId="0A90D10D" w14:textId="77777777" w:rsidR="00054437" w:rsidRPr="000549B1" w:rsidRDefault="00000000">
      <w:pPr>
        <w:snapToGrid w:val="0"/>
        <w:spacing w:line="360" w:lineRule="auto"/>
        <w:ind w:firstLineChars="200" w:firstLine="480"/>
        <w:rPr>
          <w:bCs/>
          <w:sz w:val="24"/>
        </w:rPr>
      </w:pPr>
      <w:r w:rsidRPr="000549B1">
        <w:rPr>
          <w:bCs/>
          <w:sz w:val="24"/>
        </w:rPr>
        <w:t>2</w:t>
      </w:r>
      <w:r w:rsidRPr="000549B1">
        <w:rPr>
          <w:bCs/>
          <w:sz w:val="24"/>
        </w:rPr>
        <w:t>）恢复稳定性分析</w:t>
      </w:r>
    </w:p>
    <w:p w14:paraId="70B08E53" w14:textId="77777777" w:rsidR="00054437" w:rsidRPr="000549B1" w:rsidRDefault="00000000">
      <w:pPr>
        <w:snapToGrid w:val="0"/>
        <w:spacing w:line="360" w:lineRule="auto"/>
        <w:ind w:firstLineChars="200" w:firstLine="480"/>
        <w:rPr>
          <w:bCs/>
          <w:sz w:val="24"/>
        </w:rPr>
      </w:pPr>
      <w:r w:rsidRPr="000549B1">
        <w:rPr>
          <w:bCs/>
          <w:sz w:val="24"/>
        </w:rPr>
        <w:t>自然系统的恢复稳定性，是根据植被净生产力的多少度量的。如果植被净生产力高，则其恢复稳定性强，反之则弱。规划实施后，水域面积增加，其他用地类型减少，主要是林地（灌木林地）、草地和耕地面积减少，规划实施后近期内恢复力稳定性降低，但施工结束后，临时占地区将进行植被恢复，不利影响会得到相应改善，灌区、水库蓄水区等地域内生态系统的生物量将会增加，恢复稳定性会逐步增强。</w:t>
      </w:r>
    </w:p>
    <w:p w14:paraId="4051059B" w14:textId="77777777" w:rsidR="00054437" w:rsidRPr="000549B1" w:rsidRDefault="00000000">
      <w:pPr>
        <w:snapToGrid w:val="0"/>
        <w:spacing w:line="360" w:lineRule="auto"/>
        <w:ind w:firstLineChars="200" w:firstLine="480"/>
        <w:rPr>
          <w:bCs/>
          <w:sz w:val="24"/>
        </w:rPr>
      </w:pPr>
      <w:r w:rsidRPr="000549B1">
        <w:rPr>
          <w:bCs/>
          <w:sz w:val="24"/>
        </w:rPr>
        <w:t>（</w:t>
      </w:r>
      <w:r w:rsidRPr="000549B1">
        <w:rPr>
          <w:bCs/>
          <w:sz w:val="24"/>
        </w:rPr>
        <w:t>2</w:t>
      </w:r>
      <w:r w:rsidRPr="000549B1">
        <w:rPr>
          <w:bCs/>
          <w:sz w:val="24"/>
        </w:rPr>
        <w:t>）阻抗稳定性分析</w:t>
      </w:r>
    </w:p>
    <w:p w14:paraId="7F50E418" w14:textId="77777777" w:rsidR="00054437" w:rsidRPr="000549B1" w:rsidRDefault="00000000">
      <w:pPr>
        <w:snapToGrid w:val="0"/>
        <w:spacing w:line="360" w:lineRule="auto"/>
        <w:ind w:firstLineChars="200" w:firstLine="480"/>
        <w:rPr>
          <w:bCs/>
          <w:sz w:val="24"/>
        </w:rPr>
      </w:pPr>
      <w:r w:rsidRPr="000549B1">
        <w:rPr>
          <w:bCs/>
          <w:sz w:val="24"/>
        </w:rPr>
        <w:t>1</w:t>
      </w:r>
      <w:r w:rsidRPr="000549B1">
        <w:rPr>
          <w:bCs/>
          <w:sz w:val="24"/>
        </w:rPr>
        <w:t>）景观异质性变化分析</w:t>
      </w:r>
    </w:p>
    <w:p w14:paraId="5D4B7649" w14:textId="61F3270B" w:rsidR="00054437" w:rsidRPr="000549B1" w:rsidRDefault="00000000">
      <w:pPr>
        <w:snapToGrid w:val="0"/>
        <w:spacing w:line="360" w:lineRule="auto"/>
        <w:ind w:firstLineChars="200" w:firstLine="480"/>
        <w:rPr>
          <w:bCs/>
          <w:sz w:val="24"/>
        </w:rPr>
      </w:pPr>
      <w:r w:rsidRPr="000549B1">
        <w:rPr>
          <w:rFonts w:hint="eastAsia"/>
          <w:bCs/>
          <w:sz w:val="24"/>
        </w:rPr>
        <w:t>规划</w:t>
      </w:r>
      <w:r w:rsidRPr="000549B1">
        <w:rPr>
          <w:bCs/>
          <w:sz w:val="24"/>
        </w:rPr>
        <w:t>实施后，评价范围内土地利用格局发生变化，林地、草地、耕地都会有不同程度地减少，水域和水利设施用地面积增加。这种变化主要由规划水库、供水工程、灌溉工程的建设和防洪工程永久占地引起。由于规划占用的面积较小，且相对集中在规划河流两岸，因此不会对景观系统的不均匀性和复杂程度产生较大影响。因此，规划施行对流域范围内的景观异质性影响较小。</w:t>
      </w:r>
    </w:p>
    <w:p w14:paraId="3305BB3E" w14:textId="77777777" w:rsidR="00054437" w:rsidRPr="000549B1" w:rsidRDefault="00000000">
      <w:pPr>
        <w:snapToGrid w:val="0"/>
        <w:spacing w:line="360" w:lineRule="auto"/>
        <w:ind w:firstLineChars="200" w:firstLine="480"/>
        <w:rPr>
          <w:bCs/>
          <w:sz w:val="24"/>
        </w:rPr>
      </w:pPr>
      <w:r w:rsidRPr="000549B1">
        <w:rPr>
          <w:bCs/>
          <w:sz w:val="24"/>
        </w:rPr>
        <w:t>2</w:t>
      </w:r>
      <w:r w:rsidRPr="000549B1">
        <w:rPr>
          <w:bCs/>
          <w:sz w:val="24"/>
        </w:rPr>
        <w:t>）阻抗稳定性分析</w:t>
      </w:r>
    </w:p>
    <w:p w14:paraId="7DED0280" w14:textId="482DCC54" w:rsidR="00054437" w:rsidRPr="000549B1" w:rsidRDefault="00000000">
      <w:pPr>
        <w:snapToGrid w:val="0"/>
        <w:spacing w:line="360" w:lineRule="auto"/>
        <w:ind w:firstLineChars="200" w:firstLine="480"/>
        <w:rPr>
          <w:bCs/>
          <w:sz w:val="24"/>
        </w:rPr>
      </w:pPr>
      <w:r w:rsidRPr="000549B1">
        <w:rPr>
          <w:bCs/>
          <w:sz w:val="24"/>
        </w:rPr>
        <w:t>自然系统的阻抗稳定性是由系统中生物组分异质性的高低决定的。并且，异质化程度高的自然系统，当某一斑块形成干扰源时，相邻的异质性组分就成为了干扰的阻断，从而达到增强生态体系抗御内外干扰的作用，有利于提高体系生态稳定性。</w:t>
      </w:r>
      <w:r w:rsidRPr="000549B1">
        <w:rPr>
          <w:rFonts w:hint="eastAsia"/>
          <w:bCs/>
          <w:sz w:val="24"/>
        </w:rPr>
        <w:t>规划</w:t>
      </w:r>
      <w:r w:rsidRPr="000549B1">
        <w:rPr>
          <w:bCs/>
          <w:sz w:val="24"/>
        </w:rPr>
        <w:t>实施后，受规划影响的区域主要位于沙珠玉河及其支流两岸，其他区域受影响很小，因此，规划的实施对区域阻抗力稳定性影响较小。</w:t>
      </w:r>
    </w:p>
    <w:p w14:paraId="0885E58F" w14:textId="77777777" w:rsidR="00054437" w:rsidRPr="000549B1" w:rsidRDefault="00000000">
      <w:pPr>
        <w:pStyle w:val="3"/>
      </w:pPr>
      <w:bookmarkStart w:id="401" w:name="_Toc216107051"/>
      <w:r w:rsidRPr="000549B1">
        <w:t>对土地利用的影响</w:t>
      </w:r>
      <w:bookmarkEnd w:id="401"/>
    </w:p>
    <w:p w14:paraId="13C45892" w14:textId="77777777" w:rsidR="00054437" w:rsidRPr="000549B1" w:rsidRDefault="00000000">
      <w:pPr>
        <w:snapToGrid w:val="0"/>
        <w:spacing w:line="360" w:lineRule="auto"/>
        <w:ind w:firstLineChars="200" w:firstLine="480"/>
        <w:rPr>
          <w:bCs/>
          <w:sz w:val="24"/>
        </w:rPr>
      </w:pPr>
      <w:r w:rsidRPr="000549B1">
        <w:rPr>
          <w:bCs/>
          <w:sz w:val="24"/>
        </w:rPr>
        <w:t>水土保持、护岸防洪、规划水库、灌溉规划等会改变原有的林、灌、草等用地类型，转变为水域及水利设施用地。</w:t>
      </w:r>
    </w:p>
    <w:p w14:paraId="6E86A6AA" w14:textId="77777777" w:rsidR="00054437" w:rsidRPr="000549B1" w:rsidRDefault="00000000">
      <w:pPr>
        <w:pStyle w:val="Z4"/>
        <w:rPr>
          <w:color w:val="auto"/>
        </w:rPr>
      </w:pPr>
      <w:r w:rsidRPr="000549B1">
        <w:rPr>
          <w:color w:val="auto"/>
        </w:rPr>
        <w:t>水土保持规划对土地利用的影响</w:t>
      </w:r>
    </w:p>
    <w:p w14:paraId="2EB92058" w14:textId="77777777" w:rsidR="00381872" w:rsidRPr="000549B1" w:rsidRDefault="00381872" w:rsidP="00381872">
      <w:pPr>
        <w:snapToGrid w:val="0"/>
        <w:spacing w:line="360" w:lineRule="auto"/>
        <w:ind w:firstLineChars="200" w:firstLine="480"/>
        <w:rPr>
          <w:bCs/>
          <w:sz w:val="24"/>
        </w:rPr>
      </w:pPr>
      <w:r w:rsidRPr="000549B1">
        <w:rPr>
          <w:rFonts w:hint="eastAsia"/>
          <w:bCs/>
          <w:sz w:val="24"/>
        </w:rPr>
        <w:t>本次规划沙珠玉河流域整体为风蚀水蚀防风固沙蓄水保土区，土壤侵蚀以风力侵蚀为主，兼有轻度水力侵蚀。水土保持主导基础功能为防风固沙、农田防护，水土保持重点是沙漠化防治，大力造林种草，做好防风固沙林建设工程，保护并严禁采挖沙生植被，防止荒漠化扩展；在人口集中，交通便利的城镇周边实施</w:t>
      </w:r>
      <w:r w:rsidRPr="000549B1">
        <w:rPr>
          <w:bCs/>
          <w:sz w:val="24"/>
        </w:rPr>
        <w:t>小流域综合治理，防治水土流失</w:t>
      </w:r>
      <w:r w:rsidRPr="000549B1">
        <w:rPr>
          <w:rFonts w:hint="eastAsia"/>
          <w:bCs/>
          <w:sz w:val="24"/>
        </w:rPr>
        <w:t>；加强预防监督管理，控制人为水土流失</w:t>
      </w:r>
      <w:r w:rsidRPr="000549B1">
        <w:rPr>
          <w:bCs/>
          <w:sz w:val="24"/>
        </w:rPr>
        <w:t>。</w:t>
      </w:r>
    </w:p>
    <w:p w14:paraId="0F1A901C" w14:textId="2A9B7421" w:rsidR="00381872" w:rsidRPr="000549B1" w:rsidRDefault="00381872" w:rsidP="00381872">
      <w:pPr>
        <w:snapToGrid w:val="0"/>
        <w:spacing w:line="360" w:lineRule="auto"/>
        <w:ind w:firstLineChars="200" w:firstLine="480"/>
        <w:rPr>
          <w:bCs/>
          <w:sz w:val="24"/>
        </w:rPr>
      </w:pPr>
      <w:r w:rsidRPr="000549B1">
        <w:rPr>
          <w:rFonts w:hint="eastAsia"/>
          <w:bCs/>
          <w:sz w:val="24"/>
        </w:rPr>
        <w:t>①预防保护措施</w:t>
      </w:r>
    </w:p>
    <w:p w14:paraId="0917483C" w14:textId="77777777" w:rsidR="00381872" w:rsidRPr="000549B1" w:rsidRDefault="00381872" w:rsidP="00381872">
      <w:pPr>
        <w:snapToGrid w:val="0"/>
        <w:spacing w:line="360" w:lineRule="auto"/>
        <w:ind w:firstLineChars="200" w:firstLine="480"/>
        <w:rPr>
          <w:bCs/>
          <w:sz w:val="24"/>
        </w:rPr>
      </w:pPr>
      <w:r w:rsidRPr="000549B1">
        <w:rPr>
          <w:rFonts w:hint="eastAsia"/>
          <w:bCs/>
          <w:sz w:val="24"/>
        </w:rPr>
        <w:t>预防保护主要措施为封禁、修复（补植），增强蓄水保土能力，维护水土保持功能。通过加大封禁管护力度，提高植被覆盖率，水土流失强度进一步减轻，部分水土流失区域达到无明显侵蚀，生态系统步入良性发展轨道。规划期内预防保护面积</w:t>
      </w:r>
      <w:r w:rsidRPr="000549B1">
        <w:rPr>
          <w:rFonts w:hint="eastAsia"/>
          <w:bCs/>
          <w:sz w:val="24"/>
        </w:rPr>
        <w:t>473.22km</w:t>
      </w:r>
      <w:r w:rsidRPr="000549B1">
        <w:rPr>
          <w:bCs/>
          <w:sz w:val="24"/>
          <w:vertAlign w:val="superscript"/>
        </w:rPr>
        <w:t>2</w:t>
      </w:r>
      <w:r w:rsidRPr="000549B1">
        <w:rPr>
          <w:rFonts w:hint="eastAsia"/>
          <w:bCs/>
          <w:sz w:val="24"/>
        </w:rPr>
        <w:t>，其中封禁面积</w:t>
      </w:r>
      <w:r w:rsidRPr="000549B1">
        <w:rPr>
          <w:rFonts w:hint="eastAsia"/>
          <w:bCs/>
          <w:sz w:val="24"/>
        </w:rPr>
        <w:t>418.52km</w:t>
      </w:r>
      <w:r w:rsidRPr="000549B1">
        <w:rPr>
          <w:bCs/>
          <w:sz w:val="24"/>
          <w:vertAlign w:val="superscript"/>
        </w:rPr>
        <w:t>2</w:t>
      </w:r>
      <w:r w:rsidRPr="000549B1">
        <w:rPr>
          <w:rFonts w:hint="eastAsia"/>
          <w:bCs/>
          <w:sz w:val="24"/>
        </w:rPr>
        <w:t>，修复（补植）</w:t>
      </w:r>
      <w:r w:rsidRPr="000549B1">
        <w:rPr>
          <w:rFonts w:hint="eastAsia"/>
          <w:bCs/>
          <w:sz w:val="24"/>
        </w:rPr>
        <w:t>54.70km</w:t>
      </w:r>
      <w:r w:rsidRPr="000549B1">
        <w:rPr>
          <w:bCs/>
          <w:sz w:val="24"/>
          <w:vertAlign w:val="superscript"/>
        </w:rPr>
        <w:t>2</w:t>
      </w:r>
      <w:r w:rsidRPr="000549B1">
        <w:rPr>
          <w:rFonts w:hint="eastAsia"/>
          <w:bCs/>
          <w:sz w:val="24"/>
        </w:rPr>
        <w:t>，宣传牌</w:t>
      </w:r>
      <w:r w:rsidRPr="000549B1">
        <w:rPr>
          <w:rFonts w:hint="eastAsia"/>
          <w:bCs/>
          <w:sz w:val="24"/>
        </w:rPr>
        <w:t>78</w:t>
      </w:r>
      <w:r w:rsidRPr="000549B1">
        <w:rPr>
          <w:rFonts w:hint="eastAsia"/>
          <w:bCs/>
          <w:sz w:val="24"/>
        </w:rPr>
        <w:t>个。封禁措施可以优先减少人类活动对封禁区生态环境的干扰。不改变区域土地利用类型，对土地利用影响很小。</w:t>
      </w:r>
    </w:p>
    <w:p w14:paraId="5D3AD2E7" w14:textId="28C2D168" w:rsidR="00381872" w:rsidRPr="000549B1" w:rsidRDefault="00381872" w:rsidP="00381872">
      <w:pPr>
        <w:snapToGrid w:val="0"/>
        <w:spacing w:line="360" w:lineRule="auto"/>
        <w:ind w:firstLineChars="200" w:firstLine="480"/>
        <w:rPr>
          <w:bCs/>
          <w:sz w:val="24"/>
        </w:rPr>
      </w:pPr>
      <w:r w:rsidRPr="000549B1">
        <w:rPr>
          <w:rFonts w:hint="eastAsia"/>
          <w:bCs/>
          <w:sz w:val="24"/>
        </w:rPr>
        <w:t>②治理规划</w:t>
      </w:r>
    </w:p>
    <w:p w14:paraId="3B8A81C2" w14:textId="5019F621" w:rsidR="00054437" w:rsidRPr="000549B1" w:rsidRDefault="00381872" w:rsidP="00381872">
      <w:pPr>
        <w:snapToGrid w:val="0"/>
        <w:spacing w:line="360" w:lineRule="auto"/>
        <w:ind w:firstLineChars="200" w:firstLine="480"/>
        <w:rPr>
          <w:bCs/>
          <w:sz w:val="24"/>
        </w:rPr>
      </w:pPr>
      <w:r w:rsidRPr="000549B1">
        <w:rPr>
          <w:rFonts w:hint="eastAsia"/>
          <w:bCs/>
          <w:sz w:val="24"/>
        </w:rPr>
        <w:t>治理范围包括沙珠玉河流域土壤沙化严重、局部水土流失程度较高，集中连片，具有一定的规模性的区域。治理范围不仅包括重点治理区，还包括重点预防区内局部水土流失严重地区。治理对象为沙化等侵蚀劣地、水蚀林（草）地、坡面侵蚀沟；输沙量较大的沟道、山洪沟和重力侵蚀坡面。规划综合治理</w:t>
      </w:r>
      <w:r w:rsidRPr="000549B1">
        <w:rPr>
          <w:rFonts w:hint="eastAsia"/>
          <w:bCs/>
          <w:sz w:val="24"/>
        </w:rPr>
        <w:t>387.18km</w:t>
      </w:r>
      <w:r w:rsidRPr="000549B1">
        <w:rPr>
          <w:bCs/>
          <w:sz w:val="24"/>
          <w:vertAlign w:val="superscript"/>
        </w:rPr>
        <w:t>2</w:t>
      </w:r>
      <w:r w:rsidRPr="000549B1">
        <w:rPr>
          <w:rFonts w:hint="eastAsia"/>
          <w:bCs/>
          <w:sz w:val="24"/>
        </w:rPr>
        <w:t>，其中工程固沙治理</w:t>
      </w:r>
      <w:r w:rsidRPr="000549B1">
        <w:rPr>
          <w:rFonts w:hint="eastAsia"/>
          <w:bCs/>
          <w:sz w:val="24"/>
        </w:rPr>
        <w:t>90.71km</w:t>
      </w:r>
      <w:r w:rsidRPr="000549B1">
        <w:rPr>
          <w:bCs/>
          <w:sz w:val="24"/>
          <w:vertAlign w:val="superscript"/>
        </w:rPr>
        <w:t>2</w:t>
      </w:r>
      <w:r w:rsidRPr="000549B1">
        <w:rPr>
          <w:rFonts w:hint="eastAsia"/>
          <w:bCs/>
          <w:sz w:val="24"/>
        </w:rPr>
        <w:t>，造林</w:t>
      </w:r>
      <w:r w:rsidRPr="000549B1">
        <w:rPr>
          <w:rFonts w:hint="eastAsia"/>
          <w:bCs/>
          <w:sz w:val="24"/>
        </w:rPr>
        <w:t>29.01km</w:t>
      </w:r>
      <w:r w:rsidRPr="000549B1">
        <w:rPr>
          <w:bCs/>
          <w:sz w:val="24"/>
          <w:vertAlign w:val="superscript"/>
        </w:rPr>
        <w:t>2</w:t>
      </w:r>
      <w:r w:rsidRPr="000549B1">
        <w:rPr>
          <w:rFonts w:hint="eastAsia"/>
          <w:bCs/>
          <w:sz w:val="24"/>
        </w:rPr>
        <w:t>，种草</w:t>
      </w:r>
      <w:r w:rsidRPr="000549B1">
        <w:rPr>
          <w:rFonts w:hint="eastAsia"/>
          <w:bCs/>
          <w:sz w:val="24"/>
        </w:rPr>
        <w:t>192.64km</w:t>
      </w:r>
      <w:r w:rsidRPr="000549B1">
        <w:rPr>
          <w:bCs/>
          <w:sz w:val="24"/>
          <w:vertAlign w:val="superscript"/>
        </w:rPr>
        <w:t>2</w:t>
      </w:r>
      <w:r w:rsidRPr="000549B1">
        <w:rPr>
          <w:rFonts w:hint="eastAsia"/>
          <w:bCs/>
          <w:sz w:val="24"/>
        </w:rPr>
        <w:t>，退化林修复</w:t>
      </w:r>
      <w:r w:rsidRPr="000549B1">
        <w:rPr>
          <w:rFonts w:hint="eastAsia"/>
          <w:bCs/>
          <w:sz w:val="24"/>
        </w:rPr>
        <w:t>17.72km</w:t>
      </w:r>
      <w:r w:rsidRPr="000549B1">
        <w:rPr>
          <w:bCs/>
          <w:sz w:val="24"/>
          <w:vertAlign w:val="superscript"/>
        </w:rPr>
        <w:t>2</w:t>
      </w:r>
      <w:r w:rsidRPr="000549B1">
        <w:rPr>
          <w:rFonts w:hint="eastAsia"/>
          <w:bCs/>
          <w:sz w:val="24"/>
        </w:rPr>
        <w:t>，封育</w:t>
      </w:r>
      <w:r w:rsidRPr="000549B1">
        <w:rPr>
          <w:rFonts w:hint="eastAsia"/>
          <w:bCs/>
          <w:sz w:val="24"/>
        </w:rPr>
        <w:t>57.11km</w:t>
      </w:r>
      <w:r w:rsidRPr="000549B1">
        <w:rPr>
          <w:bCs/>
          <w:sz w:val="24"/>
          <w:vertAlign w:val="superscript"/>
        </w:rPr>
        <w:t>2</w:t>
      </w:r>
      <w:r w:rsidRPr="000549B1">
        <w:rPr>
          <w:rFonts w:hint="eastAsia"/>
          <w:bCs/>
          <w:sz w:val="24"/>
        </w:rPr>
        <w:t>，建设网围栏</w:t>
      </w:r>
      <w:r w:rsidRPr="000549B1">
        <w:rPr>
          <w:rFonts w:hint="eastAsia"/>
          <w:bCs/>
          <w:sz w:val="24"/>
        </w:rPr>
        <w:t>223km</w:t>
      </w:r>
      <w:r w:rsidRPr="000549B1">
        <w:rPr>
          <w:rFonts w:hint="eastAsia"/>
          <w:bCs/>
          <w:sz w:val="24"/>
        </w:rPr>
        <w:t>，建设谷坊</w:t>
      </w:r>
      <w:r w:rsidRPr="000549B1">
        <w:rPr>
          <w:rFonts w:hint="eastAsia"/>
          <w:bCs/>
          <w:sz w:val="24"/>
        </w:rPr>
        <w:t>697</w:t>
      </w:r>
      <w:r w:rsidRPr="000549B1">
        <w:rPr>
          <w:rFonts w:hint="eastAsia"/>
          <w:bCs/>
          <w:sz w:val="24"/>
        </w:rPr>
        <w:t>座。治理措施的实施可以增加林地和草地的面积</w:t>
      </w:r>
      <w:r w:rsidRPr="000549B1">
        <w:rPr>
          <w:bCs/>
          <w:sz w:val="24"/>
        </w:rPr>
        <w:t>。</w:t>
      </w:r>
    </w:p>
    <w:p w14:paraId="4BA0CE69" w14:textId="7D624130" w:rsidR="00054437" w:rsidRPr="000549B1" w:rsidRDefault="00381872">
      <w:pPr>
        <w:pStyle w:val="Z4"/>
        <w:rPr>
          <w:color w:val="auto"/>
        </w:rPr>
      </w:pPr>
      <w:r w:rsidRPr="000549B1">
        <w:rPr>
          <w:rFonts w:hint="eastAsia"/>
          <w:color w:val="auto"/>
        </w:rPr>
        <w:t>防洪工程与</w:t>
      </w:r>
      <w:r w:rsidRPr="000549B1">
        <w:rPr>
          <w:color w:val="auto"/>
        </w:rPr>
        <w:t>灌溉规划对土地利用的影响</w:t>
      </w:r>
    </w:p>
    <w:p w14:paraId="58141796" w14:textId="240D427B" w:rsidR="00381872" w:rsidRPr="000549B1" w:rsidRDefault="00381872" w:rsidP="00381872">
      <w:pPr>
        <w:snapToGrid w:val="0"/>
        <w:spacing w:line="360" w:lineRule="auto"/>
        <w:ind w:firstLineChars="200" w:firstLine="480"/>
        <w:rPr>
          <w:bCs/>
          <w:sz w:val="24"/>
        </w:rPr>
      </w:pPr>
      <w:r w:rsidRPr="000549B1">
        <w:rPr>
          <w:rFonts w:hint="eastAsia"/>
          <w:bCs/>
          <w:sz w:val="24"/>
        </w:rPr>
        <w:t>沙珠玉河流域规划新建护岸工程总长度</w:t>
      </w:r>
      <w:r w:rsidRPr="000549B1">
        <w:rPr>
          <w:rFonts w:hint="eastAsia"/>
          <w:bCs/>
          <w:sz w:val="24"/>
        </w:rPr>
        <w:t>16.3km</w:t>
      </w:r>
      <w:r w:rsidRPr="000549B1">
        <w:rPr>
          <w:rFonts w:hint="eastAsia"/>
          <w:bCs/>
          <w:sz w:val="24"/>
        </w:rPr>
        <w:t>，护岸布局结合各支流地形特征、水流走向及保护对象分布，有效防范岸坡坍塌侵蚀，守护支流沿岸村庄与耕地安全。护岸工程施工过程中会临时占用部分土地，导致土地利用类型改变，工程施工完成后，在采取植被恢复等生态恢复措施的前提下，影响可以得到逐步恢复。</w:t>
      </w:r>
    </w:p>
    <w:p w14:paraId="731B714D" w14:textId="59BD8E97" w:rsidR="00054437" w:rsidRPr="000549B1" w:rsidRDefault="00000000">
      <w:pPr>
        <w:snapToGrid w:val="0"/>
        <w:spacing w:line="360" w:lineRule="auto"/>
        <w:ind w:firstLineChars="200" w:firstLine="480"/>
        <w:rPr>
          <w:bCs/>
          <w:sz w:val="24"/>
        </w:rPr>
      </w:pPr>
      <w:r w:rsidRPr="000549B1">
        <w:rPr>
          <w:bCs/>
          <w:sz w:val="24"/>
        </w:rPr>
        <w:t>本次规划将适当发展部分灌溉农业。规划实施后</w:t>
      </w:r>
      <w:r w:rsidRPr="000549B1">
        <w:rPr>
          <w:bCs/>
          <w:sz w:val="24"/>
        </w:rPr>
        <w:t>2035</w:t>
      </w:r>
      <w:r w:rsidRPr="000549B1">
        <w:rPr>
          <w:bCs/>
          <w:sz w:val="24"/>
        </w:rPr>
        <w:t>年水平沙珠玉河流域总有效灌溉面积达到</w:t>
      </w:r>
      <w:r w:rsidRPr="000549B1">
        <w:rPr>
          <w:bCs/>
          <w:sz w:val="24"/>
        </w:rPr>
        <w:t>80.71</w:t>
      </w:r>
      <w:r w:rsidRPr="000549B1">
        <w:rPr>
          <w:bCs/>
          <w:sz w:val="24"/>
        </w:rPr>
        <w:t>万亩，其中农田有效灌溉面积达到</w:t>
      </w:r>
      <w:r w:rsidRPr="000549B1">
        <w:rPr>
          <w:bCs/>
          <w:sz w:val="24"/>
        </w:rPr>
        <w:t>46.28</w:t>
      </w:r>
      <w:r w:rsidRPr="000549B1">
        <w:rPr>
          <w:bCs/>
          <w:sz w:val="24"/>
        </w:rPr>
        <w:t>万亩，比基准年增加</w:t>
      </w:r>
      <w:r w:rsidRPr="000549B1">
        <w:rPr>
          <w:bCs/>
          <w:sz w:val="24"/>
        </w:rPr>
        <w:t>11.83</w:t>
      </w:r>
      <w:r w:rsidRPr="000549B1">
        <w:rPr>
          <w:bCs/>
          <w:sz w:val="24"/>
        </w:rPr>
        <w:t>万亩；林草地灌溉面积达到</w:t>
      </w:r>
      <w:r w:rsidRPr="000549B1">
        <w:rPr>
          <w:bCs/>
          <w:sz w:val="24"/>
        </w:rPr>
        <w:t>34.43</w:t>
      </w:r>
      <w:r w:rsidRPr="000549B1">
        <w:rPr>
          <w:bCs/>
          <w:sz w:val="24"/>
        </w:rPr>
        <w:t>万亩，比现状新增灌溉面积</w:t>
      </w:r>
      <w:r w:rsidRPr="000549B1">
        <w:rPr>
          <w:bCs/>
          <w:sz w:val="24"/>
        </w:rPr>
        <w:t>28.28</w:t>
      </w:r>
      <w:r w:rsidRPr="000549B1">
        <w:rPr>
          <w:bCs/>
          <w:sz w:val="24"/>
        </w:rPr>
        <w:t>万亩。但新增灌溉面积主要是将无灌溉条件的耕地发展为灌溉地，并不造成土地利用性质的改变。因此，灌溉规划的实施对流域土地利用不造成影响。</w:t>
      </w:r>
    </w:p>
    <w:p w14:paraId="7ED68B08" w14:textId="77777777" w:rsidR="00054437" w:rsidRPr="000549B1" w:rsidRDefault="00000000">
      <w:pPr>
        <w:pStyle w:val="Z4"/>
        <w:rPr>
          <w:color w:val="auto"/>
        </w:rPr>
      </w:pPr>
      <w:r w:rsidRPr="000549B1">
        <w:rPr>
          <w:rFonts w:ascii="宋体" w:eastAsia="宋体" w:hAnsi="宋体"/>
          <w:color w:val="auto"/>
        </w:rPr>
        <w:t>“</w:t>
      </w:r>
      <w:r w:rsidRPr="000549B1">
        <w:rPr>
          <w:color w:val="auto"/>
        </w:rPr>
        <w:t>三滩</w:t>
      </w:r>
      <w:r w:rsidRPr="000549B1">
        <w:rPr>
          <w:rFonts w:ascii="宋体" w:eastAsia="宋体" w:hAnsi="宋体"/>
          <w:color w:val="auto"/>
        </w:rPr>
        <w:t>”</w:t>
      </w:r>
      <w:r w:rsidRPr="000549B1">
        <w:rPr>
          <w:color w:val="auto"/>
        </w:rPr>
        <w:t>引水生态综合治理一期工程及小型水库工程的影响</w:t>
      </w:r>
    </w:p>
    <w:p w14:paraId="07A0C00D" w14:textId="77777777" w:rsidR="00054437" w:rsidRPr="000549B1" w:rsidRDefault="00000000">
      <w:pPr>
        <w:snapToGrid w:val="0"/>
        <w:spacing w:line="360" w:lineRule="auto"/>
        <w:ind w:firstLineChars="200" w:firstLine="480"/>
        <w:rPr>
          <w:bCs/>
          <w:sz w:val="24"/>
        </w:rPr>
      </w:pPr>
      <w:r w:rsidRPr="000549B1">
        <w:rPr>
          <w:bCs/>
          <w:sz w:val="24"/>
        </w:rPr>
        <w:t>工程建设施工占地及水源水库淹没地表植被和部分野生动物生境，对区域植被、野生植物及野生动物均有一定的不利影响。同时工程处于高寒草甸区，生态环境脆弱，均有受损后难以恢复的特点，因此工程建设过程中应注意采取严格的生态环境保护措施，限定施工范围，施工结束后采用先进技术及时进行恢复。</w:t>
      </w:r>
    </w:p>
    <w:p w14:paraId="2BA9771A" w14:textId="4453CC35" w:rsidR="00381872" w:rsidRPr="000549B1" w:rsidRDefault="00381872" w:rsidP="00381872">
      <w:pPr>
        <w:snapToGrid w:val="0"/>
        <w:spacing w:line="360" w:lineRule="auto"/>
        <w:ind w:firstLineChars="200" w:firstLine="480"/>
        <w:rPr>
          <w:bCs/>
          <w:sz w:val="24"/>
        </w:rPr>
      </w:pPr>
      <w:r w:rsidRPr="000549B1">
        <w:rPr>
          <w:rFonts w:hint="eastAsia"/>
          <w:bCs/>
          <w:sz w:val="24"/>
        </w:rPr>
        <w:t>总之，从宏观层面来看，规划实施不会改变沙珠玉河流域生态系统的结构和功能，不会对流域现状土地利用和植被分布产生明显影响，且规划实施对流域陆生生态的影响有一定的有利影响，不利影响是局部的、暂时的。</w:t>
      </w:r>
    </w:p>
    <w:p w14:paraId="3CF455DD" w14:textId="77777777" w:rsidR="00054437" w:rsidRPr="000549B1" w:rsidRDefault="00000000">
      <w:pPr>
        <w:pStyle w:val="3"/>
      </w:pPr>
      <w:bookmarkStart w:id="402" w:name="_Toc216107052"/>
      <w:r w:rsidRPr="000549B1">
        <w:t>对陆生植被、植物的影响</w:t>
      </w:r>
      <w:bookmarkEnd w:id="402"/>
    </w:p>
    <w:p w14:paraId="048EE065" w14:textId="77777777" w:rsidR="00054437" w:rsidRPr="000549B1" w:rsidRDefault="00000000">
      <w:pPr>
        <w:pStyle w:val="Z4"/>
        <w:rPr>
          <w:color w:val="auto"/>
        </w:rPr>
      </w:pPr>
      <w:r w:rsidRPr="000549B1">
        <w:rPr>
          <w:color w:val="auto"/>
        </w:rPr>
        <w:t>水资源综合利用规划的影响</w:t>
      </w:r>
    </w:p>
    <w:p w14:paraId="784345C0" w14:textId="5DCDF973" w:rsidR="00054437" w:rsidRPr="000549B1" w:rsidRDefault="00000000">
      <w:pPr>
        <w:snapToGrid w:val="0"/>
        <w:spacing w:line="360" w:lineRule="auto"/>
        <w:ind w:firstLineChars="200" w:firstLine="480"/>
        <w:rPr>
          <w:bCs/>
          <w:sz w:val="24"/>
        </w:rPr>
      </w:pPr>
      <w:r w:rsidRPr="000549B1">
        <w:rPr>
          <w:bCs/>
          <w:sz w:val="24"/>
        </w:rPr>
        <w:t>沙珠玉河流域范围内现状以地表水供水为主，水源为沙珠玉河干支流。流域内的水利工程形成了以蓄水、引水工程为主的农灌供水系统；引水管道、蓄水池、机井相结合的农牧区人畜饮水供水系统。</w:t>
      </w:r>
    </w:p>
    <w:p w14:paraId="47D7C665" w14:textId="77777777" w:rsidR="00054437" w:rsidRPr="000549B1" w:rsidRDefault="00000000">
      <w:pPr>
        <w:snapToGrid w:val="0"/>
        <w:spacing w:line="360" w:lineRule="auto"/>
        <w:ind w:firstLineChars="200" w:firstLine="480"/>
        <w:rPr>
          <w:bCs/>
          <w:sz w:val="24"/>
        </w:rPr>
      </w:pPr>
      <w:r w:rsidRPr="000549B1">
        <w:rPr>
          <w:bCs/>
          <w:sz w:val="24"/>
        </w:rPr>
        <w:t>以蓄水、引水工程为主的农灌供水系统，其对植被的不利影响主要表现为：工程占地会破坏植被，拦截上游来水，会对下游湿地植被产生不利影响，进而导致工程区植被面积减少，植被生物量和生产力的降低。这些影响一般影响面积有限，均是可以接受的。</w:t>
      </w:r>
    </w:p>
    <w:p w14:paraId="3BE2DD0B" w14:textId="77777777" w:rsidR="00054437" w:rsidRPr="000549B1" w:rsidRDefault="00000000">
      <w:pPr>
        <w:snapToGrid w:val="0"/>
        <w:spacing w:line="360" w:lineRule="auto"/>
        <w:ind w:firstLineChars="200" w:firstLine="480"/>
        <w:rPr>
          <w:bCs/>
        </w:rPr>
      </w:pPr>
      <w:r w:rsidRPr="000549B1">
        <w:rPr>
          <w:bCs/>
          <w:sz w:val="24"/>
        </w:rPr>
        <w:t>有利影响主要表现为：工程实施之后，通过水资源合理调配既保障了河谷农田周边人工植被的稳定生长，又为工程扰动区的植被恢复提供了水分支撑，促进披碱草、青海固沙草等修复物种定植成活，同时，水库周边、渠道沿线形成的局部湿润生境，拓展了湿生植被的分布范围，提升了区域植被覆盖度与群落多样性。区域内植被将会发生正向演替，对生态系统的稳定起到积极作用。</w:t>
      </w:r>
    </w:p>
    <w:p w14:paraId="0946CC5C" w14:textId="77777777" w:rsidR="00054437" w:rsidRPr="000549B1" w:rsidRDefault="00000000">
      <w:pPr>
        <w:pStyle w:val="Z4"/>
        <w:rPr>
          <w:color w:val="auto"/>
        </w:rPr>
      </w:pPr>
      <w:r w:rsidRPr="000549B1">
        <w:rPr>
          <w:color w:val="auto"/>
        </w:rPr>
        <w:t>灌区规划的影响</w:t>
      </w:r>
    </w:p>
    <w:p w14:paraId="7C1AA555" w14:textId="77777777" w:rsidR="00054437" w:rsidRPr="000549B1" w:rsidRDefault="00000000">
      <w:pPr>
        <w:snapToGrid w:val="0"/>
        <w:spacing w:line="360" w:lineRule="auto"/>
        <w:ind w:firstLineChars="200" w:firstLine="480"/>
        <w:rPr>
          <w:bCs/>
          <w:sz w:val="24"/>
        </w:rPr>
      </w:pPr>
      <w:r w:rsidRPr="000549B1">
        <w:rPr>
          <w:bCs/>
          <w:sz w:val="24"/>
        </w:rPr>
        <w:t>灌区规划为新建灌溉水源及配套输水工程，工程建设任务以农田灌溉和饲草料基地灌溉为主，兼顾共和县城工业生活用水，解决切吉乡、塘格木镇农田灌溉用水需求。</w:t>
      </w:r>
    </w:p>
    <w:p w14:paraId="2545ABC3" w14:textId="77777777" w:rsidR="00054437" w:rsidRPr="000549B1" w:rsidRDefault="00000000">
      <w:pPr>
        <w:snapToGrid w:val="0"/>
        <w:spacing w:line="360" w:lineRule="auto"/>
        <w:ind w:firstLineChars="200" w:firstLine="480"/>
        <w:rPr>
          <w:bCs/>
          <w:sz w:val="24"/>
        </w:rPr>
      </w:pPr>
      <w:r w:rsidRPr="000549B1">
        <w:rPr>
          <w:bCs/>
          <w:sz w:val="24"/>
        </w:rPr>
        <w:t>工程对植被的不利影响主要表现为：工程占地会破坏植被；灌区规划工程对下游水资源挤占导致下游原生植被面临缺水风险，加速退化，进而导致工程区植被面积减少，植被生物量和生产力的降低；灌区建设及后续农业生产（如耕作、施肥、农药使用）将带来人为干扰。这些影响一般影响面积有限，均是可以接受的。</w:t>
      </w:r>
    </w:p>
    <w:p w14:paraId="7CDB114E" w14:textId="77777777" w:rsidR="00054437" w:rsidRPr="000549B1" w:rsidRDefault="00000000">
      <w:pPr>
        <w:snapToGrid w:val="0"/>
        <w:spacing w:line="360" w:lineRule="auto"/>
        <w:ind w:firstLineChars="200" w:firstLine="480"/>
        <w:rPr>
          <w:bCs/>
          <w:sz w:val="24"/>
        </w:rPr>
      </w:pPr>
      <w:r w:rsidRPr="000549B1">
        <w:rPr>
          <w:bCs/>
          <w:sz w:val="24"/>
        </w:rPr>
        <w:t>有利影响主要表现为：灌区工程实施之后，防风固沙效应显著，改善植被生存基底；灌溉系统为原生植被提供补水渠道，缓解干旱胁迫，受水区植被将会发生正向演替，对于受水区内生态系统的稳定起到积极作用。</w:t>
      </w:r>
    </w:p>
    <w:p w14:paraId="7B33E9C0" w14:textId="77777777" w:rsidR="00054437" w:rsidRPr="000549B1" w:rsidRDefault="00000000">
      <w:pPr>
        <w:pStyle w:val="Z4"/>
        <w:rPr>
          <w:color w:val="auto"/>
        </w:rPr>
      </w:pPr>
      <w:r w:rsidRPr="000549B1">
        <w:rPr>
          <w:color w:val="auto"/>
        </w:rPr>
        <w:t>防洪工程的影响</w:t>
      </w:r>
    </w:p>
    <w:p w14:paraId="119B53E1" w14:textId="5AEEE799" w:rsidR="00054437" w:rsidRPr="000549B1" w:rsidRDefault="00381872" w:rsidP="00381872">
      <w:pPr>
        <w:pStyle w:val="x"/>
      </w:pPr>
      <w:r w:rsidRPr="000549B1">
        <w:rPr>
          <w:rFonts w:hint="eastAsia"/>
        </w:rPr>
        <w:t>规划的防洪工程主要为沙珠玉河流域规划河段共安排新建护岸</w:t>
      </w:r>
      <w:r w:rsidRPr="000549B1">
        <w:rPr>
          <w:bCs/>
          <w:szCs w:val="22"/>
        </w:rPr>
        <w:t>16.3</w:t>
      </w:r>
      <w:r w:rsidRPr="000549B1">
        <w:t>km</w:t>
      </w:r>
      <w:r w:rsidRPr="000549B1">
        <w:rPr>
          <w:rFonts w:hint="eastAsia"/>
        </w:rPr>
        <w:t>，这些工程的实施会对工程区的滩地植被造成一定破坏，植被面积减少，受影响的植被以水生和湿生植被为主，如芦苇、水麦冬、沼生柳叶菜、平车前等群系</w:t>
      </w:r>
      <w:r w:rsidRPr="000549B1">
        <w:t>。</w:t>
      </w:r>
    </w:p>
    <w:p w14:paraId="0EED8C39" w14:textId="77777777" w:rsidR="00054437" w:rsidRPr="000549B1" w:rsidRDefault="00000000">
      <w:pPr>
        <w:pStyle w:val="x"/>
      </w:pPr>
      <w:r w:rsidRPr="000549B1">
        <w:t>由于河谷相对宽阔，滩地面积大，沿河两岸分布着乡镇、村庄和大面积的耕地。规划实施后有利于稳定岸坡和滩地，维护现有河势，提高河段的行洪、抗洪能力，对减少崩岸、淹没导致的生物量损失，对改善沙珠玉河河段生态环境、维护区域生态多样性具有积极意义。</w:t>
      </w:r>
    </w:p>
    <w:p w14:paraId="4A292400" w14:textId="77777777" w:rsidR="00054437" w:rsidRPr="000549B1" w:rsidRDefault="00000000">
      <w:pPr>
        <w:pStyle w:val="Z4"/>
        <w:rPr>
          <w:color w:val="auto"/>
        </w:rPr>
      </w:pPr>
      <w:r w:rsidRPr="000549B1">
        <w:rPr>
          <w:color w:val="auto"/>
        </w:rPr>
        <w:t>水生态保护与修复规划</w:t>
      </w:r>
    </w:p>
    <w:p w14:paraId="2756DDCE" w14:textId="77777777" w:rsidR="00054437" w:rsidRPr="000549B1" w:rsidRDefault="00000000">
      <w:pPr>
        <w:pStyle w:val="x"/>
      </w:pPr>
      <w:r w:rsidRPr="000549B1">
        <w:t>水生态保护与修复规划主要工程为河段生态保护与综合治理工程，建设内容包括对沙珠玉河开展综合整治，保护和修复生态环境，适当位置进行种植相适应的乔木、灌木、草本等旱生植被。工程所涉及区域在河道附近，占地区域主要为灌草地及水域，占用的植被及植物种类均为区域常见种，且分布范围较为广泛。规划工程有利于河道附近湿地植被的恢复，对于规划范围内湿地植被的稳定起到积极作用。</w:t>
      </w:r>
    </w:p>
    <w:p w14:paraId="4A87FE74" w14:textId="77777777" w:rsidR="00054437" w:rsidRPr="000549B1" w:rsidRDefault="00000000">
      <w:pPr>
        <w:pStyle w:val="Z4"/>
        <w:rPr>
          <w:color w:val="auto"/>
        </w:rPr>
      </w:pPr>
      <w:r w:rsidRPr="000549B1">
        <w:rPr>
          <w:color w:val="auto"/>
        </w:rPr>
        <w:t>水土保持规划的影响</w:t>
      </w:r>
    </w:p>
    <w:p w14:paraId="5E398114" w14:textId="77777777" w:rsidR="00054437" w:rsidRPr="000549B1" w:rsidRDefault="00000000">
      <w:pPr>
        <w:pStyle w:val="x"/>
      </w:pPr>
      <w:r w:rsidRPr="000549B1">
        <w:t>（</w:t>
      </w:r>
      <w:r w:rsidRPr="000549B1">
        <w:t>1</w:t>
      </w:r>
      <w:r w:rsidRPr="000549B1">
        <w:t>）工程措施的影响</w:t>
      </w:r>
    </w:p>
    <w:p w14:paraId="5F19CD68" w14:textId="77777777" w:rsidR="00054437" w:rsidRPr="000549B1" w:rsidRDefault="00000000">
      <w:pPr>
        <w:pStyle w:val="x"/>
      </w:pPr>
      <w:r w:rsidRPr="000549B1">
        <w:t>水土流失治理措施主要包括林草措施和工程措施。工程措施主要包括沟头防护、谷坊等。工程措施可改善坡面水系，拦沙、保土、蓄水，提高防御能力，减轻水土流失。</w:t>
      </w:r>
    </w:p>
    <w:p w14:paraId="7BE9F342" w14:textId="77777777" w:rsidR="00054437" w:rsidRPr="000549B1" w:rsidRDefault="00000000">
      <w:pPr>
        <w:pStyle w:val="x"/>
      </w:pPr>
      <w:r w:rsidRPr="000549B1">
        <w:t>这些工程对生态的影响主要是正面的，工程措施稳定地形后，为青海固沙草、披碱草等植物定植创造条件，加速退化植被逆向演替，提升物种丰富度。工程措施通过拦沙、保土、蓄水，减少表层土壤流失，增加土壤含水率，降低沙化、盐碱化风险，逐步恢复土壤肥力与抗蚀能力。</w:t>
      </w:r>
    </w:p>
    <w:p w14:paraId="59261B11" w14:textId="77777777" w:rsidR="00054437" w:rsidRPr="000549B1" w:rsidRDefault="00000000">
      <w:pPr>
        <w:pStyle w:val="x"/>
      </w:pPr>
      <w:r w:rsidRPr="000549B1">
        <w:t>不利影响主要表现在工程施工期可能短期扰动地表植被与土壤，可同步开展施工区植被恢复，因此这个影响是暂时的，影响不大。</w:t>
      </w:r>
    </w:p>
    <w:p w14:paraId="25E95131" w14:textId="77777777" w:rsidR="00054437" w:rsidRPr="000549B1" w:rsidRDefault="00000000">
      <w:pPr>
        <w:pStyle w:val="x"/>
      </w:pPr>
      <w:r w:rsidRPr="000549B1">
        <w:t>（</w:t>
      </w:r>
      <w:r w:rsidRPr="000549B1">
        <w:t>2</w:t>
      </w:r>
      <w:r w:rsidRPr="000549B1">
        <w:t>）植物措施的影响</w:t>
      </w:r>
    </w:p>
    <w:p w14:paraId="02DC7B81" w14:textId="77777777" w:rsidR="00054437" w:rsidRPr="000549B1" w:rsidRDefault="00000000">
      <w:pPr>
        <w:pStyle w:val="x"/>
      </w:pPr>
      <w:r w:rsidRPr="000549B1">
        <w:t>植物措施主要为林草措施，包括营造水土保持林、防风固沙林、种草，营造沙障，开发与利用高效水土保持植物，河流两岸及乡镇周边营造植物保护带。</w:t>
      </w:r>
    </w:p>
    <w:p w14:paraId="5F7AA7E7" w14:textId="77777777" w:rsidR="00054437" w:rsidRPr="000549B1" w:rsidRDefault="00000000">
      <w:pPr>
        <w:pStyle w:val="x"/>
      </w:pPr>
      <w:r w:rsidRPr="000549B1">
        <w:t>林草措施直接增加植被覆盖度，营造的水土保持林、防风固沙林与原生植被形成</w:t>
      </w:r>
      <w:r w:rsidRPr="000549B1">
        <w:rPr>
          <w:rFonts w:ascii="宋体" w:hAnsi="宋体"/>
        </w:rPr>
        <w:t>“</w:t>
      </w:r>
      <w:r w:rsidRPr="000549B1">
        <w:t>乔</w:t>
      </w:r>
      <w:r w:rsidRPr="000549B1">
        <w:t>-</w:t>
      </w:r>
      <w:r w:rsidRPr="000549B1">
        <w:t>灌</w:t>
      </w:r>
      <w:r w:rsidRPr="000549B1">
        <w:t>-</w:t>
      </w:r>
      <w:r w:rsidRPr="000549B1">
        <w:t>草</w:t>
      </w:r>
      <w:r w:rsidRPr="000549B1">
        <w:rPr>
          <w:rFonts w:ascii="宋体" w:hAnsi="宋体"/>
        </w:rPr>
        <w:t>”</w:t>
      </w:r>
      <w:r w:rsidRPr="000549B1">
        <w:t>复合结构，丰富群落层次。但容易导致群落结构的单一化现象，因此需适地适树营造，选择适宜物种且以合理的方式营造防风固沙、水土保持的林草建设，以促进植物群落物种的多样化和结构的合理化，加速生态恢复进程。</w:t>
      </w:r>
    </w:p>
    <w:p w14:paraId="26C99CB6" w14:textId="77777777" w:rsidR="00054437" w:rsidRPr="000549B1" w:rsidRDefault="00000000">
      <w:pPr>
        <w:pStyle w:val="Z4"/>
        <w:rPr>
          <w:color w:val="auto"/>
        </w:rPr>
      </w:pPr>
      <w:r w:rsidRPr="000549B1">
        <w:rPr>
          <w:rFonts w:ascii="宋体" w:eastAsia="宋体" w:hAnsi="宋体"/>
          <w:color w:val="auto"/>
        </w:rPr>
        <w:t>“</w:t>
      </w:r>
      <w:r w:rsidRPr="000549B1">
        <w:rPr>
          <w:color w:val="auto"/>
        </w:rPr>
        <w:t>三滩</w:t>
      </w:r>
      <w:r w:rsidRPr="000549B1">
        <w:rPr>
          <w:rFonts w:ascii="宋体" w:eastAsia="宋体" w:hAnsi="宋体"/>
          <w:color w:val="auto"/>
        </w:rPr>
        <w:t>”</w:t>
      </w:r>
      <w:r w:rsidRPr="000549B1">
        <w:rPr>
          <w:color w:val="auto"/>
        </w:rPr>
        <w:t>引水生态综合治理一期工程及小型水库工程的影响</w:t>
      </w:r>
    </w:p>
    <w:p w14:paraId="1F8DB6FB" w14:textId="77777777" w:rsidR="00054437" w:rsidRPr="000549B1" w:rsidRDefault="00000000">
      <w:pPr>
        <w:snapToGrid w:val="0"/>
        <w:spacing w:line="360" w:lineRule="auto"/>
        <w:ind w:firstLineChars="200" w:firstLine="480"/>
        <w:rPr>
          <w:bCs/>
          <w:sz w:val="24"/>
        </w:rPr>
      </w:pPr>
      <w:r w:rsidRPr="000549B1">
        <w:rPr>
          <w:bCs/>
          <w:sz w:val="24"/>
        </w:rPr>
        <w:t>规划新建大河坝水库工程，工程建设任务以农田灌溉和饲草料基地灌溉为主，兼顾共和县城工业生活用水。新建叉叉沟水库工程、直亥买沟水库、鹿龙沟水库、青羊沟水库、廿地沟水库等小型水库工程，解决切吉乡、塘格木镇农田灌溉用水需求。</w:t>
      </w:r>
    </w:p>
    <w:p w14:paraId="1AB16BE4" w14:textId="77777777" w:rsidR="00054437" w:rsidRPr="000549B1" w:rsidRDefault="00000000">
      <w:pPr>
        <w:snapToGrid w:val="0"/>
        <w:spacing w:line="360" w:lineRule="auto"/>
        <w:ind w:firstLineChars="200" w:firstLine="480"/>
        <w:rPr>
          <w:bCs/>
          <w:sz w:val="24"/>
        </w:rPr>
      </w:pPr>
      <w:r w:rsidRPr="000549B1">
        <w:rPr>
          <w:bCs/>
          <w:sz w:val="24"/>
        </w:rPr>
        <w:t>规划的大河坝河水库及多个小型水库蓄水后将淹没库区土地，造成植被损失，同时库区周边道路等工程的修建将对沿线植被也产生一定的影响。现场调查可知，水库淹没区自然植被主要是柠条锦鸡儿、红砂、芨芨草、披碱草、画眉草、冷蒿、短花针茅、狗娃花等灌丛和草地，其均为附近普遍存在的植被，属于当地广布种，在淹没范围以外有广泛的分布，水库的蓄水会导致其生物量的减少，但不会对区域植被类型造成较大影响，也不会导致种群消失和灭绝。</w:t>
      </w:r>
    </w:p>
    <w:p w14:paraId="2384BFDA" w14:textId="77777777" w:rsidR="00054437" w:rsidRPr="000549B1" w:rsidRDefault="00000000">
      <w:pPr>
        <w:snapToGrid w:val="0"/>
        <w:spacing w:line="360" w:lineRule="auto"/>
        <w:ind w:firstLineChars="200" w:firstLine="480"/>
        <w:rPr>
          <w:bCs/>
          <w:sz w:val="24"/>
        </w:rPr>
      </w:pPr>
      <w:r w:rsidRPr="000549B1">
        <w:rPr>
          <w:bCs/>
          <w:sz w:val="24"/>
        </w:rPr>
        <w:t>水库蓄水后，将在一定程度上改善局部区域内的土壤和空气湿度，有利于喜湿植物发育，从而加速群落正向演替，届时水生、湿生植物种类将会显著增加，植物种类和群落结构将趋于丰富和复杂化，这有利于维系生态系统的稳定。</w:t>
      </w:r>
    </w:p>
    <w:p w14:paraId="215BD567" w14:textId="77777777" w:rsidR="00054437" w:rsidRPr="000549B1" w:rsidRDefault="00000000">
      <w:pPr>
        <w:pStyle w:val="Z4"/>
        <w:rPr>
          <w:color w:val="auto"/>
        </w:rPr>
      </w:pPr>
      <w:r w:rsidRPr="000549B1">
        <w:rPr>
          <w:color w:val="auto"/>
        </w:rPr>
        <w:t>对重要野生植物的影响</w:t>
      </w:r>
    </w:p>
    <w:p w14:paraId="5B168504" w14:textId="77777777" w:rsidR="00054437" w:rsidRPr="000549B1" w:rsidRDefault="00000000">
      <w:pPr>
        <w:snapToGrid w:val="0"/>
        <w:spacing w:line="360" w:lineRule="auto"/>
        <w:ind w:firstLineChars="200" w:firstLine="480"/>
        <w:rPr>
          <w:bCs/>
          <w:sz w:val="24"/>
        </w:rPr>
      </w:pPr>
      <w:r w:rsidRPr="000549B1">
        <w:rPr>
          <w:bCs/>
          <w:sz w:val="24"/>
        </w:rPr>
        <w:t>现状调查可知，评价范围内有野生植物重要物种</w:t>
      </w:r>
      <w:r w:rsidRPr="000549B1">
        <w:rPr>
          <w:bCs/>
          <w:sz w:val="24"/>
        </w:rPr>
        <w:t>10</w:t>
      </w:r>
      <w:r w:rsidRPr="000549B1">
        <w:rPr>
          <w:bCs/>
          <w:sz w:val="24"/>
        </w:rPr>
        <w:t>种，其中国家二级重点保护植物有</w:t>
      </w:r>
      <w:r w:rsidRPr="000549B1">
        <w:rPr>
          <w:bCs/>
          <w:sz w:val="24"/>
        </w:rPr>
        <w:t>2</w:t>
      </w:r>
      <w:r w:rsidRPr="000549B1">
        <w:rPr>
          <w:bCs/>
          <w:sz w:val="24"/>
        </w:rPr>
        <w:t>种，分别为四裂红景天和粗茎红景天；有</w:t>
      </w:r>
      <w:r w:rsidRPr="000549B1">
        <w:rPr>
          <w:bCs/>
          <w:sz w:val="24"/>
        </w:rPr>
        <w:t>8</w:t>
      </w:r>
      <w:r w:rsidRPr="000549B1">
        <w:rPr>
          <w:bCs/>
          <w:sz w:val="24"/>
        </w:rPr>
        <w:t>种青海省级重点保护植物，分别为唐古红景天、狭叶红景天、水母雪兔子、鸡爪大黄、驼绒藜、多枝黄芪、蕨麻、达乌里秦艽。</w:t>
      </w:r>
    </w:p>
    <w:p w14:paraId="09F9D7ED" w14:textId="77777777" w:rsidR="00054437" w:rsidRPr="000549B1" w:rsidRDefault="00000000">
      <w:pPr>
        <w:snapToGrid w:val="0"/>
        <w:spacing w:line="360" w:lineRule="auto"/>
        <w:ind w:firstLineChars="200" w:firstLine="480"/>
        <w:rPr>
          <w:bCs/>
          <w:sz w:val="24"/>
        </w:rPr>
      </w:pPr>
      <w:r w:rsidRPr="000549B1">
        <w:rPr>
          <w:bCs/>
          <w:sz w:val="24"/>
        </w:rPr>
        <w:t>其中四裂红景天、粗茎红景天、唐古红景天和狭叶红景天，其典型生境为海拔</w:t>
      </w:r>
      <w:r w:rsidRPr="000549B1">
        <w:rPr>
          <w:bCs/>
          <w:sz w:val="24"/>
        </w:rPr>
        <w:t>2900-5100</w:t>
      </w:r>
      <w:r w:rsidRPr="000549B1">
        <w:rPr>
          <w:bCs/>
          <w:sz w:val="24"/>
        </w:rPr>
        <w:t>米的山坡石缝、沟边，分布在流域上游河源区（如切吉水库周边高山）的岩石缝隙中。水母雪兔子、鸡爪大黄、驼绒藜、多枝黄芪、蕨麻和达乌里秦艽，多分布在中游温性草原（河谷阶地草原）、上游高寒草甸（海拔</w:t>
      </w:r>
      <w:r w:rsidRPr="000549B1">
        <w:rPr>
          <w:bCs/>
          <w:sz w:val="24"/>
        </w:rPr>
        <w:t>3200-3300</w:t>
      </w:r>
      <w:r w:rsidRPr="000549B1">
        <w:rPr>
          <w:bCs/>
          <w:sz w:val="24"/>
        </w:rPr>
        <w:t>米）等区域。</w:t>
      </w:r>
    </w:p>
    <w:p w14:paraId="50DD6109" w14:textId="77777777" w:rsidR="00054437" w:rsidRPr="000549B1" w:rsidRDefault="00000000">
      <w:pPr>
        <w:snapToGrid w:val="0"/>
        <w:spacing w:line="360" w:lineRule="auto"/>
        <w:ind w:firstLineChars="200" w:firstLine="480"/>
        <w:rPr>
          <w:bCs/>
          <w:sz w:val="24"/>
        </w:rPr>
      </w:pPr>
      <w:r w:rsidRPr="000549B1">
        <w:rPr>
          <w:bCs/>
          <w:sz w:val="24"/>
        </w:rPr>
        <w:t>本次规划的蓄水工程、引水工程、防洪工程等工程占地区，可能有上述重点保护野生植物分布，工程施工期或水库蓄水淹没时会破坏其部分生境，施工时及蓄水前，如发现现场有这几种植物分布，要采取移栽措施加以保护。</w:t>
      </w:r>
    </w:p>
    <w:p w14:paraId="5753BE30" w14:textId="77777777" w:rsidR="00054437" w:rsidRPr="000549B1" w:rsidRDefault="00000000">
      <w:pPr>
        <w:pStyle w:val="3"/>
      </w:pPr>
      <w:bookmarkStart w:id="403" w:name="_Toc216107053"/>
      <w:r w:rsidRPr="000549B1">
        <w:t>对陆生动物的影响</w:t>
      </w:r>
      <w:bookmarkEnd w:id="403"/>
    </w:p>
    <w:p w14:paraId="42B4279B" w14:textId="77777777" w:rsidR="00054437" w:rsidRPr="000549B1" w:rsidRDefault="00000000">
      <w:pPr>
        <w:pStyle w:val="Z4"/>
        <w:rPr>
          <w:color w:val="auto"/>
        </w:rPr>
      </w:pPr>
      <w:r w:rsidRPr="000549B1">
        <w:rPr>
          <w:color w:val="auto"/>
        </w:rPr>
        <w:t>对两栖、爬行类动物的影响</w:t>
      </w:r>
    </w:p>
    <w:p w14:paraId="14603BEE" w14:textId="77777777" w:rsidR="00054437" w:rsidRPr="000549B1" w:rsidRDefault="00000000">
      <w:pPr>
        <w:snapToGrid w:val="0"/>
        <w:spacing w:line="360" w:lineRule="auto"/>
        <w:ind w:firstLineChars="200" w:firstLine="480"/>
        <w:rPr>
          <w:bCs/>
          <w:sz w:val="24"/>
        </w:rPr>
      </w:pPr>
      <w:r w:rsidRPr="000549B1">
        <w:rPr>
          <w:bCs/>
          <w:sz w:val="24"/>
        </w:rPr>
        <w:t>（</w:t>
      </w:r>
      <w:r w:rsidRPr="000549B1">
        <w:rPr>
          <w:bCs/>
          <w:sz w:val="24"/>
        </w:rPr>
        <w:t>1</w:t>
      </w:r>
      <w:r w:rsidRPr="000549B1">
        <w:rPr>
          <w:bCs/>
          <w:sz w:val="24"/>
        </w:rPr>
        <w:t>）规划实施期间</w:t>
      </w:r>
    </w:p>
    <w:p w14:paraId="4AE7CC0A" w14:textId="77777777" w:rsidR="00054437" w:rsidRPr="000549B1" w:rsidRDefault="00000000">
      <w:pPr>
        <w:snapToGrid w:val="0"/>
        <w:spacing w:line="360" w:lineRule="auto"/>
        <w:ind w:firstLineChars="200" w:firstLine="480"/>
        <w:rPr>
          <w:bCs/>
          <w:sz w:val="24"/>
        </w:rPr>
      </w:pPr>
      <w:r w:rsidRPr="000549B1">
        <w:rPr>
          <w:bCs/>
          <w:sz w:val="24"/>
        </w:rPr>
        <w:t>评价区内共有两栖动物有</w:t>
      </w:r>
      <w:r w:rsidRPr="000549B1">
        <w:rPr>
          <w:bCs/>
          <w:sz w:val="24"/>
        </w:rPr>
        <w:t>1</w:t>
      </w:r>
      <w:r w:rsidRPr="000549B1">
        <w:rPr>
          <w:bCs/>
          <w:sz w:val="24"/>
        </w:rPr>
        <w:t>目</w:t>
      </w:r>
      <w:r w:rsidRPr="000549B1">
        <w:rPr>
          <w:bCs/>
          <w:sz w:val="24"/>
        </w:rPr>
        <w:t>2</w:t>
      </w:r>
      <w:r w:rsidRPr="000549B1">
        <w:rPr>
          <w:bCs/>
          <w:sz w:val="24"/>
        </w:rPr>
        <w:t>科</w:t>
      </w:r>
      <w:r w:rsidRPr="000549B1">
        <w:rPr>
          <w:bCs/>
          <w:sz w:val="24"/>
        </w:rPr>
        <w:t>2</w:t>
      </w:r>
      <w:r w:rsidRPr="000549B1">
        <w:rPr>
          <w:bCs/>
          <w:sz w:val="24"/>
        </w:rPr>
        <w:t>种，分别为中国林蛙和花背蟾蜍。有爬行动物有</w:t>
      </w:r>
      <w:r w:rsidRPr="000549B1">
        <w:rPr>
          <w:bCs/>
          <w:sz w:val="24"/>
        </w:rPr>
        <w:t>2</w:t>
      </w:r>
      <w:r w:rsidRPr="000549B1">
        <w:rPr>
          <w:bCs/>
          <w:sz w:val="24"/>
        </w:rPr>
        <w:t>目</w:t>
      </w:r>
      <w:r w:rsidRPr="000549B1">
        <w:rPr>
          <w:bCs/>
          <w:sz w:val="24"/>
        </w:rPr>
        <w:t>2</w:t>
      </w:r>
      <w:r w:rsidRPr="000549B1">
        <w:rPr>
          <w:bCs/>
          <w:sz w:val="24"/>
        </w:rPr>
        <w:t>科</w:t>
      </w:r>
      <w:r w:rsidRPr="000549B1">
        <w:rPr>
          <w:bCs/>
          <w:sz w:val="24"/>
        </w:rPr>
        <w:t>4</w:t>
      </w:r>
      <w:r w:rsidRPr="000549B1">
        <w:rPr>
          <w:bCs/>
          <w:sz w:val="24"/>
        </w:rPr>
        <w:t>种，分别为青海沙蜥、草原沙蜥、密点麻蜥、枕纹锦蛇。</w:t>
      </w:r>
    </w:p>
    <w:p w14:paraId="398B6669" w14:textId="77777777" w:rsidR="00054437" w:rsidRPr="000549B1" w:rsidRDefault="00000000">
      <w:pPr>
        <w:snapToGrid w:val="0"/>
        <w:spacing w:line="360" w:lineRule="auto"/>
        <w:ind w:firstLineChars="200" w:firstLine="480"/>
        <w:rPr>
          <w:bCs/>
          <w:sz w:val="24"/>
        </w:rPr>
      </w:pPr>
      <w:r w:rsidRPr="000549B1">
        <w:rPr>
          <w:bCs/>
          <w:sz w:val="24"/>
        </w:rPr>
        <w:t>规划实施期间，对两栖、爬行动物的影响主要表现在工程占地占用其生境，施工生产生活产生的污染物及废水污染水体，施工活动、人为干扰对其造成驱赶及个体的伤亡等方面。</w:t>
      </w:r>
    </w:p>
    <w:p w14:paraId="33E4AEA0" w14:textId="77777777" w:rsidR="00054437" w:rsidRPr="000549B1" w:rsidRDefault="00000000">
      <w:pPr>
        <w:snapToGrid w:val="0"/>
        <w:spacing w:line="360" w:lineRule="auto"/>
        <w:ind w:firstLineChars="200" w:firstLine="480"/>
        <w:rPr>
          <w:bCs/>
          <w:sz w:val="24"/>
        </w:rPr>
      </w:pPr>
      <w:r w:rsidRPr="000549B1">
        <w:rPr>
          <w:bCs/>
          <w:sz w:val="24"/>
        </w:rPr>
        <w:t>首先是规划工程占地（包括临时性占地和永久占地）对两栖爬行动物的影响。规划工程占地将直接占用和破坏两栖、爬行动物的部分栖息地，使其生境片段化，缩小其生存空间，迫使其迁往其他区域，短时间内其周边密度会显著提升，从而增加其种类种间竞争，造成该区域两栖、爬行动物种群数量的降低。</w:t>
      </w:r>
    </w:p>
    <w:p w14:paraId="670BF9DA" w14:textId="77777777" w:rsidR="00054437" w:rsidRPr="000549B1" w:rsidRDefault="00000000">
      <w:pPr>
        <w:snapToGrid w:val="0"/>
        <w:spacing w:line="360" w:lineRule="auto"/>
        <w:ind w:firstLineChars="200" w:firstLine="480"/>
        <w:rPr>
          <w:bCs/>
          <w:sz w:val="24"/>
        </w:rPr>
      </w:pPr>
      <w:r w:rsidRPr="000549B1">
        <w:rPr>
          <w:bCs/>
          <w:sz w:val="24"/>
        </w:rPr>
        <w:t>在规划实施过程中，生产废水和施工人员生活污水等若不经过处理直接排放到河流中，可能导致沙珠玉河及其支流水质变差，导致该区域两栖、爬行动物种群数量减少。</w:t>
      </w:r>
    </w:p>
    <w:p w14:paraId="517D1635" w14:textId="77777777" w:rsidR="00054437" w:rsidRPr="000549B1" w:rsidRDefault="00000000">
      <w:pPr>
        <w:snapToGrid w:val="0"/>
        <w:spacing w:line="360" w:lineRule="auto"/>
        <w:ind w:firstLineChars="200" w:firstLine="480"/>
        <w:rPr>
          <w:bCs/>
          <w:sz w:val="24"/>
        </w:rPr>
      </w:pPr>
      <w:r w:rsidRPr="000549B1">
        <w:rPr>
          <w:bCs/>
          <w:sz w:val="24"/>
        </w:rPr>
        <w:t>规划实施期间，施工机械噪声及施工人员活动会驱使两栖、爬行动物离开原有生境，使其个体数量减少。此外，工程在两栖、爬行动物冬眠期及繁殖期施工也会造成其个体伤亡。</w:t>
      </w:r>
    </w:p>
    <w:p w14:paraId="46C9CC51" w14:textId="77777777" w:rsidR="00054437" w:rsidRPr="000549B1" w:rsidRDefault="00000000">
      <w:pPr>
        <w:snapToGrid w:val="0"/>
        <w:spacing w:line="360" w:lineRule="auto"/>
        <w:ind w:firstLineChars="200" w:firstLine="480"/>
        <w:rPr>
          <w:bCs/>
          <w:sz w:val="24"/>
        </w:rPr>
      </w:pPr>
      <w:r w:rsidRPr="000549B1">
        <w:rPr>
          <w:bCs/>
          <w:sz w:val="24"/>
        </w:rPr>
        <w:t>综上，规划项目施工期间，会导致两栖、爬行动物向周边相似生境转移，造成项目区的种群数量发生改变，但这种影响是暂时的，不会造成物种消失，施工结束后，一般会恢复到原来状态。</w:t>
      </w:r>
    </w:p>
    <w:p w14:paraId="46B009D4" w14:textId="77777777" w:rsidR="00054437" w:rsidRPr="000549B1" w:rsidRDefault="00000000">
      <w:pPr>
        <w:snapToGrid w:val="0"/>
        <w:spacing w:line="360" w:lineRule="auto"/>
        <w:ind w:firstLineChars="200" w:firstLine="480"/>
        <w:rPr>
          <w:bCs/>
          <w:sz w:val="24"/>
        </w:rPr>
      </w:pPr>
      <w:r w:rsidRPr="000549B1">
        <w:rPr>
          <w:bCs/>
          <w:sz w:val="24"/>
        </w:rPr>
        <w:t>（</w:t>
      </w:r>
      <w:r w:rsidRPr="000549B1">
        <w:rPr>
          <w:bCs/>
          <w:sz w:val="24"/>
        </w:rPr>
        <w:t>2</w:t>
      </w:r>
      <w:r w:rsidRPr="000549B1">
        <w:rPr>
          <w:bCs/>
          <w:sz w:val="24"/>
        </w:rPr>
        <w:t>）规划实施后</w:t>
      </w:r>
    </w:p>
    <w:p w14:paraId="6A75F204" w14:textId="77777777" w:rsidR="00054437" w:rsidRPr="000549B1" w:rsidRDefault="00000000">
      <w:pPr>
        <w:snapToGrid w:val="0"/>
        <w:spacing w:line="360" w:lineRule="auto"/>
        <w:ind w:firstLineChars="200" w:firstLine="480"/>
        <w:rPr>
          <w:bCs/>
          <w:sz w:val="24"/>
        </w:rPr>
      </w:pPr>
      <w:r w:rsidRPr="000549B1">
        <w:rPr>
          <w:bCs/>
          <w:sz w:val="24"/>
        </w:rPr>
        <w:t>规划项目实施后，对两栖、爬行动物产生影响的主要为水库工程和供水工程造成的水域面积扩大，可为中国林蛙、花背蟾蜍等提供了适宜的生活环境，这些动物的种类和数量将有增加趋势。</w:t>
      </w:r>
    </w:p>
    <w:p w14:paraId="49D261CA" w14:textId="77777777" w:rsidR="00054437" w:rsidRPr="000549B1" w:rsidRDefault="00000000">
      <w:pPr>
        <w:pStyle w:val="Z4"/>
        <w:rPr>
          <w:color w:val="auto"/>
        </w:rPr>
      </w:pPr>
      <w:r w:rsidRPr="000549B1">
        <w:rPr>
          <w:color w:val="auto"/>
        </w:rPr>
        <w:t>对鸟类的影响</w:t>
      </w:r>
    </w:p>
    <w:p w14:paraId="26FE5029" w14:textId="77777777" w:rsidR="00054437" w:rsidRPr="000549B1" w:rsidRDefault="00000000">
      <w:pPr>
        <w:snapToGrid w:val="0"/>
        <w:spacing w:line="360" w:lineRule="auto"/>
        <w:ind w:firstLineChars="200" w:firstLine="480"/>
        <w:rPr>
          <w:bCs/>
          <w:sz w:val="24"/>
        </w:rPr>
      </w:pPr>
      <w:r w:rsidRPr="000549B1">
        <w:rPr>
          <w:bCs/>
          <w:sz w:val="24"/>
        </w:rPr>
        <w:t>（</w:t>
      </w:r>
      <w:r w:rsidRPr="000549B1">
        <w:rPr>
          <w:bCs/>
          <w:sz w:val="24"/>
        </w:rPr>
        <w:t>1</w:t>
      </w:r>
      <w:r w:rsidRPr="000549B1">
        <w:rPr>
          <w:bCs/>
          <w:sz w:val="24"/>
        </w:rPr>
        <w:t>）规划实施期间</w:t>
      </w:r>
    </w:p>
    <w:p w14:paraId="0555FD34" w14:textId="77777777" w:rsidR="00054437" w:rsidRPr="000549B1" w:rsidRDefault="00000000">
      <w:pPr>
        <w:snapToGrid w:val="0"/>
        <w:spacing w:line="360" w:lineRule="auto"/>
        <w:ind w:firstLineChars="200" w:firstLine="480"/>
        <w:rPr>
          <w:bCs/>
          <w:sz w:val="24"/>
        </w:rPr>
      </w:pPr>
      <w:r w:rsidRPr="000549B1">
        <w:rPr>
          <w:bCs/>
          <w:sz w:val="24"/>
        </w:rPr>
        <w:t>评价区鸟类资源比较丰富，共</w:t>
      </w:r>
      <w:r w:rsidRPr="000549B1">
        <w:rPr>
          <w:bCs/>
          <w:sz w:val="24"/>
        </w:rPr>
        <w:t>12</w:t>
      </w:r>
      <w:r w:rsidRPr="000549B1">
        <w:rPr>
          <w:bCs/>
          <w:sz w:val="24"/>
        </w:rPr>
        <w:t>目</w:t>
      </w:r>
      <w:r w:rsidRPr="000549B1">
        <w:rPr>
          <w:bCs/>
          <w:sz w:val="24"/>
        </w:rPr>
        <w:t>32</w:t>
      </w:r>
      <w:r w:rsidRPr="000549B1">
        <w:rPr>
          <w:bCs/>
          <w:sz w:val="24"/>
        </w:rPr>
        <w:t>科</w:t>
      </w:r>
      <w:r w:rsidRPr="000549B1">
        <w:rPr>
          <w:bCs/>
          <w:sz w:val="24"/>
        </w:rPr>
        <w:t>117</w:t>
      </w:r>
      <w:r w:rsidRPr="000549B1">
        <w:rPr>
          <w:bCs/>
          <w:sz w:val="24"/>
        </w:rPr>
        <w:t>种，主要有雀鹰、猎隼、高原山鹑、长嘴百灵、小沙百灵、小云雀、喜鹊等。以林鸟为主，包括雀形目、隼形目、鸽形目等鸟类，其主要在林地、灌丛、农田中活动，在规划范围内广泛分布。</w:t>
      </w:r>
    </w:p>
    <w:p w14:paraId="4EDF723B" w14:textId="77777777" w:rsidR="00054437" w:rsidRPr="000549B1" w:rsidRDefault="00000000">
      <w:pPr>
        <w:snapToGrid w:val="0"/>
        <w:spacing w:line="360" w:lineRule="auto"/>
        <w:ind w:firstLineChars="200" w:firstLine="480"/>
        <w:rPr>
          <w:bCs/>
          <w:sz w:val="24"/>
        </w:rPr>
      </w:pPr>
      <w:r w:rsidRPr="000549B1">
        <w:rPr>
          <w:bCs/>
          <w:sz w:val="24"/>
        </w:rPr>
        <w:t>规划实施期间施工占地可能占用其生境，对其有一定的影响，但由于施工占用林地、灌丛、农田面积相对较小，且周围相似生境较多，因此对其影响不大。但施工噪声及人为干扰将对其造成一定影响。鸟类对噪声及人类的活动较为敏感，受施工噪声及人为干扰影响，部分机警胆怯的林鸟会远离施工区，向施工区外迁徙。</w:t>
      </w:r>
    </w:p>
    <w:p w14:paraId="6D2E2011" w14:textId="77777777" w:rsidR="00054437" w:rsidRPr="000549B1" w:rsidRDefault="00000000">
      <w:pPr>
        <w:snapToGrid w:val="0"/>
        <w:spacing w:line="360" w:lineRule="auto"/>
        <w:ind w:firstLineChars="200" w:firstLine="480"/>
        <w:rPr>
          <w:bCs/>
          <w:sz w:val="24"/>
        </w:rPr>
      </w:pPr>
      <w:r w:rsidRPr="000549B1">
        <w:rPr>
          <w:bCs/>
          <w:sz w:val="24"/>
        </w:rPr>
        <w:t>除林鸟外，评价区还有一些涉禽、游禽等水鸟，包括雁形目、鹈形目、鸻形目的鸟类，主要分布在沙珠玉河流域河流及周边湿地内。规划的水库、护岸防洪等工程施工占地会占用部分水域及滩涂湿地，缩减了这些群鸟类的栖息地，使其破碎化程度加剧，另外，项目施工噪声将及人为活动将驱离这些鸟类迁移至其他河段活动。</w:t>
      </w:r>
    </w:p>
    <w:p w14:paraId="1D9115D4" w14:textId="20048B9C" w:rsidR="00054437" w:rsidRPr="000549B1" w:rsidRDefault="00000000">
      <w:pPr>
        <w:snapToGrid w:val="0"/>
        <w:spacing w:line="360" w:lineRule="auto"/>
        <w:ind w:firstLineChars="200" w:firstLine="480"/>
        <w:rPr>
          <w:bCs/>
          <w:sz w:val="24"/>
        </w:rPr>
      </w:pPr>
      <w:r w:rsidRPr="000549B1">
        <w:rPr>
          <w:bCs/>
          <w:sz w:val="24"/>
        </w:rPr>
        <w:t>综上，规划项目实施期间对鸟类的影响主要表现为工程占用其生境，施工噪声及施工活动对其产生干扰，但由于鸟类的迁移能力较强，加之规划施工占地较少且周围相似生境较多，因此</w:t>
      </w:r>
      <w:r w:rsidRPr="000549B1">
        <w:rPr>
          <w:rFonts w:hint="eastAsia"/>
          <w:bCs/>
          <w:sz w:val="24"/>
        </w:rPr>
        <w:t>规划</w:t>
      </w:r>
      <w:r w:rsidRPr="000549B1">
        <w:rPr>
          <w:bCs/>
          <w:sz w:val="24"/>
        </w:rPr>
        <w:t>对鸟类的栖息、觅食和繁殖影响有限。</w:t>
      </w:r>
    </w:p>
    <w:p w14:paraId="61FF1DFC" w14:textId="77777777" w:rsidR="00054437" w:rsidRPr="000549B1" w:rsidRDefault="00000000">
      <w:pPr>
        <w:snapToGrid w:val="0"/>
        <w:spacing w:line="360" w:lineRule="auto"/>
        <w:ind w:firstLineChars="200" w:firstLine="480"/>
        <w:rPr>
          <w:bCs/>
          <w:sz w:val="24"/>
        </w:rPr>
      </w:pPr>
      <w:r w:rsidRPr="000549B1">
        <w:rPr>
          <w:bCs/>
          <w:sz w:val="24"/>
        </w:rPr>
        <w:t>（</w:t>
      </w:r>
      <w:r w:rsidRPr="000549B1">
        <w:rPr>
          <w:bCs/>
          <w:sz w:val="24"/>
        </w:rPr>
        <w:t>2</w:t>
      </w:r>
      <w:r w:rsidRPr="000549B1">
        <w:rPr>
          <w:bCs/>
          <w:sz w:val="24"/>
        </w:rPr>
        <w:t>）规划实施后</w:t>
      </w:r>
    </w:p>
    <w:p w14:paraId="132E40B0" w14:textId="1A37BC77" w:rsidR="00054437" w:rsidRPr="000549B1" w:rsidRDefault="00000000">
      <w:pPr>
        <w:snapToGrid w:val="0"/>
        <w:spacing w:line="360" w:lineRule="auto"/>
        <w:ind w:firstLineChars="200" w:firstLine="480"/>
        <w:rPr>
          <w:bCs/>
          <w:sz w:val="24"/>
        </w:rPr>
      </w:pPr>
      <w:r w:rsidRPr="000549B1">
        <w:rPr>
          <w:bCs/>
          <w:sz w:val="24"/>
        </w:rPr>
        <w:t>规划项目建设完成后对鸟类的影响主要来自水库蓄水淹没的影响。大坝建成后，水库蓄水会淹没一些陆禽、鸣禽、攀禽等林鸟的栖息地，迫使其迁往别处，影响是暂时的。库区水面和库周滩涂可为游禽和涉禽提供更广阔的栖息地，对其生存是有利的。此外，各类水生态保护与修复工程、水土保持工程会改善区域内的生态环境，为该区域鸟类提供更好的栖息生境。</w:t>
      </w:r>
    </w:p>
    <w:p w14:paraId="7074683E" w14:textId="77777777" w:rsidR="00054437" w:rsidRPr="000549B1" w:rsidRDefault="00000000">
      <w:pPr>
        <w:snapToGrid w:val="0"/>
        <w:spacing w:line="360" w:lineRule="auto"/>
        <w:ind w:firstLineChars="200" w:firstLine="480"/>
        <w:rPr>
          <w:bCs/>
          <w:sz w:val="24"/>
        </w:rPr>
      </w:pPr>
      <w:r w:rsidRPr="000549B1">
        <w:rPr>
          <w:bCs/>
          <w:sz w:val="24"/>
        </w:rPr>
        <w:t>总体来说，规划实施后对于不同习性的鸟类的影响程度不同，主要影响是使规划范围内的鸟类分布格局发生改变，但基本不会影响区域内鸟类的种类和数量。</w:t>
      </w:r>
    </w:p>
    <w:p w14:paraId="3CCFF73A" w14:textId="77777777" w:rsidR="00054437" w:rsidRPr="000549B1" w:rsidRDefault="00000000">
      <w:pPr>
        <w:pStyle w:val="Z4"/>
        <w:rPr>
          <w:color w:val="auto"/>
        </w:rPr>
      </w:pPr>
      <w:r w:rsidRPr="000549B1">
        <w:rPr>
          <w:color w:val="auto"/>
        </w:rPr>
        <w:t>对哺乳类的影响</w:t>
      </w:r>
    </w:p>
    <w:p w14:paraId="114C4AB5" w14:textId="77777777" w:rsidR="00054437" w:rsidRPr="000549B1" w:rsidRDefault="00000000">
      <w:pPr>
        <w:snapToGrid w:val="0"/>
        <w:spacing w:line="360" w:lineRule="auto"/>
        <w:ind w:firstLineChars="200" w:firstLine="480"/>
        <w:rPr>
          <w:bCs/>
          <w:sz w:val="24"/>
        </w:rPr>
      </w:pPr>
      <w:r w:rsidRPr="000549B1">
        <w:rPr>
          <w:bCs/>
          <w:sz w:val="24"/>
        </w:rPr>
        <w:t>（</w:t>
      </w:r>
      <w:r w:rsidRPr="000549B1">
        <w:rPr>
          <w:bCs/>
          <w:sz w:val="24"/>
        </w:rPr>
        <w:t>1</w:t>
      </w:r>
      <w:r w:rsidRPr="000549B1">
        <w:rPr>
          <w:bCs/>
          <w:sz w:val="24"/>
        </w:rPr>
        <w:t>）规划实施期间</w:t>
      </w:r>
    </w:p>
    <w:p w14:paraId="36DAC50A" w14:textId="77777777" w:rsidR="00054437" w:rsidRPr="000549B1" w:rsidRDefault="00000000">
      <w:pPr>
        <w:snapToGrid w:val="0"/>
        <w:spacing w:line="360" w:lineRule="auto"/>
        <w:ind w:firstLineChars="200" w:firstLine="480"/>
        <w:rPr>
          <w:bCs/>
          <w:sz w:val="24"/>
        </w:rPr>
      </w:pPr>
      <w:r w:rsidRPr="000549B1">
        <w:rPr>
          <w:bCs/>
          <w:sz w:val="24"/>
        </w:rPr>
        <w:t>评价区内有哺乳动物</w:t>
      </w:r>
      <w:r w:rsidRPr="000549B1">
        <w:rPr>
          <w:bCs/>
          <w:sz w:val="24"/>
        </w:rPr>
        <w:t>4</w:t>
      </w:r>
      <w:r w:rsidRPr="000549B1">
        <w:rPr>
          <w:bCs/>
          <w:sz w:val="24"/>
        </w:rPr>
        <w:t>目</w:t>
      </w:r>
      <w:r w:rsidRPr="000549B1">
        <w:rPr>
          <w:bCs/>
          <w:sz w:val="24"/>
        </w:rPr>
        <w:t>11</w:t>
      </w:r>
      <w:r w:rsidRPr="000549B1">
        <w:rPr>
          <w:bCs/>
          <w:sz w:val="24"/>
        </w:rPr>
        <w:t>科</w:t>
      </w:r>
      <w:r w:rsidRPr="000549B1">
        <w:rPr>
          <w:bCs/>
          <w:sz w:val="24"/>
        </w:rPr>
        <w:t>22</w:t>
      </w:r>
      <w:r w:rsidRPr="000549B1">
        <w:rPr>
          <w:bCs/>
          <w:sz w:val="24"/>
        </w:rPr>
        <w:t>种，常见的哺乳动物主要有西藏鼩鼱、喜马拉雅旱獭、藏仓鼠、小家鼠、高原鼠兔等。主要为半地下生活型、岩洞栖息型和地面生活型。规划实施影响较大的为半地下生活型及地面生活型种类，主要为啮齿目、兔形目及食肉目的一些物种。啮齿目一般体型较小，主要在地面活动觅食，栖息、避敌于洞穴中，兔形目及食肉目则是一些体型较大的兽类，主要栖息于海拔相对较高的山地、草原及河谷绿洲带。</w:t>
      </w:r>
    </w:p>
    <w:p w14:paraId="01C5EED2" w14:textId="77777777" w:rsidR="00054437" w:rsidRPr="000549B1" w:rsidRDefault="00000000">
      <w:pPr>
        <w:snapToGrid w:val="0"/>
        <w:spacing w:line="360" w:lineRule="auto"/>
        <w:ind w:firstLineChars="200" w:firstLine="480"/>
        <w:rPr>
          <w:bCs/>
          <w:sz w:val="24"/>
        </w:rPr>
      </w:pPr>
      <w:r w:rsidRPr="000549B1">
        <w:rPr>
          <w:bCs/>
          <w:sz w:val="24"/>
        </w:rPr>
        <w:t>对于啮齿目在规划实施过程中，防洪工程和水库建设可能对其巢穴造成直接破坏，尤其是草原地带的栖息地，使其栖息地缩小，它们会迅速迁移到附近相似的生境中；此外，工程建设和人为活动增多导致的噪声、废水污染也会迫使其远离栖息地，但这些影响程度均较为有限，而且规划实施后干扰随即消失，其种群会很快恢复，基本不会影响其物种多样性。</w:t>
      </w:r>
    </w:p>
    <w:p w14:paraId="2167AE21" w14:textId="470C86B3" w:rsidR="00054437" w:rsidRPr="000549B1" w:rsidRDefault="00000000">
      <w:pPr>
        <w:snapToGrid w:val="0"/>
        <w:spacing w:line="360" w:lineRule="auto"/>
        <w:ind w:firstLineChars="200" w:firstLine="480"/>
        <w:rPr>
          <w:bCs/>
          <w:sz w:val="24"/>
        </w:rPr>
      </w:pPr>
      <w:r w:rsidRPr="000549B1">
        <w:rPr>
          <w:bCs/>
          <w:sz w:val="24"/>
        </w:rPr>
        <w:t>对于规划范围内兔形目，在规划实施过程中，水库建设和防洪工程可能会淹没部分栖息地，尤其是河谷地带的草原和湿地；灌溉工程中的水渠、道路建设会将原本连续的栖息地分割成小块，形成栖息地碎片化，限制这些动物的活动范围；工程建设期间的施工活动和建成后的人类生产生活活动，会对这些动物产生严重干扰；施工产生的噪</w:t>
      </w:r>
      <w:r w:rsidR="00381872" w:rsidRPr="000549B1">
        <w:rPr>
          <w:rFonts w:hint="eastAsia"/>
          <w:bCs/>
          <w:sz w:val="24"/>
        </w:rPr>
        <w:t>声</w:t>
      </w:r>
      <w:r w:rsidRPr="000549B1">
        <w:rPr>
          <w:bCs/>
          <w:sz w:val="24"/>
        </w:rPr>
        <w:t>、震动会使它们感到恐慌，被迫远离原本的栖息地；人类活动的增加还可能导致它们的食物来源受到影响，如过度放牧、农田扩张等会与它们争夺食物资源，食物减少，导致其被迫向外迁徙，种群数量减少。</w:t>
      </w:r>
    </w:p>
    <w:p w14:paraId="218FF88A" w14:textId="428C6842" w:rsidR="00054437" w:rsidRPr="000549B1" w:rsidRDefault="00000000">
      <w:pPr>
        <w:snapToGrid w:val="0"/>
        <w:spacing w:line="360" w:lineRule="auto"/>
        <w:ind w:firstLineChars="200" w:firstLine="480"/>
        <w:rPr>
          <w:bCs/>
          <w:sz w:val="24"/>
        </w:rPr>
      </w:pPr>
      <w:r w:rsidRPr="000549B1">
        <w:rPr>
          <w:bCs/>
          <w:sz w:val="24"/>
        </w:rPr>
        <w:t>对于规划范围内食肉目，在规划实施过程中，工程施工导致侵占原有栖息地，栖息地碎片化，限制食肉目动物的活动范围；工程建设导致流域内的人类活动会显著增加，施工机械</w:t>
      </w:r>
      <w:r w:rsidR="00381872" w:rsidRPr="000549B1">
        <w:rPr>
          <w:bCs/>
          <w:sz w:val="24"/>
        </w:rPr>
        <w:t>噪</w:t>
      </w:r>
      <w:r w:rsidR="00381872" w:rsidRPr="000549B1">
        <w:rPr>
          <w:rFonts w:hint="eastAsia"/>
          <w:bCs/>
          <w:sz w:val="24"/>
        </w:rPr>
        <w:t>声</w:t>
      </w:r>
      <w:r w:rsidRPr="000549B1">
        <w:rPr>
          <w:bCs/>
          <w:sz w:val="24"/>
        </w:rPr>
        <w:t>干扰等人类的频繁活动会对这些食肉动物产生干扰，导致它们被迫远离原本的活动区域，寻找更安静的栖息地；灌溉工程的实施可能会改变区域内的土地利用方式，如将草原、荒地开垦为农田，这会导致啮齿类动物的栖息地发生变化，数量可能减少，从而影响食肉动物等的食物来源，导致其同样被迫向外迁徙。</w:t>
      </w:r>
    </w:p>
    <w:p w14:paraId="2B3E9ABA" w14:textId="77777777" w:rsidR="00054437" w:rsidRPr="000549B1" w:rsidRDefault="00000000">
      <w:pPr>
        <w:snapToGrid w:val="0"/>
        <w:spacing w:line="360" w:lineRule="auto"/>
        <w:ind w:firstLineChars="200" w:firstLine="480"/>
        <w:rPr>
          <w:bCs/>
          <w:sz w:val="24"/>
        </w:rPr>
      </w:pPr>
      <w:r w:rsidRPr="000549B1">
        <w:rPr>
          <w:bCs/>
          <w:sz w:val="24"/>
        </w:rPr>
        <w:t>总体来说，工程实施时，对兽类的主要影响体现在工程施工直接破坏或占用其栖息地，使其栖息地缩小，迁移到附近相似的生境中，造成局部区域种内、种间竞争加剧；以及施工噪声和人类活动对其造成干扰，同样导致被迫向外迁徙，造成局部区域种内、种间竞争加剧。</w:t>
      </w:r>
    </w:p>
    <w:p w14:paraId="1BC2AE2F" w14:textId="77777777" w:rsidR="00054437" w:rsidRPr="000549B1" w:rsidRDefault="00000000">
      <w:pPr>
        <w:snapToGrid w:val="0"/>
        <w:spacing w:line="360" w:lineRule="auto"/>
        <w:ind w:firstLineChars="200" w:firstLine="480"/>
        <w:rPr>
          <w:bCs/>
          <w:sz w:val="24"/>
        </w:rPr>
      </w:pPr>
      <w:r w:rsidRPr="000549B1">
        <w:rPr>
          <w:bCs/>
          <w:sz w:val="24"/>
        </w:rPr>
        <w:t>（</w:t>
      </w:r>
      <w:r w:rsidRPr="000549B1">
        <w:rPr>
          <w:bCs/>
          <w:sz w:val="24"/>
        </w:rPr>
        <w:t>2</w:t>
      </w:r>
      <w:r w:rsidRPr="000549B1">
        <w:rPr>
          <w:bCs/>
          <w:sz w:val="24"/>
        </w:rPr>
        <w:t>）规划实施后</w:t>
      </w:r>
    </w:p>
    <w:p w14:paraId="16A10809" w14:textId="77777777" w:rsidR="00054437" w:rsidRPr="000549B1" w:rsidRDefault="00000000">
      <w:pPr>
        <w:snapToGrid w:val="0"/>
        <w:spacing w:line="360" w:lineRule="auto"/>
        <w:ind w:firstLineChars="200" w:firstLine="480"/>
        <w:rPr>
          <w:bCs/>
          <w:sz w:val="24"/>
        </w:rPr>
      </w:pPr>
      <w:r w:rsidRPr="000549B1">
        <w:rPr>
          <w:bCs/>
          <w:sz w:val="24"/>
        </w:rPr>
        <w:t>规划实施后，水库和灌区等工程蓄水，会淹没部分哺乳类的栖息地，迫使其离开原有的栖息地。蓄水后主要淹没区域为河流两岸，根据现场调查，河流两岸多为次生林地、草地和荒漠，淹没的面积较小，周围相似生境众多，因此不会对其迁移产生障碍，但是新的迁移将会改变其他区域的食物链关系，短期内物种密度的显著增加会加大该区域的生态压力，引起种群之间的竞争，因此动物适应新的环境需要一定的时间。</w:t>
      </w:r>
    </w:p>
    <w:p w14:paraId="3ABDF545" w14:textId="77777777" w:rsidR="00054437" w:rsidRPr="000549B1" w:rsidRDefault="00000000">
      <w:pPr>
        <w:snapToGrid w:val="0"/>
        <w:spacing w:line="360" w:lineRule="auto"/>
        <w:ind w:firstLineChars="200" w:firstLine="480"/>
        <w:rPr>
          <w:bCs/>
          <w:sz w:val="24"/>
        </w:rPr>
      </w:pPr>
      <w:r w:rsidRPr="000549B1">
        <w:rPr>
          <w:bCs/>
          <w:sz w:val="24"/>
        </w:rPr>
        <w:t>水保工程对草原、山地等生态系统的保护和恢复，有利于维持一些草食性哺乳动物的生存环境，植被的恢复能为它们提供更丰富的食物来源，进而增加肉食性哺乳动物的食物来源，食物资源的丰富化将有利于肉食性哺乳动物的生存和繁衍，可促进其种群数量的增长。工程恢复的植被也能为小型哺乳动物提供更好的隐蔽条件，躲避天敌的攻击，同时也能改善生态环境的稳定性，减少因生态环境恶化导致的种群数量下降风险。</w:t>
      </w:r>
    </w:p>
    <w:p w14:paraId="24773428" w14:textId="77777777" w:rsidR="00054437" w:rsidRPr="000549B1" w:rsidRDefault="00000000">
      <w:pPr>
        <w:snapToGrid w:val="0"/>
        <w:spacing w:line="360" w:lineRule="auto"/>
        <w:ind w:firstLineChars="200" w:firstLine="480"/>
        <w:rPr>
          <w:bCs/>
          <w:sz w:val="24"/>
        </w:rPr>
      </w:pPr>
      <w:r w:rsidRPr="000549B1">
        <w:rPr>
          <w:bCs/>
          <w:sz w:val="24"/>
        </w:rPr>
        <w:t>总体来说规划实施后，会使规划范围内的哺乳类种群数量有一定程度的下降，但不会对整个种群数量产生大的影响，并随着水保工程等生态修复的实施，流域生态环境会逐渐恢复并持续变好，种群数量一定程度增加。</w:t>
      </w:r>
    </w:p>
    <w:p w14:paraId="0C189F14" w14:textId="77777777" w:rsidR="00054437" w:rsidRPr="000549B1" w:rsidRDefault="00000000">
      <w:pPr>
        <w:pStyle w:val="Z4"/>
        <w:rPr>
          <w:color w:val="auto"/>
        </w:rPr>
      </w:pPr>
      <w:r w:rsidRPr="000549B1">
        <w:rPr>
          <w:color w:val="auto"/>
        </w:rPr>
        <w:t>对重要野生动物的影响</w:t>
      </w:r>
    </w:p>
    <w:p w14:paraId="279B6CC0" w14:textId="77777777" w:rsidR="00054437" w:rsidRPr="000549B1" w:rsidRDefault="00000000">
      <w:pPr>
        <w:snapToGrid w:val="0"/>
        <w:spacing w:line="360" w:lineRule="auto"/>
        <w:ind w:firstLineChars="200" w:firstLine="480"/>
        <w:rPr>
          <w:bCs/>
          <w:sz w:val="24"/>
        </w:rPr>
      </w:pPr>
      <w:r w:rsidRPr="000549B1">
        <w:rPr>
          <w:bCs/>
          <w:sz w:val="24"/>
        </w:rPr>
        <w:t>评价区属于国家重点保护的野生动物有</w:t>
      </w:r>
      <w:r w:rsidRPr="000549B1">
        <w:rPr>
          <w:bCs/>
          <w:sz w:val="24"/>
        </w:rPr>
        <w:t>10</w:t>
      </w:r>
      <w:r w:rsidRPr="000549B1">
        <w:rPr>
          <w:bCs/>
          <w:sz w:val="24"/>
        </w:rPr>
        <w:t>种，其中国家一级保护动物</w:t>
      </w:r>
      <w:r w:rsidRPr="000549B1">
        <w:rPr>
          <w:bCs/>
          <w:sz w:val="24"/>
        </w:rPr>
        <w:t>2</w:t>
      </w:r>
      <w:r w:rsidRPr="000549B1">
        <w:rPr>
          <w:bCs/>
          <w:sz w:val="24"/>
        </w:rPr>
        <w:t>种，为荒漠猫、斑尾榛鸡；国家二级保护动物</w:t>
      </w:r>
      <w:r w:rsidRPr="000549B1">
        <w:rPr>
          <w:bCs/>
          <w:sz w:val="24"/>
        </w:rPr>
        <w:t>8</w:t>
      </w:r>
      <w:r w:rsidRPr="000549B1">
        <w:rPr>
          <w:bCs/>
          <w:sz w:val="24"/>
        </w:rPr>
        <w:t>种，分别为藏狐、雀鹰、红隼、燕隼、猎隼、藏雪鸡、鹮嘴鹬、雕鸮。有青海省级重点保护野生动物</w:t>
      </w:r>
      <w:r w:rsidRPr="000549B1">
        <w:rPr>
          <w:bCs/>
          <w:sz w:val="24"/>
        </w:rPr>
        <w:t>14</w:t>
      </w:r>
      <w:r w:rsidRPr="000549B1">
        <w:rPr>
          <w:bCs/>
          <w:sz w:val="24"/>
        </w:rPr>
        <w:t>种，为喜马拉雅旱獭、赤麻鸭、斑嘴鸭、环颈雉、雪鸽、戴胜、蚁䴕、大斑啄木鸟、长嘴百灵、小云雀、红腹红尾鸲、藏雪雀、棕背雪雀、红胸朱雀。</w:t>
      </w:r>
    </w:p>
    <w:p w14:paraId="10A7DB38" w14:textId="77777777" w:rsidR="00054437" w:rsidRPr="000549B1" w:rsidRDefault="00000000">
      <w:pPr>
        <w:snapToGrid w:val="0"/>
        <w:spacing w:line="360" w:lineRule="auto"/>
        <w:ind w:firstLineChars="200" w:firstLine="480"/>
        <w:rPr>
          <w:bCs/>
          <w:sz w:val="24"/>
        </w:rPr>
      </w:pPr>
      <w:r w:rsidRPr="000549B1">
        <w:rPr>
          <w:bCs/>
          <w:sz w:val="24"/>
        </w:rPr>
        <w:t>（</w:t>
      </w:r>
      <w:r w:rsidRPr="000549B1">
        <w:rPr>
          <w:bCs/>
          <w:sz w:val="24"/>
        </w:rPr>
        <w:t>1</w:t>
      </w:r>
      <w:r w:rsidRPr="000549B1">
        <w:rPr>
          <w:bCs/>
          <w:sz w:val="24"/>
        </w:rPr>
        <w:t>）对重点保护鸟类的影响</w:t>
      </w:r>
    </w:p>
    <w:p w14:paraId="1291A22D" w14:textId="77777777" w:rsidR="00054437" w:rsidRPr="000549B1" w:rsidRDefault="00000000">
      <w:pPr>
        <w:snapToGrid w:val="0"/>
        <w:spacing w:line="360" w:lineRule="auto"/>
        <w:ind w:firstLineChars="200" w:firstLine="480"/>
        <w:rPr>
          <w:bCs/>
          <w:sz w:val="24"/>
        </w:rPr>
      </w:pPr>
      <w:r w:rsidRPr="000549B1">
        <w:rPr>
          <w:bCs/>
          <w:sz w:val="24"/>
        </w:rPr>
        <w:t>1</w:t>
      </w:r>
      <w:r w:rsidRPr="000549B1">
        <w:rPr>
          <w:bCs/>
          <w:sz w:val="24"/>
        </w:rPr>
        <w:t>）负面影响：</w:t>
      </w:r>
    </w:p>
    <w:p w14:paraId="78075FFA" w14:textId="77777777" w:rsidR="00054437" w:rsidRPr="000549B1" w:rsidRDefault="00000000">
      <w:pPr>
        <w:snapToGrid w:val="0"/>
        <w:spacing w:line="360" w:lineRule="auto"/>
        <w:ind w:firstLineChars="200" w:firstLine="480"/>
        <w:rPr>
          <w:bCs/>
          <w:sz w:val="24"/>
        </w:rPr>
      </w:pPr>
      <w:r w:rsidRPr="000549B1">
        <w:rPr>
          <w:bCs/>
          <w:sz w:val="24"/>
        </w:rPr>
        <w:t>评价区重点保护鸟类有</w:t>
      </w:r>
      <w:r w:rsidRPr="000549B1">
        <w:rPr>
          <w:bCs/>
          <w:sz w:val="24"/>
        </w:rPr>
        <w:t>17</w:t>
      </w:r>
      <w:r w:rsidRPr="000549B1">
        <w:rPr>
          <w:bCs/>
          <w:sz w:val="24"/>
        </w:rPr>
        <w:t>种，其中游禽有</w:t>
      </w:r>
      <w:r w:rsidRPr="000549B1">
        <w:rPr>
          <w:bCs/>
          <w:sz w:val="24"/>
        </w:rPr>
        <w:t>3</w:t>
      </w:r>
      <w:r w:rsidRPr="000549B1">
        <w:rPr>
          <w:bCs/>
          <w:sz w:val="24"/>
        </w:rPr>
        <w:t>种，它们主要栖息于沙珠玉河干流河谷湿地、规划水库及灌溉水渠周边，防洪工程及水库工程等施工可能会占用其栖息地；施工噪音、人类活动将驱离这些鸟类迁移至其他河段活动，对其产生一定影响，但这些影响均是暂时的，影响不大；</w:t>
      </w:r>
    </w:p>
    <w:p w14:paraId="4DF9EC89" w14:textId="77777777" w:rsidR="00054437" w:rsidRPr="000549B1" w:rsidRDefault="00000000">
      <w:pPr>
        <w:snapToGrid w:val="0"/>
        <w:spacing w:line="360" w:lineRule="auto"/>
        <w:ind w:firstLineChars="200" w:firstLine="480"/>
        <w:rPr>
          <w:bCs/>
          <w:sz w:val="24"/>
        </w:rPr>
      </w:pPr>
      <w:r w:rsidRPr="000549B1">
        <w:rPr>
          <w:bCs/>
          <w:sz w:val="24"/>
        </w:rPr>
        <w:t>其余</w:t>
      </w:r>
      <w:r w:rsidRPr="000549B1">
        <w:rPr>
          <w:bCs/>
          <w:sz w:val="24"/>
        </w:rPr>
        <w:t>14</w:t>
      </w:r>
      <w:r w:rsidRPr="000549B1">
        <w:rPr>
          <w:bCs/>
          <w:sz w:val="24"/>
        </w:rPr>
        <w:t>种为鸣禽、攀禽、陆禽，它们主要栖息于中游河谷灌丛、下游草原、山地边缘；灌溉工程的农田扩张会侵占河谷灌丛、草原，压缩猛禽捕猎范围；工程施工及后续农业生产会持续干扰猛禽繁殖，但由于周围相似生境较多，他们可飞往其他适宜生境，因此对其影响不大。</w:t>
      </w:r>
    </w:p>
    <w:p w14:paraId="07F42135" w14:textId="77777777" w:rsidR="00054437" w:rsidRPr="000549B1" w:rsidRDefault="00000000">
      <w:pPr>
        <w:snapToGrid w:val="0"/>
        <w:spacing w:line="360" w:lineRule="auto"/>
        <w:ind w:firstLineChars="200" w:firstLine="480"/>
        <w:rPr>
          <w:bCs/>
          <w:sz w:val="24"/>
        </w:rPr>
      </w:pPr>
      <w:r w:rsidRPr="000549B1">
        <w:rPr>
          <w:bCs/>
          <w:sz w:val="24"/>
        </w:rPr>
        <w:t>2</w:t>
      </w:r>
      <w:r w:rsidRPr="000549B1">
        <w:rPr>
          <w:bCs/>
          <w:sz w:val="24"/>
        </w:rPr>
        <w:t>）正面影响：</w:t>
      </w:r>
    </w:p>
    <w:p w14:paraId="3BAAB523" w14:textId="77777777" w:rsidR="00054437" w:rsidRPr="000549B1" w:rsidRDefault="00000000">
      <w:pPr>
        <w:snapToGrid w:val="0"/>
        <w:spacing w:line="360" w:lineRule="auto"/>
        <w:ind w:firstLineChars="200" w:firstLine="480"/>
        <w:rPr>
          <w:bCs/>
          <w:sz w:val="24"/>
        </w:rPr>
      </w:pPr>
      <w:r w:rsidRPr="000549B1">
        <w:rPr>
          <w:bCs/>
          <w:sz w:val="24"/>
        </w:rPr>
        <w:t>水库建设（如水库、灌溉蓄水池）会形成稳定人工水域，弥补流域干旱区天然湿地不足的问题，为水鸟提供新的</w:t>
      </w:r>
      <w:r w:rsidRPr="000549B1">
        <w:rPr>
          <w:rFonts w:ascii="宋体" w:hAnsi="宋体"/>
          <w:bCs/>
          <w:sz w:val="24"/>
        </w:rPr>
        <w:t>“</w:t>
      </w:r>
      <w:r w:rsidRPr="000549B1">
        <w:rPr>
          <w:bCs/>
          <w:sz w:val="24"/>
        </w:rPr>
        <w:t>停歇</w:t>
      </w:r>
      <w:r w:rsidRPr="000549B1">
        <w:rPr>
          <w:bCs/>
          <w:sz w:val="24"/>
        </w:rPr>
        <w:t>-</w:t>
      </w:r>
      <w:r w:rsidRPr="000549B1">
        <w:rPr>
          <w:bCs/>
          <w:sz w:val="24"/>
        </w:rPr>
        <w:t>觅食</w:t>
      </w:r>
      <w:r w:rsidRPr="000549B1">
        <w:rPr>
          <w:bCs/>
          <w:sz w:val="24"/>
        </w:rPr>
        <w:t>-</w:t>
      </w:r>
      <w:r w:rsidRPr="000549B1">
        <w:rPr>
          <w:bCs/>
          <w:sz w:val="24"/>
        </w:rPr>
        <w:t>繁殖</w:t>
      </w:r>
      <w:r w:rsidRPr="000549B1">
        <w:rPr>
          <w:rFonts w:ascii="宋体" w:hAnsi="宋体"/>
          <w:bCs/>
          <w:sz w:val="24"/>
        </w:rPr>
        <w:t>”</w:t>
      </w:r>
      <w:r w:rsidRPr="000549B1">
        <w:rPr>
          <w:bCs/>
          <w:sz w:val="24"/>
        </w:rPr>
        <w:t>场所；同时，灌溉农田周边的水渠、沼泽会滋生鱼类、底栖生物，为水鸟提供更丰富的食物；水保工程还会提升植被覆盖度，促进啮齿类、昆虫数量增长</w:t>
      </w:r>
      <w:r w:rsidRPr="000549B1">
        <w:rPr>
          <w:bCs/>
          <w:sz w:val="24"/>
        </w:rPr>
        <w:t>——</w:t>
      </w:r>
      <w:r w:rsidRPr="000549B1">
        <w:rPr>
          <w:bCs/>
          <w:sz w:val="24"/>
        </w:rPr>
        <w:t>猛禽主要捕食啮齿类，纵纹腹小鸮以昆虫、小型啮齿类为食，猎物增多可支撑猛禽种群扩大。</w:t>
      </w:r>
    </w:p>
    <w:p w14:paraId="1EF3D31D" w14:textId="77777777" w:rsidR="00054437" w:rsidRPr="000549B1" w:rsidRDefault="00000000">
      <w:pPr>
        <w:snapToGrid w:val="0"/>
        <w:spacing w:line="360" w:lineRule="auto"/>
        <w:ind w:firstLineChars="200" w:firstLine="480"/>
        <w:rPr>
          <w:bCs/>
          <w:sz w:val="24"/>
        </w:rPr>
      </w:pPr>
      <w:r w:rsidRPr="000549B1">
        <w:rPr>
          <w:bCs/>
          <w:sz w:val="24"/>
        </w:rPr>
        <w:t>（</w:t>
      </w:r>
      <w:r w:rsidRPr="000549B1">
        <w:rPr>
          <w:bCs/>
          <w:sz w:val="24"/>
        </w:rPr>
        <w:t>2</w:t>
      </w:r>
      <w:r w:rsidRPr="000549B1">
        <w:rPr>
          <w:bCs/>
          <w:sz w:val="24"/>
        </w:rPr>
        <w:t>）对重点保护哺乳类的影响</w:t>
      </w:r>
    </w:p>
    <w:p w14:paraId="0AF6B962" w14:textId="77777777" w:rsidR="00054437" w:rsidRPr="000549B1" w:rsidRDefault="00000000">
      <w:pPr>
        <w:snapToGrid w:val="0"/>
        <w:spacing w:line="360" w:lineRule="auto"/>
        <w:ind w:firstLineChars="200" w:firstLine="480"/>
        <w:rPr>
          <w:bCs/>
          <w:sz w:val="24"/>
        </w:rPr>
      </w:pPr>
      <w:r w:rsidRPr="000549B1">
        <w:rPr>
          <w:bCs/>
          <w:sz w:val="24"/>
        </w:rPr>
        <w:t>1</w:t>
      </w:r>
      <w:r w:rsidRPr="000549B1">
        <w:rPr>
          <w:bCs/>
          <w:sz w:val="24"/>
        </w:rPr>
        <w:t>）负面影响：</w:t>
      </w:r>
    </w:p>
    <w:p w14:paraId="3632A0C5" w14:textId="77777777" w:rsidR="00054437" w:rsidRPr="000549B1" w:rsidRDefault="00000000">
      <w:pPr>
        <w:snapToGrid w:val="0"/>
        <w:spacing w:line="360" w:lineRule="auto"/>
        <w:ind w:firstLineChars="200" w:firstLine="480"/>
        <w:rPr>
          <w:bCs/>
          <w:sz w:val="24"/>
        </w:rPr>
      </w:pPr>
      <w:r w:rsidRPr="000549B1">
        <w:rPr>
          <w:bCs/>
          <w:sz w:val="24"/>
        </w:rPr>
        <w:t>评价区重点保护哺乳动物有</w:t>
      </w:r>
      <w:r w:rsidRPr="000549B1">
        <w:rPr>
          <w:bCs/>
          <w:sz w:val="24"/>
        </w:rPr>
        <w:t>3</w:t>
      </w:r>
      <w:r w:rsidRPr="000549B1">
        <w:rPr>
          <w:bCs/>
          <w:sz w:val="24"/>
        </w:rPr>
        <w:t>种，分别为荒漠猫、藏狐、喜马拉雅旱獭，他们多分布于中低海拔的河谷、灌丛和草原、草甸。水库建设涉及的山地开挖，破坏栖息地，同时，施工噪声与人类活动增加，迫使其向其他适宜生境迁移；水库蓄水淹没河谷灌丛，直接淹没塔里木兔巢穴。</w:t>
      </w:r>
    </w:p>
    <w:p w14:paraId="4F4E79EF" w14:textId="77777777" w:rsidR="00054437" w:rsidRPr="000549B1" w:rsidRDefault="00000000">
      <w:pPr>
        <w:snapToGrid w:val="0"/>
        <w:spacing w:line="360" w:lineRule="auto"/>
        <w:ind w:firstLineChars="200" w:firstLine="480"/>
        <w:rPr>
          <w:bCs/>
          <w:sz w:val="24"/>
        </w:rPr>
      </w:pPr>
      <w:r w:rsidRPr="000549B1">
        <w:rPr>
          <w:bCs/>
          <w:sz w:val="24"/>
        </w:rPr>
        <w:t>2</w:t>
      </w:r>
      <w:r w:rsidRPr="000549B1">
        <w:rPr>
          <w:bCs/>
          <w:sz w:val="24"/>
        </w:rPr>
        <w:t>）正面影响：</w:t>
      </w:r>
    </w:p>
    <w:p w14:paraId="10A8B3E6" w14:textId="77777777" w:rsidR="00054437" w:rsidRPr="000549B1" w:rsidRDefault="00000000">
      <w:pPr>
        <w:snapToGrid w:val="0"/>
        <w:spacing w:line="360" w:lineRule="auto"/>
        <w:ind w:firstLineChars="200" w:firstLine="480"/>
        <w:rPr>
          <w:bCs/>
          <w:sz w:val="24"/>
        </w:rPr>
      </w:pPr>
      <w:r w:rsidRPr="000549B1">
        <w:rPr>
          <w:bCs/>
          <w:sz w:val="24"/>
        </w:rPr>
        <w:t>水库、灌溉水渠为干旱区动物提供稳定饮水点；水保工程（草原</w:t>
      </w:r>
      <w:r w:rsidRPr="000549B1">
        <w:rPr>
          <w:bCs/>
          <w:sz w:val="24"/>
        </w:rPr>
        <w:t>/</w:t>
      </w:r>
      <w:r w:rsidRPr="000549B1">
        <w:rPr>
          <w:bCs/>
          <w:sz w:val="24"/>
        </w:rPr>
        <w:t>河谷植被恢复）为以草本植物为食的动物提供更丰富的食物，使食草动物数量上升，进而对藏狐等肉食动物提供稳定食物来源，使流域种群数量增加。</w:t>
      </w:r>
    </w:p>
    <w:p w14:paraId="283419D5" w14:textId="77777777" w:rsidR="00054437" w:rsidRPr="000549B1" w:rsidRDefault="00000000">
      <w:pPr>
        <w:pStyle w:val="3"/>
      </w:pPr>
      <w:bookmarkStart w:id="404" w:name="_Toc216107054"/>
      <w:r w:rsidRPr="000549B1">
        <w:t>对水土流失的影响</w:t>
      </w:r>
      <w:bookmarkEnd w:id="404"/>
    </w:p>
    <w:p w14:paraId="71CFC0AA" w14:textId="77777777" w:rsidR="00054437" w:rsidRPr="000549B1" w:rsidRDefault="00000000">
      <w:pPr>
        <w:pStyle w:val="x"/>
      </w:pPr>
      <w:r w:rsidRPr="000549B1">
        <w:t>沙珠玉河目前未安排过任何治理项目，两岸处于自然演变状态，易受洪水威胁，水源涵养能力较差，存在水土流失的现象。河道内基本无防洪能力，同时土质岸坡基础经长年受冲刷和浸泡淘蚀，无任何防护措施，稳定性较差。水流的冲刷，造成水土流失，造成影响和破坏。</w:t>
      </w:r>
    </w:p>
    <w:p w14:paraId="4A1F341E" w14:textId="77777777" w:rsidR="00054437" w:rsidRPr="000549B1" w:rsidRDefault="00000000">
      <w:pPr>
        <w:pStyle w:val="x"/>
      </w:pPr>
      <w:r w:rsidRPr="000549B1">
        <w:t>本次规划对沙珠玉河流域通过实施水土流失治理，基本建成与海南州沙珠玉河流域经济社会发展相适应的水土流失综合防治体系。规划到</w:t>
      </w:r>
      <w:r w:rsidRPr="000549B1">
        <w:t>2035</w:t>
      </w:r>
      <w:r w:rsidRPr="000549B1">
        <w:t>年，综合防治面积</w:t>
      </w:r>
      <w:r w:rsidRPr="000549B1">
        <w:t>402.93km</w:t>
      </w:r>
      <w:r w:rsidRPr="000549B1">
        <w:rPr>
          <w:vertAlign w:val="superscript"/>
        </w:rPr>
        <w:t>2</w:t>
      </w:r>
      <w:r w:rsidRPr="000549B1">
        <w:t>，其中，预防保护规模</w:t>
      </w:r>
      <w:r w:rsidRPr="000549B1">
        <w:t>221.61km</w:t>
      </w:r>
      <w:r w:rsidRPr="000549B1">
        <w:rPr>
          <w:vertAlign w:val="superscript"/>
        </w:rPr>
        <w:t>2</w:t>
      </w:r>
      <w:r w:rsidRPr="000549B1">
        <w:t>，综合治理规模</w:t>
      </w:r>
      <w:r w:rsidRPr="000549B1">
        <w:t>181.32km</w:t>
      </w:r>
      <w:r w:rsidRPr="000549B1">
        <w:rPr>
          <w:vertAlign w:val="superscript"/>
        </w:rPr>
        <w:t>2</w:t>
      </w:r>
      <w:r w:rsidRPr="000549B1">
        <w:t>，水土保持率提升至</w:t>
      </w:r>
      <w:r w:rsidRPr="000549B1">
        <w:t>66.83%</w:t>
      </w:r>
      <w:r w:rsidRPr="000549B1">
        <w:t>，建立水土保持预防监督体系和水土流失动态监测网络，及时掌握水土流失动态。规划实施后，可有效控制人为水土流失，保护流域生态环境。</w:t>
      </w:r>
    </w:p>
    <w:p w14:paraId="2DE9D25D" w14:textId="05355195" w:rsidR="00054437" w:rsidRPr="000549B1" w:rsidRDefault="00000000">
      <w:pPr>
        <w:pStyle w:val="3"/>
      </w:pPr>
      <w:bookmarkStart w:id="405" w:name="_Toc216107055"/>
      <w:r w:rsidRPr="000549B1">
        <w:rPr>
          <w:rFonts w:hint="eastAsia"/>
        </w:rPr>
        <w:t>小结</w:t>
      </w:r>
      <w:bookmarkEnd w:id="405"/>
    </w:p>
    <w:p w14:paraId="3F7BB3D2" w14:textId="77777777" w:rsidR="00381872" w:rsidRPr="000549B1" w:rsidRDefault="00381872" w:rsidP="00381872">
      <w:pPr>
        <w:pStyle w:val="0A1"/>
      </w:pPr>
      <w:r w:rsidRPr="000549B1">
        <w:rPr>
          <w:rFonts w:hint="eastAsia"/>
        </w:rPr>
        <w:t>沙珠玉河流域各规划工程施工区在施工结束后采取有效的生态恢复措施，对区域植被的影响很小。规划水库工程蓄水后，库区内的植被将会被淹没，由于项目区植物种类绝大多数属于当地常见种，水库蓄水带来的影响主要是导致植物群落和生物量的减少，不会对区域整体生物多样性造成较大影响。规划工程占地及淹没影响区，如涉及野生植物重要物种应采取有效的保护措施降低影响。</w:t>
      </w:r>
    </w:p>
    <w:p w14:paraId="140474DA" w14:textId="69876FF5" w:rsidR="00054437" w:rsidRPr="000549B1" w:rsidRDefault="00381872" w:rsidP="00381872">
      <w:pPr>
        <w:pStyle w:val="0A1"/>
      </w:pPr>
      <w:r w:rsidRPr="000549B1">
        <w:rPr>
          <w:rFonts w:hint="eastAsia"/>
        </w:rPr>
        <w:t>规划工程施工占压陆生动物生境，地表植被破坏影响其食物来源，施工噪声、扬尘会对其活动产生一定的惊扰，随着施工活动结束，人为干扰消失，部分动物可以回到原来区域，影响可以得到恢复和降低。规划水库蓄水会淹没库区分布的陆生动物栖息地，迫使陆生动物向水库周边迁徙，同时，大面积静水区和缓流区域的形成，可能会使库区周边坡度较小区域形成局部的浅滩和湿地，为游禽、涉禽等动物的栖息与觅食提供良好条件。</w:t>
      </w:r>
    </w:p>
    <w:p w14:paraId="55B05A6F" w14:textId="77777777" w:rsidR="00054437" w:rsidRPr="000549B1" w:rsidRDefault="00000000">
      <w:pPr>
        <w:pStyle w:val="2"/>
        <w:rPr>
          <w:rFonts w:ascii="Times New Roman" w:hAnsi="Times New Roman"/>
        </w:rPr>
      </w:pPr>
      <w:bookmarkStart w:id="406" w:name="_Toc208583935"/>
      <w:bookmarkStart w:id="407" w:name="_Toc9144655"/>
      <w:bookmarkStart w:id="408" w:name="_Toc21871"/>
      <w:bookmarkStart w:id="409" w:name="_Toc216107056"/>
      <w:r w:rsidRPr="000549B1">
        <w:rPr>
          <w:rFonts w:ascii="Times New Roman" w:hAnsi="Times New Roman"/>
        </w:rPr>
        <w:t>水生生态影响预测与评价</w:t>
      </w:r>
      <w:bookmarkEnd w:id="406"/>
      <w:bookmarkEnd w:id="407"/>
      <w:bookmarkEnd w:id="408"/>
      <w:bookmarkEnd w:id="409"/>
    </w:p>
    <w:p w14:paraId="31CA8FFA" w14:textId="77777777" w:rsidR="00054437" w:rsidRPr="000549B1" w:rsidRDefault="00000000">
      <w:pPr>
        <w:pStyle w:val="3"/>
      </w:pPr>
      <w:bookmarkStart w:id="410" w:name="_Toc216107057"/>
      <w:r w:rsidRPr="000549B1">
        <w:t>对生态环境需水量满足程度的影响</w:t>
      </w:r>
      <w:bookmarkEnd w:id="410"/>
    </w:p>
    <w:p w14:paraId="3F1620B2" w14:textId="77777777" w:rsidR="00AF4186" w:rsidRPr="000549B1" w:rsidRDefault="00AF4186" w:rsidP="00AF4186">
      <w:pPr>
        <w:spacing w:line="360" w:lineRule="auto"/>
        <w:ind w:firstLineChars="200" w:firstLine="480"/>
        <w:contextualSpacing/>
        <w:rPr>
          <w:bCs/>
          <w:sz w:val="24"/>
          <w:szCs w:val="24"/>
        </w:rPr>
      </w:pPr>
      <w:r w:rsidRPr="000549B1">
        <w:rPr>
          <w:bCs/>
          <w:sz w:val="24"/>
          <w:szCs w:val="24"/>
        </w:rPr>
        <w:t>沙珠玉河流域水资源利用程度较高，社会经济发展相对滞后，受用水指标限制，规划水平年，流域内水资源用水量增加不大。根据水文水资源影响预测可知，水资源利用规划对沙珠玉河流域水文情势影响程度有限。</w:t>
      </w:r>
    </w:p>
    <w:p w14:paraId="4EF12C46" w14:textId="77777777" w:rsidR="00AF4186" w:rsidRPr="000549B1" w:rsidRDefault="00AF4186" w:rsidP="00AF4186">
      <w:pPr>
        <w:spacing w:line="360" w:lineRule="auto"/>
        <w:ind w:firstLineChars="200" w:firstLine="480"/>
        <w:contextualSpacing/>
        <w:rPr>
          <w:bCs/>
          <w:sz w:val="24"/>
          <w:szCs w:val="24"/>
        </w:rPr>
      </w:pPr>
      <w:r w:rsidRPr="000549B1">
        <w:rPr>
          <w:bCs/>
          <w:sz w:val="24"/>
          <w:szCs w:val="24"/>
        </w:rPr>
        <w:t>现状已建水库由于建设年代较早，大部分水库未留专门的生态水量泄水通道，考虑到未来对水生态环境保护要求的提高，本次进行水库可供水量分析计算时考虑预留坝下生态流量。根据各水库来水情况，</w:t>
      </w:r>
      <w:r w:rsidRPr="000549B1">
        <w:rPr>
          <w:rFonts w:hint="eastAsia"/>
          <w:bCs/>
          <w:sz w:val="24"/>
          <w:szCs w:val="24"/>
        </w:rPr>
        <w:t>已建</w:t>
      </w:r>
      <w:r w:rsidRPr="000549B1">
        <w:rPr>
          <w:bCs/>
          <w:sz w:val="24"/>
          <w:szCs w:val="24"/>
        </w:rPr>
        <w:t>水库工程全年生态流量按多年平均流量的</w:t>
      </w:r>
      <w:r w:rsidRPr="000549B1">
        <w:rPr>
          <w:bCs/>
          <w:sz w:val="24"/>
          <w:szCs w:val="24"/>
        </w:rPr>
        <w:t>20%</w:t>
      </w:r>
      <w:r w:rsidRPr="000549B1">
        <w:rPr>
          <w:bCs/>
          <w:sz w:val="24"/>
          <w:szCs w:val="24"/>
        </w:rPr>
        <w:t>下泄，</w:t>
      </w:r>
      <w:r w:rsidRPr="000549B1">
        <w:rPr>
          <w:rFonts w:hint="eastAsia"/>
          <w:bCs/>
          <w:sz w:val="24"/>
          <w:szCs w:val="24"/>
        </w:rPr>
        <w:t>新建</w:t>
      </w:r>
      <w:r w:rsidRPr="000549B1">
        <w:rPr>
          <w:bCs/>
          <w:sz w:val="24"/>
          <w:szCs w:val="24"/>
        </w:rPr>
        <w:t>水库</w:t>
      </w:r>
      <w:r w:rsidRPr="000549B1">
        <w:rPr>
          <w:rFonts w:hint="eastAsia"/>
          <w:bCs/>
          <w:sz w:val="24"/>
          <w:szCs w:val="24"/>
        </w:rPr>
        <w:t>大河坝水库</w:t>
      </w:r>
      <w:r w:rsidRPr="000549B1">
        <w:rPr>
          <w:bCs/>
          <w:sz w:val="24"/>
          <w:szCs w:val="24"/>
        </w:rPr>
        <w:t>工程</w:t>
      </w:r>
      <w:r w:rsidRPr="000549B1">
        <w:rPr>
          <w:rFonts w:hint="eastAsia"/>
          <w:bCs/>
          <w:sz w:val="24"/>
          <w:szCs w:val="24"/>
        </w:rPr>
        <w:t>非汛期、汛期</w:t>
      </w:r>
      <w:r w:rsidRPr="000549B1">
        <w:rPr>
          <w:bCs/>
          <w:sz w:val="24"/>
          <w:szCs w:val="24"/>
        </w:rPr>
        <w:t>生态流量按多年平均流量的</w:t>
      </w:r>
      <w:r w:rsidRPr="000549B1">
        <w:rPr>
          <w:rFonts w:hint="eastAsia"/>
          <w:bCs/>
          <w:sz w:val="24"/>
          <w:szCs w:val="24"/>
        </w:rPr>
        <w:t>10%</w:t>
      </w:r>
      <w:r w:rsidRPr="000549B1">
        <w:rPr>
          <w:rFonts w:hint="eastAsia"/>
          <w:bCs/>
          <w:sz w:val="24"/>
          <w:szCs w:val="24"/>
        </w:rPr>
        <w:t>、</w:t>
      </w:r>
      <w:r w:rsidRPr="000549B1">
        <w:rPr>
          <w:rFonts w:hint="eastAsia"/>
          <w:bCs/>
          <w:sz w:val="24"/>
          <w:szCs w:val="24"/>
        </w:rPr>
        <w:t>3</w:t>
      </w:r>
      <w:r w:rsidRPr="000549B1">
        <w:rPr>
          <w:bCs/>
          <w:sz w:val="24"/>
          <w:szCs w:val="24"/>
        </w:rPr>
        <w:t>0%</w:t>
      </w:r>
      <w:r w:rsidRPr="000549B1">
        <w:rPr>
          <w:bCs/>
          <w:sz w:val="24"/>
          <w:szCs w:val="24"/>
        </w:rPr>
        <w:t>下泄。引水工程断面优先保障生态基流，当工程引水断面来水量小于生态基流，按来水量下放，不再进行河道外供水。</w:t>
      </w:r>
    </w:p>
    <w:p w14:paraId="0C5DD92C" w14:textId="217509D4" w:rsidR="00054437" w:rsidRPr="000549B1" w:rsidRDefault="00AF4186" w:rsidP="00AF4186">
      <w:pPr>
        <w:snapToGrid w:val="0"/>
        <w:spacing w:line="360" w:lineRule="auto"/>
        <w:ind w:firstLineChars="200" w:firstLine="480"/>
        <w:rPr>
          <w:bCs/>
          <w:sz w:val="24"/>
        </w:rPr>
      </w:pPr>
      <w:r w:rsidRPr="000549B1">
        <w:rPr>
          <w:bCs/>
          <w:sz w:val="24"/>
        </w:rPr>
        <w:t>在严格落实规划提出的水生态保护要求的基础上，规划基本可以实现本次规划水生态保护目标，有利于遏制河流水生态恶化趋势，有利于保障各河段河道内基本的生态流量，有利于改善目前河道脱流、减水的现状，为鱼类的生长繁育创造一定的水资源条件，使鱼类基本生存环境得到一定的恢复，鱼类繁殖期需水得到一定程度的保障。</w:t>
      </w:r>
    </w:p>
    <w:p w14:paraId="07612542" w14:textId="77777777" w:rsidR="00054437" w:rsidRPr="000549B1" w:rsidRDefault="00000000">
      <w:pPr>
        <w:pStyle w:val="3"/>
      </w:pPr>
      <w:bookmarkStart w:id="411" w:name="_Toc216107058"/>
      <w:r w:rsidRPr="000549B1">
        <w:t>对河流连通性的影响</w:t>
      </w:r>
      <w:bookmarkEnd w:id="411"/>
    </w:p>
    <w:p w14:paraId="34DF1843" w14:textId="77777777" w:rsidR="00054437" w:rsidRPr="000549B1" w:rsidRDefault="00000000">
      <w:pPr>
        <w:spacing w:line="360" w:lineRule="auto"/>
        <w:ind w:firstLineChars="200" w:firstLine="480"/>
        <w:contextualSpacing/>
        <w:rPr>
          <w:bCs/>
          <w:sz w:val="24"/>
          <w:szCs w:val="24"/>
        </w:rPr>
      </w:pPr>
      <w:r w:rsidRPr="00F8787D">
        <w:rPr>
          <w:bCs/>
          <w:sz w:val="24"/>
          <w:szCs w:val="24"/>
        </w:rPr>
        <w:t>沙</w:t>
      </w:r>
      <w:r w:rsidRPr="000549B1">
        <w:rPr>
          <w:bCs/>
          <w:sz w:val="24"/>
          <w:szCs w:val="24"/>
        </w:rPr>
        <w:t>珠玉河流域沙漠化、水土流失严重，河流生境差且脆弱，目前已建、在建水库</w:t>
      </w:r>
      <w:r w:rsidRPr="000549B1">
        <w:rPr>
          <w:bCs/>
          <w:sz w:val="24"/>
          <w:szCs w:val="24"/>
        </w:rPr>
        <w:t>11</w:t>
      </w:r>
      <w:r w:rsidRPr="000549B1">
        <w:rPr>
          <w:bCs/>
          <w:sz w:val="24"/>
          <w:szCs w:val="24"/>
        </w:rPr>
        <w:t>座，已对水生生态系统产生了胁迫效应，突出表现为大坝阻隔、河道减脱水、河流连通性受到影响，影响河流上游与下游及河流两岸之间的联系，改变了局部河段的基本形态，水流连续性遭到了严重破坏，进而影响到生物多样性。</w:t>
      </w:r>
    </w:p>
    <w:p w14:paraId="07B20D8A" w14:textId="77777777" w:rsidR="00AF4186" w:rsidRPr="000549B1" w:rsidRDefault="00AF4186" w:rsidP="00AF4186">
      <w:pPr>
        <w:spacing w:line="360" w:lineRule="auto"/>
        <w:ind w:firstLineChars="200" w:firstLine="480"/>
        <w:rPr>
          <w:bCs/>
          <w:sz w:val="24"/>
        </w:rPr>
      </w:pPr>
      <w:r w:rsidRPr="000549B1">
        <w:rPr>
          <w:bCs/>
          <w:sz w:val="24"/>
        </w:rPr>
        <w:t>规划的三滩引水生态治理一期工程</w:t>
      </w:r>
      <w:r w:rsidRPr="000549B1">
        <w:rPr>
          <w:rFonts w:hint="eastAsia"/>
          <w:bCs/>
          <w:sz w:val="24"/>
        </w:rPr>
        <w:t>水源工程有两种方案，不同方案对河流连通性的影响如下：</w:t>
      </w:r>
    </w:p>
    <w:p w14:paraId="54BE1117" w14:textId="77777777" w:rsidR="00AF4186" w:rsidRPr="000549B1" w:rsidRDefault="00AF4186" w:rsidP="00AF4186">
      <w:pPr>
        <w:spacing w:line="360" w:lineRule="auto"/>
        <w:ind w:firstLineChars="200" w:firstLine="480"/>
        <w:rPr>
          <w:bCs/>
          <w:sz w:val="24"/>
        </w:rPr>
      </w:pPr>
      <w:r w:rsidRPr="000549B1">
        <w:rPr>
          <w:rFonts w:hint="eastAsia"/>
          <w:bCs/>
          <w:sz w:val="24"/>
        </w:rPr>
        <w:t>（</w:t>
      </w:r>
      <w:r w:rsidRPr="000549B1">
        <w:rPr>
          <w:rFonts w:hint="eastAsia"/>
          <w:bCs/>
          <w:sz w:val="24"/>
        </w:rPr>
        <w:t>1</w:t>
      </w:r>
      <w:r w:rsidRPr="000549B1">
        <w:rPr>
          <w:rFonts w:hint="eastAsia"/>
          <w:bCs/>
          <w:sz w:val="24"/>
        </w:rPr>
        <w:t>）大河坝水库（干流）单库供水方案</w:t>
      </w:r>
    </w:p>
    <w:p w14:paraId="1AA294C5" w14:textId="77777777" w:rsidR="00AF4186" w:rsidRPr="000549B1" w:rsidRDefault="00AF4186" w:rsidP="00AF4186">
      <w:pPr>
        <w:spacing w:line="360" w:lineRule="auto"/>
        <w:ind w:firstLineChars="200" w:firstLine="480"/>
        <w:rPr>
          <w:bCs/>
          <w:sz w:val="24"/>
        </w:rPr>
      </w:pPr>
      <w:r w:rsidRPr="000549B1">
        <w:rPr>
          <w:rFonts w:hint="eastAsia"/>
          <w:bCs/>
          <w:sz w:val="24"/>
        </w:rPr>
        <w:t>该方案利用切吉河</w:t>
      </w:r>
      <w:r w:rsidRPr="000549B1">
        <w:rPr>
          <w:bCs/>
          <w:sz w:val="24"/>
        </w:rPr>
        <w:t>自然河道输水至切吉水库</w:t>
      </w:r>
      <w:r w:rsidRPr="000549B1">
        <w:rPr>
          <w:rFonts w:hint="eastAsia"/>
          <w:bCs/>
          <w:sz w:val="24"/>
        </w:rPr>
        <w:t>，不建设新的水库，</w:t>
      </w:r>
      <w:r w:rsidRPr="000549B1">
        <w:rPr>
          <w:bCs/>
          <w:sz w:val="24"/>
        </w:rPr>
        <w:t>不会阻断花斑裸鲤、</w:t>
      </w:r>
      <w:r w:rsidRPr="000549B1">
        <w:rPr>
          <w:rFonts w:hint="eastAsia"/>
          <w:bCs/>
          <w:sz w:val="24"/>
        </w:rPr>
        <w:t>茶卡高原鳅</w:t>
      </w:r>
      <w:r w:rsidRPr="000549B1">
        <w:rPr>
          <w:bCs/>
          <w:sz w:val="24"/>
        </w:rPr>
        <w:t>等短距离生殖洄游习性鱼类的上下游洄游通道</w:t>
      </w:r>
      <w:r w:rsidRPr="000549B1">
        <w:rPr>
          <w:rFonts w:hint="eastAsia"/>
          <w:bCs/>
          <w:sz w:val="24"/>
        </w:rPr>
        <w:t>，不会加剧对切吉河上游天然河道的阻隔</w:t>
      </w:r>
      <w:r w:rsidRPr="000549B1">
        <w:rPr>
          <w:bCs/>
          <w:sz w:val="24"/>
        </w:rPr>
        <w:t>。</w:t>
      </w:r>
    </w:p>
    <w:p w14:paraId="6A32153E" w14:textId="77777777" w:rsidR="00AF4186" w:rsidRPr="000549B1" w:rsidRDefault="00AF4186" w:rsidP="00AF4186">
      <w:pPr>
        <w:spacing w:line="360" w:lineRule="auto"/>
        <w:ind w:firstLineChars="200" w:firstLine="480"/>
        <w:rPr>
          <w:bCs/>
          <w:sz w:val="24"/>
        </w:rPr>
      </w:pPr>
      <w:r w:rsidRPr="000549B1">
        <w:rPr>
          <w:bCs/>
          <w:sz w:val="24"/>
        </w:rPr>
        <w:t>（</w:t>
      </w:r>
      <w:r w:rsidRPr="000549B1">
        <w:rPr>
          <w:rFonts w:hint="eastAsia"/>
          <w:bCs/>
          <w:sz w:val="24"/>
        </w:rPr>
        <w:t>2</w:t>
      </w:r>
      <w:r w:rsidRPr="000549B1">
        <w:rPr>
          <w:bCs/>
          <w:sz w:val="24"/>
        </w:rPr>
        <w:t>）</w:t>
      </w:r>
      <w:r w:rsidRPr="000549B1">
        <w:rPr>
          <w:rFonts w:hint="eastAsia"/>
          <w:bCs/>
          <w:sz w:val="24"/>
        </w:rPr>
        <w:t>大河坝取水口</w:t>
      </w:r>
      <w:r w:rsidRPr="000549B1">
        <w:rPr>
          <w:rFonts w:hint="eastAsia"/>
          <w:bCs/>
          <w:sz w:val="24"/>
        </w:rPr>
        <w:t>+</w:t>
      </w:r>
      <w:r w:rsidRPr="000549B1">
        <w:rPr>
          <w:rFonts w:hint="eastAsia"/>
          <w:bCs/>
          <w:sz w:val="24"/>
        </w:rPr>
        <w:t>大河坝水库（注入式）供水方案</w:t>
      </w:r>
    </w:p>
    <w:p w14:paraId="1E65D6E6" w14:textId="77777777" w:rsidR="00AF4186" w:rsidRPr="000549B1" w:rsidRDefault="00AF4186" w:rsidP="00AF4186">
      <w:pPr>
        <w:spacing w:line="360" w:lineRule="auto"/>
        <w:ind w:firstLineChars="200" w:firstLine="480"/>
        <w:rPr>
          <w:bCs/>
          <w:sz w:val="24"/>
        </w:rPr>
      </w:pPr>
      <w:r w:rsidRPr="000549B1">
        <w:rPr>
          <w:rFonts w:hint="eastAsia"/>
          <w:bCs/>
          <w:sz w:val="24"/>
        </w:rPr>
        <w:t>该方案在切吉河上切吉水库上游</w:t>
      </w:r>
      <w:r w:rsidRPr="000549B1">
        <w:rPr>
          <w:rFonts w:hint="eastAsia"/>
          <w:bCs/>
          <w:sz w:val="24"/>
        </w:rPr>
        <w:t>2km</w:t>
      </w:r>
      <w:r w:rsidRPr="000549B1">
        <w:rPr>
          <w:rFonts w:hint="eastAsia"/>
          <w:bCs/>
          <w:sz w:val="24"/>
        </w:rPr>
        <w:t>处修建</w:t>
      </w:r>
      <w:r w:rsidRPr="000549B1">
        <w:rPr>
          <w:bCs/>
          <w:sz w:val="24"/>
        </w:rPr>
        <w:t>大河坝</w:t>
      </w:r>
      <w:r w:rsidRPr="000549B1">
        <w:rPr>
          <w:rFonts w:hint="eastAsia"/>
          <w:bCs/>
          <w:sz w:val="24"/>
        </w:rPr>
        <w:t>水库，新库</w:t>
      </w:r>
      <w:r w:rsidRPr="000549B1">
        <w:rPr>
          <w:bCs/>
          <w:sz w:val="24"/>
        </w:rPr>
        <w:t>的建设和运行，</w:t>
      </w:r>
      <w:r w:rsidRPr="000549B1">
        <w:rPr>
          <w:rFonts w:hint="eastAsia"/>
          <w:bCs/>
          <w:sz w:val="24"/>
        </w:rPr>
        <w:t>将进一步</w:t>
      </w:r>
      <w:r w:rsidRPr="000549B1">
        <w:rPr>
          <w:bCs/>
          <w:sz w:val="24"/>
        </w:rPr>
        <w:t>拦截河流，阻断花斑裸鲤、</w:t>
      </w:r>
      <w:r w:rsidRPr="000549B1">
        <w:rPr>
          <w:rFonts w:hint="eastAsia"/>
          <w:bCs/>
          <w:sz w:val="24"/>
        </w:rPr>
        <w:t>茶卡高原鳅</w:t>
      </w:r>
      <w:r w:rsidRPr="000549B1">
        <w:rPr>
          <w:bCs/>
          <w:sz w:val="24"/>
        </w:rPr>
        <w:t>等短距离生殖洄游习性鱼类的上下游洄游通道</w:t>
      </w:r>
      <w:r w:rsidRPr="000549B1">
        <w:rPr>
          <w:rFonts w:hint="eastAsia"/>
          <w:bCs/>
          <w:sz w:val="24"/>
        </w:rPr>
        <w:t>。</w:t>
      </w:r>
      <w:r w:rsidRPr="000549B1">
        <w:rPr>
          <w:bCs/>
          <w:sz w:val="24"/>
        </w:rPr>
        <w:t>水库建成后，</w:t>
      </w:r>
      <w:r w:rsidRPr="000549B1">
        <w:rPr>
          <w:rFonts w:hint="eastAsia"/>
          <w:bCs/>
          <w:sz w:val="24"/>
        </w:rPr>
        <w:t>上述</w:t>
      </w:r>
      <w:r w:rsidRPr="000549B1">
        <w:rPr>
          <w:bCs/>
          <w:sz w:val="24"/>
        </w:rPr>
        <w:t>鱼类自下而上寻找适应产卵生境；大坝的修建，</w:t>
      </w:r>
      <w:r w:rsidRPr="000549B1">
        <w:rPr>
          <w:rFonts w:hint="eastAsia"/>
          <w:bCs/>
          <w:sz w:val="24"/>
        </w:rPr>
        <w:t>进一步</w:t>
      </w:r>
      <w:r w:rsidRPr="000549B1">
        <w:rPr>
          <w:bCs/>
          <w:sz w:val="24"/>
        </w:rPr>
        <w:t>阻断了河道天然的连通性，在一定程度上阻隔了</w:t>
      </w:r>
      <w:r w:rsidRPr="000549B1">
        <w:rPr>
          <w:rFonts w:hint="eastAsia"/>
          <w:bCs/>
          <w:sz w:val="24"/>
        </w:rPr>
        <w:t>水库上</w:t>
      </w:r>
      <w:r w:rsidRPr="000549B1">
        <w:rPr>
          <w:bCs/>
          <w:sz w:val="24"/>
        </w:rPr>
        <w:t>下游鱼类之间的交流和联系。</w:t>
      </w:r>
    </w:p>
    <w:p w14:paraId="79532212" w14:textId="77777777" w:rsidR="00AF4186" w:rsidRPr="000549B1" w:rsidRDefault="00AF4186" w:rsidP="00AF4186">
      <w:pPr>
        <w:pStyle w:val="20"/>
      </w:pPr>
    </w:p>
    <w:p w14:paraId="6DB2A086" w14:textId="77777777" w:rsidR="00054437" w:rsidRPr="000549B1" w:rsidRDefault="00000000">
      <w:pPr>
        <w:pStyle w:val="3"/>
      </w:pPr>
      <w:bookmarkStart w:id="412" w:name="_Toc216107059"/>
      <w:r w:rsidRPr="000549B1">
        <w:t>对水生生物及生境条件的影响</w:t>
      </w:r>
      <w:bookmarkEnd w:id="412"/>
    </w:p>
    <w:p w14:paraId="78C51AE1" w14:textId="77777777" w:rsidR="00054437" w:rsidRPr="000549B1" w:rsidRDefault="00000000">
      <w:pPr>
        <w:spacing w:line="360" w:lineRule="auto"/>
        <w:ind w:firstLineChars="200" w:firstLine="480"/>
        <w:rPr>
          <w:bCs/>
          <w:sz w:val="24"/>
        </w:rPr>
      </w:pPr>
      <w:r w:rsidRPr="000549B1">
        <w:rPr>
          <w:bCs/>
          <w:sz w:val="24"/>
        </w:rPr>
        <w:t>沙珠玉河流域为内陆河小流域，为独立水系。沙珠玉河流域分布有裂腹鱼类和高原鳅类两大类群，裂腹鱼类仅有花斑裸鲤</w:t>
      </w:r>
      <w:r w:rsidRPr="000549B1">
        <w:rPr>
          <w:bCs/>
          <w:sz w:val="24"/>
        </w:rPr>
        <w:t>1</w:t>
      </w:r>
      <w:r w:rsidRPr="000549B1">
        <w:rPr>
          <w:bCs/>
          <w:sz w:val="24"/>
        </w:rPr>
        <w:t>种，主要分布于沙珠玉河干流水域，上游盐湖无分布；高原鳅类亦仅有</w:t>
      </w:r>
      <w:r w:rsidRPr="000549B1">
        <w:rPr>
          <w:bCs/>
          <w:sz w:val="24"/>
        </w:rPr>
        <w:t>1</w:t>
      </w:r>
      <w:r w:rsidRPr="000549B1">
        <w:rPr>
          <w:bCs/>
          <w:sz w:val="24"/>
        </w:rPr>
        <w:t>种，为茶卡高原鳅，为流域特有种，分布范围较狭窄，仅分布于沙珠玉河干流及其长流水支流，此外在茶卡盐湖汇水支流也有少量分布。茶卡高原鳅在沙珠玉河流域为绝对优势种，其分布范围与花斑裸鲤基本一致。花斑裸鲤在沙珠玉河资源量较小，水生生态调查仅调查到低龄鱼，未采集到性成熟鱼类，种群较小，推测处于衰退期，沙珠玉河流域鱼类资源制约因素为水量减少和饵料匮乏。</w:t>
      </w:r>
    </w:p>
    <w:p w14:paraId="3CA520A6" w14:textId="77777777" w:rsidR="00054437" w:rsidRPr="000549B1" w:rsidRDefault="00000000">
      <w:pPr>
        <w:spacing w:line="360" w:lineRule="auto"/>
        <w:ind w:firstLineChars="200" w:firstLine="480"/>
        <w:rPr>
          <w:bCs/>
          <w:sz w:val="24"/>
        </w:rPr>
      </w:pPr>
      <w:r w:rsidRPr="000549B1">
        <w:rPr>
          <w:bCs/>
          <w:sz w:val="24"/>
        </w:rPr>
        <w:t>水资源配置会对河流的水文情势产生影响，从而影响到水生生物。水资源配置后，流域内水量配置增加不大，受沙珠玉河的外流域调水工程的影响，切吉河切吉水库以下断面的径流量及流量过程产生了变化，能够满足生态流量过程。支流水资源量的增加会导致沙珠玉河水量随之增加，水量的增加会导致浮游植物、浮游动物产量增加，适宜的生境面积对底栖动物的增殖和种群稳定产生正效应，生物量也会有所增加，有利于水域生态环境的稳定，为鱼类资源的生长繁殖提供饵料资源和生存环境。</w:t>
      </w:r>
    </w:p>
    <w:p w14:paraId="38C3D5AE" w14:textId="77777777" w:rsidR="00AF4186" w:rsidRPr="000549B1" w:rsidRDefault="00AF4186" w:rsidP="00AF4186">
      <w:pPr>
        <w:spacing w:line="360" w:lineRule="auto"/>
        <w:ind w:firstLineChars="200" w:firstLine="480"/>
        <w:rPr>
          <w:bCs/>
          <w:sz w:val="24"/>
        </w:rPr>
      </w:pPr>
      <w:r w:rsidRPr="000549B1">
        <w:rPr>
          <w:bCs/>
          <w:sz w:val="24"/>
        </w:rPr>
        <w:t>本次规划主要是在支流上修建水库工程和引调水工程，闸坝的建设造成下游河道减流问题，将破坏鱼类栖息环境，影响这一河段鱼类产卵场的形成。规划的三滩引水生态治理一期工程</w:t>
      </w:r>
      <w:r w:rsidRPr="000549B1">
        <w:rPr>
          <w:rFonts w:hint="eastAsia"/>
          <w:bCs/>
          <w:sz w:val="24"/>
        </w:rPr>
        <w:t>水源工程有两种方案，不同方案对河流连通性以及对水生生物、生境条件的影响不同。</w:t>
      </w:r>
    </w:p>
    <w:p w14:paraId="4BE94296" w14:textId="77777777" w:rsidR="00AF4186" w:rsidRPr="000549B1" w:rsidRDefault="00AF4186" w:rsidP="00AF4186">
      <w:pPr>
        <w:spacing w:line="360" w:lineRule="auto"/>
        <w:ind w:firstLineChars="200" w:firstLine="480"/>
        <w:rPr>
          <w:bCs/>
          <w:sz w:val="24"/>
        </w:rPr>
      </w:pPr>
      <w:r w:rsidRPr="000549B1">
        <w:rPr>
          <w:rFonts w:hint="eastAsia"/>
          <w:bCs/>
          <w:sz w:val="24"/>
        </w:rPr>
        <w:t>大河坝水库（干流）单库供水方案</w:t>
      </w:r>
    </w:p>
    <w:p w14:paraId="4EAC4E2E" w14:textId="77777777" w:rsidR="00AF4186" w:rsidRPr="000549B1" w:rsidRDefault="00AF4186" w:rsidP="00AF4186">
      <w:pPr>
        <w:spacing w:line="360" w:lineRule="auto"/>
        <w:ind w:firstLineChars="200" w:firstLine="480"/>
        <w:rPr>
          <w:bCs/>
          <w:sz w:val="24"/>
        </w:rPr>
      </w:pPr>
      <w:r w:rsidRPr="000549B1">
        <w:rPr>
          <w:rFonts w:hint="eastAsia"/>
          <w:bCs/>
          <w:sz w:val="24"/>
        </w:rPr>
        <w:t>该方案利用切吉河</w:t>
      </w:r>
      <w:r w:rsidRPr="000549B1">
        <w:rPr>
          <w:bCs/>
          <w:sz w:val="24"/>
        </w:rPr>
        <w:t>自然河道输水至切吉水库</w:t>
      </w:r>
      <w:r w:rsidRPr="000549B1">
        <w:rPr>
          <w:rFonts w:hint="eastAsia"/>
          <w:bCs/>
          <w:sz w:val="24"/>
        </w:rPr>
        <w:t>，不建设新的水库，</w:t>
      </w:r>
      <w:r w:rsidRPr="000549B1">
        <w:rPr>
          <w:bCs/>
          <w:sz w:val="24"/>
        </w:rPr>
        <w:t>不会进一步破坏河流联通性</w:t>
      </w:r>
      <w:r w:rsidRPr="000549B1">
        <w:rPr>
          <w:rFonts w:hint="eastAsia"/>
          <w:bCs/>
          <w:sz w:val="24"/>
        </w:rPr>
        <w:t>和</w:t>
      </w:r>
      <w:r w:rsidRPr="000549B1">
        <w:rPr>
          <w:bCs/>
          <w:sz w:val="24"/>
        </w:rPr>
        <w:t>水生生物生境，鱼类栖息环境</w:t>
      </w:r>
      <w:r w:rsidRPr="000549B1">
        <w:rPr>
          <w:rFonts w:hint="eastAsia"/>
          <w:bCs/>
          <w:sz w:val="24"/>
        </w:rPr>
        <w:t>变化不大</w:t>
      </w:r>
      <w:r w:rsidRPr="000549B1">
        <w:rPr>
          <w:bCs/>
          <w:sz w:val="24"/>
        </w:rPr>
        <w:t>。</w:t>
      </w:r>
    </w:p>
    <w:p w14:paraId="434024CF" w14:textId="77777777" w:rsidR="00AF4186" w:rsidRPr="000549B1" w:rsidRDefault="00AF4186" w:rsidP="00AF4186">
      <w:pPr>
        <w:spacing w:line="360" w:lineRule="auto"/>
        <w:ind w:firstLineChars="200" w:firstLine="480"/>
        <w:rPr>
          <w:bCs/>
          <w:sz w:val="24"/>
        </w:rPr>
      </w:pPr>
      <w:r w:rsidRPr="000549B1">
        <w:rPr>
          <w:rFonts w:hint="eastAsia"/>
          <w:bCs/>
          <w:sz w:val="24"/>
        </w:rPr>
        <w:t>（</w:t>
      </w:r>
      <w:r w:rsidRPr="000549B1">
        <w:rPr>
          <w:rFonts w:hint="eastAsia"/>
          <w:bCs/>
          <w:sz w:val="24"/>
        </w:rPr>
        <w:t>2</w:t>
      </w:r>
      <w:r w:rsidRPr="000549B1">
        <w:rPr>
          <w:rFonts w:hint="eastAsia"/>
          <w:bCs/>
          <w:sz w:val="24"/>
        </w:rPr>
        <w:t>）大河坝取水口</w:t>
      </w:r>
      <w:r w:rsidRPr="000549B1">
        <w:rPr>
          <w:rFonts w:hint="eastAsia"/>
          <w:bCs/>
          <w:sz w:val="24"/>
        </w:rPr>
        <w:t>+</w:t>
      </w:r>
      <w:r w:rsidRPr="000549B1">
        <w:rPr>
          <w:rFonts w:hint="eastAsia"/>
          <w:bCs/>
          <w:sz w:val="24"/>
        </w:rPr>
        <w:t>大河坝水库（注入式）供水方案</w:t>
      </w:r>
    </w:p>
    <w:p w14:paraId="25E26456" w14:textId="669460B9" w:rsidR="00054437" w:rsidRPr="000549B1" w:rsidRDefault="00AF4186" w:rsidP="00AF4186">
      <w:pPr>
        <w:spacing w:line="360" w:lineRule="auto"/>
        <w:ind w:firstLineChars="200" w:firstLine="480"/>
        <w:rPr>
          <w:bCs/>
          <w:sz w:val="24"/>
        </w:rPr>
      </w:pPr>
      <w:r w:rsidRPr="000549B1">
        <w:rPr>
          <w:rFonts w:hint="eastAsia"/>
          <w:bCs/>
          <w:sz w:val="24"/>
        </w:rPr>
        <w:t>该方案在切吉河上切吉水库上游</w:t>
      </w:r>
      <w:r w:rsidRPr="000549B1">
        <w:rPr>
          <w:rFonts w:hint="eastAsia"/>
          <w:bCs/>
          <w:sz w:val="24"/>
        </w:rPr>
        <w:t>2km</w:t>
      </w:r>
      <w:r w:rsidRPr="000549B1">
        <w:rPr>
          <w:rFonts w:hint="eastAsia"/>
          <w:bCs/>
          <w:sz w:val="24"/>
        </w:rPr>
        <w:t>处修建</w:t>
      </w:r>
      <w:r w:rsidRPr="000549B1">
        <w:rPr>
          <w:bCs/>
          <w:sz w:val="24"/>
        </w:rPr>
        <w:t>大河坝</w:t>
      </w:r>
      <w:r w:rsidRPr="000549B1">
        <w:rPr>
          <w:rFonts w:hint="eastAsia"/>
          <w:bCs/>
          <w:sz w:val="24"/>
        </w:rPr>
        <w:t>水库，</w:t>
      </w:r>
      <w:r w:rsidRPr="000549B1">
        <w:rPr>
          <w:bCs/>
          <w:sz w:val="24"/>
        </w:rPr>
        <w:t>规划的实施将进一步破坏河流联通性，破坏水生生物生境，鱼类栖息环境将遭到进一步破坏。</w:t>
      </w:r>
    </w:p>
    <w:p w14:paraId="49C1F5E2" w14:textId="7A2D37C2" w:rsidR="00054437" w:rsidRPr="000549B1" w:rsidRDefault="00000000">
      <w:pPr>
        <w:pStyle w:val="3"/>
      </w:pPr>
      <w:bookmarkStart w:id="413" w:name="_Toc216107060"/>
      <w:r w:rsidRPr="000549B1">
        <w:rPr>
          <w:rFonts w:hint="eastAsia"/>
        </w:rPr>
        <w:t>小结</w:t>
      </w:r>
      <w:bookmarkEnd w:id="413"/>
    </w:p>
    <w:p w14:paraId="4A99A73A" w14:textId="20B31E3E" w:rsidR="00AF4186" w:rsidRPr="000549B1" w:rsidRDefault="00AF4186" w:rsidP="00AF4186">
      <w:pPr>
        <w:snapToGrid w:val="0"/>
        <w:spacing w:line="360" w:lineRule="auto"/>
        <w:ind w:firstLineChars="200" w:firstLine="480"/>
        <w:rPr>
          <w:bCs/>
          <w:sz w:val="24"/>
          <w:szCs w:val="24"/>
        </w:rPr>
      </w:pPr>
      <w:r w:rsidRPr="000549B1">
        <w:rPr>
          <w:rFonts w:hint="eastAsia"/>
          <w:bCs/>
          <w:sz w:val="24"/>
          <w:szCs w:val="24"/>
        </w:rPr>
        <w:t>沙珠玉河流域规划实施后，尤其是重大水资源配置工程建设运行后，从大河坝河流域调水，影响沙珠玉河流域干支流的水资源和水文情势变化，进而影响河流水生生物资源和水生生境条件；水库工程的建设将进一步影响河道连通性，从而影响到生物多样性。</w:t>
      </w:r>
    </w:p>
    <w:p w14:paraId="6F78C30B" w14:textId="6C540038" w:rsidR="00054437" w:rsidRPr="000549B1" w:rsidRDefault="00AF4186" w:rsidP="00AF4186">
      <w:pPr>
        <w:snapToGrid w:val="0"/>
        <w:spacing w:line="360" w:lineRule="auto"/>
        <w:ind w:firstLineChars="200" w:firstLine="480"/>
      </w:pPr>
      <w:r w:rsidRPr="000549B1">
        <w:rPr>
          <w:rFonts w:hint="eastAsia"/>
          <w:bCs/>
          <w:sz w:val="24"/>
        </w:rPr>
        <w:t>在严格落实规划提出的生态流量下泄保障措施等水生态保护要求，有利于改善目前河道脱流、减水的现状，使水生生物和鱼类基本生存环境得到一定的恢复，可以保护和恢复水生生物多样性。</w:t>
      </w:r>
    </w:p>
    <w:p w14:paraId="1DE0F8A0" w14:textId="052ACC6C" w:rsidR="00054437" w:rsidRPr="000549B1" w:rsidRDefault="00000000">
      <w:pPr>
        <w:pStyle w:val="2"/>
        <w:rPr>
          <w:rFonts w:ascii="Times New Roman" w:hAnsi="Times New Roman"/>
        </w:rPr>
      </w:pPr>
      <w:bookmarkStart w:id="414" w:name="_Toc216107061"/>
      <w:r w:rsidRPr="000549B1">
        <w:rPr>
          <w:rFonts w:ascii="Times New Roman" w:hAnsi="Times New Roman" w:hint="eastAsia"/>
        </w:rPr>
        <w:t>生态</w:t>
      </w:r>
      <w:r w:rsidRPr="000549B1">
        <w:rPr>
          <w:rFonts w:ascii="Times New Roman" w:hAnsi="Times New Roman"/>
        </w:rPr>
        <w:t>风险评价</w:t>
      </w:r>
      <w:bookmarkEnd w:id="414"/>
    </w:p>
    <w:p w14:paraId="649A4B32" w14:textId="0BC935BD" w:rsidR="00054437" w:rsidRPr="000549B1" w:rsidRDefault="00000000">
      <w:pPr>
        <w:pStyle w:val="zhang3"/>
        <w:spacing w:before="156" w:after="156"/>
      </w:pPr>
      <w:r w:rsidRPr="000549B1">
        <w:t>生态风险</w:t>
      </w:r>
      <w:r w:rsidRPr="000549B1">
        <w:rPr>
          <w:rFonts w:hint="eastAsia"/>
        </w:rPr>
        <w:t>识别</w:t>
      </w:r>
    </w:p>
    <w:p w14:paraId="180FA7F6" w14:textId="66A2CAC6" w:rsidR="00054437" w:rsidRPr="000549B1" w:rsidRDefault="00000000">
      <w:pPr>
        <w:pStyle w:val="x"/>
      </w:pPr>
      <w:bookmarkStart w:id="415" w:name="_Hlk216119068"/>
      <w:r w:rsidRPr="000549B1">
        <w:t>由于</w:t>
      </w:r>
      <w:r w:rsidRPr="000549B1">
        <w:rPr>
          <w:rFonts w:hint="eastAsia"/>
        </w:rPr>
        <w:t>规划</w:t>
      </w:r>
      <w:r w:rsidRPr="000549B1">
        <w:t>的工程内容不涉及大气污染源、土壤污染源及重大工业项目等因素，不存在明显的大气污染风险、土壤污染风险和工业企业生产安全风险。综合考虑沙珠玉河流域开发活动的特点，</w:t>
      </w:r>
      <w:r w:rsidRPr="000549B1">
        <w:rPr>
          <w:rFonts w:hint="eastAsia"/>
        </w:rPr>
        <w:t>规划</w:t>
      </w:r>
      <w:r w:rsidRPr="000549B1">
        <w:t>实施可能带来的主要生态风险类型包括</w:t>
      </w:r>
      <w:r w:rsidR="0077688F" w:rsidRPr="000549B1">
        <w:rPr>
          <w:rFonts w:hint="eastAsia"/>
        </w:rPr>
        <w:t>以下几个方面：</w:t>
      </w:r>
    </w:p>
    <w:p w14:paraId="08B933DB" w14:textId="54E85E31" w:rsidR="0077688F" w:rsidRPr="000549B1" w:rsidRDefault="0077688F" w:rsidP="0077688F">
      <w:pPr>
        <w:pStyle w:val="x"/>
      </w:pPr>
      <w:r w:rsidRPr="000549B1">
        <w:rPr>
          <w:rFonts w:hint="eastAsia"/>
        </w:rPr>
        <w:t>（</w:t>
      </w:r>
      <w:r w:rsidRPr="000549B1">
        <w:rPr>
          <w:rFonts w:hint="eastAsia"/>
        </w:rPr>
        <w:t>1</w:t>
      </w:r>
      <w:r w:rsidRPr="000549B1">
        <w:rPr>
          <w:rFonts w:hint="eastAsia"/>
        </w:rPr>
        <w:t>）生物入侵</w:t>
      </w:r>
    </w:p>
    <w:p w14:paraId="3D9B4370" w14:textId="340D122F" w:rsidR="0077688F" w:rsidRPr="000549B1" w:rsidRDefault="0077688F" w:rsidP="0077688F">
      <w:pPr>
        <w:pStyle w:val="x"/>
      </w:pPr>
      <w:r w:rsidRPr="000549B1">
        <w:rPr>
          <w:rFonts w:hint="eastAsia"/>
        </w:rPr>
        <w:t>随着工程车辆的进入，可能将新的外来物种带进该区域，或者将入侵物种带出该区域，从而在新的地点形成新的分布区域，评价区存在外来物质入侵风险。入侵物种由于缺少天故而大量繁殖对当地生态造成了很大的危害。而且外来物种适应性、耐性强、繁殖力强，易占据本地物种生态位，对土著物种产生一定的排斥，改变区域种群、群落或生态系统的结构和功能，导致生态系统的单一或退化，破坏当地生态。在工程实施植被恢复措施过程中，禁止使用易引起入侵的植物种类，优先选择乡土种、本地种或已被证明无入侵风险的物种；加强管理，不允许任何人将未知种类植物种植于工程区</w:t>
      </w:r>
      <w:r w:rsidR="009C7216" w:rsidRPr="000549B1">
        <w:rPr>
          <w:rFonts w:hint="eastAsia"/>
        </w:rPr>
        <w:t>。</w:t>
      </w:r>
    </w:p>
    <w:p w14:paraId="536F6132" w14:textId="66426D3C" w:rsidR="0077688F" w:rsidRPr="000549B1" w:rsidRDefault="0077688F" w:rsidP="0077688F">
      <w:pPr>
        <w:pStyle w:val="x"/>
        <w:numPr>
          <w:ilvl w:val="0"/>
          <w:numId w:val="7"/>
        </w:numPr>
        <w:ind w:left="482" w:firstLine="0"/>
      </w:pPr>
      <w:r w:rsidRPr="000549B1">
        <w:t>水土流失</w:t>
      </w:r>
    </w:p>
    <w:p w14:paraId="46E15D70" w14:textId="71726EB7" w:rsidR="0077688F" w:rsidRPr="000549B1" w:rsidRDefault="0077688F" w:rsidP="0077688F">
      <w:pPr>
        <w:pStyle w:val="x"/>
      </w:pPr>
      <w:r w:rsidRPr="000549B1">
        <w:t>暴雨冲刷使河道沿岸地区发生水土流失，而且在此类情况下带来的大量非点源污染物使得流域水质恶化。流域土地利用以农业为主，对水质影响较大的非点源主要有农药化肥、农村生活污水、养殖业污水和水土流失等。非点源污染的典型特征是污染物集中于暴雨</w:t>
      </w:r>
      <w:r w:rsidRPr="000549B1">
        <w:rPr>
          <w:rFonts w:hint="eastAsia"/>
        </w:rPr>
        <w:t>时</w:t>
      </w:r>
      <w:r w:rsidRPr="000549B1">
        <w:t>间输出。氮磷为植物生长的必需元素，但其浓度过高将引起水体的富营养化，从而对水体产生不良生态影响，导致藻类及浮游植物大量繁殖，出现</w:t>
      </w:r>
      <w:r w:rsidRPr="000549B1">
        <w:t>“</w:t>
      </w:r>
      <w:r w:rsidRPr="000549B1">
        <w:t>水华</w:t>
      </w:r>
      <w:r w:rsidRPr="000549B1">
        <w:t>”</w:t>
      </w:r>
      <w:r w:rsidRPr="000549B1">
        <w:t>现象，水体溶解氧迅速下降，水质恶化，鱼类及其他生物大量死亡。</w:t>
      </w:r>
    </w:p>
    <w:p w14:paraId="336C1D12" w14:textId="4E0E586B" w:rsidR="0077688F" w:rsidRPr="000549B1" w:rsidRDefault="0077688F" w:rsidP="0077688F">
      <w:pPr>
        <w:pStyle w:val="x"/>
        <w:numPr>
          <w:ilvl w:val="0"/>
          <w:numId w:val="7"/>
        </w:numPr>
      </w:pPr>
      <w:r w:rsidRPr="000549B1">
        <w:t>水环境风险</w:t>
      </w:r>
    </w:p>
    <w:p w14:paraId="67AD1889" w14:textId="1762D71E" w:rsidR="00054437" w:rsidRPr="000549B1" w:rsidRDefault="0077688F" w:rsidP="0077688F">
      <w:pPr>
        <w:pStyle w:val="x"/>
      </w:pPr>
      <w:bookmarkStart w:id="416" w:name="OLE_LINK45"/>
      <w:r w:rsidRPr="000549B1">
        <w:t>流域规划灌溉、供水、防洪及水利工程环境风险主要是溢油或是危险品泄漏，就风险发现的概率而言，由于流域现有公路主要为低等级的县道或者乡镇公路，来往车辆相对较少，车速也较低，因此发生交通事故并造成石油类或危险品泄漏进入污染水体的概率也是极小的。但一旦发生，由于石油类较难降解，且渠道水量有限，流速相对较快，这对沿线地区人畜饮水会产生较大影响。而如果发生危险品，特别是剧毒化学品污染水体，将严重威胁着沿线地区广大人民的生命财产安全，其影响是巨大的，因此，必须采取防范措施，杜绝这一类风险的发生。</w:t>
      </w:r>
    </w:p>
    <w:bookmarkEnd w:id="416"/>
    <w:p w14:paraId="7ED58CA1" w14:textId="678DE7E6" w:rsidR="009C7216" w:rsidRPr="000549B1" w:rsidRDefault="009C7216" w:rsidP="009C7216">
      <w:pPr>
        <w:pStyle w:val="x"/>
      </w:pPr>
      <w:r w:rsidRPr="000549B1">
        <w:t>（</w:t>
      </w:r>
      <w:r w:rsidRPr="000549B1">
        <w:rPr>
          <w:rFonts w:hint="eastAsia"/>
        </w:rPr>
        <w:t>4</w:t>
      </w:r>
      <w:r w:rsidRPr="000549B1">
        <w:t>）调水引水工程风险</w:t>
      </w:r>
    </w:p>
    <w:p w14:paraId="48DD87EF" w14:textId="50FC406E" w:rsidR="009C7216" w:rsidRPr="000549B1" w:rsidRDefault="00AB521D" w:rsidP="00AB521D">
      <w:pPr>
        <w:pStyle w:val="x"/>
      </w:pPr>
      <w:r w:rsidRPr="000549B1">
        <w:t>规划中论证的从三滩引调水工程，是系统性、跨区域的重大干预。就风险发生的根本概率而言，此类工程在前期经过严格的可行性研究与设计审查，因工程本身结构性失效导致突发性重大生态灾难的概率较低。然而，一旦工程实施并投入运行，其对自然水循环的系统性改变所引发的累积性、结构性生态影响则是必然且不可逆的。这种影响表现为对调出流域水资源的永久性分割，可能减少其下游生态基流，影响河道健康与沿岸依存生态；对沙珠玉河而言，则永久性地改变了其水文节律与水沙平衡，可能引发河道冲刷、淤积或河势调整，并存在引入外来物种、打破本地生态平衡的长期风险。同时，输水线路作为人工廊道将切割自然生态景观，其建设与运行的物理干扰是持续存在的。此类系统性风险的影响范围广、时间跨度长，且涉及跨区域的生态关系重组，一旦形成不利局面，其生态修复代价将极其高昂，甚至不可挽回。因此，必须在规划决策与工程设计中采取最审慎的预防性策略，进行充分的跨流域生态影响联合评估，并制定全面的适应性管理方案，以杜绝不可控的全局性生态风险发生</w:t>
      </w:r>
      <w:r w:rsidR="009C7216" w:rsidRPr="000549B1">
        <w:t>。</w:t>
      </w:r>
    </w:p>
    <w:bookmarkEnd w:id="415"/>
    <w:p w14:paraId="54C5F5A0" w14:textId="77777777" w:rsidR="00054437" w:rsidRPr="000549B1" w:rsidRDefault="00000000">
      <w:pPr>
        <w:pStyle w:val="zhang3"/>
        <w:spacing w:before="156" w:after="156"/>
      </w:pPr>
      <w:r w:rsidRPr="000549B1">
        <w:t>生态风险</w:t>
      </w:r>
      <w:r w:rsidRPr="000549B1">
        <w:rPr>
          <w:rFonts w:hint="eastAsia"/>
        </w:rPr>
        <w:t>评估及风险管理</w:t>
      </w:r>
    </w:p>
    <w:p w14:paraId="5C4B6A0D" w14:textId="77777777" w:rsidR="00890477" w:rsidRPr="000549B1" w:rsidRDefault="00890477" w:rsidP="00890477">
      <w:pPr>
        <w:pStyle w:val="x"/>
        <w:numPr>
          <w:ilvl w:val="0"/>
          <w:numId w:val="27"/>
        </w:numPr>
      </w:pPr>
      <w:r w:rsidRPr="000549B1">
        <w:t>水源地污染风险</w:t>
      </w:r>
    </w:p>
    <w:p w14:paraId="5430566E" w14:textId="77777777" w:rsidR="00890477" w:rsidRPr="000549B1" w:rsidRDefault="00890477" w:rsidP="00890477">
      <w:pPr>
        <w:pStyle w:val="x"/>
        <w:numPr>
          <w:ilvl w:val="255"/>
          <w:numId w:val="0"/>
        </w:numPr>
        <w:ind w:firstLineChars="200" w:firstLine="480"/>
      </w:pPr>
      <w:r w:rsidRPr="000549B1">
        <w:rPr>
          <w:rFonts w:hint="eastAsia"/>
        </w:rPr>
        <w:t>规划</w:t>
      </w:r>
      <w:r w:rsidRPr="000549B1">
        <w:t>将新建和完善多个水源工程（规划新建</w:t>
      </w:r>
      <w:r w:rsidRPr="000549B1">
        <w:t>6</w:t>
      </w:r>
      <w:r w:rsidRPr="000549B1">
        <w:t>座水库，包括</w:t>
      </w:r>
      <w:r w:rsidRPr="000549B1">
        <w:t>1</w:t>
      </w:r>
      <w:r w:rsidRPr="000549B1">
        <w:t>座中型水库），这些水库及现有的切吉水库等将作为流域居民生活和农牧业的主要供水水源地。水源地面临的首要风险是水质污染。水库建成蓄水后，库区水深加大、流速减缓，营养盐易于积累，有可能引发水体富营养化，使库区出现藻类异常增殖甚至暴发藻华的风险。一旦水库暴发大规模藻华，过度繁殖的藻类不仅会遮蔽阳光、导致水生植被死亡和水体缺氧，引发鱼类等水生动物窒息死亡，高浓度藻类还</w:t>
      </w:r>
      <w:r w:rsidRPr="000549B1">
        <w:rPr>
          <w:rFonts w:hint="eastAsia"/>
        </w:rPr>
        <w:t>容易</w:t>
      </w:r>
      <w:r w:rsidRPr="000549B1">
        <w:t>堵塞水厂滤池，影响供水系统的正常运行。</w:t>
      </w:r>
      <w:r w:rsidRPr="000549B1">
        <w:rPr>
          <w:rFonts w:hint="eastAsia"/>
        </w:rPr>
        <w:t>此外，</w:t>
      </w:r>
      <w:r w:rsidRPr="000549B1">
        <w:t>水源地周边的人类活动也可能带来污染风险</w:t>
      </w:r>
      <w:r w:rsidRPr="000549B1">
        <w:rPr>
          <w:rFonts w:hint="eastAsia"/>
        </w:rPr>
        <w:t>，</w:t>
      </w:r>
      <w:r w:rsidRPr="000549B1">
        <w:t>水库集水区内农业面源污染（农田肥料、农药流失）、畜禽养殖废弃物及生活污水处理不当，均可能进入水体，影响饮用水水质安全。鉴于上述风险，规划实施过程中必须加强饮用水水源地的保护与管理。在地方政府划定饮用水水源保护区后，应严格落实保护区的分区管控措施，封堵一、二级保护区内的排污口，清理周边污染源，并完善水源地规范化建设：包括设置明显的界标和防护隔离设施、定期开展水质监测预警、提升水源地风险防控和应急处置能力等。</w:t>
      </w:r>
    </w:p>
    <w:p w14:paraId="5D708E67" w14:textId="77777777" w:rsidR="00890477" w:rsidRPr="000549B1" w:rsidRDefault="00890477" w:rsidP="00890477">
      <w:pPr>
        <w:pStyle w:val="x"/>
        <w:numPr>
          <w:ilvl w:val="255"/>
          <w:numId w:val="0"/>
        </w:numPr>
        <w:ind w:firstLineChars="200" w:firstLine="480"/>
      </w:pPr>
      <w:r w:rsidRPr="000549B1">
        <w:t>通过上述措施，可降低水库调蓄对水质的不利影响，防范水源地富营养化和污染事件的发生，确保饮用水水源安全。</w:t>
      </w:r>
    </w:p>
    <w:p w14:paraId="4213FA75" w14:textId="77777777" w:rsidR="00890477" w:rsidRPr="000549B1" w:rsidRDefault="00890477" w:rsidP="00890477">
      <w:pPr>
        <w:pStyle w:val="x"/>
        <w:numPr>
          <w:ilvl w:val="0"/>
          <w:numId w:val="27"/>
        </w:numPr>
      </w:pPr>
      <w:r w:rsidRPr="000549B1">
        <w:t>调水引水工程风险</w:t>
      </w:r>
    </w:p>
    <w:p w14:paraId="137C29B5" w14:textId="77777777" w:rsidR="00890477" w:rsidRPr="000549B1" w:rsidRDefault="00890477" w:rsidP="00890477">
      <w:pPr>
        <w:pStyle w:val="x"/>
        <w:numPr>
          <w:ilvl w:val="255"/>
          <w:numId w:val="0"/>
        </w:numPr>
        <w:ind w:firstLineChars="200" w:firstLine="480"/>
      </w:pPr>
      <w:r w:rsidRPr="000549B1">
        <w:t>沙珠玉河</w:t>
      </w:r>
      <w:r w:rsidRPr="000549B1">
        <w:rPr>
          <w:rFonts w:hint="eastAsia"/>
        </w:rPr>
        <w:t>流域</w:t>
      </w:r>
      <w:r w:rsidRPr="000549B1">
        <w:t>综合规划拟通过实施流域外调水工程，引入相邻流域的水资源以缓解本流域水资源短缺。规划考虑从大河坝河流域调水进入沙珠玉河，以增加可供水量，提升灌溉和供水保障能力。跨流域引水在带来水资源增益的同时，也隐含一定的生态风险。一方面，调水可能引发水量分配方面的矛盾：当</w:t>
      </w:r>
      <w:r w:rsidRPr="000549B1">
        <w:rPr>
          <w:rFonts w:hint="eastAsia"/>
        </w:rPr>
        <w:t>水源调出区大河坝河流域</w:t>
      </w:r>
      <w:r w:rsidRPr="000549B1">
        <w:t>在枯水年份自身水量不足时，向沙珠玉河调水的规模和频率可能难以保障，从而影响受水区对水资源的预期利用，进而引发区域间水资源分配冲突。另一方面，引水工程如果调度不当，可能导致沙珠玉河</w:t>
      </w:r>
      <w:r w:rsidRPr="000549B1">
        <w:rPr>
          <w:rFonts w:hint="eastAsia"/>
        </w:rPr>
        <w:t>流域</w:t>
      </w:r>
      <w:r w:rsidRPr="000549B1">
        <w:t>某些河段的生态用水不足。</w:t>
      </w:r>
      <w:r w:rsidRPr="000549B1">
        <w:rPr>
          <w:rFonts w:hint="eastAsia"/>
        </w:rPr>
        <w:t>如</w:t>
      </w:r>
      <w:r w:rsidRPr="000549B1">
        <w:t>新增水资源主要用于灌溉和供水，未合理预留生态水量，则中下游河段的水生态需求保障程度可能下降。因此，跨流域调水需在宏观层面做好科学论证和统筹管理。规划以流域水资源承载能力为约束，根据青海省海南州取水许可总量控制指标，科学论证流域外调水规模，确保引水方案在资源可承受范围内实施。同时，强化沙珠玉河流域水资源的统一调度管理，将生态用水需求纳入流域水量分配计划，逐步优化生态流量调度过程，确保重点河段的基本生态水量得到优先满足。当出现极端干旱或水情异常时，严格执行生态优先的调度原则，必要时暂缓外调水工程的引水，以保障流域和</w:t>
      </w:r>
      <w:r w:rsidRPr="000549B1">
        <w:rPr>
          <w:rFonts w:hint="eastAsia"/>
        </w:rPr>
        <w:t>水源</w:t>
      </w:r>
      <w:r w:rsidRPr="000549B1">
        <w:t>调出区的生态基流。</w:t>
      </w:r>
    </w:p>
    <w:p w14:paraId="1D58B802" w14:textId="77777777" w:rsidR="00890477" w:rsidRPr="000549B1" w:rsidRDefault="00890477" w:rsidP="00890477">
      <w:pPr>
        <w:pStyle w:val="x"/>
        <w:numPr>
          <w:ilvl w:val="255"/>
          <w:numId w:val="0"/>
        </w:numPr>
        <w:ind w:firstLineChars="200" w:firstLine="480"/>
      </w:pPr>
      <w:r w:rsidRPr="000549B1">
        <w:t>综上，只有在完善制度和技术措施的基础上实施调水工程，才能有效防范</w:t>
      </w:r>
      <w:r w:rsidRPr="000549B1">
        <w:rPr>
          <w:rFonts w:ascii="宋体" w:hAnsi="宋体"/>
        </w:rPr>
        <w:t>“</w:t>
      </w:r>
      <w:r w:rsidRPr="000549B1">
        <w:t>大河坝引水</w:t>
      </w:r>
      <w:r w:rsidRPr="000549B1">
        <w:rPr>
          <w:rFonts w:ascii="宋体" w:hAnsi="宋体"/>
        </w:rPr>
        <w:t>”</w:t>
      </w:r>
      <w:r w:rsidRPr="000549B1">
        <w:t>工程可能带来的水量分配冲突和生态用水不足风险，实现区域水资源优化配置与生态环境保护的协调统一。</w:t>
      </w:r>
    </w:p>
    <w:p w14:paraId="6F97E17E" w14:textId="77777777" w:rsidR="00890477" w:rsidRPr="000549B1" w:rsidRDefault="00890477" w:rsidP="00890477">
      <w:pPr>
        <w:pStyle w:val="x"/>
        <w:numPr>
          <w:ilvl w:val="0"/>
          <w:numId w:val="27"/>
        </w:numPr>
      </w:pPr>
      <w:r w:rsidRPr="000549B1">
        <w:rPr>
          <w:rFonts w:hint="eastAsia"/>
        </w:rPr>
        <w:t>水环境风险</w:t>
      </w:r>
    </w:p>
    <w:p w14:paraId="30B28487" w14:textId="77777777" w:rsidR="00890477" w:rsidRPr="000549B1" w:rsidRDefault="00890477" w:rsidP="00890477">
      <w:pPr>
        <w:pStyle w:val="x"/>
        <w:rPr>
          <w:szCs w:val="24"/>
          <w:highlight w:val="yellow"/>
        </w:rPr>
      </w:pPr>
      <w:r w:rsidRPr="000549B1">
        <w:rPr>
          <w:rFonts w:hint="eastAsia"/>
        </w:rPr>
        <w:t>规划</w:t>
      </w:r>
      <w:r w:rsidRPr="000549B1">
        <w:t>实施后，</w:t>
      </w:r>
      <w:r w:rsidRPr="000549B1">
        <w:rPr>
          <w:rFonts w:hint="eastAsia"/>
        </w:rPr>
        <w:t>随着重大水利项目</w:t>
      </w:r>
      <w:r w:rsidRPr="000549B1">
        <w:rPr>
          <w:rFonts w:ascii="宋体" w:hAnsi="宋体"/>
        </w:rPr>
        <w:t>“</w:t>
      </w:r>
      <w:r w:rsidRPr="000549B1">
        <w:t>三滩</w:t>
      </w:r>
      <w:r w:rsidRPr="000549B1">
        <w:rPr>
          <w:rFonts w:ascii="宋体" w:hAnsi="宋体"/>
        </w:rPr>
        <w:t>”</w:t>
      </w:r>
      <w:r w:rsidRPr="000549B1">
        <w:rPr>
          <w:rFonts w:ascii="宋体" w:hAnsi="宋体" w:hint="eastAsia"/>
        </w:rPr>
        <w:t>引水工程、多座小型水库以及灌区续建配套等工程的建成生效，</w:t>
      </w:r>
      <w:r w:rsidRPr="000549B1">
        <w:rPr>
          <w:rFonts w:hint="eastAsia"/>
        </w:rPr>
        <w:t>沙珠玉河流域可用水资源量增加，水资源重新配置后</w:t>
      </w:r>
      <w:r w:rsidRPr="000549B1">
        <w:t>可能出现</w:t>
      </w:r>
      <w:r w:rsidRPr="000549B1">
        <w:rPr>
          <w:rFonts w:hint="eastAsia"/>
        </w:rPr>
        <w:t>一定的</w:t>
      </w:r>
      <w:r w:rsidRPr="000549B1">
        <w:t>水环境风险</w:t>
      </w:r>
      <w:r w:rsidRPr="000549B1">
        <w:rPr>
          <w:rFonts w:hint="eastAsia"/>
        </w:rPr>
        <w:t>。</w:t>
      </w:r>
    </w:p>
    <w:p w14:paraId="4B92FC4B" w14:textId="77777777" w:rsidR="00890477" w:rsidRPr="005B0BEC" w:rsidRDefault="00890477" w:rsidP="00890477">
      <w:pPr>
        <w:pStyle w:val="x"/>
      </w:pPr>
      <w:r w:rsidRPr="000549B1">
        <w:rPr>
          <w:rStyle w:val="aff0"/>
        </w:rPr>
        <w:t>（</w:t>
      </w:r>
      <w:r w:rsidRPr="000549B1">
        <w:rPr>
          <w:rStyle w:val="aff0"/>
        </w:rPr>
        <w:t>1</w:t>
      </w:r>
      <w:r w:rsidRPr="000549B1">
        <w:rPr>
          <w:rStyle w:val="aff0"/>
        </w:rPr>
        <w:t>）水库富营养化风险。</w:t>
      </w:r>
      <w:r w:rsidRPr="000549B1">
        <w:t>规划新建的大河坝水库为注入式</w:t>
      </w:r>
      <w:r w:rsidRPr="000549B1">
        <w:rPr>
          <w:rFonts w:hint="eastAsia"/>
        </w:rPr>
        <w:t>中型</w:t>
      </w:r>
      <w:r w:rsidRPr="000549B1">
        <w:t>调蓄水库</w:t>
      </w:r>
      <w:r w:rsidRPr="000549B1">
        <w:rPr>
          <w:rFonts w:hint="eastAsia"/>
        </w:rPr>
        <w:t>，</w:t>
      </w:r>
      <w:r w:rsidRPr="005B0BEC">
        <w:rPr>
          <w:rFonts w:hint="eastAsia"/>
          <w:bCs/>
          <w:szCs w:val="24"/>
        </w:rPr>
        <w:t>兴利库容</w:t>
      </w:r>
      <w:r w:rsidRPr="005B0BEC">
        <w:rPr>
          <w:rFonts w:hint="eastAsia"/>
          <w:bCs/>
          <w:szCs w:val="24"/>
        </w:rPr>
        <w:t>6354</w:t>
      </w:r>
      <w:r w:rsidRPr="005B0BEC">
        <w:rPr>
          <w:rFonts w:hint="eastAsia"/>
          <w:bCs/>
          <w:szCs w:val="24"/>
        </w:rPr>
        <w:t>万</w:t>
      </w:r>
      <w:r w:rsidRPr="005B0BEC">
        <w:rPr>
          <w:rFonts w:hint="eastAsia"/>
          <w:bCs/>
          <w:szCs w:val="24"/>
        </w:rPr>
        <w:t>m</w:t>
      </w:r>
      <w:r w:rsidRPr="005B0BEC">
        <w:rPr>
          <w:rFonts w:hint="eastAsia"/>
          <w:bCs/>
          <w:szCs w:val="24"/>
          <w:vertAlign w:val="superscript"/>
        </w:rPr>
        <w:t>3</w:t>
      </w:r>
      <w:r w:rsidRPr="005B0BEC">
        <w:rPr>
          <w:rFonts w:hint="eastAsia"/>
          <w:bCs/>
          <w:szCs w:val="24"/>
        </w:rPr>
        <w:t>，总库容</w:t>
      </w:r>
      <w:r w:rsidRPr="005B0BEC">
        <w:rPr>
          <w:rFonts w:hint="eastAsia"/>
          <w:bCs/>
          <w:szCs w:val="24"/>
        </w:rPr>
        <w:t>7645</w:t>
      </w:r>
      <w:r w:rsidRPr="005B0BEC">
        <w:rPr>
          <w:rFonts w:hint="eastAsia"/>
          <w:bCs/>
          <w:szCs w:val="24"/>
        </w:rPr>
        <w:t>万</w:t>
      </w:r>
      <w:r w:rsidRPr="005B0BEC">
        <w:rPr>
          <w:rFonts w:hint="eastAsia"/>
          <w:bCs/>
          <w:szCs w:val="24"/>
        </w:rPr>
        <w:t>m</w:t>
      </w:r>
      <w:r w:rsidRPr="005B0BEC">
        <w:rPr>
          <w:rFonts w:hint="eastAsia"/>
          <w:bCs/>
          <w:szCs w:val="24"/>
          <w:vertAlign w:val="superscript"/>
        </w:rPr>
        <w:t>3</w:t>
      </w:r>
      <w:r w:rsidRPr="005B0BEC">
        <w:t>。水库蓄水后，库区水体流动性减弱，易产生水体富营养化风险。流域以牧区和小规模农业为主，灌区施肥和牲畜活动释放的氮、磷等营养盐，特别在降雨季节被径流带入水库，容易引发藻类暴发。</w:t>
      </w:r>
    </w:p>
    <w:p w14:paraId="60E5AD80" w14:textId="641D2B1A" w:rsidR="00890477" w:rsidRPr="005B0BEC" w:rsidRDefault="00890477" w:rsidP="00890477">
      <w:pPr>
        <w:pStyle w:val="x"/>
      </w:pPr>
      <w:r w:rsidRPr="005B0BEC">
        <w:rPr>
          <w:rStyle w:val="aff0"/>
        </w:rPr>
        <w:t>（</w:t>
      </w:r>
      <w:r w:rsidRPr="005B0BEC">
        <w:rPr>
          <w:rStyle w:val="aff0"/>
        </w:rPr>
        <w:t>2</w:t>
      </w:r>
      <w:r w:rsidRPr="005B0BEC">
        <w:rPr>
          <w:rStyle w:val="aff0"/>
        </w:rPr>
        <w:t>）农业面源污染和农村生活污水污染。</w:t>
      </w:r>
      <w:r w:rsidRPr="005B0BEC">
        <w:t>规划灌区面积大幅增加（</w:t>
      </w:r>
      <w:r w:rsidRPr="005B0BEC">
        <w:t>2024</w:t>
      </w:r>
      <w:r w:rsidRPr="005B0BEC">
        <w:t>年</w:t>
      </w:r>
      <w:r w:rsidRPr="005B0BEC">
        <w:t>40.60</w:t>
      </w:r>
      <w:r w:rsidRPr="005B0BEC">
        <w:t>万亩发展到</w:t>
      </w:r>
      <w:r w:rsidRPr="005B0BEC">
        <w:t>2035</w:t>
      </w:r>
      <w:r w:rsidRPr="005B0BEC">
        <w:t>年</w:t>
      </w:r>
      <w:r w:rsidRPr="005B0BEC">
        <w:rPr>
          <w:rFonts w:hint="eastAsia"/>
        </w:rPr>
        <w:t>6</w:t>
      </w:r>
      <w:r w:rsidR="005B0BEC" w:rsidRPr="005B0BEC">
        <w:rPr>
          <w:rFonts w:hint="eastAsia"/>
        </w:rPr>
        <w:t>9.2</w:t>
      </w:r>
      <w:r w:rsidRPr="005B0BEC">
        <w:t>万亩），灌区种植化肥和农药使用量将增多，同时畜禽养殖活动进一步扩大，农业面源污染负荷加剧。流域多个乡镇缺乏污水收集与处理设施，目前规划基准年和规划年均未建设污水处理厂，也无中水回用安排。在降雨时，农业尾水和农田径流中的营养盐、农药以及农村生活污水会径流入河，影响水体质量；干旱期回灌农田时则可能产生次生盐渍化和化肥淋溶污染。现状监测显示，沙珠玉流域地表水虽基本达</w:t>
      </w:r>
      <w:r w:rsidRPr="005B0BEC">
        <w:t>III</w:t>
      </w:r>
      <w:r w:rsidRPr="005B0BEC">
        <w:t>类标准，但雨季泥沙冲刷常造成水体浑浊，牲畜活动亦对水源地产生一定影响。可见，农业面源和农村生活污水的未处理排放是流域水环境的一大隐患。</w:t>
      </w:r>
    </w:p>
    <w:p w14:paraId="663DE2B0" w14:textId="77777777" w:rsidR="00890477" w:rsidRPr="000549B1" w:rsidRDefault="00890477" w:rsidP="00890477">
      <w:pPr>
        <w:pStyle w:val="x"/>
      </w:pPr>
      <w:r w:rsidRPr="005B0BEC">
        <w:rPr>
          <w:rStyle w:val="aff0"/>
        </w:rPr>
        <w:t>（</w:t>
      </w:r>
      <w:r w:rsidRPr="005B0BEC">
        <w:rPr>
          <w:rStyle w:val="aff0"/>
        </w:rPr>
        <w:t>3</w:t>
      </w:r>
      <w:r w:rsidRPr="005B0BEC">
        <w:rPr>
          <w:rStyle w:val="aff0"/>
        </w:rPr>
        <w:t>）引调水对水量格局和水环境容量的影响。</w:t>
      </w:r>
      <w:r w:rsidRPr="005B0BEC">
        <w:t>规划统筹考虑外流域水源条件，谋划了大河坝河引调水方案。</w:t>
      </w:r>
      <w:r w:rsidRPr="005B0BEC">
        <w:rPr>
          <w:rFonts w:ascii="宋体" w:hAnsi="宋体"/>
        </w:rPr>
        <w:t>“</w:t>
      </w:r>
      <w:r w:rsidRPr="005B0BEC">
        <w:t>三滩</w:t>
      </w:r>
      <w:r w:rsidRPr="005B0BEC">
        <w:rPr>
          <w:rFonts w:ascii="宋体" w:hAnsi="宋体"/>
        </w:rPr>
        <w:t>”</w:t>
      </w:r>
      <w:r w:rsidRPr="005B0BEC">
        <w:t>引水生态治理一期工程通过大河坝河引水口和输水隧洞，将大河坝河来水引入切吉河上游，再经大河坝水库调节供给灌溉和生活用水</w:t>
      </w:r>
      <w:r w:rsidRPr="005B0BEC">
        <w:rPr>
          <w:rFonts w:hint="eastAsia"/>
        </w:rPr>
        <w:t>。</w:t>
      </w:r>
      <w:r w:rsidRPr="005B0BEC">
        <w:t>引调工程将改变流域水量时空分布：新增外调水量（规划年达</w:t>
      </w:r>
      <w:r w:rsidRPr="005B0BEC">
        <w:rPr>
          <w:rFonts w:hint="eastAsia"/>
        </w:rPr>
        <w:t>7762</w:t>
      </w:r>
      <w:r w:rsidRPr="005B0BEC">
        <w:rPr>
          <w:rFonts w:hint="eastAsia"/>
        </w:rPr>
        <w:t>万</w:t>
      </w:r>
      <w:r w:rsidRPr="005B0BEC">
        <w:t>m³</w:t>
      </w:r>
      <w:r w:rsidRPr="005B0BEC">
        <w:t>）可提高枯水期下游生态流量和干旱年份的水环境容量，有利于降低水污染物浓度。但引水同时带来风险</w:t>
      </w:r>
      <w:r w:rsidRPr="000549B1">
        <w:t>，一是</w:t>
      </w:r>
      <w:r w:rsidRPr="000549B1">
        <w:rPr>
          <w:rFonts w:hint="eastAsia"/>
        </w:rPr>
        <w:t>水源区</w:t>
      </w:r>
      <w:r w:rsidRPr="000549B1">
        <w:t>引水河段原有流量</w:t>
      </w:r>
      <w:r w:rsidRPr="000549B1">
        <w:rPr>
          <w:rFonts w:hint="eastAsia"/>
        </w:rPr>
        <w:t>减少，下游河流自净能力减弱、稀释能力下降，水环境容量总体减小</w:t>
      </w:r>
      <w:r w:rsidRPr="000549B1">
        <w:t>；二是</w:t>
      </w:r>
      <w:r w:rsidRPr="000549B1">
        <w:rPr>
          <w:rFonts w:hint="eastAsia"/>
        </w:rPr>
        <w:t>受水区沙珠玉河流域存在一定的水质变化、生物入侵风险</w:t>
      </w:r>
      <w:r w:rsidRPr="000549B1">
        <w:t>。总体而言，引调水加大了</w:t>
      </w:r>
      <w:r w:rsidRPr="000549B1">
        <w:rPr>
          <w:rFonts w:hint="eastAsia"/>
        </w:rPr>
        <w:t>沙珠玉河</w:t>
      </w:r>
      <w:r w:rsidRPr="000549B1">
        <w:t>流域</w:t>
      </w:r>
      <w:r w:rsidRPr="000549B1">
        <w:rPr>
          <w:rFonts w:hint="eastAsia"/>
        </w:rPr>
        <w:t>的</w:t>
      </w:r>
      <w:r w:rsidRPr="000549B1">
        <w:t>供水能力，水量格局变化对</w:t>
      </w:r>
      <w:r w:rsidRPr="000549B1">
        <w:rPr>
          <w:rFonts w:hint="eastAsia"/>
        </w:rPr>
        <w:t>水</w:t>
      </w:r>
      <w:r w:rsidRPr="000549B1">
        <w:t>环境容量的影响需进一步论证。</w:t>
      </w:r>
    </w:p>
    <w:p w14:paraId="6F2E55F2" w14:textId="77777777" w:rsidR="00890477" w:rsidRPr="000549B1" w:rsidRDefault="00890477" w:rsidP="00890477">
      <w:pPr>
        <w:pStyle w:val="x"/>
      </w:pPr>
      <w:r w:rsidRPr="000549B1">
        <w:rPr>
          <w:rStyle w:val="aff0"/>
        </w:rPr>
        <w:t>（</w:t>
      </w:r>
      <w:r w:rsidRPr="000549B1">
        <w:rPr>
          <w:rStyle w:val="aff0"/>
        </w:rPr>
        <w:t>4</w:t>
      </w:r>
      <w:r w:rsidRPr="000549B1">
        <w:rPr>
          <w:rStyle w:val="aff0"/>
        </w:rPr>
        <w:t>）工程建设期的水环境扰动与污染。</w:t>
      </w:r>
      <w:r w:rsidRPr="000549B1">
        <w:t>规划工程建设期较长（如大河坝水库</w:t>
      </w:r>
      <w:r w:rsidRPr="000549B1">
        <w:t>6</w:t>
      </w:r>
      <w:r w:rsidRPr="000549B1">
        <w:t>年建设期），大规模土石方作业和施工活动会对水环境造成临时扰动。一方面，施工过程中的土地开挖、沟渠挖掘等会造成河道和库区泥沙大量扰动，雨季易导致泥沙外逸、悬浮物增多，可能超过水体浊度标准；另一方面，施工机械、建筑材料及生活设施可能带来油脂、有机物、建筑垃圾等污染物排入水体。此外，施工期流域交通增多和生活污水产生（临时工地营区），也会增加污染负荷。因此，需在施工组织中采取严格的沉淀隔离、污水处理和环境监护等措施，以减小施工期对水质、水生态造成的不利影响。</w:t>
      </w:r>
    </w:p>
    <w:p w14:paraId="70F31267" w14:textId="7AB0383B" w:rsidR="00054437" w:rsidRPr="000549B1" w:rsidRDefault="00890477" w:rsidP="00890477">
      <w:pPr>
        <w:pStyle w:val="x"/>
      </w:pPr>
      <w:r w:rsidRPr="000549B1">
        <w:t>综上所述，沙珠玉河流域规划项目将有效缓解用水矛盾，但也可能带来水库富营养化、农业面源</w:t>
      </w:r>
      <w:r w:rsidRPr="000549B1">
        <w:rPr>
          <w:rFonts w:hint="eastAsia"/>
        </w:rPr>
        <w:t>与</w:t>
      </w:r>
      <w:r w:rsidRPr="000549B1">
        <w:t>农村污水污染、引调水格局变化及工程扰动等水环境风险。</w:t>
      </w:r>
      <w:r w:rsidRPr="000549B1">
        <w:rPr>
          <w:rFonts w:hint="eastAsia"/>
        </w:rPr>
        <w:t>为</w:t>
      </w:r>
      <w:r w:rsidRPr="000549B1">
        <w:rPr>
          <w:rFonts w:ascii="Segoe UI" w:eastAsia="Segoe UI" w:hAnsi="Segoe UI" w:cs="Segoe UI"/>
          <w:szCs w:val="24"/>
          <w:shd w:val="clear" w:color="auto" w:fill="FFFFFF"/>
        </w:rPr>
        <w:t>保障沙珠玉河流域规划目标的实现，</w:t>
      </w:r>
      <w:r w:rsidRPr="000549B1">
        <w:rPr>
          <w:rFonts w:hint="eastAsia"/>
        </w:rPr>
        <w:t>必须针对</w:t>
      </w:r>
      <w:r w:rsidRPr="000549B1">
        <w:t>以上风险</w:t>
      </w:r>
      <w:r w:rsidRPr="000549B1">
        <w:rPr>
          <w:rFonts w:hint="eastAsia"/>
        </w:rPr>
        <w:t>进行系统性的预防与控制</w:t>
      </w:r>
      <w:r w:rsidRPr="000549B1">
        <w:t>，应在项目的设计、施工及运行管理全过程中，贯彻</w:t>
      </w:r>
      <w:r w:rsidRPr="000549B1">
        <w:t>“</w:t>
      </w:r>
      <w:r w:rsidRPr="000549B1">
        <w:t>源头防控、过程阻断、生态修复</w:t>
      </w:r>
      <w:r w:rsidRPr="000549B1">
        <w:t>”</w:t>
      </w:r>
      <w:r w:rsidRPr="000549B1">
        <w:t>的原则，</w:t>
      </w:r>
      <w:r w:rsidRPr="000549B1">
        <w:rPr>
          <w:rFonts w:hint="eastAsia"/>
        </w:rPr>
        <w:t>进行</w:t>
      </w:r>
      <w:r w:rsidRPr="000549B1">
        <w:t>预防和控制措施</w:t>
      </w:r>
      <w:r w:rsidRPr="000549B1">
        <w:rPr>
          <w:rFonts w:hint="eastAsia"/>
        </w:rPr>
        <w:t>的</w:t>
      </w:r>
      <w:r w:rsidRPr="000549B1">
        <w:t>详细设计</w:t>
      </w:r>
      <w:r w:rsidRPr="000549B1">
        <w:rPr>
          <w:rFonts w:hint="eastAsia"/>
        </w:rPr>
        <w:t>并严格</w:t>
      </w:r>
      <w:r w:rsidRPr="000549B1">
        <w:t>落实，</w:t>
      </w:r>
      <w:r w:rsidRPr="000549B1">
        <w:rPr>
          <w:rFonts w:hint="eastAsia"/>
        </w:rPr>
        <w:t>以</w:t>
      </w:r>
      <w:r w:rsidRPr="000549B1">
        <w:t>确保规划实施后流域水环境质量符合预期目标。</w:t>
      </w:r>
    </w:p>
    <w:p w14:paraId="51B346FF" w14:textId="4FF97C34" w:rsidR="00054437" w:rsidRPr="000549B1" w:rsidRDefault="00000000">
      <w:pPr>
        <w:pStyle w:val="2"/>
        <w:rPr>
          <w:rFonts w:ascii="Times New Roman" w:hAnsi="Times New Roman"/>
        </w:rPr>
      </w:pPr>
      <w:bookmarkStart w:id="417" w:name="_Toc216107062"/>
      <w:bookmarkStart w:id="418" w:name="_Toc9144675"/>
      <w:bookmarkStart w:id="419" w:name="_Toc536713430"/>
      <w:bookmarkStart w:id="420" w:name="_Toc208583938"/>
      <w:bookmarkStart w:id="421" w:name="_Toc1197"/>
      <w:r w:rsidRPr="000549B1">
        <w:rPr>
          <w:rFonts w:ascii="Times New Roman" w:hAnsi="Times New Roman"/>
        </w:rPr>
        <w:t>资源环境承载状况评估</w:t>
      </w:r>
      <w:bookmarkEnd w:id="417"/>
    </w:p>
    <w:p w14:paraId="5DF1C90D" w14:textId="77777777" w:rsidR="00054437" w:rsidRPr="000549B1" w:rsidRDefault="00000000">
      <w:pPr>
        <w:pStyle w:val="zhang3"/>
        <w:spacing w:before="156" w:after="156"/>
      </w:pPr>
      <w:r w:rsidRPr="000549B1">
        <w:t>水资源承载力</w:t>
      </w:r>
      <w:r w:rsidRPr="000549B1">
        <w:rPr>
          <w:rFonts w:hint="eastAsia"/>
        </w:rPr>
        <w:t>分析</w:t>
      </w:r>
    </w:p>
    <w:p w14:paraId="2360179F" w14:textId="396A23A2" w:rsidR="006F1981" w:rsidRPr="000549B1" w:rsidRDefault="009C1F06">
      <w:pPr>
        <w:pStyle w:val="x"/>
      </w:pPr>
      <w:bookmarkStart w:id="422" w:name="OLE_LINK92"/>
      <w:bookmarkStart w:id="423" w:name="_Hlk216120524"/>
      <w:bookmarkStart w:id="424" w:name="OLE_LINK93"/>
      <w:r w:rsidRPr="000549B1">
        <w:t>1</w:t>
      </w:r>
      <w:r w:rsidRPr="000549B1">
        <w:t>）流域水资源总量</w:t>
      </w:r>
      <w:r w:rsidRPr="000549B1">
        <w:rPr>
          <w:rFonts w:hint="eastAsia"/>
        </w:rPr>
        <w:t>：</w:t>
      </w:r>
      <w:r w:rsidRPr="000549B1">
        <w:t>沙珠玉河流域地表水资源总量为</w:t>
      </w:r>
      <w:r w:rsidRPr="000549B1">
        <w:t>1.38</w:t>
      </w:r>
      <w:r w:rsidRPr="000549B1">
        <w:t>亿</w:t>
      </w:r>
      <w:r w:rsidRPr="000549B1">
        <w:t>m³</w:t>
      </w:r>
      <w:r w:rsidRPr="000549B1">
        <w:t>。根据水文分析，流域内多年平均地表水河川径流量为</w:t>
      </w:r>
      <w:r w:rsidRPr="000549B1">
        <w:t>13811</w:t>
      </w:r>
      <w:r w:rsidRPr="000549B1">
        <w:t>万</w:t>
      </w:r>
      <w:r w:rsidRPr="000549B1">
        <w:t>m³</w:t>
      </w:r>
      <w:r w:rsidRPr="000549B1">
        <w:t>，扣除下泄生态水量及河道基流量后，可利用量为</w:t>
      </w:r>
      <w:r w:rsidRPr="000549B1">
        <w:t>11049</w:t>
      </w:r>
      <w:r w:rsidRPr="000549B1">
        <w:t>万</w:t>
      </w:r>
      <w:r w:rsidRPr="000549B1">
        <w:t>m³</w:t>
      </w:r>
      <w:r w:rsidRPr="000549B1">
        <w:t>。</w:t>
      </w:r>
      <w:r w:rsidRPr="000549B1">
        <w:t>2024</w:t>
      </w:r>
      <w:r w:rsidRPr="000549B1">
        <w:t>年地表水实际供水量为</w:t>
      </w:r>
      <w:r w:rsidRPr="000549B1">
        <w:t>6520</w:t>
      </w:r>
      <w:r w:rsidRPr="000549B1">
        <w:t>万</w:t>
      </w:r>
      <w:r w:rsidRPr="000549B1">
        <w:t>m³</w:t>
      </w:r>
      <w:r w:rsidRPr="000549B1">
        <w:t>，按河川径流量计算的地表水开发利用率为</w:t>
      </w:r>
      <w:r w:rsidRPr="000549B1">
        <w:t>47%</w:t>
      </w:r>
      <w:r w:rsidRPr="000549B1">
        <w:t>，按可利用量计算为</w:t>
      </w:r>
      <w:r w:rsidRPr="000549B1">
        <w:t>59%</w:t>
      </w:r>
      <w:r w:rsidRPr="000549B1">
        <w:t>，地表水开发利用程度较高。</w:t>
      </w:r>
    </w:p>
    <w:p w14:paraId="1B37813B" w14:textId="6FE8A7D9" w:rsidR="009C1F06" w:rsidRPr="000549B1" w:rsidRDefault="009C1F06" w:rsidP="006F1981">
      <w:pPr>
        <w:pStyle w:val="x"/>
      </w:pPr>
      <w:r w:rsidRPr="000549B1">
        <w:t>（</w:t>
      </w:r>
      <w:r w:rsidRPr="000549B1">
        <w:t>2</w:t>
      </w:r>
      <w:r w:rsidRPr="000549B1">
        <w:t>）流域外需水量</w:t>
      </w:r>
      <w:r w:rsidRPr="000549B1">
        <w:rPr>
          <w:rFonts w:hint="eastAsia"/>
        </w:rPr>
        <w:t>：</w:t>
      </w:r>
      <w:r w:rsidRPr="000549B1">
        <w:t>根据水资源规划预测，至</w:t>
      </w:r>
      <w:r w:rsidRPr="000549B1">
        <w:t>2035</w:t>
      </w:r>
      <w:r w:rsidRPr="000549B1">
        <w:t>年，沙珠玉河流域国民经济总需水量为</w:t>
      </w:r>
      <w:r w:rsidRPr="000549B1">
        <w:t>17076</w:t>
      </w:r>
      <w:r w:rsidRPr="000549B1">
        <w:t>万</w:t>
      </w:r>
      <w:r w:rsidRPr="000549B1">
        <w:t>m³</w:t>
      </w:r>
      <w:r w:rsidRPr="000549B1">
        <w:t>，其中农业灌溉需水量</w:t>
      </w:r>
      <w:bookmarkStart w:id="425" w:name="OLE_LINK94"/>
      <w:r w:rsidRPr="000549B1">
        <w:t>16487</w:t>
      </w:r>
      <w:bookmarkEnd w:id="425"/>
      <w:r w:rsidRPr="000549B1">
        <w:t>万</w:t>
      </w:r>
      <w:r w:rsidRPr="000549B1">
        <w:t>m³</w:t>
      </w:r>
      <w:r w:rsidRPr="000549B1">
        <w:t>，生活、工业、建筑业及第三产业需水量</w:t>
      </w:r>
      <w:r w:rsidRPr="000549B1">
        <w:t>589</w:t>
      </w:r>
      <w:r w:rsidRPr="000549B1">
        <w:t>万</w:t>
      </w:r>
      <w:r w:rsidRPr="000549B1">
        <w:t>m³</w:t>
      </w:r>
      <w:r w:rsidRPr="000549B1">
        <w:t>。流域内当地水资源总量有限，规划通过三滩引水生态治理一期工程等外调水工程补充供水缺口。</w:t>
      </w:r>
    </w:p>
    <w:p w14:paraId="32B58377" w14:textId="6177AEBD" w:rsidR="006F1981" w:rsidRPr="000549B1" w:rsidRDefault="006F1981" w:rsidP="006F1981">
      <w:pPr>
        <w:pStyle w:val="x"/>
      </w:pPr>
      <w:r w:rsidRPr="000549B1">
        <w:t>（</w:t>
      </w:r>
      <w:r w:rsidRPr="000549B1">
        <w:t>3</w:t>
      </w:r>
      <w:r w:rsidRPr="000549B1">
        <w:t>）流域内需水量根据综合规划计算，</w:t>
      </w:r>
      <w:r w:rsidRPr="000549B1">
        <w:t>P=50%</w:t>
      </w:r>
      <w:r w:rsidRPr="000549B1">
        <w:t>：流域总需水量为</w:t>
      </w:r>
      <w:r w:rsidR="004B2D82" w:rsidRPr="000549B1">
        <w:rPr>
          <w:rFonts w:hint="eastAsia"/>
        </w:rPr>
        <w:t>16981</w:t>
      </w:r>
      <w:r w:rsidRPr="000549B1">
        <w:t>万</w:t>
      </w:r>
      <w:r w:rsidRPr="000549B1">
        <w:t>m³</w:t>
      </w:r>
      <w:r w:rsidRPr="000549B1">
        <w:t>，其中</w:t>
      </w:r>
      <w:r w:rsidR="004B2D82" w:rsidRPr="000549B1">
        <w:rPr>
          <w:rFonts w:hint="eastAsia"/>
        </w:rPr>
        <w:t>农业</w:t>
      </w:r>
      <w:r w:rsidRPr="000549B1">
        <w:t>需水量为</w:t>
      </w:r>
      <w:r w:rsidR="004B2D82" w:rsidRPr="000549B1">
        <w:rPr>
          <w:rFonts w:hint="eastAsia"/>
        </w:rPr>
        <w:t>16479</w:t>
      </w:r>
      <w:r w:rsidRPr="000549B1">
        <w:t>万</w:t>
      </w:r>
      <w:r w:rsidRPr="000549B1">
        <w:t>m³</w:t>
      </w:r>
      <w:r w:rsidRPr="000549B1">
        <w:t>，</w:t>
      </w:r>
      <w:r w:rsidR="004B2D82" w:rsidRPr="000549B1">
        <w:rPr>
          <w:rFonts w:hint="eastAsia"/>
        </w:rPr>
        <w:t>工业</w:t>
      </w:r>
      <w:r w:rsidRPr="000549B1">
        <w:t>需水量为</w:t>
      </w:r>
      <w:r w:rsidR="004B2D82" w:rsidRPr="000549B1">
        <w:rPr>
          <w:rFonts w:hint="eastAsia"/>
        </w:rPr>
        <w:t>502</w:t>
      </w:r>
      <w:r w:rsidRPr="000549B1">
        <w:t>万</w:t>
      </w:r>
      <w:r w:rsidRPr="000549B1">
        <w:t>m³</w:t>
      </w:r>
      <w:r w:rsidRPr="000549B1">
        <w:t>；</w:t>
      </w:r>
      <w:bookmarkStart w:id="426" w:name="OLE_LINK95"/>
      <w:r w:rsidRPr="000549B1">
        <w:t>P=75%</w:t>
      </w:r>
      <w:r w:rsidRPr="000549B1">
        <w:t>；</w:t>
      </w:r>
      <w:r w:rsidRPr="000549B1">
        <w:t>P=</w:t>
      </w:r>
      <w:r w:rsidR="004B2D82" w:rsidRPr="000549B1">
        <w:rPr>
          <w:rFonts w:hint="eastAsia"/>
        </w:rPr>
        <w:t>8</w:t>
      </w:r>
      <w:r w:rsidRPr="000549B1">
        <w:t>5%</w:t>
      </w:r>
      <w:r w:rsidR="004B2D82" w:rsidRPr="000549B1">
        <w:rPr>
          <w:rFonts w:hint="eastAsia"/>
        </w:rPr>
        <w:t>时与</w:t>
      </w:r>
      <w:r w:rsidR="004B2D82" w:rsidRPr="000549B1">
        <w:rPr>
          <w:rFonts w:hint="eastAsia"/>
        </w:rPr>
        <w:t>P=50%</w:t>
      </w:r>
      <w:r w:rsidR="004B2D82" w:rsidRPr="000549B1">
        <w:rPr>
          <w:rFonts w:hint="eastAsia"/>
        </w:rPr>
        <w:t>一样</w:t>
      </w:r>
      <w:bookmarkStart w:id="427" w:name="_Hlk216033859"/>
      <w:r w:rsidRPr="000549B1">
        <w:t>。</w:t>
      </w:r>
      <w:bookmarkEnd w:id="426"/>
    </w:p>
    <w:p w14:paraId="062ED914" w14:textId="77777777" w:rsidR="009C1F06" w:rsidRPr="000549B1" w:rsidRDefault="009C1F06" w:rsidP="009C1F06">
      <w:pPr>
        <w:pStyle w:val="x"/>
      </w:pPr>
      <w:r w:rsidRPr="000549B1">
        <w:t>（</w:t>
      </w:r>
      <w:r w:rsidRPr="000549B1">
        <w:t>4</w:t>
      </w:r>
      <w:r w:rsidRPr="000549B1">
        <w:t>）可供水量</w:t>
      </w:r>
    </w:p>
    <w:p w14:paraId="3C71E67B" w14:textId="47776CD7" w:rsidR="009C1F06" w:rsidRPr="000549B1" w:rsidRDefault="009C1F06" w:rsidP="009C1F06">
      <w:pPr>
        <w:pStyle w:val="x"/>
      </w:pPr>
      <w:r w:rsidRPr="000549B1">
        <w:rPr>
          <w:rFonts w:ascii="Cambria Math" w:hAnsi="Cambria Math" w:cs="Cambria Math"/>
        </w:rPr>
        <w:t>①</w:t>
      </w:r>
      <w:r w:rsidRPr="000549B1">
        <w:t>现状供水量</w:t>
      </w:r>
    </w:p>
    <w:p w14:paraId="42535E57" w14:textId="34E125BF" w:rsidR="009C1F06" w:rsidRPr="000549B1" w:rsidRDefault="009C1F06" w:rsidP="009C1F06">
      <w:pPr>
        <w:pStyle w:val="x"/>
      </w:pPr>
      <w:r w:rsidRPr="000549B1">
        <w:t>2024</w:t>
      </w:r>
      <w:r w:rsidRPr="000549B1">
        <w:t>年沙珠玉河流域总供水量为</w:t>
      </w:r>
      <w:r w:rsidRPr="000549B1">
        <w:t>6548.3</w:t>
      </w:r>
      <w:r w:rsidRPr="000549B1">
        <w:t>万</w:t>
      </w:r>
      <w:r w:rsidRPr="000549B1">
        <w:t>m³</w:t>
      </w:r>
      <w:r w:rsidRPr="000549B1">
        <w:t>，其中地表水供水量</w:t>
      </w:r>
      <w:r w:rsidRPr="000549B1">
        <w:t>6520.1</w:t>
      </w:r>
      <w:r w:rsidRPr="000549B1">
        <w:t>万</w:t>
      </w:r>
      <w:r w:rsidRPr="000549B1">
        <w:t>m³</w:t>
      </w:r>
      <w:r w:rsidRPr="000549B1">
        <w:t>（蓄水工程</w:t>
      </w:r>
      <w:r w:rsidRPr="000549B1">
        <w:t>5437.0</w:t>
      </w:r>
      <w:r w:rsidRPr="000549B1">
        <w:t>万</w:t>
      </w:r>
      <w:r w:rsidRPr="000549B1">
        <w:t>m³</w:t>
      </w:r>
      <w:r w:rsidRPr="000549B1">
        <w:t>，引水工程</w:t>
      </w:r>
      <w:r w:rsidRPr="000549B1">
        <w:t>1083.1</w:t>
      </w:r>
      <w:r w:rsidRPr="000549B1">
        <w:t>万</w:t>
      </w:r>
      <w:r w:rsidRPr="000549B1">
        <w:t>m³</w:t>
      </w:r>
      <w:r w:rsidRPr="000549B1">
        <w:t>），地下水供水量</w:t>
      </w:r>
      <w:r w:rsidRPr="000549B1">
        <w:t>28.2</w:t>
      </w:r>
      <w:r w:rsidRPr="000549B1">
        <w:t>万</w:t>
      </w:r>
      <w:r w:rsidRPr="000549B1">
        <w:t>m³</w:t>
      </w:r>
      <w:r w:rsidRPr="000549B1">
        <w:t>，无再生水利用。</w:t>
      </w:r>
    </w:p>
    <w:p w14:paraId="47C19E78" w14:textId="4B974853" w:rsidR="009C1F06" w:rsidRPr="000549B1" w:rsidRDefault="009C1F06" w:rsidP="009C1F06">
      <w:pPr>
        <w:pStyle w:val="x"/>
      </w:pPr>
      <w:r w:rsidRPr="000549B1">
        <w:rPr>
          <w:rFonts w:ascii="Cambria Math" w:hAnsi="Cambria Math" w:cs="Cambria Math"/>
        </w:rPr>
        <w:t>②</w:t>
      </w:r>
      <w:r w:rsidRPr="000549B1">
        <w:t>规划供水</w:t>
      </w:r>
      <w:r w:rsidRPr="000549B1">
        <w:rPr>
          <w:rFonts w:hint="eastAsia"/>
        </w:rPr>
        <w:t>量</w:t>
      </w:r>
    </w:p>
    <w:p w14:paraId="13571450" w14:textId="4A12A145" w:rsidR="009C1F06" w:rsidRPr="000549B1" w:rsidRDefault="009C1F06" w:rsidP="009C1F06">
      <w:pPr>
        <w:pStyle w:val="x"/>
      </w:pPr>
      <w:r w:rsidRPr="000549B1">
        <w:t>规划至</w:t>
      </w:r>
      <w:r w:rsidRPr="000549B1">
        <w:t>2035</w:t>
      </w:r>
      <w:r w:rsidRPr="000549B1">
        <w:t>年，流域总可供水量为</w:t>
      </w:r>
      <w:r w:rsidRPr="000549B1">
        <w:t>16082</w:t>
      </w:r>
      <w:r w:rsidRPr="000549B1">
        <w:t>万</w:t>
      </w:r>
      <w:r w:rsidRPr="000549B1">
        <w:t>m³</w:t>
      </w:r>
      <w:r w:rsidRPr="000549B1">
        <w:t>，其中当地地表水</w:t>
      </w:r>
      <w:r w:rsidRPr="000549B1">
        <w:t>8287</w:t>
      </w:r>
      <w:r w:rsidRPr="000549B1">
        <w:t>万</w:t>
      </w:r>
      <w:r w:rsidRPr="000549B1">
        <w:t>m³</w:t>
      </w:r>
      <w:r w:rsidRPr="000549B1">
        <w:t>，地下水</w:t>
      </w:r>
      <w:r w:rsidRPr="000549B1">
        <w:t>33</w:t>
      </w:r>
      <w:r w:rsidRPr="000549B1">
        <w:t>万</w:t>
      </w:r>
      <w:r w:rsidRPr="000549B1">
        <w:t>m³</w:t>
      </w:r>
      <w:r w:rsidRPr="000549B1">
        <w:t>，大河坝引水工程（三滩引水）</w:t>
      </w:r>
      <w:r w:rsidRPr="000549B1">
        <w:t>7762</w:t>
      </w:r>
      <w:r w:rsidRPr="000549B1">
        <w:t>万</w:t>
      </w:r>
      <w:r w:rsidRPr="000549B1">
        <w:t>m³</w:t>
      </w:r>
      <w:r w:rsidRPr="000549B1">
        <w:t>。</w:t>
      </w:r>
    </w:p>
    <w:p w14:paraId="735F1BE7" w14:textId="05BE784A" w:rsidR="004B2D82" w:rsidRPr="000549B1" w:rsidRDefault="006F1981" w:rsidP="004B2D82">
      <w:pPr>
        <w:pStyle w:val="x"/>
      </w:pPr>
      <w:r w:rsidRPr="000549B1">
        <w:t>（</w:t>
      </w:r>
      <w:r w:rsidRPr="000549B1">
        <w:t>5</w:t>
      </w:r>
      <w:r w:rsidRPr="000549B1">
        <w:t>）供需平衡</w:t>
      </w:r>
      <w:r w:rsidR="004B2D82" w:rsidRPr="000549B1">
        <w:rPr>
          <w:rFonts w:hint="eastAsia"/>
        </w:rPr>
        <w:t>实施水资源配置方案后，规划水平年（</w:t>
      </w:r>
      <w:r w:rsidR="004B2D82" w:rsidRPr="000549B1">
        <w:rPr>
          <w:rFonts w:hint="eastAsia"/>
        </w:rPr>
        <w:t>2035</w:t>
      </w:r>
      <w:r w:rsidR="004B2D82" w:rsidRPr="000549B1">
        <w:rPr>
          <w:rFonts w:hint="eastAsia"/>
        </w:rPr>
        <w:t>年）流域内：</w:t>
      </w:r>
    </w:p>
    <w:p w14:paraId="46AEEFE5" w14:textId="1AAEF271" w:rsidR="004B2D82" w:rsidRPr="000549B1" w:rsidRDefault="004B2D82" w:rsidP="004B2D82">
      <w:pPr>
        <w:pStyle w:val="x"/>
      </w:pPr>
      <w:r w:rsidRPr="000549B1">
        <w:rPr>
          <w:rFonts w:hint="eastAsia"/>
        </w:rPr>
        <w:t>多年平均（</w:t>
      </w:r>
      <w:r w:rsidRPr="000549B1">
        <w:rPr>
          <w:rFonts w:hint="eastAsia"/>
        </w:rPr>
        <w:t>P=50%</w:t>
      </w:r>
      <w:r w:rsidRPr="000549B1">
        <w:rPr>
          <w:rFonts w:hint="eastAsia"/>
        </w:rPr>
        <w:t>）：需水量</w:t>
      </w:r>
      <w:r w:rsidRPr="000549B1">
        <w:rPr>
          <w:rFonts w:hint="eastAsia"/>
        </w:rPr>
        <w:t>17076</w:t>
      </w:r>
      <w:r w:rsidRPr="000549B1">
        <w:rPr>
          <w:rFonts w:hint="eastAsia"/>
        </w:rPr>
        <w:t>万</w:t>
      </w:r>
      <w:r w:rsidRPr="000549B1">
        <w:rPr>
          <w:rFonts w:hint="eastAsia"/>
        </w:rPr>
        <w:t>m</w:t>
      </w:r>
      <w:r w:rsidRPr="000549B1">
        <w:rPr>
          <w:rFonts w:hint="eastAsia"/>
        </w:rPr>
        <w:t>³，可供水量</w:t>
      </w:r>
      <w:r w:rsidRPr="000549B1">
        <w:rPr>
          <w:rFonts w:hint="eastAsia"/>
        </w:rPr>
        <w:t>16082</w:t>
      </w:r>
      <w:r w:rsidRPr="000549B1">
        <w:rPr>
          <w:rFonts w:hint="eastAsia"/>
        </w:rPr>
        <w:t>万</w:t>
      </w:r>
      <w:r w:rsidRPr="000549B1">
        <w:rPr>
          <w:rFonts w:hint="eastAsia"/>
        </w:rPr>
        <w:t>m</w:t>
      </w:r>
      <w:r w:rsidRPr="000549B1">
        <w:rPr>
          <w:rFonts w:hint="eastAsia"/>
        </w:rPr>
        <w:t>³，缺水量</w:t>
      </w:r>
      <w:r w:rsidRPr="000549B1">
        <w:rPr>
          <w:rFonts w:hint="eastAsia"/>
        </w:rPr>
        <w:t>993</w:t>
      </w:r>
      <w:r w:rsidRPr="000549B1">
        <w:rPr>
          <w:rFonts w:hint="eastAsia"/>
        </w:rPr>
        <w:t>万</w:t>
      </w:r>
      <w:r w:rsidRPr="000549B1">
        <w:rPr>
          <w:rFonts w:hint="eastAsia"/>
        </w:rPr>
        <w:t>m</w:t>
      </w:r>
      <w:r w:rsidRPr="000549B1">
        <w:rPr>
          <w:rFonts w:hint="eastAsia"/>
        </w:rPr>
        <w:t>³；</w:t>
      </w:r>
      <w:r w:rsidRPr="000549B1">
        <w:t>P=75%</w:t>
      </w:r>
      <w:r w:rsidRPr="000549B1">
        <w:t>；</w:t>
      </w:r>
      <w:r w:rsidRPr="000549B1">
        <w:t>P=</w:t>
      </w:r>
      <w:r w:rsidRPr="000549B1">
        <w:rPr>
          <w:rFonts w:hint="eastAsia"/>
        </w:rPr>
        <w:t>8</w:t>
      </w:r>
      <w:r w:rsidRPr="000549B1">
        <w:t>5%</w:t>
      </w:r>
      <w:r w:rsidRPr="000549B1">
        <w:rPr>
          <w:rFonts w:hint="eastAsia"/>
        </w:rPr>
        <w:t>时与</w:t>
      </w:r>
      <w:r w:rsidRPr="000549B1">
        <w:rPr>
          <w:rFonts w:hint="eastAsia"/>
        </w:rPr>
        <w:t>P=50%</w:t>
      </w:r>
      <w:r w:rsidRPr="000549B1">
        <w:rPr>
          <w:rFonts w:hint="eastAsia"/>
        </w:rPr>
        <w:t>一样</w:t>
      </w:r>
      <w:r w:rsidRPr="000549B1">
        <w:t>。</w:t>
      </w:r>
      <w:r w:rsidRPr="000549B1">
        <w:rPr>
          <w:rFonts w:hint="eastAsia"/>
        </w:rPr>
        <w:t>。</w:t>
      </w:r>
    </w:p>
    <w:p w14:paraId="3917BFF3" w14:textId="77196414" w:rsidR="006F1981" w:rsidRPr="000549B1" w:rsidRDefault="004B2D82" w:rsidP="004B2D82">
      <w:pPr>
        <w:pStyle w:val="x"/>
      </w:pPr>
      <w:r w:rsidRPr="000549B1">
        <w:rPr>
          <w:rFonts w:hint="eastAsia"/>
        </w:rPr>
        <w:t>缺水主要集中在农业灌溉，尤其是塘格木镇、切吉乡等灌区。</w:t>
      </w:r>
      <w:r w:rsidR="006F1981" w:rsidRPr="000549B1">
        <w:t>。</w:t>
      </w:r>
    </w:p>
    <w:p w14:paraId="4425C21B" w14:textId="25778D69" w:rsidR="009C1F06" w:rsidRPr="000549B1" w:rsidRDefault="006F1981" w:rsidP="006F1981">
      <w:pPr>
        <w:pStyle w:val="x"/>
      </w:pPr>
      <w:r w:rsidRPr="000549B1">
        <w:t>（</w:t>
      </w:r>
      <w:r w:rsidRPr="000549B1">
        <w:t>6</w:t>
      </w:r>
      <w:r w:rsidRPr="000549B1">
        <w:t>）水量资源承载能力分析</w:t>
      </w:r>
      <w:bookmarkEnd w:id="422"/>
      <w:r w:rsidR="004B2D82" w:rsidRPr="000549B1">
        <w:rPr>
          <w:rFonts w:hint="eastAsia"/>
        </w:rPr>
        <w:t>：</w:t>
      </w:r>
      <w:r w:rsidR="004B2D82" w:rsidRPr="000549B1">
        <w:t>规划实施后，通过本地挖潜、节水改造与外调水补给，流域内可供水量较现状大幅提升，可基本支撑</w:t>
      </w:r>
      <w:r w:rsidR="004B2D82" w:rsidRPr="000549B1">
        <w:t>2035</w:t>
      </w:r>
      <w:r w:rsidR="004B2D82" w:rsidRPr="000549B1">
        <w:t>年经济社会发展用水需求。大河坝引水工程与本地水库联合调度后，多年平均可供水量达</w:t>
      </w:r>
      <w:r w:rsidR="004B2D82" w:rsidRPr="000549B1">
        <w:t>16082</w:t>
      </w:r>
      <w:r w:rsidR="004B2D82" w:rsidRPr="000549B1">
        <w:t>万</w:t>
      </w:r>
      <w:r w:rsidR="004B2D82" w:rsidRPr="000549B1">
        <w:t>m³</w:t>
      </w:r>
      <w:r w:rsidR="004B2D82" w:rsidRPr="000549B1">
        <w:t>，在保障生态基流的前提下，能有效缓解现状缺水矛盾，支撑规划灌溉面积</w:t>
      </w:r>
      <w:bookmarkStart w:id="428" w:name="OLE_LINK96"/>
      <w:r w:rsidR="004B2D82" w:rsidRPr="000549B1">
        <w:t>90.45</w:t>
      </w:r>
      <w:r w:rsidR="004B2D82" w:rsidRPr="000549B1">
        <w:t>万亩</w:t>
      </w:r>
      <w:bookmarkEnd w:id="428"/>
      <w:r w:rsidR="004B2D82" w:rsidRPr="000549B1">
        <w:t>的实现。同时，规划强调提高灌溉水利用系数、调整种植结构、发展高效节水，进一步提升水资源承载能力。</w:t>
      </w:r>
      <w:bookmarkEnd w:id="423"/>
    </w:p>
    <w:p w14:paraId="31C42ED2" w14:textId="47312A04" w:rsidR="00054437" w:rsidRPr="000549B1" w:rsidRDefault="00000000" w:rsidP="009C1F06">
      <w:pPr>
        <w:pStyle w:val="3"/>
      </w:pPr>
      <w:bookmarkStart w:id="429" w:name="_Toc216107063"/>
      <w:bookmarkEnd w:id="424"/>
      <w:r w:rsidRPr="000549B1">
        <w:rPr>
          <w:rFonts w:hint="eastAsia"/>
        </w:rPr>
        <w:t>水环境</w:t>
      </w:r>
      <w:r w:rsidRPr="000549B1">
        <w:t>承载力</w:t>
      </w:r>
      <w:r w:rsidRPr="000549B1">
        <w:rPr>
          <w:rFonts w:hint="eastAsia"/>
        </w:rPr>
        <w:t>分析</w:t>
      </w:r>
      <w:bookmarkEnd w:id="429"/>
    </w:p>
    <w:p w14:paraId="3102E245" w14:textId="77777777" w:rsidR="00F65123" w:rsidRPr="000549B1" w:rsidRDefault="00F65123">
      <w:pPr>
        <w:pStyle w:val="x"/>
      </w:pPr>
      <w:bookmarkStart w:id="430" w:name="_Hlk216120272"/>
      <w:r w:rsidRPr="000549B1">
        <w:t>至规划年，流域内无新增污染源，在保证下泄生态流量的情况下，流域河段的水质基本不会受到影响，仍能维持现状的</w:t>
      </w:r>
      <w:r w:rsidRPr="000549B1">
        <w:t>Ⅲ</w:t>
      </w:r>
      <w:r w:rsidRPr="000549B1">
        <w:t>类水质。</w:t>
      </w:r>
    </w:p>
    <w:p w14:paraId="7921AC34" w14:textId="66112D9E" w:rsidR="00F65123" w:rsidRPr="000549B1" w:rsidRDefault="00F65123">
      <w:pPr>
        <w:pStyle w:val="x"/>
      </w:pPr>
      <w:r w:rsidRPr="000549B1">
        <w:rPr>
          <w:rFonts w:hint="eastAsia"/>
        </w:rPr>
        <w:t>规划</w:t>
      </w:r>
      <w:r w:rsidRPr="000549B1">
        <w:t>水库工程运行后，流域内无新增工业企业、居民分布。根据环境现状监测结果，</w:t>
      </w:r>
      <w:r w:rsidRPr="000549B1">
        <w:rPr>
          <w:rFonts w:hint="eastAsia"/>
        </w:rPr>
        <w:t>沙珠玉河</w:t>
      </w:r>
      <w:r w:rsidRPr="000549B1">
        <w:t>流域水质能够满足《地表水环境质量标准（</w:t>
      </w:r>
      <w:r w:rsidRPr="000549B1">
        <w:t>GB3838-2002</w:t>
      </w:r>
      <w:r w:rsidRPr="000549B1">
        <w:t>）中</w:t>
      </w:r>
      <w:r w:rsidRPr="000549B1">
        <w:t>Ⅲ</w:t>
      </w:r>
      <w:r w:rsidRPr="000549B1">
        <w:t>类水标准。水库工程下泄生态流量保证下游水生态和水环境用水，根据预测下泄低温水不会对下游农作物产生影响，流域灌溉退水对水环境影响很小。</w:t>
      </w:r>
    </w:p>
    <w:p w14:paraId="3C9860D1" w14:textId="4B41E456" w:rsidR="00F65123" w:rsidRPr="000549B1" w:rsidRDefault="00F65123">
      <w:pPr>
        <w:pStyle w:val="x"/>
      </w:pPr>
      <w:r w:rsidRPr="000549B1">
        <w:t>（</w:t>
      </w:r>
      <w:r w:rsidRPr="000549B1">
        <w:t>1</w:t>
      </w:r>
      <w:r w:rsidRPr="000549B1">
        <w:t>）规划实施后，本流域内新增退水主要为规划水库供水后产生的农村生活污水、畜禽养殖污水和农田退水等农业面源污染退水进入</w:t>
      </w:r>
      <w:r w:rsidRPr="000549B1">
        <w:rPr>
          <w:rFonts w:hint="eastAsia"/>
        </w:rPr>
        <w:t>沙珠玉河</w:t>
      </w:r>
      <w:r w:rsidRPr="000549B1">
        <w:t>流域。</w:t>
      </w:r>
    </w:p>
    <w:p w14:paraId="468DA363" w14:textId="0DC6B5C4" w:rsidR="00054437" w:rsidRPr="000549B1" w:rsidRDefault="00F65123">
      <w:pPr>
        <w:pStyle w:val="x"/>
      </w:pPr>
      <w:r w:rsidRPr="000549B1">
        <w:t>（</w:t>
      </w:r>
      <w:r w:rsidRPr="000549B1">
        <w:t>2</w:t>
      </w:r>
      <w:r w:rsidRPr="000549B1">
        <w:t>）水环境容量是指对确定的水功能区，在满足水域功能要求前提下，按给定的水功能区水质目标值、设计水量、排污口位置及排污方式下，功能区水体所能容纳的最大污染物量，是确定水功能区规划水平年污染物入河控制量的重要参数，也是实施水功能区管理的基本依据。</w:t>
      </w:r>
      <w:r w:rsidRPr="000549B1">
        <w:rPr>
          <w:rFonts w:hint="eastAsia"/>
        </w:rPr>
        <w:t>沙珠玉河</w:t>
      </w:r>
      <w:r w:rsidRPr="000549B1">
        <w:t>流域水功能区总体水质较好。在规划水平年，开发利用区河段纳污能力计算的水文条件基本没变化，因此规划水平年水功能区纳污能力同现状纳污能力采用相同值，根据统计</w:t>
      </w:r>
      <w:r w:rsidR="006F1981" w:rsidRPr="000549B1">
        <w:rPr>
          <w:rFonts w:hint="eastAsia"/>
        </w:rPr>
        <w:t>沙珠玉河</w:t>
      </w:r>
      <w:r w:rsidRPr="000549B1">
        <w:t>流域</w:t>
      </w:r>
      <w:r w:rsidRPr="000549B1">
        <w:t>COD</w:t>
      </w:r>
      <w:r w:rsidRPr="000549B1">
        <w:t>纳污能力</w:t>
      </w:r>
      <w:r w:rsidR="006F1981" w:rsidRPr="000549B1">
        <w:t>654.16t/a</w:t>
      </w:r>
      <w:r w:rsidR="006F1981" w:rsidRPr="000549B1">
        <w:rPr>
          <w:rFonts w:hint="eastAsia"/>
        </w:rPr>
        <w:t>，</w:t>
      </w:r>
      <w:r w:rsidRPr="000549B1">
        <w:t>氨氮</w:t>
      </w:r>
      <w:r w:rsidR="006F1981" w:rsidRPr="000549B1">
        <w:t>30.6</w:t>
      </w:r>
      <w:r w:rsidRPr="000549B1">
        <w:t>t/a</w:t>
      </w:r>
      <w:r w:rsidRPr="000549B1">
        <w:t>。</w:t>
      </w:r>
      <w:r w:rsidRPr="000549B1">
        <w:t>2035</w:t>
      </w:r>
      <w:r w:rsidRPr="000549B1">
        <w:t>年，</w:t>
      </w:r>
      <w:r w:rsidR="006F1981" w:rsidRPr="000549B1">
        <w:rPr>
          <w:rFonts w:hint="eastAsia"/>
        </w:rPr>
        <w:t>沙珠玉河</w:t>
      </w:r>
      <w:r w:rsidRPr="000549B1">
        <w:t>流域内污染物排放总量为</w:t>
      </w:r>
      <w:r w:rsidR="002B7322" w:rsidRPr="000549B1">
        <w:rPr>
          <w:rFonts w:eastAsiaTheme="minorEastAsia"/>
          <w:bCs/>
          <w:szCs w:val="24"/>
        </w:rPr>
        <w:t>COD</w:t>
      </w:r>
      <w:r w:rsidR="002B7322">
        <w:rPr>
          <w:rFonts w:eastAsiaTheme="minorEastAsia" w:hint="eastAsia"/>
          <w:bCs/>
          <w:szCs w:val="24"/>
        </w:rPr>
        <w:t xml:space="preserve"> 271.15</w:t>
      </w:r>
      <w:r w:rsidR="002B7322" w:rsidRPr="000549B1">
        <w:rPr>
          <w:rFonts w:eastAsiaTheme="minorEastAsia"/>
          <w:bCs/>
          <w:szCs w:val="24"/>
        </w:rPr>
        <w:t>t/a</w:t>
      </w:r>
      <w:r w:rsidR="002B7322" w:rsidRPr="000549B1">
        <w:rPr>
          <w:rFonts w:eastAsiaTheme="minorEastAsia"/>
          <w:bCs/>
          <w:szCs w:val="24"/>
        </w:rPr>
        <w:t>、氨氮</w:t>
      </w:r>
      <w:r w:rsidR="002B7322" w:rsidRPr="000549B1">
        <w:rPr>
          <w:rFonts w:eastAsiaTheme="minorEastAsia"/>
          <w:bCs/>
          <w:szCs w:val="24"/>
        </w:rPr>
        <w:t>4.</w:t>
      </w:r>
      <w:r w:rsidR="002B7322">
        <w:rPr>
          <w:rFonts w:eastAsiaTheme="minorEastAsia" w:hint="eastAsia"/>
          <w:bCs/>
          <w:szCs w:val="24"/>
        </w:rPr>
        <w:t>71</w:t>
      </w:r>
      <w:r w:rsidR="002B7322" w:rsidRPr="000549B1">
        <w:rPr>
          <w:rFonts w:eastAsiaTheme="minorEastAsia"/>
          <w:bCs/>
          <w:szCs w:val="24"/>
        </w:rPr>
        <w:t>t/a</w:t>
      </w:r>
      <w:r w:rsidR="006F1981" w:rsidRPr="000549B1">
        <w:rPr>
          <w:rFonts w:eastAsiaTheme="minorEastAsia"/>
          <w:bCs/>
          <w:szCs w:val="24"/>
        </w:rPr>
        <w:t>，均未超出沙珠玉共和农业用水区对应污染物的水体纳污能力，规划实施后沙珠玉河依然能够满足已划定水功能区的水质目标要求</w:t>
      </w:r>
      <w:r w:rsidRPr="000549B1">
        <w:t>，流域纳污能力基本满足要求。</w:t>
      </w:r>
    </w:p>
    <w:bookmarkEnd w:id="430"/>
    <w:p w14:paraId="31A7E9C5" w14:textId="77777777" w:rsidR="00054437" w:rsidRPr="000549B1" w:rsidRDefault="00000000">
      <w:pPr>
        <w:pStyle w:val="zhang3"/>
        <w:spacing w:before="156" w:after="156"/>
      </w:pPr>
      <w:r w:rsidRPr="000549B1">
        <w:rPr>
          <w:rFonts w:hint="eastAsia"/>
        </w:rPr>
        <w:t>生态环境</w:t>
      </w:r>
      <w:r w:rsidRPr="000549B1">
        <w:t>承载力</w:t>
      </w:r>
      <w:r w:rsidRPr="000549B1">
        <w:rPr>
          <w:rFonts w:hint="eastAsia"/>
        </w:rPr>
        <w:t>分析</w:t>
      </w:r>
    </w:p>
    <w:p w14:paraId="3B34C000" w14:textId="5E6C4730" w:rsidR="008F3529" w:rsidRPr="000549B1" w:rsidRDefault="00F65123" w:rsidP="00F65123">
      <w:pPr>
        <w:pStyle w:val="x"/>
      </w:pPr>
      <w:bookmarkStart w:id="431" w:name="_Hlk216119325"/>
      <w:r w:rsidRPr="000549B1">
        <w:t>规划实施后，流域生态系统结构不会发生较大变化，主要影响体现在规划工程占地和水库淹没引起森林植被面积的减少，造成植被生物量和生产力下降。规划水库工程实施后，水库的形成间接导致库区库周生态环境的改变，在一定程度上影响了野生动植物的生存环境，原来生活于库区陆生环境中的野生动物失去赖以生存的环境被迫向高处转移，使其生境受到压缩，这种影响对兽类、爬行类和两栖类动物较为明显，对鸟类的影响不明显。水库蓄水淹没对动植物造成的不利影响具有明显的局限性，这主要是由于生活在淹没区的野生动植物在水库淹没线以上的库周地带仍有广泛分布，水库淹没不会改变库区库周陆生动植物区系特征及类型结构。水土保持规划实施后，将改善流域陆生动植物的生存环境，促进生物多样性发展。</w:t>
      </w:r>
    </w:p>
    <w:p w14:paraId="2C1E69C6" w14:textId="17622759" w:rsidR="00F65123" w:rsidRPr="000549B1" w:rsidRDefault="00F65123" w:rsidP="00F65123">
      <w:pPr>
        <w:pStyle w:val="x"/>
        <w:sectPr w:rsidR="00F65123" w:rsidRPr="000549B1">
          <w:pgSz w:w="11906" w:h="16838"/>
          <w:pgMar w:top="1440" w:right="1800" w:bottom="1440" w:left="1800" w:header="851" w:footer="992" w:gutter="0"/>
          <w:cols w:space="425"/>
          <w:docGrid w:type="lines" w:linePitch="312"/>
        </w:sectPr>
      </w:pPr>
      <w:r w:rsidRPr="000549B1">
        <w:t>至规划水平年</w:t>
      </w:r>
      <w:r w:rsidRPr="000549B1">
        <w:t>2035</w:t>
      </w:r>
      <w:r w:rsidRPr="000549B1">
        <w:t>年，</w:t>
      </w:r>
      <w:r w:rsidRPr="000549B1">
        <w:rPr>
          <w:rFonts w:hint="eastAsia"/>
        </w:rPr>
        <w:t>规划</w:t>
      </w:r>
      <w:r w:rsidRPr="000549B1">
        <w:t>水库工程蓄水形成的静水、缓流区域对广布性鱼类的种群增长有利，水生态保护规划主要包括恢复和改善河流连通性、保障下泄流量等措施，</w:t>
      </w:r>
      <w:r w:rsidR="00890477" w:rsidRPr="000549B1">
        <w:rPr>
          <w:rFonts w:hint="eastAsia"/>
        </w:rPr>
        <w:t>通过落实规划工程的相关环境保护措施</w:t>
      </w:r>
      <w:r w:rsidRPr="000549B1">
        <w:t>，将有效改善流域内水生生境破坏、鱼类资源下降等现存生态环境问题，对维护流域的生物多样性和生态完整性，促进生态持续发展有重要意义。</w:t>
      </w:r>
    </w:p>
    <w:p w14:paraId="0B222C97" w14:textId="7CBF19E7" w:rsidR="00054437" w:rsidRPr="000549B1" w:rsidRDefault="00000000" w:rsidP="000549B1">
      <w:pPr>
        <w:pStyle w:val="1"/>
        <w:jc w:val="left"/>
        <w:rPr>
          <w:sz w:val="36"/>
          <w:szCs w:val="36"/>
        </w:rPr>
      </w:pPr>
      <w:bookmarkStart w:id="432" w:name="_Toc216107064"/>
      <w:bookmarkEnd w:id="427"/>
      <w:bookmarkEnd w:id="431"/>
      <w:r w:rsidRPr="000549B1">
        <w:rPr>
          <w:rFonts w:hint="eastAsia"/>
          <w:sz w:val="36"/>
          <w:szCs w:val="36"/>
        </w:rPr>
        <w:t>规划方案环境合理性论证</w:t>
      </w:r>
      <w:bookmarkEnd w:id="418"/>
      <w:bookmarkEnd w:id="419"/>
      <w:bookmarkEnd w:id="420"/>
      <w:bookmarkEnd w:id="421"/>
      <w:r w:rsidRPr="000549B1">
        <w:rPr>
          <w:rFonts w:hint="eastAsia"/>
          <w:sz w:val="36"/>
          <w:szCs w:val="36"/>
        </w:rPr>
        <w:t>和优化调整建议</w:t>
      </w:r>
      <w:bookmarkEnd w:id="432"/>
    </w:p>
    <w:p w14:paraId="4C0DF5B7" w14:textId="6E641D03" w:rsidR="00054437" w:rsidRPr="000549B1" w:rsidRDefault="00000000">
      <w:pPr>
        <w:pStyle w:val="2"/>
        <w:rPr>
          <w:rFonts w:ascii="Times New Roman" w:hAnsi="Times New Roman"/>
        </w:rPr>
      </w:pPr>
      <w:bookmarkStart w:id="433" w:name="_Toc216107065"/>
      <w:r w:rsidRPr="000549B1">
        <w:rPr>
          <w:rFonts w:ascii="Times New Roman" w:hAnsi="Times New Roman"/>
        </w:rPr>
        <w:t>规划方案环境合理性论证</w:t>
      </w:r>
      <w:bookmarkEnd w:id="433"/>
    </w:p>
    <w:p w14:paraId="5979516D" w14:textId="77777777" w:rsidR="00054437" w:rsidRPr="000549B1" w:rsidRDefault="00000000">
      <w:pPr>
        <w:pStyle w:val="zhang3"/>
        <w:spacing w:before="156" w:after="156"/>
      </w:pPr>
      <w:r w:rsidRPr="000549B1">
        <w:t>规划定位与目标的环境合理性</w:t>
      </w:r>
    </w:p>
    <w:p w14:paraId="0214E851" w14:textId="77777777" w:rsidR="00054437" w:rsidRPr="000549B1" w:rsidRDefault="00000000">
      <w:pPr>
        <w:pStyle w:val="Z4"/>
        <w:rPr>
          <w:color w:val="auto"/>
        </w:rPr>
      </w:pPr>
      <w:r w:rsidRPr="000549B1">
        <w:rPr>
          <w:color w:val="auto"/>
        </w:rPr>
        <w:t>规划定位的环境合理性</w:t>
      </w:r>
    </w:p>
    <w:p w14:paraId="49BFD872" w14:textId="677E5618" w:rsidR="00054437" w:rsidRPr="000549B1" w:rsidRDefault="007917B1" w:rsidP="007917B1">
      <w:pPr>
        <w:pStyle w:val="x"/>
      </w:pPr>
      <w:r w:rsidRPr="000549B1">
        <w:t>沙珠玉河流域综合规划确定的生态环境保护定位为：以</w:t>
      </w:r>
      <w:r w:rsidRPr="000549B1">
        <w:rPr>
          <w:rFonts w:ascii="宋体" w:hAnsi="宋体"/>
        </w:rPr>
        <w:t>“</w:t>
      </w:r>
      <w:r w:rsidRPr="000549B1">
        <w:t>保障生态安全、维持河湖功能</w:t>
      </w:r>
      <w:r w:rsidRPr="000549B1">
        <w:rPr>
          <w:rFonts w:ascii="宋体" w:hAnsi="宋体"/>
        </w:rPr>
        <w:t>”</w:t>
      </w:r>
      <w:r w:rsidRPr="000549B1">
        <w:t>为核心目标，通过严格分区管控、优化水资源配置、加强生态修复和水土保持等措施，构建流域生态安全格局，维护河湖生命健康，推动流域可持续发展，为筑牢青藏高原国家生态安全屏障作出贡献。该规划定位的提出基于沙珠玉河流域生态系统脆弱、水资源极度匮乏</w:t>
      </w:r>
      <w:r w:rsidRPr="000549B1">
        <w:rPr>
          <w:rFonts w:hint="eastAsia"/>
        </w:rPr>
        <w:t>等</w:t>
      </w:r>
      <w:r w:rsidRPr="000549B1">
        <w:t>现实背景，以维护区域生态安全和维系河湖功能为导向，并衔接了</w:t>
      </w:r>
      <w:r w:rsidR="00F8787D">
        <w:rPr>
          <w:rFonts w:hint="eastAsia"/>
        </w:rPr>
        <w:t>《</w:t>
      </w:r>
      <w:r w:rsidR="00F8787D">
        <w:rPr>
          <w:rFonts w:ascii="宋体" w:hAnsi="宋体" w:cs="宋体" w:hint="eastAsia"/>
          <w:szCs w:val="24"/>
        </w:rPr>
        <w:t>中共青海省委办公厅青海省人民政府办公厅关于加强生态环境分区管控的实施意见</w:t>
      </w:r>
      <w:r w:rsidR="00F8787D">
        <w:rPr>
          <w:rFonts w:hint="eastAsia"/>
        </w:rPr>
        <w:t>》（</w:t>
      </w:r>
      <w:r w:rsidR="00F8787D">
        <w:rPr>
          <w:rFonts w:hint="eastAsia"/>
        </w:rPr>
        <w:t>2024</w:t>
      </w:r>
      <w:r w:rsidR="00F8787D">
        <w:rPr>
          <w:rFonts w:hint="eastAsia"/>
        </w:rPr>
        <w:t>年</w:t>
      </w:r>
      <w:r w:rsidR="00F8787D">
        <w:rPr>
          <w:rFonts w:hint="eastAsia"/>
        </w:rPr>
        <w:t>10</w:t>
      </w:r>
      <w:r w:rsidR="00F8787D">
        <w:rPr>
          <w:rFonts w:hint="eastAsia"/>
        </w:rPr>
        <w:t>月</w:t>
      </w:r>
      <w:r w:rsidR="00F8787D">
        <w:rPr>
          <w:rFonts w:hint="eastAsia"/>
        </w:rPr>
        <w:t>14</w:t>
      </w:r>
      <w:r w:rsidR="00F8787D">
        <w:rPr>
          <w:rFonts w:hint="eastAsia"/>
        </w:rPr>
        <w:t>日）</w:t>
      </w:r>
      <w:r w:rsidRPr="000549B1">
        <w:rPr>
          <w:rFonts w:hint="eastAsia"/>
        </w:rPr>
        <w:t>等</w:t>
      </w:r>
      <w:r w:rsidRPr="000549B1">
        <w:t>相关管控要求，体现了规划导向与生态环境保护要求的一致性和科学性。因此，该规划定位在环境上是科学合理的。</w:t>
      </w:r>
    </w:p>
    <w:p w14:paraId="7275610D" w14:textId="77777777" w:rsidR="00054437" w:rsidRPr="000549B1" w:rsidRDefault="00000000">
      <w:pPr>
        <w:pStyle w:val="Z4"/>
        <w:rPr>
          <w:color w:val="auto"/>
        </w:rPr>
      </w:pPr>
      <w:r w:rsidRPr="000549B1">
        <w:rPr>
          <w:rFonts w:hint="eastAsia"/>
          <w:color w:val="auto"/>
        </w:rPr>
        <w:t>规划</w:t>
      </w:r>
      <w:r w:rsidRPr="000549B1">
        <w:rPr>
          <w:color w:val="auto"/>
        </w:rPr>
        <w:t>环境目标的环境合理性</w:t>
      </w:r>
    </w:p>
    <w:p w14:paraId="5D255973" w14:textId="0A10FC59" w:rsidR="00054437" w:rsidRPr="000549B1" w:rsidRDefault="007917B1">
      <w:pPr>
        <w:pStyle w:val="x"/>
      </w:pPr>
      <w:r w:rsidRPr="000549B1">
        <w:rPr>
          <w:rFonts w:hint="eastAsia"/>
        </w:rPr>
        <w:t>本次规划环评的环境目标制定遵循了《规划环境影响评价技术导则流域综合规划》（</w:t>
      </w:r>
      <w:r w:rsidRPr="000549B1">
        <w:rPr>
          <w:rFonts w:hint="eastAsia"/>
        </w:rPr>
        <w:t>HJ1218-2021</w:t>
      </w:r>
      <w:r w:rsidRPr="000549B1">
        <w:rPr>
          <w:rFonts w:hint="eastAsia"/>
        </w:rPr>
        <w:t>）的规范要求，并结合沙珠玉河流域的生态环境现状、水量水质状况和生态风险特征予以确定。规划环境目标体系总体上分为水资源高效利用、水环境质量改善和流域生态安全维护三大类别，并据此目标按照科学性、整体性、差异化、关键性、操作性等原则建立了相应的环境评价指标体系。该指标体系涵盖了水文水资源、水环境和生态环境等三个方面，并基于每个指标值的现状情况、趋势发展情况确定目标值，为环境目标的实现提供了定量评价依据。因此，本次规划所确定的环境目标是基本合理的</w:t>
      </w:r>
      <w:r w:rsidRPr="000549B1">
        <w:t>。</w:t>
      </w:r>
    </w:p>
    <w:p w14:paraId="0F8DFF66" w14:textId="77777777" w:rsidR="00054437" w:rsidRPr="000549B1" w:rsidRDefault="00054437">
      <w:pPr>
        <w:pStyle w:val="x"/>
      </w:pPr>
    </w:p>
    <w:p w14:paraId="330968BA" w14:textId="3DF9407A" w:rsidR="00054437" w:rsidRPr="000549B1" w:rsidRDefault="00000000">
      <w:pPr>
        <w:pStyle w:val="zhang3"/>
        <w:spacing w:before="156" w:after="156"/>
      </w:pPr>
      <w:r w:rsidRPr="000549B1">
        <w:t>规划任务和布局的环境合理性</w:t>
      </w:r>
    </w:p>
    <w:p w14:paraId="1F187B5F" w14:textId="77777777" w:rsidR="00054437" w:rsidRPr="000549B1" w:rsidRDefault="00000000">
      <w:pPr>
        <w:pStyle w:val="Z4"/>
        <w:rPr>
          <w:color w:val="auto"/>
        </w:rPr>
      </w:pPr>
      <w:r w:rsidRPr="000549B1">
        <w:rPr>
          <w:color w:val="auto"/>
        </w:rPr>
        <w:t>规划任务的环境合理性</w:t>
      </w:r>
    </w:p>
    <w:p w14:paraId="1E32A6E3" w14:textId="77777777" w:rsidR="00054437" w:rsidRPr="000549B1" w:rsidRDefault="00000000">
      <w:pPr>
        <w:pStyle w:val="x"/>
      </w:pPr>
      <w:r w:rsidRPr="000549B1">
        <w:t>沙珠玉河流域综合规划围绕节水优先、城乡供水保障、水生态修复、水土保持、水利信息化、防洪治理等主要任务展开。这些任务紧扣流域资源禀赋和生态环境特点，每项均具有明确的功能定位及积极的环境意义：</w:t>
      </w:r>
    </w:p>
    <w:p w14:paraId="5EDC74C4" w14:textId="77777777" w:rsidR="00054437" w:rsidRPr="000549B1" w:rsidRDefault="00000000">
      <w:pPr>
        <w:pStyle w:val="x"/>
      </w:pPr>
      <w:r w:rsidRPr="000549B1">
        <w:t>节水优先：规划将水资源节约放在首位，通过大力推广高效节水灌溉技术和实施灌区节水改造，提高用水效率。其功能在于抑制无效用水浪费，实现</w:t>
      </w:r>
      <w:r w:rsidRPr="000549B1">
        <w:rPr>
          <w:rFonts w:ascii="宋体" w:hAnsi="宋体"/>
        </w:rPr>
        <w:t>“</w:t>
      </w:r>
      <w:r w:rsidRPr="000549B1">
        <w:t>增产不增水</w:t>
      </w:r>
      <w:r w:rsidRPr="000549B1">
        <w:rPr>
          <w:rFonts w:ascii="宋体" w:hAnsi="宋体"/>
        </w:rPr>
        <w:t>”</w:t>
      </w:r>
      <w:r w:rsidRPr="000549B1">
        <w:t>的目标，缓解水资源供需矛盾。环境意义体现在减少对河川径流和地下水的不当开采，维持河流基本生态流量，保护流域脆弱水生态系统，促进水资源可持续利用。</w:t>
      </w:r>
    </w:p>
    <w:p w14:paraId="0AAC9199" w14:textId="26C16223" w:rsidR="00054437" w:rsidRPr="000549B1" w:rsidRDefault="00000000">
      <w:pPr>
        <w:pStyle w:val="x"/>
      </w:pPr>
      <w:r w:rsidRPr="000549B1">
        <w:t>城乡供水保障：规划通过新建水源工程和完善输配水网络，大幅提升城乡供水能力。建设大河坝水库等骨干水源和多座小型水库，并配套乡镇集中供水管网和水厂升级改造，以满足</w:t>
      </w:r>
      <w:r w:rsidRPr="000549B1">
        <w:t>2035</w:t>
      </w:r>
      <w:r w:rsidRPr="000549B1">
        <w:t>年城乡用水需求。这一任务保障了居民生活、生计用水的稳定供应，显著缓解区域缺水问题（多年平均缺水率由</w:t>
      </w:r>
      <w:r w:rsidRPr="000549B1">
        <w:t>54%</w:t>
      </w:r>
      <w:r w:rsidRPr="000549B1">
        <w:t>降至约</w:t>
      </w:r>
      <w:r w:rsidRPr="000549B1">
        <w:t>6%</w:t>
      </w:r>
      <w:r w:rsidRPr="000549B1">
        <w:t>）。其环境意义在于通过设立水源地保护区和应急机制，防止水源过度开采和水质污染，确保供水安全的同时维护水环境质量。</w:t>
      </w:r>
    </w:p>
    <w:p w14:paraId="37CAAE9F" w14:textId="50CECFE8" w:rsidR="00054437" w:rsidRPr="000549B1" w:rsidRDefault="00000000">
      <w:pPr>
        <w:pStyle w:val="x"/>
      </w:pPr>
      <w:r w:rsidRPr="000549B1">
        <w:t>水生态修复：针对河道断流、下游湖泊干涸等生态退化问题，规划实施水生态环境修复措施。核心举措包括建设跨流域调水工程（如</w:t>
      </w:r>
      <w:r w:rsidRPr="000549B1">
        <w:rPr>
          <w:rFonts w:ascii="宋体" w:hAnsi="宋体"/>
        </w:rPr>
        <w:t>“</w:t>
      </w:r>
      <w:r w:rsidRPr="000549B1">
        <w:t>三滩引水生态综合治理工程</w:t>
      </w:r>
      <w:r w:rsidRPr="000549B1">
        <w:rPr>
          <w:rFonts w:ascii="宋体" w:hAnsi="宋体"/>
        </w:rPr>
        <w:t>”</w:t>
      </w:r>
      <w:r w:rsidRPr="000549B1">
        <w:t>）。该任务的功能在于为河流湿地生态系统补充水源，重建健康的水文循环和生境条件。环境意义十分突出：通过补水改善流域生态环境，恢复草原湿地功能，筑牢高原荒漠区生态安全屏障，有力维护区域生物多样性和国家生态安全。</w:t>
      </w:r>
    </w:p>
    <w:p w14:paraId="2CFF4E22" w14:textId="77777777" w:rsidR="00054437" w:rsidRPr="000549B1" w:rsidRDefault="00000000">
      <w:pPr>
        <w:pStyle w:val="x"/>
      </w:pPr>
      <w:r w:rsidRPr="000549B1">
        <w:t>水土保持：规划大规模推进水土保持与防沙治沙工程。在植被破坏严重区域采取封育措施恢复草原植被，在沙化土地实施人工造林种草和设立防风固沙林带，并在侵蚀沟壑修建谷坊等拦挡工程。其功能是控制水土流失和土地荒漠化，保持土壤肥力，减少泥沙入河。环境意义体现在显著提高流域植被覆盖率，遏制风沙危害和沙漠扩张，降低泥沙向下游河库输送（如减少风沙进入黄河龙羊峡水库引发的淤积）。这不仅保护了流域内的耕地草场和防护林体系，也改善了河流水质和水域生态环境。</w:t>
      </w:r>
    </w:p>
    <w:p w14:paraId="1D55D410" w14:textId="77777777" w:rsidR="00054437" w:rsidRPr="000549B1" w:rsidRDefault="00000000">
      <w:pPr>
        <w:pStyle w:val="x"/>
      </w:pPr>
      <w:r w:rsidRPr="000549B1">
        <w:t>水利信息化：规划构建沙珠玉河流域智慧水利管理体系，建设数字孪生流域平台和</w:t>
      </w:r>
      <w:r w:rsidRPr="000549B1">
        <w:rPr>
          <w:rFonts w:ascii="宋体" w:hAnsi="宋体"/>
        </w:rPr>
        <w:t>“</w:t>
      </w:r>
      <w:r w:rsidRPr="000549B1">
        <w:t>一体化监测感知网</w:t>
      </w:r>
      <w:r w:rsidRPr="000549B1">
        <w:rPr>
          <w:rFonts w:ascii="宋体" w:hAnsi="宋体"/>
        </w:rPr>
        <w:t>”</w:t>
      </w:r>
      <w:r w:rsidRPr="000549B1">
        <w:t>等信息基础设施。其功能在于利用物联网、大数据和人工智能实现对水文、水资源和水工程的实时监测与智能调度，在防洪抗旱、水资源调配等方面全面实现</w:t>
      </w:r>
      <w:r w:rsidRPr="000549B1">
        <w:rPr>
          <w:rFonts w:ascii="宋体" w:hAnsi="宋体"/>
        </w:rPr>
        <w:t>“</w:t>
      </w:r>
      <w:r w:rsidRPr="000549B1">
        <w:t>预报、预警、预演、预案</w:t>
      </w:r>
      <w:r w:rsidRPr="000549B1">
        <w:rPr>
          <w:rFonts w:ascii="宋体" w:hAnsi="宋体"/>
        </w:rPr>
        <w:t>”</w:t>
      </w:r>
      <w:r w:rsidRPr="000549B1">
        <w:t>功能。环境意义方面，水利信息化提高了流域管理的精细化和及时性：通过智能平台优化水量调度和生态流量管控，确保生态需水得到及时保障；洪水和干旱预警功能强化了灾害防范，减少对生态环境和群众安全的威胁。整体而言，信息化手段赋能水利管理，有助于最大限度地减少规划实施过程中的环境风险，提升资源利用效率和环境安全水平。</w:t>
      </w:r>
    </w:p>
    <w:p w14:paraId="3FFAA881" w14:textId="77777777" w:rsidR="00054437" w:rsidRPr="000549B1" w:rsidRDefault="00000000">
      <w:pPr>
        <w:pStyle w:val="x"/>
      </w:pPr>
      <w:r w:rsidRPr="000549B1">
        <w:t>防洪治理：针对流域防洪工程薄弱的现状，规划以河道护岸整治为主加强防洪能力。在沙珠玉河干流鲁色村至加什科村段及龙漠尔沟、莫日沟等重要支流实施护岸工程，按</w:t>
      </w:r>
      <w:r w:rsidRPr="000549B1">
        <w:t>10</w:t>
      </w:r>
      <w:r w:rsidRPr="000549B1">
        <w:t>年一遇标准治理重点河段。工程遵循</w:t>
      </w:r>
      <w:r w:rsidRPr="000549B1">
        <w:rPr>
          <w:rFonts w:ascii="宋体" w:hAnsi="宋体"/>
        </w:rPr>
        <w:t>“</w:t>
      </w:r>
      <w:r w:rsidRPr="000549B1">
        <w:t>顺应河势、稳定河槽</w:t>
      </w:r>
      <w:r w:rsidRPr="000549B1">
        <w:rPr>
          <w:rFonts w:ascii="宋体" w:hAnsi="宋体"/>
        </w:rPr>
        <w:t>”</w:t>
      </w:r>
      <w:r w:rsidRPr="000549B1">
        <w:t>的原则，采用不阻水、不改变河道走向的生态型护岸，保障行洪通畅的同时保护河岸稳定。其功能是提高沿岸乡镇和农田的防洪防灾水平，降低洪水对人民生命财产的威胁。环境意义在于规划注重工程措施与自然河流过程相协调：通过柔性护岸维护河道的自然形态和生态功能，避免大规模筑堤填堵可能引发的生态扰动，在保障防洪安全的前提下最大程度保护河流生态基质和栖息地完整性。</w:t>
      </w:r>
    </w:p>
    <w:p w14:paraId="2D76ABFA" w14:textId="77777777" w:rsidR="00054437" w:rsidRPr="000549B1" w:rsidRDefault="00000000">
      <w:pPr>
        <w:pStyle w:val="x"/>
      </w:pPr>
      <w:r w:rsidRPr="000549B1">
        <w:t>综上，各项规划任务紧密契合沙珠玉河流域的资源条件和生态环境需求，既满足了流域防洪保安、供水保障和农业发展的迫切要求，又注重了生态保护与修复，体现出良好的环境合理性。规划任务相互支撑、统筹推进，并依托于流域以往治理实践和现有工程基础，具备扎实的实施基础，可有效保障沙珠玉河流域的水资源可持续利用和生态安全。</w:t>
      </w:r>
    </w:p>
    <w:p w14:paraId="0941BB50" w14:textId="6D9355EB" w:rsidR="00054437" w:rsidRPr="000549B1" w:rsidRDefault="00000000">
      <w:pPr>
        <w:pStyle w:val="Z4"/>
        <w:rPr>
          <w:color w:val="auto"/>
        </w:rPr>
      </w:pPr>
      <w:r w:rsidRPr="000549B1">
        <w:rPr>
          <w:color w:val="auto"/>
        </w:rPr>
        <w:t>规划布局的环境合理性</w:t>
      </w:r>
    </w:p>
    <w:p w14:paraId="5B94CDF7" w14:textId="77777777" w:rsidR="007917B1" w:rsidRPr="000549B1" w:rsidRDefault="007917B1" w:rsidP="007917B1">
      <w:pPr>
        <w:spacing w:line="360" w:lineRule="auto"/>
        <w:ind w:firstLineChars="200" w:firstLine="480"/>
        <w:rPr>
          <w:kern w:val="0"/>
          <w:sz w:val="24"/>
          <w:szCs w:val="20"/>
        </w:rPr>
      </w:pPr>
      <w:r w:rsidRPr="000549B1">
        <w:rPr>
          <w:rFonts w:hint="eastAsia"/>
          <w:kern w:val="0"/>
          <w:sz w:val="24"/>
          <w:szCs w:val="20"/>
        </w:rPr>
        <w:t>沙珠玉河流域综合规划的总体布局是：干流上游段（大水河段）主要以保护为主，依托于大水水库，适当开发农业灌溉，改善生态环境。中下游段及右岸主要支流在总结实践经验的基础上，研究合理的农业结构和布局，制定科学合理的灌溉制度，编制各行各业的用水规划。因地制宜地做好灌溉工程规划，新增河卡灌区，对已建的娘塘水库灌区、塔什秋灌区、切吉灌区等进行续建配套与节水改造，以提高灌溉水利用效率为核心，结合土地资源、水源工程建设，在合理分析共和县和兴海县绿洲建设维持与修复治理范围的基础上，合理分析其农田及草场灌溉发展潜力及分布。规划重点从提高灌区供水保证程度、节水灌溉工程标准和工程完好率、灌区信息化建设等方面提出现代化灌区建设规划方案。同时根据流域防洪治理思路，完成沙珠玉河干流及主要支流的重点河段治理，覆盖沿岸乡镇政府驻地、耕地集中区及重要基础设施，基本达到国家规定的防洪标准。水土保持主要是保护、恢复、发展沙生植被，防止荒漠化扩展，改善生态环境。针对达连海、更尕海等尾闾湖泊萎缩，生态功能退化等问题，通过向沙珠玉河和达连海湖等河湖补充生态水量，改善沙珠玉河流域生态环境，筑牢青藏高原生态屏障区生态安全。</w:t>
      </w:r>
    </w:p>
    <w:p w14:paraId="76AE68B3" w14:textId="77777777" w:rsidR="007917B1" w:rsidRPr="000549B1" w:rsidRDefault="007917B1" w:rsidP="007917B1">
      <w:pPr>
        <w:pStyle w:val="x"/>
      </w:pPr>
      <w:r w:rsidRPr="000549B1">
        <w:t>经与相关生态保护红线空间管控数据叠加分析，</w:t>
      </w:r>
      <w:r w:rsidRPr="000549B1">
        <w:rPr>
          <w:rFonts w:hint="eastAsia"/>
        </w:rPr>
        <w:t>沙珠玉河流域</w:t>
      </w:r>
      <w:r w:rsidRPr="000549B1">
        <w:t>规划</w:t>
      </w:r>
      <w:r w:rsidRPr="000549B1">
        <w:rPr>
          <w:rFonts w:hint="eastAsia"/>
        </w:rPr>
        <w:t>范围</w:t>
      </w:r>
      <w:r w:rsidRPr="000549B1">
        <w:t>涉及流域内</w:t>
      </w:r>
      <w:r w:rsidRPr="000549B1">
        <w:t>2</w:t>
      </w:r>
      <w:r w:rsidRPr="000549B1">
        <w:t>处生态保护红线：柴达木盆地土地沙化防控与生物多样维护生态保护红线，以及青海湖水源涵养与生物多样性维护生态保护红线。规划范围内还包括青海湖国家级自然保护区和青海湖国家级风景名胜区等生态敏感区域，其范围广大（自然保护区总面积</w:t>
      </w:r>
      <w:r w:rsidRPr="000549B1">
        <w:t>4952 km²</w:t>
      </w:r>
      <w:r w:rsidRPr="000549B1">
        <w:t>，风景区</w:t>
      </w:r>
      <w:r w:rsidRPr="000549B1">
        <w:t>7577.84 km²</w:t>
      </w:r>
      <w:r w:rsidRPr="000549B1">
        <w:t>）。</w:t>
      </w:r>
      <w:r w:rsidRPr="000549B1">
        <w:rPr>
          <w:rFonts w:hint="eastAsia"/>
        </w:rPr>
        <w:t>此外，经叠图分析，规划范围</w:t>
      </w:r>
      <w:r w:rsidRPr="000549B1">
        <w:t>共涉及</w:t>
      </w:r>
      <w:r w:rsidRPr="000549B1">
        <w:t>3</w:t>
      </w:r>
      <w:r w:rsidRPr="000549B1">
        <w:t>处饮用水水源保护区。</w:t>
      </w:r>
      <w:r w:rsidRPr="000549B1">
        <w:rPr>
          <w:rFonts w:hint="eastAsia"/>
        </w:rPr>
        <w:t>经识别，规划工程选址已完全避让环境敏感区，不涉及生态保护红线。</w:t>
      </w:r>
    </w:p>
    <w:p w14:paraId="1BF3916B" w14:textId="77777777" w:rsidR="007917B1" w:rsidRPr="000549B1" w:rsidRDefault="007917B1" w:rsidP="007917B1">
      <w:pPr>
        <w:spacing w:line="360" w:lineRule="auto"/>
        <w:ind w:firstLineChars="200" w:firstLine="480"/>
        <w:rPr>
          <w:kern w:val="0"/>
          <w:sz w:val="24"/>
          <w:szCs w:val="20"/>
        </w:rPr>
      </w:pPr>
      <w:r w:rsidRPr="000549B1">
        <w:rPr>
          <w:kern w:val="0"/>
          <w:sz w:val="24"/>
          <w:szCs w:val="20"/>
        </w:rPr>
        <w:t>根据青海省生态环境分区管控信息平台</w:t>
      </w:r>
      <w:r w:rsidRPr="000549B1">
        <w:rPr>
          <w:rFonts w:hint="eastAsia"/>
          <w:kern w:val="0"/>
          <w:sz w:val="24"/>
          <w:szCs w:val="20"/>
        </w:rPr>
        <w:t>，青海省共有优先保护管控单元</w:t>
      </w:r>
      <w:r w:rsidRPr="000549B1">
        <w:rPr>
          <w:rFonts w:hint="eastAsia"/>
          <w:kern w:val="0"/>
          <w:sz w:val="24"/>
          <w:szCs w:val="20"/>
        </w:rPr>
        <w:t>355</w:t>
      </w:r>
      <w:r w:rsidRPr="000549B1">
        <w:rPr>
          <w:rFonts w:hint="eastAsia"/>
          <w:kern w:val="0"/>
          <w:sz w:val="24"/>
          <w:szCs w:val="20"/>
        </w:rPr>
        <w:t>个（面积占比</w:t>
      </w:r>
      <w:r w:rsidRPr="000549B1">
        <w:rPr>
          <w:rFonts w:hint="eastAsia"/>
          <w:kern w:val="0"/>
          <w:sz w:val="24"/>
          <w:szCs w:val="20"/>
        </w:rPr>
        <w:t>68.57%</w:t>
      </w:r>
      <w:r w:rsidRPr="000549B1">
        <w:rPr>
          <w:rFonts w:hint="eastAsia"/>
          <w:kern w:val="0"/>
          <w:sz w:val="24"/>
          <w:szCs w:val="20"/>
        </w:rPr>
        <w:t>），重点管控单元</w:t>
      </w:r>
      <w:r w:rsidRPr="000549B1">
        <w:rPr>
          <w:rFonts w:hint="eastAsia"/>
          <w:kern w:val="0"/>
          <w:sz w:val="24"/>
          <w:szCs w:val="20"/>
        </w:rPr>
        <w:t>177</w:t>
      </w:r>
      <w:r w:rsidRPr="000549B1">
        <w:rPr>
          <w:rFonts w:hint="eastAsia"/>
          <w:kern w:val="0"/>
          <w:sz w:val="24"/>
          <w:szCs w:val="20"/>
        </w:rPr>
        <w:t>个（面积占比</w:t>
      </w:r>
      <w:r w:rsidRPr="000549B1">
        <w:rPr>
          <w:rFonts w:hint="eastAsia"/>
          <w:kern w:val="0"/>
          <w:sz w:val="24"/>
          <w:szCs w:val="20"/>
        </w:rPr>
        <w:t>8.72%</w:t>
      </w:r>
      <w:r w:rsidRPr="000549B1">
        <w:rPr>
          <w:rFonts w:hint="eastAsia"/>
          <w:kern w:val="0"/>
          <w:sz w:val="24"/>
          <w:szCs w:val="20"/>
        </w:rPr>
        <w:t>），一般管控单元</w:t>
      </w:r>
      <w:r w:rsidRPr="000549B1">
        <w:rPr>
          <w:rFonts w:hint="eastAsia"/>
          <w:kern w:val="0"/>
          <w:sz w:val="24"/>
          <w:szCs w:val="20"/>
        </w:rPr>
        <w:t>81</w:t>
      </w:r>
      <w:r w:rsidRPr="000549B1">
        <w:rPr>
          <w:rFonts w:hint="eastAsia"/>
          <w:kern w:val="0"/>
          <w:sz w:val="24"/>
          <w:szCs w:val="20"/>
        </w:rPr>
        <w:t>个（面积占比</w:t>
      </w:r>
      <w:r w:rsidRPr="000549B1">
        <w:rPr>
          <w:rFonts w:hint="eastAsia"/>
          <w:kern w:val="0"/>
          <w:sz w:val="24"/>
          <w:szCs w:val="20"/>
        </w:rPr>
        <w:t>21.71%</w:t>
      </w:r>
      <w:r w:rsidRPr="000549B1">
        <w:rPr>
          <w:rFonts w:hint="eastAsia"/>
          <w:kern w:val="0"/>
          <w:sz w:val="24"/>
          <w:szCs w:val="20"/>
        </w:rPr>
        <w:t>）；根据单元管控进行空间管控符合性分析，在规划工程项目边界范围内进行缓冲分析，共涉及到以下</w:t>
      </w:r>
      <w:r w:rsidRPr="000549B1">
        <w:rPr>
          <w:kern w:val="0"/>
          <w:sz w:val="24"/>
          <w:szCs w:val="20"/>
        </w:rPr>
        <w:t>4</w:t>
      </w:r>
      <w:r w:rsidRPr="000549B1">
        <w:rPr>
          <w:rFonts w:hint="eastAsia"/>
          <w:kern w:val="0"/>
          <w:sz w:val="24"/>
          <w:szCs w:val="20"/>
        </w:rPr>
        <w:t>个管控单元：</w:t>
      </w:r>
      <w:r w:rsidRPr="000549B1">
        <w:rPr>
          <w:rFonts w:hint="eastAsia"/>
          <w:kern w:val="0"/>
          <w:sz w:val="24"/>
          <w:szCs w:val="20"/>
        </w:rPr>
        <w:t>ZH63252430002</w:t>
      </w:r>
      <w:r w:rsidRPr="000549B1">
        <w:rPr>
          <w:rFonts w:hint="eastAsia"/>
          <w:kern w:val="0"/>
          <w:sz w:val="24"/>
          <w:szCs w:val="20"/>
        </w:rPr>
        <w:t>（兴海县一般管控单元），</w:t>
      </w:r>
      <w:r w:rsidRPr="000549B1">
        <w:rPr>
          <w:rFonts w:hint="eastAsia"/>
          <w:kern w:val="0"/>
          <w:sz w:val="24"/>
          <w:szCs w:val="20"/>
        </w:rPr>
        <w:t>ZH63252110004</w:t>
      </w:r>
      <w:r w:rsidRPr="000549B1">
        <w:rPr>
          <w:rFonts w:hint="eastAsia"/>
          <w:kern w:val="0"/>
          <w:sz w:val="24"/>
          <w:szCs w:val="20"/>
        </w:rPr>
        <w:t>（共和县生态空间水源涵养重要区），</w:t>
      </w:r>
      <w:r w:rsidRPr="000549B1">
        <w:rPr>
          <w:rFonts w:hint="eastAsia"/>
          <w:kern w:val="0"/>
          <w:sz w:val="24"/>
          <w:szCs w:val="20"/>
        </w:rPr>
        <w:t>ZH63252130001</w:t>
      </w:r>
      <w:r w:rsidRPr="000549B1">
        <w:rPr>
          <w:rFonts w:hint="eastAsia"/>
          <w:kern w:val="0"/>
          <w:sz w:val="24"/>
          <w:szCs w:val="20"/>
        </w:rPr>
        <w:t>（共和县一般管控单元耕地），</w:t>
      </w:r>
      <w:r w:rsidRPr="000549B1">
        <w:rPr>
          <w:rFonts w:hint="eastAsia"/>
          <w:kern w:val="0"/>
          <w:sz w:val="24"/>
          <w:szCs w:val="20"/>
        </w:rPr>
        <w:t>ZH63252130002</w:t>
      </w:r>
      <w:r w:rsidRPr="000549B1">
        <w:rPr>
          <w:rFonts w:hint="eastAsia"/>
          <w:kern w:val="0"/>
          <w:sz w:val="24"/>
          <w:szCs w:val="20"/>
        </w:rPr>
        <w:t>（共和县一般管控单元）。本次沙珠玉河流域综合规划环境影响评价仅针对规划工程布局进行初步</w:t>
      </w:r>
      <w:r w:rsidRPr="000549B1">
        <w:rPr>
          <w:rFonts w:asciiTheme="minorEastAsia" w:eastAsiaTheme="minorEastAsia" w:hAnsiTheme="minorEastAsia" w:cstheme="minorEastAsia" w:hint="eastAsia"/>
          <w:kern w:val="0"/>
          <w:sz w:val="24"/>
          <w:szCs w:val="20"/>
        </w:rPr>
        <w:t>生态环境分区管控成果对照分析，作为工程设计阶段选址选线参考。具体工程设计阶段，应按照《中华人民共和国环境保护法》、《建设项目环境影响评价分类管理名录》等相关规定，进行环境影响评价手续，并核实区域“三线一单”</w:t>
      </w:r>
      <w:r w:rsidRPr="000549B1">
        <w:rPr>
          <w:rFonts w:hint="eastAsia"/>
          <w:kern w:val="0"/>
          <w:sz w:val="24"/>
          <w:szCs w:val="20"/>
        </w:rPr>
        <w:t>生态环境分区管控要求。规划工程布局涉及的环境管控单元和管控要求详见本报告第</w:t>
      </w:r>
      <w:r w:rsidRPr="000549B1">
        <w:rPr>
          <w:rFonts w:hint="eastAsia"/>
          <w:kern w:val="0"/>
          <w:sz w:val="24"/>
          <w:szCs w:val="20"/>
        </w:rPr>
        <w:t>2</w:t>
      </w:r>
      <w:r w:rsidRPr="000549B1">
        <w:rPr>
          <w:kern w:val="0"/>
          <w:sz w:val="24"/>
          <w:szCs w:val="20"/>
        </w:rPr>
        <w:t>.</w:t>
      </w:r>
      <w:r w:rsidRPr="000549B1">
        <w:rPr>
          <w:rFonts w:hint="eastAsia"/>
          <w:kern w:val="0"/>
          <w:sz w:val="24"/>
          <w:szCs w:val="20"/>
        </w:rPr>
        <w:t>2.5</w:t>
      </w:r>
      <w:r w:rsidRPr="000549B1">
        <w:rPr>
          <w:kern w:val="0"/>
          <w:sz w:val="24"/>
          <w:szCs w:val="20"/>
        </w:rPr>
        <w:t>.4</w:t>
      </w:r>
      <w:r w:rsidRPr="000549B1">
        <w:rPr>
          <w:rFonts w:hint="eastAsia"/>
          <w:kern w:val="0"/>
          <w:sz w:val="24"/>
          <w:szCs w:val="20"/>
        </w:rPr>
        <w:t>章节。</w:t>
      </w:r>
    </w:p>
    <w:p w14:paraId="755C6AF1" w14:textId="21B30A62" w:rsidR="00054437" w:rsidRPr="000549B1" w:rsidRDefault="007917B1" w:rsidP="007917B1">
      <w:pPr>
        <w:pStyle w:val="x"/>
      </w:pPr>
      <w:r w:rsidRPr="000549B1">
        <w:t>综上，</w:t>
      </w:r>
      <w:r w:rsidRPr="000549B1">
        <w:rPr>
          <w:rFonts w:hint="eastAsia"/>
        </w:rPr>
        <w:t>本次规划布局主要针对流域现状的防洪、水资源、生态环境等问题而设定，能够较好的解决各项现状问题，无环境制约性因素，各类环境风险可控，因此规划任务和布局基本合理。</w:t>
      </w:r>
    </w:p>
    <w:p w14:paraId="4CADF1FB" w14:textId="48269AD5" w:rsidR="00054437" w:rsidRPr="000549B1" w:rsidRDefault="00000000">
      <w:pPr>
        <w:pStyle w:val="Z4"/>
        <w:rPr>
          <w:color w:val="auto"/>
        </w:rPr>
      </w:pPr>
      <w:r w:rsidRPr="000549B1">
        <w:rPr>
          <w:rFonts w:hint="eastAsia"/>
          <w:color w:val="auto"/>
        </w:rPr>
        <w:t>重大工程选址</w:t>
      </w:r>
      <w:r w:rsidRPr="000549B1">
        <w:rPr>
          <w:color w:val="auto"/>
        </w:rPr>
        <w:t>的环境合理性</w:t>
      </w:r>
    </w:p>
    <w:p w14:paraId="0CFD7726" w14:textId="77777777" w:rsidR="00054437" w:rsidRPr="000549B1" w:rsidRDefault="00000000">
      <w:pPr>
        <w:pStyle w:val="x"/>
        <w:rPr>
          <w:rFonts w:eastAsiaTheme="minorEastAsia"/>
          <w:bCs/>
        </w:rPr>
      </w:pPr>
      <w:bookmarkStart w:id="434" w:name="OLE_LINK7"/>
      <w:r w:rsidRPr="000549B1">
        <w:rPr>
          <w:rFonts w:hint="eastAsia"/>
        </w:rPr>
        <w:t>规划三滩引水生态综合治理一期工程</w:t>
      </w:r>
      <w:bookmarkEnd w:id="434"/>
      <w:r w:rsidRPr="000549B1">
        <w:rPr>
          <w:rFonts w:hint="eastAsia"/>
        </w:rPr>
        <w:t>涉及大河坝河流域和沙珠玉河流域，其中大河坝河流域为工程的水源区、沙珠玉河流域为受水区，规划</w:t>
      </w:r>
      <w:r w:rsidRPr="000549B1">
        <w:rPr>
          <w:rFonts w:eastAsiaTheme="minorEastAsia"/>
          <w:bCs/>
        </w:rPr>
        <w:t>工程自大河坝河上新建的大河坝取水口引水，通过大河坝河输水洞将大河坝河水量引入切吉河上游，经新建的大河坝水库调节引入水量和当地径流量以满足项目区生活工业、灌溉等用水需求。</w:t>
      </w:r>
    </w:p>
    <w:p w14:paraId="5CDE3E27" w14:textId="77777777" w:rsidR="00054437" w:rsidRPr="000549B1" w:rsidRDefault="00000000">
      <w:pPr>
        <w:pStyle w:val="x"/>
      </w:pPr>
      <w:r w:rsidRPr="000549B1">
        <w:rPr>
          <w:rFonts w:hint="eastAsia"/>
        </w:rPr>
        <w:t>规划工程由大河坝取水口、输水洞、大河坝水库和灌区工程组成。工程总布置是在水塔拉和青根河汇合口下游直线距离约</w:t>
      </w:r>
      <w:r w:rsidRPr="000549B1">
        <w:t>3.7km</w:t>
      </w:r>
      <w:r w:rsidRPr="000549B1">
        <w:rPr>
          <w:rFonts w:hint="eastAsia"/>
        </w:rPr>
        <w:t>处的大河坝河上新建大河坝取水口，在切吉水库坝址上游</w:t>
      </w:r>
      <w:r w:rsidRPr="000549B1">
        <w:t>2km</w:t>
      </w:r>
      <w:r w:rsidRPr="000549B1">
        <w:rPr>
          <w:rFonts w:hint="eastAsia"/>
        </w:rPr>
        <w:t>位置新建大河坝水库，通过大河坝取水口左岸的输水洞跨过黄清河、穿过共玉高速和</w:t>
      </w:r>
      <w:r w:rsidRPr="000549B1">
        <w:t>214</w:t>
      </w:r>
      <w:r w:rsidRPr="000549B1">
        <w:rPr>
          <w:rFonts w:hint="eastAsia"/>
        </w:rPr>
        <w:t>国道及河卡山，将水从大河坝河输送至切吉河上游，利用自然河道注入大河坝水库，调蓄后通过水库供水工程输水至下游受水区。</w:t>
      </w:r>
    </w:p>
    <w:p w14:paraId="34AB97D8" w14:textId="77777777" w:rsidR="00054437" w:rsidRPr="000549B1" w:rsidRDefault="00000000">
      <w:pPr>
        <w:pStyle w:val="x"/>
      </w:pPr>
      <w:r w:rsidRPr="000549B1">
        <w:rPr>
          <w:rFonts w:hint="eastAsia"/>
        </w:rPr>
        <w:t>工程建成后将形成以“三滩”引水生态综合治理工程为主体，其他水源为重要支撑，覆盖全局、互联互通、优化高效、保障可靠的水资源配置骨架网络。从根本上解决未来青海省泛共和盆地经济社会发展面临的缺水问题，实现水资源优化配置。经预测分析，工程建设不会对沙珠玉河流域水资源、水环境等造成不利影响；经识别，沙珠玉河流域内本次规划的重大工程建设内容，均不涉及生态保护红线和环境敏感区，不存在环境制约因素。</w:t>
      </w:r>
    </w:p>
    <w:p w14:paraId="52E22B38" w14:textId="77777777" w:rsidR="00054437" w:rsidRPr="000549B1" w:rsidRDefault="00000000">
      <w:pPr>
        <w:pStyle w:val="x"/>
        <w:rPr>
          <w:rFonts w:eastAsiaTheme="minorEastAsia"/>
          <w:bCs/>
        </w:rPr>
      </w:pPr>
      <w:r w:rsidRPr="000549B1">
        <w:rPr>
          <w:rFonts w:hint="eastAsia"/>
        </w:rPr>
        <w:t>因此，从环境保护角度分析，规划重大工程的选址合理。</w:t>
      </w:r>
    </w:p>
    <w:p w14:paraId="39BBB0B3" w14:textId="427C5637" w:rsidR="00054437" w:rsidRPr="000549B1" w:rsidRDefault="00000000">
      <w:pPr>
        <w:pStyle w:val="zhang3"/>
        <w:spacing w:before="156" w:after="156"/>
      </w:pPr>
      <w:r w:rsidRPr="000549B1">
        <w:t>规划规模</w:t>
      </w:r>
      <w:r w:rsidRPr="000549B1">
        <w:rPr>
          <w:rFonts w:hint="eastAsia"/>
        </w:rPr>
        <w:t>和重大工程规模</w:t>
      </w:r>
      <w:r w:rsidRPr="000549B1">
        <w:t>的环境合理性</w:t>
      </w:r>
    </w:p>
    <w:p w14:paraId="09771660" w14:textId="77777777" w:rsidR="00054437" w:rsidRPr="000549B1" w:rsidRDefault="00000000">
      <w:pPr>
        <w:pStyle w:val="Z4"/>
        <w:rPr>
          <w:color w:val="auto"/>
        </w:rPr>
      </w:pPr>
      <w:r w:rsidRPr="000549B1">
        <w:rPr>
          <w:color w:val="auto"/>
        </w:rPr>
        <w:t>规划</w:t>
      </w:r>
      <w:r w:rsidRPr="000549B1">
        <w:rPr>
          <w:rFonts w:hint="eastAsia"/>
          <w:color w:val="auto"/>
        </w:rPr>
        <w:t>规模</w:t>
      </w:r>
      <w:r w:rsidRPr="000549B1">
        <w:rPr>
          <w:color w:val="auto"/>
        </w:rPr>
        <w:t>的环境合理性</w:t>
      </w:r>
    </w:p>
    <w:p w14:paraId="79BD0D61" w14:textId="0A787070" w:rsidR="00054437" w:rsidRPr="000549B1" w:rsidRDefault="007917B1">
      <w:pPr>
        <w:pStyle w:val="x"/>
      </w:pPr>
      <w:r w:rsidRPr="000549B1">
        <w:rPr>
          <w:rFonts w:hint="eastAsia"/>
        </w:rPr>
        <w:t>本次</w:t>
      </w:r>
      <w:r w:rsidRPr="000549B1">
        <w:t>规划拟</w:t>
      </w:r>
      <w:r w:rsidRPr="000549B1">
        <w:rPr>
          <w:rFonts w:hint="eastAsia"/>
        </w:rPr>
        <w:t>建</w:t>
      </w:r>
      <w:r w:rsidRPr="000549B1">
        <w:t>的</w:t>
      </w:r>
      <w:r w:rsidRPr="000549B1">
        <w:rPr>
          <w:rFonts w:hint="eastAsia"/>
        </w:rPr>
        <w:t>重大引调水</w:t>
      </w:r>
      <w:r w:rsidRPr="000549B1">
        <w:t>工程、水资源配置工程、</w:t>
      </w:r>
      <w:r w:rsidRPr="000549B1">
        <w:rPr>
          <w:rFonts w:hint="eastAsia"/>
        </w:rPr>
        <w:t>灌区节水配套工程、</w:t>
      </w:r>
      <w:r w:rsidRPr="000549B1">
        <w:t>防洪治理工程</w:t>
      </w:r>
      <w:r w:rsidRPr="000549B1">
        <w:rPr>
          <w:rFonts w:hint="eastAsia"/>
        </w:rPr>
        <w:t>、水资源保护与水生态修复</w:t>
      </w:r>
      <w:r w:rsidRPr="000549B1">
        <w:t>等</w:t>
      </w:r>
      <w:r w:rsidRPr="000549B1">
        <w:rPr>
          <w:rFonts w:hint="eastAsia"/>
        </w:rPr>
        <w:t>重点水利工程</w:t>
      </w:r>
      <w:r w:rsidRPr="000549B1">
        <w:t>能够有效解决流域现状及规划水平年（</w:t>
      </w:r>
      <w:r w:rsidRPr="000549B1">
        <w:t>2035</w:t>
      </w:r>
      <w:r w:rsidRPr="000549B1">
        <w:t>年）的防洪安全和水资源供需问题，</w:t>
      </w:r>
      <w:r w:rsidRPr="000549B1">
        <w:rPr>
          <w:rFonts w:hint="eastAsia"/>
        </w:rPr>
        <w:t>保证</w:t>
      </w:r>
      <w:r w:rsidRPr="000549B1">
        <w:t>河道控制断面的生态流量</w:t>
      </w:r>
      <w:r w:rsidRPr="000549B1">
        <w:rPr>
          <w:rFonts w:hint="eastAsia"/>
        </w:rPr>
        <w:t>和满足流域生态修复需求，规划实施不会对水文情势、水环境等产生不利影响；</w:t>
      </w:r>
      <w:r w:rsidRPr="000549B1">
        <w:rPr>
          <w:rFonts w:hint="eastAsia"/>
          <w:szCs w:val="24"/>
          <w:lang w:bidi="ar"/>
        </w:rPr>
        <w:t>沙珠玉河流域水资源总量为</w:t>
      </w:r>
      <w:r w:rsidRPr="000549B1">
        <w:rPr>
          <w:rFonts w:hint="eastAsia"/>
          <w:szCs w:val="24"/>
          <w:lang w:bidi="ar"/>
        </w:rPr>
        <w:t>2.9</w:t>
      </w:r>
      <w:r w:rsidRPr="000549B1">
        <w:rPr>
          <w:rFonts w:hint="eastAsia"/>
          <w:szCs w:val="24"/>
          <w:lang w:bidi="ar"/>
        </w:rPr>
        <w:t>亿</w:t>
      </w:r>
      <w:r w:rsidRPr="000549B1">
        <w:rPr>
          <w:rFonts w:hint="eastAsia"/>
          <w:szCs w:val="24"/>
          <w:lang w:bidi="ar"/>
        </w:rPr>
        <w:t>m</w:t>
      </w:r>
      <w:r w:rsidRPr="000549B1">
        <w:rPr>
          <w:szCs w:val="24"/>
          <w:vertAlign w:val="superscript"/>
          <w:lang w:bidi="ar"/>
        </w:rPr>
        <w:t>3</w:t>
      </w:r>
      <w:r w:rsidRPr="000549B1">
        <w:rPr>
          <w:rFonts w:hint="eastAsia"/>
        </w:rPr>
        <w:t>，规划明确到</w:t>
      </w:r>
      <w:r w:rsidRPr="000549B1">
        <w:rPr>
          <w:rFonts w:hint="eastAsia"/>
        </w:rPr>
        <w:t>2035</w:t>
      </w:r>
      <w:r w:rsidRPr="000549B1">
        <w:rPr>
          <w:rFonts w:hint="eastAsia"/>
        </w:rPr>
        <w:t>年全流域年用水总量约</w:t>
      </w:r>
      <w:r w:rsidRPr="000549B1">
        <w:rPr>
          <w:bCs/>
        </w:rPr>
        <w:t>16082</w:t>
      </w:r>
      <w:r w:rsidRPr="000549B1">
        <w:rPr>
          <w:rFonts w:hint="eastAsia"/>
          <w:bCs/>
        </w:rPr>
        <w:t>万</w:t>
      </w:r>
      <w:r w:rsidRPr="000549B1">
        <w:rPr>
          <w:bCs/>
        </w:rPr>
        <w:t>m</w:t>
      </w:r>
      <w:r w:rsidRPr="000549B1">
        <w:rPr>
          <w:vertAlign w:val="superscript"/>
        </w:rPr>
        <w:t>3</w:t>
      </w:r>
      <w:r w:rsidRPr="000549B1">
        <w:rPr>
          <w:rFonts w:hint="eastAsia"/>
        </w:rPr>
        <w:t>，其中本地水</w:t>
      </w:r>
      <w:r w:rsidRPr="000549B1">
        <w:t>8320</w:t>
      </w:r>
      <w:r w:rsidRPr="000549B1">
        <w:rPr>
          <w:rFonts w:hint="eastAsia"/>
        </w:rPr>
        <w:t>万</w:t>
      </w:r>
      <w:r w:rsidRPr="000549B1">
        <w:t>m</w:t>
      </w:r>
      <w:r w:rsidRPr="000549B1">
        <w:rPr>
          <w:vertAlign w:val="superscript"/>
        </w:rPr>
        <w:t>3</w:t>
      </w:r>
      <w:r w:rsidRPr="000549B1">
        <w:rPr>
          <w:rFonts w:hint="eastAsia"/>
        </w:rPr>
        <w:t>（包括地表水</w:t>
      </w:r>
      <w:r w:rsidRPr="000549B1">
        <w:t>8287</w:t>
      </w:r>
      <w:r w:rsidRPr="000549B1">
        <w:rPr>
          <w:rFonts w:hint="eastAsia"/>
        </w:rPr>
        <w:t>万</w:t>
      </w:r>
      <w:r w:rsidRPr="000549B1">
        <w:rPr>
          <w:rFonts w:hint="eastAsia"/>
        </w:rPr>
        <w:t>m</w:t>
      </w:r>
      <w:r w:rsidRPr="000549B1">
        <w:rPr>
          <w:vertAlign w:val="superscript"/>
        </w:rPr>
        <w:t>3</w:t>
      </w:r>
      <w:r w:rsidRPr="000549B1">
        <w:rPr>
          <w:rFonts w:hint="eastAsia"/>
        </w:rPr>
        <w:t>、地下水</w:t>
      </w:r>
      <w:r w:rsidRPr="000549B1">
        <w:t>33</w:t>
      </w:r>
      <w:r w:rsidRPr="000549B1">
        <w:rPr>
          <w:rFonts w:hint="eastAsia"/>
        </w:rPr>
        <w:t>万</w:t>
      </w:r>
      <w:r w:rsidRPr="000549B1">
        <w:rPr>
          <w:rFonts w:hint="eastAsia"/>
        </w:rPr>
        <w:t>m</w:t>
      </w:r>
      <w:r w:rsidRPr="000549B1">
        <w:rPr>
          <w:vertAlign w:val="superscript"/>
        </w:rPr>
        <w:t>3</w:t>
      </w:r>
      <w:r w:rsidRPr="000549B1">
        <w:rPr>
          <w:rFonts w:hint="eastAsia"/>
        </w:rPr>
        <w:t>）、外调水</w:t>
      </w:r>
      <w:r w:rsidRPr="000549B1">
        <w:t>7762</w:t>
      </w:r>
      <w:r w:rsidRPr="000549B1">
        <w:rPr>
          <w:rFonts w:hint="eastAsia"/>
        </w:rPr>
        <w:t>万</w:t>
      </w:r>
      <w:r w:rsidRPr="000549B1">
        <w:rPr>
          <w:rFonts w:hint="eastAsia"/>
        </w:rPr>
        <w:t>m</w:t>
      </w:r>
      <w:r w:rsidRPr="000549B1">
        <w:rPr>
          <w:vertAlign w:val="superscript"/>
        </w:rPr>
        <w:t>3</w:t>
      </w:r>
      <w:r w:rsidRPr="000549B1">
        <w:rPr>
          <w:rFonts w:hint="eastAsia"/>
        </w:rPr>
        <w:t>，规划年沙珠玉河</w:t>
      </w:r>
      <w:r w:rsidRPr="000549B1">
        <w:rPr>
          <w:rFonts w:ascii="宋体" w:hAnsi="宋体" w:cs="宋体" w:hint="eastAsia"/>
          <w:szCs w:val="24"/>
          <w:lang w:bidi="ar"/>
        </w:rPr>
        <w:t>流域总体水资源开发利用率约</w:t>
      </w:r>
      <w:r w:rsidRPr="000549B1">
        <w:rPr>
          <w:szCs w:val="24"/>
          <w:lang w:bidi="ar"/>
        </w:rPr>
        <w:t>28.69%</w:t>
      </w:r>
      <w:r w:rsidRPr="000549B1">
        <w:rPr>
          <w:rFonts w:hint="eastAsia"/>
          <w:szCs w:val="24"/>
          <w:lang w:bidi="ar"/>
        </w:rPr>
        <w:t>，</w:t>
      </w:r>
      <w:r w:rsidRPr="000549B1">
        <w:rPr>
          <w:rFonts w:ascii="宋体" w:hAnsi="宋体" w:cs="宋体" w:hint="eastAsia"/>
          <w:szCs w:val="24"/>
          <w:lang w:bidi="ar"/>
        </w:rPr>
        <w:t>小于控制目标</w:t>
      </w:r>
      <w:r w:rsidRPr="000549B1">
        <w:rPr>
          <w:szCs w:val="24"/>
          <w:lang w:bidi="ar"/>
        </w:rPr>
        <w:t>40%</w:t>
      </w:r>
      <w:r w:rsidRPr="000549B1">
        <w:rPr>
          <w:rFonts w:hint="eastAsia"/>
          <w:szCs w:val="24"/>
          <w:lang w:bidi="ar"/>
        </w:rPr>
        <w:t>，即小于国际上公认的</w:t>
      </w:r>
      <w:r w:rsidRPr="000549B1">
        <w:rPr>
          <w:szCs w:val="24"/>
          <w:lang w:bidi="ar"/>
        </w:rPr>
        <w:t>40%</w:t>
      </w:r>
      <w:r w:rsidRPr="000549B1">
        <w:rPr>
          <w:rFonts w:hint="eastAsia"/>
          <w:szCs w:val="24"/>
          <w:lang w:bidi="ar"/>
        </w:rPr>
        <w:t>高强度开发警戒线</w:t>
      </w:r>
      <w:r w:rsidRPr="000549B1">
        <w:rPr>
          <w:rFonts w:ascii="宋体" w:hAnsi="宋体" w:cs="宋体" w:hint="eastAsia"/>
          <w:szCs w:val="24"/>
          <w:lang w:bidi="ar"/>
        </w:rPr>
        <w:t>。</w:t>
      </w:r>
      <w:r w:rsidRPr="000549B1">
        <w:t>因此，从生态环境角度分析，本次规划的总体规模是环境合理、可行的。</w:t>
      </w:r>
    </w:p>
    <w:p w14:paraId="10C5C178" w14:textId="5FD11F27" w:rsidR="00054437" w:rsidRPr="000549B1" w:rsidRDefault="00000000">
      <w:pPr>
        <w:pStyle w:val="Z4"/>
        <w:rPr>
          <w:color w:val="auto"/>
        </w:rPr>
      </w:pPr>
      <w:r w:rsidRPr="000549B1">
        <w:rPr>
          <w:rFonts w:hint="eastAsia"/>
          <w:color w:val="auto"/>
        </w:rPr>
        <w:t>重大工程规模</w:t>
      </w:r>
      <w:r w:rsidRPr="000549B1">
        <w:rPr>
          <w:color w:val="auto"/>
        </w:rPr>
        <w:t>的环境合理性</w:t>
      </w:r>
    </w:p>
    <w:p w14:paraId="41195AB6" w14:textId="77777777" w:rsidR="007917B1" w:rsidRPr="000549B1" w:rsidRDefault="007917B1" w:rsidP="007917B1">
      <w:pPr>
        <w:pStyle w:val="x"/>
        <w:rPr>
          <w:bCs/>
          <w:szCs w:val="24"/>
        </w:rPr>
      </w:pPr>
      <w:r w:rsidRPr="000549B1">
        <w:rPr>
          <w:rFonts w:hint="eastAsia"/>
        </w:rPr>
        <w:t>规划三滩引水生态综合治理一期工程开发任务以农田灌溉和饲草料基地灌溉为主，兼顾共和县城工业生活用水，并为改善沿线乡镇生活供水创造条件。大河坝水库为三滩引水生态综合治理一期工程的水源工程。供水对象包括</w:t>
      </w:r>
      <w:r w:rsidRPr="000549B1">
        <w:rPr>
          <w:rFonts w:hint="eastAsia"/>
        </w:rPr>
        <w:t>59.4</w:t>
      </w:r>
      <w:r w:rsidRPr="000549B1">
        <w:rPr>
          <w:rFonts w:hint="eastAsia"/>
        </w:rPr>
        <w:t>万亩灌区，共和县城工业生活供水及沿线</w:t>
      </w:r>
      <w:r w:rsidRPr="000549B1">
        <w:rPr>
          <w:rFonts w:hint="eastAsia"/>
        </w:rPr>
        <w:t>3.8</w:t>
      </w:r>
      <w:r w:rsidRPr="000549B1">
        <w:rPr>
          <w:rFonts w:hint="eastAsia"/>
        </w:rPr>
        <w:t>万人生活用水。</w:t>
      </w:r>
      <w:r w:rsidRPr="000549B1">
        <w:rPr>
          <w:rFonts w:hint="eastAsia"/>
          <w:bCs/>
          <w:szCs w:val="24"/>
        </w:rPr>
        <w:t>大河坝取水口为无坝取水型式，取水闸设计流量与输水洞相同，均为</w:t>
      </w:r>
      <w:r w:rsidRPr="000549B1">
        <w:rPr>
          <w:rFonts w:hint="eastAsia"/>
          <w:bCs/>
          <w:szCs w:val="24"/>
        </w:rPr>
        <w:t>16.0m</w:t>
      </w:r>
      <w:r w:rsidRPr="000549B1">
        <w:rPr>
          <w:bCs/>
          <w:szCs w:val="24"/>
          <w:vertAlign w:val="superscript"/>
        </w:rPr>
        <w:t>3</w:t>
      </w:r>
      <w:r w:rsidRPr="000549B1">
        <w:rPr>
          <w:rFonts w:hint="eastAsia"/>
          <w:bCs/>
          <w:szCs w:val="24"/>
        </w:rPr>
        <w:t>/s</w:t>
      </w:r>
      <w:r w:rsidRPr="000549B1">
        <w:rPr>
          <w:rFonts w:hint="eastAsia"/>
          <w:bCs/>
          <w:szCs w:val="24"/>
        </w:rPr>
        <w:t>。</w:t>
      </w:r>
      <w:bookmarkStart w:id="435" w:name="_Toc293569892"/>
      <w:r w:rsidRPr="000549B1">
        <w:rPr>
          <w:rFonts w:hint="eastAsia"/>
          <w:bCs/>
          <w:szCs w:val="24"/>
        </w:rPr>
        <w:t>大河坝水库</w:t>
      </w:r>
      <w:r w:rsidRPr="000549B1">
        <w:rPr>
          <w:rFonts w:hint="eastAsia"/>
          <w:bCs/>
        </w:rPr>
        <w:t>死水位</w:t>
      </w:r>
      <w:r w:rsidRPr="000549B1">
        <w:rPr>
          <w:rFonts w:hint="eastAsia"/>
          <w:bCs/>
        </w:rPr>
        <w:t>3305</w:t>
      </w:r>
      <w:r w:rsidRPr="000549B1">
        <w:rPr>
          <w:bCs/>
        </w:rPr>
        <w:t>m</w:t>
      </w:r>
      <w:r w:rsidRPr="000549B1">
        <w:rPr>
          <w:rFonts w:hint="eastAsia"/>
          <w:bCs/>
        </w:rPr>
        <w:t>，正常蓄水位</w:t>
      </w:r>
      <w:r w:rsidRPr="000549B1">
        <w:rPr>
          <w:rFonts w:hint="eastAsia"/>
          <w:bCs/>
        </w:rPr>
        <w:t>3343</w:t>
      </w:r>
      <w:r w:rsidRPr="000549B1">
        <w:rPr>
          <w:bCs/>
        </w:rPr>
        <w:t>m</w:t>
      </w:r>
      <w:r w:rsidRPr="000549B1">
        <w:rPr>
          <w:rFonts w:hint="eastAsia"/>
          <w:bCs/>
        </w:rPr>
        <w:t>，兴利库容</w:t>
      </w:r>
      <w:r w:rsidRPr="000549B1">
        <w:rPr>
          <w:rFonts w:hint="eastAsia"/>
          <w:bCs/>
        </w:rPr>
        <w:t>6354</w:t>
      </w:r>
      <w:r w:rsidRPr="000549B1">
        <w:rPr>
          <w:rFonts w:hint="eastAsia"/>
          <w:bCs/>
        </w:rPr>
        <w:t>万</w:t>
      </w:r>
      <w:r w:rsidRPr="000549B1">
        <w:rPr>
          <w:rFonts w:hint="eastAsia"/>
          <w:bCs/>
        </w:rPr>
        <w:t>m</w:t>
      </w:r>
      <w:r w:rsidRPr="000549B1">
        <w:rPr>
          <w:bCs/>
          <w:vertAlign w:val="superscript"/>
        </w:rPr>
        <w:t>3</w:t>
      </w:r>
      <w:r w:rsidRPr="000549B1">
        <w:rPr>
          <w:rFonts w:hint="eastAsia"/>
          <w:bCs/>
        </w:rPr>
        <w:t>。</w:t>
      </w:r>
      <w:bookmarkEnd w:id="435"/>
      <w:r w:rsidRPr="000549B1">
        <w:rPr>
          <w:rFonts w:hint="eastAsia"/>
          <w:bCs/>
          <w:szCs w:val="24"/>
        </w:rPr>
        <w:t>采用</w:t>
      </w:r>
      <w:r w:rsidRPr="000549B1">
        <w:rPr>
          <w:rFonts w:hint="eastAsia"/>
          <w:bCs/>
          <w:szCs w:val="24"/>
        </w:rPr>
        <w:t>100</w:t>
      </w:r>
      <w:r w:rsidRPr="000549B1">
        <w:rPr>
          <w:rFonts w:hint="eastAsia"/>
          <w:bCs/>
          <w:szCs w:val="24"/>
        </w:rPr>
        <w:t>年一遇及</w:t>
      </w:r>
      <w:r w:rsidRPr="000549B1">
        <w:rPr>
          <w:rFonts w:hint="eastAsia"/>
          <w:bCs/>
          <w:szCs w:val="24"/>
        </w:rPr>
        <w:t>2000</w:t>
      </w:r>
      <w:r w:rsidRPr="000549B1">
        <w:rPr>
          <w:rFonts w:hint="eastAsia"/>
          <w:bCs/>
          <w:szCs w:val="24"/>
        </w:rPr>
        <w:t>年一遇洪水过程线进行调洪计算，相应大河坝水库设计洪水位</w:t>
      </w:r>
      <w:r w:rsidRPr="000549B1">
        <w:rPr>
          <w:rFonts w:hint="eastAsia"/>
          <w:bCs/>
          <w:szCs w:val="24"/>
        </w:rPr>
        <w:t>3343.98m</w:t>
      </w:r>
      <w:r w:rsidRPr="000549B1">
        <w:rPr>
          <w:rFonts w:hint="eastAsia"/>
          <w:bCs/>
          <w:szCs w:val="24"/>
        </w:rPr>
        <w:t>，校核洪水位</w:t>
      </w:r>
      <w:r w:rsidRPr="000549B1">
        <w:rPr>
          <w:rFonts w:hint="eastAsia"/>
          <w:bCs/>
          <w:szCs w:val="24"/>
        </w:rPr>
        <w:t>3344.82m</w:t>
      </w:r>
      <w:r w:rsidRPr="000549B1">
        <w:rPr>
          <w:rFonts w:hint="eastAsia"/>
          <w:bCs/>
          <w:szCs w:val="24"/>
        </w:rPr>
        <w:t>。</w:t>
      </w:r>
    </w:p>
    <w:p w14:paraId="04B9DCAD" w14:textId="77777777" w:rsidR="007917B1" w:rsidRPr="000549B1" w:rsidRDefault="007917B1" w:rsidP="007917B1">
      <w:pPr>
        <w:spacing w:line="360" w:lineRule="auto"/>
        <w:ind w:firstLine="482"/>
        <w:rPr>
          <w:rFonts w:eastAsiaTheme="minorEastAsia"/>
          <w:bCs/>
          <w:sz w:val="24"/>
          <w:szCs w:val="24"/>
        </w:rPr>
      </w:pPr>
      <w:r w:rsidRPr="000549B1">
        <w:rPr>
          <w:rFonts w:asciiTheme="minorEastAsia" w:eastAsiaTheme="minorEastAsia" w:hAnsiTheme="minorEastAsia" w:cstheme="minorEastAsia" w:hint="eastAsia"/>
          <w:bCs/>
          <w:sz w:val="24"/>
          <w:szCs w:val="24"/>
        </w:rPr>
        <w:t>规划“三滩”</w:t>
      </w:r>
      <w:r w:rsidRPr="000549B1">
        <w:rPr>
          <w:rFonts w:eastAsiaTheme="minorEastAsia" w:hint="eastAsia"/>
          <w:bCs/>
          <w:sz w:val="24"/>
          <w:szCs w:val="24"/>
        </w:rPr>
        <w:t>引水生态综合治理一期工程项目区行政区域涉及青海省海南藏族自治州共和县、兴海县，总面积</w:t>
      </w:r>
      <w:r w:rsidRPr="000549B1">
        <w:rPr>
          <w:rFonts w:eastAsiaTheme="minorEastAsia" w:hint="eastAsia"/>
          <w:bCs/>
          <w:sz w:val="24"/>
          <w:szCs w:val="24"/>
        </w:rPr>
        <w:t>2.88</w:t>
      </w:r>
      <w:r w:rsidRPr="000549B1">
        <w:rPr>
          <w:rFonts w:eastAsiaTheme="minorEastAsia" w:hint="eastAsia"/>
          <w:bCs/>
          <w:sz w:val="24"/>
          <w:szCs w:val="24"/>
        </w:rPr>
        <w:t>万</w:t>
      </w:r>
      <w:r w:rsidRPr="000549B1">
        <w:rPr>
          <w:rFonts w:eastAsiaTheme="minorEastAsia" w:hint="eastAsia"/>
          <w:bCs/>
          <w:sz w:val="24"/>
          <w:szCs w:val="24"/>
        </w:rPr>
        <w:t>km</w:t>
      </w:r>
      <w:r w:rsidRPr="000549B1">
        <w:rPr>
          <w:rFonts w:eastAsiaTheme="minorEastAsia"/>
          <w:bCs/>
          <w:sz w:val="24"/>
          <w:szCs w:val="24"/>
          <w:vertAlign w:val="superscript"/>
        </w:rPr>
        <w:t>2</w:t>
      </w:r>
      <w:r w:rsidRPr="000549B1">
        <w:rPr>
          <w:rFonts w:eastAsiaTheme="minorEastAsia" w:hint="eastAsia"/>
          <w:bCs/>
          <w:sz w:val="24"/>
          <w:szCs w:val="24"/>
        </w:rPr>
        <w:t>，工程任务以农田灌溉和饲草料基地灌溉为主，兼顾共和县城工业生活用水，并为改善沿线乡镇生活供水创造条件。一期工程包括水源工程、输配水工程和灌区改造工程。供水对象包括</w:t>
      </w:r>
      <w:r w:rsidRPr="000549B1">
        <w:rPr>
          <w:rFonts w:eastAsiaTheme="minorEastAsia" w:hint="eastAsia"/>
          <w:bCs/>
          <w:sz w:val="24"/>
          <w:szCs w:val="24"/>
        </w:rPr>
        <w:t>69.2</w:t>
      </w:r>
      <w:r w:rsidRPr="000549B1">
        <w:rPr>
          <w:rFonts w:eastAsiaTheme="minorEastAsia" w:hint="eastAsia"/>
          <w:bCs/>
          <w:sz w:val="24"/>
          <w:szCs w:val="24"/>
        </w:rPr>
        <w:t>万亩灌区，共和县城工业生活供水及沿线乡镇生活用水，其中灌区包括</w:t>
      </w:r>
      <w:r w:rsidRPr="000549B1">
        <w:rPr>
          <w:rFonts w:eastAsiaTheme="minorEastAsia" w:hint="eastAsia"/>
          <w:bCs/>
          <w:sz w:val="24"/>
          <w:szCs w:val="24"/>
        </w:rPr>
        <w:t>21.2</w:t>
      </w:r>
      <w:r w:rsidRPr="000549B1">
        <w:rPr>
          <w:rFonts w:eastAsiaTheme="minorEastAsia" w:hint="eastAsia"/>
          <w:bCs/>
          <w:sz w:val="24"/>
          <w:szCs w:val="24"/>
        </w:rPr>
        <w:t>万亩农田和</w:t>
      </w:r>
      <w:r w:rsidRPr="000549B1">
        <w:rPr>
          <w:rFonts w:eastAsiaTheme="minorEastAsia" w:hint="eastAsia"/>
          <w:bCs/>
          <w:sz w:val="24"/>
          <w:szCs w:val="24"/>
        </w:rPr>
        <w:t>48.0</w:t>
      </w:r>
      <w:r w:rsidRPr="000549B1">
        <w:rPr>
          <w:rFonts w:eastAsiaTheme="minorEastAsia" w:hint="eastAsia"/>
          <w:bCs/>
          <w:sz w:val="24"/>
          <w:szCs w:val="24"/>
        </w:rPr>
        <w:t>万亩林草（其中林地</w:t>
      </w:r>
      <w:r w:rsidRPr="000549B1">
        <w:rPr>
          <w:rFonts w:eastAsiaTheme="minorEastAsia" w:hint="eastAsia"/>
          <w:bCs/>
          <w:sz w:val="24"/>
          <w:szCs w:val="24"/>
        </w:rPr>
        <w:t>1.5</w:t>
      </w:r>
      <w:r w:rsidRPr="000549B1">
        <w:rPr>
          <w:rFonts w:eastAsiaTheme="minorEastAsia" w:hint="eastAsia"/>
          <w:bCs/>
          <w:sz w:val="24"/>
          <w:szCs w:val="24"/>
        </w:rPr>
        <w:t>万亩、草地</w:t>
      </w:r>
      <w:r w:rsidRPr="000549B1">
        <w:rPr>
          <w:rFonts w:eastAsiaTheme="minorEastAsia" w:hint="eastAsia"/>
          <w:bCs/>
          <w:sz w:val="24"/>
          <w:szCs w:val="24"/>
        </w:rPr>
        <w:t>46.5</w:t>
      </w:r>
      <w:r w:rsidRPr="000549B1">
        <w:rPr>
          <w:rFonts w:eastAsiaTheme="minorEastAsia" w:hint="eastAsia"/>
          <w:bCs/>
          <w:sz w:val="24"/>
          <w:szCs w:val="24"/>
        </w:rPr>
        <w:t>万亩）。水库多年平均供水量</w:t>
      </w:r>
      <w:r w:rsidRPr="000549B1">
        <w:rPr>
          <w:rFonts w:eastAsiaTheme="minorEastAsia" w:hint="eastAsia"/>
          <w:bCs/>
          <w:sz w:val="24"/>
          <w:szCs w:val="24"/>
        </w:rPr>
        <w:t>10230</w:t>
      </w:r>
      <w:r w:rsidRPr="000549B1">
        <w:rPr>
          <w:rFonts w:eastAsiaTheme="minorEastAsia" w:hint="eastAsia"/>
          <w:bCs/>
          <w:sz w:val="24"/>
          <w:szCs w:val="24"/>
        </w:rPr>
        <w:t>万</w:t>
      </w:r>
      <w:r w:rsidRPr="000549B1">
        <w:rPr>
          <w:rFonts w:eastAsiaTheme="minorEastAsia" w:hint="eastAsia"/>
          <w:bCs/>
          <w:sz w:val="24"/>
          <w:szCs w:val="24"/>
        </w:rPr>
        <w:t>m</w:t>
      </w:r>
      <w:r w:rsidRPr="000549B1">
        <w:rPr>
          <w:rFonts w:eastAsiaTheme="minorEastAsia" w:hint="eastAsia"/>
          <w:bCs/>
          <w:sz w:val="24"/>
          <w:szCs w:val="24"/>
        </w:rPr>
        <w:t>³，其中农田常规灌溉供水量</w:t>
      </w:r>
      <w:r w:rsidRPr="000549B1">
        <w:rPr>
          <w:rFonts w:eastAsiaTheme="minorEastAsia" w:hint="eastAsia"/>
          <w:bCs/>
          <w:sz w:val="24"/>
          <w:szCs w:val="24"/>
        </w:rPr>
        <w:t>3788</w:t>
      </w:r>
      <w:r w:rsidRPr="000549B1">
        <w:rPr>
          <w:rFonts w:eastAsiaTheme="minorEastAsia" w:hint="eastAsia"/>
          <w:bCs/>
          <w:sz w:val="24"/>
          <w:szCs w:val="24"/>
        </w:rPr>
        <w:t>万</w:t>
      </w:r>
      <w:r w:rsidRPr="000549B1">
        <w:rPr>
          <w:rFonts w:eastAsiaTheme="minorEastAsia" w:hint="eastAsia"/>
          <w:bCs/>
          <w:sz w:val="24"/>
          <w:szCs w:val="24"/>
        </w:rPr>
        <w:t>m</w:t>
      </w:r>
      <w:r w:rsidRPr="000549B1">
        <w:rPr>
          <w:rFonts w:eastAsiaTheme="minorEastAsia" w:hint="eastAsia"/>
          <w:bCs/>
          <w:sz w:val="24"/>
          <w:szCs w:val="24"/>
        </w:rPr>
        <w:t>³、设计保证率</w:t>
      </w:r>
      <w:r w:rsidRPr="000549B1">
        <w:rPr>
          <w:rFonts w:eastAsiaTheme="minorEastAsia" w:hint="eastAsia"/>
          <w:bCs/>
          <w:sz w:val="24"/>
          <w:szCs w:val="24"/>
        </w:rPr>
        <w:t>75%</w:t>
      </w:r>
      <w:r w:rsidRPr="000549B1">
        <w:rPr>
          <w:rFonts w:eastAsiaTheme="minorEastAsia" w:hint="eastAsia"/>
          <w:bCs/>
          <w:sz w:val="24"/>
          <w:szCs w:val="24"/>
        </w:rPr>
        <w:t>；高效节水灌溉供水量</w:t>
      </w:r>
      <w:r w:rsidRPr="000549B1">
        <w:rPr>
          <w:rFonts w:eastAsiaTheme="minorEastAsia" w:hint="eastAsia"/>
          <w:bCs/>
          <w:sz w:val="24"/>
          <w:szCs w:val="24"/>
        </w:rPr>
        <w:t>5247</w:t>
      </w:r>
      <w:r w:rsidRPr="000549B1">
        <w:rPr>
          <w:rFonts w:eastAsiaTheme="minorEastAsia" w:hint="eastAsia"/>
          <w:bCs/>
          <w:sz w:val="24"/>
          <w:szCs w:val="24"/>
        </w:rPr>
        <w:t>万</w:t>
      </w:r>
      <w:r w:rsidRPr="000549B1">
        <w:rPr>
          <w:rFonts w:eastAsiaTheme="minorEastAsia" w:hint="eastAsia"/>
          <w:bCs/>
          <w:sz w:val="24"/>
          <w:szCs w:val="24"/>
        </w:rPr>
        <w:t>m</w:t>
      </w:r>
      <w:r w:rsidRPr="000549B1">
        <w:rPr>
          <w:rFonts w:eastAsiaTheme="minorEastAsia" w:hint="eastAsia"/>
          <w:bCs/>
          <w:sz w:val="24"/>
          <w:szCs w:val="24"/>
        </w:rPr>
        <w:t>³、农田和草地设计保证率分别为</w:t>
      </w:r>
      <w:r w:rsidRPr="000549B1">
        <w:rPr>
          <w:rFonts w:eastAsiaTheme="minorEastAsia" w:hint="eastAsia"/>
          <w:bCs/>
          <w:sz w:val="24"/>
          <w:szCs w:val="24"/>
        </w:rPr>
        <w:t>85%</w:t>
      </w:r>
      <w:r w:rsidRPr="000549B1">
        <w:rPr>
          <w:rFonts w:eastAsiaTheme="minorEastAsia" w:hint="eastAsia"/>
          <w:bCs/>
          <w:sz w:val="24"/>
          <w:szCs w:val="24"/>
        </w:rPr>
        <w:t>和</w:t>
      </w:r>
      <w:r w:rsidRPr="000549B1">
        <w:rPr>
          <w:rFonts w:eastAsiaTheme="minorEastAsia" w:hint="eastAsia"/>
          <w:bCs/>
          <w:sz w:val="24"/>
          <w:szCs w:val="24"/>
        </w:rPr>
        <w:t>75%</w:t>
      </w:r>
      <w:r w:rsidRPr="000549B1">
        <w:rPr>
          <w:rFonts w:eastAsiaTheme="minorEastAsia" w:hint="eastAsia"/>
          <w:bCs/>
          <w:sz w:val="24"/>
          <w:szCs w:val="24"/>
        </w:rPr>
        <w:t>；城乡生活和工业供水</w:t>
      </w:r>
      <w:r w:rsidRPr="000549B1">
        <w:rPr>
          <w:rFonts w:eastAsiaTheme="minorEastAsia" w:hint="eastAsia"/>
          <w:bCs/>
          <w:sz w:val="24"/>
          <w:szCs w:val="24"/>
        </w:rPr>
        <w:t>1195</w:t>
      </w:r>
      <w:r w:rsidRPr="000549B1">
        <w:rPr>
          <w:rFonts w:eastAsiaTheme="minorEastAsia" w:hint="eastAsia"/>
          <w:bCs/>
          <w:sz w:val="24"/>
          <w:szCs w:val="24"/>
        </w:rPr>
        <w:t>万</w:t>
      </w:r>
      <w:r w:rsidRPr="000549B1">
        <w:rPr>
          <w:rFonts w:eastAsiaTheme="minorEastAsia" w:hint="eastAsia"/>
          <w:bCs/>
          <w:sz w:val="24"/>
          <w:szCs w:val="24"/>
        </w:rPr>
        <w:t>m</w:t>
      </w:r>
      <w:r w:rsidRPr="000549B1">
        <w:rPr>
          <w:rFonts w:eastAsiaTheme="minorEastAsia" w:hint="eastAsia"/>
          <w:bCs/>
          <w:sz w:val="24"/>
          <w:szCs w:val="24"/>
        </w:rPr>
        <w:t>³、设计保证率</w:t>
      </w:r>
      <w:r w:rsidRPr="000549B1">
        <w:rPr>
          <w:rFonts w:eastAsiaTheme="minorEastAsia" w:hint="eastAsia"/>
          <w:bCs/>
          <w:sz w:val="24"/>
          <w:szCs w:val="24"/>
        </w:rPr>
        <w:t>95%</w:t>
      </w:r>
      <w:r w:rsidRPr="000549B1">
        <w:rPr>
          <w:rFonts w:eastAsiaTheme="minorEastAsia" w:hint="eastAsia"/>
          <w:bCs/>
          <w:sz w:val="24"/>
          <w:szCs w:val="24"/>
        </w:rPr>
        <w:t>。规划水平年考虑三滩引水生态治理一期工程生效，沙珠玉河流域可新增供水量</w:t>
      </w:r>
      <w:r w:rsidRPr="000549B1">
        <w:rPr>
          <w:rFonts w:eastAsiaTheme="minorEastAsia" w:hint="eastAsia"/>
          <w:bCs/>
          <w:sz w:val="24"/>
          <w:szCs w:val="24"/>
        </w:rPr>
        <w:t>7762</w:t>
      </w:r>
      <w:r w:rsidRPr="000549B1">
        <w:rPr>
          <w:rFonts w:eastAsiaTheme="minorEastAsia" w:hint="eastAsia"/>
          <w:bCs/>
          <w:sz w:val="24"/>
          <w:szCs w:val="24"/>
        </w:rPr>
        <w:t>万</w:t>
      </w:r>
      <w:r w:rsidRPr="000549B1">
        <w:rPr>
          <w:rFonts w:eastAsiaTheme="minorEastAsia" w:hint="eastAsia"/>
          <w:bCs/>
          <w:sz w:val="24"/>
          <w:szCs w:val="24"/>
        </w:rPr>
        <w:t>m</w:t>
      </w:r>
      <w:r w:rsidRPr="000549B1">
        <w:rPr>
          <w:rFonts w:eastAsiaTheme="minorEastAsia" w:hint="eastAsia"/>
          <w:bCs/>
          <w:sz w:val="24"/>
          <w:szCs w:val="24"/>
        </w:rPr>
        <w:t>³。</w:t>
      </w:r>
    </w:p>
    <w:p w14:paraId="6953832E" w14:textId="76A8FB4F" w:rsidR="007917B1" w:rsidRPr="000549B1" w:rsidRDefault="007917B1" w:rsidP="007917B1">
      <w:pPr>
        <w:adjustRightInd w:val="0"/>
        <w:spacing w:line="500" w:lineRule="exact"/>
        <w:ind w:firstLineChars="200" w:firstLine="480"/>
        <w:rPr>
          <w:sz w:val="24"/>
        </w:rPr>
      </w:pPr>
      <w:r w:rsidRPr="000549B1">
        <w:rPr>
          <w:rFonts w:hint="eastAsia"/>
          <w:sz w:val="24"/>
        </w:rPr>
        <w:t>多年平均条件下，从大河坝河流域调水量</w:t>
      </w:r>
      <w:r w:rsidRPr="000549B1">
        <w:rPr>
          <w:sz w:val="24"/>
        </w:rPr>
        <w:t>7762</w:t>
      </w:r>
      <w:r w:rsidRPr="000549B1">
        <w:rPr>
          <w:rFonts w:hint="eastAsia"/>
          <w:sz w:val="24"/>
        </w:rPr>
        <w:t>万</w:t>
      </w:r>
      <w:r w:rsidRPr="000549B1">
        <w:rPr>
          <w:sz w:val="24"/>
        </w:rPr>
        <w:t>m</w:t>
      </w:r>
      <w:r w:rsidRPr="000549B1">
        <w:rPr>
          <w:sz w:val="24"/>
          <w:vertAlign w:val="superscript"/>
        </w:rPr>
        <w:t>3</w:t>
      </w:r>
      <w:r w:rsidRPr="000549B1">
        <w:rPr>
          <w:rFonts w:hint="eastAsia"/>
          <w:sz w:val="24"/>
        </w:rPr>
        <w:t>，占大河坝河天然径流量（</w:t>
      </w:r>
      <w:r w:rsidRPr="000549B1">
        <w:rPr>
          <w:sz w:val="24"/>
        </w:rPr>
        <w:t>4.04</w:t>
      </w:r>
      <w:r w:rsidRPr="000549B1">
        <w:rPr>
          <w:rFonts w:hint="eastAsia"/>
          <w:sz w:val="24"/>
        </w:rPr>
        <w:t>亿</w:t>
      </w:r>
      <w:r w:rsidRPr="000549B1">
        <w:rPr>
          <w:sz w:val="24"/>
        </w:rPr>
        <w:t>m</w:t>
      </w:r>
      <w:r w:rsidRPr="000549B1">
        <w:rPr>
          <w:sz w:val="24"/>
          <w:vertAlign w:val="superscript"/>
        </w:rPr>
        <w:t>3</w:t>
      </w:r>
      <w:r w:rsidRPr="000549B1">
        <w:rPr>
          <w:rFonts w:hint="eastAsia"/>
          <w:sz w:val="24"/>
        </w:rPr>
        <w:t>）的</w:t>
      </w:r>
      <w:r w:rsidRPr="000549B1">
        <w:rPr>
          <w:sz w:val="24"/>
        </w:rPr>
        <w:t>19.21%</w:t>
      </w:r>
      <w:r w:rsidRPr="000549B1">
        <w:rPr>
          <w:rFonts w:hint="eastAsia"/>
          <w:sz w:val="24"/>
        </w:rPr>
        <w:t>；规划重大工程运行后，大河坝河水资源开发利用率达到</w:t>
      </w:r>
      <w:r w:rsidRPr="000549B1">
        <w:rPr>
          <w:sz w:val="24"/>
        </w:rPr>
        <w:t>37.94%</w:t>
      </w:r>
      <w:r w:rsidRPr="000549B1">
        <w:rPr>
          <w:rFonts w:hint="eastAsia"/>
          <w:sz w:val="24"/>
        </w:rPr>
        <w:t>，小于水资源开发利用率</w:t>
      </w:r>
      <w:r w:rsidRPr="000549B1">
        <w:rPr>
          <w:rFonts w:hint="eastAsia"/>
          <w:sz w:val="24"/>
        </w:rPr>
        <w:t>40%</w:t>
      </w:r>
      <w:r w:rsidRPr="000549B1">
        <w:rPr>
          <w:rFonts w:hint="eastAsia"/>
          <w:sz w:val="24"/>
        </w:rPr>
        <w:t>阈值；</w:t>
      </w:r>
      <w:bookmarkStart w:id="436" w:name="_Hlk216120971"/>
      <w:r w:rsidR="0024571B">
        <w:rPr>
          <w:rFonts w:hint="eastAsia"/>
          <w:sz w:val="24"/>
        </w:rPr>
        <w:t>多年平均条件下，现状年、规划年</w:t>
      </w:r>
      <w:r w:rsidRPr="000549B1">
        <w:rPr>
          <w:rFonts w:hint="eastAsia"/>
          <w:sz w:val="24"/>
          <w:lang w:val="zh-CN"/>
        </w:rPr>
        <w:t>项目调出区大河坝引水口</w:t>
      </w:r>
      <w:r w:rsidR="0024571B" w:rsidRPr="000549B1">
        <w:rPr>
          <w:rFonts w:hint="eastAsia"/>
          <w:sz w:val="24"/>
          <w:lang w:val="zh-CN"/>
        </w:rPr>
        <w:t>生态基流满足率</w:t>
      </w:r>
      <w:r w:rsidR="0024571B">
        <w:rPr>
          <w:rFonts w:hint="eastAsia"/>
          <w:sz w:val="24"/>
          <w:lang w:val="zh-CN"/>
        </w:rPr>
        <w:t>分别为</w:t>
      </w:r>
      <w:r w:rsidR="0024571B">
        <w:rPr>
          <w:rFonts w:hint="eastAsia"/>
          <w:sz w:val="24"/>
          <w:lang w:val="zh-CN"/>
        </w:rPr>
        <w:t>91.1%</w:t>
      </w:r>
      <w:r w:rsidR="0024571B">
        <w:rPr>
          <w:rFonts w:hint="eastAsia"/>
          <w:sz w:val="24"/>
          <w:lang w:val="zh-CN"/>
        </w:rPr>
        <w:t>和</w:t>
      </w:r>
      <w:r w:rsidR="0024571B">
        <w:rPr>
          <w:rFonts w:hint="eastAsia"/>
          <w:sz w:val="24"/>
          <w:lang w:val="zh-CN"/>
        </w:rPr>
        <w:t>90%</w:t>
      </w:r>
      <w:r w:rsidR="0024571B">
        <w:rPr>
          <w:rFonts w:hint="eastAsia"/>
          <w:sz w:val="24"/>
          <w:lang w:val="zh-CN"/>
        </w:rPr>
        <w:t>，受水区</w:t>
      </w:r>
      <w:r w:rsidRPr="000549B1">
        <w:rPr>
          <w:rFonts w:hint="eastAsia"/>
          <w:sz w:val="24"/>
          <w:lang w:val="zh-CN"/>
        </w:rPr>
        <w:t>大河坝水库坝下主要控制断面多年平均条件下生态基流满足率</w:t>
      </w:r>
      <w:r w:rsidR="0024571B">
        <w:rPr>
          <w:rFonts w:hint="eastAsia"/>
          <w:sz w:val="24"/>
          <w:lang w:val="zh-CN"/>
        </w:rPr>
        <w:t>均</w:t>
      </w:r>
      <w:r w:rsidRPr="000549B1">
        <w:rPr>
          <w:rFonts w:hint="eastAsia"/>
          <w:sz w:val="24"/>
          <w:lang w:val="zh-CN"/>
        </w:rPr>
        <w:t>为</w:t>
      </w:r>
      <w:r w:rsidRPr="000549B1">
        <w:rPr>
          <w:rFonts w:hint="eastAsia"/>
          <w:sz w:val="24"/>
          <w:lang w:val="zh-CN"/>
        </w:rPr>
        <w:t>100%</w:t>
      </w:r>
      <w:r w:rsidR="0024571B">
        <w:rPr>
          <w:rFonts w:hint="eastAsia"/>
          <w:sz w:val="24"/>
          <w:lang w:val="zh-CN"/>
        </w:rPr>
        <w:t>，满足生态基流满足率不低于</w:t>
      </w:r>
      <w:r w:rsidR="0024571B">
        <w:rPr>
          <w:rFonts w:hint="eastAsia"/>
          <w:sz w:val="24"/>
          <w:lang w:val="zh-CN"/>
        </w:rPr>
        <w:t>90%</w:t>
      </w:r>
      <w:r w:rsidR="0024571B">
        <w:rPr>
          <w:rFonts w:hint="eastAsia"/>
          <w:sz w:val="24"/>
          <w:lang w:val="zh-CN"/>
        </w:rPr>
        <w:t>的指标要求</w:t>
      </w:r>
      <w:r w:rsidRPr="000549B1">
        <w:rPr>
          <w:rFonts w:hint="eastAsia"/>
          <w:sz w:val="24"/>
        </w:rPr>
        <w:t>。规划大河坝水库淹没区等工程均不涉及生态保护红线、自然保护区等环境敏感区。</w:t>
      </w:r>
      <w:bookmarkEnd w:id="436"/>
    </w:p>
    <w:p w14:paraId="0821AE1D" w14:textId="43DC6D9A" w:rsidR="00054437" w:rsidRPr="000549B1" w:rsidRDefault="007917B1" w:rsidP="000549B1">
      <w:pPr>
        <w:adjustRightInd w:val="0"/>
        <w:spacing w:line="500" w:lineRule="exact"/>
        <w:ind w:firstLineChars="200" w:firstLine="480"/>
        <w:rPr>
          <w:rFonts w:eastAsiaTheme="minorEastAsia"/>
          <w:bCs/>
        </w:rPr>
      </w:pPr>
      <w:r w:rsidRPr="000549B1">
        <w:rPr>
          <w:rFonts w:hint="eastAsia"/>
          <w:sz w:val="24"/>
        </w:rPr>
        <w:t>综上，从环境角度分析，规划三滩引水生态综合治理一期工程规模合理。</w:t>
      </w:r>
    </w:p>
    <w:p w14:paraId="70768530" w14:textId="523A8AAB" w:rsidR="00054437" w:rsidRPr="000549B1" w:rsidRDefault="00000000">
      <w:pPr>
        <w:pStyle w:val="zhang3"/>
        <w:spacing w:before="156" w:after="156"/>
      </w:pPr>
      <w:r w:rsidRPr="000549B1">
        <w:t>规划时序安排和建设方式的环境合理性</w:t>
      </w:r>
    </w:p>
    <w:p w14:paraId="4FCB618C" w14:textId="77777777" w:rsidR="007917B1" w:rsidRPr="000549B1" w:rsidRDefault="007917B1" w:rsidP="007917B1">
      <w:pPr>
        <w:spacing w:line="360" w:lineRule="auto"/>
        <w:ind w:firstLine="482"/>
        <w:rPr>
          <w:bCs/>
          <w:sz w:val="24"/>
          <w:szCs w:val="24"/>
        </w:rPr>
      </w:pPr>
      <w:r w:rsidRPr="000549B1">
        <w:rPr>
          <w:rFonts w:hint="eastAsia"/>
          <w:bCs/>
          <w:sz w:val="24"/>
          <w:szCs w:val="24"/>
        </w:rPr>
        <w:t>按照国家有关政策和战略部署，根据沙珠玉河流域的实际情况，结合流域经济社会发展的要求和规划工程的总体布局，针对流域治理中存在的主要问题及规划工程在流域治理中的地位和作用，</w:t>
      </w:r>
      <w:r w:rsidRPr="000549B1">
        <w:rPr>
          <w:rFonts w:asciiTheme="minorEastAsia" w:eastAsiaTheme="minorEastAsia" w:hAnsiTheme="minorEastAsia" w:cstheme="minorEastAsia" w:hint="eastAsia"/>
          <w:bCs/>
          <w:sz w:val="24"/>
          <w:szCs w:val="24"/>
          <w:lang w:bidi="ar"/>
        </w:rPr>
        <w:t>统筹流域水资源开发利用、防洪减灾、水资源保护与水生态修复等综合利用要求，</w:t>
      </w:r>
      <w:r w:rsidRPr="000549B1">
        <w:rPr>
          <w:rFonts w:hint="eastAsia"/>
          <w:bCs/>
          <w:sz w:val="24"/>
          <w:szCs w:val="24"/>
        </w:rPr>
        <w:t>按照轻重缓急的原则，突出重点，逐步实施。</w:t>
      </w:r>
    </w:p>
    <w:p w14:paraId="486A178B" w14:textId="77777777" w:rsidR="007917B1" w:rsidRPr="000549B1" w:rsidRDefault="007917B1" w:rsidP="007917B1">
      <w:pPr>
        <w:widowControl/>
        <w:spacing w:line="360" w:lineRule="auto"/>
        <w:ind w:firstLine="482"/>
        <w:jc w:val="left"/>
        <w:rPr>
          <w:bCs/>
          <w:sz w:val="24"/>
          <w:szCs w:val="24"/>
          <w:lang w:bidi="ar"/>
        </w:rPr>
      </w:pPr>
      <w:r w:rsidRPr="000549B1">
        <w:rPr>
          <w:bCs/>
          <w:sz w:val="24"/>
          <w:szCs w:val="24"/>
          <w:lang w:bidi="ar"/>
        </w:rPr>
        <w:t>2035</w:t>
      </w:r>
      <w:r w:rsidRPr="000549B1">
        <w:rPr>
          <w:rFonts w:hint="eastAsia"/>
          <w:bCs/>
          <w:sz w:val="24"/>
          <w:szCs w:val="24"/>
          <w:lang w:bidi="ar"/>
        </w:rPr>
        <w:t>年前，优先安排流域</w:t>
      </w:r>
      <w:r w:rsidRPr="000549B1">
        <w:rPr>
          <w:rFonts w:hint="eastAsia"/>
          <w:bCs/>
          <w:sz w:val="24"/>
          <w:szCs w:val="24"/>
        </w:rPr>
        <w:t>重大引调水工程、水资源配置工程、农村供水保障工程和灌区节水配套工程</w:t>
      </w:r>
      <w:r w:rsidRPr="000549B1">
        <w:rPr>
          <w:rFonts w:hint="eastAsia"/>
          <w:bCs/>
          <w:sz w:val="24"/>
          <w:szCs w:val="24"/>
          <w:lang w:bidi="ar"/>
        </w:rPr>
        <w:t>，重点</w:t>
      </w:r>
      <w:r w:rsidRPr="000549B1">
        <w:rPr>
          <w:rFonts w:hint="eastAsia"/>
          <w:bCs/>
          <w:sz w:val="24"/>
          <w:szCs w:val="24"/>
        </w:rPr>
        <w:t>完成三滩等重大引调水工程和相关水库水源地工程建设；其次是开展干支流防洪工程建设、山洪沟治理，并进一步完善非工程措施，基本完成流域防洪工程建设，配合水土保持，使流域防洪能力达到设计标准；对新增水土流失问题开展治理，同时开展水土保持监测工程建设，并加强监督；结合水资源、防洪、现代化灌区、重大工程等各项规划内容的逐步实施，进一步建设完善信息化感知、监控、通信、应用等各环节内容，加强对数据的挖掘利用、综合分析与共享交互，提高流域水利业务管理能力与信息服务水平，实现沙珠玉河流域的网络化、系统化与智慧化管理</w:t>
      </w:r>
      <w:r w:rsidRPr="000549B1">
        <w:rPr>
          <w:rFonts w:hint="eastAsia"/>
          <w:bCs/>
          <w:sz w:val="24"/>
          <w:szCs w:val="24"/>
          <w:lang w:bidi="ar"/>
        </w:rPr>
        <w:t>；完成全部监测能力建设、信息化能力建设、水行政执法监督能力建设内容。</w:t>
      </w:r>
      <w:r w:rsidRPr="000549B1">
        <w:rPr>
          <w:rFonts w:hint="eastAsia"/>
          <w:bCs/>
          <w:sz w:val="24"/>
          <w:szCs w:val="24"/>
        </w:rPr>
        <w:t>此外，建设生态流量泄放设施、安装下泄生态流量在线监控和远程传输设施、实施流域水生态环境综合治理工程、开展水土保持综合治理、实施河湖生态保护修复、开展流域水生态监测等内容。</w:t>
      </w:r>
    </w:p>
    <w:p w14:paraId="786263B7" w14:textId="2288FA04" w:rsidR="00054437" w:rsidRPr="000549B1" w:rsidRDefault="007917B1" w:rsidP="007917B1">
      <w:pPr>
        <w:pStyle w:val="x"/>
      </w:pPr>
      <w:r w:rsidRPr="000549B1">
        <w:rPr>
          <w:rFonts w:asciiTheme="minorEastAsia" w:eastAsiaTheme="minorEastAsia" w:hAnsiTheme="minorEastAsia" w:cstheme="minorEastAsia" w:hint="eastAsia"/>
          <w:bCs/>
          <w:kern w:val="2"/>
          <w:szCs w:val="24"/>
          <w:lang w:bidi="ar"/>
        </w:rPr>
        <w:t>规划的建设时序按照建设必要性的紧迫程度，同时尽量减缓对环境的影响，既能较好的满足流域整体发展的需求，又有利于流域生态环境的保护，规划实施时序总体合理</w:t>
      </w:r>
      <w:r w:rsidRPr="000549B1">
        <w:rPr>
          <w:rFonts w:hint="eastAsia"/>
        </w:rPr>
        <w:t>。</w:t>
      </w:r>
    </w:p>
    <w:p w14:paraId="0DE06B31" w14:textId="43001142" w:rsidR="00054437" w:rsidRPr="000549B1" w:rsidRDefault="00000000">
      <w:pPr>
        <w:pStyle w:val="zhang3"/>
        <w:spacing w:before="156" w:after="156"/>
      </w:pPr>
      <w:r w:rsidRPr="000549B1">
        <w:rPr>
          <w:rFonts w:hint="eastAsia"/>
        </w:rPr>
        <w:t>规划</w:t>
      </w:r>
      <w:r w:rsidRPr="000549B1">
        <w:t>目标可达性</w:t>
      </w:r>
      <w:r w:rsidRPr="000549B1">
        <w:rPr>
          <w:rFonts w:hint="eastAsia"/>
        </w:rPr>
        <w:t>分析</w:t>
      </w:r>
    </w:p>
    <w:p w14:paraId="19EC55A4" w14:textId="77777777" w:rsidR="007917B1" w:rsidRPr="000549B1" w:rsidRDefault="007917B1" w:rsidP="007917B1">
      <w:pPr>
        <w:pStyle w:val="x"/>
      </w:pPr>
      <w:r w:rsidRPr="000549B1">
        <w:rPr>
          <w:rFonts w:hint="eastAsia"/>
        </w:rPr>
        <w:t>1</w:t>
      </w:r>
      <w:r w:rsidRPr="000549B1">
        <w:rPr>
          <w:rFonts w:hint="eastAsia"/>
        </w:rPr>
        <w:t>、</w:t>
      </w:r>
      <w:r w:rsidRPr="000549B1">
        <w:t>水资源开发利用率</w:t>
      </w:r>
    </w:p>
    <w:p w14:paraId="1A9E33F8" w14:textId="5D011129" w:rsidR="007917B1" w:rsidRPr="000549B1" w:rsidRDefault="007917B1" w:rsidP="007917B1">
      <w:pPr>
        <w:pStyle w:val="x"/>
      </w:pPr>
      <w:r w:rsidRPr="000549B1">
        <w:t>规划的水资源开发利用目标是流域内水资源开发利用率不超过</w:t>
      </w:r>
      <w:r w:rsidRPr="000549B1">
        <w:t>40%</w:t>
      </w:r>
      <w:r w:rsidRPr="000549B1">
        <w:t>。</w:t>
      </w:r>
    </w:p>
    <w:p w14:paraId="25C21A7C" w14:textId="4F2B31CC" w:rsidR="007917B1" w:rsidRPr="000549B1" w:rsidRDefault="007917B1" w:rsidP="007917B1">
      <w:pPr>
        <w:pStyle w:val="x"/>
        <w:rPr>
          <w:szCs w:val="24"/>
          <w:lang w:bidi="ar"/>
        </w:rPr>
      </w:pPr>
      <w:r w:rsidRPr="000549B1">
        <w:rPr>
          <w:rFonts w:hint="eastAsia"/>
          <w:szCs w:val="24"/>
          <w:lang w:bidi="ar"/>
        </w:rPr>
        <w:t>沙珠玉河流域水资源总量为</w:t>
      </w:r>
      <w:r w:rsidRPr="000549B1">
        <w:rPr>
          <w:rFonts w:hint="eastAsia"/>
          <w:szCs w:val="24"/>
          <w:lang w:bidi="ar"/>
        </w:rPr>
        <w:t>2.9</w:t>
      </w:r>
      <w:r w:rsidRPr="000549B1">
        <w:rPr>
          <w:rFonts w:hint="eastAsia"/>
          <w:szCs w:val="24"/>
          <w:lang w:bidi="ar"/>
        </w:rPr>
        <w:t>亿</w:t>
      </w:r>
      <w:r w:rsidRPr="000549B1">
        <w:rPr>
          <w:rFonts w:hint="eastAsia"/>
          <w:szCs w:val="24"/>
          <w:lang w:bidi="ar"/>
        </w:rPr>
        <w:t>m</w:t>
      </w:r>
      <w:r w:rsidRPr="000549B1">
        <w:rPr>
          <w:rFonts w:hint="eastAsia"/>
          <w:szCs w:val="24"/>
          <w:vertAlign w:val="superscript"/>
          <w:lang w:bidi="ar"/>
        </w:rPr>
        <w:t>3</w:t>
      </w:r>
      <w:r w:rsidRPr="000549B1">
        <w:rPr>
          <w:rFonts w:hint="eastAsia"/>
          <w:szCs w:val="24"/>
          <w:lang w:bidi="ar"/>
        </w:rPr>
        <w:t>，</w:t>
      </w:r>
      <w:r w:rsidRPr="000549B1">
        <w:rPr>
          <w:rFonts w:hint="eastAsia"/>
        </w:rPr>
        <w:t>2035</w:t>
      </w:r>
      <w:r w:rsidRPr="000549B1">
        <w:rPr>
          <w:rFonts w:hint="eastAsia"/>
        </w:rPr>
        <w:t>年沙珠玉河全流域年用水总量约</w:t>
      </w:r>
      <w:r w:rsidRPr="000549B1">
        <w:rPr>
          <w:rFonts w:hint="eastAsia"/>
          <w:bCs/>
        </w:rPr>
        <w:t>16082</w:t>
      </w:r>
      <w:r w:rsidRPr="000549B1">
        <w:rPr>
          <w:rFonts w:hint="eastAsia"/>
          <w:bCs/>
        </w:rPr>
        <w:t>万</w:t>
      </w:r>
      <w:r w:rsidRPr="000549B1">
        <w:rPr>
          <w:bCs/>
        </w:rPr>
        <w:t>m</w:t>
      </w:r>
      <w:r w:rsidRPr="000549B1">
        <w:rPr>
          <w:rFonts w:hint="eastAsia"/>
          <w:vertAlign w:val="superscript"/>
        </w:rPr>
        <w:t>3</w:t>
      </w:r>
      <w:r w:rsidRPr="000549B1">
        <w:t>，</w:t>
      </w:r>
      <w:r w:rsidRPr="000549B1">
        <w:rPr>
          <w:rFonts w:hint="eastAsia"/>
        </w:rPr>
        <w:t>其中本地水</w:t>
      </w:r>
      <w:r w:rsidRPr="000549B1">
        <w:rPr>
          <w:rFonts w:hint="eastAsia"/>
        </w:rPr>
        <w:t>8320</w:t>
      </w:r>
      <w:r w:rsidRPr="000549B1">
        <w:rPr>
          <w:rFonts w:hint="eastAsia"/>
        </w:rPr>
        <w:t>万</w:t>
      </w:r>
      <w:r w:rsidRPr="000549B1">
        <w:rPr>
          <w:rFonts w:hint="eastAsia"/>
        </w:rPr>
        <w:t>m</w:t>
      </w:r>
      <w:r w:rsidRPr="000549B1">
        <w:rPr>
          <w:rFonts w:hint="eastAsia"/>
          <w:vertAlign w:val="superscript"/>
        </w:rPr>
        <w:t>3</w:t>
      </w:r>
      <w:r w:rsidRPr="000549B1">
        <w:rPr>
          <w:rFonts w:hint="eastAsia"/>
        </w:rPr>
        <w:t>（包括地表水</w:t>
      </w:r>
      <w:r w:rsidRPr="000549B1">
        <w:rPr>
          <w:rFonts w:hint="eastAsia"/>
        </w:rPr>
        <w:t>8287</w:t>
      </w:r>
      <w:r w:rsidRPr="000549B1">
        <w:rPr>
          <w:rFonts w:hint="eastAsia"/>
        </w:rPr>
        <w:t>万</w:t>
      </w:r>
      <w:r w:rsidRPr="000549B1">
        <w:rPr>
          <w:rFonts w:hint="eastAsia"/>
        </w:rPr>
        <w:t>m</w:t>
      </w:r>
      <w:r w:rsidRPr="000549B1">
        <w:rPr>
          <w:rFonts w:hint="eastAsia"/>
          <w:vertAlign w:val="superscript"/>
        </w:rPr>
        <w:t>3</w:t>
      </w:r>
      <w:r w:rsidRPr="000549B1">
        <w:rPr>
          <w:rFonts w:hint="eastAsia"/>
        </w:rPr>
        <w:t>、地下水</w:t>
      </w:r>
      <w:r w:rsidRPr="000549B1">
        <w:rPr>
          <w:rFonts w:hint="eastAsia"/>
        </w:rPr>
        <w:t>33</w:t>
      </w:r>
      <w:r w:rsidRPr="000549B1">
        <w:rPr>
          <w:rFonts w:hint="eastAsia"/>
        </w:rPr>
        <w:t>万</w:t>
      </w:r>
      <w:r w:rsidRPr="000549B1">
        <w:rPr>
          <w:rFonts w:hint="eastAsia"/>
        </w:rPr>
        <w:t>m</w:t>
      </w:r>
      <w:r w:rsidRPr="000549B1">
        <w:rPr>
          <w:rFonts w:hint="eastAsia"/>
          <w:vertAlign w:val="superscript"/>
        </w:rPr>
        <w:t>3</w:t>
      </w:r>
      <w:r w:rsidRPr="000549B1">
        <w:rPr>
          <w:rFonts w:hint="eastAsia"/>
        </w:rPr>
        <w:t>）、外调水</w:t>
      </w:r>
      <w:r w:rsidRPr="000549B1">
        <w:rPr>
          <w:rFonts w:hint="eastAsia"/>
        </w:rPr>
        <w:t>7762</w:t>
      </w:r>
      <w:r w:rsidRPr="000549B1">
        <w:rPr>
          <w:rFonts w:hint="eastAsia"/>
        </w:rPr>
        <w:t>万</w:t>
      </w:r>
      <w:r w:rsidRPr="000549B1">
        <w:rPr>
          <w:rFonts w:hint="eastAsia"/>
        </w:rPr>
        <w:t>m</w:t>
      </w:r>
      <w:r w:rsidRPr="000549B1">
        <w:rPr>
          <w:rFonts w:hint="eastAsia"/>
          <w:vertAlign w:val="superscript"/>
        </w:rPr>
        <w:t>3</w:t>
      </w:r>
      <w:r w:rsidRPr="000549B1">
        <w:rPr>
          <w:rFonts w:hint="eastAsia"/>
        </w:rPr>
        <w:t>，规划年沙珠玉河</w:t>
      </w:r>
      <w:r w:rsidRPr="000549B1">
        <w:rPr>
          <w:rFonts w:ascii="宋体" w:hAnsi="宋体" w:cs="宋体" w:hint="eastAsia"/>
          <w:szCs w:val="24"/>
          <w:lang w:bidi="ar"/>
        </w:rPr>
        <w:t>流域总体水资源开发利用率约</w:t>
      </w:r>
      <w:r w:rsidRPr="000549B1">
        <w:rPr>
          <w:rFonts w:hint="eastAsia"/>
          <w:szCs w:val="24"/>
          <w:lang w:bidi="ar"/>
        </w:rPr>
        <w:t>28.69</w:t>
      </w:r>
      <w:r w:rsidRPr="000549B1">
        <w:rPr>
          <w:szCs w:val="24"/>
          <w:lang w:bidi="ar"/>
        </w:rPr>
        <w:t>%</w:t>
      </w:r>
      <w:r w:rsidRPr="000549B1">
        <w:rPr>
          <w:rFonts w:hint="eastAsia"/>
          <w:szCs w:val="24"/>
          <w:lang w:bidi="ar"/>
        </w:rPr>
        <w:t>。规划年沙珠玉河流域水资源开发利用率能够满足规划目标</w:t>
      </w:r>
      <w:r w:rsidRPr="000549B1">
        <w:rPr>
          <w:rFonts w:ascii="Arial" w:hAnsi="Arial" w:cs="Arial"/>
          <w:szCs w:val="24"/>
          <w:lang w:bidi="ar"/>
        </w:rPr>
        <w:t>≤</w:t>
      </w:r>
      <w:r w:rsidRPr="000549B1">
        <w:rPr>
          <w:rFonts w:hint="eastAsia"/>
          <w:szCs w:val="24"/>
          <w:lang w:bidi="ar"/>
        </w:rPr>
        <w:t>40</w:t>
      </w:r>
      <w:r w:rsidRPr="000549B1">
        <w:rPr>
          <w:szCs w:val="24"/>
          <w:lang w:bidi="ar"/>
        </w:rPr>
        <w:t>%</w:t>
      </w:r>
      <w:r w:rsidRPr="000549B1">
        <w:rPr>
          <w:rFonts w:hint="eastAsia"/>
          <w:szCs w:val="24"/>
          <w:lang w:bidi="ar"/>
        </w:rPr>
        <w:t>的要求。</w:t>
      </w:r>
    </w:p>
    <w:p w14:paraId="227EC41E" w14:textId="77777777" w:rsidR="007917B1" w:rsidRPr="000549B1" w:rsidRDefault="007917B1" w:rsidP="007917B1">
      <w:pPr>
        <w:pStyle w:val="x"/>
      </w:pPr>
      <w:r w:rsidRPr="000549B1">
        <w:t>2</w:t>
      </w:r>
      <w:r w:rsidRPr="000549B1">
        <w:rPr>
          <w:rFonts w:hint="eastAsia"/>
        </w:rPr>
        <w:t>、</w:t>
      </w:r>
      <w:r w:rsidRPr="000549B1">
        <w:t>控制断面生态流量保障目标达标情况</w:t>
      </w:r>
    </w:p>
    <w:p w14:paraId="743667CC" w14:textId="77777777" w:rsidR="007917B1" w:rsidRPr="000549B1" w:rsidRDefault="007917B1" w:rsidP="007917B1">
      <w:pPr>
        <w:pStyle w:val="x"/>
      </w:pPr>
      <w:r w:rsidRPr="000549B1">
        <w:t>本次规划的水库工程建设后，</w:t>
      </w:r>
      <w:r w:rsidRPr="000549B1">
        <w:rPr>
          <w:rFonts w:hint="eastAsia"/>
        </w:rPr>
        <w:t>通过跨流域调水，沙珠玉河流域作为受水区，多年平均水资源量可增加</w:t>
      </w:r>
      <w:r w:rsidRPr="000549B1">
        <w:rPr>
          <w:rFonts w:hint="eastAsia"/>
        </w:rPr>
        <w:t>7762</w:t>
      </w:r>
      <w:r w:rsidRPr="000549B1">
        <w:rPr>
          <w:rFonts w:hint="eastAsia"/>
        </w:rPr>
        <w:t>万</w:t>
      </w:r>
      <w:r w:rsidRPr="000549B1">
        <w:rPr>
          <w:rFonts w:hint="eastAsia"/>
        </w:rPr>
        <w:t>m</w:t>
      </w:r>
      <w:r w:rsidRPr="000549B1">
        <w:rPr>
          <w:rFonts w:hint="eastAsia"/>
          <w:vertAlign w:val="superscript"/>
        </w:rPr>
        <w:t>3</w:t>
      </w:r>
      <w:r w:rsidRPr="000549B1">
        <w:rPr>
          <w:rFonts w:hint="eastAsia"/>
        </w:rPr>
        <w:t>，占流域自身水资源总量的</w:t>
      </w:r>
      <w:r w:rsidRPr="000549B1">
        <w:rPr>
          <w:rFonts w:hint="eastAsia"/>
        </w:rPr>
        <w:t>26.77%</w:t>
      </w:r>
      <w:r w:rsidRPr="000549B1">
        <w:rPr>
          <w:rFonts w:hint="eastAsia"/>
        </w:rPr>
        <w:t>，</w:t>
      </w:r>
      <w:r w:rsidRPr="000549B1">
        <w:t>总体有利于</w:t>
      </w:r>
      <w:r w:rsidRPr="000549B1">
        <w:rPr>
          <w:rFonts w:hint="eastAsia"/>
        </w:rPr>
        <w:t>沙珠玉河</w:t>
      </w:r>
      <w:r w:rsidRPr="000549B1">
        <w:t>流域内生态流量控制断面的生态流量保证率的提高，但需要控制好引调水工程的规模与调度，优先保障水资源</w:t>
      </w:r>
      <w:r w:rsidRPr="000549B1">
        <w:rPr>
          <w:rFonts w:hint="eastAsia"/>
        </w:rPr>
        <w:t>调</w:t>
      </w:r>
      <w:r w:rsidRPr="000549B1">
        <w:t>出区</w:t>
      </w:r>
      <w:r w:rsidRPr="000549B1">
        <w:rPr>
          <w:rFonts w:hint="eastAsia"/>
        </w:rPr>
        <w:t>大河坝河</w:t>
      </w:r>
      <w:r w:rsidRPr="000549B1">
        <w:t>下游的生态流量，在此基础上规划工程实施后，各控制断面生态流量保障目标能够满足环境目标要求</w:t>
      </w:r>
    </w:p>
    <w:p w14:paraId="6638E016" w14:textId="77777777" w:rsidR="007917B1" w:rsidRPr="000549B1" w:rsidRDefault="007917B1" w:rsidP="007917B1">
      <w:pPr>
        <w:pStyle w:val="x"/>
      </w:pPr>
      <w:r w:rsidRPr="000549B1">
        <w:t>3</w:t>
      </w:r>
      <w:r w:rsidRPr="000549B1">
        <w:rPr>
          <w:rFonts w:hint="eastAsia"/>
        </w:rPr>
        <w:t>、</w:t>
      </w:r>
      <w:r w:rsidRPr="000549B1">
        <w:t>控制断面水质达标率、集中式饮用水水源地水质达标率</w:t>
      </w:r>
    </w:p>
    <w:p w14:paraId="2EF9AA3F" w14:textId="77777777" w:rsidR="007917B1" w:rsidRPr="000549B1" w:rsidRDefault="007917B1" w:rsidP="007917B1">
      <w:pPr>
        <w:pStyle w:val="x"/>
      </w:pPr>
      <w:r w:rsidRPr="000549B1">
        <w:t>本次规划工程运行期均不产生污染物，各类水利工程的建设总体有利于水源涵养、水质改善，但需要做好引调水工程的前期论证，遵循</w:t>
      </w:r>
      <w:r w:rsidRPr="000549B1">
        <w:rPr>
          <w:rFonts w:ascii="宋体" w:hAnsi="宋体"/>
        </w:rPr>
        <w:t>“</w:t>
      </w:r>
      <w:r w:rsidRPr="000549B1">
        <w:t>先节水、后调水，先治污、后通水，先环保、后用水</w:t>
      </w:r>
      <w:r w:rsidRPr="000549B1">
        <w:rPr>
          <w:rFonts w:ascii="宋体" w:hAnsi="宋体"/>
        </w:rPr>
        <w:t>”</w:t>
      </w:r>
      <w:r w:rsidRPr="000549B1">
        <w:t>的</w:t>
      </w:r>
      <w:r w:rsidRPr="000549B1">
        <w:rPr>
          <w:rFonts w:ascii="宋体" w:hAnsi="宋体"/>
        </w:rPr>
        <w:t>“</w:t>
      </w:r>
      <w:r w:rsidRPr="000549B1">
        <w:t>三先三后</w:t>
      </w:r>
      <w:r w:rsidRPr="000549B1">
        <w:rPr>
          <w:rFonts w:ascii="宋体" w:hAnsi="宋体"/>
        </w:rPr>
        <w:t>”</w:t>
      </w:r>
      <w:r w:rsidRPr="000549B1">
        <w:t>原则，保证水资源调出区</w:t>
      </w:r>
      <w:r w:rsidRPr="000549B1">
        <w:rPr>
          <w:rFonts w:hint="eastAsia"/>
        </w:rPr>
        <w:t>大河坝河</w:t>
      </w:r>
      <w:r w:rsidRPr="000549B1">
        <w:t>下游的河道生态流量，做好受水区的水污染防治规划</w:t>
      </w:r>
      <w:r w:rsidRPr="000549B1">
        <w:rPr>
          <w:rFonts w:hint="eastAsia"/>
        </w:rPr>
        <w:t>，落实饮用水水源地保护措施</w:t>
      </w:r>
      <w:r w:rsidRPr="000549B1">
        <w:t>，确保工程建设后受水区水资源配置与区域水资源水环境承载能力相适应，满足</w:t>
      </w:r>
      <w:r w:rsidRPr="000549B1">
        <w:rPr>
          <w:rFonts w:ascii="宋体" w:hAnsi="宋体"/>
        </w:rPr>
        <w:t>“</w:t>
      </w:r>
      <w:r w:rsidRPr="000549B1">
        <w:t>增水不增污</w:t>
      </w:r>
      <w:r w:rsidRPr="000549B1">
        <w:rPr>
          <w:rFonts w:ascii="宋体" w:hAnsi="宋体"/>
        </w:rPr>
        <w:t>”</w:t>
      </w:r>
      <w:r w:rsidRPr="000549B1">
        <w:t>或</w:t>
      </w:r>
      <w:r w:rsidRPr="000549B1">
        <w:rPr>
          <w:rFonts w:ascii="宋体" w:hAnsi="宋体"/>
        </w:rPr>
        <w:t>“</w:t>
      </w:r>
      <w:r w:rsidRPr="000549B1">
        <w:t>增水减污</w:t>
      </w:r>
      <w:r w:rsidRPr="000549B1">
        <w:rPr>
          <w:rFonts w:ascii="宋体" w:hAnsi="宋体"/>
        </w:rPr>
        <w:t>”</w:t>
      </w:r>
      <w:r w:rsidRPr="000549B1">
        <w:t>的要求，保障受水区水环境安全，在此基础上控制断面水质达标率、集中式饮用水水源地水质达标率</w:t>
      </w:r>
      <w:r w:rsidRPr="000549B1">
        <w:rPr>
          <w:rFonts w:hint="eastAsia"/>
        </w:rPr>
        <w:t>均</w:t>
      </w:r>
      <w:r w:rsidRPr="000549B1">
        <w:t>能够满足环境目标要求。</w:t>
      </w:r>
    </w:p>
    <w:p w14:paraId="3B050F33" w14:textId="77777777" w:rsidR="007917B1" w:rsidRPr="000549B1" w:rsidRDefault="007917B1" w:rsidP="007917B1">
      <w:pPr>
        <w:pStyle w:val="x"/>
      </w:pPr>
      <w:r w:rsidRPr="000549B1">
        <w:t>4</w:t>
      </w:r>
      <w:r w:rsidRPr="000549B1">
        <w:rPr>
          <w:rFonts w:hint="eastAsia"/>
        </w:rPr>
        <w:t>、</w:t>
      </w:r>
      <w:r w:rsidRPr="000549B1">
        <w:t>湖（库）营养状态指数</w:t>
      </w:r>
    </w:p>
    <w:p w14:paraId="4C24E8F9" w14:textId="77777777" w:rsidR="007917B1" w:rsidRPr="000549B1" w:rsidRDefault="007917B1" w:rsidP="007917B1">
      <w:pPr>
        <w:pStyle w:val="x"/>
      </w:pPr>
      <w:r w:rsidRPr="000549B1">
        <w:t>本次规划工程运行期均不产生污染物，新建水库、</w:t>
      </w:r>
      <w:r w:rsidRPr="000549B1">
        <w:rPr>
          <w:rFonts w:hint="eastAsia"/>
        </w:rPr>
        <w:t>流域水生态环境综合治理、</w:t>
      </w:r>
      <w:r w:rsidRPr="000549B1">
        <w:t>河湖</w:t>
      </w:r>
      <w:r w:rsidRPr="000549B1">
        <w:rPr>
          <w:rFonts w:hint="eastAsia"/>
        </w:rPr>
        <w:t>生态保护修复</w:t>
      </w:r>
      <w:r w:rsidRPr="000549B1">
        <w:t>等有利于减少淹没区及占地范围内的污染源，增加水库、河湖的水环境容量，总体有利于改善水环境，降低水库营养状态指数，</w:t>
      </w:r>
      <w:r w:rsidRPr="000549B1">
        <w:rPr>
          <w:rFonts w:hint="eastAsia"/>
        </w:rPr>
        <w:t>在落实受水区水污染防治规划的各项措施、</w:t>
      </w:r>
      <w:r w:rsidRPr="000549B1">
        <w:t>做好入库污染源治理与水源地</w:t>
      </w:r>
      <w:r w:rsidRPr="000549B1">
        <w:rPr>
          <w:rFonts w:hint="eastAsia"/>
        </w:rPr>
        <w:t>安全保障达标</w:t>
      </w:r>
      <w:r w:rsidRPr="000549B1">
        <w:t>建设</w:t>
      </w:r>
      <w:r w:rsidRPr="000549B1">
        <w:rPr>
          <w:rFonts w:hint="eastAsia"/>
        </w:rPr>
        <w:t>的前提下</w:t>
      </w:r>
      <w:r w:rsidRPr="000549B1">
        <w:t>，规划工程实施后湖（库）营养状态指数能够满足环境目标要求。</w:t>
      </w:r>
    </w:p>
    <w:p w14:paraId="3F0A834E" w14:textId="77777777" w:rsidR="007917B1" w:rsidRPr="000549B1" w:rsidRDefault="007917B1" w:rsidP="007917B1">
      <w:pPr>
        <w:pStyle w:val="x"/>
      </w:pPr>
      <w:r w:rsidRPr="000549B1">
        <w:t>5</w:t>
      </w:r>
      <w:r w:rsidRPr="000549B1">
        <w:rPr>
          <w:rFonts w:hint="eastAsia"/>
        </w:rPr>
        <w:t>、</w:t>
      </w:r>
      <w:r w:rsidRPr="000549B1">
        <w:t>规划方案占用生态保护红线的情况</w:t>
      </w:r>
    </w:p>
    <w:p w14:paraId="115C21ED" w14:textId="77777777" w:rsidR="007917B1" w:rsidRPr="000549B1" w:rsidRDefault="007917B1" w:rsidP="007917B1">
      <w:pPr>
        <w:pStyle w:val="x"/>
      </w:pPr>
      <w:r w:rsidRPr="000549B1">
        <w:t>目前规划</w:t>
      </w:r>
      <w:r w:rsidRPr="000549B1">
        <w:rPr>
          <w:rFonts w:hint="eastAsia"/>
        </w:rPr>
        <w:t>的各项</w:t>
      </w:r>
      <w:r w:rsidRPr="000549B1">
        <w:t>工程</w:t>
      </w:r>
      <w:r w:rsidRPr="000549B1">
        <w:rPr>
          <w:rFonts w:hint="eastAsia"/>
        </w:rPr>
        <w:t>均</w:t>
      </w:r>
      <w:r w:rsidRPr="000549B1">
        <w:t>不涉及生态保护红线。</w:t>
      </w:r>
    </w:p>
    <w:p w14:paraId="168E4BBB" w14:textId="77777777" w:rsidR="007917B1" w:rsidRPr="000549B1" w:rsidRDefault="007917B1" w:rsidP="007917B1">
      <w:pPr>
        <w:pStyle w:val="x"/>
      </w:pPr>
      <w:r w:rsidRPr="000549B1">
        <w:t>6</w:t>
      </w:r>
      <w:r w:rsidRPr="000549B1">
        <w:rPr>
          <w:rFonts w:hint="eastAsia"/>
        </w:rPr>
        <w:t>、</w:t>
      </w:r>
      <w:r w:rsidRPr="000549B1">
        <w:t>水生生物栖息地</w:t>
      </w:r>
    </w:p>
    <w:p w14:paraId="6BFBF51C" w14:textId="77777777" w:rsidR="007917B1" w:rsidRPr="000549B1" w:rsidRDefault="007917B1" w:rsidP="007917B1">
      <w:pPr>
        <w:pStyle w:val="x"/>
      </w:pPr>
      <w:r w:rsidRPr="000549B1">
        <w:t>规划范围内重要的水生生物栖息地主要为鱼类洄游通道、产卵场、索饵场、越冬场等。鱼类产卵场、索饵场、越冬场广布于流域各处，规划工程在施工期间可能会对局部范围鱼类三场产生影响，运营期相关影响会消除。同时规划提出了生态堤岸、</w:t>
      </w:r>
      <w:r w:rsidRPr="000549B1">
        <w:rPr>
          <w:rFonts w:hint="eastAsia"/>
        </w:rPr>
        <w:t>亲水生态岸线</w:t>
      </w:r>
      <w:r w:rsidRPr="000549B1">
        <w:t>等水生态环境保护与修复措施，有利于营造水生生物栖息地。</w:t>
      </w:r>
    </w:p>
    <w:p w14:paraId="3BF72B82" w14:textId="77777777" w:rsidR="007917B1" w:rsidRPr="000549B1" w:rsidRDefault="007917B1" w:rsidP="007917B1">
      <w:pPr>
        <w:pStyle w:val="x"/>
      </w:pPr>
      <w:r w:rsidRPr="000549B1">
        <w:t>7</w:t>
      </w:r>
      <w:r w:rsidRPr="000549B1">
        <w:rPr>
          <w:rFonts w:hint="eastAsia"/>
        </w:rPr>
        <w:t>、</w:t>
      </w:r>
      <w:r w:rsidRPr="000549B1">
        <w:t>生物多样性、鱼类物种数、重点保护水生生物数量</w:t>
      </w:r>
    </w:p>
    <w:p w14:paraId="144CE947" w14:textId="77777777" w:rsidR="007917B1" w:rsidRPr="000549B1" w:rsidRDefault="007917B1" w:rsidP="007917B1">
      <w:pPr>
        <w:pStyle w:val="x"/>
      </w:pPr>
      <w:r w:rsidRPr="000549B1">
        <w:rPr>
          <w:rFonts w:hint="eastAsia"/>
        </w:rPr>
        <w:t>规划水库工程的实施会阻隔上下游鱼类基因交流，对生物多样性、鱼类物种数、重点保护水生生物数量产生不利影响，对于水库，在下阶段应根据详细的水生调查成果、鱼类洄游情况及鱼类基因交流的需求，论证建设过鱼设施的必要性，并考虑“以新带老”，打通坝址上、下游一定范围河道上的挡水建筑物，并开展增殖放流工作，在此基础上生物多样性、鱼类物种数、重点保护水生生物数量能够满足环境目标要求。</w:t>
      </w:r>
    </w:p>
    <w:p w14:paraId="659E1478" w14:textId="77777777" w:rsidR="007917B1" w:rsidRPr="000549B1" w:rsidRDefault="007917B1" w:rsidP="007917B1">
      <w:pPr>
        <w:pStyle w:val="x"/>
      </w:pPr>
      <w:r w:rsidRPr="000549B1">
        <w:t>8</w:t>
      </w:r>
      <w:r w:rsidRPr="000549B1">
        <w:rPr>
          <w:rFonts w:hint="eastAsia"/>
        </w:rPr>
        <w:t>、</w:t>
      </w:r>
      <w:r w:rsidRPr="000549B1">
        <w:t>自然岸线率</w:t>
      </w:r>
    </w:p>
    <w:p w14:paraId="7C842AF6" w14:textId="77777777" w:rsidR="007917B1" w:rsidRPr="000549B1" w:rsidRDefault="007917B1" w:rsidP="007917B1">
      <w:pPr>
        <w:pStyle w:val="x"/>
      </w:pPr>
      <w:r w:rsidRPr="000549B1">
        <w:t>本次规划的防洪堤工程实施过程中，应尽可能采用透水材料，迎水侧采用缓坡设计，建设河岸带植被区，形成滨水湿地缓冲带，对河道内的堰坝进行生态化改造，恢复堤防及河道的自然生态功能，在此基础上自然岸线率能够满足环境目标要求。</w:t>
      </w:r>
    </w:p>
    <w:p w14:paraId="75712ABB" w14:textId="77777777" w:rsidR="007917B1" w:rsidRPr="000549B1" w:rsidRDefault="007917B1" w:rsidP="007917B1">
      <w:pPr>
        <w:pStyle w:val="x"/>
      </w:pPr>
      <w:r w:rsidRPr="000549B1">
        <w:t>9</w:t>
      </w:r>
      <w:r w:rsidRPr="000549B1">
        <w:rPr>
          <w:rFonts w:hint="eastAsia"/>
        </w:rPr>
        <w:t>、</w:t>
      </w:r>
      <w:r w:rsidRPr="000549B1">
        <w:t>河流纵向连通指数</w:t>
      </w:r>
    </w:p>
    <w:p w14:paraId="1D36F19A" w14:textId="6C52B047" w:rsidR="00054437" w:rsidRPr="000549B1" w:rsidRDefault="007917B1" w:rsidP="007917B1">
      <w:pPr>
        <w:pStyle w:val="x"/>
      </w:pPr>
      <w:r w:rsidRPr="000549B1">
        <w:rPr>
          <w:rFonts w:hint="eastAsia"/>
        </w:rPr>
        <w:t>规划实施将进一步加剧流域内河流自然生态系统的不连续和破碎化，阻隔上下游鱼类的交流通道，造成鱼类生境的进一步片段化和破碎化。在下阶段应根据详细的水生调查成果、鱼类洄游情况及鱼类基因交流的需求，论证建设过鱼设施的必要性，结合本次规划环评提出的流域连通性恢复措施，在此基础上河流纵向连通指数能够满足环境目标要求。</w:t>
      </w:r>
    </w:p>
    <w:p w14:paraId="74A758CC" w14:textId="77777777" w:rsidR="00054437" w:rsidRPr="000549B1" w:rsidRDefault="00000000">
      <w:pPr>
        <w:pStyle w:val="zhang3"/>
        <w:spacing w:before="156" w:after="156"/>
      </w:pPr>
      <w:r w:rsidRPr="000549B1">
        <w:t>环境效益分析</w:t>
      </w:r>
    </w:p>
    <w:p w14:paraId="51245586" w14:textId="77777777" w:rsidR="00054437" w:rsidRPr="000549B1" w:rsidRDefault="00000000">
      <w:pPr>
        <w:pStyle w:val="Z4"/>
        <w:rPr>
          <w:color w:val="auto"/>
        </w:rPr>
      </w:pPr>
      <w:r w:rsidRPr="000549B1">
        <w:rPr>
          <w:color w:val="auto"/>
        </w:rPr>
        <w:t>生态修复与生态功能维护</w:t>
      </w:r>
    </w:p>
    <w:p w14:paraId="49F132FE" w14:textId="77777777" w:rsidR="007917B1" w:rsidRPr="000549B1" w:rsidRDefault="007917B1" w:rsidP="007917B1">
      <w:pPr>
        <w:pStyle w:val="x"/>
      </w:pPr>
      <w:r w:rsidRPr="000549B1">
        <w:t>规划实施后，将通过多种措施显著提升流域的生态环境质量，维护和恢复沙珠玉河流域的生态功能。</w:t>
      </w:r>
    </w:p>
    <w:p w14:paraId="453E256C" w14:textId="77777777" w:rsidR="007917B1" w:rsidRPr="000549B1" w:rsidRDefault="007917B1" w:rsidP="007917B1">
      <w:pPr>
        <w:pStyle w:val="x"/>
      </w:pPr>
      <w:r w:rsidRPr="000549B1">
        <w:rPr>
          <w:rFonts w:hint="eastAsia"/>
        </w:rPr>
        <w:t>（</w:t>
      </w:r>
      <w:r w:rsidRPr="000549B1">
        <w:rPr>
          <w:rFonts w:hint="eastAsia"/>
        </w:rPr>
        <w:t>1</w:t>
      </w:r>
      <w:r w:rsidRPr="000549B1">
        <w:rPr>
          <w:rFonts w:hint="eastAsia"/>
        </w:rPr>
        <w:t>）</w:t>
      </w:r>
      <w:r w:rsidRPr="000549B1">
        <w:t>规划</w:t>
      </w:r>
      <w:r w:rsidRPr="000549B1">
        <w:rPr>
          <w:rFonts w:hint="eastAsia"/>
        </w:rPr>
        <w:t>优先满足河流</w:t>
      </w:r>
      <w:r w:rsidRPr="000549B1">
        <w:rPr>
          <w:bCs/>
        </w:rPr>
        <w:t>生态</w:t>
      </w:r>
      <w:r w:rsidRPr="000549B1">
        <w:rPr>
          <w:rFonts w:hint="eastAsia"/>
          <w:bCs/>
        </w:rPr>
        <w:t>需水要求，确保生态系统的结构完整和功能稳定</w:t>
      </w:r>
      <w:r w:rsidRPr="000549B1">
        <w:t>。通过实施</w:t>
      </w:r>
      <w:r w:rsidRPr="000549B1">
        <w:rPr>
          <w:rFonts w:ascii="宋体" w:hAnsi="宋体"/>
        </w:rPr>
        <w:t>“</w:t>
      </w:r>
      <w:r w:rsidRPr="000549B1">
        <w:t>三滩引水生态综合治理工程</w:t>
      </w:r>
      <w:r w:rsidRPr="000549B1">
        <w:rPr>
          <w:rFonts w:ascii="宋体" w:hAnsi="宋体"/>
        </w:rPr>
        <w:t>”</w:t>
      </w:r>
      <w:r w:rsidRPr="000549B1">
        <w:t>，从流域外调水补给沙珠玉河</w:t>
      </w:r>
      <w:r w:rsidRPr="000549B1">
        <w:rPr>
          <w:rFonts w:hint="eastAsia"/>
        </w:rPr>
        <w:t>流域，通过区域水资源配置，保障</w:t>
      </w:r>
      <w:r w:rsidRPr="000549B1">
        <w:t>生态水量，恢复河湖水面及湿地环境，有利于区域水生生境和湿地生态系统的修复。同时，规划同步确定了各河段的生态流量下限，保障河流基本环境用水需求，增强干支流水系的连续性，维持河流生态系统的纵向连通。由此，沙珠玉河流域整体的水生态健康水平将明显改善，青藏高原生态安全屏障功能得到巩固。</w:t>
      </w:r>
    </w:p>
    <w:p w14:paraId="4DC9C671" w14:textId="1710F6C2" w:rsidR="00054437" w:rsidRPr="000549B1" w:rsidRDefault="007917B1" w:rsidP="007917B1">
      <w:pPr>
        <w:pStyle w:val="x"/>
      </w:pPr>
      <w:r w:rsidRPr="000549B1">
        <w:rPr>
          <w:rFonts w:hint="eastAsia"/>
        </w:rPr>
        <w:t>（</w:t>
      </w:r>
      <w:r w:rsidRPr="000549B1">
        <w:rPr>
          <w:rFonts w:hint="eastAsia"/>
        </w:rPr>
        <w:t>2</w:t>
      </w:r>
      <w:r w:rsidRPr="000549B1">
        <w:rPr>
          <w:rFonts w:hint="eastAsia"/>
        </w:rPr>
        <w:t>）</w:t>
      </w:r>
      <w:r w:rsidRPr="000549B1">
        <w:t>规划采取</w:t>
      </w:r>
      <w:r w:rsidRPr="000549B1">
        <w:rPr>
          <w:bCs/>
        </w:rPr>
        <w:t>生态治理与植被恢复</w:t>
      </w:r>
      <w:r w:rsidRPr="000549B1">
        <w:t>措施维护陆域生态功能。针对流域沙化和水土流失问题，工程方案融入防风固沙与岸坡生态修复思路，在重点区域实施防风林、草方格沙障、农田防护林和生态护岸等多层次生态防护体系建设。这些措施能有效固定河岸两侧沙丘，减少泥沙入河量，防止河岸侵蚀，保护沿河植被，从而提高流域水源涵养能力和土壤保育功能。此外，大规模的水土保持和草地恢复工程将持续推进流域荒漠化逆转。随着植被覆盖率提高和生态用水增加，沙珠玉河两岸已经出现的</w:t>
      </w:r>
      <w:r w:rsidRPr="000549B1">
        <w:rPr>
          <w:rFonts w:ascii="宋体" w:hAnsi="宋体"/>
        </w:rPr>
        <w:t>“</w:t>
      </w:r>
      <w:r w:rsidRPr="000549B1">
        <w:rPr>
          <w:rFonts w:hint="eastAsia"/>
        </w:rPr>
        <w:t>绿进</w:t>
      </w:r>
      <w:r w:rsidRPr="000549B1">
        <w:t>沙退</w:t>
      </w:r>
      <w:r w:rsidRPr="000549B1">
        <w:rPr>
          <w:rFonts w:ascii="宋体" w:hAnsi="宋体"/>
        </w:rPr>
        <w:t>”</w:t>
      </w:r>
      <w:r w:rsidRPr="000549B1">
        <w:t>良性循环将进一步巩固。风沙灾害频次和强度有望继续降低，生态系统稳定性增强，流域整体的生态服务功能和景观面貌均将得到提升。</w:t>
      </w:r>
    </w:p>
    <w:p w14:paraId="50CECCC5" w14:textId="77777777" w:rsidR="00054437" w:rsidRPr="000549B1" w:rsidRDefault="00000000">
      <w:pPr>
        <w:pStyle w:val="Z4"/>
        <w:rPr>
          <w:color w:val="auto"/>
        </w:rPr>
      </w:pPr>
      <w:r w:rsidRPr="000549B1">
        <w:rPr>
          <w:color w:val="auto"/>
        </w:rPr>
        <w:t>水环境质量和水生态改善</w:t>
      </w:r>
    </w:p>
    <w:p w14:paraId="26BD725C" w14:textId="77777777" w:rsidR="007917B1" w:rsidRPr="000549B1" w:rsidRDefault="007917B1" w:rsidP="007917B1">
      <w:pPr>
        <w:pStyle w:val="x"/>
      </w:pPr>
      <w:r w:rsidRPr="000549B1">
        <w:rPr>
          <w:rFonts w:hint="eastAsia"/>
        </w:rPr>
        <w:t>规划的实施对沙珠玉河流域水环境质量和水生态改善具有积极作用。</w:t>
      </w:r>
    </w:p>
    <w:p w14:paraId="4CD901CC" w14:textId="08DF109A" w:rsidR="007917B1" w:rsidRPr="000549B1" w:rsidRDefault="007917B1" w:rsidP="007917B1">
      <w:pPr>
        <w:pStyle w:val="x"/>
      </w:pPr>
      <w:r w:rsidRPr="000549B1">
        <w:rPr>
          <w:rFonts w:hint="eastAsia"/>
        </w:rPr>
        <w:t>一是</w:t>
      </w:r>
      <w:r w:rsidRPr="000549B1">
        <w:rPr>
          <w:rFonts w:hint="eastAsia"/>
          <w:bCs/>
        </w:rPr>
        <w:t>水资源调蓄与水域纳污能力增强</w:t>
      </w:r>
      <w:r w:rsidRPr="000549B1">
        <w:rPr>
          <w:rFonts w:hint="eastAsia"/>
        </w:rPr>
        <w:t>。规划水平年</w:t>
      </w:r>
      <w:r w:rsidRPr="000549B1">
        <w:t>2035</w:t>
      </w:r>
      <w:r w:rsidRPr="000549B1">
        <w:rPr>
          <w:rFonts w:hint="eastAsia"/>
        </w:rPr>
        <w:t>年新建的水库群总库容显著增加，加上三滩引水工程建成生效，沙珠玉河流域多年平均可供水量由现状</w:t>
      </w:r>
      <w:r w:rsidRPr="000549B1">
        <w:t>7741</w:t>
      </w:r>
      <w:r w:rsidRPr="000549B1">
        <w:rPr>
          <w:rFonts w:hint="eastAsia"/>
        </w:rPr>
        <w:t>万</w:t>
      </w:r>
      <w:r w:rsidRPr="000549B1">
        <w:t>m</w:t>
      </w:r>
      <w:r w:rsidRPr="000549B1">
        <w:rPr>
          <w:rFonts w:hint="eastAsia"/>
        </w:rPr>
        <w:t>³提高到</w:t>
      </w:r>
      <w:r w:rsidRPr="000549B1">
        <w:t>16082</w:t>
      </w:r>
      <w:r w:rsidRPr="000549B1">
        <w:rPr>
          <w:rFonts w:hint="eastAsia"/>
        </w:rPr>
        <w:t>万</w:t>
      </w:r>
      <w:r w:rsidRPr="000549B1">
        <w:t>m</w:t>
      </w:r>
      <w:r w:rsidRPr="000549B1">
        <w:rPr>
          <w:rFonts w:hint="eastAsia"/>
        </w:rPr>
        <w:t>³以上。各水库在汛期拦蓄洪水、枯季补水的联合调度下，将增大全流域水体容积和环境容量，有助于稀释下游河道污染物浓度，改善中下游特别是城镇集中河段的水环境质量。此外，小型水库和生态蓄水工程的兴建还将在局部形成库塘湿地环境，对调节局地小气候、削减面源污染径流起到一定作用，有利于水质稳定达标。规划目标是流域水功能区和饮用水水源地水质达标率保持</w:t>
      </w:r>
      <w:r w:rsidRPr="000549B1">
        <w:t>100%</w:t>
      </w:r>
      <w:r w:rsidRPr="000549B1">
        <w:rPr>
          <w:rFonts w:hint="eastAsia"/>
        </w:rPr>
        <w:t>，通过完善水功能区监管体系全面保障城乡饮水安全。结合规划实施饮用水水源保护区划定和污染源管控措施，将进一步巩固流域水质良好、饮水安全的局面。</w:t>
      </w:r>
    </w:p>
    <w:p w14:paraId="159541F7" w14:textId="3C26C8CD" w:rsidR="00054437" w:rsidRPr="000549B1" w:rsidRDefault="007917B1" w:rsidP="007917B1">
      <w:pPr>
        <w:pStyle w:val="x"/>
      </w:pPr>
      <w:r w:rsidRPr="000549B1">
        <w:rPr>
          <w:rFonts w:hint="eastAsia"/>
        </w:rPr>
        <w:t>二是生态措施对提升水环境质量，改善流域生态环境具有积极作用。规划重点实施河卡镇切吉河流域综合治理等项目，以“防风固沙</w:t>
      </w:r>
      <w:r w:rsidRPr="000549B1">
        <w:t>+</w:t>
      </w:r>
      <w:r w:rsidRPr="000549B1">
        <w:rPr>
          <w:rFonts w:hint="eastAsia"/>
        </w:rPr>
        <w:t>岸坡生态修复”为核心定位，推进防风固沙林、沙障、农田防护林、生态护岸等关键建设内容，构建多层次生态防护体系。在防风固沙环节，一方面选取本土耐旱抗风树种连片种植，打造绿色防风屏障以遏制流沙移动；另一方面配套布设草方格沙障，进一步强化固沙效果，为林木生长创造稳定环境。在岸坡生态修复方面，对切吉河沿岸岸线实施生态化改造，摒弃传统硬质护坡方式，通过生态友好型技术构建缓坡护岸，并搭配种植水生及耐湿植物，既防止岸坡坍塌，又恢复河岸生态功能，为生物提供栖息空间，减少传统硬质河工对水生态的不利影响。岸线的生态修复和植被种植不仅稳定了河岸，减少泥沙入河，也为水生生物提供了更好的栖息生境，提升河流自净能力和景观价值。规划还建设了沙珠玉河流域</w:t>
      </w:r>
      <w:r w:rsidRPr="000549B1">
        <w:rPr>
          <w:rFonts w:ascii="宋体" w:hAnsi="宋体" w:hint="eastAsia"/>
        </w:rPr>
        <w:t>“</w:t>
      </w:r>
      <w:r w:rsidRPr="000549B1">
        <w:rPr>
          <w:rFonts w:hint="eastAsia"/>
          <w:bCs/>
        </w:rPr>
        <w:t>数字孪生</w:t>
      </w:r>
      <w:r w:rsidRPr="000549B1">
        <w:rPr>
          <w:rFonts w:ascii="宋体" w:hAnsi="宋体" w:hint="eastAsia"/>
        </w:rPr>
        <w:t>”</w:t>
      </w:r>
      <w:r w:rsidRPr="000549B1">
        <w:rPr>
          <w:rFonts w:hint="eastAsia"/>
        </w:rPr>
        <w:t>平台，</w:t>
      </w:r>
      <w:r w:rsidRPr="000549B1">
        <w:rPr>
          <w:rFonts w:hint="eastAsia"/>
          <w:bCs/>
        </w:rPr>
        <w:t>包含洪水预报模型、中长期径流预测模型、需水预测模型、水生态模拟预测模型、突发水事件应急调度模型、建筑物安全评价模型等的水利专业模型库、智能识别模型库和流域知识库等。</w:t>
      </w:r>
      <w:r w:rsidRPr="000549B1">
        <w:rPr>
          <w:rFonts w:hint="eastAsia"/>
        </w:rPr>
        <w:t>借助数字孪生系统的预报预警功能，可及时发现并应对突发水质事件，实现对水环境的智能监测和调度，提高流域水环境管理水平和应急处置能力。在以上措施的综合作用下，规划期内沙珠玉河流域水生态系统的健康程度和稳定性将显著提升，实现水环境质量与生态健康的协同改善。</w:t>
      </w:r>
    </w:p>
    <w:p w14:paraId="1A106944" w14:textId="77777777" w:rsidR="00054437" w:rsidRPr="000549B1" w:rsidRDefault="00000000">
      <w:pPr>
        <w:pStyle w:val="Z4"/>
        <w:rPr>
          <w:color w:val="auto"/>
        </w:rPr>
      </w:pPr>
      <w:r w:rsidRPr="000549B1">
        <w:rPr>
          <w:color w:val="auto"/>
        </w:rPr>
        <w:t>水资源优化配置与利用效率提高</w:t>
      </w:r>
    </w:p>
    <w:p w14:paraId="77366D76" w14:textId="77777777" w:rsidR="007917B1" w:rsidRPr="000549B1" w:rsidRDefault="007917B1" w:rsidP="007917B1">
      <w:pPr>
        <w:pStyle w:val="x"/>
      </w:pPr>
      <w:r w:rsidRPr="000549B1">
        <w:t>规划通过</w:t>
      </w:r>
      <w:r w:rsidRPr="000549B1">
        <w:rPr>
          <w:rFonts w:hint="eastAsia"/>
        </w:rPr>
        <w:t>跨流域调水、</w:t>
      </w:r>
      <w:r w:rsidRPr="000549B1">
        <w:t>优化配置和高效利用水资源，显著提高了</w:t>
      </w:r>
      <w:r w:rsidRPr="000549B1">
        <w:rPr>
          <w:rFonts w:hint="eastAsia"/>
        </w:rPr>
        <w:t>水</w:t>
      </w:r>
      <w:r w:rsidRPr="000549B1">
        <w:t>资源利用率和供</w:t>
      </w:r>
      <w:r w:rsidRPr="000549B1">
        <w:rPr>
          <w:rFonts w:hint="eastAsia"/>
        </w:rPr>
        <w:t>水</w:t>
      </w:r>
      <w:r w:rsidRPr="000549B1">
        <w:t>保障</w:t>
      </w:r>
      <w:r w:rsidRPr="000549B1">
        <w:rPr>
          <w:rFonts w:hint="eastAsia"/>
        </w:rPr>
        <w:t>率</w:t>
      </w:r>
      <w:r w:rsidRPr="000549B1">
        <w:t>。</w:t>
      </w:r>
    </w:p>
    <w:p w14:paraId="7E1240F3" w14:textId="77777777" w:rsidR="007917B1" w:rsidRPr="000549B1" w:rsidRDefault="007917B1" w:rsidP="007917B1">
      <w:pPr>
        <w:pStyle w:val="x"/>
      </w:pPr>
      <w:r w:rsidRPr="000549B1">
        <w:t>一方面，构建</w:t>
      </w:r>
      <w:r w:rsidRPr="000549B1">
        <w:rPr>
          <w:bCs/>
        </w:rPr>
        <w:t>多水源联合调配的供水网络</w:t>
      </w:r>
      <w:r w:rsidRPr="000549B1">
        <w:t>。规划以</w:t>
      </w:r>
      <w:r w:rsidRPr="000549B1">
        <w:rPr>
          <w:rFonts w:ascii="宋体" w:hAnsi="宋体"/>
        </w:rPr>
        <w:t>“</w:t>
      </w:r>
      <w:r w:rsidRPr="000549B1">
        <w:t>三滩引水</w:t>
      </w:r>
      <w:r w:rsidRPr="000549B1">
        <w:rPr>
          <w:rFonts w:ascii="宋体" w:hAnsi="宋体"/>
        </w:rPr>
        <w:t>”</w:t>
      </w:r>
      <w:r w:rsidRPr="000549B1">
        <w:t>工程为主体，统筹流域内外地表水和地下水资源，形成覆盖全流域、互联互通的水资源配置骨干网络。通过兴建大河坝水库等中型水库及右岸多座小型水库，配套干、支渠防渗改造，规划多年可供水总量较现状增加</w:t>
      </w:r>
      <w:r w:rsidRPr="000549B1">
        <w:t>1</w:t>
      </w:r>
      <w:r w:rsidRPr="000549B1">
        <w:t>倍</w:t>
      </w:r>
      <w:r w:rsidRPr="000549B1">
        <w:rPr>
          <w:rFonts w:hint="eastAsia"/>
        </w:rPr>
        <w:t>多，沙珠玉河流域的</w:t>
      </w:r>
      <w:r w:rsidRPr="000549B1">
        <w:t>农业灌溉、城乡生活和生态用水</w:t>
      </w:r>
      <w:r w:rsidRPr="000549B1">
        <w:rPr>
          <w:rFonts w:hint="eastAsia"/>
        </w:rPr>
        <w:t>等</w:t>
      </w:r>
      <w:r w:rsidRPr="000549B1">
        <w:t>需求</w:t>
      </w:r>
      <w:r w:rsidRPr="000549B1">
        <w:rPr>
          <w:rFonts w:hint="eastAsia"/>
        </w:rPr>
        <w:t>将</w:t>
      </w:r>
      <w:r w:rsidRPr="000549B1">
        <w:t>得到有效保障。</w:t>
      </w:r>
      <w:r w:rsidRPr="000549B1">
        <w:rPr>
          <w:rFonts w:hint="eastAsia"/>
        </w:rPr>
        <w:t>尤其</w:t>
      </w:r>
      <w:r w:rsidRPr="000549B1">
        <w:t>是</w:t>
      </w:r>
      <w:r w:rsidRPr="000549B1">
        <w:rPr>
          <w:rFonts w:hint="eastAsia"/>
        </w:rPr>
        <w:t>重大水资源配置</w:t>
      </w:r>
      <w:r w:rsidRPr="000549B1">
        <w:t>工程的实施，</w:t>
      </w:r>
      <w:r w:rsidRPr="000549B1">
        <w:rPr>
          <w:rFonts w:hint="eastAsia"/>
        </w:rPr>
        <w:t>大大</w:t>
      </w:r>
      <w:r w:rsidRPr="000549B1">
        <w:t>缓解了沙珠玉河流域</w:t>
      </w:r>
      <w:r w:rsidRPr="000549B1">
        <w:rPr>
          <w:rFonts w:hint="eastAsia"/>
        </w:rPr>
        <w:t>的</w:t>
      </w:r>
      <w:r w:rsidRPr="000549B1">
        <w:t>缺水压力，</w:t>
      </w:r>
      <w:r w:rsidRPr="000549B1">
        <w:rPr>
          <w:rFonts w:hint="eastAsia"/>
        </w:rPr>
        <w:t>进一步</w:t>
      </w:r>
      <w:r w:rsidRPr="000549B1">
        <w:t>优化了全流域水量时空分配，实现水资源的统筹平衡利用。</w:t>
      </w:r>
    </w:p>
    <w:p w14:paraId="1D529880" w14:textId="77777777" w:rsidR="007917B1" w:rsidRPr="000549B1" w:rsidRDefault="007917B1" w:rsidP="007917B1">
      <w:pPr>
        <w:pStyle w:val="x"/>
      </w:pPr>
      <w:r w:rsidRPr="000549B1">
        <w:t>另一方面，推行</w:t>
      </w:r>
      <w:r w:rsidRPr="000549B1">
        <w:rPr>
          <w:bCs/>
        </w:rPr>
        <w:t>节水优先战略</w:t>
      </w:r>
      <w:r w:rsidRPr="000549B1">
        <w:t>提高用水效率。规划明确到</w:t>
      </w:r>
      <w:r w:rsidRPr="000549B1">
        <w:t>2035</w:t>
      </w:r>
      <w:r w:rsidRPr="000549B1">
        <w:t>年将大幅提升农田灌溉水利用系数，由现状约</w:t>
      </w:r>
      <w:r w:rsidRPr="000549B1">
        <w:t>0.467</w:t>
      </w:r>
      <w:r w:rsidRPr="000549B1">
        <w:t>提高到</w:t>
      </w:r>
      <w:r w:rsidRPr="000549B1">
        <w:t>0.60</w:t>
      </w:r>
      <w:r w:rsidRPr="000549B1">
        <w:t>以上。</w:t>
      </w:r>
      <w:r w:rsidRPr="000549B1">
        <w:rPr>
          <w:rFonts w:hint="eastAsia"/>
        </w:rPr>
        <w:t>规划</w:t>
      </w:r>
      <w:r w:rsidRPr="000549B1">
        <w:t>大力开展灌区续建配套和节水改造，推广渠道防渗、管道输水和高效节水灌溉技术，</w:t>
      </w:r>
      <w:r w:rsidRPr="000549B1">
        <w:rPr>
          <w:rFonts w:hint="eastAsia"/>
        </w:rPr>
        <w:t>有效</w:t>
      </w:r>
      <w:r w:rsidRPr="000549B1">
        <w:t>减少</w:t>
      </w:r>
      <w:r w:rsidRPr="000549B1">
        <w:rPr>
          <w:rFonts w:hint="eastAsia"/>
        </w:rPr>
        <w:t>了</w:t>
      </w:r>
      <w:r w:rsidRPr="000549B1">
        <w:t>输配水损失和田间浪费。同时，建设现代化灌区管理信息系统，实现用水精准调控。在工业和生活用水领域，推行先进节水工艺和器具，加强非常规水源利用和重复用水。通过</w:t>
      </w:r>
      <w:r w:rsidRPr="000549B1">
        <w:rPr>
          <w:rFonts w:hint="eastAsia"/>
        </w:rPr>
        <w:t>以上</w:t>
      </w:r>
      <w:r w:rsidRPr="000549B1">
        <w:t>措施，流域单位用水产出率和效益显著提高，水资源利用率稳步上升。</w:t>
      </w:r>
    </w:p>
    <w:p w14:paraId="42A706C3" w14:textId="31B7D884" w:rsidR="00054437" w:rsidRPr="000549B1" w:rsidRDefault="007917B1" w:rsidP="007917B1">
      <w:pPr>
        <w:pStyle w:val="ac"/>
      </w:pPr>
      <w:r w:rsidRPr="000549B1">
        <w:t>规划实施后，</w:t>
      </w:r>
      <w:r w:rsidRPr="000549B1">
        <w:rPr>
          <w:rFonts w:hint="eastAsia"/>
        </w:rPr>
        <w:t>规划小型水库和三滩引水工程建成生效，流域可供水量由基准年的</w:t>
      </w:r>
      <w:r w:rsidRPr="000549B1">
        <w:rPr>
          <w:rFonts w:hint="eastAsia"/>
          <w:bCs/>
        </w:rPr>
        <w:t>7741</w:t>
      </w:r>
      <w:r w:rsidRPr="000549B1">
        <w:rPr>
          <w:rFonts w:hint="eastAsia"/>
          <w:bCs/>
        </w:rPr>
        <w:t>万</w:t>
      </w:r>
      <w:r w:rsidRPr="000549B1">
        <w:rPr>
          <w:rFonts w:hint="eastAsia"/>
          <w:bCs/>
        </w:rPr>
        <w:t>m</w:t>
      </w:r>
      <w:r w:rsidRPr="000549B1">
        <w:rPr>
          <w:bCs/>
          <w:vertAlign w:val="superscript"/>
        </w:rPr>
        <w:t>3</w:t>
      </w:r>
      <w:r w:rsidRPr="000549B1">
        <w:rPr>
          <w:rFonts w:hint="eastAsia"/>
          <w:bCs/>
        </w:rPr>
        <w:t>增加至</w:t>
      </w:r>
      <w:r w:rsidRPr="000549B1">
        <w:rPr>
          <w:rFonts w:hint="eastAsia"/>
          <w:bCs/>
        </w:rPr>
        <w:t>16082</w:t>
      </w:r>
      <w:r w:rsidRPr="000549B1">
        <w:rPr>
          <w:rFonts w:hint="eastAsia"/>
          <w:bCs/>
        </w:rPr>
        <w:t>万</w:t>
      </w:r>
      <w:r w:rsidRPr="000549B1">
        <w:rPr>
          <w:rFonts w:hint="eastAsia"/>
          <w:bCs/>
        </w:rPr>
        <w:t>m</w:t>
      </w:r>
      <w:r w:rsidRPr="000549B1">
        <w:rPr>
          <w:bCs/>
          <w:vertAlign w:val="superscript"/>
        </w:rPr>
        <w:t>3</w:t>
      </w:r>
      <w:r w:rsidRPr="000549B1">
        <w:t>，</w:t>
      </w:r>
      <w:r w:rsidRPr="000549B1">
        <w:rPr>
          <w:rFonts w:hint="eastAsia"/>
        </w:rPr>
        <w:t>供水量和</w:t>
      </w:r>
      <w:r w:rsidRPr="000549B1">
        <w:t>供水保证率同步提高，</w:t>
      </w:r>
      <w:r w:rsidRPr="000549B1">
        <w:rPr>
          <w:rFonts w:hint="eastAsia"/>
        </w:rPr>
        <w:t>可</w:t>
      </w:r>
      <w:r w:rsidRPr="000549B1">
        <w:t>基本满足区域生产、生活、生态对水量和水质的需求</w:t>
      </w:r>
      <w:r w:rsidRPr="000549B1">
        <w:rPr>
          <w:rFonts w:hint="eastAsia"/>
        </w:rPr>
        <w:t>；同时</w:t>
      </w:r>
      <w:r w:rsidRPr="000549B1">
        <w:t>水资源的集约节约利用</w:t>
      </w:r>
      <w:r w:rsidRPr="000549B1">
        <w:rPr>
          <w:rFonts w:hint="eastAsia"/>
        </w:rPr>
        <w:t>也在一定程度上</w:t>
      </w:r>
      <w:r w:rsidRPr="000549B1">
        <w:t>缓解了</w:t>
      </w:r>
      <w:r w:rsidRPr="000549B1">
        <w:rPr>
          <w:rFonts w:hint="eastAsia"/>
        </w:rPr>
        <w:t>流域水资源</w:t>
      </w:r>
      <w:r w:rsidRPr="000549B1">
        <w:t>供需矛盾，为流域</w:t>
      </w:r>
      <w:r w:rsidRPr="000549B1">
        <w:rPr>
          <w:rFonts w:hint="eastAsia"/>
        </w:rPr>
        <w:t>的长期</w:t>
      </w:r>
      <w:r w:rsidRPr="000549B1">
        <w:t>可持续发展提供了</w:t>
      </w:r>
      <w:r w:rsidRPr="000549B1">
        <w:rPr>
          <w:rFonts w:hint="eastAsia"/>
        </w:rPr>
        <w:t>可靠的</w:t>
      </w:r>
      <w:r w:rsidRPr="000549B1">
        <w:t>水资源支撑。</w:t>
      </w:r>
    </w:p>
    <w:p w14:paraId="1CBB519E" w14:textId="77777777" w:rsidR="00054437" w:rsidRPr="000549B1" w:rsidRDefault="00000000">
      <w:pPr>
        <w:pStyle w:val="Z4"/>
        <w:rPr>
          <w:color w:val="auto"/>
        </w:rPr>
      </w:pPr>
      <w:r w:rsidRPr="000549B1">
        <w:rPr>
          <w:color w:val="auto"/>
        </w:rPr>
        <w:t>人居环境与安全保障提升</w:t>
      </w:r>
    </w:p>
    <w:p w14:paraId="150E7E53" w14:textId="74A2F83A" w:rsidR="00054437" w:rsidRPr="000549B1" w:rsidRDefault="00000000">
      <w:pPr>
        <w:pStyle w:val="x"/>
      </w:pPr>
      <w:r w:rsidRPr="000549B1">
        <w:t>规划的实施将显著提升区域人居环境质量和</w:t>
      </w:r>
      <w:r w:rsidRPr="000549B1">
        <w:rPr>
          <w:rFonts w:hint="eastAsia"/>
        </w:rPr>
        <w:t>供水</w:t>
      </w:r>
      <w:r w:rsidRPr="000549B1">
        <w:t>安全保障水平。</w:t>
      </w:r>
    </w:p>
    <w:p w14:paraId="5936DEA8" w14:textId="2B19AE73" w:rsidR="00054437" w:rsidRPr="000549B1" w:rsidRDefault="00000000">
      <w:pPr>
        <w:pStyle w:val="x"/>
      </w:pPr>
      <w:r w:rsidRPr="000549B1">
        <w:rPr>
          <w:rFonts w:hint="eastAsia"/>
        </w:rPr>
        <w:t>（</w:t>
      </w:r>
      <w:r w:rsidRPr="000549B1">
        <w:rPr>
          <w:rFonts w:hint="eastAsia"/>
        </w:rPr>
        <w:t>1</w:t>
      </w:r>
      <w:r w:rsidRPr="000549B1">
        <w:rPr>
          <w:rFonts w:hint="eastAsia"/>
        </w:rPr>
        <w:t>）</w:t>
      </w:r>
      <w:r w:rsidRPr="000549B1">
        <w:t>在</w:t>
      </w:r>
      <w:r w:rsidRPr="000549B1">
        <w:rPr>
          <w:bCs/>
        </w:rPr>
        <w:t>防洪减灾</w:t>
      </w:r>
      <w:r w:rsidRPr="000549B1">
        <w:t>方面，规划通过工程与非工程并举，大幅提高流域抵御洪涝灾害的能力。按照防洪规划目标，将在</w:t>
      </w:r>
      <w:r w:rsidRPr="000549B1">
        <w:t>2035</w:t>
      </w:r>
      <w:r w:rsidRPr="000549B1">
        <w:t>年前完成沙珠玉河干流及主要支流重点河段的治理，沿岸乡镇政府驻地、耕地集中区和重要基础设施附近新建或加固堤防，使防洪标准基本达到国家规定要求。同时，建立完善的雨水情监测预报和洪水调度系统，强化防洪应急预案与抢险体系建设。届时，长期困扰流域的防洪薄弱问题将得到根本扭转，沿河居民生命财产安全获得更高水平的保障。堤防等防洪工程的实施还将结合生态护岸和河道绿化，美化滨水空间环境，促进沿河村镇人居环境改善。</w:t>
      </w:r>
    </w:p>
    <w:p w14:paraId="2908BF14" w14:textId="512D1B44" w:rsidR="00054437" w:rsidRPr="000549B1" w:rsidRDefault="00000000">
      <w:pPr>
        <w:pStyle w:val="x"/>
      </w:pPr>
      <w:r w:rsidRPr="000549B1">
        <w:rPr>
          <w:rFonts w:hint="eastAsia"/>
        </w:rPr>
        <w:t>（</w:t>
      </w:r>
      <w:r w:rsidRPr="000549B1">
        <w:rPr>
          <w:rFonts w:hint="eastAsia"/>
        </w:rPr>
        <w:t>2</w:t>
      </w:r>
      <w:r w:rsidRPr="000549B1">
        <w:rPr>
          <w:rFonts w:hint="eastAsia"/>
        </w:rPr>
        <w:t>）</w:t>
      </w:r>
      <w:r w:rsidRPr="000549B1">
        <w:t>在</w:t>
      </w:r>
      <w:r w:rsidRPr="000549B1">
        <w:rPr>
          <w:bCs/>
        </w:rPr>
        <w:t>供水保障和民生福祉</w:t>
      </w:r>
      <w:r w:rsidRPr="000549B1">
        <w:t>方面，规划实施一系列城乡供水工程，新建供水水库和区域输配水管网</w:t>
      </w:r>
      <w:r w:rsidRPr="000549B1">
        <w:rPr>
          <w:rFonts w:hint="eastAsia"/>
        </w:rPr>
        <w:t>等</w:t>
      </w:r>
      <w:r w:rsidRPr="000549B1">
        <w:t>，显著改善流域内居民的饮水条件和生活环境。通过解决偏远牧区和乡村长期存在的饮水困难问题。哈干水库等工程建成后，可为沙珠玉乡、廿地乡等</w:t>
      </w:r>
      <w:r w:rsidRPr="000549B1">
        <w:t>16</w:t>
      </w:r>
      <w:r w:rsidRPr="000549B1">
        <w:t>个行政村约</w:t>
      </w:r>
      <w:r w:rsidRPr="000549B1">
        <w:t>1.14</w:t>
      </w:r>
      <w:r w:rsidRPr="000549B1">
        <w:t>万人及</w:t>
      </w:r>
      <w:r w:rsidRPr="000549B1">
        <w:t>10</w:t>
      </w:r>
      <w:r w:rsidRPr="000549B1">
        <w:t>万余头（只）牲畜提供可靠的饮用水源，并改善下游约</w:t>
      </w:r>
      <w:r w:rsidRPr="000549B1">
        <w:t>0.71</w:t>
      </w:r>
      <w:r w:rsidRPr="000549B1">
        <w:t>万亩耕地灌溉用水。同时，各乡镇将新建集中供水水厂和高位水池，并铺设完善的管网，配套水质净化消毒设施，确保城乡居民喝上安全达标的自来水。供水保障能力的提升，不仅提高了居民生活品质和健康水平，也为城镇化发展和农村牧区振兴提供了基础支撑。</w:t>
      </w:r>
    </w:p>
    <w:p w14:paraId="7F11D992" w14:textId="345337D5" w:rsidR="00054437" w:rsidRPr="000549B1" w:rsidRDefault="00000000">
      <w:pPr>
        <w:pStyle w:val="x"/>
      </w:pPr>
      <w:r w:rsidRPr="000549B1">
        <w:rPr>
          <w:rFonts w:hint="eastAsia"/>
        </w:rPr>
        <w:t>（</w:t>
      </w:r>
      <w:r w:rsidRPr="000549B1">
        <w:rPr>
          <w:rFonts w:hint="eastAsia"/>
        </w:rPr>
        <w:t>3</w:t>
      </w:r>
      <w:r w:rsidRPr="000549B1">
        <w:rPr>
          <w:rFonts w:hint="eastAsia"/>
        </w:rPr>
        <w:t>）</w:t>
      </w:r>
      <w:r w:rsidRPr="000549B1">
        <w:rPr>
          <w:bCs/>
        </w:rPr>
        <w:t>整体人居环境</w:t>
      </w:r>
      <w:r w:rsidRPr="000549B1">
        <w:t>将随生态环境的改善而显著提升。风沙危害的减少和绿洲生态的恢复使区域小气候趋于湿润温和，农业生产条件改善，村镇周边的生态景观更加优美。规划实施过程中注重</w:t>
      </w:r>
      <w:r w:rsidRPr="000549B1">
        <w:rPr>
          <w:rFonts w:ascii="宋体" w:hAnsi="宋体"/>
        </w:rPr>
        <w:t>“</w:t>
      </w:r>
      <w:r w:rsidRPr="000549B1">
        <w:t>以人为本</w:t>
      </w:r>
      <w:r w:rsidRPr="000549B1">
        <w:rPr>
          <w:rFonts w:ascii="宋体" w:hAnsi="宋体"/>
        </w:rPr>
        <w:t>”</w:t>
      </w:r>
      <w:r w:rsidRPr="000549B1">
        <w:t>，在保护生态的同时融入文化和景观要素，营造宜居宜业的环境</w:t>
      </w:r>
      <w:r w:rsidRPr="000549B1">
        <w:rPr>
          <w:rFonts w:hint="eastAsia"/>
        </w:rPr>
        <w:t>，</w:t>
      </w:r>
      <w:r w:rsidRPr="000549B1">
        <w:t>通过河湖生态治理打造景观廊道和休闲空间，未来有望形成具有高原特色的美丽河湖和绿洲景观，增强当地居民的获得感和幸福感。</w:t>
      </w:r>
    </w:p>
    <w:p w14:paraId="4F973942" w14:textId="77777777" w:rsidR="00054437" w:rsidRPr="000549B1" w:rsidRDefault="00000000">
      <w:pPr>
        <w:pStyle w:val="x"/>
      </w:pPr>
      <w:r w:rsidRPr="000549B1">
        <w:rPr>
          <w:rFonts w:hint="eastAsia"/>
        </w:rPr>
        <w:t>综上所述，</w:t>
      </w:r>
      <w:r w:rsidRPr="000549B1">
        <w:t>沙珠玉河流域综合规划将在保障防洪安全、供水安全的基础上，实现人居环境的全面改善，为区域社会经济的可持续发展奠定良好的环境基础。</w:t>
      </w:r>
    </w:p>
    <w:p w14:paraId="00C43924" w14:textId="4EB8FD09" w:rsidR="00054437" w:rsidRPr="000549B1" w:rsidRDefault="00000000">
      <w:pPr>
        <w:pStyle w:val="2"/>
        <w:rPr>
          <w:rFonts w:ascii="Times New Roman" w:hAnsi="Times New Roman"/>
          <w:bCs w:val="0"/>
          <w:kern w:val="0"/>
          <w:sz w:val="28"/>
          <w:szCs w:val="28"/>
        </w:rPr>
      </w:pPr>
      <w:bookmarkStart w:id="437" w:name="_Toc216107066"/>
      <w:r w:rsidRPr="000549B1">
        <w:rPr>
          <w:rFonts w:ascii="Times New Roman" w:hAnsi="Times New Roman"/>
          <w:bCs w:val="0"/>
          <w:kern w:val="0"/>
          <w:sz w:val="28"/>
          <w:szCs w:val="28"/>
        </w:rPr>
        <w:t>规划优化调整建议</w:t>
      </w:r>
      <w:bookmarkEnd w:id="437"/>
    </w:p>
    <w:p w14:paraId="6F05E225" w14:textId="77777777" w:rsidR="00054437" w:rsidRPr="000549B1" w:rsidRDefault="00000000">
      <w:pPr>
        <w:pStyle w:val="zhang3"/>
        <w:spacing w:before="156" w:after="156"/>
      </w:pPr>
      <w:r w:rsidRPr="000549B1">
        <w:rPr>
          <w:rFonts w:hint="eastAsia"/>
        </w:rPr>
        <w:t>规划环评与规划编制互动情况说明</w:t>
      </w:r>
    </w:p>
    <w:p w14:paraId="0CB7A658" w14:textId="77777777" w:rsidR="00054437" w:rsidRPr="000549B1" w:rsidRDefault="00000000" w:rsidP="000549B1">
      <w:pPr>
        <w:pStyle w:val="x"/>
      </w:pPr>
      <w:r w:rsidRPr="000549B1">
        <w:rPr>
          <w:rFonts w:hint="eastAsia"/>
        </w:rPr>
        <w:t>1</w:t>
      </w:r>
      <w:r w:rsidRPr="000549B1">
        <w:rPr>
          <w:rFonts w:hint="eastAsia"/>
        </w:rPr>
        <w:t>、互动过程</w:t>
      </w:r>
    </w:p>
    <w:p w14:paraId="4B857BA5" w14:textId="0F5982D6" w:rsidR="00054437" w:rsidRPr="000549B1" w:rsidRDefault="00000000" w:rsidP="000549B1">
      <w:pPr>
        <w:pStyle w:val="x"/>
      </w:pPr>
      <w:r w:rsidRPr="000549B1">
        <w:rPr>
          <w:rFonts w:hint="eastAsia"/>
        </w:rPr>
        <w:t>本次规划环评遵从早期介入的原则，与《沙珠玉河流域综合规划》同步开展，各专业在报告编制过程中进行了充分沟通与互动，规划相关基础数据同步开展收集，内部信息共享及时、反馈畅通；规划环评在编制中能够较好地领会规划方案的具体专业内容，规划环评项目组参与了规划报告中环境影响相关内容的编写；为了减缓规划实施对生态环境的影响，减小因环境影响而导致规划调整所带来的额外工作量，在环评过程中，及时、持续的与规划编制组和相关单位进行互动。</w:t>
      </w:r>
    </w:p>
    <w:p w14:paraId="42729AD7" w14:textId="77777777" w:rsidR="00054437" w:rsidRPr="000549B1" w:rsidRDefault="00000000" w:rsidP="000549B1">
      <w:pPr>
        <w:pStyle w:val="Z"/>
        <w:spacing w:before="156" w:after="156"/>
        <w:ind w:firstLine="480"/>
        <w:rPr>
          <w:b w:val="0"/>
          <w:bCs/>
          <w:color w:val="auto"/>
        </w:rPr>
      </w:pPr>
      <w:r w:rsidRPr="000549B1">
        <w:rPr>
          <w:b w:val="0"/>
          <w:bCs/>
          <w:color w:val="auto"/>
        </w:rPr>
        <w:t>2</w:t>
      </w:r>
      <w:r w:rsidRPr="000549B1">
        <w:rPr>
          <w:rFonts w:hint="eastAsia"/>
          <w:b w:val="0"/>
          <w:bCs/>
          <w:color w:val="auto"/>
        </w:rPr>
        <w:t>、互动内容</w:t>
      </w:r>
    </w:p>
    <w:p w14:paraId="7ACB8C00" w14:textId="77777777" w:rsidR="00054437" w:rsidRPr="000549B1" w:rsidRDefault="00000000" w:rsidP="000549B1">
      <w:pPr>
        <w:pStyle w:val="x"/>
        <w:rPr>
          <w:bCs/>
        </w:rPr>
      </w:pPr>
      <w:r w:rsidRPr="000549B1">
        <w:rPr>
          <w:bCs/>
        </w:rPr>
        <w:t>沙珠玉河流域综合规划从初稿到最终方案的编制过程中，经过</w:t>
      </w:r>
      <w:r w:rsidRPr="000549B1">
        <w:rPr>
          <w:rFonts w:hint="eastAsia"/>
          <w:bCs/>
        </w:rPr>
        <w:t>了</w:t>
      </w:r>
      <w:r w:rsidRPr="000549B1">
        <w:rPr>
          <w:bCs/>
        </w:rPr>
        <w:t>多轮论证和环评反馈，不断进行优化调整，以统筹工程开发与生态保护。环评工作全程深入参与规划方案的论证审查，及时提出环境约束和优化建议</w:t>
      </w:r>
      <w:r w:rsidRPr="000549B1">
        <w:rPr>
          <w:rFonts w:hint="eastAsia"/>
          <w:bCs/>
        </w:rPr>
        <w:t>。</w:t>
      </w:r>
    </w:p>
    <w:p w14:paraId="190121E9" w14:textId="77777777" w:rsidR="00054437" w:rsidRPr="000549B1" w:rsidRDefault="00000000" w:rsidP="000549B1">
      <w:pPr>
        <w:pStyle w:val="x"/>
        <w:rPr>
          <w:bCs/>
        </w:rPr>
      </w:pPr>
      <w:r w:rsidRPr="000549B1">
        <w:rPr>
          <w:rFonts w:hint="eastAsia"/>
          <w:bCs/>
        </w:rPr>
        <w:t>通过对规划内容的分析，收集与规划相关的法律法规、环境政策等，收集“三线一单”、“三区三线”成果，</w:t>
      </w:r>
      <w:r w:rsidRPr="000549B1">
        <w:rPr>
          <w:bCs/>
        </w:rPr>
        <w:t>对规划区域及可能受影响的区域进行现场踏勘，</w:t>
      </w:r>
      <w:r w:rsidRPr="000549B1">
        <w:rPr>
          <w:rFonts w:hint="eastAsia"/>
          <w:bCs/>
        </w:rPr>
        <w:t>与规划编制组一同收集相关基础数据资料，初步调查环境敏感区情况，识别规划实施的主要环境影响，分析提出规划实施的水资源、水环境、生态环境制约因素，反馈给规划编制组。</w:t>
      </w:r>
    </w:p>
    <w:p w14:paraId="438BA798" w14:textId="77777777" w:rsidR="00054437" w:rsidRPr="000549B1" w:rsidRDefault="00000000" w:rsidP="000549B1">
      <w:pPr>
        <w:pStyle w:val="x"/>
        <w:rPr>
          <w:bCs/>
        </w:rPr>
      </w:pPr>
      <w:r w:rsidRPr="000549B1">
        <w:rPr>
          <w:rFonts w:hint="eastAsia"/>
          <w:bCs/>
        </w:rPr>
        <w:t>在规划方案编制阶段，完成现状调查与评价，提出环境影响评价指标体系，分析、预测和评价拟定规划方案实施的水资源、水环境、生态环境影响，并将评价结果和结论反馈给规划编制组，作为方案比选和优化的参考和依据。</w:t>
      </w:r>
    </w:p>
    <w:p w14:paraId="73E6AA46" w14:textId="77777777" w:rsidR="00054437" w:rsidRPr="000549B1" w:rsidRDefault="00000000">
      <w:pPr>
        <w:pStyle w:val="x"/>
        <w:spacing w:before="156" w:after="156"/>
        <w:ind w:firstLine="480"/>
        <w:rPr>
          <w:bCs/>
        </w:rPr>
      </w:pPr>
      <w:r w:rsidRPr="000549B1">
        <w:rPr>
          <w:bCs/>
        </w:rPr>
        <w:t>在规划</w:t>
      </w:r>
      <w:r w:rsidRPr="000549B1">
        <w:rPr>
          <w:rFonts w:hint="eastAsia"/>
          <w:bCs/>
        </w:rPr>
        <w:t>内部咨询</w:t>
      </w:r>
      <w:r w:rsidRPr="000549B1">
        <w:rPr>
          <w:bCs/>
        </w:rPr>
        <w:t>阶段，进一步论证拟推荐规划方案的环境合理性，</w:t>
      </w:r>
      <w:r w:rsidRPr="000549B1">
        <w:rPr>
          <w:rFonts w:hint="eastAsia"/>
          <w:bCs/>
        </w:rPr>
        <w:t>重点针对生态流量的确定与合理性分析等内容，</w:t>
      </w:r>
      <w:r w:rsidRPr="000549B1">
        <w:rPr>
          <w:bCs/>
        </w:rPr>
        <w:t>形成优化调整建议，反馈给规划编制组。规划编制单位充分吸纳环评意见，不断对方案进行修改完善。通过这一动态衔接过程，规划方案逐步优化，确保最终方案在技术可行的同时具有良好的环境合理性。</w:t>
      </w:r>
    </w:p>
    <w:p w14:paraId="08690BDA" w14:textId="77777777" w:rsidR="00054437" w:rsidRPr="000549B1" w:rsidRDefault="00000000">
      <w:pPr>
        <w:pStyle w:val="x"/>
        <w:spacing w:before="156" w:after="156"/>
        <w:ind w:firstLine="480"/>
        <w:rPr>
          <w:bCs/>
        </w:rPr>
      </w:pPr>
      <w:r w:rsidRPr="000549B1">
        <w:rPr>
          <w:rFonts w:hint="eastAsia"/>
          <w:bCs/>
        </w:rPr>
        <w:t>3</w:t>
      </w:r>
      <w:r w:rsidRPr="000549B1">
        <w:rPr>
          <w:rFonts w:hint="eastAsia"/>
          <w:bCs/>
        </w:rPr>
        <w:t>、互动优化调整建议</w:t>
      </w:r>
    </w:p>
    <w:p w14:paraId="57AEF1EE" w14:textId="77777777" w:rsidR="00054437" w:rsidRPr="000549B1" w:rsidRDefault="00000000">
      <w:pPr>
        <w:pStyle w:val="x"/>
        <w:ind w:firstLine="480"/>
        <w:rPr>
          <w:bCs/>
        </w:rPr>
      </w:pPr>
      <w:r w:rsidRPr="000549B1">
        <w:rPr>
          <w:bCs/>
        </w:rPr>
        <w:t>在灌区布局上，规划</w:t>
      </w:r>
      <w:r w:rsidRPr="000549B1">
        <w:rPr>
          <w:rFonts w:hint="eastAsia"/>
          <w:bCs/>
        </w:rPr>
        <w:t>采纳规划环评意见，</w:t>
      </w:r>
      <w:r w:rsidRPr="000549B1">
        <w:rPr>
          <w:bCs/>
        </w:rPr>
        <w:t>充分衔接国土空间管控要求，完全避让了生态保护红线和环境敏感区。灌溉范围的选定尽量避开永久基本农田、生态保护红线以及沙化土地封禁保护区等受限区域，确保新增灌溉用地不侵占生态敏感空间。</w:t>
      </w:r>
    </w:p>
    <w:p w14:paraId="0C985218" w14:textId="77777777" w:rsidR="00054437" w:rsidRPr="000549B1" w:rsidRDefault="00000000">
      <w:pPr>
        <w:pStyle w:val="x"/>
        <w:ind w:firstLine="480"/>
        <w:rPr>
          <w:bCs/>
        </w:rPr>
      </w:pPr>
      <w:r w:rsidRPr="000549B1">
        <w:rPr>
          <w:rFonts w:hint="eastAsia"/>
          <w:bCs/>
        </w:rPr>
        <w:t>规划</w:t>
      </w:r>
      <w:r w:rsidRPr="000549B1">
        <w:rPr>
          <w:bCs/>
        </w:rPr>
        <w:t>方案初期</w:t>
      </w:r>
      <w:r w:rsidRPr="000549B1">
        <w:rPr>
          <w:rFonts w:hint="eastAsia"/>
          <w:bCs/>
        </w:rPr>
        <w:t>阶段，“三滩引水生态治理一期工程”</w:t>
      </w:r>
      <w:r w:rsidRPr="000549B1">
        <w:rPr>
          <w:bCs/>
        </w:rPr>
        <w:t>曾</w:t>
      </w:r>
      <w:r w:rsidRPr="000549B1">
        <w:rPr>
          <w:rFonts w:hint="eastAsia"/>
          <w:bCs/>
        </w:rPr>
        <w:t>考虑在</w:t>
      </w:r>
      <w:r w:rsidRPr="000549B1">
        <w:rPr>
          <w:bCs/>
        </w:rPr>
        <w:t>大河坝河筑坝蓄水，并建设取水口及输水隧洞以实现跨流域调水。</w:t>
      </w:r>
      <w:r w:rsidRPr="000549B1">
        <w:rPr>
          <w:rFonts w:hint="eastAsia"/>
          <w:bCs/>
        </w:rPr>
        <w:t>后</w:t>
      </w:r>
      <w:r w:rsidRPr="000549B1">
        <w:rPr>
          <w:bCs/>
        </w:rPr>
        <w:t>根据《关于黄河羊曲水电站工程环境影响报告书的批复》（环审〔</w:t>
      </w:r>
      <w:r w:rsidRPr="000549B1">
        <w:rPr>
          <w:bCs/>
        </w:rPr>
        <w:t>2020</w:t>
      </w:r>
      <w:r w:rsidRPr="000549B1">
        <w:rPr>
          <w:bCs/>
        </w:rPr>
        <w:t>〕</w:t>
      </w:r>
      <w:r w:rsidRPr="000549B1">
        <w:rPr>
          <w:bCs/>
        </w:rPr>
        <w:t>104</w:t>
      </w:r>
      <w:r w:rsidRPr="000549B1">
        <w:rPr>
          <w:bCs/>
        </w:rPr>
        <w:t>号）等相关规定，大河坝河全河段已被划定为鱼类栖息地，原则上禁止新建拦河建筑物。因此，为协调水资源调配与</w:t>
      </w:r>
      <w:r w:rsidRPr="000549B1">
        <w:rPr>
          <w:rFonts w:hint="eastAsia"/>
          <w:bCs/>
        </w:rPr>
        <w:t>水源区</w:t>
      </w:r>
      <w:r w:rsidRPr="000549B1">
        <w:rPr>
          <w:bCs/>
        </w:rPr>
        <w:t>生态保护需求，</w:t>
      </w:r>
      <w:r w:rsidRPr="000549B1">
        <w:rPr>
          <w:rFonts w:hint="eastAsia"/>
          <w:bCs/>
        </w:rPr>
        <w:t>“三滩”</w:t>
      </w:r>
      <w:r w:rsidRPr="000549B1">
        <w:rPr>
          <w:bCs/>
        </w:rPr>
        <w:t>工程方案优化为无坝引水，</w:t>
      </w:r>
      <w:r w:rsidRPr="000549B1">
        <w:rPr>
          <w:rFonts w:hint="eastAsia"/>
          <w:bCs/>
        </w:rPr>
        <w:t>大河坝河仅建设取水口，</w:t>
      </w:r>
      <w:r w:rsidRPr="000549B1">
        <w:rPr>
          <w:bCs/>
        </w:rPr>
        <w:t>不再修建拦河大坝</w:t>
      </w:r>
      <w:r w:rsidRPr="000549B1">
        <w:rPr>
          <w:rFonts w:hint="eastAsia"/>
          <w:bCs/>
        </w:rPr>
        <w:t>；同时，规划环评提出，要在优先满足并充分考虑大河坝河流域生态需水要求的前提下，再考虑给沙珠玉河流域补水</w:t>
      </w:r>
      <w:r w:rsidRPr="000549B1">
        <w:rPr>
          <w:bCs/>
        </w:rPr>
        <w:t>。该调整</w:t>
      </w:r>
      <w:r w:rsidRPr="000549B1">
        <w:rPr>
          <w:rFonts w:hint="eastAsia"/>
          <w:bCs/>
        </w:rPr>
        <w:t>坚持</w:t>
      </w:r>
      <w:r w:rsidRPr="000549B1">
        <w:rPr>
          <w:bCs/>
        </w:rPr>
        <w:t>生态优先原则，在满足沙珠玉河流域用水需求的同时，有效维护了大河坝河的自然连通性与栖息地功能</w:t>
      </w:r>
      <w:r w:rsidRPr="000549B1">
        <w:rPr>
          <w:rFonts w:hint="eastAsia"/>
          <w:bCs/>
        </w:rPr>
        <w:t>，保障了水源区河流的生态健康</w:t>
      </w:r>
      <w:r w:rsidRPr="000549B1">
        <w:rPr>
          <w:bCs/>
        </w:rPr>
        <w:t>。</w:t>
      </w:r>
    </w:p>
    <w:p w14:paraId="2B8658DB" w14:textId="77777777" w:rsidR="00054437" w:rsidRPr="000549B1" w:rsidRDefault="00000000" w:rsidP="000549B1">
      <w:pPr>
        <w:pStyle w:val="x"/>
        <w:ind w:firstLine="480"/>
        <w:rPr>
          <w:bCs/>
        </w:rPr>
      </w:pPr>
      <w:r w:rsidRPr="000549B1">
        <w:rPr>
          <w:bCs/>
        </w:rPr>
        <w:t>在规划与环评的衔接互动下，沙珠玉河流域综合规划方案实现了动态优化。避免了与生态保护红线</w:t>
      </w:r>
      <w:r w:rsidRPr="000549B1">
        <w:rPr>
          <w:rFonts w:hint="eastAsia"/>
          <w:bCs/>
        </w:rPr>
        <w:t>、环境</w:t>
      </w:r>
      <w:r w:rsidRPr="000549B1">
        <w:rPr>
          <w:bCs/>
        </w:rPr>
        <w:t>敏感区域的冲突，体现了</w:t>
      </w:r>
      <w:r w:rsidRPr="000549B1">
        <w:rPr>
          <w:rFonts w:ascii="宋体" w:hAnsi="宋体"/>
          <w:bCs/>
        </w:rPr>
        <w:t>“</w:t>
      </w:r>
      <w:r w:rsidRPr="000549B1">
        <w:rPr>
          <w:bCs/>
        </w:rPr>
        <w:t>生态优先、绿色发展</w:t>
      </w:r>
      <w:r w:rsidRPr="000549B1">
        <w:rPr>
          <w:rFonts w:ascii="宋体" w:hAnsi="宋体"/>
          <w:bCs/>
        </w:rPr>
        <w:t>”</w:t>
      </w:r>
      <w:r w:rsidRPr="000549B1">
        <w:rPr>
          <w:bCs/>
        </w:rPr>
        <w:t>的理念和以环境容量为基础的规划优化过程。</w:t>
      </w:r>
    </w:p>
    <w:p w14:paraId="12D37C1F" w14:textId="278F2BE4" w:rsidR="00054437" w:rsidRPr="000549B1" w:rsidRDefault="00000000">
      <w:pPr>
        <w:pStyle w:val="zhang3"/>
        <w:spacing w:before="156" w:after="156"/>
      </w:pPr>
      <w:r w:rsidRPr="000549B1">
        <w:rPr>
          <w:rFonts w:hint="eastAsia"/>
        </w:rPr>
        <w:t>规划方案优化调整建议</w:t>
      </w:r>
    </w:p>
    <w:p w14:paraId="5C1A8362" w14:textId="77777777" w:rsidR="007917B1" w:rsidRPr="000549B1" w:rsidRDefault="007917B1" w:rsidP="007917B1">
      <w:pPr>
        <w:pStyle w:val="x"/>
        <w:rPr>
          <w:bCs/>
        </w:rPr>
      </w:pPr>
      <w:r w:rsidRPr="000549B1">
        <w:rPr>
          <w:rFonts w:hint="eastAsia"/>
          <w:bCs/>
        </w:rPr>
        <w:t>针对目前规划方案，规划环评建议进一步从以下几方面进行优化调整：</w:t>
      </w:r>
    </w:p>
    <w:p w14:paraId="002F2C0F" w14:textId="77777777" w:rsidR="007917B1" w:rsidRPr="000549B1" w:rsidRDefault="007917B1" w:rsidP="007917B1">
      <w:pPr>
        <w:pStyle w:val="x"/>
        <w:rPr>
          <w:bCs/>
        </w:rPr>
      </w:pPr>
      <w:r w:rsidRPr="000549B1">
        <w:rPr>
          <w:rFonts w:hint="eastAsia"/>
          <w:bCs/>
        </w:rPr>
        <w:t>（</w:t>
      </w:r>
      <w:r w:rsidRPr="000549B1">
        <w:rPr>
          <w:bCs/>
        </w:rPr>
        <w:t>1</w:t>
      </w:r>
      <w:r w:rsidRPr="000549B1">
        <w:rPr>
          <w:rFonts w:hint="eastAsia"/>
          <w:bCs/>
        </w:rPr>
        <w:t>）本次沙珠玉河流域综合规划工程项目众多，种类繁杂，建设时序都集中在</w:t>
      </w:r>
      <w:r w:rsidRPr="000549B1">
        <w:rPr>
          <w:bCs/>
        </w:rPr>
        <w:t>2035</w:t>
      </w:r>
      <w:r w:rsidRPr="000549B1">
        <w:rPr>
          <w:rFonts w:hint="eastAsia"/>
          <w:bCs/>
        </w:rPr>
        <w:t>年前完成。规划应进一步细化规划项目建设时序安排，优先安排“三滩”引水工程、小型新建水库工程，保障流域饮用水水质安全，解决流域工程性缺水问题。其次持续开展流域防洪减灾工程，强化流域自然灾害防御能力。再次安排灌区现代化改造、高标准农田建设，保障农业用水安全；同步安排水生态修复、生态环境保护工程，保护流域生物多样性和三江源生态功能。</w:t>
      </w:r>
    </w:p>
    <w:p w14:paraId="44028F59" w14:textId="13F3D107" w:rsidR="00054437" w:rsidRPr="000549B1" w:rsidRDefault="007917B1">
      <w:pPr>
        <w:pStyle w:val="x"/>
        <w:ind w:firstLine="0"/>
        <w:rPr>
          <w:b/>
        </w:rPr>
        <w:sectPr w:rsidR="00054437" w:rsidRPr="000549B1">
          <w:pgSz w:w="11906" w:h="16838"/>
          <w:pgMar w:top="1440" w:right="1800" w:bottom="1440" w:left="1800" w:header="851" w:footer="992" w:gutter="0"/>
          <w:cols w:space="425"/>
          <w:docGrid w:type="lines" w:linePitch="312"/>
        </w:sectPr>
      </w:pPr>
      <w:r w:rsidRPr="000549B1">
        <w:rPr>
          <w:rFonts w:hint="eastAsia"/>
          <w:bCs/>
        </w:rPr>
        <w:t>（</w:t>
      </w:r>
      <w:r w:rsidRPr="000549B1">
        <w:rPr>
          <w:bCs/>
        </w:rPr>
        <w:t>2</w:t>
      </w:r>
      <w:r w:rsidRPr="000549B1">
        <w:rPr>
          <w:rFonts w:hint="eastAsia"/>
          <w:bCs/>
        </w:rPr>
        <w:t>）本次规划的重大水利工程“三滩”引水工程，其调水水源为大河坝河，根据《关于黄河羊曲水电站工程环境影响报告书的批复》（环审〔</w:t>
      </w:r>
      <w:r w:rsidRPr="000549B1">
        <w:rPr>
          <w:bCs/>
        </w:rPr>
        <w:t>2020</w:t>
      </w:r>
      <w:r w:rsidRPr="000549B1">
        <w:rPr>
          <w:rFonts w:hint="eastAsia"/>
          <w:bCs/>
        </w:rPr>
        <w:t>〕</w:t>
      </w:r>
      <w:r w:rsidRPr="000549B1">
        <w:rPr>
          <w:bCs/>
        </w:rPr>
        <w:t>104</w:t>
      </w:r>
      <w:r w:rsidRPr="000549B1">
        <w:rPr>
          <w:rFonts w:hint="eastAsia"/>
          <w:bCs/>
        </w:rPr>
        <w:t>号），大河坝河全河段已被划定为鱼类栖息地，生态保护要求高。建议根据水利部《水利水电工程生态流量计算与泄放设计规范》（</w:t>
      </w:r>
      <w:r w:rsidRPr="000549B1">
        <w:rPr>
          <w:bCs/>
        </w:rPr>
        <w:t>SL/T820-2023</w:t>
      </w:r>
      <w:r w:rsidRPr="000549B1">
        <w:rPr>
          <w:rFonts w:hint="eastAsia"/>
          <w:bCs/>
        </w:rPr>
        <w:t>），同时结合鱼类栖息地保护要求，进一步论证大河坝河的生态水量需求，完善“三滩”引水工程的建设方案、工程布局和工程规模等多方案比选内容。工程方案尽量避让自然保护区、饮用水水源保护区等环境敏感区。</w:t>
      </w:r>
    </w:p>
    <w:p w14:paraId="0EFDBAC0" w14:textId="77777777" w:rsidR="00054437" w:rsidRPr="00F8787D" w:rsidRDefault="00000000" w:rsidP="00F8787D">
      <w:pPr>
        <w:pStyle w:val="1"/>
      </w:pPr>
      <w:bookmarkStart w:id="438" w:name="_Toc216107067"/>
      <w:bookmarkStart w:id="439" w:name="_Hlk216033877"/>
      <w:r w:rsidRPr="00F8787D">
        <w:t>环境影响减缓对策和措施</w:t>
      </w:r>
      <w:bookmarkEnd w:id="438"/>
    </w:p>
    <w:p w14:paraId="15CC7058" w14:textId="4B6C948C" w:rsidR="00054437" w:rsidRPr="00F8787D" w:rsidRDefault="00000000" w:rsidP="00F8787D">
      <w:pPr>
        <w:pStyle w:val="2"/>
        <w:numPr>
          <w:ilvl w:val="1"/>
          <w:numId w:val="9"/>
        </w:numPr>
      </w:pPr>
      <w:bookmarkStart w:id="440" w:name="_Toc216107068"/>
      <w:bookmarkStart w:id="441" w:name="_Hlk216033896"/>
      <w:bookmarkEnd w:id="439"/>
      <w:r w:rsidRPr="00F8787D">
        <w:rPr>
          <w:rFonts w:hint="eastAsia"/>
        </w:rPr>
        <w:t>流域生态环境管控</w:t>
      </w:r>
      <w:bookmarkEnd w:id="440"/>
    </w:p>
    <w:p w14:paraId="4B418B4A" w14:textId="77777777" w:rsidR="00054437" w:rsidRPr="00F8787D" w:rsidRDefault="00000000" w:rsidP="00F8787D">
      <w:pPr>
        <w:pStyle w:val="3"/>
        <w:numPr>
          <w:ilvl w:val="2"/>
          <w:numId w:val="9"/>
        </w:numPr>
      </w:pPr>
      <w:bookmarkStart w:id="442" w:name="_Toc216107069"/>
      <w:r w:rsidRPr="00F8787D">
        <w:rPr>
          <w:rFonts w:hint="eastAsia"/>
        </w:rPr>
        <w:t>流域</w:t>
      </w:r>
      <w:bookmarkStart w:id="443" w:name="OLE_LINK46"/>
      <w:r w:rsidRPr="00F8787D">
        <w:rPr>
          <w:rFonts w:hint="eastAsia"/>
        </w:rPr>
        <w:t>生态环境管控</w:t>
      </w:r>
      <w:bookmarkEnd w:id="443"/>
      <w:r w:rsidRPr="00F8787D">
        <w:rPr>
          <w:rFonts w:hint="eastAsia"/>
        </w:rPr>
        <w:t>总体要求</w:t>
      </w:r>
      <w:bookmarkEnd w:id="442"/>
    </w:p>
    <w:p w14:paraId="2EC29508" w14:textId="77777777" w:rsidR="000C0FD1" w:rsidRPr="000549B1" w:rsidRDefault="000C0FD1" w:rsidP="000C0FD1">
      <w:pPr>
        <w:pStyle w:val="x"/>
      </w:pPr>
      <w:bookmarkStart w:id="444" w:name="_Hlk216122087"/>
      <w:r w:rsidRPr="000549B1">
        <w:t>沙珠玉河流域综合规划涉及青海省海南州共和县与兴海县，涵盖优先保护单元与一般管控单元共</w:t>
      </w:r>
      <w:r w:rsidRPr="000549B1">
        <w:t>4</w:t>
      </w:r>
      <w:r w:rsidRPr="000549B1">
        <w:t>类，规划实施须严格遵循国家及地方生态环境分区管控要求，确保流域开发建设与生态保护相协调。</w:t>
      </w:r>
    </w:p>
    <w:p w14:paraId="79DC1A69" w14:textId="04DC23FC" w:rsidR="000C0FD1" w:rsidRPr="00F8787D" w:rsidRDefault="00F8787D" w:rsidP="00F8787D">
      <w:pPr>
        <w:pStyle w:val="aff8"/>
      </w:pPr>
      <w:r w:rsidRPr="00F8787D">
        <w:rPr>
          <w:rFonts w:hint="eastAsia"/>
        </w:rPr>
        <w:t>表</w:t>
      </w:r>
      <w:r w:rsidRPr="00F8787D">
        <w:rPr>
          <w:rFonts w:hint="eastAsia"/>
        </w:rPr>
        <w:t xml:space="preserve"> </w:t>
      </w:r>
      <w:r w:rsidR="00372953">
        <w:fldChar w:fldCharType="begin"/>
      </w:r>
      <w:r w:rsidR="00372953">
        <w:instrText xml:space="preserve"> </w:instrText>
      </w:r>
      <w:r w:rsidR="00372953">
        <w:rPr>
          <w:rFonts w:hint="eastAsia"/>
        </w:rPr>
        <w:instrText>STYLEREF 2 \s</w:instrText>
      </w:r>
      <w:r w:rsidR="00372953">
        <w:instrText xml:space="preserve"> </w:instrText>
      </w:r>
      <w:r w:rsidR="00372953">
        <w:fldChar w:fldCharType="separate"/>
      </w:r>
      <w:r w:rsidR="00372953">
        <w:rPr>
          <w:noProof/>
        </w:rPr>
        <w:t>7.1</w:t>
      </w:r>
      <w:r w:rsidR="00372953">
        <w:fldChar w:fldCharType="end"/>
      </w:r>
      <w:r w:rsidR="00372953">
        <w:noBreakHyphen/>
      </w:r>
      <w:r w:rsidR="00372953">
        <w:fldChar w:fldCharType="begin"/>
      </w:r>
      <w:r w:rsidR="00372953">
        <w:instrText xml:space="preserve"> </w:instrText>
      </w:r>
      <w:r w:rsidR="00372953">
        <w:rPr>
          <w:rFonts w:hint="eastAsia"/>
        </w:rPr>
        <w:instrText xml:space="preserve">SEQ </w:instrText>
      </w:r>
      <w:r w:rsidR="00372953">
        <w:rPr>
          <w:rFonts w:hint="eastAsia"/>
        </w:rPr>
        <w:instrText>表</w:instrText>
      </w:r>
      <w:r w:rsidR="00372953">
        <w:rPr>
          <w:rFonts w:hint="eastAsia"/>
        </w:rPr>
        <w:instrText xml:space="preserve"> \* ARABIC \s 2</w:instrText>
      </w:r>
      <w:r w:rsidR="00372953">
        <w:instrText xml:space="preserve"> </w:instrText>
      </w:r>
      <w:r w:rsidR="00372953">
        <w:fldChar w:fldCharType="separate"/>
      </w:r>
      <w:r w:rsidR="00372953">
        <w:rPr>
          <w:noProof/>
        </w:rPr>
        <w:t>1</w:t>
      </w:r>
      <w:r w:rsidR="00372953">
        <w:fldChar w:fldCharType="end"/>
      </w:r>
      <w:r w:rsidR="000C0FD1" w:rsidRPr="00F8787D">
        <w:t>流域涉及生态环境管控单元一览表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10"/>
        <w:gridCol w:w="2101"/>
        <w:gridCol w:w="2767"/>
        <w:gridCol w:w="1489"/>
        <w:gridCol w:w="1329"/>
      </w:tblGrid>
      <w:tr w:rsidR="000549B1" w:rsidRPr="000549B1" w14:paraId="64D0080C" w14:textId="77777777" w:rsidTr="000C0FD1">
        <w:trPr>
          <w:tblHeader/>
        </w:trPr>
        <w:tc>
          <w:tcPr>
            <w:tcW w:w="0" w:type="auto"/>
            <w:tcMar>
              <w:top w:w="150" w:type="dxa"/>
              <w:left w:w="0" w:type="dxa"/>
              <w:bottom w:w="150" w:type="dxa"/>
              <w:right w:w="240" w:type="dxa"/>
            </w:tcMar>
            <w:vAlign w:val="center"/>
            <w:hideMark/>
          </w:tcPr>
          <w:p w14:paraId="0BEE2B6E" w14:textId="77777777" w:rsidR="000C0FD1" w:rsidRPr="000549B1" w:rsidRDefault="000C0FD1" w:rsidP="000C0FD1">
            <w:pPr>
              <w:jc w:val="center"/>
            </w:pPr>
            <w:r w:rsidRPr="000549B1">
              <w:t>序号</w:t>
            </w:r>
          </w:p>
        </w:tc>
        <w:tc>
          <w:tcPr>
            <w:tcW w:w="0" w:type="auto"/>
            <w:tcMar>
              <w:top w:w="150" w:type="dxa"/>
              <w:left w:w="240" w:type="dxa"/>
              <w:bottom w:w="150" w:type="dxa"/>
              <w:right w:w="240" w:type="dxa"/>
            </w:tcMar>
            <w:vAlign w:val="center"/>
            <w:hideMark/>
          </w:tcPr>
          <w:p w14:paraId="4B04C30C" w14:textId="77777777" w:rsidR="000C0FD1" w:rsidRPr="000549B1" w:rsidRDefault="000C0FD1" w:rsidP="000C0FD1">
            <w:pPr>
              <w:jc w:val="center"/>
            </w:pPr>
            <w:r w:rsidRPr="000549B1">
              <w:t>环境管控单元编码</w:t>
            </w:r>
          </w:p>
        </w:tc>
        <w:tc>
          <w:tcPr>
            <w:tcW w:w="0" w:type="auto"/>
            <w:tcMar>
              <w:top w:w="150" w:type="dxa"/>
              <w:left w:w="240" w:type="dxa"/>
              <w:bottom w:w="150" w:type="dxa"/>
              <w:right w:w="240" w:type="dxa"/>
            </w:tcMar>
            <w:vAlign w:val="center"/>
            <w:hideMark/>
          </w:tcPr>
          <w:p w14:paraId="10BB8405" w14:textId="77777777" w:rsidR="000C0FD1" w:rsidRPr="000549B1" w:rsidRDefault="000C0FD1" w:rsidP="000C0FD1">
            <w:pPr>
              <w:jc w:val="center"/>
            </w:pPr>
            <w:r w:rsidRPr="000549B1">
              <w:t>环境管控单元名称</w:t>
            </w:r>
          </w:p>
        </w:tc>
        <w:tc>
          <w:tcPr>
            <w:tcW w:w="0" w:type="auto"/>
            <w:tcMar>
              <w:top w:w="150" w:type="dxa"/>
              <w:left w:w="240" w:type="dxa"/>
              <w:bottom w:w="150" w:type="dxa"/>
              <w:right w:w="240" w:type="dxa"/>
            </w:tcMar>
            <w:vAlign w:val="center"/>
            <w:hideMark/>
          </w:tcPr>
          <w:p w14:paraId="04C4736F" w14:textId="77777777" w:rsidR="000C0FD1" w:rsidRPr="000549B1" w:rsidRDefault="000C0FD1" w:rsidP="000C0FD1">
            <w:pPr>
              <w:jc w:val="center"/>
            </w:pPr>
            <w:r w:rsidRPr="000549B1">
              <w:t>管控单元类型</w:t>
            </w:r>
          </w:p>
        </w:tc>
        <w:tc>
          <w:tcPr>
            <w:tcW w:w="0" w:type="auto"/>
            <w:tcMar>
              <w:top w:w="150" w:type="dxa"/>
              <w:left w:w="240" w:type="dxa"/>
              <w:bottom w:w="150" w:type="dxa"/>
              <w:right w:w="240" w:type="dxa"/>
            </w:tcMar>
            <w:vAlign w:val="center"/>
            <w:hideMark/>
          </w:tcPr>
          <w:p w14:paraId="7F8D24F7" w14:textId="77777777" w:rsidR="000C0FD1" w:rsidRPr="000549B1" w:rsidRDefault="000C0FD1" w:rsidP="000C0FD1">
            <w:pPr>
              <w:jc w:val="center"/>
            </w:pPr>
            <w:r w:rsidRPr="000549B1">
              <w:t>所属行政区</w:t>
            </w:r>
          </w:p>
        </w:tc>
      </w:tr>
      <w:tr w:rsidR="000549B1" w:rsidRPr="000549B1" w14:paraId="55F9C7BD" w14:textId="77777777" w:rsidTr="000C0FD1">
        <w:tc>
          <w:tcPr>
            <w:tcW w:w="0" w:type="auto"/>
            <w:tcMar>
              <w:top w:w="150" w:type="dxa"/>
              <w:left w:w="0" w:type="dxa"/>
              <w:bottom w:w="150" w:type="dxa"/>
              <w:right w:w="240" w:type="dxa"/>
            </w:tcMar>
            <w:vAlign w:val="center"/>
            <w:hideMark/>
          </w:tcPr>
          <w:p w14:paraId="1BD198FE" w14:textId="77777777" w:rsidR="000C0FD1" w:rsidRPr="000549B1" w:rsidRDefault="000C0FD1" w:rsidP="000C0FD1">
            <w:pPr>
              <w:jc w:val="center"/>
            </w:pPr>
            <w:r w:rsidRPr="000549B1">
              <w:t>1</w:t>
            </w:r>
          </w:p>
        </w:tc>
        <w:tc>
          <w:tcPr>
            <w:tcW w:w="0" w:type="auto"/>
            <w:tcMar>
              <w:top w:w="150" w:type="dxa"/>
              <w:left w:w="240" w:type="dxa"/>
              <w:bottom w:w="150" w:type="dxa"/>
              <w:right w:w="240" w:type="dxa"/>
            </w:tcMar>
            <w:vAlign w:val="center"/>
            <w:hideMark/>
          </w:tcPr>
          <w:p w14:paraId="52E6F993" w14:textId="77777777" w:rsidR="000C0FD1" w:rsidRPr="000549B1" w:rsidRDefault="000C0FD1" w:rsidP="000C0FD1">
            <w:pPr>
              <w:jc w:val="center"/>
            </w:pPr>
            <w:r w:rsidRPr="000549B1">
              <w:t>ZH63252110004</w:t>
            </w:r>
          </w:p>
        </w:tc>
        <w:tc>
          <w:tcPr>
            <w:tcW w:w="0" w:type="auto"/>
            <w:tcMar>
              <w:top w:w="150" w:type="dxa"/>
              <w:left w:w="240" w:type="dxa"/>
              <w:bottom w:w="150" w:type="dxa"/>
              <w:right w:w="240" w:type="dxa"/>
            </w:tcMar>
            <w:vAlign w:val="center"/>
            <w:hideMark/>
          </w:tcPr>
          <w:p w14:paraId="02016A2D" w14:textId="77777777" w:rsidR="000C0FD1" w:rsidRPr="000549B1" w:rsidRDefault="000C0FD1" w:rsidP="000C0FD1">
            <w:pPr>
              <w:jc w:val="center"/>
            </w:pPr>
            <w:r w:rsidRPr="000549B1">
              <w:t>共和县生态空间水源涵养重要区</w:t>
            </w:r>
          </w:p>
        </w:tc>
        <w:tc>
          <w:tcPr>
            <w:tcW w:w="0" w:type="auto"/>
            <w:tcMar>
              <w:top w:w="150" w:type="dxa"/>
              <w:left w:w="240" w:type="dxa"/>
              <w:bottom w:w="150" w:type="dxa"/>
              <w:right w:w="240" w:type="dxa"/>
            </w:tcMar>
            <w:vAlign w:val="center"/>
            <w:hideMark/>
          </w:tcPr>
          <w:p w14:paraId="0B52F7CC" w14:textId="77777777" w:rsidR="000C0FD1" w:rsidRPr="000549B1" w:rsidRDefault="000C0FD1" w:rsidP="000C0FD1">
            <w:pPr>
              <w:jc w:val="center"/>
            </w:pPr>
            <w:r w:rsidRPr="000549B1">
              <w:t>优先保护单元</w:t>
            </w:r>
          </w:p>
        </w:tc>
        <w:tc>
          <w:tcPr>
            <w:tcW w:w="0" w:type="auto"/>
            <w:tcMar>
              <w:top w:w="150" w:type="dxa"/>
              <w:left w:w="240" w:type="dxa"/>
              <w:bottom w:w="150" w:type="dxa"/>
              <w:right w:w="0" w:type="dxa"/>
            </w:tcMar>
            <w:vAlign w:val="center"/>
            <w:hideMark/>
          </w:tcPr>
          <w:p w14:paraId="08F9107A" w14:textId="77777777" w:rsidR="000C0FD1" w:rsidRPr="000549B1" w:rsidRDefault="000C0FD1" w:rsidP="000C0FD1">
            <w:pPr>
              <w:jc w:val="center"/>
            </w:pPr>
            <w:r w:rsidRPr="000549B1">
              <w:t>共和县</w:t>
            </w:r>
          </w:p>
        </w:tc>
      </w:tr>
      <w:tr w:rsidR="000549B1" w:rsidRPr="000549B1" w14:paraId="012113A0" w14:textId="77777777" w:rsidTr="000C0FD1">
        <w:tc>
          <w:tcPr>
            <w:tcW w:w="0" w:type="auto"/>
            <w:tcMar>
              <w:top w:w="150" w:type="dxa"/>
              <w:left w:w="0" w:type="dxa"/>
              <w:bottom w:w="150" w:type="dxa"/>
              <w:right w:w="240" w:type="dxa"/>
            </w:tcMar>
            <w:vAlign w:val="center"/>
            <w:hideMark/>
          </w:tcPr>
          <w:p w14:paraId="6A708DC7" w14:textId="77777777" w:rsidR="000C0FD1" w:rsidRPr="000549B1" w:rsidRDefault="000C0FD1" w:rsidP="000C0FD1">
            <w:pPr>
              <w:jc w:val="center"/>
            </w:pPr>
            <w:r w:rsidRPr="000549B1">
              <w:t>2</w:t>
            </w:r>
          </w:p>
        </w:tc>
        <w:tc>
          <w:tcPr>
            <w:tcW w:w="0" w:type="auto"/>
            <w:tcMar>
              <w:top w:w="150" w:type="dxa"/>
              <w:left w:w="240" w:type="dxa"/>
              <w:bottom w:w="150" w:type="dxa"/>
              <w:right w:w="240" w:type="dxa"/>
            </w:tcMar>
            <w:vAlign w:val="center"/>
            <w:hideMark/>
          </w:tcPr>
          <w:p w14:paraId="7AFC08B8" w14:textId="77777777" w:rsidR="000C0FD1" w:rsidRPr="000549B1" w:rsidRDefault="000C0FD1" w:rsidP="000C0FD1">
            <w:pPr>
              <w:jc w:val="center"/>
            </w:pPr>
            <w:r w:rsidRPr="000549B1">
              <w:t>ZH63252130001</w:t>
            </w:r>
          </w:p>
        </w:tc>
        <w:tc>
          <w:tcPr>
            <w:tcW w:w="0" w:type="auto"/>
            <w:tcMar>
              <w:top w:w="150" w:type="dxa"/>
              <w:left w:w="240" w:type="dxa"/>
              <w:bottom w:w="150" w:type="dxa"/>
              <w:right w:w="240" w:type="dxa"/>
            </w:tcMar>
            <w:vAlign w:val="center"/>
            <w:hideMark/>
          </w:tcPr>
          <w:p w14:paraId="31E77D98" w14:textId="77777777" w:rsidR="000C0FD1" w:rsidRPr="000549B1" w:rsidRDefault="000C0FD1" w:rsidP="000C0FD1">
            <w:pPr>
              <w:jc w:val="center"/>
            </w:pPr>
            <w:r w:rsidRPr="000549B1">
              <w:t>共和县一般管控单元耕地</w:t>
            </w:r>
          </w:p>
        </w:tc>
        <w:tc>
          <w:tcPr>
            <w:tcW w:w="0" w:type="auto"/>
            <w:tcMar>
              <w:top w:w="150" w:type="dxa"/>
              <w:left w:w="240" w:type="dxa"/>
              <w:bottom w:w="150" w:type="dxa"/>
              <w:right w:w="240" w:type="dxa"/>
            </w:tcMar>
            <w:vAlign w:val="center"/>
            <w:hideMark/>
          </w:tcPr>
          <w:p w14:paraId="18CA08B6" w14:textId="77777777" w:rsidR="000C0FD1" w:rsidRPr="000549B1" w:rsidRDefault="000C0FD1" w:rsidP="000C0FD1">
            <w:pPr>
              <w:jc w:val="center"/>
            </w:pPr>
            <w:r w:rsidRPr="000549B1">
              <w:t>一般管控单元</w:t>
            </w:r>
          </w:p>
        </w:tc>
        <w:tc>
          <w:tcPr>
            <w:tcW w:w="0" w:type="auto"/>
            <w:tcMar>
              <w:top w:w="150" w:type="dxa"/>
              <w:left w:w="240" w:type="dxa"/>
              <w:bottom w:w="150" w:type="dxa"/>
              <w:right w:w="0" w:type="dxa"/>
            </w:tcMar>
            <w:vAlign w:val="center"/>
            <w:hideMark/>
          </w:tcPr>
          <w:p w14:paraId="19BCF574" w14:textId="77777777" w:rsidR="000C0FD1" w:rsidRPr="000549B1" w:rsidRDefault="000C0FD1" w:rsidP="000C0FD1">
            <w:pPr>
              <w:jc w:val="center"/>
            </w:pPr>
            <w:r w:rsidRPr="000549B1">
              <w:t>共和县</w:t>
            </w:r>
          </w:p>
        </w:tc>
      </w:tr>
      <w:tr w:rsidR="000549B1" w:rsidRPr="000549B1" w14:paraId="167B26EE" w14:textId="77777777" w:rsidTr="000C0FD1">
        <w:tc>
          <w:tcPr>
            <w:tcW w:w="0" w:type="auto"/>
            <w:tcMar>
              <w:top w:w="150" w:type="dxa"/>
              <w:left w:w="0" w:type="dxa"/>
              <w:bottom w:w="150" w:type="dxa"/>
              <w:right w:w="240" w:type="dxa"/>
            </w:tcMar>
            <w:vAlign w:val="center"/>
            <w:hideMark/>
          </w:tcPr>
          <w:p w14:paraId="6CFA823E" w14:textId="77777777" w:rsidR="000C0FD1" w:rsidRPr="000549B1" w:rsidRDefault="000C0FD1" w:rsidP="000C0FD1">
            <w:pPr>
              <w:jc w:val="center"/>
            </w:pPr>
            <w:r w:rsidRPr="000549B1">
              <w:t>3</w:t>
            </w:r>
          </w:p>
        </w:tc>
        <w:tc>
          <w:tcPr>
            <w:tcW w:w="0" w:type="auto"/>
            <w:tcMar>
              <w:top w:w="150" w:type="dxa"/>
              <w:left w:w="240" w:type="dxa"/>
              <w:bottom w:w="150" w:type="dxa"/>
              <w:right w:w="240" w:type="dxa"/>
            </w:tcMar>
            <w:vAlign w:val="center"/>
            <w:hideMark/>
          </w:tcPr>
          <w:p w14:paraId="6163694D" w14:textId="77777777" w:rsidR="000C0FD1" w:rsidRPr="000549B1" w:rsidRDefault="000C0FD1" w:rsidP="000C0FD1">
            <w:pPr>
              <w:jc w:val="center"/>
            </w:pPr>
            <w:r w:rsidRPr="000549B1">
              <w:t>ZH63252130002</w:t>
            </w:r>
          </w:p>
        </w:tc>
        <w:tc>
          <w:tcPr>
            <w:tcW w:w="0" w:type="auto"/>
            <w:tcMar>
              <w:top w:w="150" w:type="dxa"/>
              <w:left w:w="240" w:type="dxa"/>
              <w:bottom w:w="150" w:type="dxa"/>
              <w:right w:w="240" w:type="dxa"/>
            </w:tcMar>
            <w:vAlign w:val="center"/>
            <w:hideMark/>
          </w:tcPr>
          <w:p w14:paraId="3DCBA031" w14:textId="77777777" w:rsidR="000C0FD1" w:rsidRPr="000549B1" w:rsidRDefault="000C0FD1" w:rsidP="000C0FD1">
            <w:pPr>
              <w:jc w:val="center"/>
            </w:pPr>
            <w:r w:rsidRPr="000549B1">
              <w:t>共和县一般管控单元</w:t>
            </w:r>
          </w:p>
        </w:tc>
        <w:tc>
          <w:tcPr>
            <w:tcW w:w="0" w:type="auto"/>
            <w:tcMar>
              <w:top w:w="150" w:type="dxa"/>
              <w:left w:w="240" w:type="dxa"/>
              <w:bottom w:w="150" w:type="dxa"/>
              <w:right w:w="240" w:type="dxa"/>
            </w:tcMar>
            <w:vAlign w:val="center"/>
            <w:hideMark/>
          </w:tcPr>
          <w:p w14:paraId="47CD3CE2" w14:textId="77777777" w:rsidR="000C0FD1" w:rsidRPr="000549B1" w:rsidRDefault="000C0FD1" w:rsidP="000C0FD1">
            <w:pPr>
              <w:jc w:val="center"/>
            </w:pPr>
            <w:r w:rsidRPr="000549B1">
              <w:t>一般管控单元</w:t>
            </w:r>
          </w:p>
        </w:tc>
        <w:tc>
          <w:tcPr>
            <w:tcW w:w="0" w:type="auto"/>
            <w:tcMar>
              <w:top w:w="150" w:type="dxa"/>
              <w:left w:w="240" w:type="dxa"/>
              <w:bottom w:w="150" w:type="dxa"/>
              <w:right w:w="0" w:type="dxa"/>
            </w:tcMar>
            <w:vAlign w:val="center"/>
            <w:hideMark/>
          </w:tcPr>
          <w:p w14:paraId="27A59613" w14:textId="77777777" w:rsidR="000C0FD1" w:rsidRPr="000549B1" w:rsidRDefault="000C0FD1" w:rsidP="000C0FD1">
            <w:pPr>
              <w:jc w:val="center"/>
            </w:pPr>
            <w:r w:rsidRPr="000549B1">
              <w:t>共和县</w:t>
            </w:r>
          </w:p>
        </w:tc>
      </w:tr>
      <w:tr w:rsidR="000549B1" w:rsidRPr="000549B1" w14:paraId="348CD6A4" w14:textId="77777777" w:rsidTr="000C0FD1">
        <w:tc>
          <w:tcPr>
            <w:tcW w:w="0" w:type="auto"/>
            <w:tcMar>
              <w:top w:w="150" w:type="dxa"/>
              <w:left w:w="0" w:type="dxa"/>
              <w:bottom w:w="150" w:type="dxa"/>
              <w:right w:w="240" w:type="dxa"/>
            </w:tcMar>
            <w:vAlign w:val="center"/>
            <w:hideMark/>
          </w:tcPr>
          <w:p w14:paraId="0D912BA4" w14:textId="77777777" w:rsidR="000C0FD1" w:rsidRPr="000549B1" w:rsidRDefault="000C0FD1" w:rsidP="000C0FD1">
            <w:pPr>
              <w:jc w:val="center"/>
            </w:pPr>
            <w:r w:rsidRPr="000549B1">
              <w:t>4</w:t>
            </w:r>
          </w:p>
        </w:tc>
        <w:tc>
          <w:tcPr>
            <w:tcW w:w="0" w:type="auto"/>
            <w:tcMar>
              <w:top w:w="150" w:type="dxa"/>
              <w:left w:w="240" w:type="dxa"/>
              <w:bottom w:w="150" w:type="dxa"/>
              <w:right w:w="240" w:type="dxa"/>
            </w:tcMar>
            <w:vAlign w:val="center"/>
            <w:hideMark/>
          </w:tcPr>
          <w:p w14:paraId="1543E861" w14:textId="77777777" w:rsidR="000C0FD1" w:rsidRPr="000549B1" w:rsidRDefault="000C0FD1" w:rsidP="000C0FD1">
            <w:pPr>
              <w:jc w:val="center"/>
            </w:pPr>
            <w:r w:rsidRPr="000549B1">
              <w:t>ZH63252430002</w:t>
            </w:r>
          </w:p>
        </w:tc>
        <w:tc>
          <w:tcPr>
            <w:tcW w:w="0" w:type="auto"/>
            <w:tcMar>
              <w:top w:w="150" w:type="dxa"/>
              <w:left w:w="240" w:type="dxa"/>
              <w:bottom w:w="150" w:type="dxa"/>
              <w:right w:w="240" w:type="dxa"/>
            </w:tcMar>
            <w:vAlign w:val="center"/>
            <w:hideMark/>
          </w:tcPr>
          <w:p w14:paraId="693694BF" w14:textId="77777777" w:rsidR="000C0FD1" w:rsidRPr="000549B1" w:rsidRDefault="000C0FD1" w:rsidP="000C0FD1">
            <w:pPr>
              <w:jc w:val="center"/>
            </w:pPr>
            <w:r w:rsidRPr="000549B1">
              <w:t>兴海县一般管控单元</w:t>
            </w:r>
          </w:p>
        </w:tc>
        <w:tc>
          <w:tcPr>
            <w:tcW w:w="0" w:type="auto"/>
            <w:tcMar>
              <w:top w:w="150" w:type="dxa"/>
              <w:left w:w="240" w:type="dxa"/>
              <w:bottom w:w="150" w:type="dxa"/>
              <w:right w:w="240" w:type="dxa"/>
            </w:tcMar>
            <w:vAlign w:val="center"/>
            <w:hideMark/>
          </w:tcPr>
          <w:p w14:paraId="6DF55679" w14:textId="77777777" w:rsidR="000C0FD1" w:rsidRPr="000549B1" w:rsidRDefault="000C0FD1" w:rsidP="000C0FD1">
            <w:pPr>
              <w:jc w:val="center"/>
            </w:pPr>
            <w:r w:rsidRPr="000549B1">
              <w:t>一般管控单元</w:t>
            </w:r>
          </w:p>
        </w:tc>
        <w:tc>
          <w:tcPr>
            <w:tcW w:w="0" w:type="auto"/>
            <w:tcMar>
              <w:top w:w="150" w:type="dxa"/>
              <w:left w:w="240" w:type="dxa"/>
              <w:bottom w:w="150" w:type="dxa"/>
              <w:right w:w="0" w:type="dxa"/>
            </w:tcMar>
            <w:vAlign w:val="center"/>
            <w:hideMark/>
          </w:tcPr>
          <w:p w14:paraId="78036028" w14:textId="77777777" w:rsidR="000C0FD1" w:rsidRPr="000549B1" w:rsidRDefault="000C0FD1" w:rsidP="000C0FD1">
            <w:pPr>
              <w:jc w:val="center"/>
            </w:pPr>
            <w:r w:rsidRPr="000549B1">
              <w:t>兴海县</w:t>
            </w:r>
          </w:p>
        </w:tc>
      </w:tr>
    </w:tbl>
    <w:p w14:paraId="6D726E29" w14:textId="7E66BE85" w:rsidR="000C0FD1" w:rsidRPr="000549B1" w:rsidRDefault="000C0FD1" w:rsidP="000C0FD1">
      <w:pPr>
        <w:pStyle w:val="x"/>
      </w:pPr>
      <w:r w:rsidRPr="000549B1">
        <w:t>空间布局约束要求</w:t>
      </w:r>
      <w:r w:rsidRPr="000549B1">
        <w:rPr>
          <w:rFonts w:hint="eastAsia"/>
        </w:rPr>
        <w:t>：</w:t>
      </w:r>
      <w:r w:rsidRPr="000549B1">
        <w:t>规划项目必须符合各级国土空间规划与生态环境分区管控方案，严禁在禁止或限制开发区域布局不符合主体功能定位的建设项目。</w:t>
      </w:r>
    </w:p>
    <w:bookmarkEnd w:id="444"/>
    <w:p w14:paraId="4ABC4C8F" w14:textId="77777777" w:rsidR="000C0FD1" w:rsidRPr="000549B1" w:rsidRDefault="000C0FD1" w:rsidP="000C0FD1">
      <w:pPr>
        <w:pStyle w:val="x"/>
      </w:pPr>
    </w:p>
    <w:p w14:paraId="72369866" w14:textId="77777777" w:rsidR="000C0FD1" w:rsidRPr="000549B1" w:rsidRDefault="000C0FD1" w:rsidP="000C0FD1">
      <w:pPr>
        <w:pStyle w:val="x"/>
      </w:pPr>
    </w:p>
    <w:p w14:paraId="5F4E3405" w14:textId="77777777" w:rsidR="000C0FD1" w:rsidRPr="000549B1" w:rsidRDefault="000C0FD1" w:rsidP="000C0FD1">
      <w:pPr>
        <w:pStyle w:val="x"/>
      </w:pPr>
    </w:p>
    <w:p w14:paraId="0CF46299" w14:textId="77777777" w:rsidR="000C0FD1" w:rsidRPr="000549B1" w:rsidRDefault="000C0FD1" w:rsidP="000C0FD1">
      <w:pPr>
        <w:pStyle w:val="x"/>
      </w:pPr>
    </w:p>
    <w:p w14:paraId="01CB8BF1" w14:textId="77777777" w:rsidR="000C0FD1" w:rsidRPr="000549B1" w:rsidRDefault="000C0FD1" w:rsidP="000C0FD1">
      <w:pPr>
        <w:pStyle w:val="x"/>
      </w:pPr>
    </w:p>
    <w:p w14:paraId="54B1633A" w14:textId="77777777" w:rsidR="000C0FD1" w:rsidRPr="000549B1" w:rsidRDefault="000C0FD1" w:rsidP="000C0FD1">
      <w:pPr>
        <w:pStyle w:val="x"/>
      </w:pPr>
    </w:p>
    <w:p w14:paraId="49129EAA" w14:textId="77777777" w:rsidR="000C0FD1" w:rsidRPr="000549B1" w:rsidRDefault="000C0FD1" w:rsidP="000C0FD1">
      <w:pPr>
        <w:pStyle w:val="x"/>
      </w:pPr>
    </w:p>
    <w:p w14:paraId="59F90943" w14:textId="4F12FADE" w:rsidR="000C0FD1" w:rsidRPr="00F8787D" w:rsidRDefault="00F8787D" w:rsidP="00F8787D">
      <w:pPr>
        <w:pStyle w:val="aff8"/>
      </w:pPr>
      <w:bookmarkStart w:id="445" w:name="_Hlk216122169"/>
      <w:r w:rsidRPr="00F8787D">
        <w:rPr>
          <w:rFonts w:hint="eastAsia"/>
        </w:rPr>
        <w:t>表</w:t>
      </w:r>
      <w:r w:rsidRPr="00F8787D">
        <w:rPr>
          <w:rFonts w:hint="eastAsia"/>
        </w:rPr>
        <w:t xml:space="preserve"> </w:t>
      </w:r>
      <w:r w:rsidR="00372953">
        <w:fldChar w:fldCharType="begin"/>
      </w:r>
      <w:r w:rsidR="00372953">
        <w:instrText xml:space="preserve"> </w:instrText>
      </w:r>
      <w:r w:rsidR="00372953">
        <w:rPr>
          <w:rFonts w:hint="eastAsia"/>
        </w:rPr>
        <w:instrText>STYLEREF 2 \s</w:instrText>
      </w:r>
      <w:r w:rsidR="00372953">
        <w:instrText xml:space="preserve"> </w:instrText>
      </w:r>
      <w:r w:rsidR="00372953">
        <w:fldChar w:fldCharType="separate"/>
      </w:r>
      <w:r w:rsidR="00372953">
        <w:rPr>
          <w:noProof/>
        </w:rPr>
        <w:t>7.1</w:t>
      </w:r>
      <w:r w:rsidR="00372953">
        <w:fldChar w:fldCharType="end"/>
      </w:r>
      <w:r w:rsidR="00372953">
        <w:noBreakHyphen/>
      </w:r>
      <w:r w:rsidR="00372953">
        <w:fldChar w:fldCharType="begin"/>
      </w:r>
      <w:r w:rsidR="00372953">
        <w:instrText xml:space="preserve"> </w:instrText>
      </w:r>
      <w:r w:rsidR="00372953">
        <w:rPr>
          <w:rFonts w:hint="eastAsia"/>
        </w:rPr>
        <w:instrText xml:space="preserve">SEQ </w:instrText>
      </w:r>
      <w:r w:rsidR="00372953">
        <w:rPr>
          <w:rFonts w:hint="eastAsia"/>
        </w:rPr>
        <w:instrText>表</w:instrText>
      </w:r>
      <w:r w:rsidR="00372953">
        <w:rPr>
          <w:rFonts w:hint="eastAsia"/>
        </w:rPr>
        <w:instrText xml:space="preserve"> \* ARABIC \s 2</w:instrText>
      </w:r>
      <w:r w:rsidR="00372953">
        <w:instrText xml:space="preserve"> </w:instrText>
      </w:r>
      <w:r w:rsidR="00372953">
        <w:fldChar w:fldCharType="separate"/>
      </w:r>
      <w:r w:rsidR="00372953">
        <w:rPr>
          <w:noProof/>
        </w:rPr>
        <w:t>2</w:t>
      </w:r>
      <w:r w:rsidR="00372953">
        <w:fldChar w:fldCharType="end"/>
      </w:r>
      <w:r w:rsidR="000C0FD1" w:rsidRPr="00F8787D">
        <w:t>空间布局核心约束要求</w:t>
      </w:r>
    </w:p>
    <w:tbl>
      <w:tblPr>
        <w:tblW w:w="8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5"/>
        <w:gridCol w:w="4480"/>
        <w:gridCol w:w="3337"/>
      </w:tblGrid>
      <w:tr w:rsidR="000549B1" w:rsidRPr="000549B1" w14:paraId="6FFE937D" w14:textId="77777777" w:rsidTr="000C0FD1">
        <w:trPr>
          <w:trHeight w:val="520"/>
          <w:tblHeader/>
        </w:trPr>
        <w:tc>
          <w:tcPr>
            <w:tcW w:w="0" w:type="auto"/>
            <w:tcMar>
              <w:top w:w="150" w:type="dxa"/>
              <w:left w:w="0" w:type="dxa"/>
              <w:bottom w:w="150" w:type="dxa"/>
              <w:right w:w="240" w:type="dxa"/>
            </w:tcMar>
            <w:vAlign w:val="center"/>
            <w:hideMark/>
          </w:tcPr>
          <w:p w14:paraId="41E53E9C" w14:textId="77777777" w:rsidR="000C0FD1" w:rsidRPr="000549B1" w:rsidRDefault="000C0FD1" w:rsidP="000C0FD1">
            <w:pPr>
              <w:jc w:val="center"/>
            </w:pPr>
            <w:r w:rsidRPr="000549B1">
              <w:t>管控维度</w:t>
            </w:r>
          </w:p>
        </w:tc>
        <w:tc>
          <w:tcPr>
            <w:tcW w:w="0" w:type="auto"/>
            <w:tcMar>
              <w:top w:w="150" w:type="dxa"/>
              <w:left w:w="240" w:type="dxa"/>
              <w:bottom w:w="150" w:type="dxa"/>
              <w:right w:w="240" w:type="dxa"/>
            </w:tcMar>
            <w:vAlign w:val="center"/>
            <w:hideMark/>
          </w:tcPr>
          <w:p w14:paraId="129FB666" w14:textId="77777777" w:rsidR="000C0FD1" w:rsidRPr="000549B1" w:rsidRDefault="000C0FD1" w:rsidP="000C0FD1">
            <w:pPr>
              <w:jc w:val="center"/>
            </w:pPr>
            <w:r w:rsidRPr="000549B1">
              <w:t>核心约束要求</w:t>
            </w:r>
          </w:p>
        </w:tc>
        <w:tc>
          <w:tcPr>
            <w:tcW w:w="0" w:type="auto"/>
            <w:tcMar>
              <w:top w:w="150" w:type="dxa"/>
              <w:left w:w="240" w:type="dxa"/>
              <w:bottom w:w="150" w:type="dxa"/>
              <w:right w:w="240" w:type="dxa"/>
            </w:tcMar>
            <w:vAlign w:val="center"/>
            <w:hideMark/>
          </w:tcPr>
          <w:p w14:paraId="142524B9" w14:textId="77777777" w:rsidR="000C0FD1" w:rsidRPr="000549B1" w:rsidRDefault="000C0FD1" w:rsidP="000C0FD1">
            <w:pPr>
              <w:jc w:val="center"/>
            </w:pPr>
            <w:r w:rsidRPr="000549B1">
              <w:t>依据与执行范围</w:t>
            </w:r>
          </w:p>
        </w:tc>
      </w:tr>
      <w:tr w:rsidR="000549B1" w:rsidRPr="000549B1" w14:paraId="383B5A14" w14:textId="77777777" w:rsidTr="000C0FD1">
        <w:trPr>
          <w:trHeight w:val="1559"/>
        </w:trPr>
        <w:tc>
          <w:tcPr>
            <w:tcW w:w="0" w:type="auto"/>
            <w:tcMar>
              <w:top w:w="150" w:type="dxa"/>
              <w:left w:w="0" w:type="dxa"/>
              <w:bottom w:w="150" w:type="dxa"/>
              <w:right w:w="240" w:type="dxa"/>
            </w:tcMar>
            <w:vAlign w:val="center"/>
            <w:hideMark/>
          </w:tcPr>
          <w:p w14:paraId="146D0ACA" w14:textId="77777777" w:rsidR="000C0FD1" w:rsidRPr="000549B1" w:rsidRDefault="000C0FD1" w:rsidP="000C0FD1">
            <w:pPr>
              <w:jc w:val="center"/>
            </w:pPr>
            <w:r w:rsidRPr="000549B1">
              <w:rPr>
                <w:b/>
                <w:bCs/>
              </w:rPr>
              <w:t>生态保护红线及水源涵养区</w:t>
            </w:r>
          </w:p>
        </w:tc>
        <w:tc>
          <w:tcPr>
            <w:tcW w:w="0" w:type="auto"/>
            <w:tcMar>
              <w:top w:w="150" w:type="dxa"/>
              <w:left w:w="240" w:type="dxa"/>
              <w:bottom w:w="150" w:type="dxa"/>
              <w:right w:w="240" w:type="dxa"/>
            </w:tcMar>
            <w:vAlign w:val="center"/>
            <w:hideMark/>
          </w:tcPr>
          <w:p w14:paraId="36439BE9" w14:textId="77777777" w:rsidR="000C0FD1" w:rsidRPr="000549B1" w:rsidRDefault="000C0FD1" w:rsidP="000C0FD1">
            <w:pPr>
              <w:jc w:val="center"/>
            </w:pPr>
            <w:r w:rsidRPr="000549B1">
              <w:t>禁止新建高耗水、高污染项目；禁止过度放牧、毁林开荒、无序采矿等破坏水源涵养功能的活动。</w:t>
            </w:r>
          </w:p>
        </w:tc>
        <w:tc>
          <w:tcPr>
            <w:tcW w:w="0" w:type="auto"/>
            <w:tcMar>
              <w:top w:w="150" w:type="dxa"/>
              <w:left w:w="240" w:type="dxa"/>
              <w:bottom w:w="150" w:type="dxa"/>
              <w:right w:w="0" w:type="dxa"/>
            </w:tcMar>
            <w:vAlign w:val="center"/>
            <w:hideMark/>
          </w:tcPr>
          <w:p w14:paraId="5AC0F9C8" w14:textId="77777777" w:rsidR="000C0FD1" w:rsidRPr="000549B1" w:rsidRDefault="000C0FD1" w:rsidP="000C0FD1">
            <w:pPr>
              <w:jc w:val="center"/>
            </w:pPr>
            <w:r w:rsidRPr="000549B1">
              <w:t>海南州管控要求第十七条（水源涵养极重要区）、第二十一条（泛共和盆地）；共和县生态空间水源涵养重要区单元要求。</w:t>
            </w:r>
          </w:p>
        </w:tc>
      </w:tr>
      <w:tr w:rsidR="000549B1" w:rsidRPr="000549B1" w14:paraId="65AE69E4" w14:textId="77777777" w:rsidTr="000C0FD1">
        <w:trPr>
          <w:trHeight w:val="1559"/>
        </w:trPr>
        <w:tc>
          <w:tcPr>
            <w:tcW w:w="0" w:type="auto"/>
            <w:tcMar>
              <w:top w:w="150" w:type="dxa"/>
              <w:left w:w="0" w:type="dxa"/>
              <w:bottom w:w="150" w:type="dxa"/>
              <w:right w:w="240" w:type="dxa"/>
            </w:tcMar>
            <w:vAlign w:val="center"/>
            <w:hideMark/>
          </w:tcPr>
          <w:p w14:paraId="57FB84BC" w14:textId="77777777" w:rsidR="000C0FD1" w:rsidRPr="000549B1" w:rsidRDefault="000C0FD1" w:rsidP="000C0FD1">
            <w:pPr>
              <w:jc w:val="center"/>
            </w:pPr>
            <w:r w:rsidRPr="000549B1">
              <w:rPr>
                <w:b/>
                <w:bCs/>
              </w:rPr>
              <w:t>耕地与永久基本农田</w:t>
            </w:r>
          </w:p>
        </w:tc>
        <w:tc>
          <w:tcPr>
            <w:tcW w:w="0" w:type="auto"/>
            <w:tcMar>
              <w:top w:w="150" w:type="dxa"/>
              <w:left w:w="240" w:type="dxa"/>
              <w:bottom w:w="150" w:type="dxa"/>
              <w:right w:w="240" w:type="dxa"/>
            </w:tcMar>
            <w:vAlign w:val="center"/>
            <w:hideMark/>
          </w:tcPr>
          <w:p w14:paraId="67200779" w14:textId="77777777" w:rsidR="000C0FD1" w:rsidRPr="000549B1" w:rsidRDefault="000C0FD1" w:rsidP="000C0FD1">
            <w:pPr>
              <w:jc w:val="center"/>
            </w:pPr>
            <w:r w:rsidRPr="000549B1">
              <w:t>严禁擅自占用或改变永久基本农田用途；禁止在耕地内进行非农建设、发展林果业、挖塘养鱼；禁止破坏耕作层。</w:t>
            </w:r>
          </w:p>
        </w:tc>
        <w:tc>
          <w:tcPr>
            <w:tcW w:w="0" w:type="auto"/>
            <w:tcMar>
              <w:top w:w="150" w:type="dxa"/>
              <w:left w:w="240" w:type="dxa"/>
              <w:bottom w:w="150" w:type="dxa"/>
              <w:right w:w="0" w:type="dxa"/>
            </w:tcMar>
            <w:vAlign w:val="center"/>
            <w:hideMark/>
          </w:tcPr>
          <w:p w14:paraId="52CB8B5E" w14:textId="77777777" w:rsidR="000C0FD1" w:rsidRPr="000549B1" w:rsidRDefault="000C0FD1" w:rsidP="000C0FD1">
            <w:pPr>
              <w:jc w:val="center"/>
            </w:pPr>
            <w:r w:rsidRPr="000549B1">
              <w:t>海南州管控要求第七条（草原及农用地）；共和县一般管控单元耕地单元要求。</w:t>
            </w:r>
          </w:p>
        </w:tc>
      </w:tr>
      <w:tr w:rsidR="000549B1" w:rsidRPr="000549B1" w14:paraId="25CE6108" w14:textId="77777777" w:rsidTr="000C0FD1">
        <w:trPr>
          <w:trHeight w:val="1572"/>
        </w:trPr>
        <w:tc>
          <w:tcPr>
            <w:tcW w:w="0" w:type="auto"/>
            <w:tcMar>
              <w:top w:w="150" w:type="dxa"/>
              <w:left w:w="0" w:type="dxa"/>
              <w:bottom w:w="150" w:type="dxa"/>
              <w:right w:w="240" w:type="dxa"/>
            </w:tcMar>
            <w:vAlign w:val="center"/>
            <w:hideMark/>
          </w:tcPr>
          <w:p w14:paraId="6F213A60" w14:textId="77777777" w:rsidR="000C0FD1" w:rsidRPr="000549B1" w:rsidRDefault="000C0FD1" w:rsidP="000C0FD1">
            <w:pPr>
              <w:jc w:val="center"/>
            </w:pPr>
            <w:r w:rsidRPr="000549B1">
              <w:rPr>
                <w:b/>
                <w:bCs/>
              </w:rPr>
              <w:t>一般管控区产业准入</w:t>
            </w:r>
          </w:p>
        </w:tc>
        <w:tc>
          <w:tcPr>
            <w:tcW w:w="0" w:type="auto"/>
            <w:tcMar>
              <w:top w:w="150" w:type="dxa"/>
              <w:left w:w="240" w:type="dxa"/>
              <w:bottom w:w="150" w:type="dxa"/>
              <w:right w:w="240" w:type="dxa"/>
            </w:tcMar>
            <w:vAlign w:val="center"/>
            <w:hideMark/>
          </w:tcPr>
          <w:p w14:paraId="68C959F3" w14:textId="77777777" w:rsidR="000C0FD1" w:rsidRPr="000549B1" w:rsidRDefault="000C0FD1" w:rsidP="000C0FD1">
            <w:pPr>
              <w:jc w:val="center"/>
            </w:pPr>
            <w:r w:rsidRPr="000549B1">
              <w:t>禁止新建火电、钢铁、有色冶炼、化工、水泥等大气污染型项目；禁止新建、改扩建小水电；禁止在邻近基本农田区域新增排放重金属及有机污染物的项目。</w:t>
            </w:r>
          </w:p>
        </w:tc>
        <w:tc>
          <w:tcPr>
            <w:tcW w:w="0" w:type="auto"/>
            <w:tcMar>
              <w:top w:w="150" w:type="dxa"/>
              <w:left w:w="240" w:type="dxa"/>
              <w:bottom w:w="150" w:type="dxa"/>
              <w:right w:w="0" w:type="dxa"/>
            </w:tcMar>
            <w:vAlign w:val="center"/>
            <w:hideMark/>
          </w:tcPr>
          <w:p w14:paraId="0F8CC0D5" w14:textId="77777777" w:rsidR="000C0FD1" w:rsidRPr="000549B1" w:rsidRDefault="000C0FD1" w:rsidP="000C0FD1">
            <w:pPr>
              <w:jc w:val="center"/>
            </w:pPr>
            <w:r w:rsidRPr="000549B1">
              <w:t>共和县、兴海县一般管控单元准入要求。</w:t>
            </w:r>
          </w:p>
        </w:tc>
      </w:tr>
      <w:tr w:rsidR="000549B1" w:rsidRPr="000549B1" w14:paraId="17180203" w14:textId="77777777" w:rsidTr="000C0FD1">
        <w:trPr>
          <w:trHeight w:val="1559"/>
        </w:trPr>
        <w:tc>
          <w:tcPr>
            <w:tcW w:w="0" w:type="auto"/>
            <w:tcMar>
              <w:top w:w="150" w:type="dxa"/>
              <w:left w:w="0" w:type="dxa"/>
              <w:bottom w:w="150" w:type="dxa"/>
              <w:right w:w="240" w:type="dxa"/>
            </w:tcMar>
            <w:vAlign w:val="center"/>
            <w:hideMark/>
          </w:tcPr>
          <w:p w14:paraId="796D257A" w14:textId="77777777" w:rsidR="000C0FD1" w:rsidRPr="000549B1" w:rsidRDefault="000C0FD1" w:rsidP="000C0FD1">
            <w:pPr>
              <w:jc w:val="center"/>
            </w:pPr>
            <w:r w:rsidRPr="000549B1">
              <w:rPr>
                <w:b/>
                <w:bCs/>
              </w:rPr>
              <w:t>黄河流域与青藏高原保护</w:t>
            </w:r>
          </w:p>
        </w:tc>
        <w:tc>
          <w:tcPr>
            <w:tcW w:w="0" w:type="auto"/>
            <w:tcMar>
              <w:top w:w="150" w:type="dxa"/>
              <w:left w:w="240" w:type="dxa"/>
              <w:bottom w:w="150" w:type="dxa"/>
              <w:right w:w="240" w:type="dxa"/>
            </w:tcMar>
            <w:vAlign w:val="center"/>
            <w:hideMark/>
          </w:tcPr>
          <w:p w14:paraId="6B43B4A6" w14:textId="77777777" w:rsidR="000C0FD1" w:rsidRPr="000549B1" w:rsidRDefault="000C0FD1" w:rsidP="000C0FD1">
            <w:pPr>
              <w:jc w:val="center"/>
            </w:pPr>
            <w:r w:rsidRPr="000549B1">
              <w:t>禁止在河道、湖泊管理范围内从事采砂、采矿、渔猎等活动；禁止在水土流失严重、生态脆弱区开展可能造成水土流失的生产建设活动；禁止取用深层地下水用于农业灌溉。</w:t>
            </w:r>
          </w:p>
        </w:tc>
        <w:tc>
          <w:tcPr>
            <w:tcW w:w="0" w:type="auto"/>
            <w:tcMar>
              <w:top w:w="150" w:type="dxa"/>
              <w:left w:w="240" w:type="dxa"/>
              <w:bottom w:w="150" w:type="dxa"/>
              <w:right w:w="0" w:type="dxa"/>
            </w:tcMar>
            <w:vAlign w:val="center"/>
            <w:hideMark/>
          </w:tcPr>
          <w:p w14:paraId="1F7643E9" w14:textId="77777777" w:rsidR="000C0FD1" w:rsidRPr="000549B1" w:rsidRDefault="000C0FD1" w:rsidP="000C0FD1">
            <w:pPr>
              <w:jc w:val="center"/>
            </w:pPr>
            <w:r w:rsidRPr="000549B1">
              <w:t>海南州管控要求第一条（青藏高原）、第三条（黄河流域）。</w:t>
            </w:r>
          </w:p>
        </w:tc>
      </w:tr>
    </w:tbl>
    <w:p w14:paraId="70182372" w14:textId="77777777" w:rsidR="000C0FD1" w:rsidRPr="000549B1" w:rsidRDefault="000C0FD1" w:rsidP="000C0FD1">
      <w:pPr>
        <w:pStyle w:val="x"/>
      </w:pPr>
      <w:r w:rsidRPr="000549B1">
        <w:rPr>
          <w:b/>
          <w:bCs/>
        </w:rPr>
        <w:t>小结</w:t>
      </w:r>
      <w:r w:rsidRPr="000549B1">
        <w:t>：沙珠玉河流域综合规划的实施，必须将上述生态环境管控总体要求贯穿于规划编制、项目布局、建设运营与生态修复的全过程，确保流域开发建设严守生态保护红线、环境质量底线和资源利用上线，实现区域高质量发展与高水平保护的统一。</w:t>
      </w:r>
    </w:p>
    <w:p w14:paraId="1CFD347A" w14:textId="77777777" w:rsidR="00054437" w:rsidRPr="000549B1" w:rsidRDefault="00000000">
      <w:pPr>
        <w:pStyle w:val="3"/>
        <w:numPr>
          <w:ilvl w:val="2"/>
          <w:numId w:val="9"/>
        </w:numPr>
      </w:pPr>
      <w:bookmarkStart w:id="446" w:name="_Toc216107070"/>
      <w:bookmarkStart w:id="447" w:name="OLE_LINK97"/>
      <w:bookmarkStart w:id="448" w:name="OLE_LINK47"/>
      <w:bookmarkEnd w:id="445"/>
      <w:r w:rsidRPr="000549B1">
        <w:rPr>
          <w:rFonts w:hint="eastAsia"/>
        </w:rPr>
        <w:t>流域“三线一单”管控要求</w:t>
      </w:r>
      <w:bookmarkEnd w:id="446"/>
    </w:p>
    <w:p w14:paraId="29E34E6B" w14:textId="63BF8E7C" w:rsidR="00C73466" w:rsidRPr="000549B1" w:rsidRDefault="00C73466" w:rsidP="00C73466">
      <w:pPr>
        <w:pStyle w:val="x"/>
        <w:sectPr w:rsidR="00C73466" w:rsidRPr="000549B1">
          <w:pgSz w:w="11906" w:h="16838"/>
          <w:pgMar w:top="1440" w:right="1800" w:bottom="1440" w:left="1800" w:header="851" w:footer="992" w:gutter="0"/>
          <w:cols w:space="425"/>
          <w:docGrid w:type="lines" w:linePitch="312"/>
        </w:sectPr>
      </w:pPr>
      <w:bookmarkStart w:id="449" w:name="_Hlk216122198"/>
      <w:bookmarkEnd w:id="447"/>
      <w:r w:rsidRPr="000549B1">
        <w:t>规划将严格执行青海省</w:t>
      </w:r>
      <w:r w:rsidRPr="000549B1">
        <w:t>“</w:t>
      </w:r>
      <w:r w:rsidRPr="000549B1">
        <w:t>三线一单</w:t>
      </w:r>
      <w:r w:rsidRPr="000549B1">
        <w:t>”</w:t>
      </w:r>
      <w:r w:rsidRPr="000549B1">
        <w:t>的生态环境分区管控体系。该体系将沙珠玉河流域及全省国土空间划分为优先保护、重点管控和一般管控三类环境管控单元，实施分类别、差异化的精准环境管理。各类单元的管控核心目标与具体要求如下表所示</w:t>
      </w:r>
      <w:bookmarkEnd w:id="449"/>
      <w:r w:rsidRPr="000549B1">
        <w:t>。</w:t>
      </w:r>
    </w:p>
    <w:p w14:paraId="1076D496" w14:textId="7FBA0402" w:rsidR="000C0FD1" w:rsidRPr="00F8787D" w:rsidRDefault="00F8787D" w:rsidP="00F8787D">
      <w:pPr>
        <w:pStyle w:val="aff8"/>
        <w:spacing w:line="240" w:lineRule="auto"/>
        <w:rPr>
          <w:sz w:val="20"/>
          <w:szCs w:val="21"/>
        </w:rPr>
      </w:pPr>
      <w:bookmarkStart w:id="450" w:name="_Hlk216122237"/>
      <w:r w:rsidRPr="00F8787D">
        <w:rPr>
          <w:rFonts w:hint="eastAsia"/>
          <w:sz w:val="20"/>
          <w:szCs w:val="21"/>
        </w:rPr>
        <w:t>表</w:t>
      </w:r>
      <w:r w:rsidRPr="00F8787D">
        <w:rPr>
          <w:rFonts w:hint="eastAsia"/>
          <w:sz w:val="20"/>
          <w:szCs w:val="21"/>
        </w:rPr>
        <w:t xml:space="preserve"> </w:t>
      </w:r>
      <w:r w:rsidR="00372953">
        <w:rPr>
          <w:sz w:val="20"/>
          <w:szCs w:val="21"/>
        </w:rPr>
        <w:fldChar w:fldCharType="begin"/>
      </w:r>
      <w:r w:rsidR="00372953">
        <w:rPr>
          <w:sz w:val="20"/>
          <w:szCs w:val="21"/>
        </w:rPr>
        <w:instrText xml:space="preserve"> </w:instrText>
      </w:r>
      <w:r w:rsidR="00372953">
        <w:rPr>
          <w:rFonts w:hint="eastAsia"/>
          <w:sz w:val="20"/>
          <w:szCs w:val="21"/>
        </w:rPr>
        <w:instrText>STYLEREF 2 \s</w:instrText>
      </w:r>
      <w:r w:rsidR="00372953">
        <w:rPr>
          <w:sz w:val="20"/>
          <w:szCs w:val="21"/>
        </w:rPr>
        <w:instrText xml:space="preserve"> </w:instrText>
      </w:r>
      <w:r w:rsidR="00372953">
        <w:rPr>
          <w:sz w:val="20"/>
          <w:szCs w:val="21"/>
        </w:rPr>
        <w:fldChar w:fldCharType="separate"/>
      </w:r>
      <w:r w:rsidR="00372953">
        <w:rPr>
          <w:noProof/>
          <w:sz w:val="20"/>
          <w:szCs w:val="21"/>
        </w:rPr>
        <w:t>7.1</w:t>
      </w:r>
      <w:r w:rsidR="00372953">
        <w:rPr>
          <w:sz w:val="20"/>
          <w:szCs w:val="21"/>
        </w:rPr>
        <w:fldChar w:fldCharType="end"/>
      </w:r>
      <w:r w:rsidR="00372953">
        <w:rPr>
          <w:sz w:val="20"/>
          <w:szCs w:val="21"/>
        </w:rPr>
        <w:noBreakHyphen/>
      </w:r>
      <w:r w:rsidR="00372953">
        <w:rPr>
          <w:sz w:val="20"/>
          <w:szCs w:val="21"/>
        </w:rPr>
        <w:fldChar w:fldCharType="begin"/>
      </w:r>
      <w:r w:rsidR="00372953">
        <w:rPr>
          <w:sz w:val="20"/>
          <w:szCs w:val="21"/>
        </w:rPr>
        <w:instrText xml:space="preserve"> </w:instrText>
      </w:r>
      <w:r w:rsidR="00372953">
        <w:rPr>
          <w:rFonts w:hint="eastAsia"/>
          <w:sz w:val="20"/>
          <w:szCs w:val="21"/>
        </w:rPr>
        <w:instrText xml:space="preserve">SEQ </w:instrText>
      </w:r>
      <w:r w:rsidR="00372953">
        <w:rPr>
          <w:rFonts w:hint="eastAsia"/>
          <w:sz w:val="20"/>
          <w:szCs w:val="21"/>
        </w:rPr>
        <w:instrText>表</w:instrText>
      </w:r>
      <w:r w:rsidR="00372953">
        <w:rPr>
          <w:rFonts w:hint="eastAsia"/>
          <w:sz w:val="20"/>
          <w:szCs w:val="21"/>
        </w:rPr>
        <w:instrText xml:space="preserve"> \* ARABIC \s 2</w:instrText>
      </w:r>
      <w:r w:rsidR="00372953">
        <w:rPr>
          <w:sz w:val="20"/>
          <w:szCs w:val="21"/>
        </w:rPr>
        <w:instrText xml:space="preserve"> </w:instrText>
      </w:r>
      <w:r w:rsidR="00372953">
        <w:rPr>
          <w:sz w:val="20"/>
          <w:szCs w:val="21"/>
        </w:rPr>
        <w:fldChar w:fldCharType="separate"/>
      </w:r>
      <w:r w:rsidR="00372953">
        <w:rPr>
          <w:noProof/>
          <w:sz w:val="20"/>
          <w:szCs w:val="21"/>
        </w:rPr>
        <w:t>3</w:t>
      </w:r>
      <w:r w:rsidR="00372953">
        <w:rPr>
          <w:sz w:val="20"/>
          <w:szCs w:val="21"/>
        </w:rPr>
        <w:fldChar w:fldCharType="end"/>
      </w:r>
      <w:r w:rsidRPr="00F8787D">
        <w:rPr>
          <w:sz w:val="20"/>
          <w:szCs w:val="21"/>
        </w:rPr>
        <w:t>三线一单管控要求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263"/>
        <w:gridCol w:w="2127"/>
        <w:gridCol w:w="6889"/>
        <w:gridCol w:w="2669"/>
      </w:tblGrid>
      <w:tr w:rsidR="000549B1" w:rsidRPr="000549B1" w14:paraId="00881BC7" w14:textId="77777777" w:rsidTr="00C73466">
        <w:trPr>
          <w:tblHeader/>
        </w:trPr>
        <w:tc>
          <w:tcPr>
            <w:tcW w:w="2263" w:type="dxa"/>
            <w:shd w:val="clear" w:color="auto" w:fill="FFFFFF"/>
            <w:tcMar>
              <w:top w:w="150" w:type="dxa"/>
              <w:left w:w="0" w:type="dxa"/>
              <w:bottom w:w="150" w:type="dxa"/>
              <w:right w:w="240" w:type="dxa"/>
            </w:tcMar>
            <w:vAlign w:val="center"/>
            <w:hideMark/>
          </w:tcPr>
          <w:bookmarkEnd w:id="448"/>
          <w:p w14:paraId="4CE9E008" w14:textId="77777777" w:rsidR="000C0FD1" w:rsidRPr="000549B1" w:rsidRDefault="000C0FD1" w:rsidP="00C73466">
            <w:pPr>
              <w:pStyle w:val="affe"/>
              <w:rPr>
                <w:b/>
                <w:bCs/>
              </w:rPr>
            </w:pPr>
            <w:r w:rsidRPr="000549B1">
              <w:rPr>
                <w:b/>
                <w:bCs/>
              </w:rPr>
              <w:t>分类</w:t>
            </w:r>
          </w:p>
        </w:tc>
        <w:tc>
          <w:tcPr>
            <w:tcW w:w="2127" w:type="dxa"/>
            <w:shd w:val="clear" w:color="auto" w:fill="FFFFFF"/>
            <w:tcMar>
              <w:top w:w="150" w:type="dxa"/>
              <w:left w:w="240" w:type="dxa"/>
              <w:bottom w:w="150" w:type="dxa"/>
              <w:right w:w="240" w:type="dxa"/>
            </w:tcMar>
            <w:vAlign w:val="center"/>
            <w:hideMark/>
          </w:tcPr>
          <w:p w14:paraId="43447C79" w14:textId="77777777" w:rsidR="000C0FD1" w:rsidRPr="000549B1" w:rsidRDefault="000C0FD1" w:rsidP="00C73466">
            <w:pPr>
              <w:pStyle w:val="affe"/>
              <w:rPr>
                <w:b/>
                <w:bCs/>
              </w:rPr>
            </w:pPr>
            <w:r w:rsidRPr="000549B1">
              <w:rPr>
                <w:b/>
                <w:bCs/>
              </w:rPr>
              <w:t>环境保护目标</w:t>
            </w:r>
          </w:p>
        </w:tc>
        <w:tc>
          <w:tcPr>
            <w:tcW w:w="6889" w:type="dxa"/>
            <w:shd w:val="clear" w:color="auto" w:fill="FFFFFF"/>
            <w:tcMar>
              <w:top w:w="150" w:type="dxa"/>
              <w:left w:w="240" w:type="dxa"/>
              <w:bottom w:w="150" w:type="dxa"/>
              <w:right w:w="240" w:type="dxa"/>
            </w:tcMar>
            <w:vAlign w:val="center"/>
            <w:hideMark/>
          </w:tcPr>
          <w:p w14:paraId="3568186E" w14:textId="77777777" w:rsidR="000C0FD1" w:rsidRPr="000549B1" w:rsidRDefault="000C0FD1" w:rsidP="00C73466">
            <w:pPr>
              <w:pStyle w:val="affe"/>
              <w:rPr>
                <w:b/>
                <w:bCs/>
              </w:rPr>
            </w:pPr>
            <w:r w:rsidRPr="000549B1">
              <w:rPr>
                <w:b/>
                <w:bCs/>
              </w:rPr>
              <w:t>环境管控要求</w:t>
            </w:r>
          </w:p>
        </w:tc>
        <w:tc>
          <w:tcPr>
            <w:tcW w:w="0" w:type="auto"/>
            <w:shd w:val="clear" w:color="auto" w:fill="FFFFFF"/>
            <w:tcMar>
              <w:top w:w="150" w:type="dxa"/>
              <w:left w:w="240" w:type="dxa"/>
              <w:bottom w:w="150" w:type="dxa"/>
              <w:right w:w="240" w:type="dxa"/>
            </w:tcMar>
            <w:vAlign w:val="center"/>
            <w:hideMark/>
          </w:tcPr>
          <w:p w14:paraId="757E1211" w14:textId="77777777" w:rsidR="000C0FD1" w:rsidRPr="000549B1" w:rsidRDefault="000C0FD1" w:rsidP="00C73466">
            <w:pPr>
              <w:pStyle w:val="affe"/>
              <w:rPr>
                <w:b/>
                <w:bCs/>
              </w:rPr>
            </w:pPr>
            <w:r w:rsidRPr="000549B1">
              <w:rPr>
                <w:b/>
                <w:bCs/>
              </w:rPr>
              <w:t>生态空间准入要求</w:t>
            </w:r>
          </w:p>
        </w:tc>
      </w:tr>
      <w:tr w:rsidR="000549B1" w:rsidRPr="000549B1" w14:paraId="21E1074C" w14:textId="77777777" w:rsidTr="00C73466">
        <w:tc>
          <w:tcPr>
            <w:tcW w:w="2263" w:type="dxa"/>
            <w:shd w:val="clear" w:color="auto" w:fill="FFFFFF"/>
            <w:tcMar>
              <w:top w:w="150" w:type="dxa"/>
              <w:left w:w="0" w:type="dxa"/>
              <w:bottom w:w="150" w:type="dxa"/>
              <w:right w:w="240" w:type="dxa"/>
            </w:tcMar>
            <w:vAlign w:val="center"/>
            <w:hideMark/>
          </w:tcPr>
          <w:p w14:paraId="009E4FAE" w14:textId="23FA427A" w:rsidR="000C0FD1" w:rsidRPr="000549B1" w:rsidRDefault="000C0FD1" w:rsidP="00C73466">
            <w:pPr>
              <w:pStyle w:val="affe"/>
            </w:pPr>
            <w:r w:rsidRPr="000549B1">
              <w:t>优先保护单元</w:t>
            </w:r>
          </w:p>
        </w:tc>
        <w:tc>
          <w:tcPr>
            <w:tcW w:w="2127" w:type="dxa"/>
            <w:shd w:val="clear" w:color="auto" w:fill="FFFFFF"/>
            <w:tcMar>
              <w:top w:w="150" w:type="dxa"/>
              <w:left w:w="240" w:type="dxa"/>
              <w:bottom w:w="150" w:type="dxa"/>
              <w:right w:w="240" w:type="dxa"/>
            </w:tcMar>
            <w:vAlign w:val="center"/>
            <w:hideMark/>
          </w:tcPr>
          <w:p w14:paraId="54636408" w14:textId="77777777" w:rsidR="000C0FD1" w:rsidRPr="000549B1" w:rsidRDefault="000C0FD1" w:rsidP="00C73466">
            <w:pPr>
              <w:pStyle w:val="affe"/>
            </w:pPr>
            <w:r w:rsidRPr="000549B1">
              <w:t>维护生态系统原真性、完整性，保障水源涵养、生物多样性保护等主导生态功能稳定。</w:t>
            </w:r>
          </w:p>
        </w:tc>
        <w:tc>
          <w:tcPr>
            <w:tcW w:w="6889" w:type="dxa"/>
            <w:shd w:val="clear" w:color="auto" w:fill="FFFFFF"/>
            <w:tcMar>
              <w:top w:w="150" w:type="dxa"/>
              <w:left w:w="240" w:type="dxa"/>
              <w:bottom w:w="150" w:type="dxa"/>
              <w:right w:w="240" w:type="dxa"/>
            </w:tcMar>
            <w:vAlign w:val="center"/>
            <w:hideMark/>
          </w:tcPr>
          <w:p w14:paraId="0401777D" w14:textId="454B68A3" w:rsidR="000C0FD1" w:rsidRPr="000549B1" w:rsidRDefault="000C0FD1" w:rsidP="00C73466">
            <w:pPr>
              <w:pStyle w:val="affe"/>
            </w:pPr>
            <w:r w:rsidRPr="000549B1">
              <w:t>1.</w:t>
            </w:r>
            <w:r w:rsidRPr="000549B1">
              <w:t>生态保护红线：严格按照《青海省生态保护红线监管办法》管控，严禁不符合主体功能定位的开发活动。</w:t>
            </w:r>
            <w:r w:rsidRPr="000549B1">
              <w:br/>
              <w:t>2.</w:t>
            </w:r>
            <w:r w:rsidRPr="000549B1">
              <w:t>自然保护地：核心保护区原则上禁止人为活动；其他区域严格禁止开发性、生产性建设（执行全省清单第</w:t>
            </w:r>
            <w:r w:rsidRPr="000549B1">
              <w:t>5-12</w:t>
            </w:r>
            <w:r w:rsidRPr="000549B1">
              <w:t>条）。</w:t>
            </w:r>
            <w:r w:rsidRPr="000549B1">
              <w:br/>
              <w:t>3.</w:t>
            </w:r>
            <w:r w:rsidRPr="000549B1">
              <w:t>生态极重要</w:t>
            </w:r>
            <w:r w:rsidRPr="000549B1">
              <w:t>/</w:t>
            </w:r>
            <w:r w:rsidRPr="000549B1">
              <w:t>敏感区：禁止损害生态功能的活动，如</w:t>
            </w:r>
            <w:r w:rsidRPr="000549B1">
              <w:t>25</w:t>
            </w:r>
            <w:r w:rsidRPr="000549B1">
              <w:t>度以上陡坡开垦、过度放牧、毁林开荒、非法采砂等（执行全省清单第</w:t>
            </w:r>
            <w:r w:rsidRPr="000549B1">
              <w:t>13-17</w:t>
            </w:r>
            <w:r w:rsidRPr="000549B1">
              <w:t>条）。</w:t>
            </w:r>
          </w:p>
        </w:tc>
        <w:tc>
          <w:tcPr>
            <w:tcW w:w="0" w:type="auto"/>
            <w:shd w:val="clear" w:color="auto" w:fill="FFFFFF"/>
            <w:tcMar>
              <w:top w:w="150" w:type="dxa"/>
              <w:left w:w="240" w:type="dxa"/>
              <w:bottom w:w="150" w:type="dxa"/>
              <w:right w:w="0" w:type="dxa"/>
            </w:tcMar>
            <w:vAlign w:val="center"/>
            <w:hideMark/>
          </w:tcPr>
          <w:p w14:paraId="4751A2D8" w14:textId="5AF41C7D" w:rsidR="000C0FD1" w:rsidRPr="000549B1" w:rsidRDefault="000C0FD1" w:rsidP="00C73466">
            <w:pPr>
              <w:pStyle w:val="affe"/>
            </w:pPr>
            <w:r w:rsidRPr="000549B1">
              <w:t>1.</w:t>
            </w:r>
            <w:r w:rsidRPr="000549B1">
              <w:t>禁止新建、扩建化工、冶金、造纸、印染等高污染高耗水工业项目。</w:t>
            </w:r>
            <w:r w:rsidRPr="000549B1">
              <w:br/>
              <w:t>2.</w:t>
            </w:r>
            <w:r w:rsidRPr="000549B1">
              <w:t>禁止新建不符合主体功能定位的矿产资源开发、水电、风电等项目。</w:t>
            </w:r>
            <w:r w:rsidRPr="000549B1">
              <w:br/>
              <w:t>3.</w:t>
            </w:r>
            <w:r w:rsidRPr="000549B1">
              <w:t>严禁随意改变土地用途，禁止可能导致生态功能退化的各项开发建设活动。</w:t>
            </w:r>
          </w:p>
        </w:tc>
      </w:tr>
      <w:tr w:rsidR="000549B1" w:rsidRPr="000549B1" w14:paraId="722860C3" w14:textId="77777777" w:rsidTr="00C73466">
        <w:tc>
          <w:tcPr>
            <w:tcW w:w="2263" w:type="dxa"/>
            <w:shd w:val="clear" w:color="auto" w:fill="FFFFFF"/>
            <w:tcMar>
              <w:top w:w="150" w:type="dxa"/>
              <w:left w:w="0" w:type="dxa"/>
              <w:bottom w:w="150" w:type="dxa"/>
              <w:right w:w="240" w:type="dxa"/>
            </w:tcMar>
            <w:vAlign w:val="center"/>
            <w:hideMark/>
          </w:tcPr>
          <w:p w14:paraId="50E1A562" w14:textId="3971F465" w:rsidR="000C0FD1" w:rsidRPr="000549B1" w:rsidRDefault="000C0FD1" w:rsidP="00C73466">
            <w:pPr>
              <w:pStyle w:val="affe"/>
            </w:pPr>
            <w:r w:rsidRPr="000549B1">
              <w:t>重点管控单元</w:t>
            </w:r>
          </w:p>
        </w:tc>
        <w:tc>
          <w:tcPr>
            <w:tcW w:w="2127" w:type="dxa"/>
            <w:shd w:val="clear" w:color="auto" w:fill="FFFFFF"/>
            <w:tcMar>
              <w:top w:w="150" w:type="dxa"/>
              <w:left w:w="240" w:type="dxa"/>
              <w:bottom w:w="150" w:type="dxa"/>
              <w:right w:w="240" w:type="dxa"/>
            </w:tcMar>
            <w:vAlign w:val="center"/>
            <w:hideMark/>
          </w:tcPr>
          <w:p w14:paraId="7B9271F8" w14:textId="77777777" w:rsidR="000C0FD1" w:rsidRPr="000549B1" w:rsidRDefault="000C0FD1" w:rsidP="00C73466">
            <w:pPr>
              <w:pStyle w:val="affe"/>
            </w:pPr>
            <w:r w:rsidRPr="000549B1">
              <w:t>优化产业布局，提升资源利用效率，严控污染物排放，防范环境风险，实现绿色低碳发展。</w:t>
            </w:r>
          </w:p>
        </w:tc>
        <w:tc>
          <w:tcPr>
            <w:tcW w:w="6889" w:type="dxa"/>
            <w:shd w:val="clear" w:color="auto" w:fill="FFFFFF"/>
            <w:tcMar>
              <w:top w:w="150" w:type="dxa"/>
              <w:left w:w="240" w:type="dxa"/>
              <w:bottom w:w="150" w:type="dxa"/>
              <w:right w:w="240" w:type="dxa"/>
            </w:tcMar>
            <w:vAlign w:val="center"/>
            <w:hideMark/>
          </w:tcPr>
          <w:p w14:paraId="3C2B4156" w14:textId="7C4BE8A5" w:rsidR="000C0FD1" w:rsidRPr="000549B1" w:rsidRDefault="000C0FD1" w:rsidP="00C73466">
            <w:pPr>
              <w:pStyle w:val="affe"/>
            </w:pPr>
            <w:r w:rsidRPr="000549B1">
              <w:t>1.</w:t>
            </w:r>
            <w:r w:rsidRPr="000549B1">
              <w:t>污染物排放管控：新建项目实行主要污染物排放总量等量或倍量削减替代；重点行业执行大气污染物特别排放限值（执行全省清单第</w:t>
            </w:r>
            <w:r w:rsidRPr="000549B1">
              <w:t>2</w:t>
            </w:r>
            <w:r w:rsidRPr="000549B1">
              <w:t>条及河湟地区要求）。</w:t>
            </w:r>
            <w:r w:rsidRPr="000549B1">
              <w:br/>
              <w:t>2.</w:t>
            </w:r>
            <w:r w:rsidRPr="000549B1">
              <w:t>水资源利用：严格落实区域用水总量和强度控制指标（执行全省清单第</w:t>
            </w:r>
            <w:r w:rsidRPr="000549B1">
              <w:t>4</w:t>
            </w:r>
            <w:r w:rsidRPr="000549B1">
              <w:t>条及市州要求）。</w:t>
            </w:r>
            <w:r w:rsidRPr="000549B1">
              <w:br/>
              <w:t>3.</w:t>
            </w:r>
            <w:r w:rsidRPr="000549B1">
              <w:t>环境风险防控：建立区域环境风险预警与应急体系（执行全省清单第</w:t>
            </w:r>
            <w:r w:rsidRPr="000549B1">
              <w:t>3</w:t>
            </w:r>
            <w:r w:rsidRPr="000549B1">
              <w:t>条）。</w:t>
            </w:r>
          </w:p>
        </w:tc>
        <w:tc>
          <w:tcPr>
            <w:tcW w:w="0" w:type="auto"/>
            <w:shd w:val="clear" w:color="auto" w:fill="FFFFFF"/>
            <w:tcMar>
              <w:top w:w="150" w:type="dxa"/>
              <w:left w:w="240" w:type="dxa"/>
              <w:bottom w:w="150" w:type="dxa"/>
              <w:right w:w="0" w:type="dxa"/>
            </w:tcMar>
            <w:vAlign w:val="center"/>
            <w:hideMark/>
          </w:tcPr>
          <w:p w14:paraId="62765F06" w14:textId="0660A254" w:rsidR="000C0FD1" w:rsidRPr="000549B1" w:rsidRDefault="000C0FD1" w:rsidP="00C73466">
            <w:pPr>
              <w:pStyle w:val="affe"/>
            </w:pPr>
            <w:r w:rsidRPr="000549B1">
              <w:t>1.</w:t>
            </w:r>
            <w:r w:rsidRPr="000549B1">
              <w:t>严控</w:t>
            </w:r>
            <w:r w:rsidRPr="000549B1">
              <w:t>“</w:t>
            </w:r>
            <w:r w:rsidRPr="000549B1">
              <w:t>两高</w:t>
            </w:r>
            <w:r w:rsidRPr="000549B1">
              <w:t>”</w:t>
            </w:r>
            <w:r w:rsidRPr="000549B1">
              <w:t>项目准入，推动产业绿色化改造。</w:t>
            </w:r>
            <w:r w:rsidRPr="000549B1">
              <w:br/>
              <w:t>2.</w:t>
            </w:r>
            <w:r w:rsidRPr="000549B1">
              <w:t>新建工业项目须进入合规园区，并符合园区规划环评要求。</w:t>
            </w:r>
            <w:r w:rsidRPr="000549B1">
              <w:br/>
              <w:t>3.</w:t>
            </w:r>
            <w:r w:rsidRPr="000549B1">
              <w:t>强化城镇生活污水、垃圾收集处理设施建设与监管。</w:t>
            </w:r>
          </w:p>
        </w:tc>
      </w:tr>
      <w:tr w:rsidR="00C73466" w:rsidRPr="000549B1" w14:paraId="3A21BEB2" w14:textId="77777777" w:rsidTr="00C73466">
        <w:tc>
          <w:tcPr>
            <w:tcW w:w="2263" w:type="dxa"/>
            <w:shd w:val="clear" w:color="auto" w:fill="FFFFFF"/>
            <w:tcMar>
              <w:top w:w="150" w:type="dxa"/>
              <w:left w:w="0" w:type="dxa"/>
              <w:bottom w:w="150" w:type="dxa"/>
              <w:right w:w="240" w:type="dxa"/>
            </w:tcMar>
            <w:vAlign w:val="center"/>
            <w:hideMark/>
          </w:tcPr>
          <w:p w14:paraId="12151526" w14:textId="77777777" w:rsidR="000C0FD1" w:rsidRPr="000549B1" w:rsidRDefault="000C0FD1" w:rsidP="00C73466">
            <w:pPr>
              <w:pStyle w:val="affe"/>
            </w:pPr>
            <w:r w:rsidRPr="000549B1">
              <w:t>一般管控单元</w:t>
            </w:r>
          </w:p>
        </w:tc>
        <w:tc>
          <w:tcPr>
            <w:tcW w:w="2127" w:type="dxa"/>
            <w:shd w:val="clear" w:color="auto" w:fill="FFFFFF"/>
            <w:tcMar>
              <w:top w:w="150" w:type="dxa"/>
              <w:left w:w="240" w:type="dxa"/>
              <w:bottom w:w="150" w:type="dxa"/>
              <w:right w:w="240" w:type="dxa"/>
            </w:tcMar>
            <w:vAlign w:val="center"/>
            <w:hideMark/>
          </w:tcPr>
          <w:p w14:paraId="4DD91378" w14:textId="77777777" w:rsidR="000C0FD1" w:rsidRPr="000549B1" w:rsidRDefault="000C0FD1" w:rsidP="00C73466">
            <w:pPr>
              <w:pStyle w:val="affe"/>
            </w:pPr>
            <w:r w:rsidRPr="000549B1">
              <w:t>执行生态环境保护的基本要求，维护区域生态环境安全。</w:t>
            </w:r>
          </w:p>
        </w:tc>
        <w:tc>
          <w:tcPr>
            <w:tcW w:w="6889" w:type="dxa"/>
            <w:shd w:val="clear" w:color="auto" w:fill="FFFFFF"/>
            <w:tcMar>
              <w:top w:w="150" w:type="dxa"/>
              <w:left w:w="240" w:type="dxa"/>
              <w:bottom w:w="150" w:type="dxa"/>
              <w:right w:w="240" w:type="dxa"/>
            </w:tcMar>
            <w:vAlign w:val="center"/>
            <w:hideMark/>
          </w:tcPr>
          <w:p w14:paraId="1BCCB312" w14:textId="07154BF1" w:rsidR="000C0FD1" w:rsidRPr="000549B1" w:rsidRDefault="000C0FD1" w:rsidP="00C73466">
            <w:pPr>
              <w:pStyle w:val="affe"/>
            </w:pPr>
            <w:r w:rsidRPr="000549B1">
              <w:t>1.</w:t>
            </w:r>
            <w:r w:rsidRPr="000549B1">
              <w:t>原则上禁止新建、扩建三类工业项目及排放有毒有害污染物的二类工业项目。</w:t>
            </w:r>
            <w:r w:rsidRPr="000549B1">
              <w:br/>
              <w:t>2.</w:t>
            </w:r>
            <w:r w:rsidRPr="000549B1">
              <w:t>新改扩建项目需落实污染物排放总量控制要求。</w:t>
            </w:r>
            <w:r w:rsidRPr="000549B1">
              <w:br/>
              <w:t>3.</w:t>
            </w:r>
            <w:r w:rsidRPr="000549B1">
              <w:t>禁止在崩塌、滑坡危险区等从事可能造成水土流失的活动（参照全省清单第</w:t>
            </w:r>
            <w:r w:rsidRPr="000549B1">
              <w:t>13</w:t>
            </w:r>
            <w:r w:rsidRPr="000549B1">
              <w:t>、</w:t>
            </w:r>
            <w:r w:rsidRPr="000549B1">
              <w:t>16</w:t>
            </w:r>
            <w:r w:rsidRPr="000549B1">
              <w:t>条精神）。</w:t>
            </w:r>
          </w:p>
        </w:tc>
        <w:tc>
          <w:tcPr>
            <w:tcW w:w="0" w:type="auto"/>
            <w:shd w:val="clear" w:color="auto" w:fill="FFFFFF"/>
            <w:tcMar>
              <w:top w:w="150" w:type="dxa"/>
              <w:left w:w="240" w:type="dxa"/>
              <w:bottom w:w="150" w:type="dxa"/>
              <w:right w:w="0" w:type="dxa"/>
            </w:tcMar>
            <w:vAlign w:val="center"/>
            <w:hideMark/>
          </w:tcPr>
          <w:p w14:paraId="16FE702A" w14:textId="26C2DB57" w:rsidR="000C0FD1" w:rsidRPr="000549B1" w:rsidRDefault="000C0FD1" w:rsidP="00C73466">
            <w:pPr>
              <w:pStyle w:val="affe"/>
            </w:pPr>
            <w:r w:rsidRPr="000549B1">
              <w:t>1.</w:t>
            </w:r>
            <w:r w:rsidRPr="000549B1">
              <w:t>合理控制开发强度，保持现状生态用地基本稳定。</w:t>
            </w:r>
            <w:r w:rsidRPr="000549B1">
              <w:br/>
              <w:t>2.</w:t>
            </w:r>
            <w:r w:rsidRPr="000549B1">
              <w:t>规模化畜禽养殖需合理布局，严格执行禁养区、限养区规定。</w:t>
            </w:r>
            <w:r w:rsidRPr="000549B1">
              <w:br/>
              <w:t>3.</w:t>
            </w:r>
            <w:r w:rsidRPr="000549B1">
              <w:t>农业面源污染控制，推广生态农业。</w:t>
            </w:r>
          </w:p>
        </w:tc>
      </w:tr>
      <w:bookmarkEnd w:id="450"/>
    </w:tbl>
    <w:p w14:paraId="65AA5189" w14:textId="77777777" w:rsidR="00C73466" w:rsidRPr="000549B1" w:rsidRDefault="00C73466" w:rsidP="00C73466">
      <w:pPr>
        <w:pStyle w:val="20"/>
        <w:ind w:leftChars="0" w:left="0" w:firstLineChars="0" w:firstLine="0"/>
        <w:sectPr w:rsidR="00C73466" w:rsidRPr="000549B1" w:rsidSect="00C73466">
          <w:pgSz w:w="16838" w:h="11906" w:orient="landscape"/>
          <w:pgMar w:top="1800" w:right="1440" w:bottom="1800" w:left="1440" w:header="851" w:footer="992" w:gutter="0"/>
          <w:cols w:space="425"/>
          <w:docGrid w:type="lines" w:linePitch="312"/>
        </w:sectPr>
      </w:pPr>
    </w:p>
    <w:p w14:paraId="635CA4BD" w14:textId="77777777" w:rsidR="00054437" w:rsidRPr="000549B1" w:rsidRDefault="00054437" w:rsidP="00C73466">
      <w:pPr>
        <w:pStyle w:val="20"/>
        <w:ind w:leftChars="0" w:left="0" w:firstLineChars="0" w:firstLine="0"/>
      </w:pPr>
    </w:p>
    <w:p w14:paraId="0277EB37" w14:textId="388B2DEE" w:rsidR="00054437" w:rsidRPr="000549B1" w:rsidRDefault="00000000" w:rsidP="000549B1">
      <w:pPr>
        <w:pStyle w:val="2"/>
        <w:numPr>
          <w:ilvl w:val="1"/>
          <w:numId w:val="9"/>
        </w:numPr>
        <w:rPr>
          <w:rFonts w:ascii="Times New Roman" w:hAnsi="Times New Roman"/>
        </w:rPr>
      </w:pPr>
      <w:bookmarkStart w:id="451" w:name="_Toc216107071"/>
      <w:bookmarkEnd w:id="441"/>
      <w:r w:rsidRPr="000549B1">
        <w:rPr>
          <w:rFonts w:ascii="Times New Roman" w:hAnsi="Times New Roman"/>
        </w:rPr>
        <w:t>水环境保护对策措施</w:t>
      </w:r>
      <w:bookmarkEnd w:id="451"/>
    </w:p>
    <w:p w14:paraId="3D53BF8D" w14:textId="77777777" w:rsidR="00054437" w:rsidRPr="000549B1" w:rsidRDefault="00000000" w:rsidP="000549B1">
      <w:pPr>
        <w:pStyle w:val="3"/>
        <w:numPr>
          <w:ilvl w:val="2"/>
          <w:numId w:val="9"/>
        </w:numPr>
      </w:pPr>
      <w:bookmarkStart w:id="452" w:name="_Toc216107072"/>
      <w:r w:rsidRPr="000549B1">
        <w:t>水质影响减缓措施</w:t>
      </w:r>
      <w:bookmarkEnd w:id="452"/>
    </w:p>
    <w:p w14:paraId="50E8658E" w14:textId="77777777" w:rsidR="00054437" w:rsidRPr="000549B1" w:rsidRDefault="00000000">
      <w:pPr>
        <w:spacing w:line="360" w:lineRule="auto"/>
        <w:ind w:firstLineChars="200" w:firstLine="480"/>
        <w:rPr>
          <w:lang w:val="zh-CN"/>
        </w:rPr>
      </w:pPr>
      <w:r w:rsidRPr="000549B1">
        <w:rPr>
          <w:sz w:val="24"/>
          <w:szCs w:val="24"/>
          <w:lang w:val="zh-CN"/>
        </w:rPr>
        <w:t>规划项目施工期和运行期均须做好各类废污水收集、处理和回用工作。</w:t>
      </w:r>
    </w:p>
    <w:p w14:paraId="7E8CD08C" w14:textId="77777777" w:rsidR="00054437" w:rsidRPr="000549B1" w:rsidRDefault="00000000">
      <w:pPr>
        <w:widowControl/>
        <w:spacing w:line="360" w:lineRule="auto"/>
        <w:ind w:firstLineChars="200" w:firstLine="480"/>
        <w:rPr>
          <w:bCs/>
          <w:sz w:val="24"/>
          <w:szCs w:val="24"/>
        </w:rPr>
      </w:pPr>
      <w:r w:rsidRPr="000549B1">
        <w:rPr>
          <w:bCs/>
          <w:sz w:val="24"/>
          <w:szCs w:val="24"/>
        </w:rPr>
        <w:t>根据沙珠玉河流域生态环境管控要求进行流域分区管控，生态保护红线、饮用水水源保护区范围内禁止工业化和城镇化等，其它区域加强污染源治理，优化产业布局。</w:t>
      </w:r>
    </w:p>
    <w:p w14:paraId="7B299480" w14:textId="77777777" w:rsidR="00054437" w:rsidRPr="000549B1" w:rsidRDefault="00000000">
      <w:pPr>
        <w:widowControl/>
        <w:spacing w:line="360" w:lineRule="auto"/>
        <w:ind w:firstLineChars="200" w:firstLine="480"/>
        <w:rPr>
          <w:bCs/>
          <w:sz w:val="24"/>
          <w:szCs w:val="24"/>
        </w:rPr>
      </w:pPr>
      <w:r w:rsidRPr="000549B1">
        <w:rPr>
          <w:bCs/>
          <w:sz w:val="24"/>
          <w:szCs w:val="24"/>
        </w:rPr>
        <w:t>针对集中式饮用水水源地，划定饮用水水源保护区，开展流域水污染源综合治理专题研究，按相关要求开展水源地的保护和治理工作。</w:t>
      </w:r>
    </w:p>
    <w:p w14:paraId="0532E645" w14:textId="77777777" w:rsidR="00054437" w:rsidRPr="000549B1" w:rsidRDefault="00000000">
      <w:pPr>
        <w:widowControl/>
        <w:spacing w:line="360" w:lineRule="auto"/>
        <w:ind w:firstLineChars="200" w:firstLine="480"/>
        <w:rPr>
          <w:bCs/>
          <w:sz w:val="24"/>
          <w:szCs w:val="24"/>
        </w:rPr>
      </w:pPr>
      <w:r w:rsidRPr="000549B1">
        <w:rPr>
          <w:bCs/>
          <w:sz w:val="24"/>
          <w:szCs w:val="24"/>
        </w:rPr>
        <w:t>进一步加强农村生活废水治理，完善生活污水收集、处理基础设施，鼓励纳管或采用集中处理。</w:t>
      </w:r>
    </w:p>
    <w:p w14:paraId="0CB88A9C" w14:textId="77777777" w:rsidR="00054437" w:rsidRPr="000549B1" w:rsidRDefault="00000000">
      <w:pPr>
        <w:widowControl/>
        <w:spacing w:line="360" w:lineRule="auto"/>
        <w:ind w:firstLineChars="200" w:firstLine="480"/>
        <w:rPr>
          <w:bCs/>
          <w:sz w:val="24"/>
          <w:szCs w:val="24"/>
        </w:rPr>
      </w:pPr>
      <w:r w:rsidRPr="000549B1">
        <w:rPr>
          <w:bCs/>
          <w:sz w:val="24"/>
          <w:szCs w:val="24"/>
        </w:rPr>
        <w:t>加强农村畜禽养殖的监管，规范畜禽养殖行为，促进养殖粪污综合利用，强化养殖业污染防治。</w:t>
      </w:r>
    </w:p>
    <w:p w14:paraId="1EAA363A" w14:textId="77777777" w:rsidR="00054437" w:rsidRPr="000549B1" w:rsidRDefault="00000000">
      <w:pPr>
        <w:widowControl/>
        <w:spacing w:line="360" w:lineRule="auto"/>
        <w:ind w:firstLineChars="200" w:firstLine="480"/>
      </w:pPr>
      <w:r w:rsidRPr="000549B1">
        <w:rPr>
          <w:bCs/>
          <w:sz w:val="24"/>
          <w:szCs w:val="24"/>
        </w:rPr>
        <w:t>加强水质保护和监控力度，在规划供水水库所在流域干流、支流设置常规水质监测点，按照饮用水水源地相关要求进行长期水质监测，规划工程建成后设置水质自动监测站，实时监控主要水质指标。</w:t>
      </w:r>
    </w:p>
    <w:p w14:paraId="02EF015A" w14:textId="77777777" w:rsidR="00054437" w:rsidRPr="000549B1" w:rsidRDefault="00000000" w:rsidP="000549B1">
      <w:pPr>
        <w:pStyle w:val="3"/>
        <w:numPr>
          <w:ilvl w:val="2"/>
          <w:numId w:val="9"/>
        </w:numPr>
      </w:pPr>
      <w:bookmarkStart w:id="453" w:name="_Toc216107073"/>
      <w:r w:rsidRPr="000549B1">
        <w:t>饮用水水源地保护措施</w:t>
      </w:r>
      <w:bookmarkEnd w:id="453"/>
    </w:p>
    <w:p w14:paraId="2613889A" w14:textId="77777777" w:rsidR="00054437" w:rsidRPr="000549B1" w:rsidRDefault="00000000">
      <w:pPr>
        <w:spacing w:line="360" w:lineRule="auto"/>
        <w:ind w:firstLineChars="200" w:firstLine="480"/>
        <w:rPr>
          <w:sz w:val="24"/>
          <w:szCs w:val="24"/>
        </w:rPr>
      </w:pPr>
      <w:r w:rsidRPr="000549B1">
        <w:rPr>
          <w:sz w:val="24"/>
          <w:szCs w:val="24"/>
        </w:rPr>
        <w:t>在规划期内为保证沙珠玉河流域内饮用水水源水质要求，应做好下列措施：</w:t>
      </w:r>
    </w:p>
    <w:p w14:paraId="566C4A8C" w14:textId="77777777" w:rsidR="00054437" w:rsidRPr="000549B1" w:rsidRDefault="00000000">
      <w:pPr>
        <w:spacing w:line="360" w:lineRule="auto"/>
        <w:ind w:firstLineChars="200" w:firstLine="482"/>
        <w:rPr>
          <w:b/>
          <w:bCs/>
          <w:sz w:val="24"/>
          <w:szCs w:val="24"/>
        </w:rPr>
      </w:pPr>
      <w:r w:rsidRPr="000549B1">
        <w:rPr>
          <w:b/>
          <w:bCs/>
          <w:sz w:val="24"/>
          <w:szCs w:val="24"/>
        </w:rPr>
        <w:t>（</w:t>
      </w:r>
      <w:r w:rsidRPr="000549B1">
        <w:rPr>
          <w:b/>
          <w:bCs/>
          <w:sz w:val="24"/>
          <w:szCs w:val="24"/>
        </w:rPr>
        <w:t>1</w:t>
      </w:r>
      <w:r w:rsidRPr="000549B1">
        <w:rPr>
          <w:b/>
          <w:bCs/>
          <w:sz w:val="24"/>
          <w:szCs w:val="24"/>
        </w:rPr>
        <w:t>）规划水源地水环境保护措施</w:t>
      </w:r>
    </w:p>
    <w:p w14:paraId="1374BC19" w14:textId="77777777" w:rsidR="00054437" w:rsidRPr="000549B1" w:rsidRDefault="00000000">
      <w:pPr>
        <w:widowControl/>
        <w:spacing w:line="360" w:lineRule="auto"/>
        <w:ind w:firstLineChars="200" w:firstLine="480"/>
        <w:rPr>
          <w:bCs/>
          <w:sz w:val="24"/>
          <w:szCs w:val="24"/>
        </w:rPr>
      </w:pPr>
      <w:r w:rsidRPr="000549B1">
        <w:rPr>
          <w:bCs/>
          <w:sz w:val="24"/>
          <w:szCs w:val="24"/>
        </w:rPr>
        <w:t>规划水库水源地工程包括鹿龙沟水库、直亥买水库、羊清沟水库、叉叉沟水库工程、大河坝水库、满丈沟水库工程，水库建设多为满足人畜饮水问题，并兼顾改善灌溉用水条件。</w:t>
      </w:r>
    </w:p>
    <w:p w14:paraId="0060B964" w14:textId="77777777" w:rsidR="00054437" w:rsidRPr="000549B1" w:rsidRDefault="00000000">
      <w:pPr>
        <w:widowControl/>
        <w:spacing w:line="360" w:lineRule="auto"/>
        <w:ind w:firstLineChars="200" w:firstLine="480"/>
        <w:rPr>
          <w:bCs/>
          <w:sz w:val="24"/>
          <w:szCs w:val="24"/>
        </w:rPr>
      </w:pPr>
      <w:r w:rsidRPr="000549B1">
        <w:rPr>
          <w:bCs/>
          <w:sz w:val="24"/>
          <w:szCs w:val="24"/>
        </w:rPr>
        <w:t>1</w:t>
      </w:r>
      <w:r w:rsidRPr="000549B1">
        <w:rPr>
          <w:bCs/>
          <w:sz w:val="24"/>
          <w:szCs w:val="24"/>
        </w:rPr>
        <w:t>）库底清理</w:t>
      </w:r>
    </w:p>
    <w:p w14:paraId="19B4EE8C" w14:textId="77777777" w:rsidR="00054437" w:rsidRPr="000549B1" w:rsidRDefault="00000000">
      <w:pPr>
        <w:widowControl/>
        <w:spacing w:line="360" w:lineRule="auto"/>
        <w:ind w:firstLineChars="200" w:firstLine="480"/>
        <w:rPr>
          <w:bCs/>
          <w:sz w:val="24"/>
          <w:szCs w:val="24"/>
        </w:rPr>
      </w:pPr>
      <w:r w:rsidRPr="000549B1">
        <w:rPr>
          <w:bCs/>
          <w:sz w:val="24"/>
          <w:szCs w:val="24"/>
        </w:rPr>
        <w:t>为防止水库工程建成后新增淹没范围内的树木、杂物及人畜粪便等对库区水质造成污染，保护库周及下游人群的健康，在规划水库蓄水前，应按移民专业相关要求进行库底清理，初期蓄水期间，加强水质的动态监测，经检查验收合格后方能蓄水。</w:t>
      </w:r>
    </w:p>
    <w:p w14:paraId="4D3033B2" w14:textId="77777777" w:rsidR="00054437" w:rsidRPr="000549B1" w:rsidRDefault="00000000">
      <w:pPr>
        <w:widowControl/>
        <w:spacing w:line="360" w:lineRule="auto"/>
        <w:ind w:left="480"/>
        <w:rPr>
          <w:bCs/>
          <w:sz w:val="24"/>
          <w:szCs w:val="24"/>
        </w:rPr>
      </w:pPr>
      <w:r w:rsidRPr="000549B1">
        <w:rPr>
          <w:bCs/>
          <w:sz w:val="24"/>
          <w:szCs w:val="24"/>
        </w:rPr>
        <w:t>2</w:t>
      </w:r>
      <w:r w:rsidRPr="000549B1">
        <w:rPr>
          <w:bCs/>
          <w:sz w:val="24"/>
          <w:szCs w:val="24"/>
        </w:rPr>
        <w:t>）库区及上游区域污染源治理</w:t>
      </w:r>
    </w:p>
    <w:p w14:paraId="4D3C1CC5" w14:textId="77777777" w:rsidR="00054437" w:rsidRPr="000549B1" w:rsidRDefault="00000000">
      <w:pPr>
        <w:widowControl/>
        <w:spacing w:line="360" w:lineRule="auto"/>
        <w:ind w:firstLineChars="200" w:firstLine="480"/>
        <w:rPr>
          <w:bCs/>
          <w:sz w:val="24"/>
          <w:szCs w:val="24"/>
        </w:rPr>
      </w:pPr>
      <w:r w:rsidRPr="000549B1">
        <w:rPr>
          <w:bCs/>
          <w:sz w:val="24"/>
          <w:szCs w:val="24"/>
        </w:rPr>
        <w:t>需要加强水库库区及上游区域的污染物排放控制，采取必要的污染治理措施，从源头上减少水源地的污染来源。</w:t>
      </w:r>
    </w:p>
    <w:p w14:paraId="16288D35" w14:textId="77777777" w:rsidR="00054437" w:rsidRPr="000549B1" w:rsidRDefault="00000000">
      <w:pPr>
        <w:widowControl/>
        <w:spacing w:line="360" w:lineRule="auto"/>
        <w:ind w:firstLineChars="200" w:firstLine="480"/>
        <w:rPr>
          <w:bCs/>
          <w:sz w:val="24"/>
          <w:szCs w:val="24"/>
        </w:rPr>
      </w:pPr>
      <w:r w:rsidRPr="000549B1">
        <w:rPr>
          <w:bCs/>
          <w:sz w:val="24"/>
          <w:szCs w:val="24"/>
        </w:rPr>
        <w:t>加强规划水库上游集水区内的人畜生活污染、农村面源污染的控制和管理，如加大农村卫生改厕力度，对每户居民要修建化粪池、沼气池等，通过生态村建设，扶持和鼓励村民集中居住。加强集水区各分散居民点生活污水和生活垃圾的处理，禁止生活污水不经处理直接排入库区，禁止向库区倾倒垃圾。生活垃圾集中收集后统一处置；禁止库区范围和上游新建污染严重的项目；禁止使用含磷洗衣粉，提倡多用农家土杂肥，少用化肥，严禁在农田中使用高残留和剧毒性农药，对农药施用量也要进行控制。</w:t>
      </w:r>
    </w:p>
    <w:p w14:paraId="2CBDE35A" w14:textId="77777777" w:rsidR="00054437" w:rsidRPr="000549B1" w:rsidRDefault="00000000">
      <w:pPr>
        <w:widowControl/>
        <w:spacing w:line="360" w:lineRule="auto"/>
        <w:ind w:firstLineChars="200" w:firstLine="480"/>
        <w:rPr>
          <w:bCs/>
          <w:sz w:val="24"/>
          <w:szCs w:val="24"/>
        </w:rPr>
      </w:pPr>
      <w:r w:rsidRPr="000549B1">
        <w:rPr>
          <w:bCs/>
          <w:sz w:val="24"/>
          <w:szCs w:val="24"/>
        </w:rPr>
        <w:t>加强流域内畜禽养殖污染控制，对集水区内畜禽养殖进行限制，并加强畜禽防疫控制措施。</w:t>
      </w:r>
    </w:p>
    <w:p w14:paraId="0BC7B6E9" w14:textId="77777777" w:rsidR="00054437" w:rsidRPr="000549B1" w:rsidRDefault="00000000">
      <w:pPr>
        <w:spacing w:line="360" w:lineRule="auto"/>
        <w:ind w:firstLineChars="200" w:firstLine="482"/>
        <w:rPr>
          <w:b/>
          <w:bCs/>
          <w:sz w:val="24"/>
          <w:szCs w:val="24"/>
        </w:rPr>
      </w:pPr>
      <w:r w:rsidRPr="000549B1">
        <w:rPr>
          <w:b/>
          <w:bCs/>
          <w:sz w:val="24"/>
          <w:szCs w:val="24"/>
        </w:rPr>
        <w:t>（</w:t>
      </w:r>
      <w:r w:rsidRPr="000549B1">
        <w:rPr>
          <w:b/>
          <w:bCs/>
          <w:sz w:val="24"/>
          <w:szCs w:val="24"/>
        </w:rPr>
        <w:t>2</w:t>
      </w:r>
      <w:r w:rsidRPr="000549B1">
        <w:rPr>
          <w:b/>
          <w:bCs/>
          <w:sz w:val="24"/>
          <w:szCs w:val="24"/>
        </w:rPr>
        <w:t>）饮用水水源保护区划分及保护措施</w:t>
      </w:r>
    </w:p>
    <w:p w14:paraId="07C0B980" w14:textId="77777777" w:rsidR="00054437" w:rsidRPr="000549B1" w:rsidRDefault="00000000">
      <w:pPr>
        <w:spacing w:line="360" w:lineRule="auto"/>
        <w:ind w:firstLineChars="200" w:firstLine="480"/>
        <w:rPr>
          <w:sz w:val="24"/>
          <w:szCs w:val="24"/>
          <w:lang w:bidi="ar"/>
        </w:rPr>
      </w:pPr>
      <w:r w:rsidRPr="000549B1">
        <w:rPr>
          <w:sz w:val="24"/>
          <w:szCs w:val="24"/>
          <w:lang w:bidi="ar"/>
        </w:rPr>
        <w:t>1</w:t>
      </w:r>
      <w:r w:rsidRPr="000549B1">
        <w:rPr>
          <w:sz w:val="24"/>
          <w:szCs w:val="24"/>
          <w:lang w:bidi="ar"/>
        </w:rPr>
        <w:t>）划定饮用水水源保护区</w:t>
      </w:r>
    </w:p>
    <w:p w14:paraId="07992777" w14:textId="77777777" w:rsidR="00054437" w:rsidRPr="000549B1" w:rsidRDefault="00000000">
      <w:pPr>
        <w:spacing w:line="360" w:lineRule="auto"/>
        <w:ind w:firstLineChars="200" w:firstLine="480"/>
        <w:rPr>
          <w:sz w:val="24"/>
          <w:szCs w:val="24"/>
          <w:lang w:bidi="ar"/>
        </w:rPr>
      </w:pPr>
      <w:r w:rsidRPr="000549B1">
        <w:rPr>
          <w:sz w:val="24"/>
          <w:szCs w:val="24"/>
          <w:lang w:bidi="ar"/>
        </w:rPr>
        <w:t>现状年沙珠玉河流域共有</w:t>
      </w:r>
      <w:r w:rsidRPr="000549B1">
        <w:rPr>
          <w:bCs/>
          <w:sz w:val="24"/>
          <w:szCs w:val="24"/>
        </w:rPr>
        <w:t>集中式饮用水水源地</w:t>
      </w:r>
      <w:r w:rsidRPr="000549B1">
        <w:rPr>
          <w:bCs/>
          <w:sz w:val="24"/>
          <w:szCs w:val="24"/>
        </w:rPr>
        <w:t>4</w:t>
      </w:r>
      <w:r w:rsidRPr="000549B1">
        <w:rPr>
          <w:bCs/>
          <w:sz w:val="24"/>
          <w:szCs w:val="24"/>
        </w:rPr>
        <w:t>处，包括切吉滩（地下水型）</w:t>
      </w:r>
      <w:r w:rsidRPr="000549B1">
        <w:rPr>
          <w:sz w:val="24"/>
          <w:szCs w:val="24"/>
          <w:lang w:bidi="ar"/>
        </w:rPr>
        <w:t>、</w:t>
      </w:r>
      <w:r w:rsidRPr="000549B1">
        <w:rPr>
          <w:bCs/>
          <w:sz w:val="24"/>
          <w:szCs w:val="24"/>
        </w:rPr>
        <w:t>恰让水库</w:t>
      </w:r>
      <w:r w:rsidRPr="000549B1">
        <w:rPr>
          <w:sz w:val="24"/>
          <w:szCs w:val="24"/>
          <w:lang w:bidi="ar"/>
        </w:rPr>
        <w:t>两处地市级饮用水水源地，</w:t>
      </w:r>
      <w:r w:rsidRPr="000549B1">
        <w:rPr>
          <w:bCs/>
          <w:sz w:val="24"/>
          <w:szCs w:val="24"/>
        </w:rPr>
        <w:t>河卡镇满丈（河流型）</w:t>
      </w:r>
      <w:r w:rsidRPr="000549B1">
        <w:rPr>
          <w:sz w:val="24"/>
          <w:szCs w:val="24"/>
          <w:lang w:bidi="ar"/>
        </w:rPr>
        <w:t>、切吉水库</w:t>
      </w:r>
      <w:r w:rsidRPr="000549B1">
        <w:rPr>
          <w:bCs/>
          <w:sz w:val="24"/>
          <w:szCs w:val="24"/>
        </w:rPr>
        <w:t>两处乡镇级水源地</w:t>
      </w:r>
      <w:r w:rsidRPr="000549B1">
        <w:rPr>
          <w:sz w:val="24"/>
          <w:szCs w:val="24"/>
          <w:lang w:bidi="ar"/>
        </w:rPr>
        <w:t>。规划新建</w:t>
      </w:r>
      <w:r w:rsidRPr="000549B1">
        <w:rPr>
          <w:bCs/>
          <w:sz w:val="24"/>
          <w:szCs w:val="24"/>
        </w:rPr>
        <w:t>鹿龙沟水库、直亥买水库、羊清沟水库、叉叉沟水库工程、大河坝水库、满丈沟水库</w:t>
      </w:r>
      <w:r w:rsidRPr="000549B1">
        <w:rPr>
          <w:sz w:val="24"/>
          <w:szCs w:val="24"/>
          <w:lang w:bidi="ar"/>
        </w:rPr>
        <w:t>作为生活用水水源。</w:t>
      </w:r>
    </w:p>
    <w:p w14:paraId="198BAA0B" w14:textId="77777777" w:rsidR="00054437" w:rsidRPr="000549B1" w:rsidRDefault="00000000">
      <w:pPr>
        <w:spacing w:line="360" w:lineRule="auto"/>
        <w:ind w:firstLineChars="200" w:firstLine="480"/>
        <w:rPr>
          <w:sz w:val="24"/>
          <w:szCs w:val="24"/>
          <w:lang w:bidi="ar"/>
        </w:rPr>
      </w:pPr>
      <w:r w:rsidRPr="000549B1">
        <w:rPr>
          <w:sz w:val="24"/>
          <w:szCs w:val="24"/>
          <w:lang w:bidi="ar"/>
        </w:rPr>
        <w:t>为保障工程建成后供水安全，建议地方政府应按照《中华人民共和国环境保护法》《中华人民共和国水法》和《中华人民共和国水污染防治法》相关规定，在工程建成后及时组织开展本工程饮用水水源保护区的划分工作。根据《饮用水水源地保护区划分技术规范》，饮用水水源地保护区一般划分为一、二级保护区，必要时增设准保护区。</w:t>
      </w:r>
    </w:p>
    <w:p w14:paraId="1E07291C" w14:textId="77777777" w:rsidR="00054437" w:rsidRPr="000549B1" w:rsidRDefault="00000000">
      <w:pPr>
        <w:spacing w:line="360" w:lineRule="auto"/>
        <w:ind w:firstLineChars="200" w:firstLine="480"/>
        <w:rPr>
          <w:sz w:val="24"/>
          <w:szCs w:val="24"/>
          <w:lang w:bidi="ar"/>
        </w:rPr>
      </w:pPr>
      <w:r w:rsidRPr="00E30E1B">
        <w:rPr>
          <w:color w:val="4F81BD" w:themeColor="accent1"/>
          <w:sz w:val="24"/>
          <w:szCs w:val="24"/>
          <w:lang w:bidi="ar"/>
        </w:rPr>
        <w:t>目前，切吉水库未完成饮用水水源保护区划定，因此本次规划环评要求将切吉水库和拟建水库型水源地作为饮用水水源，划定饮用水水源保护区</w:t>
      </w:r>
      <w:r w:rsidRPr="00E30E1B">
        <w:rPr>
          <w:color w:val="4F81BD" w:themeColor="accent1"/>
          <w:sz w:val="24"/>
          <w:szCs w:val="24"/>
        </w:rPr>
        <w:t>，明确保护区及准保护区范围，提出饮用水安全保障要求和相应管理措施。</w:t>
      </w:r>
      <w:r w:rsidRPr="00E30E1B">
        <w:rPr>
          <w:color w:val="4F81BD" w:themeColor="accent1"/>
          <w:sz w:val="24"/>
          <w:szCs w:val="24"/>
          <w:lang w:bidi="ar"/>
        </w:rPr>
        <w:t>地方政府在划定</w:t>
      </w:r>
      <w:r w:rsidRPr="000549B1">
        <w:rPr>
          <w:sz w:val="24"/>
          <w:szCs w:val="24"/>
          <w:lang w:bidi="ar"/>
        </w:rPr>
        <w:t>饮用水水源保护区后，应严格按照《青海省饮用水水源保护条例》相关管理规定，加强饮用水水源保护，保障饮用水水源安全。</w:t>
      </w:r>
    </w:p>
    <w:p w14:paraId="13C0EB18" w14:textId="77777777" w:rsidR="00054437" w:rsidRPr="000549B1" w:rsidRDefault="00000000">
      <w:pPr>
        <w:spacing w:line="360" w:lineRule="auto"/>
        <w:ind w:firstLineChars="200" w:firstLine="480"/>
        <w:rPr>
          <w:sz w:val="24"/>
          <w:szCs w:val="24"/>
          <w:lang w:bidi="ar"/>
        </w:rPr>
      </w:pPr>
      <w:r w:rsidRPr="000549B1">
        <w:rPr>
          <w:sz w:val="24"/>
          <w:szCs w:val="24"/>
          <w:lang w:bidi="ar"/>
        </w:rPr>
        <w:t>2</w:t>
      </w:r>
      <w:r w:rsidRPr="000549B1">
        <w:rPr>
          <w:sz w:val="24"/>
          <w:szCs w:val="24"/>
          <w:lang w:bidi="ar"/>
        </w:rPr>
        <w:t>）开展集中式饮用水水源地规划化建设</w:t>
      </w:r>
    </w:p>
    <w:p w14:paraId="6B07BBFA" w14:textId="77777777" w:rsidR="00054437" w:rsidRPr="000549B1" w:rsidRDefault="00000000">
      <w:pPr>
        <w:spacing w:line="360" w:lineRule="auto"/>
        <w:ind w:firstLineChars="200" w:firstLine="480"/>
        <w:rPr>
          <w:sz w:val="24"/>
          <w:szCs w:val="24"/>
          <w:lang w:bidi="ar"/>
        </w:rPr>
      </w:pPr>
      <w:r w:rsidRPr="000549B1">
        <w:rPr>
          <w:sz w:val="24"/>
          <w:szCs w:val="24"/>
          <w:lang w:bidi="ar"/>
        </w:rPr>
        <w:t>为保护饮用水水源地水质，确保水源水质安全，地方政府在划定饮用水水源保护区后，应严格按照《集中式饮用水水源地规范化建设环境保护技术要求》，开展切吉水库、拟建大河坝水库等水源地规范化建设，主要内容包括：设置界碑、交通警示牌和宣传牌等标识，在人类活动频繁的区域设置隔离防护设施，开展水源地保护区范围环境整治，按照相关管理规定开展水质监测、开展水源地风险防控与应急能力建设等工作。全面排查影响农村饮用水水源地安全的工业企业、畜禽养殖、垃圾堆放等环境风险源，关闭一、二级保护区内排污口，整治污染源。</w:t>
      </w:r>
    </w:p>
    <w:p w14:paraId="22C351DE" w14:textId="77777777" w:rsidR="00054437" w:rsidRPr="000549B1" w:rsidRDefault="00000000">
      <w:pPr>
        <w:spacing w:line="360" w:lineRule="auto"/>
        <w:ind w:firstLineChars="200" w:firstLine="480"/>
        <w:rPr>
          <w:sz w:val="24"/>
          <w:szCs w:val="24"/>
        </w:rPr>
      </w:pPr>
      <w:r w:rsidRPr="000549B1">
        <w:rPr>
          <w:sz w:val="24"/>
          <w:szCs w:val="24"/>
          <w:lang w:bidi="ar"/>
        </w:rPr>
        <w:t>3</w:t>
      </w:r>
      <w:r w:rsidRPr="000549B1">
        <w:rPr>
          <w:sz w:val="24"/>
          <w:szCs w:val="24"/>
          <w:lang w:bidi="ar"/>
        </w:rPr>
        <w:t>）加强</w:t>
      </w:r>
      <w:r w:rsidRPr="000549B1">
        <w:rPr>
          <w:sz w:val="24"/>
          <w:szCs w:val="24"/>
        </w:rPr>
        <w:t>饮用水水源保护区管控</w:t>
      </w:r>
    </w:p>
    <w:p w14:paraId="3A2888CA" w14:textId="77777777" w:rsidR="00054437" w:rsidRPr="000549B1" w:rsidRDefault="00000000">
      <w:pPr>
        <w:spacing w:line="360" w:lineRule="auto"/>
        <w:ind w:firstLineChars="200" w:firstLine="480"/>
        <w:rPr>
          <w:b/>
          <w:bCs/>
          <w:sz w:val="24"/>
          <w:szCs w:val="24"/>
        </w:rPr>
      </w:pPr>
      <w:r w:rsidRPr="000549B1">
        <w:rPr>
          <w:sz w:val="24"/>
          <w:szCs w:val="24"/>
          <w:lang w:bidi="ar"/>
        </w:rPr>
        <w:t>在饮用水水源一级保护区内禁止新建、扩建与供水设施和保护水源无关的建设项目；禁止向水域排放污水，已设置的排污口必须拆除；禁止堆置和存放工业废渣、城市垃圾、粪便和其他废弃物；禁止设置油库；禁止从事种植、放养畜禽和网箱养殖活动；禁止可能污染水源的旅游活动和其他活动。在饮用水水源二级保护区禁止新建、改建、扩建排放污染物的建设项目；原有排污口依法拆除或者关闭。在饮用水源地准保护区内禁止新建、扩建对水体污染严重的建设项目；改建建设项目，不得增加排污量。</w:t>
      </w:r>
    </w:p>
    <w:p w14:paraId="401490BD" w14:textId="77777777" w:rsidR="00054437" w:rsidRPr="000549B1" w:rsidRDefault="00000000">
      <w:pPr>
        <w:spacing w:line="360" w:lineRule="auto"/>
        <w:ind w:firstLineChars="200" w:firstLine="480"/>
        <w:rPr>
          <w:sz w:val="24"/>
          <w:szCs w:val="24"/>
        </w:rPr>
      </w:pPr>
      <w:r w:rsidRPr="000549B1">
        <w:rPr>
          <w:sz w:val="24"/>
          <w:szCs w:val="24"/>
        </w:rPr>
        <w:t>本次沙珠玉河流域综合规划实施后，应及时按照</w:t>
      </w:r>
      <w:r w:rsidRPr="000549B1">
        <w:rPr>
          <w:sz w:val="24"/>
          <w:szCs w:val="24"/>
          <w:lang w:bidi="ar"/>
        </w:rPr>
        <w:t>《中华人民共和国水污染防治法》相关规定划定饮用水水源保护区，并严格按照相关要求</w:t>
      </w:r>
      <w:r w:rsidRPr="000549B1">
        <w:rPr>
          <w:sz w:val="24"/>
          <w:szCs w:val="24"/>
        </w:rPr>
        <w:t>进行管控。</w:t>
      </w:r>
    </w:p>
    <w:p w14:paraId="700176F4" w14:textId="77777777" w:rsidR="00054437" w:rsidRPr="000549B1" w:rsidRDefault="00000000">
      <w:pPr>
        <w:spacing w:line="360" w:lineRule="auto"/>
        <w:ind w:firstLineChars="200" w:firstLine="480"/>
        <w:rPr>
          <w:sz w:val="24"/>
          <w:szCs w:val="24"/>
        </w:rPr>
      </w:pPr>
      <w:r w:rsidRPr="000549B1">
        <w:rPr>
          <w:sz w:val="24"/>
          <w:szCs w:val="24"/>
        </w:rPr>
        <w:t>4</w:t>
      </w:r>
      <w:r w:rsidRPr="000549B1">
        <w:rPr>
          <w:sz w:val="24"/>
          <w:szCs w:val="24"/>
        </w:rPr>
        <w:t>）强化后期宣传及监管措施</w:t>
      </w:r>
    </w:p>
    <w:p w14:paraId="033D55BF" w14:textId="77777777" w:rsidR="00054437" w:rsidRPr="000549B1" w:rsidRDefault="00000000">
      <w:pPr>
        <w:spacing w:line="360" w:lineRule="auto"/>
        <w:ind w:firstLineChars="200" w:firstLine="480"/>
        <w:rPr>
          <w:sz w:val="24"/>
          <w:szCs w:val="24"/>
        </w:rPr>
      </w:pPr>
      <w:r w:rsidRPr="000549B1">
        <w:rPr>
          <w:sz w:val="24"/>
          <w:szCs w:val="24"/>
        </w:rPr>
        <w:t>加大饮用水水源地环保宣传工作。加大饮用水水源保护相关法律、法规的宣传力度，认真做好警示牌和宣传牌，让更多人了解饮用水水源保护区范围、水源供水能力、饮用水水源水质等情况。建立社区参与水源地保护机制，发动群众做好水源地环境保护工作。</w:t>
      </w:r>
    </w:p>
    <w:p w14:paraId="630F3177" w14:textId="77777777" w:rsidR="00054437" w:rsidRPr="000549B1" w:rsidRDefault="00000000">
      <w:pPr>
        <w:spacing w:line="360" w:lineRule="auto"/>
        <w:ind w:firstLineChars="200" w:firstLine="480"/>
        <w:rPr>
          <w:sz w:val="24"/>
          <w:szCs w:val="24"/>
        </w:rPr>
      </w:pPr>
      <w:r w:rsidRPr="000549B1">
        <w:rPr>
          <w:sz w:val="24"/>
          <w:szCs w:val="24"/>
        </w:rPr>
        <w:t>建立水源巡查与应急管理机制。建立饮用水水源地定期巡查制度，发现问题及时上报、及时处理；建立饮用水水源地应急管理制度，完善饮用水水源污染预警、水质安全应急的饮用水水源应急保障体系，发生饮用水水源污染事故等紧急状况时采取强制性应急措施，并上报上级相关部门。</w:t>
      </w:r>
    </w:p>
    <w:p w14:paraId="58E97B19" w14:textId="77777777" w:rsidR="00054437" w:rsidRPr="000549B1" w:rsidRDefault="00000000">
      <w:pPr>
        <w:spacing w:line="360" w:lineRule="auto"/>
        <w:ind w:firstLineChars="200" w:firstLine="480"/>
        <w:rPr>
          <w:sz w:val="24"/>
          <w:szCs w:val="24"/>
        </w:rPr>
      </w:pPr>
      <w:r w:rsidRPr="000549B1">
        <w:rPr>
          <w:sz w:val="24"/>
          <w:szCs w:val="24"/>
        </w:rPr>
        <w:t>完善水源地管理监测体系，在划定的保护区建立流域集中式饮用水水源地保护制度。水源地内严格实行持证取水管理制度，同时建设监控信息管理系统，监控水质、取水水量。此外应制定水源地安全保障应急预案，形成有效的预警和应急救援机制。</w:t>
      </w:r>
    </w:p>
    <w:p w14:paraId="102448E6" w14:textId="77777777" w:rsidR="00054437" w:rsidRPr="000549B1" w:rsidRDefault="00000000" w:rsidP="000549B1">
      <w:pPr>
        <w:pStyle w:val="3"/>
        <w:numPr>
          <w:ilvl w:val="2"/>
          <w:numId w:val="9"/>
        </w:numPr>
      </w:pPr>
      <w:bookmarkStart w:id="454" w:name="_Toc216107074"/>
      <w:r w:rsidRPr="000549B1">
        <w:t>流域水污染防治措施</w:t>
      </w:r>
      <w:bookmarkEnd w:id="454"/>
    </w:p>
    <w:p w14:paraId="5B0D58B9" w14:textId="77777777" w:rsidR="00054437" w:rsidRPr="000549B1" w:rsidRDefault="00000000">
      <w:pPr>
        <w:spacing w:line="360" w:lineRule="auto"/>
        <w:ind w:firstLine="482"/>
        <w:rPr>
          <w:sz w:val="24"/>
          <w:szCs w:val="24"/>
        </w:rPr>
      </w:pPr>
      <w:r w:rsidRPr="000549B1">
        <w:rPr>
          <w:sz w:val="24"/>
          <w:szCs w:val="24"/>
        </w:rPr>
        <w:t>根据《水利建设项目（引调水工程）环境影响评价文件审批原则》，引调水工程受水区水污染治理以改善水环境质量为目标，遵循</w:t>
      </w:r>
      <w:r w:rsidRPr="000549B1">
        <w:rPr>
          <w:rFonts w:ascii="宋体" w:hAnsi="宋体"/>
          <w:sz w:val="24"/>
          <w:szCs w:val="24"/>
        </w:rPr>
        <w:t>“</w:t>
      </w:r>
      <w:r w:rsidRPr="000549B1">
        <w:rPr>
          <w:sz w:val="24"/>
          <w:szCs w:val="24"/>
        </w:rPr>
        <w:t>增水不增污</w:t>
      </w:r>
      <w:r w:rsidRPr="000549B1">
        <w:rPr>
          <w:rFonts w:ascii="宋体" w:hAnsi="宋体"/>
          <w:sz w:val="24"/>
          <w:szCs w:val="24"/>
        </w:rPr>
        <w:t>”</w:t>
      </w:r>
      <w:r w:rsidRPr="000549B1">
        <w:rPr>
          <w:sz w:val="24"/>
          <w:szCs w:val="24"/>
        </w:rPr>
        <w:t>或</w:t>
      </w:r>
      <w:r w:rsidRPr="000549B1">
        <w:rPr>
          <w:rFonts w:ascii="宋体" w:hAnsi="宋体"/>
          <w:sz w:val="24"/>
          <w:szCs w:val="24"/>
        </w:rPr>
        <w:t>“</w:t>
      </w:r>
      <w:r w:rsidRPr="000549B1">
        <w:rPr>
          <w:sz w:val="24"/>
          <w:szCs w:val="24"/>
        </w:rPr>
        <w:t>增水减污</w:t>
      </w:r>
      <w:r w:rsidRPr="000549B1">
        <w:rPr>
          <w:rFonts w:ascii="宋体" w:hAnsi="宋体"/>
          <w:sz w:val="24"/>
          <w:szCs w:val="24"/>
        </w:rPr>
        <w:t>”</w:t>
      </w:r>
      <w:r w:rsidRPr="000549B1">
        <w:rPr>
          <w:sz w:val="24"/>
          <w:szCs w:val="24"/>
        </w:rPr>
        <w:t>的原则，开工建设前需有经相关人民政府认可的工程受水区水污染防治相关规划作为支撑。同时，还须满足</w:t>
      </w:r>
      <w:r w:rsidRPr="000549B1">
        <w:rPr>
          <w:rFonts w:ascii="宋体" w:hAnsi="宋体"/>
          <w:sz w:val="24"/>
          <w:szCs w:val="24"/>
        </w:rPr>
        <w:t>“</w:t>
      </w:r>
      <w:r w:rsidRPr="000549B1">
        <w:rPr>
          <w:sz w:val="24"/>
          <w:szCs w:val="24"/>
        </w:rPr>
        <w:t>先节水后调水、先治污后通水、先环保后用水</w:t>
      </w:r>
      <w:r w:rsidRPr="000549B1">
        <w:rPr>
          <w:rFonts w:ascii="宋体" w:hAnsi="宋体"/>
          <w:sz w:val="24"/>
          <w:szCs w:val="24"/>
        </w:rPr>
        <w:t>”</w:t>
      </w:r>
      <w:r w:rsidRPr="000549B1">
        <w:rPr>
          <w:sz w:val="24"/>
          <w:szCs w:val="24"/>
        </w:rPr>
        <w:t>的</w:t>
      </w:r>
      <w:r w:rsidRPr="000549B1">
        <w:rPr>
          <w:rFonts w:ascii="宋体" w:hAnsi="宋体"/>
          <w:sz w:val="24"/>
          <w:szCs w:val="24"/>
        </w:rPr>
        <w:t>“</w:t>
      </w:r>
      <w:r w:rsidRPr="000549B1">
        <w:rPr>
          <w:sz w:val="24"/>
          <w:szCs w:val="24"/>
        </w:rPr>
        <w:t>三先三后</w:t>
      </w:r>
      <w:r w:rsidRPr="000549B1">
        <w:rPr>
          <w:rFonts w:ascii="宋体" w:hAnsi="宋体"/>
          <w:sz w:val="24"/>
          <w:szCs w:val="24"/>
        </w:rPr>
        <w:t>”</w:t>
      </w:r>
      <w:r w:rsidRPr="000549B1">
        <w:rPr>
          <w:sz w:val="24"/>
          <w:szCs w:val="24"/>
        </w:rPr>
        <w:t>要求，在工程建成通水前，对工程受水区现有水污染问题进行治理，待受水区水资源水环境承载能力与水资源配置规模相适应后方可通水。</w:t>
      </w:r>
    </w:p>
    <w:p w14:paraId="2A11A1C0" w14:textId="77777777" w:rsidR="00054437" w:rsidRPr="000549B1" w:rsidRDefault="00000000">
      <w:pPr>
        <w:spacing w:line="360" w:lineRule="auto"/>
        <w:ind w:firstLine="482"/>
        <w:rPr>
          <w:sz w:val="24"/>
          <w:szCs w:val="24"/>
        </w:rPr>
      </w:pPr>
      <w:r w:rsidRPr="000549B1">
        <w:rPr>
          <w:sz w:val="24"/>
          <w:szCs w:val="24"/>
        </w:rPr>
        <w:t>受水区的水污染防治工作，应在统筹考虑受水区河流水系分布、水环境现状、水污染防治形势等因素的基础上，以控制单元为抓手，以水功能区水质达标与污染物入河总量可控为底线，科学核算水域纳污能力，合理制定污染物排放总量控制方案，针对引调水工程实施后可能产生的不利水环境影响，在充分评估受水区已有水污染防治措施的基础上，综合考虑受水区水环境质量现状、水污染物排放现状以及经济社会发展等因素，根据受水区水污染防治规划目标，从防治工业废水、生活污水、畜禽养殖废水、中水回用等方面，分类、分区、分时段提出各个控制单元的新增规划水污染防治措施。应配套建设完善的水环境监测体系和水环境风险应急处置系统，确保引调水工程受水区水环境安全。</w:t>
      </w:r>
    </w:p>
    <w:p w14:paraId="017715DA" w14:textId="77777777" w:rsidR="00054437" w:rsidRPr="000549B1" w:rsidRDefault="00000000">
      <w:pPr>
        <w:spacing w:line="360" w:lineRule="auto"/>
        <w:ind w:firstLineChars="200" w:firstLine="480"/>
        <w:rPr>
          <w:sz w:val="24"/>
          <w:szCs w:val="24"/>
        </w:rPr>
      </w:pPr>
      <w:r w:rsidRPr="000549B1">
        <w:rPr>
          <w:sz w:val="24"/>
          <w:szCs w:val="24"/>
        </w:rPr>
        <w:t>本次评价根据受水区水环境状况和规划工程影响特点，考虑地表水环境改善要求，建议从节水、面源污染控制、河流生态修复等方面落实沙珠玉河流域水污染治理措施：</w:t>
      </w:r>
    </w:p>
    <w:p w14:paraId="508DEA2A" w14:textId="77777777" w:rsidR="00054437" w:rsidRPr="000549B1" w:rsidRDefault="00000000">
      <w:pPr>
        <w:spacing w:line="360" w:lineRule="auto"/>
        <w:ind w:firstLineChars="200" w:firstLine="480"/>
        <w:rPr>
          <w:sz w:val="24"/>
          <w:szCs w:val="24"/>
        </w:rPr>
      </w:pPr>
      <w:r w:rsidRPr="000549B1">
        <w:rPr>
          <w:sz w:val="24"/>
          <w:szCs w:val="24"/>
        </w:rPr>
        <w:t>（</w:t>
      </w:r>
      <w:r w:rsidRPr="000549B1">
        <w:rPr>
          <w:sz w:val="24"/>
          <w:szCs w:val="24"/>
        </w:rPr>
        <w:t>1</w:t>
      </w:r>
      <w:r w:rsidRPr="000549B1">
        <w:rPr>
          <w:sz w:val="24"/>
          <w:szCs w:val="24"/>
        </w:rPr>
        <w:t>）加强节水措施</w:t>
      </w:r>
    </w:p>
    <w:p w14:paraId="6F5D4045" w14:textId="77777777" w:rsidR="00054437" w:rsidRPr="000549B1" w:rsidRDefault="00000000">
      <w:pPr>
        <w:spacing w:line="360" w:lineRule="auto"/>
        <w:ind w:firstLineChars="200" w:firstLine="480"/>
        <w:rPr>
          <w:sz w:val="24"/>
          <w:szCs w:val="24"/>
        </w:rPr>
      </w:pPr>
      <w:r w:rsidRPr="000549B1">
        <w:rPr>
          <w:sz w:val="24"/>
          <w:szCs w:val="24"/>
        </w:rPr>
        <w:t>农业节水措施主要包括工程措施和技术、经济、管理等非工程措施。节水重点是灌区的节水改造，按节水目标规划发展。农业灌溉用水管理需要完善三方面工作一是大力发展节水灌溉工程，挖潜改造老灌区，推行节水灌溉新技术，降低灌水定额；二是增加农业灌溉水的调蓄能力，加强非常规水源利用，提高农业供水保障率；三是按照《青海省主体功能区规划》，在功能定位区大力发展雨养农业和旱作农业。</w:t>
      </w:r>
    </w:p>
    <w:p w14:paraId="67779BC3" w14:textId="77777777" w:rsidR="00054437" w:rsidRPr="000549B1" w:rsidRDefault="00000000">
      <w:pPr>
        <w:spacing w:line="360" w:lineRule="auto"/>
        <w:ind w:firstLineChars="200" w:firstLine="480"/>
        <w:rPr>
          <w:sz w:val="24"/>
          <w:szCs w:val="24"/>
        </w:rPr>
      </w:pPr>
      <w:r w:rsidRPr="000549B1">
        <w:rPr>
          <w:sz w:val="24"/>
          <w:szCs w:val="24"/>
        </w:rPr>
        <w:t>工业节水要以总量控制、定额管理为目标，以高用水工业为重点，积极创建节水型工业。受水区内重要工业园区及非能源工业发展应做到整合资源，建立供水、水处理、水调度为一体的供水厂，统一处理园区内废污水，并对各企业分质供水，进行资源统一调度与分配，实现水资源高效利用与区域废污水零排放。</w:t>
      </w:r>
    </w:p>
    <w:p w14:paraId="729F7C0D" w14:textId="77777777" w:rsidR="00054437" w:rsidRPr="000549B1" w:rsidRDefault="00000000">
      <w:pPr>
        <w:spacing w:line="360" w:lineRule="auto"/>
        <w:ind w:firstLineChars="200" w:firstLine="480"/>
        <w:rPr>
          <w:sz w:val="24"/>
          <w:szCs w:val="24"/>
        </w:rPr>
      </w:pPr>
      <w:r w:rsidRPr="000549B1">
        <w:rPr>
          <w:sz w:val="24"/>
          <w:szCs w:val="24"/>
        </w:rPr>
        <w:t>生活节水重在城镇，并逐步向农村推进；以创建节水型社会为目标，在受水区内大力开展节约用水活动，积极推广节水型器具，合理利用雨水、再生水等非常规水资源，通过强化管理等一系列的政策、法规以及宣传教育等措施提高生活用水效率。同时，加强计划用水和定额管理，加快改造受水区城镇供水管网，降低管网漏失率。</w:t>
      </w:r>
    </w:p>
    <w:p w14:paraId="6B66F45C" w14:textId="77777777" w:rsidR="00054437" w:rsidRPr="000549B1" w:rsidRDefault="00000000">
      <w:pPr>
        <w:spacing w:line="360" w:lineRule="auto"/>
        <w:ind w:firstLineChars="200" w:firstLine="480"/>
        <w:rPr>
          <w:sz w:val="24"/>
          <w:szCs w:val="24"/>
        </w:rPr>
      </w:pPr>
      <w:r w:rsidRPr="000549B1">
        <w:rPr>
          <w:sz w:val="24"/>
          <w:szCs w:val="24"/>
        </w:rPr>
        <w:t>（</w:t>
      </w:r>
      <w:r w:rsidRPr="000549B1">
        <w:rPr>
          <w:sz w:val="24"/>
          <w:szCs w:val="24"/>
        </w:rPr>
        <w:t>2</w:t>
      </w:r>
      <w:r w:rsidRPr="000549B1">
        <w:rPr>
          <w:sz w:val="24"/>
          <w:szCs w:val="24"/>
        </w:rPr>
        <w:t>）提高受水区工业污染防控水平</w:t>
      </w:r>
    </w:p>
    <w:p w14:paraId="67B94E27" w14:textId="77777777" w:rsidR="00054437" w:rsidRPr="000549B1" w:rsidRDefault="00000000">
      <w:pPr>
        <w:pStyle w:val="0A"/>
        <w:ind w:firstLine="480"/>
        <w:rPr>
          <w:b w:val="0"/>
          <w:sz w:val="24"/>
          <w:szCs w:val="24"/>
        </w:rPr>
      </w:pPr>
      <w:r w:rsidRPr="000549B1">
        <w:rPr>
          <w:b w:val="0"/>
          <w:sz w:val="24"/>
          <w:szCs w:val="24"/>
        </w:rPr>
        <w:t>以污染物总量控制和削减工业污染物排放总量为主线，在实现和巩固工业污染源达标排放成果的基础上，加大受水区工业结构调整，加大</w:t>
      </w:r>
      <w:r w:rsidRPr="000549B1">
        <w:rPr>
          <w:rFonts w:ascii="宋体" w:hAnsi="宋体"/>
          <w:b w:val="0"/>
          <w:sz w:val="24"/>
          <w:szCs w:val="24"/>
        </w:rPr>
        <w:t>“</w:t>
      </w:r>
      <w:r w:rsidRPr="000549B1">
        <w:rPr>
          <w:b w:val="0"/>
          <w:sz w:val="24"/>
          <w:szCs w:val="24"/>
        </w:rPr>
        <w:t>关、停、并、转、改</w:t>
      </w:r>
      <w:r w:rsidRPr="000549B1">
        <w:rPr>
          <w:rFonts w:ascii="宋体" w:hAnsi="宋体"/>
          <w:b w:val="0"/>
          <w:sz w:val="24"/>
          <w:szCs w:val="24"/>
        </w:rPr>
        <w:t>”</w:t>
      </w:r>
      <w:r w:rsidRPr="000549B1">
        <w:rPr>
          <w:b w:val="0"/>
          <w:sz w:val="24"/>
          <w:szCs w:val="24"/>
        </w:rPr>
        <w:t>力度，实现产业升级。坚决关停工艺和设备落后、污染严重、资源能源消耗量大、经济效益低下的企业。积极推行清洁生产和技术进步，实现工业污染源全面稳定达标排放。加强建设项目环境管理，优化企业布局，严格控制新污染源的产生。</w:t>
      </w:r>
    </w:p>
    <w:p w14:paraId="4AF81B30" w14:textId="77777777" w:rsidR="00054437" w:rsidRPr="000549B1" w:rsidRDefault="00000000">
      <w:pPr>
        <w:spacing w:line="360" w:lineRule="auto"/>
        <w:ind w:firstLineChars="200" w:firstLine="480"/>
        <w:rPr>
          <w:sz w:val="24"/>
          <w:szCs w:val="24"/>
        </w:rPr>
      </w:pPr>
      <w:r w:rsidRPr="000549B1">
        <w:rPr>
          <w:sz w:val="24"/>
          <w:szCs w:val="24"/>
        </w:rPr>
        <w:t>（</w:t>
      </w:r>
      <w:r w:rsidRPr="000549B1">
        <w:rPr>
          <w:sz w:val="24"/>
          <w:szCs w:val="24"/>
        </w:rPr>
        <w:t>3</w:t>
      </w:r>
      <w:r w:rsidRPr="000549B1">
        <w:rPr>
          <w:sz w:val="24"/>
          <w:szCs w:val="24"/>
        </w:rPr>
        <w:t>）推进受水区污水治理设施建设和稳定运营</w:t>
      </w:r>
    </w:p>
    <w:p w14:paraId="2B37E54B" w14:textId="77777777" w:rsidR="00054437" w:rsidRPr="000549B1" w:rsidRDefault="00000000">
      <w:pPr>
        <w:pStyle w:val="0A"/>
        <w:ind w:firstLine="480"/>
        <w:rPr>
          <w:b w:val="0"/>
          <w:sz w:val="24"/>
          <w:szCs w:val="24"/>
        </w:rPr>
      </w:pPr>
      <w:r w:rsidRPr="000549B1">
        <w:rPr>
          <w:b w:val="0"/>
          <w:sz w:val="24"/>
          <w:szCs w:val="24"/>
        </w:rPr>
        <w:t>加强城镇集中饮用水水源地保护，加快城镇基础设施，雨污分流管网，城镇垃圾、污水处理厂（站）建设，实现城镇废水达标排放。受水区城镇生活污染源的削减主要依靠城镇污水处理设施的建设和运行管理，主要包括：合理确定污水处理厂规模、排放标准及处理工艺；加强污水处理厂配套工程建设，完善污水收集管网系统；加强污水处理费征收管理；加强城镇污水处理工程建设与运营监管；加强城镇规划区范围内新、扩、改建项目的环境管理。</w:t>
      </w:r>
    </w:p>
    <w:p w14:paraId="1A643475" w14:textId="77777777" w:rsidR="00054437" w:rsidRPr="000549B1" w:rsidRDefault="00000000">
      <w:pPr>
        <w:spacing w:line="360" w:lineRule="auto"/>
        <w:ind w:firstLineChars="200" w:firstLine="480"/>
        <w:rPr>
          <w:sz w:val="24"/>
          <w:szCs w:val="24"/>
        </w:rPr>
      </w:pPr>
      <w:r w:rsidRPr="000549B1">
        <w:rPr>
          <w:sz w:val="24"/>
          <w:szCs w:val="24"/>
        </w:rPr>
        <w:t>（</w:t>
      </w:r>
      <w:r w:rsidRPr="000549B1">
        <w:rPr>
          <w:sz w:val="24"/>
          <w:szCs w:val="24"/>
        </w:rPr>
        <w:t>4</w:t>
      </w:r>
      <w:r w:rsidRPr="000549B1">
        <w:rPr>
          <w:sz w:val="24"/>
          <w:szCs w:val="24"/>
        </w:rPr>
        <w:t>）落实受水区集约化养殖污染控制方案</w:t>
      </w:r>
    </w:p>
    <w:p w14:paraId="113D278D" w14:textId="77777777" w:rsidR="00054437" w:rsidRPr="000549B1" w:rsidRDefault="00000000">
      <w:pPr>
        <w:pStyle w:val="0A"/>
        <w:ind w:firstLine="480"/>
        <w:rPr>
          <w:b w:val="0"/>
          <w:sz w:val="24"/>
          <w:szCs w:val="24"/>
        </w:rPr>
      </w:pPr>
      <w:r w:rsidRPr="000549B1">
        <w:rPr>
          <w:b w:val="0"/>
          <w:sz w:val="24"/>
          <w:szCs w:val="24"/>
        </w:rPr>
        <w:t>采用堆肥，沼气池发酵和粪尿浓缩干粒法等措施，治理畜禽养殖废物污染，实现畜禽养殖污染物资源化利用和达标排放。</w:t>
      </w:r>
    </w:p>
    <w:p w14:paraId="722304CA" w14:textId="77777777" w:rsidR="00054437" w:rsidRPr="000549B1" w:rsidRDefault="00000000">
      <w:pPr>
        <w:pStyle w:val="0A"/>
        <w:ind w:firstLine="480"/>
        <w:rPr>
          <w:b w:val="0"/>
          <w:sz w:val="24"/>
          <w:szCs w:val="24"/>
        </w:rPr>
      </w:pPr>
      <w:r w:rsidRPr="000549B1">
        <w:rPr>
          <w:b w:val="0"/>
          <w:sz w:val="24"/>
          <w:szCs w:val="24"/>
        </w:rPr>
        <w:t>（</w:t>
      </w:r>
      <w:r w:rsidRPr="000549B1">
        <w:rPr>
          <w:b w:val="0"/>
          <w:sz w:val="24"/>
          <w:szCs w:val="24"/>
        </w:rPr>
        <w:t>5</w:t>
      </w:r>
      <w:r w:rsidRPr="000549B1">
        <w:rPr>
          <w:b w:val="0"/>
          <w:sz w:val="24"/>
          <w:szCs w:val="24"/>
        </w:rPr>
        <w:t>）实施受水区面源控制规划方案</w:t>
      </w:r>
    </w:p>
    <w:p w14:paraId="447BBEE8" w14:textId="77777777" w:rsidR="00054437" w:rsidRPr="000549B1" w:rsidRDefault="00000000">
      <w:pPr>
        <w:pStyle w:val="0A"/>
        <w:ind w:firstLine="480"/>
        <w:rPr>
          <w:b w:val="0"/>
          <w:sz w:val="24"/>
          <w:szCs w:val="24"/>
        </w:rPr>
      </w:pPr>
      <w:r w:rsidRPr="000549B1">
        <w:rPr>
          <w:b w:val="0"/>
          <w:sz w:val="24"/>
          <w:szCs w:val="24"/>
        </w:rPr>
        <w:t>积极调整受水区农业产业结构，促进农民生产生活方式的转变。大力发展有机农业和生态农业，建设生态循环农业经济；全面禁止使用国家明令禁止生产和使用的剧毒高残留农药，在农作物病虫害防治上，坚持以生物防治为主，生物、化学农药防治相结合的手段，达到防治效果。积极推广择土施肥、平衡施肥，大力推广使用有机肥、复混肥，有针对性地施用微肥。逐步推广可降解塑料使用。</w:t>
      </w:r>
    </w:p>
    <w:p w14:paraId="5A579821" w14:textId="77777777" w:rsidR="00054437" w:rsidRPr="000549B1" w:rsidRDefault="00000000">
      <w:pPr>
        <w:pStyle w:val="0A"/>
        <w:ind w:firstLine="480"/>
        <w:rPr>
          <w:b w:val="0"/>
          <w:sz w:val="24"/>
          <w:szCs w:val="24"/>
        </w:rPr>
      </w:pPr>
      <w:r w:rsidRPr="000549B1">
        <w:rPr>
          <w:b w:val="0"/>
          <w:sz w:val="24"/>
          <w:szCs w:val="24"/>
        </w:rPr>
        <w:t>（</w:t>
      </w:r>
      <w:r w:rsidRPr="000549B1">
        <w:rPr>
          <w:b w:val="0"/>
          <w:sz w:val="24"/>
          <w:szCs w:val="24"/>
        </w:rPr>
        <w:t>6</w:t>
      </w:r>
      <w:r w:rsidRPr="000549B1">
        <w:rPr>
          <w:b w:val="0"/>
          <w:sz w:val="24"/>
          <w:szCs w:val="24"/>
        </w:rPr>
        <w:t>）做好受水区河流生态安全体系建设</w:t>
      </w:r>
    </w:p>
    <w:p w14:paraId="6D741FA0" w14:textId="77777777" w:rsidR="00054437" w:rsidRPr="000549B1" w:rsidRDefault="00000000">
      <w:pPr>
        <w:pStyle w:val="0A"/>
        <w:ind w:firstLine="480"/>
        <w:rPr>
          <w:b w:val="0"/>
          <w:sz w:val="24"/>
          <w:szCs w:val="24"/>
        </w:rPr>
      </w:pPr>
      <w:r w:rsidRPr="000549B1">
        <w:rPr>
          <w:b w:val="0"/>
          <w:sz w:val="24"/>
          <w:szCs w:val="24"/>
        </w:rPr>
        <w:t>做好沙珠玉河及支流切吉河、沙珠玉河、恰卜恰河等受水区主要河流沿线生态环境保护。保护和恢复湿地系统，增强河流自净功能。抓紧实施受水区中小河流污染综合整治工程。</w:t>
      </w:r>
    </w:p>
    <w:p w14:paraId="1AEE1DB6" w14:textId="77777777" w:rsidR="00054437" w:rsidRPr="000549B1" w:rsidRDefault="00000000">
      <w:pPr>
        <w:pStyle w:val="0A"/>
        <w:ind w:firstLine="480"/>
        <w:rPr>
          <w:b w:val="0"/>
          <w:sz w:val="24"/>
          <w:szCs w:val="24"/>
        </w:rPr>
      </w:pPr>
      <w:r w:rsidRPr="000549B1">
        <w:rPr>
          <w:b w:val="0"/>
          <w:sz w:val="24"/>
          <w:szCs w:val="24"/>
        </w:rPr>
        <w:t>（</w:t>
      </w:r>
      <w:r w:rsidRPr="000549B1">
        <w:rPr>
          <w:b w:val="0"/>
          <w:sz w:val="24"/>
          <w:szCs w:val="24"/>
        </w:rPr>
        <w:t>7</w:t>
      </w:r>
      <w:r w:rsidRPr="000549B1">
        <w:rPr>
          <w:b w:val="0"/>
          <w:sz w:val="24"/>
          <w:szCs w:val="24"/>
        </w:rPr>
        <w:t>）强化生态环境应急管理，着力防范环境风险</w:t>
      </w:r>
    </w:p>
    <w:p w14:paraId="3BF687D7" w14:textId="77777777" w:rsidR="00054437" w:rsidRPr="000549B1" w:rsidRDefault="00000000">
      <w:pPr>
        <w:pStyle w:val="0A"/>
        <w:ind w:firstLine="480"/>
        <w:rPr>
          <w:b w:val="0"/>
          <w:sz w:val="24"/>
          <w:szCs w:val="24"/>
        </w:rPr>
      </w:pPr>
      <w:r w:rsidRPr="000549B1">
        <w:rPr>
          <w:b w:val="0"/>
          <w:sz w:val="24"/>
          <w:szCs w:val="24"/>
          <w:lang w:val="zh-CN"/>
        </w:rPr>
        <w:t>完善突发环境事件应急预案体系，加强</w:t>
      </w:r>
      <w:r w:rsidRPr="000549B1">
        <w:rPr>
          <w:b w:val="0"/>
          <w:sz w:val="24"/>
          <w:szCs w:val="24"/>
        </w:rPr>
        <w:t>受水区内</w:t>
      </w:r>
      <w:r w:rsidRPr="000549B1">
        <w:rPr>
          <w:b w:val="0"/>
          <w:sz w:val="24"/>
          <w:szCs w:val="24"/>
          <w:lang w:val="zh-CN"/>
        </w:rPr>
        <w:t>重点流域环境风险综合管控，系统构建</w:t>
      </w:r>
      <w:r w:rsidRPr="000549B1">
        <w:rPr>
          <w:b w:val="0"/>
          <w:sz w:val="24"/>
          <w:szCs w:val="24"/>
        </w:rPr>
        <w:t>工程受水区</w:t>
      </w:r>
      <w:r w:rsidRPr="000549B1">
        <w:rPr>
          <w:rFonts w:ascii="宋体" w:hAnsi="宋体"/>
          <w:b w:val="0"/>
          <w:sz w:val="24"/>
          <w:szCs w:val="24"/>
        </w:rPr>
        <w:t>“</w:t>
      </w:r>
      <w:r w:rsidRPr="000549B1">
        <w:rPr>
          <w:rFonts w:eastAsiaTheme="minorEastAsia"/>
          <w:b w:val="0"/>
          <w:sz w:val="24"/>
          <w:szCs w:val="24"/>
        </w:rPr>
        <w:t>一河一策</w:t>
      </w:r>
      <w:r w:rsidRPr="000549B1">
        <w:rPr>
          <w:rFonts w:ascii="宋体" w:hAnsi="宋体"/>
          <w:b w:val="0"/>
          <w:sz w:val="24"/>
          <w:szCs w:val="24"/>
        </w:rPr>
        <w:t>”</w:t>
      </w:r>
      <w:r w:rsidRPr="000549B1">
        <w:rPr>
          <w:rFonts w:eastAsiaTheme="minorEastAsia"/>
          <w:b w:val="0"/>
          <w:sz w:val="24"/>
          <w:szCs w:val="24"/>
        </w:rPr>
        <w:t>水</w:t>
      </w:r>
      <w:r w:rsidRPr="000549B1">
        <w:rPr>
          <w:b w:val="0"/>
          <w:sz w:val="24"/>
          <w:szCs w:val="24"/>
        </w:rPr>
        <w:t>环境污染事件处置专项预案。加强切吉河、沙珠玉河沿线环境安全隐患排查，强化工业园区及重点企业监控，完善突发环境事件预警应急机制，提高突发环境事件防范和处理能力。加强流域预警应急能力建设，建立突发环境事件风险防范体系和响应联动机制，提升流域风险防范水平。</w:t>
      </w:r>
    </w:p>
    <w:p w14:paraId="7D206F86" w14:textId="77777777" w:rsidR="00054437" w:rsidRPr="000549B1" w:rsidRDefault="00000000" w:rsidP="000549B1">
      <w:pPr>
        <w:pStyle w:val="2"/>
        <w:numPr>
          <w:ilvl w:val="1"/>
          <w:numId w:val="9"/>
        </w:numPr>
        <w:rPr>
          <w:rFonts w:ascii="Times New Roman" w:hAnsi="Times New Roman"/>
        </w:rPr>
      </w:pPr>
      <w:bookmarkStart w:id="455" w:name="_Toc216107075"/>
      <w:r w:rsidRPr="000549B1">
        <w:rPr>
          <w:rFonts w:ascii="Times New Roman" w:hAnsi="Times New Roman" w:hint="eastAsia"/>
        </w:rPr>
        <w:t>陆生</w:t>
      </w:r>
      <w:r w:rsidRPr="000549B1">
        <w:rPr>
          <w:rFonts w:ascii="Times New Roman" w:hAnsi="Times New Roman"/>
        </w:rPr>
        <w:t>生态保护对策措施</w:t>
      </w:r>
      <w:bookmarkEnd w:id="455"/>
    </w:p>
    <w:p w14:paraId="36513127" w14:textId="77777777" w:rsidR="00E62FAF" w:rsidRPr="000549B1" w:rsidRDefault="00E62FAF" w:rsidP="00E62FAF">
      <w:pPr>
        <w:snapToGrid w:val="0"/>
        <w:spacing w:line="360" w:lineRule="auto"/>
        <w:ind w:firstLineChars="200" w:firstLine="480"/>
        <w:rPr>
          <w:bCs/>
          <w:sz w:val="24"/>
        </w:rPr>
      </w:pPr>
      <w:r w:rsidRPr="000549B1">
        <w:rPr>
          <w:rFonts w:hint="eastAsia"/>
          <w:bCs/>
          <w:sz w:val="24"/>
        </w:rPr>
        <w:t>（</w:t>
      </w:r>
      <w:r w:rsidRPr="000549B1">
        <w:rPr>
          <w:bCs/>
          <w:sz w:val="24"/>
        </w:rPr>
        <w:t>1</w:t>
      </w:r>
      <w:r w:rsidRPr="000549B1">
        <w:rPr>
          <w:rFonts w:hint="eastAsia"/>
          <w:bCs/>
          <w:sz w:val="24"/>
        </w:rPr>
        <w:t>）通过调整规划工程布置，对天然林地植被及野生动植物重要物种的主要分布区域进行施工避让，尽量避开重点保护物种和珍稀濒危物种集中分布的地区。</w:t>
      </w:r>
    </w:p>
    <w:p w14:paraId="66E690E3" w14:textId="6F916E0F" w:rsidR="00E62FAF" w:rsidRPr="000549B1" w:rsidRDefault="00E62FAF" w:rsidP="00E62FAF">
      <w:pPr>
        <w:snapToGrid w:val="0"/>
        <w:spacing w:line="360" w:lineRule="auto"/>
        <w:ind w:firstLineChars="200" w:firstLine="480"/>
        <w:rPr>
          <w:bCs/>
          <w:sz w:val="24"/>
        </w:rPr>
      </w:pPr>
      <w:r w:rsidRPr="000549B1">
        <w:rPr>
          <w:bCs/>
          <w:sz w:val="24"/>
        </w:rPr>
        <w:t>（</w:t>
      </w:r>
      <w:r w:rsidRPr="000549B1">
        <w:rPr>
          <w:rFonts w:hint="eastAsia"/>
          <w:bCs/>
          <w:sz w:val="24"/>
        </w:rPr>
        <w:t>2</w:t>
      </w:r>
      <w:r w:rsidRPr="000549B1">
        <w:rPr>
          <w:bCs/>
          <w:sz w:val="24"/>
        </w:rPr>
        <w:t>）建议规划项目应尽量避让生态敏感区，实在无法避让的涉及环境敏感区的规划项目，应经专题研究论证和行政主管部门同意后才实施，应严格落实相关的保护措施。工程施工区尽量远离保护区布设，施工过程中采用先进的环保技术和工艺，以减少</w:t>
      </w:r>
      <w:r w:rsidRPr="000549B1">
        <w:rPr>
          <w:rFonts w:ascii="宋体" w:hAnsi="宋体"/>
          <w:bCs/>
          <w:sz w:val="24"/>
        </w:rPr>
        <w:t>“</w:t>
      </w:r>
      <w:r w:rsidRPr="000549B1">
        <w:rPr>
          <w:bCs/>
          <w:sz w:val="24"/>
        </w:rPr>
        <w:t>三废一噪</w:t>
      </w:r>
      <w:r w:rsidRPr="000549B1">
        <w:rPr>
          <w:rFonts w:ascii="宋体" w:hAnsi="宋体"/>
          <w:bCs/>
          <w:sz w:val="24"/>
        </w:rPr>
        <w:t>”</w:t>
      </w:r>
      <w:r w:rsidRPr="000549B1">
        <w:rPr>
          <w:bCs/>
          <w:sz w:val="24"/>
        </w:rPr>
        <w:t>的产生，减轻对自然保护区的影响。施工辅助设施（施工营地、料场、渣场和管理营地等）禁止设置在环境敏感区范围之内。</w:t>
      </w:r>
    </w:p>
    <w:p w14:paraId="64DC02B7" w14:textId="3827EAC3" w:rsidR="00054437" w:rsidRPr="000549B1" w:rsidRDefault="00000000">
      <w:pPr>
        <w:snapToGrid w:val="0"/>
        <w:spacing w:line="360" w:lineRule="auto"/>
        <w:ind w:firstLineChars="200" w:firstLine="480"/>
        <w:rPr>
          <w:bCs/>
          <w:sz w:val="24"/>
        </w:rPr>
      </w:pPr>
      <w:r w:rsidRPr="000549B1">
        <w:rPr>
          <w:bCs/>
          <w:sz w:val="24"/>
        </w:rPr>
        <w:t>（</w:t>
      </w:r>
      <w:r w:rsidR="00E62FAF" w:rsidRPr="000549B1">
        <w:rPr>
          <w:rFonts w:hint="eastAsia"/>
          <w:bCs/>
          <w:sz w:val="24"/>
        </w:rPr>
        <w:t>3</w:t>
      </w:r>
      <w:r w:rsidRPr="000549B1">
        <w:rPr>
          <w:bCs/>
          <w:sz w:val="24"/>
        </w:rPr>
        <w:t>）规划工程永久占地、施工场地选择和道路修建等，应尽量少占草地、林地、耕地等，节约使用土地资源，保护当地植被及重要野生动物栖息地。尤其是对目前国家和省级野生重点保护动植物及特有种类留存数量较少的一些植被类型和组成物种，应予规避；在规划落实过程中，应加强原生植被的保护与修复，做到规划工程与生态修复的同步落实。认真贯彻野生动物保护法规，加强宣传教育，严禁捕杀野生动物、乱砍滥伐。</w:t>
      </w:r>
    </w:p>
    <w:p w14:paraId="67610736" w14:textId="5ECF3663" w:rsidR="00054437" w:rsidRPr="000549B1" w:rsidRDefault="00000000">
      <w:pPr>
        <w:snapToGrid w:val="0"/>
        <w:spacing w:line="360" w:lineRule="auto"/>
        <w:ind w:firstLineChars="200" w:firstLine="480"/>
        <w:rPr>
          <w:bCs/>
          <w:sz w:val="24"/>
        </w:rPr>
      </w:pPr>
      <w:r w:rsidRPr="000549B1">
        <w:rPr>
          <w:bCs/>
          <w:sz w:val="24"/>
        </w:rPr>
        <w:t>（</w:t>
      </w:r>
      <w:r w:rsidR="00E62FAF" w:rsidRPr="000549B1">
        <w:rPr>
          <w:rFonts w:hint="eastAsia"/>
          <w:bCs/>
          <w:sz w:val="24"/>
        </w:rPr>
        <w:t>4</w:t>
      </w:r>
      <w:r w:rsidRPr="000549B1">
        <w:rPr>
          <w:bCs/>
          <w:sz w:val="24"/>
        </w:rPr>
        <w:t>）加强水土保持监督管理工作，积极开展水土流失治理，严格水土保持方案报批制度及水土保持</w:t>
      </w:r>
      <w:r w:rsidRPr="000549B1">
        <w:rPr>
          <w:rFonts w:ascii="宋体" w:hAnsi="宋体"/>
          <w:bCs/>
          <w:sz w:val="24"/>
        </w:rPr>
        <w:t>“</w:t>
      </w:r>
      <w:r w:rsidRPr="000549B1">
        <w:rPr>
          <w:bCs/>
          <w:sz w:val="24"/>
        </w:rPr>
        <w:t>三同时</w:t>
      </w:r>
      <w:r w:rsidRPr="000549B1">
        <w:rPr>
          <w:rFonts w:ascii="宋体" w:hAnsi="宋体"/>
          <w:bCs/>
          <w:sz w:val="24"/>
        </w:rPr>
        <w:t>”</w:t>
      </w:r>
      <w:r w:rsidRPr="000549B1">
        <w:rPr>
          <w:bCs/>
          <w:sz w:val="24"/>
        </w:rPr>
        <w:t>制度，促进生态恢复。在规划工程施工中加强施工区的边坡处理，采取削坡、护坡、挂网和喷锚等工程措施维持高陡边坡稳定，防治水土流失。对弃渣场和料场采取覆土、恢复植被等措施。严格控制施工扰动范围，临时占地区及时采取工程和植物相结合的水土保持措施。本次规划的重大水利工程（</w:t>
      </w:r>
      <w:r w:rsidRPr="000549B1">
        <w:rPr>
          <w:rFonts w:ascii="宋体" w:hAnsi="宋体"/>
          <w:bCs/>
          <w:sz w:val="24"/>
        </w:rPr>
        <w:t>“</w:t>
      </w:r>
      <w:r w:rsidRPr="000549B1">
        <w:rPr>
          <w:bCs/>
          <w:sz w:val="24"/>
        </w:rPr>
        <w:t>三滩</w:t>
      </w:r>
      <w:r w:rsidRPr="000549B1">
        <w:rPr>
          <w:rFonts w:ascii="宋体" w:hAnsi="宋体"/>
          <w:bCs/>
          <w:sz w:val="24"/>
        </w:rPr>
        <w:t>”</w:t>
      </w:r>
      <w:r w:rsidRPr="000549B1">
        <w:rPr>
          <w:bCs/>
          <w:sz w:val="24"/>
        </w:rPr>
        <w:t>引水生态综合治理一期工程）建设中必须设置表层土储存场，重点收集枢纽区、辅助工程区、水库淹没区和弃渣场区等的表土资源，并且采取储存和防护措施，以备植被恢复覆土或外调进行水土保持治理所需。</w:t>
      </w:r>
    </w:p>
    <w:p w14:paraId="567C27F2" w14:textId="77777777" w:rsidR="00E62FAF" w:rsidRPr="000549B1" w:rsidRDefault="00E62FAF" w:rsidP="00E62FAF">
      <w:pPr>
        <w:snapToGrid w:val="0"/>
        <w:spacing w:line="360" w:lineRule="auto"/>
        <w:ind w:firstLineChars="200" w:firstLine="480"/>
        <w:rPr>
          <w:bCs/>
          <w:sz w:val="24"/>
        </w:rPr>
      </w:pPr>
      <w:r w:rsidRPr="000549B1">
        <w:rPr>
          <w:rFonts w:hint="eastAsia"/>
          <w:bCs/>
          <w:sz w:val="24"/>
        </w:rPr>
        <w:t>（</w:t>
      </w:r>
      <w:r w:rsidRPr="000549B1">
        <w:rPr>
          <w:rFonts w:hint="eastAsia"/>
          <w:bCs/>
          <w:sz w:val="24"/>
        </w:rPr>
        <w:t>5</w:t>
      </w:r>
      <w:r w:rsidRPr="000549B1">
        <w:rPr>
          <w:rFonts w:hint="eastAsia"/>
          <w:bCs/>
          <w:sz w:val="24"/>
        </w:rPr>
        <w:t>）对工程影响较大，保护措施技术没有成熟，措施实施难以实现的项目，建议开展相应的跟踪监测与研究措施。在科学研究的基础上，进一步完善生态环境保护措施。</w:t>
      </w:r>
    </w:p>
    <w:p w14:paraId="7415587C" w14:textId="77777777" w:rsidR="00E62FAF" w:rsidRPr="000549B1" w:rsidRDefault="00E62FAF" w:rsidP="00E62FAF">
      <w:pPr>
        <w:snapToGrid w:val="0"/>
        <w:spacing w:line="360" w:lineRule="auto"/>
        <w:ind w:firstLineChars="200" w:firstLine="480"/>
        <w:rPr>
          <w:bCs/>
          <w:sz w:val="24"/>
        </w:rPr>
      </w:pPr>
      <w:r w:rsidRPr="000549B1">
        <w:rPr>
          <w:rFonts w:hint="eastAsia"/>
          <w:bCs/>
          <w:sz w:val="24"/>
        </w:rPr>
        <w:t>（</w:t>
      </w:r>
      <w:r w:rsidRPr="000549B1">
        <w:rPr>
          <w:rFonts w:hint="eastAsia"/>
          <w:bCs/>
          <w:sz w:val="24"/>
        </w:rPr>
        <w:t>6</w:t>
      </w:r>
      <w:r w:rsidRPr="000549B1">
        <w:rPr>
          <w:rFonts w:hint="eastAsia"/>
          <w:bCs/>
          <w:sz w:val="24"/>
        </w:rPr>
        <w:t>）</w:t>
      </w:r>
      <w:r w:rsidRPr="000549B1">
        <w:rPr>
          <w:bCs/>
          <w:sz w:val="24"/>
        </w:rPr>
        <w:t>加强水土流失和土地沙化预防与治理</w:t>
      </w:r>
      <w:r w:rsidRPr="000549B1">
        <w:rPr>
          <w:rFonts w:hint="eastAsia"/>
          <w:bCs/>
          <w:sz w:val="24"/>
        </w:rPr>
        <w:t>。细化工程水土保持措施，重点加强涉及水土流失重点预防区和重点治理区的水土保持措施，防止水土流失。生态保护红线范围内的水土流失地块，以自然恢复为主，按照规定有计划地实施退耕还草。按照流域及地方人民政府要求，依法办理水土保持方案审批手续。</w:t>
      </w:r>
    </w:p>
    <w:p w14:paraId="53E7D7DE" w14:textId="77777777" w:rsidR="00054437" w:rsidRPr="000549B1" w:rsidRDefault="00000000" w:rsidP="00AB2A7B">
      <w:pPr>
        <w:pStyle w:val="2"/>
        <w:numPr>
          <w:ilvl w:val="1"/>
          <w:numId w:val="9"/>
        </w:numPr>
      </w:pPr>
      <w:bookmarkStart w:id="456" w:name="_Toc216107076"/>
      <w:r w:rsidRPr="000549B1">
        <w:rPr>
          <w:rFonts w:hint="eastAsia"/>
        </w:rPr>
        <w:t>水生</w:t>
      </w:r>
      <w:r w:rsidRPr="000549B1">
        <w:t>生态保护对策措施</w:t>
      </w:r>
      <w:bookmarkEnd w:id="456"/>
    </w:p>
    <w:p w14:paraId="543663C8" w14:textId="1EEFD5B2" w:rsidR="00AF4186" w:rsidRPr="000549B1" w:rsidRDefault="00AF4186" w:rsidP="000549B1">
      <w:pPr>
        <w:pStyle w:val="3"/>
      </w:pPr>
      <w:bookmarkStart w:id="457" w:name="_Toc216107077"/>
      <w:r w:rsidRPr="000549B1">
        <w:rPr>
          <w:rFonts w:hint="eastAsia"/>
        </w:rPr>
        <w:t>落实规划提出的控制性指标要求</w:t>
      </w:r>
      <w:bookmarkEnd w:id="457"/>
    </w:p>
    <w:p w14:paraId="459ECA05" w14:textId="77777777" w:rsidR="00AF4186" w:rsidRPr="000549B1" w:rsidRDefault="00AF4186" w:rsidP="00AF4186">
      <w:pPr>
        <w:snapToGrid w:val="0"/>
        <w:spacing w:line="500" w:lineRule="exact"/>
        <w:ind w:firstLineChars="200" w:firstLine="480"/>
        <w:rPr>
          <w:bCs/>
          <w:sz w:val="24"/>
          <w:szCs w:val="24"/>
        </w:rPr>
      </w:pPr>
      <w:r w:rsidRPr="000549B1">
        <w:rPr>
          <w:rFonts w:hint="eastAsia"/>
          <w:bCs/>
          <w:sz w:val="24"/>
        </w:rPr>
        <w:t>河道内生态环境用水量包括汛期输沙水量和非汛期河道生态基流两部分。本次规划统筹协调了经济社会发展用水和河道内生态环境用水关系，提出</w:t>
      </w:r>
      <w:r w:rsidRPr="000549B1">
        <w:rPr>
          <w:rFonts w:hint="eastAsia"/>
          <w:bCs/>
          <w:sz w:val="24"/>
          <w:szCs w:val="24"/>
        </w:rPr>
        <w:t>沙珠玉河干支流各已建</w:t>
      </w:r>
      <w:r w:rsidRPr="000549B1">
        <w:rPr>
          <w:bCs/>
          <w:sz w:val="24"/>
          <w:szCs w:val="24"/>
        </w:rPr>
        <w:t>水库工程全年生态流量按多年平均流量的</w:t>
      </w:r>
      <w:r w:rsidRPr="000549B1">
        <w:rPr>
          <w:bCs/>
          <w:sz w:val="24"/>
          <w:szCs w:val="24"/>
        </w:rPr>
        <w:t>20%</w:t>
      </w:r>
      <w:r w:rsidRPr="000549B1">
        <w:rPr>
          <w:bCs/>
          <w:sz w:val="24"/>
          <w:szCs w:val="24"/>
        </w:rPr>
        <w:t>下泄，</w:t>
      </w:r>
      <w:r w:rsidRPr="000549B1">
        <w:rPr>
          <w:rFonts w:hint="eastAsia"/>
          <w:bCs/>
          <w:sz w:val="24"/>
          <w:szCs w:val="24"/>
        </w:rPr>
        <w:t>新建</w:t>
      </w:r>
      <w:r w:rsidRPr="000549B1">
        <w:rPr>
          <w:bCs/>
          <w:sz w:val="24"/>
          <w:szCs w:val="24"/>
        </w:rPr>
        <w:t>水库</w:t>
      </w:r>
      <w:r w:rsidRPr="000549B1">
        <w:rPr>
          <w:rFonts w:hint="eastAsia"/>
          <w:bCs/>
          <w:sz w:val="24"/>
          <w:szCs w:val="24"/>
        </w:rPr>
        <w:t>大河坝水库</w:t>
      </w:r>
      <w:r w:rsidRPr="000549B1">
        <w:rPr>
          <w:bCs/>
          <w:sz w:val="24"/>
          <w:szCs w:val="24"/>
        </w:rPr>
        <w:t>工程</w:t>
      </w:r>
      <w:r w:rsidRPr="000549B1">
        <w:rPr>
          <w:rFonts w:hint="eastAsia"/>
          <w:bCs/>
          <w:sz w:val="24"/>
          <w:szCs w:val="24"/>
        </w:rPr>
        <w:t>非汛期、汛期</w:t>
      </w:r>
      <w:r w:rsidRPr="000549B1">
        <w:rPr>
          <w:bCs/>
          <w:sz w:val="24"/>
          <w:szCs w:val="24"/>
        </w:rPr>
        <w:t>生态流量按多年平均流量的</w:t>
      </w:r>
      <w:r w:rsidRPr="000549B1">
        <w:rPr>
          <w:rFonts w:hint="eastAsia"/>
          <w:bCs/>
          <w:sz w:val="24"/>
          <w:szCs w:val="24"/>
        </w:rPr>
        <w:t>10%</w:t>
      </w:r>
      <w:r w:rsidRPr="000549B1">
        <w:rPr>
          <w:rFonts w:hint="eastAsia"/>
          <w:bCs/>
          <w:sz w:val="24"/>
          <w:szCs w:val="24"/>
        </w:rPr>
        <w:t>、</w:t>
      </w:r>
      <w:r w:rsidRPr="000549B1">
        <w:rPr>
          <w:rFonts w:hint="eastAsia"/>
          <w:bCs/>
          <w:sz w:val="24"/>
          <w:szCs w:val="24"/>
        </w:rPr>
        <w:t>3</w:t>
      </w:r>
      <w:r w:rsidRPr="000549B1">
        <w:rPr>
          <w:bCs/>
          <w:sz w:val="24"/>
          <w:szCs w:val="24"/>
        </w:rPr>
        <w:t>0%</w:t>
      </w:r>
      <w:r w:rsidRPr="000549B1">
        <w:rPr>
          <w:bCs/>
          <w:sz w:val="24"/>
          <w:szCs w:val="24"/>
        </w:rPr>
        <w:t>下泄。</w:t>
      </w:r>
      <w:r w:rsidRPr="000549B1">
        <w:rPr>
          <w:rFonts w:hint="eastAsia"/>
          <w:bCs/>
          <w:sz w:val="24"/>
          <w:szCs w:val="24"/>
        </w:rPr>
        <w:t>引水工程断面优先保障生态基流，当工程引水断面来水量小于生态基流，按来水量下放，不再进行河道外供水。</w:t>
      </w:r>
    </w:p>
    <w:p w14:paraId="3F710441" w14:textId="5B7A9F63" w:rsidR="00AF4186" w:rsidRPr="000549B1" w:rsidRDefault="00AF4186" w:rsidP="00AF4186">
      <w:pPr>
        <w:pStyle w:val="3"/>
      </w:pPr>
      <w:bookmarkStart w:id="458" w:name="_Toc216107078"/>
      <w:r w:rsidRPr="000549B1">
        <w:rPr>
          <w:rFonts w:hint="eastAsia"/>
        </w:rPr>
        <w:t>落实水生态保护规划提出的生态水量保障措施</w:t>
      </w:r>
      <w:bookmarkEnd w:id="458"/>
    </w:p>
    <w:p w14:paraId="3F14A319" w14:textId="7C9C7C57" w:rsidR="00AF4186" w:rsidRPr="000549B1" w:rsidRDefault="00AF4186" w:rsidP="00AF4186">
      <w:pPr>
        <w:snapToGrid w:val="0"/>
        <w:spacing w:line="500" w:lineRule="exact"/>
        <w:ind w:firstLineChars="200" w:firstLine="480"/>
        <w:rPr>
          <w:bCs/>
          <w:sz w:val="24"/>
        </w:rPr>
      </w:pPr>
      <w:r w:rsidRPr="000549B1">
        <w:rPr>
          <w:rFonts w:hint="eastAsia"/>
          <w:bCs/>
          <w:sz w:val="24"/>
        </w:rPr>
        <w:t>根据</w:t>
      </w:r>
      <w:r w:rsidRPr="000549B1">
        <w:rPr>
          <w:rFonts w:ascii="宋体" w:hAnsi="宋体" w:hint="eastAsia"/>
          <w:bCs/>
          <w:sz w:val="24"/>
        </w:rPr>
        <w:t>沙珠玉河流域</w:t>
      </w:r>
      <w:r w:rsidRPr="000549B1">
        <w:rPr>
          <w:rFonts w:hint="eastAsia"/>
          <w:bCs/>
          <w:sz w:val="24"/>
        </w:rPr>
        <w:t>的生态定位，深入分析沙珠玉河及其重要支流的水资源条件和生态环境特点，以维护河湖生态系统功能为目标，科学确定沙珠玉河重要江河湖泊生态流量，系统保障河流连通性、流域生态用水，加强河湖生态调度，强化河湖生态流量监管。</w:t>
      </w:r>
    </w:p>
    <w:p w14:paraId="15C1D4B8" w14:textId="77777777" w:rsidR="00AF4186" w:rsidRPr="000549B1" w:rsidRDefault="00AF4186" w:rsidP="00AF4186">
      <w:pPr>
        <w:snapToGrid w:val="0"/>
        <w:spacing w:line="500" w:lineRule="exact"/>
        <w:ind w:firstLineChars="200" w:firstLine="480"/>
        <w:rPr>
          <w:bCs/>
          <w:sz w:val="24"/>
        </w:rPr>
      </w:pPr>
      <w:r w:rsidRPr="000549B1">
        <w:rPr>
          <w:rFonts w:hint="eastAsia"/>
          <w:bCs/>
          <w:sz w:val="24"/>
        </w:rPr>
        <w:t>（</w:t>
      </w:r>
      <w:r w:rsidRPr="000549B1">
        <w:rPr>
          <w:bCs/>
          <w:sz w:val="24"/>
        </w:rPr>
        <w:t>1</w:t>
      </w:r>
      <w:r w:rsidRPr="000549B1">
        <w:rPr>
          <w:rFonts w:hint="eastAsia"/>
          <w:bCs/>
          <w:sz w:val="24"/>
        </w:rPr>
        <w:t>）河流重要断面生态水量保障措施</w:t>
      </w:r>
    </w:p>
    <w:p w14:paraId="480A5A21" w14:textId="77777777" w:rsidR="00AF4186" w:rsidRPr="000549B1" w:rsidRDefault="00AF4186" w:rsidP="00AF4186">
      <w:pPr>
        <w:snapToGrid w:val="0"/>
        <w:spacing w:line="500" w:lineRule="exact"/>
        <w:ind w:firstLineChars="200" w:firstLine="480"/>
        <w:rPr>
          <w:bCs/>
          <w:sz w:val="24"/>
        </w:rPr>
      </w:pPr>
      <w:r w:rsidRPr="000549B1">
        <w:rPr>
          <w:rFonts w:hint="eastAsia"/>
          <w:bCs/>
          <w:sz w:val="24"/>
        </w:rPr>
        <w:t>根据青海省生态流量保障工作的具体要求，立足沙珠玉河流域水文变化天然规律，结合河流水资源特点，开发利用要给河流留下足够的生态用水，统筹生活、生产与生态用水，优先满足城乡居民生活用水，保障基本生态用水，合理安排好农业、工业用水，合理明确主要控制断面生态流量保障目标。结合并参考青海省生态流量保障重点河湖名录和重点河湖生态流量保障目标，以河流干流重要控制断面、重要水生生物栖息地等敏感水域以及开发利用程度较高的河流等作为断面选取原则，在沙珠玉河流域选取重要断面及引提水工程的控制性结点并考虑生态敏感区分布及其保护需求。通过分析河湖生态规律、开发利用情况、生态保护目标与要求，以及水源条件和配置可能，并结合相关生态流量保障方案要求，考虑河流径流特性、生态保护目标需水要求等，从生态需水角度分析，综合分析确定生态基流、敏感生态流量和基本生态流量，完善修订重点河流生态流量目标。</w:t>
      </w:r>
    </w:p>
    <w:p w14:paraId="5030822C" w14:textId="77777777" w:rsidR="00AF4186" w:rsidRPr="000549B1" w:rsidRDefault="00AF4186" w:rsidP="00AF4186">
      <w:pPr>
        <w:snapToGrid w:val="0"/>
        <w:spacing w:line="500" w:lineRule="exact"/>
        <w:ind w:firstLineChars="200" w:firstLine="480"/>
        <w:rPr>
          <w:bCs/>
          <w:sz w:val="24"/>
        </w:rPr>
      </w:pPr>
      <w:r w:rsidRPr="000549B1">
        <w:rPr>
          <w:rFonts w:hint="eastAsia"/>
          <w:bCs/>
          <w:sz w:val="24"/>
        </w:rPr>
        <w:t>以河道内生态用水量为控制指标，确定沙珠玉河水资源开发利用红线，严格实行用水总量控制，控制流域供需水在用水指标之内，确立用水效率红线，提高流域农业、工业节水技术水平，限制新增灌区面积，提高用水效率，以青海省海南州取水许可总量控制指标为约束，科学论证流域外调水规模；加强</w:t>
      </w:r>
      <w:r w:rsidRPr="000549B1">
        <w:rPr>
          <w:rFonts w:hint="eastAsia"/>
          <w:bCs/>
          <w:sz w:val="24"/>
          <w:szCs w:val="24"/>
        </w:rPr>
        <w:t>沙珠玉河</w:t>
      </w:r>
      <w:r w:rsidRPr="000549B1">
        <w:rPr>
          <w:rFonts w:hint="eastAsia"/>
          <w:bCs/>
          <w:sz w:val="24"/>
        </w:rPr>
        <w:t>流域水资源的统一调度与管理，将河道内生态环境用水及过程纳入流域水资源统一配置，确保不同规划水平年</w:t>
      </w:r>
      <w:r w:rsidRPr="000549B1">
        <w:rPr>
          <w:rFonts w:hint="eastAsia"/>
          <w:bCs/>
          <w:sz w:val="24"/>
          <w:szCs w:val="24"/>
        </w:rPr>
        <w:t>沙珠玉河</w:t>
      </w:r>
      <w:r w:rsidRPr="000549B1">
        <w:rPr>
          <w:rFonts w:hint="eastAsia"/>
          <w:bCs/>
          <w:sz w:val="24"/>
        </w:rPr>
        <w:t>水生态保护重点河段生态水量、过程需求。</w:t>
      </w:r>
    </w:p>
    <w:p w14:paraId="6FFEB82F" w14:textId="77777777" w:rsidR="00AF4186" w:rsidRPr="000549B1" w:rsidRDefault="00AF4186" w:rsidP="00AF4186">
      <w:pPr>
        <w:snapToGrid w:val="0"/>
        <w:spacing w:line="500" w:lineRule="exact"/>
        <w:ind w:firstLineChars="200" w:firstLine="480"/>
        <w:rPr>
          <w:bCs/>
          <w:sz w:val="24"/>
        </w:rPr>
      </w:pPr>
      <w:r w:rsidRPr="000549B1">
        <w:rPr>
          <w:rFonts w:hint="eastAsia"/>
          <w:bCs/>
          <w:sz w:val="24"/>
        </w:rPr>
        <w:t>（</w:t>
      </w:r>
      <w:r w:rsidRPr="000549B1">
        <w:rPr>
          <w:bCs/>
          <w:sz w:val="24"/>
        </w:rPr>
        <w:t>2</w:t>
      </w:r>
      <w:r w:rsidRPr="000549B1">
        <w:rPr>
          <w:rFonts w:hint="eastAsia"/>
          <w:bCs/>
          <w:sz w:val="24"/>
        </w:rPr>
        <w:t>）下泄生态水量保障措施</w:t>
      </w:r>
    </w:p>
    <w:p w14:paraId="19ECD9FD" w14:textId="1A5AFF8F" w:rsidR="00AF4186" w:rsidRPr="000549B1" w:rsidRDefault="00AF4186" w:rsidP="00AF4186">
      <w:pPr>
        <w:snapToGrid w:val="0"/>
        <w:spacing w:line="500" w:lineRule="exact"/>
        <w:ind w:firstLineChars="200" w:firstLine="480"/>
        <w:rPr>
          <w:bCs/>
          <w:sz w:val="24"/>
        </w:rPr>
      </w:pPr>
      <w:r w:rsidRPr="000549B1">
        <w:rPr>
          <w:rFonts w:hint="eastAsia"/>
          <w:bCs/>
          <w:sz w:val="24"/>
        </w:rPr>
        <w:t>制定基于生态环境保护的水库运行调度方案，将水库下泄生态水量纳入水库日常运行管理，优化水库的运行方式，确保水库下泄生态流量；对于协调开发与保护关系河段，因地制宜采取引水口建立基流墩、挡水建筑物设置泄水装置、建设基流管道、安装下泄生态流量在线监控和远程传输装置等措施，确保水库下泄生态流量；枯水年份，当实际来水量小于下泄生态流量时，禁止引水，来水全部下泄。</w:t>
      </w:r>
    </w:p>
    <w:p w14:paraId="2E737C94" w14:textId="77777777" w:rsidR="00AF4186" w:rsidRPr="000549B1" w:rsidRDefault="00AF4186" w:rsidP="00AF4186">
      <w:pPr>
        <w:snapToGrid w:val="0"/>
        <w:spacing w:line="500" w:lineRule="exact"/>
        <w:ind w:firstLineChars="200" w:firstLine="480"/>
        <w:rPr>
          <w:bCs/>
          <w:sz w:val="24"/>
        </w:rPr>
      </w:pPr>
      <w:r w:rsidRPr="000549B1">
        <w:rPr>
          <w:rFonts w:hint="eastAsia"/>
          <w:bCs/>
          <w:sz w:val="24"/>
        </w:rPr>
        <w:t>（</w:t>
      </w:r>
      <w:r w:rsidRPr="000549B1">
        <w:rPr>
          <w:bCs/>
          <w:sz w:val="24"/>
        </w:rPr>
        <w:t>3</w:t>
      </w:r>
      <w:r w:rsidRPr="000549B1">
        <w:rPr>
          <w:rFonts w:hint="eastAsia"/>
          <w:bCs/>
          <w:sz w:val="24"/>
        </w:rPr>
        <w:t>）落实生态流量保障措施</w:t>
      </w:r>
    </w:p>
    <w:p w14:paraId="1F7F000D" w14:textId="77777777" w:rsidR="00AF4186" w:rsidRPr="000549B1" w:rsidRDefault="00AF4186" w:rsidP="00AF4186">
      <w:pPr>
        <w:snapToGrid w:val="0"/>
        <w:spacing w:line="500" w:lineRule="exact"/>
        <w:ind w:firstLineChars="200" w:firstLine="480"/>
        <w:rPr>
          <w:bCs/>
          <w:sz w:val="24"/>
        </w:rPr>
      </w:pPr>
      <w:r w:rsidRPr="000549B1">
        <w:rPr>
          <w:rFonts w:hint="eastAsia"/>
          <w:bCs/>
          <w:sz w:val="24"/>
        </w:rPr>
        <w:t>强化沙珠玉河流域水资源统一调度管理，遵循流域水量调度方案和调度计划，以确定的重点河湖生态流量保障目标作为硬约束，加快推进沙珠玉河流域水量分配，合理分配水资源，逐步优化生态流量调度过程，确保达到生态流量目标，依托水源及配套工程建设，保障沙珠玉河流域生态水量。</w:t>
      </w:r>
    </w:p>
    <w:p w14:paraId="22F40190" w14:textId="77777777" w:rsidR="00AF4186" w:rsidRPr="000549B1" w:rsidRDefault="00AF4186" w:rsidP="000549B1">
      <w:pPr>
        <w:pStyle w:val="3"/>
      </w:pPr>
      <w:bookmarkStart w:id="459" w:name="_Toc216107079"/>
      <w:r w:rsidRPr="000549B1">
        <w:rPr>
          <w:rFonts w:hint="eastAsia"/>
        </w:rPr>
        <w:t>落实水生态保护规划提出的河流生态保护与修复措施</w:t>
      </w:r>
      <w:bookmarkEnd w:id="459"/>
    </w:p>
    <w:p w14:paraId="05ECC77C" w14:textId="77777777" w:rsidR="00AF4186" w:rsidRPr="000549B1" w:rsidRDefault="00AF4186" w:rsidP="00AF4186">
      <w:pPr>
        <w:topLinePunct/>
        <w:adjustRightInd w:val="0"/>
        <w:snapToGrid w:val="0"/>
        <w:spacing w:line="500" w:lineRule="exact"/>
        <w:ind w:firstLineChars="200" w:firstLine="480"/>
        <w:rPr>
          <w:bCs/>
          <w:sz w:val="24"/>
          <w:lang w:val="zh-CN"/>
        </w:rPr>
      </w:pPr>
      <w:r w:rsidRPr="000549B1">
        <w:rPr>
          <w:rFonts w:hint="eastAsia"/>
          <w:bCs/>
          <w:sz w:val="24"/>
          <w:lang w:val="zh-CN"/>
        </w:rPr>
        <w:t>（</w:t>
      </w:r>
      <w:r w:rsidRPr="000549B1">
        <w:rPr>
          <w:bCs/>
          <w:sz w:val="24"/>
          <w:lang w:val="zh-CN"/>
        </w:rPr>
        <w:t>1</w:t>
      </w:r>
      <w:r w:rsidRPr="000549B1">
        <w:rPr>
          <w:rFonts w:hint="eastAsia"/>
          <w:bCs/>
          <w:sz w:val="24"/>
          <w:lang w:val="zh-CN"/>
        </w:rPr>
        <w:t>）对重要水生生物栖息地实施重点保护</w:t>
      </w:r>
    </w:p>
    <w:p w14:paraId="67AD8F2D" w14:textId="77777777" w:rsidR="00AF4186" w:rsidRPr="000549B1" w:rsidRDefault="00AF4186" w:rsidP="00AF4186">
      <w:pPr>
        <w:snapToGrid w:val="0"/>
        <w:spacing w:line="500" w:lineRule="exact"/>
        <w:ind w:firstLineChars="200" w:firstLine="480"/>
        <w:rPr>
          <w:bCs/>
          <w:sz w:val="24"/>
          <w:lang w:val="zh-CN"/>
        </w:rPr>
      </w:pPr>
      <w:r w:rsidRPr="000549B1">
        <w:rPr>
          <w:rFonts w:hint="eastAsia"/>
          <w:bCs/>
          <w:sz w:val="24"/>
          <w:lang w:val="zh-CN"/>
        </w:rPr>
        <w:t>沙珠玉河流域重要水生生物资源的保护对维系流域的生物多样性资源具有重要作用。沙珠玉河流域目前开发利用强度大，对河流重要水生生物栖息生境已构成较大破坏或胁迫，根据《中华人民共和国野生动植物保护法》等相关法律法规要求，对沙珠玉河重要水生生物栖息地实施重点保护，禁止或限制河流水电开发，保存与修复水生生物多样性资源。</w:t>
      </w:r>
    </w:p>
    <w:p w14:paraId="085A94DB" w14:textId="77777777" w:rsidR="00AF4186" w:rsidRPr="000549B1" w:rsidRDefault="00AF4186" w:rsidP="00AF4186">
      <w:pPr>
        <w:snapToGrid w:val="0"/>
        <w:spacing w:line="500" w:lineRule="exact"/>
        <w:ind w:firstLineChars="200" w:firstLine="480"/>
        <w:rPr>
          <w:bCs/>
          <w:sz w:val="24"/>
          <w:lang w:val="zh-CN"/>
        </w:rPr>
      </w:pPr>
      <w:r w:rsidRPr="000549B1">
        <w:rPr>
          <w:rFonts w:hint="eastAsia"/>
          <w:bCs/>
          <w:sz w:val="24"/>
          <w:lang w:val="zh-CN"/>
        </w:rPr>
        <w:t>沙珠玉河流域曾是茶卡高原鳅的出产地，因沙珠玉河特殊的水资源禀赋条件和干支流水库的建设，沙珠玉河一度断流，末端达连海湖基本干涸，即使丰水年也是水域面积急剧萎缩，湿生植物逐渐被</w:t>
      </w:r>
      <w:r w:rsidRPr="000549B1">
        <w:rPr>
          <w:rFonts w:hint="eastAsia"/>
          <w:bCs/>
          <w:sz w:val="24"/>
        </w:rPr>
        <w:t>中</w:t>
      </w:r>
      <w:r w:rsidRPr="000549B1">
        <w:rPr>
          <w:rFonts w:hint="eastAsia"/>
          <w:bCs/>
          <w:sz w:val="24"/>
          <w:lang w:val="zh-CN"/>
        </w:rPr>
        <w:t>生植物所代替，水源涵养功能大幅减退；河流纵向连通性不足，人类活动加剧，生物多样性下降；水生生境已遭到严重破坏，故鱼类及其生境也受到显著不利影响。</w:t>
      </w:r>
    </w:p>
    <w:p w14:paraId="160D516E" w14:textId="77777777" w:rsidR="00AF4186" w:rsidRPr="000549B1" w:rsidRDefault="00AF4186" w:rsidP="00AF4186">
      <w:pPr>
        <w:snapToGrid w:val="0"/>
        <w:spacing w:line="500" w:lineRule="exact"/>
        <w:ind w:firstLineChars="200" w:firstLine="480"/>
        <w:rPr>
          <w:bCs/>
          <w:sz w:val="24"/>
        </w:rPr>
      </w:pPr>
      <w:r w:rsidRPr="000549B1">
        <w:rPr>
          <w:rFonts w:hint="eastAsia"/>
          <w:bCs/>
          <w:sz w:val="24"/>
          <w:lang w:val="zh-CN"/>
        </w:rPr>
        <w:t>根据实地调查，沙珠玉河流域无洄游性鱼类，沙珠玉河干流是花斑裸鲤和茶卡高原鳅的主要繁殖区，产卵场点状分布，为高原鳅和花斑裸鲤混合产卵场。通过生境分析，沙珠玉河多数支流不具备鱼类繁殖条件。因此需要对沙珠玉河干流河段进行重点保护</w:t>
      </w:r>
      <w:r w:rsidRPr="000549B1">
        <w:rPr>
          <w:rFonts w:hint="eastAsia"/>
          <w:bCs/>
          <w:sz w:val="24"/>
        </w:rPr>
        <w:t>，禁止与生态保护无关的一切开发建设活动，切实保护好</w:t>
      </w:r>
      <w:r w:rsidRPr="000549B1">
        <w:rPr>
          <w:rFonts w:hint="eastAsia"/>
          <w:bCs/>
          <w:sz w:val="24"/>
          <w:lang w:val="zh-CN"/>
        </w:rPr>
        <w:t>花斑裸鲤和茶卡高原鳅</w:t>
      </w:r>
      <w:r w:rsidRPr="000549B1">
        <w:rPr>
          <w:rFonts w:hint="eastAsia"/>
          <w:bCs/>
          <w:sz w:val="24"/>
        </w:rPr>
        <w:t>及其生境。</w:t>
      </w:r>
    </w:p>
    <w:p w14:paraId="17F9A176" w14:textId="77777777" w:rsidR="00AF4186" w:rsidRPr="000549B1" w:rsidRDefault="00AF4186" w:rsidP="00AF4186">
      <w:pPr>
        <w:snapToGrid w:val="0"/>
        <w:spacing w:line="500" w:lineRule="exact"/>
        <w:ind w:firstLineChars="200" w:firstLine="480"/>
        <w:rPr>
          <w:bCs/>
          <w:sz w:val="24"/>
        </w:rPr>
      </w:pPr>
      <w:r w:rsidRPr="000549B1">
        <w:rPr>
          <w:rFonts w:hint="eastAsia"/>
          <w:bCs/>
          <w:sz w:val="24"/>
        </w:rPr>
        <w:t>（</w:t>
      </w:r>
      <w:r w:rsidRPr="000549B1">
        <w:rPr>
          <w:bCs/>
          <w:sz w:val="24"/>
        </w:rPr>
        <w:t>2</w:t>
      </w:r>
      <w:r w:rsidRPr="000549B1">
        <w:rPr>
          <w:rFonts w:hint="eastAsia"/>
          <w:bCs/>
          <w:sz w:val="24"/>
        </w:rPr>
        <w:t>）水生态系统保护与修复</w:t>
      </w:r>
    </w:p>
    <w:p w14:paraId="5EB3DDB1" w14:textId="77777777" w:rsidR="00AF4186" w:rsidRPr="000549B1" w:rsidRDefault="00AF4186" w:rsidP="00AF4186">
      <w:pPr>
        <w:snapToGrid w:val="0"/>
        <w:spacing w:line="500" w:lineRule="exact"/>
        <w:ind w:firstLineChars="200" w:firstLine="480"/>
        <w:rPr>
          <w:bCs/>
          <w:sz w:val="24"/>
        </w:rPr>
      </w:pPr>
      <w:r w:rsidRPr="000549B1">
        <w:rPr>
          <w:rFonts w:hint="eastAsia"/>
          <w:bCs/>
          <w:sz w:val="24"/>
        </w:rPr>
        <w:t>强化河湖生态流量（水位）管理，确定河湖生态流量目标。加快推进河湖治理和生态修复。严格水域岸线空间管控，推进河湖</w:t>
      </w:r>
      <w:r w:rsidRPr="000549B1">
        <w:rPr>
          <w:rFonts w:ascii="宋体" w:hAnsi="宋体" w:hint="eastAsia"/>
          <w:bCs/>
          <w:sz w:val="24"/>
        </w:rPr>
        <w:t>“</w:t>
      </w:r>
      <w:r w:rsidRPr="000549B1">
        <w:rPr>
          <w:rFonts w:hint="eastAsia"/>
          <w:bCs/>
          <w:sz w:val="24"/>
        </w:rPr>
        <w:t>清四乱</w:t>
      </w:r>
      <w:r w:rsidRPr="000549B1">
        <w:rPr>
          <w:rFonts w:ascii="宋体" w:hAnsi="宋体" w:hint="eastAsia"/>
          <w:bCs/>
          <w:sz w:val="24"/>
        </w:rPr>
        <w:t>”</w:t>
      </w:r>
      <w:r w:rsidRPr="000549B1">
        <w:rPr>
          <w:rFonts w:hint="eastAsia"/>
          <w:bCs/>
          <w:sz w:val="24"/>
        </w:rPr>
        <w:t>常态化规范化，坚决遏增量、清存量。压紧压实采砂管理责任，具有采砂任务的河道基本实现采砂规划全覆盖，推行河道砂石采运管理单和河道采砂许可电子证照，保持对非法采砂高压严打态势。强化饮用水水源地监管，加快千人以上供水工程水源保护区划定。严格水资源保护，确保可持续利用。完善水资源监测体系，强化饮用水水源地保护。加大生态保护力度，利用河流良好生态功能实现自我修复，同时辅以人工治理措施，加快退化草场的流转速度、营造生态林。有计划、有步骤地对沙珠玉河上的涉河工程进行整治，拆除已失去原设计功能的工程，因涉及人畜饮水工程等暂时不能拆除的，要通过修建过鱼通道等措施解决。</w:t>
      </w:r>
    </w:p>
    <w:p w14:paraId="354CC77D" w14:textId="77777777" w:rsidR="00AF4186" w:rsidRPr="000549B1" w:rsidRDefault="00AF4186" w:rsidP="00AF4186">
      <w:pPr>
        <w:snapToGrid w:val="0"/>
        <w:spacing w:line="500" w:lineRule="exact"/>
        <w:ind w:firstLineChars="200" w:firstLine="480"/>
        <w:rPr>
          <w:bCs/>
          <w:sz w:val="24"/>
        </w:rPr>
      </w:pPr>
      <w:r w:rsidRPr="000549B1">
        <w:rPr>
          <w:rFonts w:hint="eastAsia"/>
          <w:bCs/>
          <w:sz w:val="24"/>
        </w:rPr>
        <w:t>（</w:t>
      </w:r>
      <w:r w:rsidRPr="000549B1">
        <w:rPr>
          <w:bCs/>
          <w:sz w:val="24"/>
        </w:rPr>
        <w:t>3</w:t>
      </w:r>
      <w:r w:rsidRPr="000549B1">
        <w:rPr>
          <w:rFonts w:hint="eastAsia"/>
          <w:bCs/>
          <w:sz w:val="24"/>
        </w:rPr>
        <w:t>）加强水电开发统一规划与管理，维护河流连通性，修复破坏河流生境</w:t>
      </w:r>
    </w:p>
    <w:p w14:paraId="6521920D" w14:textId="436CE491" w:rsidR="00054437" w:rsidRPr="000549B1" w:rsidRDefault="00AF4186" w:rsidP="00AF4186">
      <w:pPr>
        <w:snapToGrid w:val="0"/>
        <w:spacing w:line="500" w:lineRule="exact"/>
        <w:ind w:firstLineChars="200" w:firstLine="480"/>
        <w:rPr>
          <w:bCs/>
          <w:sz w:val="24"/>
        </w:rPr>
        <w:sectPr w:rsidR="00054437" w:rsidRPr="000549B1">
          <w:pgSz w:w="11906" w:h="16838"/>
          <w:pgMar w:top="1440" w:right="1800" w:bottom="1440" w:left="1800" w:header="851" w:footer="992" w:gutter="0"/>
          <w:cols w:space="425"/>
          <w:docGrid w:type="lines" w:linePitch="312"/>
        </w:sectPr>
      </w:pPr>
      <w:r w:rsidRPr="000549B1">
        <w:rPr>
          <w:rFonts w:hint="eastAsia"/>
          <w:bCs/>
          <w:sz w:val="24"/>
          <w:lang w:val="zh-CN"/>
        </w:rPr>
        <w:t>在重要水生生物栖息地保护的同时，对受损严重栖息地进行修复，确保河流生态用水及河流生境连通性。支流河段严格</w:t>
      </w:r>
      <w:r w:rsidRPr="000549B1">
        <w:rPr>
          <w:rFonts w:hint="eastAsia"/>
          <w:bCs/>
          <w:sz w:val="24"/>
        </w:rPr>
        <w:t>限制水电开发，调整河段内水库运行方式，以保障</w:t>
      </w:r>
      <w:r w:rsidRPr="000549B1">
        <w:rPr>
          <w:rFonts w:hint="eastAsia"/>
          <w:bCs/>
          <w:spacing w:val="-4"/>
          <w:sz w:val="24"/>
        </w:rPr>
        <w:t>鱼类栖息、繁殖、育幼所需水流和河流廊道条件，</w:t>
      </w:r>
      <w:r w:rsidRPr="000549B1">
        <w:rPr>
          <w:rFonts w:hint="eastAsia"/>
          <w:bCs/>
          <w:sz w:val="24"/>
        </w:rPr>
        <w:t>保护花斑裸鲤等土著鱼类自然栖息地；采取增殖放流、过鱼设施建设等修复措施，</w:t>
      </w:r>
      <w:r w:rsidRPr="000549B1">
        <w:rPr>
          <w:rFonts w:hint="eastAsia"/>
          <w:bCs/>
          <w:spacing w:val="-4"/>
          <w:sz w:val="24"/>
        </w:rPr>
        <w:t>修复因水库工程建设破坏的鱼类栖息地；</w:t>
      </w:r>
      <w:r w:rsidRPr="000549B1">
        <w:rPr>
          <w:rFonts w:hint="eastAsia"/>
          <w:bCs/>
          <w:sz w:val="24"/>
        </w:rPr>
        <w:t>同时应限制河道挖沙采石，改善水环境质量，逐步修复破坏的鱼类栖息地</w:t>
      </w:r>
      <w:r w:rsidRPr="000549B1">
        <w:rPr>
          <w:rFonts w:hint="eastAsia"/>
          <w:bCs/>
          <w:spacing w:val="-4"/>
          <w:sz w:val="24"/>
        </w:rPr>
        <w:t>，保证河道连通性及水流连续性</w:t>
      </w:r>
      <w:r w:rsidRPr="000549B1">
        <w:t>。</w:t>
      </w:r>
    </w:p>
    <w:p w14:paraId="181E8977" w14:textId="77777777" w:rsidR="00054437" w:rsidRPr="000549B1" w:rsidRDefault="00000000" w:rsidP="000549B1">
      <w:pPr>
        <w:pStyle w:val="1"/>
        <w:numPr>
          <w:ilvl w:val="0"/>
          <w:numId w:val="9"/>
        </w:numPr>
      </w:pPr>
      <w:bookmarkStart w:id="460" w:name="_Toc216107080"/>
      <w:r w:rsidRPr="000549B1">
        <w:t>环境影响跟踪评价计划与规划和建设项目环境影响评价要求</w:t>
      </w:r>
      <w:bookmarkEnd w:id="460"/>
    </w:p>
    <w:p w14:paraId="4040A05D" w14:textId="77777777" w:rsidR="00054437" w:rsidRPr="000549B1" w:rsidRDefault="00000000" w:rsidP="000549B1">
      <w:pPr>
        <w:pStyle w:val="2"/>
        <w:numPr>
          <w:ilvl w:val="1"/>
          <w:numId w:val="9"/>
        </w:numPr>
        <w:rPr>
          <w:rFonts w:ascii="Times New Roman" w:hAnsi="Times New Roman"/>
        </w:rPr>
      </w:pPr>
      <w:bookmarkStart w:id="461" w:name="_Toc216107081"/>
      <w:r w:rsidRPr="000549B1">
        <w:rPr>
          <w:rFonts w:ascii="Times New Roman" w:hAnsi="Times New Roman"/>
        </w:rPr>
        <w:t>环境影响跟踪评价计划</w:t>
      </w:r>
      <w:bookmarkEnd w:id="461"/>
    </w:p>
    <w:p w14:paraId="2717F1DF" w14:textId="77777777" w:rsidR="00054437" w:rsidRPr="000549B1" w:rsidRDefault="00000000" w:rsidP="000549B1">
      <w:pPr>
        <w:pStyle w:val="3"/>
        <w:numPr>
          <w:ilvl w:val="2"/>
          <w:numId w:val="9"/>
        </w:numPr>
      </w:pPr>
      <w:bookmarkStart w:id="462" w:name="_Toc216107082"/>
      <w:r w:rsidRPr="000549B1">
        <w:t>跟踪评价目的</w:t>
      </w:r>
      <w:bookmarkEnd w:id="462"/>
    </w:p>
    <w:p w14:paraId="598BB9D4" w14:textId="77777777" w:rsidR="00054437" w:rsidRPr="000549B1" w:rsidRDefault="00000000">
      <w:pPr>
        <w:pStyle w:val="x"/>
      </w:pPr>
      <w:r w:rsidRPr="000549B1">
        <w:t>以改善沙珠玉河流域环境质量和保障流域生态安全为目标，规划编制机关结合流域生态环境质量变化情况、国家和地方最新的生态环境管理要求和公众对规划实施产生的生态环境影响的意见，对已经和正在产生的环境影响进行监测、调查和评价，分析规划实施的实际环境影响，评估规划采取的预防或者减轻不良生态环境影响的对策和措施的有效性，研判规划实施是否对生态环境产生了重大影响，对规划已实施部分造成的生态环境问题提出解决方案，对规划后续实施内容提出优化调整建议或减轻不良生态环境影响的对策和措施。</w:t>
      </w:r>
    </w:p>
    <w:p w14:paraId="479559BE" w14:textId="77777777" w:rsidR="00054437" w:rsidRPr="000549B1" w:rsidRDefault="00000000" w:rsidP="000549B1">
      <w:pPr>
        <w:pStyle w:val="3"/>
        <w:numPr>
          <w:ilvl w:val="2"/>
          <w:numId w:val="9"/>
        </w:numPr>
      </w:pPr>
      <w:bookmarkStart w:id="463" w:name="_Toc216107083"/>
      <w:r w:rsidRPr="000549B1">
        <w:t>监测与跟踪评价原则</w:t>
      </w:r>
      <w:bookmarkEnd w:id="463"/>
    </w:p>
    <w:p w14:paraId="011423F5" w14:textId="77777777" w:rsidR="00054437" w:rsidRPr="000549B1" w:rsidRDefault="00000000">
      <w:pPr>
        <w:pStyle w:val="x"/>
      </w:pPr>
      <w:r w:rsidRPr="000549B1">
        <w:t>（</w:t>
      </w:r>
      <w:r w:rsidRPr="000549B1">
        <w:t>1</w:t>
      </w:r>
      <w:r w:rsidRPr="000549B1">
        <w:t>）重点突出原则</w:t>
      </w:r>
    </w:p>
    <w:p w14:paraId="7CB42D8A" w14:textId="03EC5786" w:rsidR="00054437" w:rsidRPr="000549B1" w:rsidRDefault="00000000">
      <w:pPr>
        <w:pStyle w:val="x"/>
      </w:pPr>
      <w:r w:rsidRPr="000549B1">
        <w:t>监测和跟踪评价项目应是</w:t>
      </w:r>
      <w:r w:rsidR="00334F4F">
        <w:rPr>
          <w:rFonts w:hint="eastAsia"/>
        </w:rPr>
        <w:t>沙珠玉河</w:t>
      </w:r>
      <w:r w:rsidRPr="000549B1">
        <w:t>流域综合规划影响的重点环境因子，代表性较强，能反映流域环境受影响的程度和变化趋势。</w:t>
      </w:r>
    </w:p>
    <w:p w14:paraId="27440889" w14:textId="77777777" w:rsidR="00054437" w:rsidRPr="000549B1" w:rsidRDefault="00000000">
      <w:pPr>
        <w:pStyle w:val="x"/>
      </w:pPr>
      <w:r w:rsidRPr="000549B1">
        <w:t>（</w:t>
      </w:r>
      <w:r w:rsidRPr="000549B1">
        <w:t>2</w:t>
      </w:r>
      <w:r w:rsidRPr="000549B1">
        <w:t>）全面性原则</w:t>
      </w:r>
    </w:p>
    <w:p w14:paraId="78084975" w14:textId="77777777" w:rsidR="00054437" w:rsidRPr="000549B1" w:rsidRDefault="00000000">
      <w:pPr>
        <w:pStyle w:val="x"/>
      </w:pPr>
      <w:r w:rsidRPr="000549B1">
        <w:t>监测和跟踪评价范围、对象和时段应覆盖规划影响地区，以便全面了解规划河段和周围环境的变化。</w:t>
      </w:r>
    </w:p>
    <w:p w14:paraId="70F6F79A" w14:textId="77777777" w:rsidR="00054437" w:rsidRPr="000549B1" w:rsidRDefault="00000000">
      <w:pPr>
        <w:pStyle w:val="x"/>
      </w:pPr>
      <w:r w:rsidRPr="000549B1">
        <w:t>（</w:t>
      </w:r>
      <w:r w:rsidRPr="000549B1">
        <w:t>3</w:t>
      </w:r>
      <w:r w:rsidRPr="000549B1">
        <w:t>）协调一致原则</w:t>
      </w:r>
    </w:p>
    <w:p w14:paraId="4D85B094" w14:textId="766E50B3" w:rsidR="00054437" w:rsidRPr="000549B1" w:rsidRDefault="00000000">
      <w:pPr>
        <w:pStyle w:val="x"/>
      </w:pPr>
      <w:r w:rsidRPr="000549B1">
        <w:t>监测和跟踪评价应与本次规划紧密结合，力求监控规划方案实施全过程中主要环境因子的动态变化，以协调</w:t>
      </w:r>
      <w:r w:rsidR="00334F4F">
        <w:rPr>
          <w:rFonts w:hint="eastAsia"/>
        </w:rPr>
        <w:t>沙珠玉河</w:t>
      </w:r>
      <w:r w:rsidRPr="000549B1">
        <w:t>流域综合规划与环境保护之间的关系。</w:t>
      </w:r>
    </w:p>
    <w:p w14:paraId="1CD3EB52" w14:textId="77777777" w:rsidR="00054437" w:rsidRPr="000549B1" w:rsidRDefault="00000000">
      <w:pPr>
        <w:pStyle w:val="x"/>
      </w:pPr>
      <w:r w:rsidRPr="000549B1">
        <w:t>（</w:t>
      </w:r>
      <w:r w:rsidRPr="000549B1">
        <w:t>4</w:t>
      </w:r>
      <w:r w:rsidRPr="000549B1">
        <w:t>）经济性与可操作性原则</w:t>
      </w:r>
    </w:p>
    <w:p w14:paraId="08F75C32" w14:textId="77777777" w:rsidR="00054437" w:rsidRPr="000549B1" w:rsidRDefault="00000000">
      <w:pPr>
        <w:pStyle w:val="x"/>
      </w:pPr>
      <w:r w:rsidRPr="000549B1">
        <w:t>按照相关技术规范，监测项目、频次、时段和方法以满足本监测和跟踪任务为前提，尽量利用现有监测机构成果，力求以较少的投入获得较为完整的环境监测数据。</w:t>
      </w:r>
    </w:p>
    <w:p w14:paraId="4FB08FE7" w14:textId="77777777" w:rsidR="00054437" w:rsidRPr="000549B1" w:rsidRDefault="00000000" w:rsidP="000549B1">
      <w:pPr>
        <w:pStyle w:val="zhang3"/>
        <w:numPr>
          <w:ilvl w:val="2"/>
          <w:numId w:val="9"/>
        </w:numPr>
        <w:spacing w:before="156" w:after="156"/>
        <w:rPr>
          <w:rFonts w:eastAsia="宋体"/>
          <w:bCs/>
        </w:rPr>
      </w:pPr>
      <w:r w:rsidRPr="000549B1">
        <w:t>监测方案</w:t>
      </w:r>
    </w:p>
    <w:p w14:paraId="1CF7B8E2" w14:textId="77777777" w:rsidR="00054437" w:rsidRPr="000549B1" w:rsidRDefault="00000000">
      <w:pPr>
        <w:pStyle w:val="Z4"/>
        <w:rPr>
          <w:color w:val="auto"/>
        </w:rPr>
      </w:pPr>
      <w:r w:rsidRPr="000549B1">
        <w:rPr>
          <w:color w:val="auto"/>
        </w:rPr>
        <w:t>评价因子、时段</w:t>
      </w:r>
    </w:p>
    <w:p w14:paraId="49BB486E" w14:textId="77777777" w:rsidR="00054437" w:rsidRPr="000549B1" w:rsidRDefault="00000000">
      <w:pPr>
        <w:pStyle w:val="x"/>
      </w:pPr>
      <w:r w:rsidRPr="000549B1">
        <w:t>根据本次评价结论及对限制性影响因素分析，拟主要对环境影响性质具有长期性、累积性和不可逆性的环境因子制订监测方案，主要包括水温观测、水文情势观測、地表水环境监测、陆生生态调査、水生生态调査与监测，以及社会环境跟踪调査与回访等，在监测时段上应有跨度地进行，以动态了解流域综合规划对环境的影响，主要包括环境本底监测、近期工程施工期和运行期环境监测、规划项目全部建成后的环境监测以及回顾评价监测。</w:t>
      </w:r>
    </w:p>
    <w:p w14:paraId="7F285D14" w14:textId="77777777" w:rsidR="00054437" w:rsidRPr="000549B1" w:rsidRDefault="00000000">
      <w:pPr>
        <w:pStyle w:val="Z4"/>
        <w:rPr>
          <w:color w:val="auto"/>
        </w:rPr>
      </w:pPr>
      <w:r w:rsidRPr="000549B1">
        <w:rPr>
          <w:color w:val="auto"/>
        </w:rPr>
        <w:t>监测计划</w:t>
      </w:r>
    </w:p>
    <w:p w14:paraId="45FA41B1" w14:textId="77777777" w:rsidR="00054437" w:rsidRPr="000549B1" w:rsidRDefault="00000000">
      <w:pPr>
        <w:pStyle w:val="x"/>
        <w:numPr>
          <w:ilvl w:val="0"/>
          <w:numId w:val="10"/>
        </w:numPr>
      </w:pPr>
      <w:r w:rsidRPr="000549B1">
        <w:t>水环境监测</w:t>
      </w:r>
    </w:p>
    <w:p w14:paraId="0C7C3D13" w14:textId="77777777" w:rsidR="00054437" w:rsidRPr="000549B1" w:rsidRDefault="00000000">
      <w:pPr>
        <w:pStyle w:val="x"/>
        <w:rPr>
          <w:lang w:val="zh-CN"/>
        </w:rPr>
      </w:pPr>
      <w:r w:rsidRPr="000549B1">
        <w:rPr>
          <w:lang w:val="zh-CN"/>
        </w:rPr>
        <w:t>1</w:t>
      </w:r>
      <w:r w:rsidRPr="000549B1">
        <w:rPr>
          <w:lang w:val="zh-CN"/>
        </w:rPr>
        <w:t>）水环境本底监测，以</w:t>
      </w:r>
      <w:r w:rsidRPr="000549B1">
        <w:t>沙珠玉河</w:t>
      </w:r>
      <w:r w:rsidRPr="000549B1">
        <w:rPr>
          <w:lang w:val="zh-CN"/>
        </w:rPr>
        <w:t>流域已有的地表水环境监测资料为基础，结合流域污染源情况，在规划各项目建设前，根据需要在库区、闸（坝）址及其汇口等代表断面补充开展地表水环境本底监测。监测项目选取</w:t>
      </w:r>
      <w:r w:rsidRPr="000549B1">
        <w:t>《地表水环境质量标准》（</w:t>
      </w:r>
      <w:r w:rsidRPr="000549B1">
        <w:t>GB3838-2002</w:t>
      </w:r>
      <w:r w:rsidRPr="000549B1">
        <w:t>）表</w:t>
      </w:r>
      <w:r w:rsidRPr="000549B1">
        <w:t>1</w:t>
      </w:r>
      <w:r w:rsidRPr="000549B1">
        <w:t>中的</w:t>
      </w:r>
      <w:r w:rsidRPr="000549B1">
        <w:t>24</w:t>
      </w:r>
      <w:r w:rsidRPr="000549B1">
        <w:t>项基本项目</w:t>
      </w:r>
      <w:r w:rsidRPr="000549B1">
        <w:rPr>
          <w:lang w:val="zh-CN"/>
        </w:rPr>
        <w:t>。</w:t>
      </w:r>
      <w:r w:rsidRPr="000549B1">
        <w:t>此外，规划工程具有饮用水供水功能的，除</w:t>
      </w:r>
      <w:r w:rsidRPr="000549B1">
        <w:rPr>
          <w:lang w:val="zh-CN"/>
        </w:rPr>
        <w:t>（地表水环境质量标准》（</w:t>
      </w:r>
      <w:r w:rsidRPr="000549B1">
        <w:rPr>
          <w:lang w:val="zh-CN"/>
        </w:rPr>
        <w:t>GB3838-2002)</w:t>
      </w:r>
      <w:r w:rsidRPr="000549B1">
        <w:t>表</w:t>
      </w:r>
      <w:r w:rsidRPr="000549B1">
        <w:t>1</w:t>
      </w:r>
      <w:r w:rsidRPr="000549B1">
        <w:rPr>
          <w:lang w:val="zh-CN"/>
        </w:rPr>
        <w:t>中</w:t>
      </w:r>
      <w:r w:rsidRPr="000549B1">
        <w:t>的</w:t>
      </w:r>
      <w:r w:rsidRPr="000549B1">
        <w:t>24</w:t>
      </w:r>
      <w:r w:rsidRPr="000549B1">
        <w:t>项基本项目外，还应同时监测《地表水环境质量标准》（</w:t>
      </w:r>
      <w:r w:rsidRPr="000549B1">
        <w:t>GB3838-2002</w:t>
      </w:r>
      <w:r w:rsidRPr="000549B1">
        <w:t>）表</w:t>
      </w:r>
      <w:r w:rsidRPr="000549B1">
        <w:t>2</w:t>
      </w:r>
      <w:r w:rsidRPr="000549B1">
        <w:t>中的集中式生活饮用水地表水源地的</w:t>
      </w:r>
      <w:r w:rsidRPr="000549B1">
        <w:t>5</w:t>
      </w:r>
      <w:r w:rsidRPr="000549B1">
        <w:t>项补充项目硫酸盐、氯化物、硝酸盐、铁、锰。</w:t>
      </w:r>
    </w:p>
    <w:p w14:paraId="153FB216" w14:textId="77777777" w:rsidR="00054437" w:rsidRPr="000549B1" w:rsidRDefault="00000000">
      <w:pPr>
        <w:pStyle w:val="x"/>
        <w:rPr>
          <w:lang w:val="zh-CN"/>
        </w:rPr>
      </w:pPr>
      <w:r w:rsidRPr="000549B1">
        <w:rPr>
          <w:lang w:val="zh-CN"/>
        </w:rPr>
        <w:t>2</w:t>
      </w:r>
      <w:r w:rsidRPr="000549B1">
        <w:rPr>
          <w:lang w:val="zh-CN"/>
        </w:rPr>
        <w:t>）</w:t>
      </w:r>
      <w:r w:rsidRPr="000549B1">
        <w:t>沙珠玉河</w:t>
      </w:r>
      <w:r w:rsidRPr="000549B1">
        <w:rPr>
          <w:lang w:val="zh-CN"/>
        </w:rPr>
        <w:t>流域综合规划实施后的水环境监测，在国控、省控、市控等水质断面、水库库区及流域内县级及以上饮用水水源地进行水质监测，按月例行监测相关数据，</w:t>
      </w:r>
      <w:r w:rsidRPr="000549B1">
        <w:t>监测频次不低于每月两次</w:t>
      </w:r>
      <w:r w:rsidRPr="000549B1">
        <w:rPr>
          <w:lang w:val="zh-CN"/>
        </w:rPr>
        <w:t>。</w:t>
      </w:r>
    </w:p>
    <w:p w14:paraId="479FA19A" w14:textId="77777777" w:rsidR="00054437" w:rsidRPr="000549B1" w:rsidRDefault="00000000">
      <w:pPr>
        <w:pStyle w:val="x"/>
      </w:pPr>
      <w:r w:rsidRPr="000549B1">
        <w:rPr>
          <w:lang w:val="zh-CN"/>
        </w:rPr>
        <w:t>3</w:t>
      </w:r>
      <w:r w:rsidRPr="000549B1">
        <w:rPr>
          <w:lang w:val="zh-CN"/>
        </w:rPr>
        <w:t>）跟踪性水质监测结合规划开发时序，分阶段开展。分别在国控、省控、市控等水质断面及</w:t>
      </w:r>
      <w:r w:rsidRPr="000549B1">
        <w:t>沙珠玉河</w:t>
      </w:r>
      <w:r w:rsidRPr="000549B1">
        <w:rPr>
          <w:lang w:val="zh-CN"/>
        </w:rPr>
        <w:t>流域内县级及以上饮用水水源地进行水质监测，监测因子的选择与本底监测相同。</w:t>
      </w:r>
    </w:p>
    <w:p w14:paraId="2F82AECD" w14:textId="77777777" w:rsidR="00054437" w:rsidRPr="000549B1" w:rsidRDefault="00000000">
      <w:pPr>
        <w:pStyle w:val="x"/>
        <w:ind w:firstLine="480"/>
      </w:pPr>
      <w:r w:rsidRPr="000549B1">
        <w:t>（</w:t>
      </w:r>
      <w:r w:rsidRPr="000549B1">
        <w:t>2</w:t>
      </w:r>
      <w:r w:rsidRPr="000549B1">
        <w:t>）生态监测</w:t>
      </w:r>
    </w:p>
    <w:p w14:paraId="54214F31" w14:textId="52DD85A3" w:rsidR="00054437" w:rsidRPr="000549B1" w:rsidRDefault="00000000">
      <w:pPr>
        <w:adjustRightInd w:val="0"/>
        <w:snapToGrid w:val="0"/>
        <w:spacing w:line="360" w:lineRule="auto"/>
        <w:ind w:firstLineChars="200" w:firstLine="480"/>
        <w:rPr>
          <w:bCs/>
          <w:sz w:val="24"/>
        </w:rPr>
      </w:pPr>
      <w:r w:rsidRPr="000549B1">
        <w:rPr>
          <w:bCs/>
          <w:sz w:val="24"/>
        </w:rPr>
        <w:t>为监测沙珠玉河流域综合规划的实施对水生态环境的影响，需建立流域内水生态保护监测系统，重点监测珍稀水生生物及重要土著鱼类、监测生态下泄流量和生态流量过程，具体监测内容见</w:t>
      </w:r>
      <w:r w:rsidR="00F32CCA" w:rsidRPr="00F32CCA">
        <w:rPr>
          <w:bCs/>
          <w:sz w:val="24"/>
        </w:rPr>
        <w:t>表</w:t>
      </w:r>
      <w:r w:rsidR="00F32CCA" w:rsidRPr="00F32CCA">
        <w:rPr>
          <w:bCs/>
          <w:sz w:val="24"/>
        </w:rPr>
        <w:t>8.1</w:t>
      </w:r>
      <w:r w:rsidR="00F32CCA" w:rsidRPr="00F32CCA">
        <w:rPr>
          <w:bCs/>
          <w:sz w:val="24"/>
        </w:rPr>
        <w:noBreakHyphen/>
        <w:t>1</w:t>
      </w:r>
      <w:r w:rsidRPr="000549B1">
        <w:rPr>
          <w:bCs/>
          <w:sz w:val="24"/>
        </w:rPr>
        <w:t>。</w:t>
      </w:r>
    </w:p>
    <w:p w14:paraId="1CE7E278" w14:textId="0F19FEDF" w:rsidR="00054437" w:rsidRPr="000549B1" w:rsidRDefault="00000000">
      <w:pPr>
        <w:pStyle w:val="aff8"/>
        <w:rPr>
          <w:color w:val="auto"/>
        </w:rPr>
      </w:pPr>
      <w:bookmarkStart w:id="464" w:name="_Ref214984107"/>
      <w:r w:rsidRPr="000549B1">
        <w:rPr>
          <w:color w:val="auto"/>
        </w:rPr>
        <w:t>表</w:t>
      </w:r>
      <w:r w:rsidR="00372953">
        <w:rPr>
          <w:color w:val="auto"/>
        </w:rPr>
        <w:fldChar w:fldCharType="begin"/>
      </w:r>
      <w:r w:rsidR="00372953">
        <w:rPr>
          <w:color w:val="auto"/>
        </w:rPr>
        <w:instrText xml:space="preserve"> STYLEREF 2 \s </w:instrText>
      </w:r>
      <w:r w:rsidR="00372953">
        <w:rPr>
          <w:color w:val="auto"/>
        </w:rPr>
        <w:fldChar w:fldCharType="separate"/>
      </w:r>
      <w:r w:rsidR="00372953">
        <w:rPr>
          <w:noProof/>
          <w:color w:val="auto"/>
        </w:rPr>
        <w:t>8.1</w:t>
      </w:r>
      <w:r w:rsidR="00372953">
        <w:rPr>
          <w:color w:val="auto"/>
        </w:rPr>
        <w:fldChar w:fldCharType="end"/>
      </w:r>
      <w:r w:rsidR="00372953">
        <w:rPr>
          <w:color w:val="auto"/>
        </w:rPr>
        <w:noBreakHyphen/>
      </w:r>
      <w:r w:rsidR="00372953">
        <w:rPr>
          <w:color w:val="auto"/>
        </w:rPr>
        <w:fldChar w:fldCharType="begin"/>
      </w:r>
      <w:r w:rsidR="00372953">
        <w:rPr>
          <w:color w:val="auto"/>
        </w:rPr>
        <w:instrText xml:space="preserve"> SEQ </w:instrText>
      </w:r>
      <w:r w:rsidR="00372953">
        <w:rPr>
          <w:color w:val="auto"/>
        </w:rPr>
        <w:instrText>表</w:instrText>
      </w:r>
      <w:r w:rsidR="00372953">
        <w:rPr>
          <w:color w:val="auto"/>
        </w:rPr>
        <w:instrText xml:space="preserve"> \* ARABIC \s 2 </w:instrText>
      </w:r>
      <w:r w:rsidR="00372953">
        <w:rPr>
          <w:color w:val="auto"/>
        </w:rPr>
        <w:fldChar w:fldCharType="separate"/>
      </w:r>
      <w:r w:rsidR="00372953">
        <w:rPr>
          <w:noProof/>
          <w:color w:val="auto"/>
        </w:rPr>
        <w:t>1</w:t>
      </w:r>
      <w:r w:rsidR="00372953">
        <w:rPr>
          <w:color w:val="auto"/>
        </w:rPr>
        <w:fldChar w:fldCharType="end"/>
      </w:r>
      <w:bookmarkEnd w:id="464"/>
      <w:r w:rsidRPr="000549B1">
        <w:rPr>
          <w:color w:val="auto"/>
        </w:rPr>
        <w:t>沙珠玉河流域水生态监测管理体系建设内容</w:t>
      </w:r>
    </w:p>
    <w:tbl>
      <w:tblPr>
        <w:tblpPr w:leftFromText="180" w:rightFromText="180" w:vertAnchor="text" w:tblpXSpec="center" w:tblpY="1"/>
        <w:tblOverlap w:val="neve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
        <w:gridCol w:w="1353"/>
        <w:gridCol w:w="1644"/>
        <w:gridCol w:w="2659"/>
        <w:gridCol w:w="2123"/>
      </w:tblGrid>
      <w:tr w:rsidR="000549B1" w:rsidRPr="000549B1" w14:paraId="7017D7C8" w14:textId="77777777">
        <w:trPr>
          <w:trHeight w:val="283"/>
          <w:jc w:val="center"/>
        </w:trPr>
        <w:tc>
          <w:tcPr>
            <w:tcW w:w="310" w:type="pct"/>
            <w:vAlign w:val="center"/>
          </w:tcPr>
          <w:p w14:paraId="06E7DD01" w14:textId="77777777" w:rsidR="00054437" w:rsidRPr="000549B1" w:rsidRDefault="00000000">
            <w:pPr>
              <w:snapToGrid w:val="0"/>
              <w:spacing w:before="62" w:after="62"/>
              <w:jc w:val="center"/>
              <w:rPr>
                <w:b/>
                <w:sz w:val="18"/>
                <w:szCs w:val="18"/>
              </w:rPr>
            </w:pPr>
            <w:r w:rsidRPr="000549B1">
              <w:rPr>
                <w:b/>
                <w:sz w:val="18"/>
                <w:szCs w:val="18"/>
              </w:rPr>
              <w:t>序号</w:t>
            </w:r>
          </w:p>
        </w:tc>
        <w:tc>
          <w:tcPr>
            <w:tcW w:w="816" w:type="pct"/>
            <w:vAlign w:val="center"/>
          </w:tcPr>
          <w:p w14:paraId="081626D0" w14:textId="77777777" w:rsidR="00054437" w:rsidRPr="000549B1" w:rsidRDefault="00000000">
            <w:pPr>
              <w:snapToGrid w:val="0"/>
              <w:jc w:val="center"/>
              <w:rPr>
                <w:b/>
                <w:sz w:val="18"/>
                <w:szCs w:val="18"/>
              </w:rPr>
            </w:pPr>
            <w:r w:rsidRPr="000549B1">
              <w:rPr>
                <w:b/>
                <w:sz w:val="18"/>
                <w:szCs w:val="18"/>
              </w:rPr>
              <w:t>监测项目</w:t>
            </w:r>
          </w:p>
        </w:tc>
        <w:tc>
          <w:tcPr>
            <w:tcW w:w="991" w:type="pct"/>
            <w:vAlign w:val="center"/>
          </w:tcPr>
          <w:p w14:paraId="54DBBCEC" w14:textId="77777777" w:rsidR="00054437" w:rsidRPr="000549B1" w:rsidRDefault="00000000">
            <w:pPr>
              <w:snapToGrid w:val="0"/>
              <w:jc w:val="center"/>
              <w:rPr>
                <w:b/>
                <w:sz w:val="18"/>
                <w:szCs w:val="18"/>
              </w:rPr>
            </w:pPr>
            <w:r w:rsidRPr="000549B1">
              <w:rPr>
                <w:b/>
                <w:sz w:val="18"/>
                <w:szCs w:val="18"/>
              </w:rPr>
              <w:t>监测位置</w:t>
            </w:r>
          </w:p>
        </w:tc>
        <w:tc>
          <w:tcPr>
            <w:tcW w:w="1602" w:type="pct"/>
            <w:vAlign w:val="center"/>
          </w:tcPr>
          <w:p w14:paraId="0CEB8EE4" w14:textId="77777777" w:rsidR="00054437" w:rsidRPr="000549B1" w:rsidRDefault="00000000">
            <w:pPr>
              <w:snapToGrid w:val="0"/>
              <w:jc w:val="center"/>
              <w:rPr>
                <w:b/>
                <w:sz w:val="18"/>
                <w:szCs w:val="18"/>
              </w:rPr>
            </w:pPr>
            <w:r w:rsidRPr="000549B1">
              <w:rPr>
                <w:b/>
                <w:sz w:val="18"/>
                <w:szCs w:val="18"/>
              </w:rPr>
              <w:t>监测内容</w:t>
            </w:r>
          </w:p>
        </w:tc>
        <w:tc>
          <w:tcPr>
            <w:tcW w:w="1279" w:type="pct"/>
            <w:vAlign w:val="center"/>
          </w:tcPr>
          <w:p w14:paraId="43D57C8C" w14:textId="77777777" w:rsidR="00054437" w:rsidRPr="000549B1" w:rsidRDefault="00000000">
            <w:pPr>
              <w:snapToGrid w:val="0"/>
              <w:jc w:val="center"/>
              <w:rPr>
                <w:b/>
                <w:sz w:val="18"/>
                <w:szCs w:val="18"/>
              </w:rPr>
            </w:pPr>
            <w:r w:rsidRPr="000549B1">
              <w:rPr>
                <w:b/>
                <w:sz w:val="18"/>
                <w:szCs w:val="18"/>
              </w:rPr>
              <w:t>监测频率</w:t>
            </w:r>
          </w:p>
        </w:tc>
      </w:tr>
      <w:tr w:rsidR="000549B1" w:rsidRPr="000549B1" w14:paraId="35B3EEB7" w14:textId="77777777">
        <w:trPr>
          <w:trHeight w:val="283"/>
          <w:jc w:val="center"/>
        </w:trPr>
        <w:tc>
          <w:tcPr>
            <w:tcW w:w="310" w:type="pct"/>
            <w:vAlign w:val="center"/>
          </w:tcPr>
          <w:p w14:paraId="5DBDF416" w14:textId="77777777" w:rsidR="00054437" w:rsidRPr="000549B1" w:rsidRDefault="00000000">
            <w:pPr>
              <w:snapToGrid w:val="0"/>
              <w:jc w:val="center"/>
              <w:rPr>
                <w:bCs/>
                <w:sz w:val="18"/>
                <w:szCs w:val="18"/>
              </w:rPr>
            </w:pPr>
            <w:r w:rsidRPr="000549B1">
              <w:rPr>
                <w:bCs/>
                <w:sz w:val="18"/>
                <w:szCs w:val="18"/>
              </w:rPr>
              <w:t>1</w:t>
            </w:r>
          </w:p>
        </w:tc>
        <w:tc>
          <w:tcPr>
            <w:tcW w:w="816" w:type="pct"/>
            <w:vAlign w:val="center"/>
          </w:tcPr>
          <w:p w14:paraId="5B49E780" w14:textId="77777777" w:rsidR="00054437" w:rsidRPr="000549B1" w:rsidRDefault="00000000">
            <w:pPr>
              <w:snapToGrid w:val="0"/>
              <w:spacing w:before="62" w:after="62"/>
              <w:jc w:val="center"/>
              <w:rPr>
                <w:bCs/>
                <w:sz w:val="18"/>
                <w:szCs w:val="18"/>
              </w:rPr>
            </w:pPr>
            <w:r w:rsidRPr="000549B1">
              <w:rPr>
                <w:bCs/>
                <w:sz w:val="18"/>
                <w:szCs w:val="18"/>
              </w:rPr>
              <w:t>生态流量</w:t>
            </w:r>
          </w:p>
        </w:tc>
        <w:tc>
          <w:tcPr>
            <w:tcW w:w="991" w:type="pct"/>
            <w:vMerge w:val="restart"/>
            <w:vAlign w:val="center"/>
          </w:tcPr>
          <w:p w14:paraId="3D430ED7" w14:textId="77777777" w:rsidR="00054437" w:rsidRPr="000549B1" w:rsidRDefault="00000000">
            <w:pPr>
              <w:snapToGrid w:val="0"/>
              <w:spacing w:before="62" w:after="62"/>
              <w:jc w:val="center"/>
              <w:rPr>
                <w:bCs/>
                <w:sz w:val="18"/>
                <w:szCs w:val="18"/>
              </w:rPr>
            </w:pPr>
            <w:r w:rsidRPr="000549B1">
              <w:rPr>
                <w:bCs/>
                <w:sz w:val="18"/>
                <w:szCs w:val="18"/>
              </w:rPr>
              <w:t>沙珠玉河干支流水库工程上下游、河口</w:t>
            </w:r>
          </w:p>
        </w:tc>
        <w:tc>
          <w:tcPr>
            <w:tcW w:w="1602" w:type="pct"/>
            <w:vAlign w:val="center"/>
          </w:tcPr>
          <w:p w14:paraId="509D12D0" w14:textId="77777777" w:rsidR="00054437" w:rsidRPr="000549B1" w:rsidRDefault="00000000">
            <w:pPr>
              <w:snapToGrid w:val="0"/>
              <w:spacing w:before="62" w:after="62"/>
              <w:jc w:val="center"/>
              <w:rPr>
                <w:bCs/>
                <w:sz w:val="18"/>
                <w:szCs w:val="18"/>
              </w:rPr>
            </w:pPr>
            <w:r w:rsidRPr="000549B1">
              <w:rPr>
                <w:bCs/>
                <w:sz w:val="18"/>
                <w:szCs w:val="18"/>
              </w:rPr>
              <w:t>生态流量、下泄生态流量、水位、流速等重要生态因子。</w:t>
            </w:r>
          </w:p>
        </w:tc>
        <w:tc>
          <w:tcPr>
            <w:tcW w:w="1279" w:type="pct"/>
            <w:vMerge w:val="restart"/>
            <w:vAlign w:val="center"/>
          </w:tcPr>
          <w:p w14:paraId="34E7A50F" w14:textId="77777777" w:rsidR="00054437" w:rsidRPr="000549B1" w:rsidRDefault="00000000">
            <w:pPr>
              <w:snapToGrid w:val="0"/>
              <w:jc w:val="center"/>
              <w:rPr>
                <w:bCs/>
                <w:sz w:val="18"/>
                <w:szCs w:val="18"/>
              </w:rPr>
            </w:pPr>
            <w:r w:rsidRPr="000549B1">
              <w:rPr>
                <w:bCs/>
                <w:sz w:val="18"/>
                <w:szCs w:val="18"/>
              </w:rPr>
              <w:t>监测频率同水文站</w:t>
            </w:r>
          </w:p>
        </w:tc>
      </w:tr>
      <w:tr w:rsidR="000549B1" w:rsidRPr="000549B1" w14:paraId="1561F0A3" w14:textId="77777777">
        <w:trPr>
          <w:trHeight w:val="283"/>
          <w:jc w:val="center"/>
        </w:trPr>
        <w:tc>
          <w:tcPr>
            <w:tcW w:w="310" w:type="pct"/>
            <w:vAlign w:val="center"/>
          </w:tcPr>
          <w:p w14:paraId="52D9BA25" w14:textId="77777777" w:rsidR="00054437" w:rsidRPr="000549B1" w:rsidRDefault="00000000">
            <w:pPr>
              <w:snapToGrid w:val="0"/>
              <w:spacing w:before="62" w:after="62"/>
              <w:jc w:val="center"/>
              <w:rPr>
                <w:bCs/>
                <w:sz w:val="18"/>
                <w:szCs w:val="18"/>
              </w:rPr>
            </w:pPr>
            <w:r w:rsidRPr="000549B1">
              <w:rPr>
                <w:bCs/>
                <w:sz w:val="18"/>
                <w:szCs w:val="18"/>
              </w:rPr>
              <w:t>2</w:t>
            </w:r>
          </w:p>
        </w:tc>
        <w:tc>
          <w:tcPr>
            <w:tcW w:w="816" w:type="pct"/>
            <w:vAlign w:val="center"/>
          </w:tcPr>
          <w:p w14:paraId="05C70B37" w14:textId="77777777" w:rsidR="00054437" w:rsidRPr="000549B1" w:rsidRDefault="00000000">
            <w:pPr>
              <w:snapToGrid w:val="0"/>
              <w:spacing w:before="62" w:after="62"/>
              <w:jc w:val="center"/>
              <w:rPr>
                <w:bCs/>
                <w:sz w:val="18"/>
                <w:szCs w:val="18"/>
              </w:rPr>
            </w:pPr>
            <w:r w:rsidRPr="000549B1">
              <w:rPr>
                <w:bCs/>
                <w:sz w:val="18"/>
                <w:szCs w:val="18"/>
              </w:rPr>
              <w:t>水环境要素</w:t>
            </w:r>
          </w:p>
        </w:tc>
        <w:tc>
          <w:tcPr>
            <w:tcW w:w="991" w:type="pct"/>
            <w:vMerge/>
            <w:vAlign w:val="center"/>
          </w:tcPr>
          <w:p w14:paraId="4005F46D" w14:textId="77777777" w:rsidR="00054437" w:rsidRPr="000549B1" w:rsidRDefault="00054437">
            <w:pPr>
              <w:snapToGrid w:val="0"/>
              <w:jc w:val="center"/>
              <w:rPr>
                <w:bCs/>
                <w:sz w:val="18"/>
                <w:szCs w:val="18"/>
              </w:rPr>
            </w:pPr>
          </w:p>
        </w:tc>
        <w:tc>
          <w:tcPr>
            <w:tcW w:w="1602" w:type="pct"/>
            <w:vAlign w:val="center"/>
          </w:tcPr>
          <w:p w14:paraId="3F7EE352" w14:textId="77777777" w:rsidR="00054437" w:rsidRPr="000549B1" w:rsidRDefault="00000000">
            <w:pPr>
              <w:snapToGrid w:val="0"/>
              <w:spacing w:before="62" w:after="62"/>
              <w:jc w:val="center"/>
              <w:rPr>
                <w:bCs/>
                <w:sz w:val="18"/>
                <w:szCs w:val="18"/>
              </w:rPr>
            </w:pPr>
            <w:r w:rsidRPr="000549B1">
              <w:rPr>
                <w:bCs/>
                <w:sz w:val="18"/>
                <w:szCs w:val="18"/>
              </w:rPr>
              <w:t>氨氮、</w:t>
            </w:r>
            <w:r w:rsidRPr="000549B1">
              <w:rPr>
                <w:bCs/>
                <w:sz w:val="18"/>
                <w:szCs w:val="18"/>
              </w:rPr>
              <w:t>COD</w:t>
            </w:r>
            <w:r w:rsidRPr="000549B1">
              <w:rPr>
                <w:bCs/>
                <w:sz w:val="18"/>
                <w:szCs w:val="18"/>
              </w:rPr>
              <w:t>等常规水质要素</w:t>
            </w:r>
          </w:p>
        </w:tc>
        <w:tc>
          <w:tcPr>
            <w:tcW w:w="1279" w:type="pct"/>
            <w:vMerge/>
            <w:vAlign w:val="center"/>
          </w:tcPr>
          <w:p w14:paraId="01E3A5F2" w14:textId="77777777" w:rsidR="00054437" w:rsidRPr="000549B1" w:rsidRDefault="00054437">
            <w:pPr>
              <w:snapToGrid w:val="0"/>
              <w:jc w:val="center"/>
              <w:rPr>
                <w:bCs/>
                <w:sz w:val="18"/>
                <w:szCs w:val="18"/>
              </w:rPr>
            </w:pPr>
          </w:p>
        </w:tc>
      </w:tr>
      <w:tr w:rsidR="000549B1" w:rsidRPr="000549B1" w14:paraId="10F4D149" w14:textId="77777777">
        <w:trPr>
          <w:trHeight w:val="283"/>
          <w:jc w:val="center"/>
        </w:trPr>
        <w:tc>
          <w:tcPr>
            <w:tcW w:w="310" w:type="pct"/>
            <w:vAlign w:val="center"/>
          </w:tcPr>
          <w:p w14:paraId="695947C6" w14:textId="77777777" w:rsidR="00054437" w:rsidRPr="000549B1" w:rsidRDefault="00000000">
            <w:pPr>
              <w:snapToGrid w:val="0"/>
              <w:spacing w:before="62" w:after="62"/>
              <w:jc w:val="center"/>
              <w:rPr>
                <w:bCs/>
                <w:sz w:val="18"/>
                <w:szCs w:val="18"/>
              </w:rPr>
            </w:pPr>
            <w:r w:rsidRPr="000549B1">
              <w:rPr>
                <w:bCs/>
                <w:sz w:val="18"/>
                <w:szCs w:val="18"/>
              </w:rPr>
              <w:t>3</w:t>
            </w:r>
          </w:p>
        </w:tc>
        <w:tc>
          <w:tcPr>
            <w:tcW w:w="816" w:type="pct"/>
            <w:vAlign w:val="center"/>
          </w:tcPr>
          <w:p w14:paraId="21236E5E" w14:textId="77777777" w:rsidR="00054437" w:rsidRPr="000549B1" w:rsidRDefault="00000000">
            <w:pPr>
              <w:snapToGrid w:val="0"/>
              <w:spacing w:before="62" w:after="62"/>
              <w:jc w:val="center"/>
              <w:rPr>
                <w:bCs/>
                <w:sz w:val="18"/>
                <w:szCs w:val="18"/>
              </w:rPr>
            </w:pPr>
            <w:r w:rsidRPr="000549B1">
              <w:rPr>
                <w:bCs/>
                <w:sz w:val="18"/>
                <w:szCs w:val="18"/>
              </w:rPr>
              <w:t>水生生物</w:t>
            </w:r>
          </w:p>
        </w:tc>
        <w:tc>
          <w:tcPr>
            <w:tcW w:w="991" w:type="pct"/>
            <w:vAlign w:val="center"/>
          </w:tcPr>
          <w:p w14:paraId="674DD427" w14:textId="77777777" w:rsidR="00054437" w:rsidRPr="000549B1" w:rsidRDefault="00000000">
            <w:pPr>
              <w:snapToGrid w:val="0"/>
              <w:spacing w:before="62" w:after="62"/>
              <w:jc w:val="center"/>
              <w:rPr>
                <w:bCs/>
                <w:sz w:val="18"/>
                <w:szCs w:val="18"/>
              </w:rPr>
            </w:pPr>
            <w:r w:rsidRPr="000549B1">
              <w:rPr>
                <w:bCs/>
                <w:sz w:val="18"/>
                <w:szCs w:val="18"/>
              </w:rPr>
              <w:t>沙珠玉河干支流水库工程上下游、河口</w:t>
            </w:r>
          </w:p>
        </w:tc>
        <w:tc>
          <w:tcPr>
            <w:tcW w:w="1602" w:type="pct"/>
            <w:vAlign w:val="center"/>
          </w:tcPr>
          <w:p w14:paraId="2FD0CB5D" w14:textId="77777777" w:rsidR="00054437" w:rsidRPr="000549B1" w:rsidRDefault="00000000">
            <w:pPr>
              <w:snapToGrid w:val="0"/>
              <w:spacing w:before="62" w:after="62"/>
              <w:jc w:val="center"/>
              <w:rPr>
                <w:bCs/>
                <w:sz w:val="18"/>
                <w:szCs w:val="18"/>
              </w:rPr>
            </w:pPr>
            <w:r w:rsidRPr="000549B1">
              <w:rPr>
                <w:bCs/>
                <w:sz w:val="18"/>
                <w:szCs w:val="18"/>
              </w:rPr>
              <w:t>花斑裸鲤、茶卡高原鳅等保护对象的种类、种群规模、栖息地分布、生态习性和产卵场数量、分布面积等</w:t>
            </w:r>
          </w:p>
        </w:tc>
        <w:tc>
          <w:tcPr>
            <w:tcW w:w="1279" w:type="pct"/>
            <w:vAlign w:val="center"/>
          </w:tcPr>
          <w:p w14:paraId="7816778A" w14:textId="77777777" w:rsidR="00054437" w:rsidRPr="000549B1" w:rsidRDefault="00000000">
            <w:pPr>
              <w:snapToGrid w:val="0"/>
              <w:jc w:val="center"/>
              <w:rPr>
                <w:bCs/>
                <w:sz w:val="18"/>
                <w:szCs w:val="18"/>
              </w:rPr>
            </w:pPr>
            <w:r w:rsidRPr="000549B1">
              <w:rPr>
                <w:bCs/>
                <w:sz w:val="18"/>
                <w:szCs w:val="18"/>
              </w:rPr>
              <w:t>每年</w:t>
            </w:r>
            <w:r w:rsidRPr="000549B1">
              <w:rPr>
                <w:bCs/>
                <w:sz w:val="18"/>
                <w:szCs w:val="18"/>
              </w:rPr>
              <w:t>2</w:t>
            </w:r>
            <w:r w:rsidRPr="000549B1">
              <w:rPr>
                <w:bCs/>
                <w:sz w:val="18"/>
                <w:szCs w:val="18"/>
              </w:rPr>
              <w:t>次，</w:t>
            </w:r>
            <w:r w:rsidRPr="000549B1">
              <w:rPr>
                <w:bCs/>
                <w:sz w:val="18"/>
                <w:szCs w:val="18"/>
              </w:rPr>
              <w:t>4</w:t>
            </w:r>
            <w:r w:rsidRPr="000549B1">
              <w:rPr>
                <w:bCs/>
                <w:sz w:val="18"/>
                <w:szCs w:val="18"/>
              </w:rPr>
              <w:t>月</w:t>
            </w:r>
            <w:r w:rsidRPr="000549B1">
              <w:rPr>
                <w:bCs/>
                <w:sz w:val="18"/>
                <w:szCs w:val="18"/>
              </w:rPr>
              <w:t>~6</w:t>
            </w:r>
            <w:r w:rsidRPr="000549B1">
              <w:rPr>
                <w:bCs/>
                <w:sz w:val="18"/>
                <w:szCs w:val="18"/>
              </w:rPr>
              <w:t>月和</w:t>
            </w:r>
            <w:r w:rsidRPr="000549B1">
              <w:rPr>
                <w:bCs/>
                <w:sz w:val="18"/>
                <w:szCs w:val="18"/>
              </w:rPr>
              <w:t>9</w:t>
            </w:r>
            <w:r w:rsidRPr="000549B1">
              <w:rPr>
                <w:bCs/>
                <w:sz w:val="18"/>
                <w:szCs w:val="18"/>
              </w:rPr>
              <w:t>月</w:t>
            </w:r>
            <w:r w:rsidRPr="000549B1">
              <w:rPr>
                <w:bCs/>
                <w:sz w:val="18"/>
                <w:szCs w:val="18"/>
              </w:rPr>
              <w:t>~10</w:t>
            </w:r>
            <w:r w:rsidRPr="000549B1">
              <w:rPr>
                <w:bCs/>
                <w:sz w:val="18"/>
                <w:szCs w:val="18"/>
              </w:rPr>
              <w:t>月各开展一次</w:t>
            </w:r>
          </w:p>
        </w:tc>
      </w:tr>
      <w:tr w:rsidR="000549B1" w:rsidRPr="000549B1" w14:paraId="561C1F9F" w14:textId="77777777">
        <w:trPr>
          <w:trHeight w:val="283"/>
          <w:jc w:val="center"/>
        </w:trPr>
        <w:tc>
          <w:tcPr>
            <w:tcW w:w="310" w:type="pct"/>
            <w:vAlign w:val="center"/>
          </w:tcPr>
          <w:p w14:paraId="1B0DA394" w14:textId="77777777" w:rsidR="00054437" w:rsidRPr="000549B1" w:rsidRDefault="00000000">
            <w:pPr>
              <w:snapToGrid w:val="0"/>
              <w:jc w:val="center"/>
              <w:rPr>
                <w:bCs/>
                <w:sz w:val="18"/>
                <w:szCs w:val="18"/>
              </w:rPr>
            </w:pPr>
            <w:r w:rsidRPr="000549B1">
              <w:rPr>
                <w:bCs/>
                <w:sz w:val="18"/>
                <w:szCs w:val="18"/>
              </w:rPr>
              <w:t>4</w:t>
            </w:r>
          </w:p>
        </w:tc>
        <w:tc>
          <w:tcPr>
            <w:tcW w:w="816" w:type="pct"/>
            <w:vAlign w:val="center"/>
          </w:tcPr>
          <w:p w14:paraId="7549383C" w14:textId="77777777" w:rsidR="00054437" w:rsidRPr="000549B1" w:rsidRDefault="00000000">
            <w:pPr>
              <w:snapToGrid w:val="0"/>
              <w:spacing w:before="62" w:after="62"/>
              <w:jc w:val="center"/>
              <w:rPr>
                <w:bCs/>
                <w:sz w:val="18"/>
                <w:szCs w:val="18"/>
              </w:rPr>
            </w:pPr>
            <w:r w:rsidRPr="000549B1">
              <w:rPr>
                <w:bCs/>
                <w:sz w:val="18"/>
                <w:szCs w:val="18"/>
              </w:rPr>
              <w:t>河流生态功能</w:t>
            </w:r>
          </w:p>
        </w:tc>
        <w:tc>
          <w:tcPr>
            <w:tcW w:w="991" w:type="pct"/>
            <w:vAlign w:val="center"/>
          </w:tcPr>
          <w:p w14:paraId="14FF3CFA" w14:textId="77777777" w:rsidR="00054437" w:rsidRPr="000549B1" w:rsidRDefault="00000000">
            <w:pPr>
              <w:snapToGrid w:val="0"/>
              <w:spacing w:before="62" w:after="62"/>
              <w:jc w:val="center"/>
              <w:rPr>
                <w:bCs/>
                <w:sz w:val="18"/>
                <w:szCs w:val="18"/>
              </w:rPr>
            </w:pPr>
            <w:r w:rsidRPr="000549B1">
              <w:rPr>
                <w:bCs/>
                <w:sz w:val="18"/>
                <w:szCs w:val="18"/>
              </w:rPr>
              <w:t>沙珠玉河干支流</w:t>
            </w:r>
          </w:p>
          <w:p w14:paraId="1ED2FAF2" w14:textId="77777777" w:rsidR="00054437" w:rsidRPr="000549B1" w:rsidRDefault="00000000">
            <w:pPr>
              <w:snapToGrid w:val="0"/>
              <w:spacing w:before="62" w:after="62"/>
              <w:jc w:val="center"/>
              <w:rPr>
                <w:bCs/>
                <w:sz w:val="18"/>
                <w:szCs w:val="18"/>
              </w:rPr>
            </w:pPr>
            <w:r w:rsidRPr="000549B1">
              <w:rPr>
                <w:bCs/>
                <w:sz w:val="18"/>
                <w:szCs w:val="18"/>
              </w:rPr>
              <w:t>上游、中游、下游</w:t>
            </w:r>
          </w:p>
        </w:tc>
        <w:tc>
          <w:tcPr>
            <w:tcW w:w="1602" w:type="pct"/>
            <w:vAlign w:val="center"/>
          </w:tcPr>
          <w:p w14:paraId="1EF1CB44" w14:textId="77777777" w:rsidR="00054437" w:rsidRPr="000549B1" w:rsidRDefault="00000000">
            <w:pPr>
              <w:snapToGrid w:val="0"/>
              <w:spacing w:before="62" w:after="62"/>
              <w:jc w:val="center"/>
              <w:rPr>
                <w:bCs/>
                <w:sz w:val="18"/>
                <w:szCs w:val="18"/>
              </w:rPr>
            </w:pPr>
            <w:r w:rsidRPr="000549B1">
              <w:rPr>
                <w:bCs/>
                <w:sz w:val="18"/>
                <w:szCs w:val="18"/>
              </w:rPr>
              <w:t>河段生态流量、河段连续性</w:t>
            </w:r>
          </w:p>
        </w:tc>
        <w:tc>
          <w:tcPr>
            <w:tcW w:w="1279" w:type="pct"/>
            <w:vAlign w:val="center"/>
          </w:tcPr>
          <w:p w14:paraId="3D0FAFC4" w14:textId="77777777" w:rsidR="00054437" w:rsidRPr="000549B1" w:rsidRDefault="00000000">
            <w:pPr>
              <w:snapToGrid w:val="0"/>
              <w:jc w:val="center"/>
              <w:rPr>
                <w:bCs/>
                <w:sz w:val="18"/>
                <w:szCs w:val="18"/>
              </w:rPr>
            </w:pPr>
            <w:r w:rsidRPr="000549B1">
              <w:rPr>
                <w:bCs/>
                <w:sz w:val="18"/>
                <w:szCs w:val="18"/>
              </w:rPr>
              <w:t>11</w:t>
            </w:r>
            <w:r w:rsidRPr="000549B1">
              <w:rPr>
                <w:bCs/>
                <w:sz w:val="18"/>
                <w:szCs w:val="18"/>
              </w:rPr>
              <w:t>月至次年</w:t>
            </w:r>
            <w:r w:rsidRPr="000549B1">
              <w:rPr>
                <w:bCs/>
                <w:sz w:val="18"/>
                <w:szCs w:val="18"/>
              </w:rPr>
              <w:t>6</w:t>
            </w:r>
            <w:r w:rsidRPr="000549B1">
              <w:rPr>
                <w:bCs/>
                <w:sz w:val="18"/>
                <w:szCs w:val="18"/>
              </w:rPr>
              <w:t>月</w:t>
            </w:r>
          </w:p>
          <w:p w14:paraId="1DD6D7A9" w14:textId="77777777" w:rsidR="00054437" w:rsidRPr="000549B1" w:rsidRDefault="00000000">
            <w:pPr>
              <w:snapToGrid w:val="0"/>
              <w:jc w:val="center"/>
              <w:rPr>
                <w:bCs/>
                <w:sz w:val="18"/>
                <w:szCs w:val="18"/>
              </w:rPr>
            </w:pPr>
            <w:r w:rsidRPr="000549B1">
              <w:rPr>
                <w:bCs/>
                <w:sz w:val="18"/>
                <w:szCs w:val="18"/>
              </w:rPr>
              <w:t>一月一次</w:t>
            </w:r>
          </w:p>
        </w:tc>
      </w:tr>
    </w:tbl>
    <w:p w14:paraId="76FBABCB" w14:textId="77777777" w:rsidR="00054437" w:rsidRPr="000549B1" w:rsidRDefault="00000000" w:rsidP="000549B1">
      <w:pPr>
        <w:pStyle w:val="zhang3"/>
        <w:numPr>
          <w:ilvl w:val="2"/>
          <w:numId w:val="9"/>
        </w:numPr>
        <w:spacing w:before="156" w:after="156"/>
      </w:pPr>
      <w:r w:rsidRPr="000549B1">
        <w:t>调查方法</w:t>
      </w:r>
    </w:p>
    <w:p w14:paraId="2C47C6AF" w14:textId="77777777" w:rsidR="00054437" w:rsidRPr="000549B1" w:rsidRDefault="00000000">
      <w:pPr>
        <w:pStyle w:val="x"/>
      </w:pPr>
      <w:r w:rsidRPr="000549B1">
        <w:t>水质监测应委托具有相应资质的单位完成；水生和陆生生态调査应委托具有相应技术实力的科研院所完成；社会环境调査与回访以收集当地民经济和社会发展的统计资料为主。</w:t>
      </w:r>
    </w:p>
    <w:p w14:paraId="43534515" w14:textId="77777777" w:rsidR="00054437" w:rsidRPr="000549B1" w:rsidRDefault="00000000" w:rsidP="000549B1">
      <w:pPr>
        <w:pStyle w:val="zhang3"/>
        <w:numPr>
          <w:ilvl w:val="2"/>
          <w:numId w:val="9"/>
        </w:numPr>
        <w:spacing w:before="156" w:after="156"/>
      </w:pPr>
      <w:r w:rsidRPr="000549B1">
        <w:t>评价重点</w:t>
      </w:r>
    </w:p>
    <w:p w14:paraId="5329A036" w14:textId="77777777" w:rsidR="00054437" w:rsidRPr="000549B1" w:rsidRDefault="00000000">
      <w:pPr>
        <w:pStyle w:val="x"/>
      </w:pPr>
      <w:r w:rsidRPr="000549B1">
        <w:t>规划环境影响跟踪评价是在规划实施后的一个阶段介入，其主要任务是对规划实施的环境影响进行评价，并对原环评报告书中减缓措施的有效性进行检验，同时，对后续发展规划的环境影响重新预测，并调整原减缓措施或提出新的减缓措施。规划环境影响的跟踪评价主要包括以下</w:t>
      </w:r>
      <w:r w:rsidRPr="000549B1">
        <w:t>5</w:t>
      </w:r>
      <w:r w:rsidRPr="000549B1">
        <w:t>个方面的内容：</w:t>
      </w:r>
    </w:p>
    <w:p w14:paraId="740C759D" w14:textId="77777777" w:rsidR="00054437" w:rsidRPr="000549B1" w:rsidRDefault="00000000">
      <w:pPr>
        <w:pStyle w:val="x"/>
      </w:pPr>
      <w:r w:rsidRPr="000549B1">
        <w:t>（</w:t>
      </w:r>
      <w:r w:rsidRPr="000549B1">
        <w:t>1</w:t>
      </w:r>
      <w:r w:rsidRPr="000549B1">
        <w:t>）规划实施影响评价：在资料收集和分析的基础上，通过对流域规划方案中设置的项目和规模，及目前在流域建设中已完成的项目和规模的对比，分析两者之间的差异，作出项目和规模是否符合原规划方案的判断，如存在不一致的情况，则要对这种变化情况进行分析，并说明这种变化对环境的影响。</w:t>
      </w:r>
    </w:p>
    <w:p w14:paraId="7A3E0F91" w14:textId="77777777" w:rsidR="00054437" w:rsidRPr="000549B1" w:rsidRDefault="00000000">
      <w:pPr>
        <w:pStyle w:val="x"/>
      </w:pPr>
      <w:r w:rsidRPr="000549B1">
        <w:t>（</w:t>
      </w:r>
      <w:r w:rsidRPr="000549B1">
        <w:t>2</w:t>
      </w:r>
      <w:r w:rsidRPr="000549B1">
        <w:t>）判定规划环境影响预测的准确性：在流域自然环境现状调杳和环境质量评价的基础上，对流域进行环境影响回顾性分析、评价，分别从水环境、生态环境、社会环境等角度对流域综合规划实施前后的环境现状进行对比分析，对环境影响预测结论进行验证。通过对环境要素监测数据的对比、验证，判断规划环评报告书环境影响预测的准确性，对验证结果及误差原因分析和讨论，依据验证结果找出与原预测不同之处，分析原因，并提出相应的补救措施或改进意见。</w:t>
      </w:r>
    </w:p>
    <w:p w14:paraId="17DF28F9" w14:textId="77777777" w:rsidR="00054437" w:rsidRPr="000549B1" w:rsidRDefault="00000000">
      <w:pPr>
        <w:pStyle w:val="x"/>
      </w:pPr>
      <w:r w:rsidRPr="000549B1">
        <w:t>（</w:t>
      </w:r>
      <w:r w:rsidRPr="000549B1">
        <w:t>3</w:t>
      </w:r>
      <w:r w:rsidRPr="000549B1">
        <w:t>）环保对策和措施的有效性分析、评估：规划环境影响报告书提出环境保护对策和措施是否行之有效，水资源保护、生态保护措施能否达到控制污染源、保护生态的目的，主要从两个方面进行评估。第一，原规划环评报告书中提出的减缓措施是否如期执行：第二，这些减缓措施是否起到了预期的作用。</w:t>
      </w:r>
    </w:p>
    <w:p w14:paraId="4104B08E" w14:textId="77777777" w:rsidR="00054437" w:rsidRPr="000549B1" w:rsidRDefault="00000000">
      <w:pPr>
        <w:pStyle w:val="x"/>
      </w:pPr>
      <w:r w:rsidRPr="000549B1">
        <w:t>（</w:t>
      </w:r>
      <w:r w:rsidRPr="000549B1">
        <w:t>4</w:t>
      </w:r>
      <w:r w:rsidRPr="000549B1">
        <w:t>）后续发展目标及方案的环境合理性分析：在流域环境现状影响回顾性分析、评价的基础上，根据对规划后续目标和方案的分析，确定后期规划方案进一步实施可能带来的主要环境影响，以及存在的环境制约因素：从环境角度论证后期规划的规模、布局、时序的合理性，以及規划实施环境保护目标的可达性。</w:t>
      </w:r>
    </w:p>
    <w:p w14:paraId="6B3770B3" w14:textId="77777777" w:rsidR="00054437" w:rsidRPr="000549B1" w:rsidRDefault="00000000">
      <w:pPr>
        <w:pStyle w:val="x"/>
      </w:pPr>
      <w:r w:rsidRPr="000549B1">
        <w:t>（</w:t>
      </w:r>
      <w:r w:rsidRPr="000549B1">
        <w:t>5</w:t>
      </w:r>
      <w:r w:rsidRPr="000549B1">
        <w:t>）公众参与：采用网络公示、报纸公示、现场公示等方法了解公众对规划实施后的看法及意见。公众参与的调査结果既可为跟踪评价补充验证依据，同时也是一种很好的环保宣传和教育</w:t>
      </w:r>
    </w:p>
    <w:p w14:paraId="77327387" w14:textId="77777777" w:rsidR="00054437" w:rsidRPr="000549B1" w:rsidRDefault="00000000" w:rsidP="000549B1">
      <w:pPr>
        <w:pStyle w:val="3"/>
        <w:numPr>
          <w:ilvl w:val="2"/>
          <w:numId w:val="9"/>
        </w:numPr>
      </w:pPr>
      <w:bookmarkStart w:id="465" w:name="_Toc216107084"/>
      <w:r w:rsidRPr="000549B1">
        <w:t>实施安排</w:t>
      </w:r>
      <w:bookmarkEnd w:id="465"/>
    </w:p>
    <w:p w14:paraId="3EF7F5A3" w14:textId="77777777" w:rsidR="00054437" w:rsidRPr="000549B1" w:rsidRDefault="00000000">
      <w:pPr>
        <w:pStyle w:val="x"/>
      </w:pPr>
      <w:r w:rsidRPr="000549B1">
        <w:t>（</w:t>
      </w:r>
      <w:r w:rsidRPr="000549B1">
        <w:t>1</w:t>
      </w:r>
      <w:r w:rsidRPr="000549B1">
        <w:t>）评价时段</w:t>
      </w:r>
    </w:p>
    <w:p w14:paraId="2A2B80D1" w14:textId="77777777" w:rsidR="00054437" w:rsidRPr="000549B1" w:rsidRDefault="00000000">
      <w:pPr>
        <w:pStyle w:val="x"/>
      </w:pPr>
      <w:r w:rsidRPr="000549B1">
        <w:t>在规划完全实施后的第</w:t>
      </w:r>
      <w:r w:rsidRPr="000549B1">
        <w:t>5</w:t>
      </w:r>
      <w:r w:rsidRPr="000549B1">
        <w:t>年进行一次系统的、全面的回顾评价。若规划发生重大调整，需重新进行评价。</w:t>
      </w:r>
    </w:p>
    <w:p w14:paraId="34BA588F" w14:textId="77777777" w:rsidR="00054437" w:rsidRPr="000549B1" w:rsidRDefault="00000000">
      <w:pPr>
        <w:pStyle w:val="x"/>
      </w:pPr>
      <w:r w:rsidRPr="000549B1">
        <w:t>（</w:t>
      </w:r>
      <w:r w:rsidRPr="000549B1">
        <w:t>2</w:t>
      </w:r>
      <w:r w:rsidRPr="000549B1">
        <w:t>）跟踪评价方法</w:t>
      </w:r>
    </w:p>
    <w:p w14:paraId="4FC8FEE1" w14:textId="77777777" w:rsidR="00054437" w:rsidRPr="000549B1" w:rsidRDefault="00000000">
      <w:pPr>
        <w:pStyle w:val="x"/>
      </w:pPr>
      <w:r w:rsidRPr="000549B1">
        <w:t>根据确定的跟踪环境影响评价对象，并兼顾跟踪验证性评价要求，拟采用的跟踪评价方法为：从社会经济与环境保护协调发展的角度进行系统评价。将规划区对环境所造成的实际影响与预测的影响进行比较，对结果进行分析、评价，找出其变化的原因。在此基础上，对规划环境影响评价效果进行跟踪评价，以确保规划环境目标的实现。针对确定的主要跟踪对象，生态环境状况及水环境质量作为区域环境主要考核指标，并将这些指标体现在各具体项目的环境影响评价过程中。</w:t>
      </w:r>
    </w:p>
    <w:p w14:paraId="41BDB085" w14:textId="77777777" w:rsidR="00054437" w:rsidRPr="000549B1" w:rsidRDefault="00000000">
      <w:pPr>
        <w:pStyle w:val="x"/>
      </w:pPr>
      <w:r w:rsidRPr="000549B1">
        <w:t>（</w:t>
      </w:r>
      <w:r w:rsidRPr="000549B1">
        <w:t>3</w:t>
      </w:r>
      <w:r w:rsidRPr="000549B1">
        <w:t>）跟踪评价内容</w:t>
      </w:r>
    </w:p>
    <w:p w14:paraId="78FF2183" w14:textId="77777777" w:rsidR="00054437" w:rsidRPr="000549B1" w:rsidRDefault="00000000">
      <w:pPr>
        <w:pStyle w:val="x"/>
      </w:pPr>
      <w:r w:rsidRPr="000549B1">
        <w:t>规划环境影响跟踪评价是在规划实施后的一个阶段介入，其主要任务是对规划实施的环境影响进行评价，并对原环评报告书中减缓措施的有效性进行检验，同时，对后续发展规划的环境影响重新预测，并调整原减缓措施或提出新的减缓措施。规划环境影响的跟踪评价主要包括以下</w:t>
      </w:r>
      <w:r w:rsidRPr="000549B1">
        <w:t>5</w:t>
      </w:r>
      <w:r w:rsidRPr="000549B1">
        <w:t>个方面的内容：</w:t>
      </w:r>
    </w:p>
    <w:p w14:paraId="455DC8BD" w14:textId="77777777" w:rsidR="00054437" w:rsidRPr="000549B1" w:rsidRDefault="00000000">
      <w:pPr>
        <w:pStyle w:val="x"/>
      </w:pPr>
      <w:r w:rsidRPr="000549B1">
        <w:rPr>
          <w:rFonts w:ascii="宋体" w:hAnsi="宋体" w:cs="宋体" w:hint="eastAsia"/>
        </w:rPr>
        <w:t>①</w:t>
      </w:r>
      <w:r w:rsidRPr="000549B1">
        <w:t>规划实施回顾评价：在资料收集和分析的基础上，通过对规划方案中设置的项目和规模，以及流域建设中已完成的项目和规模的对比，分析两者之间的差异，作出项目和规模是否符合原规划方案的判断，如存在不一致的情况，则要对这种变化情况进行分析，并说明这种变化对环境的影响。</w:t>
      </w:r>
    </w:p>
    <w:p w14:paraId="58FF0F40" w14:textId="77777777" w:rsidR="00054437" w:rsidRPr="000549B1" w:rsidRDefault="00000000">
      <w:pPr>
        <w:pStyle w:val="x"/>
      </w:pPr>
      <w:r w:rsidRPr="000549B1">
        <w:rPr>
          <w:rFonts w:ascii="宋体" w:hAnsi="宋体" w:cs="宋体" w:hint="eastAsia"/>
        </w:rPr>
        <w:t>②</w:t>
      </w:r>
      <w:r w:rsidRPr="000549B1">
        <w:t>判定规划环境影响预测的准确性：在流域自然环境现状调查和环境质量评价的基础上，对流域进行环境影响回顾性分析、评价，别从水环境、生态环境，社会环境等角度对流域综合规划实施前后的环境现状进行对比分析，对环境影响预测结论进行验证。通过对环境要素监测数据的对比、验证，判断规划环评报告书环境影响预测的准确性，对验证结果及误差原因分析和讨论，依据验证结果找出与原预测不同之处，分析原因，并提出相应的补救措施或改进意见。</w:t>
      </w:r>
    </w:p>
    <w:p w14:paraId="27BA7354" w14:textId="77777777" w:rsidR="00054437" w:rsidRPr="000549B1" w:rsidRDefault="00000000">
      <w:pPr>
        <w:pStyle w:val="x"/>
      </w:pPr>
      <w:r w:rsidRPr="000549B1">
        <w:rPr>
          <w:rFonts w:ascii="宋体" w:hAnsi="宋体" w:cs="宋体" w:hint="eastAsia"/>
        </w:rPr>
        <w:t>③</w:t>
      </w:r>
      <w:r w:rsidRPr="000549B1">
        <w:t>环保对策和措施的有效性分析、评估：规划环境影响报告书提出的环境保护对策和措施是否行之有效，水资源保护、生态保护措施能否达到控制污染源、保护生态的目的，主要从两个方面进行评估。第一，原规划环评报告书中提出的减缓措施是否如期执行；第二，这些减缓措施是否起到了预期的作用。</w:t>
      </w:r>
    </w:p>
    <w:p w14:paraId="35D0DEA0" w14:textId="77777777" w:rsidR="00054437" w:rsidRPr="000549B1" w:rsidRDefault="00000000">
      <w:pPr>
        <w:pStyle w:val="x"/>
      </w:pPr>
      <w:r w:rsidRPr="000549B1">
        <w:rPr>
          <w:rFonts w:ascii="宋体" w:hAnsi="宋体" w:cs="宋体" w:hint="eastAsia"/>
        </w:rPr>
        <w:t>④</w:t>
      </w:r>
      <w:r w:rsidRPr="000549B1">
        <w:t>后续发展目标及方案的环境合理性分析：在流域环境现状影响回顾性分析、评价的基础上，根据对规划后续目标和方案的分析，确定后期规划方案进一步实施可能带来的主要环境影响，以及存在的环境制约因素；从环境角度论证后期规划的规模、布局、时序的合理性，以及规划实施环境保护目标的可达性。</w:t>
      </w:r>
    </w:p>
    <w:p w14:paraId="2DFC3D63" w14:textId="77777777" w:rsidR="00054437" w:rsidRPr="000549B1" w:rsidRDefault="00000000">
      <w:pPr>
        <w:pStyle w:val="x"/>
      </w:pPr>
      <w:r w:rsidRPr="000549B1">
        <w:rPr>
          <w:rFonts w:ascii="宋体" w:hAnsi="宋体" w:cs="宋体" w:hint="eastAsia"/>
        </w:rPr>
        <w:t>⑤</w:t>
      </w:r>
      <w:r w:rsidRPr="000549B1">
        <w:t>公众参与：可选择采用问卷调查、座谈会等方法了解公众对规划实施后的看法及意见。公众参与的调查结果既可为跟踪评价补充验证依据，同时也是一种很好的环保宣传和教育。</w:t>
      </w:r>
    </w:p>
    <w:p w14:paraId="3F3E2DE7" w14:textId="77777777" w:rsidR="00054437" w:rsidRPr="000549B1" w:rsidRDefault="00000000" w:rsidP="000549B1">
      <w:pPr>
        <w:pStyle w:val="2"/>
        <w:numPr>
          <w:ilvl w:val="1"/>
          <w:numId w:val="9"/>
        </w:numPr>
        <w:rPr>
          <w:rFonts w:ascii="Times New Roman" w:hAnsi="Times New Roman"/>
        </w:rPr>
      </w:pPr>
      <w:bookmarkStart w:id="466" w:name="_Toc216107085"/>
      <w:r w:rsidRPr="000549B1">
        <w:rPr>
          <w:rFonts w:ascii="Times New Roman" w:hAnsi="Times New Roman"/>
        </w:rPr>
        <w:t>规划具体建设项目的环境影响评价要求</w:t>
      </w:r>
      <w:bookmarkEnd w:id="466"/>
    </w:p>
    <w:p w14:paraId="2B650149" w14:textId="77777777" w:rsidR="00890477" w:rsidRPr="000549B1" w:rsidRDefault="00890477" w:rsidP="00890477">
      <w:pPr>
        <w:pStyle w:val="x"/>
      </w:pPr>
      <w:r w:rsidRPr="000549B1">
        <w:rPr>
          <w:rFonts w:hint="eastAsia"/>
        </w:rPr>
        <w:t>流域综合规划的重大工程即“三滩”引水生态综合治理一期工程。为了更好的保护流域段生态环境，实现其可持续发展，对三滩引水生态综合治理一期工程下阶段项目环评提出以下要求：</w:t>
      </w:r>
    </w:p>
    <w:p w14:paraId="5CEF13E0" w14:textId="77777777" w:rsidR="00890477" w:rsidRPr="000549B1" w:rsidRDefault="00890477" w:rsidP="00890477">
      <w:pPr>
        <w:pStyle w:val="x"/>
      </w:pPr>
      <w:r w:rsidRPr="000549B1">
        <w:rPr>
          <w:rFonts w:hint="eastAsia"/>
        </w:rPr>
        <w:t>（</w:t>
      </w:r>
      <w:r w:rsidRPr="000549B1">
        <w:rPr>
          <w:rFonts w:hint="eastAsia"/>
        </w:rPr>
        <w:t>1</w:t>
      </w:r>
      <w:r w:rsidRPr="000549B1">
        <w:rPr>
          <w:rFonts w:hint="eastAsia"/>
        </w:rPr>
        <w:t>）项目环评应符合规划环评结论和审查意见，重点评价项目建设对水环境、水生态、生态环境风险等环境影响的途径、范围和程度，严格环境准入要求，落实规划提出的水污染防治措施和生态环境保护措施。</w:t>
      </w:r>
    </w:p>
    <w:p w14:paraId="5ADA67B8" w14:textId="77777777" w:rsidR="00890477" w:rsidRPr="000549B1" w:rsidRDefault="00890477" w:rsidP="00890477">
      <w:pPr>
        <w:pStyle w:val="x"/>
      </w:pPr>
      <w:r w:rsidRPr="000549B1">
        <w:rPr>
          <w:rFonts w:hint="eastAsia"/>
        </w:rPr>
        <w:t>（</w:t>
      </w:r>
      <w:r w:rsidRPr="000549B1">
        <w:rPr>
          <w:rFonts w:hint="eastAsia"/>
        </w:rPr>
        <w:t>2</w:t>
      </w:r>
      <w:r w:rsidRPr="000549B1">
        <w:rPr>
          <w:rFonts w:hint="eastAsia"/>
        </w:rPr>
        <w:t>）在项目环评阶段，结合水库运行调度方案，深化初期蓄水期及运行期水文情势、水生态影响分析，重点关注对坝下和引水工程下游减水段的影响；建设单位应根据规划环评要求提出有效稳妥的解决方案，并予以全面落实。</w:t>
      </w:r>
    </w:p>
    <w:p w14:paraId="07C9D48A" w14:textId="77777777" w:rsidR="00890477" w:rsidRPr="000549B1" w:rsidRDefault="00890477" w:rsidP="00890477">
      <w:pPr>
        <w:pStyle w:val="x"/>
      </w:pPr>
      <w:r w:rsidRPr="000549B1">
        <w:rPr>
          <w:rFonts w:hint="eastAsia"/>
        </w:rPr>
        <w:t>（</w:t>
      </w:r>
      <w:r w:rsidRPr="000549B1">
        <w:rPr>
          <w:rFonts w:hint="eastAsia"/>
        </w:rPr>
        <w:t>3</w:t>
      </w:r>
      <w:r w:rsidRPr="000549B1">
        <w:rPr>
          <w:rFonts w:hint="eastAsia"/>
        </w:rPr>
        <w:t>）应进一步优化施工布置，减少施工占地，加强工程占地对动植物的影响分析，并提出针对性的保护和恢复措施；明确项目生态保护对策措施的设计、建设、运行以及生态调度工作要求。</w:t>
      </w:r>
    </w:p>
    <w:p w14:paraId="44E92BF8" w14:textId="368EB8DF" w:rsidR="00054437" w:rsidRPr="000549B1" w:rsidRDefault="00890477" w:rsidP="00890477">
      <w:pPr>
        <w:pStyle w:val="x"/>
        <w:sectPr w:rsidR="00054437" w:rsidRPr="000549B1">
          <w:headerReference w:type="default" r:id="rId293"/>
          <w:pgSz w:w="11906" w:h="16838"/>
          <w:pgMar w:top="1440" w:right="1800" w:bottom="1440" w:left="1800" w:header="851" w:footer="992" w:gutter="0"/>
          <w:cols w:space="425"/>
          <w:docGrid w:type="lines" w:linePitch="312"/>
        </w:sectPr>
      </w:pPr>
      <w:r w:rsidRPr="000549B1">
        <w:rPr>
          <w:rFonts w:hint="eastAsia"/>
        </w:rPr>
        <w:t>（</w:t>
      </w:r>
      <w:r w:rsidRPr="000549B1">
        <w:rPr>
          <w:rFonts w:hint="eastAsia"/>
        </w:rPr>
        <w:t>4</w:t>
      </w:r>
      <w:r w:rsidRPr="000549B1">
        <w:rPr>
          <w:rFonts w:hint="eastAsia"/>
        </w:rPr>
        <w:t>）项目环评阶段，可适当简化规划符合性分析等内容</w:t>
      </w:r>
      <w:r w:rsidRPr="000549B1">
        <w:t>。</w:t>
      </w:r>
    </w:p>
    <w:p w14:paraId="2BCCE280" w14:textId="4E57184C" w:rsidR="00054437" w:rsidRPr="000549B1" w:rsidRDefault="00000000">
      <w:pPr>
        <w:pStyle w:val="1"/>
        <w:numPr>
          <w:ilvl w:val="0"/>
          <w:numId w:val="9"/>
        </w:numPr>
      </w:pPr>
      <w:bookmarkStart w:id="467" w:name="_Toc216107086"/>
      <w:bookmarkStart w:id="468" w:name="_Hlk216033972"/>
      <w:bookmarkEnd w:id="1"/>
      <w:r w:rsidRPr="000549B1">
        <w:rPr>
          <w:rFonts w:hint="eastAsia"/>
        </w:rPr>
        <w:t>评价结论</w:t>
      </w:r>
      <w:bookmarkEnd w:id="467"/>
    </w:p>
    <w:p w14:paraId="0EEA393A" w14:textId="61984992" w:rsidR="00054437" w:rsidRPr="000549B1" w:rsidRDefault="00000000" w:rsidP="000549B1">
      <w:pPr>
        <w:widowControl/>
        <w:spacing w:line="360" w:lineRule="auto"/>
        <w:ind w:firstLineChars="200" w:firstLine="480"/>
        <w:jc w:val="left"/>
        <w:rPr>
          <w:kern w:val="0"/>
          <w:sz w:val="24"/>
          <w:szCs w:val="20"/>
        </w:rPr>
      </w:pPr>
      <w:r w:rsidRPr="000549B1">
        <w:rPr>
          <w:rFonts w:hint="eastAsia"/>
          <w:kern w:val="0"/>
          <w:sz w:val="24"/>
          <w:szCs w:val="20"/>
        </w:rPr>
        <w:t>沙珠玉河流域综合规划修编与相关法律法规要求、产业政策导向基本相符，并与相关宏观发展规划和专业规划基本协调。规划工程的实施，可产生较好的经济效益、社会效益。规划项目的实施同时也将会对环境产生一些不利影响，但这些影响可通过措施予以减免或改善，没有重大的环境制约因素，从环境保护的角度看，规划方案是合理可行的。</w:t>
      </w:r>
    </w:p>
    <w:p w14:paraId="09E16DD0" w14:textId="7E4C052E" w:rsidR="00054437" w:rsidRPr="000549B1" w:rsidRDefault="00000000" w:rsidP="000549B1">
      <w:pPr>
        <w:widowControl/>
        <w:spacing w:line="360" w:lineRule="auto"/>
        <w:ind w:firstLineChars="200" w:firstLine="480"/>
        <w:jc w:val="left"/>
        <w:rPr>
          <w:kern w:val="0"/>
          <w:sz w:val="24"/>
          <w:szCs w:val="20"/>
        </w:rPr>
      </w:pPr>
      <w:r w:rsidRPr="000549B1">
        <w:rPr>
          <w:rFonts w:hint="eastAsia"/>
          <w:kern w:val="0"/>
          <w:sz w:val="24"/>
          <w:szCs w:val="20"/>
        </w:rPr>
        <w:t>在规划项目具体实施时，必须严格按照环境影响评价法和建设项目管理的规定，进行建设项目的环境影响评价，进一步论证项目的环境可行性，提出项目实施具有可操作性的环境保护措施，将规划实施产生的不利影响减小到最低。</w:t>
      </w:r>
      <w:bookmarkEnd w:id="468"/>
    </w:p>
    <w:sectPr w:rsidR="00054437" w:rsidRPr="000549B1">
      <w:footerReference w:type="even" r:id="rId294"/>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EC3751" w14:textId="77777777" w:rsidR="00E11F19" w:rsidRDefault="00E11F19">
      <w:r>
        <w:separator/>
      </w:r>
    </w:p>
  </w:endnote>
  <w:endnote w:type="continuationSeparator" w:id="0">
    <w:p w14:paraId="3552E256" w14:textId="77777777" w:rsidR="00E11F19" w:rsidRDefault="00E11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modern"/>
    <w:pitch w:val="default"/>
    <w:sig w:usb0="00000000" w:usb1="00000000" w:usb2="00000000" w:usb3="00000000" w:csb0="00040000" w:csb1="00000000"/>
  </w:font>
  <w:font w:name="Calibri">
    <w:panose1 w:val="020F0502020204030204"/>
    <w:charset w:val="00"/>
    <w:family w:val="swiss"/>
    <w:pitch w:val="variable"/>
    <w:sig w:usb0="E4002EFF" w:usb1="C200247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0" w:usb1="00000000" w:usb2="00000000" w:usb3="00000000" w:csb0="00040000" w:csb1="00000000"/>
  </w:font>
  <w:font w:name="方正仿宋简体">
    <w:altName w:val="微软雅黑"/>
    <w:charset w:val="86"/>
    <w:family w:val="script"/>
    <w:pitch w:val="default"/>
    <w:sig w:usb0="00000000" w:usb1="00000000" w:usb2="00000010" w:usb3="00000000" w:csb0="00040000" w:csb1="00000000"/>
  </w:font>
  <w:font w:name="方正书宋简体">
    <w:altName w:val="微软雅黑"/>
    <w:charset w:val="86"/>
    <w:family w:val="script"/>
    <w:pitch w:val="default"/>
    <w:sig w:usb0="00000000" w:usb1="00000000" w:usb2="00000010" w:usb3="00000000" w:csb0="00040000" w:csb1="00000000"/>
  </w:font>
  <w:font w:name="方正小标宋简体">
    <w:altName w:val="黑体"/>
    <w:charset w:val="86"/>
    <w:family w:val="script"/>
    <w:pitch w:val="default"/>
    <w:sig w:usb0="00000000" w:usb1="00000000" w:usb2="00000000" w:usb3="00000000" w:csb0="00040000" w:csb1="00000000"/>
  </w:font>
  <w:font w:name="楷体">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B989A" w14:textId="77777777" w:rsidR="00054437" w:rsidRDefault="00000000">
    <w:pPr>
      <w:pStyle w:val="af6"/>
      <w:jc w:val="center"/>
    </w:pPr>
    <w:r>
      <w:fldChar w:fldCharType="begin"/>
    </w:r>
    <w:r>
      <w:instrText>PAGE   \* MERGEFORMAT</w:instrText>
    </w:r>
    <w:r>
      <w:fldChar w:fldCharType="separate"/>
    </w:r>
    <w:r>
      <w:rPr>
        <w:lang w:val="zh-CN"/>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7860685"/>
    </w:sdtPr>
    <w:sdtContent>
      <w:p w14:paraId="7B64EB6E" w14:textId="77777777" w:rsidR="00054437" w:rsidRDefault="00000000">
        <w:pPr>
          <w:jc w:val="center"/>
        </w:pPr>
        <w:r>
          <w:fldChar w:fldCharType="begin"/>
        </w:r>
        <w:r>
          <w:instrText>PAGE   \* MERGEFORMAT</w:instrText>
        </w:r>
        <w:r>
          <w:fldChar w:fldCharType="separate"/>
        </w:r>
        <w:r>
          <w:t>216</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465936"/>
    </w:sdtPr>
    <w:sdtEndPr>
      <w:rPr>
        <w:sz w:val="21"/>
        <w:szCs w:val="21"/>
      </w:rPr>
    </w:sdtEndPr>
    <w:sdtContent>
      <w:p w14:paraId="757E8EF0" w14:textId="77777777" w:rsidR="00054437" w:rsidRDefault="00000000">
        <w:pPr>
          <w:pStyle w:val="af6"/>
          <w:jc w:val="center"/>
          <w:rPr>
            <w:sz w:val="21"/>
            <w:szCs w:val="21"/>
          </w:rPr>
        </w:pPr>
        <w:r>
          <w:rPr>
            <w:sz w:val="21"/>
            <w:szCs w:val="21"/>
          </w:rPr>
          <w:fldChar w:fldCharType="begin"/>
        </w:r>
        <w:r>
          <w:rPr>
            <w:sz w:val="21"/>
            <w:szCs w:val="21"/>
          </w:rPr>
          <w:instrText>PAGE   \* MERGEFORMAT</w:instrText>
        </w:r>
        <w:r>
          <w:rPr>
            <w:sz w:val="21"/>
            <w:szCs w:val="21"/>
          </w:rPr>
          <w:fldChar w:fldCharType="separate"/>
        </w:r>
        <w:r>
          <w:rPr>
            <w:sz w:val="21"/>
            <w:szCs w:val="21"/>
            <w:lang w:val="zh-CN"/>
          </w:rPr>
          <w:t>25</w:t>
        </w:r>
        <w:r>
          <w:rPr>
            <w:sz w:val="21"/>
            <w:szCs w:val="21"/>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456555"/>
    </w:sdtPr>
    <w:sdtEndPr>
      <w:rPr>
        <w:sz w:val="21"/>
        <w:szCs w:val="21"/>
      </w:rPr>
    </w:sdtEndPr>
    <w:sdtContent>
      <w:p w14:paraId="31CBFDCA" w14:textId="77777777" w:rsidR="00054437" w:rsidRDefault="00000000">
        <w:pPr>
          <w:pStyle w:val="af6"/>
          <w:jc w:val="center"/>
          <w:rPr>
            <w:sz w:val="21"/>
            <w:szCs w:val="21"/>
          </w:rPr>
        </w:pPr>
        <w:r>
          <w:rPr>
            <w:sz w:val="21"/>
            <w:szCs w:val="21"/>
          </w:rPr>
          <w:fldChar w:fldCharType="begin"/>
        </w:r>
        <w:r>
          <w:rPr>
            <w:sz w:val="21"/>
            <w:szCs w:val="21"/>
          </w:rPr>
          <w:instrText>PAGE   \* MERGEFORMAT</w:instrText>
        </w:r>
        <w:r>
          <w:rPr>
            <w:sz w:val="21"/>
            <w:szCs w:val="21"/>
          </w:rPr>
          <w:fldChar w:fldCharType="separate"/>
        </w:r>
        <w:r>
          <w:rPr>
            <w:sz w:val="21"/>
            <w:szCs w:val="21"/>
            <w:lang w:val="zh-CN"/>
          </w:rPr>
          <w:t>2</w:t>
        </w:r>
        <w:r>
          <w:rPr>
            <w:sz w:val="21"/>
            <w:szCs w:val="21"/>
          </w:rPr>
          <w:fldChar w:fldCharType="end"/>
        </w:r>
      </w:p>
    </w:sdtContent>
  </w:sdt>
  <w:p w14:paraId="79D40273" w14:textId="77777777" w:rsidR="00054437" w:rsidRDefault="00054437">
    <w:pPr>
      <w:pStyle w:val="af6"/>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5380879"/>
    </w:sdtPr>
    <w:sdtEndPr>
      <w:rPr>
        <w:sz w:val="21"/>
        <w:szCs w:val="21"/>
      </w:rPr>
    </w:sdtEndPr>
    <w:sdtContent>
      <w:p w14:paraId="600DD3CF" w14:textId="77777777" w:rsidR="00054437" w:rsidRDefault="00000000">
        <w:pPr>
          <w:pStyle w:val="af6"/>
          <w:jc w:val="center"/>
          <w:rPr>
            <w:sz w:val="21"/>
            <w:szCs w:val="21"/>
          </w:rPr>
        </w:pPr>
        <w:r>
          <w:rPr>
            <w:sz w:val="21"/>
            <w:szCs w:val="21"/>
          </w:rPr>
          <w:fldChar w:fldCharType="begin"/>
        </w:r>
        <w:r>
          <w:rPr>
            <w:sz w:val="21"/>
            <w:szCs w:val="21"/>
          </w:rPr>
          <w:instrText>PAGE   \* MERGEFORMAT</w:instrText>
        </w:r>
        <w:r>
          <w:rPr>
            <w:sz w:val="21"/>
            <w:szCs w:val="21"/>
          </w:rPr>
          <w:fldChar w:fldCharType="separate"/>
        </w:r>
        <w:r>
          <w:rPr>
            <w:sz w:val="21"/>
            <w:szCs w:val="21"/>
            <w:lang w:val="zh-CN"/>
          </w:rPr>
          <w:t>2</w:t>
        </w:r>
        <w:r>
          <w:rPr>
            <w:sz w:val="21"/>
            <w:szCs w:val="21"/>
          </w:rPr>
          <w:fldChar w:fldCharType="end"/>
        </w:r>
      </w:p>
    </w:sdtContent>
  </w:sdt>
  <w:p w14:paraId="0D838C1C" w14:textId="77777777" w:rsidR="00054437" w:rsidRDefault="00054437">
    <w:pPr>
      <w:pStyle w:val="af6"/>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C93E1" w14:textId="77777777" w:rsidR="00054437" w:rsidRDefault="00000000">
    <w:pPr>
      <w:pStyle w:val="af6"/>
      <w:framePr w:wrap="around" w:vAnchor="text" w:hAnchor="margin" w:xAlign="right" w:y="1"/>
      <w:rPr>
        <w:rStyle w:val="aff1"/>
      </w:rPr>
    </w:pPr>
    <w:r>
      <w:fldChar w:fldCharType="begin"/>
    </w:r>
    <w:r>
      <w:rPr>
        <w:rStyle w:val="aff1"/>
      </w:rPr>
      <w:instrText xml:space="preserve">PAGE  </w:instrText>
    </w:r>
    <w:r>
      <w:fldChar w:fldCharType="separate"/>
    </w:r>
    <w:r>
      <w:rPr>
        <w:rStyle w:val="aff1"/>
      </w:rPr>
      <w:t>84</w:t>
    </w:r>
    <w:r>
      <w:fldChar w:fldCharType="end"/>
    </w:r>
  </w:p>
  <w:p w14:paraId="07C1E241" w14:textId="77777777" w:rsidR="00054437" w:rsidRDefault="00054437">
    <w:pPr>
      <w:pStyle w:val="af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C74D0" w14:textId="77777777" w:rsidR="00E11F19" w:rsidRDefault="00E11F19">
      <w:r>
        <w:separator/>
      </w:r>
    </w:p>
  </w:footnote>
  <w:footnote w:type="continuationSeparator" w:id="0">
    <w:p w14:paraId="7C92C06A" w14:textId="77777777" w:rsidR="00E11F19" w:rsidRDefault="00E11F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A367D" w14:textId="77777777" w:rsidR="00054437" w:rsidRDefault="00054437">
    <w:pPr>
      <w:pStyle w:val="af8"/>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A27A5" w14:textId="77777777" w:rsidR="00054437" w:rsidRDefault="00000000">
    <w:pPr>
      <w:pStyle w:val="af8"/>
    </w:pPr>
    <w:bookmarkStart w:id="177" w:name="_Hlk214988536"/>
    <w:bookmarkStart w:id="178" w:name="_Hlk214988535"/>
    <w:r>
      <w:rPr>
        <w:rFonts w:hint="eastAsia"/>
      </w:rPr>
      <w:t>青海省海南州沙珠玉河</w:t>
    </w:r>
    <w:r>
      <w:t>流域综合规划环境影响</w:t>
    </w:r>
    <w:r>
      <w:rPr>
        <w:rFonts w:hint="eastAsia"/>
      </w:rPr>
      <w:t>报告书</w:t>
    </w:r>
    <w:bookmarkEnd w:id="177"/>
    <w:bookmarkEnd w:id="178"/>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D5F3E" w14:textId="77777777" w:rsidR="00054437" w:rsidRDefault="00054437">
    <w:pPr>
      <w:ind w:left="4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CC20226"/>
    <w:multiLevelType w:val="singleLevel"/>
    <w:tmpl w:val="8CC20226"/>
    <w:lvl w:ilvl="0">
      <w:start w:val="1"/>
      <w:numFmt w:val="decimalEnclosedCircleChinese"/>
      <w:suff w:val="space"/>
      <w:lvlText w:val="%1"/>
      <w:lvlJc w:val="left"/>
      <w:rPr>
        <w:rFonts w:hint="eastAsia"/>
      </w:rPr>
    </w:lvl>
  </w:abstractNum>
  <w:abstractNum w:abstractNumId="1" w15:restartNumberingAfterBreak="0">
    <w:nsid w:val="ACB472FC"/>
    <w:multiLevelType w:val="singleLevel"/>
    <w:tmpl w:val="ACB472FC"/>
    <w:lvl w:ilvl="0">
      <w:start w:val="1"/>
      <w:numFmt w:val="decimal"/>
      <w:suff w:val="nothing"/>
      <w:lvlText w:val="%1）"/>
      <w:lvlJc w:val="left"/>
    </w:lvl>
  </w:abstractNum>
  <w:abstractNum w:abstractNumId="2" w15:restartNumberingAfterBreak="0">
    <w:nsid w:val="016522CE"/>
    <w:multiLevelType w:val="hybridMultilevel"/>
    <w:tmpl w:val="5C0CACF4"/>
    <w:lvl w:ilvl="0" w:tplc="9292669E">
      <w:start w:val="1"/>
      <w:numFmt w:val="decimalEnclosedCircle"/>
      <w:lvlText w:val="%1"/>
      <w:lvlJc w:val="left"/>
      <w:pPr>
        <w:ind w:left="842" w:hanging="360"/>
      </w:pPr>
      <w:rPr>
        <w:rFonts w:hint="default"/>
      </w:rPr>
    </w:lvl>
    <w:lvl w:ilvl="1" w:tplc="04090019" w:tentative="1">
      <w:start w:val="1"/>
      <w:numFmt w:val="lowerLetter"/>
      <w:lvlText w:val="%2)"/>
      <w:lvlJc w:val="left"/>
      <w:pPr>
        <w:ind w:left="1362" w:hanging="440"/>
      </w:pPr>
    </w:lvl>
    <w:lvl w:ilvl="2" w:tplc="0409001B" w:tentative="1">
      <w:start w:val="1"/>
      <w:numFmt w:val="lowerRoman"/>
      <w:lvlText w:val="%3."/>
      <w:lvlJc w:val="right"/>
      <w:pPr>
        <w:ind w:left="1802" w:hanging="440"/>
      </w:pPr>
    </w:lvl>
    <w:lvl w:ilvl="3" w:tplc="0409000F" w:tentative="1">
      <w:start w:val="1"/>
      <w:numFmt w:val="decimal"/>
      <w:lvlText w:val="%4."/>
      <w:lvlJc w:val="left"/>
      <w:pPr>
        <w:ind w:left="2242" w:hanging="440"/>
      </w:pPr>
    </w:lvl>
    <w:lvl w:ilvl="4" w:tplc="04090019" w:tentative="1">
      <w:start w:val="1"/>
      <w:numFmt w:val="lowerLetter"/>
      <w:lvlText w:val="%5)"/>
      <w:lvlJc w:val="left"/>
      <w:pPr>
        <w:ind w:left="2682" w:hanging="440"/>
      </w:pPr>
    </w:lvl>
    <w:lvl w:ilvl="5" w:tplc="0409001B" w:tentative="1">
      <w:start w:val="1"/>
      <w:numFmt w:val="lowerRoman"/>
      <w:lvlText w:val="%6."/>
      <w:lvlJc w:val="right"/>
      <w:pPr>
        <w:ind w:left="3122" w:hanging="440"/>
      </w:pPr>
    </w:lvl>
    <w:lvl w:ilvl="6" w:tplc="0409000F" w:tentative="1">
      <w:start w:val="1"/>
      <w:numFmt w:val="decimal"/>
      <w:lvlText w:val="%7."/>
      <w:lvlJc w:val="left"/>
      <w:pPr>
        <w:ind w:left="3562" w:hanging="440"/>
      </w:pPr>
    </w:lvl>
    <w:lvl w:ilvl="7" w:tplc="04090019" w:tentative="1">
      <w:start w:val="1"/>
      <w:numFmt w:val="lowerLetter"/>
      <w:lvlText w:val="%8)"/>
      <w:lvlJc w:val="left"/>
      <w:pPr>
        <w:ind w:left="4002" w:hanging="440"/>
      </w:pPr>
    </w:lvl>
    <w:lvl w:ilvl="8" w:tplc="0409001B" w:tentative="1">
      <w:start w:val="1"/>
      <w:numFmt w:val="lowerRoman"/>
      <w:lvlText w:val="%9."/>
      <w:lvlJc w:val="right"/>
      <w:pPr>
        <w:ind w:left="4442" w:hanging="440"/>
      </w:pPr>
    </w:lvl>
  </w:abstractNum>
  <w:abstractNum w:abstractNumId="3" w15:restartNumberingAfterBreak="0">
    <w:nsid w:val="07655E11"/>
    <w:multiLevelType w:val="multilevel"/>
    <w:tmpl w:val="07655E11"/>
    <w:lvl w:ilvl="0">
      <w:start w:val="1"/>
      <w:numFmt w:val="decimal"/>
      <w:lvlText w:val="（%1）"/>
      <w:lvlJc w:val="left"/>
      <w:pPr>
        <w:ind w:left="1202" w:hanging="720"/>
      </w:pPr>
      <w:rPr>
        <w:rFonts w:hint="default"/>
      </w:rPr>
    </w:lvl>
    <w:lvl w:ilvl="1">
      <w:start w:val="1"/>
      <w:numFmt w:val="lowerLetter"/>
      <w:lvlText w:val="%2)"/>
      <w:lvlJc w:val="left"/>
      <w:pPr>
        <w:ind w:left="1362" w:hanging="440"/>
      </w:pPr>
    </w:lvl>
    <w:lvl w:ilvl="2">
      <w:start w:val="1"/>
      <w:numFmt w:val="lowerRoman"/>
      <w:lvlText w:val="%3."/>
      <w:lvlJc w:val="right"/>
      <w:pPr>
        <w:ind w:left="1802" w:hanging="440"/>
      </w:pPr>
    </w:lvl>
    <w:lvl w:ilvl="3">
      <w:start w:val="1"/>
      <w:numFmt w:val="decimal"/>
      <w:lvlText w:val="%4."/>
      <w:lvlJc w:val="left"/>
      <w:pPr>
        <w:ind w:left="2242" w:hanging="440"/>
      </w:pPr>
    </w:lvl>
    <w:lvl w:ilvl="4">
      <w:start w:val="1"/>
      <w:numFmt w:val="lowerLetter"/>
      <w:lvlText w:val="%5)"/>
      <w:lvlJc w:val="left"/>
      <w:pPr>
        <w:ind w:left="2682" w:hanging="440"/>
      </w:pPr>
    </w:lvl>
    <w:lvl w:ilvl="5">
      <w:start w:val="1"/>
      <w:numFmt w:val="lowerRoman"/>
      <w:lvlText w:val="%6."/>
      <w:lvlJc w:val="right"/>
      <w:pPr>
        <w:ind w:left="3122" w:hanging="440"/>
      </w:pPr>
    </w:lvl>
    <w:lvl w:ilvl="6">
      <w:start w:val="1"/>
      <w:numFmt w:val="decimal"/>
      <w:lvlText w:val="%7."/>
      <w:lvlJc w:val="left"/>
      <w:pPr>
        <w:ind w:left="3562" w:hanging="440"/>
      </w:pPr>
    </w:lvl>
    <w:lvl w:ilvl="7">
      <w:start w:val="1"/>
      <w:numFmt w:val="lowerLetter"/>
      <w:lvlText w:val="%8)"/>
      <w:lvlJc w:val="left"/>
      <w:pPr>
        <w:ind w:left="4002" w:hanging="440"/>
      </w:pPr>
    </w:lvl>
    <w:lvl w:ilvl="8">
      <w:start w:val="1"/>
      <w:numFmt w:val="lowerRoman"/>
      <w:lvlText w:val="%9."/>
      <w:lvlJc w:val="right"/>
      <w:pPr>
        <w:ind w:left="4442" w:hanging="440"/>
      </w:pPr>
    </w:lvl>
  </w:abstractNum>
  <w:abstractNum w:abstractNumId="4" w15:restartNumberingAfterBreak="0">
    <w:nsid w:val="0F2240AB"/>
    <w:multiLevelType w:val="multilevel"/>
    <w:tmpl w:val="0F2240AB"/>
    <w:lvl w:ilvl="0">
      <w:start w:val="1"/>
      <w:numFmt w:val="decimal"/>
      <w:suff w:val="space"/>
      <w:lvlText w:val="%1"/>
      <w:lvlJc w:val="left"/>
      <w:pPr>
        <w:ind w:left="0" w:firstLine="0"/>
      </w:pPr>
      <w:rPr>
        <w:rFonts w:hint="eastAsia"/>
      </w:rPr>
    </w:lvl>
    <w:lvl w:ilvl="1">
      <w:start w:val="1"/>
      <w:numFmt w:val="decimal"/>
      <w:pStyle w:val="a"/>
      <w:suff w:val="space"/>
      <w:lvlText w:val="%1.%2"/>
      <w:lvlJc w:val="left"/>
      <w:pPr>
        <w:ind w:left="0" w:firstLine="0"/>
      </w:pPr>
      <w:rPr>
        <w:rFonts w:hint="eastAsia"/>
      </w:rPr>
    </w:lvl>
    <w:lvl w:ilvl="2">
      <w:start w:val="1"/>
      <w:numFmt w:val="decimal"/>
      <w:pStyle w:val="a0"/>
      <w:suff w:val="space"/>
      <w:lvlText w:val="%1.%2.%3"/>
      <w:lvlJc w:val="left"/>
      <w:pPr>
        <w:ind w:left="0" w:firstLine="0"/>
      </w:pPr>
      <w:rPr>
        <w:rFonts w:hint="eastAsia"/>
      </w:rPr>
    </w:lvl>
    <w:lvl w:ilvl="3">
      <w:start w:val="1"/>
      <w:numFmt w:val="decimal"/>
      <w:suff w:val="space"/>
      <w:lvlText w:val="%1.%2.%3.%4"/>
      <w:lvlJc w:val="left"/>
      <w:pPr>
        <w:ind w:left="0" w:firstLine="0"/>
      </w:pPr>
      <w:rPr>
        <w:rFonts w:hint="eastAsia"/>
      </w:rPr>
    </w:lvl>
    <w:lvl w:ilvl="4">
      <w:start w:val="1"/>
      <w:numFmt w:val="decimal"/>
      <w:suff w:val="space"/>
      <w:lvlText w:val="%1.%2.%3.%4.%5"/>
      <w:lvlJc w:val="left"/>
      <w:pPr>
        <w:ind w:left="0" w:firstLine="0"/>
      </w:pPr>
      <w:rPr>
        <w:rFonts w:hint="eastAsia"/>
      </w:rPr>
    </w:lvl>
    <w:lvl w:ilvl="5">
      <w:start w:val="1"/>
      <w:numFmt w:val="decimal"/>
      <w:lvlRestart w:val="2"/>
      <w:pStyle w:val="a"/>
      <w:suff w:val="space"/>
      <w:lvlText w:val="图%1.%2-%6"/>
      <w:lvlJc w:val="left"/>
      <w:pPr>
        <w:ind w:left="2553" w:firstLine="0"/>
      </w:pPr>
      <w:rPr>
        <w:rFonts w:hint="eastAsia"/>
      </w:rPr>
    </w:lvl>
    <w:lvl w:ilvl="6">
      <w:start w:val="1"/>
      <w:numFmt w:val="decimal"/>
      <w:lvlRestart w:val="2"/>
      <w:pStyle w:val="a0"/>
      <w:suff w:val="space"/>
      <w:lvlText w:val="表%1.%2-%7"/>
      <w:lvlJc w:val="left"/>
      <w:pPr>
        <w:ind w:left="2835" w:firstLine="0"/>
      </w:pPr>
      <w:rPr>
        <w:rFonts w:ascii="Times New Roman" w:hAnsi="Times New Roman" w:cs="Times New Roman" w:hint="default"/>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 w15:restartNumberingAfterBreak="0">
    <w:nsid w:val="10222B07"/>
    <w:multiLevelType w:val="multilevel"/>
    <w:tmpl w:val="10222B07"/>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135960BE"/>
    <w:multiLevelType w:val="multilevel"/>
    <w:tmpl w:val="429E2F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356192"/>
    <w:multiLevelType w:val="multilevel"/>
    <w:tmpl w:val="14356192"/>
    <w:lvl w:ilvl="0">
      <w:start w:val="1"/>
      <w:numFmt w:val="decimalEnclosedCircle"/>
      <w:lvlText w:val="%1"/>
      <w:lvlJc w:val="left"/>
      <w:pPr>
        <w:ind w:left="840" w:hanging="360"/>
      </w:pPr>
      <w:rPr>
        <w:rFonts w:hint="default"/>
      </w:rPr>
    </w:lvl>
    <w:lvl w:ilvl="1">
      <w:start w:val="1"/>
      <w:numFmt w:val="lowerLetter"/>
      <w:lvlText w:val="%2)"/>
      <w:lvlJc w:val="left"/>
      <w:pPr>
        <w:ind w:left="1360" w:hanging="440"/>
      </w:pPr>
    </w:lvl>
    <w:lvl w:ilvl="2">
      <w:start w:val="1"/>
      <w:numFmt w:val="lowerRoman"/>
      <w:lvlText w:val="%3."/>
      <w:lvlJc w:val="right"/>
      <w:pPr>
        <w:ind w:left="1800" w:hanging="440"/>
      </w:pPr>
    </w:lvl>
    <w:lvl w:ilvl="3">
      <w:start w:val="1"/>
      <w:numFmt w:val="decimal"/>
      <w:lvlText w:val="%4."/>
      <w:lvlJc w:val="left"/>
      <w:pPr>
        <w:ind w:left="2240" w:hanging="440"/>
      </w:pPr>
    </w:lvl>
    <w:lvl w:ilvl="4">
      <w:start w:val="1"/>
      <w:numFmt w:val="lowerLetter"/>
      <w:lvlText w:val="%5)"/>
      <w:lvlJc w:val="left"/>
      <w:pPr>
        <w:ind w:left="2680" w:hanging="440"/>
      </w:pPr>
    </w:lvl>
    <w:lvl w:ilvl="5">
      <w:start w:val="1"/>
      <w:numFmt w:val="lowerRoman"/>
      <w:lvlText w:val="%6."/>
      <w:lvlJc w:val="right"/>
      <w:pPr>
        <w:ind w:left="3120" w:hanging="440"/>
      </w:pPr>
    </w:lvl>
    <w:lvl w:ilvl="6">
      <w:start w:val="1"/>
      <w:numFmt w:val="decimal"/>
      <w:lvlText w:val="%7."/>
      <w:lvlJc w:val="left"/>
      <w:pPr>
        <w:ind w:left="3560" w:hanging="440"/>
      </w:pPr>
    </w:lvl>
    <w:lvl w:ilvl="7">
      <w:start w:val="1"/>
      <w:numFmt w:val="lowerLetter"/>
      <w:lvlText w:val="%8)"/>
      <w:lvlJc w:val="left"/>
      <w:pPr>
        <w:ind w:left="4000" w:hanging="440"/>
      </w:pPr>
    </w:lvl>
    <w:lvl w:ilvl="8">
      <w:start w:val="1"/>
      <w:numFmt w:val="lowerRoman"/>
      <w:lvlText w:val="%9."/>
      <w:lvlJc w:val="right"/>
      <w:pPr>
        <w:ind w:left="4440" w:hanging="440"/>
      </w:pPr>
    </w:lvl>
  </w:abstractNum>
  <w:abstractNum w:abstractNumId="8" w15:restartNumberingAfterBreak="0">
    <w:nsid w:val="16514530"/>
    <w:multiLevelType w:val="hybridMultilevel"/>
    <w:tmpl w:val="1FAC618C"/>
    <w:lvl w:ilvl="0" w:tplc="F47CFCA6">
      <w:start w:val="2"/>
      <w:numFmt w:val="decimalEnclosedCircle"/>
      <w:lvlText w:val="%1"/>
      <w:lvlJc w:val="left"/>
      <w:pPr>
        <w:ind w:left="1202" w:hanging="360"/>
      </w:pPr>
      <w:rPr>
        <w:rFonts w:hint="default"/>
      </w:rPr>
    </w:lvl>
    <w:lvl w:ilvl="1" w:tplc="04090019" w:tentative="1">
      <w:start w:val="1"/>
      <w:numFmt w:val="lowerLetter"/>
      <w:lvlText w:val="%2)"/>
      <w:lvlJc w:val="left"/>
      <w:pPr>
        <w:ind w:left="1722" w:hanging="440"/>
      </w:pPr>
    </w:lvl>
    <w:lvl w:ilvl="2" w:tplc="0409001B" w:tentative="1">
      <w:start w:val="1"/>
      <w:numFmt w:val="lowerRoman"/>
      <w:lvlText w:val="%3."/>
      <w:lvlJc w:val="right"/>
      <w:pPr>
        <w:ind w:left="2162" w:hanging="440"/>
      </w:pPr>
    </w:lvl>
    <w:lvl w:ilvl="3" w:tplc="0409000F" w:tentative="1">
      <w:start w:val="1"/>
      <w:numFmt w:val="decimal"/>
      <w:lvlText w:val="%4."/>
      <w:lvlJc w:val="left"/>
      <w:pPr>
        <w:ind w:left="2602" w:hanging="440"/>
      </w:pPr>
    </w:lvl>
    <w:lvl w:ilvl="4" w:tplc="04090019" w:tentative="1">
      <w:start w:val="1"/>
      <w:numFmt w:val="lowerLetter"/>
      <w:lvlText w:val="%5)"/>
      <w:lvlJc w:val="left"/>
      <w:pPr>
        <w:ind w:left="3042" w:hanging="440"/>
      </w:pPr>
    </w:lvl>
    <w:lvl w:ilvl="5" w:tplc="0409001B" w:tentative="1">
      <w:start w:val="1"/>
      <w:numFmt w:val="lowerRoman"/>
      <w:lvlText w:val="%6."/>
      <w:lvlJc w:val="right"/>
      <w:pPr>
        <w:ind w:left="3482" w:hanging="440"/>
      </w:pPr>
    </w:lvl>
    <w:lvl w:ilvl="6" w:tplc="0409000F" w:tentative="1">
      <w:start w:val="1"/>
      <w:numFmt w:val="decimal"/>
      <w:lvlText w:val="%7."/>
      <w:lvlJc w:val="left"/>
      <w:pPr>
        <w:ind w:left="3922" w:hanging="440"/>
      </w:pPr>
    </w:lvl>
    <w:lvl w:ilvl="7" w:tplc="04090019" w:tentative="1">
      <w:start w:val="1"/>
      <w:numFmt w:val="lowerLetter"/>
      <w:lvlText w:val="%8)"/>
      <w:lvlJc w:val="left"/>
      <w:pPr>
        <w:ind w:left="4362" w:hanging="440"/>
      </w:pPr>
    </w:lvl>
    <w:lvl w:ilvl="8" w:tplc="0409001B" w:tentative="1">
      <w:start w:val="1"/>
      <w:numFmt w:val="lowerRoman"/>
      <w:lvlText w:val="%9."/>
      <w:lvlJc w:val="right"/>
      <w:pPr>
        <w:ind w:left="4802" w:hanging="440"/>
      </w:pPr>
    </w:lvl>
  </w:abstractNum>
  <w:abstractNum w:abstractNumId="9" w15:restartNumberingAfterBreak="0">
    <w:nsid w:val="1E3D4600"/>
    <w:multiLevelType w:val="multilevel"/>
    <w:tmpl w:val="1E3D4600"/>
    <w:lvl w:ilvl="0">
      <w:start w:val="1"/>
      <w:numFmt w:val="decimal"/>
      <w:lvlText w:val="（%1）"/>
      <w:lvlJc w:val="left"/>
      <w:pPr>
        <w:ind w:left="1202" w:hanging="720"/>
      </w:pPr>
      <w:rPr>
        <w:rFonts w:hint="default"/>
      </w:rPr>
    </w:lvl>
    <w:lvl w:ilvl="1">
      <w:start w:val="1"/>
      <w:numFmt w:val="lowerLetter"/>
      <w:lvlText w:val="%2)"/>
      <w:lvlJc w:val="left"/>
      <w:pPr>
        <w:ind w:left="1362" w:hanging="440"/>
      </w:pPr>
    </w:lvl>
    <w:lvl w:ilvl="2">
      <w:start w:val="1"/>
      <w:numFmt w:val="lowerRoman"/>
      <w:lvlText w:val="%3."/>
      <w:lvlJc w:val="right"/>
      <w:pPr>
        <w:ind w:left="1802" w:hanging="440"/>
      </w:pPr>
    </w:lvl>
    <w:lvl w:ilvl="3">
      <w:start w:val="1"/>
      <w:numFmt w:val="decimal"/>
      <w:lvlText w:val="%4."/>
      <w:lvlJc w:val="left"/>
      <w:pPr>
        <w:ind w:left="2242" w:hanging="440"/>
      </w:pPr>
    </w:lvl>
    <w:lvl w:ilvl="4">
      <w:start w:val="1"/>
      <w:numFmt w:val="lowerLetter"/>
      <w:lvlText w:val="%5)"/>
      <w:lvlJc w:val="left"/>
      <w:pPr>
        <w:ind w:left="2682" w:hanging="440"/>
      </w:pPr>
    </w:lvl>
    <w:lvl w:ilvl="5">
      <w:start w:val="1"/>
      <w:numFmt w:val="lowerRoman"/>
      <w:lvlText w:val="%6."/>
      <w:lvlJc w:val="right"/>
      <w:pPr>
        <w:ind w:left="3122" w:hanging="440"/>
      </w:pPr>
    </w:lvl>
    <w:lvl w:ilvl="6">
      <w:start w:val="1"/>
      <w:numFmt w:val="decimal"/>
      <w:lvlText w:val="%7."/>
      <w:lvlJc w:val="left"/>
      <w:pPr>
        <w:ind w:left="3562" w:hanging="440"/>
      </w:pPr>
    </w:lvl>
    <w:lvl w:ilvl="7">
      <w:start w:val="1"/>
      <w:numFmt w:val="lowerLetter"/>
      <w:lvlText w:val="%8)"/>
      <w:lvlJc w:val="left"/>
      <w:pPr>
        <w:ind w:left="4002" w:hanging="440"/>
      </w:pPr>
    </w:lvl>
    <w:lvl w:ilvl="8">
      <w:start w:val="1"/>
      <w:numFmt w:val="lowerRoman"/>
      <w:lvlText w:val="%9."/>
      <w:lvlJc w:val="right"/>
      <w:pPr>
        <w:ind w:left="4442" w:hanging="440"/>
      </w:pPr>
    </w:lvl>
  </w:abstractNum>
  <w:abstractNum w:abstractNumId="10" w15:restartNumberingAfterBreak="0">
    <w:nsid w:val="2D3033F6"/>
    <w:multiLevelType w:val="hybridMultilevel"/>
    <w:tmpl w:val="DF94D1C4"/>
    <w:lvl w:ilvl="0" w:tplc="2386292C">
      <w:start w:val="1"/>
      <w:numFmt w:val="decimalEnclosedCircle"/>
      <w:lvlText w:val="%1"/>
      <w:lvlJc w:val="left"/>
      <w:pPr>
        <w:ind w:left="842" w:hanging="360"/>
      </w:pPr>
      <w:rPr>
        <w:rFonts w:hint="default"/>
      </w:rPr>
    </w:lvl>
    <w:lvl w:ilvl="1" w:tplc="04090019" w:tentative="1">
      <w:start w:val="1"/>
      <w:numFmt w:val="lowerLetter"/>
      <w:lvlText w:val="%2)"/>
      <w:lvlJc w:val="left"/>
      <w:pPr>
        <w:ind w:left="1362" w:hanging="440"/>
      </w:pPr>
    </w:lvl>
    <w:lvl w:ilvl="2" w:tplc="0409001B" w:tentative="1">
      <w:start w:val="1"/>
      <w:numFmt w:val="lowerRoman"/>
      <w:lvlText w:val="%3."/>
      <w:lvlJc w:val="right"/>
      <w:pPr>
        <w:ind w:left="1802" w:hanging="440"/>
      </w:pPr>
    </w:lvl>
    <w:lvl w:ilvl="3" w:tplc="0409000F" w:tentative="1">
      <w:start w:val="1"/>
      <w:numFmt w:val="decimal"/>
      <w:lvlText w:val="%4."/>
      <w:lvlJc w:val="left"/>
      <w:pPr>
        <w:ind w:left="2242" w:hanging="440"/>
      </w:pPr>
    </w:lvl>
    <w:lvl w:ilvl="4" w:tplc="04090019" w:tentative="1">
      <w:start w:val="1"/>
      <w:numFmt w:val="lowerLetter"/>
      <w:lvlText w:val="%5)"/>
      <w:lvlJc w:val="left"/>
      <w:pPr>
        <w:ind w:left="2682" w:hanging="440"/>
      </w:pPr>
    </w:lvl>
    <w:lvl w:ilvl="5" w:tplc="0409001B" w:tentative="1">
      <w:start w:val="1"/>
      <w:numFmt w:val="lowerRoman"/>
      <w:lvlText w:val="%6."/>
      <w:lvlJc w:val="right"/>
      <w:pPr>
        <w:ind w:left="3122" w:hanging="440"/>
      </w:pPr>
    </w:lvl>
    <w:lvl w:ilvl="6" w:tplc="0409000F" w:tentative="1">
      <w:start w:val="1"/>
      <w:numFmt w:val="decimal"/>
      <w:lvlText w:val="%7."/>
      <w:lvlJc w:val="left"/>
      <w:pPr>
        <w:ind w:left="3562" w:hanging="440"/>
      </w:pPr>
    </w:lvl>
    <w:lvl w:ilvl="7" w:tplc="04090019" w:tentative="1">
      <w:start w:val="1"/>
      <w:numFmt w:val="lowerLetter"/>
      <w:lvlText w:val="%8)"/>
      <w:lvlJc w:val="left"/>
      <w:pPr>
        <w:ind w:left="4002" w:hanging="440"/>
      </w:pPr>
    </w:lvl>
    <w:lvl w:ilvl="8" w:tplc="0409001B" w:tentative="1">
      <w:start w:val="1"/>
      <w:numFmt w:val="lowerRoman"/>
      <w:lvlText w:val="%9."/>
      <w:lvlJc w:val="right"/>
      <w:pPr>
        <w:ind w:left="4442" w:hanging="440"/>
      </w:pPr>
    </w:lvl>
  </w:abstractNum>
  <w:abstractNum w:abstractNumId="11" w15:restartNumberingAfterBreak="0">
    <w:nsid w:val="2E276C37"/>
    <w:multiLevelType w:val="singleLevel"/>
    <w:tmpl w:val="2E276C37"/>
    <w:lvl w:ilvl="0">
      <w:start w:val="1"/>
      <w:numFmt w:val="decimal"/>
      <w:suff w:val="nothing"/>
      <w:lvlText w:val="%1、"/>
      <w:lvlJc w:val="left"/>
    </w:lvl>
  </w:abstractNum>
  <w:abstractNum w:abstractNumId="12" w15:restartNumberingAfterBreak="0">
    <w:nsid w:val="304D43DE"/>
    <w:multiLevelType w:val="multilevel"/>
    <w:tmpl w:val="D3089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4A28D6"/>
    <w:multiLevelType w:val="hybridMultilevel"/>
    <w:tmpl w:val="AC721026"/>
    <w:lvl w:ilvl="0" w:tplc="CA7221D0">
      <w:start w:val="1"/>
      <w:numFmt w:val="decimalEnclosedCircle"/>
      <w:lvlText w:val="%1"/>
      <w:lvlJc w:val="left"/>
      <w:pPr>
        <w:ind w:left="842" w:hanging="360"/>
      </w:pPr>
      <w:rPr>
        <w:rFonts w:hint="default"/>
      </w:rPr>
    </w:lvl>
    <w:lvl w:ilvl="1" w:tplc="04090019" w:tentative="1">
      <w:start w:val="1"/>
      <w:numFmt w:val="lowerLetter"/>
      <w:lvlText w:val="%2)"/>
      <w:lvlJc w:val="left"/>
      <w:pPr>
        <w:ind w:left="1362" w:hanging="440"/>
      </w:pPr>
    </w:lvl>
    <w:lvl w:ilvl="2" w:tplc="0409001B" w:tentative="1">
      <w:start w:val="1"/>
      <w:numFmt w:val="lowerRoman"/>
      <w:lvlText w:val="%3."/>
      <w:lvlJc w:val="right"/>
      <w:pPr>
        <w:ind w:left="1802" w:hanging="440"/>
      </w:pPr>
    </w:lvl>
    <w:lvl w:ilvl="3" w:tplc="0409000F" w:tentative="1">
      <w:start w:val="1"/>
      <w:numFmt w:val="decimal"/>
      <w:lvlText w:val="%4."/>
      <w:lvlJc w:val="left"/>
      <w:pPr>
        <w:ind w:left="2242" w:hanging="440"/>
      </w:pPr>
    </w:lvl>
    <w:lvl w:ilvl="4" w:tplc="04090019" w:tentative="1">
      <w:start w:val="1"/>
      <w:numFmt w:val="lowerLetter"/>
      <w:lvlText w:val="%5)"/>
      <w:lvlJc w:val="left"/>
      <w:pPr>
        <w:ind w:left="2682" w:hanging="440"/>
      </w:pPr>
    </w:lvl>
    <w:lvl w:ilvl="5" w:tplc="0409001B" w:tentative="1">
      <w:start w:val="1"/>
      <w:numFmt w:val="lowerRoman"/>
      <w:lvlText w:val="%6."/>
      <w:lvlJc w:val="right"/>
      <w:pPr>
        <w:ind w:left="3122" w:hanging="440"/>
      </w:pPr>
    </w:lvl>
    <w:lvl w:ilvl="6" w:tplc="0409000F" w:tentative="1">
      <w:start w:val="1"/>
      <w:numFmt w:val="decimal"/>
      <w:lvlText w:val="%7."/>
      <w:lvlJc w:val="left"/>
      <w:pPr>
        <w:ind w:left="3562" w:hanging="440"/>
      </w:pPr>
    </w:lvl>
    <w:lvl w:ilvl="7" w:tplc="04090019" w:tentative="1">
      <w:start w:val="1"/>
      <w:numFmt w:val="lowerLetter"/>
      <w:lvlText w:val="%8)"/>
      <w:lvlJc w:val="left"/>
      <w:pPr>
        <w:ind w:left="4002" w:hanging="440"/>
      </w:pPr>
    </w:lvl>
    <w:lvl w:ilvl="8" w:tplc="0409001B" w:tentative="1">
      <w:start w:val="1"/>
      <w:numFmt w:val="lowerRoman"/>
      <w:lvlText w:val="%9."/>
      <w:lvlJc w:val="right"/>
      <w:pPr>
        <w:ind w:left="4442" w:hanging="440"/>
      </w:pPr>
    </w:lvl>
  </w:abstractNum>
  <w:abstractNum w:abstractNumId="14" w15:restartNumberingAfterBreak="0">
    <w:nsid w:val="3ABD1015"/>
    <w:multiLevelType w:val="singleLevel"/>
    <w:tmpl w:val="3ABD1015"/>
    <w:lvl w:ilvl="0">
      <w:start w:val="1"/>
      <w:numFmt w:val="decimal"/>
      <w:suff w:val="nothing"/>
      <w:lvlText w:val="（%1）"/>
      <w:lvlJc w:val="left"/>
    </w:lvl>
  </w:abstractNum>
  <w:abstractNum w:abstractNumId="15" w15:restartNumberingAfterBreak="0">
    <w:nsid w:val="3F600891"/>
    <w:multiLevelType w:val="hybridMultilevel"/>
    <w:tmpl w:val="F956E452"/>
    <w:lvl w:ilvl="0" w:tplc="95B00EE0">
      <w:start w:val="2"/>
      <w:numFmt w:val="decimalEnclosedCircl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6" w15:restartNumberingAfterBreak="0">
    <w:nsid w:val="49F56E89"/>
    <w:multiLevelType w:val="multilevel"/>
    <w:tmpl w:val="87E4AC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C8D7909"/>
    <w:multiLevelType w:val="hybridMultilevel"/>
    <w:tmpl w:val="6FD47634"/>
    <w:lvl w:ilvl="0" w:tplc="3558D9B4">
      <w:start w:val="1"/>
      <w:numFmt w:val="decimalEnclosedCircle"/>
      <w:lvlText w:val="%1"/>
      <w:lvlJc w:val="left"/>
      <w:pPr>
        <w:ind w:left="842" w:hanging="360"/>
      </w:pPr>
      <w:rPr>
        <w:rFonts w:hint="default"/>
      </w:rPr>
    </w:lvl>
    <w:lvl w:ilvl="1" w:tplc="04090019" w:tentative="1">
      <w:start w:val="1"/>
      <w:numFmt w:val="lowerLetter"/>
      <w:lvlText w:val="%2)"/>
      <w:lvlJc w:val="left"/>
      <w:pPr>
        <w:ind w:left="1362" w:hanging="440"/>
      </w:pPr>
    </w:lvl>
    <w:lvl w:ilvl="2" w:tplc="0409001B" w:tentative="1">
      <w:start w:val="1"/>
      <w:numFmt w:val="lowerRoman"/>
      <w:lvlText w:val="%3."/>
      <w:lvlJc w:val="right"/>
      <w:pPr>
        <w:ind w:left="1802" w:hanging="440"/>
      </w:pPr>
    </w:lvl>
    <w:lvl w:ilvl="3" w:tplc="0409000F" w:tentative="1">
      <w:start w:val="1"/>
      <w:numFmt w:val="decimal"/>
      <w:lvlText w:val="%4."/>
      <w:lvlJc w:val="left"/>
      <w:pPr>
        <w:ind w:left="2242" w:hanging="440"/>
      </w:pPr>
    </w:lvl>
    <w:lvl w:ilvl="4" w:tplc="04090019" w:tentative="1">
      <w:start w:val="1"/>
      <w:numFmt w:val="lowerLetter"/>
      <w:lvlText w:val="%5)"/>
      <w:lvlJc w:val="left"/>
      <w:pPr>
        <w:ind w:left="2682" w:hanging="440"/>
      </w:pPr>
    </w:lvl>
    <w:lvl w:ilvl="5" w:tplc="0409001B" w:tentative="1">
      <w:start w:val="1"/>
      <w:numFmt w:val="lowerRoman"/>
      <w:lvlText w:val="%6."/>
      <w:lvlJc w:val="right"/>
      <w:pPr>
        <w:ind w:left="3122" w:hanging="440"/>
      </w:pPr>
    </w:lvl>
    <w:lvl w:ilvl="6" w:tplc="0409000F" w:tentative="1">
      <w:start w:val="1"/>
      <w:numFmt w:val="decimal"/>
      <w:lvlText w:val="%7."/>
      <w:lvlJc w:val="left"/>
      <w:pPr>
        <w:ind w:left="3562" w:hanging="440"/>
      </w:pPr>
    </w:lvl>
    <w:lvl w:ilvl="7" w:tplc="04090019" w:tentative="1">
      <w:start w:val="1"/>
      <w:numFmt w:val="lowerLetter"/>
      <w:lvlText w:val="%8)"/>
      <w:lvlJc w:val="left"/>
      <w:pPr>
        <w:ind w:left="4002" w:hanging="440"/>
      </w:pPr>
    </w:lvl>
    <w:lvl w:ilvl="8" w:tplc="0409001B" w:tentative="1">
      <w:start w:val="1"/>
      <w:numFmt w:val="lowerRoman"/>
      <w:lvlText w:val="%9."/>
      <w:lvlJc w:val="right"/>
      <w:pPr>
        <w:ind w:left="4442" w:hanging="440"/>
      </w:pPr>
    </w:lvl>
  </w:abstractNum>
  <w:abstractNum w:abstractNumId="18" w15:restartNumberingAfterBreak="0">
    <w:nsid w:val="4D0D2306"/>
    <w:multiLevelType w:val="hybridMultilevel"/>
    <w:tmpl w:val="66A2D82E"/>
    <w:lvl w:ilvl="0" w:tplc="0EE857AA">
      <w:start w:val="1"/>
      <w:numFmt w:val="decimalEnclosedCircle"/>
      <w:lvlText w:val="%1"/>
      <w:lvlJc w:val="left"/>
      <w:pPr>
        <w:ind w:left="840" w:hanging="360"/>
      </w:pPr>
      <w:rPr>
        <w:rFonts w:ascii="宋体" w:hAnsi="宋体" w:cs="宋体"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19" w15:restartNumberingAfterBreak="0">
    <w:nsid w:val="5B2900A1"/>
    <w:multiLevelType w:val="multilevel"/>
    <w:tmpl w:val="5B2900A1"/>
    <w:lvl w:ilvl="0">
      <w:start w:val="1"/>
      <w:numFmt w:val="decimal"/>
      <w:lvlText w:val="（%1）"/>
      <w:lvlJc w:val="left"/>
      <w:pPr>
        <w:ind w:left="1202" w:hanging="720"/>
      </w:pPr>
      <w:rPr>
        <w:rFonts w:hint="default"/>
      </w:rPr>
    </w:lvl>
    <w:lvl w:ilvl="1">
      <w:start w:val="1"/>
      <w:numFmt w:val="lowerLetter"/>
      <w:lvlText w:val="%2)"/>
      <w:lvlJc w:val="left"/>
      <w:pPr>
        <w:ind w:left="1362" w:hanging="440"/>
      </w:pPr>
    </w:lvl>
    <w:lvl w:ilvl="2">
      <w:start w:val="1"/>
      <w:numFmt w:val="lowerRoman"/>
      <w:lvlText w:val="%3."/>
      <w:lvlJc w:val="right"/>
      <w:pPr>
        <w:ind w:left="1802" w:hanging="440"/>
      </w:pPr>
    </w:lvl>
    <w:lvl w:ilvl="3">
      <w:start w:val="1"/>
      <w:numFmt w:val="decimal"/>
      <w:lvlText w:val="%4."/>
      <w:lvlJc w:val="left"/>
      <w:pPr>
        <w:ind w:left="2242" w:hanging="440"/>
      </w:pPr>
    </w:lvl>
    <w:lvl w:ilvl="4">
      <w:start w:val="1"/>
      <w:numFmt w:val="lowerLetter"/>
      <w:lvlText w:val="%5)"/>
      <w:lvlJc w:val="left"/>
      <w:pPr>
        <w:ind w:left="2682" w:hanging="440"/>
      </w:pPr>
    </w:lvl>
    <w:lvl w:ilvl="5">
      <w:start w:val="1"/>
      <w:numFmt w:val="lowerRoman"/>
      <w:lvlText w:val="%6."/>
      <w:lvlJc w:val="right"/>
      <w:pPr>
        <w:ind w:left="3122" w:hanging="440"/>
      </w:pPr>
    </w:lvl>
    <w:lvl w:ilvl="6">
      <w:start w:val="1"/>
      <w:numFmt w:val="decimal"/>
      <w:lvlText w:val="%7."/>
      <w:lvlJc w:val="left"/>
      <w:pPr>
        <w:ind w:left="3562" w:hanging="440"/>
      </w:pPr>
    </w:lvl>
    <w:lvl w:ilvl="7">
      <w:start w:val="1"/>
      <w:numFmt w:val="lowerLetter"/>
      <w:lvlText w:val="%8)"/>
      <w:lvlJc w:val="left"/>
      <w:pPr>
        <w:ind w:left="4002" w:hanging="440"/>
      </w:pPr>
    </w:lvl>
    <w:lvl w:ilvl="8">
      <w:start w:val="1"/>
      <w:numFmt w:val="lowerRoman"/>
      <w:lvlText w:val="%9."/>
      <w:lvlJc w:val="right"/>
      <w:pPr>
        <w:ind w:left="4442" w:hanging="440"/>
      </w:pPr>
    </w:lvl>
  </w:abstractNum>
  <w:abstractNum w:abstractNumId="20" w15:restartNumberingAfterBreak="0">
    <w:nsid w:val="6A2904C6"/>
    <w:multiLevelType w:val="hybridMultilevel"/>
    <w:tmpl w:val="01546056"/>
    <w:lvl w:ilvl="0" w:tplc="B45EFF9E">
      <w:start w:val="2"/>
      <w:numFmt w:val="decimalEnclosedCircle"/>
      <w:lvlText w:val="%1"/>
      <w:lvlJc w:val="left"/>
      <w:pPr>
        <w:ind w:left="1202" w:hanging="360"/>
      </w:pPr>
      <w:rPr>
        <w:rFonts w:hint="default"/>
      </w:rPr>
    </w:lvl>
    <w:lvl w:ilvl="1" w:tplc="04090019" w:tentative="1">
      <w:start w:val="1"/>
      <w:numFmt w:val="lowerLetter"/>
      <w:lvlText w:val="%2)"/>
      <w:lvlJc w:val="left"/>
      <w:pPr>
        <w:ind w:left="1722" w:hanging="440"/>
      </w:pPr>
    </w:lvl>
    <w:lvl w:ilvl="2" w:tplc="0409001B" w:tentative="1">
      <w:start w:val="1"/>
      <w:numFmt w:val="lowerRoman"/>
      <w:lvlText w:val="%3."/>
      <w:lvlJc w:val="right"/>
      <w:pPr>
        <w:ind w:left="2162" w:hanging="440"/>
      </w:pPr>
    </w:lvl>
    <w:lvl w:ilvl="3" w:tplc="0409000F" w:tentative="1">
      <w:start w:val="1"/>
      <w:numFmt w:val="decimal"/>
      <w:lvlText w:val="%4."/>
      <w:lvlJc w:val="left"/>
      <w:pPr>
        <w:ind w:left="2602" w:hanging="440"/>
      </w:pPr>
    </w:lvl>
    <w:lvl w:ilvl="4" w:tplc="04090019" w:tentative="1">
      <w:start w:val="1"/>
      <w:numFmt w:val="lowerLetter"/>
      <w:lvlText w:val="%5)"/>
      <w:lvlJc w:val="left"/>
      <w:pPr>
        <w:ind w:left="3042" w:hanging="440"/>
      </w:pPr>
    </w:lvl>
    <w:lvl w:ilvl="5" w:tplc="0409001B" w:tentative="1">
      <w:start w:val="1"/>
      <w:numFmt w:val="lowerRoman"/>
      <w:lvlText w:val="%6."/>
      <w:lvlJc w:val="right"/>
      <w:pPr>
        <w:ind w:left="3482" w:hanging="440"/>
      </w:pPr>
    </w:lvl>
    <w:lvl w:ilvl="6" w:tplc="0409000F" w:tentative="1">
      <w:start w:val="1"/>
      <w:numFmt w:val="decimal"/>
      <w:lvlText w:val="%7."/>
      <w:lvlJc w:val="left"/>
      <w:pPr>
        <w:ind w:left="3922" w:hanging="440"/>
      </w:pPr>
    </w:lvl>
    <w:lvl w:ilvl="7" w:tplc="04090019" w:tentative="1">
      <w:start w:val="1"/>
      <w:numFmt w:val="lowerLetter"/>
      <w:lvlText w:val="%8)"/>
      <w:lvlJc w:val="left"/>
      <w:pPr>
        <w:ind w:left="4362" w:hanging="440"/>
      </w:pPr>
    </w:lvl>
    <w:lvl w:ilvl="8" w:tplc="0409001B" w:tentative="1">
      <w:start w:val="1"/>
      <w:numFmt w:val="lowerRoman"/>
      <w:lvlText w:val="%9."/>
      <w:lvlJc w:val="right"/>
      <w:pPr>
        <w:ind w:left="4802" w:hanging="440"/>
      </w:pPr>
    </w:lvl>
  </w:abstractNum>
  <w:abstractNum w:abstractNumId="21" w15:restartNumberingAfterBreak="0">
    <w:nsid w:val="6A581515"/>
    <w:multiLevelType w:val="singleLevel"/>
    <w:tmpl w:val="6A581515"/>
    <w:lvl w:ilvl="0">
      <w:start w:val="1"/>
      <w:numFmt w:val="decimal"/>
      <w:suff w:val="nothing"/>
      <w:lvlText w:val="（%1）"/>
      <w:lvlJc w:val="left"/>
    </w:lvl>
  </w:abstractNum>
  <w:abstractNum w:abstractNumId="22" w15:restartNumberingAfterBreak="0">
    <w:nsid w:val="76172278"/>
    <w:multiLevelType w:val="multilevel"/>
    <w:tmpl w:val="76172278"/>
    <w:lvl w:ilvl="0">
      <w:start w:val="1"/>
      <w:numFmt w:val="decimal"/>
      <w:pStyle w:val="1"/>
      <w:suff w:val="space"/>
      <w:lvlText w:val="%1"/>
      <w:lvlJc w:val="left"/>
      <w:pPr>
        <w:ind w:left="0" w:firstLine="0"/>
      </w:pPr>
      <w:rPr>
        <w:rFonts w:ascii="Times New Roman" w:hAnsi="Times New Roman" w:hint="default"/>
      </w:rPr>
    </w:lvl>
    <w:lvl w:ilvl="1">
      <w:start w:val="1"/>
      <w:numFmt w:val="decimal"/>
      <w:pStyle w:val="2"/>
      <w:suff w:val="space"/>
      <w:lvlText w:val="%1.%2"/>
      <w:lvlJc w:val="left"/>
      <w:pPr>
        <w:ind w:left="0" w:firstLine="0"/>
      </w:pPr>
      <w:rPr>
        <w:rFonts w:ascii="Times New Roman" w:hAnsi="Times New Roman" w:hint="default"/>
      </w:rPr>
    </w:lvl>
    <w:lvl w:ilvl="2">
      <w:start w:val="1"/>
      <w:numFmt w:val="decimal"/>
      <w:pStyle w:val="3"/>
      <w:suff w:val="space"/>
      <w:lvlText w:val="%1.%2.%3"/>
      <w:lvlJc w:val="left"/>
      <w:pPr>
        <w:ind w:left="0" w:firstLine="0"/>
      </w:pPr>
      <w:rPr>
        <w:rFonts w:ascii="Times New Roman" w:hAnsi="Times New Roman" w:hint="default"/>
      </w:rPr>
    </w:lvl>
    <w:lvl w:ilvl="3">
      <w:start w:val="1"/>
      <w:numFmt w:val="decimal"/>
      <w:pStyle w:val="4"/>
      <w:suff w:val="space"/>
      <w:lvlText w:val="%1.%2.%3.%4"/>
      <w:lvlJc w:val="left"/>
      <w:pPr>
        <w:ind w:left="3970" w:firstLine="0"/>
      </w:pPr>
      <w:rPr>
        <w:rFonts w:ascii="Times New Roman" w:hAnsi="Times New Roman" w:hint="default"/>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3" w15:restartNumberingAfterBreak="0">
    <w:nsid w:val="77BC4434"/>
    <w:multiLevelType w:val="hybridMultilevel"/>
    <w:tmpl w:val="28583596"/>
    <w:lvl w:ilvl="0" w:tplc="74BE1B50">
      <w:start w:val="2"/>
      <w:numFmt w:val="decimalEnclosedCircle"/>
      <w:lvlText w:val="%1"/>
      <w:lvlJc w:val="left"/>
      <w:pPr>
        <w:ind w:left="1202" w:hanging="360"/>
      </w:pPr>
      <w:rPr>
        <w:rFonts w:hint="default"/>
      </w:rPr>
    </w:lvl>
    <w:lvl w:ilvl="1" w:tplc="04090019" w:tentative="1">
      <w:start w:val="1"/>
      <w:numFmt w:val="lowerLetter"/>
      <w:lvlText w:val="%2)"/>
      <w:lvlJc w:val="left"/>
      <w:pPr>
        <w:ind w:left="1722" w:hanging="440"/>
      </w:pPr>
    </w:lvl>
    <w:lvl w:ilvl="2" w:tplc="0409001B" w:tentative="1">
      <w:start w:val="1"/>
      <w:numFmt w:val="lowerRoman"/>
      <w:lvlText w:val="%3."/>
      <w:lvlJc w:val="right"/>
      <w:pPr>
        <w:ind w:left="2162" w:hanging="440"/>
      </w:pPr>
    </w:lvl>
    <w:lvl w:ilvl="3" w:tplc="0409000F" w:tentative="1">
      <w:start w:val="1"/>
      <w:numFmt w:val="decimal"/>
      <w:lvlText w:val="%4."/>
      <w:lvlJc w:val="left"/>
      <w:pPr>
        <w:ind w:left="2602" w:hanging="440"/>
      </w:pPr>
    </w:lvl>
    <w:lvl w:ilvl="4" w:tplc="04090019" w:tentative="1">
      <w:start w:val="1"/>
      <w:numFmt w:val="lowerLetter"/>
      <w:lvlText w:val="%5)"/>
      <w:lvlJc w:val="left"/>
      <w:pPr>
        <w:ind w:left="3042" w:hanging="440"/>
      </w:pPr>
    </w:lvl>
    <w:lvl w:ilvl="5" w:tplc="0409001B" w:tentative="1">
      <w:start w:val="1"/>
      <w:numFmt w:val="lowerRoman"/>
      <w:lvlText w:val="%6."/>
      <w:lvlJc w:val="right"/>
      <w:pPr>
        <w:ind w:left="3482" w:hanging="440"/>
      </w:pPr>
    </w:lvl>
    <w:lvl w:ilvl="6" w:tplc="0409000F" w:tentative="1">
      <w:start w:val="1"/>
      <w:numFmt w:val="decimal"/>
      <w:lvlText w:val="%7."/>
      <w:lvlJc w:val="left"/>
      <w:pPr>
        <w:ind w:left="3922" w:hanging="440"/>
      </w:pPr>
    </w:lvl>
    <w:lvl w:ilvl="7" w:tplc="04090019" w:tentative="1">
      <w:start w:val="1"/>
      <w:numFmt w:val="lowerLetter"/>
      <w:lvlText w:val="%8)"/>
      <w:lvlJc w:val="left"/>
      <w:pPr>
        <w:ind w:left="4362" w:hanging="440"/>
      </w:pPr>
    </w:lvl>
    <w:lvl w:ilvl="8" w:tplc="0409001B" w:tentative="1">
      <w:start w:val="1"/>
      <w:numFmt w:val="lowerRoman"/>
      <w:lvlText w:val="%9."/>
      <w:lvlJc w:val="right"/>
      <w:pPr>
        <w:ind w:left="4802" w:hanging="440"/>
      </w:pPr>
    </w:lvl>
  </w:abstractNum>
  <w:abstractNum w:abstractNumId="24" w15:restartNumberingAfterBreak="0">
    <w:nsid w:val="79103849"/>
    <w:multiLevelType w:val="hybridMultilevel"/>
    <w:tmpl w:val="1F26781A"/>
    <w:lvl w:ilvl="0" w:tplc="B32043BE">
      <w:start w:val="2"/>
      <w:numFmt w:val="decimal"/>
      <w:lvlText w:val="%1）"/>
      <w:lvlJc w:val="left"/>
      <w:pPr>
        <w:ind w:left="842" w:hanging="360"/>
      </w:pPr>
      <w:rPr>
        <w:rFonts w:hint="default"/>
      </w:rPr>
    </w:lvl>
    <w:lvl w:ilvl="1" w:tplc="04090019" w:tentative="1">
      <w:start w:val="1"/>
      <w:numFmt w:val="lowerLetter"/>
      <w:lvlText w:val="%2)"/>
      <w:lvlJc w:val="left"/>
      <w:pPr>
        <w:ind w:left="1362" w:hanging="440"/>
      </w:pPr>
    </w:lvl>
    <w:lvl w:ilvl="2" w:tplc="0409001B" w:tentative="1">
      <w:start w:val="1"/>
      <w:numFmt w:val="lowerRoman"/>
      <w:lvlText w:val="%3."/>
      <w:lvlJc w:val="right"/>
      <w:pPr>
        <w:ind w:left="1802" w:hanging="440"/>
      </w:pPr>
    </w:lvl>
    <w:lvl w:ilvl="3" w:tplc="0409000F" w:tentative="1">
      <w:start w:val="1"/>
      <w:numFmt w:val="decimal"/>
      <w:lvlText w:val="%4."/>
      <w:lvlJc w:val="left"/>
      <w:pPr>
        <w:ind w:left="2242" w:hanging="440"/>
      </w:pPr>
    </w:lvl>
    <w:lvl w:ilvl="4" w:tplc="04090019" w:tentative="1">
      <w:start w:val="1"/>
      <w:numFmt w:val="lowerLetter"/>
      <w:lvlText w:val="%5)"/>
      <w:lvlJc w:val="left"/>
      <w:pPr>
        <w:ind w:left="2682" w:hanging="440"/>
      </w:pPr>
    </w:lvl>
    <w:lvl w:ilvl="5" w:tplc="0409001B" w:tentative="1">
      <w:start w:val="1"/>
      <w:numFmt w:val="lowerRoman"/>
      <w:lvlText w:val="%6."/>
      <w:lvlJc w:val="right"/>
      <w:pPr>
        <w:ind w:left="3122" w:hanging="440"/>
      </w:pPr>
    </w:lvl>
    <w:lvl w:ilvl="6" w:tplc="0409000F" w:tentative="1">
      <w:start w:val="1"/>
      <w:numFmt w:val="decimal"/>
      <w:lvlText w:val="%7."/>
      <w:lvlJc w:val="left"/>
      <w:pPr>
        <w:ind w:left="3562" w:hanging="440"/>
      </w:pPr>
    </w:lvl>
    <w:lvl w:ilvl="7" w:tplc="04090019" w:tentative="1">
      <w:start w:val="1"/>
      <w:numFmt w:val="lowerLetter"/>
      <w:lvlText w:val="%8)"/>
      <w:lvlJc w:val="left"/>
      <w:pPr>
        <w:ind w:left="4002" w:hanging="440"/>
      </w:pPr>
    </w:lvl>
    <w:lvl w:ilvl="8" w:tplc="0409001B" w:tentative="1">
      <w:start w:val="1"/>
      <w:numFmt w:val="lowerRoman"/>
      <w:lvlText w:val="%9."/>
      <w:lvlJc w:val="right"/>
      <w:pPr>
        <w:ind w:left="4442" w:hanging="440"/>
      </w:pPr>
    </w:lvl>
  </w:abstractNum>
  <w:abstractNum w:abstractNumId="25" w15:restartNumberingAfterBreak="0">
    <w:nsid w:val="7DED4AD7"/>
    <w:multiLevelType w:val="multilevel"/>
    <w:tmpl w:val="C1BA90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E821EC8"/>
    <w:multiLevelType w:val="hybridMultilevel"/>
    <w:tmpl w:val="62969646"/>
    <w:lvl w:ilvl="0" w:tplc="CE4E0C76">
      <w:start w:val="1"/>
      <w:numFmt w:val="decimal"/>
      <w:lvlText w:val="（%1）"/>
      <w:lvlJc w:val="left"/>
      <w:pPr>
        <w:ind w:left="1202" w:hanging="720"/>
      </w:pPr>
      <w:rPr>
        <w:rFonts w:hint="default"/>
      </w:rPr>
    </w:lvl>
    <w:lvl w:ilvl="1" w:tplc="04090019" w:tentative="1">
      <w:start w:val="1"/>
      <w:numFmt w:val="lowerLetter"/>
      <w:lvlText w:val="%2)"/>
      <w:lvlJc w:val="left"/>
      <w:pPr>
        <w:ind w:left="1362" w:hanging="440"/>
      </w:pPr>
    </w:lvl>
    <w:lvl w:ilvl="2" w:tplc="0409001B" w:tentative="1">
      <w:start w:val="1"/>
      <w:numFmt w:val="lowerRoman"/>
      <w:lvlText w:val="%3."/>
      <w:lvlJc w:val="right"/>
      <w:pPr>
        <w:ind w:left="1802" w:hanging="440"/>
      </w:pPr>
    </w:lvl>
    <w:lvl w:ilvl="3" w:tplc="0409000F" w:tentative="1">
      <w:start w:val="1"/>
      <w:numFmt w:val="decimal"/>
      <w:lvlText w:val="%4."/>
      <w:lvlJc w:val="left"/>
      <w:pPr>
        <w:ind w:left="2242" w:hanging="440"/>
      </w:pPr>
    </w:lvl>
    <w:lvl w:ilvl="4" w:tplc="04090019" w:tentative="1">
      <w:start w:val="1"/>
      <w:numFmt w:val="lowerLetter"/>
      <w:lvlText w:val="%5)"/>
      <w:lvlJc w:val="left"/>
      <w:pPr>
        <w:ind w:left="2682" w:hanging="440"/>
      </w:pPr>
    </w:lvl>
    <w:lvl w:ilvl="5" w:tplc="0409001B" w:tentative="1">
      <w:start w:val="1"/>
      <w:numFmt w:val="lowerRoman"/>
      <w:lvlText w:val="%6."/>
      <w:lvlJc w:val="right"/>
      <w:pPr>
        <w:ind w:left="3122" w:hanging="440"/>
      </w:pPr>
    </w:lvl>
    <w:lvl w:ilvl="6" w:tplc="0409000F" w:tentative="1">
      <w:start w:val="1"/>
      <w:numFmt w:val="decimal"/>
      <w:lvlText w:val="%7."/>
      <w:lvlJc w:val="left"/>
      <w:pPr>
        <w:ind w:left="3562" w:hanging="440"/>
      </w:pPr>
    </w:lvl>
    <w:lvl w:ilvl="7" w:tplc="04090019" w:tentative="1">
      <w:start w:val="1"/>
      <w:numFmt w:val="lowerLetter"/>
      <w:lvlText w:val="%8)"/>
      <w:lvlJc w:val="left"/>
      <w:pPr>
        <w:ind w:left="4002" w:hanging="440"/>
      </w:pPr>
    </w:lvl>
    <w:lvl w:ilvl="8" w:tplc="0409001B" w:tentative="1">
      <w:start w:val="1"/>
      <w:numFmt w:val="lowerRoman"/>
      <w:lvlText w:val="%9."/>
      <w:lvlJc w:val="right"/>
      <w:pPr>
        <w:ind w:left="4442" w:hanging="440"/>
      </w:pPr>
    </w:lvl>
  </w:abstractNum>
  <w:num w:numId="1" w16cid:durableId="2080980813">
    <w:abstractNumId w:val="22"/>
  </w:num>
  <w:num w:numId="2" w16cid:durableId="2025135062">
    <w:abstractNumId w:val="4"/>
  </w:num>
  <w:num w:numId="3" w16cid:durableId="822816356">
    <w:abstractNumId w:val="14"/>
  </w:num>
  <w:num w:numId="4" w16cid:durableId="794908443">
    <w:abstractNumId w:val="9"/>
  </w:num>
  <w:num w:numId="5" w16cid:durableId="949320769">
    <w:abstractNumId w:val="7"/>
  </w:num>
  <w:num w:numId="6" w16cid:durableId="289748839">
    <w:abstractNumId w:val="19"/>
  </w:num>
  <w:num w:numId="7" w16cid:durableId="1903059648">
    <w:abstractNumId w:val="21"/>
  </w:num>
  <w:num w:numId="8" w16cid:durableId="1272394491">
    <w:abstractNumId w:val="1"/>
  </w:num>
  <w:num w:numId="9" w16cid:durableId="139573340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62367407">
    <w:abstractNumId w:val="3"/>
  </w:num>
  <w:num w:numId="11" w16cid:durableId="983657876">
    <w:abstractNumId w:val="5"/>
  </w:num>
  <w:num w:numId="12" w16cid:durableId="231358283">
    <w:abstractNumId w:val="26"/>
  </w:num>
  <w:num w:numId="13" w16cid:durableId="823084968">
    <w:abstractNumId w:val="2"/>
  </w:num>
  <w:num w:numId="14" w16cid:durableId="264188856">
    <w:abstractNumId w:val="20"/>
  </w:num>
  <w:num w:numId="15" w16cid:durableId="30231683">
    <w:abstractNumId w:val="8"/>
  </w:num>
  <w:num w:numId="16" w16cid:durableId="856234297">
    <w:abstractNumId w:val="15"/>
  </w:num>
  <w:num w:numId="17" w16cid:durableId="238054537">
    <w:abstractNumId w:val="17"/>
  </w:num>
  <w:num w:numId="18" w16cid:durableId="2085225450">
    <w:abstractNumId w:val="24"/>
  </w:num>
  <w:num w:numId="19" w16cid:durableId="1994941027">
    <w:abstractNumId w:val="23"/>
  </w:num>
  <w:num w:numId="20" w16cid:durableId="104739186">
    <w:abstractNumId w:val="10"/>
  </w:num>
  <w:num w:numId="21" w16cid:durableId="1284459116">
    <w:abstractNumId w:val="13"/>
  </w:num>
  <w:num w:numId="22" w16cid:durableId="291373359">
    <w:abstractNumId w:val="12"/>
  </w:num>
  <w:num w:numId="23" w16cid:durableId="290943027">
    <w:abstractNumId w:val="0"/>
  </w:num>
  <w:num w:numId="24" w16cid:durableId="1829705003">
    <w:abstractNumId w:val="6"/>
  </w:num>
  <w:num w:numId="25" w16cid:durableId="666445910">
    <w:abstractNumId w:val="16"/>
  </w:num>
  <w:num w:numId="26" w16cid:durableId="620303351">
    <w:abstractNumId w:val="25"/>
  </w:num>
  <w:num w:numId="27" w16cid:durableId="1245215173">
    <w:abstractNumId w:val="11"/>
  </w:num>
  <w:num w:numId="28" w16cid:durableId="78462016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2"/>
  <w:displayVerticalDrawingGridEvery w:val="2"/>
  <w:noPunctuationKerning/>
  <w:characterSpacingControl w:val="compressPunctuation"/>
  <w:savePreviewPicture/>
  <w:doNotValidateAgainstSchema/>
  <w:doNotDemarcateInvalidXml/>
  <w:hdrShapeDefaults>
    <o:shapedefaults v:ext="edit" spidmax="2050" strokecolor="#739cc3">
      <v:fill angle="9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000D"/>
    <w:rsid w:val="00000265"/>
    <w:rsid w:val="000002C6"/>
    <w:rsid w:val="00001141"/>
    <w:rsid w:val="00001370"/>
    <w:rsid w:val="00002185"/>
    <w:rsid w:val="0000224C"/>
    <w:rsid w:val="00002487"/>
    <w:rsid w:val="000024BD"/>
    <w:rsid w:val="0000345B"/>
    <w:rsid w:val="00004877"/>
    <w:rsid w:val="000109BB"/>
    <w:rsid w:val="00011206"/>
    <w:rsid w:val="0001130A"/>
    <w:rsid w:val="000113C3"/>
    <w:rsid w:val="000149AC"/>
    <w:rsid w:val="00014ED0"/>
    <w:rsid w:val="00015340"/>
    <w:rsid w:val="000160C8"/>
    <w:rsid w:val="000217DE"/>
    <w:rsid w:val="00023DAC"/>
    <w:rsid w:val="000244F2"/>
    <w:rsid w:val="000245D5"/>
    <w:rsid w:val="00030D44"/>
    <w:rsid w:val="00033F0E"/>
    <w:rsid w:val="00037726"/>
    <w:rsid w:val="000410DE"/>
    <w:rsid w:val="0004155F"/>
    <w:rsid w:val="00041DFB"/>
    <w:rsid w:val="000429D7"/>
    <w:rsid w:val="000437B4"/>
    <w:rsid w:val="000443A2"/>
    <w:rsid w:val="000443C7"/>
    <w:rsid w:val="000450BD"/>
    <w:rsid w:val="00045D3E"/>
    <w:rsid w:val="000470DB"/>
    <w:rsid w:val="0004712B"/>
    <w:rsid w:val="00050046"/>
    <w:rsid w:val="000509D6"/>
    <w:rsid w:val="0005132E"/>
    <w:rsid w:val="00053877"/>
    <w:rsid w:val="00054030"/>
    <w:rsid w:val="0005432C"/>
    <w:rsid w:val="00054437"/>
    <w:rsid w:val="000549B1"/>
    <w:rsid w:val="00054B57"/>
    <w:rsid w:val="000551DC"/>
    <w:rsid w:val="00055B26"/>
    <w:rsid w:val="000566A7"/>
    <w:rsid w:val="000569DE"/>
    <w:rsid w:val="00057771"/>
    <w:rsid w:val="0006457B"/>
    <w:rsid w:val="00065BF8"/>
    <w:rsid w:val="00067297"/>
    <w:rsid w:val="000707F2"/>
    <w:rsid w:val="00070DD8"/>
    <w:rsid w:val="00070F04"/>
    <w:rsid w:val="00071845"/>
    <w:rsid w:val="00074429"/>
    <w:rsid w:val="00074AB4"/>
    <w:rsid w:val="000771BC"/>
    <w:rsid w:val="000772C8"/>
    <w:rsid w:val="0008001C"/>
    <w:rsid w:val="00080910"/>
    <w:rsid w:val="0008092A"/>
    <w:rsid w:val="00082268"/>
    <w:rsid w:val="000829C7"/>
    <w:rsid w:val="00083335"/>
    <w:rsid w:val="000836BB"/>
    <w:rsid w:val="00085443"/>
    <w:rsid w:val="0008587C"/>
    <w:rsid w:val="000866DC"/>
    <w:rsid w:val="000912ED"/>
    <w:rsid w:val="0009130E"/>
    <w:rsid w:val="00091954"/>
    <w:rsid w:val="000919A4"/>
    <w:rsid w:val="00092267"/>
    <w:rsid w:val="00092A8A"/>
    <w:rsid w:val="00093650"/>
    <w:rsid w:val="000941AC"/>
    <w:rsid w:val="00094532"/>
    <w:rsid w:val="0009705E"/>
    <w:rsid w:val="0009746C"/>
    <w:rsid w:val="00097CBA"/>
    <w:rsid w:val="000A01DE"/>
    <w:rsid w:val="000A1926"/>
    <w:rsid w:val="000A2C32"/>
    <w:rsid w:val="000A2DFD"/>
    <w:rsid w:val="000A37EB"/>
    <w:rsid w:val="000A3D7C"/>
    <w:rsid w:val="000A4A12"/>
    <w:rsid w:val="000A5284"/>
    <w:rsid w:val="000A5E58"/>
    <w:rsid w:val="000A7A80"/>
    <w:rsid w:val="000A7CF5"/>
    <w:rsid w:val="000B04FD"/>
    <w:rsid w:val="000B0AAF"/>
    <w:rsid w:val="000B1662"/>
    <w:rsid w:val="000B1B88"/>
    <w:rsid w:val="000B42B8"/>
    <w:rsid w:val="000B4F90"/>
    <w:rsid w:val="000B5860"/>
    <w:rsid w:val="000B6DFA"/>
    <w:rsid w:val="000B6F66"/>
    <w:rsid w:val="000C07D4"/>
    <w:rsid w:val="000C0FD1"/>
    <w:rsid w:val="000C1A2F"/>
    <w:rsid w:val="000C3D59"/>
    <w:rsid w:val="000C5871"/>
    <w:rsid w:val="000C58C3"/>
    <w:rsid w:val="000C677D"/>
    <w:rsid w:val="000C6A64"/>
    <w:rsid w:val="000C6BB7"/>
    <w:rsid w:val="000C6BD1"/>
    <w:rsid w:val="000C6DD3"/>
    <w:rsid w:val="000C7042"/>
    <w:rsid w:val="000D0F44"/>
    <w:rsid w:val="000D3306"/>
    <w:rsid w:val="000D3AE0"/>
    <w:rsid w:val="000D403A"/>
    <w:rsid w:val="000D439E"/>
    <w:rsid w:val="000D4E7F"/>
    <w:rsid w:val="000D527A"/>
    <w:rsid w:val="000D6BCB"/>
    <w:rsid w:val="000D72F1"/>
    <w:rsid w:val="000E0380"/>
    <w:rsid w:val="000E06B0"/>
    <w:rsid w:val="000E1302"/>
    <w:rsid w:val="000E136F"/>
    <w:rsid w:val="000E37E1"/>
    <w:rsid w:val="000E48EA"/>
    <w:rsid w:val="000E4F53"/>
    <w:rsid w:val="000E5A51"/>
    <w:rsid w:val="000E6308"/>
    <w:rsid w:val="000E6929"/>
    <w:rsid w:val="000E74D6"/>
    <w:rsid w:val="000F069D"/>
    <w:rsid w:val="000F0D7F"/>
    <w:rsid w:val="000F0EAB"/>
    <w:rsid w:val="000F1082"/>
    <w:rsid w:val="000F3D0F"/>
    <w:rsid w:val="000F5646"/>
    <w:rsid w:val="000F6344"/>
    <w:rsid w:val="00101066"/>
    <w:rsid w:val="00103711"/>
    <w:rsid w:val="00103ABB"/>
    <w:rsid w:val="00103E28"/>
    <w:rsid w:val="00104869"/>
    <w:rsid w:val="001060C1"/>
    <w:rsid w:val="00106203"/>
    <w:rsid w:val="00106232"/>
    <w:rsid w:val="0010680B"/>
    <w:rsid w:val="00106832"/>
    <w:rsid w:val="00112AF8"/>
    <w:rsid w:val="00112B60"/>
    <w:rsid w:val="00113493"/>
    <w:rsid w:val="00114256"/>
    <w:rsid w:val="0011451C"/>
    <w:rsid w:val="0011470F"/>
    <w:rsid w:val="00115A4C"/>
    <w:rsid w:val="001166EA"/>
    <w:rsid w:val="00117D0D"/>
    <w:rsid w:val="00117E47"/>
    <w:rsid w:val="0012123D"/>
    <w:rsid w:val="001217EC"/>
    <w:rsid w:val="001218BF"/>
    <w:rsid w:val="00121E1E"/>
    <w:rsid w:val="00122CC4"/>
    <w:rsid w:val="0012384E"/>
    <w:rsid w:val="001249EB"/>
    <w:rsid w:val="00124CEB"/>
    <w:rsid w:val="00125CCE"/>
    <w:rsid w:val="001262FC"/>
    <w:rsid w:val="00126C1D"/>
    <w:rsid w:val="00126EE2"/>
    <w:rsid w:val="001301D3"/>
    <w:rsid w:val="001302AE"/>
    <w:rsid w:val="00133639"/>
    <w:rsid w:val="00134588"/>
    <w:rsid w:val="00134937"/>
    <w:rsid w:val="0013681B"/>
    <w:rsid w:val="00137386"/>
    <w:rsid w:val="00137920"/>
    <w:rsid w:val="0014117E"/>
    <w:rsid w:val="0014153F"/>
    <w:rsid w:val="00141CC5"/>
    <w:rsid w:val="00142A92"/>
    <w:rsid w:val="00142C38"/>
    <w:rsid w:val="001436B0"/>
    <w:rsid w:val="00143D26"/>
    <w:rsid w:val="00144935"/>
    <w:rsid w:val="00144AAF"/>
    <w:rsid w:val="00147186"/>
    <w:rsid w:val="001500A2"/>
    <w:rsid w:val="001504EE"/>
    <w:rsid w:val="00150748"/>
    <w:rsid w:val="00151D99"/>
    <w:rsid w:val="00152227"/>
    <w:rsid w:val="001527A6"/>
    <w:rsid w:val="00152ECE"/>
    <w:rsid w:val="00153167"/>
    <w:rsid w:val="00153426"/>
    <w:rsid w:val="00154760"/>
    <w:rsid w:val="001550FF"/>
    <w:rsid w:val="0015540C"/>
    <w:rsid w:val="001576AF"/>
    <w:rsid w:val="00157D32"/>
    <w:rsid w:val="00160B78"/>
    <w:rsid w:val="00160D5B"/>
    <w:rsid w:val="0016123C"/>
    <w:rsid w:val="001628B4"/>
    <w:rsid w:val="00163FD3"/>
    <w:rsid w:val="00164265"/>
    <w:rsid w:val="001659A5"/>
    <w:rsid w:val="0016642D"/>
    <w:rsid w:val="0017177B"/>
    <w:rsid w:val="00172A27"/>
    <w:rsid w:val="00172D14"/>
    <w:rsid w:val="0017315F"/>
    <w:rsid w:val="00173931"/>
    <w:rsid w:val="0017433D"/>
    <w:rsid w:val="00175995"/>
    <w:rsid w:val="00175F01"/>
    <w:rsid w:val="00177F85"/>
    <w:rsid w:val="0018023C"/>
    <w:rsid w:val="00181E19"/>
    <w:rsid w:val="0018205A"/>
    <w:rsid w:val="001824ED"/>
    <w:rsid w:val="001848F3"/>
    <w:rsid w:val="0018642F"/>
    <w:rsid w:val="0018737F"/>
    <w:rsid w:val="001923EB"/>
    <w:rsid w:val="00194BB8"/>
    <w:rsid w:val="00194D70"/>
    <w:rsid w:val="00196127"/>
    <w:rsid w:val="001963F2"/>
    <w:rsid w:val="0019658D"/>
    <w:rsid w:val="00196D1C"/>
    <w:rsid w:val="00197938"/>
    <w:rsid w:val="001A01C7"/>
    <w:rsid w:val="001A0F9B"/>
    <w:rsid w:val="001A1858"/>
    <w:rsid w:val="001A2273"/>
    <w:rsid w:val="001A3592"/>
    <w:rsid w:val="001A47DB"/>
    <w:rsid w:val="001A594C"/>
    <w:rsid w:val="001A5FEF"/>
    <w:rsid w:val="001A64E9"/>
    <w:rsid w:val="001B058B"/>
    <w:rsid w:val="001B2B0D"/>
    <w:rsid w:val="001B4316"/>
    <w:rsid w:val="001B530B"/>
    <w:rsid w:val="001B6F6C"/>
    <w:rsid w:val="001C2356"/>
    <w:rsid w:val="001C324F"/>
    <w:rsid w:val="001C5C50"/>
    <w:rsid w:val="001C5DD9"/>
    <w:rsid w:val="001C7DF4"/>
    <w:rsid w:val="001D07AD"/>
    <w:rsid w:val="001D07D3"/>
    <w:rsid w:val="001D0B88"/>
    <w:rsid w:val="001D102B"/>
    <w:rsid w:val="001D1524"/>
    <w:rsid w:val="001D1F46"/>
    <w:rsid w:val="001D296B"/>
    <w:rsid w:val="001D2C93"/>
    <w:rsid w:val="001D36D9"/>
    <w:rsid w:val="001D462D"/>
    <w:rsid w:val="001D4C72"/>
    <w:rsid w:val="001D4DBA"/>
    <w:rsid w:val="001D58A7"/>
    <w:rsid w:val="001D5DDB"/>
    <w:rsid w:val="001D6A72"/>
    <w:rsid w:val="001D75C8"/>
    <w:rsid w:val="001E05A2"/>
    <w:rsid w:val="001E08A1"/>
    <w:rsid w:val="001E0F9F"/>
    <w:rsid w:val="001E1DC5"/>
    <w:rsid w:val="001E3041"/>
    <w:rsid w:val="001E3505"/>
    <w:rsid w:val="001E43EA"/>
    <w:rsid w:val="001E4927"/>
    <w:rsid w:val="001F0EA9"/>
    <w:rsid w:val="001F1A0C"/>
    <w:rsid w:val="001F2129"/>
    <w:rsid w:val="001F3364"/>
    <w:rsid w:val="001F46EB"/>
    <w:rsid w:val="001F5225"/>
    <w:rsid w:val="001F565B"/>
    <w:rsid w:val="001F615B"/>
    <w:rsid w:val="001F62AB"/>
    <w:rsid w:val="001F7334"/>
    <w:rsid w:val="00200CAF"/>
    <w:rsid w:val="00201283"/>
    <w:rsid w:val="00201427"/>
    <w:rsid w:val="002027F4"/>
    <w:rsid w:val="002035C5"/>
    <w:rsid w:val="002061DA"/>
    <w:rsid w:val="0020629A"/>
    <w:rsid w:val="00206BA9"/>
    <w:rsid w:val="002070E9"/>
    <w:rsid w:val="00207991"/>
    <w:rsid w:val="0021180C"/>
    <w:rsid w:val="002130B9"/>
    <w:rsid w:val="0021516D"/>
    <w:rsid w:val="0022001D"/>
    <w:rsid w:val="00221747"/>
    <w:rsid w:val="00222285"/>
    <w:rsid w:val="0022251F"/>
    <w:rsid w:val="0022298D"/>
    <w:rsid w:val="00222B23"/>
    <w:rsid w:val="00222C9B"/>
    <w:rsid w:val="00222D19"/>
    <w:rsid w:val="00223563"/>
    <w:rsid w:val="002243BC"/>
    <w:rsid w:val="00224AF7"/>
    <w:rsid w:val="00227B1C"/>
    <w:rsid w:val="00227B5A"/>
    <w:rsid w:val="002315E0"/>
    <w:rsid w:val="00231F32"/>
    <w:rsid w:val="00231F6C"/>
    <w:rsid w:val="00234C27"/>
    <w:rsid w:val="00234FDC"/>
    <w:rsid w:val="0023502F"/>
    <w:rsid w:val="0023643F"/>
    <w:rsid w:val="00237F6A"/>
    <w:rsid w:val="002402B8"/>
    <w:rsid w:val="00242825"/>
    <w:rsid w:val="00242D11"/>
    <w:rsid w:val="00244124"/>
    <w:rsid w:val="00244253"/>
    <w:rsid w:val="0024571B"/>
    <w:rsid w:val="00245AF4"/>
    <w:rsid w:val="00246AA6"/>
    <w:rsid w:val="00247DE9"/>
    <w:rsid w:val="002507CB"/>
    <w:rsid w:val="00250962"/>
    <w:rsid w:val="00250AB8"/>
    <w:rsid w:val="00251682"/>
    <w:rsid w:val="00251AC6"/>
    <w:rsid w:val="00251F9F"/>
    <w:rsid w:val="00252BB4"/>
    <w:rsid w:val="00252E08"/>
    <w:rsid w:val="0025527F"/>
    <w:rsid w:val="00255F4A"/>
    <w:rsid w:val="00256615"/>
    <w:rsid w:val="0025771F"/>
    <w:rsid w:val="00262EFF"/>
    <w:rsid w:val="00263862"/>
    <w:rsid w:val="00263872"/>
    <w:rsid w:val="00263A4F"/>
    <w:rsid w:val="002643B1"/>
    <w:rsid w:val="00266F13"/>
    <w:rsid w:val="002679E2"/>
    <w:rsid w:val="00270252"/>
    <w:rsid w:val="00270B78"/>
    <w:rsid w:val="002713FD"/>
    <w:rsid w:val="0027163E"/>
    <w:rsid w:val="00271B95"/>
    <w:rsid w:val="00272C6E"/>
    <w:rsid w:val="00272E49"/>
    <w:rsid w:val="00273103"/>
    <w:rsid w:val="002736E6"/>
    <w:rsid w:val="00275BBE"/>
    <w:rsid w:val="0027721F"/>
    <w:rsid w:val="002804BC"/>
    <w:rsid w:val="002805E9"/>
    <w:rsid w:val="00280D3A"/>
    <w:rsid w:val="00281606"/>
    <w:rsid w:val="002830CC"/>
    <w:rsid w:val="002835F4"/>
    <w:rsid w:val="00286592"/>
    <w:rsid w:val="00286E08"/>
    <w:rsid w:val="00286EE9"/>
    <w:rsid w:val="00286FB5"/>
    <w:rsid w:val="00287875"/>
    <w:rsid w:val="00287D97"/>
    <w:rsid w:val="00293087"/>
    <w:rsid w:val="002933A6"/>
    <w:rsid w:val="00297BBB"/>
    <w:rsid w:val="00297ED5"/>
    <w:rsid w:val="002A14C0"/>
    <w:rsid w:val="002A1DED"/>
    <w:rsid w:val="002A1E6F"/>
    <w:rsid w:val="002A39CA"/>
    <w:rsid w:val="002A3C18"/>
    <w:rsid w:val="002A73D8"/>
    <w:rsid w:val="002A73DD"/>
    <w:rsid w:val="002B1699"/>
    <w:rsid w:val="002B2275"/>
    <w:rsid w:val="002B2582"/>
    <w:rsid w:val="002B28F5"/>
    <w:rsid w:val="002B29D0"/>
    <w:rsid w:val="002B4811"/>
    <w:rsid w:val="002B6BC4"/>
    <w:rsid w:val="002B7322"/>
    <w:rsid w:val="002C0A98"/>
    <w:rsid w:val="002C1162"/>
    <w:rsid w:val="002C1ECE"/>
    <w:rsid w:val="002C2FD8"/>
    <w:rsid w:val="002C5F38"/>
    <w:rsid w:val="002C68F6"/>
    <w:rsid w:val="002C69B6"/>
    <w:rsid w:val="002C7415"/>
    <w:rsid w:val="002D0458"/>
    <w:rsid w:val="002D2A29"/>
    <w:rsid w:val="002D3C54"/>
    <w:rsid w:val="002D572C"/>
    <w:rsid w:val="002D6933"/>
    <w:rsid w:val="002D7526"/>
    <w:rsid w:val="002D7C8D"/>
    <w:rsid w:val="002E2503"/>
    <w:rsid w:val="002E329B"/>
    <w:rsid w:val="002E4609"/>
    <w:rsid w:val="002E4CDC"/>
    <w:rsid w:val="002E60E7"/>
    <w:rsid w:val="002E6A69"/>
    <w:rsid w:val="002E7928"/>
    <w:rsid w:val="002F1EE7"/>
    <w:rsid w:val="002F205A"/>
    <w:rsid w:val="002F2485"/>
    <w:rsid w:val="002F564C"/>
    <w:rsid w:val="002F5A96"/>
    <w:rsid w:val="002F691C"/>
    <w:rsid w:val="002F7ABD"/>
    <w:rsid w:val="0030106C"/>
    <w:rsid w:val="00302116"/>
    <w:rsid w:val="003022E9"/>
    <w:rsid w:val="00302AC8"/>
    <w:rsid w:val="00303BBA"/>
    <w:rsid w:val="003054AD"/>
    <w:rsid w:val="003100F2"/>
    <w:rsid w:val="003102C4"/>
    <w:rsid w:val="00310A38"/>
    <w:rsid w:val="00310D3B"/>
    <w:rsid w:val="003131EB"/>
    <w:rsid w:val="00314219"/>
    <w:rsid w:val="00314A26"/>
    <w:rsid w:val="00314AB3"/>
    <w:rsid w:val="003158B9"/>
    <w:rsid w:val="00315E47"/>
    <w:rsid w:val="003162AE"/>
    <w:rsid w:val="003166F5"/>
    <w:rsid w:val="00317303"/>
    <w:rsid w:val="00320EED"/>
    <w:rsid w:val="0032121C"/>
    <w:rsid w:val="00321DBA"/>
    <w:rsid w:val="0032370E"/>
    <w:rsid w:val="003240E8"/>
    <w:rsid w:val="00325199"/>
    <w:rsid w:val="00325ED0"/>
    <w:rsid w:val="00326AF6"/>
    <w:rsid w:val="00326CD1"/>
    <w:rsid w:val="00330335"/>
    <w:rsid w:val="00330EC0"/>
    <w:rsid w:val="00333054"/>
    <w:rsid w:val="00334496"/>
    <w:rsid w:val="00334744"/>
    <w:rsid w:val="003349B4"/>
    <w:rsid w:val="00334F4F"/>
    <w:rsid w:val="0033548C"/>
    <w:rsid w:val="00336338"/>
    <w:rsid w:val="00337794"/>
    <w:rsid w:val="00337CC3"/>
    <w:rsid w:val="00340192"/>
    <w:rsid w:val="00340E1F"/>
    <w:rsid w:val="00341988"/>
    <w:rsid w:val="00343122"/>
    <w:rsid w:val="003432FE"/>
    <w:rsid w:val="00343412"/>
    <w:rsid w:val="00343C86"/>
    <w:rsid w:val="00344CB7"/>
    <w:rsid w:val="0035072C"/>
    <w:rsid w:val="003520CA"/>
    <w:rsid w:val="00353364"/>
    <w:rsid w:val="00353D83"/>
    <w:rsid w:val="00354142"/>
    <w:rsid w:val="00354640"/>
    <w:rsid w:val="00354C62"/>
    <w:rsid w:val="0035546B"/>
    <w:rsid w:val="003571B3"/>
    <w:rsid w:val="00357638"/>
    <w:rsid w:val="00357772"/>
    <w:rsid w:val="003618A7"/>
    <w:rsid w:val="00361A63"/>
    <w:rsid w:val="00361F83"/>
    <w:rsid w:val="00363512"/>
    <w:rsid w:val="0036356F"/>
    <w:rsid w:val="00365B7F"/>
    <w:rsid w:val="00366D57"/>
    <w:rsid w:val="003678A9"/>
    <w:rsid w:val="00370299"/>
    <w:rsid w:val="00371CE0"/>
    <w:rsid w:val="003727A1"/>
    <w:rsid w:val="00372953"/>
    <w:rsid w:val="00373456"/>
    <w:rsid w:val="00374110"/>
    <w:rsid w:val="00374398"/>
    <w:rsid w:val="00376E71"/>
    <w:rsid w:val="00381872"/>
    <w:rsid w:val="003819A0"/>
    <w:rsid w:val="00382954"/>
    <w:rsid w:val="00383C36"/>
    <w:rsid w:val="00383CCA"/>
    <w:rsid w:val="0038427B"/>
    <w:rsid w:val="00384342"/>
    <w:rsid w:val="00384AAE"/>
    <w:rsid w:val="00385743"/>
    <w:rsid w:val="00385E7A"/>
    <w:rsid w:val="00386581"/>
    <w:rsid w:val="00386AC6"/>
    <w:rsid w:val="00386B88"/>
    <w:rsid w:val="00387645"/>
    <w:rsid w:val="00390120"/>
    <w:rsid w:val="00390359"/>
    <w:rsid w:val="00390B92"/>
    <w:rsid w:val="00392ACB"/>
    <w:rsid w:val="00393472"/>
    <w:rsid w:val="003936E1"/>
    <w:rsid w:val="003955DF"/>
    <w:rsid w:val="00397A44"/>
    <w:rsid w:val="00397E5E"/>
    <w:rsid w:val="003A120C"/>
    <w:rsid w:val="003A153A"/>
    <w:rsid w:val="003A2AD0"/>
    <w:rsid w:val="003A2FF4"/>
    <w:rsid w:val="003A3A15"/>
    <w:rsid w:val="003A42FC"/>
    <w:rsid w:val="003A440F"/>
    <w:rsid w:val="003A46C2"/>
    <w:rsid w:val="003B0450"/>
    <w:rsid w:val="003B172F"/>
    <w:rsid w:val="003B18E8"/>
    <w:rsid w:val="003B1DA2"/>
    <w:rsid w:val="003B2604"/>
    <w:rsid w:val="003B303C"/>
    <w:rsid w:val="003B3B19"/>
    <w:rsid w:val="003B3D8F"/>
    <w:rsid w:val="003B47F8"/>
    <w:rsid w:val="003B4ADE"/>
    <w:rsid w:val="003B4FF0"/>
    <w:rsid w:val="003B6FD3"/>
    <w:rsid w:val="003B7B5C"/>
    <w:rsid w:val="003C09B6"/>
    <w:rsid w:val="003C0F9E"/>
    <w:rsid w:val="003C13CE"/>
    <w:rsid w:val="003C3798"/>
    <w:rsid w:val="003C3DD0"/>
    <w:rsid w:val="003C44A5"/>
    <w:rsid w:val="003C5036"/>
    <w:rsid w:val="003C6EF4"/>
    <w:rsid w:val="003D0CC8"/>
    <w:rsid w:val="003D13B3"/>
    <w:rsid w:val="003D1741"/>
    <w:rsid w:val="003D17A9"/>
    <w:rsid w:val="003D1ECA"/>
    <w:rsid w:val="003D2553"/>
    <w:rsid w:val="003D4AFC"/>
    <w:rsid w:val="003D4EC6"/>
    <w:rsid w:val="003D4FAE"/>
    <w:rsid w:val="003D7279"/>
    <w:rsid w:val="003D74CF"/>
    <w:rsid w:val="003D7E43"/>
    <w:rsid w:val="003D7F81"/>
    <w:rsid w:val="003E0745"/>
    <w:rsid w:val="003E0A8F"/>
    <w:rsid w:val="003E1415"/>
    <w:rsid w:val="003E331E"/>
    <w:rsid w:val="003E3BF9"/>
    <w:rsid w:val="003E66DD"/>
    <w:rsid w:val="003E6865"/>
    <w:rsid w:val="003E77E9"/>
    <w:rsid w:val="003E790C"/>
    <w:rsid w:val="003E7A66"/>
    <w:rsid w:val="003F1808"/>
    <w:rsid w:val="003F1B13"/>
    <w:rsid w:val="003F3618"/>
    <w:rsid w:val="003F36B1"/>
    <w:rsid w:val="003F4536"/>
    <w:rsid w:val="003F593E"/>
    <w:rsid w:val="003F7476"/>
    <w:rsid w:val="003F771B"/>
    <w:rsid w:val="003F7F10"/>
    <w:rsid w:val="00400299"/>
    <w:rsid w:val="004005F1"/>
    <w:rsid w:val="004009B8"/>
    <w:rsid w:val="00404D3D"/>
    <w:rsid w:val="0040609E"/>
    <w:rsid w:val="00407AD8"/>
    <w:rsid w:val="00407DFF"/>
    <w:rsid w:val="004109CD"/>
    <w:rsid w:val="004122DE"/>
    <w:rsid w:val="00413A3E"/>
    <w:rsid w:val="00413EC5"/>
    <w:rsid w:val="00414732"/>
    <w:rsid w:val="004157CB"/>
    <w:rsid w:val="0041683E"/>
    <w:rsid w:val="00417215"/>
    <w:rsid w:val="00417EE5"/>
    <w:rsid w:val="004203E6"/>
    <w:rsid w:val="004204AC"/>
    <w:rsid w:val="00423219"/>
    <w:rsid w:val="0042357C"/>
    <w:rsid w:val="00424096"/>
    <w:rsid w:val="00424910"/>
    <w:rsid w:val="00425177"/>
    <w:rsid w:val="00426497"/>
    <w:rsid w:val="00430D57"/>
    <w:rsid w:val="00431D69"/>
    <w:rsid w:val="00435369"/>
    <w:rsid w:val="004366B8"/>
    <w:rsid w:val="00436BBE"/>
    <w:rsid w:val="00441B07"/>
    <w:rsid w:val="0044236C"/>
    <w:rsid w:val="00444069"/>
    <w:rsid w:val="0044447A"/>
    <w:rsid w:val="00444C83"/>
    <w:rsid w:val="0044584A"/>
    <w:rsid w:val="00445ED8"/>
    <w:rsid w:val="00446B2D"/>
    <w:rsid w:val="004473AD"/>
    <w:rsid w:val="004507FB"/>
    <w:rsid w:val="00450869"/>
    <w:rsid w:val="004509EE"/>
    <w:rsid w:val="004516CE"/>
    <w:rsid w:val="00452A9B"/>
    <w:rsid w:val="00452AB6"/>
    <w:rsid w:val="004537B3"/>
    <w:rsid w:val="00453D7F"/>
    <w:rsid w:val="0045794E"/>
    <w:rsid w:val="00461A3D"/>
    <w:rsid w:val="00461F80"/>
    <w:rsid w:val="00462A02"/>
    <w:rsid w:val="004651E3"/>
    <w:rsid w:val="004669AB"/>
    <w:rsid w:val="004704F5"/>
    <w:rsid w:val="004709B5"/>
    <w:rsid w:val="00471A5E"/>
    <w:rsid w:val="00471F50"/>
    <w:rsid w:val="00475913"/>
    <w:rsid w:val="0047606E"/>
    <w:rsid w:val="00481512"/>
    <w:rsid w:val="004821C6"/>
    <w:rsid w:val="004845AF"/>
    <w:rsid w:val="004854F9"/>
    <w:rsid w:val="00485B98"/>
    <w:rsid w:val="004868DE"/>
    <w:rsid w:val="00487DED"/>
    <w:rsid w:val="004906B8"/>
    <w:rsid w:val="004907CA"/>
    <w:rsid w:val="004910CC"/>
    <w:rsid w:val="00492A05"/>
    <w:rsid w:val="00494450"/>
    <w:rsid w:val="004944C8"/>
    <w:rsid w:val="0049578F"/>
    <w:rsid w:val="00496296"/>
    <w:rsid w:val="00496347"/>
    <w:rsid w:val="00497D89"/>
    <w:rsid w:val="004A00FC"/>
    <w:rsid w:val="004A0885"/>
    <w:rsid w:val="004A0C5C"/>
    <w:rsid w:val="004A1E00"/>
    <w:rsid w:val="004A4021"/>
    <w:rsid w:val="004A43FE"/>
    <w:rsid w:val="004B0662"/>
    <w:rsid w:val="004B07DC"/>
    <w:rsid w:val="004B092F"/>
    <w:rsid w:val="004B23CA"/>
    <w:rsid w:val="004B2D82"/>
    <w:rsid w:val="004B3C16"/>
    <w:rsid w:val="004B5935"/>
    <w:rsid w:val="004B5DFD"/>
    <w:rsid w:val="004C2B0E"/>
    <w:rsid w:val="004C3306"/>
    <w:rsid w:val="004C3D57"/>
    <w:rsid w:val="004C3FE6"/>
    <w:rsid w:val="004C54C9"/>
    <w:rsid w:val="004C57D3"/>
    <w:rsid w:val="004C6C4E"/>
    <w:rsid w:val="004C721A"/>
    <w:rsid w:val="004C7508"/>
    <w:rsid w:val="004D00ED"/>
    <w:rsid w:val="004D070B"/>
    <w:rsid w:val="004D0775"/>
    <w:rsid w:val="004D0DA6"/>
    <w:rsid w:val="004D218C"/>
    <w:rsid w:val="004D30D2"/>
    <w:rsid w:val="004D3205"/>
    <w:rsid w:val="004D3455"/>
    <w:rsid w:val="004D346D"/>
    <w:rsid w:val="004D6542"/>
    <w:rsid w:val="004D664F"/>
    <w:rsid w:val="004D66E0"/>
    <w:rsid w:val="004D6AED"/>
    <w:rsid w:val="004D70ED"/>
    <w:rsid w:val="004D71C9"/>
    <w:rsid w:val="004D793E"/>
    <w:rsid w:val="004E05B7"/>
    <w:rsid w:val="004E2389"/>
    <w:rsid w:val="004E2C36"/>
    <w:rsid w:val="004E2EE3"/>
    <w:rsid w:val="004E5A7A"/>
    <w:rsid w:val="004E600B"/>
    <w:rsid w:val="004E68BC"/>
    <w:rsid w:val="004E7562"/>
    <w:rsid w:val="004F0BDF"/>
    <w:rsid w:val="004F0F4C"/>
    <w:rsid w:val="004F105E"/>
    <w:rsid w:val="004F144F"/>
    <w:rsid w:val="004F152A"/>
    <w:rsid w:val="004F1AD2"/>
    <w:rsid w:val="004F307C"/>
    <w:rsid w:val="004F3E1A"/>
    <w:rsid w:val="004F426D"/>
    <w:rsid w:val="004F550B"/>
    <w:rsid w:val="004F5C00"/>
    <w:rsid w:val="004F5D92"/>
    <w:rsid w:val="004F638D"/>
    <w:rsid w:val="004F6A69"/>
    <w:rsid w:val="004F70A0"/>
    <w:rsid w:val="004F7ADA"/>
    <w:rsid w:val="00500D1B"/>
    <w:rsid w:val="00500EF0"/>
    <w:rsid w:val="00501720"/>
    <w:rsid w:val="00501A42"/>
    <w:rsid w:val="00504DEF"/>
    <w:rsid w:val="0050514B"/>
    <w:rsid w:val="00505508"/>
    <w:rsid w:val="0050550E"/>
    <w:rsid w:val="00505C59"/>
    <w:rsid w:val="00506CCF"/>
    <w:rsid w:val="00510536"/>
    <w:rsid w:val="005106FA"/>
    <w:rsid w:val="00511635"/>
    <w:rsid w:val="00513901"/>
    <w:rsid w:val="00513ECE"/>
    <w:rsid w:val="00514090"/>
    <w:rsid w:val="00514544"/>
    <w:rsid w:val="00514B84"/>
    <w:rsid w:val="00515683"/>
    <w:rsid w:val="00516EDA"/>
    <w:rsid w:val="00517067"/>
    <w:rsid w:val="005174BF"/>
    <w:rsid w:val="00520496"/>
    <w:rsid w:val="00520F61"/>
    <w:rsid w:val="0052110B"/>
    <w:rsid w:val="00522DA9"/>
    <w:rsid w:val="0052439B"/>
    <w:rsid w:val="005245EB"/>
    <w:rsid w:val="0052510D"/>
    <w:rsid w:val="00526556"/>
    <w:rsid w:val="005309A2"/>
    <w:rsid w:val="00530A86"/>
    <w:rsid w:val="0053281B"/>
    <w:rsid w:val="00534758"/>
    <w:rsid w:val="0053666E"/>
    <w:rsid w:val="00537383"/>
    <w:rsid w:val="00540180"/>
    <w:rsid w:val="0054072A"/>
    <w:rsid w:val="00540B12"/>
    <w:rsid w:val="00540EFF"/>
    <w:rsid w:val="005414DF"/>
    <w:rsid w:val="00541736"/>
    <w:rsid w:val="00541B92"/>
    <w:rsid w:val="00542574"/>
    <w:rsid w:val="005434F9"/>
    <w:rsid w:val="00544224"/>
    <w:rsid w:val="0054485B"/>
    <w:rsid w:val="00544A7B"/>
    <w:rsid w:val="00544DE1"/>
    <w:rsid w:val="00546243"/>
    <w:rsid w:val="005508B4"/>
    <w:rsid w:val="00554155"/>
    <w:rsid w:val="00554B3A"/>
    <w:rsid w:val="00555690"/>
    <w:rsid w:val="00557E9F"/>
    <w:rsid w:val="00560AD0"/>
    <w:rsid w:val="00561409"/>
    <w:rsid w:val="005617D5"/>
    <w:rsid w:val="00561C10"/>
    <w:rsid w:val="00563E3C"/>
    <w:rsid w:val="00564CA8"/>
    <w:rsid w:val="0056554F"/>
    <w:rsid w:val="00565F0C"/>
    <w:rsid w:val="0056611C"/>
    <w:rsid w:val="005715BB"/>
    <w:rsid w:val="005718EF"/>
    <w:rsid w:val="00572961"/>
    <w:rsid w:val="0057356B"/>
    <w:rsid w:val="00575EF1"/>
    <w:rsid w:val="00580DEF"/>
    <w:rsid w:val="00581152"/>
    <w:rsid w:val="00581670"/>
    <w:rsid w:val="0058171F"/>
    <w:rsid w:val="00581AE8"/>
    <w:rsid w:val="0058302E"/>
    <w:rsid w:val="00584C26"/>
    <w:rsid w:val="0058544C"/>
    <w:rsid w:val="005861F1"/>
    <w:rsid w:val="00586A5F"/>
    <w:rsid w:val="005901FE"/>
    <w:rsid w:val="00590C71"/>
    <w:rsid w:val="00590FD7"/>
    <w:rsid w:val="00592F17"/>
    <w:rsid w:val="00596D56"/>
    <w:rsid w:val="00597598"/>
    <w:rsid w:val="005976C0"/>
    <w:rsid w:val="005A054B"/>
    <w:rsid w:val="005A09B4"/>
    <w:rsid w:val="005A2B65"/>
    <w:rsid w:val="005A3440"/>
    <w:rsid w:val="005B03AB"/>
    <w:rsid w:val="005B0A49"/>
    <w:rsid w:val="005B0BEC"/>
    <w:rsid w:val="005B0D16"/>
    <w:rsid w:val="005B1802"/>
    <w:rsid w:val="005B32E0"/>
    <w:rsid w:val="005B5C57"/>
    <w:rsid w:val="005B67E1"/>
    <w:rsid w:val="005B6B3E"/>
    <w:rsid w:val="005B709B"/>
    <w:rsid w:val="005C0813"/>
    <w:rsid w:val="005C36F9"/>
    <w:rsid w:val="005C3B68"/>
    <w:rsid w:val="005C45C0"/>
    <w:rsid w:val="005C4F7D"/>
    <w:rsid w:val="005C4FA0"/>
    <w:rsid w:val="005C61A9"/>
    <w:rsid w:val="005C69ED"/>
    <w:rsid w:val="005C72CA"/>
    <w:rsid w:val="005D142A"/>
    <w:rsid w:val="005D1D87"/>
    <w:rsid w:val="005D27DF"/>
    <w:rsid w:val="005D2D51"/>
    <w:rsid w:val="005D37BB"/>
    <w:rsid w:val="005D46A5"/>
    <w:rsid w:val="005D5D42"/>
    <w:rsid w:val="005D6901"/>
    <w:rsid w:val="005D7624"/>
    <w:rsid w:val="005E0378"/>
    <w:rsid w:val="005E0743"/>
    <w:rsid w:val="005E129F"/>
    <w:rsid w:val="005E1DFC"/>
    <w:rsid w:val="005E2CC7"/>
    <w:rsid w:val="005E2FE4"/>
    <w:rsid w:val="005E38C9"/>
    <w:rsid w:val="005E3F24"/>
    <w:rsid w:val="005E47AA"/>
    <w:rsid w:val="005E4BBA"/>
    <w:rsid w:val="005E577B"/>
    <w:rsid w:val="005E5E23"/>
    <w:rsid w:val="005E5FCF"/>
    <w:rsid w:val="005E5FE9"/>
    <w:rsid w:val="005E7843"/>
    <w:rsid w:val="005E784D"/>
    <w:rsid w:val="005F14AA"/>
    <w:rsid w:val="005F1CBF"/>
    <w:rsid w:val="005F1FFA"/>
    <w:rsid w:val="005F25C4"/>
    <w:rsid w:val="005F2CF5"/>
    <w:rsid w:val="005F2E7B"/>
    <w:rsid w:val="005F479F"/>
    <w:rsid w:val="005F52D5"/>
    <w:rsid w:val="005F7477"/>
    <w:rsid w:val="005F7E29"/>
    <w:rsid w:val="006005FE"/>
    <w:rsid w:val="00600EE5"/>
    <w:rsid w:val="0060121C"/>
    <w:rsid w:val="00601953"/>
    <w:rsid w:val="006026C9"/>
    <w:rsid w:val="00603224"/>
    <w:rsid w:val="00603A48"/>
    <w:rsid w:val="00603D6D"/>
    <w:rsid w:val="00604E0C"/>
    <w:rsid w:val="00604E9A"/>
    <w:rsid w:val="006050BC"/>
    <w:rsid w:val="006054E0"/>
    <w:rsid w:val="00605E30"/>
    <w:rsid w:val="00606C87"/>
    <w:rsid w:val="006074C7"/>
    <w:rsid w:val="00611E19"/>
    <w:rsid w:val="00613490"/>
    <w:rsid w:val="006136C2"/>
    <w:rsid w:val="0061592A"/>
    <w:rsid w:val="00615F1F"/>
    <w:rsid w:val="006169C4"/>
    <w:rsid w:val="00617469"/>
    <w:rsid w:val="00620369"/>
    <w:rsid w:val="006207B5"/>
    <w:rsid w:val="006207D0"/>
    <w:rsid w:val="006222D0"/>
    <w:rsid w:val="00623763"/>
    <w:rsid w:val="00624295"/>
    <w:rsid w:val="0062446B"/>
    <w:rsid w:val="00624900"/>
    <w:rsid w:val="00624BE2"/>
    <w:rsid w:val="00625E27"/>
    <w:rsid w:val="0062603C"/>
    <w:rsid w:val="0062615A"/>
    <w:rsid w:val="006268A6"/>
    <w:rsid w:val="00627A9A"/>
    <w:rsid w:val="006304D0"/>
    <w:rsid w:val="00630A31"/>
    <w:rsid w:val="00632C98"/>
    <w:rsid w:val="00633D9D"/>
    <w:rsid w:val="0063441E"/>
    <w:rsid w:val="00634F3F"/>
    <w:rsid w:val="00635DF8"/>
    <w:rsid w:val="00636435"/>
    <w:rsid w:val="00636539"/>
    <w:rsid w:val="006367E2"/>
    <w:rsid w:val="00636F14"/>
    <w:rsid w:val="00637B72"/>
    <w:rsid w:val="00640BDB"/>
    <w:rsid w:val="0064176D"/>
    <w:rsid w:val="00642370"/>
    <w:rsid w:val="006426D8"/>
    <w:rsid w:val="006446D1"/>
    <w:rsid w:val="00646A6A"/>
    <w:rsid w:val="0065051A"/>
    <w:rsid w:val="00652349"/>
    <w:rsid w:val="00652386"/>
    <w:rsid w:val="00652620"/>
    <w:rsid w:val="006526A5"/>
    <w:rsid w:val="006528F6"/>
    <w:rsid w:val="00652C78"/>
    <w:rsid w:val="00653EE2"/>
    <w:rsid w:val="006547E9"/>
    <w:rsid w:val="00654B83"/>
    <w:rsid w:val="006557B7"/>
    <w:rsid w:val="006558DB"/>
    <w:rsid w:val="00657325"/>
    <w:rsid w:val="00660F29"/>
    <w:rsid w:val="00661C34"/>
    <w:rsid w:val="006621C6"/>
    <w:rsid w:val="00662325"/>
    <w:rsid w:val="00663232"/>
    <w:rsid w:val="00663516"/>
    <w:rsid w:val="0066356B"/>
    <w:rsid w:val="00670203"/>
    <w:rsid w:val="006703B5"/>
    <w:rsid w:val="006703B7"/>
    <w:rsid w:val="00671AF3"/>
    <w:rsid w:val="00671FE6"/>
    <w:rsid w:val="0067235B"/>
    <w:rsid w:val="00672461"/>
    <w:rsid w:val="00672D30"/>
    <w:rsid w:val="006734B7"/>
    <w:rsid w:val="00674785"/>
    <w:rsid w:val="00674C24"/>
    <w:rsid w:val="00676002"/>
    <w:rsid w:val="006776AB"/>
    <w:rsid w:val="00681116"/>
    <w:rsid w:val="00681E5C"/>
    <w:rsid w:val="00682EDB"/>
    <w:rsid w:val="00683106"/>
    <w:rsid w:val="006840A9"/>
    <w:rsid w:val="0068411C"/>
    <w:rsid w:val="0068459D"/>
    <w:rsid w:val="00684B82"/>
    <w:rsid w:val="00684FDF"/>
    <w:rsid w:val="006850BB"/>
    <w:rsid w:val="00686B07"/>
    <w:rsid w:val="00686DC8"/>
    <w:rsid w:val="00687863"/>
    <w:rsid w:val="0069058A"/>
    <w:rsid w:val="0069085A"/>
    <w:rsid w:val="0069231B"/>
    <w:rsid w:val="00692AE9"/>
    <w:rsid w:val="0069343A"/>
    <w:rsid w:val="00694577"/>
    <w:rsid w:val="00694DED"/>
    <w:rsid w:val="00695FE3"/>
    <w:rsid w:val="00696CA5"/>
    <w:rsid w:val="006A1468"/>
    <w:rsid w:val="006A18D2"/>
    <w:rsid w:val="006A1CAC"/>
    <w:rsid w:val="006A3626"/>
    <w:rsid w:val="006A39CF"/>
    <w:rsid w:val="006A4371"/>
    <w:rsid w:val="006A4635"/>
    <w:rsid w:val="006A4AD3"/>
    <w:rsid w:val="006A5CB2"/>
    <w:rsid w:val="006A6456"/>
    <w:rsid w:val="006A74F8"/>
    <w:rsid w:val="006B02FD"/>
    <w:rsid w:val="006B1336"/>
    <w:rsid w:val="006B234A"/>
    <w:rsid w:val="006B27A6"/>
    <w:rsid w:val="006B506F"/>
    <w:rsid w:val="006B6212"/>
    <w:rsid w:val="006B62CC"/>
    <w:rsid w:val="006B658C"/>
    <w:rsid w:val="006B6641"/>
    <w:rsid w:val="006B681A"/>
    <w:rsid w:val="006B7DD1"/>
    <w:rsid w:val="006B7F41"/>
    <w:rsid w:val="006C24B7"/>
    <w:rsid w:val="006C25CC"/>
    <w:rsid w:val="006C306D"/>
    <w:rsid w:val="006C44D5"/>
    <w:rsid w:val="006C4DED"/>
    <w:rsid w:val="006C519E"/>
    <w:rsid w:val="006C76EF"/>
    <w:rsid w:val="006D07DD"/>
    <w:rsid w:val="006D12C7"/>
    <w:rsid w:val="006D3265"/>
    <w:rsid w:val="006D32AF"/>
    <w:rsid w:val="006D4F0D"/>
    <w:rsid w:val="006D4F97"/>
    <w:rsid w:val="006D5207"/>
    <w:rsid w:val="006D5A4C"/>
    <w:rsid w:val="006D63BB"/>
    <w:rsid w:val="006D7105"/>
    <w:rsid w:val="006D72AD"/>
    <w:rsid w:val="006E1C8E"/>
    <w:rsid w:val="006E2252"/>
    <w:rsid w:val="006E3A5B"/>
    <w:rsid w:val="006E7C02"/>
    <w:rsid w:val="006F00AF"/>
    <w:rsid w:val="006F0593"/>
    <w:rsid w:val="006F14FB"/>
    <w:rsid w:val="006F1591"/>
    <w:rsid w:val="006F1981"/>
    <w:rsid w:val="006F1E66"/>
    <w:rsid w:val="006F2534"/>
    <w:rsid w:val="006F3C90"/>
    <w:rsid w:val="006F5ABE"/>
    <w:rsid w:val="006F6685"/>
    <w:rsid w:val="006F6A42"/>
    <w:rsid w:val="006F6D49"/>
    <w:rsid w:val="006F7542"/>
    <w:rsid w:val="0070007B"/>
    <w:rsid w:val="00700340"/>
    <w:rsid w:val="00700A5B"/>
    <w:rsid w:val="00702F0E"/>
    <w:rsid w:val="00704A4F"/>
    <w:rsid w:val="00704CEC"/>
    <w:rsid w:val="007050CF"/>
    <w:rsid w:val="0070541E"/>
    <w:rsid w:val="007056EC"/>
    <w:rsid w:val="00705AE7"/>
    <w:rsid w:val="00706C9E"/>
    <w:rsid w:val="007070D3"/>
    <w:rsid w:val="00707549"/>
    <w:rsid w:val="0071087A"/>
    <w:rsid w:val="007112A9"/>
    <w:rsid w:val="00712577"/>
    <w:rsid w:val="00713E85"/>
    <w:rsid w:val="00714238"/>
    <w:rsid w:val="00715CCE"/>
    <w:rsid w:val="00715CE8"/>
    <w:rsid w:val="00716342"/>
    <w:rsid w:val="00716435"/>
    <w:rsid w:val="00716722"/>
    <w:rsid w:val="0071750C"/>
    <w:rsid w:val="00720639"/>
    <w:rsid w:val="007217E2"/>
    <w:rsid w:val="007218EA"/>
    <w:rsid w:val="00721FF2"/>
    <w:rsid w:val="007226D8"/>
    <w:rsid w:val="007247C2"/>
    <w:rsid w:val="00725465"/>
    <w:rsid w:val="00725D05"/>
    <w:rsid w:val="007301DB"/>
    <w:rsid w:val="00733124"/>
    <w:rsid w:val="00734F91"/>
    <w:rsid w:val="00735277"/>
    <w:rsid w:val="007359BD"/>
    <w:rsid w:val="0073705B"/>
    <w:rsid w:val="00741AF0"/>
    <w:rsid w:val="007426F7"/>
    <w:rsid w:val="00742C8A"/>
    <w:rsid w:val="00743BA7"/>
    <w:rsid w:val="0074619E"/>
    <w:rsid w:val="007470CC"/>
    <w:rsid w:val="007516BD"/>
    <w:rsid w:val="00751BB5"/>
    <w:rsid w:val="0075264E"/>
    <w:rsid w:val="00754410"/>
    <w:rsid w:val="0075681C"/>
    <w:rsid w:val="0075685A"/>
    <w:rsid w:val="00756D4D"/>
    <w:rsid w:val="00757C62"/>
    <w:rsid w:val="0076010D"/>
    <w:rsid w:val="00760777"/>
    <w:rsid w:val="00760862"/>
    <w:rsid w:val="00761CF4"/>
    <w:rsid w:val="00764C98"/>
    <w:rsid w:val="00767FAD"/>
    <w:rsid w:val="00770047"/>
    <w:rsid w:val="007709DD"/>
    <w:rsid w:val="00770B9E"/>
    <w:rsid w:val="00771DC0"/>
    <w:rsid w:val="00771FFC"/>
    <w:rsid w:val="007736E4"/>
    <w:rsid w:val="007743D1"/>
    <w:rsid w:val="00775956"/>
    <w:rsid w:val="007761C5"/>
    <w:rsid w:val="0077620A"/>
    <w:rsid w:val="0077688F"/>
    <w:rsid w:val="007770DF"/>
    <w:rsid w:val="00777A4B"/>
    <w:rsid w:val="00777BBE"/>
    <w:rsid w:val="00780F6A"/>
    <w:rsid w:val="0078191E"/>
    <w:rsid w:val="00782016"/>
    <w:rsid w:val="0078356E"/>
    <w:rsid w:val="007853C6"/>
    <w:rsid w:val="00785E10"/>
    <w:rsid w:val="00785E52"/>
    <w:rsid w:val="007860F9"/>
    <w:rsid w:val="0078635F"/>
    <w:rsid w:val="00786C76"/>
    <w:rsid w:val="00787136"/>
    <w:rsid w:val="00790BA7"/>
    <w:rsid w:val="007917B1"/>
    <w:rsid w:val="00792219"/>
    <w:rsid w:val="007943F0"/>
    <w:rsid w:val="00795332"/>
    <w:rsid w:val="00796486"/>
    <w:rsid w:val="007965CF"/>
    <w:rsid w:val="00796E02"/>
    <w:rsid w:val="00796F4A"/>
    <w:rsid w:val="0079782A"/>
    <w:rsid w:val="007A02D0"/>
    <w:rsid w:val="007A1248"/>
    <w:rsid w:val="007A22B9"/>
    <w:rsid w:val="007A246A"/>
    <w:rsid w:val="007A3479"/>
    <w:rsid w:val="007A3B73"/>
    <w:rsid w:val="007A40B7"/>
    <w:rsid w:val="007A47A2"/>
    <w:rsid w:val="007A4BCF"/>
    <w:rsid w:val="007A580B"/>
    <w:rsid w:val="007A624C"/>
    <w:rsid w:val="007A68FC"/>
    <w:rsid w:val="007A6B03"/>
    <w:rsid w:val="007A7D36"/>
    <w:rsid w:val="007A7F18"/>
    <w:rsid w:val="007B08F5"/>
    <w:rsid w:val="007B0C7A"/>
    <w:rsid w:val="007B2B7F"/>
    <w:rsid w:val="007B2FFB"/>
    <w:rsid w:val="007B41C3"/>
    <w:rsid w:val="007B58A8"/>
    <w:rsid w:val="007B6503"/>
    <w:rsid w:val="007B73B8"/>
    <w:rsid w:val="007C1492"/>
    <w:rsid w:val="007C2106"/>
    <w:rsid w:val="007C26CB"/>
    <w:rsid w:val="007C29CB"/>
    <w:rsid w:val="007C425E"/>
    <w:rsid w:val="007C4A71"/>
    <w:rsid w:val="007C656E"/>
    <w:rsid w:val="007C7F78"/>
    <w:rsid w:val="007D01BC"/>
    <w:rsid w:val="007D13E2"/>
    <w:rsid w:val="007D17B2"/>
    <w:rsid w:val="007D1E05"/>
    <w:rsid w:val="007D41D4"/>
    <w:rsid w:val="007D6C25"/>
    <w:rsid w:val="007D6F68"/>
    <w:rsid w:val="007D72A0"/>
    <w:rsid w:val="007E002A"/>
    <w:rsid w:val="007E00B1"/>
    <w:rsid w:val="007E158F"/>
    <w:rsid w:val="007E286B"/>
    <w:rsid w:val="007E2C05"/>
    <w:rsid w:val="007E4203"/>
    <w:rsid w:val="007E42BD"/>
    <w:rsid w:val="007E4DE2"/>
    <w:rsid w:val="007E4F5B"/>
    <w:rsid w:val="007E550E"/>
    <w:rsid w:val="007E6025"/>
    <w:rsid w:val="007E76EC"/>
    <w:rsid w:val="007E7E32"/>
    <w:rsid w:val="007F0214"/>
    <w:rsid w:val="007F0219"/>
    <w:rsid w:val="007F07B4"/>
    <w:rsid w:val="007F1167"/>
    <w:rsid w:val="007F1F33"/>
    <w:rsid w:val="007F29A9"/>
    <w:rsid w:val="007F2DD5"/>
    <w:rsid w:val="007F32DA"/>
    <w:rsid w:val="007F3528"/>
    <w:rsid w:val="007F4F16"/>
    <w:rsid w:val="007F559D"/>
    <w:rsid w:val="007F5671"/>
    <w:rsid w:val="007F5FEC"/>
    <w:rsid w:val="007F61EB"/>
    <w:rsid w:val="007F6957"/>
    <w:rsid w:val="008005BE"/>
    <w:rsid w:val="00800E9A"/>
    <w:rsid w:val="00801811"/>
    <w:rsid w:val="00803061"/>
    <w:rsid w:val="008043FE"/>
    <w:rsid w:val="008049DB"/>
    <w:rsid w:val="00805871"/>
    <w:rsid w:val="00807386"/>
    <w:rsid w:val="00810A71"/>
    <w:rsid w:val="0081109C"/>
    <w:rsid w:val="0081133C"/>
    <w:rsid w:val="00811D66"/>
    <w:rsid w:val="00812AD9"/>
    <w:rsid w:val="00813868"/>
    <w:rsid w:val="00814618"/>
    <w:rsid w:val="00815383"/>
    <w:rsid w:val="00815598"/>
    <w:rsid w:val="008156D7"/>
    <w:rsid w:val="0081701E"/>
    <w:rsid w:val="00817039"/>
    <w:rsid w:val="00820E46"/>
    <w:rsid w:val="00822C67"/>
    <w:rsid w:val="00823EEE"/>
    <w:rsid w:val="00826141"/>
    <w:rsid w:val="00826949"/>
    <w:rsid w:val="00827EAB"/>
    <w:rsid w:val="00830D20"/>
    <w:rsid w:val="008322DF"/>
    <w:rsid w:val="00832AD0"/>
    <w:rsid w:val="00834764"/>
    <w:rsid w:val="008357B8"/>
    <w:rsid w:val="00835C4E"/>
    <w:rsid w:val="0083652F"/>
    <w:rsid w:val="00836576"/>
    <w:rsid w:val="00837715"/>
    <w:rsid w:val="00840277"/>
    <w:rsid w:val="008430D1"/>
    <w:rsid w:val="00843C87"/>
    <w:rsid w:val="008442A7"/>
    <w:rsid w:val="008444AB"/>
    <w:rsid w:val="008449C7"/>
    <w:rsid w:val="0084549D"/>
    <w:rsid w:val="008457E2"/>
    <w:rsid w:val="00845B2A"/>
    <w:rsid w:val="00846033"/>
    <w:rsid w:val="00851657"/>
    <w:rsid w:val="00851C39"/>
    <w:rsid w:val="0085210F"/>
    <w:rsid w:val="0085319D"/>
    <w:rsid w:val="008533A2"/>
    <w:rsid w:val="0085497C"/>
    <w:rsid w:val="00855E5E"/>
    <w:rsid w:val="00855E6D"/>
    <w:rsid w:val="00855FAA"/>
    <w:rsid w:val="008572F0"/>
    <w:rsid w:val="00861038"/>
    <w:rsid w:val="00862081"/>
    <w:rsid w:val="008620AB"/>
    <w:rsid w:val="00862414"/>
    <w:rsid w:val="008629F5"/>
    <w:rsid w:val="0086553D"/>
    <w:rsid w:val="008655A3"/>
    <w:rsid w:val="00866218"/>
    <w:rsid w:val="00866990"/>
    <w:rsid w:val="00866A66"/>
    <w:rsid w:val="00866FCD"/>
    <w:rsid w:val="00870333"/>
    <w:rsid w:val="00870BD5"/>
    <w:rsid w:val="0087106E"/>
    <w:rsid w:val="00871447"/>
    <w:rsid w:val="0087230C"/>
    <w:rsid w:val="00872675"/>
    <w:rsid w:val="0087514E"/>
    <w:rsid w:val="00876070"/>
    <w:rsid w:val="00876393"/>
    <w:rsid w:val="0088004D"/>
    <w:rsid w:val="00880418"/>
    <w:rsid w:val="008804A3"/>
    <w:rsid w:val="00881807"/>
    <w:rsid w:val="00881867"/>
    <w:rsid w:val="00882B65"/>
    <w:rsid w:val="00882C72"/>
    <w:rsid w:val="008844FF"/>
    <w:rsid w:val="0088494E"/>
    <w:rsid w:val="00884E45"/>
    <w:rsid w:val="0088764E"/>
    <w:rsid w:val="00887F1B"/>
    <w:rsid w:val="008901A8"/>
    <w:rsid w:val="00890477"/>
    <w:rsid w:val="008907F3"/>
    <w:rsid w:val="0089087E"/>
    <w:rsid w:val="00892A52"/>
    <w:rsid w:val="00892B5F"/>
    <w:rsid w:val="00894AA1"/>
    <w:rsid w:val="00895164"/>
    <w:rsid w:val="008959A5"/>
    <w:rsid w:val="00895A74"/>
    <w:rsid w:val="008A05F9"/>
    <w:rsid w:val="008A0BEE"/>
    <w:rsid w:val="008A1BDD"/>
    <w:rsid w:val="008A2462"/>
    <w:rsid w:val="008A2998"/>
    <w:rsid w:val="008A2C12"/>
    <w:rsid w:val="008A3054"/>
    <w:rsid w:val="008A3AEF"/>
    <w:rsid w:val="008A5C27"/>
    <w:rsid w:val="008A61F1"/>
    <w:rsid w:val="008A72EC"/>
    <w:rsid w:val="008B0EE6"/>
    <w:rsid w:val="008B1B87"/>
    <w:rsid w:val="008B1BBE"/>
    <w:rsid w:val="008B2CA5"/>
    <w:rsid w:val="008B3989"/>
    <w:rsid w:val="008B4496"/>
    <w:rsid w:val="008B5555"/>
    <w:rsid w:val="008B61CB"/>
    <w:rsid w:val="008B6E00"/>
    <w:rsid w:val="008B7CCB"/>
    <w:rsid w:val="008C2292"/>
    <w:rsid w:val="008C240E"/>
    <w:rsid w:val="008C35E5"/>
    <w:rsid w:val="008C5DAC"/>
    <w:rsid w:val="008C6593"/>
    <w:rsid w:val="008C6EA1"/>
    <w:rsid w:val="008C71F2"/>
    <w:rsid w:val="008D0429"/>
    <w:rsid w:val="008D1F0E"/>
    <w:rsid w:val="008D76EC"/>
    <w:rsid w:val="008D7CF7"/>
    <w:rsid w:val="008E0E71"/>
    <w:rsid w:val="008E331B"/>
    <w:rsid w:val="008E39A2"/>
    <w:rsid w:val="008E40D9"/>
    <w:rsid w:val="008E40FC"/>
    <w:rsid w:val="008E487F"/>
    <w:rsid w:val="008E521F"/>
    <w:rsid w:val="008E5CDE"/>
    <w:rsid w:val="008E5E5C"/>
    <w:rsid w:val="008E6849"/>
    <w:rsid w:val="008E6C5E"/>
    <w:rsid w:val="008E7498"/>
    <w:rsid w:val="008F10AF"/>
    <w:rsid w:val="008F15F8"/>
    <w:rsid w:val="008F1D15"/>
    <w:rsid w:val="008F1E70"/>
    <w:rsid w:val="008F3529"/>
    <w:rsid w:val="008F3B63"/>
    <w:rsid w:val="008F57E7"/>
    <w:rsid w:val="008F58AA"/>
    <w:rsid w:val="008F74C1"/>
    <w:rsid w:val="008F7BF8"/>
    <w:rsid w:val="009000CC"/>
    <w:rsid w:val="00900138"/>
    <w:rsid w:val="0090149D"/>
    <w:rsid w:val="0090160F"/>
    <w:rsid w:val="0090196E"/>
    <w:rsid w:val="00903A4F"/>
    <w:rsid w:val="009040AF"/>
    <w:rsid w:val="0090488B"/>
    <w:rsid w:val="009049F4"/>
    <w:rsid w:val="00904AA1"/>
    <w:rsid w:val="009058B6"/>
    <w:rsid w:val="00905F04"/>
    <w:rsid w:val="009075DC"/>
    <w:rsid w:val="00907709"/>
    <w:rsid w:val="00910883"/>
    <w:rsid w:val="00910AA3"/>
    <w:rsid w:val="009121C7"/>
    <w:rsid w:val="009124A9"/>
    <w:rsid w:val="009133F6"/>
    <w:rsid w:val="00913D5A"/>
    <w:rsid w:val="009145E8"/>
    <w:rsid w:val="00915898"/>
    <w:rsid w:val="0091596C"/>
    <w:rsid w:val="00915A63"/>
    <w:rsid w:val="009200BF"/>
    <w:rsid w:val="0092065B"/>
    <w:rsid w:val="00920F7B"/>
    <w:rsid w:val="0092148D"/>
    <w:rsid w:val="0092333F"/>
    <w:rsid w:val="0092334A"/>
    <w:rsid w:val="009233AD"/>
    <w:rsid w:val="00923582"/>
    <w:rsid w:val="00925393"/>
    <w:rsid w:val="00925EDD"/>
    <w:rsid w:val="00926429"/>
    <w:rsid w:val="00926C58"/>
    <w:rsid w:val="00930A23"/>
    <w:rsid w:val="00930D3B"/>
    <w:rsid w:val="00930DD8"/>
    <w:rsid w:val="009320BF"/>
    <w:rsid w:val="009323CB"/>
    <w:rsid w:val="009344DA"/>
    <w:rsid w:val="00934D6C"/>
    <w:rsid w:val="0093541A"/>
    <w:rsid w:val="00935C2C"/>
    <w:rsid w:val="00936D31"/>
    <w:rsid w:val="009371C5"/>
    <w:rsid w:val="00937C03"/>
    <w:rsid w:val="0094054F"/>
    <w:rsid w:val="00942E40"/>
    <w:rsid w:val="00943013"/>
    <w:rsid w:val="00943701"/>
    <w:rsid w:val="00943989"/>
    <w:rsid w:val="00943E2A"/>
    <w:rsid w:val="009507B7"/>
    <w:rsid w:val="00950E38"/>
    <w:rsid w:val="00951DE6"/>
    <w:rsid w:val="0095385C"/>
    <w:rsid w:val="00954D9F"/>
    <w:rsid w:val="00957842"/>
    <w:rsid w:val="00957B31"/>
    <w:rsid w:val="009603BF"/>
    <w:rsid w:val="00961849"/>
    <w:rsid w:val="00961C0C"/>
    <w:rsid w:val="009626C4"/>
    <w:rsid w:val="009630EB"/>
    <w:rsid w:val="00963B1E"/>
    <w:rsid w:val="009649DB"/>
    <w:rsid w:val="00964F40"/>
    <w:rsid w:val="00965295"/>
    <w:rsid w:val="0096550E"/>
    <w:rsid w:val="00965C58"/>
    <w:rsid w:val="009662E2"/>
    <w:rsid w:val="00966AB0"/>
    <w:rsid w:val="00966C2C"/>
    <w:rsid w:val="00967424"/>
    <w:rsid w:val="00970433"/>
    <w:rsid w:val="00971D54"/>
    <w:rsid w:val="00971F2C"/>
    <w:rsid w:val="00973C01"/>
    <w:rsid w:val="0097454C"/>
    <w:rsid w:val="00974AA2"/>
    <w:rsid w:val="009751D8"/>
    <w:rsid w:val="009757BA"/>
    <w:rsid w:val="00976F49"/>
    <w:rsid w:val="00977887"/>
    <w:rsid w:val="00980542"/>
    <w:rsid w:val="00982C01"/>
    <w:rsid w:val="0098370B"/>
    <w:rsid w:val="00984B7F"/>
    <w:rsid w:val="0098520D"/>
    <w:rsid w:val="009857C7"/>
    <w:rsid w:val="00991285"/>
    <w:rsid w:val="00991AF5"/>
    <w:rsid w:val="00991BE7"/>
    <w:rsid w:val="00991ED1"/>
    <w:rsid w:val="00992530"/>
    <w:rsid w:val="009927A8"/>
    <w:rsid w:val="009927AA"/>
    <w:rsid w:val="0099297D"/>
    <w:rsid w:val="0099325F"/>
    <w:rsid w:val="00993547"/>
    <w:rsid w:val="009941FD"/>
    <w:rsid w:val="00996BE2"/>
    <w:rsid w:val="009975C9"/>
    <w:rsid w:val="009A04C7"/>
    <w:rsid w:val="009A0C70"/>
    <w:rsid w:val="009A1593"/>
    <w:rsid w:val="009A16C4"/>
    <w:rsid w:val="009A3484"/>
    <w:rsid w:val="009A3D6E"/>
    <w:rsid w:val="009A4BF0"/>
    <w:rsid w:val="009A6444"/>
    <w:rsid w:val="009A7348"/>
    <w:rsid w:val="009A7663"/>
    <w:rsid w:val="009B0044"/>
    <w:rsid w:val="009B0BD4"/>
    <w:rsid w:val="009B1428"/>
    <w:rsid w:val="009B1ECB"/>
    <w:rsid w:val="009B209C"/>
    <w:rsid w:val="009B2E11"/>
    <w:rsid w:val="009B4EC5"/>
    <w:rsid w:val="009B50C2"/>
    <w:rsid w:val="009B6D8D"/>
    <w:rsid w:val="009B6FD9"/>
    <w:rsid w:val="009B707F"/>
    <w:rsid w:val="009B72DA"/>
    <w:rsid w:val="009B7553"/>
    <w:rsid w:val="009B7EEF"/>
    <w:rsid w:val="009C1F06"/>
    <w:rsid w:val="009C2CEF"/>
    <w:rsid w:val="009C401D"/>
    <w:rsid w:val="009C5429"/>
    <w:rsid w:val="009C55C2"/>
    <w:rsid w:val="009C6A84"/>
    <w:rsid w:val="009C7065"/>
    <w:rsid w:val="009C7216"/>
    <w:rsid w:val="009C736B"/>
    <w:rsid w:val="009C7EC9"/>
    <w:rsid w:val="009D0EC1"/>
    <w:rsid w:val="009D2C58"/>
    <w:rsid w:val="009D3043"/>
    <w:rsid w:val="009D3265"/>
    <w:rsid w:val="009D38DC"/>
    <w:rsid w:val="009D3E30"/>
    <w:rsid w:val="009D41E8"/>
    <w:rsid w:val="009D5FF5"/>
    <w:rsid w:val="009D6DD5"/>
    <w:rsid w:val="009D7759"/>
    <w:rsid w:val="009D7A61"/>
    <w:rsid w:val="009E022E"/>
    <w:rsid w:val="009E23DD"/>
    <w:rsid w:val="009E2DDA"/>
    <w:rsid w:val="009E485B"/>
    <w:rsid w:val="009E54A8"/>
    <w:rsid w:val="009F0346"/>
    <w:rsid w:val="009F0C5F"/>
    <w:rsid w:val="009F1E08"/>
    <w:rsid w:val="009F1F4C"/>
    <w:rsid w:val="009F30FB"/>
    <w:rsid w:val="009F327F"/>
    <w:rsid w:val="009F3524"/>
    <w:rsid w:val="009F4455"/>
    <w:rsid w:val="009F54F2"/>
    <w:rsid w:val="009F5E55"/>
    <w:rsid w:val="009F6656"/>
    <w:rsid w:val="009F6D23"/>
    <w:rsid w:val="009F75D0"/>
    <w:rsid w:val="00A0231F"/>
    <w:rsid w:val="00A02E9C"/>
    <w:rsid w:val="00A034B8"/>
    <w:rsid w:val="00A035C1"/>
    <w:rsid w:val="00A03ABF"/>
    <w:rsid w:val="00A041F9"/>
    <w:rsid w:val="00A04D19"/>
    <w:rsid w:val="00A051BF"/>
    <w:rsid w:val="00A062C6"/>
    <w:rsid w:val="00A06337"/>
    <w:rsid w:val="00A10337"/>
    <w:rsid w:val="00A12B91"/>
    <w:rsid w:val="00A12FBA"/>
    <w:rsid w:val="00A14901"/>
    <w:rsid w:val="00A14FEF"/>
    <w:rsid w:val="00A15821"/>
    <w:rsid w:val="00A168F8"/>
    <w:rsid w:val="00A17909"/>
    <w:rsid w:val="00A17B7F"/>
    <w:rsid w:val="00A2213C"/>
    <w:rsid w:val="00A2249D"/>
    <w:rsid w:val="00A238E6"/>
    <w:rsid w:val="00A24B1D"/>
    <w:rsid w:val="00A2556F"/>
    <w:rsid w:val="00A255A7"/>
    <w:rsid w:val="00A25F4D"/>
    <w:rsid w:val="00A26115"/>
    <w:rsid w:val="00A30220"/>
    <w:rsid w:val="00A31152"/>
    <w:rsid w:val="00A313AC"/>
    <w:rsid w:val="00A32CE3"/>
    <w:rsid w:val="00A33699"/>
    <w:rsid w:val="00A34023"/>
    <w:rsid w:val="00A34960"/>
    <w:rsid w:val="00A36638"/>
    <w:rsid w:val="00A36720"/>
    <w:rsid w:val="00A367E6"/>
    <w:rsid w:val="00A36DE7"/>
    <w:rsid w:val="00A40C70"/>
    <w:rsid w:val="00A41E6B"/>
    <w:rsid w:val="00A420D6"/>
    <w:rsid w:val="00A4305A"/>
    <w:rsid w:val="00A45156"/>
    <w:rsid w:val="00A451EE"/>
    <w:rsid w:val="00A477E8"/>
    <w:rsid w:val="00A513D8"/>
    <w:rsid w:val="00A515F5"/>
    <w:rsid w:val="00A51CF9"/>
    <w:rsid w:val="00A52996"/>
    <w:rsid w:val="00A5347E"/>
    <w:rsid w:val="00A53D1E"/>
    <w:rsid w:val="00A547E8"/>
    <w:rsid w:val="00A54DDF"/>
    <w:rsid w:val="00A55479"/>
    <w:rsid w:val="00A559F8"/>
    <w:rsid w:val="00A561FA"/>
    <w:rsid w:val="00A62B75"/>
    <w:rsid w:val="00A63A3B"/>
    <w:rsid w:val="00A63AB2"/>
    <w:rsid w:val="00A642CB"/>
    <w:rsid w:val="00A6445B"/>
    <w:rsid w:val="00A647A5"/>
    <w:rsid w:val="00A64B80"/>
    <w:rsid w:val="00A675B4"/>
    <w:rsid w:val="00A705A0"/>
    <w:rsid w:val="00A705CC"/>
    <w:rsid w:val="00A7258C"/>
    <w:rsid w:val="00A732FC"/>
    <w:rsid w:val="00A75649"/>
    <w:rsid w:val="00A75815"/>
    <w:rsid w:val="00A7639E"/>
    <w:rsid w:val="00A7744C"/>
    <w:rsid w:val="00A776A8"/>
    <w:rsid w:val="00A77853"/>
    <w:rsid w:val="00A820B1"/>
    <w:rsid w:val="00A82192"/>
    <w:rsid w:val="00A82916"/>
    <w:rsid w:val="00A830E2"/>
    <w:rsid w:val="00A8332C"/>
    <w:rsid w:val="00A83B80"/>
    <w:rsid w:val="00A85BBE"/>
    <w:rsid w:val="00A85CE1"/>
    <w:rsid w:val="00A860AA"/>
    <w:rsid w:val="00A86413"/>
    <w:rsid w:val="00A86A00"/>
    <w:rsid w:val="00A87581"/>
    <w:rsid w:val="00A906A6"/>
    <w:rsid w:val="00A9072F"/>
    <w:rsid w:val="00A909BD"/>
    <w:rsid w:val="00A91F7D"/>
    <w:rsid w:val="00A9295E"/>
    <w:rsid w:val="00A93176"/>
    <w:rsid w:val="00A936F8"/>
    <w:rsid w:val="00A939A7"/>
    <w:rsid w:val="00A93C76"/>
    <w:rsid w:val="00A96273"/>
    <w:rsid w:val="00A9653C"/>
    <w:rsid w:val="00A96568"/>
    <w:rsid w:val="00A96CD4"/>
    <w:rsid w:val="00A96FDD"/>
    <w:rsid w:val="00A979A3"/>
    <w:rsid w:val="00AA18A7"/>
    <w:rsid w:val="00AA26E1"/>
    <w:rsid w:val="00AA286D"/>
    <w:rsid w:val="00AA2AA1"/>
    <w:rsid w:val="00AA48EE"/>
    <w:rsid w:val="00AA65D2"/>
    <w:rsid w:val="00AB05CE"/>
    <w:rsid w:val="00AB2075"/>
    <w:rsid w:val="00AB2324"/>
    <w:rsid w:val="00AB2A7B"/>
    <w:rsid w:val="00AB521D"/>
    <w:rsid w:val="00AB60DF"/>
    <w:rsid w:val="00AB62F7"/>
    <w:rsid w:val="00AB7FB4"/>
    <w:rsid w:val="00AC00A5"/>
    <w:rsid w:val="00AC0109"/>
    <w:rsid w:val="00AC170B"/>
    <w:rsid w:val="00AC18A3"/>
    <w:rsid w:val="00AC19EC"/>
    <w:rsid w:val="00AC1D39"/>
    <w:rsid w:val="00AC22A7"/>
    <w:rsid w:val="00AC27CE"/>
    <w:rsid w:val="00AC2BD7"/>
    <w:rsid w:val="00AC2DA2"/>
    <w:rsid w:val="00AC321A"/>
    <w:rsid w:val="00AC33F1"/>
    <w:rsid w:val="00AC4736"/>
    <w:rsid w:val="00AC606E"/>
    <w:rsid w:val="00AC6D32"/>
    <w:rsid w:val="00AC7088"/>
    <w:rsid w:val="00AC72C9"/>
    <w:rsid w:val="00AC7ED4"/>
    <w:rsid w:val="00AD0A73"/>
    <w:rsid w:val="00AD194E"/>
    <w:rsid w:val="00AD1A58"/>
    <w:rsid w:val="00AD22CC"/>
    <w:rsid w:val="00AD2765"/>
    <w:rsid w:val="00AD2A83"/>
    <w:rsid w:val="00AD2FF4"/>
    <w:rsid w:val="00AD31E9"/>
    <w:rsid w:val="00AD342B"/>
    <w:rsid w:val="00AD3F6A"/>
    <w:rsid w:val="00AD4ECD"/>
    <w:rsid w:val="00AD5453"/>
    <w:rsid w:val="00AD566A"/>
    <w:rsid w:val="00AD5834"/>
    <w:rsid w:val="00AD5F84"/>
    <w:rsid w:val="00AD784F"/>
    <w:rsid w:val="00AE033E"/>
    <w:rsid w:val="00AE2BFA"/>
    <w:rsid w:val="00AE34EE"/>
    <w:rsid w:val="00AE3547"/>
    <w:rsid w:val="00AE360B"/>
    <w:rsid w:val="00AE38DE"/>
    <w:rsid w:val="00AE42B3"/>
    <w:rsid w:val="00AE4E7E"/>
    <w:rsid w:val="00AE582B"/>
    <w:rsid w:val="00AE5AC2"/>
    <w:rsid w:val="00AE67C6"/>
    <w:rsid w:val="00AE6D89"/>
    <w:rsid w:val="00AE710D"/>
    <w:rsid w:val="00AE75F6"/>
    <w:rsid w:val="00AF0A3C"/>
    <w:rsid w:val="00AF0FB0"/>
    <w:rsid w:val="00AF1373"/>
    <w:rsid w:val="00AF25E7"/>
    <w:rsid w:val="00AF2751"/>
    <w:rsid w:val="00AF3185"/>
    <w:rsid w:val="00AF331B"/>
    <w:rsid w:val="00AF4186"/>
    <w:rsid w:val="00AF4242"/>
    <w:rsid w:val="00AF5B42"/>
    <w:rsid w:val="00AF73C4"/>
    <w:rsid w:val="00B04E19"/>
    <w:rsid w:val="00B101E7"/>
    <w:rsid w:val="00B10F7A"/>
    <w:rsid w:val="00B1137E"/>
    <w:rsid w:val="00B125F3"/>
    <w:rsid w:val="00B129AA"/>
    <w:rsid w:val="00B12B20"/>
    <w:rsid w:val="00B1338D"/>
    <w:rsid w:val="00B1507A"/>
    <w:rsid w:val="00B150C2"/>
    <w:rsid w:val="00B1623B"/>
    <w:rsid w:val="00B16942"/>
    <w:rsid w:val="00B20101"/>
    <w:rsid w:val="00B201E4"/>
    <w:rsid w:val="00B20EF7"/>
    <w:rsid w:val="00B20F7F"/>
    <w:rsid w:val="00B21512"/>
    <w:rsid w:val="00B24343"/>
    <w:rsid w:val="00B24B27"/>
    <w:rsid w:val="00B24BFD"/>
    <w:rsid w:val="00B26038"/>
    <w:rsid w:val="00B30C00"/>
    <w:rsid w:val="00B3131B"/>
    <w:rsid w:val="00B32C63"/>
    <w:rsid w:val="00B32E00"/>
    <w:rsid w:val="00B34A86"/>
    <w:rsid w:val="00B34DB1"/>
    <w:rsid w:val="00B36BCA"/>
    <w:rsid w:val="00B37246"/>
    <w:rsid w:val="00B401D0"/>
    <w:rsid w:val="00B40BC1"/>
    <w:rsid w:val="00B4268E"/>
    <w:rsid w:val="00B429FA"/>
    <w:rsid w:val="00B43080"/>
    <w:rsid w:val="00B441F0"/>
    <w:rsid w:val="00B4642A"/>
    <w:rsid w:val="00B46E28"/>
    <w:rsid w:val="00B47361"/>
    <w:rsid w:val="00B51050"/>
    <w:rsid w:val="00B5303E"/>
    <w:rsid w:val="00B5491D"/>
    <w:rsid w:val="00B5562A"/>
    <w:rsid w:val="00B567E6"/>
    <w:rsid w:val="00B56A08"/>
    <w:rsid w:val="00B574C2"/>
    <w:rsid w:val="00B57535"/>
    <w:rsid w:val="00B57A08"/>
    <w:rsid w:val="00B57E89"/>
    <w:rsid w:val="00B60E81"/>
    <w:rsid w:val="00B61459"/>
    <w:rsid w:val="00B61AF6"/>
    <w:rsid w:val="00B63193"/>
    <w:rsid w:val="00B66478"/>
    <w:rsid w:val="00B670F6"/>
    <w:rsid w:val="00B701F9"/>
    <w:rsid w:val="00B710DB"/>
    <w:rsid w:val="00B71842"/>
    <w:rsid w:val="00B72382"/>
    <w:rsid w:val="00B72F44"/>
    <w:rsid w:val="00B739A7"/>
    <w:rsid w:val="00B73C9C"/>
    <w:rsid w:val="00B75FF5"/>
    <w:rsid w:val="00B76346"/>
    <w:rsid w:val="00B76B9D"/>
    <w:rsid w:val="00B773E1"/>
    <w:rsid w:val="00B80A1B"/>
    <w:rsid w:val="00B813E8"/>
    <w:rsid w:val="00B81495"/>
    <w:rsid w:val="00B81685"/>
    <w:rsid w:val="00B81B3C"/>
    <w:rsid w:val="00B81DB2"/>
    <w:rsid w:val="00B82050"/>
    <w:rsid w:val="00B831F5"/>
    <w:rsid w:val="00B83834"/>
    <w:rsid w:val="00B83D4A"/>
    <w:rsid w:val="00B85B77"/>
    <w:rsid w:val="00B86921"/>
    <w:rsid w:val="00B8738F"/>
    <w:rsid w:val="00B904A8"/>
    <w:rsid w:val="00B91077"/>
    <w:rsid w:val="00B91667"/>
    <w:rsid w:val="00B924F2"/>
    <w:rsid w:val="00B92E3D"/>
    <w:rsid w:val="00B9342F"/>
    <w:rsid w:val="00B93881"/>
    <w:rsid w:val="00B94805"/>
    <w:rsid w:val="00B9798D"/>
    <w:rsid w:val="00BA0375"/>
    <w:rsid w:val="00BA1092"/>
    <w:rsid w:val="00BA1436"/>
    <w:rsid w:val="00BA2B81"/>
    <w:rsid w:val="00BA2BF2"/>
    <w:rsid w:val="00BA3C01"/>
    <w:rsid w:val="00BA4EFD"/>
    <w:rsid w:val="00BA67DE"/>
    <w:rsid w:val="00BA6939"/>
    <w:rsid w:val="00BA6F2A"/>
    <w:rsid w:val="00BA78AA"/>
    <w:rsid w:val="00BB0D77"/>
    <w:rsid w:val="00BB13A2"/>
    <w:rsid w:val="00BB1A38"/>
    <w:rsid w:val="00BB1A9C"/>
    <w:rsid w:val="00BB21B5"/>
    <w:rsid w:val="00BB258E"/>
    <w:rsid w:val="00BB3AEF"/>
    <w:rsid w:val="00BB3BAF"/>
    <w:rsid w:val="00BB430F"/>
    <w:rsid w:val="00BB476A"/>
    <w:rsid w:val="00BB5023"/>
    <w:rsid w:val="00BB5CE6"/>
    <w:rsid w:val="00BB6EFB"/>
    <w:rsid w:val="00BB7975"/>
    <w:rsid w:val="00BC04BD"/>
    <w:rsid w:val="00BC0742"/>
    <w:rsid w:val="00BC08C4"/>
    <w:rsid w:val="00BC111D"/>
    <w:rsid w:val="00BC141F"/>
    <w:rsid w:val="00BC1B01"/>
    <w:rsid w:val="00BC340D"/>
    <w:rsid w:val="00BC4FF3"/>
    <w:rsid w:val="00BC5740"/>
    <w:rsid w:val="00BC5A89"/>
    <w:rsid w:val="00BC7FFC"/>
    <w:rsid w:val="00BD09E4"/>
    <w:rsid w:val="00BD11AA"/>
    <w:rsid w:val="00BD12B9"/>
    <w:rsid w:val="00BD21F3"/>
    <w:rsid w:val="00BD2687"/>
    <w:rsid w:val="00BD2869"/>
    <w:rsid w:val="00BD42D6"/>
    <w:rsid w:val="00BD585C"/>
    <w:rsid w:val="00BD66EF"/>
    <w:rsid w:val="00BD6D4A"/>
    <w:rsid w:val="00BD7F3A"/>
    <w:rsid w:val="00BE01B7"/>
    <w:rsid w:val="00BE04AA"/>
    <w:rsid w:val="00BE0EB9"/>
    <w:rsid w:val="00BE288C"/>
    <w:rsid w:val="00BE36B4"/>
    <w:rsid w:val="00BE4F52"/>
    <w:rsid w:val="00BE5F35"/>
    <w:rsid w:val="00BE65FE"/>
    <w:rsid w:val="00BE6C0A"/>
    <w:rsid w:val="00BE79EE"/>
    <w:rsid w:val="00BF0066"/>
    <w:rsid w:val="00BF0495"/>
    <w:rsid w:val="00BF175D"/>
    <w:rsid w:val="00BF37B8"/>
    <w:rsid w:val="00BF59ED"/>
    <w:rsid w:val="00BF6AAB"/>
    <w:rsid w:val="00BF6B4D"/>
    <w:rsid w:val="00C00249"/>
    <w:rsid w:val="00C005CB"/>
    <w:rsid w:val="00C01D87"/>
    <w:rsid w:val="00C029C0"/>
    <w:rsid w:val="00C03154"/>
    <w:rsid w:val="00C043C3"/>
    <w:rsid w:val="00C04490"/>
    <w:rsid w:val="00C04FFF"/>
    <w:rsid w:val="00C07D39"/>
    <w:rsid w:val="00C10343"/>
    <w:rsid w:val="00C1105B"/>
    <w:rsid w:val="00C11A49"/>
    <w:rsid w:val="00C11D98"/>
    <w:rsid w:val="00C11F44"/>
    <w:rsid w:val="00C13D63"/>
    <w:rsid w:val="00C13F8F"/>
    <w:rsid w:val="00C14BA3"/>
    <w:rsid w:val="00C14C77"/>
    <w:rsid w:val="00C1520D"/>
    <w:rsid w:val="00C152EC"/>
    <w:rsid w:val="00C15DFF"/>
    <w:rsid w:val="00C16F5A"/>
    <w:rsid w:val="00C1755E"/>
    <w:rsid w:val="00C20075"/>
    <w:rsid w:val="00C21181"/>
    <w:rsid w:val="00C214AA"/>
    <w:rsid w:val="00C217BD"/>
    <w:rsid w:val="00C217E3"/>
    <w:rsid w:val="00C22498"/>
    <w:rsid w:val="00C231F2"/>
    <w:rsid w:val="00C25627"/>
    <w:rsid w:val="00C25CC1"/>
    <w:rsid w:val="00C26672"/>
    <w:rsid w:val="00C269F5"/>
    <w:rsid w:val="00C270C7"/>
    <w:rsid w:val="00C32E15"/>
    <w:rsid w:val="00C332A9"/>
    <w:rsid w:val="00C3351B"/>
    <w:rsid w:val="00C35C11"/>
    <w:rsid w:val="00C362E7"/>
    <w:rsid w:val="00C37A6F"/>
    <w:rsid w:val="00C37E92"/>
    <w:rsid w:val="00C40285"/>
    <w:rsid w:val="00C407A8"/>
    <w:rsid w:val="00C41203"/>
    <w:rsid w:val="00C41C07"/>
    <w:rsid w:val="00C41C67"/>
    <w:rsid w:val="00C43D91"/>
    <w:rsid w:val="00C43E33"/>
    <w:rsid w:val="00C43F56"/>
    <w:rsid w:val="00C44ABF"/>
    <w:rsid w:val="00C44F19"/>
    <w:rsid w:val="00C45EE2"/>
    <w:rsid w:val="00C508E2"/>
    <w:rsid w:val="00C5090C"/>
    <w:rsid w:val="00C522B9"/>
    <w:rsid w:val="00C5302E"/>
    <w:rsid w:val="00C54FFB"/>
    <w:rsid w:val="00C554E7"/>
    <w:rsid w:val="00C57ACE"/>
    <w:rsid w:val="00C60786"/>
    <w:rsid w:val="00C60926"/>
    <w:rsid w:val="00C62862"/>
    <w:rsid w:val="00C638E7"/>
    <w:rsid w:val="00C64067"/>
    <w:rsid w:val="00C64DF3"/>
    <w:rsid w:val="00C66340"/>
    <w:rsid w:val="00C66BA8"/>
    <w:rsid w:val="00C71765"/>
    <w:rsid w:val="00C729A5"/>
    <w:rsid w:val="00C72E69"/>
    <w:rsid w:val="00C7305E"/>
    <w:rsid w:val="00C73466"/>
    <w:rsid w:val="00C73766"/>
    <w:rsid w:val="00C753C5"/>
    <w:rsid w:val="00C76657"/>
    <w:rsid w:val="00C76C85"/>
    <w:rsid w:val="00C77351"/>
    <w:rsid w:val="00C776E6"/>
    <w:rsid w:val="00C80BD6"/>
    <w:rsid w:val="00C819A4"/>
    <w:rsid w:val="00C833BA"/>
    <w:rsid w:val="00C83CD3"/>
    <w:rsid w:val="00C84E77"/>
    <w:rsid w:val="00C85047"/>
    <w:rsid w:val="00C85994"/>
    <w:rsid w:val="00C85F08"/>
    <w:rsid w:val="00C876FA"/>
    <w:rsid w:val="00C901C0"/>
    <w:rsid w:val="00C90D74"/>
    <w:rsid w:val="00C90FBD"/>
    <w:rsid w:val="00C926A4"/>
    <w:rsid w:val="00C940DE"/>
    <w:rsid w:val="00C94491"/>
    <w:rsid w:val="00C9477C"/>
    <w:rsid w:val="00C95009"/>
    <w:rsid w:val="00CA079E"/>
    <w:rsid w:val="00CA2935"/>
    <w:rsid w:val="00CA3171"/>
    <w:rsid w:val="00CA36B5"/>
    <w:rsid w:val="00CA3A79"/>
    <w:rsid w:val="00CA6B4E"/>
    <w:rsid w:val="00CB0711"/>
    <w:rsid w:val="00CB0915"/>
    <w:rsid w:val="00CB2433"/>
    <w:rsid w:val="00CB25AA"/>
    <w:rsid w:val="00CB25D8"/>
    <w:rsid w:val="00CB4AEA"/>
    <w:rsid w:val="00CB5EF4"/>
    <w:rsid w:val="00CB6242"/>
    <w:rsid w:val="00CB6A70"/>
    <w:rsid w:val="00CB6BE9"/>
    <w:rsid w:val="00CB71D3"/>
    <w:rsid w:val="00CB743A"/>
    <w:rsid w:val="00CB7474"/>
    <w:rsid w:val="00CB74E3"/>
    <w:rsid w:val="00CB7995"/>
    <w:rsid w:val="00CC02D2"/>
    <w:rsid w:val="00CC065B"/>
    <w:rsid w:val="00CC0BCC"/>
    <w:rsid w:val="00CC23E2"/>
    <w:rsid w:val="00CC35C7"/>
    <w:rsid w:val="00CC458D"/>
    <w:rsid w:val="00CC545A"/>
    <w:rsid w:val="00CC5AB4"/>
    <w:rsid w:val="00CC5CBE"/>
    <w:rsid w:val="00CC6603"/>
    <w:rsid w:val="00CC7961"/>
    <w:rsid w:val="00CC7D7E"/>
    <w:rsid w:val="00CD045B"/>
    <w:rsid w:val="00CD1379"/>
    <w:rsid w:val="00CD1CA6"/>
    <w:rsid w:val="00CD1FC8"/>
    <w:rsid w:val="00CD2978"/>
    <w:rsid w:val="00CD3182"/>
    <w:rsid w:val="00CD3800"/>
    <w:rsid w:val="00CD39CE"/>
    <w:rsid w:val="00CD46B7"/>
    <w:rsid w:val="00CD546C"/>
    <w:rsid w:val="00CD5B40"/>
    <w:rsid w:val="00CD730C"/>
    <w:rsid w:val="00CE02AC"/>
    <w:rsid w:val="00CE05D0"/>
    <w:rsid w:val="00CE087C"/>
    <w:rsid w:val="00CE16DF"/>
    <w:rsid w:val="00CE182A"/>
    <w:rsid w:val="00CE272A"/>
    <w:rsid w:val="00CE355D"/>
    <w:rsid w:val="00CE4F95"/>
    <w:rsid w:val="00CE616B"/>
    <w:rsid w:val="00CE6C02"/>
    <w:rsid w:val="00CE6E84"/>
    <w:rsid w:val="00CE72AE"/>
    <w:rsid w:val="00CF0F92"/>
    <w:rsid w:val="00CF10BF"/>
    <w:rsid w:val="00CF16A3"/>
    <w:rsid w:val="00CF17AC"/>
    <w:rsid w:val="00CF18EF"/>
    <w:rsid w:val="00CF58F8"/>
    <w:rsid w:val="00D005DD"/>
    <w:rsid w:val="00D00770"/>
    <w:rsid w:val="00D01923"/>
    <w:rsid w:val="00D019B3"/>
    <w:rsid w:val="00D01DB1"/>
    <w:rsid w:val="00D02123"/>
    <w:rsid w:val="00D05654"/>
    <w:rsid w:val="00D05B16"/>
    <w:rsid w:val="00D0662B"/>
    <w:rsid w:val="00D07052"/>
    <w:rsid w:val="00D100E6"/>
    <w:rsid w:val="00D122E4"/>
    <w:rsid w:val="00D12C36"/>
    <w:rsid w:val="00D131BF"/>
    <w:rsid w:val="00D131F2"/>
    <w:rsid w:val="00D13B90"/>
    <w:rsid w:val="00D13D96"/>
    <w:rsid w:val="00D15DFC"/>
    <w:rsid w:val="00D17237"/>
    <w:rsid w:val="00D179C5"/>
    <w:rsid w:val="00D20266"/>
    <w:rsid w:val="00D204C3"/>
    <w:rsid w:val="00D22341"/>
    <w:rsid w:val="00D22694"/>
    <w:rsid w:val="00D22ACB"/>
    <w:rsid w:val="00D25481"/>
    <w:rsid w:val="00D2568F"/>
    <w:rsid w:val="00D26215"/>
    <w:rsid w:val="00D27DAF"/>
    <w:rsid w:val="00D301F2"/>
    <w:rsid w:val="00D302D4"/>
    <w:rsid w:val="00D32FA2"/>
    <w:rsid w:val="00D33DEB"/>
    <w:rsid w:val="00D34113"/>
    <w:rsid w:val="00D35F31"/>
    <w:rsid w:val="00D362D7"/>
    <w:rsid w:val="00D36414"/>
    <w:rsid w:val="00D36943"/>
    <w:rsid w:val="00D36B89"/>
    <w:rsid w:val="00D373DD"/>
    <w:rsid w:val="00D37430"/>
    <w:rsid w:val="00D37933"/>
    <w:rsid w:val="00D405EE"/>
    <w:rsid w:val="00D42B33"/>
    <w:rsid w:val="00D4383E"/>
    <w:rsid w:val="00D445A2"/>
    <w:rsid w:val="00D4685B"/>
    <w:rsid w:val="00D4730D"/>
    <w:rsid w:val="00D503ED"/>
    <w:rsid w:val="00D50A47"/>
    <w:rsid w:val="00D510E0"/>
    <w:rsid w:val="00D511DB"/>
    <w:rsid w:val="00D51DB6"/>
    <w:rsid w:val="00D51EBF"/>
    <w:rsid w:val="00D52A83"/>
    <w:rsid w:val="00D5387C"/>
    <w:rsid w:val="00D5457F"/>
    <w:rsid w:val="00D546CD"/>
    <w:rsid w:val="00D558F0"/>
    <w:rsid w:val="00D56E04"/>
    <w:rsid w:val="00D578E1"/>
    <w:rsid w:val="00D609F0"/>
    <w:rsid w:val="00D60CAD"/>
    <w:rsid w:val="00D60F1B"/>
    <w:rsid w:val="00D63007"/>
    <w:rsid w:val="00D63217"/>
    <w:rsid w:val="00D64361"/>
    <w:rsid w:val="00D646DB"/>
    <w:rsid w:val="00D6495D"/>
    <w:rsid w:val="00D64A26"/>
    <w:rsid w:val="00D654B7"/>
    <w:rsid w:val="00D65EFA"/>
    <w:rsid w:val="00D67DBC"/>
    <w:rsid w:val="00D718B7"/>
    <w:rsid w:val="00D719CD"/>
    <w:rsid w:val="00D72579"/>
    <w:rsid w:val="00D7523D"/>
    <w:rsid w:val="00D7647C"/>
    <w:rsid w:val="00D77142"/>
    <w:rsid w:val="00D773C2"/>
    <w:rsid w:val="00D81A53"/>
    <w:rsid w:val="00D81FF9"/>
    <w:rsid w:val="00D8285D"/>
    <w:rsid w:val="00D83AD8"/>
    <w:rsid w:val="00D84475"/>
    <w:rsid w:val="00D84D51"/>
    <w:rsid w:val="00D8671C"/>
    <w:rsid w:val="00D90D67"/>
    <w:rsid w:val="00D9270C"/>
    <w:rsid w:val="00D94A47"/>
    <w:rsid w:val="00D97FCA"/>
    <w:rsid w:val="00DA2981"/>
    <w:rsid w:val="00DA2A62"/>
    <w:rsid w:val="00DA38DD"/>
    <w:rsid w:val="00DA3F81"/>
    <w:rsid w:val="00DA470E"/>
    <w:rsid w:val="00DA599E"/>
    <w:rsid w:val="00DA611F"/>
    <w:rsid w:val="00DA689C"/>
    <w:rsid w:val="00DB1DE5"/>
    <w:rsid w:val="00DB26D5"/>
    <w:rsid w:val="00DB36BC"/>
    <w:rsid w:val="00DB455C"/>
    <w:rsid w:val="00DC08BA"/>
    <w:rsid w:val="00DC0973"/>
    <w:rsid w:val="00DC0CAA"/>
    <w:rsid w:val="00DC1268"/>
    <w:rsid w:val="00DC7188"/>
    <w:rsid w:val="00DC7831"/>
    <w:rsid w:val="00DC7C4C"/>
    <w:rsid w:val="00DD184A"/>
    <w:rsid w:val="00DD2C50"/>
    <w:rsid w:val="00DD3CEE"/>
    <w:rsid w:val="00DD4771"/>
    <w:rsid w:val="00DD62EF"/>
    <w:rsid w:val="00DD6ED5"/>
    <w:rsid w:val="00DD7538"/>
    <w:rsid w:val="00DE0437"/>
    <w:rsid w:val="00DE1A62"/>
    <w:rsid w:val="00DE2E6A"/>
    <w:rsid w:val="00DE63B1"/>
    <w:rsid w:val="00DE654D"/>
    <w:rsid w:val="00DE66A7"/>
    <w:rsid w:val="00DE6838"/>
    <w:rsid w:val="00DE68AE"/>
    <w:rsid w:val="00DE6B13"/>
    <w:rsid w:val="00DE7743"/>
    <w:rsid w:val="00DE7A6E"/>
    <w:rsid w:val="00DF0534"/>
    <w:rsid w:val="00DF0969"/>
    <w:rsid w:val="00DF0B10"/>
    <w:rsid w:val="00DF0CE2"/>
    <w:rsid w:val="00DF1935"/>
    <w:rsid w:val="00DF1E6A"/>
    <w:rsid w:val="00DF235C"/>
    <w:rsid w:val="00DF3C8B"/>
    <w:rsid w:val="00DF3D41"/>
    <w:rsid w:val="00DF4180"/>
    <w:rsid w:val="00DF6C51"/>
    <w:rsid w:val="00DF6C63"/>
    <w:rsid w:val="00DF7803"/>
    <w:rsid w:val="00E00167"/>
    <w:rsid w:val="00E00460"/>
    <w:rsid w:val="00E006C5"/>
    <w:rsid w:val="00E01FCD"/>
    <w:rsid w:val="00E0240C"/>
    <w:rsid w:val="00E04F41"/>
    <w:rsid w:val="00E05D53"/>
    <w:rsid w:val="00E07367"/>
    <w:rsid w:val="00E076AA"/>
    <w:rsid w:val="00E10275"/>
    <w:rsid w:val="00E11F19"/>
    <w:rsid w:val="00E12601"/>
    <w:rsid w:val="00E12F5D"/>
    <w:rsid w:val="00E138CA"/>
    <w:rsid w:val="00E14B1D"/>
    <w:rsid w:val="00E14DFD"/>
    <w:rsid w:val="00E16948"/>
    <w:rsid w:val="00E17806"/>
    <w:rsid w:val="00E17AC6"/>
    <w:rsid w:val="00E2017B"/>
    <w:rsid w:val="00E20E7B"/>
    <w:rsid w:val="00E22214"/>
    <w:rsid w:val="00E223C7"/>
    <w:rsid w:val="00E22CC2"/>
    <w:rsid w:val="00E23F74"/>
    <w:rsid w:val="00E24235"/>
    <w:rsid w:val="00E24909"/>
    <w:rsid w:val="00E25367"/>
    <w:rsid w:val="00E25CDA"/>
    <w:rsid w:val="00E25DB2"/>
    <w:rsid w:val="00E25F76"/>
    <w:rsid w:val="00E25FD8"/>
    <w:rsid w:val="00E26B9D"/>
    <w:rsid w:val="00E27184"/>
    <w:rsid w:val="00E305C2"/>
    <w:rsid w:val="00E30E1B"/>
    <w:rsid w:val="00E3117A"/>
    <w:rsid w:val="00E3133A"/>
    <w:rsid w:val="00E3164C"/>
    <w:rsid w:val="00E31F37"/>
    <w:rsid w:val="00E320BE"/>
    <w:rsid w:val="00E3408F"/>
    <w:rsid w:val="00E347B9"/>
    <w:rsid w:val="00E36F14"/>
    <w:rsid w:val="00E3727A"/>
    <w:rsid w:val="00E377AD"/>
    <w:rsid w:val="00E4082C"/>
    <w:rsid w:val="00E40D10"/>
    <w:rsid w:val="00E41765"/>
    <w:rsid w:val="00E421C3"/>
    <w:rsid w:val="00E42F74"/>
    <w:rsid w:val="00E43344"/>
    <w:rsid w:val="00E4451C"/>
    <w:rsid w:val="00E4490D"/>
    <w:rsid w:val="00E46860"/>
    <w:rsid w:val="00E4686C"/>
    <w:rsid w:val="00E46A24"/>
    <w:rsid w:val="00E476AA"/>
    <w:rsid w:val="00E50075"/>
    <w:rsid w:val="00E502E3"/>
    <w:rsid w:val="00E50E9E"/>
    <w:rsid w:val="00E5132D"/>
    <w:rsid w:val="00E517B2"/>
    <w:rsid w:val="00E51B2D"/>
    <w:rsid w:val="00E52A3A"/>
    <w:rsid w:val="00E53836"/>
    <w:rsid w:val="00E54225"/>
    <w:rsid w:val="00E54DC5"/>
    <w:rsid w:val="00E54E3D"/>
    <w:rsid w:val="00E54ED1"/>
    <w:rsid w:val="00E57C2A"/>
    <w:rsid w:val="00E60569"/>
    <w:rsid w:val="00E60663"/>
    <w:rsid w:val="00E619DD"/>
    <w:rsid w:val="00E62422"/>
    <w:rsid w:val="00E62FAF"/>
    <w:rsid w:val="00E6301C"/>
    <w:rsid w:val="00E64E9F"/>
    <w:rsid w:val="00E6566A"/>
    <w:rsid w:val="00E663A1"/>
    <w:rsid w:val="00E666C4"/>
    <w:rsid w:val="00E67074"/>
    <w:rsid w:val="00E67EF6"/>
    <w:rsid w:val="00E716F4"/>
    <w:rsid w:val="00E71B1D"/>
    <w:rsid w:val="00E723F8"/>
    <w:rsid w:val="00E72E5A"/>
    <w:rsid w:val="00E76BA7"/>
    <w:rsid w:val="00E76DC5"/>
    <w:rsid w:val="00E80636"/>
    <w:rsid w:val="00E81413"/>
    <w:rsid w:val="00E815BB"/>
    <w:rsid w:val="00E81A0C"/>
    <w:rsid w:val="00E83615"/>
    <w:rsid w:val="00E846E2"/>
    <w:rsid w:val="00E847B8"/>
    <w:rsid w:val="00E867D0"/>
    <w:rsid w:val="00E87AF9"/>
    <w:rsid w:val="00E90F1B"/>
    <w:rsid w:val="00E91F2A"/>
    <w:rsid w:val="00E93CE0"/>
    <w:rsid w:val="00E940D6"/>
    <w:rsid w:val="00E96FBA"/>
    <w:rsid w:val="00E9734D"/>
    <w:rsid w:val="00EA03AA"/>
    <w:rsid w:val="00EA3466"/>
    <w:rsid w:val="00EA4BCB"/>
    <w:rsid w:val="00EA4F98"/>
    <w:rsid w:val="00EB0036"/>
    <w:rsid w:val="00EB088C"/>
    <w:rsid w:val="00EB0E7E"/>
    <w:rsid w:val="00EB1BF6"/>
    <w:rsid w:val="00EB1D90"/>
    <w:rsid w:val="00EB2714"/>
    <w:rsid w:val="00EB59C7"/>
    <w:rsid w:val="00EB71A1"/>
    <w:rsid w:val="00EB7E85"/>
    <w:rsid w:val="00EC0FB7"/>
    <w:rsid w:val="00EC29E7"/>
    <w:rsid w:val="00EC4050"/>
    <w:rsid w:val="00EC59C9"/>
    <w:rsid w:val="00EC6B19"/>
    <w:rsid w:val="00EC6FE8"/>
    <w:rsid w:val="00EC787C"/>
    <w:rsid w:val="00EC7AEB"/>
    <w:rsid w:val="00ED1B08"/>
    <w:rsid w:val="00ED1D59"/>
    <w:rsid w:val="00ED1F6B"/>
    <w:rsid w:val="00ED36EE"/>
    <w:rsid w:val="00ED407B"/>
    <w:rsid w:val="00ED4B2F"/>
    <w:rsid w:val="00ED69DB"/>
    <w:rsid w:val="00ED6CD1"/>
    <w:rsid w:val="00ED6DE7"/>
    <w:rsid w:val="00EE0567"/>
    <w:rsid w:val="00EE0ABD"/>
    <w:rsid w:val="00EE162B"/>
    <w:rsid w:val="00EE1BF7"/>
    <w:rsid w:val="00EE22B6"/>
    <w:rsid w:val="00EE5AF9"/>
    <w:rsid w:val="00EE6586"/>
    <w:rsid w:val="00EE6A9B"/>
    <w:rsid w:val="00EE6E35"/>
    <w:rsid w:val="00EE733D"/>
    <w:rsid w:val="00EE75ED"/>
    <w:rsid w:val="00EE763A"/>
    <w:rsid w:val="00EF05A6"/>
    <w:rsid w:val="00EF3667"/>
    <w:rsid w:val="00EF41C9"/>
    <w:rsid w:val="00EF503B"/>
    <w:rsid w:val="00EF594A"/>
    <w:rsid w:val="00EF5D54"/>
    <w:rsid w:val="00EF5DED"/>
    <w:rsid w:val="00EF6C0F"/>
    <w:rsid w:val="00EF70B5"/>
    <w:rsid w:val="00F0025A"/>
    <w:rsid w:val="00F005B0"/>
    <w:rsid w:val="00F00FAD"/>
    <w:rsid w:val="00F0360E"/>
    <w:rsid w:val="00F0409A"/>
    <w:rsid w:val="00F05067"/>
    <w:rsid w:val="00F06F5F"/>
    <w:rsid w:val="00F0751D"/>
    <w:rsid w:val="00F077A9"/>
    <w:rsid w:val="00F108CE"/>
    <w:rsid w:val="00F109F2"/>
    <w:rsid w:val="00F1314B"/>
    <w:rsid w:val="00F1432A"/>
    <w:rsid w:val="00F14AEC"/>
    <w:rsid w:val="00F15BAF"/>
    <w:rsid w:val="00F1689C"/>
    <w:rsid w:val="00F17B43"/>
    <w:rsid w:val="00F17F86"/>
    <w:rsid w:val="00F20EFE"/>
    <w:rsid w:val="00F22F1B"/>
    <w:rsid w:val="00F235E7"/>
    <w:rsid w:val="00F24F54"/>
    <w:rsid w:val="00F256FC"/>
    <w:rsid w:val="00F2661F"/>
    <w:rsid w:val="00F26995"/>
    <w:rsid w:val="00F26D31"/>
    <w:rsid w:val="00F32439"/>
    <w:rsid w:val="00F32CCA"/>
    <w:rsid w:val="00F32CD5"/>
    <w:rsid w:val="00F34727"/>
    <w:rsid w:val="00F36386"/>
    <w:rsid w:val="00F3681B"/>
    <w:rsid w:val="00F372E8"/>
    <w:rsid w:val="00F37E1B"/>
    <w:rsid w:val="00F40E8D"/>
    <w:rsid w:val="00F41139"/>
    <w:rsid w:val="00F43056"/>
    <w:rsid w:val="00F43314"/>
    <w:rsid w:val="00F465A0"/>
    <w:rsid w:val="00F51068"/>
    <w:rsid w:val="00F51200"/>
    <w:rsid w:val="00F513AF"/>
    <w:rsid w:val="00F52638"/>
    <w:rsid w:val="00F5497A"/>
    <w:rsid w:val="00F560DC"/>
    <w:rsid w:val="00F56FDD"/>
    <w:rsid w:val="00F60C2E"/>
    <w:rsid w:val="00F615D4"/>
    <w:rsid w:val="00F63B64"/>
    <w:rsid w:val="00F65123"/>
    <w:rsid w:val="00F65C02"/>
    <w:rsid w:val="00F66FB9"/>
    <w:rsid w:val="00F709C6"/>
    <w:rsid w:val="00F71596"/>
    <w:rsid w:val="00F72D64"/>
    <w:rsid w:val="00F73019"/>
    <w:rsid w:val="00F74A8E"/>
    <w:rsid w:val="00F74E0B"/>
    <w:rsid w:val="00F7538D"/>
    <w:rsid w:val="00F75443"/>
    <w:rsid w:val="00F76346"/>
    <w:rsid w:val="00F767C9"/>
    <w:rsid w:val="00F76917"/>
    <w:rsid w:val="00F800B3"/>
    <w:rsid w:val="00F8019E"/>
    <w:rsid w:val="00F80AA3"/>
    <w:rsid w:val="00F80BE9"/>
    <w:rsid w:val="00F8124E"/>
    <w:rsid w:val="00F813BF"/>
    <w:rsid w:val="00F825D6"/>
    <w:rsid w:val="00F8266C"/>
    <w:rsid w:val="00F83A9B"/>
    <w:rsid w:val="00F83B6C"/>
    <w:rsid w:val="00F844CC"/>
    <w:rsid w:val="00F84693"/>
    <w:rsid w:val="00F856AC"/>
    <w:rsid w:val="00F85F1B"/>
    <w:rsid w:val="00F8787D"/>
    <w:rsid w:val="00F9000F"/>
    <w:rsid w:val="00F9021C"/>
    <w:rsid w:val="00F9048B"/>
    <w:rsid w:val="00F92ED4"/>
    <w:rsid w:val="00F93986"/>
    <w:rsid w:val="00F94B5E"/>
    <w:rsid w:val="00F95526"/>
    <w:rsid w:val="00F95ACE"/>
    <w:rsid w:val="00F95BE8"/>
    <w:rsid w:val="00F97330"/>
    <w:rsid w:val="00F97832"/>
    <w:rsid w:val="00FA1717"/>
    <w:rsid w:val="00FA177C"/>
    <w:rsid w:val="00FA20F7"/>
    <w:rsid w:val="00FA26DC"/>
    <w:rsid w:val="00FA296B"/>
    <w:rsid w:val="00FA357E"/>
    <w:rsid w:val="00FA36ED"/>
    <w:rsid w:val="00FA42BA"/>
    <w:rsid w:val="00FA49B6"/>
    <w:rsid w:val="00FA4CDE"/>
    <w:rsid w:val="00FA552A"/>
    <w:rsid w:val="00FA6C0A"/>
    <w:rsid w:val="00FA7675"/>
    <w:rsid w:val="00FA78EE"/>
    <w:rsid w:val="00FA7D38"/>
    <w:rsid w:val="00FB0B38"/>
    <w:rsid w:val="00FB1A84"/>
    <w:rsid w:val="00FB1C8D"/>
    <w:rsid w:val="00FB2067"/>
    <w:rsid w:val="00FB4A81"/>
    <w:rsid w:val="00FB4FEE"/>
    <w:rsid w:val="00FB52B5"/>
    <w:rsid w:val="00FB6DBB"/>
    <w:rsid w:val="00FB7522"/>
    <w:rsid w:val="00FB77B0"/>
    <w:rsid w:val="00FC0EAF"/>
    <w:rsid w:val="00FC2D49"/>
    <w:rsid w:val="00FC3289"/>
    <w:rsid w:val="00FC3A30"/>
    <w:rsid w:val="00FC4157"/>
    <w:rsid w:val="00FC45FB"/>
    <w:rsid w:val="00FC5320"/>
    <w:rsid w:val="00FC5DBD"/>
    <w:rsid w:val="00FC65B0"/>
    <w:rsid w:val="00FC6605"/>
    <w:rsid w:val="00FD0EEE"/>
    <w:rsid w:val="00FD127F"/>
    <w:rsid w:val="00FD16EB"/>
    <w:rsid w:val="00FD598F"/>
    <w:rsid w:val="00FD5D4C"/>
    <w:rsid w:val="00FE0BE6"/>
    <w:rsid w:val="00FE199D"/>
    <w:rsid w:val="00FE1A8C"/>
    <w:rsid w:val="00FE293E"/>
    <w:rsid w:val="00FE3DED"/>
    <w:rsid w:val="00FE3F6E"/>
    <w:rsid w:val="00FE438F"/>
    <w:rsid w:val="00FE464B"/>
    <w:rsid w:val="00FE4D73"/>
    <w:rsid w:val="00FE772C"/>
    <w:rsid w:val="00FE79DC"/>
    <w:rsid w:val="00FF1C28"/>
    <w:rsid w:val="00FF249A"/>
    <w:rsid w:val="00FF3D0B"/>
    <w:rsid w:val="00FF5F6B"/>
    <w:rsid w:val="00FF63C6"/>
    <w:rsid w:val="00FF7AC8"/>
    <w:rsid w:val="010B2AF9"/>
    <w:rsid w:val="011E0236"/>
    <w:rsid w:val="01284C10"/>
    <w:rsid w:val="012B4701"/>
    <w:rsid w:val="014161A7"/>
    <w:rsid w:val="0156352C"/>
    <w:rsid w:val="01770A47"/>
    <w:rsid w:val="01A87F1C"/>
    <w:rsid w:val="01C06EC1"/>
    <w:rsid w:val="01D9415D"/>
    <w:rsid w:val="01DF79C5"/>
    <w:rsid w:val="01E557E7"/>
    <w:rsid w:val="01EE19B6"/>
    <w:rsid w:val="020704F6"/>
    <w:rsid w:val="02661E94"/>
    <w:rsid w:val="027C5214"/>
    <w:rsid w:val="029640FE"/>
    <w:rsid w:val="029C1412"/>
    <w:rsid w:val="02AE0490"/>
    <w:rsid w:val="02B524D4"/>
    <w:rsid w:val="02CD5A6F"/>
    <w:rsid w:val="02F64EC1"/>
    <w:rsid w:val="02F70D3E"/>
    <w:rsid w:val="03123DCA"/>
    <w:rsid w:val="0334789D"/>
    <w:rsid w:val="03391357"/>
    <w:rsid w:val="035F033E"/>
    <w:rsid w:val="03706B4A"/>
    <w:rsid w:val="037E6D6A"/>
    <w:rsid w:val="03C274DB"/>
    <w:rsid w:val="045A1585"/>
    <w:rsid w:val="04602913"/>
    <w:rsid w:val="04624D02"/>
    <w:rsid w:val="046B78CB"/>
    <w:rsid w:val="04CE1F73"/>
    <w:rsid w:val="04FB23FC"/>
    <w:rsid w:val="04FD0C1C"/>
    <w:rsid w:val="05145BD8"/>
    <w:rsid w:val="05557F9E"/>
    <w:rsid w:val="056450A4"/>
    <w:rsid w:val="058D172D"/>
    <w:rsid w:val="059F029C"/>
    <w:rsid w:val="05CC0EC7"/>
    <w:rsid w:val="05D2339D"/>
    <w:rsid w:val="05DB66F5"/>
    <w:rsid w:val="05E03D0C"/>
    <w:rsid w:val="05E41A4E"/>
    <w:rsid w:val="05E530D0"/>
    <w:rsid w:val="06357182"/>
    <w:rsid w:val="065546FA"/>
    <w:rsid w:val="06C62F02"/>
    <w:rsid w:val="06DE46EF"/>
    <w:rsid w:val="06E8731C"/>
    <w:rsid w:val="075E7FA4"/>
    <w:rsid w:val="07797F74"/>
    <w:rsid w:val="07FB495C"/>
    <w:rsid w:val="080F08D8"/>
    <w:rsid w:val="08844E22"/>
    <w:rsid w:val="0893471C"/>
    <w:rsid w:val="08A2174C"/>
    <w:rsid w:val="08AE1E9F"/>
    <w:rsid w:val="08C918EB"/>
    <w:rsid w:val="08FB24E9"/>
    <w:rsid w:val="0913264A"/>
    <w:rsid w:val="091C4A6B"/>
    <w:rsid w:val="095C18FB"/>
    <w:rsid w:val="09736C45"/>
    <w:rsid w:val="0A03356F"/>
    <w:rsid w:val="0A1263F7"/>
    <w:rsid w:val="0A232419"/>
    <w:rsid w:val="0A24407D"/>
    <w:rsid w:val="0A8A693C"/>
    <w:rsid w:val="0A951569"/>
    <w:rsid w:val="0B1F0E32"/>
    <w:rsid w:val="0B3F3E5F"/>
    <w:rsid w:val="0B47407F"/>
    <w:rsid w:val="0B602A5E"/>
    <w:rsid w:val="0B70168E"/>
    <w:rsid w:val="0B7B7B9F"/>
    <w:rsid w:val="0B920EFD"/>
    <w:rsid w:val="0B985065"/>
    <w:rsid w:val="0BCF2858"/>
    <w:rsid w:val="0BFE4EEC"/>
    <w:rsid w:val="0C2F779B"/>
    <w:rsid w:val="0C523BA3"/>
    <w:rsid w:val="0C62191E"/>
    <w:rsid w:val="0C981954"/>
    <w:rsid w:val="0C9A49A4"/>
    <w:rsid w:val="0CA82253"/>
    <w:rsid w:val="0CDB70BD"/>
    <w:rsid w:val="0D06669E"/>
    <w:rsid w:val="0D15598B"/>
    <w:rsid w:val="0D315FEB"/>
    <w:rsid w:val="0D4032E2"/>
    <w:rsid w:val="0D425EC2"/>
    <w:rsid w:val="0D494B5D"/>
    <w:rsid w:val="0D9C49BC"/>
    <w:rsid w:val="0DA863CC"/>
    <w:rsid w:val="0DCE08EE"/>
    <w:rsid w:val="0DD759F4"/>
    <w:rsid w:val="0DDF6F9F"/>
    <w:rsid w:val="0DE40111"/>
    <w:rsid w:val="0DE44C3D"/>
    <w:rsid w:val="0E3A1EE7"/>
    <w:rsid w:val="0E5A4301"/>
    <w:rsid w:val="0E686F94"/>
    <w:rsid w:val="0EBC43EC"/>
    <w:rsid w:val="0ECA14D0"/>
    <w:rsid w:val="0ECF0DC1"/>
    <w:rsid w:val="0F615EBD"/>
    <w:rsid w:val="0F693ECA"/>
    <w:rsid w:val="0F7C1DF5"/>
    <w:rsid w:val="0FA364D6"/>
    <w:rsid w:val="103C2486"/>
    <w:rsid w:val="1045758D"/>
    <w:rsid w:val="108F6A5A"/>
    <w:rsid w:val="10B464C1"/>
    <w:rsid w:val="110F2CF1"/>
    <w:rsid w:val="114C66F9"/>
    <w:rsid w:val="11555F29"/>
    <w:rsid w:val="115B231D"/>
    <w:rsid w:val="11776A7F"/>
    <w:rsid w:val="11800151"/>
    <w:rsid w:val="11A264BB"/>
    <w:rsid w:val="11A71B81"/>
    <w:rsid w:val="12176D07"/>
    <w:rsid w:val="12194ADA"/>
    <w:rsid w:val="12383670"/>
    <w:rsid w:val="124D2289"/>
    <w:rsid w:val="12535865"/>
    <w:rsid w:val="128A6AC3"/>
    <w:rsid w:val="12C66037"/>
    <w:rsid w:val="1325242F"/>
    <w:rsid w:val="133E5820"/>
    <w:rsid w:val="13631AD8"/>
    <w:rsid w:val="136B71AF"/>
    <w:rsid w:val="13E175CD"/>
    <w:rsid w:val="13EC7D20"/>
    <w:rsid w:val="14027543"/>
    <w:rsid w:val="1411115B"/>
    <w:rsid w:val="14537D9F"/>
    <w:rsid w:val="145E0C1D"/>
    <w:rsid w:val="149C34F4"/>
    <w:rsid w:val="14C12D51"/>
    <w:rsid w:val="14C72E68"/>
    <w:rsid w:val="14CF3D09"/>
    <w:rsid w:val="14EC102F"/>
    <w:rsid w:val="14ED1FA1"/>
    <w:rsid w:val="14F72E20"/>
    <w:rsid w:val="14FB2910"/>
    <w:rsid w:val="154F0566"/>
    <w:rsid w:val="15581B10"/>
    <w:rsid w:val="15804BC3"/>
    <w:rsid w:val="15836462"/>
    <w:rsid w:val="15997A33"/>
    <w:rsid w:val="15AD5613"/>
    <w:rsid w:val="15C522F6"/>
    <w:rsid w:val="15D942D4"/>
    <w:rsid w:val="15DA0777"/>
    <w:rsid w:val="15EC4007"/>
    <w:rsid w:val="16051197"/>
    <w:rsid w:val="161D2B21"/>
    <w:rsid w:val="162E461F"/>
    <w:rsid w:val="16650B2B"/>
    <w:rsid w:val="167E206D"/>
    <w:rsid w:val="169F60B4"/>
    <w:rsid w:val="16AB05A9"/>
    <w:rsid w:val="16B348BA"/>
    <w:rsid w:val="16B94831"/>
    <w:rsid w:val="16BF34C9"/>
    <w:rsid w:val="16CA259A"/>
    <w:rsid w:val="1722468F"/>
    <w:rsid w:val="176522C3"/>
    <w:rsid w:val="177607DB"/>
    <w:rsid w:val="17A50CDA"/>
    <w:rsid w:val="17C3523B"/>
    <w:rsid w:val="182C2DE0"/>
    <w:rsid w:val="18651381"/>
    <w:rsid w:val="187205F4"/>
    <w:rsid w:val="18787DD4"/>
    <w:rsid w:val="18D019BE"/>
    <w:rsid w:val="18D55226"/>
    <w:rsid w:val="18E549FD"/>
    <w:rsid w:val="18EE0096"/>
    <w:rsid w:val="191A70DD"/>
    <w:rsid w:val="19570331"/>
    <w:rsid w:val="197D7D98"/>
    <w:rsid w:val="198F3627"/>
    <w:rsid w:val="19BB3DC9"/>
    <w:rsid w:val="19FB6838"/>
    <w:rsid w:val="1A07140F"/>
    <w:rsid w:val="1A150C75"/>
    <w:rsid w:val="1AEE0821"/>
    <w:rsid w:val="1B721452"/>
    <w:rsid w:val="1B88053A"/>
    <w:rsid w:val="1BD353D6"/>
    <w:rsid w:val="1C65023F"/>
    <w:rsid w:val="1C7865F4"/>
    <w:rsid w:val="1CA23671"/>
    <w:rsid w:val="1CA70C88"/>
    <w:rsid w:val="1D022362"/>
    <w:rsid w:val="1D0936F0"/>
    <w:rsid w:val="1D0D3F8F"/>
    <w:rsid w:val="1D4B3D09"/>
    <w:rsid w:val="1D5C7326"/>
    <w:rsid w:val="1D5F5A06"/>
    <w:rsid w:val="1D935D85"/>
    <w:rsid w:val="1DB33ED5"/>
    <w:rsid w:val="1DD66BF1"/>
    <w:rsid w:val="1E59375D"/>
    <w:rsid w:val="1E7022E9"/>
    <w:rsid w:val="1E74728F"/>
    <w:rsid w:val="1E7D4396"/>
    <w:rsid w:val="1EAF32E5"/>
    <w:rsid w:val="1EB06519"/>
    <w:rsid w:val="1EE461C3"/>
    <w:rsid w:val="1F0625DD"/>
    <w:rsid w:val="1FD508D2"/>
    <w:rsid w:val="1FDE18FF"/>
    <w:rsid w:val="200F7270"/>
    <w:rsid w:val="203F7B19"/>
    <w:rsid w:val="205E1FA5"/>
    <w:rsid w:val="20E06E5E"/>
    <w:rsid w:val="219831F2"/>
    <w:rsid w:val="21FB04CE"/>
    <w:rsid w:val="223905D4"/>
    <w:rsid w:val="22B6537E"/>
    <w:rsid w:val="23311CBD"/>
    <w:rsid w:val="23636EA1"/>
    <w:rsid w:val="2376485C"/>
    <w:rsid w:val="239D1036"/>
    <w:rsid w:val="23A777BF"/>
    <w:rsid w:val="23D00544"/>
    <w:rsid w:val="23D068A2"/>
    <w:rsid w:val="23E847F6"/>
    <w:rsid w:val="23ED1D58"/>
    <w:rsid w:val="2446347C"/>
    <w:rsid w:val="2446522A"/>
    <w:rsid w:val="24C11485"/>
    <w:rsid w:val="24C56FAE"/>
    <w:rsid w:val="24CF6B45"/>
    <w:rsid w:val="24E342A1"/>
    <w:rsid w:val="24EF7670"/>
    <w:rsid w:val="25162E4E"/>
    <w:rsid w:val="25710085"/>
    <w:rsid w:val="25916987"/>
    <w:rsid w:val="25A4045A"/>
    <w:rsid w:val="26296BB1"/>
    <w:rsid w:val="264970D3"/>
    <w:rsid w:val="26591E30"/>
    <w:rsid w:val="268169ED"/>
    <w:rsid w:val="268A58EE"/>
    <w:rsid w:val="27165388"/>
    <w:rsid w:val="2733753A"/>
    <w:rsid w:val="274002C4"/>
    <w:rsid w:val="27934C2A"/>
    <w:rsid w:val="27983FEE"/>
    <w:rsid w:val="28074CD0"/>
    <w:rsid w:val="28355CE1"/>
    <w:rsid w:val="284F6DA3"/>
    <w:rsid w:val="28782C99"/>
    <w:rsid w:val="28810F26"/>
    <w:rsid w:val="28942A08"/>
    <w:rsid w:val="289522DC"/>
    <w:rsid w:val="28B05368"/>
    <w:rsid w:val="28BC16B0"/>
    <w:rsid w:val="28DE741C"/>
    <w:rsid w:val="28E1699E"/>
    <w:rsid w:val="28E70C96"/>
    <w:rsid w:val="290D666A"/>
    <w:rsid w:val="295977AD"/>
    <w:rsid w:val="298365D8"/>
    <w:rsid w:val="29C0070E"/>
    <w:rsid w:val="29DF5F05"/>
    <w:rsid w:val="2A021BF3"/>
    <w:rsid w:val="2A3F4BF5"/>
    <w:rsid w:val="2A6162AA"/>
    <w:rsid w:val="2A6E1037"/>
    <w:rsid w:val="2A7D127A"/>
    <w:rsid w:val="2A88659C"/>
    <w:rsid w:val="2B011EAB"/>
    <w:rsid w:val="2B1C0A93"/>
    <w:rsid w:val="2B3C2EE3"/>
    <w:rsid w:val="2B514BE0"/>
    <w:rsid w:val="2B6208CF"/>
    <w:rsid w:val="2B746468"/>
    <w:rsid w:val="2B886128"/>
    <w:rsid w:val="2B8E1990"/>
    <w:rsid w:val="2BA967CA"/>
    <w:rsid w:val="2BD05397"/>
    <w:rsid w:val="2BF11E95"/>
    <w:rsid w:val="2C0C6228"/>
    <w:rsid w:val="2C300C99"/>
    <w:rsid w:val="2C581F9E"/>
    <w:rsid w:val="2C8608B9"/>
    <w:rsid w:val="2CC9695B"/>
    <w:rsid w:val="2D167E87"/>
    <w:rsid w:val="2D265BF9"/>
    <w:rsid w:val="2D4D39AA"/>
    <w:rsid w:val="2D4F15F3"/>
    <w:rsid w:val="2D746964"/>
    <w:rsid w:val="2D9831CC"/>
    <w:rsid w:val="2DC21DC5"/>
    <w:rsid w:val="2DD52069"/>
    <w:rsid w:val="2DD9710F"/>
    <w:rsid w:val="2DDF2198"/>
    <w:rsid w:val="2DFC797D"/>
    <w:rsid w:val="2E507EAA"/>
    <w:rsid w:val="2EC708BB"/>
    <w:rsid w:val="2ECD54C5"/>
    <w:rsid w:val="2F1321AD"/>
    <w:rsid w:val="2F1C0570"/>
    <w:rsid w:val="2F2C0CD3"/>
    <w:rsid w:val="2FA86D99"/>
    <w:rsid w:val="2FDF6C0C"/>
    <w:rsid w:val="2FEF49C8"/>
    <w:rsid w:val="2FF2069C"/>
    <w:rsid w:val="3006424D"/>
    <w:rsid w:val="30590093"/>
    <w:rsid w:val="30683C8B"/>
    <w:rsid w:val="306B5DA3"/>
    <w:rsid w:val="307750E9"/>
    <w:rsid w:val="30CD2F5B"/>
    <w:rsid w:val="30E42053"/>
    <w:rsid w:val="30E927B5"/>
    <w:rsid w:val="30EB7FBA"/>
    <w:rsid w:val="310061F3"/>
    <w:rsid w:val="312C3C9C"/>
    <w:rsid w:val="31592A4A"/>
    <w:rsid w:val="319C62FD"/>
    <w:rsid w:val="319D54FA"/>
    <w:rsid w:val="31DE4CF4"/>
    <w:rsid w:val="3200110E"/>
    <w:rsid w:val="321D581C"/>
    <w:rsid w:val="32586854"/>
    <w:rsid w:val="32693FB9"/>
    <w:rsid w:val="327318E0"/>
    <w:rsid w:val="32855F9A"/>
    <w:rsid w:val="32C75B5F"/>
    <w:rsid w:val="32EB76C8"/>
    <w:rsid w:val="330B46A8"/>
    <w:rsid w:val="33180154"/>
    <w:rsid w:val="332D7CE1"/>
    <w:rsid w:val="33423F49"/>
    <w:rsid w:val="33470530"/>
    <w:rsid w:val="337C47C4"/>
    <w:rsid w:val="33D4015C"/>
    <w:rsid w:val="33E54DB7"/>
    <w:rsid w:val="33F20F2A"/>
    <w:rsid w:val="33F95E15"/>
    <w:rsid w:val="340159EB"/>
    <w:rsid w:val="34060532"/>
    <w:rsid w:val="3437693D"/>
    <w:rsid w:val="34911E0A"/>
    <w:rsid w:val="35675000"/>
    <w:rsid w:val="35A240D4"/>
    <w:rsid w:val="35AB313F"/>
    <w:rsid w:val="35BC534C"/>
    <w:rsid w:val="35FB40C6"/>
    <w:rsid w:val="362F3D70"/>
    <w:rsid w:val="365461BB"/>
    <w:rsid w:val="36745C27"/>
    <w:rsid w:val="367E302D"/>
    <w:rsid w:val="36AF3103"/>
    <w:rsid w:val="36D861B6"/>
    <w:rsid w:val="36E10656"/>
    <w:rsid w:val="37157582"/>
    <w:rsid w:val="374B2E2B"/>
    <w:rsid w:val="37506E89"/>
    <w:rsid w:val="37765CD1"/>
    <w:rsid w:val="37C14E9C"/>
    <w:rsid w:val="37CB1876"/>
    <w:rsid w:val="3801173C"/>
    <w:rsid w:val="38163439"/>
    <w:rsid w:val="3825542A"/>
    <w:rsid w:val="382E0D80"/>
    <w:rsid w:val="38635F53"/>
    <w:rsid w:val="387E6AA8"/>
    <w:rsid w:val="389205E6"/>
    <w:rsid w:val="38B4055C"/>
    <w:rsid w:val="38DB333D"/>
    <w:rsid w:val="38E1010B"/>
    <w:rsid w:val="39916AF0"/>
    <w:rsid w:val="39E3559D"/>
    <w:rsid w:val="39E84962"/>
    <w:rsid w:val="3A2F07E2"/>
    <w:rsid w:val="3A4F678F"/>
    <w:rsid w:val="3AB277BA"/>
    <w:rsid w:val="3AD60B85"/>
    <w:rsid w:val="3AD66EB0"/>
    <w:rsid w:val="3ADB2E57"/>
    <w:rsid w:val="3AF86E26"/>
    <w:rsid w:val="3B0752BB"/>
    <w:rsid w:val="3B0F5F1E"/>
    <w:rsid w:val="3B163750"/>
    <w:rsid w:val="3B2C087E"/>
    <w:rsid w:val="3B31058A"/>
    <w:rsid w:val="3B494C2A"/>
    <w:rsid w:val="3B602C1D"/>
    <w:rsid w:val="3B712735"/>
    <w:rsid w:val="3B854432"/>
    <w:rsid w:val="3B8A37F6"/>
    <w:rsid w:val="3B9C3A61"/>
    <w:rsid w:val="3BC35D64"/>
    <w:rsid w:val="3BD74C8E"/>
    <w:rsid w:val="3BE253E0"/>
    <w:rsid w:val="3BED2703"/>
    <w:rsid w:val="3C1F6635"/>
    <w:rsid w:val="3C4D13F4"/>
    <w:rsid w:val="3C9450C1"/>
    <w:rsid w:val="3CBC5ACD"/>
    <w:rsid w:val="3D561B6A"/>
    <w:rsid w:val="3D6A38DF"/>
    <w:rsid w:val="3D884009"/>
    <w:rsid w:val="3DAE78AF"/>
    <w:rsid w:val="3DB039E8"/>
    <w:rsid w:val="3DBA3B84"/>
    <w:rsid w:val="3DE1436E"/>
    <w:rsid w:val="3EAE3090"/>
    <w:rsid w:val="3EB40CEE"/>
    <w:rsid w:val="3EBA43F3"/>
    <w:rsid w:val="3F1C59E2"/>
    <w:rsid w:val="3F6C1B91"/>
    <w:rsid w:val="3F6F1681"/>
    <w:rsid w:val="3F9609BC"/>
    <w:rsid w:val="3FD634AE"/>
    <w:rsid w:val="3FF65974"/>
    <w:rsid w:val="40864ED4"/>
    <w:rsid w:val="408F760C"/>
    <w:rsid w:val="409F2284"/>
    <w:rsid w:val="40A45D7E"/>
    <w:rsid w:val="40EC2740"/>
    <w:rsid w:val="40FE4A6B"/>
    <w:rsid w:val="410C5AAF"/>
    <w:rsid w:val="411B580C"/>
    <w:rsid w:val="411C1395"/>
    <w:rsid w:val="412C5A7C"/>
    <w:rsid w:val="41491398"/>
    <w:rsid w:val="414B6B2E"/>
    <w:rsid w:val="415B1EBD"/>
    <w:rsid w:val="41647357"/>
    <w:rsid w:val="41874A60"/>
    <w:rsid w:val="41A135C5"/>
    <w:rsid w:val="41B70282"/>
    <w:rsid w:val="41E73D28"/>
    <w:rsid w:val="42002A64"/>
    <w:rsid w:val="42057F7F"/>
    <w:rsid w:val="422B5D33"/>
    <w:rsid w:val="422B7AE1"/>
    <w:rsid w:val="422E07FD"/>
    <w:rsid w:val="422F4BE5"/>
    <w:rsid w:val="42733236"/>
    <w:rsid w:val="42975177"/>
    <w:rsid w:val="42C6780A"/>
    <w:rsid w:val="42FB3958"/>
    <w:rsid w:val="43212404"/>
    <w:rsid w:val="43573DB2"/>
    <w:rsid w:val="43657023"/>
    <w:rsid w:val="4379487C"/>
    <w:rsid w:val="43DB1093"/>
    <w:rsid w:val="43F959BD"/>
    <w:rsid w:val="44055E8E"/>
    <w:rsid w:val="44450C02"/>
    <w:rsid w:val="446E0159"/>
    <w:rsid w:val="44C935E1"/>
    <w:rsid w:val="44FA19ED"/>
    <w:rsid w:val="45196317"/>
    <w:rsid w:val="45244CBC"/>
    <w:rsid w:val="45554E75"/>
    <w:rsid w:val="459D7C55"/>
    <w:rsid w:val="45BC5CF7"/>
    <w:rsid w:val="45DE035D"/>
    <w:rsid w:val="45F75F2C"/>
    <w:rsid w:val="463D6035"/>
    <w:rsid w:val="46B502C1"/>
    <w:rsid w:val="46F9712C"/>
    <w:rsid w:val="47413903"/>
    <w:rsid w:val="47422245"/>
    <w:rsid w:val="47523D62"/>
    <w:rsid w:val="47631ACB"/>
    <w:rsid w:val="476F6926"/>
    <w:rsid w:val="47AD0F98"/>
    <w:rsid w:val="47BA4746"/>
    <w:rsid w:val="47C441CA"/>
    <w:rsid w:val="47EB386F"/>
    <w:rsid w:val="47F53B1B"/>
    <w:rsid w:val="480C2163"/>
    <w:rsid w:val="48E96000"/>
    <w:rsid w:val="48EF68E0"/>
    <w:rsid w:val="49062082"/>
    <w:rsid w:val="490B41C9"/>
    <w:rsid w:val="49235A14"/>
    <w:rsid w:val="4931055C"/>
    <w:rsid w:val="49AB59AC"/>
    <w:rsid w:val="49C2281B"/>
    <w:rsid w:val="49C66735"/>
    <w:rsid w:val="49E12081"/>
    <w:rsid w:val="49EB7B56"/>
    <w:rsid w:val="4A070E34"/>
    <w:rsid w:val="4A556518"/>
    <w:rsid w:val="4A563B69"/>
    <w:rsid w:val="4A857FAB"/>
    <w:rsid w:val="4A8C30E7"/>
    <w:rsid w:val="4AA03036"/>
    <w:rsid w:val="4ABF6FE8"/>
    <w:rsid w:val="4AEE5B50"/>
    <w:rsid w:val="4AF64A04"/>
    <w:rsid w:val="4B410375"/>
    <w:rsid w:val="4B7754AE"/>
    <w:rsid w:val="4BA3693A"/>
    <w:rsid w:val="4BB23021"/>
    <w:rsid w:val="4BDF3FFA"/>
    <w:rsid w:val="4BFB6776"/>
    <w:rsid w:val="4C017B05"/>
    <w:rsid w:val="4C211F55"/>
    <w:rsid w:val="4C243294"/>
    <w:rsid w:val="4C4D68A6"/>
    <w:rsid w:val="4C742085"/>
    <w:rsid w:val="4CA6016B"/>
    <w:rsid w:val="4CAA019C"/>
    <w:rsid w:val="4CD12297"/>
    <w:rsid w:val="4CE36456"/>
    <w:rsid w:val="4CFE47D7"/>
    <w:rsid w:val="4CFE7FF0"/>
    <w:rsid w:val="4D8207D1"/>
    <w:rsid w:val="4D9361EA"/>
    <w:rsid w:val="4DA524E0"/>
    <w:rsid w:val="4DC62DB4"/>
    <w:rsid w:val="4DD77090"/>
    <w:rsid w:val="4DF162D0"/>
    <w:rsid w:val="4E345F70"/>
    <w:rsid w:val="4E3C605C"/>
    <w:rsid w:val="4E864C08"/>
    <w:rsid w:val="4E8D742E"/>
    <w:rsid w:val="4EA577DD"/>
    <w:rsid w:val="4EA66BE5"/>
    <w:rsid w:val="4EA86D4A"/>
    <w:rsid w:val="4EAF1A9A"/>
    <w:rsid w:val="4EBC7D13"/>
    <w:rsid w:val="4EDB63EB"/>
    <w:rsid w:val="4EEA2AD2"/>
    <w:rsid w:val="4F0040A4"/>
    <w:rsid w:val="4F1E452A"/>
    <w:rsid w:val="4F361873"/>
    <w:rsid w:val="4F4B737B"/>
    <w:rsid w:val="4F7657BE"/>
    <w:rsid w:val="4F7A3E56"/>
    <w:rsid w:val="4F7B197C"/>
    <w:rsid w:val="4F8C664C"/>
    <w:rsid w:val="4FC275AB"/>
    <w:rsid w:val="4FD55530"/>
    <w:rsid w:val="4FE418E2"/>
    <w:rsid w:val="50095A4D"/>
    <w:rsid w:val="50597110"/>
    <w:rsid w:val="506A211C"/>
    <w:rsid w:val="506A3ECB"/>
    <w:rsid w:val="507E1724"/>
    <w:rsid w:val="50DE21C3"/>
    <w:rsid w:val="50F71AE7"/>
    <w:rsid w:val="50FD0F7D"/>
    <w:rsid w:val="5100038B"/>
    <w:rsid w:val="510A120A"/>
    <w:rsid w:val="512247A5"/>
    <w:rsid w:val="512E1286"/>
    <w:rsid w:val="516D2186"/>
    <w:rsid w:val="51801367"/>
    <w:rsid w:val="51A74E09"/>
    <w:rsid w:val="51ED4DB3"/>
    <w:rsid w:val="522105B9"/>
    <w:rsid w:val="523A5B1F"/>
    <w:rsid w:val="52636E23"/>
    <w:rsid w:val="526D7CA2"/>
    <w:rsid w:val="52707792"/>
    <w:rsid w:val="527A4A5C"/>
    <w:rsid w:val="528D513D"/>
    <w:rsid w:val="52BC6534"/>
    <w:rsid w:val="53341F88"/>
    <w:rsid w:val="533A7098"/>
    <w:rsid w:val="5402441A"/>
    <w:rsid w:val="5477549E"/>
    <w:rsid w:val="54AB62C7"/>
    <w:rsid w:val="54AD4386"/>
    <w:rsid w:val="54FA1068"/>
    <w:rsid w:val="551C775D"/>
    <w:rsid w:val="55560EC1"/>
    <w:rsid w:val="55591D3F"/>
    <w:rsid w:val="55B300C2"/>
    <w:rsid w:val="55D8461F"/>
    <w:rsid w:val="55EC35D4"/>
    <w:rsid w:val="55EF2464"/>
    <w:rsid w:val="561C5C67"/>
    <w:rsid w:val="56262642"/>
    <w:rsid w:val="56905D0D"/>
    <w:rsid w:val="56942848"/>
    <w:rsid w:val="56E6099B"/>
    <w:rsid w:val="575C02E5"/>
    <w:rsid w:val="577B076B"/>
    <w:rsid w:val="579B0E0D"/>
    <w:rsid w:val="57BC2368"/>
    <w:rsid w:val="57BD6FD6"/>
    <w:rsid w:val="57CB5CDA"/>
    <w:rsid w:val="57E04A72"/>
    <w:rsid w:val="586B07E0"/>
    <w:rsid w:val="58801DB1"/>
    <w:rsid w:val="588E0972"/>
    <w:rsid w:val="58A41F44"/>
    <w:rsid w:val="58BD134A"/>
    <w:rsid w:val="59413C36"/>
    <w:rsid w:val="59852EF0"/>
    <w:rsid w:val="59A26A9D"/>
    <w:rsid w:val="59CD4D46"/>
    <w:rsid w:val="5A0712C8"/>
    <w:rsid w:val="5A23622C"/>
    <w:rsid w:val="5A2D0246"/>
    <w:rsid w:val="5A5D05FC"/>
    <w:rsid w:val="5A643739"/>
    <w:rsid w:val="5A7476F4"/>
    <w:rsid w:val="5A7A2F5C"/>
    <w:rsid w:val="5A871B1D"/>
    <w:rsid w:val="5A897A90"/>
    <w:rsid w:val="5B0429A7"/>
    <w:rsid w:val="5B0D7CCC"/>
    <w:rsid w:val="5B0F4685"/>
    <w:rsid w:val="5B2B24A8"/>
    <w:rsid w:val="5B571307"/>
    <w:rsid w:val="5B6559BA"/>
    <w:rsid w:val="5B7025B1"/>
    <w:rsid w:val="5C133668"/>
    <w:rsid w:val="5C245875"/>
    <w:rsid w:val="5C471564"/>
    <w:rsid w:val="5C512D32"/>
    <w:rsid w:val="5C534E4A"/>
    <w:rsid w:val="5C5D2B35"/>
    <w:rsid w:val="5C981DBF"/>
    <w:rsid w:val="5CAB1AF3"/>
    <w:rsid w:val="5CAE15E3"/>
    <w:rsid w:val="5CDA23D8"/>
    <w:rsid w:val="5D3A2E77"/>
    <w:rsid w:val="5D431D2B"/>
    <w:rsid w:val="5D695B4F"/>
    <w:rsid w:val="5D7F0889"/>
    <w:rsid w:val="5D9342BC"/>
    <w:rsid w:val="5DC4702E"/>
    <w:rsid w:val="5DF63241"/>
    <w:rsid w:val="5E2C27BF"/>
    <w:rsid w:val="5E345B18"/>
    <w:rsid w:val="5E40626B"/>
    <w:rsid w:val="5E4E6BDA"/>
    <w:rsid w:val="5E6C1D3E"/>
    <w:rsid w:val="5E95615C"/>
    <w:rsid w:val="5F17346F"/>
    <w:rsid w:val="5F702B80"/>
    <w:rsid w:val="5F7A39FE"/>
    <w:rsid w:val="5F990328"/>
    <w:rsid w:val="5FB32A6C"/>
    <w:rsid w:val="5FEA0B84"/>
    <w:rsid w:val="5FF90DC7"/>
    <w:rsid w:val="604858AA"/>
    <w:rsid w:val="60E92BEA"/>
    <w:rsid w:val="6119520D"/>
    <w:rsid w:val="61377DF9"/>
    <w:rsid w:val="617F354E"/>
    <w:rsid w:val="619D0F1D"/>
    <w:rsid w:val="61A62889"/>
    <w:rsid w:val="61C251E9"/>
    <w:rsid w:val="61EB0BE3"/>
    <w:rsid w:val="620076EF"/>
    <w:rsid w:val="620852F1"/>
    <w:rsid w:val="622247BC"/>
    <w:rsid w:val="624C1682"/>
    <w:rsid w:val="627C183B"/>
    <w:rsid w:val="628663E8"/>
    <w:rsid w:val="62C751AC"/>
    <w:rsid w:val="634A45AF"/>
    <w:rsid w:val="636B3D8A"/>
    <w:rsid w:val="638135AD"/>
    <w:rsid w:val="63A159FD"/>
    <w:rsid w:val="63B53C68"/>
    <w:rsid w:val="63B956FE"/>
    <w:rsid w:val="63C33BC6"/>
    <w:rsid w:val="63C84EF6"/>
    <w:rsid w:val="641B6CFA"/>
    <w:rsid w:val="642F4DB7"/>
    <w:rsid w:val="64430863"/>
    <w:rsid w:val="6483533D"/>
    <w:rsid w:val="648F7389"/>
    <w:rsid w:val="649B41FB"/>
    <w:rsid w:val="64B82C75"/>
    <w:rsid w:val="64BE25DF"/>
    <w:rsid w:val="64EE4C72"/>
    <w:rsid w:val="64FC0D08"/>
    <w:rsid w:val="650D3CB3"/>
    <w:rsid w:val="651915C4"/>
    <w:rsid w:val="65847385"/>
    <w:rsid w:val="658F0C2A"/>
    <w:rsid w:val="659A7FFB"/>
    <w:rsid w:val="65A215B9"/>
    <w:rsid w:val="65A73073"/>
    <w:rsid w:val="65C07C91"/>
    <w:rsid w:val="66171FA7"/>
    <w:rsid w:val="6635067F"/>
    <w:rsid w:val="665E1984"/>
    <w:rsid w:val="666F593F"/>
    <w:rsid w:val="6678789E"/>
    <w:rsid w:val="668760F0"/>
    <w:rsid w:val="66B4596B"/>
    <w:rsid w:val="66B64012"/>
    <w:rsid w:val="66FB71D3"/>
    <w:rsid w:val="66FF5BCA"/>
    <w:rsid w:val="675608AD"/>
    <w:rsid w:val="676A4CE7"/>
    <w:rsid w:val="678E44EB"/>
    <w:rsid w:val="67931B01"/>
    <w:rsid w:val="679A2E90"/>
    <w:rsid w:val="67F325A0"/>
    <w:rsid w:val="6852376A"/>
    <w:rsid w:val="685811C0"/>
    <w:rsid w:val="686A21E8"/>
    <w:rsid w:val="68BC6E36"/>
    <w:rsid w:val="68C20206"/>
    <w:rsid w:val="68E51EE8"/>
    <w:rsid w:val="68EC62D5"/>
    <w:rsid w:val="68F120D5"/>
    <w:rsid w:val="692C5C4D"/>
    <w:rsid w:val="69AB5106"/>
    <w:rsid w:val="69B203FD"/>
    <w:rsid w:val="69B36F0D"/>
    <w:rsid w:val="69C2047C"/>
    <w:rsid w:val="69D56401"/>
    <w:rsid w:val="6A042842"/>
    <w:rsid w:val="6A0D6157"/>
    <w:rsid w:val="6A152A41"/>
    <w:rsid w:val="6A2B41BB"/>
    <w:rsid w:val="6A4E1D0F"/>
    <w:rsid w:val="6AC41FD2"/>
    <w:rsid w:val="6AC4570C"/>
    <w:rsid w:val="6B19056F"/>
    <w:rsid w:val="6B1E7934"/>
    <w:rsid w:val="6B225676"/>
    <w:rsid w:val="6B250CC2"/>
    <w:rsid w:val="6B7E1FE2"/>
    <w:rsid w:val="6B8B3DD4"/>
    <w:rsid w:val="6B9320D0"/>
    <w:rsid w:val="6BBB33D4"/>
    <w:rsid w:val="6BC905D3"/>
    <w:rsid w:val="6C0528A2"/>
    <w:rsid w:val="6C334D13"/>
    <w:rsid w:val="6C465394"/>
    <w:rsid w:val="6CC4450B"/>
    <w:rsid w:val="6CD01102"/>
    <w:rsid w:val="6D176D30"/>
    <w:rsid w:val="6D5263BD"/>
    <w:rsid w:val="6D806684"/>
    <w:rsid w:val="6E3851B0"/>
    <w:rsid w:val="6E3D6323"/>
    <w:rsid w:val="6E7361E8"/>
    <w:rsid w:val="6E755215"/>
    <w:rsid w:val="6E851A78"/>
    <w:rsid w:val="6E8D50C2"/>
    <w:rsid w:val="6ED1475A"/>
    <w:rsid w:val="6ED36C87"/>
    <w:rsid w:val="6F0737B2"/>
    <w:rsid w:val="6F2A4AF9"/>
    <w:rsid w:val="6F35524C"/>
    <w:rsid w:val="6F667153"/>
    <w:rsid w:val="6FB410EE"/>
    <w:rsid w:val="6FD66A2F"/>
    <w:rsid w:val="6FFE3CE6"/>
    <w:rsid w:val="70422316"/>
    <w:rsid w:val="705E44AE"/>
    <w:rsid w:val="70822713"/>
    <w:rsid w:val="70CC520D"/>
    <w:rsid w:val="70DC0075"/>
    <w:rsid w:val="71074646"/>
    <w:rsid w:val="71141F49"/>
    <w:rsid w:val="719974E5"/>
    <w:rsid w:val="71B12624"/>
    <w:rsid w:val="71BD0C7C"/>
    <w:rsid w:val="71E01DE7"/>
    <w:rsid w:val="71F80CC9"/>
    <w:rsid w:val="7241389E"/>
    <w:rsid w:val="724A54B2"/>
    <w:rsid w:val="72706ED5"/>
    <w:rsid w:val="7274499D"/>
    <w:rsid w:val="729B6B8D"/>
    <w:rsid w:val="72A050D2"/>
    <w:rsid w:val="72BA2638"/>
    <w:rsid w:val="72E262CE"/>
    <w:rsid w:val="72FA2A34"/>
    <w:rsid w:val="732B4AE1"/>
    <w:rsid w:val="732C6241"/>
    <w:rsid w:val="73337E12"/>
    <w:rsid w:val="736D1458"/>
    <w:rsid w:val="73722F12"/>
    <w:rsid w:val="73E17E66"/>
    <w:rsid w:val="741915E0"/>
    <w:rsid w:val="7462001D"/>
    <w:rsid w:val="7490285F"/>
    <w:rsid w:val="74A40C7B"/>
    <w:rsid w:val="74B453E8"/>
    <w:rsid w:val="74B84B5A"/>
    <w:rsid w:val="74F8738F"/>
    <w:rsid w:val="75324707"/>
    <w:rsid w:val="756643B1"/>
    <w:rsid w:val="757323B8"/>
    <w:rsid w:val="75A849CA"/>
    <w:rsid w:val="75CA1915"/>
    <w:rsid w:val="75E43528"/>
    <w:rsid w:val="75F47C0F"/>
    <w:rsid w:val="76391AC6"/>
    <w:rsid w:val="76816FC9"/>
    <w:rsid w:val="76853969"/>
    <w:rsid w:val="76A51D5C"/>
    <w:rsid w:val="76B15B00"/>
    <w:rsid w:val="76CD220E"/>
    <w:rsid w:val="76E76C19"/>
    <w:rsid w:val="76EF03D6"/>
    <w:rsid w:val="76FF2D0F"/>
    <w:rsid w:val="772E7150"/>
    <w:rsid w:val="77784870"/>
    <w:rsid w:val="779A6594"/>
    <w:rsid w:val="779D6084"/>
    <w:rsid w:val="780659D7"/>
    <w:rsid w:val="783764D9"/>
    <w:rsid w:val="783A0199"/>
    <w:rsid w:val="783C3AEF"/>
    <w:rsid w:val="78911559"/>
    <w:rsid w:val="78A13010"/>
    <w:rsid w:val="78B922AF"/>
    <w:rsid w:val="78CC4EEE"/>
    <w:rsid w:val="78EC2860"/>
    <w:rsid w:val="78FB2838"/>
    <w:rsid w:val="79294ED6"/>
    <w:rsid w:val="795F1843"/>
    <w:rsid w:val="79701CA2"/>
    <w:rsid w:val="797B42F5"/>
    <w:rsid w:val="7993773F"/>
    <w:rsid w:val="79F05317"/>
    <w:rsid w:val="7A187C44"/>
    <w:rsid w:val="7A284669"/>
    <w:rsid w:val="7A3525A4"/>
    <w:rsid w:val="7A61783D"/>
    <w:rsid w:val="7A813A3B"/>
    <w:rsid w:val="7AFA3127"/>
    <w:rsid w:val="7B046B46"/>
    <w:rsid w:val="7B3960C4"/>
    <w:rsid w:val="7B637D31"/>
    <w:rsid w:val="7B7470FC"/>
    <w:rsid w:val="7B902188"/>
    <w:rsid w:val="7B9E1624"/>
    <w:rsid w:val="7BA9149B"/>
    <w:rsid w:val="7BBC11CF"/>
    <w:rsid w:val="7BD079A4"/>
    <w:rsid w:val="7C8141C6"/>
    <w:rsid w:val="7C9A3623"/>
    <w:rsid w:val="7CE02C9B"/>
    <w:rsid w:val="7CF81675"/>
    <w:rsid w:val="7D145EE4"/>
    <w:rsid w:val="7D25327D"/>
    <w:rsid w:val="7D7D04EA"/>
    <w:rsid w:val="7D944F65"/>
    <w:rsid w:val="7DB40C71"/>
    <w:rsid w:val="7DBB7942"/>
    <w:rsid w:val="7DEB5D9B"/>
    <w:rsid w:val="7DF05160"/>
    <w:rsid w:val="7E07024D"/>
    <w:rsid w:val="7E431733"/>
    <w:rsid w:val="7E721F14"/>
    <w:rsid w:val="7E730C9D"/>
    <w:rsid w:val="7E867872"/>
    <w:rsid w:val="7ECF746B"/>
    <w:rsid w:val="7ED30C88"/>
    <w:rsid w:val="7F0F7867"/>
    <w:rsid w:val="7F2A28F3"/>
    <w:rsid w:val="7F966DB4"/>
    <w:rsid w:val="7FC33C7F"/>
    <w:rsid w:val="7FDC738E"/>
    <w:rsid w:val="7FFA62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rokecolor="#739cc3">
      <v:fill angle="90" type="gradient">
        <o:fill v:ext="view" type="gradientUnscaled"/>
      </v:fill>
      <v:stroke color="#739cc3" weight="1.25pt"/>
    </o:shapedefaults>
    <o:shapelayout v:ext="edit">
      <o:idmap v:ext="edit" data="2"/>
    </o:shapelayout>
  </w:shapeDefaults>
  <w:decimalSymbol w:val="."/>
  <w:listSeparator w:val=","/>
  <w14:docId w14:val="0C867921"/>
  <w15:docId w15:val="{D9AF6157-C0AA-41E5-B08A-D5B34B89C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qFormat="1"/>
    <w:lsdException w:name="footnote text" w:semiHidden="1" w:unhideWhenUsed="1"/>
    <w:lsdException w:name="annotation text" w:semiHidden="1" w:qFormat="1"/>
    <w:lsdException w:name="header" w:uiPriority="99"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qFormat="1"/>
    <w:lsdException w:name="Body Text First Indent" w:qFormat="1"/>
    <w:lsdException w:name="Body Text First Indent 2" w:unhideWhenUsed="1" w:qFormat="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unhideWhenUsed="1"/>
    <w:lsdException w:name="Hyperlink" w:uiPriority="99" w:unhideWhenUsed="1" w:qFormat="1"/>
    <w:lsdException w:name="FollowedHyperlink" w:unhideWhenUsed="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next w:val="20"/>
    <w:qFormat/>
    <w:pPr>
      <w:widowControl w:val="0"/>
      <w:jc w:val="both"/>
    </w:pPr>
    <w:rPr>
      <w:kern w:val="2"/>
      <w:sz w:val="21"/>
      <w:szCs w:val="22"/>
    </w:rPr>
  </w:style>
  <w:style w:type="paragraph" w:styleId="1">
    <w:name w:val="heading 1"/>
    <w:basedOn w:val="a1"/>
    <w:next w:val="a1"/>
    <w:link w:val="10"/>
    <w:qFormat/>
    <w:pPr>
      <w:keepNext/>
      <w:keepLines/>
      <w:numPr>
        <w:numId w:val="1"/>
      </w:numPr>
      <w:spacing w:before="340" w:after="330" w:line="578" w:lineRule="auto"/>
      <w:jc w:val="center"/>
      <w:outlineLvl w:val="0"/>
    </w:pPr>
    <w:rPr>
      <w:b/>
      <w:bCs/>
      <w:kern w:val="44"/>
      <w:sz w:val="44"/>
      <w:szCs w:val="44"/>
    </w:rPr>
  </w:style>
  <w:style w:type="paragraph" w:styleId="2">
    <w:name w:val="heading 2"/>
    <w:basedOn w:val="a1"/>
    <w:next w:val="a1"/>
    <w:link w:val="21"/>
    <w:qFormat/>
    <w:pPr>
      <w:keepNext/>
      <w:keepLines/>
      <w:numPr>
        <w:ilvl w:val="1"/>
        <w:numId w:val="1"/>
      </w:numPr>
      <w:spacing w:before="260" w:after="260" w:line="416" w:lineRule="auto"/>
      <w:outlineLvl w:val="1"/>
    </w:pPr>
    <w:rPr>
      <w:rFonts w:ascii="Arial" w:eastAsia="黑体" w:hAnsi="Arial"/>
      <w:b/>
      <w:bCs/>
      <w:sz w:val="32"/>
      <w:szCs w:val="32"/>
    </w:rPr>
  </w:style>
  <w:style w:type="paragraph" w:styleId="3">
    <w:name w:val="heading 3"/>
    <w:basedOn w:val="a1"/>
    <w:next w:val="a1"/>
    <w:link w:val="30"/>
    <w:qFormat/>
    <w:pPr>
      <w:keepNext/>
      <w:keepLines/>
      <w:numPr>
        <w:ilvl w:val="2"/>
        <w:numId w:val="1"/>
      </w:numPr>
      <w:spacing w:beforeLines="50" w:before="156" w:afterLines="50" w:after="156" w:line="360" w:lineRule="auto"/>
      <w:outlineLvl w:val="2"/>
    </w:pPr>
    <w:rPr>
      <w:rFonts w:eastAsia="黑体"/>
      <w:b/>
      <w:sz w:val="28"/>
      <w:szCs w:val="28"/>
    </w:rPr>
  </w:style>
  <w:style w:type="paragraph" w:styleId="4">
    <w:name w:val="heading 4"/>
    <w:basedOn w:val="a1"/>
    <w:next w:val="a1"/>
    <w:link w:val="40"/>
    <w:qFormat/>
    <w:pPr>
      <w:keepNext/>
      <w:keepLines/>
      <w:numPr>
        <w:ilvl w:val="3"/>
        <w:numId w:val="1"/>
      </w:numPr>
      <w:spacing w:before="280" w:after="290" w:line="377" w:lineRule="auto"/>
      <w:ind w:left="0"/>
      <w:outlineLvl w:val="3"/>
    </w:pPr>
    <w:rPr>
      <w:rFonts w:ascii="Cambria" w:hAnsi="Cambria"/>
      <w:b/>
      <w:bCs/>
      <w:sz w:val="28"/>
      <w:szCs w:val="28"/>
    </w:rPr>
  </w:style>
  <w:style w:type="paragraph" w:styleId="5">
    <w:name w:val="heading 5"/>
    <w:basedOn w:val="a1"/>
    <w:next w:val="a2"/>
    <w:link w:val="50"/>
    <w:qFormat/>
    <w:pPr>
      <w:keepNext/>
      <w:keepLines/>
      <w:tabs>
        <w:tab w:val="left" w:pos="1008"/>
      </w:tabs>
      <w:autoSpaceDE w:val="0"/>
      <w:autoSpaceDN w:val="0"/>
      <w:adjustRightInd w:val="0"/>
      <w:spacing w:before="280" w:after="290" w:line="376" w:lineRule="atLeast"/>
      <w:ind w:left="1008" w:hanging="1008"/>
      <w:textAlignment w:val="baseline"/>
      <w:outlineLvl w:val="4"/>
    </w:pPr>
    <w:rPr>
      <w:rFonts w:eastAsia="仿宋_GB2312"/>
      <w:b/>
      <w:kern w:val="0"/>
      <w:sz w:val="28"/>
      <w:szCs w:val="20"/>
    </w:rPr>
  </w:style>
  <w:style w:type="paragraph" w:styleId="6">
    <w:name w:val="heading 6"/>
    <w:basedOn w:val="a1"/>
    <w:next w:val="a1"/>
    <w:link w:val="60"/>
    <w:qFormat/>
    <w:pPr>
      <w:keepNext/>
      <w:keepLines/>
      <w:spacing w:before="240" w:after="64" w:line="320" w:lineRule="auto"/>
      <w:outlineLvl w:val="5"/>
    </w:pPr>
    <w:rPr>
      <w:rFonts w:ascii="Arial" w:eastAsia="黑体" w:hAnsi="Arial"/>
      <w:b/>
      <w:bCs/>
      <w:sz w:val="24"/>
      <w:szCs w:val="24"/>
    </w:rPr>
  </w:style>
  <w:style w:type="paragraph" w:styleId="7">
    <w:name w:val="heading 7"/>
    <w:basedOn w:val="a1"/>
    <w:next w:val="a2"/>
    <w:link w:val="70"/>
    <w:qFormat/>
    <w:pPr>
      <w:keepNext/>
      <w:keepLines/>
      <w:tabs>
        <w:tab w:val="left" w:pos="1296"/>
      </w:tabs>
      <w:autoSpaceDE w:val="0"/>
      <w:autoSpaceDN w:val="0"/>
      <w:adjustRightInd w:val="0"/>
      <w:spacing w:before="240" w:after="64" w:line="320" w:lineRule="atLeast"/>
      <w:ind w:left="1296" w:hanging="1296"/>
      <w:textAlignment w:val="baseline"/>
      <w:outlineLvl w:val="6"/>
    </w:pPr>
    <w:rPr>
      <w:rFonts w:eastAsia="仿宋_GB2312"/>
      <w:b/>
      <w:kern w:val="0"/>
      <w:sz w:val="24"/>
      <w:szCs w:val="20"/>
    </w:rPr>
  </w:style>
  <w:style w:type="paragraph" w:styleId="8">
    <w:name w:val="heading 8"/>
    <w:basedOn w:val="a1"/>
    <w:next w:val="a2"/>
    <w:link w:val="80"/>
    <w:qFormat/>
    <w:pPr>
      <w:keepNext/>
      <w:keepLines/>
      <w:tabs>
        <w:tab w:val="left" w:pos="1440"/>
      </w:tabs>
      <w:autoSpaceDE w:val="0"/>
      <w:autoSpaceDN w:val="0"/>
      <w:adjustRightInd w:val="0"/>
      <w:spacing w:before="240" w:after="64" w:line="320" w:lineRule="atLeast"/>
      <w:ind w:left="1440" w:hanging="1440"/>
      <w:textAlignment w:val="baseline"/>
      <w:outlineLvl w:val="7"/>
    </w:pPr>
    <w:rPr>
      <w:rFonts w:ascii="Arial" w:eastAsia="黑体" w:hAnsi="Arial"/>
      <w:kern w:val="0"/>
      <w:sz w:val="24"/>
      <w:szCs w:val="20"/>
    </w:rPr>
  </w:style>
  <w:style w:type="paragraph" w:styleId="9">
    <w:name w:val="heading 9"/>
    <w:basedOn w:val="a1"/>
    <w:next w:val="a2"/>
    <w:link w:val="90"/>
    <w:qFormat/>
    <w:pPr>
      <w:keepNext/>
      <w:keepLines/>
      <w:tabs>
        <w:tab w:val="left" w:pos="1584"/>
      </w:tabs>
      <w:autoSpaceDE w:val="0"/>
      <w:autoSpaceDN w:val="0"/>
      <w:adjustRightInd w:val="0"/>
      <w:spacing w:before="240" w:after="64" w:line="320" w:lineRule="atLeast"/>
      <w:ind w:left="1584" w:hanging="1584"/>
      <w:textAlignment w:val="baseline"/>
      <w:outlineLvl w:val="8"/>
    </w:pPr>
    <w:rPr>
      <w:rFonts w:ascii="Arial" w:eastAsia="黑体" w:hAnsi="Arial"/>
      <w:kern w:val="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20">
    <w:name w:val="Body Text First Indent 2"/>
    <w:basedOn w:val="a6"/>
    <w:next w:val="a1"/>
    <w:link w:val="22"/>
    <w:unhideWhenUsed/>
    <w:qFormat/>
    <w:pPr>
      <w:ind w:firstLineChars="200" w:firstLine="420"/>
    </w:pPr>
    <w:rPr>
      <w:rFonts w:ascii="Calibri" w:hAnsi="Calibri"/>
      <w:szCs w:val="22"/>
    </w:rPr>
  </w:style>
  <w:style w:type="paragraph" w:styleId="a6">
    <w:name w:val="Body Text Indent"/>
    <w:basedOn w:val="a1"/>
    <w:next w:val="a1"/>
    <w:link w:val="a7"/>
    <w:qFormat/>
    <w:pPr>
      <w:spacing w:after="120"/>
      <w:ind w:leftChars="200" w:left="420"/>
    </w:pPr>
    <w:rPr>
      <w:szCs w:val="24"/>
    </w:rPr>
  </w:style>
  <w:style w:type="paragraph" w:styleId="a2">
    <w:name w:val="Normal Indent"/>
    <w:basedOn w:val="a1"/>
    <w:link w:val="a8"/>
    <w:qFormat/>
    <w:pPr>
      <w:ind w:firstLine="420"/>
    </w:pPr>
    <w:rPr>
      <w:sz w:val="28"/>
      <w:szCs w:val="20"/>
    </w:rPr>
  </w:style>
  <w:style w:type="paragraph" w:styleId="TOC7">
    <w:name w:val="toc 7"/>
    <w:basedOn w:val="a1"/>
    <w:next w:val="a1"/>
    <w:uiPriority w:val="39"/>
    <w:unhideWhenUsed/>
    <w:qFormat/>
    <w:pPr>
      <w:ind w:left="1260"/>
      <w:jc w:val="left"/>
    </w:pPr>
    <w:rPr>
      <w:rFonts w:asciiTheme="minorHAnsi" w:hAnsiTheme="minorHAnsi"/>
      <w:sz w:val="18"/>
      <w:szCs w:val="18"/>
    </w:rPr>
  </w:style>
  <w:style w:type="paragraph" w:styleId="a9">
    <w:name w:val="caption"/>
    <w:basedOn w:val="a1"/>
    <w:next w:val="a1"/>
    <w:qFormat/>
    <w:pPr>
      <w:widowControl/>
      <w:spacing w:line="240" w:lineRule="exact"/>
      <w:jc w:val="left"/>
    </w:pPr>
    <w:rPr>
      <w:rFonts w:ascii="Arial" w:eastAsia="黑体" w:hAnsi="Arial" w:cs="Arial"/>
      <w:kern w:val="0"/>
      <w:sz w:val="20"/>
      <w:szCs w:val="20"/>
      <w:lang w:eastAsia="en-US" w:bidi="en-US"/>
    </w:rPr>
  </w:style>
  <w:style w:type="paragraph" w:styleId="aa">
    <w:name w:val="Document Map"/>
    <w:basedOn w:val="a1"/>
    <w:link w:val="ab"/>
    <w:qFormat/>
    <w:rPr>
      <w:rFonts w:ascii="宋体"/>
      <w:sz w:val="18"/>
      <w:szCs w:val="18"/>
    </w:rPr>
  </w:style>
  <w:style w:type="paragraph" w:styleId="ac">
    <w:name w:val="annotation text"/>
    <w:basedOn w:val="a1"/>
    <w:link w:val="ad"/>
    <w:semiHidden/>
    <w:qFormat/>
    <w:pPr>
      <w:autoSpaceDE w:val="0"/>
      <w:autoSpaceDN w:val="0"/>
      <w:adjustRightInd w:val="0"/>
      <w:spacing w:line="360" w:lineRule="auto"/>
      <w:ind w:firstLine="482"/>
      <w:jc w:val="left"/>
      <w:textAlignment w:val="baseline"/>
    </w:pPr>
    <w:rPr>
      <w:kern w:val="0"/>
      <w:sz w:val="24"/>
      <w:szCs w:val="20"/>
    </w:rPr>
  </w:style>
  <w:style w:type="paragraph" w:styleId="ae">
    <w:name w:val="Body Text"/>
    <w:basedOn w:val="a1"/>
    <w:link w:val="af"/>
    <w:qFormat/>
    <w:pPr>
      <w:spacing w:after="120"/>
    </w:pPr>
  </w:style>
  <w:style w:type="paragraph" w:styleId="TOC5">
    <w:name w:val="toc 5"/>
    <w:basedOn w:val="a1"/>
    <w:next w:val="a1"/>
    <w:uiPriority w:val="39"/>
    <w:unhideWhenUsed/>
    <w:qFormat/>
    <w:pPr>
      <w:ind w:left="840"/>
      <w:jc w:val="left"/>
    </w:pPr>
    <w:rPr>
      <w:rFonts w:asciiTheme="minorHAnsi" w:hAnsiTheme="minorHAnsi"/>
      <w:sz w:val="18"/>
      <w:szCs w:val="18"/>
    </w:rPr>
  </w:style>
  <w:style w:type="paragraph" w:styleId="TOC3">
    <w:name w:val="toc 3"/>
    <w:basedOn w:val="a1"/>
    <w:next w:val="a1"/>
    <w:uiPriority w:val="39"/>
    <w:qFormat/>
    <w:pPr>
      <w:ind w:left="420"/>
      <w:jc w:val="left"/>
    </w:pPr>
    <w:rPr>
      <w:rFonts w:asciiTheme="minorHAnsi" w:hAnsiTheme="minorHAnsi"/>
      <w:i/>
      <w:iCs/>
      <w:sz w:val="20"/>
      <w:szCs w:val="20"/>
    </w:rPr>
  </w:style>
  <w:style w:type="paragraph" w:styleId="af0">
    <w:name w:val="Plain Text"/>
    <w:basedOn w:val="a1"/>
    <w:link w:val="af1"/>
    <w:qFormat/>
    <w:pPr>
      <w:adjustRightInd w:val="0"/>
    </w:pPr>
    <w:rPr>
      <w:rFonts w:ascii="宋体" w:eastAsia="仿宋_GB2312"/>
      <w:kern w:val="0"/>
      <w:sz w:val="28"/>
      <w:szCs w:val="20"/>
    </w:rPr>
  </w:style>
  <w:style w:type="paragraph" w:styleId="TOC8">
    <w:name w:val="toc 8"/>
    <w:basedOn w:val="a1"/>
    <w:next w:val="a1"/>
    <w:uiPriority w:val="39"/>
    <w:unhideWhenUsed/>
    <w:qFormat/>
    <w:pPr>
      <w:ind w:left="1470"/>
      <w:jc w:val="left"/>
    </w:pPr>
    <w:rPr>
      <w:rFonts w:asciiTheme="minorHAnsi" w:hAnsiTheme="minorHAnsi"/>
      <w:sz w:val="18"/>
      <w:szCs w:val="18"/>
    </w:rPr>
  </w:style>
  <w:style w:type="paragraph" w:styleId="af2">
    <w:name w:val="Date"/>
    <w:basedOn w:val="a1"/>
    <w:next w:val="a1"/>
    <w:link w:val="af3"/>
    <w:qFormat/>
    <w:pPr>
      <w:ind w:leftChars="2500" w:left="100"/>
    </w:pPr>
  </w:style>
  <w:style w:type="paragraph" w:styleId="23">
    <w:name w:val="Body Text Indent 2"/>
    <w:basedOn w:val="a1"/>
    <w:link w:val="24"/>
    <w:qFormat/>
    <w:pPr>
      <w:spacing w:after="120" w:line="480" w:lineRule="auto"/>
      <w:ind w:leftChars="200" w:left="420"/>
    </w:pPr>
    <w:rPr>
      <w:szCs w:val="24"/>
    </w:rPr>
  </w:style>
  <w:style w:type="paragraph" w:styleId="af4">
    <w:name w:val="Balloon Text"/>
    <w:basedOn w:val="a1"/>
    <w:link w:val="af5"/>
    <w:semiHidden/>
    <w:qFormat/>
    <w:rPr>
      <w:sz w:val="18"/>
      <w:szCs w:val="18"/>
    </w:rPr>
  </w:style>
  <w:style w:type="paragraph" w:styleId="af6">
    <w:name w:val="footer"/>
    <w:basedOn w:val="a1"/>
    <w:link w:val="af7"/>
    <w:uiPriority w:val="99"/>
    <w:qFormat/>
    <w:pPr>
      <w:tabs>
        <w:tab w:val="center" w:pos="4153"/>
        <w:tab w:val="right" w:pos="8306"/>
      </w:tabs>
      <w:snapToGrid w:val="0"/>
      <w:jc w:val="left"/>
    </w:pPr>
    <w:rPr>
      <w:sz w:val="18"/>
      <w:szCs w:val="18"/>
    </w:rPr>
  </w:style>
  <w:style w:type="paragraph" w:styleId="af8">
    <w:name w:val="header"/>
    <w:basedOn w:val="a1"/>
    <w:link w:val="af9"/>
    <w:uiPriority w:val="99"/>
    <w:qFormat/>
    <w:pPr>
      <w:pBdr>
        <w:bottom w:val="single" w:sz="6" w:space="1" w:color="auto"/>
      </w:pBdr>
      <w:tabs>
        <w:tab w:val="center" w:pos="4153"/>
        <w:tab w:val="right" w:pos="8306"/>
      </w:tabs>
      <w:snapToGrid w:val="0"/>
      <w:jc w:val="center"/>
    </w:pPr>
    <w:rPr>
      <w:sz w:val="18"/>
      <w:szCs w:val="18"/>
    </w:rPr>
  </w:style>
  <w:style w:type="paragraph" w:styleId="TOC1">
    <w:name w:val="toc 1"/>
    <w:basedOn w:val="a1"/>
    <w:next w:val="a1"/>
    <w:uiPriority w:val="39"/>
    <w:qFormat/>
    <w:pPr>
      <w:spacing w:before="120" w:after="120"/>
      <w:jc w:val="left"/>
    </w:pPr>
    <w:rPr>
      <w:rFonts w:asciiTheme="minorHAnsi" w:hAnsiTheme="minorHAnsi"/>
      <w:b/>
      <w:bCs/>
      <w:caps/>
      <w:sz w:val="20"/>
      <w:szCs w:val="20"/>
    </w:rPr>
  </w:style>
  <w:style w:type="paragraph" w:styleId="TOC4">
    <w:name w:val="toc 4"/>
    <w:basedOn w:val="a1"/>
    <w:next w:val="a1"/>
    <w:uiPriority w:val="39"/>
    <w:unhideWhenUsed/>
    <w:qFormat/>
    <w:pPr>
      <w:ind w:left="630"/>
      <w:jc w:val="left"/>
    </w:pPr>
    <w:rPr>
      <w:rFonts w:asciiTheme="minorHAnsi" w:hAnsiTheme="minorHAnsi"/>
      <w:sz w:val="18"/>
      <w:szCs w:val="18"/>
    </w:rPr>
  </w:style>
  <w:style w:type="paragraph" w:styleId="TOC6">
    <w:name w:val="toc 6"/>
    <w:basedOn w:val="a1"/>
    <w:next w:val="a1"/>
    <w:uiPriority w:val="39"/>
    <w:unhideWhenUsed/>
    <w:qFormat/>
    <w:pPr>
      <w:ind w:left="1050"/>
      <w:jc w:val="left"/>
    </w:pPr>
    <w:rPr>
      <w:rFonts w:asciiTheme="minorHAnsi" w:hAnsiTheme="minorHAnsi"/>
      <w:sz w:val="18"/>
      <w:szCs w:val="18"/>
    </w:rPr>
  </w:style>
  <w:style w:type="paragraph" w:styleId="31">
    <w:name w:val="Body Text Indent 3"/>
    <w:basedOn w:val="a1"/>
    <w:link w:val="32"/>
    <w:qFormat/>
    <w:pPr>
      <w:spacing w:line="520" w:lineRule="exact"/>
      <w:ind w:firstLine="560"/>
    </w:pPr>
    <w:rPr>
      <w:color w:val="000000"/>
      <w:spacing w:val="2"/>
      <w:sz w:val="28"/>
      <w:szCs w:val="24"/>
    </w:rPr>
  </w:style>
  <w:style w:type="paragraph" w:styleId="TOC2">
    <w:name w:val="toc 2"/>
    <w:basedOn w:val="a1"/>
    <w:next w:val="a1"/>
    <w:uiPriority w:val="39"/>
    <w:qFormat/>
    <w:pPr>
      <w:ind w:left="210"/>
      <w:jc w:val="left"/>
    </w:pPr>
    <w:rPr>
      <w:rFonts w:asciiTheme="minorHAnsi" w:hAnsiTheme="minorHAnsi"/>
      <w:smallCaps/>
      <w:sz w:val="20"/>
      <w:szCs w:val="20"/>
    </w:rPr>
  </w:style>
  <w:style w:type="paragraph" w:styleId="TOC9">
    <w:name w:val="toc 9"/>
    <w:basedOn w:val="a1"/>
    <w:next w:val="a1"/>
    <w:uiPriority w:val="39"/>
    <w:unhideWhenUsed/>
    <w:qFormat/>
    <w:pPr>
      <w:ind w:left="1680"/>
      <w:jc w:val="left"/>
    </w:pPr>
    <w:rPr>
      <w:rFonts w:asciiTheme="minorHAnsi" w:hAnsiTheme="minorHAnsi"/>
      <w:sz w:val="18"/>
      <w:szCs w:val="18"/>
    </w:rPr>
  </w:style>
  <w:style w:type="paragraph" w:styleId="HTML">
    <w:name w:val="HTML Preformatted"/>
    <w:basedOn w:val="a1"/>
    <w:link w:val="HTML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afa">
    <w:name w:val="Normal (Web)"/>
    <w:basedOn w:val="a1"/>
    <w:uiPriority w:val="99"/>
    <w:qFormat/>
    <w:pPr>
      <w:widowControl/>
      <w:spacing w:before="100" w:beforeAutospacing="1" w:after="100" w:afterAutospacing="1"/>
      <w:jc w:val="left"/>
    </w:pPr>
    <w:rPr>
      <w:rFonts w:ascii="宋体" w:hAnsi="宋体" w:cs="宋体"/>
      <w:kern w:val="0"/>
      <w:sz w:val="24"/>
      <w:szCs w:val="24"/>
    </w:rPr>
  </w:style>
  <w:style w:type="paragraph" w:styleId="afb">
    <w:name w:val="annotation subject"/>
    <w:basedOn w:val="ac"/>
    <w:next w:val="ac"/>
    <w:link w:val="afc"/>
    <w:semiHidden/>
    <w:unhideWhenUsed/>
    <w:qFormat/>
    <w:pPr>
      <w:autoSpaceDE/>
      <w:autoSpaceDN/>
      <w:adjustRightInd/>
      <w:spacing w:line="240" w:lineRule="auto"/>
      <w:ind w:firstLine="0"/>
      <w:textAlignment w:val="auto"/>
    </w:pPr>
    <w:rPr>
      <w:rFonts w:ascii="Calibri" w:hAnsi="Calibri"/>
      <w:b/>
      <w:bCs/>
      <w:kern w:val="2"/>
      <w:sz w:val="21"/>
      <w:szCs w:val="22"/>
    </w:rPr>
  </w:style>
  <w:style w:type="paragraph" w:styleId="afd">
    <w:name w:val="Body Text First Indent"/>
    <w:basedOn w:val="ae"/>
    <w:link w:val="afe"/>
    <w:qFormat/>
    <w:pPr>
      <w:ind w:firstLineChars="100" w:firstLine="420"/>
    </w:pPr>
  </w:style>
  <w:style w:type="table" w:styleId="aff">
    <w:name w:val="Table Grid"/>
    <w:basedOn w:val="a4"/>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Strong"/>
    <w:uiPriority w:val="22"/>
    <w:qFormat/>
    <w:rPr>
      <w:b/>
      <w:bCs/>
    </w:rPr>
  </w:style>
  <w:style w:type="character" w:styleId="aff1">
    <w:name w:val="page number"/>
    <w:basedOn w:val="a3"/>
    <w:qFormat/>
  </w:style>
  <w:style w:type="character" w:styleId="aff2">
    <w:name w:val="Emphasis"/>
    <w:qFormat/>
    <w:rPr>
      <w:i/>
      <w:iCs/>
    </w:rPr>
  </w:style>
  <w:style w:type="character" w:styleId="aff3">
    <w:name w:val="Hyperlink"/>
    <w:uiPriority w:val="99"/>
    <w:unhideWhenUsed/>
    <w:qFormat/>
    <w:rPr>
      <w:color w:val="0000FF"/>
      <w:u w:val="single"/>
    </w:rPr>
  </w:style>
  <w:style w:type="character" w:styleId="aff4">
    <w:name w:val="annotation reference"/>
    <w:semiHidden/>
    <w:qFormat/>
    <w:rPr>
      <w:sz w:val="21"/>
      <w:szCs w:val="21"/>
    </w:rPr>
  </w:style>
  <w:style w:type="character" w:customStyle="1" w:styleId="ppGB23122Char">
    <w:name w:val="样式 pp仿宋_GB2312 四号 + 首行缩进:  2 字符 Char"/>
    <w:link w:val="ppGB23122"/>
    <w:qFormat/>
    <w:rPr>
      <w:rFonts w:eastAsia="仿宋_GB2312"/>
      <w:sz w:val="28"/>
      <w:szCs w:val="28"/>
      <w:lang w:val="en-US" w:eastAsia="zh-CN" w:bidi="ar-SA"/>
    </w:rPr>
  </w:style>
  <w:style w:type="paragraph" w:customStyle="1" w:styleId="ppGB23122">
    <w:name w:val="样式 pp仿宋_GB2312 四号 + 首行缩进:  2 字符"/>
    <w:basedOn w:val="a1"/>
    <w:link w:val="ppGB23122Char"/>
    <w:qFormat/>
    <w:pPr>
      <w:spacing w:line="500" w:lineRule="exact"/>
      <w:ind w:firstLineChars="200" w:firstLine="560"/>
    </w:pPr>
    <w:rPr>
      <w:rFonts w:eastAsia="仿宋_GB2312"/>
      <w:kern w:val="0"/>
      <w:sz w:val="28"/>
      <w:szCs w:val="28"/>
    </w:rPr>
  </w:style>
  <w:style w:type="character" w:customStyle="1" w:styleId="ad">
    <w:name w:val="批注文字 字符"/>
    <w:link w:val="ac"/>
    <w:semiHidden/>
    <w:qFormat/>
    <w:rPr>
      <w:sz w:val="24"/>
    </w:rPr>
  </w:style>
  <w:style w:type="character" w:customStyle="1" w:styleId="apple-style-span">
    <w:name w:val="apple-style-span"/>
    <w:basedOn w:val="a3"/>
    <w:qFormat/>
  </w:style>
  <w:style w:type="character" w:customStyle="1" w:styleId="a7">
    <w:name w:val="正文文本缩进 字符"/>
    <w:link w:val="a6"/>
    <w:qFormat/>
    <w:rPr>
      <w:rFonts w:eastAsia="宋体"/>
      <w:kern w:val="2"/>
      <w:sz w:val="21"/>
      <w:szCs w:val="24"/>
      <w:lang w:val="en-US" w:eastAsia="zh-CN" w:bidi="ar-SA"/>
    </w:rPr>
  </w:style>
  <w:style w:type="character" w:customStyle="1" w:styleId="CharChar8">
    <w:name w:val="Char Char8"/>
    <w:qFormat/>
    <w:rPr>
      <w:rFonts w:ascii="Cambria" w:hAnsi="Cambria"/>
      <w:b/>
      <w:bCs/>
      <w:kern w:val="2"/>
      <w:sz w:val="28"/>
      <w:szCs w:val="28"/>
    </w:rPr>
  </w:style>
  <w:style w:type="character" w:customStyle="1" w:styleId="ht1">
    <w:name w:val="ht1"/>
    <w:qFormat/>
    <w:rPr>
      <w:rFonts w:ascii="黑体" w:eastAsia="黑体"/>
      <w:b/>
      <w:bCs/>
    </w:rPr>
  </w:style>
  <w:style w:type="character" w:customStyle="1" w:styleId="CharChar">
    <w:name w:val="表头 Char Char"/>
    <w:qFormat/>
    <w:rPr>
      <w:rFonts w:eastAsia="黑体"/>
      <w:kern w:val="2"/>
      <w:sz w:val="28"/>
      <w:lang w:val="en-US" w:eastAsia="zh-CN" w:bidi="ar-SA"/>
    </w:rPr>
  </w:style>
  <w:style w:type="character" w:customStyle="1" w:styleId="14Char">
    <w:name w:val="标题 14 Char"/>
    <w:qFormat/>
    <w:rPr>
      <w:rFonts w:eastAsia="宋体"/>
      <w:b/>
      <w:bCs/>
      <w:kern w:val="2"/>
      <w:sz w:val="24"/>
      <w:szCs w:val="24"/>
      <w:lang w:val="zh-CN" w:eastAsia="zh-CN" w:bidi="ar-SA"/>
    </w:rPr>
  </w:style>
  <w:style w:type="character" w:customStyle="1" w:styleId="ZCharChar">
    <w:name w:val="Z正文 Char Char"/>
    <w:link w:val="Z"/>
    <w:qFormat/>
    <w:rPr>
      <w:b/>
      <w:snapToGrid/>
      <w:color w:val="000000"/>
      <w:sz w:val="24"/>
      <w:szCs w:val="24"/>
    </w:rPr>
  </w:style>
  <w:style w:type="paragraph" w:customStyle="1" w:styleId="Z">
    <w:name w:val="Z正文"/>
    <w:basedOn w:val="a1"/>
    <w:link w:val="ZCharChar"/>
    <w:qFormat/>
    <w:pPr>
      <w:widowControl/>
      <w:adjustRightInd w:val="0"/>
      <w:spacing w:line="360" w:lineRule="auto"/>
      <w:ind w:firstLineChars="200" w:firstLine="482"/>
    </w:pPr>
    <w:rPr>
      <w:b/>
      <w:color w:val="000000"/>
      <w:kern w:val="0"/>
      <w:sz w:val="24"/>
      <w:szCs w:val="24"/>
    </w:rPr>
  </w:style>
  <w:style w:type="character" w:customStyle="1" w:styleId="zhang3CharChar">
    <w:name w:val="zhang3级 Char Char"/>
    <w:link w:val="zhang3"/>
    <w:qFormat/>
    <w:rPr>
      <w:rFonts w:eastAsia="黑体"/>
      <w:b/>
      <w:sz w:val="28"/>
      <w:szCs w:val="28"/>
    </w:rPr>
  </w:style>
  <w:style w:type="paragraph" w:customStyle="1" w:styleId="zhang3">
    <w:name w:val="zhang3级"/>
    <w:basedOn w:val="3"/>
    <w:link w:val="zhang3CharChar"/>
    <w:qFormat/>
    <w:pPr>
      <w:adjustRightInd w:val="0"/>
      <w:spacing w:before="0" w:after="0"/>
      <w:ind w:left="720" w:hanging="720"/>
    </w:pPr>
    <w:rPr>
      <w:kern w:val="0"/>
    </w:rPr>
  </w:style>
  <w:style w:type="character" w:customStyle="1" w:styleId="099CharCharCharChar">
    <w:name w:val="样式 首行缩进:  0.99 厘米 Char Char Char Char"/>
    <w:link w:val="099CharCharChar"/>
    <w:qFormat/>
    <w:rPr>
      <w:rFonts w:eastAsia="宋体"/>
      <w:sz w:val="28"/>
      <w:szCs w:val="28"/>
      <w:lang w:val="en-US" w:eastAsia="zh-CN" w:bidi="ar-SA"/>
    </w:rPr>
  </w:style>
  <w:style w:type="paragraph" w:customStyle="1" w:styleId="099CharCharChar">
    <w:name w:val="样式 首行缩进:  0.99 厘米 Char Char Char"/>
    <w:basedOn w:val="a1"/>
    <w:link w:val="099CharCharCharChar"/>
    <w:qFormat/>
    <w:pPr>
      <w:spacing w:line="500" w:lineRule="exact"/>
      <w:ind w:firstLineChars="200" w:firstLine="560"/>
    </w:pPr>
    <w:rPr>
      <w:kern w:val="0"/>
      <w:sz w:val="28"/>
      <w:szCs w:val="28"/>
    </w:rPr>
  </w:style>
  <w:style w:type="character" w:customStyle="1" w:styleId="50">
    <w:name w:val="标题 5 字符"/>
    <w:link w:val="5"/>
    <w:qFormat/>
    <w:rPr>
      <w:rFonts w:eastAsia="仿宋_GB2312"/>
      <w:b/>
      <w:sz w:val="28"/>
      <w:lang w:val="en-US" w:eastAsia="zh-CN" w:bidi="ar-SA"/>
    </w:rPr>
  </w:style>
  <w:style w:type="character" w:customStyle="1" w:styleId="Char">
    <w:name w:val="表格表头形式 Char"/>
    <w:qFormat/>
    <w:rPr>
      <w:rFonts w:ascii="黑体" w:eastAsia="黑体" w:hAnsi="Cambria"/>
      <w:b/>
      <w:color w:val="000000"/>
      <w:sz w:val="24"/>
      <w:szCs w:val="22"/>
      <w:lang w:val="en-US" w:eastAsia="zh-CN" w:bidi="ar-SA"/>
    </w:rPr>
  </w:style>
  <w:style w:type="character" w:customStyle="1" w:styleId="CharCharChar">
    <w:name w:val="表格表头形式 Char Char Char"/>
    <w:qFormat/>
    <w:rPr>
      <w:rFonts w:ascii="黑体" w:eastAsia="黑体" w:hAnsi="Cambria"/>
      <w:b/>
      <w:color w:val="000000"/>
      <w:sz w:val="24"/>
      <w:szCs w:val="22"/>
      <w:lang w:bidi="ar-SA"/>
    </w:rPr>
  </w:style>
  <w:style w:type="character" w:customStyle="1" w:styleId="39925Char">
    <w:name w:val="样式 标题 3 + 宋体 小四 段前: 9 磅 段后: 9 磅 行距: 固定值 25 磅 Char"/>
    <w:link w:val="39925"/>
    <w:qFormat/>
    <w:rPr>
      <w:rFonts w:eastAsia="黑体" w:cs="宋体"/>
      <w:b/>
      <w:sz w:val="28"/>
    </w:rPr>
  </w:style>
  <w:style w:type="paragraph" w:customStyle="1" w:styleId="39925">
    <w:name w:val="样式 标题 3 + 宋体 小四 段前: 9 磅 段后: 9 磅 行距: 固定值 25 磅"/>
    <w:basedOn w:val="3"/>
    <w:link w:val="39925Char"/>
    <w:qFormat/>
    <w:pPr>
      <w:spacing w:line="500" w:lineRule="exact"/>
      <w:ind w:left="284" w:firstLineChars="200" w:firstLine="200"/>
    </w:pPr>
    <w:rPr>
      <w:rFonts w:cs="宋体"/>
      <w:kern w:val="0"/>
      <w:szCs w:val="20"/>
    </w:rPr>
  </w:style>
  <w:style w:type="character" w:customStyle="1" w:styleId="Char0">
    <w:name w:val="表格标题 Char"/>
    <w:link w:val="aff5"/>
    <w:qFormat/>
    <w:rPr>
      <w:rFonts w:ascii="黑体" w:eastAsia="黑体" w:hAnsi="黑体"/>
      <w:kern w:val="13"/>
      <w:sz w:val="24"/>
      <w:szCs w:val="24"/>
      <w:lang w:val="en-US" w:eastAsia="zh-CN" w:bidi="ar-SA"/>
    </w:rPr>
  </w:style>
  <w:style w:type="paragraph" w:customStyle="1" w:styleId="aff5">
    <w:name w:val="表格标题"/>
    <w:link w:val="Char0"/>
    <w:qFormat/>
    <w:pPr>
      <w:widowControl w:val="0"/>
      <w:spacing w:before="120" w:line="240" w:lineRule="atLeast"/>
      <w:jc w:val="center"/>
    </w:pPr>
    <w:rPr>
      <w:rFonts w:ascii="黑体" w:eastAsia="黑体" w:hAnsi="黑体"/>
      <w:kern w:val="13"/>
      <w:sz w:val="24"/>
      <w:szCs w:val="24"/>
    </w:rPr>
  </w:style>
  <w:style w:type="character" w:customStyle="1" w:styleId="style1Char">
    <w:name w:val="style 1 Char"/>
    <w:link w:val="style1"/>
    <w:qFormat/>
    <w:rPr>
      <w:rFonts w:ascii="Calibri" w:hAnsi="Calibri"/>
      <w:b/>
      <w:kern w:val="2"/>
      <w:sz w:val="21"/>
      <w:szCs w:val="22"/>
    </w:rPr>
  </w:style>
  <w:style w:type="paragraph" w:customStyle="1" w:styleId="style1">
    <w:name w:val="style 1"/>
    <w:basedOn w:val="a1"/>
    <w:link w:val="style1Char"/>
    <w:qFormat/>
    <w:pPr>
      <w:framePr w:hSpace="180" w:wrap="around" w:vAnchor="text" w:hAnchor="margin" w:y="349"/>
    </w:pPr>
    <w:rPr>
      <w:b/>
    </w:rPr>
  </w:style>
  <w:style w:type="character" w:customStyle="1" w:styleId="lh22px">
    <w:name w:val="lh22px"/>
    <w:basedOn w:val="a3"/>
    <w:qFormat/>
  </w:style>
  <w:style w:type="character" w:customStyle="1" w:styleId="CharChar9">
    <w:name w:val="Char Char9"/>
    <w:qFormat/>
    <w:rPr>
      <w:rFonts w:eastAsia="黑体"/>
      <w:b/>
      <w:bCs/>
      <w:kern w:val="2"/>
      <w:sz w:val="28"/>
      <w:szCs w:val="28"/>
    </w:rPr>
  </w:style>
  <w:style w:type="character" w:customStyle="1" w:styleId="90">
    <w:name w:val="标题 9 字符"/>
    <w:link w:val="9"/>
    <w:qFormat/>
    <w:rPr>
      <w:rFonts w:ascii="Arial" w:eastAsia="黑体" w:hAnsi="Arial"/>
      <w:sz w:val="21"/>
    </w:rPr>
  </w:style>
  <w:style w:type="character" w:customStyle="1" w:styleId="Char1">
    <w:name w:val="日期 Char1"/>
    <w:qFormat/>
    <w:rPr>
      <w:rFonts w:ascii="Calibri" w:hAnsi="Calibri"/>
      <w:kern w:val="2"/>
      <w:sz w:val="21"/>
      <w:szCs w:val="22"/>
    </w:rPr>
  </w:style>
  <w:style w:type="character" w:customStyle="1" w:styleId="Char2">
    <w:name w:val="日期 Char2"/>
    <w:uiPriority w:val="99"/>
    <w:semiHidden/>
    <w:qFormat/>
  </w:style>
  <w:style w:type="character" w:customStyle="1" w:styleId="6CharChar">
    <w:name w:val="标题 6（柏条河模式） Char Char"/>
    <w:qFormat/>
    <w:rPr>
      <w:rFonts w:ascii="Arial" w:eastAsia="黑体" w:hAnsi="Arial"/>
      <w:b/>
      <w:sz w:val="24"/>
      <w:lang w:val="en-US" w:eastAsia="zh-CN" w:bidi="ar-SA"/>
    </w:rPr>
  </w:style>
  <w:style w:type="character" w:customStyle="1" w:styleId="41444CharChar11111111CharChar2Char">
    <w:name w:val="样式 标题 4标题 14第4级标题 4 Char Char款标题1.1.1.1款标题1.1.1.1 Char Char...2 Char"/>
    <w:link w:val="41444CharChar11111111CharChar2"/>
    <w:qFormat/>
    <w:rPr>
      <w:rFonts w:ascii="宋体" w:hAnsi="宋体"/>
      <w:b/>
      <w:kern w:val="2"/>
      <w:sz w:val="24"/>
      <w:szCs w:val="28"/>
    </w:rPr>
  </w:style>
  <w:style w:type="paragraph" w:customStyle="1" w:styleId="41444CharChar11111111CharChar2">
    <w:name w:val="样式 标题 4标题 14第4级标题 4 Char Char款标题1.1.1.1款标题1.1.1.1 Char Char...2"/>
    <w:basedOn w:val="4"/>
    <w:link w:val="41444CharChar11111111CharChar2Char"/>
    <w:qFormat/>
    <w:pPr>
      <w:spacing w:before="0" w:after="0" w:line="360" w:lineRule="auto"/>
      <w:ind w:left="720" w:rightChars="100" w:right="240" w:hanging="864"/>
      <w:jc w:val="left"/>
    </w:pPr>
    <w:rPr>
      <w:rFonts w:ascii="宋体" w:hAnsi="宋体"/>
      <w:bCs w:val="0"/>
      <w:sz w:val="24"/>
    </w:rPr>
  </w:style>
  <w:style w:type="character" w:customStyle="1" w:styleId="af5">
    <w:name w:val="批注框文本 字符"/>
    <w:link w:val="af4"/>
    <w:semiHidden/>
    <w:qFormat/>
    <w:rPr>
      <w:rFonts w:ascii="Calibri" w:hAnsi="Calibri"/>
      <w:kern w:val="2"/>
      <w:sz w:val="18"/>
      <w:szCs w:val="18"/>
    </w:rPr>
  </w:style>
  <w:style w:type="character" w:customStyle="1" w:styleId="af">
    <w:name w:val="正文文本 字符"/>
    <w:link w:val="ae"/>
    <w:qFormat/>
    <w:rPr>
      <w:rFonts w:ascii="Calibri" w:hAnsi="Calibri"/>
      <w:kern w:val="2"/>
      <w:sz w:val="21"/>
      <w:szCs w:val="22"/>
    </w:rPr>
  </w:style>
  <w:style w:type="character" w:customStyle="1" w:styleId="af3">
    <w:name w:val="日期 字符"/>
    <w:link w:val="af2"/>
    <w:qFormat/>
    <w:rPr>
      <w:rFonts w:ascii="Calibri" w:hAnsi="Calibri"/>
      <w:kern w:val="2"/>
      <w:sz w:val="21"/>
      <w:szCs w:val="22"/>
    </w:rPr>
  </w:style>
  <w:style w:type="character" w:customStyle="1" w:styleId="2Char1">
    <w:name w:val="正文文本缩进 2 Char1"/>
    <w:uiPriority w:val="99"/>
    <w:semiHidden/>
    <w:qFormat/>
  </w:style>
  <w:style w:type="character" w:customStyle="1" w:styleId="Char3">
    <w:name w:val="图 Char"/>
    <w:link w:val="aff6"/>
    <w:qFormat/>
    <w:rPr>
      <w:rFonts w:ascii="黑体" w:eastAsia="黑体" w:hAnsi="Courier New"/>
      <w:sz w:val="24"/>
      <w:szCs w:val="21"/>
      <w:lang w:val="en-US" w:eastAsia="zh-CN" w:bidi="ar-SA"/>
    </w:rPr>
  </w:style>
  <w:style w:type="paragraph" w:customStyle="1" w:styleId="aff6">
    <w:name w:val="图"/>
    <w:basedOn w:val="a1"/>
    <w:link w:val="Char3"/>
    <w:qFormat/>
    <w:pPr>
      <w:spacing w:line="360" w:lineRule="auto"/>
      <w:jc w:val="center"/>
    </w:pPr>
    <w:rPr>
      <w:rFonts w:ascii="黑体" w:eastAsia="黑体" w:hAnsi="Courier New"/>
      <w:kern w:val="0"/>
      <w:sz w:val="24"/>
      <w:szCs w:val="21"/>
    </w:rPr>
  </w:style>
  <w:style w:type="character" w:customStyle="1" w:styleId="Char4">
    <w:name w:val="章标题 Char"/>
    <w:qFormat/>
    <w:rPr>
      <w:rFonts w:ascii="Arial" w:eastAsia="黑体" w:hAnsi="Arial"/>
      <w:b/>
      <w:bCs/>
      <w:kern w:val="2"/>
      <w:sz w:val="32"/>
      <w:szCs w:val="32"/>
      <w:lang w:val="en-US" w:eastAsia="zh-CN" w:bidi="ar-SA"/>
    </w:rPr>
  </w:style>
  <w:style w:type="character" w:customStyle="1" w:styleId="60">
    <w:name w:val="标题 6 字符"/>
    <w:link w:val="6"/>
    <w:qFormat/>
    <w:rPr>
      <w:rFonts w:ascii="Arial" w:eastAsia="黑体" w:hAnsi="Arial"/>
      <w:b/>
      <w:bCs/>
      <w:kern w:val="2"/>
      <w:sz w:val="24"/>
      <w:szCs w:val="24"/>
    </w:rPr>
  </w:style>
  <w:style w:type="character" w:customStyle="1" w:styleId="HTML0">
    <w:name w:val="HTML 预设格式 字符"/>
    <w:link w:val="HTML"/>
    <w:qFormat/>
    <w:rPr>
      <w:rFonts w:ascii="宋体" w:hAnsi="宋体" w:cs="宋体"/>
      <w:sz w:val="24"/>
      <w:szCs w:val="24"/>
    </w:rPr>
  </w:style>
  <w:style w:type="character" w:customStyle="1" w:styleId="Char10">
    <w:name w:val="文档结构图 Char1"/>
    <w:uiPriority w:val="99"/>
    <w:semiHidden/>
    <w:qFormat/>
    <w:rPr>
      <w:rFonts w:ascii="宋体" w:eastAsia="宋体"/>
      <w:sz w:val="18"/>
      <w:szCs w:val="18"/>
    </w:rPr>
  </w:style>
  <w:style w:type="character" w:customStyle="1" w:styleId="Char5">
    <w:name w:val="表格形式 Char"/>
    <w:link w:val="aff7"/>
    <w:qFormat/>
    <w:rPr>
      <w:rFonts w:eastAsia="宋体"/>
      <w:b/>
      <w:sz w:val="18"/>
      <w:lang w:val="en-US" w:eastAsia="zh-CN" w:bidi="ar-SA"/>
    </w:rPr>
  </w:style>
  <w:style w:type="paragraph" w:customStyle="1" w:styleId="aff7">
    <w:name w:val="表格形式"/>
    <w:basedOn w:val="a1"/>
    <w:link w:val="Char5"/>
    <w:qFormat/>
    <w:pPr>
      <w:adjustRightInd w:val="0"/>
      <w:snapToGrid w:val="0"/>
      <w:jc w:val="center"/>
    </w:pPr>
    <w:rPr>
      <w:b/>
      <w:kern w:val="0"/>
      <w:sz w:val="18"/>
      <w:szCs w:val="20"/>
    </w:rPr>
  </w:style>
  <w:style w:type="character" w:customStyle="1" w:styleId="a8">
    <w:name w:val="正文缩进 字符"/>
    <w:link w:val="a2"/>
    <w:qFormat/>
    <w:rPr>
      <w:rFonts w:eastAsia="宋体"/>
      <w:kern w:val="2"/>
      <w:sz w:val="28"/>
      <w:lang w:val="en-US" w:eastAsia="zh-CN" w:bidi="ar-SA"/>
    </w:rPr>
  </w:style>
  <w:style w:type="character" w:customStyle="1" w:styleId="CharChar7">
    <w:name w:val="Char Char7"/>
    <w:qFormat/>
    <w:rPr>
      <w:rFonts w:ascii="Arial" w:eastAsia="黑体" w:hAnsi="Arial"/>
      <w:b/>
      <w:bCs/>
      <w:kern w:val="2"/>
      <w:sz w:val="24"/>
      <w:szCs w:val="24"/>
    </w:rPr>
  </w:style>
  <w:style w:type="character" w:customStyle="1" w:styleId="style11">
    <w:name w:val="style11"/>
    <w:qFormat/>
    <w:rPr>
      <w:b/>
      <w:bCs/>
      <w:color w:val="3366CC"/>
      <w:sz w:val="24"/>
      <w:szCs w:val="24"/>
    </w:rPr>
  </w:style>
  <w:style w:type="character" w:customStyle="1" w:styleId="11Char">
    <w:name w:val="11 Char"/>
    <w:link w:val="11"/>
    <w:qFormat/>
    <w:rPr>
      <w:rFonts w:eastAsia="仿宋_GB2312" w:cs="宋体"/>
      <w:kern w:val="2"/>
      <w:sz w:val="28"/>
      <w:lang w:val="en-US" w:eastAsia="zh-CN" w:bidi="ar-SA"/>
    </w:rPr>
  </w:style>
  <w:style w:type="paragraph" w:customStyle="1" w:styleId="11">
    <w:name w:val="11"/>
    <w:basedOn w:val="a2"/>
    <w:link w:val="11Char"/>
    <w:qFormat/>
    <w:pPr>
      <w:spacing w:line="500" w:lineRule="atLeast"/>
      <w:ind w:firstLineChars="200" w:firstLine="560"/>
    </w:pPr>
    <w:rPr>
      <w:rFonts w:eastAsia="仿宋_GB2312" w:cs="宋体"/>
    </w:rPr>
  </w:style>
  <w:style w:type="character" w:customStyle="1" w:styleId="ab">
    <w:name w:val="文档结构图 字符"/>
    <w:link w:val="aa"/>
    <w:qFormat/>
    <w:rPr>
      <w:rFonts w:ascii="宋体" w:hAnsi="Calibri"/>
      <w:kern w:val="2"/>
      <w:sz w:val="18"/>
      <w:szCs w:val="18"/>
    </w:rPr>
  </w:style>
  <w:style w:type="character" w:customStyle="1" w:styleId="099CharChar">
    <w:name w:val="样式 首行缩进:  0.99 厘米 Char Char"/>
    <w:link w:val="099Char"/>
    <w:qFormat/>
    <w:rPr>
      <w:rFonts w:eastAsia="仿宋_GB2312"/>
      <w:sz w:val="28"/>
      <w:szCs w:val="28"/>
      <w:lang w:val="en-US" w:eastAsia="zh-CN" w:bidi="ar-SA"/>
    </w:rPr>
  </w:style>
  <w:style w:type="paragraph" w:customStyle="1" w:styleId="099Char">
    <w:name w:val="样式 首行缩进:  0.99 厘米 Char"/>
    <w:basedOn w:val="a1"/>
    <w:link w:val="099CharChar"/>
    <w:qFormat/>
    <w:pPr>
      <w:spacing w:line="500" w:lineRule="exact"/>
      <w:ind w:firstLineChars="200" w:firstLine="560"/>
      <w:jc w:val="left"/>
    </w:pPr>
    <w:rPr>
      <w:rFonts w:eastAsia="仿宋_GB2312"/>
      <w:kern w:val="0"/>
      <w:sz w:val="28"/>
      <w:szCs w:val="28"/>
    </w:rPr>
  </w:style>
  <w:style w:type="character" w:customStyle="1" w:styleId="jxpCharChar">
    <w:name w:val="正文jxp Char Char"/>
    <w:link w:val="jxp"/>
    <w:qFormat/>
    <w:rPr>
      <w:rFonts w:cs="宋体"/>
      <w:color w:val="000000"/>
      <w:kern w:val="2"/>
      <w:sz w:val="24"/>
      <w:szCs w:val="24"/>
    </w:rPr>
  </w:style>
  <w:style w:type="paragraph" w:customStyle="1" w:styleId="jxp">
    <w:name w:val="正文jxp"/>
    <w:basedOn w:val="a1"/>
    <w:link w:val="jxpCharChar"/>
    <w:qFormat/>
    <w:pPr>
      <w:ind w:firstLineChars="200" w:firstLine="200"/>
      <w:jc w:val="left"/>
    </w:pPr>
    <w:rPr>
      <w:color w:val="000000"/>
      <w:sz w:val="24"/>
      <w:szCs w:val="24"/>
    </w:rPr>
  </w:style>
  <w:style w:type="character" w:customStyle="1" w:styleId="40">
    <w:name w:val="标题 4 字符"/>
    <w:link w:val="4"/>
    <w:qFormat/>
    <w:rPr>
      <w:rFonts w:ascii="Cambria" w:hAnsi="Cambria"/>
      <w:b/>
      <w:bCs/>
      <w:kern w:val="2"/>
      <w:sz w:val="28"/>
      <w:szCs w:val="28"/>
    </w:rPr>
  </w:style>
  <w:style w:type="character" w:customStyle="1" w:styleId="af7">
    <w:name w:val="页脚 字符"/>
    <w:link w:val="af6"/>
    <w:uiPriority w:val="99"/>
    <w:qFormat/>
    <w:rPr>
      <w:rFonts w:ascii="Calibri" w:hAnsi="Calibri"/>
      <w:kern w:val="2"/>
      <w:sz w:val="18"/>
      <w:szCs w:val="18"/>
    </w:rPr>
  </w:style>
  <w:style w:type="character" w:customStyle="1" w:styleId="39925TimesChar">
    <w:name w:val="样式 样式 样式 标题 3 + 宋体 小四 段前: 9 磅 段后: 9 磅 行距: 固定值 25 磅 + (西文) Times ... Char"/>
    <w:link w:val="39925Times"/>
    <w:qFormat/>
    <w:rPr>
      <w:rFonts w:eastAsia="华文中宋" w:cs="宋体"/>
      <w:b/>
      <w:bCs/>
      <w:sz w:val="28"/>
    </w:rPr>
  </w:style>
  <w:style w:type="paragraph" w:customStyle="1" w:styleId="39925Times">
    <w:name w:val="样式 样式 样式 标题 3 + 宋体 小四 段前: 9 磅 段后: 9 磅 行距: 固定值 25 磅 + (西文) Times ..."/>
    <w:basedOn w:val="39925TimesNew"/>
    <w:link w:val="39925TimesChar"/>
    <w:qFormat/>
  </w:style>
  <w:style w:type="paragraph" w:customStyle="1" w:styleId="39925TimesNew">
    <w:name w:val="样式 样式 标题 3 + 宋体 小四 段前: 9 磅 段后: 9 磅 行距: 固定值 25 磅 + (西文) Times New..."/>
    <w:basedOn w:val="39925"/>
    <w:link w:val="39925TimesNewChar"/>
    <w:qFormat/>
    <w:pPr>
      <w:ind w:firstLineChars="73" w:firstLine="175"/>
    </w:pPr>
    <w:rPr>
      <w:rFonts w:eastAsia="华文中宋"/>
      <w:bCs/>
    </w:rPr>
  </w:style>
  <w:style w:type="character" w:customStyle="1" w:styleId="apple-converted-space">
    <w:name w:val="apple-converted-space"/>
    <w:basedOn w:val="a3"/>
    <w:qFormat/>
  </w:style>
  <w:style w:type="character" w:customStyle="1" w:styleId="21">
    <w:name w:val="标题 2 字符"/>
    <w:link w:val="2"/>
    <w:qFormat/>
    <w:rPr>
      <w:rFonts w:ascii="Arial" w:eastAsia="黑体" w:hAnsi="Arial"/>
      <w:b/>
      <w:bCs/>
      <w:kern w:val="2"/>
      <w:sz w:val="32"/>
      <w:szCs w:val="32"/>
    </w:rPr>
  </w:style>
  <w:style w:type="character" w:customStyle="1" w:styleId="CharChar0">
    <w:name w:val="纯文本 Char Char"/>
    <w:qFormat/>
    <w:rPr>
      <w:rFonts w:ascii="宋体" w:hAnsi="Courier New" w:cs="Courier New"/>
      <w:kern w:val="2"/>
      <w:sz w:val="21"/>
      <w:szCs w:val="21"/>
    </w:rPr>
  </w:style>
  <w:style w:type="character" w:customStyle="1" w:styleId="30">
    <w:name w:val="标题 3 字符"/>
    <w:link w:val="3"/>
    <w:qFormat/>
    <w:rPr>
      <w:rFonts w:eastAsia="黑体"/>
      <w:b/>
      <w:kern w:val="2"/>
      <w:sz w:val="28"/>
      <w:szCs w:val="28"/>
    </w:rPr>
  </w:style>
  <w:style w:type="character" w:customStyle="1" w:styleId="Z4CharChar">
    <w:name w:val="Z标题4 Char Char"/>
    <w:link w:val="Z4"/>
    <w:qFormat/>
    <w:rPr>
      <w:rFonts w:eastAsia="黑体"/>
      <w:b/>
      <w:bCs/>
      <w:color w:val="000000"/>
      <w:sz w:val="28"/>
      <w:szCs w:val="28"/>
    </w:rPr>
  </w:style>
  <w:style w:type="paragraph" w:customStyle="1" w:styleId="Z4">
    <w:name w:val="Z标题4"/>
    <w:basedOn w:val="4"/>
    <w:link w:val="Z4CharChar"/>
    <w:qFormat/>
    <w:pPr>
      <w:spacing w:before="120" w:after="120" w:line="360" w:lineRule="auto"/>
    </w:pPr>
    <w:rPr>
      <w:rFonts w:ascii="Times New Roman" w:eastAsia="黑体" w:hAnsi="Times New Roman"/>
      <w:color w:val="000000"/>
      <w:kern w:val="0"/>
    </w:rPr>
  </w:style>
  <w:style w:type="character" w:customStyle="1" w:styleId="af9">
    <w:name w:val="页眉 字符"/>
    <w:link w:val="af8"/>
    <w:uiPriority w:val="99"/>
    <w:qFormat/>
    <w:rPr>
      <w:rFonts w:ascii="Calibri" w:hAnsi="Calibri"/>
      <w:kern w:val="2"/>
      <w:sz w:val="18"/>
      <w:szCs w:val="18"/>
    </w:rPr>
  </w:style>
  <w:style w:type="character" w:customStyle="1" w:styleId="xCharChar">
    <w:name w:val="x文 Char Char"/>
    <w:link w:val="x"/>
    <w:qFormat/>
    <w:rPr>
      <w:sz w:val="24"/>
    </w:rPr>
  </w:style>
  <w:style w:type="paragraph" w:customStyle="1" w:styleId="x">
    <w:name w:val="x文"/>
    <w:basedOn w:val="a1"/>
    <w:link w:val="xCharChar"/>
    <w:qFormat/>
    <w:pPr>
      <w:spacing w:line="360" w:lineRule="auto"/>
      <w:ind w:firstLine="482"/>
    </w:pPr>
    <w:rPr>
      <w:kern w:val="0"/>
      <w:sz w:val="24"/>
      <w:szCs w:val="20"/>
    </w:rPr>
  </w:style>
  <w:style w:type="character" w:customStyle="1" w:styleId="af1">
    <w:name w:val="纯文本 字符"/>
    <w:link w:val="af0"/>
    <w:qFormat/>
    <w:rPr>
      <w:rFonts w:ascii="宋体" w:eastAsia="仿宋_GB2312"/>
      <w:sz w:val="28"/>
    </w:rPr>
  </w:style>
  <w:style w:type="character" w:customStyle="1" w:styleId="39925TimesNewChar">
    <w:name w:val="样式 样式 标题 3 + 宋体 小四 段前: 9 磅 段后: 9 磅 行距: 固定值 25 磅 + (西文) Times New... Char"/>
    <w:link w:val="39925TimesNew"/>
    <w:qFormat/>
    <w:rPr>
      <w:rFonts w:eastAsia="华文中宋" w:cs="宋体"/>
      <w:b/>
      <w:bCs/>
      <w:sz w:val="28"/>
    </w:rPr>
  </w:style>
  <w:style w:type="character" w:customStyle="1" w:styleId="CharChar1">
    <w:name w:val="表格表头形式 Char Char"/>
    <w:link w:val="aff8"/>
    <w:qFormat/>
    <w:rPr>
      <w:b/>
      <w:color w:val="000000"/>
      <w:sz w:val="21"/>
      <w:szCs w:val="22"/>
    </w:rPr>
  </w:style>
  <w:style w:type="paragraph" w:customStyle="1" w:styleId="aff8">
    <w:name w:val="表格表头形式"/>
    <w:basedOn w:val="a1"/>
    <w:link w:val="CharChar1"/>
    <w:qFormat/>
    <w:pPr>
      <w:adjustRightInd w:val="0"/>
      <w:spacing w:line="360" w:lineRule="auto"/>
      <w:jc w:val="center"/>
    </w:pPr>
    <w:rPr>
      <w:b/>
      <w:color w:val="000000"/>
      <w:kern w:val="0"/>
    </w:rPr>
  </w:style>
  <w:style w:type="character" w:customStyle="1" w:styleId="24">
    <w:name w:val="正文文本缩进 2 字符"/>
    <w:link w:val="23"/>
    <w:qFormat/>
    <w:rPr>
      <w:kern w:val="2"/>
      <w:sz w:val="21"/>
      <w:szCs w:val="24"/>
    </w:rPr>
  </w:style>
  <w:style w:type="character" w:customStyle="1" w:styleId="3Char2">
    <w:name w:val="标题 3 Char2"/>
    <w:qFormat/>
    <w:rPr>
      <w:rFonts w:eastAsia="宋体"/>
      <w:b/>
      <w:bCs/>
      <w:kern w:val="2"/>
      <w:sz w:val="32"/>
      <w:szCs w:val="32"/>
      <w:lang w:val="en-US" w:eastAsia="zh-CN" w:bidi="ar-SA"/>
    </w:rPr>
  </w:style>
  <w:style w:type="character" w:customStyle="1" w:styleId="25">
    <w:name w:val="页码2"/>
    <w:basedOn w:val="a3"/>
    <w:qFormat/>
  </w:style>
  <w:style w:type="character" w:customStyle="1" w:styleId="GB2312">
    <w:name w:val="样式 (中文) 仿宋_GB2312 四号"/>
    <w:qFormat/>
    <w:rPr>
      <w:rFonts w:eastAsia="宋体"/>
      <w:sz w:val="28"/>
    </w:rPr>
  </w:style>
  <w:style w:type="character" w:customStyle="1" w:styleId="Char6">
    <w:name w:val="正文文字不缩进 Char"/>
    <w:semiHidden/>
    <w:qFormat/>
    <w:rPr>
      <w:rFonts w:eastAsia="宋体"/>
      <w:kern w:val="2"/>
      <w:sz w:val="21"/>
      <w:szCs w:val="24"/>
      <w:lang w:val="en-US" w:eastAsia="zh-CN" w:bidi="ar-SA"/>
    </w:rPr>
  </w:style>
  <w:style w:type="character" w:customStyle="1" w:styleId="10">
    <w:name w:val="标题 1 字符"/>
    <w:link w:val="1"/>
    <w:qFormat/>
    <w:rPr>
      <w:b/>
      <w:bCs/>
      <w:kern w:val="44"/>
      <w:sz w:val="44"/>
      <w:szCs w:val="44"/>
    </w:rPr>
  </w:style>
  <w:style w:type="character" w:customStyle="1" w:styleId="Char11">
    <w:name w:val="第三级 Char1"/>
    <w:qFormat/>
    <w:rPr>
      <w:rFonts w:ascii="楷体_GB2312" w:eastAsia="楷体_GB2312"/>
      <w:b/>
      <w:bCs/>
      <w:kern w:val="2"/>
      <w:sz w:val="28"/>
      <w:szCs w:val="24"/>
      <w:lang w:val="zh-CN" w:eastAsia="zh-CN" w:bidi="ar-SA"/>
    </w:rPr>
  </w:style>
  <w:style w:type="character" w:customStyle="1" w:styleId="CharChar2">
    <w:name w:val="页眉  Char Char"/>
    <w:qFormat/>
    <w:rPr>
      <w:rFonts w:ascii="Calibri" w:hAnsi="Calibri"/>
      <w:kern w:val="2"/>
      <w:sz w:val="18"/>
      <w:szCs w:val="18"/>
    </w:rPr>
  </w:style>
  <w:style w:type="character" w:customStyle="1" w:styleId="70">
    <w:name w:val="标题 7 字符"/>
    <w:link w:val="7"/>
    <w:qFormat/>
    <w:rPr>
      <w:rFonts w:eastAsia="仿宋_GB2312"/>
      <w:b/>
      <w:sz w:val="24"/>
    </w:rPr>
  </w:style>
  <w:style w:type="character" w:customStyle="1" w:styleId="80">
    <w:name w:val="标题 8 字符"/>
    <w:link w:val="8"/>
    <w:qFormat/>
    <w:rPr>
      <w:rFonts w:ascii="Arial" w:eastAsia="黑体" w:hAnsi="Arial"/>
      <w:sz w:val="24"/>
    </w:rPr>
  </w:style>
  <w:style w:type="character" w:customStyle="1" w:styleId="4Char2">
    <w:name w:val="标题 4 Char2"/>
    <w:qFormat/>
    <w:rPr>
      <w:rFonts w:ascii="Arial" w:eastAsia="黑体" w:hAnsi="Arial"/>
      <w:b/>
      <w:bCs/>
      <w:kern w:val="2"/>
      <w:sz w:val="28"/>
      <w:szCs w:val="28"/>
      <w:lang w:val="en-US" w:eastAsia="zh-CN" w:bidi="ar-SA"/>
    </w:rPr>
  </w:style>
  <w:style w:type="character" w:customStyle="1" w:styleId="2Char">
    <w:name w:val="二处标题 2 Char"/>
    <w:qFormat/>
    <w:rPr>
      <w:rFonts w:ascii="Arial" w:eastAsia="黑体" w:hAnsi="Arial"/>
      <w:b/>
      <w:bCs/>
      <w:kern w:val="2"/>
      <w:sz w:val="32"/>
      <w:szCs w:val="32"/>
      <w:lang w:val="en-US" w:eastAsia="zh-CN" w:bidi="ar-SA"/>
    </w:rPr>
  </w:style>
  <w:style w:type="character" w:customStyle="1" w:styleId="zzzzChar">
    <w:name w:val="表格zzzz Char"/>
    <w:link w:val="zzzz"/>
    <w:qFormat/>
    <w:rPr>
      <w:rFonts w:ascii="宋体" w:eastAsia="宋体" w:hAnsi="宋体"/>
      <w:sz w:val="21"/>
      <w:szCs w:val="18"/>
      <w:lang w:val="en-US" w:eastAsia="zh-CN" w:bidi="ar-SA"/>
    </w:rPr>
  </w:style>
  <w:style w:type="paragraph" w:customStyle="1" w:styleId="zzzz">
    <w:name w:val="表格zzzz"/>
    <w:basedOn w:val="a1"/>
    <w:link w:val="zzzzChar"/>
    <w:qFormat/>
    <w:pPr>
      <w:widowControl/>
      <w:jc w:val="center"/>
    </w:pPr>
    <w:rPr>
      <w:rFonts w:ascii="宋体" w:hAnsi="宋体"/>
      <w:kern w:val="0"/>
      <w:szCs w:val="18"/>
    </w:rPr>
  </w:style>
  <w:style w:type="character" w:customStyle="1" w:styleId="1Char2">
    <w:name w:val="标题 1 Char2"/>
    <w:qFormat/>
    <w:rPr>
      <w:rFonts w:eastAsia="宋体"/>
      <w:b/>
      <w:bCs/>
      <w:kern w:val="44"/>
      <w:sz w:val="44"/>
      <w:szCs w:val="44"/>
      <w:lang w:val="en-US" w:eastAsia="zh-CN" w:bidi="ar-SA"/>
    </w:rPr>
  </w:style>
  <w:style w:type="character" w:customStyle="1" w:styleId="Char12">
    <w:name w:val="纯文本 Char1"/>
    <w:uiPriority w:val="99"/>
    <w:semiHidden/>
    <w:qFormat/>
    <w:rPr>
      <w:rFonts w:ascii="宋体" w:eastAsia="宋体" w:hAnsi="Courier New" w:cs="Courier New"/>
      <w:szCs w:val="21"/>
    </w:rPr>
  </w:style>
  <w:style w:type="character" w:customStyle="1" w:styleId="32">
    <w:name w:val="正文文本缩进 3 字符"/>
    <w:link w:val="31"/>
    <w:qFormat/>
    <w:rPr>
      <w:rFonts w:eastAsia="宋体"/>
      <w:color w:val="000000"/>
      <w:spacing w:val="2"/>
      <w:kern w:val="2"/>
      <w:sz w:val="28"/>
      <w:szCs w:val="24"/>
      <w:lang w:val="en-US" w:eastAsia="zh-CN" w:bidi="ar-SA"/>
    </w:rPr>
  </w:style>
  <w:style w:type="character" w:customStyle="1" w:styleId="2CharCharCharCharChar">
    <w:name w:val="正文首行缩进2字符 Char Char Char Char Char"/>
    <w:qFormat/>
    <w:rPr>
      <w:rFonts w:eastAsia="仿宋_GB2312"/>
      <w:snapToGrid/>
      <w:color w:val="000000"/>
      <w:kern w:val="2"/>
      <w:sz w:val="28"/>
      <w:szCs w:val="28"/>
      <w:lang w:val="en-US" w:eastAsia="zh-CN" w:bidi="ar-SA"/>
    </w:rPr>
  </w:style>
  <w:style w:type="character" w:customStyle="1" w:styleId="Char13">
    <w:name w:val="正文文本缩进 Char1"/>
    <w:uiPriority w:val="99"/>
    <w:semiHidden/>
    <w:qFormat/>
  </w:style>
  <w:style w:type="character" w:customStyle="1" w:styleId="Char14">
    <w:name w:val="正文文本 Char1"/>
    <w:uiPriority w:val="99"/>
    <w:semiHidden/>
    <w:qFormat/>
  </w:style>
  <w:style w:type="character" w:customStyle="1" w:styleId="afe">
    <w:name w:val="正文文本首行缩进 字符"/>
    <w:link w:val="afd"/>
    <w:qFormat/>
    <w:rPr>
      <w:rFonts w:ascii="Calibri" w:hAnsi="Calibri"/>
      <w:kern w:val="2"/>
      <w:sz w:val="21"/>
      <w:szCs w:val="22"/>
    </w:rPr>
  </w:style>
  <w:style w:type="paragraph" w:customStyle="1" w:styleId="rw">
    <w:name w:val="rw"/>
    <w:basedOn w:val="a1"/>
    <w:qFormat/>
    <w:pPr>
      <w:widowControl/>
      <w:spacing w:before="30"/>
      <w:ind w:left="100" w:right="100"/>
      <w:jc w:val="right"/>
    </w:pPr>
    <w:rPr>
      <w:rFonts w:ascii="方正仿宋简体" w:eastAsia="方正仿宋简体" w:hAnsi="宋体"/>
      <w:color w:val="000000"/>
      <w:kern w:val="0"/>
      <w:szCs w:val="21"/>
    </w:rPr>
  </w:style>
  <w:style w:type="paragraph" w:styleId="aff9">
    <w:name w:val="List Paragraph"/>
    <w:basedOn w:val="a1"/>
    <w:uiPriority w:val="34"/>
    <w:qFormat/>
    <w:pPr>
      <w:ind w:firstLineChars="200" w:firstLine="420"/>
    </w:pPr>
  </w:style>
  <w:style w:type="paragraph" w:customStyle="1" w:styleId="-11">
    <w:name w:val="彩色底纹 - 强调文字颜色 11"/>
    <w:uiPriority w:val="99"/>
    <w:semiHidden/>
    <w:qFormat/>
    <w:rPr>
      <w:rFonts w:ascii="Calibri" w:hAnsi="Calibri"/>
      <w:kern w:val="2"/>
      <w:sz w:val="21"/>
      <w:szCs w:val="22"/>
    </w:rPr>
  </w:style>
  <w:style w:type="paragraph" w:customStyle="1" w:styleId="CharCharCharCharCharCharChar">
    <w:name w:val="Char Char Char Char Char Char Char"/>
    <w:basedOn w:val="a1"/>
    <w:semiHidden/>
    <w:qFormat/>
    <w:rPr>
      <w:szCs w:val="24"/>
    </w:rPr>
  </w:style>
  <w:style w:type="paragraph" w:customStyle="1" w:styleId="152">
    <w:name w:val="样式 行距: 1.5 倍行距 首行缩进:  2 字符"/>
    <w:basedOn w:val="a1"/>
    <w:qFormat/>
    <w:pPr>
      <w:snapToGrid w:val="0"/>
      <w:spacing w:line="336" w:lineRule="auto"/>
      <w:ind w:firstLineChars="200" w:firstLine="448"/>
    </w:pPr>
    <w:rPr>
      <w:rFonts w:hAnsi="宋体"/>
      <w:spacing w:val="-8"/>
      <w:sz w:val="24"/>
      <w:szCs w:val="24"/>
    </w:rPr>
  </w:style>
  <w:style w:type="paragraph" w:customStyle="1" w:styleId="Char130">
    <w:name w:val="Char13"/>
    <w:basedOn w:val="a1"/>
    <w:qFormat/>
    <w:pPr>
      <w:spacing w:line="360" w:lineRule="auto"/>
      <w:ind w:firstLineChars="200" w:firstLine="200"/>
    </w:pPr>
    <w:rPr>
      <w:rFonts w:ascii="宋体" w:hAnsi="宋体" w:cs="宋体"/>
      <w:sz w:val="24"/>
      <w:szCs w:val="24"/>
    </w:rPr>
  </w:style>
  <w:style w:type="paragraph" w:customStyle="1" w:styleId="-110">
    <w:name w:val="彩色列表 - 强调文字颜色 11"/>
    <w:basedOn w:val="a1"/>
    <w:qFormat/>
    <w:pPr>
      <w:widowControl/>
      <w:spacing w:after="200" w:line="276" w:lineRule="auto"/>
      <w:ind w:left="720"/>
      <w:contextualSpacing/>
      <w:jc w:val="left"/>
    </w:pPr>
    <w:rPr>
      <w:rFonts w:ascii="Cambria" w:hAnsi="Cambria"/>
      <w:kern w:val="0"/>
      <w:sz w:val="22"/>
      <w:lang w:eastAsia="en-US" w:bidi="en-US"/>
    </w:rPr>
  </w:style>
  <w:style w:type="paragraph" w:customStyle="1" w:styleId="zw">
    <w:name w:val="zw"/>
    <w:basedOn w:val="a1"/>
    <w:qFormat/>
    <w:pPr>
      <w:widowControl/>
      <w:spacing w:before="30"/>
      <w:ind w:left="100" w:right="100"/>
    </w:pPr>
    <w:rPr>
      <w:rFonts w:ascii="方正书宋简体" w:eastAsia="方正书宋简体" w:hAnsi="宋体"/>
      <w:color w:val="000000"/>
      <w:kern w:val="0"/>
      <w:szCs w:val="21"/>
    </w:rPr>
  </w:style>
  <w:style w:type="paragraph" w:customStyle="1" w:styleId="399252">
    <w:name w:val="样式 样式 标题 3 + 宋体 小四 段前: 9 磅 段后: 9 磅 行距: 固定值 25 磅 + 首行缩进:  2 字符 段..."/>
    <w:basedOn w:val="39925"/>
    <w:qFormat/>
    <w:pPr>
      <w:spacing w:before="120" w:after="120" w:line="240" w:lineRule="auto"/>
      <w:ind w:left="0" w:firstLineChars="0" w:firstLine="0"/>
    </w:pPr>
    <w:rPr>
      <w:rFonts w:cs="Times New Roman"/>
      <w:bCs/>
      <w:szCs w:val="28"/>
    </w:rPr>
  </w:style>
  <w:style w:type="paragraph" w:customStyle="1" w:styleId="CharCharCharCharCharCharCharChar">
    <w:name w:val="官方正文 Char Char Char Char Char Char Char Char"/>
    <w:basedOn w:val="a1"/>
    <w:next w:val="a1"/>
    <w:qFormat/>
    <w:pPr>
      <w:spacing w:line="420" w:lineRule="exact"/>
      <w:ind w:firstLineChars="200" w:firstLine="200"/>
    </w:pPr>
    <w:rPr>
      <w:sz w:val="24"/>
      <w:szCs w:val="24"/>
    </w:rPr>
  </w:style>
  <w:style w:type="paragraph" w:customStyle="1" w:styleId="0250251">
    <w:name w:val="样式 表头 + 段前: 0.25 行 段后: 0.25 行1"/>
    <w:basedOn w:val="a1"/>
    <w:qFormat/>
    <w:pPr>
      <w:spacing w:line="520" w:lineRule="exact"/>
      <w:jc w:val="center"/>
    </w:pPr>
    <w:rPr>
      <w:rFonts w:ascii="黑体" w:eastAsia="黑体" w:hAnsi="黑体"/>
      <w:kern w:val="0"/>
      <w:sz w:val="24"/>
      <w:szCs w:val="24"/>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affa">
    <w:name w:val="表头"/>
    <w:basedOn w:val="a1"/>
    <w:qFormat/>
    <w:pPr>
      <w:adjustRightInd w:val="0"/>
      <w:snapToGrid w:val="0"/>
      <w:spacing w:after="100" w:afterAutospacing="1" w:line="320" w:lineRule="exact"/>
      <w:jc w:val="center"/>
    </w:pPr>
    <w:rPr>
      <w:bCs/>
      <w:color w:val="000000"/>
      <w:spacing w:val="8"/>
      <w:szCs w:val="21"/>
      <w:lang w:val="en-GB"/>
    </w:rPr>
  </w:style>
  <w:style w:type="paragraph" w:customStyle="1" w:styleId="mtitle">
    <w:name w:val="mtitle"/>
    <w:basedOn w:val="a1"/>
    <w:qFormat/>
    <w:pPr>
      <w:widowControl/>
      <w:spacing w:before="30"/>
      <w:jc w:val="center"/>
    </w:pPr>
    <w:rPr>
      <w:rFonts w:ascii="方正小标宋简体" w:eastAsia="方正小标宋简体" w:hAnsi="宋体"/>
      <w:color w:val="000000"/>
      <w:kern w:val="0"/>
      <w:sz w:val="44"/>
      <w:szCs w:val="44"/>
    </w:rPr>
  </w:style>
  <w:style w:type="paragraph" w:customStyle="1" w:styleId="affb">
    <w:name w:val="表内文字"/>
    <w:basedOn w:val="a1"/>
    <w:next w:val="a2"/>
    <w:qFormat/>
    <w:pPr>
      <w:spacing w:line="220" w:lineRule="exact"/>
      <w:ind w:leftChars="-30" w:left="-63" w:rightChars="-30" w:right="-63"/>
      <w:jc w:val="center"/>
    </w:pPr>
    <w:rPr>
      <w:rFonts w:eastAsia="仿宋_GB2312"/>
      <w:szCs w:val="21"/>
    </w:rPr>
  </w:style>
  <w:style w:type="paragraph" w:customStyle="1" w:styleId="affc">
    <w:name w:val="报告正文"/>
    <w:basedOn w:val="a1"/>
    <w:qFormat/>
    <w:pPr>
      <w:spacing w:line="360" w:lineRule="auto"/>
      <w:ind w:firstLineChars="200" w:firstLine="480"/>
    </w:pPr>
    <w:rPr>
      <w:color w:val="000000"/>
      <w:sz w:val="24"/>
      <w:szCs w:val="24"/>
    </w:rPr>
  </w:style>
  <w:style w:type="paragraph" w:customStyle="1" w:styleId="-61">
    <w:name w:val="彩色底纹 - 强调文字颜色 61"/>
    <w:basedOn w:val="1"/>
    <w:next w:val="a1"/>
    <w:uiPriority w:val="39"/>
    <w:qFormat/>
    <w:pPr>
      <w:widowControl/>
      <w:spacing w:before="480" w:after="0" w:line="276" w:lineRule="auto"/>
      <w:jc w:val="left"/>
      <w:outlineLvl w:val="9"/>
    </w:pPr>
    <w:rPr>
      <w:rFonts w:ascii="Cambria" w:hAnsi="Cambria"/>
      <w:color w:val="365F91"/>
      <w:kern w:val="0"/>
      <w:sz w:val="28"/>
      <w:szCs w:val="28"/>
    </w:rPr>
  </w:style>
  <w:style w:type="paragraph" w:customStyle="1" w:styleId="TOC10">
    <w:name w:val="TOC 标题1"/>
    <w:basedOn w:val="1"/>
    <w:next w:val="a1"/>
    <w:uiPriority w:val="39"/>
    <w:qFormat/>
    <w:pPr>
      <w:widowControl/>
      <w:spacing w:before="480" w:after="0" w:line="276" w:lineRule="auto"/>
      <w:jc w:val="left"/>
      <w:outlineLvl w:val="9"/>
    </w:pPr>
    <w:rPr>
      <w:rFonts w:ascii="Cambria" w:hAnsi="Cambria"/>
      <w:color w:val="365F91"/>
      <w:kern w:val="0"/>
      <w:sz w:val="28"/>
      <w:szCs w:val="28"/>
    </w:rPr>
  </w:style>
  <w:style w:type="paragraph" w:customStyle="1" w:styleId="Char7">
    <w:name w:val="正文新 Char"/>
    <w:basedOn w:val="a1"/>
    <w:qFormat/>
    <w:pPr>
      <w:spacing w:line="360" w:lineRule="auto"/>
      <w:ind w:firstLineChars="200" w:firstLine="480"/>
    </w:pPr>
    <w:rPr>
      <w:rFonts w:cs="宋体"/>
      <w:sz w:val="24"/>
      <w:szCs w:val="20"/>
    </w:rPr>
  </w:style>
  <w:style w:type="paragraph" w:customStyle="1" w:styleId="affd">
    <w:name w:val="图名"/>
    <w:basedOn w:val="a1"/>
    <w:semiHidden/>
    <w:qFormat/>
    <w:pPr>
      <w:snapToGrid w:val="0"/>
      <w:spacing w:line="360" w:lineRule="auto"/>
    </w:pPr>
    <w:rPr>
      <w:rFonts w:ascii="黑体" w:eastAsia="黑体"/>
      <w:b/>
      <w:color w:val="000000"/>
      <w:szCs w:val="21"/>
    </w:rPr>
  </w:style>
  <w:style w:type="paragraph" w:customStyle="1" w:styleId="affe">
    <w:name w:val="表中文字"/>
    <w:qFormat/>
    <w:pPr>
      <w:adjustRightInd w:val="0"/>
      <w:snapToGrid w:val="0"/>
      <w:spacing w:line="300" w:lineRule="exact"/>
      <w:jc w:val="center"/>
    </w:pPr>
    <w:rPr>
      <w:spacing w:val="-10"/>
      <w:sz w:val="18"/>
      <w:szCs w:val="18"/>
    </w:rPr>
  </w:style>
  <w:style w:type="paragraph" w:customStyle="1" w:styleId="ParaCharCharCharCharCharChar1CharCharCharChar">
    <w:name w:val="默认段落字体 Para Char Char Char Char Char Char1 Char Char Char Char"/>
    <w:basedOn w:val="a1"/>
    <w:qFormat/>
    <w:pPr>
      <w:snapToGrid w:val="0"/>
      <w:spacing w:line="360" w:lineRule="auto"/>
      <w:ind w:firstLineChars="200" w:firstLine="200"/>
    </w:pPr>
    <w:rPr>
      <w:rFonts w:eastAsia="仿宋_GB2312"/>
      <w:sz w:val="24"/>
      <w:szCs w:val="24"/>
    </w:rPr>
  </w:style>
  <w:style w:type="paragraph" w:customStyle="1" w:styleId="1520">
    <w:name w:val="样式 宋体 行距: 1.5 倍行距 首行缩进:  2 字符"/>
    <w:basedOn w:val="a1"/>
    <w:qFormat/>
    <w:pPr>
      <w:spacing w:line="520" w:lineRule="exact"/>
      <w:ind w:firstLineChars="200" w:firstLine="480"/>
      <w:jc w:val="left"/>
    </w:pPr>
    <w:rPr>
      <w:rFonts w:ascii="宋体" w:hAnsi="宋体"/>
      <w:sz w:val="24"/>
      <w:szCs w:val="24"/>
      <w:lang w:val="en-GB"/>
    </w:rPr>
  </w:style>
  <w:style w:type="paragraph" w:customStyle="1" w:styleId="41">
    <w:name w:val="标题4"/>
    <w:basedOn w:val="4"/>
    <w:qFormat/>
    <w:pPr>
      <w:spacing w:before="0" w:after="0" w:line="500" w:lineRule="exact"/>
    </w:pPr>
    <w:rPr>
      <w:rFonts w:ascii="Arial" w:hAnsi="Arial"/>
      <w:sz w:val="24"/>
    </w:rPr>
  </w:style>
  <w:style w:type="paragraph" w:customStyle="1" w:styleId="text2">
    <w:name w:val="text2"/>
    <w:basedOn w:val="a1"/>
    <w:qFormat/>
    <w:pPr>
      <w:widowControl/>
      <w:spacing w:before="100" w:beforeAutospacing="1" w:after="100" w:afterAutospacing="1" w:line="360" w:lineRule="atLeast"/>
      <w:jc w:val="left"/>
    </w:pPr>
    <w:rPr>
      <w:rFonts w:ascii="宋体" w:hAnsi="宋体" w:cs="宋体"/>
      <w:color w:val="000000"/>
      <w:kern w:val="0"/>
      <w:sz w:val="20"/>
      <w:szCs w:val="20"/>
    </w:rPr>
  </w:style>
  <w:style w:type="paragraph" w:customStyle="1" w:styleId="CharCharCharChar">
    <w:name w:val="Char Char Char Char"/>
    <w:basedOn w:val="a1"/>
    <w:qFormat/>
    <w:rPr>
      <w:szCs w:val="24"/>
    </w:rPr>
  </w:style>
  <w:style w:type="paragraph" w:customStyle="1" w:styleId="afff">
    <w:name w:val="表格"/>
    <w:basedOn w:val="a1"/>
    <w:qFormat/>
    <w:pPr>
      <w:adjustRightInd w:val="0"/>
      <w:snapToGrid w:val="0"/>
      <w:spacing w:line="240" w:lineRule="exact"/>
      <w:ind w:leftChars="-21" w:left="-44" w:rightChars="-12" w:right="-25"/>
    </w:pPr>
    <w:rPr>
      <w:rFonts w:ascii="宋体"/>
      <w:kern w:val="0"/>
      <w:szCs w:val="18"/>
    </w:rPr>
  </w:style>
  <w:style w:type="paragraph" w:customStyle="1" w:styleId="51">
    <w:name w:val="样式5"/>
    <w:basedOn w:val="3"/>
    <w:next w:val="a1"/>
    <w:qFormat/>
    <w:pPr>
      <w:spacing w:beforeLines="0" w:before="0" w:afterLines="0" w:after="0"/>
      <w:ind w:left="900" w:hanging="720"/>
    </w:pPr>
    <w:rPr>
      <w:rFonts w:ascii="楷体_GB2312" w:eastAsia="楷体_GB2312" w:hAnsi="楷体"/>
      <w:kern w:val="13"/>
    </w:rPr>
  </w:style>
  <w:style w:type="paragraph" w:customStyle="1" w:styleId="afff0">
    <w:name w:val="注"/>
    <w:basedOn w:val="a1"/>
    <w:qFormat/>
    <w:rPr>
      <w:szCs w:val="24"/>
    </w:rPr>
  </w:style>
  <w:style w:type="paragraph" w:customStyle="1" w:styleId="33">
    <w:name w:val="样式3"/>
    <w:basedOn w:val="2"/>
    <w:qFormat/>
    <w:pPr>
      <w:spacing w:beforeLines="50" w:before="120" w:afterLines="50" w:after="156" w:line="360" w:lineRule="auto"/>
      <w:ind w:left="576" w:hanging="576"/>
    </w:pPr>
    <w:rPr>
      <w:rFonts w:ascii="黑体"/>
      <w:b w:val="0"/>
      <w:sz w:val="30"/>
      <w:szCs w:val="30"/>
    </w:rPr>
  </w:style>
  <w:style w:type="paragraph" w:customStyle="1" w:styleId="Char15">
    <w:name w:val="Char1"/>
    <w:basedOn w:val="a1"/>
    <w:qFormat/>
    <w:pPr>
      <w:spacing w:line="360" w:lineRule="auto"/>
      <w:ind w:firstLineChars="200" w:firstLine="200"/>
    </w:pPr>
    <w:rPr>
      <w:rFonts w:ascii="宋体" w:hAnsi="宋体" w:cs="宋体"/>
      <w:sz w:val="24"/>
      <w:szCs w:val="24"/>
    </w:rPr>
  </w:style>
  <w:style w:type="paragraph" w:customStyle="1" w:styleId="TimesNewRoman22">
    <w:name w:val="样式 Times New Roman 行距: 固定值 22 磅"/>
    <w:basedOn w:val="a1"/>
    <w:qFormat/>
    <w:pPr>
      <w:spacing w:line="520" w:lineRule="exact"/>
      <w:ind w:firstLineChars="200" w:firstLine="512"/>
      <w:jc w:val="left"/>
    </w:pPr>
    <w:rPr>
      <w:rFonts w:ascii="宋体" w:hAnsi="宋体" w:cs="宋体"/>
      <w:color w:val="000000"/>
      <w:spacing w:val="8"/>
      <w:sz w:val="24"/>
      <w:szCs w:val="20"/>
      <w:lang w:val="en-GB"/>
    </w:rPr>
  </w:style>
  <w:style w:type="paragraph" w:customStyle="1" w:styleId="34">
    <w:name w:val="样式 标题 3"/>
    <w:basedOn w:val="a1"/>
    <w:next w:val="a1"/>
    <w:qFormat/>
    <w:pPr>
      <w:spacing w:before="120" w:after="120" w:line="180" w:lineRule="auto"/>
      <w:jc w:val="left"/>
    </w:pPr>
    <w:rPr>
      <w:rFonts w:cs="宋体"/>
      <w:b/>
      <w:color w:val="000000"/>
      <w:spacing w:val="8"/>
      <w:sz w:val="28"/>
      <w:szCs w:val="28"/>
      <w:lang w:val="en-GB"/>
    </w:rPr>
  </w:style>
  <w:style w:type="paragraph" w:customStyle="1" w:styleId="192">
    <w:name w:val="样式 四号 首行缩进:  1.92 字符"/>
    <w:basedOn w:val="a1"/>
    <w:qFormat/>
    <w:pPr>
      <w:ind w:firstLineChars="200" w:firstLine="200"/>
    </w:pPr>
    <w:rPr>
      <w:sz w:val="28"/>
      <w:szCs w:val="20"/>
    </w:rPr>
  </w:style>
  <w:style w:type="paragraph" w:customStyle="1" w:styleId="CharCharCharCharChar">
    <w:name w:val="表内文字 Char Char Char Char Char"/>
    <w:basedOn w:val="a1"/>
    <w:next w:val="a2"/>
    <w:qFormat/>
    <w:pPr>
      <w:spacing w:line="360" w:lineRule="exact"/>
      <w:jc w:val="center"/>
    </w:pPr>
    <w:rPr>
      <w:color w:val="000000"/>
      <w:szCs w:val="20"/>
    </w:rPr>
  </w:style>
  <w:style w:type="paragraph" w:customStyle="1" w:styleId="025025">
    <w:name w:val="样式 表头 + 段前: 0.25 行 段后: 0.25 行"/>
    <w:basedOn w:val="a1"/>
    <w:qFormat/>
    <w:pPr>
      <w:spacing w:line="520" w:lineRule="exact"/>
      <w:jc w:val="center"/>
    </w:pPr>
    <w:rPr>
      <w:rFonts w:ascii="黑体" w:eastAsia="黑体" w:cs="宋体"/>
      <w:color w:val="000000"/>
      <w:kern w:val="0"/>
      <w:sz w:val="24"/>
      <w:szCs w:val="24"/>
    </w:rPr>
  </w:style>
  <w:style w:type="paragraph" w:customStyle="1" w:styleId="Char110">
    <w:name w:val="Char11"/>
    <w:basedOn w:val="a1"/>
    <w:qFormat/>
    <w:pPr>
      <w:spacing w:line="360" w:lineRule="auto"/>
      <w:ind w:firstLineChars="200" w:firstLine="200"/>
    </w:pPr>
    <w:rPr>
      <w:rFonts w:ascii="宋体" w:hAnsi="宋体" w:cs="宋体"/>
      <w:sz w:val="24"/>
      <w:szCs w:val="24"/>
    </w:rPr>
  </w:style>
  <w:style w:type="paragraph" w:customStyle="1" w:styleId="Char120">
    <w:name w:val="Char12"/>
    <w:basedOn w:val="a1"/>
    <w:qFormat/>
    <w:pPr>
      <w:spacing w:line="360" w:lineRule="auto"/>
      <w:ind w:firstLineChars="200" w:firstLine="200"/>
    </w:pPr>
    <w:rPr>
      <w:rFonts w:ascii="宋体" w:hAnsi="宋体" w:cs="宋体"/>
      <w:sz w:val="24"/>
      <w:szCs w:val="24"/>
    </w:rPr>
  </w:style>
  <w:style w:type="paragraph" w:customStyle="1" w:styleId="110">
    <w:name w:val="纯文本11"/>
    <w:basedOn w:val="a1"/>
    <w:qFormat/>
    <w:pPr>
      <w:adjustRightInd w:val="0"/>
      <w:spacing w:afterLines="50" w:line="440" w:lineRule="exact"/>
      <w:ind w:firstLineChars="200" w:firstLine="560"/>
      <w:textAlignment w:val="baseline"/>
    </w:pPr>
    <w:rPr>
      <w:rFonts w:ascii="宋体" w:eastAsia="仿宋_GB2312" w:hAnsi="Courier New"/>
      <w:kern w:val="0"/>
      <w:sz w:val="28"/>
    </w:rPr>
  </w:style>
  <w:style w:type="paragraph" w:customStyle="1" w:styleId="ppGB2312">
    <w:name w:val="样式pp仿宋_GB2312 四号"/>
    <w:basedOn w:val="a1"/>
    <w:qFormat/>
    <w:pPr>
      <w:spacing w:line="520" w:lineRule="exact"/>
      <w:ind w:firstLineChars="200" w:firstLine="480"/>
    </w:pPr>
    <w:rPr>
      <w:rFonts w:ascii="宋体" w:hAnsi="宋体"/>
      <w:sz w:val="24"/>
      <w:szCs w:val="24"/>
    </w:rPr>
  </w:style>
  <w:style w:type="paragraph" w:customStyle="1" w:styleId="CharCharCharChar1">
    <w:name w:val="Char Char Char Char1"/>
    <w:basedOn w:val="a1"/>
    <w:qFormat/>
    <w:pPr>
      <w:snapToGrid w:val="0"/>
      <w:spacing w:line="360" w:lineRule="auto"/>
      <w:ind w:firstLineChars="200" w:firstLine="200"/>
    </w:pPr>
    <w:rPr>
      <w:rFonts w:eastAsia="仿宋_GB2312"/>
      <w:sz w:val="24"/>
      <w:szCs w:val="24"/>
    </w:rPr>
  </w:style>
  <w:style w:type="paragraph" w:customStyle="1" w:styleId="15">
    <w:name w:val="样式 小四 加粗 行距: 1.5 倍行距"/>
    <w:basedOn w:val="a1"/>
    <w:qFormat/>
    <w:pPr>
      <w:spacing w:line="360" w:lineRule="auto"/>
    </w:pPr>
    <w:rPr>
      <w:rFonts w:cs="宋体"/>
      <w:bCs/>
      <w:sz w:val="24"/>
      <w:szCs w:val="20"/>
    </w:rPr>
  </w:style>
  <w:style w:type="paragraph" w:customStyle="1" w:styleId="21Char">
    <w:name w:val="样式 样式 列表 2 +1 Char +"/>
    <w:basedOn w:val="a1"/>
    <w:qFormat/>
    <w:pPr>
      <w:tabs>
        <w:tab w:val="left" w:pos="567"/>
      </w:tabs>
      <w:adjustRightInd w:val="0"/>
      <w:jc w:val="center"/>
    </w:pPr>
    <w:rPr>
      <w:rFonts w:ascii="宋体" w:hAnsi="宋体"/>
      <w:color w:val="000000"/>
      <w:kern w:val="0"/>
      <w:sz w:val="15"/>
      <w:szCs w:val="15"/>
    </w:rPr>
  </w:style>
  <w:style w:type="paragraph" w:customStyle="1" w:styleId="CharCharCharCharCharCharChar1">
    <w:name w:val="Char Char Char Char Char Char Char1"/>
    <w:basedOn w:val="a1"/>
    <w:semiHidden/>
    <w:qFormat/>
    <w:rPr>
      <w:szCs w:val="24"/>
    </w:rPr>
  </w:style>
  <w:style w:type="paragraph" w:customStyle="1" w:styleId="3992520">
    <w:name w:val="样式 样式 标题 3 + 宋体 小四 段前: 9 磅 段后: 9 磅 行距: 固定值 25 磅 + 首行缩进:  2 字符"/>
    <w:basedOn w:val="39925"/>
    <w:qFormat/>
    <w:pPr>
      <w:spacing w:line="240" w:lineRule="auto"/>
      <w:ind w:left="0" w:firstLineChars="0" w:firstLine="0"/>
    </w:pPr>
    <w:rPr>
      <w:rFonts w:cs="Times New Roman"/>
      <w:bCs/>
      <w:szCs w:val="28"/>
    </w:rPr>
  </w:style>
  <w:style w:type="table" w:customStyle="1" w:styleId="12">
    <w:name w:val="网格型1"/>
    <w:basedOn w:val="a4"/>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未处理的提及1"/>
    <w:basedOn w:val="a3"/>
    <w:uiPriority w:val="99"/>
    <w:semiHidden/>
    <w:unhideWhenUsed/>
    <w:qFormat/>
    <w:rPr>
      <w:color w:val="605E5C"/>
      <w:shd w:val="clear" w:color="auto" w:fill="E1DFDD"/>
    </w:rPr>
  </w:style>
  <w:style w:type="character" w:customStyle="1" w:styleId="ms-1">
    <w:name w:val="ms-1"/>
    <w:basedOn w:val="a3"/>
    <w:qFormat/>
  </w:style>
  <w:style w:type="character" w:customStyle="1" w:styleId="max-w-15ch">
    <w:name w:val="max-w-[15ch]"/>
    <w:basedOn w:val="a3"/>
    <w:qFormat/>
  </w:style>
  <w:style w:type="paragraph" w:customStyle="1" w:styleId="14">
    <w:name w:val="大纲1"/>
    <w:next w:val="a1"/>
    <w:qFormat/>
    <w:pPr>
      <w:spacing w:line="360" w:lineRule="auto"/>
      <w:outlineLvl w:val="0"/>
    </w:pPr>
    <w:rPr>
      <w:rFonts w:cstheme="minorBidi"/>
      <w:b/>
      <w:kern w:val="2"/>
      <w:sz w:val="32"/>
      <w:szCs w:val="22"/>
    </w:rPr>
  </w:style>
  <w:style w:type="paragraph" w:customStyle="1" w:styleId="26">
    <w:name w:val="大纲2"/>
    <w:basedOn w:val="14"/>
    <w:next w:val="a1"/>
    <w:qFormat/>
    <w:pPr>
      <w:numPr>
        <w:ilvl w:val="1"/>
      </w:numPr>
      <w:outlineLvl w:val="1"/>
    </w:pPr>
    <w:rPr>
      <w:sz w:val="30"/>
    </w:rPr>
  </w:style>
  <w:style w:type="paragraph" w:customStyle="1" w:styleId="35">
    <w:name w:val="大纲3"/>
    <w:basedOn w:val="26"/>
    <w:next w:val="a1"/>
    <w:qFormat/>
    <w:pPr>
      <w:numPr>
        <w:ilvl w:val="2"/>
      </w:numPr>
      <w:outlineLvl w:val="2"/>
    </w:pPr>
    <w:rPr>
      <w:sz w:val="28"/>
    </w:rPr>
  </w:style>
  <w:style w:type="paragraph" w:customStyle="1" w:styleId="42">
    <w:name w:val="大纲4"/>
    <w:basedOn w:val="35"/>
    <w:next w:val="a1"/>
    <w:qFormat/>
    <w:pPr>
      <w:numPr>
        <w:ilvl w:val="3"/>
      </w:numPr>
      <w:outlineLvl w:val="3"/>
    </w:pPr>
    <w:rPr>
      <w:sz w:val="24"/>
    </w:rPr>
  </w:style>
  <w:style w:type="paragraph" w:customStyle="1" w:styleId="52">
    <w:name w:val="大纲5"/>
    <w:basedOn w:val="42"/>
    <w:next w:val="a1"/>
    <w:qFormat/>
    <w:pPr>
      <w:numPr>
        <w:ilvl w:val="4"/>
      </w:numPr>
      <w:outlineLvl w:val="4"/>
    </w:pPr>
    <w:rPr>
      <w:b w:val="0"/>
    </w:rPr>
  </w:style>
  <w:style w:type="paragraph" w:customStyle="1" w:styleId="a">
    <w:name w:val="图题"/>
    <w:next w:val="a1"/>
    <w:qFormat/>
    <w:pPr>
      <w:numPr>
        <w:ilvl w:val="5"/>
        <w:numId w:val="2"/>
      </w:numPr>
      <w:spacing w:afterLines="50" w:after="50" w:line="360" w:lineRule="auto"/>
      <w:jc w:val="center"/>
    </w:pPr>
    <w:rPr>
      <w:rFonts w:cstheme="minorBidi"/>
      <w:b/>
      <w:kern w:val="2"/>
      <w:sz w:val="21"/>
      <w:szCs w:val="22"/>
    </w:rPr>
  </w:style>
  <w:style w:type="paragraph" w:customStyle="1" w:styleId="a0">
    <w:name w:val="表题"/>
    <w:next w:val="a1"/>
    <w:qFormat/>
    <w:pPr>
      <w:numPr>
        <w:ilvl w:val="6"/>
        <w:numId w:val="2"/>
      </w:numPr>
      <w:spacing w:beforeLines="50" w:before="156" w:line="360" w:lineRule="auto"/>
      <w:jc w:val="center"/>
    </w:pPr>
    <w:rPr>
      <w:rFonts w:cstheme="minorBidi"/>
      <w:b/>
      <w:kern w:val="2"/>
      <w:sz w:val="21"/>
      <w:szCs w:val="22"/>
    </w:rPr>
  </w:style>
  <w:style w:type="paragraph" w:customStyle="1" w:styleId="0-">
    <w:name w:val="0-表内正文"/>
    <w:basedOn w:val="a1"/>
    <w:link w:val="0-Char"/>
    <w:qFormat/>
    <w:pPr>
      <w:adjustRightInd w:val="0"/>
      <w:snapToGrid w:val="0"/>
      <w:jc w:val="center"/>
    </w:pPr>
    <w:rPr>
      <w:rFonts w:cstheme="minorBidi"/>
      <w:szCs w:val="20"/>
    </w:rPr>
  </w:style>
  <w:style w:type="character" w:customStyle="1" w:styleId="0-Char">
    <w:name w:val="0-表内正文 Char"/>
    <w:link w:val="0-"/>
    <w:qFormat/>
    <w:rPr>
      <w:rFonts w:cstheme="minorBidi"/>
      <w:kern w:val="2"/>
      <w:sz w:val="21"/>
    </w:rPr>
  </w:style>
  <w:style w:type="table" w:customStyle="1" w:styleId="OPExcelTableContent-1091">
    <w:name w:val="OP_ExcelTableContent-1091"/>
    <w:basedOn w:val="a4"/>
    <w:qFormat/>
    <w:rPr>
      <w:color w:val="464F41"/>
    </w:rPr>
    <w:tblPr>
      <w:tblBorders>
        <w:top w:val="single" w:sz="4" w:space="0" w:color="464F41"/>
        <w:bottom w:val="single" w:sz="4" w:space="0" w:color="464F41"/>
        <w:insideH w:val="dotted" w:sz="4" w:space="0" w:color="464F41"/>
      </w:tblBorders>
    </w:tblPr>
    <w:tcPr>
      <w:shd w:val="clear" w:color="auto" w:fill="auto"/>
    </w:tcPr>
    <w:tblStylePr w:type="firstRow">
      <w:rPr>
        <w:b/>
      </w:rPr>
      <w:tblPr/>
      <w:tcPr>
        <w:tcBorders>
          <w:top w:val="single" w:sz="4" w:space="0" w:color="464F41"/>
          <w:left w:val="nil"/>
          <w:bottom w:val="single" w:sz="4" w:space="0" w:color="464F41"/>
          <w:insideH w:val="dotted" w:sz="4" w:space="0" w:color="auto"/>
          <w:insideV w:val="nil"/>
        </w:tcBorders>
        <w:shd w:val="clear" w:color="auto" w:fill="FFFFFF"/>
      </w:tcPr>
    </w:tblStylePr>
  </w:style>
  <w:style w:type="paragraph" w:customStyle="1" w:styleId="ds-markdown-paragraph">
    <w:name w:val="ds-markdown-paragraph"/>
    <w:basedOn w:val="a1"/>
    <w:qFormat/>
    <w:pPr>
      <w:widowControl/>
      <w:spacing w:before="100" w:beforeAutospacing="1" w:after="100" w:afterAutospacing="1"/>
      <w:jc w:val="left"/>
    </w:pPr>
    <w:rPr>
      <w:rFonts w:ascii="宋体" w:hAnsi="宋体" w:cs="宋体"/>
      <w:kern w:val="0"/>
      <w:sz w:val="24"/>
      <w:szCs w:val="24"/>
    </w:rPr>
  </w:style>
  <w:style w:type="paragraph" w:customStyle="1" w:styleId="afff1">
    <w:name w:val="表格正文"/>
    <w:basedOn w:val="a1"/>
    <w:qFormat/>
    <w:pPr>
      <w:adjustRightInd w:val="0"/>
      <w:snapToGrid w:val="0"/>
      <w:jc w:val="center"/>
    </w:pPr>
    <w:rPr>
      <w:rFonts w:eastAsiaTheme="minorEastAsia" w:cstheme="minorBidi"/>
      <w:sz w:val="20"/>
      <w:szCs w:val="18"/>
      <w:lang w:val="zh-CN"/>
    </w:rPr>
  </w:style>
  <w:style w:type="character" w:customStyle="1" w:styleId="afc">
    <w:name w:val="批注主题 字符"/>
    <w:basedOn w:val="ad"/>
    <w:link w:val="afb"/>
    <w:semiHidden/>
    <w:qFormat/>
    <w:rPr>
      <w:rFonts w:ascii="Calibri" w:hAnsi="Calibri"/>
      <w:b/>
      <w:bCs/>
      <w:kern w:val="2"/>
      <w:sz w:val="21"/>
      <w:szCs w:val="22"/>
    </w:rPr>
  </w:style>
  <w:style w:type="paragraph" w:customStyle="1" w:styleId="afff2">
    <w:name w:val="表内容"/>
    <w:qFormat/>
    <w:pPr>
      <w:jc w:val="center"/>
    </w:pPr>
    <w:rPr>
      <w:rFonts w:cstheme="minorBidi"/>
      <w:kern w:val="2"/>
      <w:sz w:val="21"/>
      <w:szCs w:val="22"/>
    </w:rPr>
  </w:style>
  <w:style w:type="character" w:customStyle="1" w:styleId="22">
    <w:name w:val="正文文本首行缩进 2 字符"/>
    <w:basedOn w:val="a7"/>
    <w:link w:val="20"/>
    <w:semiHidden/>
    <w:qFormat/>
    <w:rPr>
      <w:rFonts w:ascii="Calibri" w:eastAsia="宋体" w:hAnsi="Calibri"/>
      <w:kern w:val="2"/>
      <w:sz w:val="21"/>
      <w:szCs w:val="22"/>
      <w:lang w:val="en-US" w:eastAsia="zh-CN" w:bidi="ar-SA"/>
    </w:rPr>
  </w:style>
  <w:style w:type="paragraph" w:customStyle="1" w:styleId="TOC11">
    <w:name w:val="TOC 标题1"/>
    <w:basedOn w:val="1"/>
    <w:next w:val="a1"/>
    <w:uiPriority w:val="39"/>
    <w:qFormat/>
    <w:pPr>
      <w:widowControl/>
      <w:numPr>
        <w:numId w:val="0"/>
      </w:numPr>
      <w:spacing w:before="480" w:after="0" w:line="276" w:lineRule="auto"/>
      <w:jc w:val="left"/>
      <w:outlineLvl w:val="9"/>
    </w:pPr>
    <w:rPr>
      <w:rFonts w:ascii="Cambria" w:hAnsi="Cambria"/>
      <w:color w:val="365F91"/>
      <w:kern w:val="0"/>
      <w:sz w:val="28"/>
      <w:szCs w:val="28"/>
    </w:rPr>
  </w:style>
  <w:style w:type="paragraph" w:customStyle="1" w:styleId="afff3">
    <w:name w:val="图表标题"/>
    <w:basedOn w:val="a1"/>
    <w:next w:val="a1"/>
    <w:qFormat/>
    <w:pPr>
      <w:jc w:val="center"/>
      <w:outlineLvl w:val="4"/>
    </w:pPr>
    <w:rPr>
      <w:rFonts w:hint="eastAsia"/>
      <w:b/>
    </w:rPr>
  </w:style>
  <w:style w:type="paragraph" w:customStyle="1" w:styleId="0A5">
    <w:name w:val="0A 插图名称（5级标题）"/>
    <w:basedOn w:val="a1"/>
    <w:qFormat/>
    <w:pPr>
      <w:adjustRightInd w:val="0"/>
      <w:snapToGrid w:val="0"/>
      <w:spacing w:line="500" w:lineRule="exact"/>
      <w:jc w:val="center"/>
      <w:outlineLvl w:val="4"/>
    </w:pPr>
    <w:rPr>
      <w:rFonts w:eastAsia="Times New Roman"/>
      <w:b/>
      <w:kern w:val="0"/>
    </w:rPr>
  </w:style>
  <w:style w:type="paragraph" w:customStyle="1" w:styleId="0A50">
    <w:name w:val="0A 表格标题（5级标题）"/>
    <w:qFormat/>
    <w:pPr>
      <w:widowControl w:val="0"/>
      <w:snapToGrid w:val="0"/>
      <w:spacing w:line="360" w:lineRule="auto"/>
      <w:jc w:val="center"/>
      <w:outlineLvl w:val="4"/>
    </w:pPr>
    <w:rPr>
      <w:rFonts w:eastAsia="Times New Roman"/>
      <w:b/>
      <w:bCs/>
      <w:snapToGrid w:val="0"/>
      <w:sz w:val="21"/>
      <w:szCs w:val="21"/>
      <w:u w:color="000000"/>
    </w:rPr>
  </w:style>
  <w:style w:type="character" w:customStyle="1" w:styleId="font41">
    <w:name w:val="font41"/>
    <w:basedOn w:val="a3"/>
    <w:qFormat/>
    <w:rPr>
      <w:rFonts w:ascii="宋体" w:eastAsia="宋体" w:hAnsi="宋体" w:hint="eastAsia"/>
      <w:color w:val="000000"/>
      <w:sz w:val="18"/>
      <w:szCs w:val="18"/>
      <w:u w:val="none"/>
      <w:vertAlign w:val="superscript"/>
    </w:rPr>
  </w:style>
  <w:style w:type="character" w:customStyle="1" w:styleId="font51">
    <w:name w:val="font51"/>
    <w:basedOn w:val="a3"/>
    <w:qFormat/>
    <w:rPr>
      <w:rFonts w:ascii="Times New Roman" w:hAnsi="Times New Roman" w:cs="Times New Roman" w:hint="default"/>
      <w:b/>
      <w:bCs/>
      <w:color w:val="000000"/>
      <w:sz w:val="20"/>
      <w:szCs w:val="20"/>
      <w:u w:val="none"/>
    </w:rPr>
  </w:style>
  <w:style w:type="character" w:customStyle="1" w:styleId="font101">
    <w:name w:val="font101"/>
    <w:basedOn w:val="a3"/>
    <w:qFormat/>
    <w:rPr>
      <w:rFonts w:ascii="Times New Roman" w:hAnsi="Times New Roman" w:cs="Times New Roman" w:hint="default"/>
      <w:b/>
      <w:bCs/>
      <w:color w:val="000000"/>
      <w:sz w:val="20"/>
      <w:szCs w:val="20"/>
      <w:u w:val="none"/>
      <w:vertAlign w:val="subscript"/>
    </w:rPr>
  </w:style>
  <w:style w:type="character" w:customStyle="1" w:styleId="font61">
    <w:name w:val="font61"/>
    <w:basedOn w:val="a3"/>
    <w:qFormat/>
    <w:rPr>
      <w:rFonts w:ascii="Times New Roman" w:hAnsi="Times New Roman" w:cs="Times New Roman" w:hint="default"/>
      <w:color w:val="000000"/>
      <w:sz w:val="20"/>
      <w:szCs w:val="20"/>
      <w:u w:val="none"/>
    </w:rPr>
  </w:style>
  <w:style w:type="character" w:customStyle="1" w:styleId="font71">
    <w:name w:val="font71"/>
    <w:basedOn w:val="a3"/>
    <w:qFormat/>
    <w:rPr>
      <w:rFonts w:ascii="Times New Roman" w:hAnsi="Times New Roman" w:cs="Times New Roman" w:hint="default"/>
      <w:color w:val="000000"/>
      <w:sz w:val="22"/>
      <w:szCs w:val="22"/>
      <w:u w:val="none"/>
    </w:rPr>
  </w:style>
  <w:style w:type="character" w:customStyle="1" w:styleId="font91">
    <w:name w:val="font91"/>
    <w:basedOn w:val="a3"/>
    <w:qFormat/>
    <w:rPr>
      <w:rFonts w:ascii="Times New Roman" w:hAnsi="Times New Roman" w:cs="Times New Roman" w:hint="default"/>
      <w:b/>
      <w:bCs/>
      <w:color w:val="000000"/>
      <w:sz w:val="24"/>
      <w:szCs w:val="24"/>
      <w:u w:val="none"/>
    </w:rPr>
  </w:style>
  <w:style w:type="character" w:customStyle="1" w:styleId="font11">
    <w:name w:val="font11"/>
    <w:basedOn w:val="a3"/>
    <w:qFormat/>
    <w:rPr>
      <w:rFonts w:ascii="宋体" w:eastAsia="宋体" w:hAnsi="宋体" w:cs="宋体" w:hint="eastAsia"/>
      <w:color w:val="FF0000"/>
      <w:sz w:val="20"/>
      <w:szCs w:val="20"/>
      <w:u w:val="none"/>
    </w:rPr>
  </w:style>
  <w:style w:type="character" w:customStyle="1" w:styleId="font31">
    <w:name w:val="font31"/>
    <w:basedOn w:val="a3"/>
    <w:qFormat/>
    <w:rPr>
      <w:rFonts w:ascii="Times New Roman" w:hAnsi="Times New Roman" w:cs="Times New Roman" w:hint="default"/>
      <w:color w:val="000000"/>
      <w:sz w:val="20"/>
      <w:szCs w:val="20"/>
      <w:u w:val="none"/>
    </w:rPr>
  </w:style>
  <w:style w:type="character" w:customStyle="1" w:styleId="font21">
    <w:name w:val="font21"/>
    <w:basedOn w:val="a3"/>
    <w:qFormat/>
    <w:rPr>
      <w:rFonts w:ascii="等线" w:eastAsia="等线" w:hAnsi="等线" w:cs="等线" w:hint="eastAsia"/>
      <w:color w:val="000000"/>
      <w:sz w:val="20"/>
      <w:szCs w:val="20"/>
      <w:u w:val="none"/>
    </w:rPr>
  </w:style>
  <w:style w:type="paragraph" w:customStyle="1" w:styleId="0A">
    <w:name w:val="0A 四正文"/>
    <w:qFormat/>
    <w:pPr>
      <w:widowControl w:val="0"/>
      <w:snapToGrid w:val="0"/>
      <w:spacing w:line="360" w:lineRule="auto"/>
      <w:ind w:firstLineChars="200" w:firstLine="562"/>
      <w:jc w:val="both"/>
    </w:pPr>
    <w:rPr>
      <w:b/>
      <w:kern w:val="2"/>
      <w:sz w:val="28"/>
      <w:szCs w:val="28"/>
    </w:rPr>
  </w:style>
  <w:style w:type="paragraph" w:customStyle="1" w:styleId="GH">
    <w:name w:val="GH正文"/>
    <w:basedOn w:val="a1"/>
    <w:qFormat/>
    <w:pPr>
      <w:spacing w:line="360" w:lineRule="auto"/>
      <w:ind w:firstLine="482"/>
    </w:pPr>
    <w:rPr>
      <w:sz w:val="24"/>
    </w:rPr>
  </w:style>
  <w:style w:type="paragraph" w:customStyle="1" w:styleId="afff4">
    <w:name w:val="三调"/>
    <w:basedOn w:val="a1"/>
    <w:qFormat/>
    <w:pPr>
      <w:adjustRightInd w:val="0"/>
      <w:snapToGrid w:val="0"/>
      <w:spacing w:line="360" w:lineRule="auto"/>
      <w:ind w:firstLineChars="200" w:firstLine="480"/>
    </w:pPr>
    <w:rPr>
      <w:rFonts w:ascii="宋体" w:hAnsi="宋体" w:cstheme="minorBidi"/>
      <w:sz w:val="24"/>
    </w:rPr>
  </w:style>
  <w:style w:type="character" w:customStyle="1" w:styleId="16">
    <w:name w:val="未处理的提及1"/>
    <w:basedOn w:val="a3"/>
    <w:uiPriority w:val="99"/>
    <w:semiHidden/>
    <w:unhideWhenUsed/>
    <w:qFormat/>
    <w:rPr>
      <w:color w:val="605E5C"/>
      <w:shd w:val="clear" w:color="auto" w:fill="E1DFDD"/>
    </w:rPr>
  </w:style>
  <w:style w:type="paragraph" w:customStyle="1" w:styleId="afff5">
    <w:name w:val="表格样式"/>
    <w:basedOn w:val="afff3"/>
    <w:qFormat/>
    <w:pPr>
      <w:outlineLvl w:val="9"/>
    </w:pPr>
    <w:rPr>
      <w:rFonts w:hint="default"/>
      <w:b w:val="0"/>
    </w:rPr>
  </w:style>
  <w:style w:type="paragraph" w:customStyle="1" w:styleId="0A51">
    <w:name w:val="0A 表格标题（5级标题）（篇章）"/>
    <w:basedOn w:val="0A"/>
    <w:next w:val="0A"/>
    <w:qFormat/>
    <w:pPr>
      <w:adjustRightInd w:val="0"/>
      <w:ind w:firstLine="200"/>
      <w:jc w:val="center"/>
    </w:pPr>
    <w:rPr>
      <w:bCs/>
      <w:sz w:val="21"/>
    </w:rPr>
  </w:style>
  <w:style w:type="paragraph" w:customStyle="1" w:styleId="0A0">
    <w:name w:val="0A 小四正文（篇章）"/>
    <w:basedOn w:val="0A1"/>
    <w:qFormat/>
    <w:pPr>
      <w:adjustRightInd w:val="0"/>
      <w:spacing w:line="360" w:lineRule="auto"/>
      <w:ind w:firstLine="200"/>
      <w:jc w:val="both"/>
    </w:pPr>
    <w:rPr>
      <w:b/>
    </w:rPr>
  </w:style>
  <w:style w:type="paragraph" w:customStyle="1" w:styleId="0A1">
    <w:name w:val="0A 小四正文"/>
    <w:qFormat/>
    <w:pPr>
      <w:widowControl w:val="0"/>
      <w:snapToGrid w:val="0"/>
      <w:spacing w:line="500" w:lineRule="exact"/>
      <w:ind w:firstLineChars="200" w:firstLine="480"/>
    </w:pPr>
    <w:rPr>
      <w:kern w:val="2"/>
      <w:sz w:val="24"/>
      <w:szCs w:val="24"/>
    </w:rPr>
  </w:style>
  <w:style w:type="paragraph" w:customStyle="1" w:styleId="0A3">
    <w:name w:val="0A 3级标题"/>
    <w:basedOn w:val="a1"/>
    <w:qFormat/>
    <w:pPr>
      <w:keepNext/>
      <w:keepLines/>
      <w:widowControl/>
      <w:spacing w:beforeLines="50" w:afterLines="50" w:line="500" w:lineRule="exact"/>
      <w:outlineLvl w:val="2"/>
    </w:pPr>
    <w:rPr>
      <w:rFonts w:eastAsia="楷体_GB2312"/>
      <w:b/>
      <w:bCs/>
      <w:color w:val="000000"/>
      <w:kern w:val="0"/>
      <w:sz w:val="28"/>
      <w:szCs w:val="32"/>
    </w:rPr>
  </w:style>
  <w:style w:type="paragraph" w:customStyle="1" w:styleId="0A4">
    <w:name w:val="0A 4级标题"/>
    <w:basedOn w:val="4"/>
    <w:qFormat/>
    <w:pPr>
      <w:numPr>
        <w:ilvl w:val="0"/>
        <w:numId w:val="0"/>
      </w:numPr>
      <w:snapToGrid w:val="0"/>
    </w:pPr>
    <w:rPr>
      <w:rFonts w:ascii="Times New Roman" w:hAnsi="Times New Roman"/>
      <w:szCs w:val="24"/>
    </w:rPr>
  </w:style>
  <w:style w:type="paragraph" w:customStyle="1" w:styleId="afff6">
    <w:name w:val="表格内容"/>
    <w:basedOn w:val="a1"/>
    <w:qFormat/>
    <w:pPr>
      <w:tabs>
        <w:tab w:val="left" w:pos="1535"/>
        <w:tab w:val="left" w:pos="3105"/>
        <w:tab w:val="left" w:pos="4676"/>
        <w:tab w:val="left" w:pos="6247"/>
        <w:tab w:val="left" w:pos="7740"/>
        <w:tab w:val="left" w:pos="9288"/>
      </w:tabs>
      <w:adjustRightInd w:val="0"/>
      <w:snapToGrid w:val="0"/>
      <w:spacing w:line="240" w:lineRule="exact"/>
      <w:jc w:val="center"/>
      <w:textAlignment w:val="baseline"/>
    </w:pPr>
    <w:rPr>
      <w:color w:val="000000"/>
      <w:kern w:val="0"/>
      <w:szCs w:val="16"/>
    </w:rPr>
  </w:style>
  <w:style w:type="paragraph" w:customStyle="1" w:styleId="afff7">
    <w:name w:val="本文正文"/>
    <w:basedOn w:val="a1"/>
    <w:qFormat/>
    <w:pPr>
      <w:tabs>
        <w:tab w:val="left" w:pos="4500"/>
      </w:tabs>
      <w:spacing w:line="360" w:lineRule="auto"/>
      <w:ind w:firstLineChars="200" w:firstLine="200"/>
    </w:pPr>
    <w:rPr>
      <w:kern w:val="0"/>
      <w:sz w:val="24"/>
      <w:szCs w:val="44"/>
    </w:rPr>
  </w:style>
  <w:style w:type="table" w:customStyle="1" w:styleId="43">
    <w:name w:val="(环评报告表）4"/>
    <w:basedOn w:val="a4"/>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7">
    <w:name w:val="2正文"/>
    <w:basedOn w:val="17"/>
    <w:qFormat/>
    <w:pPr>
      <w:ind w:firstLine="480"/>
    </w:pPr>
    <w:rPr>
      <w:lang w:bidi="en-US"/>
    </w:rPr>
  </w:style>
  <w:style w:type="paragraph" w:customStyle="1" w:styleId="17">
    <w:name w:val="正文1"/>
    <w:basedOn w:val="a1"/>
    <w:qFormat/>
    <w:pPr>
      <w:spacing w:line="360" w:lineRule="auto"/>
      <w:ind w:firstLineChars="200" w:firstLine="200"/>
    </w:pPr>
    <w:rPr>
      <w:sz w:val="24"/>
    </w:rPr>
  </w:style>
  <w:style w:type="character" w:customStyle="1" w:styleId="font81">
    <w:name w:val="font81"/>
    <w:basedOn w:val="a3"/>
    <w:qFormat/>
    <w:rPr>
      <w:rFonts w:ascii="Times New Roman" w:hAnsi="Times New Roman" w:cs="Times New Roman" w:hint="default"/>
      <w:color w:val="000000"/>
      <w:sz w:val="15"/>
      <w:szCs w:val="15"/>
      <w:u w:val="none"/>
    </w:rPr>
  </w:style>
  <w:style w:type="paragraph" w:customStyle="1" w:styleId="GL">
    <w:name w:val="GL正文"/>
    <w:basedOn w:val="a1"/>
    <w:qFormat/>
    <w:pPr>
      <w:adjustRightInd w:val="0"/>
      <w:snapToGrid w:val="0"/>
      <w:spacing w:line="360" w:lineRule="auto"/>
      <w:ind w:firstLineChars="200" w:firstLine="200"/>
    </w:pPr>
    <w:rPr>
      <w:bCs/>
      <w:kern w:val="0"/>
      <w:sz w:val="24"/>
      <w:shd w:val="clear" w:color="auto" w:fill="FFFFFF"/>
      <w:lang w:val="zh-CN" w:bidi="en-US"/>
    </w:rPr>
  </w:style>
  <w:style w:type="paragraph" w:customStyle="1" w:styleId="GL0">
    <w:name w:val="GL表格标题"/>
    <w:qFormat/>
    <w:pPr>
      <w:widowControl w:val="0"/>
      <w:tabs>
        <w:tab w:val="left" w:pos="1843"/>
      </w:tabs>
      <w:adjustRightInd w:val="0"/>
      <w:snapToGrid w:val="0"/>
      <w:spacing w:beforeLines="50" w:before="120" w:afterLines="50" w:after="120"/>
      <w:jc w:val="center"/>
    </w:pPr>
    <w:rPr>
      <w:snapToGrid w:val="0"/>
      <w:sz w:val="21"/>
      <w:szCs w:val="28"/>
      <w:u w:color="000000"/>
    </w:rPr>
  </w:style>
  <w:style w:type="paragraph" w:customStyle="1" w:styleId="GL1">
    <w:name w:val="GL表格文字"/>
    <w:qFormat/>
    <w:pPr>
      <w:widowControl w:val="0"/>
      <w:adjustRightInd w:val="0"/>
      <w:snapToGrid w:val="0"/>
      <w:jc w:val="center"/>
      <w:textAlignment w:val="center"/>
    </w:pPr>
    <w:rPr>
      <w:bCs/>
      <w:snapToGrid w:val="0"/>
      <w:sz w:val="21"/>
      <w:szCs w:val="28"/>
      <w:lang w:val="zh-CN"/>
    </w:rPr>
  </w:style>
  <w:style w:type="paragraph" w:customStyle="1" w:styleId="0">
    <w:name w:val="0本文正文"/>
    <w:basedOn w:val="a1"/>
    <w:qFormat/>
    <w:pPr>
      <w:widowControl/>
      <w:topLinePunct/>
      <w:autoSpaceDE w:val="0"/>
      <w:autoSpaceDN w:val="0"/>
      <w:adjustRightInd w:val="0"/>
      <w:snapToGrid w:val="0"/>
      <w:textAlignment w:val="baseline"/>
    </w:pPr>
    <w:rPr>
      <w:rFonts w:ascii="宋体" w:eastAsiaTheme="minorEastAsia" w:hAnsi="Arial" w:cs="Arial"/>
    </w:rPr>
  </w:style>
  <w:style w:type="paragraph" w:customStyle="1" w:styleId="0A52">
    <w:name w:val="0A 表格及插图标题（5级标题）"/>
    <w:qFormat/>
    <w:pPr>
      <w:widowControl w:val="0"/>
      <w:snapToGrid w:val="0"/>
      <w:spacing w:line="500" w:lineRule="exact"/>
      <w:jc w:val="center"/>
      <w:outlineLvl w:val="4"/>
    </w:pPr>
    <w:rPr>
      <w:rFonts w:eastAsia="黑体"/>
      <w:b/>
      <w:snapToGrid w:val="0"/>
      <w:sz w:val="24"/>
      <w:szCs w:val="21"/>
    </w:rPr>
  </w:style>
  <w:style w:type="paragraph" w:customStyle="1" w:styleId="afff8">
    <w:name w:val="图表文字"/>
    <w:basedOn w:val="a1"/>
    <w:next w:val="a1"/>
    <w:qFormat/>
    <w:pPr>
      <w:jc w:val="center"/>
    </w:pPr>
    <w:rPr>
      <w:rFonts w:hint="eastAsia"/>
    </w:rPr>
  </w:style>
  <w:style w:type="paragraph" w:styleId="afff9">
    <w:name w:val="Revision"/>
    <w:hidden/>
    <w:uiPriority w:val="99"/>
    <w:unhideWhenUsed/>
    <w:rsid w:val="00A40C70"/>
    <w:rPr>
      <w:kern w:val="2"/>
      <w:sz w:val="21"/>
      <w:szCs w:val="22"/>
    </w:rPr>
  </w:style>
  <w:style w:type="paragraph" w:customStyle="1" w:styleId="afffa">
    <w:name w:val="报告书正文"/>
    <w:basedOn w:val="a1"/>
    <w:qFormat/>
    <w:rsid w:val="004B3C16"/>
    <w:pPr>
      <w:spacing w:line="360" w:lineRule="auto"/>
      <w:ind w:firstLineChars="200" w:firstLine="200"/>
      <w:jc w:val="left"/>
    </w:pPr>
    <w:rPr>
      <w:rFonts w:asciiTheme="minorHAnsi" w:eastAsiaTheme="minorEastAsia" w:hAnsiTheme="minorHAnsi" w:cstheme="minorBidi"/>
      <w:lang w:val="zh-CN"/>
    </w:rPr>
  </w:style>
  <w:style w:type="paragraph" w:customStyle="1" w:styleId="0A2">
    <w:name w:val="0A 正文"/>
    <w:qFormat/>
    <w:rsid w:val="004B3C16"/>
    <w:pPr>
      <w:widowControl w:val="0"/>
      <w:adjustRightInd w:val="0"/>
      <w:snapToGrid w:val="0"/>
      <w:spacing w:line="500" w:lineRule="exact"/>
      <w:ind w:firstLineChars="200" w:firstLine="480"/>
      <w:jc w:val="both"/>
    </w:pPr>
    <w:rPr>
      <w:kern w:val="2"/>
      <w:sz w:val="24"/>
      <w:szCs w:val="24"/>
    </w:rPr>
  </w:style>
  <w:style w:type="character" w:styleId="afffb">
    <w:name w:val="Unresolved Mention"/>
    <w:basedOn w:val="a3"/>
    <w:uiPriority w:val="99"/>
    <w:semiHidden/>
    <w:unhideWhenUsed/>
    <w:rsid w:val="000549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0.png"/><Relationship Id="rId21" Type="http://schemas.openxmlformats.org/officeDocument/2006/relationships/image" Target="media/image6.png"/><Relationship Id="rId63" Type="http://schemas.openxmlformats.org/officeDocument/2006/relationships/image" Target="media/image47.png"/><Relationship Id="rId159" Type="http://schemas.openxmlformats.org/officeDocument/2006/relationships/image" Target="media/image137.jpeg"/><Relationship Id="rId170" Type="http://schemas.openxmlformats.org/officeDocument/2006/relationships/chart" Target="charts/chart11.xml"/><Relationship Id="rId226" Type="http://schemas.openxmlformats.org/officeDocument/2006/relationships/image" Target="media/image169.wmf"/><Relationship Id="rId268" Type="http://schemas.openxmlformats.org/officeDocument/2006/relationships/image" Target="media/image209.wmf"/><Relationship Id="rId32" Type="http://schemas.openxmlformats.org/officeDocument/2006/relationships/image" Target="media/image16.png"/><Relationship Id="rId74" Type="http://schemas.openxmlformats.org/officeDocument/2006/relationships/footer" Target="footer5.xml"/><Relationship Id="rId128" Type="http://schemas.openxmlformats.org/officeDocument/2006/relationships/image" Target="media/image111.png"/><Relationship Id="rId5" Type="http://schemas.openxmlformats.org/officeDocument/2006/relationships/settings" Target="settings.xml"/><Relationship Id="rId181" Type="http://schemas.openxmlformats.org/officeDocument/2006/relationships/oleObject" Target="embeddings/oleObject4.bin"/><Relationship Id="rId237" Type="http://schemas.openxmlformats.org/officeDocument/2006/relationships/image" Target="media/image180.wmf"/><Relationship Id="rId279" Type="http://schemas.openxmlformats.org/officeDocument/2006/relationships/image" Target="media/image219.wmf"/><Relationship Id="rId43" Type="http://schemas.openxmlformats.org/officeDocument/2006/relationships/image" Target="media/image27.png"/><Relationship Id="rId139" Type="http://schemas.openxmlformats.org/officeDocument/2006/relationships/image" Target="media/image120.png"/><Relationship Id="rId290" Type="http://schemas.openxmlformats.org/officeDocument/2006/relationships/image" Target="media/image230.wmf"/><Relationship Id="rId85" Type="http://schemas.openxmlformats.org/officeDocument/2006/relationships/image" Target="media/image68.svg"/><Relationship Id="rId150" Type="http://schemas.openxmlformats.org/officeDocument/2006/relationships/image" Target="media/image128.jpeg"/><Relationship Id="rId192" Type="http://schemas.openxmlformats.org/officeDocument/2006/relationships/oleObject" Target="embeddings/oleObject12.bin"/><Relationship Id="rId206" Type="http://schemas.openxmlformats.org/officeDocument/2006/relationships/oleObject" Target="embeddings/oleObject19.bin"/><Relationship Id="rId248" Type="http://schemas.openxmlformats.org/officeDocument/2006/relationships/image" Target="media/image191.png"/><Relationship Id="rId12" Type="http://schemas.openxmlformats.org/officeDocument/2006/relationships/image" Target="media/image1.jpeg"/><Relationship Id="rId33" Type="http://schemas.openxmlformats.org/officeDocument/2006/relationships/image" Target="media/image17.svg"/><Relationship Id="rId108" Type="http://schemas.openxmlformats.org/officeDocument/2006/relationships/image" Target="media/image91.png"/><Relationship Id="rId129" Type="http://schemas.openxmlformats.org/officeDocument/2006/relationships/image" Target="media/image112.png"/><Relationship Id="rId280" Type="http://schemas.openxmlformats.org/officeDocument/2006/relationships/image" Target="media/image220.wmf"/><Relationship Id="rId54" Type="http://schemas.openxmlformats.org/officeDocument/2006/relationships/image" Target="media/image38.svg"/><Relationship Id="rId75" Type="http://schemas.openxmlformats.org/officeDocument/2006/relationships/image" Target="media/image58.png"/><Relationship Id="rId96" Type="http://schemas.openxmlformats.org/officeDocument/2006/relationships/image" Target="media/image79.png"/><Relationship Id="rId140" Type="http://schemas.openxmlformats.org/officeDocument/2006/relationships/hyperlink" Target="http://baike.baidu.com/view/14252.htm" TargetMode="External"/><Relationship Id="rId161" Type="http://schemas.openxmlformats.org/officeDocument/2006/relationships/chart" Target="charts/chart2.xml"/><Relationship Id="rId182" Type="http://schemas.openxmlformats.org/officeDocument/2006/relationships/image" Target="media/image146.wmf"/><Relationship Id="rId217" Type="http://schemas.openxmlformats.org/officeDocument/2006/relationships/image" Target="media/image160.wmf"/><Relationship Id="rId6" Type="http://schemas.openxmlformats.org/officeDocument/2006/relationships/webSettings" Target="webSettings.xml"/><Relationship Id="rId238" Type="http://schemas.openxmlformats.org/officeDocument/2006/relationships/image" Target="media/image181.wmf"/><Relationship Id="rId259" Type="http://schemas.openxmlformats.org/officeDocument/2006/relationships/image" Target="media/image201.wmf"/><Relationship Id="rId23" Type="http://schemas.openxmlformats.org/officeDocument/2006/relationships/image" Target="media/image8.jpeg"/><Relationship Id="rId119" Type="http://schemas.openxmlformats.org/officeDocument/2006/relationships/image" Target="media/image102.jpeg"/><Relationship Id="rId270" Type="http://schemas.openxmlformats.org/officeDocument/2006/relationships/image" Target="media/image211.wmf"/><Relationship Id="rId291" Type="http://schemas.openxmlformats.org/officeDocument/2006/relationships/image" Target="media/image231.emf"/><Relationship Id="rId44" Type="http://schemas.openxmlformats.org/officeDocument/2006/relationships/image" Target="media/image28.svg"/><Relationship Id="rId65" Type="http://schemas.openxmlformats.org/officeDocument/2006/relationships/image" Target="media/image49.png"/><Relationship Id="rId86" Type="http://schemas.openxmlformats.org/officeDocument/2006/relationships/image" Target="media/image69.png"/><Relationship Id="rId130" Type="http://schemas.openxmlformats.org/officeDocument/2006/relationships/image" Target="media/image113.png"/><Relationship Id="rId151" Type="http://schemas.openxmlformats.org/officeDocument/2006/relationships/image" Target="media/image129.jpeg"/><Relationship Id="rId172" Type="http://schemas.openxmlformats.org/officeDocument/2006/relationships/image" Target="media/image140.png"/><Relationship Id="rId193" Type="http://schemas.openxmlformats.org/officeDocument/2006/relationships/image" Target="media/image149.wmf"/><Relationship Id="rId207" Type="http://schemas.openxmlformats.org/officeDocument/2006/relationships/image" Target="media/image156.wmf"/><Relationship Id="rId228" Type="http://schemas.openxmlformats.org/officeDocument/2006/relationships/image" Target="media/image171.wmf"/><Relationship Id="rId249" Type="http://schemas.openxmlformats.org/officeDocument/2006/relationships/image" Target="media/image192.emf"/><Relationship Id="rId13" Type="http://schemas.openxmlformats.org/officeDocument/2006/relationships/image" Target="media/image2.jpeg"/><Relationship Id="rId109" Type="http://schemas.openxmlformats.org/officeDocument/2006/relationships/image" Target="media/image92.png"/><Relationship Id="rId260" Type="http://schemas.openxmlformats.org/officeDocument/2006/relationships/image" Target="media/image202.wmf"/><Relationship Id="rId281" Type="http://schemas.openxmlformats.org/officeDocument/2006/relationships/image" Target="media/image221.wmf"/><Relationship Id="rId34" Type="http://schemas.openxmlformats.org/officeDocument/2006/relationships/image" Target="media/image18.svg"/><Relationship Id="rId55" Type="http://schemas.openxmlformats.org/officeDocument/2006/relationships/image" Target="media/image39.png"/><Relationship Id="rId76" Type="http://schemas.openxmlformats.org/officeDocument/2006/relationships/image" Target="media/image59.png"/><Relationship Id="rId97" Type="http://schemas.openxmlformats.org/officeDocument/2006/relationships/image" Target="media/image80.png"/><Relationship Id="rId120" Type="http://schemas.openxmlformats.org/officeDocument/2006/relationships/image" Target="media/image103.jpeg"/><Relationship Id="rId141" Type="http://schemas.openxmlformats.org/officeDocument/2006/relationships/hyperlink" Target="http://baike.baidu.com/view/14276.htm" TargetMode="External"/><Relationship Id="rId7" Type="http://schemas.openxmlformats.org/officeDocument/2006/relationships/footnotes" Target="footnotes.xml"/><Relationship Id="rId162" Type="http://schemas.openxmlformats.org/officeDocument/2006/relationships/chart" Target="charts/chart3.xml"/><Relationship Id="rId183" Type="http://schemas.openxmlformats.org/officeDocument/2006/relationships/oleObject" Target="embeddings/oleObject5.bin"/><Relationship Id="rId218" Type="http://schemas.openxmlformats.org/officeDocument/2006/relationships/image" Target="media/image161.wmf"/><Relationship Id="rId239" Type="http://schemas.openxmlformats.org/officeDocument/2006/relationships/image" Target="media/image182.wmf"/><Relationship Id="rId250" Type="http://schemas.openxmlformats.org/officeDocument/2006/relationships/oleObject" Target="embeddings/oleObject26.bin"/><Relationship Id="rId271" Type="http://schemas.openxmlformats.org/officeDocument/2006/relationships/image" Target="media/image212.wmf"/><Relationship Id="rId292" Type="http://schemas.openxmlformats.org/officeDocument/2006/relationships/oleObject" Target="embeddings/oleObject29.bin"/><Relationship Id="rId24" Type="http://schemas.openxmlformats.org/officeDocument/2006/relationships/image" Target="media/image9.png"/><Relationship Id="rId45" Type="http://schemas.openxmlformats.org/officeDocument/2006/relationships/image" Target="media/image29.png"/><Relationship Id="rId66" Type="http://schemas.openxmlformats.org/officeDocument/2006/relationships/image" Target="media/image50.svg"/><Relationship Id="rId87" Type="http://schemas.openxmlformats.org/officeDocument/2006/relationships/image" Target="media/image70.svg"/><Relationship Id="rId110" Type="http://schemas.openxmlformats.org/officeDocument/2006/relationships/image" Target="media/image93.jpeg"/><Relationship Id="rId131" Type="http://schemas.openxmlformats.org/officeDocument/2006/relationships/image" Target="media/image114.jpeg"/><Relationship Id="rId152" Type="http://schemas.openxmlformats.org/officeDocument/2006/relationships/image" Target="media/image130.jpeg"/><Relationship Id="rId173" Type="http://schemas.openxmlformats.org/officeDocument/2006/relationships/image" Target="media/image141.jpeg"/><Relationship Id="rId194" Type="http://schemas.openxmlformats.org/officeDocument/2006/relationships/oleObject" Target="embeddings/oleObject13.bin"/><Relationship Id="rId208" Type="http://schemas.openxmlformats.org/officeDocument/2006/relationships/oleObject" Target="embeddings/oleObject20.bin"/><Relationship Id="rId229" Type="http://schemas.openxmlformats.org/officeDocument/2006/relationships/image" Target="media/image172.wmf"/><Relationship Id="rId240" Type="http://schemas.openxmlformats.org/officeDocument/2006/relationships/image" Target="media/image183.wmf"/><Relationship Id="rId261" Type="http://schemas.openxmlformats.org/officeDocument/2006/relationships/image" Target="media/image203.wmf"/><Relationship Id="rId14" Type="http://schemas.openxmlformats.org/officeDocument/2006/relationships/image" Target="media/image3.png"/><Relationship Id="rId35" Type="http://schemas.openxmlformats.org/officeDocument/2006/relationships/image" Target="media/image19.png"/><Relationship Id="rId56" Type="http://schemas.openxmlformats.org/officeDocument/2006/relationships/image" Target="media/image40.svg"/><Relationship Id="rId77" Type="http://schemas.openxmlformats.org/officeDocument/2006/relationships/image" Target="media/image60.svg"/><Relationship Id="rId100" Type="http://schemas.openxmlformats.org/officeDocument/2006/relationships/image" Target="media/image83.jpeg"/><Relationship Id="rId282" Type="http://schemas.openxmlformats.org/officeDocument/2006/relationships/image" Target="media/image222.wmf"/><Relationship Id="rId8" Type="http://schemas.openxmlformats.org/officeDocument/2006/relationships/endnotes" Target="endnotes.xml"/><Relationship Id="rId98" Type="http://schemas.openxmlformats.org/officeDocument/2006/relationships/image" Target="media/image81.jpeg"/><Relationship Id="rId121" Type="http://schemas.openxmlformats.org/officeDocument/2006/relationships/image" Target="media/image104.png"/><Relationship Id="rId142" Type="http://schemas.openxmlformats.org/officeDocument/2006/relationships/image" Target="media/image121.png"/><Relationship Id="rId163" Type="http://schemas.openxmlformats.org/officeDocument/2006/relationships/chart" Target="charts/chart4.xml"/><Relationship Id="rId184" Type="http://schemas.openxmlformats.org/officeDocument/2006/relationships/oleObject" Target="embeddings/oleObject6.bin"/><Relationship Id="rId219" Type="http://schemas.openxmlformats.org/officeDocument/2006/relationships/image" Target="media/image162.wmf"/><Relationship Id="rId230" Type="http://schemas.openxmlformats.org/officeDocument/2006/relationships/image" Target="media/image173.wmf"/><Relationship Id="rId251" Type="http://schemas.openxmlformats.org/officeDocument/2006/relationships/image" Target="media/image193.wmf"/><Relationship Id="rId25" Type="http://schemas.openxmlformats.org/officeDocument/2006/relationships/chart" Target="charts/chart1.xml"/><Relationship Id="rId46" Type="http://schemas.openxmlformats.org/officeDocument/2006/relationships/image" Target="media/image30.svg"/><Relationship Id="rId67" Type="http://schemas.openxmlformats.org/officeDocument/2006/relationships/image" Target="media/image51.png"/><Relationship Id="rId272" Type="http://schemas.openxmlformats.org/officeDocument/2006/relationships/image" Target="media/image213.wmf"/><Relationship Id="rId293" Type="http://schemas.openxmlformats.org/officeDocument/2006/relationships/header" Target="header3.xml"/><Relationship Id="rId88" Type="http://schemas.openxmlformats.org/officeDocument/2006/relationships/image" Target="media/image71.png"/><Relationship Id="rId111" Type="http://schemas.openxmlformats.org/officeDocument/2006/relationships/image" Target="media/image94.jpeg"/><Relationship Id="rId132" Type="http://schemas.openxmlformats.org/officeDocument/2006/relationships/image" Target="media/image115.jpeg"/><Relationship Id="rId153" Type="http://schemas.openxmlformats.org/officeDocument/2006/relationships/image" Target="media/image131.jpeg"/><Relationship Id="rId174" Type="http://schemas.openxmlformats.org/officeDocument/2006/relationships/image" Target="media/image142.jpeg"/><Relationship Id="rId195" Type="http://schemas.openxmlformats.org/officeDocument/2006/relationships/image" Target="media/image150.wmf"/><Relationship Id="rId209" Type="http://schemas.openxmlformats.org/officeDocument/2006/relationships/oleObject" Target="embeddings/oleObject21.bin"/><Relationship Id="rId220" Type="http://schemas.openxmlformats.org/officeDocument/2006/relationships/image" Target="media/image163.wmf"/><Relationship Id="rId241" Type="http://schemas.openxmlformats.org/officeDocument/2006/relationships/image" Target="media/image184.wmf"/><Relationship Id="rId15" Type="http://schemas.openxmlformats.org/officeDocument/2006/relationships/image" Target="media/image4.jpeg"/><Relationship Id="rId36" Type="http://schemas.openxmlformats.org/officeDocument/2006/relationships/image" Target="media/image20.svg"/><Relationship Id="rId57" Type="http://schemas.openxmlformats.org/officeDocument/2006/relationships/image" Target="media/image41.png"/><Relationship Id="rId262" Type="http://schemas.openxmlformats.org/officeDocument/2006/relationships/image" Target="media/image204.wmf"/><Relationship Id="rId283" Type="http://schemas.openxmlformats.org/officeDocument/2006/relationships/image" Target="media/image223.wmf"/><Relationship Id="rId78" Type="http://schemas.openxmlformats.org/officeDocument/2006/relationships/image" Target="media/image61.png"/><Relationship Id="rId99" Type="http://schemas.openxmlformats.org/officeDocument/2006/relationships/image" Target="media/image82.png"/><Relationship Id="rId101" Type="http://schemas.openxmlformats.org/officeDocument/2006/relationships/image" Target="media/image84.png"/><Relationship Id="rId122" Type="http://schemas.openxmlformats.org/officeDocument/2006/relationships/image" Target="media/image105.png"/><Relationship Id="rId143" Type="http://schemas.openxmlformats.org/officeDocument/2006/relationships/hyperlink" Target="http://baike.baidu.com/subview/26041/7987848.htm" TargetMode="External"/><Relationship Id="rId164" Type="http://schemas.openxmlformats.org/officeDocument/2006/relationships/chart" Target="charts/chart5.xml"/><Relationship Id="rId185" Type="http://schemas.openxmlformats.org/officeDocument/2006/relationships/oleObject" Target="embeddings/oleObject7.bin"/><Relationship Id="rId9" Type="http://schemas.openxmlformats.org/officeDocument/2006/relationships/header" Target="header1.xml"/><Relationship Id="rId210" Type="http://schemas.openxmlformats.org/officeDocument/2006/relationships/image" Target="media/image157.wmf"/><Relationship Id="rId26" Type="http://schemas.openxmlformats.org/officeDocument/2006/relationships/image" Target="media/image10.png"/><Relationship Id="rId231" Type="http://schemas.openxmlformats.org/officeDocument/2006/relationships/image" Target="media/image174.wmf"/><Relationship Id="rId252" Type="http://schemas.openxmlformats.org/officeDocument/2006/relationships/image" Target="media/image194.wmf"/><Relationship Id="rId273" Type="http://schemas.openxmlformats.org/officeDocument/2006/relationships/image" Target="media/image214.wmf"/><Relationship Id="rId294" Type="http://schemas.openxmlformats.org/officeDocument/2006/relationships/footer" Target="footer6.xml"/><Relationship Id="rId47" Type="http://schemas.openxmlformats.org/officeDocument/2006/relationships/image" Target="media/image31.png"/><Relationship Id="rId68" Type="http://schemas.openxmlformats.org/officeDocument/2006/relationships/image" Target="media/image52.svg"/><Relationship Id="rId89" Type="http://schemas.openxmlformats.org/officeDocument/2006/relationships/image" Target="media/image72.svg"/><Relationship Id="rId112" Type="http://schemas.openxmlformats.org/officeDocument/2006/relationships/image" Target="media/image95.png"/><Relationship Id="rId133" Type="http://schemas.openxmlformats.org/officeDocument/2006/relationships/hyperlink" Target="http://www.gscloud.cn/sources/accessdata/411?pid=1" TargetMode="External"/><Relationship Id="rId154" Type="http://schemas.openxmlformats.org/officeDocument/2006/relationships/image" Target="media/image132.jpeg"/><Relationship Id="rId175" Type="http://schemas.openxmlformats.org/officeDocument/2006/relationships/image" Target="media/image143.wmf"/><Relationship Id="rId196" Type="http://schemas.openxmlformats.org/officeDocument/2006/relationships/oleObject" Target="embeddings/oleObject14.bin"/><Relationship Id="rId200" Type="http://schemas.openxmlformats.org/officeDocument/2006/relationships/oleObject" Target="embeddings/oleObject16.bin"/><Relationship Id="rId16" Type="http://schemas.openxmlformats.org/officeDocument/2006/relationships/image" Target="media/image5.png"/><Relationship Id="rId221" Type="http://schemas.openxmlformats.org/officeDocument/2006/relationships/image" Target="media/image164.wmf"/><Relationship Id="rId242" Type="http://schemas.openxmlformats.org/officeDocument/2006/relationships/image" Target="media/image185.wmf"/><Relationship Id="rId263" Type="http://schemas.openxmlformats.org/officeDocument/2006/relationships/image" Target="media/image205.emf"/><Relationship Id="rId284" Type="http://schemas.openxmlformats.org/officeDocument/2006/relationships/image" Target="media/image224.wmf"/><Relationship Id="rId37" Type="http://schemas.openxmlformats.org/officeDocument/2006/relationships/image" Target="media/image21.png"/><Relationship Id="rId58" Type="http://schemas.openxmlformats.org/officeDocument/2006/relationships/image" Target="media/image42.svg"/><Relationship Id="rId79" Type="http://schemas.openxmlformats.org/officeDocument/2006/relationships/image" Target="media/image62.svg"/><Relationship Id="rId102" Type="http://schemas.openxmlformats.org/officeDocument/2006/relationships/image" Target="media/image85.png"/><Relationship Id="rId123" Type="http://schemas.openxmlformats.org/officeDocument/2006/relationships/image" Target="media/image106.png"/><Relationship Id="rId144" Type="http://schemas.openxmlformats.org/officeDocument/2006/relationships/image" Target="media/image122.png"/><Relationship Id="rId90" Type="http://schemas.openxmlformats.org/officeDocument/2006/relationships/image" Target="media/image73.png"/><Relationship Id="rId165" Type="http://schemas.openxmlformats.org/officeDocument/2006/relationships/chart" Target="charts/chart6.xml"/><Relationship Id="rId186" Type="http://schemas.openxmlformats.org/officeDocument/2006/relationships/image" Target="media/image147.wmf"/><Relationship Id="rId211" Type="http://schemas.openxmlformats.org/officeDocument/2006/relationships/oleObject" Target="embeddings/oleObject22.bin"/><Relationship Id="rId232" Type="http://schemas.openxmlformats.org/officeDocument/2006/relationships/image" Target="media/image175.wmf"/><Relationship Id="rId253" Type="http://schemas.openxmlformats.org/officeDocument/2006/relationships/image" Target="media/image195.wmf"/><Relationship Id="rId274" Type="http://schemas.openxmlformats.org/officeDocument/2006/relationships/image" Target="media/image215.wmf"/><Relationship Id="rId295" Type="http://schemas.openxmlformats.org/officeDocument/2006/relationships/fontTable" Target="fontTable.xml"/><Relationship Id="rId27" Type="http://schemas.openxmlformats.org/officeDocument/2006/relationships/image" Target="media/image11.svg"/><Relationship Id="rId48" Type="http://schemas.openxmlformats.org/officeDocument/2006/relationships/image" Target="media/image32.svg"/><Relationship Id="rId69" Type="http://schemas.openxmlformats.org/officeDocument/2006/relationships/image" Target="media/image53.png"/><Relationship Id="rId113" Type="http://schemas.openxmlformats.org/officeDocument/2006/relationships/image" Target="media/image96.png"/><Relationship Id="rId134" Type="http://schemas.openxmlformats.org/officeDocument/2006/relationships/image" Target="media/image116.jpeg"/><Relationship Id="rId80" Type="http://schemas.openxmlformats.org/officeDocument/2006/relationships/image" Target="media/image63.png"/><Relationship Id="rId155" Type="http://schemas.openxmlformats.org/officeDocument/2006/relationships/image" Target="media/image133.jpeg"/><Relationship Id="rId176" Type="http://schemas.openxmlformats.org/officeDocument/2006/relationships/oleObject" Target="embeddings/oleObject1.bin"/><Relationship Id="rId197" Type="http://schemas.openxmlformats.org/officeDocument/2006/relationships/image" Target="media/image151.wmf"/><Relationship Id="rId201" Type="http://schemas.openxmlformats.org/officeDocument/2006/relationships/image" Target="media/image153.wmf"/><Relationship Id="rId222" Type="http://schemas.openxmlformats.org/officeDocument/2006/relationships/image" Target="media/image165.wmf"/><Relationship Id="rId243" Type="http://schemas.openxmlformats.org/officeDocument/2006/relationships/image" Target="media/image186.wmf"/><Relationship Id="rId264" Type="http://schemas.openxmlformats.org/officeDocument/2006/relationships/oleObject" Target="embeddings/oleObject27.bin"/><Relationship Id="rId285" Type="http://schemas.openxmlformats.org/officeDocument/2006/relationships/image" Target="media/image225.wmf"/><Relationship Id="rId17" Type="http://schemas.openxmlformats.org/officeDocument/2006/relationships/header" Target="header2.xml"/><Relationship Id="rId38" Type="http://schemas.openxmlformats.org/officeDocument/2006/relationships/image" Target="media/image22.svg"/><Relationship Id="rId59" Type="http://schemas.openxmlformats.org/officeDocument/2006/relationships/image" Target="media/image43.png"/><Relationship Id="rId103" Type="http://schemas.openxmlformats.org/officeDocument/2006/relationships/image" Target="media/image86.png"/><Relationship Id="rId124" Type="http://schemas.openxmlformats.org/officeDocument/2006/relationships/image" Target="media/image107.jpeg"/><Relationship Id="rId70" Type="http://schemas.openxmlformats.org/officeDocument/2006/relationships/image" Target="media/image54.png"/><Relationship Id="rId91" Type="http://schemas.openxmlformats.org/officeDocument/2006/relationships/image" Target="media/image74.svg"/><Relationship Id="rId145" Type="http://schemas.openxmlformats.org/officeDocument/2006/relationships/image" Target="media/image123.jpeg"/><Relationship Id="rId166" Type="http://schemas.openxmlformats.org/officeDocument/2006/relationships/chart" Target="charts/chart7.xml"/><Relationship Id="rId187" Type="http://schemas.openxmlformats.org/officeDocument/2006/relationships/oleObject" Target="embeddings/oleObject8.bin"/><Relationship Id="rId1" Type="http://schemas.openxmlformats.org/officeDocument/2006/relationships/customXml" Target="../customXml/item1.xml"/><Relationship Id="rId212" Type="http://schemas.openxmlformats.org/officeDocument/2006/relationships/image" Target="media/image158.wmf"/><Relationship Id="rId233" Type="http://schemas.openxmlformats.org/officeDocument/2006/relationships/image" Target="media/image176.wmf"/><Relationship Id="rId254" Type="http://schemas.openxmlformats.org/officeDocument/2006/relationships/image" Target="media/image196.wmf"/><Relationship Id="rId28" Type="http://schemas.openxmlformats.org/officeDocument/2006/relationships/image" Target="media/image12.png"/><Relationship Id="rId49" Type="http://schemas.openxmlformats.org/officeDocument/2006/relationships/image" Target="media/image33.png"/><Relationship Id="rId114" Type="http://schemas.openxmlformats.org/officeDocument/2006/relationships/image" Target="media/image97.png"/><Relationship Id="rId275" Type="http://schemas.openxmlformats.org/officeDocument/2006/relationships/image" Target="media/image216.wmf"/><Relationship Id="rId296" Type="http://schemas.openxmlformats.org/officeDocument/2006/relationships/theme" Target="theme/theme1.xml"/><Relationship Id="rId60" Type="http://schemas.openxmlformats.org/officeDocument/2006/relationships/image" Target="media/image44.svg"/><Relationship Id="rId81" Type="http://schemas.openxmlformats.org/officeDocument/2006/relationships/image" Target="media/image64.svg"/><Relationship Id="rId135" Type="http://schemas.openxmlformats.org/officeDocument/2006/relationships/image" Target="media/image117.jpeg"/><Relationship Id="rId156" Type="http://schemas.openxmlformats.org/officeDocument/2006/relationships/image" Target="media/image134.jpeg"/><Relationship Id="rId177" Type="http://schemas.openxmlformats.org/officeDocument/2006/relationships/oleObject" Target="embeddings/oleObject2.bin"/><Relationship Id="rId198" Type="http://schemas.openxmlformats.org/officeDocument/2006/relationships/oleObject" Target="embeddings/oleObject15.bin"/><Relationship Id="rId202" Type="http://schemas.openxmlformats.org/officeDocument/2006/relationships/oleObject" Target="embeddings/oleObject17.bin"/><Relationship Id="rId223" Type="http://schemas.openxmlformats.org/officeDocument/2006/relationships/image" Target="media/image166.wmf"/><Relationship Id="rId244" Type="http://schemas.openxmlformats.org/officeDocument/2006/relationships/image" Target="media/image187.wmf"/><Relationship Id="rId18" Type="http://schemas.openxmlformats.org/officeDocument/2006/relationships/footer" Target="footer2.xml"/><Relationship Id="rId39" Type="http://schemas.openxmlformats.org/officeDocument/2006/relationships/image" Target="media/image23.png"/><Relationship Id="rId265" Type="http://schemas.openxmlformats.org/officeDocument/2006/relationships/image" Target="media/image206.wmf"/><Relationship Id="rId286" Type="http://schemas.openxmlformats.org/officeDocument/2006/relationships/image" Target="media/image226.wmf"/><Relationship Id="rId50" Type="http://schemas.openxmlformats.org/officeDocument/2006/relationships/image" Target="media/image34.svg"/><Relationship Id="rId104" Type="http://schemas.openxmlformats.org/officeDocument/2006/relationships/image" Target="media/image87.png"/><Relationship Id="rId125" Type="http://schemas.openxmlformats.org/officeDocument/2006/relationships/image" Target="media/image108.jpeg"/><Relationship Id="rId146" Type="http://schemas.openxmlformats.org/officeDocument/2006/relationships/image" Target="media/image124.jpeg"/><Relationship Id="rId167" Type="http://schemas.openxmlformats.org/officeDocument/2006/relationships/chart" Target="charts/chart8.xml"/><Relationship Id="rId188" Type="http://schemas.openxmlformats.org/officeDocument/2006/relationships/oleObject" Target="embeddings/oleObject9.bin"/><Relationship Id="rId71" Type="http://schemas.openxmlformats.org/officeDocument/2006/relationships/image" Target="media/image55.png"/><Relationship Id="rId92" Type="http://schemas.openxmlformats.org/officeDocument/2006/relationships/image" Target="media/image75.png"/><Relationship Id="rId213" Type="http://schemas.openxmlformats.org/officeDocument/2006/relationships/oleObject" Target="embeddings/oleObject23.bin"/><Relationship Id="rId234" Type="http://schemas.openxmlformats.org/officeDocument/2006/relationships/image" Target="media/image177.wmf"/><Relationship Id="rId2" Type="http://schemas.openxmlformats.org/officeDocument/2006/relationships/customXml" Target="../customXml/item2.xml"/><Relationship Id="rId29" Type="http://schemas.openxmlformats.org/officeDocument/2006/relationships/image" Target="media/image13.svg"/><Relationship Id="rId255" Type="http://schemas.openxmlformats.org/officeDocument/2006/relationships/image" Target="media/image197.wmf"/><Relationship Id="rId276" Type="http://schemas.openxmlformats.org/officeDocument/2006/relationships/image" Target="media/image217.wmf"/><Relationship Id="rId40" Type="http://schemas.openxmlformats.org/officeDocument/2006/relationships/image" Target="media/image24.svg"/><Relationship Id="rId115" Type="http://schemas.openxmlformats.org/officeDocument/2006/relationships/image" Target="media/image98.jpeg"/><Relationship Id="rId136" Type="http://schemas.openxmlformats.org/officeDocument/2006/relationships/image" Target="media/image118.jpeg"/><Relationship Id="rId157" Type="http://schemas.openxmlformats.org/officeDocument/2006/relationships/image" Target="media/image135.jpeg"/><Relationship Id="rId178" Type="http://schemas.openxmlformats.org/officeDocument/2006/relationships/image" Target="media/image144.wmf"/><Relationship Id="rId61" Type="http://schemas.openxmlformats.org/officeDocument/2006/relationships/image" Target="media/image45.png"/><Relationship Id="rId82" Type="http://schemas.openxmlformats.org/officeDocument/2006/relationships/image" Target="media/image65.png"/><Relationship Id="rId199" Type="http://schemas.openxmlformats.org/officeDocument/2006/relationships/image" Target="media/image152.wmf"/><Relationship Id="rId203" Type="http://schemas.openxmlformats.org/officeDocument/2006/relationships/image" Target="media/image154.wmf"/><Relationship Id="rId19" Type="http://schemas.openxmlformats.org/officeDocument/2006/relationships/footer" Target="footer3.xml"/><Relationship Id="rId224" Type="http://schemas.openxmlformats.org/officeDocument/2006/relationships/image" Target="media/image167.wmf"/><Relationship Id="rId245" Type="http://schemas.openxmlformats.org/officeDocument/2006/relationships/image" Target="media/image188.jpeg"/><Relationship Id="rId266" Type="http://schemas.openxmlformats.org/officeDocument/2006/relationships/image" Target="media/image207.wmf"/><Relationship Id="rId287" Type="http://schemas.openxmlformats.org/officeDocument/2006/relationships/image" Target="media/image227.wmf"/><Relationship Id="rId30" Type="http://schemas.openxmlformats.org/officeDocument/2006/relationships/image" Target="media/image14.png"/><Relationship Id="rId105" Type="http://schemas.openxmlformats.org/officeDocument/2006/relationships/image" Target="media/image88.jpeg"/><Relationship Id="rId126" Type="http://schemas.openxmlformats.org/officeDocument/2006/relationships/image" Target="media/image109.jpeg"/><Relationship Id="rId147" Type="http://schemas.openxmlformats.org/officeDocument/2006/relationships/image" Target="media/image125.png"/><Relationship Id="rId168" Type="http://schemas.openxmlformats.org/officeDocument/2006/relationships/chart" Target="charts/chart9.xml"/><Relationship Id="rId51" Type="http://schemas.openxmlformats.org/officeDocument/2006/relationships/image" Target="media/image35.png"/><Relationship Id="rId72" Type="http://schemas.openxmlformats.org/officeDocument/2006/relationships/image" Target="media/image56.png"/><Relationship Id="rId93" Type="http://schemas.openxmlformats.org/officeDocument/2006/relationships/image" Target="media/image76.svg"/><Relationship Id="rId189" Type="http://schemas.openxmlformats.org/officeDocument/2006/relationships/oleObject" Target="embeddings/oleObject10.bin"/><Relationship Id="rId3" Type="http://schemas.openxmlformats.org/officeDocument/2006/relationships/numbering" Target="numbering.xml"/><Relationship Id="rId214" Type="http://schemas.openxmlformats.org/officeDocument/2006/relationships/image" Target="media/image159.wmf"/><Relationship Id="rId235" Type="http://schemas.openxmlformats.org/officeDocument/2006/relationships/image" Target="media/image178.wmf"/><Relationship Id="rId256" Type="http://schemas.openxmlformats.org/officeDocument/2006/relationships/image" Target="media/image198.wmf"/><Relationship Id="rId277" Type="http://schemas.openxmlformats.org/officeDocument/2006/relationships/image" Target="media/image218.emf"/><Relationship Id="rId116" Type="http://schemas.openxmlformats.org/officeDocument/2006/relationships/image" Target="media/image99.jpeg"/><Relationship Id="rId137" Type="http://schemas.openxmlformats.org/officeDocument/2006/relationships/image" Target="media/image119.png"/><Relationship Id="rId158" Type="http://schemas.openxmlformats.org/officeDocument/2006/relationships/image" Target="media/image136.jpeg"/><Relationship Id="rId20" Type="http://schemas.openxmlformats.org/officeDocument/2006/relationships/footer" Target="footer4.xml"/><Relationship Id="rId41" Type="http://schemas.openxmlformats.org/officeDocument/2006/relationships/image" Target="media/image25.png"/><Relationship Id="rId62" Type="http://schemas.openxmlformats.org/officeDocument/2006/relationships/image" Target="media/image46.svg"/><Relationship Id="rId83" Type="http://schemas.openxmlformats.org/officeDocument/2006/relationships/image" Target="media/image66.svg"/><Relationship Id="rId179" Type="http://schemas.openxmlformats.org/officeDocument/2006/relationships/oleObject" Target="embeddings/oleObject3.bin"/><Relationship Id="rId190" Type="http://schemas.openxmlformats.org/officeDocument/2006/relationships/oleObject" Target="embeddings/oleObject11.bin"/><Relationship Id="rId204" Type="http://schemas.openxmlformats.org/officeDocument/2006/relationships/oleObject" Target="embeddings/oleObject18.bin"/><Relationship Id="rId225" Type="http://schemas.openxmlformats.org/officeDocument/2006/relationships/image" Target="media/image168.wmf"/><Relationship Id="rId246" Type="http://schemas.openxmlformats.org/officeDocument/2006/relationships/image" Target="media/image189.png"/><Relationship Id="rId267" Type="http://schemas.openxmlformats.org/officeDocument/2006/relationships/image" Target="media/image208.wmf"/><Relationship Id="rId288" Type="http://schemas.openxmlformats.org/officeDocument/2006/relationships/image" Target="media/image228.wmf"/><Relationship Id="rId106" Type="http://schemas.openxmlformats.org/officeDocument/2006/relationships/image" Target="media/image89.jpeg"/><Relationship Id="rId127" Type="http://schemas.openxmlformats.org/officeDocument/2006/relationships/image" Target="media/image110.png"/><Relationship Id="rId10" Type="http://schemas.openxmlformats.org/officeDocument/2006/relationships/footer" Target="footer1.xml"/><Relationship Id="rId31" Type="http://schemas.openxmlformats.org/officeDocument/2006/relationships/image" Target="media/image15.svg"/><Relationship Id="rId52" Type="http://schemas.openxmlformats.org/officeDocument/2006/relationships/image" Target="media/image36.svg"/><Relationship Id="rId73" Type="http://schemas.openxmlformats.org/officeDocument/2006/relationships/image" Target="media/image57.png"/><Relationship Id="rId94" Type="http://schemas.openxmlformats.org/officeDocument/2006/relationships/image" Target="media/image77.jpeg"/><Relationship Id="rId148" Type="http://schemas.openxmlformats.org/officeDocument/2006/relationships/image" Target="media/image126.jpeg"/><Relationship Id="rId169" Type="http://schemas.openxmlformats.org/officeDocument/2006/relationships/chart" Target="charts/chart10.xml"/><Relationship Id="rId4" Type="http://schemas.openxmlformats.org/officeDocument/2006/relationships/styles" Target="styles.xml"/><Relationship Id="rId180" Type="http://schemas.openxmlformats.org/officeDocument/2006/relationships/image" Target="media/image145.wmf"/><Relationship Id="rId215" Type="http://schemas.openxmlformats.org/officeDocument/2006/relationships/oleObject" Target="embeddings/oleObject24.bin"/><Relationship Id="rId236" Type="http://schemas.openxmlformats.org/officeDocument/2006/relationships/image" Target="media/image179.wmf"/><Relationship Id="rId257" Type="http://schemas.openxmlformats.org/officeDocument/2006/relationships/image" Target="media/image199.wmf"/><Relationship Id="rId278" Type="http://schemas.openxmlformats.org/officeDocument/2006/relationships/oleObject" Target="embeddings/oleObject28.bin"/><Relationship Id="rId42" Type="http://schemas.openxmlformats.org/officeDocument/2006/relationships/image" Target="media/image26.svg"/><Relationship Id="rId84" Type="http://schemas.openxmlformats.org/officeDocument/2006/relationships/image" Target="media/image67.png"/><Relationship Id="rId138" Type="http://schemas.openxmlformats.org/officeDocument/2006/relationships/hyperlink" Target="http://baike.baidu.com/view/129980.htm" TargetMode="External"/><Relationship Id="rId191" Type="http://schemas.openxmlformats.org/officeDocument/2006/relationships/image" Target="media/image148.wmf"/><Relationship Id="rId205" Type="http://schemas.openxmlformats.org/officeDocument/2006/relationships/image" Target="media/image155.wmf"/><Relationship Id="rId247" Type="http://schemas.openxmlformats.org/officeDocument/2006/relationships/image" Target="media/image190.png"/><Relationship Id="rId107" Type="http://schemas.openxmlformats.org/officeDocument/2006/relationships/image" Target="media/image90.png"/><Relationship Id="rId289" Type="http://schemas.openxmlformats.org/officeDocument/2006/relationships/image" Target="media/image229.wmf"/><Relationship Id="rId11" Type="http://schemas.openxmlformats.org/officeDocument/2006/relationships/hyperlink" Target="http://www.baidu.com/link?url=UCe1XrpKvj0T9DhRQS4VFYc6zOvstJfFhd9-AvNQOgb3eGhX0mKWKDqmU26qyZRD8GtIo51aynGA3p3gyEQ7SsM87184_QvVlp_y8iZpzsUVyoElRwwTzoTB_ygZutq73i8vsIyM7kXPTmbyDRUWUFIIBROfUa1Fe4lR73gth9VNscxFidREDtnOkBYeopgapbT-wxF4NtiTDYOYuey8LyfZxrWMsFbZJcu7UUsGr9gF_Y9dnhpHNWChJF6qE3kgPl8T9C3i8j_Y1xZnqJv2tB5bdaZ3Tj8W6ge23UaodN3B2E_Y0TsSkjmNVvDFa3fycetMuhtoP3JJE-km8YbpVa" TargetMode="External"/><Relationship Id="rId53" Type="http://schemas.openxmlformats.org/officeDocument/2006/relationships/image" Target="media/image37.png"/><Relationship Id="rId149" Type="http://schemas.openxmlformats.org/officeDocument/2006/relationships/image" Target="media/image127.jpeg"/><Relationship Id="rId95" Type="http://schemas.openxmlformats.org/officeDocument/2006/relationships/image" Target="media/image78.jpeg"/><Relationship Id="rId160" Type="http://schemas.openxmlformats.org/officeDocument/2006/relationships/image" Target="media/image138.jpeg"/><Relationship Id="rId216" Type="http://schemas.openxmlformats.org/officeDocument/2006/relationships/oleObject" Target="embeddings/oleObject25.bin"/><Relationship Id="rId258" Type="http://schemas.openxmlformats.org/officeDocument/2006/relationships/image" Target="media/image200.wmf"/><Relationship Id="rId22" Type="http://schemas.openxmlformats.org/officeDocument/2006/relationships/image" Target="media/image7.jpeg"/><Relationship Id="rId64" Type="http://schemas.openxmlformats.org/officeDocument/2006/relationships/image" Target="media/image48.svg"/><Relationship Id="rId118" Type="http://schemas.openxmlformats.org/officeDocument/2006/relationships/image" Target="media/image101.png"/><Relationship Id="rId171" Type="http://schemas.openxmlformats.org/officeDocument/2006/relationships/image" Target="media/image139.png"/><Relationship Id="rId227" Type="http://schemas.openxmlformats.org/officeDocument/2006/relationships/image" Target="media/image170.wmf"/><Relationship Id="rId269" Type="http://schemas.openxmlformats.org/officeDocument/2006/relationships/image" Target="media/image210.wmf"/></Relationships>
</file>

<file path=word/charts/_rels/chart1.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r>
              <a:rPr lang="zh-CN" altLang="en-US" i="0">
                <a:latin typeface="Times New Roman" panose="02020603050405020304" charset="0"/>
                <a:ea typeface="Times New Roman" panose="02020603050405020304" charset="0"/>
                <a:cs typeface="Times New Roman" panose="02020603050405020304" charset="0"/>
                <a:sym typeface="Times New Roman" panose="02020603050405020304" charset="0"/>
              </a:rPr>
              <a:t>化学需氧量、氨氮排放量</a:t>
            </a:r>
          </a:p>
        </c:rich>
      </c:tx>
      <c:overlay val="0"/>
      <c:spPr>
        <a:noFill/>
        <a:ln>
          <a:noFill/>
        </a:ln>
        <a:effectLst/>
      </c:spPr>
      <c:txPr>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zh-CN" altLang="en-US"/>
        </a:p>
      </c:txPr>
    </c:title>
    <c:autoTitleDeleted val="0"/>
    <c:plotArea>
      <c:layout/>
      <c:barChart>
        <c:barDir val="col"/>
        <c:grouping val="percentStacked"/>
        <c:varyColors val="0"/>
        <c:ser>
          <c:idx val="0"/>
          <c:order val="0"/>
          <c:tx>
            <c:strRef>
              <c:f>'[统计年鉴-合计-李佳昊.xlsx]Sheet4'!$M$26</c:f>
              <c:strCache>
                <c:ptCount val="1"/>
                <c:pt idx="0">
                  <c:v>化学需氧量</c:v>
                </c:pt>
              </c:strCache>
            </c:strRef>
          </c:tx>
          <c:spPr>
            <a:solidFill>
              <a:schemeClr val="accent1"/>
            </a:solidFill>
            <a:ln>
              <a:noFill/>
            </a:ln>
            <a:effectLst/>
          </c:spPr>
          <c:invertIfNegative val="0"/>
          <c:cat>
            <c:multiLvlStrRef>
              <c:f>'[统计年鉴-合计-李佳昊.xlsx]Sheet4'!$J$27:$L$46</c:f>
              <c:multiLvlStrCache>
                <c:ptCount val="20"/>
                <c:lvl>
                  <c:pt idx="0">
                    <c:v>合计</c:v>
                  </c:pt>
                  <c:pt idx="1">
                    <c:v>工业排放量</c:v>
                  </c:pt>
                  <c:pt idx="2">
                    <c:v>合计</c:v>
                  </c:pt>
                  <c:pt idx="3">
                    <c:v>工业排放量</c:v>
                  </c:pt>
                  <c:pt idx="4">
                    <c:v>合计</c:v>
                  </c:pt>
                  <c:pt idx="5">
                    <c:v>工业排放量</c:v>
                  </c:pt>
                  <c:pt idx="6">
                    <c:v>合计</c:v>
                  </c:pt>
                  <c:pt idx="7">
                    <c:v>工业排放量</c:v>
                  </c:pt>
                  <c:pt idx="8">
                    <c:v>合计</c:v>
                  </c:pt>
                  <c:pt idx="9">
                    <c:v>工业排放量</c:v>
                  </c:pt>
                  <c:pt idx="10">
                    <c:v>合计</c:v>
                  </c:pt>
                  <c:pt idx="11">
                    <c:v>工业排放量</c:v>
                  </c:pt>
                  <c:pt idx="12">
                    <c:v>合计</c:v>
                  </c:pt>
                  <c:pt idx="13">
                    <c:v>工业排放量</c:v>
                  </c:pt>
                  <c:pt idx="14">
                    <c:v>合计</c:v>
                  </c:pt>
                  <c:pt idx="15">
                    <c:v>工业排放量</c:v>
                  </c:pt>
                  <c:pt idx="16">
                    <c:v>合计</c:v>
                  </c:pt>
                  <c:pt idx="17">
                    <c:v>工业排放量</c:v>
                  </c:pt>
                  <c:pt idx="18">
                    <c:v>合计</c:v>
                  </c:pt>
                  <c:pt idx="19">
                    <c:v>工业排放量</c:v>
                  </c:pt>
                </c:lvl>
                <c:lvl>
                  <c:pt idx="0">
                    <c:v>2020年</c:v>
                  </c:pt>
                  <c:pt idx="2">
                    <c:v>2021年</c:v>
                  </c:pt>
                  <c:pt idx="4">
                    <c:v>2022年</c:v>
                  </c:pt>
                  <c:pt idx="6">
                    <c:v>2023年</c:v>
                  </c:pt>
                  <c:pt idx="8">
                    <c:v>2024年</c:v>
                  </c:pt>
                  <c:pt idx="10">
                    <c:v>2020年</c:v>
                  </c:pt>
                  <c:pt idx="12">
                    <c:v>2021年</c:v>
                  </c:pt>
                  <c:pt idx="14">
                    <c:v>2022年</c:v>
                  </c:pt>
                  <c:pt idx="16">
                    <c:v>2023年</c:v>
                  </c:pt>
                  <c:pt idx="18">
                    <c:v>2024年</c:v>
                  </c:pt>
                </c:lvl>
                <c:lvl>
                  <c:pt idx="0">
                    <c:v>共和县</c:v>
                  </c:pt>
                  <c:pt idx="10">
                    <c:v>兴海县</c:v>
                  </c:pt>
                </c:lvl>
              </c:multiLvlStrCache>
            </c:multiLvlStrRef>
          </c:cat>
          <c:val>
            <c:numRef>
              <c:f>'[统计年鉴-合计-李佳昊.xlsx]Sheet4'!$M$27:$M$46</c:f>
              <c:numCache>
                <c:formatCode>General</c:formatCode>
                <c:ptCount val="20"/>
                <c:pt idx="0">
                  <c:v>0.81100000000000005</c:v>
                </c:pt>
                <c:pt idx="1">
                  <c:v>0.81100000000000005</c:v>
                </c:pt>
                <c:pt idx="2">
                  <c:v>8.4969999999999999</c:v>
                </c:pt>
                <c:pt idx="3">
                  <c:v>2.9039999999999999</c:v>
                </c:pt>
                <c:pt idx="4">
                  <c:v>7.1459999999999999</c:v>
                </c:pt>
                <c:pt idx="5">
                  <c:v>1.9079999999999999</c:v>
                </c:pt>
                <c:pt idx="6">
                  <c:v>7.2169999999999996</c:v>
                </c:pt>
                <c:pt idx="7">
                  <c:v>1.778</c:v>
                </c:pt>
                <c:pt idx="10">
                  <c:v>0.20799999999999999</c:v>
                </c:pt>
                <c:pt idx="11">
                  <c:v>0.20799999999999999</c:v>
                </c:pt>
                <c:pt idx="12">
                  <c:v>0.17399999999999999</c:v>
                </c:pt>
                <c:pt idx="13">
                  <c:v>0.17199999999999999</c:v>
                </c:pt>
                <c:pt idx="14">
                  <c:v>1.7230000000000001</c:v>
                </c:pt>
                <c:pt idx="15">
                  <c:v>0.14799999999999999</c:v>
                </c:pt>
                <c:pt idx="16">
                  <c:v>0.90800000000000003</c:v>
                </c:pt>
                <c:pt idx="17">
                  <c:v>0.23400000000000001</c:v>
                </c:pt>
              </c:numCache>
            </c:numRef>
          </c:val>
          <c:extLst>
            <c:ext xmlns:c16="http://schemas.microsoft.com/office/drawing/2014/chart" uri="{C3380CC4-5D6E-409C-BE32-E72D297353CC}">
              <c16:uniqueId val="{00000000-3549-4648-9E0A-03204A0E0157}"/>
            </c:ext>
          </c:extLst>
        </c:ser>
        <c:ser>
          <c:idx val="1"/>
          <c:order val="1"/>
          <c:tx>
            <c:strRef>
              <c:f>'[统计年鉴-合计-李佳昊.xlsx]Sheet4'!$N$26</c:f>
              <c:strCache>
                <c:ptCount val="1"/>
                <c:pt idx="0">
                  <c:v>氨氮</c:v>
                </c:pt>
              </c:strCache>
            </c:strRef>
          </c:tx>
          <c:spPr>
            <a:solidFill>
              <a:schemeClr val="accent2"/>
            </a:solidFill>
            <a:ln>
              <a:noFill/>
            </a:ln>
            <a:effectLst/>
          </c:spPr>
          <c:invertIfNegative val="0"/>
          <c:cat>
            <c:multiLvlStrRef>
              <c:f>'[统计年鉴-合计-李佳昊.xlsx]Sheet4'!$J$27:$L$46</c:f>
              <c:multiLvlStrCache>
                <c:ptCount val="20"/>
                <c:lvl>
                  <c:pt idx="0">
                    <c:v>合计</c:v>
                  </c:pt>
                  <c:pt idx="1">
                    <c:v>工业排放量</c:v>
                  </c:pt>
                  <c:pt idx="2">
                    <c:v>合计</c:v>
                  </c:pt>
                  <c:pt idx="3">
                    <c:v>工业排放量</c:v>
                  </c:pt>
                  <c:pt idx="4">
                    <c:v>合计</c:v>
                  </c:pt>
                  <c:pt idx="5">
                    <c:v>工业排放量</c:v>
                  </c:pt>
                  <c:pt idx="6">
                    <c:v>合计</c:v>
                  </c:pt>
                  <c:pt idx="7">
                    <c:v>工业排放量</c:v>
                  </c:pt>
                  <c:pt idx="8">
                    <c:v>合计</c:v>
                  </c:pt>
                  <c:pt idx="9">
                    <c:v>工业排放量</c:v>
                  </c:pt>
                  <c:pt idx="10">
                    <c:v>合计</c:v>
                  </c:pt>
                  <c:pt idx="11">
                    <c:v>工业排放量</c:v>
                  </c:pt>
                  <c:pt idx="12">
                    <c:v>合计</c:v>
                  </c:pt>
                  <c:pt idx="13">
                    <c:v>工业排放量</c:v>
                  </c:pt>
                  <c:pt idx="14">
                    <c:v>合计</c:v>
                  </c:pt>
                  <c:pt idx="15">
                    <c:v>工业排放量</c:v>
                  </c:pt>
                  <c:pt idx="16">
                    <c:v>合计</c:v>
                  </c:pt>
                  <c:pt idx="17">
                    <c:v>工业排放量</c:v>
                  </c:pt>
                  <c:pt idx="18">
                    <c:v>合计</c:v>
                  </c:pt>
                  <c:pt idx="19">
                    <c:v>工业排放量</c:v>
                  </c:pt>
                </c:lvl>
                <c:lvl>
                  <c:pt idx="0">
                    <c:v>2020年</c:v>
                  </c:pt>
                  <c:pt idx="2">
                    <c:v>2021年</c:v>
                  </c:pt>
                  <c:pt idx="4">
                    <c:v>2022年</c:v>
                  </c:pt>
                  <c:pt idx="6">
                    <c:v>2023年</c:v>
                  </c:pt>
                  <c:pt idx="8">
                    <c:v>2024年</c:v>
                  </c:pt>
                  <c:pt idx="10">
                    <c:v>2020年</c:v>
                  </c:pt>
                  <c:pt idx="12">
                    <c:v>2021年</c:v>
                  </c:pt>
                  <c:pt idx="14">
                    <c:v>2022年</c:v>
                  </c:pt>
                  <c:pt idx="16">
                    <c:v>2023年</c:v>
                  </c:pt>
                  <c:pt idx="18">
                    <c:v>2024年</c:v>
                  </c:pt>
                </c:lvl>
                <c:lvl>
                  <c:pt idx="0">
                    <c:v>共和县</c:v>
                  </c:pt>
                  <c:pt idx="10">
                    <c:v>兴海县</c:v>
                  </c:pt>
                </c:lvl>
              </c:multiLvlStrCache>
            </c:multiLvlStrRef>
          </c:cat>
          <c:val>
            <c:numRef>
              <c:f>'[统计年鉴-合计-李佳昊.xlsx]Sheet4'!$N$27:$N$46</c:f>
              <c:numCache>
                <c:formatCode>General</c:formatCode>
                <c:ptCount val="20"/>
                <c:pt idx="0">
                  <c:v>0.52100000000000002</c:v>
                </c:pt>
                <c:pt idx="1">
                  <c:v>0.52100000000000002</c:v>
                </c:pt>
                <c:pt idx="2">
                  <c:v>0.93400000000000005</c:v>
                </c:pt>
                <c:pt idx="3">
                  <c:v>0.253</c:v>
                </c:pt>
                <c:pt idx="4">
                  <c:v>0.72099999999999997</c:v>
                </c:pt>
                <c:pt idx="5">
                  <c:v>8.4000000000000005E-2</c:v>
                </c:pt>
                <c:pt idx="6">
                  <c:v>0.751</c:v>
                </c:pt>
                <c:pt idx="7">
                  <c:v>8.3000000000000004E-2</c:v>
                </c:pt>
                <c:pt idx="10">
                  <c:v>2.8000000000000001E-2</c:v>
                </c:pt>
                <c:pt idx="11">
                  <c:v>2.8000000000000001E-2</c:v>
                </c:pt>
                <c:pt idx="12">
                  <c:v>2.3E-2</c:v>
                </c:pt>
                <c:pt idx="13">
                  <c:v>2.3E-2</c:v>
                </c:pt>
                <c:pt idx="14">
                  <c:v>0.20599999999999999</c:v>
                </c:pt>
                <c:pt idx="15">
                  <c:v>1.4E-2</c:v>
                </c:pt>
                <c:pt idx="16">
                  <c:v>0.114</c:v>
                </c:pt>
                <c:pt idx="17">
                  <c:v>2.1999999999999999E-2</c:v>
                </c:pt>
              </c:numCache>
            </c:numRef>
          </c:val>
          <c:extLst>
            <c:ext xmlns:c16="http://schemas.microsoft.com/office/drawing/2014/chart" uri="{C3380CC4-5D6E-409C-BE32-E72D297353CC}">
              <c16:uniqueId val="{00000001-3549-4648-9E0A-03204A0E0157}"/>
            </c:ext>
          </c:extLst>
        </c:ser>
        <c:dLbls>
          <c:showLegendKey val="0"/>
          <c:showVal val="0"/>
          <c:showCatName val="0"/>
          <c:showSerName val="0"/>
          <c:showPercent val="0"/>
          <c:showBubbleSize val="0"/>
        </c:dLbls>
        <c:gapWidth val="246"/>
        <c:overlap val="100"/>
        <c:axId val="599670075"/>
        <c:axId val="592745221"/>
      </c:barChart>
      <c:catAx>
        <c:axId val="599670075"/>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zh-CN"/>
          </a:p>
        </c:txPr>
        <c:crossAx val="592745221"/>
        <c:crosses val="autoZero"/>
        <c:auto val="1"/>
        <c:lblAlgn val="ctr"/>
        <c:lblOffset val="100"/>
        <c:noMultiLvlLbl val="0"/>
      </c:catAx>
      <c:valAx>
        <c:axId val="592745221"/>
        <c:scaling>
          <c:orientation val="minMax"/>
        </c:scaling>
        <c:delete val="0"/>
        <c:axPos val="l"/>
        <c:numFmt formatCode="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zh-CN"/>
          </a:p>
        </c:txPr>
        <c:crossAx val="599670075"/>
        <c:crosses val="autoZero"/>
        <c:crossBetween val="between"/>
      </c:valAx>
      <c:spPr>
        <a:noFill/>
        <a:ln>
          <a:noFill/>
        </a:ln>
        <a:effectLst/>
      </c:spPr>
    </c:plotArea>
    <c:legend>
      <c:legendPos val="b"/>
      <c:legendEntry>
        <c:idx val="0"/>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zh-CN"/>
          </a:p>
        </c:txPr>
      </c:legendEntry>
      <c:legendEntry>
        <c:idx val="1"/>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zh-CN"/>
          </a:p>
        </c:txPr>
      </c:legendEntry>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zh-CN"/>
        </a:p>
      </c:txPr>
    </c:legend>
    <c:plotVisOnly val="1"/>
    <c:dispBlanksAs val="gap"/>
    <c:showDLblsOverMax val="0"/>
    <c:extLst>
      <c:ext uri="{0b15fc19-7d7d-44ad-8c2d-2c3a37ce22c3}">
        <chartProps xmlns="https://web.wps.cn/et/2018/main" chartId="{a9700863-5bc2-4dc1-ad16-78611770a503}"/>
      </c:ext>
    </c:extLst>
  </c:chart>
  <c:spPr>
    <a:solidFill>
      <a:schemeClr val="bg1"/>
    </a:solidFill>
    <a:ln w="9525" cap="flat" cmpd="sng" algn="ctr">
      <a:solidFill>
        <a:schemeClr val="tx1">
          <a:lumMod val="15000"/>
          <a:lumOff val="85000"/>
        </a:schemeClr>
      </a:solidFill>
      <a:round/>
    </a:ln>
    <a:effectLst/>
  </c:spPr>
  <c:txPr>
    <a:bodyPr/>
    <a:lstStyle/>
    <a:p>
      <a:pPr>
        <a:defRPr lang="zh-CN" i="0">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zh-CN"/>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Sheet1!$AA$18</c:f>
              <c:strCache>
                <c:ptCount val="1"/>
                <c:pt idx="0">
                  <c:v>重量%</c:v>
                </c:pt>
              </c:strCache>
            </c:strRef>
          </c:tx>
          <c:spPr>
            <a:solidFill>
              <a:schemeClr val="accent1"/>
            </a:solidFill>
            <a:ln>
              <a:noFill/>
            </a:ln>
            <a:effectLst/>
          </c:spPr>
          <c:invertIfNegative val="0"/>
          <c:cat>
            <c:strRef>
              <c:f>Sheet1!$Z$19:$Z$20</c:f>
              <c:strCache>
                <c:ptCount val="2"/>
                <c:pt idx="0">
                  <c:v>短尾高原鳅</c:v>
                </c:pt>
                <c:pt idx="1">
                  <c:v>茶卡高原鳅</c:v>
                </c:pt>
              </c:strCache>
            </c:strRef>
          </c:cat>
          <c:val>
            <c:numRef>
              <c:f>Sheet1!$AA$19:$AA$20</c:f>
              <c:numCache>
                <c:formatCode>0.00%</c:formatCode>
                <c:ptCount val="2"/>
                <c:pt idx="0">
                  <c:v>0.34575916230366499</c:v>
                </c:pt>
                <c:pt idx="1">
                  <c:v>0.65424083769633501</c:v>
                </c:pt>
              </c:numCache>
            </c:numRef>
          </c:val>
          <c:extLst>
            <c:ext xmlns:c16="http://schemas.microsoft.com/office/drawing/2014/chart" uri="{C3380CC4-5D6E-409C-BE32-E72D297353CC}">
              <c16:uniqueId val="{00000000-340E-4C42-BDB9-0FAD5F65790A}"/>
            </c:ext>
          </c:extLst>
        </c:ser>
        <c:ser>
          <c:idx val="1"/>
          <c:order val="1"/>
          <c:tx>
            <c:strRef>
              <c:f>Sheet1!$AB$18</c:f>
              <c:strCache>
                <c:ptCount val="1"/>
                <c:pt idx="0">
                  <c:v>尾数%</c:v>
                </c:pt>
              </c:strCache>
            </c:strRef>
          </c:tx>
          <c:spPr>
            <a:solidFill>
              <a:schemeClr val="accent2"/>
            </a:solidFill>
            <a:ln>
              <a:noFill/>
            </a:ln>
            <a:effectLst/>
          </c:spPr>
          <c:invertIfNegative val="0"/>
          <c:cat>
            <c:strRef>
              <c:f>Sheet1!$Z$19:$Z$20</c:f>
              <c:strCache>
                <c:ptCount val="2"/>
                <c:pt idx="0">
                  <c:v>短尾高原鳅</c:v>
                </c:pt>
                <c:pt idx="1">
                  <c:v>茶卡高原鳅</c:v>
                </c:pt>
              </c:strCache>
            </c:strRef>
          </c:cat>
          <c:val>
            <c:numRef>
              <c:f>Sheet1!$AB$19:$AB$20</c:f>
              <c:numCache>
                <c:formatCode>0.00%</c:formatCode>
                <c:ptCount val="2"/>
                <c:pt idx="0">
                  <c:v>0.33333333333333298</c:v>
                </c:pt>
                <c:pt idx="1">
                  <c:v>0.66666666666666696</c:v>
                </c:pt>
              </c:numCache>
            </c:numRef>
          </c:val>
          <c:extLst>
            <c:ext xmlns:c16="http://schemas.microsoft.com/office/drawing/2014/chart" uri="{C3380CC4-5D6E-409C-BE32-E72D297353CC}">
              <c16:uniqueId val="{00000001-340E-4C42-BDB9-0FAD5F65790A}"/>
            </c:ext>
          </c:extLst>
        </c:ser>
        <c:dLbls>
          <c:showLegendKey val="0"/>
          <c:showVal val="0"/>
          <c:showCatName val="0"/>
          <c:showSerName val="0"/>
          <c:showPercent val="0"/>
          <c:showBubbleSize val="0"/>
        </c:dLbls>
        <c:gapWidth val="267"/>
        <c:overlap val="-43"/>
        <c:axId val="1499710831"/>
        <c:axId val="1499708431"/>
      </c:barChart>
      <c:catAx>
        <c:axId val="1499710831"/>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lang="zh-CN" sz="900" b="0" i="0" u="none" strike="noStrike" kern="1200" cap="none" spc="0" normalizeH="0" baseline="0">
                <a:solidFill>
                  <a:schemeClr val="dk1">
                    <a:lumMod val="65000"/>
                    <a:lumOff val="35000"/>
                  </a:schemeClr>
                </a:solidFill>
                <a:latin typeface="宋体" panose="02010600030101010101" charset="-122"/>
                <a:ea typeface="宋体" panose="02010600030101010101" charset="-122"/>
                <a:cs typeface="+mn-cs"/>
              </a:defRPr>
            </a:pPr>
            <a:endParaRPr lang="zh-CN"/>
          </a:p>
        </c:txPr>
        <c:crossAx val="1499708431"/>
        <c:crosses val="autoZero"/>
        <c:auto val="1"/>
        <c:lblAlgn val="ctr"/>
        <c:lblOffset val="100"/>
        <c:noMultiLvlLbl val="0"/>
      </c:catAx>
      <c:valAx>
        <c:axId val="1499708431"/>
        <c:scaling>
          <c:orientation val="minMax"/>
        </c:scaling>
        <c:delete val="0"/>
        <c:axPos val="l"/>
        <c:majorGridlines>
          <c:spPr>
            <a:ln w="9525" cap="flat" cmpd="sng" algn="ctr">
              <a:solidFill>
                <a:schemeClr val="dk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dk1">
                    <a:lumMod val="65000"/>
                    <a:lumOff val="35000"/>
                  </a:schemeClr>
                </a:solidFill>
                <a:latin typeface="Times New Roman" panose="02020603050405020304" charset="0"/>
                <a:ea typeface="+mn-ea"/>
                <a:cs typeface="Times New Roman" panose="02020603050405020304" charset="0"/>
              </a:defRPr>
            </a:pPr>
            <a:endParaRPr lang="zh-CN"/>
          </a:p>
        </c:txPr>
        <c:crossAx val="1499710831"/>
        <c:crosses val="autoZero"/>
        <c:crossBetween val="between"/>
      </c:valAx>
      <c:spPr>
        <a:pattFill prst="ltDnDiag">
          <a:fgClr>
            <a:schemeClr val="dk1">
              <a:lumMod val="15000"/>
              <a:lumOff val="85000"/>
            </a:schemeClr>
          </a:fgClr>
          <a:bgClr>
            <a:schemeClr val="lt1"/>
          </a:bgClr>
        </a:pattFill>
        <a:ln>
          <a:noFill/>
        </a:ln>
        <a:effectLst/>
      </c:spPr>
    </c:plotArea>
    <c:legend>
      <c:legendPos val="b"/>
      <c:layout>
        <c:manualLayout>
          <c:xMode val="edge"/>
          <c:yMode val="edge"/>
          <c:x val="0.381534745137666"/>
          <c:y val="0.904722521195642"/>
          <c:w val="0.236930509724669"/>
          <c:h val="7.6092826526180601E-2"/>
        </c:manualLayout>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dk1">
                  <a:lumMod val="65000"/>
                  <a:lumOff val="35000"/>
                </a:schemeClr>
              </a:solidFill>
              <a:latin typeface="Times New Roman" panose="02020603050405020304" charset="0"/>
              <a:ea typeface="宋体" panose="02010600030101010101" charset="-122"/>
              <a:cs typeface="Times New Roman" panose="02020603050405020304" charset="0"/>
            </a:defRPr>
          </a:pPr>
          <a:endParaRPr lang="zh-CN"/>
        </a:p>
      </c:txPr>
    </c:legend>
    <c:plotVisOnly val="1"/>
    <c:dispBlanksAs val="gap"/>
    <c:showDLblsOverMax val="0"/>
    <c:extLst>
      <c:ext uri="{0b15fc19-7d7d-44ad-8c2d-2c3a37ce22c3}">
        <chartProps xmlns="https://web.wps.cn/et/2018/main" chartId="{c4838a49-6a10-4483-846a-b26e1cd7532b}"/>
      </c:ext>
    </c:extLst>
  </c:chart>
  <c:spPr>
    <a:solidFill>
      <a:schemeClr val="lt1"/>
    </a:solidFill>
    <a:ln w="9525" cap="flat" cmpd="sng" algn="ctr">
      <a:solidFill>
        <a:schemeClr val="dk1">
          <a:lumMod val="15000"/>
          <a:lumOff val="85000"/>
        </a:schemeClr>
      </a:solidFill>
      <a:round/>
    </a:ln>
    <a:effectLst/>
  </c:spPr>
  <c:txPr>
    <a:bodyPr/>
    <a:lstStyle/>
    <a:p>
      <a:pPr>
        <a:defRPr lang="zh-CN"/>
      </a:pPr>
      <a:endParaRPr lang="zh-CN"/>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Sheet1!$AA$8</c:f>
              <c:strCache>
                <c:ptCount val="1"/>
                <c:pt idx="0">
                  <c:v>重量%</c:v>
                </c:pt>
              </c:strCache>
            </c:strRef>
          </c:tx>
          <c:spPr>
            <a:solidFill>
              <a:schemeClr val="accent1"/>
            </a:solidFill>
            <a:ln>
              <a:noFill/>
            </a:ln>
            <a:effectLst/>
          </c:spPr>
          <c:invertIfNegative val="0"/>
          <c:cat>
            <c:strRef>
              <c:f>Sheet1!$Z$9:$Z$12</c:f>
              <c:strCache>
                <c:ptCount val="4"/>
                <c:pt idx="0">
                  <c:v>茶卡高原鳅</c:v>
                </c:pt>
                <c:pt idx="1">
                  <c:v>东方高原鳅</c:v>
                </c:pt>
                <c:pt idx="2">
                  <c:v>花斑裸鲤</c:v>
                </c:pt>
                <c:pt idx="3">
                  <c:v>麦穗鱼</c:v>
                </c:pt>
              </c:strCache>
            </c:strRef>
          </c:cat>
          <c:val>
            <c:numRef>
              <c:f>Sheet1!$AA$9:$AA$12</c:f>
              <c:numCache>
                <c:formatCode>0.00%</c:formatCode>
                <c:ptCount val="4"/>
                <c:pt idx="0">
                  <c:v>0.22671171171171201</c:v>
                </c:pt>
                <c:pt idx="1">
                  <c:v>9.5810810810810804E-2</c:v>
                </c:pt>
                <c:pt idx="2">
                  <c:v>0.67139639639639603</c:v>
                </c:pt>
                <c:pt idx="3">
                  <c:v>6.0810810810810797E-3</c:v>
                </c:pt>
              </c:numCache>
            </c:numRef>
          </c:val>
          <c:extLst>
            <c:ext xmlns:c16="http://schemas.microsoft.com/office/drawing/2014/chart" uri="{C3380CC4-5D6E-409C-BE32-E72D297353CC}">
              <c16:uniqueId val="{00000000-D2A4-4958-9003-31B64C5A951D}"/>
            </c:ext>
          </c:extLst>
        </c:ser>
        <c:ser>
          <c:idx val="1"/>
          <c:order val="1"/>
          <c:tx>
            <c:strRef>
              <c:f>Sheet1!$AB$8</c:f>
              <c:strCache>
                <c:ptCount val="1"/>
                <c:pt idx="0">
                  <c:v>尾数%</c:v>
                </c:pt>
              </c:strCache>
            </c:strRef>
          </c:tx>
          <c:spPr>
            <a:solidFill>
              <a:schemeClr val="accent2"/>
            </a:solidFill>
            <a:ln>
              <a:noFill/>
            </a:ln>
            <a:effectLst/>
          </c:spPr>
          <c:invertIfNegative val="0"/>
          <c:cat>
            <c:strRef>
              <c:f>Sheet1!$Z$9:$Z$12</c:f>
              <c:strCache>
                <c:ptCount val="4"/>
                <c:pt idx="0">
                  <c:v>茶卡高原鳅</c:v>
                </c:pt>
                <c:pt idx="1">
                  <c:v>东方高原鳅</c:v>
                </c:pt>
                <c:pt idx="2">
                  <c:v>花斑裸鲤</c:v>
                </c:pt>
                <c:pt idx="3">
                  <c:v>麦穗鱼</c:v>
                </c:pt>
              </c:strCache>
            </c:strRef>
          </c:cat>
          <c:val>
            <c:numRef>
              <c:f>Sheet1!$AB$9:$AB$12</c:f>
              <c:numCache>
                <c:formatCode>0.00%</c:formatCode>
                <c:ptCount val="4"/>
                <c:pt idx="0">
                  <c:v>0.4375</c:v>
                </c:pt>
                <c:pt idx="1">
                  <c:v>0.1875</c:v>
                </c:pt>
                <c:pt idx="2">
                  <c:v>0.359375</c:v>
                </c:pt>
                <c:pt idx="3">
                  <c:v>1.5625E-2</c:v>
                </c:pt>
              </c:numCache>
            </c:numRef>
          </c:val>
          <c:extLst>
            <c:ext xmlns:c16="http://schemas.microsoft.com/office/drawing/2014/chart" uri="{C3380CC4-5D6E-409C-BE32-E72D297353CC}">
              <c16:uniqueId val="{00000001-D2A4-4958-9003-31B64C5A951D}"/>
            </c:ext>
          </c:extLst>
        </c:ser>
        <c:dLbls>
          <c:showLegendKey val="0"/>
          <c:showVal val="0"/>
          <c:showCatName val="0"/>
          <c:showSerName val="0"/>
          <c:showPercent val="0"/>
          <c:showBubbleSize val="0"/>
        </c:dLbls>
        <c:gapWidth val="267"/>
        <c:overlap val="-43"/>
        <c:axId val="1851619904"/>
        <c:axId val="1851614624"/>
      </c:barChart>
      <c:catAx>
        <c:axId val="1851619904"/>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lang="zh-CN" sz="900" b="0" i="0" u="none" strike="noStrike" kern="1200" cap="none" spc="0" normalizeH="0" baseline="0">
                <a:solidFill>
                  <a:schemeClr val="dk1">
                    <a:lumMod val="65000"/>
                    <a:lumOff val="35000"/>
                  </a:schemeClr>
                </a:solidFill>
                <a:latin typeface="Times New Roman" panose="02020603050405020304" charset="0"/>
                <a:ea typeface="宋体" panose="02010600030101010101" charset="-122"/>
                <a:cs typeface="Times New Roman" panose="02020603050405020304" charset="0"/>
              </a:defRPr>
            </a:pPr>
            <a:endParaRPr lang="zh-CN"/>
          </a:p>
        </c:txPr>
        <c:crossAx val="1851614624"/>
        <c:crosses val="autoZero"/>
        <c:auto val="1"/>
        <c:lblAlgn val="ctr"/>
        <c:lblOffset val="100"/>
        <c:noMultiLvlLbl val="0"/>
      </c:catAx>
      <c:valAx>
        <c:axId val="1851614624"/>
        <c:scaling>
          <c:orientation val="minMax"/>
        </c:scaling>
        <c:delete val="0"/>
        <c:axPos val="l"/>
        <c:majorGridlines>
          <c:spPr>
            <a:ln w="9525" cap="flat" cmpd="sng" algn="ctr">
              <a:solidFill>
                <a:schemeClr val="dk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dk1">
                    <a:lumMod val="65000"/>
                    <a:lumOff val="35000"/>
                  </a:schemeClr>
                </a:solidFill>
                <a:latin typeface="Times New Roman" panose="02020603050405020304" charset="0"/>
                <a:ea typeface="+mn-ea"/>
                <a:cs typeface="Times New Roman" panose="02020603050405020304" charset="0"/>
              </a:defRPr>
            </a:pPr>
            <a:endParaRPr lang="zh-CN"/>
          </a:p>
        </c:txPr>
        <c:crossAx val="1851619904"/>
        <c:crosses val="autoZero"/>
        <c:crossBetween val="between"/>
      </c:valAx>
      <c:spPr>
        <a:pattFill prst="ltDnDiag">
          <a:fgClr>
            <a:schemeClr val="dk1">
              <a:lumMod val="15000"/>
              <a:lumOff val="85000"/>
            </a:schemeClr>
          </a:fgClr>
          <a:bgClr>
            <a:schemeClr val="lt1"/>
          </a:bgClr>
        </a:pattFill>
        <a:ln>
          <a:noFill/>
        </a:ln>
        <a:effectLst/>
      </c:spPr>
    </c:plotArea>
    <c:legend>
      <c:legendPos val="b"/>
      <c:layout>
        <c:manualLayout>
          <c:xMode val="edge"/>
          <c:yMode val="edge"/>
          <c:x val="0.38512160979877502"/>
          <c:y val="0.93154108163663996"/>
          <c:w val="0.22975678040245001"/>
          <c:h val="6.8458918363359905E-2"/>
        </c:manualLayout>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dk1">
                  <a:lumMod val="65000"/>
                  <a:lumOff val="35000"/>
                </a:schemeClr>
              </a:solidFill>
              <a:latin typeface="Times New Roman" panose="02020603050405020304" charset="0"/>
              <a:ea typeface="宋体" panose="02010600030101010101" charset="-122"/>
              <a:cs typeface="Times New Roman" panose="02020603050405020304" charset="0"/>
            </a:defRPr>
          </a:pPr>
          <a:endParaRPr lang="zh-CN"/>
        </a:p>
      </c:txPr>
    </c:legend>
    <c:plotVisOnly val="1"/>
    <c:dispBlanksAs val="gap"/>
    <c:showDLblsOverMax val="0"/>
    <c:extLst>
      <c:ext uri="{0b15fc19-7d7d-44ad-8c2d-2c3a37ce22c3}">
        <chartProps xmlns="https://web.wps.cn/et/2018/main" chartId="{d0facfa5-0cab-46c8-a723-b599cde10e85}"/>
      </c:ext>
    </c:extLst>
  </c:chart>
  <c:spPr>
    <a:solidFill>
      <a:schemeClr val="lt1"/>
    </a:solidFill>
    <a:ln w="9525" cap="flat" cmpd="sng" algn="ctr">
      <a:solidFill>
        <a:schemeClr val="dk1">
          <a:lumMod val="15000"/>
          <a:lumOff val="85000"/>
        </a:schemeClr>
      </a:solidFill>
      <a:round/>
    </a:ln>
    <a:effectLst/>
  </c:spPr>
  <c:txPr>
    <a:bodyPr/>
    <a:lstStyle/>
    <a:p>
      <a:pPr>
        <a:defRPr lang="zh-CN"/>
      </a:pPr>
      <a:endParaRPr lang="zh-C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005-4253-8CE9-C86A6639939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005-4253-8CE9-C86A6639939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005-4253-8CE9-C86A6639939C}"/>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8005-4253-8CE9-C86A6639939C}"/>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8005-4253-8CE9-C86A6639939C}"/>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8005-4253-8CE9-C86A6639939C}"/>
              </c:ext>
            </c:extLst>
          </c:dPt>
          <c:dLbls>
            <c:spPr>
              <a:noFill/>
              <a:ln>
                <a:noFill/>
              </a:ln>
              <a:effectLst/>
            </c:spPr>
            <c:txPr>
              <a:bodyPr rot="0" spcFirstLastPara="1" vertOverflow="ellipsis" vert="horz" wrap="square" lIns="38100" tIns="19050" rIns="38100" bIns="19050" anchor="ctr" anchorCtr="1"/>
              <a:lstStyle/>
              <a:p>
                <a:pPr>
                  <a:defRPr lang="zh-CN" sz="900" b="0" i="0" u="none" strike="noStrike" kern="1200" baseline="0">
                    <a:solidFill>
                      <a:schemeClr val="tx1"/>
                    </a:solidFill>
                    <a:latin typeface="Times New Roman" panose="02020603050405020304" charset="0"/>
                    <a:ea typeface="+mn-ea"/>
                    <a:cs typeface="+mn-cs"/>
                  </a:defRPr>
                </a:pPr>
                <a:endParaRPr lang="zh-CN"/>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'[三滩引水浮植.xlsx]切吉河+沙珠玉河'!$A$56:$A$61</c:f>
              <c:strCache>
                <c:ptCount val="6"/>
                <c:pt idx="0">
                  <c:v>硅藻门</c:v>
                </c:pt>
                <c:pt idx="1">
                  <c:v>绿藻门</c:v>
                </c:pt>
                <c:pt idx="2">
                  <c:v>裸藻门</c:v>
                </c:pt>
                <c:pt idx="3">
                  <c:v>蓝藻门</c:v>
                </c:pt>
                <c:pt idx="4">
                  <c:v>甲藻门</c:v>
                </c:pt>
                <c:pt idx="5">
                  <c:v>金藻门</c:v>
                </c:pt>
              </c:strCache>
            </c:strRef>
          </c:cat>
          <c:val>
            <c:numRef>
              <c:f>'[三滩引水浮植.xlsx]切吉河+沙珠玉河'!$B$56:$B$61</c:f>
              <c:numCache>
                <c:formatCode>0.00%</c:formatCode>
                <c:ptCount val="6"/>
                <c:pt idx="0">
                  <c:v>0.83636363636363598</c:v>
                </c:pt>
                <c:pt idx="1">
                  <c:v>1.8181818181818198E-2</c:v>
                </c:pt>
                <c:pt idx="2">
                  <c:v>3.6363636363636397E-2</c:v>
                </c:pt>
                <c:pt idx="3">
                  <c:v>7.2727272727272696E-2</c:v>
                </c:pt>
                <c:pt idx="4">
                  <c:v>1.8181818181818198E-2</c:v>
                </c:pt>
                <c:pt idx="5">
                  <c:v>1.8181818181818198E-2</c:v>
                </c:pt>
              </c:numCache>
            </c:numRef>
          </c:val>
          <c:extLst>
            <c:ext xmlns:c16="http://schemas.microsoft.com/office/drawing/2014/chart" uri="{C3380CC4-5D6E-409C-BE32-E72D297353CC}">
              <c16:uniqueId val="{0000000C-8005-4253-8CE9-C86A6639939C}"/>
            </c:ext>
          </c:extLst>
        </c:ser>
        <c:dLbls>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lang="zh-CN" sz="900" b="0" i="0" u="none" strike="noStrike" kern="1200" baseline="0">
              <a:solidFill>
                <a:schemeClr val="tx1"/>
              </a:solidFill>
              <a:latin typeface="Times New Roman" panose="02020603050405020304" charset="0"/>
              <a:ea typeface="宋体" panose="02010600030101010101" charset="-122"/>
              <a:cs typeface="+mn-cs"/>
            </a:defRPr>
          </a:pPr>
          <a:endParaRPr lang="zh-CN"/>
        </a:p>
      </c:txPr>
    </c:legend>
    <c:plotVisOnly val="1"/>
    <c:dispBlanksAs val="gap"/>
    <c:showDLblsOverMax val="0"/>
    <c:extLst>
      <c:ext uri="{0b15fc19-7d7d-44ad-8c2d-2c3a37ce22c3}">
        <chartProps xmlns="https://web.wps.cn/et/2018/main" chartId="{a578d5c0-3b28-4e53-8c4a-24afaacdfa85}"/>
      </c:ext>
    </c:extLst>
  </c:chart>
  <c:spPr>
    <a:solidFill>
      <a:schemeClr val="bg1"/>
    </a:solidFill>
    <a:ln w="3175" cap="flat" cmpd="sng" algn="ctr">
      <a:solidFill>
        <a:schemeClr val="tx1"/>
      </a:solidFill>
      <a:prstDash val="solid"/>
      <a:round/>
    </a:ln>
    <a:effectLst/>
  </c:spPr>
  <c:txPr>
    <a:bodyPr/>
    <a:lstStyle/>
    <a:p>
      <a:pPr>
        <a:defRPr lang="zh-CN" baseline="0">
          <a:solidFill>
            <a:schemeClr val="tx1"/>
          </a:solidFill>
          <a:latin typeface="Times New Roman" panose="02020603050405020304" charset="0"/>
        </a:defRPr>
      </a:pPr>
      <a:endParaRPr lang="zh-CN"/>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3071741032370999E-2"/>
          <c:y val="0.12962962962963001"/>
          <c:w val="0.85885651793525797"/>
          <c:h val="0.73713619130941999"/>
        </c:manualLayout>
      </c:layout>
      <c:barChart>
        <c:barDir val="col"/>
        <c:grouping val="clustered"/>
        <c:varyColors val="0"/>
        <c:ser>
          <c:idx val="0"/>
          <c:order val="0"/>
          <c:tx>
            <c:strRef>
              <c:f>'[三滩引水浮植.xlsx]切吉河+沙珠玉河'!$L$56</c:f>
              <c:strCache>
                <c:ptCount val="1"/>
                <c:pt idx="0">
                  <c:v>浮游植物密度</c:v>
                </c:pt>
              </c:strCache>
            </c:strRef>
          </c:tx>
          <c:spPr>
            <a:solidFill>
              <a:schemeClr val="accent1"/>
            </a:solidFill>
            <a:ln>
              <a:noFill/>
            </a:ln>
            <a:effectLst/>
          </c:spPr>
          <c:invertIfNegative val="0"/>
          <c:cat>
            <c:strRef>
              <c:f>'[三滩引水浮植.xlsx]切吉河+沙珠玉河'!$K$57:$K$62</c:f>
              <c:strCache>
                <c:ptCount val="6"/>
                <c:pt idx="0">
                  <c:v>切吉水库上游</c:v>
                </c:pt>
                <c:pt idx="1">
                  <c:v>切吉水库</c:v>
                </c:pt>
                <c:pt idx="2">
                  <c:v>切吉水库下游</c:v>
                </c:pt>
                <c:pt idx="3">
                  <c:v>曲黑格木</c:v>
                </c:pt>
                <c:pt idx="4">
                  <c:v>浪娘村桥下</c:v>
                </c:pt>
                <c:pt idx="5">
                  <c:v>沙珠玉河下游</c:v>
                </c:pt>
              </c:strCache>
            </c:strRef>
          </c:cat>
          <c:val>
            <c:numRef>
              <c:f>'[三滩引水浮植.xlsx]切吉河+沙珠玉河'!$L$57:$L$62</c:f>
              <c:numCache>
                <c:formatCode>0.00_ </c:formatCode>
                <c:ptCount val="6"/>
                <c:pt idx="0">
                  <c:v>37.85</c:v>
                </c:pt>
                <c:pt idx="1">
                  <c:v>123.5</c:v>
                </c:pt>
                <c:pt idx="2">
                  <c:v>35.75</c:v>
                </c:pt>
                <c:pt idx="3">
                  <c:v>37.700000000000003</c:v>
                </c:pt>
                <c:pt idx="4">
                  <c:v>25</c:v>
                </c:pt>
                <c:pt idx="5">
                  <c:v>18.25</c:v>
                </c:pt>
              </c:numCache>
            </c:numRef>
          </c:val>
          <c:extLst>
            <c:ext xmlns:c16="http://schemas.microsoft.com/office/drawing/2014/chart" uri="{C3380CC4-5D6E-409C-BE32-E72D297353CC}">
              <c16:uniqueId val="{00000000-CA89-44B7-9678-7BD2138DD338}"/>
            </c:ext>
          </c:extLst>
        </c:ser>
        <c:dLbls>
          <c:showLegendKey val="0"/>
          <c:showVal val="0"/>
          <c:showCatName val="0"/>
          <c:showSerName val="0"/>
          <c:showPercent val="0"/>
          <c:showBubbleSize val="0"/>
        </c:dLbls>
        <c:gapWidth val="219"/>
        <c:overlap val="-27"/>
        <c:axId val="1786363391"/>
        <c:axId val="1786367711"/>
      </c:barChart>
      <c:lineChart>
        <c:grouping val="standard"/>
        <c:varyColors val="0"/>
        <c:ser>
          <c:idx val="1"/>
          <c:order val="1"/>
          <c:tx>
            <c:strRef>
              <c:f>'[三滩引水浮植.xlsx]切吉河+沙珠玉河'!$M$56</c:f>
              <c:strCache>
                <c:ptCount val="1"/>
                <c:pt idx="0">
                  <c:v>浮游植物生物量</c:v>
                </c:pt>
              </c:strCache>
            </c:strRef>
          </c:tx>
          <c:spPr>
            <a:ln w="28575" cap="rnd">
              <a:solidFill>
                <a:schemeClr val="accent2"/>
              </a:solidFill>
              <a:round/>
            </a:ln>
            <a:effectLst/>
          </c:spPr>
          <c:marker>
            <c:symbol val="none"/>
          </c:marker>
          <c:cat>
            <c:strRef>
              <c:f>'[三滩引水浮植.xlsx]切吉河+沙珠玉河'!$K$57:$K$62</c:f>
              <c:strCache>
                <c:ptCount val="6"/>
                <c:pt idx="0">
                  <c:v>切吉水库上游</c:v>
                </c:pt>
                <c:pt idx="1">
                  <c:v>切吉水库</c:v>
                </c:pt>
                <c:pt idx="2">
                  <c:v>切吉水库下游</c:v>
                </c:pt>
                <c:pt idx="3">
                  <c:v>曲黑格木</c:v>
                </c:pt>
                <c:pt idx="4">
                  <c:v>浪娘村桥下</c:v>
                </c:pt>
                <c:pt idx="5">
                  <c:v>沙珠玉河下游</c:v>
                </c:pt>
              </c:strCache>
            </c:strRef>
          </c:cat>
          <c:val>
            <c:numRef>
              <c:f>'[三滩引水浮植.xlsx]切吉河+沙珠玉河'!$M$57:$M$62</c:f>
              <c:numCache>
                <c:formatCode>0.0000_ </c:formatCode>
                <c:ptCount val="6"/>
                <c:pt idx="0">
                  <c:v>1.100225</c:v>
                </c:pt>
                <c:pt idx="1">
                  <c:v>5.1405000000000003</c:v>
                </c:pt>
                <c:pt idx="2">
                  <c:v>1.0660000000000001</c:v>
                </c:pt>
                <c:pt idx="3">
                  <c:v>1.0766249999999999</c:v>
                </c:pt>
                <c:pt idx="4">
                  <c:v>0.64924999999999999</c:v>
                </c:pt>
                <c:pt idx="5">
                  <c:v>0.49525000000000002</c:v>
                </c:pt>
              </c:numCache>
            </c:numRef>
          </c:val>
          <c:smooth val="0"/>
          <c:extLst>
            <c:ext xmlns:c16="http://schemas.microsoft.com/office/drawing/2014/chart" uri="{C3380CC4-5D6E-409C-BE32-E72D297353CC}">
              <c16:uniqueId val="{00000001-CA89-44B7-9678-7BD2138DD338}"/>
            </c:ext>
          </c:extLst>
        </c:ser>
        <c:dLbls>
          <c:showLegendKey val="0"/>
          <c:showVal val="0"/>
          <c:showCatName val="0"/>
          <c:showSerName val="0"/>
          <c:showPercent val="0"/>
          <c:showBubbleSize val="0"/>
        </c:dLbls>
        <c:marker val="1"/>
        <c:smooth val="0"/>
        <c:axId val="1786361951"/>
        <c:axId val="1786364351"/>
      </c:lineChart>
      <c:catAx>
        <c:axId val="1786363391"/>
        <c:scaling>
          <c:orientation val="minMax"/>
        </c:scaling>
        <c:delete val="0"/>
        <c:axPos val="b"/>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zh-CN" sz="900" b="0" i="0" u="none" strike="noStrike" kern="1200" baseline="0">
                <a:solidFill>
                  <a:schemeClr val="tx1"/>
                </a:solidFill>
                <a:latin typeface="+mn-lt"/>
                <a:ea typeface="宋体" panose="02010600030101010101" charset="-122"/>
                <a:cs typeface="+mn-cs"/>
              </a:defRPr>
            </a:pPr>
            <a:endParaRPr lang="zh-CN"/>
          </a:p>
        </c:txPr>
        <c:crossAx val="1786367711"/>
        <c:crosses val="autoZero"/>
        <c:auto val="1"/>
        <c:lblAlgn val="ctr"/>
        <c:lblOffset val="100"/>
        <c:noMultiLvlLbl val="0"/>
      </c:catAx>
      <c:valAx>
        <c:axId val="1786367711"/>
        <c:scaling>
          <c:orientation val="minMax"/>
        </c:scaling>
        <c:delete val="0"/>
        <c:axPos val="l"/>
        <c:numFmt formatCode="0_ "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mn-ea"/>
                <a:cs typeface="+mn-cs"/>
              </a:defRPr>
            </a:pPr>
            <a:endParaRPr lang="zh-CN"/>
          </a:p>
        </c:txPr>
        <c:crossAx val="1786363391"/>
        <c:crosses val="autoZero"/>
        <c:crossBetween val="between"/>
      </c:valAx>
      <c:catAx>
        <c:axId val="1786361951"/>
        <c:scaling>
          <c:orientation val="minMax"/>
        </c:scaling>
        <c:delete val="1"/>
        <c:axPos val="b"/>
        <c:numFmt formatCode="General" sourceLinked="1"/>
        <c:majorTickMark val="out"/>
        <c:minorTickMark val="none"/>
        <c:tickLblPos val="nextTo"/>
        <c:crossAx val="1786364351"/>
        <c:crosses val="autoZero"/>
        <c:auto val="1"/>
        <c:lblAlgn val="ctr"/>
        <c:lblOffset val="100"/>
        <c:noMultiLvlLbl val="0"/>
      </c:catAx>
      <c:valAx>
        <c:axId val="1786364351"/>
        <c:scaling>
          <c:orientation val="minMax"/>
        </c:scaling>
        <c:delete val="0"/>
        <c:axPos val="r"/>
        <c:numFmt formatCode="0_ "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lang="zh-CN" sz="900" b="0" i="0" u="none" strike="noStrike" kern="1200" baseline="0">
                <a:solidFill>
                  <a:schemeClr val="tx1"/>
                </a:solidFill>
                <a:latin typeface="Times New Roman" panose="02020603050405020304" charset="0"/>
                <a:ea typeface="+mn-ea"/>
                <a:cs typeface="+mn-cs"/>
              </a:defRPr>
            </a:pPr>
            <a:endParaRPr lang="zh-CN"/>
          </a:p>
        </c:txPr>
        <c:crossAx val="1786361951"/>
        <c:crosses val="max"/>
        <c:crossBetween val="between"/>
      </c:valAx>
      <c:spPr>
        <a:noFill/>
        <a:ln w="12700" cmpd="sng">
          <a:solidFill>
            <a:schemeClr val="accent1"/>
          </a:solidFill>
          <a:prstDash val="solid"/>
        </a:ln>
        <a:effectLst/>
      </c:spPr>
    </c:plotArea>
    <c:legend>
      <c:legendPos val="b"/>
      <c:layout>
        <c:manualLayout>
          <c:xMode val="edge"/>
          <c:yMode val="edge"/>
          <c:x val="0.32500000000000001"/>
          <c:y val="5.1549285505978398E-2"/>
          <c:w val="0.55000000000000004"/>
          <c:h val="7.3450714494021602E-2"/>
        </c:manualLayout>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solidFill>
              <a:latin typeface="Times New Roman" panose="02020603050405020304" charset="0"/>
              <a:ea typeface="宋体" panose="02010600030101010101" charset="-122"/>
              <a:cs typeface="+mn-cs"/>
            </a:defRPr>
          </a:pPr>
          <a:endParaRPr lang="zh-CN"/>
        </a:p>
      </c:txPr>
    </c:legend>
    <c:plotVisOnly val="1"/>
    <c:dispBlanksAs val="gap"/>
    <c:showDLblsOverMax val="0"/>
    <c:extLst>
      <c:ext uri="{0b15fc19-7d7d-44ad-8c2d-2c3a37ce22c3}">
        <chartProps xmlns="https://web.wps.cn/et/2018/main" chartId="{5c94a0c3-1313-4a99-be9e-6bbcd788e8ae}"/>
      </c:ext>
    </c:extLst>
  </c:chart>
  <c:spPr>
    <a:solidFill>
      <a:schemeClr val="bg1"/>
    </a:solidFill>
    <a:ln w="3175" cap="flat" cmpd="sng" algn="ctr">
      <a:solidFill>
        <a:schemeClr val="tx1"/>
      </a:solidFill>
      <a:round/>
    </a:ln>
    <a:effectLst/>
  </c:spPr>
  <c:txPr>
    <a:bodyPr/>
    <a:lstStyle/>
    <a:p>
      <a:pPr>
        <a:defRPr lang="zh-CN"/>
      </a:pPr>
      <a:endParaRPr lang="zh-CN"/>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627296587926499E-2"/>
          <c:y val="0.134259259259259"/>
          <c:w val="0.86510651793525795"/>
          <c:h val="0.73713619130941999"/>
        </c:manualLayout>
      </c:layout>
      <c:lineChart>
        <c:grouping val="standard"/>
        <c:varyColors val="0"/>
        <c:ser>
          <c:idx val="0"/>
          <c:order val="0"/>
          <c:tx>
            <c:strRef>
              <c:f>'[三滩引水浮植.xlsx]切吉河+沙珠玉河'!$K$81</c:f>
              <c:strCache>
                <c:ptCount val="1"/>
                <c:pt idx="0">
                  <c:v>浮游植物多样性指数(H')</c:v>
                </c:pt>
              </c:strCache>
            </c:strRef>
          </c:tx>
          <c:spPr>
            <a:ln w="28575" cap="rnd">
              <a:solidFill>
                <a:schemeClr val="accent1"/>
              </a:solidFill>
              <a:round/>
            </a:ln>
            <a:effectLst/>
          </c:spPr>
          <c:marker>
            <c:symbol val="none"/>
          </c:marker>
          <c:cat>
            <c:strRef>
              <c:f>'[三滩引水浮植.xlsx]切吉河+沙珠玉河'!$J$82:$J$87</c:f>
              <c:strCache>
                <c:ptCount val="6"/>
                <c:pt idx="0">
                  <c:v>切吉水库上游</c:v>
                </c:pt>
                <c:pt idx="1">
                  <c:v>切吉水库</c:v>
                </c:pt>
                <c:pt idx="2">
                  <c:v>切吉水库下游</c:v>
                </c:pt>
                <c:pt idx="3">
                  <c:v>曲黑格木</c:v>
                </c:pt>
                <c:pt idx="4">
                  <c:v>浪娘村桥下</c:v>
                </c:pt>
                <c:pt idx="5">
                  <c:v>沙珠玉河下游</c:v>
                </c:pt>
              </c:strCache>
            </c:strRef>
          </c:cat>
          <c:val>
            <c:numRef>
              <c:f>'[三滩引水浮植.xlsx]切吉河+沙珠玉河'!$K$82:$K$87</c:f>
              <c:numCache>
                <c:formatCode>0.0000_ </c:formatCode>
                <c:ptCount val="6"/>
                <c:pt idx="0">
                  <c:v>4.1800851288861196</c:v>
                </c:pt>
                <c:pt idx="1">
                  <c:v>3.84526810231264</c:v>
                </c:pt>
                <c:pt idx="2">
                  <c:v>4.0673895255808601</c:v>
                </c:pt>
                <c:pt idx="3">
                  <c:v>3.4678187172784298</c:v>
                </c:pt>
                <c:pt idx="4">
                  <c:v>3.48172240824442</c:v>
                </c:pt>
                <c:pt idx="5">
                  <c:v>3.6587483510555701</c:v>
                </c:pt>
              </c:numCache>
            </c:numRef>
          </c:val>
          <c:smooth val="0"/>
          <c:extLst>
            <c:ext xmlns:c16="http://schemas.microsoft.com/office/drawing/2014/chart" uri="{C3380CC4-5D6E-409C-BE32-E72D297353CC}">
              <c16:uniqueId val="{00000000-2D31-418B-A82B-EB0E909A242F}"/>
            </c:ext>
          </c:extLst>
        </c:ser>
        <c:dLbls>
          <c:showLegendKey val="0"/>
          <c:showVal val="0"/>
          <c:showCatName val="0"/>
          <c:showSerName val="0"/>
          <c:showPercent val="0"/>
          <c:showBubbleSize val="0"/>
        </c:dLbls>
        <c:marker val="1"/>
        <c:smooth val="0"/>
        <c:axId val="1786304831"/>
        <c:axId val="1786300031"/>
      </c:lineChart>
      <c:lineChart>
        <c:grouping val="standard"/>
        <c:varyColors val="0"/>
        <c:ser>
          <c:idx val="1"/>
          <c:order val="1"/>
          <c:tx>
            <c:strRef>
              <c:f>'[三滩引水浮植.xlsx]切吉河+沙珠玉河'!$L$81</c:f>
              <c:strCache>
                <c:ptCount val="1"/>
                <c:pt idx="0">
                  <c:v>浮游植物均匀度指数(J)</c:v>
                </c:pt>
              </c:strCache>
            </c:strRef>
          </c:tx>
          <c:spPr>
            <a:ln w="28575" cap="rnd">
              <a:solidFill>
                <a:schemeClr val="accent2"/>
              </a:solidFill>
              <a:round/>
            </a:ln>
            <a:effectLst/>
          </c:spPr>
          <c:marker>
            <c:symbol val="none"/>
          </c:marker>
          <c:cat>
            <c:strRef>
              <c:f>'[三滩引水浮植.xlsx]切吉河+沙珠玉河'!$J$82:$J$87</c:f>
              <c:strCache>
                <c:ptCount val="6"/>
                <c:pt idx="0">
                  <c:v>切吉水库上游</c:v>
                </c:pt>
                <c:pt idx="1">
                  <c:v>切吉水库</c:v>
                </c:pt>
                <c:pt idx="2">
                  <c:v>切吉水库下游</c:v>
                </c:pt>
                <c:pt idx="3">
                  <c:v>曲黑格木</c:v>
                </c:pt>
                <c:pt idx="4">
                  <c:v>浪娘村桥下</c:v>
                </c:pt>
                <c:pt idx="5">
                  <c:v>沙珠玉河下游</c:v>
                </c:pt>
              </c:strCache>
            </c:strRef>
          </c:cat>
          <c:val>
            <c:numRef>
              <c:f>'[三滩引水浮植.xlsx]切吉河+沙珠玉河'!$L$82:$L$87</c:f>
              <c:numCache>
                <c:formatCode>0.0000_ </c:formatCode>
                <c:ptCount val="6"/>
                <c:pt idx="0">
                  <c:v>0.869518726338807</c:v>
                </c:pt>
                <c:pt idx="1">
                  <c:v>0.74377637997454105</c:v>
                </c:pt>
                <c:pt idx="2">
                  <c:v>0.84607639575735205</c:v>
                </c:pt>
                <c:pt idx="3">
                  <c:v>0.76661240654282503</c:v>
                </c:pt>
                <c:pt idx="4">
                  <c:v>0.80559470953788703</c:v>
                </c:pt>
                <c:pt idx="5">
                  <c:v>0.87741346661872099</c:v>
                </c:pt>
              </c:numCache>
            </c:numRef>
          </c:val>
          <c:smooth val="0"/>
          <c:extLst>
            <c:ext xmlns:c16="http://schemas.microsoft.com/office/drawing/2014/chart" uri="{C3380CC4-5D6E-409C-BE32-E72D297353CC}">
              <c16:uniqueId val="{00000001-2D31-418B-A82B-EB0E909A242F}"/>
            </c:ext>
          </c:extLst>
        </c:ser>
        <c:dLbls>
          <c:showLegendKey val="0"/>
          <c:showVal val="0"/>
          <c:showCatName val="0"/>
          <c:showSerName val="0"/>
          <c:showPercent val="0"/>
          <c:showBubbleSize val="0"/>
        </c:dLbls>
        <c:marker val="1"/>
        <c:smooth val="0"/>
        <c:axId val="1786303871"/>
        <c:axId val="1786294271"/>
      </c:lineChart>
      <c:catAx>
        <c:axId val="1786304831"/>
        <c:scaling>
          <c:orientation val="minMax"/>
        </c:scaling>
        <c:delete val="0"/>
        <c:axPos val="b"/>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宋体" panose="02010600030101010101" charset="-122"/>
                <a:cs typeface="+mn-cs"/>
              </a:defRPr>
            </a:pPr>
            <a:endParaRPr lang="zh-CN"/>
          </a:p>
        </c:txPr>
        <c:crossAx val="1786300031"/>
        <c:crosses val="autoZero"/>
        <c:auto val="1"/>
        <c:lblAlgn val="ctr"/>
        <c:lblOffset val="100"/>
        <c:noMultiLvlLbl val="0"/>
      </c:catAx>
      <c:valAx>
        <c:axId val="1786300031"/>
        <c:scaling>
          <c:orientation val="minMax"/>
          <c:max val="5"/>
          <c:min val="0"/>
        </c:scaling>
        <c:delete val="0"/>
        <c:axPos val="l"/>
        <c:numFmt formatCode="0_ "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lang="zh-CN" sz="900" b="0" i="0" u="none" strike="noStrike" kern="1200" baseline="0">
                <a:solidFill>
                  <a:schemeClr val="tx1"/>
                </a:solidFill>
                <a:latin typeface="Times New Roman" panose="02020603050405020304" charset="0"/>
                <a:ea typeface="+mn-ea"/>
                <a:cs typeface="+mn-cs"/>
              </a:defRPr>
            </a:pPr>
            <a:endParaRPr lang="zh-CN"/>
          </a:p>
        </c:txPr>
        <c:crossAx val="1786304831"/>
        <c:crosses val="autoZero"/>
        <c:crossBetween val="between"/>
        <c:majorUnit val="1"/>
      </c:valAx>
      <c:catAx>
        <c:axId val="1786303871"/>
        <c:scaling>
          <c:orientation val="minMax"/>
        </c:scaling>
        <c:delete val="1"/>
        <c:axPos val="b"/>
        <c:numFmt formatCode="General" sourceLinked="1"/>
        <c:majorTickMark val="out"/>
        <c:minorTickMark val="none"/>
        <c:tickLblPos val="nextTo"/>
        <c:crossAx val="1786294271"/>
        <c:crosses val="autoZero"/>
        <c:auto val="1"/>
        <c:lblAlgn val="ctr"/>
        <c:lblOffset val="100"/>
        <c:noMultiLvlLbl val="0"/>
      </c:catAx>
      <c:valAx>
        <c:axId val="1786294271"/>
        <c:scaling>
          <c:orientation val="minMax"/>
          <c:min val="0"/>
        </c:scaling>
        <c:delete val="0"/>
        <c:axPos val="r"/>
        <c:numFmt formatCode="0.0_ "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lang="zh-CN" sz="900" b="0" i="0" u="none" strike="noStrike" kern="1200" baseline="0">
                <a:solidFill>
                  <a:schemeClr val="tx1"/>
                </a:solidFill>
                <a:latin typeface="Times New Roman" panose="02020603050405020304" charset="0"/>
                <a:ea typeface="+mn-ea"/>
                <a:cs typeface="+mn-cs"/>
              </a:defRPr>
            </a:pPr>
            <a:endParaRPr lang="zh-CN"/>
          </a:p>
        </c:txPr>
        <c:crossAx val="1786303871"/>
        <c:crosses val="max"/>
        <c:crossBetween val="between"/>
        <c:majorUnit val="0.2"/>
      </c:valAx>
      <c:spPr>
        <a:noFill/>
        <a:ln>
          <a:noFill/>
        </a:ln>
        <a:effectLst/>
      </c:spPr>
    </c:plotArea>
    <c:legend>
      <c:legendPos val="b"/>
      <c:layout>
        <c:manualLayout>
          <c:xMode val="edge"/>
          <c:yMode val="edge"/>
          <c:x val="0.12733333333333299"/>
          <c:y val="6.5438174394867293E-2"/>
          <c:w val="0.77866666666666695"/>
          <c:h val="7.3450714494021602E-2"/>
        </c:manualLayout>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solidFill>
              <a:latin typeface="Times New Roman" panose="02020603050405020304" charset="0"/>
              <a:ea typeface="宋体" panose="02010600030101010101" charset="-122"/>
              <a:cs typeface="+mn-cs"/>
            </a:defRPr>
          </a:pPr>
          <a:endParaRPr lang="zh-CN"/>
        </a:p>
      </c:txPr>
    </c:legend>
    <c:plotVisOnly val="1"/>
    <c:dispBlanksAs val="gap"/>
    <c:showDLblsOverMax val="0"/>
    <c:extLst>
      <c:ext uri="{0b15fc19-7d7d-44ad-8c2d-2c3a37ce22c3}">
        <chartProps xmlns="https://web.wps.cn/et/2018/main" chartId="{26e13186-6f13-41da-8ff3-e8deb0ca4315}"/>
      </c:ext>
    </c:extLst>
  </c:chart>
  <c:spPr>
    <a:solidFill>
      <a:schemeClr val="bg1"/>
    </a:solidFill>
    <a:ln w="19050" cap="flat" cmpd="sng" algn="ctr">
      <a:solidFill>
        <a:schemeClr val="tx1"/>
      </a:solidFill>
      <a:round/>
    </a:ln>
    <a:effectLst/>
  </c:spPr>
  <c:txPr>
    <a:bodyPr/>
    <a:lstStyle/>
    <a:p>
      <a:pPr>
        <a:defRPr lang="zh-CN"/>
      </a:pPr>
      <a:endParaRPr lang="zh-CN"/>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solidFill>
                  <a:schemeClr val="bg1"/>
                </a:solidFill>
              </a:ln>
              <a:effectLst/>
            </c:spPr>
            <c:extLst>
              <c:ext xmlns:c16="http://schemas.microsoft.com/office/drawing/2014/chart" uri="{C3380CC4-5D6E-409C-BE32-E72D297353CC}">
                <c16:uniqueId val="{00000001-DAE3-4B0F-A6BF-4D5A74AF2C82}"/>
              </c:ext>
            </c:extLst>
          </c:dPt>
          <c:dPt>
            <c:idx val="1"/>
            <c:bubble3D val="0"/>
            <c:spPr>
              <a:solidFill>
                <a:schemeClr val="accent2"/>
              </a:solidFill>
              <a:ln>
                <a:solidFill>
                  <a:schemeClr val="bg1"/>
                </a:solidFill>
              </a:ln>
              <a:effectLst/>
            </c:spPr>
            <c:extLst>
              <c:ext xmlns:c16="http://schemas.microsoft.com/office/drawing/2014/chart" uri="{C3380CC4-5D6E-409C-BE32-E72D297353CC}">
                <c16:uniqueId val="{00000003-DAE3-4B0F-A6BF-4D5A74AF2C82}"/>
              </c:ext>
            </c:extLst>
          </c:dPt>
          <c:dPt>
            <c:idx val="2"/>
            <c:bubble3D val="0"/>
            <c:spPr>
              <a:solidFill>
                <a:schemeClr val="accent3"/>
              </a:solidFill>
              <a:ln>
                <a:solidFill>
                  <a:schemeClr val="bg1"/>
                </a:solidFill>
              </a:ln>
              <a:effectLst/>
            </c:spPr>
            <c:extLst>
              <c:ext xmlns:c16="http://schemas.microsoft.com/office/drawing/2014/chart" uri="{C3380CC4-5D6E-409C-BE32-E72D297353CC}">
                <c16:uniqueId val="{00000005-DAE3-4B0F-A6BF-4D5A74AF2C82}"/>
              </c:ext>
            </c:extLst>
          </c:dPt>
          <c:dPt>
            <c:idx val="3"/>
            <c:bubble3D val="0"/>
            <c:spPr>
              <a:solidFill>
                <a:schemeClr val="accent4"/>
              </a:solidFill>
              <a:ln>
                <a:solidFill>
                  <a:schemeClr val="bg1"/>
                </a:solidFill>
              </a:ln>
              <a:effectLst/>
            </c:spPr>
            <c:extLst>
              <c:ext xmlns:c16="http://schemas.microsoft.com/office/drawing/2014/chart" uri="{C3380CC4-5D6E-409C-BE32-E72D297353CC}">
                <c16:uniqueId val="{00000007-DAE3-4B0F-A6BF-4D5A74AF2C82}"/>
              </c:ext>
            </c:extLst>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zh-CN"/>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[三滩引水浮物切吉河20251111.xlsx]汇总!$P$6:$P$9</c:f>
              <c:strCache>
                <c:ptCount val="4"/>
                <c:pt idx="0">
                  <c:v>原生动物</c:v>
                </c:pt>
                <c:pt idx="1">
                  <c:v>桡足类</c:v>
                </c:pt>
                <c:pt idx="2">
                  <c:v>轮虫类</c:v>
                </c:pt>
                <c:pt idx="3">
                  <c:v>枝角类</c:v>
                </c:pt>
              </c:strCache>
            </c:strRef>
          </c:cat>
          <c:val>
            <c:numRef>
              <c:f>[三滩引水浮物切吉河20251111.xlsx]汇总!$Q$6:$Q$9</c:f>
              <c:numCache>
                <c:formatCode>0.00%</c:formatCode>
                <c:ptCount val="4"/>
                <c:pt idx="0">
                  <c:v>0.33333333333333298</c:v>
                </c:pt>
                <c:pt idx="1">
                  <c:v>0.33333333333333298</c:v>
                </c:pt>
                <c:pt idx="2">
                  <c:v>0.22222222222222199</c:v>
                </c:pt>
                <c:pt idx="3">
                  <c:v>0.11111111111111099</c:v>
                </c:pt>
              </c:numCache>
            </c:numRef>
          </c:val>
          <c:extLst>
            <c:ext xmlns:c16="http://schemas.microsoft.com/office/drawing/2014/chart" uri="{C3380CC4-5D6E-409C-BE32-E72D297353CC}">
              <c16:uniqueId val="{00000008-DAE3-4B0F-A6BF-4D5A74AF2C82}"/>
            </c:ext>
          </c:extLst>
        </c:ser>
        <c:dLbls>
          <c:showLegendKey val="0"/>
          <c:showVal val="0"/>
          <c:showCatName val="0"/>
          <c:showSerName val="0"/>
          <c:showPercent val="1"/>
          <c:showBubbleSize val="0"/>
          <c:showLeaderLines val="1"/>
        </c:dLbls>
        <c:firstSliceAng val="0"/>
      </c:pieChart>
      <c:spPr>
        <a:noFill/>
        <a:ln>
          <a:noFill/>
        </a:ln>
        <a:effectLst/>
      </c:spPr>
    </c:plotArea>
    <c:legend>
      <c:legendPos val="b"/>
      <c:legendEntry>
        <c:idx val="0"/>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zh-CN"/>
          </a:p>
        </c:txPr>
      </c:legendEntry>
      <c:legendEntry>
        <c:idx val="1"/>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zh-CN"/>
          </a:p>
        </c:txPr>
      </c:legendEntry>
      <c:legendEntry>
        <c:idx val="2"/>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zh-CN"/>
          </a:p>
        </c:txPr>
      </c:legendEntry>
      <c:legendEntry>
        <c:idx val="3"/>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zh-CN"/>
          </a:p>
        </c:txPr>
      </c:legendEntry>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zh-CN"/>
        </a:p>
      </c:txPr>
    </c:legend>
    <c:plotVisOnly val="1"/>
    <c:dispBlanksAs val="gap"/>
    <c:showDLblsOverMax val="0"/>
    <c:extLst>
      <c:ext uri="{0b15fc19-7d7d-44ad-8c2d-2c3a37ce22c3}">
        <chartProps xmlns="https://web.wps.cn/et/2018/main" chartId="{2343df35-5912-46a9-a693-2929d0445fb7}"/>
      </c:ext>
    </c:extLst>
  </c:chart>
  <c:spPr>
    <a:solidFill>
      <a:schemeClr val="bg1"/>
    </a:solidFill>
    <a:ln w="9525" cap="flat" cmpd="sng" algn="ctr">
      <a:solidFill>
        <a:schemeClr val="tx1">
          <a:lumMod val="15000"/>
          <a:lumOff val="85000"/>
        </a:schemeClr>
      </a:solidFill>
      <a:round/>
    </a:ln>
    <a:effectLst/>
  </c:spPr>
  <c:txPr>
    <a:bodyPr/>
    <a:lstStyle/>
    <a:p>
      <a:pPr>
        <a:defRPr lang="zh-CN">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zh-CN"/>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'[三滩引水浮物切吉河20251111.xlsx]切吉河+沙珠玉河'!$C$15</c:f>
              <c:strCache>
                <c:ptCount val="1"/>
                <c:pt idx="0">
                  <c:v>总密度</c:v>
                </c:pt>
              </c:strCache>
            </c:strRef>
          </c:tx>
          <c:spPr>
            <a:solidFill>
              <a:schemeClr val="accent1"/>
            </a:solidFill>
            <a:ln>
              <a:noFill/>
            </a:ln>
            <a:effectLst/>
          </c:spPr>
          <c:invertIfNegative val="0"/>
          <c:cat>
            <c:multiLvlStrRef>
              <c:f>'[三滩引水浮物切吉河20251111.xlsx]切吉河+沙珠玉河'!$A$16:$B$21</c:f>
              <c:multiLvlStrCache>
                <c:ptCount val="6"/>
                <c:lvl>
                  <c:pt idx="0">
                    <c:v>切吉水库上游</c:v>
                  </c:pt>
                  <c:pt idx="1">
                    <c:v>切吉水库</c:v>
                  </c:pt>
                  <c:pt idx="2">
                    <c:v>切吉河下游</c:v>
                  </c:pt>
                  <c:pt idx="3">
                    <c:v>曲黑格木</c:v>
                  </c:pt>
                  <c:pt idx="4">
                    <c:v>浪娘村桥下</c:v>
                  </c:pt>
                  <c:pt idx="5">
                    <c:v>沙珠玉河下游</c:v>
                  </c:pt>
                </c:lvl>
                <c:lvl>
                  <c:pt idx="0">
                    <c:v>切吉河</c:v>
                  </c:pt>
                  <c:pt idx="3">
                    <c:v>沙珠玉河</c:v>
                  </c:pt>
                </c:lvl>
              </c:multiLvlStrCache>
            </c:multiLvlStrRef>
          </c:cat>
          <c:val>
            <c:numRef>
              <c:f>'[三滩引水浮物切吉河20251111.xlsx]切吉河+沙珠玉河'!$C$16:$C$21</c:f>
              <c:numCache>
                <c:formatCode>General</c:formatCode>
                <c:ptCount val="6"/>
                <c:pt idx="0">
                  <c:v>35</c:v>
                </c:pt>
                <c:pt idx="1">
                  <c:v>230</c:v>
                </c:pt>
                <c:pt idx="2">
                  <c:v>15</c:v>
                </c:pt>
                <c:pt idx="3">
                  <c:v>20</c:v>
                </c:pt>
                <c:pt idx="4">
                  <c:v>10</c:v>
                </c:pt>
                <c:pt idx="5">
                  <c:v>5</c:v>
                </c:pt>
              </c:numCache>
            </c:numRef>
          </c:val>
          <c:extLst>
            <c:ext xmlns:c16="http://schemas.microsoft.com/office/drawing/2014/chart" uri="{C3380CC4-5D6E-409C-BE32-E72D297353CC}">
              <c16:uniqueId val="{00000000-4CE7-451F-A7A7-450DCDFFBB70}"/>
            </c:ext>
          </c:extLst>
        </c:ser>
        <c:dLbls>
          <c:showLegendKey val="0"/>
          <c:showVal val="0"/>
          <c:showCatName val="0"/>
          <c:showSerName val="0"/>
          <c:showPercent val="0"/>
          <c:showBubbleSize val="0"/>
        </c:dLbls>
        <c:gapWidth val="219"/>
        <c:overlap val="-27"/>
        <c:axId val="1408394911"/>
        <c:axId val="1408386271"/>
      </c:barChart>
      <c:lineChart>
        <c:grouping val="standard"/>
        <c:varyColors val="0"/>
        <c:ser>
          <c:idx val="1"/>
          <c:order val="1"/>
          <c:tx>
            <c:strRef>
              <c:f>'[三滩引水浮物切吉河20251111.xlsx]切吉河+沙珠玉河'!$D$15</c:f>
              <c:strCache>
                <c:ptCount val="1"/>
                <c:pt idx="0">
                  <c:v>总生物量</c:v>
                </c:pt>
              </c:strCache>
            </c:strRef>
          </c:tx>
          <c:spPr>
            <a:ln w="28575" cap="rnd">
              <a:solidFill>
                <a:schemeClr val="accent2"/>
              </a:solidFill>
              <a:round/>
            </a:ln>
            <a:effectLst/>
          </c:spPr>
          <c:marker>
            <c:symbol val="none"/>
          </c:marker>
          <c:cat>
            <c:multiLvlStrRef>
              <c:f>'[三滩引水浮物切吉河20251111.xlsx]切吉河+沙珠玉河'!$A$16:$B$21</c:f>
              <c:multiLvlStrCache>
                <c:ptCount val="6"/>
                <c:lvl>
                  <c:pt idx="0">
                    <c:v>切吉水库上游</c:v>
                  </c:pt>
                  <c:pt idx="1">
                    <c:v>切吉水库</c:v>
                  </c:pt>
                  <c:pt idx="2">
                    <c:v>切吉河下游</c:v>
                  </c:pt>
                  <c:pt idx="3">
                    <c:v>曲黑格木</c:v>
                  </c:pt>
                  <c:pt idx="4">
                    <c:v>浪娘村桥下</c:v>
                  </c:pt>
                  <c:pt idx="5">
                    <c:v>沙珠玉河下游</c:v>
                  </c:pt>
                </c:lvl>
                <c:lvl>
                  <c:pt idx="0">
                    <c:v>切吉河</c:v>
                  </c:pt>
                  <c:pt idx="3">
                    <c:v>沙珠玉河</c:v>
                  </c:pt>
                </c:lvl>
              </c:multiLvlStrCache>
            </c:multiLvlStrRef>
          </c:cat>
          <c:val>
            <c:numRef>
              <c:f>'[三滩引水浮物切吉河20251111.xlsx]切吉河+沙珠玉河'!$D$16:$D$21</c:f>
              <c:numCache>
                <c:formatCode>General</c:formatCode>
                <c:ptCount val="6"/>
                <c:pt idx="0">
                  <c:v>8.5500000000000003E-3</c:v>
                </c:pt>
                <c:pt idx="1">
                  <c:v>8.8499999999999995E-2</c:v>
                </c:pt>
                <c:pt idx="2">
                  <c:v>2.0300000000000001E-3</c:v>
                </c:pt>
                <c:pt idx="3">
                  <c:v>1E-3</c:v>
                </c:pt>
                <c:pt idx="4">
                  <c:v>2.8999999999999998E-3</c:v>
                </c:pt>
                <c:pt idx="5">
                  <c:v>2.5000000000000001E-4</c:v>
                </c:pt>
              </c:numCache>
            </c:numRef>
          </c:val>
          <c:smooth val="0"/>
          <c:extLst>
            <c:ext xmlns:c16="http://schemas.microsoft.com/office/drawing/2014/chart" uri="{C3380CC4-5D6E-409C-BE32-E72D297353CC}">
              <c16:uniqueId val="{00000001-4CE7-451F-A7A7-450DCDFFBB70}"/>
            </c:ext>
          </c:extLst>
        </c:ser>
        <c:dLbls>
          <c:showLegendKey val="0"/>
          <c:showVal val="0"/>
          <c:showCatName val="0"/>
          <c:showSerName val="0"/>
          <c:showPercent val="0"/>
          <c:showBubbleSize val="0"/>
        </c:dLbls>
        <c:marker val="1"/>
        <c:smooth val="0"/>
        <c:axId val="1408399231"/>
        <c:axId val="1408398751"/>
      </c:lineChart>
      <c:catAx>
        <c:axId val="1408394911"/>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宋体" panose="02010600030101010101" charset="-122"/>
                <a:cs typeface="Times New Roman" panose="02020603050405020304" charset="0"/>
              </a:defRPr>
            </a:pPr>
            <a:endParaRPr lang="zh-CN"/>
          </a:p>
        </c:txPr>
        <c:crossAx val="1408386271"/>
        <c:crosses val="autoZero"/>
        <c:auto val="1"/>
        <c:lblAlgn val="ctr"/>
        <c:lblOffset val="100"/>
        <c:noMultiLvlLbl val="0"/>
      </c:catAx>
      <c:valAx>
        <c:axId val="1408386271"/>
        <c:scaling>
          <c:orientation val="minMax"/>
        </c:scaling>
        <c:delete val="0"/>
        <c:axPos val="l"/>
        <c:title>
          <c:tx>
            <c:rich>
              <a:bodyPr rot="-5400000" spcFirstLastPara="1" vertOverflow="ellipsis" vert="horz" wrap="square" anchor="ctr" anchorCtr="1"/>
              <a:lstStyle/>
              <a:p>
                <a:pPr>
                  <a:defRPr lang="zh-CN" sz="1000" b="0" i="0" u="none" strike="noStrike" kern="1200" baseline="0">
                    <a:solidFill>
                      <a:schemeClr val="tx1">
                        <a:lumMod val="65000"/>
                        <a:lumOff val="35000"/>
                      </a:schemeClr>
                    </a:solidFill>
                    <a:latin typeface="Times New Roman" panose="02020603050405020304" charset="0"/>
                    <a:ea typeface="宋体" panose="02010600030101010101" charset="-122"/>
                    <a:cs typeface="Times New Roman" panose="02020603050405020304" charset="0"/>
                  </a:defRPr>
                </a:pPr>
                <a:r>
                  <a:rPr lang="zh-CN"/>
                  <a:t>密度</a:t>
                </a:r>
                <a:r>
                  <a:rPr lang="en-US"/>
                  <a:t>ind.L</a:t>
                </a:r>
                <a:r>
                  <a:rPr lang="en-US" baseline="30000">
                    <a:solidFill>
                      <a:schemeClr val="tx1">
                        <a:lumMod val="65000"/>
                        <a:lumOff val="35000"/>
                      </a:schemeClr>
                    </a:solidFill>
                    <a:uFillTx/>
                  </a:rPr>
                  <a:t>-1</a:t>
                </a:r>
              </a:p>
            </c:rich>
          </c:tx>
          <c:overlay val="0"/>
          <c:spPr>
            <a:noFill/>
            <a:ln>
              <a:noFill/>
            </a:ln>
            <a:effectLst/>
          </c:spPr>
          <c:txPr>
            <a:bodyPr rot="-5400000" spcFirstLastPara="1" vertOverflow="ellipsis" vert="horz" wrap="square" anchor="ctr" anchorCtr="1"/>
            <a:lstStyle/>
            <a:p>
              <a:pPr>
                <a:defRPr lang="zh-CN" sz="1000" b="0" i="0" u="none" strike="noStrike" kern="1200" baseline="0">
                  <a:solidFill>
                    <a:schemeClr val="tx1">
                      <a:lumMod val="65000"/>
                      <a:lumOff val="35000"/>
                    </a:schemeClr>
                  </a:solidFill>
                  <a:latin typeface="Times New Roman" panose="02020603050405020304" charset="0"/>
                  <a:ea typeface="宋体" panose="02010600030101010101" charset="-122"/>
                  <a:cs typeface="Times New Roman" panose="02020603050405020304" charset="0"/>
                </a:defRPr>
              </a:pPr>
              <a:endParaRPr lang="en-US"/>
            </a:p>
          </c:txPr>
        </c:title>
        <c:numFmt formatCode="General"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宋体" panose="02010600030101010101" charset="-122"/>
                <a:cs typeface="Times New Roman" panose="02020603050405020304" charset="0"/>
              </a:defRPr>
            </a:pPr>
            <a:endParaRPr lang="zh-CN"/>
          </a:p>
        </c:txPr>
        <c:crossAx val="1408394911"/>
        <c:crosses val="autoZero"/>
        <c:crossBetween val="between"/>
      </c:valAx>
      <c:catAx>
        <c:axId val="1408399231"/>
        <c:scaling>
          <c:orientation val="minMax"/>
        </c:scaling>
        <c:delete val="1"/>
        <c:axPos val="b"/>
        <c:numFmt formatCode="General" sourceLinked="1"/>
        <c:majorTickMark val="out"/>
        <c:minorTickMark val="none"/>
        <c:tickLblPos val="nextTo"/>
        <c:crossAx val="1408398751"/>
        <c:crosses val="autoZero"/>
        <c:auto val="1"/>
        <c:lblAlgn val="ctr"/>
        <c:lblOffset val="100"/>
        <c:noMultiLvlLbl val="0"/>
      </c:catAx>
      <c:valAx>
        <c:axId val="1408398751"/>
        <c:scaling>
          <c:orientation val="minMax"/>
        </c:scaling>
        <c:delete val="0"/>
        <c:axPos val="r"/>
        <c:title>
          <c:tx>
            <c:rich>
              <a:bodyPr rot="-5400000" spcFirstLastPara="1" vertOverflow="ellipsis" vert="horz" wrap="square" anchor="ctr" anchorCtr="1"/>
              <a:lstStyle/>
              <a:p>
                <a:pPr>
                  <a:defRPr lang="zh-CN" sz="1000" b="0" i="0" u="none" strike="noStrike" kern="1200" baseline="0">
                    <a:solidFill>
                      <a:schemeClr val="tx1">
                        <a:lumMod val="65000"/>
                        <a:lumOff val="35000"/>
                      </a:schemeClr>
                    </a:solidFill>
                    <a:latin typeface="Times New Roman" panose="02020603050405020304" charset="0"/>
                    <a:ea typeface="宋体" panose="02010600030101010101" charset="-122"/>
                    <a:cs typeface="Times New Roman" panose="02020603050405020304" charset="0"/>
                  </a:defRPr>
                </a:pPr>
                <a:r>
                  <a:rPr lang="zh-CN"/>
                  <a:t>生物量</a:t>
                </a:r>
                <a:r>
                  <a:rPr lang="en-US"/>
                  <a:t>mg.L</a:t>
                </a:r>
                <a:r>
                  <a:rPr lang="en-US" baseline="30000">
                    <a:solidFill>
                      <a:schemeClr val="tx1">
                        <a:lumMod val="65000"/>
                        <a:lumOff val="35000"/>
                      </a:schemeClr>
                    </a:solidFill>
                    <a:uFillTx/>
                  </a:rPr>
                  <a:t>-1</a:t>
                </a:r>
              </a:p>
            </c:rich>
          </c:tx>
          <c:overlay val="0"/>
          <c:spPr>
            <a:noFill/>
            <a:ln>
              <a:noFill/>
            </a:ln>
            <a:effectLst/>
          </c:spPr>
          <c:txPr>
            <a:bodyPr rot="-5400000" spcFirstLastPara="1" vertOverflow="ellipsis" vert="horz" wrap="square" anchor="ctr" anchorCtr="1"/>
            <a:lstStyle/>
            <a:p>
              <a:pPr>
                <a:defRPr lang="zh-CN" sz="1000" b="0" i="0" u="none" strike="noStrike" kern="1200" baseline="0">
                  <a:solidFill>
                    <a:schemeClr val="tx1">
                      <a:lumMod val="65000"/>
                      <a:lumOff val="35000"/>
                    </a:schemeClr>
                  </a:solidFill>
                  <a:latin typeface="Times New Roman" panose="02020603050405020304" charset="0"/>
                  <a:ea typeface="宋体" panose="02010600030101010101" charset="-122"/>
                  <a:cs typeface="Times New Roman" panose="02020603050405020304" charset="0"/>
                </a:defRPr>
              </a:pPr>
              <a:endParaRPr lang="en-US"/>
            </a:p>
          </c:txPr>
        </c:title>
        <c:numFmt formatCode="General"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宋体" panose="02010600030101010101" charset="-122"/>
                <a:cs typeface="Times New Roman" panose="02020603050405020304" charset="0"/>
              </a:defRPr>
            </a:pPr>
            <a:endParaRPr lang="zh-CN"/>
          </a:p>
        </c:txPr>
        <c:crossAx val="1408399231"/>
        <c:crosses val="max"/>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宋体" panose="02010600030101010101" charset="-122"/>
              <a:cs typeface="Times New Roman" panose="02020603050405020304" charset="0"/>
            </a:defRPr>
          </a:pPr>
          <a:endParaRPr lang="zh-CN"/>
        </a:p>
      </c:txPr>
    </c:legend>
    <c:plotVisOnly val="1"/>
    <c:dispBlanksAs val="gap"/>
    <c:showDLblsOverMax val="0"/>
    <c:extLst>
      <c:ext uri="{0b15fc19-7d7d-44ad-8c2d-2c3a37ce22c3}">
        <chartProps xmlns="https://web.wps.cn/et/2018/main" chartId="{7f5034a0-631f-4d32-acbd-fe66d2c4855f}"/>
      </c:ext>
    </c:extLst>
  </c:chart>
  <c:spPr>
    <a:solidFill>
      <a:schemeClr val="bg1"/>
    </a:solidFill>
    <a:ln w="9525" cap="flat" cmpd="sng" algn="ctr">
      <a:solidFill>
        <a:schemeClr val="tx1"/>
      </a:solidFill>
      <a:round/>
    </a:ln>
    <a:effectLst/>
  </c:spPr>
  <c:txPr>
    <a:bodyPr/>
    <a:lstStyle/>
    <a:p>
      <a:pPr>
        <a:defRPr lang="zh-CN">
          <a:latin typeface="Times New Roman" panose="02020603050405020304" charset="0"/>
          <a:ea typeface="宋体" panose="02010600030101010101" charset="-122"/>
          <a:cs typeface="Times New Roman" panose="02020603050405020304" charset="0"/>
        </a:defRPr>
      </a:pPr>
      <a:endParaRPr lang="zh-CN"/>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'[三滩引水浮物切吉河20251111.xlsx]切吉河+沙珠玉河'!$I$16</c:f>
              <c:strCache>
                <c:ptCount val="1"/>
                <c:pt idx="0">
                  <c:v>Shannon-Wiener指数</c:v>
                </c:pt>
              </c:strCache>
            </c:strRef>
          </c:tx>
          <c:spPr>
            <a:ln w="28575" cap="rnd">
              <a:solidFill>
                <a:schemeClr val="accent1"/>
              </a:solidFill>
              <a:round/>
            </a:ln>
            <a:effectLst/>
          </c:spPr>
          <c:marker>
            <c:symbol val="none"/>
          </c:marker>
          <c:cat>
            <c:multiLvlStrRef>
              <c:f>'[三滩引水浮物切吉河20251111.xlsx]切吉河+沙珠玉河'!$G$17:$H$22</c:f>
              <c:multiLvlStrCache>
                <c:ptCount val="6"/>
                <c:lvl>
                  <c:pt idx="0">
                    <c:v>切吉水库上游</c:v>
                  </c:pt>
                  <c:pt idx="1">
                    <c:v>切吉水库</c:v>
                  </c:pt>
                  <c:pt idx="2">
                    <c:v>切吉河下游</c:v>
                  </c:pt>
                  <c:pt idx="3">
                    <c:v>曲黑格木</c:v>
                  </c:pt>
                  <c:pt idx="4">
                    <c:v>浪娘村桥下</c:v>
                  </c:pt>
                  <c:pt idx="5">
                    <c:v>沙珠玉河下游</c:v>
                  </c:pt>
                </c:lvl>
                <c:lvl>
                  <c:pt idx="0">
                    <c:v>切吉河</c:v>
                  </c:pt>
                  <c:pt idx="3">
                    <c:v>沙珠玉河</c:v>
                  </c:pt>
                </c:lvl>
              </c:multiLvlStrCache>
            </c:multiLvlStrRef>
          </c:cat>
          <c:val>
            <c:numRef>
              <c:f>'[三滩引水浮物切吉河20251111.xlsx]切吉河+沙珠玉河'!$I$17:$I$22</c:f>
              <c:numCache>
                <c:formatCode>0.000</c:formatCode>
                <c:ptCount val="6"/>
                <c:pt idx="0">
                  <c:v>1.15374194270109</c:v>
                </c:pt>
                <c:pt idx="1">
                  <c:v>0.83596431299469898</c:v>
                </c:pt>
                <c:pt idx="2">
                  <c:v>0.636514168294813</c:v>
                </c:pt>
                <c:pt idx="3">
                  <c:v>0.56233514461880796</c:v>
                </c:pt>
                <c:pt idx="4">
                  <c:v>0.69314718055994495</c:v>
                </c:pt>
                <c:pt idx="5">
                  <c:v>0</c:v>
                </c:pt>
              </c:numCache>
            </c:numRef>
          </c:val>
          <c:smooth val="0"/>
          <c:extLst>
            <c:ext xmlns:c16="http://schemas.microsoft.com/office/drawing/2014/chart" uri="{C3380CC4-5D6E-409C-BE32-E72D297353CC}">
              <c16:uniqueId val="{00000000-1D4F-43D2-9273-5A9E603B4AE0}"/>
            </c:ext>
          </c:extLst>
        </c:ser>
        <c:dLbls>
          <c:showLegendKey val="0"/>
          <c:showVal val="0"/>
          <c:showCatName val="0"/>
          <c:showSerName val="0"/>
          <c:showPercent val="0"/>
          <c:showBubbleSize val="0"/>
        </c:dLbls>
        <c:marker val="1"/>
        <c:smooth val="0"/>
        <c:axId val="1307522687"/>
        <c:axId val="1307530847"/>
      </c:lineChart>
      <c:lineChart>
        <c:grouping val="standard"/>
        <c:varyColors val="0"/>
        <c:ser>
          <c:idx val="1"/>
          <c:order val="1"/>
          <c:tx>
            <c:strRef>
              <c:f>'[三滩引水浮物切吉河20251111.xlsx]切吉河+沙珠玉河'!$J$16</c:f>
              <c:strCache>
                <c:ptCount val="1"/>
                <c:pt idx="0">
                  <c:v>Pielou 指数</c:v>
                </c:pt>
              </c:strCache>
            </c:strRef>
          </c:tx>
          <c:spPr>
            <a:ln w="28575" cap="rnd">
              <a:solidFill>
                <a:schemeClr val="accent2"/>
              </a:solidFill>
              <a:round/>
            </a:ln>
            <a:effectLst/>
          </c:spPr>
          <c:marker>
            <c:symbol val="none"/>
          </c:marker>
          <c:cat>
            <c:multiLvlStrRef>
              <c:f>'[三滩引水浮物切吉河20251111.xlsx]切吉河+沙珠玉河'!$G$17:$H$22</c:f>
              <c:multiLvlStrCache>
                <c:ptCount val="6"/>
                <c:lvl>
                  <c:pt idx="0">
                    <c:v>切吉水库上游</c:v>
                  </c:pt>
                  <c:pt idx="1">
                    <c:v>切吉水库</c:v>
                  </c:pt>
                  <c:pt idx="2">
                    <c:v>切吉河下游</c:v>
                  </c:pt>
                  <c:pt idx="3">
                    <c:v>曲黑格木</c:v>
                  </c:pt>
                  <c:pt idx="4">
                    <c:v>浪娘村桥下</c:v>
                  </c:pt>
                  <c:pt idx="5">
                    <c:v>沙珠玉河下游</c:v>
                  </c:pt>
                </c:lvl>
                <c:lvl>
                  <c:pt idx="0">
                    <c:v>切吉河</c:v>
                  </c:pt>
                  <c:pt idx="3">
                    <c:v>沙珠玉河</c:v>
                  </c:pt>
                </c:lvl>
              </c:multiLvlStrCache>
            </c:multiLvlStrRef>
          </c:cat>
          <c:val>
            <c:numRef>
              <c:f>'[三滩引水浮物切吉河20251111.xlsx]切吉河+沙珠玉河'!$J$17:$J$22</c:f>
              <c:numCache>
                <c:formatCode>0.000</c:formatCode>
                <c:ptCount val="6"/>
                <c:pt idx="0">
                  <c:v>0.83224888960023102</c:v>
                </c:pt>
                <c:pt idx="1">
                  <c:v>0.60302078435880102</c:v>
                </c:pt>
                <c:pt idx="2">
                  <c:v>0.918295834054489</c:v>
                </c:pt>
                <c:pt idx="3">
                  <c:v>0.81127812445913305</c:v>
                </c:pt>
                <c:pt idx="4">
                  <c:v>1</c:v>
                </c:pt>
                <c:pt idx="5">
                  <c:v>0</c:v>
                </c:pt>
              </c:numCache>
            </c:numRef>
          </c:val>
          <c:smooth val="0"/>
          <c:extLst>
            <c:ext xmlns:c16="http://schemas.microsoft.com/office/drawing/2014/chart" uri="{C3380CC4-5D6E-409C-BE32-E72D297353CC}">
              <c16:uniqueId val="{00000001-1D4F-43D2-9273-5A9E603B4AE0}"/>
            </c:ext>
          </c:extLst>
        </c:ser>
        <c:dLbls>
          <c:showLegendKey val="0"/>
          <c:showVal val="0"/>
          <c:showCatName val="0"/>
          <c:showSerName val="0"/>
          <c:showPercent val="0"/>
          <c:showBubbleSize val="0"/>
        </c:dLbls>
        <c:marker val="1"/>
        <c:smooth val="0"/>
        <c:axId val="1307524127"/>
        <c:axId val="1307529407"/>
      </c:lineChart>
      <c:catAx>
        <c:axId val="1307522687"/>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宋体" panose="02010600030101010101" charset="-122"/>
                <a:cs typeface="Times New Roman" panose="02020603050405020304" charset="0"/>
              </a:defRPr>
            </a:pPr>
            <a:endParaRPr lang="zh-CN"/>
          </a:p>
        </c:txPr>
        <c:crossAx val="1307530847"/>
        <c:crosses val="autoZero"/>
        <c:auto val="1"/>
        <c:lblAlgn val="ctr"/>
        <c:lblOffset val="100"/>
        <c:noMultiLvlLbl val="0"/>
      </c:catAx>
      <c:valAx>
        <c:axId val="1307530847"/>
        <c:scaling>
          <c:orientation val="minMax"/>
        </c:scaling>
        <c:delete val="0"/>
        <c:axPos val="l"/>
        <c:title>
          <c:tx>
            <c:rich>
              <a:bodyPr rot="-5400000" spcFirstLastPara="1" vertOverflow="ellipsis" vert="horz" wrap="square" anchor="ctr" anchorCtr="1"/>
              <a:lstStyle/>
              <a:p>
                <a:pPr>
                  <a:defRPr lang="zh-CN" sz="1000" b="0" i="0" u="none" strike="noStrike" kern="1200" baseline="0">
                    <a:solidFill>
                      <a:schemeClr val="tx1">
                        <a:lumMod val="65000"/>
                        <a:lumOff val="35000"/>
                      </a:schemeClr>
                    </a:solidFill>
                    <a:latin typeface="Times New Roman" panose="02020603050405020304" charset="0"/>
                    <a:ea typeface="宋体" panose="02010600030101010101" charset="-122"/>
                    <a:cs typeface="Times New Roman" panose="02020603050405020304" charset="0"/>
                  </a:defRPr>
                </a:pPr>
                <a:r>
                  <a:rPr lang="en-US"/>
                  <a:t>Shannon-Wiener</a:t>
                </a:r>
                <a:r>
                  <a:rPr lang="zh-CN"/>
                  <a:t>指数</a:t>
                </a:r>
              </a:p>
            </c:rich>
          </c:tx>
          <c:overlay val="0"/>
          <c:spPr>
            <a:noFill/>
            <a:ln>
              <a:noFill/>
            </a:ln>
            <a:effectLst/>
          </c:spPr>
          <c:txPr>
            <a:bodyPr rot="-5400000" spcFirstLastPara="1" vertOverflow="ellipsis" vert="horz" wrap="square" anchor="ctr" anchorCtr="1"/>
            <a:lstStyle/>
            <a:p>
              <a:pPr>
                <a:defRPr lang="zh-CN" sz="1000" b="0" i="0" u="none" strike="noStrike" kern="1200" baseline="0">
                  <a:solidFill>
                    <a:schemeClr val="tx1">
                      <a:lumMod val="65000"/>
                      <a:lumOff val="35000"/>
                    </a:schemeClr>
                  </a:solidFill>
                  <a:latin typeface="Times New Roman" panose="02020603050405020304" charset="0"/>
                  <a:ea typeface="宋体" panose="02010600030101010101" charset="-122"/>
                  <a:cs typeface="Times New Roman" panose="02020603050405020304" charset="0"/>
                </a:defRPr>
              </a:pPr>
              <a:endParaRPr lang="zh-CN"/>
            </a:p>
          </c:txPr>
        </c:title>
        <c:numFmt formatCode="General"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宋体" panose="02010600030101010101" charset="-122"/>
                <a:cs typeface="Times New Roman" panose="02020603050405020304" charset="0"/>
              </a:defRPr>
            </a:pPr>
            <a:endParaRPr lang="zh-CN"/>
          </a:p>
        </c:txPr>
        <c:crossAx val="1307522687"/>
        <c:crosses val="autoZero"/>
        <c:crossBetween val="between"/>
      </c:valAx>
      <c:catAx>
        <c:axId val="1307524127"/>
        <c:scaling>
          <c:orientation val="minMax"/>
        </c:scaling>
        <c:delete val="1"/>
        <c:axPos val="b"/>
        <c:numFmt formatCode="General" sourceLinked="1"/>
        <c:majorTickMark val="out"/>
        <c:minorTickMark val="none"/>
        <c:tickLblPos val="nextTo"/>
        <c:crossAx val="1307529407"/>
        <c:crosses val="autoZero"/>
        <c:auto val="1"/>
        <c:lblAlgn val="ctr"/>
        <c:lblOffset val="100"/>
        <c:noMultiLvlLbl val="0"/>
      </c:catAx>
      <c:valAx>
        <c:axId val="1307529407"/>
        <c:scaling>
          <c:orientation val="minMax"/>
        </c:scaling>
        <c:delete val="0"/>
        <c:axPos val="r"/>
        <c:title>
          <c:tx>
            <c:rich>
              <a:bodyPr rot="-5400000" spcFirstLastPara="1" vertOverflow="ellipsis" vert="horz" wrap="square" anchor="ctr" anchorCtr="1"/>
              <a:lstStyle/>
              <a:p>
                <a:pPr>
                  <a:defRPr lang="zh-CN" sz="1000" b="0" i="0" u="none" strike="noStrike" kern="1200" baseline="0">
                    <a:solidFill>
                      <a:schemeClr val="tx1">
                        <a:lumMod val="65000"/>
                        <a:lumOff val="35000"/>
                      </a:schemeClr>
                    </a:solidFill>
                    <a:latin typeface="Times New Roman" panose="02020603050405020304" charset="0"/>
                    <a:ea typeface="宋体" panose="02010600030101010101" charset="-122"/>
                    <a:cs typeface="Times New Roman" panose="02020603050405020304" charset="0"/>
                  </a:defRPr>
                </a:pPr>
                <a:r>
                  <a:rPr lang="en-US"/>
                  <a:t>Pielou</a:t>
                </a:r>
                <a:r>
                  <a:rPr lang="zh-CN"/>
                  <a:t>指数</a:t>
                </a:r>
              </a:p>
            </c:rich>
          </c:tx>
          <c:overlay val="0"/>
          <c:spPr>
            <a:noFill/>
            <a:ln>
              <a:noFill/>
            </a:ln>
            <a:effectLst/>
          </c:spPr>
          <c:txPr>
            <a:bodyPr rot="-5400000" spcFirstLastPara="1" vertOverflow="ellipsis" vert="horz" wrap="square" anchor="ctr" anchorCtr="1"/>
            <a:lstStyle/>
            <a:p>
              <a:pPr>
                <a:defRPr lang="zh-CN" sz="1000" b="0" i="0" u="none" strike="noStrike" kern="1200" baseline="0">
                  <a:solidFill>
                    <a:schemeClr val="tx1">
                      <a:lumMod val="65000"/>
                      <a:lumOff val="35000"/>
                    </a:schemeClr>
                  </a:solidFill>
                  <a:latin typeface="Times New Roman" panose="02020603050405020304" charset="0"/>
                  <a:ea typeface="宋体" panose="02010600030101010101" charset="-122"/>
                  <a:cs typeface="Times New Roman" panose="02020603050405020304" charset="0"/>
                </a:defRPr>
              </a:pPr>
              <a:endParaRPr lang="zh-CN"/>
            </a:p>
          </c:txPr>
        </c:title>
        <c:numFmt formatCode="General"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宋体" panose="02010600030101010101" charset="-122"/>
                <a:cs typeface="Times New Roman" panose="02020603050405020304" charset="0"/>
              </a:defRPr>
            </a:pPr>
            <a:endParaRPr lang="zh-CN"/>
          </a:p>
        </c:txPr>
        <c:crossAx val="1307524127"/>
        <c:crosses val="max"/>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宋体" panose="02010600030101010101" charset="-122"/>
              <a:cs typeface="Times New Roman" panose="02020603050405020304" charset="0"/>
            </a:defRPr>
          </a:pPr>
          <a:endParaRPr lang="zh-CN"/>
        </a:p>
      </c:txPr>
    </c:legend>
    <c:plotVisOnly val="1"/>
    <c:dispBlanksAs val="gap"/>
    <c:showDLblsOverMax val="0"/>
    <c:extLst>
      <c:ext uri="{0b15fc19-7d7d-44ad-8c2d-2c3a37ce22c3}">
        <chartProps xmlns="https://web.wps.cn/et/2018/main" chartId="{6c756b5b-260c-4b05-92a5-336bf9d05ef0}"/>
      </c:ext>
    </c:extLst>
  </c:chart>
  <c:spPr>
    <a:solidFill>
      <a:schemeClr val="bg1"/>
    </a:solidFill>
    <a:ln w="19050" cap="flat" cmpd="sng" algn="ctr">
      <a:solidFill>
        <a:sysClr val="windowText" lastClr="000000"/>
      </a:solidFill>
      <a:round/>
    </a:ln>
    <a:effectLst/>
  </c:spPr>
  <c:txPr>
    <a:bodyPr/>
    <a:lstStyle/>
    <a:p>
      <a:pPr>
        <a:defRPr lang="zh-CN">
          <a:latin typeface="Times New Roman" panose="02020603050405020304" charset="0"/>
          <a:ea typeface="宋体" panose="02010600030101010101" charset="-122"/>
          <a:cs typeface="Times New Roman" panose="02020603050405020304" charset="0"/>
        </a:defRPr>
      </a:pPr>
      <a:endParaRPr lang="zh-CN"/>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solidFill>
                  <a:schemeClr val="bg1"/>
                </a:solidFill>
              </a:ln>
              <a:effectLst/>
            </c:spPr>
            <c:extLst>
              <c:ext xmlns:c16="http://schemas.microsoft.com/office/drawing/2014/chart" uri="{C3380CC4-5D6E-409C-BE32-E72D297353CC}">
                <c16:uniqueId val="{00000001-B110-4CFC-AA4B-E99001D1B2E4}"/>
              </c:ext>
            </c:extLst>
          </c:dPt>
          <c:dPt>
            <c:idx val="1"/>
            <c:bubble3D val="0"/>
            <c:spPr>
              <a:solidFill>
                <a:schemeClr val="accent2"/>
              </a:solidFill>
              <a:ln>
                <a:solidFill>
                  <a:schemeClr val="bg1"/>
                </a:solidFill>
              </a:ln>
              <a:effectLst/>
            </c:spPr>
            <c:extLst>
              <c:ext xmlns:c16="http://schemas.microsoft.com/office/drawing/2014/chart" uri="{C3380CC4-5D6E-409C-BE32-E72D297353CC}">
                <c16:uniqueId val="{00000003-B110-4CFC-AA4B-E99001D1B2E4}"/>
              </c:ext>
            </c:extLst>
          </c:dPt>
          <c:dPt>
            <c:idx val="2"/>
            <c:bubble3D val="0"/>
            <c:spPr>
              <a:solidFill>
                <a:schemeClr val="accent3"/>
              </a:solidFill>
              <a:ln>
                <a:solidFill>
                  <a:schemeClr val="bg1"/>
                </a:solidFill>
              </a:ln>
              <a:effectLst/>
            </c:spPr>
            <c:extLst>
              <c:ext xmlns:c16="http://schemas.microsoft.com/office/drawing/2014/chart" uri="{C3380CC4-5D6E-409C-BE32-E72D297353CC}">
                <c16:uniqueId val="{00000005-B110-4CFC-AA4B-E99001D1B2E4}"/>
              </c:ext>
            </c:extLst>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zh-CN"/>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'[底栖.xlsx]切吉河+沙珠玉河'!$M$10:$M$12</c:f>
              <c:strCache>
                <c:ptCount val="3"/>
                <c:pt idx="0">
                  <c:v>昆虫纲</c:v>
                </c:pt>
                <c:pt idx="1">
                  <c:v>腹足纲</c:v>
                </c:pt>
                <c:pt idx="2">
                  <c:v>软甲纲</c:v>
                </c:pt>
              </c:strCache>
            </c:strRef>
          </c:cat>
          <c:val>
            <c:numRef>
              <c:f>'[底栖.xlsx]切吉河+沙珠玉河'!$N$10:$N$12</c:f>
              <c:numCache>
                <c:formatCode>0.00%</c:formatCode>
                <c:ptCount val="3"/>
                <c:pt idx="0">
                  <c:v>0.72727272727272696</c:v>
                </c:pt>
                <c:pt idx="1">
                  <c:v>0.18181818181818199</c:v>
                </c:pt>
                <c:pt idx="2">
                  <c:v>9.0909090909090898E-2</c:v>
                </c:pt>
              </c:numCache>
            </c:numRef>
          </c:val>
          <c:extLst>
            <c:ext xmlns:c16="http://schemas.microsoft.com/office/drawing/2014/chart" uri="{C3380CC4-5D6E-409C-BE32-E72D297353CC}">
              <c16:uniqueId val="{00000006-B110-4CFC-AA4B-E99001D1B2E4}"/>
            </c:ext>
          </c:extLst>
        </c:ser>
        <c:dLbls>
          <c:showLegendKey val="0"/>
          <c:showVal val="0"/>
          <c:showCatName val="0"/>
          <c:showSerName val="0"/>
          <c:showPercent val="1"/>
          <c:showBubbleSize val="0"/>
          <c:showLeaderLines val="1"/>
        </c:dLbls>
        <c:firstSliceAng val="0"/>
      </c:pieChart>
      <c:spPr>
        <a:noFill/>
        <a:ln>
          <a:noFill/>
        </a:ln>
        <a:effectLst/>
      </c:spPr>
    </c:plotArea>
    <c:legend>
      <c:legendPos val="b"/>
      <c:legendEntry>
        <c:idx val="0"/>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zh-CN"/>
          </a:p>
        </c:txPr>
      </c:legendEntry>
      <c:legendEntry>
        <c:idx val="1"/>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zh-CN"/>
          </a:p>
        </c:txPr>
      </c:legendEntry>
      <c:legendEntry>
        <c:idx val="2"/>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zh-CN"/>
          </a:p>
        </c:txPr>
      </c:legendEntry>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zh-CN"/>
        </a:p>
      </c:txPr>
    </c:legend>
    <c:plotVisOnly val="1"/>
    <c:dispBlanksAs val="gap"/>
    <c:showDLblsOverMax val="0"/>
    <c:extLst>
      <c:ext uri="{0b15fc19-7d7d-44ad-8c2d-2c3a37ce22c3}">
        <chartProps xmlns="https://web.wps.cn/et/2018/main" chartId="{ee0a551f-d78a-4bdb-b603-11e4537f75c6}"/>
      </c:ext>
    </c:extLst>
  </c:chart>
  <c:spPr>
    <a:solidFill>
      <a:schemeClr val="bg1"/>
    </a:solidFill>
    <a:ln w="9525" cap="flat" cmpd="sng" algn="ctr">
      <a:solidFill>
        <a:schemeClr val="tx1">
          <a:lumMod val="15000"/>
          <a:lumOff val="85000"/>
        </a:schemeClr>
      </a:solidFill>
      <a:round/>
    </a:ln>
    <a:effectLst/>
  </c:spPr>
  <c:txPr>
    <a:bodyPr/>
    <a:lstStyle/>
    <a:p>
      <a:pPr>
        <a:defRPr lang="zh-CN">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zh-CN"/>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'[底栖.xlsx]切吉河+沙珠玉河'!$F$15</c:f>
              <c:strCache>
                <c:ptCount val="1"/>
                <c:pt idx="0">
                  <c:v>密度</c:v>
                </c:pt>
              </c:strCache>
            </c:strRef>
          </c:tx>
          <c:spPr>
            <a:solidFill>
              <a:srgbClr val="0070C0"/>
            </a:solidFill>
            <a:ln>
              <a:noFill/>
            </a:ln>
            <a:effectLst/>
          </c:spPr>
          <c:invertIfNegative val="0"/>
          <c:cat>
            <c:strRef>
              <c:f>'[底栖.xlsx]切吉河+沙珠玉河'!$E$16:$E$21</c:f>
              <c:strCache>
                <c:ptCount val="6"/>
                <c:pt idx="0">
                  <c:v>切吉水库上游</c:v>
                </c:pt>
                <c:pt idx="1">
                  <c:v>切吉水库</c:v>
                </c:pt>
                <c:pt idx="2">
                  <c:v>切吉河下游</c:v>
                </c:pt>
                <c:pt idx="3">
                  <c:v>曲黑格木</c:v>
                </c:pt>
                <c:pt idx="4">
                  <c:v>浪娘村桥下</c:v>
                </c:pt>
                <c:pt idx="5">
                  <c:v>沙珠玉河下游</c:v>
                </c:pt>
              </c:strCache>
            </c:strRef>
          </c:cat>
          <c:val>
            <c:numRef>
              <c:f>'[底栖.xlsx]切吉河+沙珠玉河'!$F$16:$F$21</c:f>
              <c:numCache>
                <c:formatCode>0.00</c:formatCode>
                <c:ptCount val="6"/>
                <c:pt idx="0">
                  <c:v>78</c:v>
                </c:pt>
                <c:pt idx="1">
                  <c:v>10</c:v>
                </c:pt>
                <c:pt idx="2">
                  <c:v>8</c:v>
                </c:pt>
                <c:pt idx="3">
                  <c:v>122</c:v>
                </c:pt>
                <c:pt idx="4">
                  <c:v>90</c:v>
                </c:pt>
                <c:pt idx="5">
                  <c:v>34</c:v>
                </c:pt>
              </c:numCache>
            </c:numRef>
          </c:val>
          <c:extLst>
            <c:ext xmlns:c16="http://schemas.microsoft.com/office/drawing/2014/chart" uri="{C3380CC4-5D6E-409C-BE32-E72D297353CC}">
              <c16:uniqueId val="{00000000-9654-4208-9090-7E727A9918D8}"/>
            </c:ext>
          </c:extLst>
        </c:ser>
        <c:dLbls>
          <c:showLegendKey val="0"/>
          <c:showVal val="0"/>
          <c:showCatName val="0"/>
          <c:showSerName val="0"/>
          <c:showPercent val="0"/>
          <c:showBubbleSize val="0"/>
        </c:dLbls>
        <c:gapWidth val="219"/>
        <c:overlap val="-27"/>
        <c:axId val="945963584"/>
        <c:axId val="945965984"/>
      </c:barChart>
      <c:lineChart>
        <c:grouping val="standard"/>
        <c:varyColors val="0"/>
        <c:ser>
          <c:idx val="1"/>
          <c:order val="1"/>
          <c:tx>
            <c:strRef>
              <c:f>'[底栖.xlsx]切吉河+沙珠玉河'!$G$15</c:f>
              <c:strCache>
                <c:ptCount val="1"/>
                <c:pt idx="0">
                  <c:v>生物量</c:v>
                </c:pt>
              </c:strCache>
            </c:strRef>
          </c:tx>
          <c:spPr>
            <a:ln w="28575" cap="rnd">
              <a:solidFill>
                <a:srgbClr val="C00000"/>
              </a:solidFill>
              <a:round/>
            </a:ln>
            <a:effectLst/>
          </c:spPr>
          <c:marker>
            <c:symbol val="none"/>
          </c:marker>
          <c:cat>
            <c:strRef>
              <c:f>'[底栖.xlsx]切吉河+沙珠玉河'!$E$16:$E$21</c:f>
              <c:strCache>
                <c:ptCount val="6"/>
                <c:pt idx="0">
                  <c:v>切吉水库上游</c:v>
                </c:pt>
                <c:pt idx="1">
                  <c:v>切吉水库</c:v>
                </c:pt>
                <c:pt idx="2">
                  <c:v>切吉河下游</c:v>
                </c:pt>
                <c:pt idx="3">
                  <c:v>曲黑格木</c:v>
                </c:pt>
                <c:pt idx="4">
                  <c:v>浪娘村桥下</c:v>
                </c:pt>
                <c:pt idx="5">
                  <c:v>沙珠玉河下游</c:v>
                </c:pt>
              </c:strCache>
            </c:strRef>
          </c:cat>
          <c:val>
            <c:numRef>
              <c:f>'[底栖.xlsx]切吉河+沙珠玉河'!$G$16:$G$21</c:f>
              <c:numCache>
                <c:formatCode>0.0000</c:formatCode>
                <c:ptCount val="6"/>
                <c:pt idx="0">
                  <c:v>1.129</c:v>
                </c:pt>
                <c:pt idx="1">
                  <c:v>0.1116</c:v>
                </c:pt>
                <c:pt idx="2">
                  <c:v>3.6799999999999999E-2</c:v>
                </c:pt>
                <c:pt idx="3">
                  <c:v>2.0030000000000001</c:v>
                </c:pt>
                <c:pt idx="4">
                  <c:v>0.86499999999999999</c:v>
                </c:pt>
                <c:pt idx="5">
                  <c:v>0.2452</c:v>
                </c:pt>
              </c:numCache>
            </c:numRef>
          </c:val>
          <c:smooth val="0"/>
          <c:extLst>
            <c:ext xmlns:c16="http://schemas.microsoft.com/office/drawing/2014/chart" uri="{C3380CC4-5D6E-409C-BE32-E72D297353CC}">
              <c16:uniqueId val="{00000001-9654-4208-9090-7E727A9918D8}"/>
            </c:ext>
          </c:extLst>
        </c:ser>
        <c:dLbls>
          <c:showLegendKey val="0"/>
          <c:showVal val="0"/>
          <c:showCatName val="0"/>
          <c:showSerName val="0"/>
          <c:showPercent val="0"/>
          <c:showBubbleSize val="0"/>
        </c:dLbls>
        <c:marker val="1"/>
        <c:smooth val="0"/>
        <c:axId val="1031769312"/>
        <c:axId val="1031773152"/>
      </c:lineChart>
      <c:catAx>
        <c:axId val="1031769312"/>
        <c:scaling>
          <c:orientation val="minMax"/>
        </c:scaling>
        <c:delete val="0"/>
        <c:axPos val="b"/>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宋体" panose="02010600030101010101" charset="-122"/>
                <a:cs typeface="Times New Roman" panose="02020603050405020304" charset="0"/>
              </a:defRPr>
            </a:pPr>
            <a:endParaRPr lang="zh-CN"/>
          </a:p>
        </c:txPr>
        <c:crossAx val="1031773152"/>
        <c:crosses val="autoZero"/>
        <c:auto val="1"/>
        <c:lblAlgn val="ctr"/>
        <c:lblOffset val="100"/>
        <c:noMultiLvlLbl val="0"/>
      </c:catAx>
      <c:valAx>
        <c:axId val="1031773152"/>
        <c:scaling>
          <c:orientation val="minMax"/>
        </c:scaling>
        <c:delete val="0"/>
        <c:axPos val="l"/>
        <c:title>
          <c:tx>
            <c:rich>
              <a:bodyPr rot="-5400000" spcFirstLastPara="1"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宋体" panose="02010600030101010101" charset="-122"/>
                    <a:cs typeface="Times New Roman" panose="02020603050405020304" charset="0"/>
                  </a:defRPr>
                </a:pPr>
                <a:r>
                  <a:rPr lang="zh-CN" sz="900"/>
                  <a:t>生物量</a:t>
                </a:r>
                <a:r>
                  <a:rPr lang="en-US" sz="900"/>
                  <a:t>(g/m</a:t>
                </a:r>
                <a:r>
                  <a:rPr lang="en-US" sz="900" baseline="30000"/>
                  <a:t>2</a:t>
                </a:r>
                <a:r>
                  <a:rPr lang="en-US" sz="900"/>
                  <a:t>)</a:t>
                </a:r>
                <a:endParaRPr lang="zh-CN" sz="900"/>
              </a:p>
            </c:rich>
          </c:tx>
          <c:layout>
            <c:manualLayout>
              <c:xMode val="edge"/>
              <c:yMode val="edge"/>
              <c:x val="1.94444444444444E-2"/>
              <c:y val="0.291033829104695"/>
            </c:manualLayout>
          </c:layout>
          <c:overlay val="0"/>
          <c:spPr>
            <a:noFill/>
            <a:ln>
              <a:noFill/>
            </a:ln>
            <a:effectLst/>
          </c:spPr>
          <c:txPr>
            <a:bodyPr rot="-5400000" spcFirstLastPara="1"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宋体" panose="02010600030101010101" charset="-122"/>
                  <a:cs typeface="Times New Roman" panose="02020603050405020304" charset="0"/>
                </a:defRPr>
              </a:pPr>
              <a:endParaRPr lang="zh-CN"/>
            </a:p>
          </c:txPr>
        </c:title>
        <c:numFmt formatCode="0.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宋体" panose="02010600030101010101" charset="-122"/>
                <a:cs typeface="Times New Roman" panose="02020603050405020304" charset="0"/>
              </a:defRPr>
            </a:pPr>
            <a:endParaRPr lang="zh-CN"/>
          </a:p>
        </c:txPr>
        <c:crossAx val="1031769312"/>
        <c:crosses val="autoZero"/>
        <c:crossBetween val="between"/>
        <c:majorUnit val="0.3"/>
      </c:valAx>
      <c:catAx>
        <c:axId val="945963584"/>
        <c:scaling>
          <c:orientation val="minMax"/>
        </c:scaling>
        <c:delete val="1"/>
        <c:axPos val="b"/>
        <c:numFmt formatCode="General" sourceLinked="1"/>
        <c:majorTickMark val="out"/>
        <c:minorTickMark val="none"/>
        <c:tickLblPos val="nextTo"/>
        <c:crossAx val="945965984"/>
        <c:crosses val="autoZero"/>
        <c:auto val="1"/>
        <c:lblAlgn val="ctr"/>
        <c:lblOffset val="100"/>
        <c:noMultiLvlLbl val="0"/>
      </c:catAx>
      <c:valAx>
        <c:axId val="945965984"/>
        <c:scaling>
          <c:orientation val="minMax"/>
        </c:scaling>
        <c:delete val="0"/>
        <c:axPos val="r"/>
        <c:title>
          <c:tx>
            <c:rich>
              <a:bodyPr rot="-5400000" spcFirstLastPara="1"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宋体" panose="02010600030101010101" charset="-122"/>
                    <a:cs typeface="Times New Roman" panose="02020603050405020304" charset="0"/>
                  </a:defRPr>
                </a:pPr>
                <a:r>
                  <a:rPr lang="zh-CN" sz="900"/>
                  <a:t>密度</a:t>
                </a:r>
                <a:r>
                  <a:rPr lang="en-US" sz="900"/>
                  <a:t>(ind./m</a:t>
                </a:r>
                <a:r>
                  <a:rPr lang="en-US" sz="900" baseline="30000"/>
                  <a:t>2</a:t>
                </a:r>
                <a:r>
                  <a:rPr lang="en-US" sz="900"/>
                  <a:t>)</a:t>
                </a:r>
                <a:endParaRPr lang="zh-CN" sz="900"/>
              </a:p>
            </c:rich>
          </c:tx>
          <c:overlay val="0"/>
          <c:spPr>
            <a:noFill/>
            <a:ln>
              <a:noFill/>
            </a:ln>
            <a:effectLst/>
          </c:spPr>
          <c:txPr>
            <a:bodyPr rot="-5400000" spcFirstLastPara="1"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宋体" panose="02010600030101010101" charset="-122"/>
                  <a:cs typeface="Times New Roman" panose="02020603050405020304" charset="0"/>
                </a:defRPr>
              </a:pPr>
              <a:endParaRPr lang="zh-CN"/>
            </a:p>
          </c:txPr>
        </c:title>
        <c:numFmt formatCode="0.00"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宋体" panose="02010600030101010101" charset="-122"/>
                <a:cs typeface="Times New Roman" panose="02020603050405020304" charset="0"/>
              </a:defRPr>
            </a:pPr>
            <a:endParaRPr lang="zh-CN"/>
          </a:p>
        </c:txPr>
        <c:crossAx val="945963584"/>
        <c:crosses val="max"/>
        <c:crossBetween val="between"/>
        <c:majorUnit val="30"/>
      </c:valAx>
      <c:spPr>
        <a:noFill/>
        <a:ln>
          <a:noFill/>
        </a:ln>
        <a:effectLst/>
      </c:spPr>
    </c:plotArea>
    <c:legend>
      <c:legendPos val="b"/>
      <c:layout>
        <c:manualLayout>
          <c:xMode val="edge"/>
          <c:yMode val="edge"/>
          <c:x val="0.447777777777778"/>
          <c:y val="7.0022601341498902E-2"/>
          <c:w val="0.31"/>
          <c:h val="7.3450714494021602E-2"/>
        </c:manualLayout>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宋体" panose="02010600030101010101" charset="-122"/>
              <a:cs typeface="Times New Roman" panose="02020603050405020304" charset="0"/>
            </a:defRPr>
          </a:pPr>
          <a:endParaRPr lang="zh-CN"/>
        </a:p>
      </c:txPr>
    </c:legend>
    <c:plotVisOnly val="1"/>
    <c:dispBlanksAs val="gap"/>
    <c:showDLblsOverMax val="0"/>
    <c:extLst>
      <c:ext uri="{0b15fc19-7d7d-44ad-8c2d-2c3a37ce22c3}">
        <chartProps xmlns="https://web.wps.cn/et/2018/main" chartId="{bc5e44b0-11b0-467e-a4a6-71f6a489036a}"/>
      </c:ext>
    </c:extLst>
  </c:chart>
  <c:spPr>
    <a:solidFill>
      <a:schemeClr val="bg1"/>
    </a:solidFill>
    <a:ln w="9525" cap="flat" cmpd="sng" algn="ctr">
      <a:solidFill>
        <a:schemeClr val="tx1">
          <a:lumMod val="15000"/>
          <a:lumOff val="85000"/>
        </a:schemeClr>
      </a:solidFill>
      <a:round/>
    </a:ln>
    <a:effectLst/>
  </c:spPr>
  <c:txPr>
    <a:bodyPr/>
    <a:lstStyle/>
    <a:p>
      <a:pPr>
        <a:defRPr lang="zh-CN">
          <a:latin typeface="Times New Roman" panose="02020603050405020304" charset="0"/>
          <a:ea typeface="宋体" panose="02010600030101010101" charset="-122"/>
          <a:cs typeface="Times New Roman" panose="02020603050405020304" charset="0"/>
        </a:defRPr>
      </a:pPr>
      <a:endParaRPr lang="zh-C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11.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8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1008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28AD2AD-0985-45F3-B373-B04F4B156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190</Pages>
  <Words>93262</Words>
  <Characters>113780</Characters>
  <Application>Microsoft Office Word</Application>
  <DocSecurity>0</DocSecurity>
  <Lines>12642</Lines>
  <Paragraphs>10896</Paragraphs>
  <ScaleCrop>false</ScaleCrop>
  <Company/>
  <LinksUpToDate>false</LinksUpToDate>
  <CharactersWithSpaces>196146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洮河流域综合规划</dc:title>
  <dc:creator>lgy</dc:creator>
  <cp:lastModifiedBy>佳昊 李</cp:lastModifiedBy>
  <cp:revision>3</cp:revision>
  <cp:lastPrinted>2025-12-09T00:41:00Z</cp:lastPrinted>
  <dcterms:created xsi:type="dcterms:W3CDTF">2025-12-26T07:29:00Z</dcterms:created>
  <dcterms:modified xsi:type="dcterms:W3CDTF">2025-12-26T07:32:00Z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D16DF4352DAC4094A012CF8C16E517EC_13</vt:lpwstr>
  </property>
  <property fmtid="{D5CDD505-2E9C-101B-9397-08002B2CF9AE}" pid="4" name="KSOTemplateDocerSaveRecord">
    <vt:lpwstr>eyJoZGlkIjoiM2ViNGIwZjc3ODk1OTI4N2Y3OTdlZDZmODhkYmNmZTUiLCJ1c2VySWQiOiIzNjM4NjcyNzQifQ==</vt:lpwstr>
  </property>
</Properties>
</file>